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C7CE" w14:textId="028DF531" w:rsidR="00B0667C" w:rsidRDefault="00851964" w:rsidP="00851964">
      <w:pPr>
        <w:jc w:val="center"/>
      </w:pPr>
      <w:r>
        <w:t>DID JESUS EXIST?</w:t>
      </w:r>
    </w:p>
    <w:p w14:paraId="4D4DCD62" w14:textId="77777777" w:rsidR="0065222A" w:rsidRDefault="0065222A" w:rsidP="00851964"/>
    <w:p w14:paraId="640E14AD" w14:textId="77777777" w:rsidR="00851964" w:rsidRPr="00851964" w:rsidRDefault="00851964" w:rsidP="00851964">
      <w:pPr>
        <w:jc w:val="center"/>
        <w:rPr>
          <w:sz w:val="20"/>
          <w:szCs w:val="24"/>
        </w:rPr>
      </w:pPr>
      <w:r w:rsidRPr="00851964">
        <w:rPr>
          <w:sz w:val="20"/>
          <w:szCs w:val="24"/>
        </w:rPr>
        <w:t>Paul Hahn, Theology Department</w:t>
      </w:r>
    </w:p>
    <w:p w14:paraId="0B3C17A7" w14:textId="77777777" w:rsidR="00851964" w:rsidRPr="00851964" w:rsidRDefault="00851964" w:rsidP="00851964">
      <w:pPr>
        <w:jc w:val="center"/>
        <w:rPr>
          <w:sz w:val="20"/>
          <w:szCs w:val="24"/>
        </w:rPr>
      </w:pPr>
      <w:r w:rsidRPr="00851964">
        <w:rPr>
          <w:sz w:val="20"/>
          <w:szCs w:val="24"/>
        </w:rPr>
        <w:t>University of St Thomas, Houston TX 77006</w:t>
      </w:r>
    </w:p>
    <w:p w14:paraId="1B641D3D" w14:textId="77777777" w:rsidR="00851964" w:rsidRPr="00851964" w:rsidRDefault="00851964" w:rsidP="00851964">
      <w:pPr>
        <w:jc w:val="center"/>
        <w:rPr>
          <w:sz w:val="20"/>
          <w:szCs w:val="24"/>
        </w:rPr>
      </w:pPr>
      <w:r w:rsidRPr="00851964">
        <w:rPr>
          <w:sz w:val="20"/>
          <w:szCs w:val="24"/>
        </w:rPr>
        <w:t>© 2026, theologyplus.com</w:t>
      </w:r>
    </w:p>
    <w:p w14:paraId="054C51FD" w14:textId="6AC27025" w:rsidR="00851964" w:rsidRPr="00851964" w:rsidRDefault="00851964" w:rsidP="00851964">
      <w:pPr>
        <w:jc w:val="center"/>
        <w:rPr>
          <w:sz w:val="20"/>
          <w:szCs w:val="24"/>
        </w:rPr>
      </w:pPr>
      <w:r w:rsidRPr="00851964">
        <w:rPr>
          <w:sz w:val="20"/>
          <w:szCs w:val="24"/>
        </w:rPr>
        <w:t>All scripture quotations are from the New Revised Standard Version, updated edition.</w:t>
      </w:r>
    </w:p>
    <w:p w14:paraId="1D576339" w14:textId="77777777" w:rsidR="00851964" w:rsidRDefault="00851964" w:rsidP="00851964"/>
    <w:p w14:paraId="6F9F2878" w14:textId="77777777" w:rsidR="00851964" w:rsidRDefault="00851964" w:rsidP="00851964"/>
    <w:p w14:paraId="437DF630" w14:textId="042BEC48" w:rsidR="0065222A" w:rsidRPr="00851964" w:rsidRDefault="00851964" w:rsidP="00851964">
      <w:r>
        <w:t xml:space="preserve">I </w:t>
      </w:r>
      <w:r w:rsidR="0065222A" w:rsidRPr="00851964">
        <w:t xml:space="preserve">received an email from </w:t>
      </w:r>
      <w:r w:rsidR="007B1ECF">
        <w:t xml:space="preserve">a </w:t>
      </w:r>
      <w:r w:rsidR="00E00DFA" w:rsidRPr="00851964">
        <w:t xml:space="preserve">good friend, </w:t>
      </w:r>
      <w:r w:rsidR="0065222A" w:rsidRPr="00851964">
        <w:t>Mark Tish:</w:t>
      </w:r>
    </w:p>
    <w:p w14:paraId="2363A2AD" w14:textId="055A6344" w:rsidR="00851964" w:rsidRDefault="00851964" w:rsidP="00851964"/>
    <w:p w14:paraId="17FC4263" w14:textId="068EA06C" w:rsidR="0065222A" w:rsidRPr="004A59DE" w:rsidRDefault="0065222A" w:rsidP="00851964">
      <w:pPr>
        <w:ind w:left="720" w:right="720"/>
      </w:pPr>
      <w:r w:rsidRPr="004A59DE">
        <w:t xml:space="preserve">Last evening a friend of mine who is an atheist argued that detailed historical accounts of </w:t>
      </w:r>
      <w:r w:rsidR="00851964">
        <w:t>Jesus’</w:t>
      </w:r>
      <w:r w:rsidRPr="004A59DE">
        <w:t xml:space="preserve"> life and ministry written while </w:t>
      </w:r>
      <w:r w:rsidR="00851964">
        <w:t>h</w:t>
      </w:r>
      <w:r w:rsidRPr="004A59DE">
        <w:t xml:space="preserve">e was living or shortly after his death do not exist. </w:t>
      </w:r>
      <w:r w:rsidR="00851964">
        <w:t>T</w:t>
      </w:r>
      <w:r w:rsidRPr="004A59DE">
        <w:t xml:space="preserve">herefore there is strong probability that </w:t>
      </w:r>
      <w:r w:rsidR="00851964">
        <w:t>h</w:t>
      </w:r>
      <w:r w:rsidRPr="004A59DE">
        <w:t>is existence is fictitious. I responded by referring to Josephus who wrote about Jesus some 60 years after his death. My friend argued that there is more historical evidence for the existence of Julius Caesar than for Christ. How would you respond to his comment</w:t>
      </w:r>
      <w:r w:rsidR="00851964">
        <w:t>s</w:t>
      </w:r>
      <w:r w:rsidRPr="004A59DE">
        <w:t>?</w:t>
      </w:r>
    </w:p>
    <w:p w14:paraId="70B983A5" w14:textId="77777777" w:rsidR="0065222A" w:rsidRDefault="0065222A" w:rsidP="00851964">
      <w:pPr>
        <w:rPr>
          <w:rFonts w:ascii="Arial" w:hAnsi="Arial" w:cs="Arial"/>
        </w:rPr>
      </w:pPr>
    </w:p>
    <w:p w14:paraId="10EECA8D" w14:textId="2A12217A" w:rsidR="00851964" w:rsidRPr="00E35279" w:rsidRDefault="00E35279" w:rsidP="00E35279">
      <w:pPr>
        <w:jc w:val="center"/>
        <w:rPr>
          <w:sz w:val="32"/>
        </w:rPr>
      </w:pPr>
      <w:r w:rsidRPr="00E35279">
        <w:rPr>
          <w:sz w:val="32"/>
        </w:rPr>
        <w:sym w:font="Wingdings" w:char="F09A"/>
      </w:r>
    </w:p>
    <w:p w14:paraId="63A78F6A" w14:textId="77777777" w:rsidR="0065222A" w:rsidRPr="00793465" w:rsidRDefault="0065222A" w:rsidP="00851964">
      <w:pPr>
        <w:rPr>
          <w:rFonts w:ascii="Arial" w:hAnsi="Arial" w:cs="Arial"/>
        </w:rPr>
      </w:pPr>
    </w:p>
    <w:p w14:paraId="53603E47" w14:textId="77777777" w:rsidR="007F1D02" w:rsidRDefault="00E35279" w:rsidP="00851964">
      <w:r>
        <w:t xml:space="preserve">My friend’s </w:t>
      </w:r>
      <w:r w:rsidR="00B2605E" w:rsidRPr="004A59DE">
        <w:t xml:space="preserve">atheist </w:t>
      </w:r>
      <w:r w:rsidR="003507C2">
        <w:t xml:space="preserve">companion </w:t>
      </w:r>
      <w:r w:rsidR="00B2605E">
        <w:t>made an initial assertion</w:t>
      </w:r>
      <w:r>
        <w:t>: “</w:t>
      </w:r>
      <w:r w:rsidRPr="004A59DE">
        <w:t xml:space="preserve">detailed historical accounts of </w:t>
      </w:r>
      <w:r>
        <w:t xml:space="preserve">Jesus’ </w:t>
      </w:r>
      <w:r w:rsidRPr="004A59DE">
        <w:t>life and ministry written while He was living or shortly after his death do not exist.</w:t>
      </w:r>
      <w:r>
        <w:t>”</w:t>
      </w:r>
    </w:p>
    <w:p w14:paraId="359DBA79" w14:textId="77777777" w:rsidR="007F1D02" w:rsidRDefault="007F1D02" w:rsidP="00851964"/>
    <w:p w14:paraId="682D6B21" w14:textId="77777777" w:rsidR="00493F8B" w:rsidRDefault="00E35279" w:rsidP="00851964">
      <w:r>
        <w:t xml:space="preserve">Certainly, </w:t>
      </w:r>
      <w:r w:rsidR="00493F8B">
        <w:t>n</w:t>
      </w:r>
      <w:r>
        <w:t xml:space="preserve">o one </w:t>
      </w:r>
      <w:r w:rsidR="00493F8B">
        <w:t xml:space="preserve">knows </w:t>
      </w:r>
      <w:r>
        <w:t xml:space="preserve">of </w:t>
      </w:r>
      <w:r w:rsidR="00B2605E">
        <w:t>“</w:t>
      </w:r>
      <w:r w:rsidR="00B2605E" w:rsidRPr="004A59DE">
        <w:t xml:space="preserve">detailed historical accounts of </w:t>
      </w:r>
      <w:r w:rsidR="00B2605E">
        <w:t>Jesus’</w:t>
      </w:r>
      <w:r>
        <w:t xml:space="preserve"> </w:t>
      </w:r>
      <w:r w:rsidR="00B2605E" w:rsidRPr="004A59DE">
        <w:t xml:space="preserve">life and ministry written while He was living </w:t>
      </w:r>
      <w:r>
        <w:t>. . .”</w:t>
      </w:r>
      <w:r w:rsidR="00493F8B">
        <w:t xml:space="preserve"> But what about the other half of his initial assertion: “</w:t>
      </w:r>
      <w:r w:rsidR="00493F8B" w:rsidRPr="004A59DE">
        <w:t xml:space="preserve">detailed historical accounts </w:t>
      </w:r>
      <w:r w:rsidR="00493F8B">
        <w:t>[</w:t>
      </w:r>
      <w:r w:rsidR="00493F8B" w:rsidRPr="004A59DE">
        <w:t>written</w:t>
      </w:r>
      <w:r w:rsidR="00493F8B">
        <w:t>]</w:t>
      </w:r>
      <w:r w:rsidR="00493F8B" w:rsidRPr="004A59DE">
        <w:t xml:space="preserve"> shortly after his death do not exist</w:t>
      </w:r>
      <w:r w:rsidR="00493F8B">
        <w:t>”</w:t>
      </w:r>
      <w:r w:rsidR="00493F8B">
        <w:t>?</w:t>
      </w:r>
    </w:p>
    <w:p w14:paraId="42979D33" w14:textId="77777777" w:rsidR="00493F8B" w:rsidRDefault="00493F8B" w:rsidP="00851964"/>
    <w:p w14:paraId="1CE46096" w14:textId="3173CD4C" w:rsidR="00493F8B" w:rsidRDefault="00493F8B" w:rsidP="00851964">
      <w:r>
        <w:t xml:space="preserve">It </w:t>
      </w:r>
      <w:r w:rsidR="00B2605E">
        <w:t xml:space="preserve">depends on </w:t>
      </w:r>
      <w:r>
        <w:t xml:space="preserve">what </w:t>
      </w:r>
      <w:r w:rsidR="00A115C1">
        <w:t>one</w:t>
      </w:r>
      <w:r>
        <w:t xml:space="preserve"> means by </w:t>
      </w:r>
      <w:r w:rsidR="00B2605E">
        <w:t>“shortly.”</w:t>
      </w:r>
    </w:p>
    <w:p w14:paraId="1C12BB08" w14:textId="77777777" w:rsidR="00493F8B" w:rsidRDefault="00493F8B" w:rsidP="00851964"/>
    <w:p w14:paraId="25FAAC67" w14:textId="54583DFF" w:rsidR="00B2605E" w:rsidRDefault="00B2605E" w:rsidP="00851964">
      <w:r>
        <w:t>Jesus probably died c. 30-33 CE. The dates of the gospels are</w:t>
      </w:r>
      <w:r w:rsidR="00075392">
        <w:t xml:space="preserve"> </w:t>
      </w:r>
      <w:r w:rsidR="00493F8B">
        <w:t>(</w:t>
      </w:r>
      <w:r>
        <w:t>in the consensus of New</w:t>
      </w:r>
      <w:r w:rsidR="00493F8B">
        <w:t>-</w:t>
      </w:r>
      <w:r>
        <w:t>Testament scholars</w:t>
      </w:r>
      <w:r w:rsidR="00493F8B">
        <w:t>)</w:t>
      </w:r>
      <w:r>
        <w:t>:</w:t>
      </w:r>
    </w:p>
    <w:p w14:paraId="1CB4AA96" w14:textId="77777777" w:rsidR="00B2605E" w:rsidRDefault="00B2605E" w:rsidP="00851964"/>
    <w:p w14:paraId="5A00F4B0" w14:textId="77777777" w:rsidR="00B2605E" w:rsidRDefault="00B2605E" w:rsidP="007B1ECF">
      <w:pPr>
        <w:tabs>
          <w:tab w:val="right" w:pos="2160"/>
        </w:tabs>
        <w:ind w:left="360"/>
      </w:pPr>
      <w:r>
        <w:t>Mark</w:t>
      </w:r>
      <w:r>
        <w:tab/>
        <w:t>c. 70</w:t>
      </w:r>
    </w:p>
    <w:p w14:paraId="71B7E69E" w14:textId="77777777" w:rsidR="00B2605E" w:rsidRDefault="00B2605E" w:rsidP="007B1ECF">
      <w:pPr>
        <w:tabs>
          <w:tab w:val="right" w:pos="2160"/>
        </w:tabs>
        <w:ind w:left="360"/>
      </w:pPr>
      <w:r>
        <w:t>Matthew</w:t>
      </w:r>
      <w:r>
        <w:tab/>
        <w:t>c. 85</w:t>
      </w:r>
    </w:p>
    <w:p w14:paraId="37171DB5" w14:textId="77777777" w:rsidR="00B2605E" w:rsidRDefault="00B2605E" w:rsidP="007B1ECF">
      <w:pPr>
        <w:tabs>
          <w:tab w:val="right" w:pos="2160"/>
        </w:tabs>
        <w:ind w:left="360"/>
      </w:pPr>
      <w:r>
        <w:t>Luke</w:t>
      </w:r>
      <w:r>
        <w:tab/>
        <w:t>c. 85</w:t>
      </w:r>
    </w:p>
    <w:p w14:paraId="0CDB6839" w14:textId="77777777" w:rsidR="00B2605E" w:rsidRDefault="00B2605E" w:rsidP="007B1ECF">
      <w:pPr>
        <w:tabs>
          <w:tab w:val="right" w:pos="2160"/>
        </w:tabs>
        <w:ind w:left="360"/>
      </w:pPr>
      <w:r>
        <w:t>John</w:t>
      </w:r>
      <w:r>
        <w:tab/>
        <w:t>c. 90s</w:t>
      </w:r>
    </w:p>
    <w:p w14:paraId="583A006A" w14:textId="77777777" w:rsidR="00B2605E" w:rsidRDefault="00B2605E" w:rsidP="00851964"/>
    <w:p w14:paraId="442EB4B4" w14:textId="77777777" w:rsidR="00B2605E" w:rsidRDefault="00B2605E" w:rsidP="00851964">
      <w:r>
        <w:t>Are four decades “shortly”?</w:t>
      </w:r>
    </w:p>
    <w:p w14:paraId="5836E28D" w14:textId="77777777" w:rsidR="003507C2" w:rsidRDefault="003507C2" w:rsidP="00851964"/>
    <w:p w14:paraId="693BA5BB" w14:textId="42FD16EC" w:rsidR="003507C2" w:rsidRDefault="003507C2" w:rsidP="00851964">
      <w:r>
        <w:t xml:space="preserve">Compare the situation with the Buddha. He was born </w:t>
      </w:r>
      <w:r w:rsidR="00F36C39">
        <w:t>around 5</w:t>
      </w:r>
      <w:r w:rsidR="005C4B5D">
        <w:t>6</w:t>
      </w:r>
      <w:r w:rsidR="00F36C39">
        <w:t>0 BCE.</w:t>
      </w:r>
      <w:r w:rsidR="005C4B5D">
        <w:rPr>
          <w:rStyle w:val="FootnoteReference"/>
        </w:rPr>
        <w:footnoteReference w:id="1"/>
      </w:r>
      <w:r w:rsidR="00F36C39">
        <w:t xml:space="preserve"> But “</w:t>
      </w:r>
      <w:r w:rsidR="00F36C39" w:rsidRPr="00F36C39">
        <w:t>The extant versions of the complete life of the Buddha were all composed 500 or more years after his death</w:t>
      </w:r>
      <w:r w:rsidR="00F36C39">
        <w:t>”</w:t>
      </w:r>
      <w:r w:rsidR="005C4B5D">
        <w:t xml:space="preserve"> (ibid. 6).</w:t>
      </w:r>
      <w:r w:rsidR="00F36C39">
        <w:t xml:space="preserve"> </w:t>
      </w:r>
      <w:r w:rsidR="00493F8B">
        <w:t xml:space="preserve">But </w:t>
      </w:r>
      <w:r w:rsidR="005C4B5D">
        <w:t xml:space="preserve">the </w:t>
      </w:r>
      <w:r w:rsidR="00F36C39">
        <w:t xml:space="preserve">biographies of the Buddha </w:t>
      </w:r>
      <w:r w:rsidR="00F36C39" w:rsidRPr="004D3B95">
        <w:t xml:space="preserve">probably </w:t>
      </w:r>
      <w:r w:rsidR="00F36C39">
        <w:t xml:space="preserve">have </w:t>
      </w:r>
      <w:r w:rsidR="00F36C39" w:rsidRPr="004D3B95">
        <w:t>an historical core</w:t>
      </w:r>
      <w:r w:rsidR="00F36C39">
        <w:t>. For one thing</w:t>
      </w:r>
      <w:r w:rsidR="007B1ECF">
        <w:t>,</w:t>
      </w:r>
      <w:r w:rsidR="00F36C39">
        <w:t xml:space="preserve"> like the gospels</w:t>
      </w:r>
      <w:r w:rsidR="007F1D02">
        <w:t>,</w:t>
      </w:r>
      <w:r w:rsidR="00F36C39" w:rsidRPr="00F36C39">
        <w:t xml:space="preserve"> </w:t>
      </w:r>
      <w:r w:rsidR="00F36C39">
        <w:t>“</w:t>
      </w:r>
      <w:r w:rsidR="00F36C39" w:rsidRPr="00F36C39">
        <w:t>They draw on much earlier material”</w:t>
      </w:r>
      <w:r w:rsidR="00F36C39">
        <w:t xml:space="preserve"> (ibid.)</w:t>
      </w:r>
      <w:r w:rsidR="005C4B5D">
        <w:t>.</w:t>
      </w:r>
      <w:r w:rsidR="00F36C39">
        <w:t xml:space="preserve"> For another</w:t>
      </w:r>
      <w:r w:rsidR="005C4B5D">
        <w:t>,</w:t>
      </w:r>
      <w:r w:rsidR="00F36C39">
        <w:t xml:space="preserve"> </w:t>
      </w:r>
      <w:r w:rsidR="00493F8B">
        <w:t xml:space="preserve">like </w:t>
      </w:r>
      <w:r w:rsidR="007B1ECF">
        <w:t xml:space="preserve">Jesus, </w:t>
      </w:r>
      <w:r w:rsidR="00F36C39" w:rsidRPr="00F36C39">
        <w:t xml:space="preserve">“The dignity, economy, and sobriety of the account </w:t>
      </w:r>
      <w:r w:rsidR="00F36C39">
        <w:t xml:space="preserve">. . . </w:t>
      </w:r>
      <w:r w:rsidR="00F36C39" w:rsidRPr="00F36C39">
        <w:t xml:space="preserve">strongly suggest a remarkable man behind the style, self-assured and </w:t>
      </w:r>
      <w:r w:rsidR="00F36C39" w:rsidRPr="00F36C39">
        <w:lastRenderedPageBreak/>
        <w:t>self-aware, assertive but not bombastic</w:t>
      </w:r>
      <w:r w:rsidR="005C4B5D">
        <w:t>”</w:t>
      </w:r>
      <w:r w:rsidR="00F36C39" w:rsidRPr="00F36C39">
        <w:t xml:space="preserve"> (</w:t>
      </w:r>
      <w:r w:rsidR="005C4B5D">
        <w:t>i</w:t>
      </w:r>
      <w:r w:rsidR="00F36C39">
        <w:t>bid.</w:t>
      </w:r>
      <w:r w:rsidR="00493F8B">
        <w:t xml:space="preserve"> </w:t>
      </w:r>
      <w:r w:rsidR="00F36C39" w:rsidRPr="00F36C39">
        <w:t>13)</w:t>
      </w:r>
      <w:r w:rsidR="00F36C39">
        <w:t>.</w:t>
      </w:r>
      <w:r w:rsidR="005C4B5D">
        <w:t xml:space="preserve"> And finally</w:t>
      </w:r>
      <w:r w:rsidR="007B1ECF">
        <w:t>:</w:t>
      </w:r>
      <w:r w:rsidR="005C4B5D">
        <w:t xml:space="preserve"> </w:t>
      </w:r>
      <w:r w:rsidR="005C4B5D" w:rsidRPr="004D3B95">
        <w:t>“If disciples put such words into the mouth of their master, then who put into their minds such an image of him?”</w:t>
      </w:r>
      <w:r w:rsidR="005C4B5D">
        <w:t xml:space="preserve"> (ibid. 13).</w:t>
      </w:r>
    </w:p>
    <w:p w14:paraId="16772269" w14:textId="77777777" w:rsidR="00F36C39" w:rsidRDefault="00F36C39" w:rsidP="00851964"/>
    <w:p w14:paraId="24DB5050" w14:textId="3C182440" w:rsidR="00F36C39" w:rsidRDefault="00075392" w:rsidP="00851964">
      <w:r>
        <w:t xml:space="preserve">Set alongside the 5 centuries between the Buddha and the records about him, </w:t>
      </w:r>
      <w:r w:rsidR="00AB1ED7">
        <w:t xml:space="preserve">we may consider again whether </w:t>
      </w:r>
      <w:r w:rsidRPr="004A59DE">
        <w:t xml:space="preserve">accounts of </w:t>
      </w:r>
      <w:r>
        <w:t>Jesus</w:t>
      </w:r>
      <w:r w:rsidRPr="004A59DE">
        <w:t xml:space="preserve"> written </w:t>
      </w:r>
      <w:r w:rsidR="00493F8B">
        <w:t xml:space="preserve">four decades </w:t>
      </w:r>
      <w:r w:rsidRPr="00075392">
        <w:t>after his death</w:t>
      </w:r>
      <w:r w:rsidR="00AB1ED7">
        <w:t xml:space="preserve"> </w:t>
      </w:r>
      <w:r w:rsidR="00493F8B">
        <w:t xml:space="preserve">count </w:t>
      </w:r>
      <w:r>
        <w:t>as “shortly</w:t>
      </w:r>
      <w:r w:rsidR="00493F8B">
        <w:t>.</w:t>
      </w:r>
      <w:r>
        <w:t>”</w:t>
      </w:r>
    </w:p>
    <w:p w14:paraId="4ED74132" w14:textId="77777777" w:rsidR="00B2605E" w:rsidRDefault="00B2605E" w:rsidP="00851964"/>
    <w:p w14:paraId="4473AB0A" w14:textId="22EBAE77" w:rsidR="00075392" w:rsidRPr="00075392" w:rsidRDefault="00075392" w:rsidP="00075392">
      <w:pPr>
        <w:jc w:val="center"/>
        <w:rPr>
          <w:sz w:val="32"/>
        </w:rPr>
      </w:pPr>
      <w:r w:rsidRPr="00075392">
        <w:rPr>
          <w:sz w:val="32"/>
        </w:rPr>
        <w:sym w:font="Wingdings" w:char="F09A"/>
      </w:r>
    </w:p>
    <w:p w14:paraId="46FAE9E4" w14:textId="77777777" w:rsidR="00075392" w:rsidRDefault="00075392" w:rsidP="00851964"/>
    <w:p w14:paraId="32ECF2E8" w14:textId="4924276C" w:rsidR="00B2605E" w:rsidRDefault="00075392" w:rsidP="00851964">
      <w:r>
        <w:t>I</w:t>
      </w:r>
      <w:r w:rsidR="00B2605E">
        <w:t>nformation about Jesus</w:t>
      </w:r>
      <w:r>
        <w:t xml:space="preserve"> </w:t>
      </w:r>
      <w:r w:rsidR="00B2605E">
        <w:t xml:space="preserve">traveled </w:t>
      </w:r>
      <w:r w:rsidR="00493F8B">
        <w:t xml:space="preserve">through the four decades </w:t>
      </w:r>
      <w:r w:rsidR="00B2605E">
        <w:t>from Jesus’ life</w:t>
      </w:r>
      <w:r w:rsidR="00F02C49">
        <w:t>time</w:t>
      </w:r>
      <w:r w:rsidR="00B2605E">
        <w:t xml:space="preserve"> to the </w:t>
      </w:r>
      <w:r w:rsidR="00F02C49">
        <w:t xml:space="preserve">time of the </w:t>
      </w:r>
      <w:r w:rsidR="00B2605E">
        <w:t>gospels. New</w:t>
      </w:r>
      <w:r w:rsidR="007748A0">
        <w:t>-</w:t>
      </w:r>
      <w:r w:rsidR="00B2605E">
        <w:t xml:space="preserve">Testament scholars refer to this as the </w:t>
      </w:r>
      <w:r w:rsidR="00F02C49">
        <w:t xml:space="preserve">period of </w:t>
      </w:r>
      <w:r w:rsidR="00B2605E">
        <w:t>“oral tradition.” (</w:t>
      </w:r>
      <w:r w:rsidR="007748A0">
        <w:t>Some New-Testament scholars speculate, however, that e</w:t>
      </w:r>
      <w:r w:rsidR="00B2605E">
        <w:t>ven in this period</w:t>
      </w:r>
      <w:r w:rsidR="007748A0">
        <w:t xml:space="preserve"> </w:t>
      </w:r>
      <w:r w:rsidR="00B2605E">
        <w:t>there may have been some collecting of traditions about Jesus in written form</w:t>
      </w:r>
      <w:r w:rsidR="007748A0">
        <w:t>—</w:t>
      </w:r>
      <w:r w:rsidR="00AB1ED7">
        <w:t xml:space="preserve">perhaps </w:t>
      </w:r>
      <w:r w:rsidR="00B2605E">
        <w:t>the healings collection now in Mark 1:23-2:12</w:t>
      </w:r>
      <w:r w:rsidR="00493F8B">
        <w:t xml:space="preserve"> or </w:t>
      </w:r>
      <w:r w:rsidR="007748A0">
        <w:t>perhaps</w:t>
      </w:r>
      <w:r w:rsidR="00B2605E">
        <w:t xml:space="preserve"> the parable collection now in Mark 4.)</w:t>
      </w:r>
    </w:p>
    <w:p w14:paraId="472F7CA8" w14:textId="77777777" w:rsidR="00B2605E" w:rsidRDefault="00B2605E" w:rsidP="00851964"/>
    <w:p w14:paraId="03CE12B9" w14:textId="25709474" w:rsidR="00B2605E" w:rsidRDefault="00B2605E" w:rsidP="00851964">
      <w:r>
        <w:t>Oral tradition is susceptible to change during transmission</w:t>
      </w:r>
      <w:r w:rsidR="007748A0">
        <w:t>. C</w:t>
      </w:r>
      <w:r>
        <w:t>onsider the “telegraph” or “telephone” game</w:t>
      </w:r>
      <w:r w:rsidR="007748A0">
        <w:t>: o</w:t>
      </w:r>
      <w:r>
        <w:t>ne person says something to another person, who passes it on, etc.; then the last person compares what he or she heard to what the original person said. Often change will have occurred.</w:t>
      </w:r>
      <w:r w:rsidR="00FE27ED">
        <w:t xml:space="preserve"> Many of the variations in Jesus’ deeds and words among the gospels </w:t>
      </w:r>
      <w:r w:rsidR="00493F8B">
        <w:t xml:space="preserve">might be </w:t>
      </w:r>
      <w:r w:rsidR="00FE27ED">
        <w:t>attributable to the malleability of oral tradition.</w:t>
      </w:r>
    </w:p>
    <w:p w14:paraId="13B106F2" w14:textId="77777777" w:rsidR="00B2605E" w:rsidRDefault="00B2605E" w:rsidP="00851964"/>
    <w:p w14:paraId="7D225564" w14:textId="42A19ED7" w:rsidR="00820391" w:rsidRDefault="00B2605E" w:rsidP="00851964">
      <w:r>
        <w:t xml:space="preserve">On the other hand, the early Christians lived in an oral, not a writing, culture. </w:t>
      </w:r>
      <w:r w:rsidR="00FC43B9" w:rsidRPr="00FC43B9">
        <w:t xml:space="preserve">Meir </w:t>
      </w:r>
      <w:r w:rsidR="00F80FDA">
        <w:t>B</w:t>
      </w:r>
      <w:r w:rsidR="00820391">
        <w:t xml:space="preserve">ar-Ilan </w:t>
      </w:r>
      <w:r w:rsidR="007748A0">
        <w:t>estimates</w:t>
      </w:r>
      <w:r w:rsidR="00820391">
        <w:t xml:space="preserve"> that, in Jesus’ day, “</w:t>
      </w:r>
      <w:r w:rsidR="00820391" w:rsidRPr="00820391">
        <w:t>the total literacy rate in the Land of Israel</w:t>
      </w:r>
      <w:r w:rsidR="00820391">
        <w:t xml:space="preserve"> . . . </w:t>
      </w:r>
      <w:r w:rsidR="00820391" w:rsidRPr="00820391">
        <w:t>was probably less than 3%.”</w:t>
      </w:r>
      <w:r w:rsidR="007748A0">
        <w:rPr>
          <w:rStyle w:val="FootnoteReference"/>
        </w:rPr>
        <w:footnoteReference w:id="2"/>
      </w:r>
      <w:r w:rsidR="00820391" w:rsidRPr="00820391">
        <w:t xml:space="preserve"> </w:t>
      </w:r>
      <w:r w:rsidR="00820391">
        <w:t>Catherine</w:t>
      </w:r>
      <w:r w:rsidR="00820391" w:rsidRPr="00820391">
        <w:t xml:space="preserve"> Hezser</w:t>
      </w:r>
      <w:r w:rsidR="00820391">
        <w:t xml:space="preserve"> believes that villages in rural Palestine would have had literacy rates lower than 1%.</w:t>
      </w:r>
      <w:r w:rsidR="00FC43B9">
        <w:rPr>
          <w:rStyle w:val="FootnoteReference"/>
        </w:rPr>
        <w:footnoteReference w:id="3"/>
      </w:r>
    </w:p>
    <w:p w14:paraId="2990F8BB" w14:textId="77777777" w:rsidR="00820391" w:rsidRDefault="00820391" w:rsidP="00851964"/>
    <w:p w14:paraId="09642D30" w14:textId="569E931A" w:rsidR="00B2605E" w:rsidRPr="00652200" w:rsidRDefault="00B2605E" w:rsidP="00851964">
      <w:r>
        <w:t>Since most of Jesus’ earliest followers were rural, almost all of them were illiterate</w:t>
      </w:r>
      <w:r w:rsidR="007748A0">
        <w:t>: they lived in an oral, not a writing, culture.</w:t>
      </w:r>
      <w:r>
        <w:t xml:space="preserve"> Studies of </w:t>
      </w:r>
      <w:r w:rsidR="00FD7112">
        <w:t xml:space="preserve">the transmission of </w:t>
      </w:r>
      <w:r>
        <w:t xml:space="preserve">oral tradition (for example, the traditions behind the </w:t>
      </w:r>
      <w:r>
        <w:rPr>
          <w:i/>
          <w:iCs/>
        </w:rPr>
        <w:t>Iliad</w:t>
      </w:r>
      <w:r w:rsidR="00FD7112">
        <w:t>;</w:t>
      </w:r>
      <w:r w:rsidR="00BD5B73">
        <w:rPr>
          <w:rStyle w:val="FootnoteReference"/>
        </w:rPr>
        <w:footnoteReference w:id="4"/>
      </w:r>
      <w:r>
        <w:t xml:space="preserve"> or the traditions in bardic cultures, like early-modern Ireland or Eastern Europe) suggest that oral cultures are much better than literate cultures at transmitting oral traditions with </w:t>
      </w:r>
      <w:r w:rsidR="00FE27ED">
        <w:t xml:space="preserve">minimal </w:t>
      </w:r>
      <w:r>
        <w:t>change.</w:t>
      </w:r>
    </w:p>
    <w:p w14:paraId="6326318C" w14:textId="77777777" w:rsidR="00B2605E" w:rsidRDefault="00B2605E" w:rsidP="00851964"/>
    <w:p w14:paraId="4905B664" w14:textId="1695A00A" w:rsidR="00075392" w:rsidRPr="00075392" w:rsidRDefault="00075392" w:rsidP="00075392">
      <w:pPr>
        <w:jc w:val="center"/>
        <w:rPr>
          <w:sz w:val="32"/>
        </w:rPr>
      </w:pPr>
      <w:r w:rsidRPr="00075392">
        <w:rPr>
          <w:sz w:val="32"/>
        </w:rPr>
        <w:sym w:font="Wingdings" w:char="F09A"/>
      </w:r>
    </w:p>
    <w:p w14:paraId="6CFBE539" w14:textId="661C0120" w:rsidR="00075392" w:rsidRDefault="00075392" w:rsidP="00851964"/>
    <w:p w14:paraId="4B47C105" w14:textId="2632C0DC" w:rsidR="00B2605E" w:rsidRDefault="00FD7112" w:rsidP="00851964">
      <w:r>
        <w:t>T</w:t>
      </w:r>
      <w:r w:rsidR="007748A0">
        <w:t>he atheist interlocutor</w:t>
      </w:r>
      <w:r w:rsidR="00B2605E">
        <w:t xml:space="preserve"> </w:t>
      </w:r>
      <w:r>
        <w:t xml:space="preserve">reasons </w:t>
      </w:r>
      <w:r w:rsidR="00B2605E">
        <w:t>that</w:t>
      </w:r>
      <w:r>
        <w:t>, since</w:t>
      </w:r>
      <w:r w:rsidR="00B2605E">
        <w:t xml:space="preserve"> “</w:t>
      </w:r>
      <w:r w:rsidR="00B2605E" w:rsidRPr="00652200">
        <w:t xml:space="preserve">detailed historical accounts of His life and ministry written while </w:t>
      </w:r>
      <w:r w:rsidR="00B52CA7">
        <w:t>h</w:t>
      </w:r>
      <w:r w:rsidR="00B2605E" w:rsidRPr="00652200">
        <w:t>e was living or shortly after his death do not exist</w:t>
      </w:r>
      <w:r>
        <w:t xml:space="preserve"> . . .</w:t>
      </w:r>
      <w:r w:rsidR="00B2605E">
        <w:t xml:space="preserve"> </w:t>
      </w:r>
      <w:r w:rsidR="00851964">
        <w:t>T</w:t>
      </w:r>
      <w:r w:rsidR="00B2605E" w:rsidRPr="00652200">
        <w:t>herefore</w:t>
      </w:r>
      <w:r w:rsidR="00B2605E">
        <w:t xml:space="preserve"> </w:t>
      </w:r>
      <w:r w:rsidR="00B2605E" w:rsidRPr="00652200">
        <w:t>there is strong probability that His existence is fictitious.</w:t>
      </w:r>
      <w:r w:rsidR="00B2605E">
        <w:t>”</w:t>
      </w:r>
    </w:p>
    <w:p w14:paraId="1AC4ABA5" w14:textId="4D789681" w:rsidR="00B2605E" w:rsidRDefault="00B2605E" w:rsidP="00851964"/>
    <w:p w14:paraId="125DFF14" w14:textId="04BA32B6" w:rsidR="00B2605E" w:rsidRDefault="00B2605E" w:rsidP="00851964">
      <w:r>
        <w:t>That does not necessarily follow.</w:t>
      </w:r>
      <w:r w:rsidR="007748A0">
        <w:t xml:space="preserve"> </w:t>
      </w:r>
      <w:r>
        <w:t>In fact, it seems unlikely.</w:t>
      </w:r>
    </w:p>
    <w:p w14:paraId="3B0F5A9D" w14:textId="77777777" w:rsidR="00B2605E" w:rsidRDefault="00B2605E" w:rsidP="00851964"/>
    <w:p w14:paraId="5714034A" w14:textId="2B604780" w:rsidR="00B2605E" w:rsidRDefault="00990D85" w:rsidP="00851964">
      <w:r>
        <w:t>For one thing, w</w:t>
      </w:r>
      <w:r w:rsidR="00FD7112">
        <w:t xml:space="preserve">e have </w:t>
      </w:r>
      <w:r w:rsidR="00B52CA7">
        <w:t xml:space="preserve">just </w:t>
      </w:r>
      <w:r w:rsidR="00FD7112">
        <w:t>seen that his protasis (dependent clause</w:t>
      </w:r>
      <w:r w:rsidR="00B52CA7">
        <w:t>,</w:t>
      </w:r>
      <w:r w:rsidR="00FD7112">
        <w:t xml:space="preserve"> </w:t>
      </w:r>
      <w:r w:rsidR="00B2605E">
        <w:t>“</w:t>
      </w:r>
      <w:r w:rsidR="00B2605E" w:rsidRPr="00652200">
        <w:t xml:space="preserve">detailed historical accounts </w:t>
      </w:r>
      <w:r>
        <w:t>[</w:t>
      </w:r>
      <w:r w:rsidR="00FD7112">
        <w:t>written</w:t>
      </w:r>
      <w:r>
        <w:t>]</w:t>
      </w:r>
      <w:r w:rsidR="00FD7112">
        <w:t xml:space="preserve"> shortly after his death</w:t>
      </w:r>
      <w:r>
        <w:t xml:space="preserve"> do not exist</w:t>
      </w:r>
      <w:r w:rsidR="00B2605E">
        <w:t>”</w:t>
      </w:r>
      <w:r w:rsidR="00FD7112">
        <w:t xml:space="preserve">) is </w:t>
      </w:r>
      <w:r w:rsidR="00B52CA7">
        <w:t>untrue</w:t>
      </w:r>
      <w:r w:rsidR="00B2605E">
        <w:t xml:space="preserve"> </w:t>
      </w:r>
      <w:r>
        <w:t xml:space="preserve">if </w:t>
      </w:r>
      <w:r w:rsidR="00B52CA7">
        <w:t>four decades after his death</w:t>
      </w:r>
      <w:r w:rsidR="00B52CA7">
        <w:t xml:space="preserve"> can count as </w:t>
      </w:r>
      <w:r>
        <w:t>“shortly</w:t>
      </w:r>
      <w:r w:rsidR="00B52CA7">
        <w:t>.</w:t>
      </w:r>
      <w:r>
        <w:t>”</w:t>
      </w:r>
    </w:p>
    <w:p w14:paraId="35CF07F3" w14:textId="77777777" w:rsidR="00B2605E" w:rsidRDefault="00B2605E" w:rsidP="00851964"/>
    <w:p w14:paraId="6270B57D" w14:textId="27A3C40E" w:rsidR="00B2605E" w:rsidRDefault="00B2605E" w:rsidP="00851964">
      <w:r>
        <w:t xml:space="preserve">For another, the gospels attribute to Jesus distinctive teachings (teachings rare or absent </w:t>
      </w:r>
      <w:r w:rsidR="00FE27ED">
        <w:t>in</w:t>
      </w:r>
      <w:r>
        <w:t xml:space="preserve"> the Judaism of </w:t>
      </w:r>
      <w:r w:rsidR="00FE27ED">
        <w:t xml:space="preserve">Jesus’ </w:t>
      </w:r>
      <w:r>
        <w:t>day).</w:t>
      </w:r>
    </w:p>
    <w:p w14:paraId="18EF6FCD" w14:textId="77777777" w:rsidR="00B2605E" w:rsidRDefault="00B2605E" w:rsidP="00851964"/>
    <w:p w14:paraId="34A0DAD3" w14:textId="3D05EABE" w:rsidR="00B2605E" w:rsidRPr="00025A46" w:rsidRDefault="007748A0" w:rsidP="00851964">
      <w:pPr>
        <w:ind w:left="360"/>
      </w:pPr>
      <w:r>
        <w:t xml:space="preserve">For example, Jesus </w:t>
      </w:r>
      <w:r w:rsidR="00B2605E" w:rsidRPr="00025A46">
        <w:t>proclaimed the kingdom of God.</w:t>
      </w:r>
      <w:r>
        <w:t xml:space="preserve"> While the concept of the kingdom of God was not uncommon, Jesus’ take on it was.</w:t>
      </w:r>
      <w:r w:rsidR="00B2605E" w:rsidRPr="00025A46">
        <w:t xml:space="preserve"> </w:t>
      </w:r>
      <w:r>
        <w:t xml:space="preserve">For Jesus the kingdom of God </w:t>
      </w:r>
      <w:r w:rsidR="00B2605E" w:rsidRPr="00025A46">
        <w:t>was not a future utopian society on earth or a spiritual kingdom in the heart, but “the sovereign rule of God decisively invading history in the ministry of Jesus . . .  and the new order of things thus established . . .”</w:t>
      </w:r>
      <w:r>
        <w:rPr>
          <w:rStyle w:val="FootnoteReference"/>
        </w:rPr>
        <w:footnoteReference w:id="5"/>
      </w:r>
    </w:p>
    <w:p w14:paraId="19F791D8" w14:textId="77777777" w:rsidR="00B2605E" w:rsidRDefault="00B2605E" w:rsidP="00851964"/>
    <w:p w14:paraId="6AA971D3" w14:textId="336DD80C" w:rsidR="00E245F5" w:rsidRDefault="007748A0" w:rsidP="00F76F24">
      <w:pPr>
        <w:ind w:left="360"/>
      </w:pPr>
      <w:r>
        <w:t>Jesus</w:t>
      </w:r>
      <w:r w:rsidR="00B2605E" w:rsidRPr="00025A46">
        <w:t xml:space="preserve"> abrogated parts of the Mosaic Law (e.g., dietary laws, Mark 7:19</w:t>
      </w:r>
      <w:r w:rsidR="00B52CA7">
        <w:t xml:space="preserve">; divorce, </w:t>
      </w:r>
      <w:r w:rsidR="00B52CA7">
        <w:t>Matt 5:32</w:t>
      </w:r>
      <w:r w:rsidR="00B52CA7">
        <w:t>).</w:t>
      </w:r>
      <w:r w:rsidR="00B2605E" w:rsidRPr="00025A46">
        <w:t xml:space="preserve"> </w:t>
      </w:r>
      <w:r w:rsidR="00B52CA7">
        <w:t xml:space="preserve">He </w:t>
      </w:r>
      <w:r w:rsidR="00B2605E" w:rsidRPr="00025A46">
        <w:t>intensified others (e.g., stressing intention, Matt 5:28)</w:t>
      </w:r>
      <w:r w:rsidR="00B52CA7">
        <w:t>.</w:t>
      </w:r>
      <w:r w:rsidR="00B2605E" w:rsidRPr="00025A46">
        <w:t xml:space="preserve"> </w:t>
      </w:r>
      <w:r w:rsidR="00B52CA7">
        <w:t>A</w:t>
      </w:r>
      <w:r w:rsidR="00B2605E" w:rsidRPr="00025A46">
        <w:t xml:space="preserve">nd </w:t>
      </w:r>
      <w:r w:rsidR="00B52CA7">
        <w:t xml:space="preserve">he </w:t>
      </w:r>
      <w:r w:rsidR="00E245F5">
        <w:t>even dared to elevate two commandments (</w:t>
      </w:r>
      <w:r w:rsidR="00B2605E" w:rsidRPr="00025A46">
        <w:t xml:space="preserve">the </w:t>
      </w:r>
      <w:r w:rsidR="00E245F5">
        <w:t>“</w:t>
      </w:r>
      <w:r w:rsidR="00B2605E" w:rsidRPr="00025A46">
        <w:t>double commandment</w:t>
      </w:r>
      <w:r w:rsidR="00E245F5">
        <w:t>”) above all others:</w:t>
      </w:r>
      <w:r w:rsidR="00B2605E" w:rsidRPr="00025A46">
        <w:t xml:space="preserve"> love of God</w:t>
      </w:r>
      <w:r w:rsidR="00E245F5">
        <w:t xml:space="preserve"> (</w:t>
      </w:r>
      <w:proofErr w:type="spellStart"/>
      <w:r w:rsidR="00E245F5" w:rsidRPr="00025A46">
        <w:t>Deut</w:t>
      </w:r>
      <w:proofErr w:type="spellEnd"/>
      <w:r w:rsidR="00E245F5" w:rsidRPr="00025A46">
        <w:t xml:space="preserve"> 6:5</w:t>
      </w:r>
      <w:r w:rsidR="00E245F5">
        <w:t>)</w:t>
      </w:r>
      <w:r w:rsidR="00B2605E" w:rsidRPr="00025A46">
        <w:t xml:space="preserve"> and love of neighbor</w:t>
      </w:r>
      <w:r w:rsidR="00E245F5">
        <w:t xml:space="preserve"> (</w:t>
      </w:r>
      <w:r w:rsidR="00E245F5" w:rsidRPr="00025A46">
        <w:t>Lev 19:18</w:t>
      </w:r>
      <w:r w:rsidR="00E245F5">
        <w:t>).</w:t>
      </w:r>
      <w:r w:rsidR="00B2605E" w:rsidRPr="00025A46">
        <w:t xml:space="preserve"> (</w:t>
      </w:r>
      <w:r w:rsidR="00E245F5">
        <w:t xml:space="preserve">See </w:t>
      </w:r>
      <w:r w:rsidR="00E245F5">
        <w:t>Matt 22:40</w:t>
      </w:r>
      <w:r w:rsidR="00E245F5">
        <w:t xml:space="preserve">; </w:t>
      </w:r>
      <w:r w:rsidR="00B52CA7" w:rsidRPr="00025A46">
        <w:t>Mark 12:29-31</w:t>
      </w:r>
      <w:r w:rsidR="00E245F5">
        <w:t xml:space="preserve">; </w:t>
      </w:r>
      <w:r w:rsidR="00E245F5" w:rsidRPr="00E245F5">
        <w:t>Rom 13:8-10</w:t>
      </w:r>
      <w:r w:rsidR="00E245F5">
        <w:t xml:space="preserve">; </w:t>
      </w:r>
      <w:r w:rsidR="00E245F5" w:rsidRPr="00E245F5">
        <w:t>Gal 5:14</w:t>
      </w:r>
      <w:r w:rsidR="00E245F5">
        <w:t xml:space="preserve">; </w:t>
      </w:r>
      <w:r w:rsidR="00E245F5" w:rsidRPr="00E245F5">
        <w:t>James 2:8</w:t>
      </w:r>
      <w:r w:rsidR="00F76F24">
        <w:t xml:space="preserve">; </w:t>
      </w:r>
      <w:r w:rsidR="00E245F5" w:rsidRPr="00E245F5">
        <w:t>1 John 4:19-21</w:t>
      </w:r>
      <w:r w:rsidR="00F76F24">
        <w:t>.)</w:t>
      </w:r>
    </w:p>
    <w:p w14:paraId="3A26A5B7" w14:textId="77777777" w:rsidR="00F76F24" w:rsidRDefault="00F76F24" w:rsidP="00F76F24"/>
    <w:p w14:paraId="05FCED5B" w14:textId="356A3FCD" w:rsidR="00B2605E" w:rsidRPr="00025A46" w:rsidRDefault="00B2605E" w:rsidP="00851964">
      <w:pPr>
        <w:ind w:left="360"/>
      </w:pPr>
      <w:r w:rsidRPr="00025A46">
        <w:t>He went further and advocated not judging others (e.g., Matt 7:1), non-retaliation (e.g., Matt 5:38-42), love of enemies (</w:t>
      </w:r>
      <w:r w:rsidR="00F76F24">
        <w:t xml:space="preserve">e.g. Matt </w:t>
      </w:r>
      <w:r w:rsidRPr="00025A46">
        <w:t>5:43-47), and unlimited forgiveness (e.g., Matt 18:22).</w:t>
      </w:r>
    </w:p>
    <w:p w14:paraId="532A692A" w14:textId="77777777" w:rsidR="00B2605E" w:rsidRDefault="00B2605E" w:rsidP="00851964"/>
    <w:p w14:paraId="1D115770" w14:textId="77777777" w:rsidR="00B2605E" w:rsidRPr="00025A46" w:rsidRDefault="00B2605E" w:rsidP="00851964">
      <w:pPr>
        <w:ind w:left="360"/>
      </w:pPr>
      <w:r w:rsidRPr="00025A46">
        <w:t>For some he urged celibacy (e.g., Matt 19:12) and total poverty (e.g., Mark 10:21).</w:t>
      </w:r>
    </w:p>
    <w:p w14:paraId="3D541BBC" w14:textId="77777777" w:rsidR="00B2605E" w:rsidRDefault="00B2605E" w:rsidP="00851964"/>
    <w:p w14:paraId="13B79BCB" w14:textId="227A8526" w:rsidR="00B2605E" w:rsidRDefault="00B2605E" w:rsidP="00851964">
      <w:r>
        <w:t>Either Jesus existed and created these distinctive teachings</w:t>
      </w:r>
      <w:r w:rsidR="00990D85">
        <w:t>,</w:t>
      </w:r>
      <w:r>
        <w:t xml:space="preserve"> or Jesus is fictitious and someone else </w:t>
      </w:r>
      <w:r w:rsidR="00F02C49">
        <w:t xml:space="preserve">came up with </w:t>
      </w:r>
      <w:r>
        <w:t>the</w:t>
      </w:r>
      <w:r w:rsidR="00FE27ED">
        <w:t>m</w:t>
      </w:r>
      <w:r>
        <w:t>. That for some reason the author of the distinctive teachings</w:t>
      </w:r>
      <w:r w:rsidR="006B677B">
        <w:t>, if not Jesus,</w:t>
      </w:r>
      <w:r>
        <w:t xml:space="preserve"> created simultaneously a fictional character and then attributed the teachings to th</w:t>
      </w:r>
      <w:r w:rsidR="00FE27ED">
        <w:t>at</w:t>
      </w:r>
      <w:r>
        <w:t xml:space="preserve"> character seems unlikely. For what purpose would the teachings’ creator </w:t>
      </w:r>
      <w:r w:rsidR="00BD5B73">
        <w:t>invent a fictitious character (and what a character!)</w:t>
      </w:r>
      <w:r w:rsidR="00990D85">
        <w:t>?</w:t>
      </w:r>
      <w:r w:rsidR="00BD5B73">
        <w:t xml:space="preserve"> </w:t>
      </w:r>
      <w:r w:rsidR="00990D85">
        <w:t xml:space="preserve">Why </w:t>
      </w:r>
      <w:r>
        <w:t>attribute the</w:t>
      </w:r>
      <w:r w:rsidR="00BD5B73">
        <w:t xml:space="preserve"> teachings</w:t>
      </w:r>
      <w:r>
        <w:t xml:space="preserve"> to</w:t>
      </w:r>
      <w:r w:rsidR="00BD5B73">
        <w:t xml:space="preserve"> him</w:t>
      </w:r>
      <w:r>
        <w:t>? Why not present the</w:t>
      </w:r>
      <w:r w:rsidR="00BD5B73">
        <w:t xml:space="preserve"> teachings</w:t>
      </w:r>
      <w:r>
        <w:t xml:space="preserve"> as his own</w:t>
      </w:r>
      <w:r w:rsidR="006B677B">
        <w:t xml:space="preserve">? Why not present them </w:t>
      </w:r>
      <w:r>
        <w:t>anonymously?</w:t>
      </w:r>
    </w:p>
    <w:p w14:paraId="05E06F93" w14:textId="77777777" w:rsidR="00B2605E" w:rsidRDefault="00B2605E" w:rsidP="00851964"/>
    <w:p w14:paraId="22E5691A" w14:textId="1F2B80B0" w:rsidR="006B677B" w:rsidRPr="006B677B" w:rsidRDefault="006B677B" w:rsidP="006B677B">
      <w:pPr>
        <w:jc w:val="center"/>
        <w:rPr>
          <w:sz w:val="32"/>
        </w:rPr>
      </w:pPr>
      <w:r w:rsidRPr="006B677B">
        <w:rPr>
          <w:sz w:val="32"/>
        </w:rPr>
        <w:sym w:font="Wingdings" w:char="F09A"/>
      </w:r>
    </w:p>
    <w:p w14:paraId="065FAAE3" w14:textId="77777777" w:rsidR="006B677B" w:rsidRDefault="006B677B" w:rsidP="00851964"/>
    <w:p w14:paraId="0E25100E" w14:textId="4C611D8E" w:rsidR="00B2605E" w:rsidRDefault="006B677B" w:rsidP="00851964">
      <w:r>
        <w:t xml:space="preserve">My friend mentioned Josephus to his atheist </w:t>
      </w:r>
      <w:r w:rsidR="00B2605E">
        <w:t>interlocutor</w:t>
      </w:r>
      <w:r w:rsidR="00BD5B73">
        <w:t>,</w:t>
      </w:r>
      <w:r w:rsidR="00B2605E">
        <w:t xml:space="preserve"> </w:t>
      </w:r>
      <w:r>
        <w:t xml:space="preserve">noting that </w:t>
      </w:r>
      <w:r w:rsidR="00B2605E" w:rsidRPr="004A59DE">
        <w:t xml:space="preserve">Josephus </w:t>
      </w:r>
      <w:r>
        <w:t>“</w:t>
      </w:r>
      <w:r w:rsidR="00B2605E" w:rsidRPr="004A59DE">
        <w:t>wrote about Jesus some 60 years after his death.</w:t>
      </w:r>
      <w:r w:rsidR="00B2605E">
        <w:t xml:space="preserve">” </w:t>
      </w:r>
      <w:r w:rsidR="00FE27ED">
        <w:t xml:space="preserve">Since Josephus was Jewish and had no hidden agenda to promote Christianity, </w:t>
      </w:r>
      <w:r w:rsidR="00B2605E">
        <w:t>Josephus’ references to Jesus seem to add credibility to Jesus’ historicity.</w:t>
      </w:r>
    </w:p>
    <w:p w14:paraId="3EE59EA9" w14:textId="77777777" w:rsidR="00B2605E" w:rsidRDefault="00B2605E" w:rsidP="00851964"/>
    <w:p w14:paraId="0A048E5E" w14:textId="44B7A81A" w:rsidR="00B2605E" w:rsidRDefault="00B2605E" w:rsidP="00851964">
      <w:r>
        <w:t>In fact</w:t>
      </w:r>
      <w:r w:rsidR="00BD5B73">
        <w:t>,</w:t>
      </w:r>
      <w:r>
        <w:t xml:space="preserve"> </w:t>
      </w:r>
      <w:r w:rsidR="006B677B">
        <w:t xml:space="preserve">Flavius </w:t>
      </w:r>
      <w:r>
        <w:t xml:space="preserve">Josephus refers to Jesus twice. Both passages are in his </w:t>
      </w:r>
      <w:r w:rsidR="006B677B">
        <w:rPr>
          <w:i/>
          <w:iCs/>
        </w:rPr>
        <w:t xml:space="preserve">The </w:t>
      </w:r>
      <w:r>
        <w:rPr>
          <w:i/>
        </w:rPr>
        <w:t>Antiquities</w:t>
      </w:r>
      <w:r w:rsidR="006B677B">
        <w:rPr>
          <w:i/>
        </w:rPr>
        <w:t xml:space="preserve"> of the Jews</w:t>
      </w:r>
      <w:r>
        <w:t xml:space="preserve"> (c. 93-94 CE).</w:t>
      </w:r>
    </w:p>
    <w:p w14:paraId="57A1D431" w14:textId="77777777" w:rsidR="006B677B" w:rsidRDefault="006B677B" w:rsidP="00851964"/>
    <w:p w14:paraId="1A029018" w14:textId="0C37E6E7" w:rsidR="00B2605E" w:rsidRDefault="00B2605E" w:rsidP="006B677B">
      <w:pPr>
        <w:ind w:left="720" w:right="720"/>
      </w:pPr>
      <w:r>
        <w:rPr>
          <w:i/>
        </w:rPr>
        <w:lastRenderedPageBreak/>
        <w:t>Antiquities</w:t>
      </w:r>
      <w:r>
        <w:t xml:space="preserve"> 18</w:t>
      </w:r>
      <w:r w:rsidRPr="00EE170F">
        <w:t>.</w:t>
      </w:r>
      <w:r>
        <w:t>3</w:t>
      </w:r>
      <w:r w:rsidRPr="00EE170F">
        <w:t>.</w:t>
      </w:r>
      <w:r>
        <w:t xml:space="preserve">3: </w:t>
      </w:r>
      <w:r w:rsidRPr="001C655E">
        <w:t>“Now there was about this time Jesus, a wise man, if it be lawful to call him a man. For he was a doer of wonderful works, a teacher of such men as receive the truth with pleasure. He drew over to him both many of the Jews and many of the Gentiles. He was the Messiah; and when Pilate, at the suggestion of the principal men among us, had condemned him to the cross, those that loved him at the first ceased not [so to do], for he appeared to them alive again the third day, as the divine Prophets had foretold these and ten thousand other wonderful things concerning him; and the race of Christians, so named for him, are not extinct even now.”</w:t>
      </w:r>
      <w:r w:rsidR="006B677B">
        <w:rPr>
          <w:rStyle w:val="FootnoteReference"/>
        </w:rPr>
        <w:footnoteReference w:id="6"/>
      </w:r>
    </w:p>
    <w:p w14:paraId="6F5E9E97" w14:textId="77777777" w:rsidR="00B2605E" w:rsidRDefault="00B2605E" w:rsidP="00851964"/>
    <w:p w14:paraId="1BF6F7B3" w14:textId="15D57846" w:rsidR="00B2605E" w:rsidRDefault="00B2605E" w:rsidP="006B677B">
      <w:pPr>
        <w:ind w:left="720" w:right="720"/>
      </w:pPr>
      <w:r>
        <w:rPr>
          <w:i/>
        </w:rPr>
        <w:t>Antiquities</w:t>
      </w:r>
      <w:r>
        <w:t xml:space="preserve"> 20</w:t>
      </w:r>
      <w:r w:rsidRPr="00EE170F">
        <w:t>.</w:t>
      </w:r>
      <w:r>
        <w:t>9</w:t>
      </w:r>
      <w:r w:rsidRPr="00EE170F">
        <w:t>.</w:t>
      </w:r>
      <w:r>
        <w:t>1: “Ananias called a Sanhedrin together</w:t>
      </w:r>
      <w:r w:rsidRPr="00EE170F">
        <w:t>,</w:t>
      </w:r>
      <w:r>
        <w:t xml:space="preserve"> brought before it James</w:t>
      </w:r>
      <w:r w:rsidRPr="00EE170F">
        <w:t>,</w:t>
      </w:r>
      <w:r>
        <w:t xml:space="preserve"> the brother of Jesus who was called the Christ</w:t>
      </w:r>
      <w:r w:rsidRPr="00EE170F">
        <w:t>,</w:t>
      </w:r>
      <w:r>
        <w:t xml:space="preserve"> and certain others </w:t>
      </w:r>
      <w:r w:rsidRPr="00EE170F">
        <w:t xml:space="preserve">. . . </w:t>
      </w:r>
      <w:r>
        <w:t>and he caused them to be stoned</w:t>
      </w:r>
      <w:r w:rsidRPr="00EE170F">
        <w:t>.</w:t>
      </w:r>
      <w:r>
        <w:t>” (Ibid.)</w:t>
      </w:r>
    </w:p>
    <w:p w14:paraId="6C8956C8" w14:textId="77777777" w:rsidR="00B2605E" w:rsidRDefault="00B2605E" w:rsidP="00851964"/>
    <w:p w14:paraId="6BD31ECE" w14:textId="73D4168A" w:rsidR="00B2605E" w:rsidRDefault="00B2605E" w:rsidP="00851964">
      <w:r>
        <w:t xml:space="preserve">The problem with using Josephus’s references to Jesus as proof of Jesus’ existence is that they might be later interpolations by Christians. (After all, </w:t>
      </w:r>
      <w:r w:rsidR="00FE27ED">
        <w:t xml:space="preserve">as </w:t>
      </w:r>
      <w:r>
        <w:t xml:space="preserve">the Roman Empire </w:t>
      </w:r>
      <w:r w:rsidR="00FE27ED">
        <w:t xml:space="preserve">became increasingly </w:t>
      </w:r>
      <w:r>
        <w:t xml:space="preserve">Christian, it was </w:t>
      </w:r>
      <w:r w:rsidR="00FE27ED">
        <w:t xml:space="preserve">increasingly </w:t>
      </w:r>
      <w:r>
        <w:t xml:space="preserve">Christian scribes who transmitted Josephus’ writings to us.) Klausner (himself Jewish) thought that the italicized words in </w:t>
      </w:r>
      <w:r>
        <w:rPr>
          <w:i/>
        </w:rPr>
        <w:t>Antiquities</w:t>
      </w:r>
      <w:r>
        <w:t xml:space="preserve"> 18</w:t>
      </w:r>
      <w:r w:rsidRPr="00EE170F">
        <w:t>.</w:t>
      </w:r>
      <w:r>
        <w:t>3</w:t>
      </w:r>
      <w:r w:rsidRPr="00EE170F">
        <w:t>.</w:t>
      </w:r>
      <w:r>
        <w:t xml:space="preserve">3 </w:t>
      </w:r>
      <w:r w:rsidR="00F76F24">
        <w:t xml:space="preserve">as quoted </w:t>
      </w:r>
      <w:r w:rsidR="00BD5B73">
        <w:t xml:space="preserve">below </w:t>
      </w:r>
      <w:r>
        <w:t>might be later additions</w:t>
      </w:r>
      <w:r w:rsidR="00BD5B73">
        <w:t>.</w:t>
      </w:r>
    </w:p>
    <w:p w14:paraId="6215B627" w14:textId="77777777" w:rsidR="006B677B" w:rsidRDefault="006B677B" w:rsidP="00851964"/>
    <w:p w14:paraId="620A0485" w14:textId="28007849" w:rsidR="00B2605E" w:rsidRDefault="00B2605E" w:rsidP="006B677B">
      <w:pPr>
        <w:ind w:left="720" w:right="720"/>
      </w:pPr>
      <w:r>
        <w:t>Now there was about this time Jesus</w:t>
      </w:r>
      <w:r w:rsidRPr="00EE170F">
        <w:t>,</w:t>
      </w:r>
      <w:r>
        <w:t xml:space="preserve"> a wise man</w:t>
      </w:r>
      <w:r w:rsidRPr="00EE170F">
        <w:t>,</w:t>
      </w:r>
      <w:r>
        <w:t xml:space="preserve"> </w:t>
      </w:r>
      <w:r>
        <w:rPr>
          <w:i/>
        </w:rPr>
        <w:t>if it be lawful to call him a man</w:t>
      </w:r>
      <w:r w:rsidRPr="00EE170F">
        <w:rPr>
          <w:iCs/>
        </w:rPr>
        <w:t xml:space="preserve">. </w:t>
      </w:r>
      <w:r>
        <w:t>For he was a doer of wonderful works</w:t>
      </w:r>
      <w:r w:rsidRPr="00EE170F">
        <w:t>,</w:t>
      </w:r>
      <w:r>
        <w:t xml:space="preserve"> a teacher of such men as receive the truth with pleasure</w:t>
      </w:r>
      <w:r w:rsidRPr="00EE170F">
        <w:t xml:space="preserve">. </w:t>
      </w:r>
      <w:r>
        <w:t>He drew over to him both many of the Jews and many of the Gentiles</w:t>
      </w:r>
      <w:r w:rsidRPr="00EE170F">
        <w:t xml:space="preserve">. </w:t>
      </w:r>
      <w:r>
        <w:rPr>
          <w:i/>
        </w:rPr>
        <w:t>He was the Messiah</w:t>
      </w:r>
      <w:r w:rsidRPr="00EE170F">
        <w:t xml:space="preserve">; </w:t>
      </w:r>
      <w:r>
        <w:t>and when Pilate</w:t>
      </w:r>
      <w:r w:rsidRPr="00EE170F">
        <w:t>,</w:t>
      </w:r>
      <w:r>
        <w:t xml:space="preserve"> at the suggestion of the principal men among us</w:t>
      </w:r>
      <w:r w:rsidRPr="00EE170F">
        <w:t>,</w:t>
      </w:r>
      <w:r>
        <w:t xml:space="preserve"> had condemned him to the cross</w:t>
      </w:r>
      <w:r w:rsidRPr="00EE170F">
        <w:t>,</w:t>
      </w:r>
      <w:r>
        <w:t xml:space="preserve"> those that loved him at the first ceased not</w:t>
      </w:r>
      <w:r w:rsidRPr="00EE170F">
        <w:t xml:space="preserve"> [</w:t>
      </w:r>
      <w:r>
        <w:t>so to do</w:t>
      </w:r>
      <w:r w:rsidRPr="00EE170F">
        <w:t>],</w:t>
      </w:r>
      <w:r>
        <w:t xml:space="preserve"> </w:t>
      </w:r>
      <w:r>
        <w:rPr>
          <w:i/>
        </w:rPr>
        <w:t>for he appeared to them alive again the third day</w:t>
      </w:r>
      <w:r w:rsidRPr="00EE170F">
        <w:t>,</w:t>
      </w:r>
      <w:r>
        <w:t xml:space="preserve"> </w:t>
      </w:r>
      <w:r>
        <w:rPr>
          <w:i/>
        </w:rPr>
        <w:t>as the divine Prophets had foretold these and ten thousand other wonderful things concerning him</w:t>
      </w:r>
      <w:r w:rsidRPr="00EE170F">
        <w:t xml:space="preserve">; </w:t>
      </w:r>
      <w:r>
        <w:t>and the race of Christians</w:t>
      </w:r>
      <w:r w:rsidRPr="00EE170F">
        <w:t>,</w:t>
      </w:r>
      <w:r>
        <w:t xml:space="preserve"> so named for him</w:t>
      </w:r>
      <w:r w:rsidRPr="00EE170F">
        <w:t>,</w:t>
      </w:r>
      <w:r>
        <w:t xml:space="preserve"> are not extinct even now</w:t>
      </w:r>
      <w:r w:rsidRPr="00EE170F">
        <w:t>.</w:t>
      </w:r>
      <w:r>
        <w:t xml:space="preserve"> (Ibid.)</w:t>
      </w:r>
    </w:p>
    <w:p w14:paraId="0C62C641" w14:textId="77777777" w:rsidR="006B677B" w:rsidRDefault="006B677B" w:rsidP="00851964"/>
    <w:p w14:paraId="4235C62A" w14:textId="704B9319" w:rsidR="006B677B" w:rsidRPr="006B677B" w:rsidRDefault="006B677B" w:rsidP="006B677B">
      <w:pPr>
        <w:jc w:val="center"/>
        <w:rPr>
          <w:sz w:val="32"/>
        </w:rPr>
      </w:pPr>
      <w:r w:rsidRPr="006B677B">
        <w:rPr>
          <w:sz w:val="32"/>
        </w:rPr>
        <w:sym w:font="Wingdings" w:char="F09A"/>
      </w:r>
    </w:p>
    <w:p w14:paraId="32E0ACA2" w14:textId="77777777" w:rsidR="006B677B" w:rsidRDefault="006B677B" w:rsidP="00851964"/>
    <w:p w14:paraId="31879928" w14:textId="390236B8" w:rsidR="00B2605E" w:rsidRDefault="006B677B" w:rsidP="00851964">
      <w:r>
        <w:t xml:space="preserve">The atheist interlocutor also </w:t>
      </w:r>
      <w:r w:rsidR="00B2605E">
        <w:t>“</w:t>
      </w:r>
      <w:r w:rsidR="00B2605E" w:rsidRPr="004A59DE">
        <w:t>argued that there is more historical evidence for the existence of Julius Caesar than for Christ.</w:t>
      </w:r>
      <w:r w:rsidR="00B2605E">
        <w:t>”</w:t>
      </w:r>
    </w:p>
    <w:p w14:paraId="3A0B68A7" w14:textId="77777777" w:rsidR="00B2605E" w:rsidRDefault="00B2605E" w:rsidP="00851964"/>
    <w:p w14:paraId="62BA8F54" w14:textId="6D5EE751" w:rsidR="00B2605E" w:rsidRDefault="00B2605E" w:rsidP="00851964">
      <w:r>
        <w:t>I suspect he</w:t>
      </w:r>
      <w:r w:rsidR="00BD5B73">
        <w:t xml:space="preserve"> i</w:t>
      </w:r>
      <w:r>
        <w:t xml:space="preserve">s right. There’s also more evidence for the actual historical existence of </w:t>
      </w:r>
      <w:r w:rsidR="006B677B">
        <w:t xml:space="preserve">my friend </w:t>
      </w:r>
      <w:r>
        <w:t xml:space="preserve">Mark Tish than there is for Jesus. </w:t>
      </w:r>
      <w:r w:rsidR="00F76F24">
        <w:t xml:space="preserve">(The IRS has Mark’s Social Security number and past tax returns; tech giants have been tracking him for years.) </w:t>
      </w:r>
      <w:r>
        <w:t xml:space="preserve">There’s also more evidence for the actual historical existence of Mark Tish than there is for George Washington. The existence of greater evidence for person B compared to person A does not really affect the assessment of the historicity of </w:t>
      </w:r>
      <w:r w:rsidR="00F76F24">
        <w:t>p</w:t>
      </w:r>
      <w:r>
        <w:t>erson A.</w:t>
      </w:r>
    </w:p>
    <w:p w14:paraId="2A19805B" w14:textId="77777777" w:rsidR="00B2605E" w:rsidRDefault="00B2605E" w:rsidP="00851964"/>
    <w:p w14:paraId="4FF602AC" w14:textId="5FA37116" w:rsidR="006B677B" w:rsidRPr="006B677B" w:rsidRDefault="006B677B" w:rsidP="006B677B">
      <w:pPr>
        <w:jc w:val="center"/>
        <w:rPr>
          <w:sz w:val="32"/>
        </w:rPr>
      </w:pPr>
      <w:r w:rsidRPr="006B677B">
        <w:rPr>
          <w:sz w:val="32"/>
        </w:rPr>
        <w:sym w:font="Wingdings" w:char="F09A"/>
      </w:r>
    </w:p>
    <w:p w14:paraId="1918989D" w14:textId="77777777" w:rsidR="006B677B" w:rsidRDefault="006B677B" w:rsidP="00851964"/>
    <w:p w14:paraId="2F5DD9AF" w14:textId="5B03F1EB" w:rsidR="00B2605E" w:rsidRDefault="00B2605E" w:rsidP="00851964">
      <w:r>
        <w:lastRenderedPageBreak/>
        <w:t xml:space="preserve">I would like to add </w:t>
      </w:r>
      <w:r w:rsidR="00F02C49">
        <w:t xml:space="preserve">a final </w:t>
      </w:r>
      <w:r>
        <w:t>consideration.</w:t>
      </w:r>
    </w:p>
    <w:p w14:paraId="3E74D203" w14:textId="77777777" w:rsidR="00B2605E" w:rsidRDefault="00B2605E" w:rsidP="00851964"/>
    <w:p w14:paraId="636EA088" w14:textId="20F3EA53" w:rsidR="00A115C1" w:rsidRDefault="00A115C1" w:rsidP="00A115C1">
      <w:r>
        <w:t>A fair number of events and teachings that appear in the gospels (written c. 70-100) are already mentioned in Paul’s letters (written c. 51-64). Mention of gospel deeds and words in Paul brings the evidence for those events and teachings down into the period of oral tradition. The gap between Jesus (c. 30-33 CE) and record</w:t>
      </w:r>
      <w:r w:rsidR="00962150">
        <w:t>s</w:t>
      </w:r>
      <w:r>
        <w:t xml:space="preserve"> </w:t>
      </w:r>
      <w:r w:rsidR="00962150">
        <w:t xml:space="preserve">of him </w:t>
      </w:r>
      <w:r>
        <w:t>is now not 40-70 years (the gospels) but 20-</w:t>
      </w:r>
      <w:r w:rsidR="00E13FDA">
        <w:t>35</w:t>
      </w:r>
      <w:r>
        <w:t xml:space="preserve"> years (Paul’s letters).</w:t>
      </w:r>
      <w:r w:rsidR="003507C2">
        <w:rPr>
          <w:rStyle w:val="FootnoteReference"/>
        </w:rPr>
        <w:footnoteReference w:id="7"/>
      </w:r>
    </w:p>
    <w:p w14:paraId="2611624A" w14:textId="77777777" w:rsidR="00A115C1" w:rsidRDefault="00A115C1" w:rsidP="00A115C1"/>
    <w:p w14:paraId="2A08D177" w14:textId="0416BDEF" w:rsidR="00A115C1" w:rsidRDefault="00A115C1" w:rsidP="00851964">
      <w:r>
        <w:t xml:space="preserve">Of events in Jesus’ life, Paul </w:t>
      </w:r>
      <w:r w:rsidR="00E13FDA">
        <w:t>does not mention Jesus’ miracles</w:t>
      </w:r>
      <w:r w:rsidR="00BB2E00">
        <w:t xml:space="preserve">. </w:t>
      </w:r>
      <w:r w:rsidR="00962150">
        <w:t>He f</w:t>
      </w:r>
      <w:r>
        <w:t>ocus</w:t>
      </w:r>
      <w:r w:rsidR="00962150">
        <w:t>es</w:t>
      </w:r>
      <w:r>
        <w:t xml:space="preserve"> </w:t>
      </w:r>
      <w:r w:rsidR="00BD5B73">
        <w:t xml:space="preserve">instead </w:t>
      </w:r>
      <w:r>
        <w:t xml:space="preserve">on the </w:t>
      </w:r>
      <w:r w:rsidR="00BB2E00">
        <w:rPr>
          <w:rStyle w:val="t286pc"/>
        </w:rPr>
        <w:t xml:space="preserve">theological significance of </w:t>
      </w:r>
      <w:r>
        <w:t xml:space="preserve">major events </w:t>
      </w:r>
      <w:r w:rsidR="00962150">
        <w:t>in</w:t>
      </w:r>
      <w:r>
        <w:t xml:space="preserve"> Jesus’ life</w:t>
      </w:r>
      <w:r w:rsidR="00BB2E00">
        <w:t>.</w:t>
      </w:r>
    </w:p>
    <w:p w14:paraId="60B7B2E8" w14:textId="77777777" w:rsidR="00BB2E00" w:rsidRDefault="00BB2E00" w:rsidP="00851964"/>
    <w:p w14:paraId="34EC3AF1" w14:textId="1DBB07D5" w:rsidR="00A115C1" w:rsidRDefault="00A115C1" w:rsidP="00E13FDA">
      <w:pPr>
        <w:tabs>
          <w:tab w:val="left" w:pos="1800"/>
        </w:tabs>
        <w:ind w:left="360"/>
      </w:pPr>
      <w:r>
        <w:t>birth</w:t>
      </w:r>
      <w:r>
        <w:tab/>
        <w:t>Rom 1:3;</w:t>
      </w:r>
      <w:r w:rsidR="00E13FDA">
        <w:t xml:space="preserve"> 8:3;</w:t>
      </w:r>
      <w:r>
        <w:t xml:space="preserve"> Gal 4:4</w:t>
      </w:r>
      <w:r w:rsidR="00E13FDA">
        <w:t>; Phil 2:7</w:t>
      </w:r>
    </w:p>
    <w:p w14:paraId="4FA41F39" w14:textId="2B283A57" w:rsidR="00A115C1" w:rsidRDefault="00A115C1" w:rsidP="00E13FDA">
      <w:pPr>
        <w:tabs>
          <w:tab w:val="left" w:pos="1800"/>
        </w:tabs>
        <w:ind w:left="360"/>
      </w:pPr>
      <w:r>
        <w:t>death</w:t>
      </w:r>
      <w:r>
        <w:tab/>
      </w:r>
      <w:r w:rsidR="00E13FDA" w:rsidRPr="004478A9">
        <w:t>Rom 5:8</w:t>
      </w:r>
      <w:r w:rsidR="00E13FDA">
        <w:t xml:space="preserve">; 6:3-10; </w:t>
      </w:r>
      <w:r w:rsidR="00E13FDA" w:rsidRPr="004478A9">
        <w:t xml:space="preserve">1 Cor </w:t>
      </w:r>
      <w:r w:rsidR="00E13FDA">
        <w:t xml:space="preserve">2:2; </w:t>
      </w:r>
      <w:r w:rsidR="00E13FDA" w:rsidRPr="004478A9">
        <w:t>15:3-4</w:t>
      </w:r>
      <w:r w:rsidR="00E13FDA">
        <w:t xml:space="preserve">; </w:t>
      </w:r>
      <w:r w:rsidR="00E13FDA" w:rsidRPr="004478A9">
        <w:t>Gal 2:20</w:t>
      </w:r>
      <w:r w:rsidR="00E13FDA">
        <w:t xml:space="preserve">; </w:t>
      </w:r>
      <w:r w:rsidR="00E13FDA" w:rsidRPr="004478A9">
        <w:t>Phil 2:8</w:t>
      </w:r>
    </w:p>
    <w:p w14:paraId="55ABE732" w14:textId="4152EBC7" w:rsidR="00A115C1" w:rsidRDefault="00A115C1" w:rsidP="00E13FDA">
      <w:pPr>
        <w:tabs>
          <w:tab w:val="left" w:pos="1800"/>
        </w:tabs>
        <w:ind w:left="360"/>
      </w:pPr>
      <w:r>
        <w:t>resurrection</w:t>
      </w:r>
      <w:r>
        <w:tab/>
      </w:r>
      <w:r w:rsidR="00E13FDA">
        <w:t>Rom 1:4; 6:4-9; 1 Cor 15:3–8; Gal 1:1; Phil 3:10-11; 1 Thess 1:10</w:t>
      </w:r>
    </w:p>
    <w:p w14:paraId="649833E8" w14:textId="252C18C5" w:rsidR="00A115C1" w:rsidRDefault="00A115C1" w:rsidP="00E13FDA">
      <w:pPr>
        <w:tabs>
          <w:tab w:val="left" w:pos="1800"/>
        </w:tabs>
        <w:ind w:left="360"/>
      </w:pPr>
      <w:r>
        <w:t>ascension</w:t>
      </w:r>
      <w:r>
        <w:tab/>
      </w:r>
      <w:r w:rsidRPr="00A115C1">
        <w:t>Eph 4:8-10</w:t>
      </w:r>
      <w:r>
        <w:t xml:space="preserve">; </w:t>
      </w:r>
      <w:r w:rsidRPr="00A115C1">
        <w:t>Phil 2:9-11</w:t>
      </w:r>
      <w:r>
        <w:t xml:space="preserve">; </w:t>
      </w:r>
      <w:r w:rsidRPr="00A115C1">
        <w:t xml:space="preserve"> Col 3:1</w:t>
      </w:r>
    </w:p>
    <w:p w14:paraId="759BEDE1" w14:textId="77777777" w:rsidR="00A115C1" w:rsidRDefault="00A115C1" w:rsidP="00851964"/>
    <w:p w14:paraId="6BDDC341" w14:textId="675ED06D" w:rsidR="00BB2E00" w:rsidRDefault="00BB2E00" w:rsidP="00851964">
      <w:r>
        <w:t>But Paul contains echoes of several of Jesus’ distinctive teachings.</w:t>
      </w:r>
    </w:p>
    <w:p w14:paraId="2673292B" w14:textId="77777777" w:rsidR="00BB2E00" w:rsidRDefault="00BB2E00" w:rsidP="00851964"/>
    <w:p w14:paraId="196E439F" w14:textId="77777777" w:rsidR="00BB2E00" w:rsidRDefault="00B2605E" w:rsidP="00851964">
      <w:r>
        <w:t>kingdom of God</w:t>
      </w:r>
    </w:p>
    <w:p w14:paraId="20C7FDB5" w14:textId="1A40D4B2" w:rsidR="00BB2E00" w:rsidRDefault="00BB2E00" w:rsidP="00BB2E00">
      <w:pPr>
        <w:ind w:left="360"/>
      </w:pPr>
      <w:r>
        <w:t xml:space="preserve">Jesus refers to the kingdom of God </w:t>
      </w:r>
      <w:r w:rsidR="00962150">
        <w:t xml:space="preserve">many </w:t>
      </w:r>
      <w:r>
        <w:t>times. (E.g., a number of parables begin, “The kingdom of God is like . . .”)</w:t>
      </w:r>
    </w:p>
    <w:p w14:paraId="1F5A36AB" w14:textId="7922CC0C" w:rsidR="00BB2E00" w:rsidRDefault="00BB2E00" w:rsidP="00BB2E00">
      <w:pPr>
        <w:ind w:left="360"/>
      </w:pPr>
      <w:r>
        <w:t>Paul uses “kingdom of God” about a dozen times</w:t>
      </w:r>
      <w:r w:rsidRPr="00083C53">
        <w:t xml:space="preserve"> (Wenham 71)</w:t>
      </w:r>
      <w:r>
        <w:t xml:space="preserve">. (E.g.: </w:t>
      </w:r>
      <w:r w:rsidRPr="00BB2E00">
        <w:t>Rom 14:17</w:t>
      </w:r>
      <w:r>
        <w:t>;</w:t>
      </w:r>
      <w:r w:rsidRPr="00BB2E00">
        <w:t xml:space="preserve"> 1 Cor 6:9-10</w:t>
      </w:r>
      <w:r>
        <w:t>;</w:t>
      </w:r>
      <w:r w:rsidRPr="00BB2E00">
        <w:t xml:space="preserve"> 15:50</w:t>
      </w:r>
      <w:r>
        <w:t>;</w:t>
      </w:r>
      <w:r w:rsidRPr="00BB2E00">
        <w:t xml:space="preserve"> Gal 5:21</w:t>
      </w:r>
      <w:r>
        <w:t>;</w:t>
      </w:r>
      <w:r w:rsidRPr="00BB2E00">
        <w:t xml:space="preserve"> Col 4:11</w:t>
      </w:r>
      <w:r>
        <w:t>;</w:t>
      </w:r>
      <w:r w:rsidRPr="00BB2E00">
        <w:t xml:space="preserve"> 2 Thess 1:5</w:t>
      </w:r>
      <w:r>
        <w:t>.) Some of Paul’s</w:t>
      </w:r>
      <w:r w:rsidRPr="00083C53">
        <w:t xml:space="preserve"> sayings </w:t>
      </w:r>
      <w:r>
        <w:t>“</w:t>
      </w:r>
      <w:r w:rsidRPr="00083C53">
        <w:t>are thematically akin to Jesus’ kingdom sayings” (Wenham 73)</w:t>
      </w:r>
      <w:r>
        <w:t>.</w:t>
      </w:r>
    </w:p>
    <w:p w14:paraId="5CE0D21C" w14:textId="3A133960" w:rsidR="00B2605E" w:rsidRDefault="00BB2E00" w:rsidP="00BB2E00">
      <w:pPr>
        <w:ind w:left="360"/>
      </w:pPr>
      <w:r>
        <w:t>Also, i</w:t>
      </w:r>
      <w:r w:rsidR="00B2605E">
        <w:t>n 1 Cor 6:9a (</w:t>
      </w:r>
      <w:r w:rsidR="00B2605E" w:rsidRPr="0012457F">
        <w:rPr>
          <w:szCs w:val="22"/>
        </w:rPr>
        <w:t>“</w:t>
      </w:r>
      <w:r w:rsidR="00B2605E" w:rsidRPr="00462DCE">
        <w:rPr>
          <w:color w:val="000000"/>
          <w:szCs w:val="24"/>
          <w:lang w:bidi="he-IL"/>
        </w:rPr>
        <w:t>Do you not know</w:t>
      </w:r>
      <w:r w:rsidR="00B2605E" w:rsidRPr="0012457F">
        <w:rPr>
          <w:color w:val="000000"/>
          <w:szCs w:val="24"/>
          <w:lang w:bidi="he-IL"/>
        </w:rPr>
        <w:t xml:space="preserve"> that wrongdoers will not inherit the kingdom of God?</w:t>
      </w:r>
      <w:r w:rsidR="00B2605E">
        <w:rPr>
          <w:color w:val="000000"/>
          <w:szCs w:val="24"/>
          <w:lang w:bidi="he-IL"/>
        </w:rPr>
        <w:t xml:space="preserve">”), “Do you not know” could be a </w:t>
      </w:r>
      <w:r w:rsidR="00B2605E" w:rsidRPr="00083C53">
        <w:t>“tradition indicator</w:t>
      </w:r>
      <w:r w:rsidR="00B2605E">
        <w:t>,</w:t>
      </w:r>
      <w:r>
        <w:t xml:space="preserve"> . . . </w:t>
      </w:r>
      <w:r w:rsidR="00B2605E" w:rsidRPr="00083C53">
        <w:t>suggesting that Paul is referring to known tradition when he refers to the kingdom” (Wenham 74)</w:t>
      </w:r>
      <w:r>
        <w:t>.</w:t>
      </w:r>
    </w:p>
    <w:p w14:paraId="37E96C6A" w14:textId="77777777" w:rsidR="00B2605E" w:rsidRDefault="00B2605E" w:rsidP="00851964"/>
    <w:p w14:paraId="18A3D5E0" w14:textId="20E4939C" w:rsidR="00BB2E00" w:rsidRDefault="00BB2E00" w:rsidP="00851964">
      <w:r>
        <w:t>eating with sinners</w:t>
      </w:r>
    </w:p>
    <w:p w14:paraId="6A47F21F" w14:textId="4366C782" w:rsidR="00BB2E00" w:rsidRDefault="00B2605E" w:rsidP="00BB2E00">
      <w:pPr>
        <w:ind w:left="360"/>
      </w:pPr>
      <w:r>
        <w:t>Jesus’ “</w:t>
      </w:r>
      <w:r w:rsidRPr="00E12DDF">
        <w:t>mixing and eating with sinful people</w:t>
      </w:r>
      <w:r>
        <w:t xml:space="preserve"> [was unlike] </w:t>
      </w:r>
      <w:r w:rsidRPr="00E12DDF">
        <w:t>similar religiou</w:t>
      </w:r>
      <w:r>
        <w:t>s leaders” (Wenham 44)</w:t>
      </w:r>
      <w:r w:rsidR="00BB2E00">
        <w:t>.</w:t>
      </w:r>
    </w:p>
    <w:p w14:paraId="144AA184" w14:textId="4B72423F" w:rsidR="00307288" w:rsidRDefault="00BB2E00" w:rsidP="00962150">
      <w:pPr>
        <w:ind w:left="360"/>
      </w:pPr>
      <w:r w:rsidRPr="009A67AC">
        <w:t xml:space="preserve">Paul </w:t>
      </w:r>
      <w:r>
        <w:t>applies this teaching</w:t>
      </w:r>
      <w:r w:rsidR="00962150">
        <w:t xml:space="preserve"> by Jesus</w:t>
      </w:r>
      <w:r>
        <w:t>.</w:t>
      </w:r>
      <w:r w:rsidRPr="009A67AC">
        <w:t xml:space="preserve"> </w:t>
      </w:r>
      <w:r w:rsidR="00B2605E">
        <w:t>In Gal 2:11-14, Paul upbraids Peter and other Jewish Christians for refusing to eat with Gentile Christians.</w:t>
      </w:r>
      <w:r w:rsidR="00962150">
        <w:t xml:space="preserve"> Paul himself had trouble </w:t>
      </w:r>
      <w:r w:rsidR="0050550B">
        <w:t xml:space="preserve">not seeing </w:t>
      </w:r>
      <w:r w:rsidR="00962150">
        <w:t xml:space="preserve">gentiles </w:t>
      </w:r>
      <w:r w:rsidR="0050550B">
        <w:t>as per se sinners</w:t>
      </w:r>
      <w:r w:rsidR="00962150">
        <w:t xml:space="preserve"> </w:t>
      </w:r>
      <w:r w:rsidR="0050550B">
        <w:t>(</w:t>
      </w:r>
      <w:r w:rsidR="00962150">
        <w:t>Gal 2:15, “</w:t>
      </w:r>
      <w:r w:rsidR="00962150">
        <w:t>We ourselves are Jews by birth and not gentile sinners</w:t>
      </w:r>
      <w:r w:rsidR="00962150">
        <w:t xml:space="preserve"> . . .”)</w:t>
      </w:r>
      <w:r w:rsidR="0050550B">
        <w:t xml:space="preserve"> But he insisted that Jewish converts mix and eat with gentile converts.</w:t>
      </w:r>
      <w:r w:rsidR="00962150">
        <w:t xml:space="preserve"> </w:t>
      </w:r>
      <w:r w:rsidR="00B2605E">
        <w:t>Gal 2:14</w:t>
      </w:r>
      <w:r w:rsidR="00962150">
        <w:t>:</w:t>
      </w:r>
      <w:r w:rsidR="00B2605E">
        <w:t xml:space="preserve"> “But when I saw that they were not acting consistently with the truth of the gospel</w:t>
      </w:r>
      <w:r w:rsidR="004C15CD">
        <w:t xml:space="preserve"> [</w:t>
      </w:r>
      <w:r w:rsidR="00E00DFA">
        <w:t xml:space="preserve">Jesus’ </w:t>
      </w:r>
      <w:r>
        <w:t>willingness to eat with sinners</w:t>
      </w:r>
      <w:r w:rsidR="004C15CD">
        <w:t>]</w:t>
      </w:r>
      <w:r w:rsidR="00B2605E">
        <w:t xml:space="preserve">, I said to Cephas </w:t>
      </w:r>
      <w:r w:rsidR="00E00DFA">
        <w:t xml:space="preserve">[i.e., Peter] </w:t>
      </w:r>
      <w:r w:rsidR="00B2605E">
        <w:t xml:space="preserve">before them all, “If you, though a Jew, live like a gentile and not like a Jew [Peter and the other </w:t>
      </w:r>
      <w:r>
        <w:t xml:space="preserve">Jewish Christians </w:t>
      </w:r>
      <w:r w:rsidR="00B2605E">
        <w:t>had previously eaten with gentiles], how can you compel the gentiles to live like Jews?””</w:t>
      </w:r>
      <w:r w:rsidR="00307288">
        <w:t xml:space="preserve"> As Paul says (Gal 2:11), “I opposed him [Peter] to his face because he stood self-condemned . . .”</w:t>
      </w:r>
    </w:p>
    <w:p w14:paraId="0803F98B" w14:textId="77777777" w:rsidR="00B2605E" w:rsidRDefault="00B2605E" w:rsidP="00851964"/>
    <w:p w14:paraId="351A2424" w14:textId="75C6B3F7" w:rsidR="00307288" w:rsidRDefault="00307288" w:rsidP="00851964">
      <w:r>
        <w:t>radical inclusiveness</w:t>
      </w:r>
    </w:p>
    <w:p w14:paraId="7D57D051" w14:textId="41C89B27" w:rsidR="00BB2E00" w:rsidRDefault="00B2605E" w:rsidP="00307288">
      <w:pPr>
        <w:ind w:left="360"/>
      </w:pPr>
      <w:r w:rsidRPr="009A67AC">
        <w:lastRenderedPageBreak/>
        <w:t>Jesus “taught and practiced</w:t>
      </w:r>
      <w:r w:rsidR="00E00DFA">
        <w:t xml:space="preserve"> . . . </w:t>
      </w:r>
      <w:r w:rsidRPr="009A67AC">
        <w:t>welcoming the outsider (including the Samaritan), loving the enemy, and breaking down the old taboos and divisions that were so strong in his society” (Wenham 45)</w:t>
      </w:r>
      <w:r w:rsidR="006B677B">
        <w:t>.</w:t>
      </w:r>
    </w:p>
    <w:p w14:paraId="1B88EE4A" w14:textId="1713E0D2" w:rsidR="00B2605E" w:rsidRPr="009A67AC" w:rsidRDefault="00307288" w:rsidP="00307288">
      <w:pPr>
        <w:ind w:left="360"/>
        <w:rPr>
          <w:szCs w:val="18"/>
        </w:rPr>
      </w:pPr>
      <w:r>
        <w:t xml:space="preserve">Paul is faithful to Jesus’ </w:t>
      </w:r>
      <w:r w:rsidR="00BB2E00">
        <w:t>radical inclusiv</w:t>
      </w:r>
      <w:r>
        <w:t>ity</w:t>
      </w:r>
      <w:r w:rsidR="00BB2E00">
        <w:t xml:space="preserve">. </w:t>
      </w:r>
      <w:r w:rsidR="004C15CD">
        <w:t>E.g.,</w:t>
      </w:r>
      <w:r w:rsidR="00B2605E">
        <w:t xml:space="preserve"> </w:t>
      </w:r>
      <w:r w:rsidR="00B2605E" w:rsidRPr="009A67AC">
        <w:rPr>
          <w:szCs w:val="18"/>
        </w:rPr>
        <w:t>Rom 5:8-10</w:t>
      </w:r>
      <w:r w:rsidR="004C15CD">
        <w:rPr>
          <w:szCs w:val="18"/>
        </w:rPr>
        <w:t>:</w:t>
      </w:r>
      <w:r>
        <w:rPr>
          <w:szCs w:val="18"/>
        </w:rPr>
        <w:t>,</w:t>
      </w:r>
      <w:r w:rsidR="00B2605E" w:rsidRPr="009A67AC">
        <w:rPr>
          <w:szCs w:val="18"/>
        </w:rPr>
        <w:t xml:space="preserve"> “But God proves his love for us in that while we still were sinners Christ died for us.</w:t>
      </w:r>
      <w:r w:rsidR="00B2605E">
        <w:rPr>
          <w:szCs w:val="18"/>
        </w:rPr>
        <w:t xml:space="preserve"> . . .</w:t>
      </w:r>
      <w:r w:rsidR="00B2605E" w:rsidRPr="009A67AC">
        <w:rPr>
          <w:szCs w:val="18"/>
        </w:rPr>
        <w:t xml:space="preserve"> </w:t>
      </w:r>
      <w:r w:rsidR="00B2605E" w:rsidRPr="009A67AC">
        <w:rPr>
          <w:szCs w:val="18"/>
          <w:vertAlign w:val="superscript"/>
        </w:rPr>
        <w:t>10</w:t>
      </w:r>
      <w:r w:rsidR="00B2605E">
        <w:rPr>
          <w:szCs w:val="18"/>
        </w:rPr>
        <w:t xml:space="preserve"> . . . w</w:t>
      </w:r>
      <w:r w:rsidR="00B2605E" w:rsidRPr="009A67AC">
        <w:rPr>
          <w:szCs w:val="18"/>
        </w:rPr>
        <w:t xml:space="preserve">hile we were enemies we were reconciled to God </w:t>
      </w:r>
      <w:r w:rsidR="00B2605E">
        <w:rPr>
          <w:szCs w:val="18"/>
        </w:rPr>
        <w:t>. . .”</w:t>
      </w:r>
      <w:r w:rsidR="00F80FDA">
        <w:rPr>
          <w:szCs w:val="18"/>
        </w:rPr>
        <w:t xml:space="preserve"> </w:t>
      </w:r>
      <w:r w:rsidR="0050550B">
        <w:rPr>
          <w:szCs w:val="18"/>
        </w:rPr>
        <w:t xml:space="preserve">Paul urged helping </w:t>
      </w:r>
      <w:r w:rsidR="00F80FDA">
        <w:t>the poor</w:t>
      </w:r>
      <w:r w:rsidR="0050550B">
        <w:t>.</w:t>
      </w:r>
      <w:r w:rsidR="00F80FDA">
        <w:t xml:space="preserve"> </w:t>
      </w:r>
      <w:r w:rsidR="0050550B">
        <w:t>(S</w:t>
      </w:r>
      <w:r w:rsidR="00F80FDA">
        <w:t xml:space="preserve">ee </w:t>
      </w:r>
      <w:r w:rsidR="00F80FDA" w:rsidRPr="00721674">
        <w:t>Acts 20:35</w:t>
      </w:r>
      <w:r w:rsidR="00F80FDA">
        <w:t xml:space="preserve">; 24:17; </w:t>
      </w:r>
      <w:r w:rsidR="00F80FDA" w:rsidRPr="00721674">
        <w:t>Rom 15:25</w:t>
      </w:r>
      <w:r w:rsidR="00F80FDA">
        <w:t>-</w:t>
      </w:r>
      <w:r w:rsidR="00F80FDA" w:rsidRPr="00721674">
        <w:t>27</w:t>
      </w:r>
      <w:r w:rsidR="00F80FDA">
        <w:t>;</w:t>
      </w:r>
      <w:r w:rsidR="00F80FDA" w:rsidRPr="00721674">
        <w:t xml:space="preserve"> 1 Cor 16:1</w:t>
      </w:r>
      <w:r w:rsidR="00F80FDA">
        <w:t xml:space="preserve">-4; </w:t>
      </w:r>
      <w:r w:rsidR="007B1ECF">
        <w:t xml:space="preserve">2 Cor 8:1-7; </w:t>
      </w:r>
      <w:r w:rsidR="00F80FDA" w:rsidRPr="00721674">
        <w:t>Gal 2:10</w:t>
      </w:r>
      <w:r w:rsidR="00F80FDA">
        <w:t xml:space="preserve"> </w:t>
      </w:r>
      <w:r w:rsidR="0050550B">
        <w:t>[</w:t>
      </w:r>
      <w:r w:rsidR="00F80FDA">
        <w:t xml:space="preserve">where he also mentions the charity of </w:t>
      </w:r>
      <w:r w:rsidR="00F80FDA" w:rsidRPr="00F80FDA">
        <w:t>Peter, James, and John</w:t>
      </w:r>
      <w:r w:rsidR="0050550B">
        <w:t>]</w:t>
      </w:r>
      <w:r w:rsidR="00F80FDA">
        <w:t>; 6:10.</w:t>
      </w:r>
      <w:r w:rsidR="0050550B">
        <w:t>)</w:t>
      </w:r>
    </w:p>
    <w:p w14:paraId="6F2A4779" w14:textId="77777777" w:rsidR="00B2605E" w:rsidRDefault="00B2605E" w:rsidP="00851964"/>
    <w:p w14:paraId="74B45A99" w14:textId="77777777" w:rsidR="00307288" w:rsidRDefault="00B2605E" w:rsidP="00851964">
      <w:r w:rsidRPr="009A67AC">
        <w:t>external vs. internal piety</w:t>
      </w:r>
    </w:p>
    <w:p w14:paraId="5BC20B46" w14:textId="61BF0C59" w:rsidR="00307288" w:rsidRDefault="0050550B" w:rsidP="00307288">
      <w:pPr>
        <w:ind w:left="360"/>
      </w:pPr>
      <w:r>
        <w:t>Jesus said (</w:t>
      </w:r>
      <w:r w:rsidR="00B2605E" w:rsidRPr="009A67AC">
        <w:t>Matt 6:1</w:t>
      </w:r>
      <w:r w:rsidR="00B2605E">
        <w:t>a</w:t>
      </w:r>
      <w:r>
        <w:t>)</w:t>
      </w:r>
      <w:r w:rsidR="00B2605E" w:rsidRPr="009A67AC">
        <w:t>, “</w:t>
      </w:r>
      <w:r w:rsidR="00B2605E">
        <w:t>Beware of practicing your righteousness before others in order to be seen by them . . .”</w:t>
      </w:r>
    </w:p>
    <w:p w14:paraId="4404EECF" w14:textId="0BC1E883" w:rsidR="00B2605E" w:rsidRDefault="0050550B" w:rsidP="00307288">
      <w:pPr>
        <w:ind w:left="360"/>
      </w:pPr>
      <w:r>
        <w:t>Paul said (</w:t>
      </w:r>
      <w:r w:rsidR="00B2605E">
        <w:t>Rom 2:28-29</w:t>
      </w:r>
      <w:r>
        <w:t>)</w:t>
      </w:r>
      <w:r w:rsidR="00B2605E">
        <w:t xml:space="preserve">, “For a person is not a Jew [i.e., accepted by God] who is one outwardly, nor is circumcision something external and physical. </w:t>
      </w:r>
      <w:r w:rsidR="00B2605E" w:rsidRPr="0000191A">
        <w:rPr>
          <w:vertAlign w:val="superscript"/>
        </w:rPr>
        <w:t>29</w:t>
      </w:r>
      <w:r w:rsidR="00B2605E" w:rsidRPr="0000191A">
        <w:t xml:space="preserve"> </w:t>
      </w:r>
      <w:r w:rsidR="00B2605E">
        <w:t>Rather, a person is a Jew who is one inwardly, and circumcision is a matter of the heart, by the Spirit, not the written code.”</w:t>
      </w:r>
    </w:p>
    <w:p w14:paraId="0C4A4CCD" w14:textId="77777777" w:rsidR="00B2605E" w:rsidRDefault="00B2605E" w:rsidP="00851964"/>
    <w:p w14:paraId="2CE1A57B" w14:textId="77777777" w:rsidR="00307288" w:rsidRDefault="00307288" w:rsidP="00851964">
      <w:r>
        <w:t>t</w:t>
      </w:r>
      <w:r w:rsidR="00E00DFA">
        <w:t>he hid made manifest</w:t>
      </w:r>
    </w:p>
    <w:p w14:paraId="6E52972F" w14:textId="77777777" w:rsidR="00307288" w:rsidRDefault="00B2605E" w:rsidP="00307288">
      <w:pPr>
        <w:ind w:left="360"/>
      </w:pPr>
      <w:r w:rsidRPr="0000191A">
        <w:t>Mark 4:22</w:t>
      </w:r>
      <w:r w:rsidR="00307288">
        <w:t xml:space="preserve"> says</w:t>
      </w:r>
      <w:r>
        <w:t>, “For there is nothing hidden, except to be disclosed; nor is anything secret, except to come to light.”</w:t>
      </w:r>
    </w:p>
    <w:p w14:paraId="19710088" w14:textId="290193ED" w:rsidR="00B2605E" w:rsidRDefault="00B2605E" w:rsidP="00307288">
      <w:pPr>
        <w:ind w:left="360"/>
      </w:pPr>
      <w:r w:rsidRPr="0000191A">
        <w:t>1 Cor 4:5b</w:t>
      </w:r>
      <w:r>
        <w:t>c</w:t>
      </w:r>
      <w:r w:rsidR="00307288">
        <w:t>:</w:t>
      </w:r>
      <w:r w:rsidRPr="0000191A">
        <w:t xml:space="preserve"> the Lord “will bring to light the things now hidden</w:t>
      </w:r>
      <w:r>
        <w:t xml:space="preserve"> in darkness and will disclose the purposes of the heart.”</w:t>
      </w:r>
    </w:p>
    <w:p w14:paraId="1F2E33C1" w14:textId="77777777" w:rsidR="00B2605E" w:rsidRDefault="00B2605E" w:rsidP="00851964"/>
    <w:p w14:paraId="77211E5F" w14:textId="00C9E1E7" w:rsidR="00A115C1" w:rsidRDefault="00A115C1" w:rsidP="00851964">
      <w:r>
        <w:t>all foods clean</w:t>
      </w:r>
    </w:p>
    <w:p w14:paraId="00D0207E" w14:textId="77777777" w:rsidR="00A115C1" w:rsidRDefault="00B2605E" w:rsidP="00A115C1">
      <w:pPr>
        <w:ind w:left="360"/>
      </w:pPr>
      <w:r>
        <w:t xml:space="preserve">Mark 7:18b-19, ““Do you not see that whatever goes into a person from outside cannot defile, </w:t>
      </w:r>
      <w:r w:rsidRPr="0000191A">
        <w:rPr>
          <w:vertAlign w:val="superscript"/>
        </w:rPr>
        <w:t>19</w:t>
      </w:r>
      <w:r w:rsidRPr="0000191A">
        <w:t xml:space="preserve"> </w:t>
      </w:r>
      <w:r>
        <w:t>since it enters not the heart but the stomach and goes out into the sewer?” (Thus he declared all foods clean.)”</w:t>
      </w:r>
    </w:p>
    <w:p w14:paraId="0F7B478F" w14:textId="4B7B3972" w:rsidR="00B2605E" w:rsidRDefault="00B2605E" w:rsidP="00A115C1">
      <w:pPr>
        <w:ind w:left="360"/>
      </w:pPr>
      <w:r w:rsidRPr="0000191A">
        <w:t>Rom 14:14</w:t>
      </w:r>
      <w:r>
        <w:t>a</w:t>
      </w:r>
      <w:r w:rsidR="004C15CD">
        <w:t>:</w:t>
      </w:r>
      <w:r>
        <w:t xml:space="preserve"> “I know and am persuaded in the Lord Jesus that nothing</w:t>
      </w:r>
      <w:r w:rsidR="00E00DFA">
        <w:t xml:space="preserve"> [eaten]</w:t>
      </w:r>
      <w:r>
        <w:t xml:space="preserve"> is unclean in itself . . . </w:t>
      </w:r>
      <w:r w:rsidRPr="0000191A">
        <w:rPr>
          <w:vertAlign w:val="superscript"/>
        </w:rPr>
        <w:t>20</w:t>
      </w:r>
      <w:r w:rsidRPr="0000191A">
        <w:t xml:space="preserve"> </w:t>
      </w:r>
      <w:r>
        <w:t>Everything is indeed clean . . .”</w:t>
      </w:r>
    </w:p>
    <w:p w14:paraId="0774E53C" w14:textId="77777777" w:rsidR="00B2605E" w:rsidRDefault="00B2605E" w:rsidP="00851964"/>
    <w:p w14:paraId="11E6CA87" w14:textId="77777777" w:rsidR="0050550B" w:rsidRDefault="0050550B" w:rsidP="0050550B">
      <w:r>
        <w:t>faith to move mountains</w:t>
      </w:r>
    </w:p>
    <w:p w14:paraId="5DF451F1" w14:textId="77777777" w:rsidR="0050550B" w:rsidRDefault="0050550B" w:rsidP="0050550B">
      <w:pPr>
        <w:ind w:left="360"/>
        <w:rPr>
          <w:color w:val="000000"/>
          <w:szCs w:val="24"/>
          <w:lang w:bidi="he-IL"/>
        </w:rPr>
      </w:pPr>
      <w:r>
        <w:t xml:space="preserve">Paul seems to combine </w:t>
      </w:r>
      <w:r w:rsidRPr="00BF18C3">
        <w:rPr>
          <w:szCs w:val="22"/>
        </w:rPr>
        <w:t>Matt 13:11</w:t>
      </w:r>
      <w:r>
        <w:rPr>
          <w:szCs w:val="22"/>
        </w:rPr>
        <w:t xml:space="preserve"> and </w:t>
      </w:r>
      <w:r w:rsidRPr="0000191A">
        <w:rPr>
          <w:color w:val="000000"/>
          <w:szCs w:val="24"/>
          <w:lang w:bidi="he-IL"/>
        </w:rPr>
        <w:t>17:20</w:t>
      </w:r>
      <w:r>
        <w:rPr>
          <w:color w:val="000000"/>
          <w:szCs w:val="24"/>
          <w:lang w:bidi="he-IL"/>
        </w:rPr>
        <w:t>.</w:t>
      </w:r>
    </w:p>
    <w:p w14:paraId="00F86D89" w14:textId="77777777" w:rsidR="0050550B" w:rsidRDefault="0050550B" w:rsidP="0050550B">
      <w:pPr>
        <w:ind w:left="360"/>
        <w:rPr>
          <w:color w:val="000000"/>
          <w:szCs w:val="24"/>
          <w:lang w:bidi="he-IL"/>
        </w:rPr>
      </w:pPr>
      <w:r w:rsidRPr="00BF18C3">
        <w:rPr>
          <w:szCs w:val="22"/>
        </w:rPr>
        <w:t>Matt 13:11, “</w:t>
      </w:r>
      <w:r w:rsidRPr="00BF18C3">
        <w:rPr>
          <w:color w:val="000000"/>
          <w:szCs w:val="24"/>
          <w:lang w:bidi="he-IL"/>
        </w:rPr>
        <w:t xml:space="preserve">To you it has been given to </w:t>
      </w:r>
      <w:r w:rsidRPr="00E00DFA">
        <w:rPr>
          <w:i/>
          <w:iCs/>
          <w:color w:val="000000"/>
          <w:szCs w:val="24"/>
          <w:lang w:bidi="he-IL"/>
        </w:rPr>
        <w:t>know</w:t>
      </w:r>
      <w:r w:rsidRPr="00BF18C3">
        <w:rPr>
          <w:color w:val="000000"/>
          <w:szCs w:val="24"/>
          <w:lang w:bidi="he-IL"/>
        </w:rPr>
        <w:t xml:space="preserve"> the </w:t>
      </w:r>
      <w:r w:rsidRPr="00E00DFA">
        <w:rPr>
          <w:i/>
          <w:iCs/>
          <w:color w:val="000000"/>
          <w:szCs w:val="24"/>
          <w:lang w:bidi="he-IL"/>
        </w:rPr>
        <w:t>secrets</w:t>
      </w:r>
      <w:r w:rsidRPr="00BF18C3">
        <w:rPr>
          <w:color w:val="000000"/>
          <w:szCs w:val="24"/>
          <w:lang w:bidi="he-IL"/>
        </w:rPr>
        <w:t xml:space="preserve"> [</w:t>
      </w:r>
      <w:r w:rsidRPr="00BF18C3">
        <w:rPr>
          <w:color w:val="000000"/>
          <w:szCs w:val="24"/>
          <w:lang w:val="el-GR" w:bidi="he-IL"/>
        </w:rPr>
        <w:t>μυστήρια</w:t>
      </w:r>
      <w:r>
        <w:rPr>
          <w:color w:val="000000"/>
          <w:szCs w:val="24"/>
          <w:lang w:bidi="he-IL"/>
        </w:rPr>
        <w:t xml:space="preserve">, </w:t>
      </w:r>
      <w:r w:rsidRPr="00A115C1">
        <w:rPr>
          <w:i/>
          <w:iCs/>
          <w:color w:val="000000"/>
          <w:szCs w:val="24"/>
          <w:lang w:bidi="he-IL"/>
        </w:rPr>
        <w:t>mysteries</w:t>
      </w:r>
      <w:r w:rsidRPr="00BF18C3">
        <w:rPr>
          <w:color w:val="000000"/>
          <w:szCs w:val="24"/>
          <w:lang w:bidi="he-IL"/>
        </w:rPr>
        <w:t>] of the kingdom of heaven</w:t>
      </w:r>
      <w:r>
        <w:rPr>
          <w:color w:val="000000"/>
          <w:szCs w:val="24"/>
          <w:lang w:bidi="he-IL"/>
        </w:rPr>
        <w:t xml:space="preserve"> . . .”</w:t>
      </w:r>
    </w:p>
    <w:p w14:paraId="558ED239" w14:textId="77777777" w:rsidR="0050550B" w:rsidRDefault="0050550B" w:rsidP="0050550B">
      <w:pPr>
        <w:ind w:left="360"/>
        <w:rPr>
          <w:color w:val="000000"/>
          <w:szCs w:val="24"/>
          <w:lang w:bidi="he-IL"/>
        </w:rPr>
      </w:pPr>
      <w:r w:rsidRPr="0000191A">
        <w:rPr>
          <w:color w:val="000000"/>
          <w:szCs w:val="24"/>
          <w:lang w:bidi="he-IL"/>
        </w:rPr>
        <w:t xml:space="preserve">Matt 17:20b, “if you have </w:t>
      </w:r>
      <w:r w:rsidRPr="00A115C1">
        <w:rPr>
          <w:i/>
          <w:iCs/>
          <w:color w:val="000000"/>
          <w:szCs w:val="24"/>
          <w:lang w:bidi="he-IL"/>
        </w:rPr>
        <w:t>faith</w:t>
      </w:r>
      <w:r w:rsidRPr="0000191A">
        <w:rPr>
          <w:color w:val="000000"/>
          <w:szCs w:val="24"/>
          <w:lang w:bidi="he-IL"/>
        </w:rPr>
        <w:t xml:space="preserve"> the size of a mustard seed, you will say to this </w:t>
      </w:r>
      <w:r w:rsidRPr="0000191A">
        <w:rPr>
          <w:i/>
          <w:iCs/>
          <w:color w:val="000000"/>
          <w:szCs w:val="24"/>
          <w:lang w:bidi="he-IL"/>
        </w:rPr>
        <w:t>mountain</w:t>
      </w:r>
      <w:r w:rsidRPr="0000191A">
        <w:rPr>
          <w:color w:val="000000"/>
          <w:szCs w:val="24"/>
          <w:lang w:bidi="he-IL"/>
        </w:rPr>
        <w:t>, ‘</w:t>
      </w:r>
      <w:r w:rsidRPr="0000191A">
        <w:rPr>
          <w:i/>
          <w:iCs/>
          <w:color w:val="000000"/>
          <w:szCs w:val="24"/>
          <w:lang w:bidi="he-IL"/>
        </w:rPr>
        <w:t>Move</w:t>
      </w:r>
      <w:r w:rsidRPr="0000191A">
        <w:rPr>
          <w:color w:val="000000"/>
          <w:szCs w:val="24"/>
          <w:lang w:bidi="he-IL"/>
        </w:rPr>
        <w:t xml:space="preserve"> from here to there,’ and it will move</w:t>
      </w:r>
      <w:r>
        <w:rPr>
          <w:color w:val="000000"/>
          <w:szCs w:val="24"/>
          <w:lang w:bidi="he-IL"/>
        </w:rPr>
        <w:t xml:space="preserve"> . . .</w:t>
      </w:r>
      <w:r w:rsidRPr="0000191A">
        <w:rPr>
          <w:color w:val="000000"/>
          <w:szCs w:val="24"/>
          <w:lang w:bidi="he-IL"/>
        </w:rPr>
        <w:t>”</w:t>
      </w:r>
    </w:p>
    <w:p w14:paraId="6323AA0D" w14:textId="77777777" w:rsidR="0050550B" w:rsidRPr="0000191A" w:rsidRDefault="0050550B" w:rsidP="0050550B">
      <w:pPr>
        <w:ind w:left="360"/>
        <w:rPr>
          <w:color w:val="000000"/>
          <w:szCs w:val="24"/>
          <w:lang w:bidi="he-IL"/>
        </w:rPr>
      </w:pPr>
      <w:r>
        <w:rPr>
          <w:color w:val="000000"/>
          <w:szCs w:val="24"/>
          <w:lang w:bidi="he-IL"/>
        </w:rPr>
        <w:t xml:space="preserve">Now compare </w:t>
      </w:r>
      <w:r w:rsidRPr="00BF18C3">
        <w:rPr>
          <w:szCs w:val="22"/>
        </w:rPr>
        <w:t>1 Cor 13:2</w:t>
      </w:r>
      <w:r>
        <w:rPr>
          <w:szCs w:val="22"/>
        </w:rPr>
        <w:t>:</w:t>
      </w:r>
      <w:r w:rsidRPr="00BF18C3">
        <w:rPr>
          <w:szCs w:val="22"/>
        </w:rPr>
        <w:t xml:space="preserve"> “</w:t>
      </w:r>
      <w:r w:rsidRPr="00BF18C3">
        <w:rPr>
          <w:color w:val="000000"/>
          <w:szCs w:val="24"/>
          <w:lang w:bidi="he-IL"/>
        </w:rPr>
        <w:t xml:space="preserve">And if I have prophetic powers, and understand all </w:t>
      </w:r>
      <w:r w:rsidRPr="0000191A">
        <w:rPr>
          <w:i/>
          <w:iCs/>
          <w:color w:val="000000"/>
          <w:szCs w:val="24"/>
          <w:lang w:bidi="he-IL"/>
        </w:rPr>
        <w:t>mysteries</w:t>
      </w:r>
      <w:r w:rsidRPr="00BF18C3">
        <w:rPr>
          <w:color w:val="000000"/>
          <w:szCs w:val="24"/>
          <w:lang w:bidi="he-IL"/>
        </w:rPr>
        <w:t xml:space="preserve"> and all </w:t>
      </w:r>
      <w:r w:rsidRPr="00E00DFA">
        <w:rPr>
          <w:i/>
          <w:iCs/>
          <w:color w:val="000000"/>
          <w:szCs w:val="24"/>
          <w:lang w:bidi="he-IL"/>
        </w:rPr>
        <w:t>know</w:t>
      </w:r>
      <w:r w:rsidRPr="00BF18C3">
        <w:rPr>
          <w:color w:val="000000"/>
          <w:szCs w:val="24"/>
          <w:lang w:bidi="he-IL"/>
        </w:rPr>
        <w:t xml:space="preserve">ledge, and if I have all </w:t>
      </w:r>
      <w:r w:rsidRPr="00A115C1">
        <w:rPr>
          <w:i/>
          <w:iCs/>
          <w:color w:val="000000"/>
          <w:szCs w:val="24"/>
          <w:lang w:bidi="he-IL"/>
        </w:rPr>
        <w:t>faith</w:t>
      </w:r>
      <w:r w:rsidRPr="00BF18C3">
        <w:rPr>
          <w:color w:val="000000"/>
          <w:szCs w:val="24"/>
          <w:lang w:bidi="he-IL"/>
        </w:rPr>
        <w:t xml:space="preserve">, so as to </w:t>
      </w:r>
      <w:r w:rsidRPr="0000191A">
        <w:rPr>
          <w:i/>
          <w:iCs/>
          <w:color w:val="000000"/>
          <w:szCs w:val="24"/>
          <w:lang w:bidi="he-IL"/>
        </w:rPr>
        <w:t>remove mountains</w:t>
      </w:r>
      <w:r w:rsidRPr="00BF18C3">
        <w:rPr>
          <w:color w:val="000000"/>
          <w:szCs w:val="24"/>
          <w:lang w:bidi="he-IL"/>
        </w:rPr>
        <w:t>, but do not have love, I am nothing.”</w:t>
      </w:r>
    </w:p>
    <w:p w14:paraId="6A3F95C1" w14:textId="77777777" w:rsidR="0050550B" w:rsidRDefault="0050550B" w:rsidP="0050550B"/>
    <w:p w14:paraId="2A8AEFB0" w14:textId="57E2C13E" w:rsidR="00B2605E" w:rsidRDefault="00B2605E" w:rsidP="00851964">
      <w:r>
        <w:t>Other examples could be added. E.g., “</w:t>
      </w:r>
      <w:r w:rsidRPr="0000191A">
        <w:t>Paul’s emphasis on love as well as his eschatological teaching has its basis in the Jesus-tradition” (Wenham 86)</w:t>
      </w:r>
      <w:r w:rsidR="006B677B">
        <w:t>.</w:t>
      </w:r>
    </w:p>
    <w:p w14:paraId="2F19F1F4" w14:textId="77777777" w:rsidR="00B2605E" w:rsidRDefault="00B2605E" w:rsidP="00851964"/>
    <w:p w14:paraId="00E0A9E4" w14:textId="3DD01654" w:rsidR="003507C2" w:rsidRDefault="00307288" w:rsidP="003507C2">
      <w:r>
        <w:t>Paul did not accompany Jesus during Jesus’ lifetime; in fact, he never met him.</w:t>
      </w:r>
      <w:r w:rsidR="003507C2">
        <w:rPr>
          <w:rStyle w:val="FootnoteReference"/>
        </w:rPr>
        <w:footnoteReference w:id="8"/>
      </w:r>
      <w:r w:rsidR="003507C2">
        <w:t xml:space="preserve"> The fact that Paul </w:t>
      </w:r>
      <w:r w:rsidR="00FA1CCC">
        <w:t xml:space="preserve">mentions </w:t>
      </w:r>
      <w:r w:rsidR="003507C2">
        <w:t xml:space="preserve">Jesus’ </w:t>
      </w:r>
      <w:r w:rsidR="0050550B">
        <w:t xml:space="preserve">major </w:t>
      </w:r>
      <w:r w:rsidR="003507C2">
        <w:t>life</w:t>
      </w:r>
      <w:r w:rsidR="0050550B">
        <w:t xml:space="preserve"> </w:t>
      </w:r>
      <w:r w:rsidR="00FA1CCC">
        <w:t>events</w:t>
      </w:r>
      <w:r w:rsidR="003507C2">
        <w:t xml:space="preserve"> and </w:t>
      </w:r>
      <w:r w:rsidR="00FA1CCC">
        <w:t xml:space="preserve">shows </w:t>
      </w:r>
      <w:r w:rsidR="0050550B">
        <w:t>significant</w:t>
      </w:r>
      <w:r w:rsidR="00FA1CCC">
        <w:t xml:space="preserve"> knowledge of Jesus’ </w:t>
      </w:r>
      <w:r w:rsidR="003507C2">
        <w:t xml:space="preserve">teachings means that </w:t>
      </w:r>
      <w:r w:rsidR="003507C2">
        <w:lastRenderedPageBreak/>
        <w:t xml:space="preserve">he </w:t>
      </w:r>
      <w:r w:rsidR="007F1D02">
        <w:t xml:space="preserve">learned them </w:t>
      </w:r>
      <w:r w:rsidR="003507C2">
        <w:t xml:space="preserve">from those who were Christians before him. </w:t>
      </w:r>
      <w:r w:rsidR="00FA1CCC">
        <w:t xml:space="preserve">Christians before him </w:t>
      </w:r>
      <w:r w:rsidR="003507C2">
        <w:t xml:space="preserve">were the </w:t>
      </w:r>
      <w:proofErr w:type="spellStart"/>
      <w:r w:rsidR="00FA1CCC">
        <w:t>tradents</w:t>
      </w:r>
      <w:proofErr w:type="spellEnd"/>
      <w:r w:rsidR="003507C2">
        <w:t xml:space="preserve"> (transmitters of the traditions about Jesus) during the period of oral tradition (the two decades</w:t>
      </w:r>
      <w:r w:rsidR="0050550B">
        <w:t>, 30s-40s CE,</w:t>
      </w:r>
      <w:r w:rsidR="003507C2">
        <w:t xml:space="preserve"> between Jesus’ ministry and Paul’s letters).</w:t>
      </w:r>
      <w:r w:rsidR="007F1D02">
        <w:t xml:space="preserve"> Either way: evidence for the historical Jesus is much closer to the historical Jesus than if we had only the gospels.</w:t>
      </w:r>
    </w:p>
    <w:p w14:paraId="48202ADB" w14:textId="77777777" w:rsidR="00307288" w:rsidRDefault="00307288" w:rsidP="00851964"/>
    <w:p w14:paraId="400BC7D7" w14:textId="1EFE64BD" w:rsidR="003507C2" w:rsidRPr="003507C2" w:rsidRDefault="003507C2" w:rsidP="003507C2">
      <w:pPr>
        <w:jc w:val="center"/>
        <w:rPr>
          <w:sz w:val="32"/>
        </w:rPr>
      </w:pPr>
      <w:r w:rsidRPr="003507C2">
        <w:rPr>
          <w:sz w:val="32"/>
        </w:rPr>
        <w:sym w:font="Wingdings" w:char="F09A"/>
      </w:r>
    </w:p>
    <w:p w14:paraId="55533582" w14:textId="77777777" w:rsidR="003507C2" w:rsidRDefault="003507C2" w:rsidP="00851964"/>
    <w:p w14:paraId="1163EE44" w14:textId="2195CA12" w:rsidR="00B2605E" w:rsidRDefault="00E00DFA" w:rsidP="00851964">
      <w:r>
        <w:t xml:space="preserve">I conclude </w:t>
      </w:r>
      <w:r w:rsidR="00E841A2">
        <w:t xml:space="preserve">that the preponderance of the evidence favors Jesus’ actual, historical existence. </w:t>
      </w:r>
      <w:r w:rsidR="00FA1CCC">
        <w:t xml:space="preserve">Granted, as a Christian, </w:t>
      </w:r>
      <w:r w:rsidR="004C15CD">
        <w:t xml:space="preserve">I have a </w:t>
      </w:r>
      <w:r w:rsidR="007B1ECF">
        <w:t>predisposition—</w:t>
      </w:r>
      <w:r w:rsidR="007F1D02">
        <w:t xml:space="preserve">an inclination, </w:t>
      </w:r>
      <w:r w:rsidR="007B1ECF">
        <w:t xml:space="preserve">a </w:t>
      </w:r>
      <w:r w:rsidR="004C15CD">
        <w:t>prejudgment</w:t>
      </w:r>
      <w:r w:rsidR="001509EF">
        <w:t xml:space="preserve"> (</w:t>
      </w:r>
      <w:r w:rsidR="004C15CD" w:rsidRPr="001509EF">
        <w:t>prejudice</w:t>
      </w:r>
      <w:r w:rsidR="001509EF">
        <w:t>)</w:t>
      </w:r>
      <w:r w:rsidR="007B1ECF">
        <w:t>—to</w:t>
      </w:r>
      <w:r w:rsidR="004C15CD">
        <w:t xml:space="preserve"> favor that conclusion. Whether the evidence here presented is sufficient to overcome the prejudgment of </w:t>
      </w:r>
      <w:r w:rsidR="007F1D02">
        <w:t xml:space="preserve">one </w:t>
      </w:r>
      <w:r w:rsidR="00FA1CCC">
        <w:t>who begins</w:t>
      </w:r>
      <w:r w:rsidR="004C15CD">
        <w:t xml:space="preserve"> </w:t>
      </w:r>
      <w:r w:rsidR="007B1ECF">
        <w:t xml:space="preserve">with the </w:t>
      </w:r>
      <w:r w:rsidR="004C15CD">
        <w:t>oppos</w:t>
      </w:r>
      <w:r w:rsidR="00FA1CCC">
        <w:t>it</w:t>
      </w:r>
      <w:r w:rsidR="007B1ECF">
        <w:t>e predisposition</w:t>
      </w:r>
      <w:r w:rsidR="004C15CD">
        <w:t xml:space="preserve"> </w:t>
      </w:r>
      <w:r w:rsidR="007B1ECF">
        <w:t>will</w:t>
      </w:r>
      <w:r w:rsidR="001509EF">
        <w:t>, I suppose,</w:t>
      </w:r>
      <w:r w:rsidR="007B1ECF">
        <w:t xml:space="preserve"> </w:t>
      </w:r>
      <w:r>
        <w:t xml:space="preserve">be </w:t>
      </w:r>
      <w:r w:rsidR="007F1D02">
        <w:t>determined in each case</w:t>
      </w:r>
      <w:r w:rsidR="004C15CD">
        <w:t>.</w:t>
      </w:r>
    </w:p>
    <w:p w14:paraId="6BB05679" w14:textId="09B6DC7D" w:rsidR="00C815A4" w:rsidRPr="00B0667C" w:rsidRDefault="00C815A4" w:rsidP="00851964"/>
    <w:sectPr w:rsidR="00C815A4" w:rsidRPr="00B0667C">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17B0" w14:textId="77777777" w:rsidR="00895002" w:rsidRDefault="00895002" w:rsidP="003507C2">
      <w:r>
        <w:separator/>
      </w:r>
    </w:p>
  </w:endnote>
  <w:endnote w:type="continuationSeparator" w:id="0">
    <w:p w14:paraId="3320AC40" w14:textId="77777777" w:rsidR="00895002" w:rsidRDefault="00895002" w:rsidP="0035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C938" w14:textId="77777777" w:rsidR="00895002" w:rsidRDefault="00895002" w:rsidP="003507C2">
      <w:r>
        <w:separator/>
      </w:r>
    </w:p>
  </w:footnote>
  <w:footnote w:type="continuationSeparator" w:id="0">
    <w:p w14:paraId="0D29241E" w14:textId="77777777" w:rsidR="00895002" w:rsidRDefault="00895002" w:rsidP="003507C2">
      <w:r>
        <w:continuationSeparator/>
      </w:r>
    </w:p>
  </w:footnote>
  <w:footnote w:id="1">
    <w:p w14:paraId="5D48AAA8" w14:textId="749C8C78" w:rsidR="005C4B5D" w:rsidRDefault="005C4B5D" w:rsidP="005C4B5D">
      <w:pPr>
        <w:pStyle w:val="FootnoteText"/>
      </w:pPr>
      <w:r>
        <w:rPr>
          <w:rStyle w:val="FootnoteReference"/>
        </w:rPr>
        <w:footnoteRef/>
      </w:r>
      <w:r>
        <w:t xml:space="preserve"> </w:t>
      </w:r>
      <w:r w:rsidRPr="00F36C39">
        <w:rPr>
          <w:szCs w:val="24"/>
        </w:rPr>
        <w:t xml:space="preserve">Robinson, Richard H., and Willard L. Johnson. </w:t>
      </w:r>
      <w:r w:rsidRPr="00F36C39">
        <w:rPr>
          <w:i/>
          <w:szCs w:val="24"/>
        </w:rPr>
        <w:t>The Buddhist Religion</w:t>
      </w:r>
      <w:r w:rsidRPr="00F36C39">
        <w:rPr>
          <w:szCs w:val="24"/>
        </w:rPr>
        <w:t xml:space="preserve">: </w:t>
      </w:r>
      <w:r w:rsidRPr="00F36C39">
        <w:rPr>
          <w:i/>
          <w:szCs w:val="24"/>
        </w:rPr>
        <w:t>An Historical Introduction</w:t>
      </w:r>
      <w:r w:rsidRPr="00F36C39">
        <w:rPr>
          <w:szCs w:val="24"/>
        </w:rPr>
        <w:t>. 3</w:t>
      </w:r>
      <w:r>
        <w:rPr>
          <w:szCs w:val="24"/>
        </w:rPr>
        <w:t>r</w:t>
      </w:r>
      <w:r w:rsidRPr="00F36C39">
        <w:rPr>
          <w:szCs w:val="24"/>
        </w:rPr>
        <w:t xml:space="preserve">d ed. Religious Life of Man, gen. ed. </w:t>
      </w:r>
      <w:r w:rsidRPr="00F36C39">
        <w:rPr>
          <w:szCs w:val="24"/>
          <w:lang w:val="de-DE"/>
        </w:rPr>
        <w:t xml:space="preserve">Frederick J. Streng. </w:t>
      </w:r>
      <w:r w:rsidRPr="00F36C39">
        <w:rPr>
          <w:szCs w:val="24"/>
        </w:rPr>
        <w:t>Belmont CA: Wadsworth, 1982.</w:t>
      </w:r>
      <w:r>
        <w:rPr>
          <w:szCs w:val="24"/>
        </w:rPr>
        <w:t xml:space="preserve"> 7.</w:t>
      </w:r>
    </w:p>
  </w:footnote>
  <w:footnote w:id="2">
    <w:p w14:paraId="6B3E4520" w14:textId="37EEBE06" w:rsidR="007748A0" w:rsidRDefault="007748A0">
      <w:pPr>
        <w:pStyle w:val="FootnoteText"/>
      </w:pPr>
      <w:r>
        <w:rPr>
          <w:rStyle w:val="FootnoteReference"/>
        </w:rPr>
        <w:footnoteRef/>
      </w:r>
      <w:r>
        <w:t xml:space="preserve"> </w:t>
      </w:r>
      <w:r w:rsidR="005C4B5D">
        <w:t>B</w:t>
      </w:r>
      <w:r w:rsidRPr="007748A0">
        <w:t xml:space="preserve">ar-Ilan, Meir. </w:t>
      </w:r>
      <w:r>
        <w:t>“</w:t>
      </w:r>
      <w:r w:rsidRPr="007748A0">
        <w:t>Illiteracy in the Land of Israel in the First Centuries C.E.</w:t>
      </w:r>
      <w:r>
        <w:t>”</w:t>
      </w:r>
      <w:r w:rsidRPr="007748A0">
        <w:t xml:space="preserve"> In </w:t>
      </w:r>
      <w:proofErr w:type="spellStart"/>
      <w:r w:rsidRPr="007748A0">
        <w:t>Fishbane</w:t>
      </w:r>
      <w:proofErr w:type="spellEnd"/>
      <w:r w:rsidRPr="007748A0">
        <w:t xml:space="preserve">, S., S. Schoenfeld, and A. </w:t>
      </w:r>
      <w:proofErr w:type="spellStart"/>
      <w:r w:rsidRPr="007748A0">
        <w:t>Goldschlaeger</w:t>
      </w:r>
      <w:proofErr w:type="spellEnd"/>
      <w:r w:rsidRPr="007748A0">
        <w:t xml:space="preserve">, eds. </w:t>
      </w:r>
      <w:r w:rsidRPr="007748A0">
        <w:rPr>
          <w:i/>
          <w:iCs/>
        </w:rPr>
        <w:t>Essays in the Social Scientific Study of Judaism and Jewish Society</w:t>
      </w:r>
      <w:r w:rsidRPr="007748A0">
        <w:t xml:space="preserve">. New York: </w:t>
      </w:r>
      <w:proofErr w:type="spellStart"/>
      <w:r w:rsidRPr="007748A0">
        <w:t>Ktav</w:t>
      </w:r>
      <w:proofErr w:type="spellEnd"/>
      <w:r w:rsidRPr="007748A0">
        <w:t xml:space="preserve">, 1992. </w:t>
      </w:r>
      <w:r>
        <w:t>2.</w:t>
      </w:r>
      <w:r w:rsidRPr="007748A0">
        <w:t>46-61.</w:t>
      </w:r>
      <w:r w:rsidR="005C4B5D">
        <w:t xml:space="preserve"> 12.</w:t>
      </w:r>
    </w:p>
  </w:footnote>
  <w:footnote w:id="3">
    <w:p w14:paraId="55847E0B" w14:textId="004FC66D" w:rsidR="00FC43B9" w:rsidRDefault="00FC43B9">
      <w:pPr>
        <w:pStyle w:val="FootnoteText"/>
      </w:pPr>
      <w:r>
        <w:rPr>
          <w:rStyle w:val="FootnoteReference"/>
        </w:rPr>
        <w:footnoteRef/>
      </w:r>
      <w:r>
        <w:t xml:space="preserve"> </w:t>
      </w:r>
      <w:r w:rsidRPr="00820391">
        <w:rPr>
          <w:szCs w:val="24"/>
        </w:rPr>
        <w:t xml:space="preserve">Hezser, Catherine. </w:t>
      </w:r>
      <w:r w:rsidRPr="00820391">
        <w:rPr>
          <w:i/>
          <w:iCs/>
          <w:szCs w:val="24"/>
        </w:rPr>
        <w:t>Jewish Literacy in Roman Palestine</w:t>
      </w:r>
      <w:r w:rsidRPr="00820391">
        <w:rPr>
          <w:szCs w:val="24"/>
        </w:rPr>
        <w:t>. Texts and Studies in Ancient Judaism. Tübingen: Mohr Siebeck, 2001.</w:t>
      </w:r>
      <w:r>
        <w:rPr>
          <w:szCs w:val="24"/>
        </w:rPr>
        <w:t xml:space="preserve"> Cited </w:t>
      </w:r>
      <w:r w:rsidRPr="00FC43B9">
        <w:rPr>
          <w:szCs w:val="24"/>
        </w:rPr>
        <w:t>in</w:t>
      </w:r>
      <w:r w:rsidR="007748A0">
        <w:rPr>
          <w:szCs w:val="24"/>
        </w:rPr>
        <w:t xml:space="preserve"> </w:t>
      </w:r>
      <w:r w:rsidR="007748A0" w:rsidRPr="00FC43B9">
        <w:rPr>
          <w:szCs w:val="24"/>
        </w:rPr>
        <w:t xml:space="preserve">Ehrman, Bart. “How Many People Were Literate in Antiquity?” </w:t>
      </w:r>
      <w:r w:rsidR="007748A0" w:rsidRPr="00FC43B9">
        <w:rPr>
          <w:i/>
          <w:iCs/>
          <w:szCs w:val="24"/>
        </w:rPr>
        <w:t>The Bart Ehrman Blog</w:t>
      </w:r>
      <w:r w:rsidR="007748A0" w:rsidRPr="00FC43B9">
        <w:rPr>
          <w:szCs w:val="24"/>
        </w:rPr>
        <w:t>. 31 Aug. 2022. 24 Mar. 2026. &lt;ehrmanblog.org/how-many-people-were-literate-in-antiquity/&gt;.</w:t>
      </w:r>
    </w:p>
  </w:footnote>
  <w:footnote w:id="4">
    <w:p w14:paraId="72A18E03" w14:textId="4E20ED34" w:rsidR="00BD5B73" w:rsidRDefault="00BD5B73" w:rsidP="00BD5B73">
      <w:pPr>
        <w:pStyle w:val="FootnoteText"/>
      </w:pPr>
      <w:r>
        <w:rPr>
          <w:rStyle w:val="FootnoteReference"/>
        </w:rPr>
        <w:footnoteRef/>
      </w:r>
      <w:r>
        <w:t xml:space="preserve"> </w:t>
      </w:r>
      <w:r w:rsidRPr="006D36F8">
        <w:rPr>
          <w:szCs w:val="24"/>
        </w:rPr>
        <w:t xml:space="preserve">See: Kirk, G.S. </w:t>
      </w:r>
      <w:r w:rsidRPr="006D36F8">
        <w:rPr>
          <w:i/>
          <w:szCs w:val="24"/>
        </w:rPr>
        <w:t>The Songs of Homer</w:t>
      </w:r>
      <w:r w:rsidRPr="006D36F8">
        <w:rPr>
          <w:szCs w:val="24"/>
        </w:rPr>
        <w:t xml:space="preserve">. Cambridge: CUP, 1962. (Jasper Griffin calls </w:t>
      </w:r>
      <w:r w:rsidR="00493F8B">
        <w:rPr>
          <w:szCs w:val="24"/>
        </w:rPr>
        <w:t>Kirk’s book</w:t>
      </w:r>
      <w:r w:rsidRPr="006D36F8">
        <w:rPr>
          <w:szCs w:val="24"/>
        </w:rPr>
        <w:t xml:space="preserve"> “A full discussion of the poems from the point of view of oral poetry.” [</w:t>
      </w:r>
      <w:r w:rsidRPr="006D36F8">
        <w:rPr>
          <w:i/>
          <w:szCs w:val="24"/>
        </w:rPr>
        <w:t>Homer on Life and Death</w:t>
      </w:r>
      <w:r w:rsidRPr="006D36F8">
        <w:rPr>
          <w:szCs w:val="24"/>
        </w:rPr>
        <w:t xml:space="preserve">. Oxford: Clarendon, 1980. 80.]) See also: Nagler, Michael. </w:t>
      </w:r>
      <w:r w:rsidRPr="006D36F8">
        <w:rPr>
          <w:i/>
          <w:szCs w:val="24"/>
        </w:rPr>
        <w:t>Spontaneity and Tradition</w:t>
      </w:r>
      <w:r w:rsidRPr="006D36F8">
        <w:rPr>
          <w:szCs w:val="24"/>
        </w:rPr>
        <w:t xml:space="preserve">: </w:t>
      </w:r>
      <w:r w:rsidRPr="006D36F8">
        <w:rPr>
          <w:i/>
          <w:szCs w:val="24"/>
        </w:rPr>
        <w:t>A Study in the Oral Art of Homer</w:t>
      </w:r>
      <w:r w:rsidRPr="006D36F8">
        <w:rPr>
          <w:szCs w:val="24"/>
        </w:rPr>
        <w:t xml:space="preserve">. Berkeley: U of California P, 1974. </w:t>
      </w:r>
      <w:r w:rsidR="00493F8B">
        <w:rPr>
          <w:szCs w:val="24"/>
        </w:rPr>
        <w:t xml:space="preserve">Also: </w:t>
      </w:r>
      <w:r w:rsidRPr="006D36F8">
        <w:rPr>
          <w:szCs w:val="24"/>
        </w:rPr>
        <w:t xml:space="preserve">Reece, Steve. </w:t>
      </w:r>
      <w:r w:rsidRPr="006D36F8">
        <w:rPr>
          <w:i/>
          <w:szCs w:val="24"/>
        </w:rPr>
        <w:t>The Stranger</w:t>
      </w:r>
      <w:r w:rsidRPr="006D36F8">
        <w:rPr>
          <w:szCs w:val="24"/>
        </w:rPr>
        <w:t>’</w:t>
      </w:r>
      <w:r w:rsidRPr="006D36F8">
        <w:rPr>
          <w:i/>
          <w:szCs w:val="24"/>
        </w:rPr>
        <w:t>s Welcome</w:t>
      </w:r>
      <w:r w:rsidRPr="006D36F8">
        <w:rPr>
          <w:szCs w:val="24"/>
        </w:rPr>
        <w:t xml:space="preserve">: </w:t>
      </w:r>
      <w:r w:rsidRPr="006D36F8">
        <w:rPr>
          <w:i/>
          <w:szCs w:val="24"/>
        </w:rPr>
        <w:t>Oral Theory and the Aesthetics of the Homeric Hospitality Scene</w:t>
      </w:r>
      <w:r w:rsidRPr="006D36F8">
        <w:rPr>
          <w:szCs w:val="24"/>
        </w:rPr>
        <w:t>. Ann Arbor: U of Michigan P, 1993.</w:t>
      </w:r>
    </w:p>
  </w:footnote>
  <w:footnote w:id="5">
    <w:p w14:paraId="270B6054" w14:textId="3A757B17" w:rsidR="007748A0" w:rsidRDefault="007748A0">
      <w:pPr>
        <w:pStyle w:val="FootnoteText"/>
      </w:pPr>
      <w:r>
        <w:rPr>
          <w:rStyle w:val="FootnoteReference"/>
        </w:rPr>
        <w:footnoteRef/>
      </w:r>
      <w:r>
        <w:t xml:space="preserve"> </w:t>
      </w:r>
      <w:r w:rsidRPr="00025A46">
        <w:t xml:space="preserve">Hunter, </w:t>
      </w:r>
      <w:r>
        <w:t xml:space="preserve">Archibald M. </w:t>
      </w:r>
      <w:r>
        <w:rPr>
          <w:i/>
          <w:iCs/>
        </w:rPr>
        <w:t xml:space="preserve">The </w:t>
      </w:r>
      <w:r w:rsidRPr="00025A46">
        <w:rPr>
          <w:i/>
        </w:rPr>
        <w:t>Parables</w:t>
      </w:r>
      <w:r>
        <w:rPr>
          <w:iCs/>
        </w:rPr>
        <w:t xml:space="preserve">, </w:t>
      </w:r>
      <w:r w:rsidRPr="00025A46">
        <w:rPr>
          <w:i/>
        </w:rPr>
        <w:t>Then and Now</w:t>
      </w:r>
      <w:r>
        <w:t xml:space="preserve">. London: SCM, 1971.  </w:t>
      </w:r>
      <w:r w:rsidRPr="00025A46">
        <w:t>9-10</w:t>
      </w:r>
      <w:r>
        <w:t>.</w:t>
      </w:r>
    </w:p>
  </w:footnote>
  <w:footnote w:id="6">
    <w:p w14:paraId="2A70640C" w14:textId="46336F84" w:rsidR="006B677B" w:rsidRDefault="006B677B">
      <w:pPr>
        <w:pStyle w:val="FootnoteText"/>
      </w:pPr>
      <w:r>
        <w:rPr>
          <w:rStyle w:val="FootnoteReference"/>
        </w:rPr>
        <w:footnoteRef/>
      </w:r>
      <w:r>
        <w:t xml:space="preserve"> Qtd. from </w:t>
      </w:r>
      <w:r w:rsidRPr="007D2460">
        <w:t xml:space="preserve">Klausner, Joseph. </w:t>
      </w:r>
      <w:r w:rsidRPr="007D2460">
        <w:rPr>
          <w:i/>
        </w:rPr>
        <w:t>Jesus of Nazareth</w:t>
      </w:r>
      <w:r w:rsidRPr="007D2460">
        <w:t xml:space="preserve">: </w:t>
      </w:r>
      <w:r w:rsidRPr="007D2460">
        <w:rPr>
          <w:i/>
        </w:rPr>
        <w:t>His Life</w:t>
      </w:r>
      <w:r w:rsidRPr="007D2460">
        <w:t xml:space="preserve">, </w:t>
      </w:r>
      <w:r w:rsidRPr="007D2460">
        <w:rPr>
          <w:i/>
        </w:rPr>
        <w:t>Times</w:t>
      </w:r>
      <w:r w:rsidRPr="007D2460">
        <w:t xml:space="preserve">, </w:t>
      </w:r>
      <w:r w:rsidRPr="001C655E">
        <w:rPr>
          <w:i/>
          <w:iCs/>
        </w:rPr>
        <w:t>and</w:t>
      </w:r>
      <w:r w:rsidRPr="007D2460">
        <w:rPr>
          <w:i/>
        </w:rPr>
        <w:t xml:space="preserve"> Teaching</w:t>
      </w:r>
      <w:r w:rsidRPr="007D2460">
        <w:rPr>
          <w:iCs/>
        </w:rPr>
        <w:t xml:space="preserve">. </w:t>
      </w:r>
      <w:r w:rsidRPr="007D2460">
        <w:t xml:space="preserve">Trans. Herbert Danby. New York: Macmillan, 1925. </w:t>
      </w:r>
      <w:r w:rsidR="00F76F24">
        <w:t xml:space="preserve">55-56. </w:t>
      </w:r>
      <w:r w:rsidR="00BD5B73">
        <w:t>(</w:t>
      </w:r>
      <w:r w:rsidRPr="007D2460">
        <w:t>Hebrew: Jerusalem, 1922.</w:t>
      </w:r>
      <w:r w:rsidR="00BD5B73">
        <w:t>)</w:t>
      </w:r>
      <w:r>
        <w:t xml:space="preserve"> Emphasis deleted.</w:t>
      </w:r>
    </w:p>
  </w:footnote>
  <w:footnote w:id="7">
    <w:p w14:paraId="7563C905" w14:textId="294F0422" w:rsidR="003507C2" w:rsidRDefault="003507C2">
      <w:pPr>
        <w:pStyle w:val="FootnoteText"/>
      </w:pPr>
      <w:r>
        <w:rPr>
          <w:rStyle w:val="FootnoteReference"/>
        </w:rPr>
        <w:footnoteRef/>
      </w:r>
      <w:r>
        <w:t xml:space="preserve"> </w:t>
      </w:r>
      <w:r w:rsidRPr="00F02C49">
        <w:rPr>
          <w:szCs w:val="24"/>
        </w:rPr>
        <w:t>In what follows, I shall a number of times</w:t>
      </w:r>
      <w:r>
        <w:rPr>
          <w:szCs w:val="24"/>
        </w:rPr>
        <w:t xml:space="preserve"> </w:t>
      </w:r>
      <w:r w:rsidR="006B677B">
        <w:rPr>
          <w:szCs w:val="24"/>
        </w:rPr>
        <w:t>quote or cite</w:t>
      </w:r>
      <w:r w:rsidRPr="00F02C49">
        <w:rPr>
          <w:szCs w:val="24"/>
        </w:rPr>
        <w:t xml:space="preserve">: </w:t>
      </w:r>
      <w:r w:rsidRPr="00F02C49">
        <w:rPr>
          <w:szCs w:val="18"/>
        </w:rPr>
        <w:t xml:space="preserve">Wenham, David. </w:t>
      </w:r>
      <w:r w:rsidRPr="00F02C49">
        <w:rPr>
          <w:i/>
          <w:iCs/>
          <w:szCs w:val="18"/>
        </w:rPr>
        <w:t>Paul</w:t>
      </w:r>
      <w:r w:rsidRPr="00F02C49">
        <w:rPr>
          <w:szCs w:val="18"/>
        </w:rPr>
        <w:t xml:space="preserve">: </w:t>
      </w:r>
      <w:r w:rsidRPr="00F02C49">
        <w:rPr>
          <w:i/>
          <w:iCs/>
          <w:szCs w:val="18"/>
        </w:rPr>
        <w:t>Follower of Jesus or Founder of Christianity</w:t>
      </w:r>
      <w:r w:rsidRPr="00F02C49">
        <w:rPr>
          <w:szCs w:val="18"/>
        </w:rPr>
        <w:t>? Grand Rapids: Eerdmans, 1995.</w:t>
      </w:r>
    </w:p>
  </w:footnote>
  <w:footnote w:id="8">
    <w:p w14:paraId="6A8DF551" w14:textId="2CA7246D" w:rsidR="003507C2" w:rsidRDefault="003507C2">
      <w:pPr>
        <w:pStyle w:val="FootnoteText"/>
      </w:pPr>
      <w:r>
        <w:rPr>
          <w:rStyle w:val="FootnoteReference"/>
        </w:rPr>
        <w:footnoteRef/>
      </w:r>
      <w:r>
        <w:t xml:space="preserve"> 1 Cor 9:1, “Have I not seen Jesus our Lord?” is universally taken to refer to Paul’s vision of </w:t>
      </w:r>
      <w:r w:rsidR="007B1ECF">
        <w:t xml:space="preserve">the resurrected </w:t>
      </w:r>
      <w:r>
        <w:t>Jesus on the road to Damascus</w:t>
      </w:r>
      <w:r w:rsidR="00FA1CCC">
        <w:t xml:space="preserve"> (Acts 9:1-8)</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360"/>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2A"/>
    <w:rsid w:val="00075392"/>
    <w:rsid w:val="001509EF"/>
    <w:rsid w:val="001F3E33"/>
    <w:rsid w:val="00307288"/>
    <w:rsid w:val="003507C2"/>
    <w:rsid w:val="003917B3"/>
    <w:rsid w:val="003E5676"/>
    <w:rsid w:val="00493F8B"/>
    <w:rsid w:val="004C15CD"/>
    <w:rsid w:val="0050550B"/>
    <w:rsid w:val="00511E0C"/>
    <w:rsid w:val="0052592E"/>
    <w:rsid w:val="0057073B"/>
    <w:rsid w:val="005B5484"/>
    <w:rsid w:val="005C4B5D"/>
    <w:rsid w:val="00633038"/>
    <w:rsid w:val="0065222A"/>
    <w:rsid w:val="006B677B"/>
    <w:rsid w:val="007748A0"/>
    <w:rsid w:val="00793465"/>
    <w:rsid w:val="007B1ECF"/>
    <w:rsid w:val="007F1D02"/>
    <w:rsid w:val="00820391"/>
    <w:rsid w:val="00851964"/>
    <w:rsid w:val="00895002"/>
    <w:rsid w:val="008F2F24"/>
    <w:rsid w:val="00962150"/>
    <w:rsid w:val="00990D85"/>
    <w:rsid w:val="009A480C"/>
    <w:rsid w:val="00A115C1"/>
    <w:rsid w:val="00AB1ED7"/>
    <w:rsid w:val="00B0667C"/>
    <w:rsid w:val="00B2605E"/>
    <w:rsid w:val="00B4519E"/>
    <w:rsid w:val="00B52CA7"/>
    <w:rsid w:val="00BB2E00"/>
    <w:rsid w:val="00BD5B73"/>
    <w:rsid w:val="00C7278C"/>
    <w:rsid w:val="00C815A4"/>
    <w:rsid w:val="00E00DFA"/>
    <w:rsid w:val="00E13FDA"/>
    <w:rsid w:val="00E245F5"/>
    <w:rsid w:val="00E35279"/>
    <w:rsid w:val="00E841A2"/>
    <w:rsid w:val="00EF117E"/>
    <w:rsid w:val="00F02C49"/>
    <w:rsid w:val="00F36C39"/>
    <w:rsid w:val="00F60CBC"/>
    <w:rsid w:val="00F76F24"/>
    <w:rsid w:val="00F80FDA"/>
    <w:rsid w:val="00F84530"/>
    <w:rsid w:val="00FA1CCC"/>
    <w:rsid w:val="00FC43B9"/>
    <w:rsid w:val="00FD7112"/>
    <w:rsid w:val="00FE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541A"/>
  <w15:chartTrackingRefBased/>
  <w15:docId w15:val="{FD9F7B36-3571-45EB-AE40-AD95DF97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3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22A"/>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6522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2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22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22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22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22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22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22A"/>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6522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2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22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22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22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22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22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2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2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2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2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222A"/>
    <w:rPr>
      <w:i/>
      <w:iCs/>
      <w:color w:val="404040" w:themeColor="text1" w:themeTint="BF"/>
    </w:rPr>
  </w:style>
  <w:style w:type="paragraph" w:styleId="ListParagraph">
    <w:name w:val="List Paragraph"/>
    <w:basedOn w:val="Normal"/>
    <w:uiPriority w:val="34"/>
    <w:qFormat/>
    <w:rsid w:val="0065222A"/>
    <w:pPr>
      <w:ind w:left="720"/>
      <w:contextualSpacing/>
    </w:pPr>
  </w:style>
  <w:style w:type="character" w:styleId="IntenseEmphasis">
    <w:name w:val="Intense Emphasis"/>
    <w:basedOn w:val="DefaultParagraphFont"/>
    <w:uiPriority w:val="21"/>
    <w:qFormat/>
    <w:rsid w:val="0065222A"/>
    <w:rPr>
      <w:i/>
      <w:iCs/>
      <w:color w:val="0F4761" w:themeColor="accent1" w:themeShade="BF"/>
    </w:rPr>
  </w:style>
  <w:style w:type="paragraph" w:styleId="IntenseQuote">
    <w:name w:val="Intense Quote"/>
    <w:basedOn w:val="Normal"/>
    <w:next w:val="Normal"/>
    <w:link w:val="IntenseQuoteChar"/>
    <w:uiPriority w:val="30"/>
    <w:qFormat/>
    <w:rsid w:val="00652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22A"/>
    <w:rPr>
      <w:i/>
      <w:iCs/>
      <w:color w:val="0F4761" w:themeColor="accent1" w:themeShade="BF"/>
    </w:rPr>
  </w:style>
  <w:style w:type="character" w:styleId="IntenseReference">
    <w:name w:val="Intense Reference"/>
    <w:basedOn w:val="DefaultParagraphFont"/>
    <w:uiPriority w:val="32"/>
    <w:qFormat/>
    <w:rsid w:val="0065222A"/>
    <w:rPr>
      <w:b/>
      <w:bCs/>
      <w:smallCaps/>
      <w:color w:val="0F4761" w:themeColor="accent1" w:themeShade="BF"/>
      <w:spacing w:val="5"/>
    </w:rPr>
  </w:style>
  <w:style w:type="character" w:styleId="Strong">
    <w:name w:val="Strong"/>
    <w:basedOn w:val="DefaultParagraphFont"/>
    <w:uiPriority w:val="22"/>
    <w:qFormat/>
    <w:rsid w:val="00A115C1"/>
    <w:rPr>
      <w:b/>
      <w:bCs/>
    </w:rPr>
  </w:style>
  <w:style w:type="character" w:customStyle="1" w:styleId="t286pc">
    <w:name w:val="t286pc"/>
    <w:basedOn w:val="DefaultParagraphFont"/>
    <w:rsid w:val="00BB2E00"/>
  </w:style>
  <w:style w:type="paragraph" w:styleId="FootnoteText">
    <w:name w:val="footnote text"/>
    <w:basedOn w:val="Normal"/>
    <w:link w:val="FootnoteTextChar"/>
    <w:uiPriority w:val="99"/>
    <w:semiHidden/>
    <w:unhideWhenUsed/>
    <w:rsid w:val="003507C2"/>
    <w:rPr>
      <w:sz w:val="20"/>
      <w:szCs w:val="20"/>
    </w:rPr>
  </w:style>
  <w:style w:type="character" w:customStyle="1" w:styleId="FootnoteTextChar">
    <w:name w:val="Footnote Text Char"/>
    <w:basedOn w:val="DefaultParagraphFont"/>
    <w:link w:val="FootnoteText"/>
    <w:uiPriority w:val="99"/>
    <w:semiHidden/>
    <w:rsid w:val="003507C2"/>
    <w:rPr>
      <w:sz w:val="20"/>
      <w:szCs w:val="20"/>
    </w:rPr>
  </w:style>
  <w:style w:type="character" w:styleId="FootnoteReference">
    <w:name w:val="footnote reference"/>
    <w:basedOn w:val="DefaultParagraphFont"/>
    <w:uiPriority w:val="99"/>
    <w:semiHidden/>
    <w:unhideWhenUsed/>
    <w:rsid w:val="00350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776B6-A066-403B-AF53-D8360C31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5</cp:revision>
  <dcterms:created xsi:type="dcterms:W3CDTF">2026-03-24T22:54:00Z</dcterms:created>
  <dcterms:modified xsi:type="dcterms:W3CDTF">2026-03-27T05:45:00Z</dcterms:modified>
</cp:coreProperties>
</file>