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D21E8" w14:textId="32579A46" w:rsidR="00750F05" w:rsidRDefault="00750F05" w:rsidP="00750F05">
      <w:pPr>
        <w:contextualSpacing/>
      </w:pPr>
    </w:p>
    <w:tbl>
      <w:tblPr>
        <w:tblStyle w:val="TableGrid"/>
        <w:tblW w:w="9644" w:type="dxa"/>
        <w:tblLook w:val="04A0" w:firstRow="1" w:lastRow="0" w:firstColumn="1" w:lastColumn="0" w:noHBand="0" w:noVBand="1"/>
      </w:tblPr>
      <w:tblGrid>
        <w:gridCol w:w="1548"/>
        <w:gridCol w:w="270"/>
        <w:gridCol w:w="7826"/>
      </w:tblGrid>
      <w:tr w:rsidR="00750F05" w:rsidRPr="00463C48" w14:paraId="30146F98" w14:textId="77777777" w:rsidTr="00EE53DF">
        <w:tc>
          <w:tcPr>
            <w:tcW w:w="1548" w:type="dxa"/>
            <w:vMerge w:val="restart"/>
            <w:shd w:val="clear" w:color="auto" w:fill="D9D9D9" w:themeFill="background1" w:themeFillShade="D9"/>
          </w:tcPr>
          <w:p w14:paraId="66CA7D26" w14:textId="77777777" w:rsidR="00750F05" w:rsidRDefault="00750F05" w:rsidP="00EE53DF">
            <w:pPr>
              <w:tabs>
                <w:tab w:val="left" w:pos="360"/>
              </w:tabs>
              <w:contextualSpacing/>
              <w:rPr>
                <w:rFonts w:ascii="Palatino Linotype" w:hAnsi="Palatino Linotype"/>
                <w:sz w:val="96"/>
              </w:rPr>
            </w:pPr>
          </w:p>
          <w:p w14:paraId="012FF9AB" w14:textId="77777777" w:rsidR="00750F05" w:rsidRDefault="00750F05" w:rsidP="00EE53DF">
            <w:pPr>
              <w:tabs>
                <w:tab w:val="left" w:pos="360"/>
              </w:tabs>
              <w:contextualSpacing/>
              <w:rPr>
                <w:rFonts w:ascii="Palatino Linotype" w:hAnsi="Palatino Linotype"/>
                <w:sz w:val="96"/>
              </w:rPr>
            </w:pPr>
          </w:p>
          <w:p w14:paraId="2889C6F3" w14:textId="77777777" w:rsidR="00750F05" w:rsidRDefault="00750F05" w:rsidP="00EE53DF">
            <w:pPr>
              <w:tabs>
                <w:tab w:val="left" w:pos="360"/>
              </w:tabs>
              <w:contextualSpacing/>
              <w:rPr>
                <w:rFonts w:ascii="Palatino Linotype" w:hAnsi="Palatino Linotype"/>
                <w:sz w:val="96"/>
              </w:rPr>
            </w:pPr>
          </w:p>
          <w:p w14:paraId="48A22A1A" w14:textId="77777777" w:rsidR="00750F05" w:rsidRDefault="00750F05" w:rsidP="00EE53DF">
            <w:pPr>
              <w:tabs>
                <w:tab w:val="left" w:pos="360"/>
              </w:tabs>
              <w:contextualSpacing/>
              <w:rPr>
                <w:rFonts w:ascii="Palatino Linotype" w:hAnsi="Palatino Linotype"/>
                <w:sz w:val="96"/>
              </w:rPr>
            </w:pPr>
          </w:p>
          <w:p w14:paraId="1035F3EA" w14:textId="77777777" w:rsidR="00750F05" w:rsidRDefault="00750F05" w:rsidP="00EE53DF">
            <w:pPr>
              <w:tabs>
                <w:tab w:val="left" w:pos="360"/>
              </w:tabs>
              <w:contextualSpacing/>
              <w:rPr>
                <w:rFonts w:ascii="Palatino Linotype" w:hAnsi="Palatino Linotype"/>
                <w:sz w:val="96"/>
              </w:rPr>
            </w:pPr>
          </w:p>
          <w:p w14:paraId="00DB0651" w14:textId="77777777" w:rsidR="00750F05" w:rsidRPr="00607DA0" w:rsidRDefault="00750F05" w:rsidP="00EE53DF">
            <w:pPr>
              <w:tabs>
                <w:tab w:val="left" w:pos="360"/>
              </w:tabs>
              <w:contextualSpacing/>
              <w:rPr>
                <w:rFonts w:ascii="Palatino Linotype" w:hAnsi="Palatino Linotype"/>
                <w:sz w:val="40"/>
                <w:szCs w:val="20"/>
              </w:rPr>
            </w:pPr>
          </w:p>
          <w:p w14:paraId="6D8E0EA4" w14:textId="77777777" w:rsidR="00750F05" w:rsidRPr="00463C48" w:rsidRDefault="00750F05" w:rsidP="00EE53DF">
            <w:pPr>
              <w:tabs>
                <w:tab w:val="left" w:pos="360"/>
              </w:tabs>
              <w:contextualSpacing/>
              <w:jc w:val="center"/>
              <w:rPr>
                <w:rFonts w:ascii="Palatino Linotype" w:hAnsi="Palatino Linotype"/>
                <w:sz w:val="32"/>
              </w:rPr>
            </w:pPr>
            <w:r w:rsidRPr="00A627D4">
              <w:rPr>
                <w:rFonts w:ascii="Segoe UI Symbol" w:hAnsi="Segoe UI Symbol" w:cs="Segoe UI Symbol"/>
                <w:sz w:val="96"/>
              </w:rPr>
              <w:t>✠</w:t>
            </w:r>
          </w:p>
        </w:tc>
        <w:tc>
          <w:tcPr>
            <w:tcW w:w="270" w:type="dxa"/>
            <w:vMerge w:val="restart"/>
            <w:shd w:val="clear" w:color="auto" w:fill="002060"/>
          </w:tcPr>
          <w:p w14:paraId="7DD492C6" w14:textId="77777777" w:rsidR="00750F05" w:rsidRDefault="00750F05" w:rsidP="00EE53DF">
            <w:pPr>
              <w:rPr>
                <w:rFonts w:ascii="Palatino Linotype" w:hAnsi="Palatino Linotype"/>
                <w:sz w:val="32"/>
              </w:rPr>
            </w:pPr>
          </w:p>
          <w:p w14:paraId="5F0FC292" w14:textId="77777777" w:rsidR="00750F05" w:rsidRDefault="00750F05" w:rsidP="00EE53DF">
            <w:pPr>
              <w:rPr>
                <w:rFonts w:ascii="Palatino Linotype" w:hAnsi="Palatino Linotype"/>
                <w:sz w:val="32"/>
              </w:rPr>
            </w:pPr>
          </w:p>
          <w:p w14:paraId="7AA832A1" w14:textId="77777777" w:rsidR="00750F05" w:rsidRDefault="00750F05" w:rsidP="00EE53DF">
            <w:pPr>
              <w:rPr>
                <w:rFonts w:ascii="Palatino Linotype" w:hAnsi="Palatino Linotype"/>
                <w:sz w:val="32"/>
              </w:rPr>
            </w:pPr>
          </w:p>
          <w:p w14:paraId="21AB314B" w14:textId="77777777" w:rsidR="00750F05" w:rsidRDefault="00750F05" w:rsidP="00EE53DF">
            <w:pPr>
              <w:rPr>
                <w:rFonts w:ascii="Palatino Linotype" w:hAnsi="Palatino Linotype"/>
                <w:sz w:val="32"/>
              </w:rPr>
            </w:pPr>
          </w:p>
          <w:p w14:paraId="3F8EC5D0" w14:textId="77777777" w:rsidR="00750F05" w:rsidRDefault="00750F05" w:rsidP="00EE53DF">
            <w:pPr>
              <w:rPr>
                <w:rFonts w:ascii="Palatino Linotype" w:hAnsi="Palatino Linotype"/>
                <w:sz w:val="32"/>
              </w:rPr>
            </w:pPr>
          </w:p>
          <w:p w14:paraId="6347A5E9" w14:textId="77777777" w:rsidR="00750F05" w:rsidRDefault="00750F05" w:rsidP="00EE53DF">
            <w:pPr>
              <w:rPr>
                <w:rFonts w:ascii="Palatino Linotype" w:hAnsi="Palatino Linotype"/>
                <w:sz w:val="32"/>
              </w:rPr>
            </w:pPr>
          </w:p>
          <w:p w14:paraId="4EB4C452" w14:textId="77777777" w:rsidR="00750F05" w:rsidRPr="00463C48" w:rsidRDefault="00750F05" w:rsidP="00EE53DF">
            <w:pPr>
              <w:tabs>
                <w:tab w:val="left" w:pos="360"/>
              </w:tabs>
              <w:contextualSpacing/>
              <w:jc w:val="center"/>
              <w:rPr>
                <w:rFonts w:ascii="Palatino Linotype" w:hAnsi="Palatino Linotype"/>
                <w:sz w:val="32"/>
              </w:rPr>
            </w:pPr>
          </w:p>
        </w:tc>
        <w:tc>
          <w:tcPr>
            <w:tcW w:w="7826" w:type="dxa"/>
            <w:shd w:val="clear" w:color="auto" w:fill="F2F2F2" w:themeFill="background1" w:themeFillShade="F2"/>
          </w:tcPr>
          <w:p w14:paraId="07DC4E1E" w14:textId="77777777" w:rsidR="00750F05" w:rsidRPr="00A627D4" w:rsidRDefault="00750F05" w:rsidP="00EE53DF">
            <w:pPr>
              <w:tabs>
                <w:tab w:val="left" w:pos="360"/>
              </w:tabs>
              <w:contextualSpacing/>
              <w:rPr>
                <w:rFonts w:ascii="Palatino Linotype" w:hAnsi="Palatino Linotype"/>
                <w:i/>
              </w:rPr>
            </w:pPr>
          </w:p>
          <w:p w14:paraId="29AD7D96" w14:textId="77777777" w:rsidR="00750F05" w:rsidRDefault="00750F05" w:rsidP="00EE53DF">
            <w:pPr>
              <w:tabs>
                <w:tab w:val="left" w:pos="360"/>
              </w:tabs>
              <w:contextualSpacing/>
              <w:rPr>
                <w:rFonts w:ascii="Palatino Linotype" w:hAnsi="Palatino Linotype"/>
                <w:i/>
              </w:rPr>
            </w:pPr>
          </w:p>
          <w:p w14:paraId="7FB7AF2B" w14:textId="77777777" w:rsidR="00750F05" w:rsidRPr="00A627D4" w:rsidRDefault="00750F05" w:rsidP="00EE53DF">
            <w:pPr>
              <w:tabs>
                <w:tab w:val="left" w:pos="360"/>
              </w:tabs>
              <w:contextualSpacing/>
              <w:rPr>
                <w:rFonts w:ascii="Palatino Linotype" w:hAnsi="Palatino Linotype"/>
                <w:i/>
              </w:rPr>
            </w:pPr>
          </w:p>
          <w:p w14:paraId="44C7EFFE" w14:textId="77777777" w:rsidR="00750F05" w:rsidRPr="00A627D4" w:rsidRDefault="00750F05" w:rsidP="00EE53DF">
            <w:pPr>
              <w:tabs>
                <w:tab w:val="left" w:pos="360"/>
              </w:tabs>
              <w:contextualSpacing/>
              <w:rPr>
                <w:rFonts w:ascii="Palatino Linotype" w:hAnsi="Palatino Linotype"/>
                <w:i/>
              </w:rPr>
            </w:pPr>
          </w:p>
          <w:p w14:paraId="454EC85A" w14:textId="77777777" w:rsidR="00750F05" w:rsidRPr="00A37910" w:rsidRDefault="00750F05" w:rsidP="00EE53DF">
            <w:pPr>
              <w:tabs>
                <w:tab w:val="left" w:pos="360"/>
              </w:tabs>
              <w:contextualSpacing/>
              <w:rPr>
                <w:rFonts w:ascii="Palatino Linotype" w:hAnsi="Palatino Linotype"/>
                <w:i/>
                <w:sz w:val="52"/>
                <w:szCs w:val="18"/>
              </w:rPr>
            </w:pPr>
            <w:r w:rsidRPr="00A37910">
              <w:rPr>
                <w:rFonts w:ascii="Palatino Linotype" w:hAnsi="Palatino Linotype"/>
                <w:i/>
                <w:sz w:val="52"/>
                <w:szCs w:val="18"/>
              </w:rPr>
              <w:tab/>
              <w:t>Structure in Rhetorical Criticism</w:t>
            </w:r>
          </w:p>
          <w:p w14:paraId="7A68FFCE" w14:textId="77777777" w:rsidR="00750F05" w:rsidRDefault="00750F05" w:rsidP="00EE53DF">
            <w:pPr>
              <w:tabs>
                <w:tab w:val="left" w:pos="360"/>
              </w:tabs>
              <w:contextualSpacing/>
              <w:rPr>
                <w:rFonts w:ascii="Palatino Linotype" w:hAnsi="Palatino Linotype"/>
                <w:i/>
              </w:rPr>
            </w:pPr>
          </w:p>
          <w:p w14:paraId="292A7D3F" w14:textId="77777777" w:rsidR="00750F05" w:rsidRDefault="00750F05" w:rsidP="00EE53DF">
            <w:pPr>
              <w:tabs>
                <w:tab w:val="left" w:pos="360"/>
              </w:tabs>
              <w:contextualSpacing/>
              <w:rPr>
                <w:rFonts w:ascii="Palatino Linotype" w:hAnsi="Palatino Linotype"/>
                <w:i/>
              </w:rPr>
            </w:pPr>
          </w:p>
          <w:p w14:paraId="5E1393A8" w14:textId="77777777" w:rsidR="00750F05" w:rsidRPr="00A627D4" w:rsidRDefault="00750F05" w:rsidP="00EE53DF">
            <w:pPr>
              <w:tabs>
                <w:tab w:val="left" w:pos="360"/>
              </w:tabs>
              <w:contextualSpacing/>
              <w:rPr>
                <w:rFonts w:ascii="Palatino Linotype" w:hAnsi="Palatino Linotype"/>
                <w:i/>
              </w:rPr>
            </w:pPr>
          </w:p>
        </w:tc>
      </w:tr>
      <w:tr w:rsidR="00750F05" w:rsidRPr="00463C48" w14:paraId="233B33A9" w14:textId="77777777" w:rsidTr="00EE53DF">
        <w:tc>
          <w:tcPr>
            <w:tcW w:w="1548" w:type="dxa"/>
            <w:vMerge/>
            <w:shd w:val="clear" w:color="auto" w:fill="D9D9D9" w:themeFill="background1" w:themeFillShade="D9"/>
          </w:tcPr>
          <w:p w14:paraId="1B09F2B6" w14:textId="77777777" w:rsidR="00750F05" w:rsidRPr="00463C48" w:rsidRDefault="00750F05" w:rsidP="00EE53DF">
            <w:pPr>
              <w:tabs>
                <w:tab w:val="left" w:pos="360"/>
              </w:tabs>
              <w:contextualSpacing/>
              <w:rPr>
                <w:rFonts w:ascii="Palatino Linotype" w:hAnsi="Palatino Linotype"/>
                <w:sz w:val="96"/>
              </w:rPr>
            </w:pPr>
          </w:p>
        </w:tc>
        <w:tc>
          <w:tcPr>
            <w:tcW w:w="270" w:type="dxa"/>
            <w:vMerge/>
            <w:shd w:val="clear" w:color="auto" w:fill="002060"/>
          </w:tcPr>
          <w:p w14:paraId="67B0F772" w14:textId="77777777" w:rsidR="00750F05" w:rsidRPr="00463C48" w:rsidRDefault="00750F05" w:rsidP="00EE53DF">
            <w:pPr>
              <w:tabs>
                <w:tab w:val="left" w:pos="360"/>
              </w:tabs>
              <w:contextualSpacing/>
              <w:rPr>
                <w:rFonts w:ascii="Palatino Linotype" w:hAnsi="Palatino Linotype"/>
                <w:sz w:val="96"/>
              </w:rPr>
            </w:pPr>
          </w:p>
        </w:tc>
        <w:tc>
          <w:tcPr>
            <w:tcW w:w="7826" w:type="dxa"/>
            <w:shd w:val="clear" w:color="auto" w:fill="F2F2F2" w:themeFill="background1" w:themeFillShade="F2"/>
          </w:tcPr>
          <w:p w14:paraId="0B11CD9F" w14:textId="77777777" w:rsidR="00750F05" w:rsidRDefault="00750F05" w:rsidP="00EE53DF">
            <w:pPr>
              <w:tabs>
                <w:tab w:val="left" w:pos="360"/>
              </w:tabs>
              <w:contextualSpacing/>
              <w:rPr>
                <w:rFonts w:ascii="Palatino Linotype" w:hAnsi="Palatino Linotype"/>
                <w:i/>
              </w:rPr>
            </w:pPr>
          </w:p>
          <w:p w14:paraId="450A143E" w14:textId="77777777" w:rsidR="00750F05" w:rsidRPr="00A627D4" w:rsidRDefault="00750F05" w:rsidP="00EE53DF">
            <w:pPr>
              <w:tabs>
                <w:tab w:val="left" w:pos="360"/>
              </w:tabs>
              <w:contextualSpacing/>
              <w:rPr>
                <w:rFonts w:ascii="Palatino Linotype" w:hAnsi="Palatino Linotype"/>
                <w:i/>
              </w:rPr>
            </w:pPr>
          </w:p>
          <w:p w14:paraId="2EB7734E" w14:textId="77777777" w:rsidR="00750F05" w:rsidRDefault="00750F05" w:rsidP="00EE53DF">
            <w:pPr>
              <w:tabs>
                <w:tab w:val="left" w:pos="360"/>
              </w:tabs>
              <w:contextualSpacing/>
              <w:rPr>
                <w:rFonts w:ascii="Palatino Linotype" w:hAnsi="Palatino Linotype"/>
                <w:i/>
              </w:rPr>
            </w:pPr>
          </w:p>
          <w:p w14:paraId="4ECF3693" w14:textId="77777777" w:rsidR="00750F05" w:rsidRPr="00A627D4" w:rsidRDefault="00750F05" w:rsidP="00EE53DF">
            <w:pPr>
              <w:tabs>
                <w:tab w:val="left" w:pos="360"/>
              </w:tabs>
              <w:contextualSpacing/>
              <w:rPr>
                <w:rFonts w:ascii="Palatino Linotype" w:hAnsi="Palatino Linotype"/>
                <w:i/>
              </w:rPr>
            </w:pPr>
          </w:p>
          <w:p w14:paraId="7E6D8AED" w14:textId="77777777" w:rsidR="00750F05" w:rsidRPr="00A37910" w:rsidRDefault="00750F05" w:rsidP="00EE53DF">
            <w:pPr>
              <w:tabs>
                <w:tab w:val="left" w:pos="360"/>
              </w:tabs>
              <w:contextualSpacing/>
              <w:rPr>
                <w:rFonts w:ascii="Palatino Linotype" w:hAnsi="Palatino Linotype"/>
                <w:i/>
                <w:sz w:val="52"/>
                <w:szCs w:val="18"/>
              </w:rPr>
            </w:pPr>
            <w:r w:rsidRPr="00A37910">
              <w:rPr>
                <w:rFonts w:ascii="Palatino Linotype" w:hAnsi="Palatino Linotype"/>
                <w:i/>
                <w:sz w:val="52"/>
                <w:szCs w:val="18"/>
              </w:rPr>
              <w:tab/>
            </w:r>
            <w:r>
              <w:rPr>
                <w:rFonts w:ascii="Palatino Linotype" w:hAnsi="Palatino Linotype"/>
                <w:i/>
                <w:sz w:val="52"/>
                <w:szCs w:val="18"/>
              </w:rPr>
              <w:t>and the Structure</w:t>
            </w:r>
          </w:p>
          <w:p w14:paraId="4B77AB05" w14:textId="77777777" w:rsidR="00750F05" w:rsidRDefault="00750F05" w:rsidP="00EE53DF">
            <w:pPr>
              <w:tabs>
                <w:tab w:val="left" w:pos="360"/>
              </w:tabs>
              <w:contextualSpacing/>
              <w:rPr>
                <w:rFonts w:ascii="Palatino Linotype" w:hAnsi="Palatino Linotype"/>
                <w:i/>
              </w:rPr>
            </w:pPr>
          </w:p>
          <w:p w14:paraId="48E8C1A6" w14:textId="77777777" w:rsidR="00750F05" w:rsidRDefault="00750F05" w:rsidP="00EE53DF">
            <w:pPr>
              <w:tabs>
                <w:tab w:val="left" w:pos="360"/>
              </w:tabs>
              <w:contextualSpacing/>
              <w:rPr>
                <w:rFonts w:ascii="Palatino Linotype" w:hAnsi="Palatino Linotype"/>
                <w:i/>
              </w:rPr>
            </w:pPr>
          </w:p>
          <w:p w14:paraId="2459C730" w14:textId="77777777" w:rsidR="00750F05" w:rsidRPr="00A627D4" w:rsidRDefault="00750F05" w:rsidP="00EE53DF">
            <w:pPr>
              <w:tabs>
                <w:tab w:val="left" w:pos="360"/>
              </w:tabs>
              <w:contextualSpacing/>
              <w:rPr>
                <w:rFonts w:ascii="Palatino Linotype" w:hAnsi="Palatino Linotype"/>
                <w:i/>
              </w:rPr>
            </w:pPr>
          </w:p>
        </w:tc>
      </w:tr>
      <w:tr w:rsidR="00750F05" w:rsidRPr="00463C48" w14:paraId="7892E008" w14:textId="77777777" w:rsidTr="00EE53DF">
        <w:tc>
          <w:tcPr>
            <w:tcW w:w="1548" w:type="dxa"/>
            <w:vMerge/>
            <w:shd w:val="clear" w:color="auto" w:fill="D9D9D9" w:themeFill="background1" w:themeFillShade="D9"/>
          </w:tcPr>
          <w:p w14:paraId="3139AF37" w14:textId="77777777" w:rsidR="00750F05" w:rsidRPr="00463C48" w:rsidRDefault="00750F05" w:rsidP="00EE53DF">
            <w:pPr>
              <w:tabs>
                <w:tab w:val="left" w:pos="360"/>
              </w:tabs>
              <w:contextualSpacing/>
              <w:rPr>
                <w:rFonts w:ascii="Palatino Linotype" w:hAnsi="Palatino Linotype"/>
                <w:sz w:val="96"/>
              </w:rPr>
            </w:pPr>
          </w:p>
        </w:tc>
        <w:tc>
          <w:tcPr>
            <w:tcW w:w="270" w:type="dxa"/>
            <w:vMerge/>
            <w:shd w:val="clear" w:color="auto" w:fill="002060"/>
          </w:tcPr>
          <w:p w14:paraId="0D039C23" w14:textId="77777777" w:rsidR="00750F05" w:rsidRPr="00463C48" w:rsidRDefault="00750F05" w:rsidP="00EE53DF">
            <w:pPr>
              <w:tabs>
                <w:tab w:val="left" w:pos="360"/>
              </w:tabs>
              <w:contextualSpacing/>
              <w:rPr>
                <w:rFonts w:ascii="Palatino Linotype" w:hAnsi="Palatino Linotype"/>
                <w:sz w:val="96"/>
              </w:rPr>
            </w:pPr>
          </w:p>
        </w:tc>
        <w:tc>
          <w:tcPr>
            <w:tcW w:w="7826" w:type="dxa"/>
            <w:shd w:val="clear" w:color="auto" w:fill="F2F2F2" w:themeFill="background1" w:themeFillShade="F2"/>
          </w:tcPr>
          <w:p w14:paraId="5E89A54F" w14:textId="77777777" w:rsidR="00750F05" w:rsidRDefault="00750F05" w:rsidP="00EE53DF">
            <w:pPr>
              <w:tabs>
                <w:tab w:val="left" w:pos="360"/>
              </w:tabs>
              <w:contextualSpacing/>
              <w:rPr>
                <w:rFonts w:ascii="Palatino Linotype" w:hAnsi="Palatino Linotype"/>
                <w:i/>
              </w:rPr>
            </w:pPr>
          </w:p>
          <w:p w14:paraId="6197A32F" w14:textId="77777777" w:rsidR="00750F05" w:rsidRDefault="00750F05" w:rsidP="00EE53DF">
            <w:pPr>
              <w:tabs>
                <w:tab w:val="left" w:pos="360"/>
              </w:tabs>
              <w:contextualSpacing/>
              <w:rPr>
                <w:rFonts w:ascii="Palatino Linotype" w:hAnsi="Palatino Linotype"/>
                <w:i/>
              </w:rPr>
            </w:pPr>
          </w:p>
          <w:p w14:paraId="115C39F6" w14:textId="77777777" w:rsidR="00750F05" w:rsidRPr="00A627D4" w:rsidRDefault="00750F05" w:rsidP="00EE53DF">
            <w:pPr>
              <w:tabs>
                <w:tab w:val="left" w:pos="360"/>
              </w:tabs>
              <w:contextualSpacing/>
              <w:rPr>
                <w:rFonts w:ascii="Palatino Linotype" w:hAnsi="Palatino Linotype"/>
                <w:i/>
              </w:rPr>
            </w:pPr>
          </w:p>
          <w:p w14:paraId="1A285DD3" w14:textId="77777777" w:rsidR="00750F05" w:rsidRPr="00A627D4" w:rsidRDefault="00750F05" w:rsidP="00EE53DF">
            <w:pPr>
              <w:tabs>
                <w:tab w:val="left" w:pos="360"/>
              </w:tabs>
              <w:contextualSpacing/>
              <w:rPr>
                <w:rFonts w:ascii="Palatino Linotype" w:hAnsi="Palatino Linotype"/>
                <w:i/>
              </w:rPr>
            </w:pPr>
          </w:p>
          <w:p w14:paraId="19A417C2" w14:textId="77777777" w:rsidR="00750F05" w:rsidRPr="00A37910" w:rsidRDefault="00750F05" w:rsidP="00EE53DF">
            <w:pPr>
              <w:tabs>
                <w:tab w:val="left" w:pos="360"/>
              </w:tabs>
              <w:contextualSpacing/>
              <w:rPr>
                <w:rFonts w:ascii="Palatino Linotype" w:hAnsi="Palatino Linotype"/>
                <w:i/>
                <w:sz w:val="52"/>
                <w:szCs w:val="18"/>
              </w:rPr>
            </w:pPr>
            <w:r w:rsidRPr="00A37910">
              <w:rPr>
                <w:rFonts w:ascii="Palatino Linotype" w:hAnsi="Palatino Linotype"/>
                <w:i/>
                <w:sz w:val="52"/>
                <w:szCs w:val="18"/>
              </w:rPr>
              <w:tab/>
            </w:r>
            <w:r>
              <w:rPr>
                <w:rFonts w:ascii="Palatino Linotype" w:hAnsi="Palatino Linotype"/>
                <w:i/>
                <w:sz w:val="52"/>
                <w:szCs w:val="18"/>
              </w:rPr>
              <w:t>of the Sermon on the Plain</w:t>
            </w:r>
          </w:p>
          <w:p w14:paraId="4730387B" w14:textId="77777777" w:rsidR="00750F05" w:rsidRDefault="00750F05" w:rsidP="00EE53DF">
            <w:pPr>
              <w:tabs>
                <w:tab w:val="left" w:pos="360"/>
              </w:tabs>
              <w:contextualSpacing/>
              <w:rPr>
                <w:rFonts w:ascii="Palatino Linotype" w:hAnsi="Palatino Linotype"/>
                <w:i/>
              </w:rPr>
            </w:pPr>
          </w:p>
          <w:p w14:paraId="1FF399B5" w14:textId="77777777" w:rsidR="00750F05" w:rsidRDefault="00750F05" w:rsidP="00EE53DF">
            <w:pPr>
              <w:tabs>
                <w:tab w:val="left" w:pos="360"/>
              </w:tabs>
              <w:contextualSpacing/>
              <w:rPr>
                <w:rFonts w:ascii="Palatino Linotype" w:hAnsi="Palatino Linotype"/>
                <w:i/>
              </w:rPr>
            </w:pPr>
          </w:p>
          <w:p w14:paraId="5F5C721E" w14:textId="77777777" w:rsidR="00750F05" w:rsidRPr="00A627D4" w:rsidRDefault="00750F05" w:rsidP="00EE53DF">
            <w:pPr>
              <w:tabs>
                <w:tab w:val="left" w:pos="360"/>
              </w:tabs>
              <w:contextualSpacing/>
              <w:rPr>
                <w:rFonts w:ascii="Palatino Linotype" w:hAnsi="Palatino Linotype"/>
                <w:i/>
              </w:rPr>
            </w:pPr>
          </w:p>
        </w:tc>
      </w:tr>
      <w:tr w:rsidR="00750F05" w:rsidRPr="00463C48" w14:paraId="49902250" w14:textId="77777777" w:rsidTr="00EE53DF">
        <w:tc>
          <w:tcPr>
            <w:tcW w:w="1548" w:type="dxa"/>
            <w:vMerge/>
            <w:shd w:val="clear" w:color="auto" w:fill="D9D9D9" w:themeFill="background1" w:themeFillShade="D9"/>
          </w:tcPr>
          <w:p w14:paraId="35A98BC4" w14:textId="77777777" w:rsidR="00750F05" w:rsidRPr="00463C48" w:rsidRDefault="00750F05" w:rsidP="00EE53DF">
            <w:pPr>
              <w:tabs>
                <w:tab w:val="left" w:pos="360"/>
              </w:tabs>
              <w:contextualSpacing/>
              <w:rPr>
                <w:rFonts w:ascii="Palatino Linotype" w:hAnsi="Palatino Linotype"/>
                <w:sz w:val="96"/>
              </w:rPr>
            </w:pPr>
          </w:p>
        </w:tc>
        <w:tc>
          <w:tcPr>
            <w:tcW w:w="270" w:type="dxa"/>
            <w:vMerge/>
            <w:shd w:val="clear" w:color="auto" w:fill="002060"/>
          </w:tcPr>
          <w:p w14:paraId="4463B798" w14:textId="77777777" w:rsidR="00750F05" w:rsidRPr="00463C48" w:rsidRDefault="00750F05" w:rsidP="00EE53DF">
            <w:pPr>
              <w:tabs>
                <w:tab w:val="left" w:pos="360"/>
              </w:tabs>
              <w:contextualSpacing/>
              <w:rPr>
                <w:rFonts w:ascii="Palatino Linotype" w:hAnsi="Palatino Linotype"/>
                <w:sz w:val="96"/>
              </w:rPr>
            </w:pPr>
          </w:p>
        </w:tc>
        <w:tc>
          <w:tcPr>
            <w:tcW w:w="7826" w:type="dxa"/>
            <w:shd w:val="clear" w:color="auto" w:fill="F2F2F2" w:themeFill="background1" w:themeFillShade="F2"/>
          </w:tcPr>
          <w:p w14:paraId="40871072" w14:textId="77777777" w:rsidR="00750F05" w:rsidRDefault="00750F05" w:rsidP="00EE53DF">
            <w:pPr>
              <w:tabs>
                <w:tab w:val="left" w:pos="360"/>
              </w:tabs>
              <w:contextualSpacing/>
              <w:rPr>
                <w:rFonts w:ascii="Palatino Linotype" w:hAnsi="Palatino Linotype"/>
              </w:rPr>
            </w:pPr>
          </w:p>
          <w:p w14:paraId="188EB12B" w14:textId="77777777" w:rsidR="00750F05" w:rsidRDefault="00750F05" w:rsidP="00EE53DF">
            <w:pPr>
              <w:tabs>
                <w:tab w:val="left" w:pos="360"/>
              </w:tabs>
              <w:contextualSpacing/>
              <w:rPr>
                <w:rFonts w:ascii="Palatino Linotype" w:hAnsi="Palatino Linotype"/>
              </w:rPr>
            </w:pPr>
          </w:p>
          <w:p w14:paraId="352F8A99" w14:textId="77777777" w:rsidR="00750F05" w:rsidRDefault="00750F05" w:rsidP="00EE53DF">
            <w:pPr>
              <w:tabs>
                <w:tab w:val="left" w:pos="360"/>
              </w:tabs>
              <w:contextualSpacing/>
              <w:rPr>
                <w:rFonts w:ascii="Palatino Linotype" w:hAnsi="Palatino Linotype"/>
              </w:rPr>
            </w:pPr>
            <w:r>
              <w:rPr>
                <w:rFonts w:ascii="Palatino Linotype" w:hAnsi="Palatino Linotype"/>
              </w:rPr>
              <w:tab/>
              <w:t>Dr Paul Hahn</w:t>
            </w:r>
          </w:p>
          <w:p w14:paraId="7BE4F076" w14:textId="77777777" w:rsidR="00750F05" w:rsidRDefault="00750F05" w:rsidP="00EE53DF">
            <w:pPr>
              <w:tabs>
                <w:tab w:val="left" w:pos="360"/>
              </w:tabs>
              <w:contextualSpacing/>
              <w:rPr>
                <w:rFonts w:ascii="Palatino Linotype" w:hAnsi="Palatino Linotype"/>
              </w:rPr>
            </w:pPr>
            <w:r>
              <w:rPr>
                <w:rFonts w:ascii="Palatino Linotype" w:hAnsi="Palatino Linotype"/>
              </w:rPr>
              <w:tab/>
              <w:t>Theology Department</w:t>
            </w:r>
          </w:p>
          <w:p w14:paraId="18E9D9C1" w14:textId="77777777" w:rsidR="00750F05" w:rsidRDefault="00750F05" w:rsidP="00EE53DF">
            <w:pPr>
              <w:tabs>
                <w:tab w:val="left" w:pos="360"/>
              </w:tabs>
              <w:contextualSpacing/>
              <w:rPr>
                <w:rFonts w:ascii="Palatino Linotype" w:hAnsi="Palatino Linotype"/>
              </w:rPr>
            </w:pPr>
            <w:r>
              <w:rPr>
                <w:rFonts w:ascii="Palatino Linotype" w:hAnsi="Palatino Linotype"/>
              </w:rPr>
              <w:tab/>
              <w:t>University of St Thomas</w:t>
            </w:r>
          </w:p>
          <w:p w14:paraId="5E537064" w14:textId="77777777" w:rsidR="00750F05" w:rsidRDefault="00750F05" w:rsidP="00EE53DF">
            <w:pPr>
              <w:tabs>
                <w:tab w:val="left" w:pos="360"/>
              </w:tabs>
              <w:contextualSpacing/>
              <w:rPr>
                <w:rFonts w:ascii="Palatino Linotype" w:hAnsi="Palatino Linotype"/>
              </w:rPr>
            </w:pPr>
            <w:r>
              <w:rPr>
                <w:rFonts w:ascii="Palatino Linotype" w:hAnsi="Palatino Linotype"/>
              </w:rPr>
              <w:tab/>
              <w:t>Houston TX 77006</w:t>
            </w:r>
          </w:p>
          <w:p w14:paraId="420B9DC5" w14:textId="2614B174" w:rsidR="00750F05" w:rsidRDefault="00750F05" w:rsidP="00EE53DF">
            <w:pPr>
              <w:tabs>
                <w:tab w:val="left" w:pos="360"/>
              </w:tabs>
              <w:contextualSpacing/>
              <w:rPr>
                <w:rFonts w:ascii="Palatino Linotype" w:hAnsi="Palatino Linotype"/>
              </w:rPr>
            </w:pPr>
            <w:r>
              <w:rPr>
                <w:rFonts w:ascii="Palatino Linotype" w:hAnsi="Palatino Linotype"/>
              </w:rPr>
              <w:tab/>
              <w:t xml:space="preserve">© </w:t>
            </w:r>
            <w:r w:rsidR="00270448">
              <w:rPr>
                <w:rFonts w:ascii="Palatino Linotype" w:hAnsi="Palatino Linotype"/>
              </w:rPr>
              <w:t>1990</w:t>
            </w:r>
            <w:r w:rsidR="00E5413C">
              <w:rPr>
                <w:rFonts w:ascii="Palatino Linotype" w:hAnsi="Palatino Linotype"/>
              </w:rPr>
              <w:t>, theologyplus.com</w:t>
            </w:r>
          </w:p>
          <w:p w14:paraId="52B0688E" w14:textId="77777777" w:rsidR="00750F05" w:rsidRDefault="00750F05" w:rsidP="00EE53DF">
            <w:pPr>
              <w:tabs>
                <w:tab w:val="left" w:pos="360"/>
              </w:tabs>
              <w:contextualSpacing/>
              <w:rPr>
                <w:rFonts w:ascii="Palatino Linotype" w:hAnsi="Palatino Linotype"/>
              </w:rPr>
            </w:pPr>
          </w:p>
          <w:p w14:paraId="54A7EF32" w14:textId="77777777" w:rsidR="00750F05" w:rsidRPr="00463C48" w:rsidRDefault="00750F05" w:rsidP="00EE53DF">
            <w:pPr>
              <w:tabs>
                <w:tab w:val="left" w:pos="360"/>
              </w:tabs>
              <w:contextualSpacing/>
              <w:rPr>
                <w:rFonts w:ascii="Palatino Linotype" w:hAnsi="Palatino Linotype"/>
              </w:rPr>
            </w:pPr>
          </w:p>
        </w:tc>
      </w:tr>
    </w:tbl>
    <w:p w14:paraId="3981260A" w14:textId="77777777" w:rsidR="00750F05" w:rsidRDefault="00750F05">
      <w:pPr>
        <w:contextualSpacing/>
      </w:pPr>
    </w:p>
    <w:p w14:paraId="2A9D1258" w14:textId="77777777" w:rsidR="00BD14B1" w:rsidRDefault="00BD14B1">
      <w:pPr>
        <w:contextualSpacing/>
        <w:sectPr w:rsidR="00BD14B1" w:rsidSect="00932477">
          <w:footnotePr>
            <w:pos w:val="beneathText"/>
          </w:footnotePr>
          <w:type w:val="continuous"/>
          <w:pgSz w:w="12240" w:h="15840" w:code="1"/>
          <w:pgMar w:top="1440" w:right="1440" w:bottom="1440" w:left="1440" w:header="0" w:footer="0" w:gutter="0"/>
          <w:cols w:space="708"/>
          <w:docGrid w:linePitch="326"/>
        </w:sectPr>
      </w:pPr>
    </w:p>
    <w:p w14:paraId="66D58319" w14:textId="77777777" w:rsidR="00BD14B1" w:rsidRDefault="00BD14B1" w:rsidP="00BD14B1">
      <w:pPr>
        <w:jc w:val="center"/>
      </w:pPr>
      <w:r>
        <w:lastRenderedPageBreak/>
        <w:t>STRUCTURE IN RHETORICAL CRITICISM</w:t>
      </w:r>
    </w:p>
    <w:p w14:paraId="28133AB6" w14:textId="77777777" w:rsidR="00BD14B1" w:rsidRDefault="00BD14B1" w:rsidP="00BD14B1"/>
    <w:p w14:paraId="04C02FCA" w14:textId="77777777" w:rsidR="00BD14B1" w:rsidRDefault="00BD14B1" w:rsidP="00BD14B1"/>
    <w:p w14:paraId="5BF5F96D" w14:textId="77777777" w:rsidR="00BD14B1" w:rsidRDefault="00BD14B1" w:rsidP="00BD14B1"/>
    <w:p w14:paraId="066EA869" w14:textId="77777777" w:rsidR="00BD14B1" w:rsidRDefault="00BD14B1" w:rsidP="00BD14B1"/>
    <w:p w14:paraId="5E3F8781" w14:textId="77777777" w:rsidR="00BD14B1" w:rsidRDefault="00BD14B1" w:rsidP="00BD14B1"/>
    <w:p w14:paraId="463E4504" w14:textId="77777777" w:rsidR="00BD14B1" w:rsidRDefault="00BD14B1" w:rsidP="00BD14B1">
      <w:pPr>
        <w:jc w:val="center"/>
      </w:pPr>
      <w:r>
        <w:t>and</w:t>
      </w:r>
    </w:p>
    <w:p w14:paraId="5DEA8C88" w14:textId="77777777" w:rsidR="00BD14B1" w:rsidRDefault="00BD14B1">
      <w:pPr>
        <w:contextualSpacing/>
      </w:pPr>
    </w:p>
    <w:p w14:paraId="0A1E34B2" w14:textId="77777777" w:rsidR="00BD14B1" w:rsidRDefault="00BD14B1">
      <w:pPr>
        <w:contextualSpacing/>
      </w:pPr>
    </w:p>
    <w:p w14:paraId="43D84ABC" w14:textId="77777777" w:rsidR="00BD14B1" w:rsidRDefault="00BD14B1">
      <w:pPr>
        <w:contextualSpacing/>
      </w:pPr>
    </w:p>
    <w:p w14:paraId="5BB7DF5E" w14:textId="77777777" w:rsidR="00BD14B1" w:rsidRDefault="00BD14B1">
      <w:pPr>
        <w:contextualSpacing/>
      </w:pPr>
    </w:p>
    <w:p w14:paraId="38010785" w14:textId="77777777" w:rsidR="00BD14B1" w:rsidRDefault="00BD14B1">
      <w:pPr>
        <w:contextualSpacing/>
      </w:pPr>
    </w:p>
    <w:p w14:paraId="1A8A4226" w14:textId="77777777" w:rsidR="00BD14B1" w:rsidRDefault="00BD14B1" w:rsidP="00BD14B1">
      <w:pPr>
        <w:contextualSpacing/>
        <w:jc w:val="center"/>
      </w:pPr>
      <w:r>
        <w:t>THE STRUCTURE OF THE SERMON ON THE PLAIN</w:t>
      </w:r>
    </w:p>
    <w:p w14:paraId="4518748F" w14:textId="77777777" w:rsidR="00BD14B1" w:rsidRDefault="00BD14B1">
      <w:pPr>
        <w:contextualSpacing/>
      </w:pPr>
    </w:p>
    <w:p w14:paraId="563C7A19" w14:textId="77777777" w:rsidR="00BD14B1" w:rsidRDefault="00BD14B1" w:rsidP="00BD14B1">
      <w:pPr>
        <w:contextualSpacing/>
        <w:jc w:val="center"/>
      </w:pPr>
      <w:r>
        <w:t>(LUKE 6:20-49)</w:t>
      </w:r>
    </w:p>
    <w:p w14:paraId="6924FD5A" w14:textId="77777777" w:rsidR="00BD14B1" w:rsidRDefault="00BD14B1">
      <w:pPr>
        <w:contextualSpacing/>
      </w:pPr>
    </w:p>
    <w:p w14:paraId="4B185197" w14:textId="77777777" w:rsidR="00BD14B1" w:rsidRDefault="00BD14B1">
      <w:pPr>
        <w:contextualSpacing/>
      </w:pPr>
    </w:p>
    <w:p w14:paraId="7EFEFD45" w14:textId="77777777" w:rsidR="00BD14B1" w:rsidRDefault="00BD14B1">
      <w:pPr>
        <w:contextualSpacing/>
      </w:pPr>
    </w:p>
    <w:p w14:paraId="17474418" w14:textId="77777777" w:rsidR="00BD14B1" w:rsidRDefault="00BD14B1">
      <w:pPr>
        <w:contextualSpacing/>
      </w:pPr>
    </w:p>
    <w:p w14:paraId="240C024B" w14:textId="77777777" w:rsidR="00BD14B1" w:rsidRDefault="00BD14B1">
      <w:pPr>
        <w:contextualSpacing/>
      </w:pPr>
    </w:p>
    <w:p w14:paraId="7BC0CC36" w14:textId="77777777" w:rsidR="00BD14B1" w:rsidRDefault="00BD14B1">
      <w:pPr>
        <w:contextualSpacing/>
      </w:pPr>
    </w:p>
    <w:p w14:paraId="2E673312" w14:textId="77777777" w:rsidR="00BD14B1" w:rsidRDefault="00BD14B1">
      <w:pPr>
        <w:contextualSpacing/>
      </w:pPr>
    </w:p>
    <w:p w14:paraId="481F1254" w14:textId="77777777" w:rsidR="00BD14B1" w:rsidRDefault="00BD14B1">
      <w:pPr>
        <w:contextualSpacing/>
      </w:pPr>
    </w:p>
    <w:p w14:paraId="6B0F03B8" w14:textId="77777777" w:rsidR="00BD14B1" w:rsidRDefault="00BD14B1">
      <w:pPr>
        <w:contextualSpacing/>
      </w:pPr>
    </w:p>
    <w:p w14:paraId="3A0E9691" w14:textId="77777777" w:rsidR="00BD14B1" w:rsidRDefault="00BD14B1">
      <w:pPr>
        <w:contextualSpacing/>
      </w:pPr>
    </w:p>
    <w:p w14:paraId="5CB301BB" w14:textId="77777777" w:rsidR="00BD14B1" w:rsidRDefault="00BD14B1">
      <w:pPr>
        <w:contextualSpacing/>
      </w:pPr>
    </w:p>
    <w:p w14:paraId="5A564098" w14:textId="77777777" w:rsidR="00BD14B1" w:rsidRDefault="00BD14B1">
      <w:pPr>
        <w:contextualSpacing/>
      </w:pPr>
    </w:p>
    <w:p w14:paraId="39F8E302" w14:textId="77777777" w:rsidR="00BD14B1" w:rsidRDefault="00BD14B1">
      <w:pPr>
        <w:contextualSpacing/>
      </w:pPr>
    </w:p>
    <w:p w14:paraId="1C298AC3" w14:textId="77777777" w:rsidR="00BD14B1" w:rsidRDefault="00BD14B1">
      <w:pPr>
        <w:contextualSpacing/>
      </w:pPr>
    </w:p>
    <w:p w14:paraId="00BD15D0" w14:textId="77777777" w:rsidR="00BD14B1" w:rsidRDefault="00BD14B1">
      <w:pPr>
        <w:contextualSpacing/>
      </w:pPr>
    </w:p>
    <w:p w14:paraId="70FA7E2A" w14:textId="77777777" w:rsidR="00BD14B1" w:rsidRDefault="00BD14B1" w:rsidP="00BD14B1">
      <w:pPr>
        <w:contextualSpacing/>
        <w:jc w:val="center"/>
      </w:pPr>
      <w:r>
        <w:t>July 1990</w:t>
      </w:r>
    </w:p>
    <w:p w14:paraId="54C6F48A" w14:textId="77777777" w:rsidR="00BD14B1" w:rsidRDefault="00BD14B1">
      <w:pPr>
        <w:contextualSpacing/>
      </w:pPr>
    </w:p>
    <w:p w14:paraId="6FA02B12" w14:textId="77777777" w:rsidR="00BD14B1" w:rsidRDefault="00BD14B1">
      <w:pPr>
        <w:contextualSpacing/>
      </w:pPr>
    </w:p>
    <w:p w14:paraId="6EA142AE" w14:textId="77777777" w:rsidR="00BD14B1" w:rsidRDefault="00BD14B1">
      <w:pPr>
        <w:contextualSpacing/>
      </w:pPr>
    </w:p>
    <w:p w14:paraId="3B87F1D7" w14:textId="77777777" w:rsidR="00BD14B1" w:rsidRDefault="00BD14B1">
      <w:pPr>
        <w:contextualSpacing/>
      </w:pPr>
    </w:p>
    <w:p w14:paraId="69559CD8" w14:textId="77777777" w:rsidR="00BD14B1" w:rsidRDefault="00BD14B1">
      <w:pPr>
        <w:contextualSpacing/>
      </w:pPr>
    </w:p>
    <w:p w14:paraId="146EFF36" w14:textId="77777777" w:rsidR="00BD14B1" w:rsidRDefault="00BD14B1" w:rsidP="00BD14B1">
      <w:pPr>
        <w:contextualSpacing/>
        <w:jc w:val="center"/>
      </w:pPr>
      <w:r>
        <w:t>Paul Hahn</w:t>
      </w:r>
    </w:p>
    <w:p w14:paraId="01416DF2" w14:textId="77777777" w:rsidR="00BD14B1" w:rsidRDefault="00BD14B1">
      <w:pPr>
        <w:contextualSpacing/>
      </w:pPr>
    </w:p>
    <w:p w14:paraId="4623A0A6" w14:textId="77777777" w:rsidR="00BD14B1" w:rsidRDefault="00BD14B1">
      <w:pPr>
        <w:contextualSpacing/>
      </w:pPr>
    </w:p>
    <w:p w14:paraId="5FD6E1F0" w14:textId="77777777" w:rsidR="00BD14B1" w:rsidRDefault="00BD14B1" w:rsidP="00BD14B1">
      <w:pPr>
        <w:contextualSpacing/>
        <w:jc w:val="center"/>
      </w:pPr>
      <w:r>
        <w:t>Department of Religious Studies</w:t>
      </w:r>
    </w:p>
    <w:p w14:paraId="51A68D20" w14:textId="77777777" w:rsidR="00BD14B1" w:rsidRDefault="00BD14B1">
      <w:pPr>
        <w:contextualSpacing/>
      </w:pPr>
    </w:p>
    <w:p w14:paraId="7D80F5C3" w14:textId="77777777" w:rsidR="00BD14B1" w:rsidRDefault="00BD14B1" w:rsidP="00BD14B1">
      <w:pPr>
        <w:contextualSpacing/>
        <w:jc w:val="center"/>
      </w:pPr>
      <w:r>
        <w:t>Marquette University</w:t>
      </w:r>
    </w:p>
    <w:p w14:paraId="576144AE" w14:textId="77777777" w:rsidR="00BD14B1" w:rsidRDefault="00BD14B1">
      <w:pPr>
        <w:contextualSpacing/>
      </w:pPr>
    </w:p>
    <w:p w14:paraId="4994B761" w14:textId="77777777" w:rsidR="00BD14B1" w:rsidRDefault="00BD14B1" w:rsidP="00BD14B1">
      <w:pPr>
        <w:contextualSpacing/>
        <w:jc w:val="center"/>
      </w:pPr>
      <w:r>
        <w:t>Milwaukee WI 53233</w:t>
      </w:r>
    </w:p>
    <w:p w14:paraId="694BDADA" w14:textId="77777777" w:rsidR="00BD14B1" w:rsidRDefault="00BD14B1" w:rsidP="00BD14B1">
      <w:pPr>
        <w:contextualSpacing/>
      </w:pPr>
    </w:p>
    <w:p w14:paraId="1E17DC80" w14:textId="77777777" w:rsidR="00BD14B1" w:rsidRDefault="00BD14B1">
      <w:pPr>
        <w:sectPr w:rsidR="00BD14B1" w:rsidSect="00BD14B1">
          <w:footnotePr>
            <w:pos w:val="beneathText"/>
          </w:footnotePr>
          <w:pgSz w:w="12240" w:h="15840" w:code="1"/>
          <w:pgMar w:top="1440" w:right="1440" w:bottom="1440" w:left="1440" w:header="0" w:footer="0" w:gutter="0"/>
          <w:cols w:space="708"/>
          <w:docGrid w:linePitch="326"/>
        </w:sectPr>
      </w:pPr>
    </w:p>
    <w:p w14:paraId="1472E548" w14:textId="77777777" w:rsidR="0018433B" w:rsidRPr="007C0D31" w:rsidRDefault="0018433B" w:rsidP="0018433B">
      <w:pPr>
        <w:pStyle w:val="Style"/>
        <w:widowControl/>
        <w:jc w:val="center"/>
        <w:textAlignment w:val="baseline"/>
        <w:rPr>
          <w:szCs w:val="25"/>
        </w:rPr>
      </w:pPr>
      <w:r w:rsidRPr="007C0D31">
        <w:rPr>
          <w:szCs w:val="25"/>
        </w:rPr>
        <w:lastRenderedPageBreak/>
        <w:t>TABLE of CONTENTS</w:t>
      </w:r>
    </w:p>
    <w:sdt>
      <w:sdtPr>
        <w:rPr>
          <w:rFonts w:eastAsiaTheme="minorHAnsi" w:cs="Times New Roman"/>
          <w:bCs w:val="0"/>
          <w:caps w:val="0"/>
          <w:szCs w:val="24"/>
          <w:lang w:bidi="ar-SA"/>
          <w14:ligatures w14:val="none"/>
        </w:rPr>
        <w:id w:val="900875937"/>
        <w:docPartObj>
          <w:docPartGallery w:val="Table of Contents"/>
          <w:docPartUnique/>
        </w:docPartObj>
      </w:sdtPr>
      <w:sdtEndPr>
        <w:rPr>
          <w:b/>
          <w:noProof/>
        </w:rPr>
      </w:sdtEndPr>
      <w:sdtContent>
        <w:p w14:paraId="10CD527F" w14:textId="700FB1CF" w:rsidR="00B8667C" w:rsidRDefault="00B8667C" w:rsidP="00B8667C">
          <w:pPr>
            <w:pStyle w:val="TOCHeading"/>
            <w:jc w:val="both"/>
          </w:pPr>
        </w:p>
        <w:p w14:paraId="3A20E837" w14:textId="1D704EB6" w:rsidR="00B8667C" w:rsidRDefault="00B8667C" w:rsidP="00B8667C">
          <w:pPr>
            <w:pStyle w:val="TOC1"/>
            <w:rPr>
              <w:rFonts w:asciiTheme="minorHAnsi" w:eastAsiaTheme="minorEastAsia" w:hAnsiTheme="minorHAnsi" w:cstheme="minorBidi"/>
              <w:noProof/>
              <w:sz w:val="22"/>
              <w:szCs w:val="22"/>
              <w14:ligatures w14:val="standardContextual"/>
            </w:rPr>
          </w:pPr>
          <w:r>
            <w:fldChar w:fldCharType="begin"/>
          </w:r>
          <w:r>
            <w:instrText xml:space="preserve"> TOC \o "1-3" \h \z \u </w:instrText>
          </w:r>
          <w:r>
            <w:fldChar w:fldCharType="separate"/>
          </w:r>
          <w:hyperlink w:anchor="_Toc147618587" w:history="1">
            <w:r w:rsidRPr="00D2568D">
              <w:rPr>
                <w:rStyle w:val="Hyperlink"/>
                <w:noProof/>
              </w:rPr>
              <w:t>Abstract</w:t>
            </w:r>
            <w:r>
              <w:rPr>
                <w:noProof/>
                <w:webHidden/>
              </w:rPr>
              <w:tab/>
            </w:r>
            <w:r>
              <w:rPr>
                <w:noProof/>
                <w:webHidden/>
              </w:rPr>
              <w:fldChar w:fldCharType="begin"/>
            </w:r>
            <w:r>
              <w:rPr>
                <w:noProof/>
                <w:webHidden/>
              </w:rPr>
              <w:instrText xml:space="preserve"> PAGEREF _Toc147618587 \h </w:instrText>
            </w:r>
            <w:r>
              <w:rPr>
                <w:noProof/>
                <w:webHidden/>
              </w:rPr>
            </w:r>
            <w:r>
              <w:rPr>
                <w:noProof/>
                <w:webHidden/>
              </w:rPr>
              <w:fldChar w:fldCharType="separate"/>
            </w:r>
            <w:r w:rsidR="001627D3">
              <w:rPr>
                <w:noProof/>
                <w:webHidden/>
              </w:rPr>
              <w:t>5</w:t>
            </w:r>
            <w:r>
              <w:rPr>
                <w:noProof/>
                <w:webHidden/>
              </w:rPr>
              <w:fldChar w:fldCharType="end"/>
            </w:r>
          </w:hyperlink>
        </w:p>
        <w:p w14:paraId="1B796225" w14:textId="792AE2AC" w:rsidR="00B8667C" w:rsidRDefault="00B8667C" w:rsidP="00B8667C">
          <w:pPr>
            <w:pStyle w:val="TOC1"/>
            <w:rPr>
              <w:rFonts w:asciiTheme="minorHAnsi" w:eastAsiaTheme="minorEastAsia" w:hAnsiTheme="minorHAnsi" w:cstheme="minorBidi"/>
              <w:noProof/>
              <w:sz w:val="22"/>
              <w:szCs w:val="22"/>
              <w14:ligatures w14:val="standardContextual"/>
            </w:rPr>
          </w:pPr>
          <w:hyperlink w:anchor="_Toc147618588" w:history="1">
            <w:r w:rsidRPr="00D2568D">
              <w:rPr>
                <w:rStyle w:val="Hyperlink"/>
                <w:noProof/>
              </w:rPr>
              <w:t>Chapter 1: Introduction</w:t>
            </w:r>
            <w:r>
              <w:rPr>
                <w:noProof/>
                <w:webHidden/>
              </w:rPr>
              <w:tab/>
            </w:r>
            <w:r>
              <w:rPr>
                <w:noProof/>
                <w:webHidden/>
              </w:rPr>
              <w:fldChar w:fldCharType="begin"/>
            </w:r>
            <w:r>
              <w:rPr>
                <w:noProof/>
                <w:webHidden/>
              </w:rPr>
              <w:instrText xml:space="preserve"> PAGEREF _Toc147618588 \h </w:instrText>
            </w:r>
            <w:r>
              <w:rPr>
                <w:noProof/>
                <w:webHidden/>
              </w:rPr>
            </w:r>
            <w:r>
              <w:rPr>
                <w:noProof/>
                <w:webHidden/>
              </w:rPr>
              <w:fldChar w:fldCharType="separate"/>
            </w:r>
            <w:r w:rsidR="001627D3">
              <w:rPr>
                <w:noProof/>
                <w:webHidden/>
              </w:rPr>
              <w:t>6</w:t>
            </w:r>
            <w:r>
              <w:rPr>
                <w:noProof/>
                <w:webHidden/>
              </w:rPr>
              <w:fldChar w:fldCharType="end"/>
            </w:r>
          </w:hyperlink>
        </w:p>
        <w:p w14:paraId="1AB6E8F4" w14:textId="67E2EF40" w:rsidR="00B8667C" w:rsidRDefault="00B8667C" w:rsidP="00B8667C">
          <w:pPr>
            <w:pStyle w:val="TOC1"/>
            <w:rPr>
              <w:rFonts w:asciiTheme="minorHAnsi" w:eastAsiaTheme="minorEastAsia" w:hAnsiTheme="minorHAnsi" w:cstheme="minorBidi"/>
              <w:noProof/>
              <w:sz w:val="22"/>
              <w:szCs w:val="22"/>
              <w14:ligatures w14:val="standardContextual"/>
            </w:rPr>
          </w:pPr>
          <w:hyperlink w:anchor="_Toc147618589" w:history="1">
            <w:r w:rsidRPr="00D2568D">
              <w:rPr>
                <w:rStyle w:val="Hyperlink"/>
                <w:noProof/>
              </w:rPr>
              <w:t>Part 1: Theory: Structure in Rhetorical Criticism</w:t>
            </w:r>
            <w:r>
              <w:rPr>
                <w:noProof/>
                <w:webHidden/>
              </w:rPr>
              <w:tab/>
            </w:r>
            <w:r>
              <w:rPr>
                <w:noProof/>
                <w:webHidden/>
              </w:rPr>
              <w:fldChar w:fldCharType="begin"/>
            </w:r>
            <w:r>
              <w:rPr>
                <w:noProof/>
                <w:webHidden/>
              </w:rPr>
              <w:instrText xml:space="preserve"> PAGEREF _Toc147618589 \h </w:instrText>
            </w:r>
            <w:r>
              <w:rPr>
                <w:noProof/>
                <w:webHidden/>
              </w:rPr>
            </w:r>
            <w:r>
              <w:rPr>
                <w:noProof/>
                <w:webHidden/>
              </w:rPr>
              <w:fldChar w:fldCharType="separate"/>
            </w:r>
            <w:r w:rsidR="001627D3">
              <w:rPr>
                <w:noProof/>
                <w:webHidden/>
              </w:rPr>
              <w:t>12</w:t>
            </w:r>
            <w:r>
              <w:rPr>
                <w:noProof/>
                <w:webHidden/>
              </w:rPr>
              <w:fldChar w:fldCharType="end"/>
            </w:r>
          </w:hyperlink>
        </w:p>
        <w:p w14:paraId="7613A55D" w14:textId="59DAD298" w:rsidR="00B8667C" w:rsidRDefault="00B8667C" w:rsidP="00B8667C">
          <w:pPr>
            <w:pStyle w:val="TOC1"/>
            <w:rPr>
              <w:rFonts w:asciiTheme="minorHAnsi" w:eastAsiaTheme="minorEastAsia" w:hAnsiTheme="minorHAnsi" w:cstheme="minorBidi"/>
              <w:noProof/>
              <w:sz w:val="22"/>
              <w:szCs w:val="22"/>
              <w14:ligatures w14:val="standardContextual"/>
            </w:rPr>
          </w:pPr>
          <w:hyperlink w:anchor="_Toc147618590" w:history="1">
            <w:r w:rsidRPr="00D2568D">
              <w:rPr>
                <w:rStyle w:val="Hyperlink"/>
                <w:noProof/>
              </w:rPr>
              <w:t>Chapter 2: The Significance of Structure in Recent Thought</w:t>
            </w:r>
            <w:r>
              <w:rPr>
                <w:noProof/>
                <w:webHidden/>
              </w:rPr>
              <w:tab/>
            </w:r>
            <w:r>
              <w:rPr>
                <w:noProof/>
                <w:webHidden/>
              </w:rPr>
              <w:fldChar w:fldCharType="begin"/>
            </w:r>
            <w:r>
              <w:rPr>
                <w:noProof/>
                <w:webHidden/>
              </w:rPr>
              <w:instrText xml:space="preserve"> PAGEREF _Toc147618590 \h </w:instrText>
            </w:r>
            <w:r>
              <w:rPr>
                <w:noProof/>
                <w:webHidden/>
              </w:rPr>
            </w:r>
            <w:r>
              <w:rPr>
                <w:noProof/>
                <w:webHidden/>
              </w:rPr>
              <w:fldChar w:fldCharType="separate"/>
            </w:r>
            <w:r w:rsidR="001627D3">
              <w:rPr>
                <w:noProof/>
                <w:webHidden/>
              </w:rPr>
              <w:t>13</w:t>
            </w:r>
            <w:r>
              <w:rPr>
                <w:noProof/>
                <w:webHidden/>
              </w:rPr>
              <w:fldChar w:fldCharType="end"/>
            </w:r>
          </w:hyperlink>
        </w:p>
        <w:p w14:paraId="6ABBE0FC" w14:textId="5FBCFC4B" w:rsidR="00B8667C" w:rsidRDefault="00B8667C">
          <w:pPr>
            <w:pStyle w:val="TOC2"/>
            <w:tabs>
              <w:tab w:val="right" w:leader="dot" w:pos="9350"/>
            </w:tabs>
            <w:rPr>
              <w:rFonts w:asciiTheme="minorHAnsi" w:eastAsiaTheme="minorEastAsia" w:hAnsiTheme="minorHAnsi" w:cstheme="minorBidi"/>
              <w:noProof/>
              <w:sz w:val="22"/>
              <w:szCs w:val="22"/>
              <w14:ligatures w14:val="standardContextual"/>
            </w:rPr>
          </w:pPr>
          <w:hyperlink w:anchor="_Toc147618591" w:history="1">
            <w:r w:rsidRPr="00D2568D">
              <w:rPr>
                <w:rStyle w:val="Hyperlink"/>
                <w:noProof/>
              </w:rPr>
              <w:t>1. Structure Outside Literary Studies</w:t>
            </w:r>
            <w:r>
              <w:rPr>
                <w:noProof/>
                <w:webHidden/>
              </w:rPr>
              <w:tab/>
            </w:r>
            <w:r>
              <w:rPr>
                <w:noProof/>
                <w:webHidden/>
              </w:rPr>
              <w:fldChar w:fldCharType="begin"/>
            </w:r>
            <w:r>
              <w:rPr>
                <w:noProof/>
                <w:webHidden/>
              </w:rPr>
              <w:instrText xml:space="preserve"> PAGEREF _Toc147618591 \h </w:instrText>
            </w:r>
            <w:r>
              <w:rPr>
                <w:noProof/>
                <w:webHidden/>
              </w:rPr>
            </w:r>
            <w:r>
              <w:rPr>
                <w:noProof/>
                <w:webHidden/>
              </w:rPr>
              <w:fldChar w:fldCharType="separate"/>
            </w:r>
            <w:r w:rsidR="001627D3">
              <w:rPr>
                <w:noProof/>
                <w:webHidden/>
              </w:rPr>
              <w:t>14</w:t>
            </w:r>
            <w:r>
              <w:rPr>
                <w:noProof/>
                <w:webHidden/>
              </w:rPr>
              <w:fldChar w:fldCharType="end"/>
            </w:r>
          </w:hyperlink>
        </w:p>
        <w:p w14:paraId="44B31BA8" w14:textId="0A7B33EB" w:rsidR="00B8667C" w:rsidRDefault="00B8667C">
          <w:pPr>
            <w:pStyle w:val="TOC2"/>
            <w:tabs>
              <w:tab w:val="right" w:leader="dot" w:pos="9350"/>
            </w:tabs>
            <w:rPr>
              <w:rFonts w:asciiTheme="minorHAnsi" w:eastAsiaTheme="minorEastAsia" w:hAnsiTheme="minorHAnsi" w:cstheme="minorBidi"/>
              <w:noProof/>
              <w:sz w:val="22"/>
              <w:szCs w:val="22"/>
              <w14:ligatures w14:val="standardContextual"/>
            </w:rPr>
          </w:pPr>
          <w:hyperlink w:anchor="_Toc147618592" w:history="1">
            <w:r w:rsidRPr="00D2568D">
              <w:rPr>
                <w:rStyle w:val="Hyperlink"/>
                <w:noProof/>
              </w:rPr>
              <w:t>2. Structure in Literary Criticism</w:t>
            </w:r>
            <w:r>
              <w:rPr>
                <w:noProof/>
                <w:webHidden/>
              </w:rPr>
              <w:tab/>
            </w:r>
            <w:r>
              <w:rPr>
                <w:noProof/>
                <w:webHidden/>
              </w:rPr>
              <w:fldChar w:fldCharType="begin"/>
            </w:r>
            <w:r>
              <w:rPr>
                <w:noProof/>
                <w:webHidden/>
              </w:rPr>
              <w:instrText xml:space="preserve"> PAGEREF _Toc147618592 \h </w:instrText>
            </w:r>
            <w:r>
              <w:rPr>
                <w:noProof/>
                <w:webHidden/>
              </w:rPr>
            </w:r>
            <w:r>
              <w:rPr>
                <w:noProof/>
                <w:webHidden/>
              </w:rPr>
              <w:fldChar w:fldCharType="separate"/>
            </w:r>
            <w:r w:rsidR="001627D3">
              <w:rPr>
                <w:noProof/>
                <w:webHidden/>
              </w:rPr>
              <w:t>19</w:t>
            </w:r>
            <w:r>
              <w:rPr>
                <w:noProof/>
                <w:webHidden/>
              </w:rPr>
              <w:fldChar w:fldCharType="end"/>
            </w:r>
          </w:hyperlink>
        </w:p>
        <w:p w14:paraId="2638DC64" w14:textId="45E8A07D" w:rsidR="00B8667C" w:rsidRDefault="00B8667C" w:rsidP="00B8667C">
          <w:pPr>
            <w:pStyle w:val="TOC1"/>
            <w:rPr>
              <w:rFonts w:asciiTheme="minorHAnsi" w:eastAsiaTheme="minorEastAsia" w:hAnsiTheme="minorHAnsi" w:cstheme="minorBidi"/>
              <w:noProof/>
              <w:sz w:val="22"/>
              <w:szCs w:val="22"/>
              <w14:ligatures w14:val="standardContextual"/>
            </w:rPr>
          </w:pPr>
          <w:hyperlink w:anchor="_Toc147618593" w:history="1">
            <w:r w:rsidRPr="00D2568D">
              <w:rPr>
                <w:rStyle w:val="Hyperlink"/>
                <w:noProof/>
              </w:rPr>
              <w:t>Chapter 3: Rhetoric and Rhetorical Criticism</w:t>
            </w:r>
            <w:r>
              <w:rPr>
                <w:noProof/>
                <w:webHidden/>
              </w:rPr>
              <w:tab/>
            </w:r>
            <w:r>
              <w:rPr>
                <w:noProof/>
                <w:webHidden/>
              </w:rPr>
              <w:fldChar w:fldCharType="begin"/>
            </w:r>
            <w:r>
              <w:rPr>
                <w:noProof/>
                <w:webHidden/>
              </w:rPr>
              <w:instrText xml:space="preserve"> PAGEREF _Toc147618593 \h </w:instrText>
            </w:r>
            <w:r>
              <w:rPr>
                <w:noProof/>
                <w:webHidden/>
              </w:rPr>
            </w:r>
            <w:r>
              <w:rPr>
                <w:noProof/>
                <w:webHidden/>
              </w:rPr>
              <w:fldChar w:fldCharType="separate"/>
            </w:r>
            <w:r w:rsidR="001627D3">
              <w:rPr>
                <w:noProof/>
                <w:webHidden/>
              </w:rPr>
              <w:t>30</w:t>
            </w:r>
            <w:r>
              <w:rPr>
                <w:noProof/>
                <w:webHidden/>
              </w:rPr>
              <w:fldChar w:fldCharType="end"/>
            </w:r>
          </w:hyperlink>
        </w:p>
        <w:p w14:paraId="6E6BB26E" w14:textId="1874A3D3" w:rsidR="00B8667C" w:rsidRDefault="00B8667C">
          <w:pPr>
            <w:pStyle w:val="TOC2"/>
            <w:tabs>
              <w:tab w:val="right" w:leader="dot" w:pos="9350"/>
            </w:tabs>
            <w:rPr>
              <w:rFonts w:asciiTheme="minorHAnsi" w:eastAsiaTheme="minorEastAsia" w:hAnsiTheme="minorHAnsi" w:cstheme="minorBidi"/>
              <w:noProof/>
              <w:sz w:val="22"/>
              <w:szCs w:val="22"/>
              <w14:ligatures w14:val="standardContextual"/>
            </w:rPr>
          </w:pPr>
          <w:hyperlink w:anchor="_Toc147618594" w:history="1">
            <w:r w:rsidRPr="00D2568D">
              <w:rPr>
                <w:rStyle w:val="Hyperlink"/>
                <w:noProof/>
              </w:rPr>
              <w:t>1. “Rhetoric”</w:t>
            </w:r>
            <w:r>
              <w:rPr>
                <w:noProof/>
                <w:webHidden/>
              </w:rPr>
              <w:tab/>
            </w:r>
            <w:r>
              <w:rPr>
                <w:noProof/>
                <w:webHidden/>
              </w:rPr>
              <w:fldChar w:fldCharType="begin"/>
            </w:r>
            <w:r>
              <w:rPr>
                <w:noProof/>
                <w:webHidden/>
              </w:rPr>
              <w:instrText xml:space="preserve"> PAGEREF _Toc147618594 \h </w:instrText>
            </w:r>
            <w:r>
              <w:rPr>
                <w:noProof/>
                <w:webHidden/>
              </w:rPr>
            </w:r>
            <w:r>
              <w:rPr>
                <w:noProof/>
                <w:webHidden/>
              </w:rPr>
              <w:fldChar w:fldCharType="separate"/>
            </w:r>
            <w:r w:rsidR="001627D3">
              <w:rPr>
                <w:noProof/>
                <w:webHidden/>
              </w:rPr>
              <w:t>30</w:t>
            </w:r>
            <w:r>
              <w:rPr>
                <w:noProof/>
                <w:webHidden/>
              </w:rPr>
              <w:fldChar w:fldCharType="end"/>
            </w:r>
          </w:hyperlink>
        </w:p>
        <w:p w14:paraId="34A91874" w14:textId="22460A80" w:rsidR="00B8667C" w:rsidRDefault="00B8667C">
          <w:pPr>
            <w:pStyle w:val="TOC2"/>
            <w:tabs>
              <w:tab w:val="right" w:leader="dot" w:pos="9350"/>
            </w:tabs>
            <w:rPr>
              <w:rFonts w:asciiTheme="minorHAnsi" w:eastAsiaTheme="minorEastAsia" w:hAnsiTheme="minorHAnsi" w:cstheme="minorBidi"/>
              <w:noProof/>
              <w:sz w:val="22"/>
              <w:szCs w:val="22"/>
              <w14:ligatures w14:val="standardContextual"/>
            </w:rPr>
          </w:pPr>
          <w:hyperlink w:anchor="_Toc147618595" w:history="1">
            <w:r w:rsidRPr="00D2568D">
              <w:rPr>
                <w:rStyle w:val="Hyperlink"/>
                <w:noProof/>
              </w:rPr>
              <w:t>2. “Rhetorical Criticism”</w:t>
            </w:r>
            <w:r>
              <w:rPr>
                <w:noProof/>
                <w:webHidden/>
              </w:rPr>
              <w:tab/>
            </w:r>
            <w:r>
              <w:rPr>
                <w:noProof/>
                <w:webHidden/>
              </w:rPr>
              <w:fldChar w:fldCharType="begin"/>
            </w:r>
            <w:r>
              <w:rPr>
                <w:noProof/>
                <w:webHidden/>
              </w:rPr>
              <w:instrText xml:space="preserve"> PAGEREF _Toc147618595 \h </w:instrText>
            </w:r>
            <w:r>
              <w:rPr>
                <w:noProof/>
                <w:webHidden/>
              </w:rPr>
            </w:r>
            <w:r>
              <w:rPr>
                <w:noProof/>
                <w:webHidden/>
              </w:rPr>
              <w:fldChar w:fldCharType="separate"/>
            </w:r>
            <w:r w:rsidR="001627D3">
              <w:rPr>
                <w:noProof/>
                <w:webHidden/>
              </w:rPr>
              <w:t>34</w:t>
            </w:r>
            <w:r>
              <w:rPr>
                <w:noProof/>
                <w:webHidden/>
              </w:rPr>
              <w:fldChar w:fldCharType="end"/>
            </w:r>
          </w:hyperlink>
        </w:p>
        <w:p w14:paraId="561BE298" w14:textId="4735CFAB" w:rsidR="00B8667C" w:rsidRDefault="00B8667C">
          <w:pPr>
            <w:pStyle w:val="TOC2"/>
            <w:tabs>
              <w:tab w:val="right" w:leader="dot" w:pos="9350"/>
            </w:tabs>
            <w:rPr>
              <w:rFonts w:asciiTheme="minorHAnsi" w:eastAsiaTheme="minorEastAsia" w:hAnsiTheme="minorHAnsi" w:cstheme="minorBidi"/>
              <w:noProof/>
              <w:sz w:val="22"/>
              <w:szCs w:val="22"/>
              <w14:ligatures w14:val="standardContextual"/>
            </w:rPr>
          </w:pPr>
          <w:hyperlink w:anchor="_Toc147618596" w:history="1">
            <w:r w:rsidRPr="00D2568D">
              <w:rPr>
                <w:rStyle w:val="Hyperlink"/>
                <w:noProof/>
              </w:rPr>
              <w:t>3. Structure in Rhetoric</w:t>
            </w:r>
            <w:r>
              <w:rPr>
                <w:noProof/>
                <w:webHidden/>
              </w:rPr>
              <w:tab/>
            </w:r>
            <w:r>
              <w:rPr>
                <w:noProof/>
                <w:webHidden/>
              </w:rPr>
              <w:fldChar w:fldCharType="begin"/>
            </w:r>
            <w:r>
              <w:rPr>
                <w:noProof/>
                <w:webHidden/>
              </w:rPr>
              <w:instrText xml:space="preserve"> PAGEREF _Toc147618596 \h </w:instrText>
            </w:r>
            <w:r>
              <w:rPr>
                <w:noProof/>
                <w:webHidden/>
              </w:rPr>
            </w:r>
            <w:r>
              <w:rPr>
                <w:noProof/>
                <w:webHidden/>
              </w:rPr>
              <w:fldChar w:fldCharType="separate"/>
            </w:r>
            <w:r w:rsidR="001627D3">
              <w:rPr>
                <w:noProof/>
                <w:webHidden/>
              </w:rPr>
              <w:t>38</w:t>
            </w:r>
            <w:r>
              <w:rPr>
                <w:noProof/>
                <w:webHidden/>
              </w:rPr>
              <w:fldChar w:fldCharType="end"/>
            </w:r>
          </w:hyperlink>
        </w:p>
        <w:p w14:paraId="145C7551" w14:textId="0ACEE8E6" w:rsidR="00B8667C" w:rsidRDefault="00B8667C" w:rsidP="00B8667C">
          <w:pPr>
            <w:pStyle w:val="TOC1"/>
            <w:rPr>
              <w:rFonts w:asciiTheme="minorHAnsi" w:eastAsiaTheme="minorEastAsia" w:hAnsiTheme="minorHAnsi" w:cstheme="minorBidi"/>
              <w:noProof/>
              <w:sz w:val="22"/>
              <w:szCs w:val="22"/>
              <w14:ligatures w14:val="standardContextual"/>
            </w:rPr>
          </w:pPr>
          <w:hyperlink w:anchor="_Toc147618597" w:history="1">
            <w:r w:rsidRPr="00D2568D">
              <w:rPr>
                <w:rStyle w:val="Hyperlink"/>
                <w:noProof/>
              </w:rPr>
              <w:t>Chapter 4: A Typology of Rhetorical Structures:</w:t>
            </w:r>
            <w:r>
              <w:rPr>
                <w:rStyle w:val="Hyperlink"/>
                <w:noProof/>
              </w:rPr>
              <w:t xml:space="preserve"> </w:t>
            </w:r>
          </w:hyperlink>
          <w:hyperlink w:anchor="_Toc147618598" w:history="1">
            <w:r w:rsidRPr="00D2568D">
              <w:rPr>
                <w:rStyle w:val="Hyperlink"/>
                <w:noProof/>
              </w:rPr>
              <w:t>Formal Criteria</w:t>
            </w:r>
            <w:r>
              <w:rPr>
                <w:noProof/>
                <w:webHidden/>
              </w:rPr>
              <w:tab/>
            </w:r>
            <w:r>
              <w:rPr>
                <w:noProof/>
                <w:webHidden/>
              </w:rPr>
              <w:fldChar w:fldCharType="begin"/>
            </w:r>
            <w:r>
              <w:rPr>
                <w:noProof/>
                <w:webHidden/>
              </w:rPr>
              <w:instrText xml:space="preserve"> PAGEREF _Toc147618598 \h </w:instrText>
            </w:r>
            <w:r>
              <w:rPr>
                <w:noProof/>
                <w:webHidden/>
              </w:rPr>
            </w:r>
            <w:r>
              <w:rPr>
                <w:noProof/>
                <w:webHidden/>
              </w:rPr>
              <w:fldChar w:fldCharType="separate"/>
            </w:r>
            <w:r w:rsidR="001627D3">
              <w:rPr>
                <w:noProof/>
                <w:webHidden/>
              </w:rPr>
              <w:t>43</w:t>
            </w:r>
            <w:r>
              <w:rPr>
                <w:noProof/>
                <w:webHidden/>
              </w:rPr>
              <w:fldChar w:fldCharType="end"/>
            </w:r>
          </w:hyperlink>
        </w:p>
        <w:p w14:paraId="3A0D6876" w14:textId="70BA3F9F" w:rsidR="00B8667C" w:rsidRDefault="00B8667C">
          <w:pPr>
            <w:pStyle w:val="TOC2"/>
            <w:tabs>
              <w:tab w:val="right" w:leader="dot" w:pos="9350"/>
            </w:tabs>
            <w:rPr>
              <w:rFonts w:asciiTheme="minorHAnsi" w:eastAsiaTheme="minorEastAsia" w:hAnsiTheme="minorHAnsi" w:cstheme="minorBidi"/>
              <w:noProof/>
              <w:sz w:val="22"/>
              <w:szCs w:val="22"/>
              <w14:ligatures w14:val="standardContextual"/>
            </w:rPr>
          </w:pPr>
          <w:hyperlink w:anchor="_Toc147618599" w:history="1">
            <w:r w:rsidRPr="00D2568D">
              <w:rPr>
                <w:rStyle w:val="Hyperlink"/>
                <w:noProof/>
              </w:rPr>
              <w:t>1. Numerical Principles</w:t>
            </w:r>
            <w:r>
              <w:rPr>
                <w:noProof/>
                <w:webHidden/>
              </w:rPr>
              <w:tab/>
            </w:r>
            <w:r>
              <w:rPr>
                <w:noProof/>
                <w:webHidden/>
              </w:rPr>
              <w:fldChar w:fldCharType="begin"/>
            </w:r>
            <w:r>
              <w:rPr>
                <w:noProof/>
                <w:webHidden/>
              </w:rPr>
              <w:instrText xml:space="preserve"> PAGEREF _Toc147618599 \h </w:instrText>
            </w:r>
            <w:r>
              <w:rPr>
                <w:noProof/>
                <w:webHidden/>
              </w:rPr>
            </w:r>
            <w:r>
              <w:rPr>
                <w:noProof/>
                <w:webHidden/>
              </w:rPr>
              <w:fldChar w:fldCharType="separate"/>
            </w:r>
            <w:r w:rsidR="001627D3">
              <w:rPr>
                <w:noProof/>
                <w:webHidden/>
              </w:rPr>
              <w:t>45</w:t>
            </w:r>
            <w:r>
              <w:rPr>
                <w:noProof/>
                <w:webHidden/>
              </w:rPr>
              <w:fldChar w:fldCharType="end"/>
            </w:r>
          </w:hyperlink>
        </w:p>
        <w:p w14:paraId="2F6D4E03" w14:textId="6EB4B541" w:rsidR="00B8667C" w:rsidRDefault="00B8667C">
          <w:pPr>
            <w:pStyle w:val="TOC2"/>
            <w:tabs>
              <w:tab w:val="right" w:leader="dot" w:pos="9350"/>
            </w:tabs>
            <w:rPr>
              <w:rFonts w:asciiTheme="minorHAnsi" w:eastAsiaTheme="minorEastAsia" w:hAnsiTheme="minorHAnsi" w:cstheme="minorBidi"/>
              <w:noProof/>
              <w:sz w:val="22"/>
              <w:szCs w:val="22"/>
              <w14:ligatures w14:val="standardContextual"/>
            </w:rPr>
          </w:pPr>
          <w:hyperlink w:anchor="_Toc147618600" w:history="1">
            <w:r w:rsidRPr="00D2568D">
              <w:rPr>
                <w:rStyle w:val="Hyperlink"/>
                <w:noProof/>
              </w:rPr>
              <w:t>2. Chiasm</w:t>
            </w:r>
            <w:r>
              <w:rPr>
                <w:noProof/>
                <w:webHidden/>
              </w:rPr>
              <w:tab/>
            </w:r>
            <w:r>
              <w:rPr>
                <w:noProof/>
                <w:webHidden/>
              </w:rPr>
              <w:fldChar w:fldCharType="begin"/>
            </w:r>
            <w:r>
              <w:rPr>
                <w:noProof/>
                <w:webHidden/>
              </w:rPr>
              <w:instrText xml:space="preserve"> PAGEREF _Toc147618600 \h </w:instrText>
            </w:r>
            <w:r>
              <w:rPr>
                <w:noProof/>
                <w:webHidden/>
              </w:rPr>
            </w:r>
            <w:r>
              <w:rPr>
                <w:noProof/>
                <w:webHidden/>
              </w:rPr>
              <w:fldChar w:fldCharType="separate"/>
            </w:r>
            <w:r w:rsidR="001627D3">
              <w:rPr>
                <w:noProof/>
                <w:webHidden/>
              </w:rPr>
              <w:t>48</w:t>
            </w:r>
            <w:r>
              <w:rPr>
                <w:noProof/>
                <w:webHidden/>
              </w:rPr>
              <w:fldChar w:fldCharType="end"/>
            </w:r>
          </w:hyperlink>
        </w:p>
        <w:p w14:paraId="0F568616" w14:textId="342A6DCC" w:rsidR="00B8667C" w:rsidRDefault="00B8667C">
          <w:pPr>
            <w:pStyle w:val="TOC2"/>
            <w:tabs>
              <w:tab w:val="right" w:leader="dot" w:pos="9350"/>
            </w:tabs>
            <w:rPr>
              <w:rFonts w:asciiTheme="minorHAnsi" w:eastAsiaTheme="minorEastAsia" w:hAnsiTheme="minorHAnsi" w:cstheme="minorBidi"/>
              <w:noProof/>
              <w:sz w:val="22"/>
              <w:szCs w:val="22"/>
              <w14:ligatures w14:val="standardContextual"/>
            </w:rPr>
          </w:pPr>
          <w:hyperlink w:anchor="_Toc147618601" w:history="1">
            <w:r w:rsidRPr="00D2568D">
              <w:rPr>
                <w:rStyle w:val="Hyperlink"/>
                <w:noProof/>
              </w:rPr>
              <w:t>3. Inclusion</w:t>
            </w:r>
            <w:r>
              <w:rPr>
                <w:noProof/>
                <w:webHidden/>
              </w:rPr>
              <w:tab/>
            </w:r>
            <w:r>
              <w:rPr>
                <w:noProof/>
                <w:webHidden/>
              </w:rPr>
              <w:fldChar w:fldCharType="begin"/>
            </w:r>
            <w:r>
              <w:rPr>
                <w:noProof/>
                <w:webHidden/>
              </w:rPr>
              <w:instrText xml:space="preserve"> PAGEREF _Toc147618601 \h </w:instrText>
            </w:r>
            <w:r>
              <w:rPr>
                <w:noProof/>
                <w:webHidden/>
              </w:rPr>
            </w:r>
            <w:r>
              <w:rPr>
                <w:noProof/>
                <w:webHidden/>
              </w:rPr>
              <w:fldChar w:fldCharType="separate"/>
            </w:r>
            <w:r w:rsidR="001627D3">
              <w:rPr>
                <w:noProof/>
                <w:webHidden/>
              </w:rPr>
              <w:t>56</w:t>
            </w:r>
            <w:r>
              <w:rPr>
                <w:noProof/>
                <w:webHidden/>
              </w:rPr>
              <w:fldChar w:fldCharType="end"/>
            </w:r>
          </w:hyperlink>
        </w:p>
        <w:p w14:paraId="0562A7ED" w14:textId="03780E53" w:rsidR="00B8667C" w:rsidRDefault="00B8667C">
          <w:pPr>
            <w:pStyle w:val="TOC2"/>
            <w:tabs>
              <w:tab w:val="right" w:leader="dot" w:pos="9350"/>
            </w:tabs>
            <w:rPr>
              <w:rFonts w:asciiTheme="minorHAnsi" w:eastAsiaTheme="minorEastAsia" w:hAnsiTheme="minorHAnsi" w:cstheme="minorBidi"/>
              <w:noProof/>
              <w:sz w:val="22"/>
              <w:szCs w:val="22"/>
              <w14:ligatures w14:val="standardContextual"/>
            </w:rPr>
          </w:pPr>
          <w:hyperlink w:anchor="_Toc147618602" w:history="1">
            <w:r w:rsidRPr="00D2568D">
              <w:rPr>
                <w:rStyle w:val="Hyperlink"/>
                <w:noProof/>
              </w:rPr>
              <w:t>4. Rhythm</w:t>
            </w:r>
            <w:r>
              <w:rPr>
                <w:noProof/>
                <w:webHidden/>
              </w:rPr>
              <w:tab/>
            </w:r>
            <w:r>
              <w:rPr>
                <w:noProof/>
                <w:webHidden/>
              </w:rPr>
              <w:fldChar w:fldCharType="begin"/>
            </w:r>
            <w:r>
              <w:rPr>
                <w:noProof/>
                <w:webHidden/>
              </w:rPr>
              <w:instrText xml:space="preserve"> PAGEREF _Toc147618602 \h </w:instrText>
            </w:r>
            <w:r>
              <w:rPr>
                <w:noProof/>
                <w:webHidden/>
              </w:rPr>
            </w:r>
            <w:r>
              <w:rPr>
                <w:noProof/>
                <w:webHidden/>
              </w:rPr>
              <w:fldChar w:fldCharType="separate"/>
            </w:r>
            <w:r w:rsidR="001627D3">
              <w:rPr>
                <w:noProof/>
                <w:webHidden/>
              </w:rPr>
              <w:t>58</w:t>
            </w:r>
            <w:r>
              <w:rPr>
                <w:noProof/>
                <w:webHidden/>
              </w:rPr>
              <w:fldChar w:fldCharType="end"/>
            </w:r>
          </w:hyperlink>
        </w:p>
        <w:p w14:paraId="4E8DBC2F" w14:textId="629F8B31" w:rsidR="00B8667C" w:rsidRDefault="00B8667C" w:rsidP="00B8667C">
          <w:pPr>
            <w:pStyle w:val="TOC1"/>
            <w:rPr>
              <w:rFonts w:asciiTheme="minorHAnsi" w:eastAsiaTheme="minorEastAsia" w:hAnsiTheme="minorHAnsi" w:cstheme="minorBidi"/>
              <w:noProof/>
              <w:sz w:val="22"/>
              <w:szCs w:val="22"/>
              <w14:ligatures w14:val="standardContextual"/>
            </w:rPr>
          </w:pPr>
          <w:hyperlink w:anchor="_Toc147618603" w:history="1">
            <w:r w:rsidRPr="00D2568D">
              <w:rPr>
                <w:rStyle w:val="Hyperlink"/>
                <w:noProof/>
              </w:rPr>
              <w:t>Chapter 5: A Typology of Rhetorical Structures:</w:t>
            </w:r>
            <w:r>
              <w:rPr>
                <w:rStyle w:val="Hyperlink"/>
                <w:noProof/>
              </w:rPr>
              <w:t xml:space="preserve"> </w:t>
            </w:r>
          </w:hyperlink>
          <w:hyperlink w:anchor="_Toc147618604" w:history="1">
            <w:r w:rsidRPr="00D2568D">
              <w:rPr>
                <w:rStyle w:val="Hyperlink"/>
                <w:noProof/>
              </w:rPr>
              <w:t>Contentual Criteria</w:t>
            </w:r>
            <w:r>
              <w:rPr>
                <w:noProof/>
                <w:webHidden/>
              </w:rPr>
              <w:tab/>
            </w:r>
            <w:r>
              <w:rPr>
                <w:noProof/>
                <w:webHidden/>
              </w:rPr>
              <w:fldChar w:fldCharType="begin"/>
            </w:r>
            <w:r>
              <w:rPr>
                <w:noProof/>
                <w:webHidden/>
              </w:rPr>
              <w:instrText xml:space="preserve"> PAGEREF _Toc147618604 \h </w:instrText>
            </w:r>
            <w:r>
              <w:rPr>
                <w:noProof/>
                <w:webHidden/>
              </w:rPr>
            </w:r>
            <w:r>
              <w:rPr>
                <w:noProof/>
                <w:webHidden/>
              </w:rPr>
              <w:fldChar w:fldCharType="separate"/>
            </w:r>
            <w:r w:rsidR="001627D3">
              <w:rPr>
                <w:noProof/>
                <w:webHidden/>
              </w:rPr>
              <w:t>63</w:t>
            </w:r>
            <w:r>
              <w:rPr>
                <w:noProof/>
                <w:webHidden/>
              </w:rPr>
              <w:fldChar w:fldCharType="end"/>
            </w:r>
          </w:hyperlink>
        </w:p>
        <w:p w14:paraId="2E792FF1" w14:textId="223B1BC4" w:rsidR="00B8667C" w:rsidRDefault="00B8667C">
          <w:pPr>
            <w:pStyle w:val="TOC2"/>
            <w:tabs>
              <w:tab w:val="right" w:leader="dot" w:pos="9350"/>
            </w:tabs>
            <w:rPr>
              <w:rFonts w:asciiTheme="minorHAnsi" w:eastAsiaTheme="minorEastAsia" w:hAnsiTheme="minorHAnsi" w:cstheme="minorBidi"/>
              <w:noProof/>
              <w:sz w:val="22"/>
              <w:szCs w:val="22"/>
              <w14:ligatures w14:val="standardContextual"/>
            </w:rPr>
          </w:pPr>
          <w:hyperlink w:anchor="_Toc147618605" w:history="1">
            <w:r w:rsidRPr="00D2568D">
              <w:rPr>
                <w:rStyle w:val="Hyperlink"/>
                <w:noProof/>
              </w:rPr>
              <w:t>1. Logical Principles</w:t>
            </w:r>
            <w:r>
              <w:rPr>
                <w:noProof/>
                <w:webHidden/>
              </w:rPr>
              <w:tab/>
            </w:r>
            <w:r>
              <w:rPr>
                <w:noProof/>
                <w:webHidden/>
              </w:rPr>
              <w:fldChar w:fldCharType="begin"/>
            </w:r>
            <w:r>
              <w:rPr>
                <w:noProof/>
                <w:webHidden/>
              </w:rPr>
              <w:instrText xml:space="preserve"> PAGEREF _Toc147618605 \h </w:instrText>
            </w:r>
            <w:r>
              <w:rPr>
                <w:noProof/>
                <w:webHidden/>
              </w:rPr>
            </w:r>
            <w:r>
              <w:rPr>
                <w:noProof/>
                <w:webHidden/>
              </w:rPr>
              <w:fldChar w:fldCharType="separate"/>
            </w:r>
            <w:r w:rsidR="001627D3">
              <w:rPr>
                <w:noProof/>
                <w:webHidden/>
              </w:rPr>
              <w:t>63</w:t>
            </w:r>
            <w:r>
              <w:rPr>
                <w:noProof/>
                <w:webHidden/>
              </w:rPr>
              <w:fldChar w:fldCharType="end"/>
            </w:r>
          </w:hyperlink>
        </w:p>
        <w:p w14:paraId="7A30F45C" w14:textId="77E97536" w:rsidR="00B8667C" w:rsidRDefault="00B8667C">
          <w:pPr>
            <w:pStyle w:val="TOC2"/>
            <w:tabs>
              <w:tab w:val="right" w:leader="dot" w:pos="9350"/>
            </w:tabs>
            <w:rPr>
              <w:rFonts w:asciiTheme="minorHAnsi" w:eastAsiaTheme="minorEastAsia" w:hAnsiTheme="minorHAnsi" w:cstheme="minorBidi"/>
              <w:noProof/>
              <w:sz w:val="22"/>
              <w:szCs w:val="22"/>
              <w14:ligatures w14:val="standardContextual"/>
            </w:rPr>
          </w:pPr>
          <w:hyperlink w:anchor="_Toc147618606" w:history="1">
            <w:r w:rsidRPr="00D2568D">
              <w:rPr>
                <w:rStyle w:val="Hyperlink"/>
                <w:noProof/>
              </w:rPr>
              <w:t>2. Parallelism</w:t>
            </w:r>
            <w:r>
              <w:rPr>
                <w:noProof/>
                <w:webHidden/>
              </w:rPr>
              <w:tab/>
            </w:r>
            <w:r>
              <w:rPr>
                <w:noProof/>
                <w:webHidden/>
              </w:rPr>
              <w:fldChar w:fldCharType="begin"/>
            </w:r>
            <w:r>
              <w:rPr>
                <w:noProof/>
                <w:webHidden/>
              </w:rPr>
              <w:instrText xml:space="preserve"> PAGEREF _Toc147618606 \h </w:instrText>
            </w:r>
            <w:r>
              <w:rPr>
                <w:noProof/>
                <w:webHidden/>
              </w:rPr>
            </w:r>
            <w:r>
              <w:rPr>
                <w:noProof/>
                <w:webHidden/>
              </w:rPr>
              <w:fldChar w:fldCharType="separate"/>
            </w:r>
            <w:r w:rsidR="001627D3">
              <w:rPr>
                <w:noProof/>
                <w:webHidden/>
              </w:rPr>
              <w:t>71</w:t>
            </w:r>
            <w:r>
              <w:rPr>
                <w:noProof/>
                <w:webHidden/>
              </w:rPr>
              <w:fldChar w:fldCharType="end"/>
            </w:r>
          </w:hyperlink>
        </w:p>
        <w:p w14:paraId="431B5606" w14:textId="3EBFDA1C" w:rsidR="00B8667C" w:rsidRDefault="00B8667C">
          <w:pPr>
            <w:pStyle w:val="TOC2"/>
            <w:tabs>
              <w:tab w:val="right" w:leader="dot" w:pos="9350"/>
            </w:tabs>
            <w:rPr>
              <w:rFonts w:asciiTheme="minorHAnsi" w:eastAsiaTheme="minorEastAsia" w:hAnsiTheme="minorHAnsi" w:cstheme="minorBidi"/>
              <w:noProof/>
              <w:sz w:val="22"/>
              <w:szCs w:val="22"/>
              <w14:ligatures w14:val="standardContextual"/>
            </w:rPr>
          </w:pPr>
          <w:hyperlink w:anchor="_Toc147618607" w:history="1">
            <w:r w:rsidRPr="00D2568D">
              <w:rPr>
                <w:rStyle w:val="Hyperlink"/>
                <w:noProof/>
              </w:rPr>
              <w:t>3. Catchwords</w:t>
            </w:r>
            <w:r>
              <w:rPr>
                <w:noProof/>
                <w:webHidden/>
              </w:rPr>
              <w:tab/>
            </w:r>
            <w:r>
              <w:rPr>
                <w:noProof/>
                <w:webHidden/>
              </w:rPr>
              <w:fldChar w:fldCharType="begin"/>
            </w:r>
            <w:r>
              <w:rPr>
                <w:noProof/>
                <w:webHidden/>
              </w:rPr>
              <w:instrText xml:space="preserve"> PAGEREF _Toc147618607 \h </w:instrText>
            </w:r>
            <w:r>
              <w:rPr>
                <w:noProof/>
                <w:webHidden/>
              </w:rPr>
            </w:r>
            <w:r>
              <w:rPr>
                <w:noProof/>
                <w:webHidden/>
              </w:rPr>
              <w:fldChar w:fldCharType="separate"/>
            </w:r>
            <w:r w:rsidR="001627D3">
              <w:rPr>
                <w:noProof/>
                <w:webHidden/>
              </w:rPr>
              <w:t>78</w:t>
            </w:r>
            <w:r>
              <w:rPr>
                <w:noProof/>
                <w:webHidden/>
              </w:rPr>
              <w:fldChar w:fldCharType="end"/>
            </w:r>
          </w:hyperlink>
        </w:p>
        <w:p w14:paraId="000873F2" w14:textId="4E521521" w:rsidR="00B8667C" w:rsidRDefault="00B8667C" w:rsidP="00B8667C">
          <w:pPr>
            <w:pStyle w:val="TOC1"/>
            <w:rPr>
              <w:rFonts w:asciiTheme="minorHAnsi" w:eastAsiaTheme="minorEastAsia" w:hAnsiTheme="minorHAnsi" w:cstheme="minorBidi"/>
              <w:noProof/>
              <w:sz w:val="22"/>
              <w:szCs w:val="22"/>
              <w14:ligatures w14:val="standardContextual"/>
            </w:rPr>
          </w:pPr>
          <w:hyperlink w:anchor="_Toc147618608" w:history="1">
            <w:r w:rsidRPr="00D2568D">
              <w:rPr>
                <w:rStyle w:val="Hyperlink"/>
                <w:noProof/>
              </w:rPr>
              <w:t>Part 2: Practice:</w:t>
            </w:r>
            <w:r>
              <w:rPr>
                <w:rStyle w:val="Hyperlink"/>
                <w:noProof/>
              </w:rPr>
              <w:t xml:space="preserve"> </w:t>
            </w:r>
          </w:hyperlink>
          <w:hyperlink w:anchor="_Toc147618609" w:history="1">
            <w:r w:rsidRPr="00D2568D">
              <w:rPr>
                <w:rStyle w:val="Hyperlink"/>
                <w:noProof/>
              </w:rPr>
              <w:t>The Structure of the Sermon on the Plain (Luke</w:t>
            </w:r>
            <w:r w:rsidRPr="00D2568D">
              <w:rPr>
                <w:rStyle w:val="Hyperlink"/>
                <w:iCs/>
                <w:noProof/>
              </w:rPr>
              <w:t xml:space="preserve"> </w:t>
            </w:r>
            <w:r w:rsidRPr="00D2568D">
              <w:rPr>
                <w:rStyle w:val="Hyperlink"/>
                <w:noProof/>
              </w:rPr>
              <w:t>6:20-49)</w:t>
            </w:r>
            <w:r>
              <w:rPr>
                <w:noProof/>
                <w:webHidden/>
              </w:rPr>
              <w:tab/>
            </w:r>
            <w:r>
              <w:rPr>
                <w:noProof/>
                <w:webHidden/>
              </w:rPr>
              <w:fldChar w:fldCharType="begin"/>
            </w:r>
            <w:r>
              <w:rPr>
                <w:noProof/>
                <w:webHidden/>
              </w:rPr>
              <w:instrText xml:space="preserve"> PAGEREF _Toc147618609 \h </w:instrText>
            </w:r>
            <w:r>
              <w:rPr>
                <w:noProof/>
                <w:webHidden/>
              </w:rPr>
            </w:r>
            <w:r>
              <w:rPr>
                <w:noProof/>
                <w:webHidden/>
              </w:rPr>
              <w:fldChar w:fldCharType="separate"/>
            </w:r>
            <w:r w:rsidR="001627D3">
              <w:rPr>
                <w:noProof/>
                <w:webHidden/>
              </w:rPr>
              <w:t>81</w:t>
            </w:r>
            <w:r>
              <w:rPr>
                <w:noProof/>
                <w:webHidden/>
              </w:rPr>
              <w:fldChar w:fldCharType="end"/>
            </w:r>
          </w:hyperlink>
        </w:p>
        <w:p w14:paraId="4EEB2D17" w14:textId="22A45362" w:rsidR="00B8667C" w:rsidRDefault="00B8667C" w:rsidP="00B8667C">
          <w:pPr>
            <w:pStyle w:val="TOC1"/>
            <w:rPr>
              <w:rFonts w:asciiTheme="minorHAnsi" w:eastAsiaTheme="minorEastAsia" w:hAnsiTheme="minorHAnsi" w:cstheme="minorBidi"/>
              <w:noProof/>
              <w:sz w:val="22"/>
              <w:szCs w:val="22"/>
              <w14:ligatures w14:val="standardContextual"/>
            </w:rPr>
          </w:pPr>
          <w:hyperlink w:anchor="_Toc147618610" w:history="1">
            <w:r w:rsidRPr="00D2568D">
              <w:rPr>
                <w:rStyle w:val="Hyperlink"/>
                <w:noProof/>
              </w:rPr>
              <w:t>Chapter 6: Formal Criteria:</w:t>
            </w:r>
            <w:r>
              <w:rPr>
                <w:rStyle w:val="Hyperlink"/>
                <w:noProof/>
              </w:rPr>
              <w:t xml:space="preserve"> </w:t>
            </w:r>
          </w:hyperlink>
          <w:hyperlink w:anchor="_Toc147618611" w:history="1">
            <w:r w:rsidRPr="00D2568D">
              <w:rPr>
                <w:rStyle w:val="Hyperlink"/>
                <w:noProof/>
              </w:rPr>
              <w:t>Numerical Principles</w:t>
            </w:r>
            <w:r>
              <w:rPr>
                <w:noProof/>
                <w:webHidden/>
              </w:rPr>
              <w:tab/>
            </w:r>
            <w:r>
              <w:rPr>
                <w:noProof/>
                <w:webHidden/>
              </w:rPr>
              <w:fldChar w:fldCharType="begin"/>
            </w:r>
            <w:r>
              <w:rPr>
                <w:noProof/>
                <w:webHidden/>
              </w:rPr>
              <w:instrText xml:space="preserve"> PAGEREF _Toc147618611 \h </w:instrText>
            </w:r>
            <w:r>
              <w:rPr>
                <w:noProof/>
                <w:webHidden/>
              </w:rPr>
            </w:r>
            <w:r>
              <w:rPr>
                <w:noProof/>
                <w:webHidden/>
              </w:rPr>
              <w:fldChar w:fldCharType="separate"/>
            </w:r>
            <w:r w:rsidR="001627D3">
              <w:rPr>
                <w:noProof/>
                <w:webHidden/>
              </w:rPr>
              <w:t>82</w:t>
            </w:r>
            <w:r>
              <w:rPr>
                <w:noProof/>
                <w:webHidden/>
              </w:rPr>
              <w:fldChar w:fldCharType="end"/>
            </w:r>
          </w:hyperlink>
        </w:p>
        <w:p w14:paraId="2F2DAC3D" w14:textId="31AD75D9" w:rsidR="00B8667C" w:rsidRDefault="00B8667C">
          <w:pPr>
            <w:pStyle w:val="TOC2"/>
            <w:tabs>
              <w:tab w:val="right" w:leader="dot" w:pos="9350"/>
            </w:tabs>
            <w:rPr>
              <w:rFonts w:asciiTheme="minorHAnsi" w:eastAsiaTheme="minorEastAsia" w:hAnsiTheme="minorHAnsi" w:cstheme="minorBidi"/>
              <w:noProof/>
              <w:sz w:val="22"/>
              <w:szCs w:val="22"/>
              <w14:ligatures w14:val="standardContextual"/>
            </w:rPr>
          </w:pPr>
          <w:hyperlink w:anchor="_Toc147618612" w:history="1">
            <w:r w:rsidRPr="00D2568D">
              <w:rPr>
                <w:rStyle w:val="Hyperlink"/>
                <w:noProof/>
              </w:rPr>
              <w:t>1. Early Exponents of Numerical Principles</w:t>
            </w:r>
            <w:r>
              <w:rPr>
                <w:noProof/>
                <w:webHidden/>
              </w:rPr>
              <w:tab/>
            </w:r>
            <w:r>
              <w:rPr>
                <w:noProof/>
                <w:webHidden/>
              </w:rPr>
              <w:fldChar w:fldCharType="begin"/>
            </w:r>
            <w:r>
              <w:rPr>
                <w:noProof/>
                <w:webHidden/>
              </w:rPr>
              <w:instrText xml:space="preserve"> PAGEREF _Toc147618612 \h </w:instrText>
            </w:r>
            <w:r>
              <w:rPr>
                <w:noProof/>
                <w:webHidden/>
              </w:rPr>
            </w:r>
            <w:r>
              <w:rPr>
                <w:noProof/>
                <w:webHidden/>
              </w:rPr>
              <w:fldChar w:fldCharType="separate"/>
            </w:r>
            <w:r w:rsidR="001627D3">
              <w:rPr>
                <w:noProof/>
                <w:webHidden/>
              </w:rPr>
              <w:t>82</w:t>
            </w:r>
            <w:r>
              <w:rPr>
                <w:noProof/>
                <w:webHidden/>
              </w:rPr>
              <w:fldChar w:fldCharType="end"/>
            </w:r>
          </w:hyperlink>
        </w:p>
        <w:p w14:paraId="063574AF" w14:textId="6170A331" w:rsidR="00B8667C" w:rsidRDefault="00B8667C">
          <w:pPr>
            <w:pStyle w:val="TOC2"/>
            <w:tabs>
              <w:tab w:val="right" w:leader="dot" w:pos="9350"/>
            </w:tabs>
            <w:rPr>
              <w:rFonts w:asciiTheme="minorHAnsi" w:eastAsiaTheme="minorEastAsia" w:hAnsiTheme="minorHAnsi" w:cstheme="minorBidi"/>
              <w:noProof/>
              <w:sz w:val="22"/>
              <w:szCs w:val="22"/>
              <w14:ligatures w14:val="standardContextual"/>
            </w:rPr>
          </w:pPr>
          <w:hyperlink w:anchor="_Toc147618613" w:history="1">
            <w:r w:rsidRPr="00D2568D">
              <w:rPr>
                <w:rStyle w:val="Hyperlink"/>
                <w:noProof/>
              </w:rPr>
              <w:t>2. Robert Morgenthaler</w:t>
            </w:r>
            <w:r>
              <w:rPr>
                <w:noProof/>
                <w:webHidden/>
              </w:rPr>
              <w:tab/>
            </w:r>
            <w:r>
              <w:rPr>
                <w:noProof/>
                <w:webHidden/>
              </w:rPr>
              <w:fldChar w:fldCharType="begin"/>
            </w:r>
            <w:r>
              <w:rPr>
                <w:noProof/>
                <w:webHidden/>
              </w:rPr>
              <w:instrText xml:space="preserve"> PAGEREF _Toc147618613 \h </w:instrText>
            </w:r>
            <w:r>
              <w:rPr>
                <w:noProof/>
                <w:webHidden/>
              </w:rPr>
            </w:r>
            <w:r>
              <w:rPr>
                <w:noProof/>
                <w:webHidden/>
              </w:rPr>
              <w:fldChar w:fldCharType="separate"/>
            </w:r>
            <w:r w:rsidR="001627D3">
              <w:rPr>
                <w:noProof/>
                <w:webHidden/>
              </w:rPr>
              <w:t>84</w:t>
            </w:r>
            <w:r>
              <w:rPr>
                <w:noProof/>
                <w:webHidden/>
              </w:rPr>
              <w:fldChar w:fldCharType="end"/>
            </w:r>
          </w:hyperlink>
        </w:p>
        <w:p w14:paraId="4BCA0CDB" w14:textId="684FDC5A" w:rsidR="00B8667C" w:rsidRDefault="00B8667C">
          <w:pPr>
            <w:pStyle w:val="TOC2"/>
            <w:tabs>
              <w:tab w:val="right" w:leader="dot" w:pos="9350"/>
            </w:tabs>
            <w:rPr>
              <w:rFonts w:asciiTheme="minorHAnsi" w:eastAsiaTheme="minorEastAsia" w:hAnsiTheme="minorHAnsi" w:cstheme="minorBidi"/>
              <w:noProof/>
              <w:sz w:val="22"/>
              <w:szCs w:val="22"/>
              <w14:ligatures w14:val="standardContextual"/>
            </w:rPr>
          </w:pPr>
          <w:hyperlink w:anchor="_Toc147618614" w:history="1">
            <w:r w:rsidRPr="00D2568D">
              <w:rPr>
                <w:rStyle w:val="Hyperlink"/>
                <w:noProof/>
              </w:rPr>
              <w:t>3. Walter Grundmann</w:t>
            </w:r>
            <w:r>
              <w:rPr>
                <w:noProof/>
                <w:webHidden/>
              </w:rPr>
              <w:tab/>
            </w:r>
            <w:r>
              <w:rPr>
                <w:noProof/>
                <w:webHidden/>
              </w:rPr>
              <w:fldChar w:fldCharType="begin"/>
            </w:r>
            <w:r>
              <w:rPr>
                <w:noProof/>
                <w:webHidden/>
              </w:rPr>
              <w:instrText xml:space="preserve"> PAGEREF _Toc147618614 \h </w:instrText>
            </w:r>
            <w:r>
              <w:rPr>
                <w:noProof/>
                <w:webHidden/>
              </w:rPr>
            </w:r>
            <w:r>
              <w:rPr>
                <w:noProof/>
                <w:webHidden/>
              </w:rPr>
              <w:fldChar w:fldCharType="separate"/>
            </w:r>
            <w:r w:rsidR="001627D3">
              <w:rPr>
                <w:noProof/>
                <w:webHidden/>
              </w:rPr>
              <w:t>101</w:t>
            </w:r>
            <w:r>
              <w:rPr>
                <w:noProof/>
                <w:webHidden/>
              </w:rPr>
              <w:fldChar w:fldCharType="end"/>
            </w:r>
          </w:hyperlink>
        </w:p>
        <w:p w14:paraId="605E5F34" w14:textId="72490F7B" w:rsidR="00B8667C" w:rsidRDefault="00B8667C">
          <w:pPr>
            <w:pStyle w:val="TOC3"/>
            <w:tabs>
              <w:tab w:val="left" w:pos="965"/>
              <w:tab w:val="right" w:leader="dot" w:pos="9350"/>
            </w:tabs>
            <w:rPr>
              <w:rFonts w:asciiTheme="minorHAnsi" w:eastAsiaTheme="minorEastAsia" w:hAnsiTheme="minorHAnsi" w:cstheme="minorBidi"/>
              <w:noProof/>
              <w:sz w:val="22"/>
              <w:szCs w:val="22"/>
              <w14:ligatures w14:val="standardContextual"/>
            </w:rPr>
          </w:pPr>
          <w:hyperlink w:anchor="_Toc147618616" w:history="1">
            <w:r w:rsidRPr="00D2568D">
              <w:rPr>
                <w:rStyle w:val="Hyperlink"/>
                <w:noProof/>
              </w:rPr>
              <w:t>a.</w:t>
            </w:r>
            <w:r>
              <w:rPr>
                <w:rFonts w:asciiTheme="minorHAnsi" w:eastAsiaTheme="minorEastAsia" w:hAnsiTheme="minorHAnsi" w:cstheme="minorBidi"/>
                <w:noProof/>
                <w:sz w:val="22"/>
                <w:szCs w:val="22"/>
                <w14:ligatures w14:val="standardContextual"/>
              </w:rPr>
              <w:tab/>
            </w:r>
            <w:r w:rsidRPr="00D2568D">
              <w:rPr>
                <w:rStyle w:val="Hyperlink"/>
                <w:noProof/>
              </w:rPr>
              <w:t>35bc</w:t>
            </w:r>
            <w:r>
              <w:rPr>
                <w:noProof/>
                <w:webHidden/>
              </w:rPr>
              <w:tab/>
            </w:r>
            <w:r>
              <w:rPr>
                <w:noProof/>
                <w:webHidden/>
              </w:rPr>
              <w:fldChar w:fldCharType="begin"/>
            </w:r>
            <w:r>
              <w:rPr>
                <w:noProof/>
                <w:webHidden/>
              </w:rPr>
              <w:instrText xml:space="preserve"> PAGEREF _Toc147618616 \h </w:instrText>
            </w:r>
            <w:r>
              <w:rPr>
                <w:noProof/>
                <w:webHidden/>
              </w:rPr>
            </w:r>
            <w:r>
              <w:rPr>
                <w:noProof/>
                <w:webHidden/>
              </w:rPr>
              <w:fldChar w:fldCharType="separate"/>
            </w:r>
            <w:r w:rsidR="001627D3">
              <w:rPr>
                <w:noProof/>
                <w:webHidden/>
              </w:rPr>
              <w:t>103</w:t>
            </w:r>
            <w:r>
              <w:rPr>
                <w:noProof/>
                <w:webHidden/>
              </w:rPr>
              <w:fldChar w:fldCharType="end"/>
            </w:r>
          </w:hyperlink>
        </w:p>
        <w:p w14:paraId="796AA747" w14:textId="3B4E469B" w:rsidR="00B8667C" w:rsidRDefault="00B8667C">
          <w:pPr>
            <w:pStyle w:val="TOC3"/>
            <w:tabs>
              <w:tab w:val="left" w:pos="965"/>
              <w:tab w:val="right" w:leader="dot" w:pos="9350"/>
            </w:tabs>
            <w:rPr>
              <w:rFonts w:asciiTheme="minorHAnsi" w:eastAsiaTheme="minorEastAsia" w:hAnsiTheme="minorHAnsi" w:cstheme="minorBidi"/>
              <w:noProof/>
              <w:sz w:val="22"/>
              <w:szCs w:val="22"/>
              <w14:ligatures w14:val="standardContextual"/>
            </w:rPr>
          </w:pPr>
          <w:hyperlink w:anchor="_Toc147618619" w:history="1">
            <w:r w:rsidRPr="00D2568D">
              <w:rPr>
                <w:rStyle w:val="Hyperlink"/>
                <w:noProof/>
              </w:rPr>
              <w:t>b.</w:t>
            </w:r>
            <w:r>
              <w:rPr>
                <w:rFonts w:asciiTheme="minorHAnsi" w:eastAsiaTheme="minorEastAsia" w:hAnsiTheme="minorHAnsi" w:cstheme="minorBidi"/>
                <w:noProof/>
                <w:sz w:val="22"/>
                <w:szCs w:val="22"/>
                <w14:ligatures w14:val="standardContextual"/>
              </w:rPr>
              <w:tab/>
            </w:r>
            <w:r w:rsidRPr="00D2568D">
              <w:rPr>
                <w:rStyle w:val="Hyperlink"/>
                <w:noProof/>
              </w:rPr>
              <w:t>35d.</w:t>
            </w:r>
            <w:r>
              <w:rPr>
                <w:noProof/>
                <w:webHidden/>
              </w:rPr>
              <w:tab/>
            </w:r>
            <w:r>
              <w:rPr>
                <w:noProof/>
                <w:webHidden/>
              </w:rPr>
              <w:fldChar w:fldCharType="begin"/>
            </w:r>
            <w:r>
              <w:rPr>
                <w:noProof/>
                <w:webHidden/>
              </w:rPr>
              <w:instrText xml:space="preserve"> PAGEREF _Toc147618619 \h </w:instrText>
            </w:r>
            <w:r>
              <w:rPr>
                <w:noProof/>
                <w:webHidden/>
              </w:rPr>
            </w:r>
            <w:r>
              <w:rPr>
                <w:noProof/>
                <w:webHidden/>
              </w:rPr>
              <w:fldChar w:fldCharType="separate"/>
            </w:r>
            <w:r w:rsidR="001627D3">
              <w:rPr>
                <w:noProof/>
                <w:webHidden/>
              </w:rPr>
              <w:t>103</w:t>
            </w:r>
            <w:r>
              <w:rPr>
                <w:noProof/>
                <w:webHidden/>
              </w:rPr>
              <w:fldChar w:fldCharType="end"/>
            </w:r>
          </w:hyperlink>
        </w:p>
        <w:p w14:paraId="0BA039DE" w14:textId="41213988" w:rsidR="00B8667C" w:rsidRDefault="00B8667C">
          <w:pPr>
            <w:pStyle w:val="TOC2"/>
            <w:tabs>
              <w:tab w:val="right" w:leader="dot" w:pos="9350"/>
            </w:tabs>
            <w:rPr>
              <w:rFonts w:asciiTheme="minorHAnsi" w:eastAsiaTheme="minorEastAsia" w:hAnsiTheme="minorHAnsi" w:cstheme="minorBidi"/>
              <w:noProof/>
              <w:sz w:val="22"/>
              <w:szCs w:val="22"/>
              <w14:ligatures w14:val="standardContextual"/>
            </w:rPr>
          </w:pPr>
          <w:hyperlink w:anchor="_Toc147618620" w:history="1">
            <w:r w:rsidRPr="00D2568D">
              <w:rPr>
                <w:rStyle w:val="Hyperlink"/>
                <w:noProof/>
              </w:rPr>
              <w:t>4. E. Earle Ellis</w:t>
            </w:r>
            <w:r>
              <w:rPr>
                <w:noProof/>
                <w:webHidden/>
              </w:rPr>
              <w:tab/>
            </w:r>
            <w:r>
              <w:rPr>
                <w:noProof/>
                <w:webHidden/>
              </w:rPr>
              <w:fldChar w:fldCharType="begin"/>
            </w:r>
            <w:r>
              <w:rPr>
                <w:noProof/>
                <w:webHidden/>
              </w:rPr>
              <w:instrText xml:space="preserve"> PAGEREF _Toc147618620 \h </w:instrText>
            </w:r>
            <w:r>
              <w:rPr>
                <w:noProof/>
                <w:webHidden/>
              </w:rPr>
            </w:r>
            <w:r>
              <w:rPr>
                <w:noProof/>
                <w:webHidden/>
              </w:rPr>
              <w:fldChar w:fldCharType="separate"/>
            </w:r>
            <w:r w:rsidR="001627D3">
              <w:rPr>
                <w:noProof/>
                <w:webHidden/>
              </w:rPr>
              <w:t>104</w:t>
            </w:r>
            <w:r>
              <w:rPr>
                <w:noProof/>
                <w:webHidden/>
              </w:rPr>
              <w:fldChar w:fldCharType="end"/>
            </w:r>
          </w:hyperlink>
        </w:p>
        <w:p w14:paraId="1CD8C2DB" w14:textId="3FDF4C84" w:rsidR="00B8667C" w:rsidRDefault="00B8667C">
          <w:pPr>
            <w:pStyle w:val="TOC2"/>
            <w:tabs>
              <w:tab w:val="right" w:leader="dot" w:pos="9350"/>
            </w:tabs>
            <w:rPr>
              <w:rFonts w:asciiTheme="minorHAnsi" w:eastAsiaTheme="minorEastAsia" w:hAnsiTheme="minorHAnsi" w:cstheme="minorBidi"/>
              <w:noProof/>
              <w:sz w:val="22"/>
              <w:szCs w:val="22"/>
              <w14:ligatures w14:val="standardContextual"/>
            </w:rPr>
          </w:pPr>
          <w:hyperlink w:anchor="_Toc147618621" w:history="1">
            <w:r w:rsidRPr="00D2568D">
              <w:rPr>
                <w:rStyle w:val="Hyperlink"/>
                <w:noProof/>
              </w:rPr>
              <w:t>5. Charles Talbert</w:t>
            </w:r>
            <w:r>
              <w:rPr>
                <w:noProof/>
                <w:webHidden/>
              </w:rPr>
              <w:tab/>
            </w:r>
            <w:r>
              <w:rPr>
                <w:noProof/>
                <w:webHidden/>
              </w:rPr>
              <w:fldChar w:fldCharType="begin"/>
            </w:r>
            <w:r>
              <w:rPr>
                <w:noProof/>
                <w:webHidden/>
              </w:rPr>
              <w:instrText xml:space="preserve"> PAGEREF _Toc147618621 \h </w:instrText>
            </w:r>
            <w:r>
              <w:rPr>
                <w:noProof/>
                <w:webHidden/>
              </w:rPr>
            </w:r>
            <w:r>
              <w:rPr>
                <w:noProof/>
                <w:webHidden/>
              </w:rPr>
              <w:fldChar w:fldCharType="separate"/>
            </w:r>
            <w:r w:rsidR="001627D3">
              <w:rPr>
                <w:noProof/>
                <w:webHidden/>
              </w:rPr>
              <w:t>107</w:t>
            </w:r>
            <w:r>
              <w:rPr>
                <w:noProof/>
                <w:webHidden/>
              </w:rPr>
              <w:fldChar w:fldCharType="end"/>
            </w:r>
          </w:hyperlink>
        </w:p>
        <w:p w14:paraId="42B810CB" w14:textId="54EF8199" w:rsidR="00B8667C" w:rsidRDefault="00B8667C">
          <w:pPr>
            <w:pStyle w:val="TOC2"/>
            <w:tabs>
              <w:tab w:val="right" w:leader="dot" w:pos="9350"/>
            </w:tabs>
            <w:rPr>
              <w:rFonts w:asciiTheme="minorHAnsi" w:eastAsiaTheme="minorEastAsia" w:hAnsiTheme="minorHAnsi" w:cstheme="minorBidi"/>
              <w:noProof/>
              <w:sz w:val="22"/>
              <w:szCs w:val="22"/>
              <w14:ligatures w14:val="standardContextual"/>
            </w:rPr>
          </w:pPr>
          <w:hyperlink w:anchor="_Toc147618622" w:history="1">
            <w:r w:rsidRPr="00D2568D">
              <w:rPr>
                <w:rStyle w:val="Hyperlink"/>
                <w:noProof/>
              </w:rPr>
              <w:t>6. Scholars Marginally Influenced by the Numerical Tradition</w:t>
            </w:r>
            <w:r>
              <w:rPr>
                <w:noProof/>
                <w:webHidden/>
              </w:rPr>
              <w:tab/>
            </w:r>
            <w:r>
              <w:rPr>
                <w:noProof/>
                <w:webHidden/>
              </w:rPr>
              <w:fldChar w:fldCharType="begin"/>
            </w:r>
            <w:r>
              <w:rPr>
                <w:noProof/>
                <w:webHidden/>
              </w:rPr>
              <w:instrText xml:space="preserve"> PAGEREF _Toc147618622 \h </w:instrText>
            </w:r>
            <w:r>
              <w:rPr>
                <w:noProof/>
                <w:webHidden/>
              </w:rPr>
            </w:r>
            <w:r>
              <w:rPr>
                <w:noProof/>
                <w:webHidden/>
              </w:rPr>
              <w:fldChar w:fldCharType="separate"/>
            </w:r>
            <w:r w:rsidR="001627D3">
              <w:rPr>
                <w:noProof/>
                <w:webHidden/>
              </w:rPr>
              <w:t>113</w:t>
            </w:r>
            <w:r>
              <w:rPr>
                <w:noProof/>
                <w:webHidden/>
              </w:rPr>
              <w:fldChar w:fldCharType="end"/>
            </w:r>
          </w:hyperlink>
        </w:p>
        <w:p w14:paraId="68C79D29" w14:textId="7ED5D557" w:rsidR="00B8667C" w:rsidRDefault="00B8667C" w:rsidP="00B8667C">
          <w:pPr>
            <w:pStyle w:val="TOC1"/>
            <w:rPr>
              <w:rFonts w:asciiTheme="minorHAnsi" w:eastAsiaTheme="minorEastAsia" w:hAnsiTheme="minorHAnsi" w:cstheme="minorBidi"/>
              <w:noProof/>
              <w:sz w:val="22"/>
              <w:szCs w:val="22"/>
              <w14:ligatures w14:val="standardContextual"/>
            </w:rPr>
          </w:pPr>
          <w:hyperlink w:anchor="_Toc147618626" w:history="1">
            <w:r w:rsidRPr="00D2568D">
              <w:rPr>
                <w:rStyle w:val="Hyperlink"/>
                <w:noProof/>
              </w:rPr>
              <w:t>Chapter 7: Other Formal Criteria:</w:t>
            </w:r>
            <w:r w:rsidR="001771B1">
              <w:rPr>
                <w:rStyle w:val="Hyperlink"/>
                <w:noProof/>
              </w:rPr>
              <w:t xml:space="preserve"> </w:t>
            </w:r>
          </w:hyperlink>
          <w:hyperlink w:anchor="_Toc147618627" w:history="1">
            <w:r w:rsidRPr="00D2568D">
              <w:rPr>
                <w:rStyle w:val="Hyperlink"/>
                <w:noProof/>
              </w:rPr>
              <w:t>Chiasm, Inclusion, and Rhythm</w:t>
            </w:r>
            <w:r>
              <w:rPr>
                <w:noProof/>
                <w:webHidden/>
              </w:rPr>
              <w:tab/>
            </w:r>
            <w:r>
              <w:rPr>
                <w:noProof/>
                <w:webHidden/>
              </w:rPr>
              <w:fldChar w:fldCharType="begin"/>
            </w:r>
            <w:r>
              <w:rPr>
                <w:noProof/>
                <w:webHidden/>
              </w:rPr>
              <w:instrText xml:space="preserve"> PAGEREF _Toc147618627 \h </w:instrText>
            </w:r>
            <w:r>
              <w:rPr>
                <w:noProof/>
                <w:webHidden/>
              </w:rPr>
            </w:r>
            <w:r>
              <w:rPr>
                <w:noProof/>
                <w:webHidden/>
              </w:rPr>
              <w:fldChar w:fldCharType="separate"/>
            </w:r>
            <w:r w:rsidR="001627D3">
              <w:rPr>
                <w:noProof/>
                <w:webHidden/>
              </w:rPr>
              <w:t>118</w:t>
            </w:r>
            <w:r>
              <w:rPr>
                <w:noProof/>
                <w:webHidden/>
              </w:rPr>
              <w:fldChar w:fldCharType="end"/>
            </w:r>
          </w:hyperlink>
        </w:p>
        <w:p w14:paraId="4CE524BB" w14:textId="4F460DC3" w:rsidR="00B8667C" w:rsidRDefault="00B8667C">
          <w:pPr>
            <w:pStyle w:val="TOC2"/>
            <w:tabs>
              <w:tab w:val="right" w:leader="dot" w:pos="9350"/>
            </w:tabs>
            <w:rPr>
              <w:rFonts w:asciiTheme="minorHAnsi" w:eastAsiaTheme="minorEastAsia" w:hAnsiTheme="minorHAnsi" w:cstheme="minorBidi"/>
              <w:noProof/>
              <w:sz w:val="22"/>
              <w:szCs w:val="22"/>
              <w14:ligatures w14:val="standardContextual"/>
            </w:rPr>
          </w:pPr>
          <w:hyperlink w:anchor="_Toc147618628" w:history="1">
            <w:r w:rsidRPr="00D2568D">
              <w:rPr>
                <w:rStyle w:val="Hyperlink"/>
                <w:noProof/>
              </w:rPr>
              <w:t>1.</w:t>
            </w:r>
            <w:r w:rsidRPr="00D2568D">
              <w:rPr>
                <w:rStyle w:val="Hyperlink"/>
                <w:iCs/>
                <w:noProof/>
              </w:rPr>
              <w:t xml:space="preserve"> </w:t>
            </w:r>
            <w:r w:rsidRPr="00D2568D">
              <w:rPr>
                <w:rStyle w:val="Hyperlink"/>
                <w:noProof/>
              </w:rPr>
              <w:t>Chiasm</w:t>
            </w:r>
            <w:r>
              <w:rPr>
                <w:noProof/>
                <w:webHidden/>
              </w:rPr>
              <w:tab/>
            </w:r>
            <w:r>
              <w:rPr>
                <w:noProof/>
                <w:webHidden/>
              </w:rPr>
              <w:fldChar w:fldCharType="begin"/>
            </w:r>
            <w:r>
              <w:rPr>
                <w:noProof/>
                <w:webHidden/>
              </w:rPr>
              <w:instrText xml:space="preserve"> PAGEREF _Toc147618628 \h </w:instrText>
            </w:r>
            <w:r>
              <w:rPr>
                <w:noProof/>
                <w:webHidden/>
              </w:rPr>
            </w:r>
            <w:r>
              <w:rPr>
                <w:noProof/>
                <w:webHidden/>
              </w:rPr>
              <w:fldChar w:fldCharType="separate"/>
            </w:r>
            <w:r w:rsidR="001627D3">
              <w:rPr>
                <w:noProof/>
                <w:webHidden/>
              </w:rPr>
              <w:t>118</w:t>
            </w:r>
            <w:r>
              <w:rPr>
                <w:noProof/>
                <w:webHidden/>
              </w:rPr>
              <w:fldChar w:fldCharType="end"/>
            </w:r>
          </w:hyperlink>
        </w:p>
        <w:p w14:paraId="0DBF0263" w14:textId="493DA473" w:rsidR="00B8667C" w:rsidRDefault="00B8667C">
          <w:pPr>
            <w:pStyle w:val="TOC2"/>
            <w:tabs>
              <w:tab w:val="right" w:leader="dot" w:pos="9350"/>
            </w:tabs>
            <w:rPr>
              <w:rFonts w:asciiTheme="minorHAnsi" w:eastAsiaTheme="minorEastAsia" w:hAnsiTheme="minorHAnsi" w:cstheme="minorBidi"/>
              <w:noProof/>
              <w:sz w:val="22"/>
              <w:szCs w:val="22"/>
              <w14:ligatures w14:val="standardContextual"/>
            </w:rPr>
          </w:pPr>
          <w:hyperlink w:anchor="_Toc147618629" w:history="1">
            <w:r w:rsidRPr="00D2568D">
              <w:rPr>
                <w:rStyle w:val="Hyperlink"/>
                <w:noProof/>
              </w:rPr>
              <w:t>2.</w:t>
            </w:r>
            <w:r w:rsidRPr="00D2568D">
              <w:rPr>
                <w:rStyle w:val="Hyperlink"/>
                <w:iCs/>
                <w:noProof/>
              </w:rPr>
              <w:t xml:space="preserve"> </w:t>
            </w:r>
            <w:r w:rsidRPr="00D2568D">
              <w:rPr>
                <w:rStyle w:val="Hyperlink"/>
                <w:noProof/>
              </w:rPr>
              <w:t>Inclusion</w:t>
            </w:r>
            <w:r>
              <w:rPr>
                <w:noProof/>
                <w:webHidden/>
              </w:rPr>
              <w:tab/>
            </w:r>
            <w:r>
              <w:rPr>
                <w:noProof/>
                <w:webHidden/>
              </w:rPr>
              <w:fldChar w:fldCharType="begin"/>
            </w:r>
            <w:r>
              <w:rPr>
                <w:noProof/>
                <w:webHidden/>
              </w:rPr>
              <w:instrText xml:space="preserve"> PAGEREF _Toc147618629 \h </w:instrText>
            </w:r>
            <w:r>
              <w:rPr>
                <w:noProof/>
                <w:webHidden/>
              </w:rPr>
            </w:r>
            <w:r>
              <w:rPr>
                <w:noProof/>
                <w:webHidden/>
              </w:rPr>
              <w:fldChar w:fldCharType="separate"/>
            </w:r>
            <w:r w:rsidR="001627D3">
              <w:rPr>
                <w:noProof/>
                <w:webHidden/>
              </w:rPr>
              <w:t>129</w:t>
            </w:r>
            <w:r>
              <w:rPr>
                <w:noProof/>
                <w:webHidden/>
              </w:rPr>
              <w:fldChar w:fldCharType="end"/>
            </w:r>
          </w:hyperlink>
        </w:p>
        <w:p w14:paraId="73CB4B61" w14:textId="0F09A100" w:rsidR="00B8667C" w:rsidRDefault="00B8667C">
          <w:pPr>
            <w:pStyle w:val="TOC2"/>
            <w:tabs>
              <w:tab w:val="right" w:leader="dot" w:pos="9350"/>
            </w:tabs>
            <w:rPr>
              <w:rFonts w:asciiTheme="minorHAnsi" w:eastAsiaTheme="minorEastAsia" w:hAnsiTheme="minorHAnsi" w:cstheme="minorBidi"/>
              <w:noProof/>
              <w:sz w:val="22"/>
              <w:szCs w:val="22"/>
              <w14:ligatures w14:val="standardContextual"/>
            </w:rPr>
          </w:pPr>
          <w:hyperlink w:anchor="_Toc147618630" w:history="1">
            <w:r w:rsidRPr="00D2568D">
              <w:rPr>
                <w:rStyle w:val="Hyperlink"/>
                <w:noProof/>
              </w:rPr>
              <w:t>3.</w:t>
            </w:r>
            <w:r w:rsidRPr="00D2568D">
              <w:rPr>
                <w:rStyle w:val="Hyperlink"/>
                <w:iCs/>
                <w:noProof/>
              </w:rPr>
              <w:t xml:space="preserve"> </w:t>
            </w:r>
            <w:r w:rsidRPr="00D2568D">
              <w:rPr>
                <w:rStyle w:val="Hyperlink"/>
                <w:noProof/>
              </w:rPr>
              <w:t>Rhythm</w:t>
            </w:r>
            <w:r>
              <w:rPr>
                <w:noProof/>
                <w:webHidden/>
              </w:rPr>
              <w:tab/>
            </w:r>
            <w:r>
              <w:rPr>
                <w:noProof/>
                <w:webHidden/>
              </w:rPr>
              <w:fldChar w:fldCharType="begin"/>
            </w:r>
            <w:r>
              <w:rPr>
                <w:noProof/>
                <w:webHidden/>
              </w:rPr>
              <w:instrText xml:space="preserve"> PAGEREF _Toc147618630 \h </w:instrText>
            </w:r>
            <w:r>
              <w:rPr>
                <w:noProof/>
                <w:webHidden/>
              </w:rPr>
            </w:r>
            <w:r>
              <w:rPr>
                <w:noProof/>
                <w:webHidden/>
              </w:rPr>
              <w:fldChar w:fldCharType="separate"/>
            </w:r>
            <w:r w:rsidR="001627D3">
              <w:rPr>
                <w:noProof/>
                <w:webHidden/>
              </w:rPr>
              <w:t>132</w:t>
            </w:r>
            <w:r>
              <w:rPr>
                <w:noProof/>
                <w:webHidden/>
              </w:rPr>
              <w:fldChar w:fldCharType="end"/>
            </w:r>
          </w:hyperlink>
        </w:p>
        <w:p w14:paraId="00ADC603" w14:textId="54768EB5" w:rsidR="00B8667C" w:rsidRDefault="00B8667C" w:rsidP="00B8667C">
          <w:pPr>
            <w:pStyle w:val="TOC1"/>
            <w:rPr>
              <w:rFonts w:asciiTheme="minorHAnsi" w:eastAsiaTheme="minorEastAsia" w:hAnsiTheme="minorHAnsi" w:cstheme="minorBidi"/>
              <w:noProof/>
              <w:sz w:val="22"/>
              <w:szCs w:val="22"/>
              <w14:ligatures w14:val="standardContextual"/>
            </w:rPr>
          </w:pPr>
          <w:hyperlink w:anchor="_Toc147618631" w:history="1">
            <w:r w:rsidRPr="00D2568D">
              <w:rPr>
                <w:rStyle w:val="Hyperlink"/>
                <w:noProof/>
              </w:rPr>
              <w:t>Chapter 8: Contentual Criteria:</w:t>
            </w:r>
            <w:r w:rsidR="001771B1">
              <w:rPr>
                <w:rStyle w:val="Hyperlink"/>
                <w:noProof/>
              </w:rPr>
              <w:t xml:space="preserve"> </w:t>
            </w:r>
          </w:hyperlink>
          <w:hyperlink w:anchor="_Toc147618632" w:history="1">
            <w:r w:rsidRPr="00D2568D">
              <w:rPr>
                <w:rStyle w:val="Hyperlink"/>
                <w:noProof/>
              </w:rPr>
              <w:t>Logical Outlines: Subsections</w:t>
            </w:r>
            <w:r>
              <w:rPr>
                <w:noProof/>
                <w:webHidden/>
              </w:rPr>
              <w:tab/>
            </w:r>
            <w:r>
              <w:rPr>
                <w:noProof/>
                <w:webHidden/>
              </w:rPr>
              <w:fldChar w:fldCharType="begin"/>
            </w:r>
            <w:r>
              <w:rPr>
                <w:noProof/>
                <w:webHidden/>
              </w:rPr>
              <w:instrText xml:space="preserve"> PAGEREF _Toc147618632 \h </w:instrText>
            </w:r>
            <w:r>
              <w:rPr>
                <w:noProof/>
                <w:webHidden/>
              </w:rPr>
            </w:r>
            <w:r>
              <w:rPr>
                <w:noProof/>
                <w:webHidden/>
              </w:rPr>
              <w:fldChar w:fldCharType="separate"/>
            </w:r>
            <w:r w:rsidR="001627D3">
              <w:rPr>
                <w:noProof/>
                <w:webHidden/>
              </w:rPr>
              <w:t>140</w:t>
            </w:r>
            <w:r>
              <w:rPr>
                <w:noProof/>
                <w:webHidden/>
              </w:rPr>
              <w:fldChar w:fldCharType="end"/>
            </w:r>
          </w:hyperlink>
        </w:p>
        <w:p w14:paraId="25920A4D" w14:textId="5DB48996" w:rsidR="00B8667C" w:rsidRDefault="00B8667C">
          <w:pPr>
            <w:pStyle w:val="TOC2"/>
            <w:tabs>
              <w:tab w:val="right" w:leader="dot" w:pos="9350"/>
            </w:tabs>
            <w:rPr>
              <w:rFonts w:asciiTheme="minorHAnsi" w:eastAsiaTheme="minorEastAsia" w:hAnsiTheme="minorHAnsi" w:cstheme="minorBidi"/>
              <w:noProof/>
              <w:sz w:val="22"/>
              <w:szCs w:val="22"/>
              <w14:ligatures w14:val="standardContextual"/>
            </w:rPr>
          </w:pPr>
          <w:hyperlink w:anchor="_Toc147618633" w:history="1">
            <w:r w:rsidRPr="00D2568D">
              <w:rPr>
                <w:rStyle w:val="Hyperlink"/>
                <w:noProof/>
              </w:rPr>
              <w:t>1. Agreed-Upon Units</w:t>
            </w:r>
            <w:r>
              <w:rPr>
                <w:noProof/>
                <w:webHidden/>
              </w:rPr>
              <w:tab/>
            </w:r>
            <w:r>
              <w:rPr>
                <w:noProof/>
                <w:webHidden/>
              </w:rPr>
              <w:fldChar w:fldCharType="begin"/>
            </w:r>
            <w:r>
              <w:rPr>
                <w:noProof/>
                <w:webHidden/>
              </w:rPr>
              <w:instrText xml:space="preserve"> PAGEREF _Toc147618633 \h </w:instrText>
            </w:r>
            <w:r>
              <w:rPr>
                <w:noProof/>
                <w:webHidden/>
              </w:rPr>
            </w:r>
            <w:r>
              <w:rPr>
                <w:noProof/>
                <w:webHidden/>
              </w:rPr>
              <w:fldChar w:fldCharType="separate"/>
            </w:r>
            <w:r w:rsidR="001627D3">
              <w:rPr>
                <w:noProof/>
                <w:webHidden/>
              </w:rPr>
              <w:t>141</w:t>
            </w:r>
            <w:r>
              <w:rPr>
                <w:noProof/>
                <w:webHidden/>
              </w:rPr>
              <w:fldChar w:fldCharType="end"/>
            </w:r>
          </w:hyperlink>
        </w:p>
        <w:p w14:paraId="6EA20210" w14:textId="3C7619AC" w:rsidR="00B8667C" w:rsidRDefault="00B8667C">
          <w:pPr>
            <w:pStyle w:val="TOC2"/>
            <w:tabs>
              <w:tab w:val="right" w:leader="dot" w:pos="9350"/>
            </w:tabs>
            <w:rPr>
              <w:rFonts w:asciiTheme="minorHAnsi" w:eastAsiaTheme="minorEastAsia" w:hAnsiTheme="minorHAnsi" w:cstheme="minorBidi"/>
              <w:noProof/>
              <w:sz w:val="22"/>
              <w:szCs w:val="22"/>
              <w14:ligatures w14:val="standardContextual"/>
            </w:rPr>
          </w:pPr>
          <w:hyperlink w:anchor="_Toc147618634" w:history="1">
            <w:r w:rsidRPr="00D2568D">
              <w:rPr>
                <w:rStyle w:val="Hyperlink"/>
                <w:noProof/>
              </w:rPr>
              <w:t>2. Six Intervening Verses</w:t>
            </w:r>
            <w:r>
              <w:rPr>
                <w:noProof/>
                <w:webHidden/>
              </w:rPr>
              <w:tab/>
            </w:r>
            <w:r>
              <w:rPr>
                <w:noProof/>
                <w:webHidden/>
              </w:rPr>
              <w:fldChar w:fldCharType="begin"/>
            </w:r>
            <w:r>
              <w:rPr>
                <w:noProof/>
                <w:webHidden/>
              </w:rPr>
              <w:instrText xml:space="preserve"> PAGEREF _Toc147618634 \h </w:instrText>
            </w:r>
            <w:r>
              <w:rPr>
                <w:noProof/>
                <w:webHidden/>
              </w:rPr>
            </w:r>
            <w:r>
              <w:rPr>
                <w:noProof/>
                <w:webHidden/>
              </w:rPr>
              <w:fldChar w:fldCharType="separate"/>
            </w:r>
            <w:r w:rsidR="001627D3">
              <w:rPr>
                <w:noProof/>
                <w:webHidden/>
              </w:rPr>
              <w:t>158</w:t>
            </w:r>
            <w:r>
              <w:rPr>
                <w:noProof/>
                <w:webHidden/>
              </w:rPr>
              <w:fldChar w:fldCharType="end"/>
            </w:r>
          </w:hyperlink>
        </w:p>
        <w:p w14:paraId="58362033" w14:textId="1AD5774C" w:rsidR="00B8667C" w:rsidRDefault="001771B1">
          <w:pPr>
            <w:pStyle w:val="TOC2"/>
            <w:tabs>
              <w:tab w:val="right" w:leader="dot" w:pos="9350"/>
            </w:tabs>
            <w:rPr>
              <w:rFonts w:asciiTheme="minorHAnsi" w:eastAsiaTheme="minorEastAsia" w:hAnsiTheme="minorHAnsi" w:cstheme="minorBidi"/>
              <w:noProof/>
              <w:sz w:val="22"/>
              <w:szCs w:val="22"/>
              <w14:ligatures w14:val="standardContextual"/>
            </w:rPr>
          </w:pPr>
          <w:r>
            <w:rPr>
              <w:rStyle w:val="Hyperlink"/>
              <w:noProof/>
            </w:rPr>
            <w:t xml:space="preserve">3. </w:t>
          </w:r>
          <w:hyperlink w:anchor="_Toc147618635" w:history="1">
            <w:r w:rsidR="00B8667C" w:rsidRPr="00D2568D">
              <w:rPr>
                <w:rStyle w:val="Hyperlink"/>
                <w:noProof/>
              </w:rPr>
              <w:t>Post Scriptum: On Swing Verses</w:t>
            </w:r>
            <w:r w:rsidR="00B8667C">
              <w:rPr>
                <w:noProof/>
                <w:webHidden/>
              </w:rPr>
              <w:tab/>
            </w:r>
            <w:r w:rsidR="00B8667C">
              <w:rPr>
                <w:noProof/>
                <w:webHidden/>
              </w:rPr>
              <w:fldChar w:fldCharType="begin"/>
            </w:r>
            <w:r w:rsidR="00B8667C">
              <w:rPr>
                <w:noProof/>
                <w:webHidden/>
              </w:rPr>
              <w:instrText xml:space="preserve"> PAGEREF _Toc147618635 \h </w:instrText>
            </w:r>
            <w:r w:rsidR="00B8667C">
              <w:rPr>
                <w:noProof/>
                <w:webHidden/>
              </w:rPr>
            </w:r>
            <w:r w:rsidR="00B8667C">
              <w:rPr>
                <w:noProof/>
                <w:webHidden/>
              </w:rPr>
              <w:fldChar w:fldCharType="separate"/>
            </w:r>
            <w:r w:rsidR="001627D3">
              <w:rPr>
                <w:noProof/>
                <w:webHidden/>
              </w:rPr>
              <w:t>173</w:t>
            </w:r>
            <w:r w:rsidR="00B8667C">
              <w:rPr>
                <w:noProof/>
                <w:webHidden/>
              </w:rPr>
              <w:fldChar w:fldCharType="end"/>
            </w:r>
          </w:hyperlink>
        </w:p>
        <w:p w14:paraId="18A41CAE" w14:textId="27F3E726" w:rsidR="00B8667C" w:rsidRDefault="00B8667C" w:rsidP="00B8667C">
          <w:pPr>
            <w:pStyle w:val="TOC1"/>
            <w:rPr>
              <w:rFonts w:asciiTheme="minorHAnsi" w:eastAsiaTheme="minorEastAsia" w:hAnsiTheme="minorHAnsi" w:cstheme="minorBidi"/>
              <w:noProof/>
              <w:sz w:val="22"/>
              <w:szCs w:val="22"/>
              <w14:ligatures w14:val="standardContextual"/>
            </w:rPr>
          </w:pPr>
          <w:hyperlink w:anchor="_Toc147618636" w:history="1">
            <w:r w:rsidRPr="00D2568D">
              <w:rPr>
                <w:rStyle w:val="Hyperlink"/>
                <w:noProof/>
              </w:rPr>
              <w:t>Chapter 9: Contentual Criteria:</w:t>
            </w:r>
            <w:r w:rsidR="001771B1">
              <w:rPr>
                <w:rStyle w:val="Hyperlink"/>
                <w:noProof/>
              </w:rPr>
              <w:t xml:space="preserve"> </w:t>
            </w:r>
          </w:hyperlink>
          <w:hyperlink w:anchor="_Toc147618637" w:history="1">
            <w:r w:rsidRPr="00D2568D">
              <w:rPr>
                <w:rStyle w:val="Hyperlink"/>
                <w:noProof/>
              </w:rPr>
              <w:t>Logical Outlines: Major Sections</w:t>
            </w:r>
            <w:r>
              <w:rPr>
                <w:noProof/>
                <w:webHidden/>
              </w:rPr>
              <w:tab/>
            </w:r>
            <w:r>
              <w:rPr>
                <w:noProof/>
                <w:webHidden/>
              </w:rPr>
              <w:fldChar w:fldCharType="begin"/>
            </w:r>
            <w:r>
              <w:rPr>
                <w:noProof/>
                <w:webHidden/>
              </w:rPr>
              <w:instrText xml:space="preserve"> PAGEREF _Toc147618637 \h </w:instrText>
            </w:r>
            <w:r>
              <w:rPr>
                <w:noProof/>
                <w:webHidden/>
              </w:rPr>
            </w:r>
            <w:r>
              <w:rPr>
                <w:noProof/>
                <w:webHidden/>
              </w:rPr>
              <w:fldChar w:fldCharType="separate"/>
            </w:r>
            <w:r w:rsidR="001627D3">
              <w:rPr>
                <w:noProof/>
                <w:webHidden/>
              </w:rPr>
              <w:t>175</w:t>
            </w:r>
            <w:r>
              <w:rPr>
                <w:noProof/>
                <w:webHidden/>
              </w:rPr>
              <w:fldChar w:fldCharType="end"/>
            </w:r>
          </w:hyperlink>
        </w:p>
        <w:p w14:paraId="6AECF921" w14:textId="49E544FD" w:rsidR="00B8667C" w:rsidRDefault="00B8667C">
          <w:pPr>
            <w:pStyle w:val="TOC2"/>
            <w:tabs>
              <w:tab w:val="right" w:leader="dot" w:pos="9350"/>
            </w:tabs>
            <w:rPr>
              <w:rFonts w:asciiTheme="minorHAnsi" w:eastAsiaTheme="minorEastAsia" w:hAnsiTheme="minorHAnsi" w:cstheme="minorBidi"/>
              <w:noProof/>
              <w:sz w:val="22"/>
              <w:szCs w:val="22"/>
              <w14:ligatures w14:val="standardContextual"/>
            </w:rPr>
          </w:pPr>
          <w:hyperlink w:anchor="_Toc147618638" w:history="1">
            <w:r w:rsidRPr="00D2568D">
              <w:rPr>
                <w:rStyle w:val="Hyperlink"/>
                <w:noProof/>
              </w:rPr>
              <w:t>1. Two-Part Middle Traditions</w:t>
            </w:r>
            <w:r>
              <w:rPr>
                <w:noProof/>
                <w:webHidden/>
              </w:rPr>
              <w:tab/>
            </w:r>
            <w:r>
              <w:rPr>
                <w:noProof/>
                <w:webHidden/>
              </w:rPr>
              <w:fldChar w:fldCharType="begin"/>
            </w:r>
            <w:r>
              <w:rPr>
                <w:noProof/>
                <w:webHidden/>
              </w:rPr>
              <w:instrText xml:space="preserve"> PAGEREF _Toc147618638 \h </w:instrText>
            </w:r>
            <w:r>
              <w:rPr>
                <w:noProof/>
                <w:webHidden/>
              </w:rPr>
            </w:r>
            <w:r>
              <w:rPr>
                <w:noProof/>
                <w:webHidden/>
              </w:rPr>
              <w:fldChar w:fldCharType="separate"/>
            </w:r>
            <w:r w:rsidR="001627D3">
              <w:rPr>
                <w:noProof/>
                <w:webHidden/>
              </w:rPr>
              <w:t>175</w:t>
            </w:r>
            <w:r>
              <w:rPr>
                <w:noProof/>
                <w:webHidden/>
              </w:rPr>
              <w:fldChar w:fldCharType="end"/>
            </w:r>
          </w:hyperlink>
        </w:p>
        <w:p w14:paraId="201E507D" w14:textId="3CBFA6E3" w:rsidR="00B8667C" w:rsidRDefault="00B8667C">
          <w:pPr>
            <w:pStyle w:val="TOC2"/>
            <w:tabs>
              <w:tab w:val="right" w:leader="dot" w:pos="9350"/>
            </w:tabs>
            <w:rPr>
              <w:rFonts w:asciiTheme="minorHAnsi" w:eastAsiaTheme="minorEastAsia" w:hAnsiTheme="minorHAnsi" w:cstheme="minorBidi"/>
              <w:noProof/>
              <w:sz w:val="22"/>
              <w:szCs w:val="22"/>
              <w14:ligatures w14:val="standardContextual"/>
            </w:rPr>
          </w:pPr>
          <w:hyperlink w:anchor="_Toc147618639" w:history="1">
            <w:r w:rsidRPr="00D2568D">
              <w:rPr>
                <w:rStyle w:val="Hyperlink"/>
                <w:noProof/>
              </w:rPr>
              <w:t>2. Three-Part Middle Traditions</w:t>
            </w:r>
            <w:r>
              <w:rPr>
                <w:noProof/>
                <w:webHidden/>
              </w:rPr>
              <w:tab/>
            </w:r>
            <w:r>
              <w:rPr>
                <w:noProof/>
                <w:webHidden/>
              </w:rPr>
              <w:fldChar w:fldCharType="begin"/>
            </w:r>
            <w:r>
              <w:rPr>
                <w:noProof/>
                <w:webHidden/>
              </w:rPr>
              <w:instrText xml:space="preserve"> PAGEREF _Toc147618639 \h </w:instrText>
            </w:r>
            <w:r>
              <w:rPr>
                <w:noProof/>
                <w:webHidden/>
              </w:rPr>
            </w:r>
            <w:r>
              <w:rPr>
                <w:noProof/>
                <w:webHidden/>
              </w:rPr>
              <w:fldChar w:fldCharType="separate"/>
            </w:r>
            <w:r w:rsidR="001627D3">
              <w:rPr>
                <w:noProof/>
                <w:webHidden/>
              </w:rPr>
              <w:t>186</w:t>
            </w:r>
            <w:r>
              <w:rPr>
                <w:noProof/>
                <w:webHidden/>
              </w:rPr>
              <w:fldChar w:fldCharType="end"/>
            </w:r>
          </w:hyperlink>
        </w:p>
        <w:p w14:paraId="46029BA9" w14:textId="74E10C5E" w:rsidR="00B8667C" w:rsidRDefault="00B8667C">
          <w:pPr>
            <w:pStyle w:val="TOC3"/>
            <w:tabs>
              <w:tab w:val="right" w:leader="dot" w:pos="9350"/>
            </w:tabs>
            <w:rPr>
              <w:rFonts w:asciiTheme="minorHAnsi" w:eastAsiaTheme="minorEastAsia" w:hAnsiTheme="minorHAnsi" w:cstheme="minorBidi"/>
              <w:noProof/>
              <w:sz w:val="22"/>
              <w:szCs w:val="22"/>
              <w14:ligatures w14:val="standardContextual"/>
            </w:rPr>
          </w:pPr>
          <w:hyperlink w:anchor="_Toc147618640" w:history="1">
            <w:r w:rsidRPr="00D2568D">
              <w:rPr>
                <w:rStyle w:val="Hyperlink"/>
                <w:noProof/>
              </w:rPr>
              <w:t>a. 27-36</w:t>
            </w:r>
            <w:r>
              <w:rPr>
                <w:noProof/>
                <w:webHidden/>
              </w:rPr>
              <w:tab/>
            </w:r>
            <w:r>
              <w:rPr>
                <w:noProof/>
                <w:webHidden/>
              </w:rPr>
              <w:fldChar w:fldCharType="begin"/>
            </w:r>
            <w:r>
              <w:rPr>
                <w:noProof/>
                <w:webHidden/>
              </w:rPr>
              <w:instrText xml:space="preserve"> PAGEREF _Toc147618640 \h </w:instrText>
            </w:r>
            <w:r>
              <w:rPr>
                <w:noProof/>
                <w:webHidden/>
              </w:rPr>
            </w:r>
            <w:r>
              <w:rPr>
                <w:noProof/>
                <w:webHidden/>
              </w:rPr>
              <w:fldChar w:fldCharType="separate"/>
            </w:r>
            <w:r w:rsidR="001627D3">
              <w:rPr>
                <w:noProof/>
                <w:webHidden/>
              </w:rPr>
              <w:t>186</w:t>
            </w:r>
            <w:r>
              <w:rPr>
                <w:noProof/>
                <w:webHidden/>
              </w:rPr>
              <w:fldChar w:fldCharType="end"/>
            </w:r>
          </w:hyperlink>
        </w:p>
        <w:p w14:paraId="6D1A6A79" w14:textId="5F3EF41D" w:rsidR="00B8667C" w:rsidRDefault="00B8667C">
          <w:pPr>
            <w:pStyle w:val="TOC3"/>
            <w:tabs>
              <w:tab w:val="right" w:leader="dot" w:pos="9350"/>
            </w:tabs>
            <w:rPr>
              <w:rFonts w:asciiTheme="minorHAnsi" w:eastAsiaTheme="minorEastAsia" w:hAnsiTheme="minorHAnsi" w:cstheme="minorBidi"/>
              <w:noProof/>
              <w:sz w:val="22"/>
              <w:szCs w:val="22"/>
              <w14:ligatures w14:val="standardContextual"/>
            </w:rPr>
          </w:pPr>
          <w:hyperlink w:anchor="_Toc147618641" w:history="1">
            <w:r w:rsidRPr="00D2568D">
              <w:rPr>
                <w:rStyle w:val="Hyperlink"/>
                <w:noProof/>
              </w:rPr>
              <w:t>b. 37-42</w:t>
            </w:r>
            <w:r>
              <w:rPr>
                <w:noProof/>
                <w:webHidden/>
              </w:rPr>
              <w:tab/>
            </w:r>
            <w:r>
              <w:rPr>
                <w:noProof/>
                <w:webHidden/>
              </w:rPr>
              <w:fldChar w:fldCharType="begin"/>
            </w:r>
            <w:r>
              <w:rPr>
                <w:noProof/>
                <w:webHidden/>
              </w:rPr>
              <w:instrText xml:space="preserve"> PAGEREF _Toc147618641 \h </w:instrText>
            </w:r>
            <w:r>
              <w:rPr>
                <w:noProof/>
                <w:webHidden/>
              </w:rPr>
            </w:r>
            <w:r>
              <w:rPr>
                <w:noProof/>
                <w:webHidden/>
              </w:rPr>
              <w:fldChar w:fldCharType="separate"/>
            </w:r>
            <w:r w:rsidR="001627D3">
              <w:rPr>
                <w:noProof/>
                <w:webHidden/>
              </w:rPr>
              <w:t>189</w:t>
            </w:r>
            <w:r>
              <w:rPr>
                <w:noProof/>
                <w:webHidden/>
              </w:rPr>
              <w:fldChar w:fldCharType="end"/>
            </w:r>
          </w:hyperlink>
        </w:p>
        <w:p w14:paraId="29739A1F" w14:textId="5771A28D" w:rsidR="00B8667C" w:rsidRDefault="00B8667C">
          <w:pPr>
            <w:pStyle w:val="TOC3"/>
            <w:tabs>
              <w:tab w:val="right" w:leader="dot" w:pos="9350"/>
            </w:tabs>
            <w:rPr>
              <w:rFonts w:asciiTheme="minorHAnsi" w:eastAsiaTheme="minorEastAsia" w:hAnsiTheme="minorHAnsi" w:cstheme="minorBidi"/>
              <w:noProof/>
              <w:sz w:val="22"/>
              <w:szCs w:val="22"/>
              <w14:ligatures w14:val="standardContextual"/>
            </w:rPr>
          </w:pPr>
          <w:hyperlink w:anchor="_Toc147618642" w:history="1">
            <w:r w:rsidRPr="00D2568D">
              <w:rPr>
                <w:rStyle w:val="Hyperlink"/>
                <w:noProof/>
              </w:rPr>
              <w:t>c. 43-45</w:t>
            </w:r>
            <w:r>
              <w:rPr>
                <w:noProof/>
                <w:webHidden/>
              </w:rPr>
              <w:tab/>
            </w:r>
            <w:r>
              <w:rPr>
                <w:noProof/>
                <w:webHidden/>
              </w:rPr>
              <w:fldChar w:fldCharType="begin"/>
            </w:r>
            <w:r>
              <w:rPr>
                <w:noProof/>
                <w:webHidden/>
              </w:rPr>
              <w:instrText xml:space="preserve"> PAGEREF _Toc147618642 \h </w:instrText>
            </w:r>
            <w:r>
              <w:rPr>
                <w:noProof/>
                <w:webHidden/>
              </w:rPr>
            </w:r>
            <w:r>
              <w:rPr>
                <w:noProof/>
                <w:webHidden/>
              </w:rPr>
              <w:fldChar w:fldCharType="separate"/>
            </w:r>
            <w:r w:rsidR="001627D3">
              <w:rPr>
                <w:noProof/>
                <w:webHidden/>
              </w:rPr>
              <w:t>199</w:t>
            </w:r>
            <w:r>
              <w:rPr>
                <w:noProof/>
                <w:webHidden/>
              </w:rPr>
              <w:fldChar w:fldCharType="end"/>
            </w:r>
          </w:hyperlink>
        </w:p>
        <w:p w14:paraId="52EC5BF8" w14:textId="62AAAABD" w:rsidR="00B8667C" w:rsidRDefault="00B8667C">
          <w:pPr>
            <w:pStyle w:val="TOC2"/>
            <w:tabs>
              <w:tab w:val="right" w:leader="dot" w:pos="9350"/>
            </w:tabs>
            <w:rPr>
              <w:rFonts w:asciiTheme="minorHAnsi" w:eastAsiaTheme="minorEastAsia" w:hAnsiTheme="minorHAnsi" w:cstheme="minorBidi"/>
              <w:noProof/>
              <w:sz w:val="22"/>
              <w:szCs w:val="22"/>
              <w14:ligatures w14:val="standardContextual"/>
            </w:rPr>
          </w:pPr>
          <w:hyperlink w:anchor="_Toc147618643" w:history="1">
            <w:r w:rsidRPr="00D2568D">
              <w:rPr>
                <w:rStyle w:val="Hyperlink"/>
                <w:noProof/>
              </w:rPr>
              <w:t>Conclusion</w:t>
            </w:r>
            <w:r>
              <w:rPr>
                <w:noProof/>
                <w:webHidden/>
              </w:rPr>
              <w:tab/>
            </w:r>
            <w:r>
              <w:rPr>
                <w:noProof/>
                <w:webHidden/>
              </w:rPr>
              <w:fldChar w:fldCharType="begin"/>
            </w:r>
            <w:r>
              <w:rPr>
                <w:noProof/>
                <w:webHidden/>
              </w:rPr>
              <w:instrText xml:space="preserve"> PAGEREF _Toc147618643 \h </w:instrText>
            </w:r>
            <w:r>
              <w:rPr>
                <w:noProof/>
                <w:webHidden/>
              </w:rPr>
            </w:r>
            <w:r>
              <w:rPr>
                <w:noProof/>
                <w:webHidden/>
              </w:rPr>
              <w:fldChar w:fldCharType="separate"/>
            </w:r>
            <w:r w:rsidR="001627D3">
              <w:rPr>
                <w:noProof/>
                <w:webHidden/>
              </w:rPr>
              <w:t>207</w:t>
            </w:r>
            <w:r>
              <w:rPr>
                <w:noProof/>
                <w:webHidden/>
              </w:rPr>
              <w:fldChar w:fldCharType="end"/>
            </w:r>
          </w:hyperlink>
        </w:p>
        <w:p w14:paraId="50912896" w14:textId="3D0BCCA3" w:rsidR="00B8667C" w:rsidRDefault="00B8667C" w:rsidP="00B8667C">
          <w:pPr>
            <w:pStyle w:val="TOC1"/>
            <w:rPr>
              <w:rFonts w:asciiTheme="minorHAnsi" w:eastAsiaTheme="minorEastAsia" w:hAnsiTheme="minorHAnsi" w:cstheme="minorBidi"/>
              <w:noProof/>
              <w:sz w:val="22"/>
              <w:szCs w:val="22"/>
              <w14:ligatures w14:val="standardContextual"/>
            </w:rPr>
          </w:pPr>
          <w:hyperlink w:anchor="_Toc147618644" w:history="1">
            <w:r w:rsidRPr="00D2568D">
              <w:rPr>
                <w:rStyle w:val="Hyperlink"/>
                <w:noProof/>
              </w:rPr>
              <w:t>Chapter 10: Contentual Criteria:</w:t>
            </w:r>
            <w:r>
              <w:rPr>
                <w:noProof/>
                <w:webHidden/>
              </w:rPr>
              <w:tab/>
            </w:r>
            <w:r>
              <w:rPr>
                <w:noProof/>
                <w:webHidden/>
              </w:rPr>
              <w:fldChar w:fldCharType="begin"/>
            </w:r>
            <w:r>
              <w:rPr>
                <w:noProof/>
                <w:webHidden/>
              </w:rPr>
              <w:instrText xml:space="preserve"> PAGEREF _Toc147618644 \h </w:instrText>
            </w:r>
            <w:r>
              <w:rPr>
                <w:noProof/>
                <w:webHidden/>
              </w:rPr>
            </w:r>
            <w:r>
              <w:rPr>
                <w:noProof/>
                <w:webHidden/>
              </w:rPr>
              <w:fldChar w:fldCharType="separate"/>
            </w:r>
            <w:r w:rsidR="001627D3">
              <w:rPr>
                <w:noProof/>
                <w:webHidden/>
              </w:rPr>
              <w:t>209</w:t>
            </w:r>
            <w:r>
              <w:rPr>
                <w:noProof/>
                <w:webHidden/>
              </w:rPr>
              <w:fldChar w:fldCharType="end"/>
            </w:r>
          </w:hyperlink>
        </w:p>
        <w:p w14:paraId="6BCEE71E" w14:textId="2A39F99A" w:rsidR="00B8667C" w:rsidRDefault="00B8667C" w:rsidP="00B8667C">
          <w:pPr>
            <w:pStyle w:val="TOC1"/>
            <w:rPr>
              <w:rFonts w:asciiTheme="minorHAnsi" w:eastAsiaTheme="minorEastAsia" w:hAnsiTheme="minorHAnsi" w:cstheme="minorBidi"/>
              <w:noProof/>
              <w:sz w:val="22"/>
              <w:szCs w:val="22"/>
              <w14:ligatures w14:val="standardContextual"/>
            </w:rPr>
          </w:pPr>
          <w:hyperlink w:anchor="_Toc147618645" w:history="1">
            <w:r w:rsidRPr="00D2568D">
              <w:rPr>
                <w:rStyle w:val="Hyperlink"/>
                <w:noProof/>
              </w:rPr>
              <w:t>Parallelism and Catchwords</w:t>
            </w:r>
            <w:r>
              <w:rPr>
                <w:noProof/>
                <w:webHidden/>
              </w:rPr>
              <w:tab/>
            </w:r>
            <w:r>
              <w:rPr>
                <w:noProof/>
                <w:webHidden/>
              </w:rPr>
              <w:fldChar w:fldCharType="begin"/>
            </w:r>
            <w:r>
              <w:rPr>
                <w:noProof/>
                <w:webHidden/>
              </w:rPr>
              <w:instrText xml:space="preserve"> PAGEREF _Toc147618645 \h </w:instrText>
            </w:r>
            <w:r>
              <w:rPr>
                <w:noProof/>
                <w:webHidden/>
              </w:rPr>
            </w:r>
            <w:r>
              <w:rPr>
                <w:noProof/>
                <w:webHidden/>
              </w:rPr>
              <w:fldChar w:fldCharType="separate"/>
            </w:r>
            <w:r w:rsidR="001627D3">
              <w:rPr>
                <w:noProof/>
                <w:webHidden/>
              </w:rPr>
              <w:t>209</w:t>
            </w:r>
            <w:r>
              <w:rPr>
                <w:noProof/>
                <w:webHidden/>
              </w:rPr>
              <w:fldChar w:fldCharType="end"/>
            </w:r>
          </w:hyperlink>
        </w:p>
        <w:p w14:paraId="7B8567ED" w14:textId="5E967B3D" w:rsidR="00B8667C" w:rsidRDefault="00B8667C">
          <w:pPr>
            <w:pStyle w:val="TOC2"/>
            <w:tabs>
              <w:tab w:val="right" w:leader="dot" w:pos="9350"/>
            </w:tabs>
            <w:rPr>
              <w:rFonts w:asciiTheme="minorHAnsi" w:eastAsiaTheme="minorEastAsia" w:hAnsiTheme="minorHAnsi" w:cstheme="minorBidi"/>
              <w:noProof/>
              <w:sz w:val="22"/>
              <w:szCs w:val="22"/>
              <w14:ligatures w14:val="standardContextual"/>
            </w:rPr>
          </w:pPr>
          <w:hyperlink w:anchor="_Toc147618646" w:history="1">
            <w:r w:rsidRPr="00D2568D">
              <w:rPr>
                <w:rStyle w:val="Hyperlink"/>
                <w:noProof/>
              </w:rPr>
              <w:t>1.</w:t>
            </w:r>
            <w:r w:rsidRPr="00D2568D">
              <w:rPr>
                <w:rStyle w:val="Hyperlink"/>
                <w:iCs/>
                <w:noProof/>
              </w:rPr>
              <w:t xml:space="preserve"> </w:t>
            </w:r>
            <w:r w:rsidRPr="00D2568D">
              <w:rPr>
                <w:rStyle w:val="Hyperlink"/>
                <w:noProof/>
              </w:rPr>
              <w:t>Parallelism</w:t>
            </w:r>
            <w:r>
              <w:rPr>
                <w:noProof/>
                <w:webHidden/>
              </w:rPr>
              <w:tab/>
            </w:r>
            <w:r>
              <w:rPr>
                <w:noProof/>
                <w:webHidden/>
              </w:rPr>
              <w:fldChar w:fldCharType="begin"/>
            </w:r>
            <w:r>
              <w:rPr>
                <w:noProof/>
                <w:webHidden/>
              </w:rPr>
              <w:instrText xml:space="preserve"> PAGEREF _Toc147618646 \h </w:instrText>
            </w:r>
            <w:r>
              <w:rPr>
                <w:noProof/>
                <w:webHidden/>
              </w:rPr>
            </w:r>
            <w:r>
              <w:rPr>
                <w:noProof/>
                <w:webHidden/>
              </w:rPr>
              <w:fldChar w:fldCharType="separate"/>
            </w:r>
            <w:r w:rsidR="001627D3">
              <w:rPr>
                <w:noProof/>
                <w:webHidden/>
              </w:rPr>
              <w:t>209</w:t>
            </w:r>
            <w:r>
              <w:rPr>
                <w:noProof/>
                <w:webHidden/>
              </w:rPr>
              <w:fldChar w:fldCharType="end"/>
            </w:r>
          </w:hyperlink>
        </w:p>
        <w:p w14:paraId="47F0DD04" w14:textId="35B7AE7B" w:rsidR="00B8667C" w:rsidRDefault="00B8667C">
          <w:pPr>
            <w:pStyle w:val="TOC3"/>
            <w:tabs>
              <w:tab w:val="right" w:leader="dot" w:pos="9350"/>
            </w:tabs>
            <w:rPr>
              <w:rFonts w:asciiTheme="minorHAnsi" w:eastAsiaTheme="minorEastAsia" w:hAnsiTheme="minorHAnsi" w:cstheme="minorBidi"/>
              <w:noProof/>
              <w:sz w:val="22"/>
              <w:szCs w:val="22"/>
              <w14:ligatures w14:val="standardContextual"/>
            </w:rPr>
          </w:pPr>
          <w:hyperlink w:anchor="_Toc147618647" w:history="1">
            <w:r w:rsidRPr="00D2568D">
              <w:rPr>
                <w:rStyle w:val="Hyperlink"/>
                <w:noProof/>
              </w:rPr>
              <w:t>a.</w:t>
            </w:r>
            <w:r w:rsidRPr="00D2568D">
              <w:rPr>
                <w:rStyle w:val="Hyperlink"/>
                <w:iCs/>
                <w:noProof/>
              </w:rPr>
              <w:t xml:space="preserve"> </w:t>
            </w:r>
            <w:r w:rsidRPr="00D2568D">
              <w:rPr>
                <w:rStyle w:val="Hyperlink"/>
                <w:noProof/>
              </w:rPr>
              <w:t>6:20b-26</w:t>
            </w:r>
            <w:r>
              <w:rPr>
                <w:noProof/>
                <w:webHidden/>
              </w:rPr>
              <w:tab/>
            </w:r>
            <w:r>
              <w:rPr>
                <w:noProof/>
                <w:webHidden/>
              </w:rPr>
              <w:fldChar w:fldCharType="begin"/>
            </w:r>
            <w:r>
              <w:rPr>
                <w:noProof/>
                <w:webHidden/>
              </w:rPr>
              <w:instrText xml:space="preserve"> PAGEREF _Toc147618647 \h </w:instrText>
            </w:r>
            <w:r>
              <w:rPr>
                <w:noProof/>
                <w:webHidden/>
              </w:rPr>
            </w:r>
            <w:r>
              <w:rPr>
                <w:noProof/>
                <w:webHidden/>
              </w:rPr>
              <w:fldChar w:fldCharType="separate"/>
            </w:r>
            <w:r w:rsidR="001627D3">
              <w:rPr>
                <w:noProof/>
                <w:webHidden/>
              </w:rPr>
              <w:t>211</w:t>
            </w:r>
            <w:r>
              <w:rPr>
                <w:noProof/>
                <w:webHidden/>
              </w:rPr>
              <w:fldChar w:fldCharType="end"/>
            </w:r>
          </w:hyperlink>
        </w:p>
        <w:p w14:paraId="7E5BCE45" w14:textId="349B897E" w:rsidR="00B8667C" w:rsidRDefault="00B8667C">
          <w:pPr>
            <w:pStyle w:val="TOC3"/>
            <w:tabs>
              <w:tab w:val="right" w:leader="dot" w:pos="9350"/>
            </w:tabs>
            <w:rPr>
              <w:rFonts w:asciiTheme="minorHAnsi" w:eastAsiaTheme="minorEastAsia" w:hAnsiTheme="minorHAnsi" w:cstheme="minorBidi"/>
              <w:noProof/>
              <w:sz w:val="22"/>
              <w:szCs w:val="22"/>
              <w14:ligatures w14:val="standardContextual"/>
            </w:rPr>
          </w:pPr>
          <w:hyperlink w:anchor="_Toc147618648" w:history="1">
            <w:r w:rsidRPr="00D2568D">
              <w:rPr>
                <w:rStyle w:val="Hyperlink"/>
                <w:noProof/>
              </w:rPr>
              <w:t>b.</w:t>
            </w:r>
            <w:r w:rsidRPr="00D2568D">
              <w:rPr>
                <w:rStyle w:val="Hyperlink"/>
                <w:iCs/>
                <w:noProof/>
              </w:rPr>
              <w:t xml:space="preserve"> </w:t>
            </w:r>
            <w:r w:rsidRPr="00D2568D">
              <w:rPr>
                <w:rStyle w:val="Hyperlink"/>
                <w:noProof/>
              </w:rPr>
              <w:t>6:27-36</w:t>
            </w:r>
            <w:r>
              <w:rPr>
                <w:noProof/>
                <w:webHidden/>
              </w:rPr>
              <w:tab/>
            </w:r>
            <w:r>
              <w:rPr>
                <w:noProof/>
                <w:webHidden/>
              </w:rPr>
              <w:fldChar w:fldCharType="begin"/>
            </w:r>
            <w:r>
              <w:rPr>
                <w:noProof/>
                <w:webHidden/>
              </w:rPr>
              <w:instrText xml:space="preserve"> PAGEREF _Toc147618648 \h </w:instrText>
            </w:r>
            <w:r>
              <w:rPr>
                <w:noProof/>
                <w:webHidden/>
              </w:rPr>
            </w:r>
            <w:r>
              <w:rPr>
                <w:noProof/>
                <w:webHidden/>
              </w:rPr>
              <w:fldChar w:fldCharType="separate"/>
            </w:r>
            <w:r w:rsidR="001627D3">
              <w:rPr>
                <w:noProof/>
                <w:webHidden/>
              </w:rPr>
              <w:t>215</w:t>
            </w:r>
            <w:r>
              <w:rPr>
                <w:noProof/>
                <w:webHidden/>
              </w:rPr>
              <w:fldChar w:fldCharType="end"/>
            </w:r>
          </w:hyperlink>
        </w:p>
        <w:p w14:paraId="23053BE2" w14:textId="54CE7866" w:rsidR="00B8667C" w:rsidRDefault="00B8667C">
          <w:pPr>
            <w:pStyle w:val="TOC3"/>
            <w:tabs>
              <w:tab w:val="right" w:leader="dot" w:pos="9350"/>
            </w:tabs>
            <w:rPr>
              <w:rFonts w:asciiTheme="minorHAnsi" w:eastAsiaTheme="minorEastAsia" w:hAnsiTheme="minorHAnsi" w:cstheme="minorBidi"/>
              <w:noProof/>
              <w:sz w:val="22"/>
              <w:szCs w:val="22"/>
              <w14:ligatures w14:val="standardContextual"/>
            </w:rPr>
          </w:pPr>
          <w:hyperlink w:anchor="_Toc147618649" w:history="1">
            <w:r w:rsidRPr="00D2568D">
              <w:rPr>
                <w:rStyle w:val="Hyperlink"/>
                <w:noProof/>
              </w:rPr>
              <w:t>c.</w:t>
            </w:r>
            <w:r w:rsidRPr="00D2568D">
              <w:rPr>
                <w:rStyle w:val="Hyperlink"/>
                <w:iCs/>
                <w:noProof/>
              </w:rPr>
              <w:t xml:space="preserve"> </w:t>
            </w:r>
            <w:r w:rsidRPr="00D2568D">
              <w:rPr>
                <w:rStyle w:val="Hyperlink"/>
                <w:noProof/>
              </w:rPr>
              <w:t>6:37-49</w:t>
            </w:r>
            <w:r>
              <w:rPr>
                <w:noProof/>
                <w:webHidden/>
              </w:rPr>
              <w:tab/>
            </w:r>
            <w:r>
              <w:rPr>
                <w:noProof/>
                <w:webHidden/>
              </w:rPr>
              <w:fldChar w:fldCharType="begin"/>
            </w:r>
            <w:r>
              <w:rPr>
                <w:noProof/>
                <w:webHidden/>
              </w:rPr>
              <w:instrText xml:space="preserve"> PAGEREF _Toc147618649 \h </w:instrText>
            </w:r>
            <w:r>
              <w:rPr>
                <w:noProof/>
                <w:webHidden/>
              </w:rPr>
            </w:r>
            <w:r>
              <w:rPr>
                <w:noProof/>
                <w:webHidden/>
              </w:rPr>
              <w:fldChar w:fldCharType="separate"/>
            </w:r>
            <w:r w:rsidR="001627D3">
              <w:rPr>
                <w:noProof/>
                <w:webHidden/>
              </w:rPr>
              <w:t>218</w:t>
            </w:r>
            <w:r>
              <w:rPr>
                <w:noProof/>
                <w:webHidden/>
              </w:rPr>
              <w:fldChar w:fldCharType="end"/>
            </w:r>
          </w:hyperlink>
        </w:p>
        <w:p w14:paraId="1AD708AC" w14:textId="0FF297E7" w:rsidR="00B8667C" w:rsidRDefault="00B8667C">
          <w:pPr>
            <w:pStyle w:val="TOC2"/>
            <w:tabs>
              <w:tab w:val="right" w:leader="dot" w:pos="9350"/>
            </w:tabs>
            <w:rPr>
              <w:rFonts w:asciiTheme="minorHAnsi" w:eastAsiaTheme="minorEastAsia" w:hAnsiTheme="minorHAnsi" w:cstheme="minorBidi"/>
              <w:noProof/>
              <w:sz w:val="22"/>
              <w:szCs w:val="22"/>
              <w14:ligatures w14:val="standardContextual"/>
            </w:rPr>
          </w:pPr>
          <w:hyperlink w:anchor="_Toc147618650" w:history="1">
            <w:r w:rsidRPr="00D2568D">
              <w:rPr>
                <w:rStyle w:val="Hyperlink"/>
                <w:noProof/>
              </w:rPr>
              <w:t>2.</w:t>
            </w:r>
            <w:r w:rsidRPr="00D2568D">
              <w:rPr>
                <w:rStyle w:val="Hyperlink"/>
                <w:iCs/>
                <w:noProof/>
              </w:rPr>
              <w:t xml:space="preserve"> </w:t>
            </w:r>
            <w:r w:rsidRPr="00D2568D">
              <w:rPr>
                <w:rStyle w:val="Hyperlink"/>
                <w:noProof/>
              </w:rPr>
              <w:t>Catchwords</w:t>
            </w:r>
            <w:r>
              <w:rPr>
                <w:noProof/>
                <w:webHidden/>
              </w:rPr>
              <w:tab/>
            </w:r>
            <w:r>
              <w:rPr>
                <w:noProof/>
                <w:webHidden/>
              </w:rPr>
              <w:fldChar w:fldCharType="begin"/>
            </w:r>
            <w:r>
              <w:rPr>
                <w:noProof/>
                <w:webHidden/>
              </w:rPr>
              <w:instrText xml:space="preserve"> PAGEREF _Toc147618650 \h </w:instrText>
            </w:r>
            <w:r>
              <w:rPr>
                <w:noProof/>
                <w:webHidden/>
              </w:rPr>
            </w:r>
            <w:r>
              <w:rPr>
                <w:noProof/>
                <w:webHidden/>
              </w:rPr>
              <w:fldChar w:fldCharType="separate"/>
            </w:r>
            <w:r w:rsidR="001627D3">
              <w:rPr>
                <w:noProof/>
                <w:webHidden/>
              </w:rPr>
              <w:t>225</w:t>
            </w:r>
            <w:r>
              <w:rPr>
                <w:noProof/>
                <w:webHidden/>
              </w:rPr>
              <w:fldChar w:fldCharType="end"/>
            </w:r>
          </w:hyperlink>
        </w:p>
        <w:p w14:paraId="46747178" w14:textId="6873D5CF" w:rsidR="00B8667C" w:rsidRDefault="00B8667C" w:rsidP="00B8667C">
          <w:pPr>
            <w:pStyle w:val="TOC1"/>
            <w:rPr>
              <w:rFonts w:asciiTheme="minorHAnsi" w:eastAsiaTheme="minorEastAsia" w:hAnsiTheme="minorHAnsi" w:cstheme="minorBidi"/>
              <w:noProof/>
              <w:sz w:val="22"/>
              <w:szCs w:val="22"/>
              <w14:ligatures w14:val="standardContextual"/>
            </w:rPr>
          </w:pPr>
          <w:hyperlink w:anchor="_Toc147618651" w:history="1">
            <w:r w:rsidRPr="00D2568D">
              <w:rPr>
                <w:rStyle w:val="Hyperlink"/>
                <w:noProof/>
              </w:rPr>
              <w:t>Chapter 11: Conclusion</w:t>
            </w:r>
            <w:r>
              <w:rPr>
                <w:noProof/>
                <w:webHidden/>
              </w:rPr>
              <w:tab/>
            </w:r>
            <w:r>
              <w:rPr>
                <w:noProof/>
                <w:webHidden/>
              </w:rPr>
              <w:fldChar w:fldCharType="begin"/>
            </w:r>
            <w:r>
              <w:rPr>
                <w:noProof/>
                <w:webHidden/>
              </w:rPr>
              <w:instrText xml:space="preserve"> PAGEREF _Toc147618651 \h </w:instrText>
            </w:r>
            <w:r>
              <w:rPr>
                <w:noProof/>
                <w:webHidden/>
              </w:rPr>
            </w:r>
            <w:r>
              <w:rPr>
                <w:noProof/>
                <w:webHidden/>
              </w:rPr>
              <w:fldChar w:fldCharType="separate"/>
            </w:r>
            <w:r w:rsidR="001627D3">
              <w:rPr>
                <w:noProof/>
                <w:webHidden/>
              </w:rPr>
              <w:t>231</w:t>
            </w:r>
            <w:r>
              <w:rPr>
                <w:noProof/>
                <w:webHidden/>
              </w:rPr>
              <w:fldChar w:fldCharType="end"/>
            </w:r>
          </w:hyperlink>
        </w:p>
        <w:p w14:paraId="7C31F144" w14:textId="42DBCF3A" w:rsidR="00B8667C" w:rsidRDefault="00B8667C">
          <w:pPr>
            <w:pStyle w:val="TOC2"/>
            <w:tabs>
              <w:tab w:val="right" w:leader="dot" w:pos="9350"/>
            </w:tabs>
            <w:rPr>
              <w:rFonts w:asciiTheme="minorHAnsi" w:eastAsiaTheme="minorEastAsia" w:hAnsiTheme="minorHAnsi" w:cstheme="minorBidi"/>
              <w:noProof/>
              <w:sz w:val="22"/>
              <w:szCs w:val="22"/>
              <w14:ligatures w14:val="standardContextual"/>
            </w:rPr>
          </w:pPr>
          <w:hyperlink w:anchor="_Toc147618652" w:history="1">
            <w:r w:rsidRPr="00D2568D">
              <w:rPr>
                <w:rStyle w:val="Hyperlink"/>
                <w:noProof/>
              </w:rPr>
              <w:t>1.</w:t>
            </w:r>
            <w:r w:rsidRPr="00D2568D">
              <w:rPr>
                <w:rStyle w:val="Hyperlink"/>
                <w:iCs/>
                <w:noProof/>
              </w:rPr>
              <w:t xml:space="preserve"> </w:t>
            </w:r>
            <w:r w:rsidRPr="00D2568D">
              <w:rPr>
                <w:rStyle w:val="Hyperlink"/>
                <w:noProof/>
              </w:rPr>
              <w:t>Positive and Negative Assessments</w:t>
            </w:r>
            <w:r>
              <w:rPr>
                <w:noProof/>
                <w:webHidden/>
              </w:rPr>
              <w:tab/>
            </w:r>
            <w:r>
              <w:rPr>
                <w:noProof/>
                <w:webHidden/>
              </w:rPr>
              <w:fldChar w:fldCharType="begin"/>
            </w:r>
            <w:r>
              <w:rPr>
                <w:noProof/>
                <w:webHidden/>
              </w:rPr>
              <w:instrText xml:space="preserve"> PAGEREF _Toc147618652 \h </w:instrText>
            </w:r>
            <w:r>
              <w:rPr>
                <w:noProof/>
                <w:webHidden/>
              </w:rPr>
            </w:r>
            <w:r>
              <w:rPr>
                <w:noProof/>
                <w:webHidden/>
              </w:rPr>
              <w:fldChar w:fldCharType="separate"/>
            </w:r>
            <w:r w:rsidR="001627D3">
              <w:rPr>
                <w:noProof/>
                <w:webHidden/>
              </w:rPr>
              <w:t>231</w:t>
            </w:r>
            <w:r>
              <w:rPr>
                <w:noProof/>
                <w:webHidden/>
              </w:rPr>
              <w:fldChar w:fldCharType="end"/>
            </w:r>
          </w:hyperlink>
        </w:p>
        <w:p w14:paraId="2301B464" w14:textId="699057EA" w:rsidR="00B8667C" w:rsidRDefault="00B8667C">
          <w:pPr>
            <w:pStyle w:val="TOC2"/>
            <w:tabs>
              <w:tab w:val="right" w:leader="dot" w:pos="9350"/>
            </w:tabs>
            <w:rPr>
              <w:rFonts w:asciiTheme="minorHAnsi" w:eastAsiaTheme="minorEastAsia" w:hAnsiTheme="minorHAnsi" w:cstheme="minorBidi"/>
              <w:noProof/>
              <w:sz w:val="22"/>
              <w:szCs w:val="22"/>
              <w14:ligatures w14:val="standardContextual"/>
            </w:rPr>
          </w:pPr>
          <w:hyperlink w:anchor="_Toc147618653" w:history="1">
            <w:r w:rsidRPr="00D2568D">
              <w:rPr>
                <w:rStyle w:val="Hyperlink"/>
                <w:noProof/>
              </w:rPr>
              <w:t>2.</w:t>
            </w:r>
            <w:r w:rsidRPr="00D2568D">
              <w:rPr>
                <w:rStyle w:val="Hyperlink"/>
                <w:iCs/>
                <w:noProof/>
              </w:rPr>
              <w:t xml:space="preserve"> </w:t>
            </w:r>
            <w:r w:rsidRPr="00D2568D">
              <w:rPr>
                <w:rStyle w:val="Hyperlink"/>
                <w:noProof/>
              </w:rPr>
              <w:t>Bedeviling Subjectivism</w:t>
            </w:r>
            <w:r>
              <w:rPr>
                <w:noProof/>
                <w:webHidden/>
              </w:rPr>
              <w:tab/>
            </w:r>
            <w:r>
              <w:rPr>
                <w:noProof/>
                <w:webHidden/>
              </w:rPr>
              <w:fldChar w:fldCharType="begin"/>
            </w:r>
            <w:r>
              <w:rPr>
                <w:noProof/>
                <w:webHidden/>
              </w:rPr>
              <w:instrText xml:space="preserve"> PAGEREF _Toc147618653 \h </w:instrText>
            </w:r>
            <w:r>
              <w:rPr>
                <w:noProof/>
                <w:webHidden/>
              </w:rPr>
            </w:r>
            <w:r>
              <w:rPr>
                <w:noProof/>
                <w:webHidden/>
              </w:rPr>
              <w:fldChar w:fldCharType="separate"/>
            </w:r>
            <w:r w:rsidR="001627D3">
              <w:rPr>
                <w:noProof/>
                <w:webHidden/>
              </w:rPr>
              <w:t>233</w:t>
            </w:r>
            <w:r>
              <w:rPr>
                <w:noProof/>
                <w:webHidden/>
              </w:rPr>
              <w:fldChar w:fldCharType="end"/>
            </w:r>
          </w:hyperlink>
        </w:p>
        <w:p w14:paraId="13722F61" w14:textId="0BC33E0F" w:rsidR="00B8667C" w:rsidRDefault="00B8667C" w:rsidP="00B8667C">
          <w:pPr>
            <w:pStyle w:val="TOC1"/>
            <w:rPr>
              <w:rFonts w:asciiTheme="minorHAnsi" w:eastAsiaTheme="minorEastAsia" w:hAnsiTheme="minorHAnsi" w:cstheme="minorBidi"/>
              <w:noProof/>
              <w:sz w:val="22"/>
              <w:szCs w:val="22"/>
              <w14:ligatures w14:val="standardContextual"/>
            </w:rPr>
          </w:pPr>
          <w:hyperlink w:anchor="_Toc147618654" w:history="1">
            <w:r w:rsidRPr="00D2568D">
              <w:rPr>
                <w:rStyle w:val="Hyperlink"/>
                <w:noProof/>
              </w:rPr>
              <w:t>APPENDICES</w:t>
            </w:r>
            <w:r>
              <w:rPr>
                <w:noProof/>
                <w:webHidden/>
              </w:rPr>
              <w:tab/>
            </w:r>
            <w:r>
              <w:rPr>
                <w:noProof/>
                <w:webHidden/>
              </w:rPr>
              <w:fldChar w:fldCharType="begin"/>
            </w:r>
            <w:r>
              <w:rPr>
                <w:noProof/>
                <w:webHidden/>
              </w:rPr>
              <w:instrText xml:space="preserve"> PAGEREF _Toc147618654 \h </w:instrText>
            </w:r>
            <w:r>
              <w:rPr>
                <w:noProof/>
                <w:webHidden/>
              </w:rPr>
            </w:r>
            <w:r>
              <w:rPr>
                <w:noProof/>
                <w:webHidden/>
              </w:rPr>
              <w:fldChar w:fldCharType="separate"/>
            </w:r>
            <w:r w:rsidR="001627D3">
              <w:rPr>
                <w:noProof/>
                <w:webHidden/>
              </w:rPr>
              <w:t>245</w:t>
            </w:r>
            <w:r>
              <w:rPr>
                <w:noProof/>
                <w:webHidden/>
              </w:rPr>
              <w:fldChar w:fldCharType="end"/>
            </w:r>
          </w:hyperlink>
        </w:p>
        <w:p w14:paraId="24EF6762" w14:textId="2647A5A7" w:rsidR="00B8667C" w:rsidRDefault="00B8667C" w:rsidP="00B8667C">
          <w:pPr>
            <w:pStyle w:val="TOC1"/>
            <w:rPr>
              <w:rFonts w:asciiTheme="minorHAnsi" w:eastAsiaTheme="minorEastAsia" w:hAnsiTheme="minorHAnsi" w:cstheme="minorBidi"/>
              <w:noProof/>
              <w:sz w:val="22"/>
              <w:szCs w:val="22"/>
              <w14:ligatures w14:val="standardContextual"/>
            </w:rPr>
          </w:pPr>
          <w:hyperlink w:anchor="_Toc147618655" w:history="1">
            <w:r w:rsidRPr="00D2568D">
              <w:rPr>
                <w:rStyle w:val="Hyperlink"/>
                <w:noProof/>
              </w:rPr>
              <w:t>Appendix 1: The Text of the Sermon on the Plain,</w:t>
            </w:r>
            <w:r w:rsidR="001771B1">
              <w:rPr>
                <w:rStyle w:val="Hyperlink"/>
                <w:noProof/>
              </w:rPr>
              <w:t xml:space="preserve"> </w:t>
            </w:r>
          </w:hyperlink>
          <w:hyperlink w:anchor="_Toc147618656" w:history="1">
            <w:r w:rsidRPr="00D2568D">
              <w:rPr>
                <w:rStyle w:val="Hyperlink"/>
                <w:noProof/>
              </w:rPr>
              <w:t>Greek and English (Luke 6:20-49)</w:t>
            </w:r>
            <w:r>
              <w:rPr>
                <w:noProof/>
                <w:webHidden/>
              </w:rPr>
              <w:tab/>
            </w:r>
            <w:r>
              <w:rPr>
                <w:noProof/>
                <w:webHidden/>
              </w:rPr>
              <w:fldChar w:fldCharType="begin"/>
            </w:r>
            <w:r>
              <w:rPr>
                <w:noProof/>
                <w:webHidden/>
              </w:rPr>
              <w:instrText xml:space="preserve"> PAGEREF _Toc147618656 \h </w:instrText>
            </w:r>
            <w:r>
              <w:rPr>
                <w:noProof/>
                <w:webHidden/>
              </w:rPr>
            </w:r>
            <w:r>
              <w:rPr>
                <w:noProof/>
                <w:webHidden/>
              </w:rPr>
              <w:fldChar w:fldCharType="separate"/>
            </w:r>
            <w:r w:rsidR="001627D3">
              <w:rPr>
                <w:noProof/>
                <w:webHidden/>
              </w:rPr>
              <w:t>246</w:t>
            </w:r>
            <w:r>
              <w:rPr>
                <w:noProof/>
                <w:webHidden/>
              </w:rPr>
              <w:fldChar w:fldCharType="end"/>
            </w:r>
          </w:hyperlink>
        </w:p>
        <w:p w14:paraId="0F5DD93F" w14:textId="42C863DC" w:rsidR="00B8667C" w:rsidRDefault="00B8667C" w:rsidP="00B8667C">
          <w:pPr>
            <w:pStyle w:val="TOC1"/>
            <w:rPr>
              <w:rFonts w:asciiTheme="minorHAnsi" w:eastAsiaTheme="minorEastAsia" w:hAnsiTheme="minorHAnsi" w:cstheme="minorBidi"/>
              <w:noProof/>
              <w:sz w:val="22"/>
              <w:szCs w:val="22"/>
              <w14:ligatures w14:val="standardContextual"/>
            </w:rPr>
          </w:pPr>
          <w:hyperlink w:anchor="_Toc147618657" w:history="1">
            <w:r w:rsidRPr="00D2568D">
              <w:rPr>
                <w:rStyle w:val="Hyperlink"/>
                <w:noProof/>
              </w:rPr>
              <w:t>Appendix 2: Meynet’s ‘Biblical Rhetoric”</w:t>
            </w:r>
            <w:r>
              <w:rPr>
                <w:noProof/>
                <w:webHidden/>
              </w:rPr>
              <w:tab/>
            </w:r>
            <w:r>
              <w:rPr>
                <w:noProof/>
                <w:webHidden/>
              </w:rPr>
              <w:fldChar w:fldCharType="begin"/>
            </w:r>
            <w:r>
              <w:rPr>
                <w:noProof/>
                <w:webHidden/>
              </w:rPr>
              <w:instrText xml:space="preserve"> PAGEREF _Toc147618657 \h </w:instrText>
            </w:r>
            <w:r>
              <w:rPr>
                <w:noProof/>
                <w:webHidden/>
              </w:rPr>
            </w:r>
            <w:r>
              <w:rPr>
                <w:noProof/>
                <w:webHidden/>
              </w:rPr>
              <w:fldChar w:fldCharType="separate"/>
            </w:r>
            <w:r w:rsidR="001627D3">
              <w:rPr>
                <w:noProof/>
                <w:webHidden/>
              </w:rPr>
              <w:t>250</w:t>
            </w:r>
            <w:r>
              <w:rPr>
                <w:noProof/>
                <w:webHidden/>
              </w:rPr>
              <w:fldChar w:fldCharType="end"/>
            </w:r>
          </w:hyperlink>
        </w:p>
        <w:p w14:paraId="1E63F3AC" w14:textId="18F5AE58" w:rsidR="00B8667C" w:rsidRDefault="00B8667C" w:rsidP="00B8667C">
          <w:pPr>
            <w:pStyle w:val="TOC1"/>
            <w:rPr>
              <w:rFonts w:asciiTheme="minorHAnsi" w:eastAsiaTheme="minorEastAsia" w:hAnsiTheme="minorHAnsi" w:cstheme="minorBidi"/>
              <w:noProof/>
              <w:sz w:val="22"/>
              <w:szCs w:val="22"/>
              <w14:ligatures w14:val="standardContextual"/>
            </w:rPr>
          </w:pPr>
          <w:hyperlink w:anchor="_Toc147618658" w:history="1">
            <w:r w:rsidRPr="00D2568D">
              <w:rPr>
                <w:rStyle w:val="Hyperlink"/>
                <w:noProof/>
              </w:rPr>
              <w:t>Appendix 3: The Audience of the Sermon on the Plain</w:t>
            </w:r>
            <w:r>
              <w:rPr>
                <w:noProof/>
                <w:webHidden/>
              </w:rPr>
              <w:tab/>
            </w:r>
            <w:r>
              <w:rPr>
                <w:noProof/>
                <w:webHidden/>
              </w:rPr>
              <w:fldChar w:fldCharType="begin"/>
            </w:r>
            <w:r>
              <w:rPr>
                <w:noProof/>
                <w:webHidden/>
              </w:rPr>
              <w:instrText xml:space="preserve"> PAGEREF _Toc147618658 \h </w:instrText>
            </w:r>
            <w:r>
              <w:rPr>
                <w:noProof/>
                <w:webHidden/>
              </w:rPr>
            </w:r>
            <w:r>
              <w:rPr>
                <w:noProof/>
                <w:webHidden/>
              </w:rPr>
              <w:fldChar w:fldCharType="separate"/>
            </w:r>
            <w:r w:rsidR="001627D3">
              <w:rPr>
                <w:noProof/>
                <w:webHidden/>
              </w:rPr>
              <w:t>256</w:t>
            </w:r>
            <w:r>
              <w:rPr>
                <w:noProof/>
                <w:webHidden/>
              </w:rPr>
              <w:fldChar w:fldCharType="end"/>
            </w:r>
          </w:hyperlink>
        </w:p>
        <w:p w14:paraId="21E89035" w14:textId="6F7667AD" w:rsidR="00B8667C" w:rsidRDefault="00B8667C" w:rsidP="00B8667C">
          <w:pPr>
            <w:pStyle w:val="TOC1"/>
            <w:rPr>
              <w:rFonts w:asciiTheme="minorHAnsi" w:eastAsiaTheme="minorEastAsia" w:hAnsiTheme="minorHAnsi" w:cstheme="minorBidi"/>
              <w:noProof/>
              <w:sz w:val="22"/>
              <w:szCs w:val="22"/>
              <w14:ligatures w14:val="standardContextual"/>
            </w:rPr>
          </w:pPr>
          <w:hyperlink w:anchor="_Toc147618659" w:history="1">
            <w:r w:rsidRPr="00D2568D">
              <w:rPr>
                <w:rStyle w:val="Hyperlink"/>
                <w:noProof/>
              </w:rPr>
              <w:t>Appendix 4:</w:t>
            </w:r>
            <w:r w:rsidR="001771B1">
              <w:rPr>
                <w:rStyle w:val="Hyperlink"/>
                <w:noProof/>
              </w:rPr>
              <w:t xml:space="preserve"> </w:t>
            </w:r>
          </w:hyperlink>
          <w:hyperlink w:anchor="_Toc147618660" w:history="1">
            <w:r w:rsidRPr="00D2568D">
              <w:rPr>
                <w:rStyle w:val="Hyperlink"/>
                <w:noProof/>
              </w:rPr>
              <w:t>On “Expecting Nothing in Return” (Luke 6:35c)</w:t>
            </w:r>
            <w:r>
              <w:rPr>
                <w:noProof/>
                <w:webHidden/>
              </w:rPr>
              <w:tab/>
            </w:r>
            <w:r>
              <w:rPr>
                <w:noProof/>
                <w:webHidden/>
              </w:rPr>
              <w:fldChar w:fldCharType="begin"/>
            </w:r>
            <w:r>
              <w:rPr>
                <w:noProof/>
                <w:webHidden/>
              </w:rPr>
              <w:instrText xml:space="preserve"> PAGEREF _Toc147618660 \h </w:instrText>
            </w:r>
            <w:r>
              <w:rPr>
                <w:noProof/>
                <w:webHidden/>
              </w:rPr>
            </w:r>
            <w:r>
              <w:rPr>
                <w:noProof/>
                <w:webHidden/>
              </w:rPr>
              <w:fldChar w:fldCharType="separate"/>
            </w:r>
            <w:r w:rsidR="001627D3">
              <w:rPr>
                <w:noProof/>
                <w:webHidden/>
              </w:rPr>
              <w:t>266</w:t>
            </w:r>
            <w:r>
              <w:rPr>
                <w:noProof/>
                <w:webHidden/>
              </w:rPr>
              <w:fldChar w:fldCharType="end"/>
            </w:r>
          </w:hyperlink>
        </w:p>
        <w:p w14:paraId="71F0F314" w14:textId="2EBA1C36" w:rsidR="00B8667C" w:rsidRDefault="00B8667C" w:rsidP="00B8667C">
          <w:pPr>
            <w:pStyle w:val="TOC1"/>
            <w:rPr>
              <w:rFonts w:asciiTheme="minorHAnsi" w:eastAsiaTheme="minorEastAsia" w:hAnsiTheme="minorHAnsi" w:cstheme="minorBidi"/>
              <w:noProof/>
              <w:sz w:val="22"/>
              <w:szCs w:val="22"/>
              <w14:ligatures w14:val="standardContextual"/>
            </w:rPr>
          </w:pPr>
          <w:hyperlink w:anchor="_Toc147618661" w:history="1">
            <w:r w:rsidRPr="00D2568D">
              <w:rPr>
                <w:rStyle w:val="Hyperlink"/>
                <w:noProof/>
              </w:rPr>
              <w:t>Bibliography</w:t>
            </w:r>
            <w:r>
              <w:rPr>
                <w:noProof/>
                <w:webHidden/>
              </w:rPr>
              <w:tab/>
            </w:r>
            <w:r>
              <w:rPr>
                <w:noProof/>
                <w:webHidden/>
              </w:rPr>
              <w:fldChar w:fldCharType="begin"/>
            </w:r>
            <w:r>
              <w:rPr>
                <w:noProof/>
                <w:webHidden/>
              </w:rPr>
              <w:instrText xml:space="preserve"> PAGEREF _Toc147618661 \h </w:instrText>
            </w:r>
            <w:r>
              <w:rPr>
                <w:noProof/>
                <w:webHidden/>
              </w:rPr>
            </w:r>
            <w:r>
              <w:rPr>
                <w:noProof/>
                <w:webHidden/>
              </w:rPr>
              <w:fldChar w:fldCharType="separate"/>
            </w:r>
            <w:r w:rsidR="001627D3">
              <w:rPr>
                <w:noProof/>
                <w:webHidden/>
              </w:rPr>
              <w:t>269</w:t>
            </w:r>
            <w:r>
              <w:rPr>
                <w:noProof/>
                <w:webHidden/>
              </w:rPr>
              <w:fldChar w:fldCharType="end"/>
            </w:r>
          </w:hyperlink>
        </w:p>
        <w:p w14:paraId="43AA3E73" w14:textId="65C4E106" w:rsidR="00B8667C" w:rsidRDefault="00B8667C">
          <w:pPr>
            <w:pStyle w:val="TOC2"/>
            <w:tabs>
              <w:tab w:val="right" w:leader="dot" w:pos="9350"/>
            </w:tabs>
            <w:rPr>
              <w:rFonts w:asciiTheme="minorHAnsi" w:eastAsiaTheme="minorEastAsia" w:hAnsiTheme="minorHAnsi" w:cstheme="minorBidi"/>
              <w:noProof/>
              <w:sz w:val="22"/>
              <w:szCs w:val="22"/>
              <w14:ligatures w14:val="standardContextual"/>
            </w:rPr>
          </w:pPr>
          <w:hyperlink w:anchor="_Toc147618662" w:history="1">
            <w:r w:rsidRPr="00D2568D">
              <w:rPr>
                <w:rStyle w:val="Hyperlink"/>
                <w:noProof/>
              </w:rPr>
              <w:t>1. Works on Luke-Acts</w:t>
            </w:r>
            <w:r>
              <w:rPr>
                <w:noProof/>
                <w:webHidden/>
              </w:rPr>
              <w:tab/>
            </w:r>
            <w:r>
              <w:rPr>
                <w:noProof/>
                <w:webHidden/>
              </w:rPr>
              <w:fldChar w:fldCharType="begin"/>
            </w:r>
            <w:r>
              <w:rPr>
                <w:noProof/>
                <w:webHidden/>
              </w:rPr>
              <w:instrText xml:space="preserve"> PAGEREF _Toc147618662 \h </w:instrText>
            </w:r>
            <w:r>
              <w:rPr>
                <w:noProof/>
                <w:webHidden/>
              </w:rPr>
            </w:r>
            <w:r>
              <w:rPr>
                <w:noProof/>
                <w:webHidden/>
              </w:rPr>
              <w:fldChar w:fldCharType="separate"/>
            </w:r>
            <w:r w:rsidR="001627D3">
              <w:rPr>
                <w:noProof/>
                <w:webHidden/>
              </w:rPr>
              <w:t>269</w:t>
            </w:r>
            <w:r>
              <w:rPr>
                <w:noProof/>
                <w:webHidden/>
              </w:rPr>
              <w:fldChar w:fldCharType="end"/>
            </w:r>
          </w:hyperlink>
        </w:p>
        <w:p w14:paraId="752AA91A" w14:textId="56FF1990" w:rsidR="00B8667C" w:rsidRDefault="00B8667C">
          <w:pPr>
            <w:pStyle w:val="TOC2"/>
            <w:tabs>
              <w:tab w:val="right" w:leader="dot" w:pos="9350"/>
            </w:tabs>
            <w:rPr>
              <w:rFonts w:asciiTheme="minorHAnsi" w:eastAsiaTheme="minorEastAsia" w:hAnsiTheme="minorHAnsi" w:cstheme="minorBidi"/>
              <w:noProof/>
              <w:sz w:val="22"/>
              <w:szCs w:val="22"/>
              <w14:ligatures w14:val="standardContextual"/>
            </w:rPr>
          </w:pPr>
          <w:hyperlink w:anchor="_Toc147618663" w:history="1">
            <w:r w:rsidRPr="00D2568D">
              <w:rPr>
                <w:rStyle w:val="Hyperlink"/>
                <w:noProof/>
              </w:rPr>
              <w:t>2. Other Works</w:t>
            </w:r>
            <w:r>
              <w:rPr>
                <w:noProof/>
                <w:webHidden/>
              </w:rPr>
              <w:tab/>
            </w:r>
            <w:r>
              <w:rPr>
                <w:noProof/>
                <w:webHidden/>
              </w:rPr>
              <w:fldChar w:fldCharType="begin"/>
            </w:r>
            <w:r>
              <w:rPr>
                <w:noProof/>
                <w:webHidden/>
              </w:rPr>
              <w:instrText xml:space="preserve"> PAGEREF _Toc147618663 \h </w:instrText>
            </w:r>
            <w:r>
              <w:rPr>
                <w:noProof/>
                <w:webHidden/>
              </w:rPr>
            </w:r>
            <w:r>
              <w:rPr>
                <w:noProof/>
                <w:webHidden/>
              </w:rPr>
              <w:fldChar w:fldCharType="separate"/>
            </w:r>
            <w:r w:rsidR="001627D3">
              <w:rPr>
                <w:noProof/>
                <w:webHidden/>
              </w:rPr>
              <w:t>277</w:t>
            </w:r>
            <w:r>
              <w:rPr>
                <w:noProof/>
                <w:webHidden/>
              </w:rPr>
              <w:fldChar w:fldCharType="end"/>
            </w:r>
          </w:hyperlink>
        </w:p>
        <w:p w14:paraId="5ED957C4" w14:textId="6DA75907" w:rsidR="007A669A" w:rsidRDefault="00B8667C">
          <w:r>
            <w:rPr>
              <w:b/>
              <w:bCs/>
              <w:noProof/>
            </w:rPr>
            <w:fldChar w:fldCharType="end"/>
          </w:r>
        </w:p>
      </w:sdtContent>
    </w:sdt>
    <w:p w14:paraId="534FA8A0" w14:textId="5308F383" w:rsidR="0018433B" w:rsidRDefault="0018433B">
      <w:r>
        <w:br w:type="page"/>
      </w:r>
    </w:p>
    <w:p w14:paraId="3204F597" w14:textId="77777777" w:rsidR="0018433B" w:rsidRPr="003C69EF" w:rsidRDefault="0018433B" w:rsidP="00857984">
      <w:pPr>
        <w:pStyle w:val="Heading1"/>
      </w:pPr>
      <w:bookmarkStart w:id="0" w:name="_Toc147618587"/>
      <w:r w:rsidRPr="003C69EF">
        <w:lastRenderedPageBreak/>
        <w:t>Abstract</w:t>
      </w:r>
      <w:bookmarkEnd w:id="0"/>
    </w:p>
    <w:p w14:paraId="034E782D" w14:textId="77777777" w:rsidR="0018433B" w:rsidRPr="003C69EF" w:rsidRDefault="0018433B" w:rsidP="0018433B"/>
    <w:p w14:paraId="74651369" w14:textId="77777777" w:rsidR="0018433B" w:rsidRPr="003C69EF" w:rsidRDefault="0018433B" w:rsidP="0018433B"/>
    <w:p w14:paraId="64A6A4C5" w14:textId="77777777" w:rsidR="0018433B" w:rsidRPr="003C69EF" w:rsidRDefault="0018433B" w:rsidP="0018433B"/>
    <w:p w14:paraId="680C139F" w14:textId="77777777" w:rsidR="0018433B" w:rsidRPr="003C69EF" w:rsidRDefault="0018433B" w:rsidP="0018433B">
      <w:pPr>
        <w:jc w:val="center"/>
      </w:pPr>
      <w:r w:rsidRPr="003C69EF">
        <w:t>STRUCTURE IN RHETORICAL CRITICISM and</w:t>
      </w:r>
    </w:p>
    <w:p w14:paraId="3259B6D8" w14:textId="77777777" w:rsidR="0018433B" w:rsidRPr="003C69EF" w:rsidRDefault="0018433B" w:rsidP="0018433B">
      <w:pPr>
        <w:jc w:val="center"/>
      </w:pPr>
      <w:r w:rsidRPr="003C69EF">
        <w:t>THE STRUCTURE OF THE SERMON ON THE PLAIN</w:t>
      </w:r>
    </w:p>
    <w:p w14:paraId="36C84E84" w14:textId="77777777" w:rsidR="0018433B" w:rsidRPr="003C69EF" w:rsidRDefault="0018433B" w:rsidP="0018433B">
      <w:pPr>
        <w:jc w:val="center"/>
      </w:pPr>
      <w:r w:rsidRPr="003C69EF">
        <w:t>(Luke 6:20-49)</w:t>
      </w:r>
    </w:p>
    <w:p w14:paraId="3D78F3D2" w14:textId="77777777" w:rsidR="0018433B" w:rsidRDefault="0018433B" w:rsidP="0018433B"/>
    <w:p w14:paraId="642E9F45" w14:textId="77777777" w:rsidR="0018433B" w:rsidRPr="003C69EF" w:rsidRDefault="0018433B" w:rsidP="0018433B"/>
    <w:p w14:paraId="6BA10E0E" w14:textId="40BBED20" w:rsidR="0018433B" w:rsidRPr="003C69EF" w:rsidRDefault="0018433B" w:rsidP="0018433B">
      <w:pPr>
        <w:jc w:val="center"/>
      </w:pPr>
      <w:r w:rsidRPr="003C69EF">
        <w:fldChar w:fldCharType="begin"/>
      </w:r>
      <w:r w:rsidRPr="003C69EF">
        <w:instrText xml:space="preserve"> SEQ CHAPTER \h \r 1</w:instrText>
      </w:r>
      <w:r w:rsidRPr="003C69EF">
        <w:fldChar w:fldCharType="end"/>
      </w:r>
      <w:r w:rsidRPr="003C69EF">
        <w:t>Paul Hahn</w:t>
      </w:r>
    </w:p>
    <w:p w14:paraId="1CA50FD2" w14:textId="77777777" w:rsidR="0018433B" w:rsidRPr="003C69EF" w:rsidRDefault="0018433B" w:rsidP="0018433B"/>
    <w:p w14:paraId="035CB1F3" w14:textId="77777777" w:rsidR="0018433B" w:rsidRPr="003C69EF" w:rsidRDefault="0018433B" w:rsidP="0018433B"/>
    <w:p w14:paraId="162375C5" w14:textId="45B43BFD" w:rsidR="0018433B" w:rsidRDefault="0018433B" w:rsidP="0018433B">
      <w:r w:rsidRPr="003C69EF">
        <w:t>Rhetorical criticism is increasingly applied to scriptural texts</w:t>
      </w:r>
      <w:r>
        <w:t>;</w:t>
      </w:r>
      <w:r w:rsidRPr="003C69EF">
        <w:t xml:space="preserve"> but despite some valuable studies</w:t>
      </w:r>
      <w:r w:rsidR="006F304D" w:rsidRPr="006F304D">
        <w:t xml:space="preserve">, </w:t>
      </w:r>
      <w:r w:rsidRPr="003C69EF">
        <w:t>little attention has been given to the question of how best to determine the structure of a text.</w:t>
      </w:r>
    </w:p>
    <w:p w14:paraId="6969CCC6" w14:textId="58881DB6" w:rsidR="0018433B" w:rsidRPr="003C69EF" w:rsidRDefault="0018433B" w:rsidP="0018433B">
      <w:r w:rsidRPr="003C69EF">
        <w:t xml:space="preserve">After examining the concept of structure in ancient and modern rhetoric and in the rhetorical analysis of </w:t>
      </w:r>
      <w:r>
        <w:t>s</w:t>
      </w:r>
      <w:r w:rsidRPr="003C69EF">
        <w:t>cripture</w:t>
      </w:r>
      <w:r w:rsidR="006F304D" w:rsidRPr="006F304D">
        <w:t xml:space="preserve">, </w:t>
      </w:r>
      <w:r w:rsidRPr="003C69EF">
        <w:t xml:space="preserve">I present </w:t>
      </w:r>
      <w:r>
        <w:t xml:space="preserve">in Part 1 </w:t>
      </w:r>
      <w:r w:rsidRPr="003C69EF">
        <w:t>a typology of frequently suggested rhetorical structures.</w:t>
      </w:r>
      <w:r>
        <w:t xml:space="preserve"> </w:t>
      </w:r>
      <w:r w:rsidRPr="003C69EF">
        <w:t>These include: numerical principles (structures based on a number—two</w:t>
      </w:r>
      <w:r w:rsidR="006F304D" w:rsidRPr="006F304D">
        <w:t xml:space="preserve">, </w:t>
      </w:r>
      <w:r w:rsidRPr="003C69EF">
        <w:t>three</w:t>
      </w:r>
      <w:r w:rsidR="006F304D" w:rsidRPr="006F304D">
        <w:t xml:space="preserve">, </w:t>
      </w:r>
      <w:r w:rsidRPr="003C69EF">
        <w:t>four</w:t>
      </w:r>
      <w:r w:rsidR="006F304D" w:rsidRPr="006F304D">
        <w:t xml:space="preserve">, </w:t>
      </w:r>
      <w:r w:rsidRPr="003C69EF">
        <w:t>etc.); chiasm; inclusion; rhythm; outlining; bridge passages; Semitic parallelism; and catchwords.</w:t>
      </w:r>
      <w:r>
        <w:t xml:space="preserve"> </w:t>
      </w:r>
      <w:r w:rsidRPr="003C69EF">
        <w:t>I trace the historical development of these structures through the centuries</w:t>
      </w:r>
      <w:r w:rsidR="006F304D" w:rsidRPr="006F304D">
        <w:t xml:space="preserve">, </w:t>
      </w:r>
      <w:r w:rsidRPr="003C69EF">
        <w:t>and I survey theories that have been proposed for each of them.</w:t>
      </w:r>
    </w:p>
    <w:p w14:paraId="1AE1A957" w14:textId="3ACDEB87" w:rsidR="0018433B" w:rsidRDefault="0018433B" w:rsidP="0018433B">
      <w:r w:rsidRPr="003C69EF">
        <w:t>To demonstrate these structural principles in actual exegesis</w:t>
      </w:r>
      <w:r w:rsidR="006F304D" w:rsidRPr="006F304D">
        <w:t xml:space="preserve">, </w:t>
      </w:r>
      <w:r w:rsidRPr="003C69EF">
        <w:t xml:space="preserve">I inspect </w:t>
      </w:r>
      <w:r>
        <w:t xml:space="preserve">in Part 2 </w:t>
      </w:r>
      <w:r w:rsidRPr="003C69EF">
        <w:t>their application to a specific biblical text</w:t>
      </w:r>
      <w:r w:rsidR="006F304D" w:rsidRPr="006F304D">
        <w:t xml:space="preserve">, </w:t>
      </w:r>
      <w:r w:rsidRPr="003C69EF">
        <w:t>the sermon on the plain</w:t>
      </w:r>
      <w:r w:rsidR="006F304D" w:rsidRPr="006F304D">
        <w:t xml:space="preserve">, </w:t>
      </w:r>
      <w:r w:rsidRPr="003C69EF">
        <w:t>Luke 6:20-49 (Luke’s equivalent to the sermon on the mount</w:t>
      </w:r>
      <w:r w:rsidR="006F304D" w:rsidRPr="006F304D">
        <w:t xml:space="preserve">, </w:t>
      </w:r>
      <w:r>
        <w:t>Matt</w:t>
      </w:r>
      <w:r w:rsidRPr="003C69EF">
        <w:t xml:space="preserve"> 5-7).</w:t>
      </w:r>
      <w:r>
        <w:t xml:space="preserve"> </w:t>
      </w:r>
      <w:r w:rsidRPr="003C69EF">
        <w:t>Along the way</w:t>
      </w:r>
      <w:r w:rsidR="006F304D" w:rsidRPr="006F304D">
        <w:t xml:space="preserve">, </w:t>
      </w:r>
      <w:r w:rsidRPr="003C69EF">
        <w:t>specific conclusions are drawn about the adequacy of each of these principles in determining the sermon’s structure</w:t>
      </w:r>
      <w:r>
        <w:t>.</w:t>
      </w:r>
      <w:r w:rsidRPr="003C69EF">
        <w:t xml:space="preserve"> I also propose an outline for the sermon which seems to me most likely.</w:t>
      </w:r>
    </w:p>
    <w:p w14:paraId="5E2A272D" w14:textId="77777777" w:rsidR="0018433B" w:rsidRPr="003C69EF" w:rsidRDefault="0018433B" w:rsidP="0018433B">
      <w:r w:rsidRPr="003C69EF">
        <w:t>The study concludes with a consideration of the central problem involved in the use of structural principles in rhetorical criticism—bedeviling subjectivism.</w:t>
      </w:r>
    </w:p>
    <w:p w14:paraId="122DC882" w14:textId="77777777" w:rsidR="0018433B" w:rsidRDefault="0018433B">
      <w:r>
        <w:br w:type="page"/>
      </w:r>
    </w:p>
    <w:p w14:paraId="7C49C9EF" w14:textId="51B276A4" w:rsidR="0018433B" w:rsidRPr="007B0929" w:rsidRDefault="0018433B" w:rsidP="00857984">
      <w:pPr>
        <w:pStyle w:val="Heading1"/>
      </w:pPr>
      <w:r w:rsidRPr="007B0929">
        <w:lastRenderedPageBreak/>
        <w:fldChar w:fldCharType="begin"/>
      </w:r>
      <w:r w:rsidRPr="007B0929">
        <w:instrText xml:space="preserve"> SEQ CHAPTER \h \r 1</w:instrText>
      </w:r>
      <w:r w:rsidRPr="007B0929">
        <w:fldChar w:fldCharType="end"/>
      </w:r>
      <w:bookmarkStart w:id="1" w:name="_Toc147618588"/>
      <w:r w:rsidR="00857984" w:rsidRPr="007B0929">
        <w:t xml:space="preserve">Chapter </w:t>
      </w:r>
      <w:r w:rsidRPr="007B0929">
        <w:t>1</w:t>
      </w:r>
      <w:r w:rsidR="00857984">
        <w:t xml:space="preserve">: </w:t>
      </w:r>
      <w:r w:rsidR="00857984" w:rsidRPr="007B0929">
        <w:t>Introduction</w:t>
      </w:r>
      <w:bookmarkEnd w:id="1"/>
    </w:p>
    <w:p w14:paraId="35D4BF96" w14:textId="77777777" w:rsidR="0018433B" w:rsidRPr="007B0929" w:rsidRDefault="0018433B" w:rsidP="0018433B"/>
    <w:p w14:paraId="3DC6B2FC" w14:textId="77777777" w:rsidR="0018433B" w:rsidRPr="007B0929" w:rsidRDefault="0018433B" w:rsidP="0018433B"/>
    <w:p w14:paraId="0ACD510E" w14:textId="0CFAFA99" w:rsidR="0018433B" w:rsidRPr="007B0929" w:rsidRDefault="0018433B" w:rsidP="0018433B">
      <w:r>
        <w:tab/>
      </w:r>
      <w:r w:rsidRPr="007B0929">
        <w:t>Biblical exegesis has recently undergone a seismic shift. When the present century began</w:t>
      </w:r>
      <w:r w:rsidR="006F304D" w:rsidRPr="006F304D">
        <w:t xml:space="preserve">, </w:t>
      </w:r>
      <w:r w:rsidRPr="007B0929">
        <w:t>source criticism dominated exegesis; after the first World War</w:t>
      </w:r>
      <w:r w:rsidR="006F304D" w:rsidRPr="006F304D">
        <w:t xml:space="preserve">, </w:t>
      </w:r>
      <w:r w:rsidRPr="007B0929">
        <w:t>form criticism reigned for a time; and after World War II</w:t>
      </w:r>
      <w:r w:rsidR="006F304D" w:rsidRPr="006F304D">
        <w:t xml:space="preserve">, </w:t>
      </w:r>
      <w:r w:rsidRPr="007B0929">
        <w:t>redaction criticism overshadowed all else. As an extension of these methods</w:t>
      </w:r>
      <w:r w:rsidR="006F304D" w:rsidRPr="006F304D">
        <w:t xml:space="preserve">, </w:t>
      </w:r>
      <w:r w:rsidRPr="007B0929">
        <w:t>in the last few decades a number of works have examined biblical documents in terms of their social situations</w:t>
      </w:r>
      <w:r w:rsidR="006F304D" w:rsidRPr="006F304D">
        <w:t xml:space="preserve">, </w:t>
      </w:r>
      <w:r w:rsidRPr="007B0929">
        <w:t>works which can collectively be called “sociological criticism.”</w:t>
      </w:r>
    </w:p>
    <w:p w14:paraId="01AB41F5" w14:textId="0B159479" w:rsidR="0018433B" w:rsidRPr="007B0929" w:rsidRDefault="0018433B" w:rsidP="0018433B">
      <w:r>
        <w:tab/>
      </w:r>
      <w:r w:rsidRPr="007B0929">
        <w:t>For each of these traditional methods of exegesis (if we may include under this emblem the newcomer alongside its forebears)</w:t>
      </w:r>
      <w:r w:rsidR="006F304D" w:rsidRPr="006F304D">
        <w:t xml:space="preserve">, </w:t>
      </w:r>
      <w:r w:rsidRPr="007B0929">
        <w:t>the interest is primarily in a better understanding of the persons</w:t>
      </w:r>
      <w:r w:rsidR="006F304D" w:rsidRPr="006F304D">
        <w:t xml:space="preserve">, </w:t>
      </w:r>
      <w:r w:rsidRPr="007B0929">
        <w:t>events</w:t>
      </w:r>
      <w:r w:rsidR="006F304D" w:rsidRPr="006F304D">
        <w:t xml:space="preserve">, </w:t>
      </w:r>
      <w:r w:rsidRPr="007B0929">
        <w:t>and ideas to which the texts refer. These methods are</w:t>
      </w:r>
      <w:r w:rsidR="006F304D" w:rsidRPr="006F304D">
        <w:t xml:space="preserve">, </w:t>
      </w:r>
      <w:r w:rsidRPr="007B0929">
        <w:t>essentially</w:t>
      </w:r>
      <w:r w:rsidR="006F304D" w:rsidRPr="006F304D">
        <w:t xml:space="preserve">, </w:t>
      </w:r>
      <w:r w:rsidRPr="007B0929">
        <w:t>historical methodologies</w:t>
      </w:r>
      <w:r w:rsidR="006F304D" w:rsidRPr="006F304D">
        <w:t xml:space="preserve">, </w:t>
      </w:r>
      <w:r w:rsidRPr="007B0929">
        <w:t xml:space="preserve">because their ultimate purpose is historical. Once the attention shifts from matters beyond the document to the document itself—so that features of the text </w:t>
      </w:r>
      <w:r w:rsidRPr="007B0929">
        <w:rPr>
          <w:i/>
        </w:rPr>
        <w:t>as</w:t>
      </w:r>
      <w:r w:rsidRPr="007B0929">
        <w:t xml:space="preserve"> text become the focus of interest—the purpose of the inquiry ceases to be historical: it becomes literary.</w:t>
      </w:r>
      <w:r w:rsidRPr="007B0929">
        <w:rPr>
          <w:vertAlign w:val="superscript"/>
        </w:rPr>
        <w:footnoteReference w:id="1"/>
      </w:r>
    </w:p>
    <w:p w14:paraId="220E0C81" w14:textId="77777777" w:rsidR="0018433B" w:rsidRPr="007B0929" w:rsidRDefault="0018433B" w:rsidP="0018433B">
      <w:r>
        <w:tab/>
      </w:r>
      <w:r w:rsidRPr="007B0929">
        <w:t>Such is the nature of the shift in recent exegesis. The change is now so far advanced that many exegetes are not only aware of it but already are happily exploring the prospects made possible by the change of emphasis.</w:t>
      </w:r>
    </w:p>
    <w:p w14:paraId="100262B2" w14:textId="18631AA5" w:rsidR="0018433B" w:rsidRPr="007B0929" w:rsidRDefault="0018433B" w:rsidP="0018433B">
      <w:r w:rsidRPr="007B0929">
        <w:tab/>
        <w:t>But if we are going to center our attention on the text</w:t>
      </w:r>
      <w:r w:rsidR="006F304D" w:rsidRPr="006F304D">
        <w:t xml:space="preserve">, </w:t>
      </w:r>
      <w:r w:rsidRPr="007B0929">
        <w:t>then an aspect of the exegetical enterprise largely taken for granted in the past must now assume greater importance. That aspect is the determination of the structure of the text.</w:t>
      </w:r>
    </w:p>
    <w:p w14:paraId="46910920" w14:textId="248ED0A6" w:rsidR="0018433B" w:rsidRPr="007B0929" w:rsidRDefault="0018433B" w:rsidP="0018433B">
      <w:r w:rsidRPr="007B0929">
        <w:tab/>
        <w:t>It may seem an exaggeration to say that up to now structure has largely been taken for granted. After all</w:t>
      </w:r>
      <w:r w:rsidR="006F304D" w:rsidRPr="006F304D">
        <w:t xml:space="preserve">, </w:t>
      </w:r>
      <w:r w:rsidRPr="007B0929">
        <w:t>virtually every commentary has its obligatory outline somewhere in its obligatory introduction. But how often does a commentator pause to justify the divisions he or she presents? Frequently one finds no statement of the principles on which a division is based</w:t>
      </w:r>
      <w:r w:rsidR="006F304D" w:rsidRPr="006F304D">
        <w:t xml:space="preserve">, </w:t>
      </w:r>
      <w:r w:rsidRPr="007B0929">
        <w:t>or a discussion of alternative divisions that have been presented by others</w:t>
      </w:r>
      <w:r w:rsidR="006F304D" w:rsidRPr="006F304D">
        <w:t xml:space="preserve">, </w:t>
      </w:r>
      <w:r w:rsidRPr="007B0929">
        <w:t>or an evaluation of still other alternatives that might be possible. Often the outline is simply there</w:t>
      </w:r>
      <w:r w:rsidR="006F304D" w:rsidRPr="006F304D">
        <w:t xml:space="preserve">, </w:t>
      </w:r>
      <w:r w:rsidRPr="007B0929">
        <w:t>as if the commentator were presenting the obvious. Yet most of these obvious outlines disagree with one another.</w:t>
      </w:r>
    </w:p>
    <w:p w14:paraId="4517EEE3" w14:textId="3574DA56" w:rsidR="0018433B" w:rsidRPr="007B0929" w:rsidRDefault="0018433B" w:rsidP="0018433B">
      <w:r w:rsidRPr="007B0929">
        <w:tab/>
        <w:t>Lack of consideration of structure is not only a problem in commentaries; one also finds little regard for it in the traditional methods of exegesis. Source criticism may present divisions of the text at hand</w:t>
      </w:r>
      <w:r w:rsidR="006F304D" w:rsidRPr="006F304D">
        <w:t xml:space="preserve">, </w:t>
      </w:r>
      <w:r w:rsidRPr="007B0929">
        <w:t>but they are divisions according to sources</w:t>
      </w:r>
      <w:r w:rsidR="006F304D" w:rsidRPr="006F304D">
        <w:t xml:space="preserve">, </w:t>
      </w:r>
      <w:r w:rsidRPr="007B0929">
        <w:t>rather than attempts to discover the structure intended by the author in the completed text. Form criticism</w:t>
      </w:r>
      <w:r w:rsidR="006F304D" w:rsidRPr="006F304D">
        <w:t xml:space="preserve">, </w:t>
      </w:r>
      <w:r w:rsidRPr="007B0929">
        <w:t>redaction criticism</w:t>
      </w:r>
      <w:r w:rsidR="006F304D" w:rsidRPr="006F304D">
        <w:t xml:space="preserve">, </w:t>
      </w:r>
      <w:r w:rsidRPr="007B0929">
        <w:t>and sociological criticism certainly proffer divisions of the text—Bultmann and Dibelius</w:t>
      </w:r>
      <w:r w:rsidR="006F304D" w:rsidRPr="006F304D">
        <w:t xml:space="preserve">, </w:t>
      </w:r>
      <w:r w:rsidRPr="007B0929">
        <w:t>Conzelmann and Marxsen tirelessly discuss one pericope after another—but where is the assessment of the adequacy of the divisions they presuppose?</w:t>
      </w:r>
    </w:p>
    <w:p w14:paraId="42344146" w14:textId="28E0ED43" w:rsidR="0018433B" w:rsidRPr="007B0929" w:rsidRDefault="0018433B" w:rsidP="0018433B">
      <w:r w:rsidRPr="007B0929">
        <w:tab/>
        <w:t>The problem of structure exists at the micro-level also</w:t>
      </w:r>
      <w:r w:rsidR="006F304D" w:rsidRPr="006F304D">
        <w:t xml:space="preserve">, </w:t>
      </w:r>
      <w:r w:rsidRPr="007B0929">
        <w:t>within pericopes</w:t>
      </w:r>
      <w:r w:rsidR="006F304D" w:rsidRPr="006F304D">
        <w:t xml:space="preserve">, </w:t>
      </w:r>
      <w:r w:rsidRPr="007B0929">
        <w:t>just as much as it exists at the macro-level</w:t>
      </w:r>
      <w:r w:rsidR="006F304D" w:rsidRPr="006F304D">
        <w:t xml:space="preserve">, </w:t>
      </w:r>
      <w:r w:rsidRPr="007B0929">
        <w:t>among pericopes. Thus one can find any number of proposed divisions for any given pericope</w:t>
      </w:r>
      <w:r w:rsidR="006F304D" w:rsidRPr="006F304D">
        <w:t xml:space="preserve">, </w:t>
      </w:r>
      <w:r w:rsidRPr="007B0929">
        <w:t>but one rarely finds an explanation of the divisions. Instead</w:t>
      </w:r>
      <w:r w:rsidR="006F304D" w:rsidRPr="006F304D">
        <w:t xml:space="preserve">, </w:t>
      </w:r>
      <w:r w:rsidRPr="007B0929">
        <w:t xml:space="preserve">the sections </w:t>
      </w:r>
      <w:r w:rsidRPr="007B0929">
        <w:lastRenderedPageBreak/>
        <w:t xml:space="preserve">are either mentioned </w:t>
      </w:r>
      <w:proofErr w:type="spellStart"/>
      <w:r w:rsidRPr="007B0929">
        <w:rPr>
          <w:i/>
        </w:rPr>
        <w:t>en</w:t>
      </w:r>
      <w:proofErr w:type="spellEnd"/>
      <w:r w:rsidRPr="007B0929">
        <w:rPr>
          <w:i/>
        </w:rPr>
        <w:t xml:space="preserve"> bloc</w:t>
      </w:r>
      <w:r w:rsidRPr="007B0929">
        <w:t xml:space="preserve"> at the beginning of the exegesis</w:t>
      </w:r>
      <w:r w:rsidR="006F304D" w:rsidRPr="006F304D">
        <w:t xml:space="preserve">, </w:t>
      </w:r>
      <w:r w:rsidRPr="007B0929">
        <w:t>without further consideration</w:t>
      </w:r>
      <w:r w:rsidR="006F304D" w:rsidRPr="006F304D">
        <w:t xml:space="preserve">, </w:t>
      </w:r>
      <w:r w:rsidRPr="007B0929">
        <w:t>or they are taken up in turn during the discussion</w:t>
      </w:r>
      <w:r w:rsidR="006F304D" w:rsidRPr="006F304D">
        <w:t xml:space="preserve">, </w:t>
      </w:r>
      <w:r w:rsidRPr="007B0929">
        <w:t>but again without explanation.</w:t>
      </w:r>
    </w:p>
    <w:p w14:paraId="69B8E6DB" w14:textId="7ABCB6A2" w:rsidR="0018433B" w:rsidRPr="007B0929" w:rsidRDefault="0018433B" w:rsidP="0018433B">
      <w:r w:rsidRPr="007B0929">
        <w:tab/>
        <w:t>Nevertheless</w:t>
      </w:r>
      <w:r w:rsidR="006F304D" w:rsidRPr="006F304D">
        <w:t xml:space="preserve">, </w:t>
      </w:r>
      <w:r w:rsidRPr="007B0929">
        <w:t>the necessity of dividing up a text as a preliminary part of the exegetical task</w:t>
      </w:r>
      <w:r w:rsidR="006F304D" w:rsidRPr="006F304D">
        <w:t xml:space="preserve">, </w:t>
      </w:r>
      <w:r w:rsidRPr="007B0929">
        <w:t>and the importance of making correct divisions at the outset</w:t>
      </w:r>
      <w:r w:rsidR="006F304D" w:rsidRPr="006F304D">
        <w:t xml:space="preserve">, </w:t>
      </w:r>
      <w:r w:rsidRPr="007B0929">
        <w:t>is generally admitted</w:t>
      </w:r>
      <w:r w:rsidR="006F304D" w:rsidRPr="006F304D">
        <w:t xml:space="preserve">, </w:t>
      </w:r>
      <w:r w:rsidRPr="007B0929">
        <w:t>if only in statements of theory.</w:t>
      </w:r>
    </w:p>
    <w:p w14:paraId="757D43E2" w14:textId="2D95C0D6" w:rsidR="0018433B" w:rsidRPr="007B0929" w:rsidRDefault="0018433B" w:rsidP="0018433B">
      <w:r w:rsidRPr="007B0929">
        <w:tab/>
        <w:t>Roland Meynet</w:t>
      </w:r>
      <w:r w:rsidR="006F304D" w:rsidRPr="006F304D">
        <w:t xml:space="preserve">, </w:t>
      </w:r>
      <w:r w:rsidRPr="007B0929">
        <w:t>for example</w:t>
      </w:r>
      <w:r w:rsidR="006F304D" w:rsidRPr="006F304D">
        <w:t xml:space="preserve">, </w:t>
      </w:r>
      <w:r w:rsidRPr="007B0929">
        <w:t>says concerning the gospel of Luke</w:t>
      </w:r>
      <w:r w:rsidR="006F304D" w:rsidRPr="006F304D">
        <w:t xml:space="preserve">, </w:t>
      </w:r>
      <w:r w:rsidRPr="007B0929">
        <w:t>“in order to discover and comprehend it</w:t>
      </w:r>
      <w:r w:rsidR="006F304D" w:rsidRPr="006F304D">
        <w:t xml:space="preserve">, </w:t>
      </w:r>
      <w:r w:rsidRPr="007B0929">
        <w:t>one must divide it . . .”</w:t>
      </w:r>
      <w:r w:rsidRPr="007B0929">
        <w:rPr>
          <w:vertAlign w:val="superscript"/>
        </w:rPr>
        <w:footnoteReference w:id="2"/>
      </w:r>
      <w:r w:rsidRPr="007B0929">
        <w:t xml:space="preserve"> Meynet’s goal is not merely to chop</w:t>
      </w:r>
      <w:r w:rsidR="006F304D" w:rsidRPr="006F304D">
        <w:t xml:space="preserve">, </w:t>
      </w:r>
      <w:r w:rsidRPr="007B0929">
        <w:t>but to understand: “The aim of this study has not been to distribute the text of Luke into sections</w:t>
      </w:r>
      <w:r w:rsidR="006F304D" w:rsidRPr="006F304D">
        <w:t xml:space="preserve">, </w:t>
      </w:r>
      <w:r w:rsidRPr="007B0929">
        <w:t>in order to determine its organization. It has been to attempt to understand the text . . .”</w:t>
      </w:r>
      <w:r w:rsidRPr="007B0929">
        <w:rPr>
          <w:vertAlign w:val="superscript"/>
        </w:rPr>
        <w:footnoteReference w:id="3"/>
      </w:r>
      <w:r w:rsidRPr="007B0929">
        <w:t xml:space="preserve"> Yet the determination of structure is a necessary precondition to the achievement of understanding</w:t>
      </w:r>
      <w:r w:rsidR="006F304D" w:rsidRPr="006F304D">
        <w:t xml:space="preserve">, </w:t>
      </w:r>
      <w:r w:rsidRPr="007B0929">
        <w:t xml:space="preserve">so necessary that the determination of structure is sometimes the bulk of the process. </w:t>
      </w:r>
      <w:proofErr w:type="spellStart"/>
      <w:r w:rsidRPr="007B0929">
        <w:t>Meynet</w:t>
      </w:r>
      <w:proofErr w:type="spellEnd"/>
      <w:r w:rsidR="006F304D" w:rsidRPr="006F304D">
        <w:t xml:space="preserve">, </w:t>
      </w:r>
      <w:r w:rsidRPr="007B0929">
        <w:t>who considers very little else than structure in the course of his two volumes</w:t>
      </w:r>
      <w:r w:rsidR="006F304D" w:rsidRPr="006F304D">
        <w:t xml:space="preserve">, </w:t>
      </w:r>
      <w:r w:rsidRPr="007B0929">
        <w:t>would</w:t>
      </w:r>
      <w:r w:rsidR="006F304D" w:rsidRPr="006F304D">
        <w:t xml:space="preserve">, </w:t>
      </w:r>
      <w:r w:rsidRPr="007B0929">
        <w:t>I think</w:t>
      </w:r>
      <w:r w:rsidR="006F304D" w:rsidRPr="006F304D">
        <w:t xml:space="preserve">, </w:t>
      </w:r>
      <w:r w:rsidRPr="007B0929">
        <w:t>agree with this.</w:t>
      </w:r>
    </w:p>
    <w:p w14:paraId="61A23D9F" w14:textId="3DFAECB1" w:rsidR="0018433B" w:rsidRPr="007B0929" w:rsidRDefault="0018433B" w:rsidP="0018433B">
      <w:r w:rsidRPr="007B0929">
        <w:tab/>
        <w:t>The necessity and importance of determining structure is also recognized in the standard manuals of exegetical method. Daniel Harrington considers the determination of structure to be one of the first tasks that an exegete must perform</w:t>
      </w:r>
      <w:r w:rsidR="006F304D" w:rsidRPr="006F304D">
        <w:t xml:space="preserve">, </w:t>
      </w:r>
      <w:r w:rsidRPr="007B0929">
        <w:t>especially when the approach to the text is literary rather than historical.</w:t>
      </w:r>
    </w:p>
    <w:p w14:paraId="2822D4CE" w14:textId="77777777" w:rsidR="0018433B" w:rsidRDefault="0018433B" w:rsidP="0018433B"/>
    <w:p w14:paraId="5B4AA6B8" w14:textId="167B48A8" w:rsidR="0018433B" w:rsidRPr="007B0929" w:rsidRDefault="0018433B" w:rsidP="0018433B">
      <w:pPr>
        <w:ind w:left="720" w:right="720"/>
      </w:pPr>
      <w:r w:rsidRPr="007B0929">
        <w:t>Literary criticism means putting to the New Testament books the kinds of questions that people in departments of literature ask—questions about the ability of language to express thought</w:t>
      </w:r>
      <w:r w:rsidR="006F304D" w:rsidRPr="006F304D">
        <w:t xml:space="preserve">, </w:t>
      </w:r>
      <w:r w:rsidRPr="007B0929">
        <w:t>about the significance of literary structure for meaning</w:t>
      </w:r>
      <w:r w:rsidR="006F304D" w:rsidRPr="006F304D">
        <w:t xml:space="preserve">, </w:t>
      </w:r>
      <w:r w:rsidRPr="007B0929">
        <w:t>and about the relationship of content to literary form.</w:t>
      </w:r>
      <w:r w:rsidRPr="007B0929">
        <w:rPr>
          <w:vertAlign w:val="superscript"/>
        </w:rPr>
        <w:footnoteReference w:id="4"/>
      </w:r>
    </w:p>
    <w:p w14:paraId="59EAD069" w14:textId="77777777" w:rsidR="0018433B" w:rsidRDefault="0018433B" w:rsidP="0018433B"/>
    <w:p w14:paraId="204A37BE" w14:textId="7B440751" w:rsidR="0018433B" w:rsidRPr="007B0929" w:rsidRDefault="0018433B" w:rsidP="0018433B">
      <w:r w:rsidRPr="007B0929">
        <w:t>Thus the first three questions which Harrington advises exegetes to ask are: What do the words mean? What are the characters “or units of thought involved”? And</w:t>
      </w:r>
      <w:r w:rsidR="006F304D" w:rsidRPr="006F304D">
        <w:t xml:space="preserve">, </w:t>
      </w:r>
      <w:r w:rsidRPr="007B0929">
        <w:t>What is the “flow” of the text?</w:t>
      </w:r>
      <w:r w:rsidRPr="007B0929">
        <w:rPr>
          <w:vertAlign w:val="superscript"/>
        </w:rPr>
        <w:footnoteReference w:id="5"/>
      </w:r>
    </w:p>
    <w:p w14:paraId="5A494791" w14:textId="569EA6F8" w:rsidR="0018433B" w:rsidRPr="007B0929" w:rsidRDefault="0018433B" w:rsidP="0018433B">
      <w:r w:rsidRPr="007B0929">
        <w:tab/>
        <w:t>Acknowledgments of the necessity of structural analysis become even more explicit as one turns from the practical manuals to the theoretical discussions of exegetical method. René Kieffer</w:t>
      </w:r>
      <w:r w:rsidR="006F304D" w:rsidRPr="006F304D">
        <w:t xml:space="preserve">, </w:t>
      </w:r>
      <w:r w:rsidRPr="007B0929">
        <w:t>for example</w:t>
      </w:r>
      <w:r w:rsidR="006F304D" w:rsidRPr="006F304D">
        <w:t xml:space="preserve">, </w:t>
      </w:r>
      <w:r w:rsidRPr="007B0929">
        <w:t xml:space="preserve">in his </w:t>
      </w:r>
      <w:proofErr w:type="spellStart"/>
      <w:r w:rsidRPr="007B0929">
        <w:rPr>
          <w:i/>
        </w:rPr>
        <w:t>Essais</w:t>
      </w:r>
      <w:proofErr w:type="spellEnd"/>
      <w:r w:rsidRPr="007B0929">
        <w:rPr>
          <w:i/>
        </w:rPr>
        <w:t xml:space="preserve"> de </w:t>
      </w:r>
      <w:proofErr w:type="spellStart"/>
      <w:r w:rsidRPr="007B0929">
        <w:rPr>
          <w:i/>
        </w:rPr>
        <w:t>méthodologie</w:t>
      </w:r>
      <w:proofErr w:type="spellEnd"/>
      <w:r w:rsidRPr="007B0929">
        <w:rPr>
          <w:i/>
        </w:rPr>
        <w:t xml:space="preserve"> </w:t>
      </w:r>
      <w:proofErr w:type="spellStart"/>
      <w:r w:rsidRPr="007B0929">
        <w:rPr>
          <w:i/>
        </w:rPr>
        <w:t>néo-testamentaire</w:t>
      </w:r>
      <w:proofErr w:type="spellEnd"/>
      <w:r w:rsidR="006F304D" w:rsidRPr="006F304D">
        <w:t xml:space="preserve">, </w:t>
      </w:r>
      <w:r w:rsidRPr="007B0929">
        <w:t>recognizes the centrality of analyzing structure. He entitles the first section of his second chapter</w:t>
      </w:r>
      <w:r w:rsidR="006F304D" w:rsidRPr="006F304D">
        <w:t xml:space="preserve">, </w:t>
      </w:r>
      <w:r w:rsidRPr="007B0929">
        <w:t>“The Problem of the Delimitation of the Text to be Studied.”</w:t>
      </w:r>
      <w:r w:rsidRPr="007B0929">
        <w:rPr>
          <w:vertAlign w:val="superscript"/>
        </w:rPr>
        <w:footnoteReference w:id="6"/>
      </w:r>
      <w:r w:rsidRPr="007B0929">
        <w:t xml:space="preserve"> In it he says: “When we analyze a portion of a text</w:t>
      </w:r>
      <w:r w:rsidR="006F304D" w:rsidRPr="006F304D">
        <w:t xml:space="preserve">, </w:t>
      </w:r>
      <w:r w:rsidRPr="007B0929">
        <w:t>we must first pose the question of the ‘body’: how are we to delimit the text to be studied?”</w:t>
      </w:r>
      <w:r w:rsidRPr="007B0929">
        <w:rPr>
          <w:vertAlign w:val="superscript"/>
        </w:rPr>
        <w:footnoteReference w:id="7"/>
      </w:r>
      <w:r w:rsidRPr="007B0929">
        <w:t xml:space="preserve"> Kieffer suggests that ordinarily a reader distinguishes a unit by noting the internal consistency of its structure; only secondarily will he or she distinguish the unit from the context that surrounds it.</w:t>
      </w:r>
      <w:r w:rsidRPr="007B0929">
        <w:rPr>
          <w:vertAlign w:val="superscript"/>
        </w:rPr>
        <w:footnoteReference w:id="8"/>
      </w:r>
    </w:p>
    <w:p w14:paraId="484B73D2" w14:textId="661B097B" w:rsidR="0018433B" w:rsidRPr="007B0929" w:rsidRDefault="0018433B" w:rsidP="0018433B">
      <w:r w:rsidRPr="007B0929">
        <w:lastRenderedPageBreak/>
        <w:tab/>
        <w:t>It seems</w:t>
      </w:r>
      <w:r w:rsidR="006F304D" w:rsidRPr="006F304D">
        <w:t xml:space="preserve">, </w:t>
      </w:r>
      <w:r w:rsidRPr="007B0929">
        <w:t>then</w:t>
      </w:r>
      <w:r w:rsidR="006F304D" w:rsidRPr="006F304D">
        <w:t xml:space="preserve">, </w:t>
      </w:r>
      <w:r w:rsidRPr="007B0929">
        <w:t>that scholars of the scriptures have more readily preached the importance of structure than have acknowledged that importance by actual practice. Yet the importance of structure has not been totally neglected in exegesis</w:t>
      </w:r>
      <w:r w:rsidR="006F304D" w:rsidRPr="006F304D">
        <w:t xml:space="preserve">, </w:t>
      </w:r>
      <w:r w:rsidRPr="007B0929">
        <w:t>particularly in recent years</w:t>
      </w:r>
      <w:r w:rsidR="006F304D" w:rsidRPr="006F304D">
        <w:t xml:space="preserve">, </w:t>
      </w:r>
      <w:r w:rsidRPr="007B0929">
        <w:t>with the rise of literary approaches to the Bible. A concentration on structure is especially noticeable among a circle of Jesuit exegetes centered at the Biblicum in Rome. Birger Olsson has summarized their work.</w:t>
      </w:r>
    </w:p>
    <w:p w14:paraId="11A71995" w14:textId="77777777" w:rsidR="0018433B" w:rsidRDefault="0018433B" w:rsidP="0018433B"/>
    <w:p w14:paraId="528D17E2" w14:textId="4E31898B" w:rsidR="0018433B" w:rsidRPr="007B0929" w:rsidRDefault="0018433B" w:rsidP="0018433B">
      <w:pPr>
        <w:ind w:left="720" w:right="720"/>
      </w:pPr>
      <w:r w:rsidRPr="007B0929">
        <w:t xml:space="preserve">The </w:t>
      </w:r>
      <w:r w:rsidRPr="007B0929">
        <w:rPr>
          <w:i/>
        </w:rPr>
        <w:t>structural analysis</w:t>
      </w:r>
      <w:r w:rsidRPr="007B0929">
        <w:t xml:space="preserve"> inspired by the New Criticism is practiced primarily by a number of scholars at the Pontifical Bible </w:t>
      </w:r>
      <w:r>
        <w:t>[</w:t>
      </w:r>
      <w:r>
        <w:rPr>
          <w:i/>
        </w:rPr>
        <w:t>sic</w:t>
      </w:r>
      <w:r>
        <w:t xml:space="preserve">] </w:t>
      </w:r>
      <w:r w:rsidRPr="007B0929">
        <w:t>Institute in Rome. By an analysis of “structural devices” they try to arrive at a description of the structure of the text</w:t>
      </w:r>
      <w:r w:rsidR="006F304D" w:rsidRPr="006F304D">
        <w:t xml:space="preserve">, </w:t>
      </w:r>
      <w:r w:rsidRPr="007B0929">
        <w:t>which then provides a basis for their interpretation. One of the most valuable features of this method is the weight attributed to the text as a whole</w:t>
      </w:r>
      <w:r w:rsidR="006F304D" w:rsidRPr="006F304D">
        <w:t xml:space="preserve">, </w:t>
      </w:r>
      <w:r w:rsidRPr="007B0929">
        <w:t>to the internal features</w:t>
      </w:r>
      <w:r w:rsidR="006F304D" w:rsidRPr="006F304D">
        <w:t xml:space="preserve">, </w:t>
      </w:r>
      <w:r w:rsidRPr="007B0929">
        <w:t>to its starting point in an analysis of the literary composition of the text without too many preconceived ideas on how the text was written</w:t>
      </w:r>
      <w:r w:rsidR="006F304D" w:rsidRPr="006F304D">
        <w:t xml:space="preserve">, </w:t>
      </w:r>
      <w:r w:rsidRPr="007B0929">
        <w:t>and also to its concentration on many formal features inherent in the textual structure.</w:t>
      </w:r>
      <w:r w:rsidRPr="007B0929">
        <w:rPr>
          <w:vertAlign w:val="superscript"/>
        </w:rPr>
        <w:footnoteReference w:id="9"/>
      </w:r>
    </w:p>
    <w:p w14:paraId="09DA2022" w14:textId="77777777" w:rsidR="0018433B" w:rsidRDefault="0018433B" w:rsidP="0018433B"/>
    <w:p w14:paraId="100F6277" w14:textId="1307E011" w:rsidR="0018433B" w:rsidRPr="007B0929" w:rsidRDefault="0018433B" w:rsidP="0018433B">
      <w:r w:rsidRPr="007B0929">
        <w:t>Among the “structural devices” attended to by the Biblicum Jesuits</w:t>
      </w:r>
      <w:r w:rsidR="006F304D" w:rsidRPr="006F304D">
        <w:t xml:space="preserve">, </w:t>
      </w:r>
      <w:r w:rsidRPr="007B0929">
        <w:t>Olsson mentions “announcement of theme</w:t>
      </w:r>
      <w:r w:rsidR="006F304D" w:rsidRPr="006F304D">
        <w:t xml:space="preserve">, </w:t>
      </w:r>
      <w:proofErr w:type="spellStart"/>
      <w:r w:rsidRPr="007B0929">
        <w:t>hookwords</w:t>
      </w:r>
      <w:proofErr w:type="spellEnd"/>
      <w:r w:rsidR="006F304D" w:rsidRPr="006F304D">
        <w:t xml:space="preserve">, </w:t>
      </w:r>
      <w:r w:rsidRPr="007B0929">
        <w:t>moods</w:t>
      </w:r>
      <w:r w:rsidR="006F304D" w:rsidRPr="006F304D">
        <w:t xml:space="preserve">, </w:t>
      </w:r>
      <w:r w:rsidRPr="007B0929">
        <w:t>thematic vocabulary</w:t>
      </w:r>
      <w:r w:rsidR="006F304D" w:rsidRPr="006F304D">
        <w:t xml:space="preserve">, </w:t>
      </w:r>
      <w:r w:rsidRPr="007B0929">
        <w:t>inclusions</w:t>
      </w:r>
      <w:r w:rsidR="006F304D" w:rsidRPr="006F304D">
        <w:t xml:space="preserve">, </w:t>
      </w:r>
      <w:r w:rsidRPr="007B0929">
        <w:t>chiastic patterns</w:t>
      </w:r>
      <w:r w:rsidR="006F304D" w:rsidRPr="006F304D">
        <w:t xml:space="preserve">, </w:t>
      </w:r>
      <w:r w:rsidRPr="007B0929">
        <w:t>distribution of words</w:t>
      </w:r>
      <w:r w:rsidR="006F304D" w:rsidRPr="006F304D">
        <w:t xml:space="preserve">, </w:t>
      </w:r>
      <w:r w:rsidRPr="007B0929">
        <w:t>[and] formal parallelisms . . .”</w:t>
      </w:r>
      <w:r w:rsidRPr="007B0929">
        <w:rPr>
          <w:vertAlign w:val="superscript"/>
        </w:rPr>
        <w:footnoteReference w:id="10"/>
      </w:r>
    </w:p>
    <w:p w14:paraId="394125DB" w14:textId="217F27BA" w:rsidR="0018433B" w:rsidRPr="007B0929" w:rsidRDefault="0018433B" w:rsidP="0018433B">
      <w:r w:rsidRPr="007B0929">
        <w:tab/>
        <w:t>In addition to the work at the Biblicum</w:t>
      </w:r>
      <w:r w:rsidR="006F304D" w:rsidRPr="006F304D">
        <w:t xml:space="preserve">, </w:t>
      </w:r>
      <w:r w:rsidRPr="007B0929">
        <w:t>one may also note a second zone of contemporary exegesis in which structure is given full consideration: “architecture analysis.” This label has been coined by Charles Talbert</w:t>
      </w:r>
      <w:r w:rsidR="006F304D" w:rsidRPr="006F304D">
        <w:t xml:space="preserve">, </w:t>
      </w:r>
      <w:r w:rsidRPr="007B0929">
        <w:t>who notes that “for some time now there has been in some circles of classical study a use of the term ‘architecture’ for certain formal features of ancient literature.”</w:t>
      </w:r>
      <w:r w:rsidRPr="007B0929">
        <w:rPr>
          <w:vertAlign w:val="superscript"/>
        </w:rPr>
        <w:footnoteReference w:id="11"/>
      </w:r>
      <w:r w:rsidRPr="007B0929">
        <w:t xml:space="preserve"> The methods referred to as “architecture analysis” will be examined in chapter 4.</w:t>
      </w:r>
      <w:r w:rsidRPr="007B0929">
        <w:rPr>
          <w:vertAlign w:val="superscript"/>
        </w:rPr>
        <w:footnoteReference w:id="12"/>
      </w:r>
    </w:p>
    <w:p w14:paraId="135605FF" w14:textId="730BADE1" w:rsidR="0018433B" w:rsidRPr="007B0929" w:rsidRDefault="0018433B" w:rsidP="0018433B">
      <w:r w:rsidRPr="007B0929">
        <w:tab/>
        <w:t>A third area of contemporary exegesis in which structure is given its due is structuralism. Of all the methods of literary criticism that have been developed by “people in departments of literature,” to use Harrington’s phrase</w:t>
      </w:r>
      <w:r w:rsidR="006F304D" w:rsidRPr="006F304D">
        <w:t xml:space="preserve">, </w:t>
      </w:r>
      <w:r w:rsidRPr="007B0929">
        <w:t>and that are available to exegetes in their exploration of the literary nature of the biblical texts</w:t>
      </w:r>
      <w:r w:rsidR="006F304D" w:rsidRPr="006F304D">
        <w:t xml:space="preserve">, </w:t>
      </w:r>
      <w:r w:rsidRPr="007B0929">
        <w:t>structuralism is probably the most influential. This situation seems to be changing somewhat</w:t>
      </w:r>
      <w:r w:rsidR="006F304D" w:rsidRPr="006F304D">
        <w:t xml:space="preserve">, </w:t>
      </w:r>
      <w:r w:rsidRPr="007B0929">
        <w:t>as the reader-oriented methods of criticism gain sway; but certainly in the two decades just past</w:t>
      </w:r>
      <w:r w:rsidR="006F304D" w:rsidRPr="006F304D">
        <w:t xml:space="preserve">, </w:t>
      </w:r>
      <w:r w:rsidRPr="007B0929">
        <w:t>structuralism generated considerable excitement among students of the Bible. I will try to present a brief explanation of structuralism in the next chapter</w:t>
      </w:r>
      <w:r w:rsidR="006F304D" w:rsidRPr="006F304D">
        <w:t xml:space="preserve">, </w:t>
      </w:r>
      <w:r w:rsidRPr="007B0929">
        <w:t>when the role that structure has played in literary criticism is considered in more detail. But specifically in biblical studies</w:t>
      </w:r>
      <w:r w:rsidR="006F304D" w:rsidRPr="006F304D">
        <w:t xml:space="preserve">, </w:t>
      </w:r>
      <w:r w:rsidRPr="007B0929">
        <w:t>summaries of structuralism and of its influence can be found in</w:t>
      </w:r>
      <w:r w:rsidR="006F304D" w:rsidRPr="006F304D">
        <w:t xml:space="preserve">, </w:t>
      </w:r>
      <w:r w:rsidRPr="007B0929">
        <w:t>among others</w:t>
      </w:r>
      <w:r w:rsidR="006F304D" w:rsidRPr="006F304D">
        <w:t xml:space="preserve">, </w:t>
      </w:r>
      <w:r w:rsidRPr="007B0929">
        <w:t>the works of Daniel Patte and Edgar V. McKnight.</w:t>
      </w:r>
      <w:r w:rsidRPr="007B0929">
        <w:rPr>
          <w:vertAlign w:val="superscript"/>
        </w:rPr>
        <w:footnoteReference w:id="13"/>
      </w:r>
    </w:p>
    <w:p w14:paraId="6630CD65" w14:textId="78CD4969" w:rsidR="0018433B" w:rsidRPr="007B0929" w:rsidRDefault="0018433B" w:rsidP="0018433B">
      <w:r w:rsidRPr="007B0929">
        <w:tab/>
        <w:t>Thus</w:t>
      </w:r>
      <w:r w:rsidR="006F304D" w:rsidRPr="006F304D">
        <w:t xml:space="preserve">, </w:t>
      </w:r>
      <w:r w:rsidRPr="007B0929">
        <w:t>although structure has not totally been neglected in current exegesis</w:t>
      </w:r>
      <w:r w:rsidR="006F304D" w:rsidRPr="006F304D">
        <w:t xml:space="preserve">, </w:t>
      </w:r>
      <w:r w:rsidRPr="007B0929">
        <w:t>the importance of its role in interpreting a biblical text has not been given its due. By emphasizing structure in the present study</w:t>
      </w:r>
      <w:r w:rsidR="006F304D" w:rsidRPr="006F304D">
        <w:t xml:space="preserve">, </w:t>
      </w:r>
      <w:r w:rsidRPr="007B0929">
        <w:t>I hope to contribute to the growing recognition of the centrality of structure in exegesis.</w:t>
      </w:r>
    </w:p>
    <w:p w14:paraId="794479A6" w14:textId="77777777" w:rsidR="0018433B" w:rsidRPr="007B0929" w:rsidRDefault="0018433B" w:rsidP="0018433B"/>
    <w:p w14:paraId="52FBCCF7" w14:textId="56E324B6" w:rsidR="0018433B" w:rsidRPr="007B0929" w:rsidRDefault="0018433B" w:rsidP="0018433B">
      <w:r w:rsidRPr="007B0929">
        <w:tab/>
        <w:t>To explore the concept of structure in the context of biblical studies</w:t>
      </w:r>
      <w:r w:rsidR="006F304D" w:rsidRPr="006F304D">
        <w:t xml:space="preserve">, </w:t>
      </w:r>
      <w:r w:rsidRPr="007B0929">
        <w:t>I would like to examine</w:t>
      </w:r>
      <w:r w:rsidR="006F304D" w:rsidRPr="006F304D">
        <w:t xml:space="preserve">, </w:t>
      </w:r>
      <w:r w:rsidRPr="007B0929">
        <w:t>as an example text on which to fix our theoretical considerations</w:t>
      </w:r>
      <w:r w:rsidR="006F304D" w:rsidRPr="006F304D">
        <w:t xml:space="preserve">, </w:t>
      </w:r>
      <w:r w:rsidRPr="007B0929">
        <w:t>the structure of the sermon on the plain (Luke 6:20-49)</w:t>
      </w:r>
      <w:r w:rsidR="006F304D" w:rsidRPr="006F304D">
        <w:t xml:space="preserve">, </w:t>
      </w:r>
      <w:r w:rsidR="00775F9B" w:rsidRPr="00775F9B">
        <w:rPr>
          <w:iCs/>
        </w:rPr>
        <w:t>i.e.</w:t>
      </w:r>
      <w:r w:rsidR="006F304D" w:rsidRPr="006F304D">
        <w:t xml:space="preserve">, </w:t>
      </w:r>
      <w:r w:rsidRPr="007B0929">
        <w:t>Luke’s equivalent of Matthew’s sermon on the mount (Matthew 5-7). While it would have been possible to select a narrative text for scrutiny</w:t>
      </w:r>
      <w:r w:rsidR="006F304D" w:rsidRPr="006F304D">
        <w:t xml:space="preserve">, </w:t>
      </w:r>
      <w:r w:rsidRPr="007B0929">
        <w:t>and a narrative method such as structuralism by which to proceed</w:t>
      </w:r>
      <w:r w:rsidR="006F304D" w:rsidRPr="006F304D">
        <w:t xml:space="preserve">, </w:t>
      </w:r>
      <w:r w:rsidRPr="007B0929">
        <w:t>more exploration is already being done in that direction than is being attempted with non-narrative texts. Yet the concept of structure is no less important with the one type of text than with the other. The greater part of the Bible</w:t>
      </w:r>
      <w:r w:rsidR="006F304D" w:rsidRPr="006F304D">
        <w:t xml:space="preserve">, </w:t>
      </w:r>
      <w:r w:rsidRPr="007B0929">
        <w:t>in fact</w:t>
      </w:r>
      <w:r w:rsidR="006F304D" w:rsidRPr="006F304D">
        <w:t xml:space="preserve">, </w:t>
      </w:r>
      <w:r w:rsidRPr="007B0929">
        <w:t xml:space="preserve">is not narration; it is argumentation and exposition. This remains true despite modern efforts to subsume </w:t>
      </w:r>
      <w:r w:rsidRPr="007B0929">
        <w:lastRenderedPageBreak/>
        <w:t>all of scripture under the aegis of “sacred history.”</w:t>
      </w:r>
      <w:r w:rsidRPr="007B0929">
        <w:rPr>
          <w:vertAlign w:val="superscript"/>
        </w:rPr>
        <w:footnoteReference w:id="14"/>
      </w:r>
      <w:r w:rsidRPr="007B0929">
        <w:t xml:space="preserve"> Non-narrative portions of the OT include not only the letters</w:t>
      </w:r>
      <w:r w:rsidR="006F304D" w:rsidRPr="006F304D">
        <w:t xml:space="preserve">, </w:t>
      </w:r>
      <w:r w:rsidRPr="007B0929">
        <w:t>speeches</w:t>
      </w:r>
      <w:r w:rsidR="006F304D" w:rsidRPr="006F304D">
        <w:t xml:space="preserve">, </w:t>
      </w:r>
      <w:r w:rsidRPr="007B0929">
        <w:t>and genealogies within the historical writings</w:t>
      </w:r>
      <w:r w:rsidR="006F304D" w:rsidRPr="006F304D">
        <w:t xml:space="preserve">, </w:t>
      </w:r>
      <w:r w:rsidRPr="007B0929">
        <w:t>but also most of the prophetic corpus and the whole of the wisdom literature; in the NT</w:t>
      </w:r>
      <w:r w:rsidR="006F304D" w:rsidRPr="006F304D">
        <w:t xml:space="preserve">, </w:t>
      </w:r>
      <w:r w:rsidRPr="007B0929">
        <w:t>they include the discourses and sayings of Jesus</w:t>
      </w:r>
      <w:r w:rsidR="006F304D" w:rsidRPr="006F304D">
        <w:t xml:space="preserve">, </w:t>
      </w:r>
      <w:r w:rsidRPr="007B0929">
        <w:t>the speeches in Acts</w:t>
      </w:r>
      <w:r w:rsidR="006F304D" w:rsidRPr="006F304D">
        <w:t xml:space="preserve">, </w:t>
      </w:r>
      <w:r w:rsidRPr="007B0929">
        <w:t>and all of the epistles.</w:t>
      </w:r>
      <w:r w:rsidRPr="007B0929">
        <w:rPr>
          <w:vertAlign w:val="superscript"/>
        </w:rPr>
        <w:footnoteReference w:id="15"/>
      </w:r>
    </w:p>
    <w:p w14:paraId="20F2FCB8" w14:textId="48DF7921" w:rsidR="0018433B" w:rsidRPr="007B0929" w:rsidRDefault="0018433B" w:rsidP="0018433B">
      <w:r w:rsidRPr="007B0929">
        <w:tab/>
        <w:t>My choice of the sermon on the plain has been guided largely by considerations of space. While it would have been possible to consider any of the passages among the non-narrative portions of scripture which I have just listed</w:t>
      </w:r>
      <w:r w:rsidR="006F304D" w:rsidRPr="006F304D">
        <w:t xml:space="preserve">, </w:t>
      </w:r>
      <w:r w:rsidRPr="007B0929">
        <w:t>the sermon on the plain is an especially compact and manageable unit. Moreover</w:t>
      </w:r>
      <w:r w:rsidR="006F304D" w:rsidRPr="006F304D">
        <w:t xml:space="preserve">, </w:t>
      </w:r>
      <w:r w:rsidRPr="007B0929">
        <w:t>Luke’s sermon on the plain has received increasing attention in recent years; no longer is it so overshadowed by Matthew’s bulkier parallel.</w:t>
      </w:r>
      <w:r w:rsidRPr="007B0929">
        <w:rPr>
          <w:vertAlign w:val="superscript"/>
        </w:rPr>
        <w:footnoteReference w:id="16"/>
      </w:r>
      <w:r w:rsidRPr="007B0929">
        <w:t xml:space="preserve"> It is now recognized as having importance in its own right</w:t>
      </w:r>
      <w:r w:rsidR="006F304D" w:rsidRPr="006F304D">
        <w:t xml:space="preserve">, </w:t>
      </w:r>
      <w:r w:rsidRPr="007B0929">
        <w:t>both as a key section of Q and as an important text in the study of Luke’s theology.</w:t>
      </w:r>
    </w:p>
    <w:p w14:paraId="24D5E248" w14:textId="6E62AA87" w:rsidR="0018433B" w:rsidRPr="007B0929" w:rsidRDefault="0018433B" w:rsidP="0018433B">
      <w:r w:rsidRPr="007B0929">
        <w:tab/>
        <w:t>In addition</w:t>
      </w:r>
      <w:r w:rsidR="006F304D" w:rsidRPr="006F304D">
        <w:t xml:space="preserve">, </w:t>
      </w:r>
      <w:r w:rsidRPr="007B0929">
        <w:t>the sermon is an excellent test case in which to trace the application of theoretical considerations concerning structure in exegesis</w:t>
      </w:r>
      <w:r w:rsidR="006F304D" w:rsidRPr="006F304D">
        <w:t xml:space="preserve">, </w:t>
      </w:r>
      <w:r w:rsidRPr="007B0929">
        <w:t>because it is deceptively simple. Luke’s sermon contains</w:t>
      </w:r>
      <w:r w:rsidR="006F304D" w:rsidRPr="006F304D">
        <w:t xml:space="preserve">, </w:t>
      </w:r>
      <w:r w:rsidRPr="007B0929">
        <w:t>by common assent</w:t>
      </w:r>
      <w:r w:rsidR="006F304D" w:rsidRPr="006F304D">
        <w:t xml:space="preserve">, </w:t>
      </w:r>
      <w:r w:rsidRPr="007B0929">
        <w:t>some of the most striking and memorable of Jesus’ sayings: “Love your enemies,” “Turn the other cheek,” “Judge not,” “Can a blind man lead a blind man?” Everyone already feels that he or she knows what these sayings mean. Yet because these sayings are so powerful as isolated aphorisms—that is</w:t>
      </w:r>
      <w:r w:rsidR="006F304D" w:rsidRPr="006F304D">
        <w:t xml:space="preserve">, </w:t>
      </w:r>
      <w:r w:rsidRPr="007B0929">
        <w:t>because they are so readily applied to quite varied situations</w:t>
      </w:r>
      <w:r w:rsidR="006F304D" w:rsidRPr="006F304D">
        <w:t xml:space="preserve">, </w:t>
      </w:r>
      <w:r w:rsidRPr="007B0929">
        <w:t>not only by preachers but by all imbued even minimally with Christian culture—it is difficult</w:t>
      </w:r>
      <w:r w:rsidR="006F304D" w:rsidRPr="006F304D">
        <w:t xml:space="preserve">, </w:t>
      </w:r>
      <w:r w:rsidRPr="007B0929">
        <w:t>when one has the full text of the sermon at hand</w:t>
      </w:r>
      <w:r w:rsidR="006F304D" w:rsidRPr="006F304D">
        <w:t xml:space="preserve">, </w:t>
      </w:r>
      <w:r w:rsidRPr="007B0929">
        <w:t>to consider them in their original literary context. Yet the context in part determines the meaning of the sayings themselves. In Matthew</w:t>
      </w:r>
      <w:r w:rsidR="006F304D" w:rsidRPr="006F304D">
        <w:t xml:space="preserve">, </w:t>
      </w:r>
      <w:r w:rsidRPr="007B0929">
        <w:t>for example</w:t>
      </w:r>
      <w:r w:rsidR="006F304D" w:rsidRPr="006F304D">
        <w:t xml:space="preserve">, </w:t>
      </w:r>
      <w:r w:rsidRPr="007B0929">
        <w:t>the “blind man” leading a blind man is a Pharisee (15:14); in Luke</w:t>
      </w:r>
      <w:r w:rsidR="006F304D" w:rsidRPr="006F304D">
        <w:t xml:space="preserve">, </w:t>
      </w:r>
      <w:r w:rsidRPr="007B0929">
        <w:t>a disciple (6:39). Of course</w:t>
      </w:r>
      <w:r w:rsidR="006F304D" w:rsidRPr="006F304D">
        <w:t xml:space="preserve">, </w:t>
      </w:r>
      <w:r w:rsidRPr="007B0929">
        <w:t>contexts may be more or less immediate or broad</w:t>
      </w:r>
      <w:r w:rsidR="006F304D" w:rsidRPr="006F304D">
        <w:t xml:space="preserve">, </w:t>
      </w:r>
      <w:r w:rsidRPr="007B0929">
        <w:t>and a context’s relevance in determining the meaning of a given saying or pericope decreases as its breadth increases. But this only proves the importance for exegesis of deciding the question of structure. For it is in the act</w:t>
      </w:r>
      <w:r w:rsidR="006F304D" w:rsidRPr="006F304D">
        <w:t xml:space="preserve">, </w:t>
      </w:r>
      <w:r w:rsidRPr="007B0929">
        <w:t>conscious or otherwise</w:t>
      </w:r>
      <w:r w:rsidR="006F304D" w:rsidRPr="006F304D">
        <w:t xml:space="preserve">, </w:t>
      </w:r>
      <w:r w:rsidRPr="007B0929">
        <w:t>of structuring a passage that an exegete makes decisions concerning the contextual relationships among the individual verses and sets of verses</w:t>
      </w:r>
      <w:r w:rsidR="006F304D" w:rsidRPr="006F304D">
        <w:t xml:space="preserve">, </w:t>
      </w:r>
      <w:r w:rsidRPr="007B0929">
        <w:t>and thus ultimately about their meaning.</w:t>
      </w:r>
    </w:p>
    <w:p w14:paraId="3C56A9EA" w14:textId="3E3E5B0C" w:rsidR="0018433B" w:rsidRPr="007B0929" w:rsidRDefault="0018433B" w:rsidP="0018433B">
      <w:r w:rsidRPr="007B0929">
        <w:tab/>
        <w:t>In the study that follows</w:t>
      </w:r>
      <w:r w:rsidR="006F304D" w:rsidRPr="006F304D">
        <w:t xml:space="preserve">, </w:t>
      </w:r>
      <w:r w:rsidRPr="007B0929">
        <w:t>I am not primarily interested in interpreting a passage of scripture</w:t>
      </w:r>
      <w:r w:rsidR="006F304D" w:rsidRPr="006F304D">
        <w:t xml:space="preserve">, </w:t>
      </w:r>
      <w:r w:rsidRPr="007B0929">
        <w:t>the sermon on the plain. I am primarily interested in the ways in which exegetes go about determining structure. In other words: the overriding focus of the investigation is theoretical</w:t>
      </w:r>
      <w:r w:rsidR="006F304D" w:rsidRPr="006F304D">
        <w:t xml:space="preserve">, </w:t>
      </w:r>
      <w:r w:rsidRPr="007B0929">
        <w:t>not practical. While it will happen</w:t>
      </w:r>
      <w:r w:rsidR="006F304D" w:rsidRPr="006F304D">
        <w:t xml:space="preserve">, </w:t>
      </w:r>
      <w:r w:rsidRPr="007B0929">
        <w:t>I hope</w:t>
      </w:r>
      <w:r w:rsidR="006F304D" w:rsidRPr="006F304D">
        <w:t xml:space="preserve">, </w:t>
      </w:r>
      <w:r w:rsidRPr="007B0929">
        <w:t>that interesting things will be said about Luke’s sermon</w:t>
      </w:r>
      <w:r w:rsidR="006F304D" w:rsidRPr="006F304D">
        <w:t xml:space="preserve">, </w:t>
      </w:r>
      <w:r w:rsidRPr="007B0929">
        <w:t xml:space="preserve">the </w:t>
      </w:r>
      <w:r w:rsidRPr="007B0929">
        <w:lastRenderedPageBreak/>
        <w:t>sermon is only an extended example</w:t>
      </w:r>
      <w:r w:rsidR="006F304D" w:rsidRPr="006F304D">
        <w:t xml:space="preserve">, </w:t>
      </w:r>
      <w:r w:rsidRPr="007B0929">
        <w:t>whose presence is meant to illustrate the various theoretical considerations that appear in the earlier chapters.</w:t>
      </w:r>
    </w:p>
    <w:p w14:paraId="63C153F7" w14:textId="3A4C1EA3" w:rsidR="0018433B" w:rsidRPr="007B0929" w:rsidRDefault="0018433B" w:rsidP="0018433B">
      <w:r w:rsidRPr="007B0929">
        <w:tab/>
        <w:t>Thus the next four chapters will present the core of the study</w:t>
      </w:r>
      <w:r w:rsidR="006F304D" w:rsidRPr="006F304D">
        <w:t xml:space="preserve">, </w:t>
      </w:r>
      <w:r w:rsidRPr="007B0929">
        <w:t>namely</w:t>
      </w:r>
      <w:r w:rsidR="006F304D" w:rsidRPr="006F304D">
        <w:t xml:space="preserve">, </w:t>
      </w:r>
      <w:r w:rsidRPr="007B0929">
        <w:t>a theoretical consideration of the concept of structure in rhetorical exegesis. This consideration will involve examining the concepts of structure (chapter 2</w:t>
      </w:r>
      <w:r w:rsidR="006F304D" w:rsidRPr="006F304D">
        <w:t xml:space="preserve">, </w:t>
      </w:r>
      <w:r w:rsidRPr="007B0929">
        <w:t>“The Significance of Structure in Recent Thought”)</w:t>
      </w:r>
      <w:r w:rsidR="006F304D" w:rsidRPr="006F304D">
        <w:t xml:space="preserve">, </w:t>
      </w:r>
      <w:r w:rsidRPr="007B0929">
        <w:t>of rhetorical criticism (chapter 3</w:t>
      </w:r>
      <w:r w:rsidR="006F304D" w:rsidRPr="006F304D">
        <w:t xml:space="preserve">, </w:t>
      </w:r>
      <w:r w:rsidRPr="007B0929">
        <w:t>“Rhetoric and Rhetorical Criticism”)</w:t>
      </w:r>
      <w:r w:rsidR="006F304D" w:rsidRPr="006F304D">
        <w:t xml:space="preserve">, </w:t>
      </w:r>
      <w:r w:rsidRPr="007B0929">
        <w:t>and of the types of structures which rhetorical exegetes have found in scriptural texts (chapters 4 and 5</w:t>
      </w:r>
      <w:r w:rsidR="006F304D" w:rsidRPr="006F304D">
        <w:t xml:space="preserve">, </w:t>
      </w:r>
      <w:r w:rsidRPr="007B0929">
        <w:t>“A Typology of Rhetorical Structures”).</w:t>
      </w:r>
    </w:p>
    <w:p w14:paraId="0ABF2265" w14:textId="0DADB915" w:rsidR="0018433B" w:rsidRPr="007B0929" w:rsidRDefault="0018433B" w:rsidP="0018433B">
      <w:r w:rsidRPr="007B0929">
        <w:tab/>
        <w:t>Then follows an examination of Luke’s sermon on the plain which</w:t>
      </w:r>
      <w:r w:rsidR="006F304D" w:rsidRPr="006F304D">
        <w:t xml:space="preserve">, </w:t>
      </w:r>
      <w:r w:rsidRPr="007B0929">
        <w:t>though comprising the bulk of the study</w:t>
      </w:r>
      <w:r w:rsidR="006F304D" w:rsidRPr="006F304D">
        <w:t xml:space="preserve">, </w:t>
      </w:r>
      <w:r w:rsidRPr="007B0929">
        <w:t>remains subordinate to the theoretical discussion. Among the types of structural principle considered in relation to the sermon are “Numerical Principles” (chapter 6); “Chiasm</w:t>
      </w:r>
      <w:r w:rsidR="006F304D" w:rsidRPr="006F304D">
        <w:t xml:space="preserve">, </w:t>
      </w:r>
      <w:r w:rsidRPr="007B0929">
        <w:t>Inclusion</w:t>
      </w:r>
      <w:r w:rsidR="006F304D" w:rsidRPr="006F304D">
        <w:t xml:space="preserve">, </w:t>
      </w:r>
      <w:r w:rsidRPr="007B0929">
        <w:t>and Rhythm” (chapter 7); “Logical Outlines” (chapters 8</w:t>
      </w:r>
      <w:r w:rsidR="006F304D" w:rsidRPr="006F304D">
        <w:t xml:space="preserve">, </w:t>
      </w:r>
      <w:r w:rsidRPr="007B0929">
        <w:t>on subsections</w:t>
      </w:r>
      <w:r w:rsidR="006F304D" w:rsidRPr="006F304D">
        <w:t xml:space="preserve">, </w:t>
      </w:r>
      <w:r w:rsidRPr="007B0929">
        <w:t>and 9</w:t>
      </w:r>
      <w:r w:rsidR="006F304D" w:rsidRPr="006F304D">
        <w:t xml:space="preserve">, </w:t>
      </w:r>
      <w:r w:rsidRPr="007B0929">
        <w:t>on major sections); and “Parallelism and Catchwords” (chapter 10). The study will conclude with a return to the theoretical plane</w:t>
      </w:r>
      <w:r w:rsidR="006F304D" w:rsidRPr="006F304D">
        <w:t xml:space="preserve">, </w:t>
      </w:r>
      <w:r w:rsidRPr="007B0929">
        <w:t>to assess what we have discovered during the application of structural principles that may be of value in answering the question of how structural analysis is best done in rhetorical criticism.</w:t>
      </w:r>
      <w:bookmarkStart w:id="2" w:name="QuickMark_1"/>
      <w:bookmarkEnd w:id="2"/>
    </w:p>
    <w:p w14:paraId="6197333D" w14:textId="77777777" w:rsidR="0018433B" w:rsidRDefault="0018433B">
      <w:r>
        <w:br w:type="page"/>
      </w:r>
    </w:p>
    <w:p w14:paraId="00958DFF" w14:textId="77777777" w:rsidR="0018433B" w:rsidRDefault="0018433B" w:rsidP="0018433B">
      <w:pPr>
        <w:contextualSpacing/>
      </w:pPr>
    </w:p>
    <w:p w14:paraId="04751328" w14:textId="77777777" w:rsidR="0018433B" w:rsidRDefault="0018433B" w:rsidP="0018433B">
      <w:pPr>
        <w:contextualSpacing/>
      </w:pPr>
    </w:p>
    <w:p w14:paraId="1A6C9CC2" w14:textId="77777777" w:rsidR="0018433B" w:rsidRDefault="0018433B" w:rsidP="0018433B">
      <w:pPr>
        <w:contextualSpacing/>
      </w:pPr>
    </w:p>
    <w:p w14:paraId="53C6786E" w14:textId="77777777" w:rsidR="0018433B" w:rsidRDefault="0018433B" w:rsidP="0018433B">
      <w:pPr>
        <w:contextualSpacing/>
      </w:pPr>
    </w:p>
    <w:p w14:paraId="0006E625" w14:textId="77777777" w:rsidR="0018433B" w:rsidRDefault="0018433B" w:rsidP="0018433B">
      <w:pPr>
        <w:contextualSpacing/>
      </w:pPr>
    </w:p>
    <w:p w14:paraId="23B7B864" w14:textId="77777777" w:rsidR="0018433B" w:rsidRDefault="0018433B" w:rsidP="0018433B">
      <w:pPr>
        <w:contextualSpacing/>
      </w:pPr>
    </w:p>
    <w:p w14:paraId="5A29887A" w14:textId="77777777" w:rsidR="0018433B" w:rsidRDefault="0018433B" w:rsidP="0018433B">
      <w:pPr>
        <w:contextualSpacing/>
      </w:pPr>
    </w:p>
    <w:p w14:paraId="0665A7FC" w14:textId="77777777" w:rsidR="0018433B" w:rsidRDefault="0018433B" w:rsidP="0018433B">
      <w:pPr>
        <w:contextualSpacing/>
      </w:pPr>
    </w:p>
    <w:p w14:paraId="04EA2519" w14:textId="77777777" w:rsidR="0018433B" w:rsidRDefault="0018433B" w:rsidP="0018433B">
      <w:pPr>
        <w:contextualSpacing/>
      </w:pPr>
    </w:p>
    <w:p w14:paraId="259DEC8D" w14:textId="77777777" w:rsidR="0018433B" w:rsidRDefault="0018433B" w:rsidP="0018433B">
      <w:pPr>
        <w:contextualSpacing/>
      </w:pPr>
    </w:p>
    <w:p w14:paraId="3688A71A" w14:textId="77777777" w:rsidR="0018433B" w:rsidRDefault="0018433B" w:rsidP="0018433B">
      <w:pPr>
        <w:contextualSpacing/>
      </w:pPr>
    </w:p>
    <w:p w14:paraId="337F6E08" w14:textId="77777777" w:rsidR="0018433B" w:rsidRDefault="0018433B" w:rsidP="0018433B">
      <w:pPr>
        <w:contextualSpacing/>
      </w:pPr>
    </w:p>
    <w:p w14:paraId="3AACFDBA" w14:textId="77777777" w:rsidR="0018433B" w:rsidRDefault="0018433B" w:rsidP="0018433B">
      <w:pPr>
        <w:contextualSpacing/>
      </w:pPr>
    </w:p>
    <w:p w14:paraId="198E93BA" w14:textId="77777777" w:rsidR="0018433B" w:rsidRDefault="0018433B" w:rsidP="0018433B">
      <w:pPr>
        <w:contextualSpacing/>
      </w:pPr>
    </w:p>
    <w:p w14:paraId="0DC6012B" w14:textId="77777777" w:rsidR="0018433B" w:rsidRDefault="0018433B" w:rsidP="0018433B">
      <w:pPr>
        <w:contextualSpacing/>
      </w:pPr>
    </w:p>
    <w:p w14:paraId="002783C0" w14:textId="77777777" w:rsidR="0018433B" w:rsidRDefault="0018433B" w:rsidP="0018433B">
      <w:pPr>
        <w:contextualSpacing/>
      </w:pPr>
    </w:p>
    <w:p w14:paraId="3E43C47A" w14:textId="6F09E6B5" w:rsidR="0018433B" w:rsidRDefault="00857984" w:rsidP="00857984">
      <w:pPr>
        <w:pStyle w:val="Heading1"/>
      </w:pPr>
      <w:bookmarkStart w:id="3" w:name="_Toc147618589"/>
      <w:r>
        <w:t xml:space="preserve">Part </w:t>
      </w:r>
      <w:r w:rsidR="0018433B">
        <w:t>1</w:t>
      </w:r>
      <w:r>
        <w:t>: Theory</w:t>
      </w:r>
      <w:r w:rsidR="0018433B">
        <w:t>:</w:t>
      </w:r>
      <w:r>
        <w:t xml:space="preserve"> Structure in Rhetorical Criticism</w:t>
      </w:r>
      <w:bookmarkEnd w:id="3"/>
    </w:p>
    <w:p w14:paraId="48D5558F" w14:textId="77777777" w:rsidR="0018433B" w:rsidRDefault="0018433B">
      <w:r>
        <w:br w:type="page"/>
      </w:r>
    </w:p>
    <w:p w14:paraId="431070C7" w14:textId="12F0F7D1" w:rsidR="0018433B" w:rsidRDefault="0018433B" w:rsidP="00857984">
      <w:pPr>
        <w:pStyle w:val="Heading1"/>
      </w:pPr>
      <w:r>
        <w:rPr>
          <w:sz w:val="22"/>
        </w:rPr>
        <w:lastRenderedPageBreak/>
        <w:fldChar w:fldCharType="begin"/>
      </w:r>
      <w:r>
        <w:instrText xml:space="preserve"> SEQ CHAPTER \h \r 1</w:instrText>
      </w:r>
      <w:r>
        <w:fldChar w:fldCharType="end"/>
      </w:r>
      <w:bookmarkStart w:id="4" w:name="_Toc147618590"/>
      <w:r w:rsidR="00857984">
        <w:t xml:space="preserve">Chapter </w:t>
      </w:r>
      <w:r>
        <w:t>2</w:t>
      </w:r>
      <w:r w:rsidR="00857984">
        <w:t>: The Significance of Structure in Recent Thought</w:t>
      </w:r>
      <w:bookmarkEnd w:id="4"/>
    </w:p>
    <w:p w14:paraId="68C36A37" w14:textId="77777777" w:rsidR="0018433B" w:rsidRDefault="0018433B" w:rsidP="0018433B">
      <w:pPr>
        <w:widowControl w:val="0"/>
      </w:pPr>
    </w:p>
    <w:p w14:paraId="2BCEBDB6" w14:textId="77777777" w:rsidR="0018433B" w:rsidRDefault="0018433B" w:rsidP="0018433B">
      <w:pPr>
        <w:widowControl w:val="0"/>
      </w:pPr>
    </w:p>
    <w:p w14:paraId="3550C104" w14:textId="77777777" w:rsidR="0018433B" w:rsidRDefault="0018433B" w:rsidP="0018433B">
      <w:pPr>
        <w:widowControl w:val="0"/>
      </w:pPr>
      <w:r>
        <w:tab/>
        <w:t>What is meant by “structure”? The term has many synonyms; those I have culled from a number of authors seem divisible into four major groups.</w:t>
      </w:r>
    </w:p>
    <w:p w14:paraId="76097E62" w14:textId="77777777" w:rsidR="0018433B" w:rsidRDefault="0018433B" w:rsidP="0018433B">
      <w:pPr>
        <w:widowControl w:val="0"/>
      </w:pPr>
    </w:p>
    <w:p w14:paraId="65425DD3" w14:textId="3892B402" w:rsidR="0018433B" w:rsidRDefault="0018433B" w:rsidP="00B91A68">
      <w:pPr>
        <w:pStyle w:val="ListParagraph"/>
        <w:widowControl w:val="0"/>
        <w:numPr>
          <w:ilvl w:val="0"/>
          <w:numId w:val="3"/>
        </w:numPr>
        <w:jc w:val="both"/>
      </w:pPr>
      <w:r>
        <w:t>In one set</w:t>
      </w:r>
      <w:r w:rsidR="006F304D" w:rsidRPr="006F304D">
        <w:t xml:space="preserve">, </w:t>
      </w:r>
      <w:r>
        <w:t>the common idea is structure as a basis for construction</w:t>
      </w:r>
      <w:r w:rsidR="006F304D" w:rsidRPr="006F304D">
        <w:t xml:space="preserve">, </w:t>
      </w:r>
      <w:r>
        <w:t>and this basis is viewed as an undifferentiated whole: “archetype,” “exemplar,” “model,” “mold,” “paradigm,” “prototype,” “standard,” “type.”</w:t>
      </w:r>
    </w:p>
    <w:p w14:paraId="3E165AF8" w14:textId="36986CD2" w:rsidR="0018433B" w:rsidRDefault="0018433B" w:rsidP="00B91A68">
      <w:pPr>
        <w:pStyle w:val="ListParagraph"/>
        <w:widowControl w:val="0"/>
        <w:numPr>
          <w:ilvl w:val="0"/>
          <w:numId w:val="3"/>
        </w:numPr>
        <w:jc w:val="both"/>
      </w:pPr>
      <w:r>
        <w:t>In a second set</w:t>
      </w:r>
      <w:r w:rsidR="006F304D" w:rsidRPr="006F304D">
        <w:t xml:space="preserve">, </w:t>
      </w:r>
      <w:r>
        <w:t>the common idea is again structure as a basis for construction</w:t>
      </w:r>
      <w:r w:rsidR="006F304D" w:rsidRPr="006F304D">
        <w:t xml:space="preserve">, </w:t>
      </w:r>
      <w:r>
        <w:t>but the basis is now seen as an assemblage of related parts: “blueprint,” “design,” “diagram,” “layout,” “outline,” “plan,” “scheme,” “skeleton,” “sketch,” “summary,” “synopsis.”</w:t>
      </w:r>
    </w:p>
    <w:p w14:paraId="7AACA479" w14:textId="0536B6E4" w:rsidR="0018433B" w:rsidRDefault="0018433B" w:rsidP="00B91A68">
      <w:pPr>
        <w:pStyle w:val="ListParagraph"/>
        <w:widowControl w:val="0"/>
        <w:numPr>
          <w:ilvl w:val="0"/>
          <w:numId w:val="3"/>
        </w:numPr>
        <w:jc w:val="both"/>
      </w:pPr>
      <w:r>
        <w:t>In a third set</w:t>
      </w:r>
      <w:r w:rsidR="006F304D" w:rsidRPr="006F304D">
        <w:t xml:space="preserve">, </w:t>
      </w:r>
      <w:r>
        <w:t>structure is conceived as already inherent in an entity: “arrangement,” “configuration,” “edifice,” “formation,” “order,” “organization,” “pattern,” “system.”</w:t>
      </w:r>
    </w:p>
    <w:p w14:paraId="4C2EA1A1" w14:textId="37ECFC6C" w:rsidR="0018433B" w:rsidRDefault="0018433B" w:rsidP="00B91A68">
      <w:pPr>
        <w:pStyle w:val="ListParagraph"/>
        <w:widowControl w:val="0"/>
        <w:numPr>
          <w:ilvl w:val="0"/>
          <w:numId w:val="3"/>
        </w:numPr>
        <w:jc w:val="both"/>
      </w:pPr>
      <w:r>
        <w:t>And in a fourth set</w:t>
      </w:r>
      <w:r w:rsidR="006F304D" w:rsidRPr="006F304D">
        <w:t xml:space="preserve">, </w:t>
      </w:r>
      <w:r>
        <w:t>structure is the visual aspect of the entity: “contour,” “figure,” “form,” “profile,” “shape.”</w:t>
      </w:r>
    </w:p>
    <w:p w14:paraId="33FB7814" w14:textId="77777777" w:rsidR="0018433B" w:rsidRDefault="0018433B" w:rsidP="0018433B">
      <w:pPr>
        <w:widowControl w:val="0"/>
      </w:pPr>
    </w:p>
    <w:p w14:paraId="513A61E5" w14:textId="77777777" w:rsidR="0018433B" w:rsidRDefault="0018433B" w:rsidP="0018433B">
      <w:pPr>
        <w:widowControl w:val="0"/>
      </w:pPr>
      <w:r>
        <w:tab/>
        <w:t>Definitions by genus and species are no less varied:</w:t>
      </w:r>
    </w:p>
    <w:p w14:paraId="47CA64BC" w14:textId="77777777" w:rsidR="0018433B" w:rsidRDefault="0018433B" w:rsidP="0018433B">
      <w:pPr>
        <w:widowControl w:val="0"/>
      </w:pPr>
    </w:p>
    <w:p w14:paraId="3A875245" w14:textId="77777777" w:rsidR="0018433B" w:rsidRDefault="0018433B" w:rsidP="0018433B">
      <w:pPr>
        <w:pStyle w:val="ListParagraph"/>
        <w:widowControl w:val="0"/>
        <w:ind w:right="720"/>
        <w:jc w:val="both"/>
      </w:pPr>
      <w:r>
        <w:t>[Structure is the] connection of the parts of an organism which is developing according to a uniform purpose.</w:t>
      </w:r>
      <w:r>
        <w:rPr>
          <w:vertAlign w:val="superscript"/>
        </w:rPr>
        <w:footnoteReference w:id="17"/>
      </w:r>
    </w:p>
    <w:p w14:paraId="746BEFF7" w14:textId="77777777" w:rsidR="0018433B" w:rsidRDefault="0018433B" w:rsidP="0018433B">
      <w:pPr>
        <w:pStyle w:val="ListParagraph"/>
        <w:widowControl w:val="0"/>
        <w:ind w:right="720"/>
        <w:jc w:val="both"/>
      </w:pPr>
      <w:r>
        <w:t xml:space="preserve">Structure is </w:t>
      </w:r>
      <w:r w:rsidRPr="00C002BF">
        <w:t>. . .</w:t>
      </w:r>
      <w:r>
        <w:t xml:space="preserve"> the recognition of an order among individual pieces in which the pieces are illuminated by their total arrangement.</w:t>
      </w:r>
      <w:r>
        <w:rPr>
          <w:vertAlign w:val="superscript"/>
        </w:rPr>
        <w:footnoteReference w:id="18"/>
      </w:r>
    </w:p>
    <w:p w14:paraId="6BE1BAD5" w14:textId="47AECF59" w:rsidR="0018433B" w:rsidRDefault="0018433B" w:rsidP="0018433B">
      <w:pPr>
        <w:pStyle w:val="ListParagraph"/>
        <w:widowControl w:val="0"/>
        <w:ind w:right="720"/>
        <w:jc w:val="both"/>
      </w:pPr>
      <w:r>
        <w:t>[Structure] is form seen inside</w:t>
      </w:r>
      <w:r w:rsidR="006F304D" w:rsidRPr="006F304D">
        <w:t xml:space="preserve">, </w:t>
      </w:r>
      <w:r>
        <w:t>as a definite arrangement</w:t>
      </w:r>
      <w:r w:rsidR="006F304D" w:rsidRPr="006F304D">
        <w:t xml:space="preserve">, </w:t>
      </w:r>
      <w:r>
        <w:t>static or changing</w:t>
      </w:r>
      <w:r w:rsidR="006F304D" w:rsidRPr="006F304D">
        <w:t xml:space="preserve">, </w:t>
      </w:r>
      <w:r>
        <w:t xml:space="preserve">of localizable parts </w:t>
      </w:r>
      <w:r w:rsidRPr="00C002BF">
        <w:t>. . .</w:t>
      </w:r>
      <w:r>
        <w:rPr>
          <w:vertAlign w:val="superscript"/>
        </w:rPr>
        <w:footnoteReference w:id="19"/>
      </w:r>
    </w:p>
    <w:p w14:paraId="4DC970FE" w14:textId="77777777" w:rsidR="0018433B" w:rsidRDefault="0018433B" w:rsidP="0018433B">
      <w:pPr>
        <w:pStyle w:val="ListParagraph"/>
        <w:widowControl w:val="0"/>
        <w:ind w:right="720"/>
        <w:jc w:val="both"/>
      </w:pPr>
      <w:r>
        <w:t xml:space="preserve">To the mathematical logician structure is a formal system of relations of certain logical types </w:t>
      </w:r>
      <w:r w:rsidRPr="00C002BF">
        <w:t>. . .</w:t>
      </w:r>
      <w:r>
        <w:rPr>
          <w:vertAlign w:val="superscript"/>
        </w:rPr>
        <w:footnoteReference w:id="20"/>
      </w:r>
    </w:p>
    <w:p w14:paraId="4400A49A" w14:textId="0E1F67C7" w:rsidR="0018433B" w:rsidRDefault="0018433B" w:rsidP="0018433B">
      <w:pPr>
        <w:pStyle w:val="ListParagraph"/>
        <w:widowControl w:val="0"/>
        <w:ind w:right="720"/>
        <w:jc w:val="both"/>
      </w:pPr>
      <w:r>
        <w:t>Structure</w:t>
      </w:r>
      <w:r w:rsidR="006F304D" w:rsidRPr="006F304D">
        <w:t xml:space="preserve">, </w:t>
      </w:r>
      <w:r>
        <w:t>in its basic sense</w:t>
      </w:r>
      <w:r w:rsidR="006F304D" w:rsidRPr="006F304D">
        <w:t xml:space="preserve">, </w:t>
      </w:r>
      <w:r>
        <w:t xml:space="preserve">is the created unity of the parts and joints of entities. It is a pattern </w:t>
      </w:r>
      <w:r w:rsidRPr="00C002BF">
        <w:t>. . .</w:t>
      </w:r>
      <w:r>
        <w:t xml:space="preserve"> of interacting forces perceived as a single </w:t>
      </w:r>
      <w:proofErr w:type="spellStart"/>
      <w:r>
        <w:t>spatio</w:t>
      </w:r>
      <w:proofErr w:type="spellEnd"/>
      <w:r>
        <w:t>-temporal entity.</w:t>
      </w:r>
      <w:r>
        <w:rPr>
          <w:vertAlign w:val="superscript"/>
        </w:rPr>
        <w:footnoteReference w:id="21"/>
      </w:r>
    </w:p>
    <w:p w14:paraId="67B78A19" w14:textId="283FC4DF" w:rsidR="0018433B" w:rsidRDefault="0018433B" w:rsidP="0018433B">
      <w:pPr>
        <w:pStyle w:val="ListParagraph"/>
        <w:widowControl w:val="0"/>
        <w:ind w:right="720"/>
        <w:jc w:val="both"/>
      </w:pPr>
      <w:r>
        <w:t>“Structure” should be understood to mean a network of relationships of elements or of elementary processes. Structures appear wherever elements combine into a meaningful whole whose arrangement follows definite laws. The wholeness in which we discover and examine structures</w:t>
      </w:r>
      <w:r w:rsidR="006F304D" w:rsidRPr="006F304D">
        <w:t xml:space="preserve">, </w:t>
      </w:r>
      <w:r>
        <w:t xml:space="preserve">we call a “system”. Thus there are </w:t>
      </w:r>
      <w:r>
        <w:lastRenderedPageBreak/>
        <w:t>inorganic</w:t>
      </w:r>
      <w:r w:rsidR="006F304D" w:rsidRPr="006F304D">
        <w:t xml:space="preserve">, </w:t>
      </w:r>
      <w:r>
        <w:t>organic</w:t>
      </w:r>
      <w:r w:rsidR="006F304D" w:rsidRPr="006F304D">
        <w:t xml:space="preserve">, </w:t>
      </w:r>
      <w:r>
        <w:t>sociological</w:t>
      </w:r>
      <w:r w:rsidR="006F304D" w:rsidRPr="006F304D">
        <w:t xml:space="preserve">, </w:t>
      </w:r>
      <w:r>
        <w:t xml:space="preserve">and technical systems </w:t>
      </w:r>
      <w:r w:rsidRPr="00C002BF">
        <w:t>. . .</w:t>
      </w:r>
      <w:r>
        <w:rPr>
          <w:vertAlign w:val="superscript"/>
        </w:rPr>
        <w:footnoteReference w:id="22"/>
      </w:r>
    </w:p>
    <w:p w14:paraId="0739DF57" w14:textId="77777777" w:rsidR="0018433B" w:rsidRDefault="0018433B" w:rsidP="0018433B">
      <w:pPr>
        <w:widowControl w:val="0"/>
      </w:pPr>
    </w:p>
    <w:p w14:paraId="5239C28E" w14:textId="4A926983" w:rsidR="0018433B" w:rsidRDefault="0018433B" w:rsidP="0018433B">
      <w:pPr>
        <w:widowControl w:val="0"/>
      </w:pPr>
      <w:r>
        <w:t>Though some of these definitions are more appropriate to one type of structure (a biological organism</w:t>
      </w:r>
      <w:r w:rsidR="006F304D" w:rsidRPr="006F304D">
        <w:t xml:space="preserve">, </w:t>
      </w:r>
      <w:r>
        <w:t>a mathematical system) than to others</w:t>
      </w:r>
      <w:r w:rsidR="006F304D" w:rsidRPr="006F304D">
        <w:t xml:space="preserve">, </w:t>
      </w:r>
      <w:r>
        <w:t xml:space="preserve">a common thread running through them all seems to be the accentuation of </w:t>
      </w:r>
      <w:r>
        <w:rPr>
          <w:i/>
        </w:rPr>
        <w:t>relationships</w:t>
      </w:r>
      <w:r>
        <w:t xml:space="preserve"> instead of the related elements: “The emphasis in all usages is on the relations rather than on the terms or entities which they relate.”</w:t>
      </w:r>
      <w:r>
        <w:rPr>
          <w:vertAlign w:val="superscript"/>
        </w:rPr>
        <w:footnoteReference w:id="23"/>
      </w:r>
      <w:r>
        <w:t xml:space="preserve"> A secondary motif</w:t>
      </w:r>
      <w:r w:rsidR="006F304D" w:rsidRPr="006F304D">
        <w:t xml:space="preserve">, </w:t>
      </w:r>
      <w:r>
        <w:t>detectable in at least some of these definitions</w:t>
      </w:r>
      <w:r w:rsidR="006F304D" w:rsidRPr="006F304D">
        <w:t xml:space="preserve">, </w:t>
      </w:r>
      <w:r>
        <w:t>is the thought that a whole is better perceived once its structure</w:t>
      </w:r>
      <w:r w:rsidR="006F304D" w:rsidRPr="006F304D">
        <w:t xml:space="preserve">, </w:t>
      </w:r>
      <w:r>
        <w:t>the relations among its parts</w:t>
      </w:r>
      <w:r w:rsidR="006F304D" w:rsidRPr="006F304D">
        <w:t xml:space="preserve">, </w:t>
      </w:r>
      <w:r>
        <w:t>is discerned.</w:t>
      </w:r>
    </w:p>
    <w:p w14:paraId="0CE99309" w14:textId="77777777" w:rsidR="0018433B" w:rsidRDefault="0018433B" w:rsidP="0018433B">
      <w:pPr>
        <w:widowControl w:val="0"/>
      </w:pPr>
    </w:p>
    <w:p w14:paraId="77BA84C0" w14:textId="0C0F9AC0" w:rsidR="0018433B" w:rsidRDefault="0018433B" w:rsidP="00857984">
      <w:pPr>
        <w:pStyle w:val="Heading2"/>
      </w:pPr>
      <w:bookmarkStart w:id="5" w:name="_Toc147618591"/>
      <w:r>
        <w:t>1. Structure Outside Literary Studies</w:t>
      </w:r>
      <w:bookmarkEnd w:id="5"/>
    </w:p>
    <w:p w14:paraId="4983BAB4" w14:textId="77777777" w:rsidR="0018433B" w:rsidRDefault="0018433B" w:rsidP="0018433B">
      <w:pPr>
        <w:widowControl w:val="0"/>
      </w:pPr>
    </w:p>
    <w:p w14:paraId="5D9E5618" w14:textId="77777777" w:rsidR="0018433B" w:rsidRDefault="0018433B" w:rsidP="0018433B">
      <w:pPr>
        <w:widowControl w:val="0"/>
      </w:pPr>
      <w:r>
        <w:tab/>
        <w:t>Structure has become increasingly important in modern reflection. According to Gyorgy Kepes,</w:t>
      </w:r>
    </w:p>
    <w:p w14:paraId="1E59B43B" w14:textId="77777777" w:rsidR="0018433B" w:rsidRDefault="0018433B" w:rsidP="0018433B">
      <w:pPr>
        <w:widowControl w:val="0"/>
      </w:pPr>
    </w:p>
    <w:p w14:paraId="72640948" w14:textId="1F782EF8" w:rsidR="0018433B" w:rsidRDefault="0018433B" w:rsidP="0018433B">
      <w:pPr>
        <w:widowControl w:val="0"/>
        <w:ind w:left="720" w:right="720"/>
      </w:pPr>
      <w:r>
        <w:t xml:space="preserve">Each historical era seeks and needs a central model of understanding. Structure seems central to our time </w:t>
      </w:r>
      <w:r w:rsidRPr="00C002BF">
        <w:t>. . .</w:t>
      </w:r>
      <w:r>
        <w:t xml:space="preserve"> From inorganic structures to plants and animals</w:t>
      </w:r>
      <w:r w:rsidR="006F304D" w:rsidRPr="006F304D">
        <w:t xml:space="preserve">, </w:t>
      </w:r>
      <w:r>
        <w:t>from the movements of animals to their social behavior and patterns and to human relations</w:t>
      </w:r>
      <w:r w:rsidR="006F304D" w:rsidRPr="006F304D">
        <w:t xml:space="preserve">, </w:t>
      </w:r>
      <w:r>
        <w:t>structure is central.</w:t>
      </w:r>
      <w:r>
        <w:rPr>
          <w:vertAlign w:val="superscript"/>
        </w:rPr>
        <w:footnoteReference w:id="24"/>
      </w:r>
    </w:p>
    <w:p w14:paraId="02C504CC" w14:textId="77777777" w:rsidR="0018433B" w:rsidRDefault="0018433B" w:rsidP="0018433B">
      <w:pPr>
        <w:widowControl w:val="0"/>
      </w:pPr>
    </w:p>
    <w:p w14:paraId="5B55C07A" w14:textId="235EB528" w:rsidR="0018433B" w:rsidRDefault="0018433B" w:rsidP="0018433B">
      <w:pPr>
        <w:widowControl w:val="0"/>
      </w:pPr>
      <w:r>
        <w:t>A brief survey of the influence of structural thinking in the fields of the natural sciences</w:t>
      </w:r>
      <w:r w:rsidR="006F304D" w:rsidRPr="006F304D">
        <w:t xml:space="preserve">, </w:t>
      </w:r>
      <w:r>
        <w:t>the visual arts</w:t>
      </w:r>
      <w:r w:rsidR="006F304D" w:rsidRPr="006F304D">
        <w:t xml:space="preserve">, </w:t>
      </w:r>
      <w:r>
        <w:t>linguistics</w:t>
      </w:r>
      <w:r w:rsidR="006F304D" w:rsidRPr="006F304D">
        <w:t xml:space="preserve">, </w:t>
      </w:r>
      <w:r>
        <w:t>anthropology</w:t>
      </w:r>
      <w:r w:rsidR="006F304D" w:rsidRPr="006F304D">
        <w:t xml:space="preserve">, </w:t>
      </w:r>
      <w:r>
        <w:t>and literary criticism will clarify this centrality of structure in modern thought.</w:t>
      </w:r>
      <w:r>
        <w:rPr>
          <w:vertAlign w:val="superscript"/>
        </w:rPr>
        <w:footnoteReference w:id="25"/>
      </w:r>
    </w:p>
    <w:p w14:paraId="03C5F546" w14:textId="73D09EEE" w:rsidR="0018433B" w:rsidRDefault="0018433B" w:rsidP="0018433B">
      <w:pPr>
        <w:widowControl w:val="0"/>
      </w:pPr>
      <w:r>
        <w:tab/>
        <w:t>The importance of structure seems first to have been recognized in the natural sciences,</w:t>
      </w:r>
      <w:r>
        <w:rPr>
          <w:vertAlign w:val="superscript"/>
        </w:rPr>
        <w:footnoteReference w:id="26"/>
      </w:r>
      <w:r>
        <w:t xml:space="preserve"> </w:t>
      </w:r>
      <w:r>
        <w:lastRenderedPageBreak/>
        <w:t>sometime around the turn of the century.</w:t>
      </w:r>
      <w:r>
        <w:rPr>
          <w:vertAlign w:val="superscript"/>
        </w:rPr>
        <w:footnoteReference w:id="27"/>
      </w:r>
      <w:r>
        <w:t xml:space="preserve"> A hundred years ago</w:t>
      </w:r>
      <w:r w:rsidR="006F304D" w:rsidRPr="006F304D">
        <w:t xml:space="preserve">, </w:t>
      </w:r>
      <w:r>
        <w:t>the aim of science</w:t>
      </w:r>
    </w:p>
    <w:p w14:paraId="5C5F2697" w14:textId="77777777" w:rsidR="0018433B" w:rsidRDefault="0018433B" w:rsidP="0018433B">
      <w:pPr>
        <w:widowControl w:val="0"/>
      </w:pPr>
    </w:p>
    <w:p w14:paraId="4958567B" w14:textId="7AFFEEAD" w:rsidR="0018433B" w:rsidRDefault="0018433B" w:rsidP="0018433B">
      <w:pPr>
        <w:widowControl w:val="0"/>
        <w:ind w:left="720" w:right="720"/>
      </w:pPr>
      <w:r>
        <w:t>was to describe the material world visibly to the last decimal point</w:t>
      </w:r>
      <w:r w:rsidRPr="00C002BF">
        <w:t>. . . .</w:t>
      </w:r>
      <w:r>
        <w:t xml:space="preserve"> science then was the manipulation of exact measurements. Now</w:t>
      </w:r>
      <w:r w:rsidR="006F304D" w:rsidRPr="006F304D">
        <w:t xml:space="preserve">, </w:t>
      </w:r>
      <w:r>
        <w:t>in the twentieth century</w:t>
      </w:r>
      <w:r w:rsidR="006F304D" w:rsidRPr="006F304D">
        <w:t xml:space="preserve">, </w:t>
      </w:r>
      <w:r>
        <w:t>[we] are no longer preoccupied with the mere facts</w:t>
      </w:r>
      <w:r w:rsidR="006F304D" w:rsidRPr="006F304D">
        <w:t xml:space="preserve">, </w:t>
      </w:r>
      <w:r>
        <w:t xml:space="preserve">but with the relations which the facts have with one another—with the whole </w:t>
      </w:r>
      <w:r w:rsidRPr="00C002BF">
        <w:t>. . .</w:t>
      </w:r>
      <w:r>
        <w:t xml:space="preserve"> [Atoms] are as indistinguishable as the bricks in a building. The pieces have lost (or almost lost) their own meaning</w:t>
      </w:r>
      <w:r w:rsidR="006F304D" w:rsidRPr="006F304D">
        <w:t xml:space="preserve">, </w:t>
      </w:r>
      <w:r>
        <w:t>and the structural or logical pattern is in complete command</w:t>
      </w:r>
      <w:r w:rsidRPr="00C002BF">
        <w:t>. . . .</w:t>
      </w:r>
      <w:r>
        <w:t xml:space="preserve"> six atoms of carbon might arrange themselves in a closed ring</w:t>
      </w:r>
      <w:r w:rsidRPr="00C002BF">
        <w:t>. . . .</w:t>
      </w:r>
      <w:r>
        <w:t xml:space="preserve"> If these rings are laid flat</w:t>
      </w:r>
      <w:r w:rsidR="006F304D" w:rsidRPr="006F304D">
        <w:t xml:space="preserve">, </w:t>
      </w:r>
      <w:r>
        <w:t>one above the other</w:t>
      </w:r>
      <w:r w:rsidR="006F304D" w:rsidRPr="006F304D">
        <w:t xml:space="preserve">, </w:t>
      </w:r>
      <w:r>
        <w:t>they will make graphite</w:t>
      </w:r>
      <w:r w:rsidR="006F304D" w:rsidRPr="006F304D">
        <w:t xml:space="preserve">, </w:t>
      </w:r>
      <w:r>
        <w:t>which is soft because they slide. But if the rings are interlocked</w:t>
      </w:r>
      <w:r w:rsidR="006F304D" w:rsidRPr="006F304D">
        <w:t xml:space="preserve">, </w:t>
      </w:r>
      <w:r>
        <w:t>they will make diamond</w:t>
      </w:r>
      <w:r w:rsidR="006F304D" w:rsidRPr="006F304D">
        <w:t xml:space="preserve">, </w:t>
      </w:r>
      <w:r>
        <w:t>which is hard because they cannot move.</w:t>
      </w:r>
      <w:r>
        <w:rPr>
          <w:vertAlign w:val="superscript"/>
        </w:rPr>
        <w:footnoteReference w:id="28"/>
      </w:r>
    </w:p>
    <w:p w14:paraId="5CFA8E8A" w14:textId="77777777" w:rsidR="0018433B" w:rsidRDefault="0018433B" w:rsidP="0018433B">
      <w:pPr>
        <w:widowControl w:val="0"/>
      </w:pPr>
    </w:p>
    <w:p w14:paraId="133B2684" w14:textId="5340FC56" w:rsidR="0018433B" w:rsidRDefault="0018433B" w:rsidP="0018433B">
      <w:pPr>
        <w:widowControl w:val="0"/>
      </w:pPr>
      <w:r>
        <w:tab/>
        <w:t>This focus on structure has created a new vision in the natural sciences</w:t>
      </w:r>
      <w:r w:rsidR="006F304D" w:rsidRPr="006F304D">
        <w:t xml:space="preserve">, </w:t>
      </w:r>
      <w:r>
        <w:t>one whose implications are rather heady to the layperson. It is now being suggested that structure may be one of the three essential building blocks of the universe;</w:t>
      </w:r>
      <w:r>
        <w:rPr>
          <w:vertAlign w:val="superscript"/>
        </w:rPr>
        <w:footnoteReference w:id="29"/>
      </w:r>
      <w:r>
        <w:t xml:space="preserve"> that it may provide us with an ultimate</w:t>
      </w:r>
      <w:r w:rsidR="006F304D" w:rsidRPr="006F304D">
        <w:t xml:space="preserve">, </w:t>
      </w:r>
      <w:r>
        <w:t>overarching science;</w:t>
      </w:r>
      <w:r>
        <w:rPr>
          <w:vertAlign w:val="superscript"/>
        </w:rPr>
        <w:footnoteReference w:id="30"/>
      </w:r>
      <w:r>
        <w:t xml:space="preserve"> even</w:t>
      </w:r>
      <w:r w:rsidR="006F304D" w:rsidRPr="006F304D">
        <w:t xml:space="preserve">, </w:t>
      </w:r>
      <w:r>
        <w:t>perhaps</w:t>
      </w:r>
      <w:r w:rsidR="006F304D" w:rsidRPr="006F304D">
        <w:t xml:space="preserve">, </w:t>
      </w:r>
      <w:r>
        <w:t>that nothing but structure exists.</w:t>
      </w:r>
      <w:r>
        <w:rPr>
          <w:vertAlign w:val="superscript"/>
        </w:rPr>
        <w:footnoteReference w:id="31"/>
      </w:r>
    </w:p>
    <w:p w14:paraId="5F415C62" w14:textId="43BB8F6D" w:rsidR="0018433B" w:rsidRDefault="0018433B" w:rsidP="0018433B">
      <w:pPr>
        <w:widowControl w:val="0"/>
      </w:pPr>
      <w:r>
        <w:tab/>
        <w:t>The modern concentration on structure which began in the natural sciences has transformed the visual arts as well. It is in fact the thesis of Bronowski’s essay</w:t>
      </w:r>
      <w:r w:rsidR="006F304D" w:rsidRPr="006F304D">
        <w:t xml:space="preserve">, </w:t>
      </w:r>
      <w:r>
        <w:t>“The Discovery of Form,” that the vision of scientists inevitably becomes the vision of artists as well. According to Bronowski</w:t>
      </w:r>
      <w:r w:rsidR="006F304D" w:rsidRPr="006F304D">
        <w:t xml:space="preserve">, </w:t>
      </w:r>
      <w:r>
        <w:t>if in science the world of substances (stones and trees</w:t>
      </w:r>
      <w:r w:rsidR="006F304D" w:rsidRPr="006F304D">
        <w:t xml:space="preserve">, </w:t>
      </w:r>
      <w:r>
        <w:t>chairs and tables) became</w:t>
      </w:r>
      <w:r w:rsidR="006F304D" w:rsidRPr="006F304D">
        <w:t xml:space="preserve">, </w:t>
      </w:r>
      <w:r>
        <w:t>at the turn of the century</w:t>
      </w:r>
      <w:r w:rsidR="006F304D" w:rsidRPr="006F304D">
        <w:t xml:space="preserve">, </w:t>
      </w:r>
      <w:r>
        <w:t>no more than a world of microscopic “bricks” in various configurations</w:t>
      </w:r>
      <w:r w:rsidR="006F304D" w:rsidRPr="006F304D">
        <w:t xml:space="preserve">, </w:t>
      </w:r>
      <w:r>
        <w:t>then we may expect artists of that time to devise visual analogues expressing that same worldview. With the discovery of X-rays and atomic structure</w:t>
      </w:r>
      <w:r w:rsidR="006F304D" w:rsidRPr="006F304D">
        <w:t xml:space="preserve">, </w:t>
      </w:r>
      <w:r>
        <w:t>accordingly</w:t>
      </w:r>
      <w:r w:rsidR="006F304D" w:rsidRPr="006F304D">
        <w:t xml:space="preserve">, </w:t>
      </w:r>
      <w:r>
        <w:t xml:space="preserve">“the upholstered forms of Victorian </w:t>
      </w:r>
      <w:r>
        <w:lastRenderedPageBreak/>
        <w:t>furniture and Victorian women were on their way out</w:t>
      </w:r>
      <w:r w:rsidR="006F304D" w:rsidRPr="006F304D">
        <w:t xml:space="preserve">, </w:t>
      </w:r>
      <w:r>
        <w:t>and the stark and spiky fashions of the twentieth century began</w:t>
      </w:r>
      <w:r w:rsidRPr="00C002BF">
        <w:t>. . . .</w:t>
      </w:r>
      <w:r>
        <w:t xml:space="preserve"> The search in the arts [was] for new forms which lie deeper </w:t>
      </w:r>
      <w:r w:rsidRPr="00C002BF">
        <w:t>. . .</w:t>
      </w:r>
      <w:r>
        <w:t>”</w:t>
      </w:r>
      <w:r>
        <w:rPr>
          <w:vertAlign w:val="superscript"/>
        </w:rPr>
        <w:footnoteReference w:id="32"/>
      </w:r>
      <w:r>
        <w:t xml:space="preserve"> The tradition at the turn of the century staunchly revered exactitude of representation;</w:t>
      </w:r>
      <w:r>
        <w:rPr>
          <w:vertAlign w:val="superscript"/>
        </w:rPr>
        <w:footnoteReference w:id="33"/>
      </w:r>
      <w:r>
        <w:t xml:space="preserve"> by contrast</w:t>
      </w:r>
      <w:r w:rsidR="006F304D" w:rsidRPr="006F304D">
        <w:t xml:space="preserve">, </w:t>
      </w:r>
      <w:r>
        <w:t>the new</w:t>
      </w:r>
      <w:r w:rsidR="006F304D" w:rsidRPr="006F304D">
        <w:t xml:space="preserve">, </w:t>
      </w:r>
      <w:r>
        <w:t>structural ideas in the sciences provided a fresh and exciting perspective. Like a child at a window who shifts his focus from the landscape beyond to the pane before him</w:t>
      </w:r>
      <w:r w:rsidR="006F304D" w:rsidRPr="006F304D">
        <w:t xml:space="preserve">, </w:t>
      </w:r>
      <w:r>
        <w:t>artists of that time transposed their vision from the painting to the paint. Maurice Denis wrote in 1890</w:t>
      </w:r>
      <w:r w:rsidR="006F304D" w:rsidRPr="006F304D">
        <w:t xml:space="preserve">, </w:t>
      </w:r>
      <w:r>
        <w:t>“One should remember that a painting—before being a war-horse</w:t>
      </w:r>
      <w:r w:rsidR="006F304D" w:rsidRPr="006F304D">
        <w:t xml:space="preserve">, </w:t>
      </w:r>
      <w:r>
        <w:t>a nude woman or some anecdote—is essentially a flat surface covered with colors arranged in a certain order.”</w:t>
      </w:r>
      <w:r>
        <w:rPr>
          <w:vertAlign w:val="superscript"/>
        </w:rPr>
        <w:footnoteReference w:id="34"/>
      </w:r>
      <w:r>
        <w:t xml:space="preserve"> Such sentiments emphasize “the importance</w:t>
      </w:r>
      <w:r w:rsidR="006F304D" w:rsidRPr="006F304D">
        <w:t xml:space="preserve">, </w:t>
      </w:r>
      <w:r>
        <w:t>the autonomy</w:t>
      </w:r>
      <w:r w:rsidR="006F304D" w:rsidRPr="006F304D">
        <w:t xml:space="preserve">, </w:t>
      </w:r>
      <w:r>
        <w:t xml:space="preserve">of the compositional order </w:t>
      </w:r>
      <w:r w:rsidRPr="00C002BF">
        <w:t>. . .</w:t>
      </w:r>
      <w:r>
        <w:t xml:space="preserve"> Line and color </w:t>
      </w:r>
      <w:r w:rsidRPr="00C002BF">
        <w:t>. . .</w:t>
      </w:r>
      <w:r>
        <w:t xml:space="preserve"> are the elementary means of the language of painting </w:t>
      </w:r>
      <w:r w:rsidRPr="00C002BF">
        <w:t>. . .</w:t>
      </w:r>
      <w:r>
        <w:t xml:space="preserve"> Stressing their importance </w:t>
      </w:r>
      <w:r w:rsidRPr="00C002BF">
        <w:t>. . .</w:t>
      </w:r>
      <w:r>
        <w:t xml:space="preserve"> means giving priority to the structural entities of painting above the representational aspects </w:t>
      </w:r>
      <w:r w:rsidRPr="00C002BF">
        <w:t>. . .</w:t>
      </w:r>
      <w:r>
        <w:t>”</w:t>
      </w:r>
      <w:r>
        <w:rPr>
          <w:vertAlign w:val="superscript"/>
        </w:rPr>
        <w:footnoteReference w:id="35"/>
      </w:r>
      <w:r>
        <w:t xml:space="preserve"> The new</w:t>
      </w:r>
      <w:r w:rsidR="006F304D" w:rsidRPr="006F304D">
        <w:t xml:space="preserve">, </w:t>
      </w:r>
      <w:r>
        <w:t>structural look in painting especially revealed itself at that time both in cubism</w:t>
      </w:r>
      <w:r>
        <w:rPr>
          <w:vertAlign w:val="superscript"/>
        </w:rPr>
        <w:footnoteReference w:id="36"/>
      </w:r>
      <w:r>
        <w:t xml:space="preserve"> and in the Dutch school of </w:t>
      </w:r>
      <w:r>
        <w:rPr>
          <w:i/>
        </w:rPr>
        <w:t>de Stijl.</w:t>
      </w:r>
      <w:r>
        <w:rPr>
          <w:vertAlign w:val="superscript"/>
        </w:rPr>
        <w:footnoteReference w:id="37"/>
      </w:r>
    </w:p>
    <w:p w14:paraId="698211E9" w14:textId="1CEFDCAC" w:rsidR="0018433B" w:rsidRDefault="0018433B" w:rsidP="0018433B">
      <w:pPr>
        <w:widowControl w:val="0"/>
      </w:pPr>
      <w:r>
        <w:tab/>
        <w:t>The modern concern with structure has affected more than the natural sciences and the visual arts; it has also perfused the human sciences as well—psychology</w:t>
      </w:r>
      <w:r w:rsidR="006F304D" w:rsidRPr="006F304D">
        <w:t xml:space="preserve">, </w:t>
      </w:r>
      <w:r>
        <w:t>for example. Max Wertheimer</w:t>
      </w:r>
      <w:r w:rsidR="006F304D" w:rsidRPr="006F304D">
        <w:t xml:space="preserve">, </w:t>
      </w:r>
      <w:r>
        <w:t>founder of Gestalt (“form”) psychology</w:t>
      </w:r>
      <w:r w:rsidR="006F304D" w:rsidRPr="006F304D">
        <w:t xml:space="preserve">, </w:t>
      </w:r>
      <w:r>
        <w:t>conducted experiments in the 1920s testing recognition of structure in outline drawings; from these he drew conclusions concerning the perception of structure in all thinking.</w:t>
      </w:r>
      <w:r>
        <w:rPr>
          <w:vertAlign w:val="superscript"/>
        </w:rPr>
        <w:footnoteReference w:id="38"/>
      </w:r>
      <w:r>
        <w:t xml:space="preserve"> It is remarkable how frequently structure is mentioned in the </w:t>
      </w:r>
      <w:r>
        <w:lastRenderedPageBreak/>
        <w:t>sentence which summarizes Wertheimer’s most famous work:</w:t>
      </w:r>
    </w:p>
    <w:p w14:paraId="3DF61094" w14:textId="77777777" w:rsidR="0018433B" w:rsidRDefault="0018433B" w:rsidP="0018433B">
      <w:pPr>
        <w:widowControl w:val="0"/>
      </w:pPr>
    </w:p>
    <w:p w14:paraId="23E6DE0D" w14:textId="20B52ACC" w:rsidR="0018433B" w:rsidRDefault="0018433B" w:rsidP="0018433B">
      <w:pPr>
        <w:widowControl w:val="0"/>
        <w:ind w:left="720" w:right="720"/>
      </w:pPr>
      <w:r>
        <w:t>Thinking consists in envisaging</w:t>
      </w:r>
      <w:r w:rsidR="006F304D" w:rsidRPr="006F304D">
        <w:t xml:space="preserve">, </w:t>
      </w:r>
      <w:r>
        <w:t xml:space="preserve">realizing structural features and structural requirements [and] thereby changing the situation in the direction of structural improvements </w:t>
      </w:r>
      <w:r w:rsidRPr="00C002BF">
        <w:t>. . .</w:t>
      </w:r>
      <w:r>
        <w:t xml:space="preserve"> [This requires] operations of structural grouping and segregation</w:t>
      </w:r>
      <w:r w:rsidR="006F304D" w:rsidRPr="006F304D">
        <w:t xml:space="preserve">, </w:t>
      </w:r>
      <w:r w:rsidRPr="00C002BF">
        <w:t>. . .</w:t>
      </w:r>
      <w:r>
        <w:t xml:space="preserve"> [of] structural transposability</w:t>
      </w:r>
      <w:r w:rsidR="006F304D" w:rsidRPr="006F304D">
        <w:t xml:space="preserve">, </w:t>
      </w:r>
      <w:r>
        <w:t>structural hierarchy</w:t>
      </w:r>
      <w:r w:rsidR="006F304D" w:rsidRPr="006F304D">
        <w:t xml:space="preserve">, </w:t>
      </w:r>
      <w:r>
        <w:t xml:space="preserve">and separating structurally peripheral from fundamental features </w:t>
      </w:r>
      <w:r w:rsidRPr="00C002BF">
        <w:t>. . .</w:t>
      </w:r>
      <w:r>
        <w:rPr>
          <w:vertAlign w:val="superscript"/>
        </w:rPr>
        <w:footnoteReference w:id="39"/>
      </w:r>
    </w:p>
    <w:p w14:paraId="6AE15BDB" w14:textId="77777777" w:rsidR="0018433B" w:rsidRDefault="0018433B" w:rsidP="0018433B">
      <w:pPr>
        <w:widowControl w:val="0"/>
      </w:pPr>
    </w:p>
    <w:p w14:paraId="628DD72B" w14:textId="63A9A6B7" w:rsidR="0018433B" w:rsidRDefault="0018433B" w:rsidP="0018433B">
      <w:pPr>
        <w:widowControl w:val="0"/>
      </w:pPr>
      <w:r>
        <w:t>The centrality of structure is recognized by more than just the Gestalt psychologists; child psychologist Jean Piaget</w:t>
      </w:r>
      <w:r w:rsidR="006F304D" w:rsidRPr="006F304D">
        <w:t xml:space="preserve">, </w:t>
      </w:r>
      <w:r>
        <w:t>for example</w:t>
      </w:r>
      <w:r w:rsidR="006F304D" w:rsidRPr="006F304D">
        <w:t xml:space="preserve">, </w:t>
      </w:r>
      <w:r>
        <w:t>believes that “intelligence</w:t>
      </w:r>
      <w:r w:rsidR="006F304D" w:rsidRPr="006F304D">
        <w:t xml:space="preserve">, </w:t>
      </w:r>
      <w:r>
        <w:t>viewed as a whole</w:t>
      </w:r>
      <w:r w:rsidR="006F304D" w:rsidRPr="006F304D">
        <w:t xml:space="preserve">, </w:t>
      </w:r>
      <w:r>
        <w:t xml:space="preserve">takes the form of a structuring </w:t>
      </w:r>
      <w:r w:rsidRPr="00C002BF">
        <w:t>. . .</w:t>
      </w:r>
      <w:r>
        <w:t>”</w:t>
      </w:r>
      <w:r>
        <w:rPr>
          <w:vertAlign w:val="superscript"/>
        </w:rPr>
        <w:footnoteReference w:id="40"/>
      </w:r>
    </w:p>
    <w:p w14:paraId="76847B23" w14:textId="4BA9B623" w:rsidR="0018433B" w:rsidRDefault="0018433B" w:rsidP="0018433B">
      <w:pPr>
        <w:widowControl w:val="0"/>
      </w:pPr>
      <w:r>
        <w:tab/>
        <w:t>But the human science which has perhaps felt the impact of structural thinking more than all others is linguistics. After several early efforts to develop a science of linguistics,</w:t>
      </w:r>
      <w:r>
        <w:rPr>
          <w:vertAlign w:val="superscript"/>
        </w:rPr>
        <w:footnoteReference w:id="41"/>
      </w:r>
      <w:r>
        <w:t xml:space="preserve"> the structural insight of the natural sciences was applied to language by the Swiss linguist</w:t>
      </w:r>
      <w:r w:rsidR="006F304D" w:rsidRPr="006F304D">
        <w:t xml:space="preserve">, </w:t>
      </w:r>
      <w:r>
        <w:t>Ferdinand de Saussure</w:t>
      </w:r>
      <w:r w:rsidR="006F304D" w:rsidRPr="006F304D">
        <w:t xml:space="preserve">, </w:t>
      </w:r>
      <w:r>
        <w:t xml:space="preserve">whose </w:t>
      </w:r>
      <w:r>
        <w:rPr>
          <w:i/>
        </w:rPr>
        <w:t xml:space="preserve">Cours de </w:t>
      </w:r>
      <w:proofErr w:type="spellStart"/>
      <w:r>
        <w:rPr>
          <w:i/>
        </w:rPr>
        <w:t>linguistique</w:t>
      </w:r>
      <w:proofErr w:type="spellEnd"/>
      <w:r>
        <w:rPr>
          <w:i/>
        </w:rPr>
        <w:t xml:space="preserve"> </w:t>
      </w:r>
      <w:proofErr w:type="spellStart"/>
      <w:r>
        <w:rPr>
          <w:i/>
        </w:rPr>
        <w:t>générale</w:t>
      </w:r>
      <w:proofErr w:type="spellEnd"/>
      <w:r>
        <w:t xml:space="preserve"> appeared in 1922.</w:t>
      </w:r>
      <w:r>
        <w:rPr>
          <w:vertAlign w:val="superscript"/>
        </w:rPr>
        <w:footnoteReference w:id="42"/>
      </w:r>
      <w:r>
        <w:t xml:space="preserve"> In essence</w:t>
      </w:r>
      <w:r w:rsidR="006F304D" w:rsidRPr="006F304D">
        <w:t xml:space="preserve">, </w:t>
      </w:r>
      <w:r>
        <w:t>Saussure conceives of language “as an organization [in which] linguistic elements have no reality independent of their relationship to the whole.”</w:t>
      </w:r>
      <w:r>
        <w:rPr>
          <w:vertAlign w:val="superscript"/>
        </w:rPr>
        <w:footnoteReference w:id="43"/>
      </w:r>
      <w:r>
        <w:t xml:space="preserve"> A fuller statement of the principles of a structural linguistics</w:t>
      </w:r>
      <w:r w:rsidR="006F304D" w:rsidRPr="006F304D">
        <w:t xml:space="preserve">, </w:t>
      </w:r>
      <w:r>
        <w:t>as presented by Saussure’s follower</w:t>
      </w:r>
      <w:r w:rsidR="006F304D" w:rsidRPr="006F304D">
        <w:t xml:space="preserve">, </w:t>
      </w:r>
      <w:r>
        <w:t xml:space="preserve">N. S. </w:t>
      </w:r>
      <w:proofErr w:type="spellStart"/>
      <w:r>
        <w:t>Trubetzkoy</w:t>
      </w:r>
      <w:proofErr w:type="spellEnd"/>
      <w:r w:rsidR="006F304D" w:rsidRPr="006F304D">
        <w:t xml:space="preserve">, </w:t>
      </w:r>
      <w:r>
        <w:t>are summarized by Claude Lévi-Strauss:</w:t>
      </w:r>
    </w:p>
    <w:p w14:paraId="5374EAD8" w14:textId="77777777" w:rsidR="0018433B" w:rsidRDefault="0018433B" w:rsidP="0018433B">
      <w:pPr>
        <w:widowControl w:val="0"/>
      </w:pPr>
    </w:p>
    <w:p w14:paraId="4762477F" w14:textId="5D9C15F0" w:rsidR="0018433B" w:rsidRDefault="0018433B" w:rsidP="0018433B">
      <w:pPr>
        <w:widowControl w:val="0"/>
        <w:ind w:left="720" w:right="720"/>
      </w:pPr>
      <w:r>
        <w:t>In one programmatic statement</w:t>
      </w:r>
      <w:r w:rsidR="006F304D" w:rsidRPr="006F304D">
        <w:t xml:space="preserve">, </w:t>
      </w:r>
      <w:r>
        <w:t>he [</w:t>
      </w:r>
      <w:proofErr w:type="spellStart"/>
      <w:r>
        <w:t>Trubetzkoy</w:t>
      </w:r>
      <w:proofErr w:type="spellEnd"/>
      <w:r>
        <w:t xml:space="preserve">] reduced the structural method to </w:t>
      </w:r>
      <w:r>
        <w:lastRenderedPageBreak/>
        <w:t>four basic operations. First</w:t>
      </w:r>
      <w:r w:rsidR="006F304D" w:rsidRPr="006F304D">
        <w:t xml:space="preserve">, </w:t>
      </w:r>
      <w:r>
        <w:t xml:space="preserve">structural linguistics shifts from the study of </w:t>
      </w:r>
      <w:r>
        <w:rPr>
          <w:i/>
        </w:rPr>
        <w:t>conscious</w:t>
      </w:r>
      <w:r>
        <w:t xml:space="preserve"> linguistic phenomena to study of their </w:t>
      </w:r>
      <w:r>
        <w:rPr>
          <w:i/>
        </w:rPr>
        <w:t>unconscious</w:t>
      </w:r>
      <w:r>
        <w:t xml:space="preserve"> infrastructure; second</w:t>
      </w:r>
      <w:r w:rsidR="006F304D" w:rsidRPr="006F304D">
        <w:t xml:space="preserve">, </w:t>
      </w:r>
      <w:r>
        <w:t xml:space="preserve">it does not treat </w:t>
      </w:r>
      <w:r>
        <w:rPr>
          <w:i/>
        </w:rPr>
        <w:t>terms</w:t>
      </w:r>
      <w:r>
        <w:t xml:space="preserve"> as independent entities</w:t>
      </w:r>
      <w:r w:rsidR="006F304D" w:rsidRPr="006F304D">
        <w:t xml:space="preserve">, </w:t>
      </w:r>
      <w:r>
        <w:t xml:space="preserve">taking instead as its basis of analysis the </w:t>
      </w:r>
      <w:r>
        <w:rPr>
          <w:i/>
        </w:rPr>
        <w:t>relations</w:t>
      </w:r>
      <w:r>
        <w:t xml:space="preserve"> between terms; third</w:t>
      </w:r>
      <w:r w:rsidR="006F304D" w:rsidRPr="006F304D">
        <w:t xml:space="preserve">, </w:t>
      </w:r>
      <w:r>
        <w:t xml:space="preserve">it introduces the concept of </w:t>
      </w:r>
      <w:r>
        <w:rPr>
          <w:i/>
        </w:rPr>
        <w:t>system</w:t>
      </w:r>
      <w:r>
        <w:t xml:space="preserve"> </w:t>
      </w:r>
      <w:r w:rsidRPr="00C002BF">
        <w:t>. . .</w:t>
      </w:r>
      <w:r>
        <w:t>; finally</w:t>
      </w:r>
      <w:r w:rsidR="006F304D" w:rsidRPr="006F304D">
        <w:t xml:space="preserve">, </w:t>
      </w:r>
      <w:r>
        <w:t xml:space="preserve">structural linguistics aims at discovering </w:t>
      </w:r>
      <w:r>
        <w:rPr>
          <w:i/>
        </w:rPr>
        <w:t>general laws</w:t>
      </w:r>
      <w:r>
        <w:t xml:space="preserve"> </w:t>
      </w:r>
      <w:r w:rsidRPr="00C002BF">
        <w:t>. . .</w:t>
      </w:r>
      <w:r>
        <w:rPr>
          <w:vertAlign w:val="superscript"/>
        </w:rPr>
        <w:footnoteReference w:id="44"/>
      </w:r>
    </w:p>
    <w:p w14:paraId="205DA39D" w14:textId="77777777" w:rsidR="0018433B" w:rsidRDefault="0018433B" w:rsidP="0018433B">
      <w:pPr>
        <w:widowControl w:val="0"/>
      </w:pPr>
    </w:p>
    <w:p w14:paraId="435A74A8" w14:textId="4AC8329F" w:rsidR="0018433B" w:rsidRDefault="0018433B" w:rsidP="0018433B">
      <w:pPr>
        <w:widowControl w:val="0"/>
      </w:pPr>
      <w:r>
        <w:t>All of the modern schools of linguistics</w:t>
      </w:r>
      <w:r w:rsidR="006F304D" w:rsidRPr="006F304D">
        <w:t xml:space="preserve">, </w:t>
      </w:r>
      <w:r>
        <w:t>true shoots from the stump of Saussure</w:t>
      </w:r>
      <w:r w:rsidR="006F304D" w:rsidRPr="006F304D">
        <w:t xml:space="preserve">, </w:t>
      </w:r>
      <w:r>
        <w:t>are structural in method: the Prague school,</w:t>
      </w:r>
      <w:r>
        <w:rPr>
          <w:vertAlign w:val="superscript"/>
        </w:rPr>
        <w:footnoteReference w:id="45"/>
      </w:r>
      <w:r>
        <w:t xml:space="preserve"> glossematics,</w:t>
      </w:r>
      <w:r>
        <w:rPr>
          <w:vertAlign w:val="superscript"/>
        </w:rPr>
        <w:footnoteReference w:id="46"/>
      </w:r>
      <w:r>
        <w:t xml:space="preserve"> functionalism,</w:t>
      </w:r>
      <w:r>
        <w:rPr>
          <w:vertAlign w:val="superscript"/>
        </w:rPr>
        <w:footnoteReference w:id="47"/>
      </w:r>
      <w:r>
        <w:t xml:space="preserve"> </w:t>
      </w:r>
      <w:proofErr w:type="spellStart"/>
      <w:r>
        <w:t>distributionalsm</w:t>
      </w:r>
      <w:proofErr w:type="spellEnd"/>
      <w:r>
        <w:t>,</w:t>
      </w:r>
      <w:r>
        <w:rPr>
          <w:vertAlign w:val="superscript"/>
        </w:rPr>
        <w:footnoteReference w:id="48"/>
      </w:r>
      <w:r>
        <w:t xml:space="preserve"> tagmemics,</w:t>
      </w:r>
      <w:r>
        <w:rPr>
          <w:vertAlign w:val="superscript"/>
        </w:rPr>
        <w:footnoteReference w:id="49"/>
      </w:r>
      <w:r>
        <w:t xml:space="preserve"> and generative linguistics.</w:t>
      </w:r>
      <w:r>
        <w:rPr>
          <w:vertAlign w:val="superscript"/>
        </w:rPr>
        <w:footnoteReference w:id="50"/>
      </w:r>
    </w:p>
    <w:p w14:paraId="003A3AD6" w14:textId="3C4394D9" w:rsidR="0018433B" w:rsidRDefault="0018433B" w:rsidP="0018433B">
      <w:pPr>
        <w:widowControl w:val="0"/>
      </w:pPr>
      <w:r>
        <w:tab/>
        <w:t>The structural approach in linguistics deeply impressed the anthropologist Claude Lévi-Strauss</w:t>
      </w:r>
      <w:r w:rsidR="006F304D" w:rsidRPr="006F304D">
        <w:t xml:space="preserve">, </w:t>
      </w:r>
      <w:r>
        <w:t>and he imported it into his own discipline.</w:t>
      </w:r>
      <w:r>
        <w:rPr>
          <w:vertAlign w:val="superscript"/>
        </w:rPr>
        <w:footnoteReference w:id="51"/>
      </w:r>
      <w:r>
        <w:t xml:space="preserve"> An example of linguistic method applied to an anthropological concern can be found in his treatment of kinship systems. Note the parallelism with Lévi-Strauss’ earlier statement about </w:t>
      </w:r>
      <w:proofErr w:type="spellStart"/>
      <w:r>
        <w:t>Trubetzkoy</w:t>
      </w:r>
      <w:proofErr w:type="spellEnd"/>
      <w:r>
        <w:t xml:space="preserve"> (p. 11 above):</w:t>
      </w:r>
    </w:p>
    <w:p w14:paraId="54EFC323" w14:textId="77777777" w:rsidR="0018433B" w:rsidRDefault="0018433B" w:rsidP="0018433B">
      <w:pPr>
        <w:widowControl w:val="0"/>
      </w:pPr>
    </w:p>
    <w:p w14:paraId="0D1DF3AE" w14:textId="2795296A" w:rsidR="0018433B" w:rsidRDefault="0018433B" w:rsidP="0018433B">
      <w:pPr>
        <w:widowControl w:val="0"/>
        <w:ind w:left="720" w:right="720"/>
      </w:pPr>
      <w:r>
        <w:t>Like phonemes</w:t>
      </w:r>
      <w:r w:rsidR="006F304D" w:rsidRPr="006F304D">
        <w:t xml:space="preserve">, </w:t>
      </w:r>
      <w:r>
        <w:t>kinship terms are elements of meaning; like phonemes</w:t>
      </w:r>
      <w:r w:rsidR="006F304D" w:rsidRPr="006F304D">
        <w:t xml:space="preserve">, </w:t>
      </w:r>
      <w:r>
        <w:t xml:space="preserve">they acquire meaning only if they are integrated into systems. “Kinship systems,” like </w:t>
      </w:r>
      <w:r>
        <w:lastRenderedPageBreak/>
        <w:t>“phoneme systems,” are built by the mind on the level of unconscious thought. Finally</w:t>
      </w:r>
      <w:r w:rsidR="006F304D" w:rsidRPr="006F304D">
        <w:t xml:space="preserve">, </w:t>
      </w:r>
      <w:r>
        <w:t xml:space="preserve">the recurrence of kinship patterns </w:t>
      </w:r>
      <w:r w:rsidRPr="00C002BF">
        <w:t>. . .</w:t>
      </w:r>
      <w:r>
        <w:t xml:space="preserve"> in scattered regions of the globe </w:t>
      </w:r>
      <w:r w:rsidRPr="00C002BF">
        <w:t>. . .</w:t>
      </w:r>
      <w:r>
        <w:t xml:space="preserve"> leads us to believe that [they] result from the action of laws which are general but implicit.</w:t>
      </w:r>
      <w:r>
        <w:rPr>
          <w:vertAlign w:val="superscript"/>
        </w:rPr>
        <w:footnoteReference w:id="52"/>
      </w:r>
    </w:p>
    <w:p w14:paraId="511A1388" w14:textId="77777777" w:rsidR="0018433B" w:rsidRDefault="0018433B" w:rsidP="0018433B">
      <w:pPr>
        <w:widowControl w:val="0"/>
      </w:pPr>
    </w:p>
    <w:p w14:paraId="706C2085" w14:textId="264AD287" w:rsidR="0018433B" w:rsidRDefault="0018433B" w:rsidP="0018433B">
      <w:pPr>
        <w:widowControl w:val="0"/>
      </w:pPr>
      <w:r>
        <w:tab/>
        <w:t>Both language and culture</w:t>
      </w:r>
      <w:r w:rsidR="006F304D" w:rsidRPr="006F304D">
        <w:t xml:space="preserve">, </w:t>
      </w:r>
      <w:r>
        <w:t>Lévi-Strauss says</w:t>
      </w:r>
      <w:r w:rsidR="006F304D" w:rsidRPr="006F304D">
        <w:t xml:space="preserve">, </w:t>
      </w:r>
      <w:r>
        <w:t>are constructs of “logical relations”;</w:t>
      </w:r>
      <w:r>
        <w:rPr>
          <w:vertAlign w:val="superscript"/>
        </w:rPr>
        <w:footnoteReference w:id="53"/>
      </w:r>
      <w:r>
        <w:t xml:space="preserve"> and he condemns traditional anthropology</w:t>
      </w:r>
      <w:r w:rsidR="006F304D" w:rsidRPr="006F304D">
        <w:t xml:space="preserve">, </w:t>
      </w:r>
      <w:r>
        <w:t>like traditional linguistics</w:t>
      </w:r>
      <w:r w:rsidR="006F304D" w:rsidRPr="006F304D">
        <w:t xml:space="preserve">, </w:t>
      </w:r>
      <w:r>
        <w:t>for concentrating on terms rather than their relations.</w:t>
      </w:r>
      <w:r>
        <w:rPr>
          <w:vertAlign w:val="superscript"/>
        </w:rPr>
        <w:footnoteReference w:id="54"/>
      </w:r>
      <w:r>
        <w:t xml:space="preserve"> One can glimpse</w:t>
      </w:r>
      <w:r w:rsidR="006F304D" w:rsidRPr="006F304D">
        <w:t xml:space="preserve">, </w:t>
      </w:r>
      <w:r>
        <w:t>in passages like the following</w:t>
      </w:r>
      <w:r w:rsidR="006F304D" w:rsidRPr="006F304D">
        <w:t xml:space="preserve">, </w:t>
      </w:r>
      <w:r>
        <w:t>the vistas which the new structural approach inspired Lévi-Strauss to envision:</w:t>
      </w:r>
    </w:p>
    <w:p w14:paraId="7F287F88" w14:textId="77777777" w:rsidR="0018433B" w:rsidRDefault="0018433B" w:rsidP="0018433B">
      <w:pPr>
        <w:widowControl w:val="0"/>
      </w:pPr>
    </w:p>
    <w:p w14:paraId="4FB16FED" w14:textId="4B4B0C14" w:rsidR="0018433B" w:rsidRDefault="0018433B" w:rsidP="0018433B">
      <w:pPr>
        <w:widowControl w:val="0"/>
        <w:ind w:left="720" w:right="720"/>
      </w:pPr>
      <w:r>
        <w:t xml:space="preserve">modern researches into the problems of phonemics </w:t>
      </w:r>
      <w:r w:rsidRPr="00C002BF">
        <w:t>. . .</w:t>
      </w:r>
      <w:r>
        <w:t xml:space="preserve"> have reached beyond the superficial conscious and historical expression of linguistic phenomena to attain fundamental and objective realities </w:t>
      </w:r>
      <w:r w:rsidRPr="00C002BF">
        <w:t>. . .</w:t>
      </w:r>
      <w:r>
        <w:t xml:space="preserve"> For centuries the humanities and the social sciences have resigned themselves to contemplating the world of the natural and exact sciences as a kind of paradise which they will never enter. And all of a sudden there is a small door which is being opened between the two fields</w:t>
      </w:r>
      <w:r w:rsidR="006F304D" w:rsidRPr="006F304D">
        <w:t xml:space="preserve">, </w:t>
      </w:r>
      <w:r>
        <w:t>and it is linguistics which has done it</w:t>
      </w:r>
      <w:r w:rsidRPr="00C002BF">
        <w:t>. . . .</w:t>
      </w:r>
      <w:r>
        <w:t xml:space="preserve"> Is it possible to effect a similar </w:t>
      </w:r>
      <w:r w:rsidRPr="00C002BF">
        <w:t>. . .</w:t>
      </w:r>
      <w:r>
        <w:t xml:space="preserve"> analysis of other forms of social phenomena? </w:t>
      </w:r>
      <w:r w:rsidRPr="00C002BF">
        <w:t>. . .</w:t>
      </w:r>
      <w:r>
        <w:t xml:space="preserve"> We also find in society other kinds of languages </w:t>
      </w:r>
      <w:r w:rsidRPr="00C002BF">
        <w:t>. . .</w:t>
      </w:r>
      <w:r w:rsidR="006F304D" w:rsidRPr="006F304D">
        <w:t xml:space="preserve">, </w:t>
      </w:r>
      <w:r>
        <w:t>the kinship system</w:t>
      </w:r>
      <w:r w:rsidR="006F304D" w:rsidRPr="006F304D">
        <w:t xml:space="preserve">, </w:t>
      </w:r>
      <w:r>
        <w:t>political ideology</w:t>
      </w:r>
      <w:r w:rsidR="006F304D" w:rsidRPr="006F304D">
        <w:t xml:space="preserve">, </w:t>
      </w:r>
      <w:r>
        <w:t>mythology</w:t>
      </w:r>
      <w:r w:rsidR="006F304D" w:rsidRPr="006F304D">
        <w:t xml:space="preserve">, </w:t>
      </w:r>
      <w:r>
        <w:t>ritual</w:t>
      </w:r>
      <w:r w:rsidR="006F304D" w:rsidRPr="006F304D">
        <w:t xml:space="preserve">, </w:t>
      </w:r>
      <w:r>
        <w:t>art</w:t>
      </w:r>
      <w:r w:rsidR="006F304D" w:rsidRPr="006F304D">
        <w:t xml:space="preserve">, </w:t>
      </w:r>
      <w:r>
        <w:t>code of etiquette</w:t>
      </w:r>
      <w:r w:rsidR="006F304D" w:rsidRPr="006F304D">
        <w:t xml:space="preserve">, </w:t>
      </w:r>
      <w:r>
        <w:t>and—why not?—cooking.</w:t>
      </w:r>
      <w:r>
        <w:rPr>
          <w:vertAlign w:val="superscript"/>
        </w:rPr>
        <w:footnoteReference w:id="55"/>
      </w:r>
    </w:p>
    <w:p w14:paraId="651FCA1C" w14:textId="77777777" w:rsidR="0018433B" w:rsidRDefault="0018433B" w:rsidP="0018433B">
      <w:pPr>
        <w:widowControl w:val="0"/>
      </w:pPr>
    </w:p>
    <w:p w14:paraId="0F998D69" w14:textId="33DF8B28" w:rsidR="0018433B" w:rsidRDefault="0018433B" w:rsidP="0018433B">
      <w:pPr>
        <w:widowControl w:val="0"/>
      </w:pPr>
      <w:r>
        <w:tab/>
        <w:t>In addition to the natural sciences</w:t>
      </w:r>
      <w:r w:rsidR="006F304D" w:rsidRPr="006F304D">
        <w:t xml:space="preserve">, </w:t>
      </w:r>
      <w:r>
        <w:t>the visual arts</w:t>
      </w:r>
      <w:r w:rsidR="006F304D" w:rsidRPr="006F304D">
        <w:t xml:space="preserve">, </w:t>
      </w:r>
      <w:r>
        <w:t>and anthropology</w:t>
      </w:r>
      <w:r w:rsidR="006F304D" w:rsidRPr="006F304D">
        <w:t xml:space="preserve">, </w:t>
      </w:r>
      <w:r>
        <w:t>the concept of structure has also been highly influential in literary criticism. Structure in literary criticism is the immediate background for the subject at hand</w:t>
      </w:r>
      <w:r w:rsidR="006F304D" w:rsidRPr="006F304D">
        <w:t xml:space="preserve">, </w:t>
      </w:r>
      <w:r>
        <w:t>structure in rhetorical criticism.</w:t>
      </w:r>
    </w:p>
    <w:p w14:paraId="10D2A494" w14:textId="77777777" w:rsidR="0018433B" w:rsidRDefault="0018433B" w:rsidP="0018433B">
      <w:pPr>
        <w:widowControl w:val="0"/>
      </w:pPr>
    </w:p>
    <w:p w14:paraId="7C00746A" w14:textId="77777777" w:rsidR="0018433B" w:rsidRDefault="0018433B" w:rsidP="007D18CE">
      <w:pPr>
        <w:pStyle w:val="Heading2"/>
      </w:pPr>
      <w:bookmarkStart w:id="6" w:name="_Toc147618592"/>
      <w:r>
        <w:t>2. Structure in Literary Criticism</w:t>
      </w:r>
      <w:bookmarkEnd w:id="6"/>
    </w:p>
    <w:p w14:paraId="387EFE9E" w14:textId="77777777" w:rsidR="0018433B" w:rsidRDefault="0018433B" w:rsidP="0018433B">
      <w:pPr>
        <w:widowControl w:val="0"/>
      </w:pPr>
    </w:p>
    <w:p w14:paraId="7AFAD3D4" w14:textId="34517F3E" w:rsidR="0018433B" w:rsidRDefault="0018433B" w:rsidP="0018433B">
      <w:pPr>
        <w:widowControl w:val="0"/>
      </w:pPr>
      <w:r>
        <w:tab/>
        <w:t>Structural linguistics has been just as influential in literary criticism as it has been in the domain of anthropology. According to French structuralist Roland Barthes</w:t>
      </w:r>
      <w:r w:rsidR="006F304D" w:rsidRPr="006F304D">
        <w:t xml:space="preserve">, </w:t>
      </w:r>
      <w:r>
        <w:t xml:space="preserve">in literary studies “structural analysis [is] separating out and systematizing the main articulations of narrative </w:t>
      </w:r>
      <w:r w:rsidRPr="00C002BF">
        <w:t>. . .</w:t>
      </w:r>
      <w:r>
        <w:t>”</w:t>
      </w:r>
      <w:r>
        <w:rPr>
          <w:vertAlign w:val="superscript"/>
        </w:rPr>
        <w:footnoteReference w:id="56"/>
      </w:r>
      <w:r>
        <w:t xml:space="preserve"> These main articulations are variously defined. To Russian formalists</w:t>
      </w:r>
      <w:r w:rsidR="006F304D" w:rsidRPr="006F304D">
        <w:t xml:space="preserve">, </w:t>
      </w:r>
      <w:r>
        <w:t>they are actions (episodes that recur in many narratives) or relations between characters in a narrative.</w:t>
      </w:r>
      <w:r>
        <w:rPr>
          <w:vertAlign w:val="superscript"/>
        </w:rPr>
        <w:footnoteReference w:id="57"/>
      </w:r>
      <w:r>
        <w:t xml:space="preserve"> To the French structuralists</w:t>
      </w:r>
      <w:r w:rsidR="006F304D" w:rsidRPr="006F304D">
        <w:t xml:space="preserve">, </w:t>
      </w:r>
      <w:r>
        <w:t>the “main articulations” of a narrative are fundamental oppositions in human experience. Yet all structural literary critics have in common the aim to discover (1) a structure (set of relationships) (2) among elements (“articulations”) (3) at the level of the text as a whole (“</w:t>
      </w:r>
      <w:r>
        <w:rPr>
          <w:i/>
        </w:rPr>
        <w:t>main</w:t>
      </w:r>
      <w:r>
        <w:t xml:space="preserve"> </w:t>
      </w:r>
      <w:r>
        <w:lastRenderedPageBreak/>
        <w:t>articulations”).</w:t>
      </w:r>
      <w:r>
        <w:rPr>
          <w:vertAlign w:val="superscript"/>
        </w:rPr>
        <w:footnoteReference w:id="58"/>
      </w:r>
      <w:r>
        <w:t xml:space="preserve"> The desire to discern a “grammar” of literary texts is the essential characteristic common to all forms of structural criticism.</w:t>
      </w:r>
    </w:p>
    <w:p w14:paraId="039D6375" w14:textId="3EA64EE4" w:rsidR="0018433B" w:rsidRDefault="0018433B" w:rsidP="0018433B">
      <w:pPr>
        <w:widowControl w:val="0"/>
      </w:pPr>
      <w:r>
        <w:tab/>
        <w:t>But there are many methods of literary criticism. Which do we mean when we refer to structural criticism? A traditional classification of the methods of literary criticism divides them according to the three elements of the communicative process: transmitter</w:t>
      </w:r>
      <w:r w:rsidR="006F304D" w:rsidRPr="006F304D">
        <w:t xml:space="preserve">, </w:t>
      </w:r>
      <w:r>
        <w:t>message</w:t>
      </w:r>
      <w:r w:rsidR="006F304D" w:rsidRPr="006F304D">
        <w:t xml:space="preserve">, </w:t>
      </w:r>
      <w:r>
        <w:t>and receiver.</w:t>
      </w:r>
      <w:r>
        <w:rPr>
          <w:vertAlign w:val="superscript"/>
        </w:rPr>
        <w:footnoteReference w:id="59"/>
      </w:r>
      <w:r>
        <w:t xml:space="preserve"> In terms of literary criticism</w:t>
      </w:r>
      <w:r w:rsidR="006F304D" w:rsidRPr="006F304D">
        <w:t xml:space="preserve">, </w:t>
      </w:r>
      <w:r>
        <w:t>we may speak of author-centered</w:t>
      </w:r>
      <w:r w:rsidR="006F304D" w:rsidRPr="006F304D">
        <w:t xml:space="preserve">, </w:t>
      </w:r>
      <w:r>
        <w:t>text-centered</w:t>
      </w:r>
      <w:r w:rsidR="006F304D" w:rsidRPr="006F304D">
        <w:t xml:space="preserve">, </w:t>
      </w:r>
      <w:r>
        <w:t>and reader-centered methods.</w:t>
      </w:r>
      <w:r>
        <w:rPr>
          <w:vertAlign w:val="superscript"/>
        </w:rPr>
        <w:footnoteReference w:id="60"/>
      </w:r>
      <w:r>
        <w:t xml:space="preserve"> The author-centered methods include such techniques as biographical criticism (how the events in the biography of the author influenced the creation of the text)</w:t>
      </w:r>
      <w:r w:rsidR="006F304D" w:rsidRPr="006F304D">
        <w:t xml:space="preserve">, </w:t>
      </w:r>
      <w:r>
        <w:t>psychological criticism</w:t>
      </w:r>
      <w:r w:rsidR="006F304D" w:rsidRPr="006F304D">
        <w:t xml:space="preserve">, </w:t>
      </w:r>
      <w:r>
        <w:t>and sociological criticism.</w:t>
      </w:r>
      <w:r>
        <w:rPr>
          <w:vertAlign w:val="superscript"/>
        </w:rPr>
        <w:footnoteReference w:id="61"/>
      </w:r>
      <w:r>
        <w:t xml:space="preserve"> The text-centered methods include Russian formalism</w:t>
      </w:r>
      <w:r w:rsidR="006F304D" w:rsidRPr="006F304D">
        <w:t xml:space="preserve">, </w:t>
      </w:r>
      <w:r>
        <w:t xml:space="preserve">French </w:t>
      </w:r>
      <w:r>
        <w:lastRenderedPageBreak/>
        <w:t>structuralism</w:t>
      </w:r>
      <w:r w:rsidR="006F304D" w:rsidRPr="006F304D">
        <w:t xml:space="preserve">, </w:t>
      </w:r>
      <w:r>
        <w:t>New Criticism</w:t>
      </w:r>
      <w:r w:rsidR="006F304D" w:rsidRPr="006F304D">
        <w:t xml:space="preserve">, </w:t>
      </w:r>
      <w:r>
        <w:t>the Chicago school</w:t>
      </w:r>
      <w:r w:rsidR="006F304D" w:rsidRPr="006F304D">
        <w:t xml:space="preserve">, </w:t>
      </w:r>
      <w:r>
        <w:t>and deconstruction.</w:t>
      </w:r>
      <w:r>
        <w:rPr>
          <w:vertAlign w:val="superscript"/>
        </w:rPr>
        <w:footnoteReference w:id="62"/>
      </w:r>
      <w:r>
        <w:t xml:space="preserve"> Reader-centered methods include the approaches of </w:t>
      </w:r>
      <w:r w:rsidR="00E95268" w:rsidRPr="00E95268">
        <w:rPr>
          <w:iCs/>
        </w:rPr>
        <w:t>C.S.</w:t>
      </w:r>
      <w:r>
        <w:t xml:space="preserve"> Lewis and I. A. Richards.</w:t>
      </w:r>
      <w:r>
        <w:rPr>
          <w:vertAlign w:val="superscript"/>
        </w:rPr>
        <w:footnoteReference w:id="63"/>
      </w:r>
    </w:p>
    <w:p w14:paraId="47FD214C" w14:textId="6AAEC167" w:rsidR="0018433B" w:rsidRDefault="0018433B" w:rsidP="0018433B">
      <w:pPr>
        <w:widowControl w:val="0"/>
      </w:pPr>
      <w:r>
        <w:tab/>
        <w:t>A great deal of interest has been generated in recent years by the various methods of “reader-response” criticism. These include the approaches of Meir Sternberg</w:t>
      </w:r>
      <w:r w:rsidR="006F304D" w:rsidRPr="006F304D">
        <w:t xml:space="preserve">, </w:t>
      </w:r>
      <w:r>
        <w:t>Wolfgang Iser</w:t>
      </w:r>
      <w:r w:rsidR="006F304D" w:rsidRPr="006F304D">
        <w:t xml:space="preserve">, </w:t>
      </w:r>
      <w:r>
        <w:t>and Seymour Chatman.</w:t>
      </w:r>
      <w:r>
        <w:rPr>
          <w:vertAlign w:val="superscript"/>
        </w:rPr>
        <w:footnoteReference w:id="64"/>
      </w:r>
      <w:r>
        <w:t xml:space="preserve"> At first sight</w:t>
      </w:r>
      <w:r w:rsidR="006F304D" w:rsidRPr="006F304D">
        <w:t xml:space="preserve">, </w:t>
      </w:r>
      <w:r>
        <w:t>one will be inclined to insert these procedures into the reader-centered class of methods. But these newer methodologies differ from those of Lewis and Richards. Lewis and Richards proposed establishing standards of what is good and bad in literature by examining the decisions of real readers; Richards even proposed experiments with classroom populations.</w:t>
      </w:r>
      <w:r>
        <w:rPr>
          <w:vertAlign w:val="superscript"/>
        </w:rPr>
        <w:footnoteReference w:id="65"/>
      </w:r>
      <w:r>
        <w:t xml:space="preserve"> The newer methods</w:t>
      </w:r>
      <w:r w:rsidR="006F304D" w:rsidRPr="006F304D">
        <w:t xml:space="preserve">, </w:t>
      </w:r>
      <w:r>
        <w:t>on the other hand</w:t>
      </w:r>
      <w:r w:rsidR="006F304D" w:rsidRPr="006F304D">
        <w:t xml:space="preserve">, </w:t>
      </w:r>
      <w:r>
        <w:t>are more interested in the implied or ideal reader than the real reader.</w:t>
      </w:r>
      <w:r>
        <w:rPr>
          <w:vertAlign w:val="superscript"/>
        </w:rPr>
        <w:footnoteReference w:id="66"/>
      </w:r>
      <w:r>
        <w:t xml:space="preserve"> The implied reader exists</w:t>
      </w:r>
      <w:r w:rsidR="006F304D" w:rsidRPr="006F304D">
        <w:t xml:space="preserve">, </w:t>
      </w:r>
      <w:r>
        <w:t>so to speak</w:t>
      </w:r>
      <w:r w:rsidR="006F304D" w:rsidRPr="006F304D">
        <w:t xml:space="preserve">, </w:t>
      </w:r>
      <w:r>
        <w:rPr>
          <w:i/>
        </w:rPr>
        <w:t>inside</w:t>
      </w:r>
      <w:r>
        <w:t xml:space="preserve"> the literary work: the implied reader is the reader whom the narrator of the work presupposes as the addressee. Consequently</w:t>
      </w:r>
      <w:r w:rsidR="006F304D" w:rsidRPr="006F304D">
        <w:t xml:space="preserve">, </w:t>
      </w:r>
      <w:r>
        <w:t>these newer “reader-response” methods of criticism should be included among the text-centered methods.</w:t>
      </w:r>
    </w:p>
    <w:p w14:paraId="54F33760" w14:textId="6C1CF92F" w:rsidR="0018433B" w:rsidRDefault="0018433B" w:rsidP="0018433B">
      <w:pPr>
        <w:widowControl w:val="0"/>
      </w:pPr>
      <w:r>
        <w:tab/>
        <w:t>Our principal interest at the moment is in methods of literary criticism which concentrate on structure. This means</w:t>
      </w:r>
      <w:r w:rsidR="006F304D" w:rsidRPr="006F304D">
        <w:t xml:space="preserve">, </w:t>
      </w:r>
      <w:r>
        <w:t>of course</w:t>
      </w:r>
      <w:r w:rsidR="006F304D" w:rsidRPr="006F304D">
        <w:t xml:space="preserve">, </w:t>
      </w:r>
      <w:r>
        <w:t>that author-centered and reader-centered methods are of little value. Even within the text-centered methods</w:t>
      </w:r>
      <w:r w:rsidR="006F304D" w:rsidRPr="006F304D">
        <w:t xml:space="preserve">, </w:t>
      </w:r>
      <w:r>
        <w:t>those which concentrate upon the implied reader’s response do not focus directly on a work’s structure.</w:t>
      </w:r>
      <w:r>
        <w:rPr>
          <w:vertAlign w:val="superscript"/>
        </w:rPr>
        <w:footnoteReference w:id="67"/>
      </w:r>
      <w:r>
        <w:t xml:space="preserve"> Our main interest</w:t>
      </w:r>
      <w:r w:rsidR="006F304D" w:rsidRPr="006F304D">
        <w:t xml:space="preserve">, </w:t>
      </w:r>
      <w:r>
        <w:t>then</w:t>
      </w:r>
      <w:r w:rsidR="006F304D" w:rsidRPr="006F304D">
        <w:t xml:space="preserve">, </w:t>
      </w:r>
      <w:r>
        <w:t>as we survey the influence of the concept of structure on recent literary criticism</w:t>
      </w:r>
      <w:r w:rsidR="006F304D" w:rsidRPr="006F304D">
        <w:t xml:space="preserve">, </w:t>
      </w:r>
      <w:r>
        <w:t>is the other schools of text-centered criticism: Russian formalism</w:t>
      </w:r>
      <w:r w:rsidR="006F304D" w:rsidRPr="006F304D">
        <w:t xml:space="preserve">, </w:t>
      </w:r>
      <w:r>
        <w:t>French structuralism</w:t>
      </w:r>
      <w:r w:rsidR="006F304D" w:rsidRPr="006F304D">
        <w:t xml:space="preserve">, </w:t>
      </w:r>
      <w:r>
        <w:t>New Criticism</w:t>
      </w:r>
      <w:r w:rsidR="006F304D" w:rsidRPr="006F304D">
        <w:t xml:space="preserve">, </w:t>
      </w:r>
      <w:r>
        <w:t>the Chicago school</w:t>
      </w:r>
      <w:r w:rsidR="006F304D" w:rsidRPr="006F304D">
        <w:t xml:space="preserve">, </w:t>
      </w:r>
      <w:r>
        <w:t>and deconstruction. Since the first of these was the formative method in this tradition</w:t>
      </w:r>
      <w:r w:rsidR="006F304D" w:rsidRPr="006F304D">
        <w:t xml:space="preserve">, </w:t>
      </w:r>
      <w:r>
        <w:t>and since French structuralism has been the most influential in biblical studies</w:t>
      </w:r>
      <w:r w:rsidR="006F304D" w:rsidRPr="006F304D">
        <w:t xml:space="preserve">, </w:t>
      </w:r>
      <w:r>
        <w:t>we will concentrate on these two; the others will be mentioned in passing.</w:t>
      </w:r>
    </w:p>
    <w:p w14:paraId="11A044C1" w14:textId="3278391E" w:rsidR="0018433B" w:rsidRDefault="0018433B" w:rsidP="0018433B">
      <w:pPr>
        <w:widowControl w:val="0"/>
      </w:pPr>
      <w:r>
        <w:tab/>
        <w:t>The first major school of literary criticism to proceed structurally was Russian formalism</w:t>
      </w:r>
      <w:r w:rsidR="006F304D" w:rsidRPr="006F304D">
        <w:t xml:space="preserve">, </w:t>
      </w:r>
      <w:r>
        <w:lastRenderedPageBreak/>
        <w:t>whose heyday was the period 1915-1930.</w:t>
      </w:r>
      <w:r>
        <w:rPr>
          <w:vertAlign w:val="superscript"/>
        </w:rPr>
        <w:footnoteReference w:id="68"/>
      </w:r>
      <w:r>
        <w:t xml:space="preserve"> “Form” appears in the designation “Russian formalists” because “Form</w:t>
      </w:r>
      <w:r w:rsidR="006F304D" w:rsidRPr="006F304D">
        <w:t xml:space="preserve">, </w:t>
      </w:r>
      <w:r>
        <w:t>for them</w:t>
      </w:r>
      <w:r w:rsidR="006F304D" w:rsidRPr="006F304D">
        <w:t xml:space="preserve">, </w:t>
      </w:r>
      <w:r>
        <w:t>covers all the aspects</w:t>
      </w:r>
      <w:r w:rsidR="006F304D" w:rsidRPr="006F304D">
        <w:t xml:space="preserve">, </w:t>
      </w:r>
      <w:r>
        <w:t>all the parts of the work</w:t>
      </w:r>
      <w:r w:rsidR="006F304D" w:rsidRPr="006F304D">
        <w:t xml:space="preserve">, </w:t>
      </w:r>
      <w:r>
        <w:t xml:space="preserve">but it only exists as the relationship of the elements among themselves </w:t>
      </w:r>
      <w:r w:rsidRPr="00C002BF">
        <w:t>. . .</w:t>
      </w:r>
      <w:r>
        <w:t>”</w:t>
      </w:r>
      <w:r>
        <w:rPr>
          <w:vertAlign w:val="superscript"/>
        </w:rPr>
        <w:footnoteReference w:id="69"/>
      </w:r>
      <w:r>
        <w:t xml:space="preserve"> According to Todorov</w:t>
      </w:r>
      <w:r w:rsidR="006F304D" w:rsidRPr="006F304D">
        <w:t xml:space="preserve">, </w:t>
      </w:r>
      <w:r>
        <w:t>the remote origin of Russian formalism was romanticism;</w:t>
      </w:r>
      <w:r>
        <w:rPr>
          <w:vertAlign w:val="superscript"/>
        </w:rPr>
        <w:footnoteReference w:id="70"/>
      </w:r>
      <w:r>
        <w:t xml:space="preserve"> its proximate cause was the decision to compare literary texts synchronically (</w:t>
      </w:r>
      <w:r w:rsidR="00775F9B" w:rsidRPr="00775F9B">
        <w:rPr>
          <w:iCs/>
        </w:rPr>
        <w:t>i.e.</w:t>
      </w:r>
      <w:r w:rsidR="006F304D" w:rsidRPr="006F304D">
        <w:t xml:space="preserve">, </w:t>
      </w:r>
      <w:proofErr w:type="spellStart"/>
      <w:r>
        <w:t>ahistorically</w:t>
      </w:r>
      <w:proofErr w:type="spellEnd"/>
      <w:r>
        <w:t>).</w:t>
      </w:r>
      <w:r>
        <w:rPr>
          <w:vertAlign w:val="superscript"/>
        </w:rPr>
        <w:footnoteReference w:id="71"/>
      </w:r>
      <w:r>
        <w:t xml:space="preserve"> The distinction between “synchronic” (atemporal) and “diachronic” (temporal) is found in many works of structural criticism,</w:t>
      </w:r>
      <w:r>
        <w:rPr>
          <w:vertAlign w:val="superscript"/>
        </w:rPr>
        <w:footnoteReference w:id="72"/>
      </w:r>
      <w:r>
        <w:t xml:space="preserve"> primarily because approaches to a text that seek to discover its “structure” tend to view the work spatially</w:t>
      </w:r>
      <w:r w:rsidR="006F304D" w:rsidRPr="006F304D">
        <w:t xml:space="preserve">, </w:t>
      </w:r>
      <w:r>
        <w:t>but also because the distinction reflects the opposition of “internal” critics to “external” approaches to a text.</w:t>
      </w:r>
      <w:r>
        <w:rPr>
          <w:vertAlign w:val="superscript"/>
        </w:rPr>
        <w:footnoteReference w:id="73"/>
      </w:r>
      <w:r>
        <w:t xml:space="preserve"> In fact</w:t>
      </w:r>
      <w:r w:rsidR="006F304D" w:rsidRPr="006F304D">
        <w:t xml:space="preserve">, </w:t>
      </w:r>
      <w:r>
        <w:t>this concentration on the text itself</w:t>
      </w:r>
      <w:r w:rsidR="006F304D" w:rsidRPr="006F304D">
        <w:t xml:space="preserve">, </w:t>
      </w:r>
      <w:r>
        <w:t>to the exclusion of all biographical</w:t>
      </w:r>
      <w:r w:rsidR="006F304D" w:rsidRPr="006F304D">
        <w:t xml:space="preserve">, </w:t>
      </w:r>
      <w:r>
        <w:t>historical</w:t>
      </w:r>
      <w:r w:rsidR="006F304D" w:rsidRPr="006F304D">
        <w:t xml:space="preserve">, </w:t>
      </w:r>
      <w:r>
        <w:t>and sociological influences on it</w:t>
      </w:r>
      <w:r w:rsidR="006F304D" w:rsidRPr="006F304D">
        <w:t xml:space="preserve">, </w:t>
      </w:r>
      <w:r>
        <w:t>has been said to be the unifying factor in Russian formalist studies.</w:t>
      </w:r>
    </w:p>
    <w:p w14:paraId="4C7A62A6" w14:textId="77777777" w:rsidR="0018433B" w:rsidRDefault="0018433B" w:rsidP="0018433B">
      <w:pPr>
        <w:widowControl w:val="0"/>
      </w:pPr>
    </w:p>
    <w:p w14:paraId="0E275F89" w14:textId="093B0B50" w:rsidR="0018433B" w:rsidRDefault="0018433B" w:rsidP="0018433B">
      <w:pPr>
        <w:widowControl w:val="0"/>
        <w:ind w:left="720" w:right="720"/>
      </w:pPr>
      <w:r>
        <w:t>The method</w:t>
      </w:r>
      <w:r w:rsidR="006F304D" w:rsidRPr="006F304D">
        <w:t xml:space="preserve">, </w:t>
      </w:r>
      <w:r>
        <w:t>far from being unified</w:t>
      </w:r>
      <w:r w:rsidR="006F304D" w:rsidRPr="006F304D">
        <w:t xml:space="preserve">, </w:t>
      </w:r>
      <w:r>
        <w:t xml:space="preserve">encompasses an ensemble of procedures and techniques which aid in the description of a literary work </w:t>
      </w:r>
      <w:r w:rsidRPr="00C002BF">
        <w:t>. . .</w:t>
      </w:r>
      <w:r>
        <w:t xml:space="preserve"> Of its [formalism’s] essence</w:t>
      </w:r>
      <w:r w:rsidR="006F304D" w:rsidRPr="006F304D">
        <w:t xml:space="preserve">, </w:t>
      </w:r>
      <w:r>
        <w:t>one must simply say that it is necessary</w:t>
      </w:r>
      <w:r w:rsidR="006F304D" w:rsidRPr="006F304D">
        <w:t xml:space="preserve">, </w:t>
      </w:r>
      <w:r>
        <w:t>before all else</w:t>
      </w:r>
      <w:r w:rsidR="006F304D" w:rsidRPr="006F304D">
        <w:t xml:space="preserve">, </w:t>
      </w:r>
      <w:r>
        <w:t>to consider the work itself</w:t>
      </w:r>
      <w:r w:rsidR="006F304D" w:rsidRPr="006F304D">
        <w:t xml:space="preserve">, </w:t>
      </w:r>
      <w:r>
        <w:t>the literary text</w:t>
      </w:r>
      <w:r w:rsidR="006F304D" w:rsidRPr="006F304D">
        <w:t xml:space="preserve">, </w:t>
      </w:r>
      <w:r>
        <w:t xml:space="preserve">as an immanent system </w:t>
      </w:r>
      <w:r w:rsidRPr="00C002BF">
        <w:t>. . .</w:t>
      </w:r>
      <w:r>
        <w:rPr>
          <w:vertAlign w:val="superscript"/>
        </w:rPr>
        <w:footnoteReference w:id="74"/>
      </w:r>
    </w:p>
    <w:p w14:paraId="1788CD75" w14:textId="77777777" w:rsidR="0018433B" w:rsidRDefault="0018433B" w:rsidP="0018433B">
      <w:pPr>
        <w:widowControl w:val="0"/>
      </w:pPr>
    </w:p>
    <w:p w14:paraId="763ECE4D" w14:textId="2AB69BA8" w:rsidR="0018433B" w:rsidRDefault="0018433B" w:rsidP="0018433B">
      <w:pPr>
        <w:widowControl w:val="0"/>
      </w:pPr>
      <w:r>
        <w:tab/>
        <w:t xml:space="preserve">One particularly influential example of Russian formalism is Vladimir Propp’s </w:t>
      </w:r>
      <w:r>
        <w:rPr>
          <w:i/>
        </w:rPr>
        <w:t>Morphology of the Folktale.</w:t>
      </w:r>
      <w:r>
        <w:rPr>
          <w:vertAlign w:val="superscript"/>
        </w:rPr>
        <w:footnoteReference w:id="75"/>
      </w:r>
      <w:r>
        <w:t xml:space="preserve"> Many years after the writing of this volume</w:t>
      </w:r>
      <w:r w:rsidR="006F304D" w:rsidRPr="006F304D">
        <w:t xml:space="preserve">, </w:t>
      </w:r>
      <w:r>
        <w:t>Propp described the original insight that led him to write it.</w:t>
      </w:r>
    </w:p>
    <w:p w14:paraId="627D6724" w14:textId="77777777" w:rsidR="0018433B" w:rsidRDefault="0018433B" w:rsidP="0018433B">
      <w:pPr>
        <w:widowControl w:val="0"/>
      </w:pPr>
    </w:p>
    <w:p w14:paraId="7FEAC3FD" w14:textId="6C05C895" w:rsidR="0018433B" w:rsidRDefault="0018433B" w:rsidP="0018433B">
      <w:pPr>
        <w:widowControl w:val="0"/>
        <w:ind w:left="720" w:right="720"/>
      </w:pPr>
      <w:r>
        <w:t xml:space="preserve">In a series of </w:t>
      </w:r>
      <w:proofErr w:type="spellStart"/>
      <w:r>
        <w:t>wondertales</w:t>
      </w:r>
      <w:proofErr w:type="spellEnd"/>
      <w:r>
        <w:t xml:space="preserve"> about the persecuted stepdaughter I noted an interesting fact: [several were] the same tale! </w:t>
      </w:r>
      <w:proofErr w:type="spellStart"/>
      <w:r>
        <w:t>Morozko</w:t>
      </w:r>
      <w:proofErr w:type="spellEnd"/>
      <w:r>
        <w:t xml:space="preserve"> [frost personified]</w:t>
      </w:r>
      <w:r w:rsidR="006F304D" w:rsidRPr="006F304D">
        <w:t xml:space="preserve">, </w:t>
      </w:r>
      <w:r>
        <w:t xml:space="preserve">the </w:t>
      </w:r>
      <w:proofErr w:type="spellStart"/>
      <w:r>
        <w:t>lesij</w:t>
      </w:r>
      <w:proofErr w:type="spellEnd"/>
      <w:r>
        <w:t xml:space="preserve"> [a wood goblin]</w:t>
      </w:r>
      <w:r w:rsidR="006F304D" w:rsidRPr="006F304D">
        <w:t xml:space="preserve">, </w:t>
      </w:r>
      <w:r>
        <w:t>and the bear test the stepdaughter and reward her each in his own way</w:t>
      </w:r>
      <w:r w:rsidR="006F304D" w:rsidRPr="006F304D">
        <w:t xml:space="preserve">, </w:t>
      </w:r>
      <w:r>
        <w:t xml:space="preserve">but the plot does not change. Was it possible that no one should ever have noticed this before? Why did </w:t>
      </w:r>
      <w:proofErr w:type="spellStart"/>
      <w:r>
        <w:t>Afanas’ev</w:t>
      </w:r>
      <w:proofErr w:type="spellEnd"/>
      <w:r>
        <w:t xml:space="preserve"> [compiler of the three-volume </w:t>
      </w:r>
      <w:r>
        <w:rPr>
          <w:i/>
        </w:rPr>
        <w:t>Russian Folktales</w:t>
      </w:r>
      <w:r w:rsidR="006F304D" w:rsidRPr="006F304D">
        <w:t xml:space="preserve">, </w:t>
      </w:r>
      <w:r>
        <w:t xml:space="preserve">Propp’s source for these stories] and others think they were dealing with different tales? </w:t>
      </w:r>
      <w:r w:rsidRPr="00C002BF">
        <w:t>. . .</w:t>
      </w:r>
      <w:r>
        <w:t xml:space="preserve"> I devised a very simple method of analyzing </w:t>
      </w:r>
      <w:proofErr w:type="spellStart"/>
      <w:r>
        <w:t>wondertales</w:t>
      </w:r>
      <w:proofErr w:type="spellEnd"/>
      <w:r>
        <w:t xml:space="preserve"> in accordance with the characters’ actions—regardless of their concrete form [</w:t>
      </w:r>
      <w:r w:rsidR="00775F9B" w:rsidRPr="00775F9B">
        <w:rPr>
          <w:iCs/>
        </w:rPr>
        <w:t>i.e.</w:t>
      </w:r>
      <w:r w:rsidR="006F304D" w:rsidRPr="006F304D">
        <w:t xml:space="preserve">, </w:t>
      </w:r>
      <w:r>
        <w:t xml:space="preserve">regardless of whom the characters were]. To designate these actions I adopted the term “functions.” </w:t>
      </w:r>
      <w:r w:rsidRPr="00C002BF">
        <w:t>. . .</w:t>
      </w:r>
      <w:r>
        <w:t xml:space="preserve"> Function </w:t>
      </w:r>
      <w:r w:rsidRPr="00C002BF">
        <w:t>. . .</w:t>
      </w:r>
      <w:r>
        <w:t xml:space="preserve"> denotes the action of the character from the point of view of its significance for the progress of the narrative. If the hero jumps to the princess’ window on horseback</w:t>
      </w:r>
      <w:r w:rsidR="006F304D" w:rsidRPr="006F304D">
        <w:t xml:space="preserve">, </w:t>
      </w:r>
      <w:r>
        <w:t>we do not have the function of jumping on horseback (such a definition would be accurate only if we disregarded the advance of the narrative as a whole) but the function of performing a difficult task as part of courtship. Likewise</w:t>
      </w:r>
      <w:r w:rsidR="006F304D" w:rsidRPr="006F304D">
        <w:t xml:space="preserve">, </w:t>
      </w:r>
      <w:r>
        <w:t>if an eagle takes the hero to the country of the princess</w:t>
      </w:r>
      <w:r w:rsidR="006F304D" w:rsidRPr="006F304D">
        <w:t xml:space="preserve">, </w:t>
      </w:r>
      <w:r>
        <w:t>we do not have the function of flying on a bird but one of transfer to the place where the object of the search is located.</w:t>
      </w:r>
      <w:r>
        <w:rPr>
          <w:vertAlign w:val="superscript"/>
        </w:rPr>
        <w:footnoteReference w:id="76"/>
      </w:r>
    </w:p>
    <w:p w14:paraId="6C6DC109" w14:textId="77777777" w:rsidR="0018433B" w:rsidRDefault="0018433B" w:rsidP="0018433B">
      <w:pPr>
        <w:widowControl w:val="0"/>
      </w:pPr>
    </w:p>
    <w:p w14:paraId="4993677C" w14:textId="72BA3B08" w:rsidR="0018433B" w:rsidRDefault="0018433B" w:rsidP="0018433B">
      <w:pPr>
        <w:widowControl w:val="0"/>
      </w:pPr>
      <w:r>
        <w:tab/>
        <w:t>In the hundred tales he examined</w:t>
      </w:r>
      <w:r w:rsidR="006F304D" w:rsidRPr="006F304D">
        <w:t xml:space="preserve">, </w:t>
      </w:r>
      <w:r>
        <w:t xml:space="preserve">Propp found 31 functions and 7 characters; no tale </w:t>
      </w:r>
      <w:r>
        <w:lastRenderedPageBreak/>
        <w:t>contained all 31 functions</w:t>
      </w:r>
      <w:r w:rsidR="006F304D" w:rsidRPr="006F304D">
        <w:t xml:space="preserve">, </w:t>
      </w:r>
      <w:r>
        <w:t>but those which a tale does contain usually occur in the same order.</w:t>
      </w:r>
      <w:r>
        <w:rPr>
          <w:vertAlign w:val="superscript"/>
        </w:rPr>
        <w:footnoteReference w:id="77"/>
      </w:r>
      <w:r>
        <w:t xml:space="preserve"> Here are some examples</w:t>
      </w:r>
      <w:r w:rsidR="006F304D" w:rsidRPr="006F304D">
        <w:t xml:space="preserve">, </w:t>
      </w:r>
      <w:r>
        <w:t>chosen at random</w:t>
      </w:r>
      <w:r w:rsidR="006F304D" w:rsidRPr="006F304D">
        <w:t xml:space="preserve">, </w:t>
      </w:r>
      <w:r>
        <w:t>of the sorts of function Propp discovered: (8) villainy (the villain harms a family member); (11) departure (the hero leaves home); (14) a magical agent (its provision or reception); (16) struggle (combat between the hero and the villain); (30) punishment (of the villain); (31) wedding (the hero receives a bride and a kingdom).</w:t>
      </w:r>
      <w:r>
        <w:rPr>
          <w:vertAlign w:val="superscript"/>
        </w:rPr>
        <w:footnoteReference w:id="78"/>
      </w:r>
    </w:p>
    <w:p w14:paraId="36F5EB92" w14:textId="4137E5B5" w:rsidR="0018433B" w:rsidRDefault="0018433B" w:rsidP="0018433B">
      <w:pPr>
        <w:widowControl w:val="0"/>
      </w:pPr>
      <w:r>
        <w:tab/>
        <w:t>Because it analyzes folktales rather than more literary texts</w:t>
      </w:r>
      <w:r w:rsidR="006F304D" w:rsidRPr="006F304D">
        <w:t xml:space="preserve">, </w:t>
      </w:r>
      <w:r>
        <w:rPr>
          <w:i/>
        </w:rPr>
        <w:t>Morphology</w:t>
      </w:r>
      <w:r>
        <w:t xml:space="preserve"> has had as significant an impact on the discipline of folklore studies (“folkloristics”)</w:t>
      </w:r>
      <w:r>
        <w:rPr>
          <w:vertAlign w:val="superscript"/>
        </w:rPr>
        <w:footnoteReference w:id="79"/>
      </w:r>
      <w:r>
        <w:t xml:space="preserve"> as on literary criticism</w:t>
      </w:r>
      <w:r w:rsidR="006F304D" w:rsidRPr="006F304D">
        <w:t xml:space="preserve">, </w:t>
      </w:r>
      <w:r>
        <w:t xml:space="preserve">though that impact was delayed. </w:t>
      </w:r>
      <w:r>
        <w:rPr>
          <w:i/>
        </w:rPr>
        <w:t>Morphology</w:t>
      </w:r>
      <w:r>
        <w:t xml:space="preserve"> appeared as the formalist epoch was ending,</w:t>
      </w:r>
      <w:r>
        <w:rPr>
          <w:vertAlign w:val="superscript"/>
        </w:rPr>
        <w:footnoteReference w:id="80"/>
      </w:r>
      <w:r>
        <w:t xml:space="preserve"> and as a result the book caused barely a ripple</w:t>
      </w:r>
      <w:r w:rsidR="006F304D" w:rsidRPr="006F304D">
        <w:t xml:space="preserve">, </w:t>
      </w:r>
      <w:r>
        <w:t>within or without Russia</w:t>
      </w:r>
      <w:r w:rsidR="006F304D" w:rsidRPr="006F304D">
        <w:t xml:space="preserve">, </w:t>
      </w:r>
      <w:r>
        <w:t>until Roman Jakobson prompted its translation into English in 1958.</w:t>
      </w:r>
      <w:r>
        <w:rPr>
          <w:vertAlign w:val="superscript"/>
        </w:rPr>
        <w:footnoteReference w:id="81"/>
      </w:r>
      <w:r>
        <w:t xml:space="preserve"> Sudden international attention focused on the volume when in the early 1960s reviews of it appeared</w:t>
      </w:r>
      <w:r w:rsidR="006F304D" w:rsidRPr="006F304D">
        <w:t xml:space="preserve">, </w:t>
      </w:r>
      <w:r>
        <w:t>in France by Lévi-Strauss</w:t>
      </w:r>
      <w:r>
        <w:rPr>
          <w:vertAlign w:val="superscript"/>
        </w:rPr>
        <w:footnoteReference w:id="82"/>
      </w:r>
      <w:r>
        <w:t xml:space="preserve"> and in America by Alan Dundes.</w:t>
      </w:r>
      <w:r>
        <w:rPr>
          <w:vertAlign w:val="superscript"/>
        </w:rPr>
        <w:footnoteReference w:id="83"/>
      </w:r>
      <w:r>
        <w:t xml:space="preserve"> Since then folkloristics has made a decidedly structural turn (witness</w:t>
      </w:r>
      <w:r w:rsidR="006F304D" w:rsidRPr="006F304D">
        <w:t xml:space="preserve">, </w:t>
      </w:r>
      <w:r>
        <w:t>for example</w:t>
      </w:r>
      <w:r w:rsidR="006F304D" w:rsidRPr="006F304D">
        <w:t xml:space="preserve">, </w:t>
      </w:r>
      <w:proofErr w:type="spellStart"/>
      <w:r>
        <w:t>Dundes</w:t>
      </w:r>
      <w:proofErr w:type="spellEnd"/>
      <w:r>
        <w:t xml:space="preserve">’ </w:t>
      </w:r>
      <w:r>
        <w:rPr>
          <w:i/>
        </w:rPr>
        <w:t>The Morphology of North American Indian Folktales</w:t>
      </w:r>
      <w:r w:rsidR="006F304D" w:rsidRPr="006F304D">
        <w:t xml:space="preserve">, </w:t>
      </w:r>
      <w:r>
        <w:t>whose very title pays homage to Propp).</w:t>
      </w:r>
    </w:p>
    <w:p w14:paraId="135B0C9E" w14:textId="1EFE7E0D" w:rsidR="0018433B" w:rsidRDefault="0018433B" w:rsidP="0018433B">
      <w:pPr>
        <w:widowControl w:val="0"/>
      </w:pPr>
      <w:r>
        <w:tab/>
        <w:t>A second major structural tradition in recent literary criticism is French structuralism. The influence of structural linguistics on the anthropological inquiries of Claude Lévi-Strauss has already been noted; Lévi-Strauss believes that a number of “language” systems (kinship</w:t>
      </w:r>
      <w:r w:rsidR="006F304D" w:rsidRPr="006F304D">
        <w:t xml:space="preserve">, </w:t>
      </w:r>
      <w:r>
        <w:t>etiquette</w:t>
      </w:r>
      <w:r w:rsidR="006F304D" w:rsidRPr="006F304D">
        <w:t xml:space="preserve">, </w:t>
      </w:r>
      <w:r>
        <w:t>cooking</w:t>
      </w:r>
      <w:r w:rsidR="006F304D" w:rsidRPr="006F304D">
        <w:t xml:space="preserve">, </w:t>
      </w:r>
      <w:r>
        <w:t>etc.) are susceptible to structural analysis.</w:t>
      </w:r>
      <w:r>
        <w:rPr>
          <w:vertAlign w:val="superscript"/>
        </w:rPr>
        <w:footnoteReference w:id="84"/>
      </w:r>
      <w:r>
        <w:t xml:space="preserve"> Lévi-Strauss first began to analyze myths</w:t>
      </w:r>
      <w:r>
        <w:rPr>
          <w:vertAlign w:val="superscript"/>
        </w:rPr>
        <w:footnoteReference w:id="85"/>
      </w:r>
      <w:r>
        <w:t xml:space="preserve"> structurally around 1950.</w:t>
      </w:r>
      <w:r>
        <w:rPr>
          <w:vertAlign w:val="superscript"/>
        </w:rPr>
        <w:footnoteReference w:id="86"/>
      </w:r>
      <w:r>
        <w:t xml:space="preserve"> He did not know Propp’s work until </w:t>
      </w:r>
      <w:r>
        <w:rPr>
          <w:i/>
        </w:rPr>
        <w:t>Morphology’s</w:t>
      </w:r>
      <w:r>
        <w:t xml:space="preserve"> English translation </w:t>
      </w:r>
      <w:r>
        <w:lastRenderedPageBreak/>
        <w:t>(1958)</w:t>
      </w:r>
      <w:r w:rsidR="006F304D" w:rsidRPr="006F304D">
        <w:t xml:space="preserve">, </w:t>
      </w:r>
      <w:r>
        <w:t>but he had already been indirectly influenced by Russian formalism since 1940</w:t>
      </w:r>
      <w:r w:rsidR="006F304D" w:rsidRPr="006F304D">
        <w:t xml:space="preserve">, </w:t>
      </w:r>
      <w:r>
        <w:t>through the works of Roman Jakobson.</w:t>
      </w:r>
      <w:r>
        <w:rPr>
          <w:vertAlign w:val="superscript"/>
        </w:rPr>
        <w:footnoteReference w:id="87"/>
      </w:r>
      <w:r>
        <w:t xml:space="preserve"> Lévi-Strauss’ seminal article of 1955</w:t>
      </w:r>
      <w:r w:rsidR="006F304D" w:rsidRPr="006F304D">
        <w:t xml:space="preserve">, </w:t>
      </w:r>
      <w:r>
        <w:t>“The Structural Study of Myth,”</w:t>
      </w:r>
      <w:r>
        <w:rPr>
          <w:vertAlign w:val="superscript"/>
        </w:rPr>
        <w:footnoteReference w:id="88"/>
      </w:r>
      <w:r>
        <w:t xml:space="preserve"> and his four-volume </w:t>
      </w:r>
      <w:proofErr w:type="spellStart"/>
      <w:r>
        <w:rPr>
          <w:i/>
        </w:rPr>
        <w:t>Mythologiques</w:t>
      </w:r>
      <w:proofErr w:type="spellEnd"/>
      <w:r>
        <w:rPr>
          <w:vertAlign w:val="superscript"/>
        </w:rPr>
        <w:footnoteReference w:id="89"/>
      </w:r>
      <w:r>
        <w:t xml:space="preserve"> have been the primary impetus for the development of the movement known as structuralism.</w:t>
      </w:r>
      <w:r>
        <w:rPr>
          <w:vertAlign w:val="superscript"/>
        </w:rPr>
        <w:footnoteReference w:id="90"/>
      </w:r>
    </w:p>
    <w:p w14:paraId="26FFD54D" w14:textId="5C00773A" w:rsidR="0018433B" w:rsidRDefault="0018433B" w:rsidP="0018433B">
      <w:pPr>
        <w:widowControl w:val="0"/>
      </w:pPr>
      <w:r>
        <w:tab/>
        <w:t>Like all structural analyses of literature</w:t>
      </w:r>
      <w:r w:rsidR="006F304D" w:rsidRPr="006F304D">
        <w:t xml:space="preserve">, </w:t>
      </w:r>
      <w:r>
        <w:t>Lévi-Strauss’ analyses of myths seek to discover the structure of elements of the text itself.</w:t>
      </w:r>
    </w:p>
    <w:p w14:paraId="3FA6C4E3" w14:textId="77777777" w:rsidR="0018433B" w:rsidRDefault="0018433B" w:rsidP="0018433B">
      <w:pPr>
        <w:widowControl w:val="0"/>
      </w:pPr>
    </w:p>
    <w:p w14:paraId="7BDC111A" w14:textId="34467332" w:rsidR="0018433B" w:rsidRDefault="0018433B" w:rsidP="0018433B">
      <w:pPr>
        <w:widowControl w:val="0"/>
        <w:ind w:left="720" w:right="720"/>
      </w:pPr>
      <w:r>
        <w:t>Myth</w:t>
      </w:r>
      <w:r w:rsidR="006F304D" w:rsidRPr="006F304D">
        <w:t xml:space="preserve">, </w:t>
      </w:r>
      <w:r>
        <w:t>like the rest of language</w:t>
      </w:r>
      <w:r w:rsidR="006F304D" w:rsidRPr="006F304D">
        <w:t xml:space="preserve">, </w:t>
      </w:r>
      <w:r>
        <w:t xml:space="preserve">is made up of constituent units </w:t>
      </w:r>
      <w:r w:rsidRPr="00C002BF">
        <w:t>. . .</w:t>
      </w:r>
      <w:r>
        <w:t xml:space="preserve"> These constituent units presuppose the constituent units present in language when analyzed on other levels—namely</w:t>
      </w:r>
      <w:r w:rsidR="006F304D" w:rsidRPr="006F304D">
        <w:t xml:space="preserve">, </w:t>
      </w:r>
      <w:r>
        <w:t>phonemes</w:t>
      </w:r>
      <w:r w:rsidR="006F304D" w:rsidRPr="006F304D">
        <w:t xml:space="preserve">, </w:t>
      </w:r>
      <w:r>
        <w:t>morphemes</w:t>
      </w:r>
      <w:r w:rsidR="006F304D" w:rsidRPr="006F304D">
        <w:t xml:space="preserve">, </w:t>
      </w:r>
      <w:r>
        <w:t>and sememes—but they</w:t>
      </w:r>
      <w:r w:rsidR="006F304D" w:rsidRPr="006F304D">
        <w:t xml:space="preserve">, </w:t>
      </w:r>
      <w:r>
        <w:t>nevertheless</w:t>
      </w:r>
      <w:r w:rsidR="006F304D" w:rsidRPr="006F304D">
        <w:t xml:space="preserve">, </w:t>
      </w:r>
      <w:r>
        <w:t>differ from the latter in the same way as the latter differ among themselves; they belong to a higher and more complex order.</w:t>
      </w:r>
      <w:r>
        <w:rPr>
          <w:vertAlign w:val="superscript"/>
        </w:rPr>
        <w:footnoteReference w:id="91"/>
      </w:r>
    </w:p>
    <w:p w14:paraId="44890E14" w14:textId="77777777" w:rsidR="0018433B" w:rsidRDefault="0018433B" w:rsidP="0018433B">
      <w:pPr>
        <w:widowControl w:val="0"/>
      </w:pPr>
    </w:p>
    <w:p w14:paraId="58EDE404" w14:textId="7EC4E6CC" w:rsidR="0018433B" w:rsidRDefault="0018433B" w:rsidP="0018433B">
      <w:pPr>
        <w:widowControl w:val="0"/>
      </w:pPr>
      <w:r>
        <w:t>What is the nature of these “constituent units” at the level of a myth as a whole?</w:t>
      </w:r>
      <w:r>
        <w:rPr>
          <w:vertAlign w:val="superscript"/>
        </w:rPr>
        <w:footnoteReference w:id="92"/>
      </w:r>
      <w:r>
        <w:t xml:space="preserve"> Initially Lévi-Strauss says that they can be captured by an analyst in brief</w:t>
      </w:r>
      <w:r w:rsidR="006F304D" w:rsidRPr="006F304D">
        <w:t xml:space="preserve">, </w:t>
      </w:r>
      <w:r>
        <w:t>summarizing sentences,</w:t>
      </w:r>
      <w:r>
        <w:rPr>
          <w:vertAlign w:val="superscript"/>
        </w:rPr>
        <w:footnoteReference w:id="93"/>
      </w:r>
      <w:r>
        <w:t xml:space="preserve"> which </w:t>
      </w:r>
      <w:r>
        <w:lastRenderedPageBreak/>
        <w:t>suggests that</w:t>
      </w:r>
      <w:r w:rsidR="006F304D" w:rsidRPr="006F304D">
        <w:t xml:space="preserve">, </w:t>
      </w:r>
      <w:r>
        <w:t>as for Propp</w:t>
      </w:r>
      <w:r w:rsidR="006F304D" w:rsidRPr="006F304D">
        <w:t xml:space="preserve">, </w:t>
      </w:r>
      <w:r>
        <w:t>they are events in the narrative. But Lévi-Strauss’ examples show that he more often considers a narrative’s elements to be characters or objects. At any rate</w:t>
      </w:r>
      <w:r w:rsidR="006F304D" w:rsidRPr="006F304D">
        <w:t xml:space="preserve">, </w:t>
      </w:r>
      <w:r>
        <w:t xml:space="preserve">Lévi-Strauss has no doubts concerning the nature of the </w:t>
      </w:r>
      <w:r>
        <w:rPr>
          <w:i/>
        </w:rPr>
        <w:t>relationships</w:t>
      </w:r>
      <w:r>
        <w:t xml:space="preserve"> among the elements: “mythical thought always progresses from the awareness of oppositions toward their resolutions </w:t>
      </w:r>
      <w:r w:rsidRPr="00C002BF">
        <w:t>. . .</w:t>
      </w:r>
      <w:r>
        <w:t>”</w:t>
      </w:r>
      <w:r>
        <w:rPr>
          <w:vertAlign w:val="superscript"/>
        </w:rPr>
        <w:footnoteReference w:id="94"/>
      </w:r>
      <w:r>
        <w:t xml:space="preserve"> Though he mentions “mythical” thought in this quotation (and myth is indeed the sort of narrative with which he usually deals)</w:t>
      </w:r>
      <w:r w:rsidR="006F304D" w:rsidRPr="006F304D">
        <w:t xml:space="preserve">, </w:t>
      </w:r>
      <w:r>
        <w:t>he extends the application of the concept of opposition to folktales as well: “tales are constructed on weaker oppositions than those found in myths. The latter [</w:t>
      </w:r>
      <w:r w:rsidR="00775F9B" w:rsidRPr="00775F9B">
        <w:rPr>
          <w:iCs/>
        </w:rPr>
        <w:t>i.e.</w:t>
      </w:r>
      <w:r w:rsidR="006F304D" w:rsidRPr="006F304D">
        <w:t xml:space="preserve">, </w:t>
      </w:r>
      <w:r>
        <w:t>tales] are not cosmological</w:t>
      </w:r>
      <w:r w:rsidR="006F304D" w:rsidRPr="006F304D">
        <w:t xml:space="preserve">, </w:t>
      </w:r>
      <w:r>
        <w:t>metaphysical</w:t>
      </w:r>
      <w:r w:rsidR="006F304D" w:rsidRPr="006F304D">
        <w:t xml:space="preserve">, </w:t>
      </w:r>
      <w:r>
        <w:t>or natural</w:t>
      </w:r>
      <w:r w:rsidR="006F304D" w:rsidRPr="006F304D">
        <w:t xml:space="preserve">, </w:t>
      </w:r>
      <w:r>
        <w:t>but</w:t>
      </w:r>
      <w:r w:rsidR="006F304D" w:rsidRPr="006F304D">
        <w:t xml:space="preserve">, </w:t>
      </w:r>
      <w:r>
        <w:t>more frequently</w:t>
      </w:r>
      <w:r w:rsidR="006F304D" w:rsidRPr="006F304D">
        <w:t xml:space="preserve">, </w:t>
      </w:r>
      <w:r>
        <w:t>local</w:t>
      </w:r>
      <w:r w:rsidR="006F304D" w:rsidRPr="006F304D">
        <w:t xml:space="preserve">, </w:t>
      </w:r>
      <w:r>
        <w:t>social</w:t>
      </w:r>
      <w:r w:rsidR="006F304D" w:rsidRPr="006F304D">
        <w:t xml:space="preserve">, </w:t>
      </w:r>
      <w:r>
        <w:t>and moral.”</w:t>
      </w:r>
      <w:r>
        <w:rPr>
          <w:vertAlign w:val="superscript"/>
        </w:rPr>
        <w:footnoteReference w:id="95"/>
      </w:r>
      <w:r>
        <w:t xml:space="preserve"> Since he sees other forms of narrative</w:t>
      </w:r>
      <w:r w:rsidR="006F304D" w:rsidRPr="006F304D">
        <w:t xml:space="preserve">, </w:t>
      </w:r>
      <w:r>
        <w:t>in addition to myth</w:t>
      </w:r>
      <w:r w:rsidR="006F304D" w:rsidRPr="006F304D">
        <w:t xml:space="preserve">, </w:t>
      </w:r>
      <w:r>
        <w:t>as reducible to sets of oppositions</w:t>
      </w:r>
      <w:r w:rsidR="006F304D" w:rsidRPr="006F304D">
        <w:t xml:space="preserve">, </w:t>
      </w:r>
      <w:r>
        <w:t>apparently he sees the attempt to resolve oppositions as the essential nature of all narrative. This</w:t>
      </w:r>
      <w:r w:rsidR="006F304D" w:rsidRPr="006F304D">
        <w:t xml:space="preserve">, </w:t>
      </w:r>
      <w:r>
        <w:t>at least</w:t>
      </w:r>
      <w:r w:rsidR="006F304D" w:rsidRPr="006F304D">
        <w:t xml:space="preserve">, </w:t>
      </w:r>
      <w:r>
        <w:t>is the conclusion which structuralism as a school has drawn.</w:t>
      </w:r>
    </w:p>
    <w:p w14:paraId="3951439F" w14:textId="7D5E94E1" w:rsidR="0018433B" w:rsidRDefault="0018433B" w:rsidP="0018433B">
      <w:pPr>
        <w:widowControl w:val="0"/>
      </w:pPr>
      <w:r>
        <w:tab/>
        <w:t>Lévi-Strauss is not interested in abstracting from all narratives within a given genre a common sequence of actions (Propp’s “functions”); rather</w:t>
      </w:r>
      <w:r w:rsidR="006F304D" w:rsidRPr="006F304D">
        <w:t xml:space="preserve">, </w:t>
      </w:r>
      <w:r>
        <w:t>he is interested in inferring from a narrative its oppositions. Oppositions are first of all the relations between a narrative’s elements (characters or objects); but more importantly</w:t>
      </w:r>
      <w:r w:rsidR="006F304D" w:rsidRPr="006F304D">
        <w:t xml:space="preserve">, </w:t>
      </w:r>
      <w:r>
        <w:t>a narrative’s characters or objects</w:t>
      </w:r>
      <w:r w:rsidR="006F304D" w:rsidRPr="006F304D">
        <w:t xml:space="preserve">, </w:t>
      </w:r>
      <w:r>
        <w:t>in Lévi-Strauss’ belief</w:t>
      </w:r>
      <w:r w:rsidR="006F304D" w:rsidRPr="006F304D">
        <w:t xml:space="preserve">, </w:t>
      </w:r>
      <w:r>
        <w:t xml:space="preserve">really stand for </w:t>
      </w:r>
      <w:r>
        <w:rPr>
          <w:i/>
        </w:rPr>
        <w:t>ideas:</w:t>
      </w:r>
      <w:r>
        <w:t xml:space="preserve"> it is opposed ideas to which Lévi-Strauss reduces a narrative.</w:t>
      </w:r>
      <w:r>
        <w:rPr>
          <w:vertAlign w:val="superscript"/>
        </w:rPr>
        <w:footnoteReference w:id="96"/>
      </w:r>
    </w:p>
    <w:p w14:paraId="7D9C0040" w14:textId="078F8923" w:rsidR="0018433B" w:rsidRDefault="0018433B" w:rsidP="0018433B">
      <w:pPr>
        <w:widowControl w:val="0"/>
      </w:pPr>
      <w:r>
        <w:tab/>
        <w:t>What Lévi-Strauss seeks in analyzing a narrative</w:t>
      </w:r>
      <w:r w:rsidR="006F304D" w:rsidRPr="006F304D">
        <w:t xml:space="preserve">, </w:t>
      </w:r>
      <w:r>
        <w:t>then</w:t>
      </w:r>
      <w:r w:rsidR="006F304D" w:rsidRPr="006F304D">
        <w:t xml:space="preserve">, </w:t>
      </w:r>
      <w:r>
        <w:t>is one or more pairs of opposing ideas</w:t>
      </w:r>
      <w:r w:rsidR="006F304D" w:rsidRPr="006F304D">
        <w:t xml:space="preserve">, </w:t>
      </w:r>
      <w:r>
        <w:t>which the narrative represents</w:t>
      </w:r>
      <w:r w:rsidR="006F304D" w:rsidRPr="006F304D">
        <w:t xml:space="preserve">, </w:t>
      </w:r>
      <w:r>
        <w:t>almost in an allegorical fashion. Here is an example</w:t>
      </w:r>
      <w:r w:rsidR="006F304D" w:rsidRPr="006F304D">
        <w:t xml:space="preserve">, </w:t>
      </w:r>
      <w:r>
        <w:t>both of what he means by “opposition” and of his typical manner of proceeding.</w:t>
      </w:r>
    </w:p>
    <w:p w14:paraId="64C2A11E" w14:textId="77777777" w:rsidR="0018433B" w:rsidRDefault="0018433B" w:rsidP="0018433B">
      <w:pPr>
        <w:widowControl w:val="0"/>
      </w:pPr>
    </w:p>
    <w:p w14:paraId="19ABDE22" w14:textId="078E116D" w:rsidR="0018433B" w:rsidRDefault="0018433B" w:rsidP="0018433B">
      <w:pPr>
        <w:widowControl w:val="0"/>
        <w:ind w:left="720" w:right="720"/>
      </w:pPr>
      <w:r>
        <w:t>In the myths and tales of the Indians of North and South America</w:t>
      </w:r>
      <w:r w:rsidR="006F304D" w:rsidRPr="006F304D">
        <w:t xml:space="preserve">, </w:t>
      </w:r>
      <w:r>
        <w:t>the same actions are attributed—depending on the tales—to different animals. To simplify</w:t>
      </w:r>
      <w:r w:rsidR="006F304D" w:rsidRPr="006F304D">
        <w:t xml:space="preserve">, </w:t>
      </w:r>
      <w:r>
        <w:t>let us consider birds: eagle</w:t>
      </w:r>
      <w:r w:rsidR="006F304D" w:rsidRPr="006F304D">
        <w:t xml:space="preserve">, </w:t>
      </w:r>
      <w:r>
        <w:t>owl</w:t>
      </w:r>
      <w:r w:rsidR="006F304D" w:rsidRPr="006F304D">
        <w:t xml:space="preserve">, </w:t>
      </w:r>
      <w:r>
        <w:t>raven</w:t>
      </w:r>
      <w:r w:rsidRPr="00C002BF">
        <w:t>. . . .</w:t>
      </w:r>
      <w:r>
        <w:t xml:space="preserve"> That the eagle appears by day and that the owl appears by night in the same function </w:t>
      </w:r>
      <w:r w:rsidRPr="00C002BF">
        <w:t>. . .</w:t>
      </w:r>
      <w:r>
        <w:t xml:space="preserve"> signifies that the pertinent opposition is that of day and night</w:t>
      </w:r>
      <w:r w:rsidRPr="00C002BF">
        <w:t>. . . .</w:t>
      </w:r>
      <w:r>
        <w:t xml:space="preserve"> It is then to be noticed that the eagle and the owl together are put in opposition to the raven</w:t>
      </w:r>
      <w:r w:rsidR="006F304D" w:rsidRPr="006F304D">
        <w:t xml:space="preserve">, </w:t>
      </w:r>
      <w:r>
        <w:t xml:space="preserve">as predators to scavenger </w:t>
      </w:r>
      <w:r w:rsidRPr="00C002BF">
        <w:t>. . .</w:t>
      </w:r>
      <w:r>
        <w:t>; and that the duck is in opposition to all three at the new level of pairs sky-land and sky-water.</w:t>
      </w:r>
      <w:r>
        <w:rPr>
          <w:vertAlign w:val="superscript"/>
        </w:rPr>
        <w:footnoteReference w:id="97"/>
      </w:r>
    </w:p>
    <w:p w14:paraId="717576D8" w14:textId="77777777" w:rsidR="0018433B" w:rsidRDefault="0018433B" w:rsidP="0018433B">
      <w:pPr>
        <w:widowControl w:val="0"/>
      </w:pPr>
    </w:p>
    <w:p w14:paraId="425D3B06" w14:textId="18374F84" w:rsidR="0018433B" w:rsidRDefault="0018433B" w:rsidP="0018433B">
      <w:pPr>
        <w:widowControl w:val="0"/>
      </w:pPr>
      <w:r>
        <w:t>Here Lévi-Strauss makes inferences</w:t>
      </w:r>
      <w:r w:rsidR="006F304D" w:rsidRPr="006F304D">
        <w:t xml:space="preserve">, </w:t>
      </w:r>
      <w:r>
        <w:t xml:space="preserve">moving from allegorical surface (the four birds) to allegorical </w:t>
      </w:r>
      <w:r>
        <w:lastRenderedPageBreak/>
        <w:t>depth (day versus night</w:t>
      </w:r>
      <w:r w:rsidR="006F304D" w:rsidRPr="006F304D">
        <w:t xml:space="preserve">, </w:t>
      </w:r>
      <w:r>
        <w:t>predators versus scavengers</w:t>
      </w:r>
      <w:r w:rsidR="006F304D" w:rsidRPr="006F304D">
        <w:t xml:space="preserve">, </w:t>
      </w:r>
      <w:r>
        <w:t>sky-land versus sky-water).</w:t>
      </w:r>
    </w:p>
    <w:p w14:paraId="0DAE2714" w14:textId="71E5900C" w:rsidR="0018433B" w:rsidRDefault="0018433B" w:rsidP="0018433B">
      <w:pPr>
        <w:widowControl w:val="0"/>
      </w:pPr>
      <w:r>
        <w:tab/>
        <w:t>Lévi-Strauss ordinarily likes to display his oppositions in matrices</w:t>
      </w:r>
      <w:r w:rsidR="006F304D" w:rsidRPr="006F304D">
        <w:t xml:space="preserve">, </w:t>
      </w:r>
      <w:r w:rsidR="00775F9B" w:rsidRPr="00775F9B">
        <w:rPr>
          <w:iCs/>
        </w:rPr>
        <w:t>i.e.</w:t>
      </w:r>
      <w:r w:rsidR="006F304D" w:rsidRPr="006F304D">
        <w:t xml:space="preserve">, </w:t>
      </w:r>
      <w:r>
        <w:t>rows and columns.</w:t>
      </w:r>
      <w:r>
        <w:rPr>
          <w:vertAlign w:val="superscript"/>
        </w:rPr>
        <w:footnoteReference w:id="98"/>
      </w:r>
      <w:r>
        <w:t xml:space="preserve"> If one reads the rows of the matrix</w:t>
      </w:r>
      <w:r w:rsidR="006F304D" w:rsidRPr="006F304D">
        <w:t xml:space="preserve">, </w:t>
      </w:r>
      <w:r>
        <w:t>one will read the narrative diachronically; if one reads the columns of the matrix</w:t>
      </w:r>
      <w:r w:rsidR="006F304D" w:rsidRPr="006F304D">
        <w:t xml:space="preserve">, </w:t>
      </w:r>
      <w:r>
        <w:t>one will read the narrative synchronically.</w:t>
      </w:r>
      <w:r>
        <w:rPr>
          <w:vertAlign w:val="superscript"/>
        </w:rPr>
        <w:footnoteReference w:id="99"/>
      </w:r>
    </w:p>
    <w:p w14:paraId="6D1DF232" w14:textId="77777777" w:rsidR="0018433B" w:rsidRDefault="0018433B" w:rsidP="0018433B">
      <w:pPr>
        <w:widowControl w:val="0"/>
      </w:pPr>
    </w:p>
    <w:p w14:paraId="30E15064" w14:textId="58316B39" w:rsidR="0018433B" w:rsidRDefault="0018433B" w:rsidP="0018433B">
      <w:pPr>
        <w:widowControl w:val="0"/>
        <w:ind w:left="720" w:right="720"/>
      </w:pPr>
      <w:r>
        <w:t xml:space="preserve">Propp’s study deals with plot progression [and thus is] distributional (or syntagmatic) </w:t>
      </w:r>
      <w:r w:rsidRPr="00C002BF">
        <w:t>. . .</w:t>
      </w:r>
      <w:r>
        <w:t xml:space="preserve"> In Lévi-</w:t>
      </w:r>
      <w:proofErr w:type="spellStart"/>
      <w:r>
        <w:t>Straussian</w:t>
      </w:r>
      <w:proofErr w:type="spellEnd"/>
      <w:r>
        <w:t xml:space="preserve"> terms</w:t>
      </w:r>
      <w:r w:rsidR="006F304D" w:rsidRPr="006F304D">
        <w:t xml:space="preserve">, </w:t>
      </w:r>
      <w:r>
        <w:t>understanding a narrative is not just a matter of a “horizontal” (syntagmatic) reading</w:t>
      </w:r>
      <w:r w:rsidR="006F304D" w:rsidRPr="006F304D">
        <w:t xml:space="preserve">, </w:t>
      </w:r>
      <w:r>
        <w:t>but a “vertical” (paradigmatic) one as well</w:t>
      </w:r>
      <w:r w:rsidRPr="00C002BF">
        <w:t>. . . .</w:t>
      </w:r>
      <w:r>
        <w:t xml:space="preserve"> a vertical reading is a matter of seeing similarities or affinities between narrative elements</w:t>
      </w:r>
      <w:r w:rsidR="006F304D" w:rsidRPr="006F304D">
        <w:t xml:space="preserve">, </w:t>
      </w:r>
      <w:r>
        <w:t>which may be widely separated on the syntagmatic axis</w:t>
      </w:r>
      <w:r w:rsidR="006F304D" w:rsidRPr="006F304D">
        <w:t xml:space="preserve">, </w:t>
      </w:r>
      <w:r>
        <w:t>and grouping them together.</w:t>
      </w:r>
      <w:r>
        <w:rPr>
          <w:vertAlign w:val="superscript"/>
        </w:rPr>
        <w:footnoteReference w:id="100"/>
      </w:r>
    </w:p>
    <w:p w14:paraId="4ED5D947" w14:textId="77777777" w:rsidR="0018433B" w:rsidRDefault="0018433B" w:rsidP="0018433B">
      <w:pPr>
        <w:widowControl w:val="0"/>
      </w:pPr>
    </w:p>
    <w:p w14:paraId="7CFD6789" w14:textId="2CA8AC82" w:rsidR="0018433B" w:rsidRDefault="0018433B" w:rsidP="0018433B">
      <w:pPr>
        <w:widowControl w:val="0"/>
      </w:pPr>
      <w:r>
        <w:tab/>
        <w:t>Structuralism in France continues as a viable movement. Though its more recent representatives—Claude Bremond</w:t>
      </w:r>
      <w:r w:rsidR="006F304D" w:rsidRPr="006F304D">
        <w:t xml:space="preserve">, </w:t>
      </w:r>
      <w:r>
        <w:t>Roland Barthes</w:t>
      </w:r>
      <w:r w:rsidR="006F304D" w:rsidRPr="006F304D">
        <w:t xml:space="preserve">, </w:t>
      </w:r>
      <w:r w:rsidR="00B40CBB" w:rsidRPr="00B40CBB">
        <w:rPr>
          <w:iCs/>
        </w:rPr>
        <w:t>A.J.</w:t>
      </w:r>
      <w:r>
        <w:t xml:space="preserve"> </w:t>
      </w:r>
      <w:proofErr w:type="spellStart"/>
      <w:r>
        <w:t>Greimas</w:t>
      </w:r>
      <w:proofErr w:type="spellEnd"/>
      <w:r w:rsidR="006F304D" w:rsidRPr="006F304D">
        <w:t xml:space="preserve">, </w:t>
      </w:r>
      <w:r>
        <w:t>Tzvetan Todorov</w:t>
      </w:r>
      <w:r w:rsidR="006F304D" w:rsidRPr="006F304D">
        <w:t xml:space="preserve">, </w:t>
      </w:r>
      <w:r>
        <w:t>and J. Kristeva</w:t>
      </w:r>
      <w:r w:rsidR="006F304D" w:rsidRPr="006F304D">
        <w:t xml:space="preserve">, </w:t>
      </w:r>
      <w:r>
        <w:t>among others—have refined facets of the method (</w:t>
      </w:r>
      <w:r w:rsidR="00775F9B" w:rsidRPr="00775F9B">
        <w:rPr>
          <w:iCs/>
        </w:rPr>
        <w:t>e.g.</w:t>
      </w:r>
      <w:r w:rsidR="006F304D" w:rsidRPr="006F304D">
        <w:t xml:space="preserve">, </w:t>
      </w:r>
      <w:r>
        <w:t>Bremond’s triadic models of narrative structure)</w:t>
      </w:r>
      <w:r>
        <w:rPr>
          <w:vertAlign w:val="superscript"/>
        </w:rPr>
        <w:footnoteReference w:id="101"/>
      </w:r>
      <w:r>
        <w:t xml:space="preserve"> or have branched into interests unknown to Lévi-Strauss (</w:t>
      </w:r>
      <w:r w:rsidR="00775F9B" w:rsidRPr="00775F9B">
        <w:rPr>
          <w:iCs/>
        </w:rPr>
        <w:t>e.g.</w:t>
      </w:r>
      <w:r w:rsidR="006F304D" w:rsidRPr="006F304D">
        <w:t xml:space="preserve">, </w:t>
      </w:r>
      <w:r>
        <w:t>Todorov’s interest in poetics)</w:t>
      </w:r>
      <w:r w:rsidR="006F304D" w:rsidRPr="006F304D">
        <w:t xml:space="preserve">, </w:t>
      </w:r>
      <w:r>
        <w:t>they have remained true to its essential aspects: determination of elements (objects and characters) in the “deep structure”</w:t>
      </w:r>
      <w:r>
        <w:rPr>
          <w:vertAlign w:val="superscript"/>
        </w:rPr>
        <w:footnoteReference w:id="102"/>
      </w:r>
      <w:r>
        <w:t xml:space="preserve"> of the text and of their relations as oppositions; and stress upon a paradigmatic as well as a syntagmatic reading.</w:t>
      </w:r>
    </w:p>
    <w:p w14:paraId="2079DE72" w14:textId="7A1BAEEA" w:rsidR="0018433B" w:rsidRDefault="0018433B" w:rsidP="0018433B">
      <w:pPr>
        <w:widowControl w:val="0"/>
      </w:pPr>
      <w:r>
        <w:tab/>
        <w:t>I have dealt at length with Russian formalism and French structuralism</w:t>
      </w:r>
      <w:r w:rsidR="006F304D" w:rsidRPr="006F304D">
        <w:t xml:space="preserve">, </w:t>
      </w:r>
      <w:r>
        <w:t>and with Propp and Lévi-Strauss as particular examples</w:t>
      </w:r>
      <w:r w:rsidR="006F304D" w:rsidRPr="006F304D">
        <w:t xml:space="preserve">, </w:t>
      </w:r>
      <w:r>
        <w:t>in order to demonstrate the extent to which</w:t>
      </w:r>
      <w:r w:rsidR="006F304D" w:rsidRPr="006F304D">
        <w:t xml:space="preserve">, </w:t>
      </w:r>
      <w:r>
        <w:t>and the variety of ways in which</w:t>
      </w:r>
      <w:r w:rsidR="006F304D" w:rsidRPr="006F304D">
        <w:t xml:space="preserve">, </w:t>
      </w:r>
      <w:r>
        <w:t>structural thinking has permeated literary criticism in our century. It is not possible to treat as fully all of the structural schools of criticism that have flourished alongside formalism and structuralism</w:t>
      </w:r>
      <w:r w:rsidR="006F304D" w:rsidRPr="006F304D">
        <w:t xml:space="preserve">, </w:t>
      </w:r>
      <w:r>
        <w:t>but I shall briefly consider the more important among them.</w:t>
      </w:r>
    </w:p>
    <w:p w14:paraId="7E576FA3" w14:textId="6F7836D5" w:rsidR="0018433B" w:rsidRDefault="0018433B" w:rsidP="0018433B">
      <w:pPr>
        <w:widowControl w:val="0"/>
      </w:pPr>
      <w:r>
        <w:tab/>
        <w:t>In America</w:t>
      </w:r>
      <w:r w:rsidR="006F304D" w:rsidRPr="006F304D">
        <w:t xml:space="preserve">, </w:t>
      </w:r>
      <w:r>
        <w:t>at approximately the same time as the development of Russian formalism</w:t>
      </w:r>
      <w:r w:rsidR="006F304D" w:rsidRPr="006F304D">
        <w:t xml:space="preserve">, </w:t>
      </w:r>
      <w:r>
        <w:t>there arose the movement which later became known as New Criticism. Like all structural approaches in the study of literature</w:t>
      </w:r>
      <w:r w:rsidR="006F304D" w:rsidRPr="006F304D">
        <w:t xml:space="preserve">, </w:t>
      </w:r>
      <w:r>
        <w:t xml:space="preserve">New Criticism took as its principal axiom the postulate that the proper object of critical investigation is the text itself: “the autonomy of the text” was a frequent </w:t>
      </w:r>
      <w:r>
        <w:lastRenderedPageBreak/>
        <w:t>formula. Perhaps the characteristics of New Criticism which most distinguish it from other structural schools of criticism are the intensity of its exclusion of external concerns (historical</w:t>
      </w:r>
      <w:r w:rsidR="006F304D" w:rsidRPr="006F304D">
        <w:t xml:space="preserve">, </w:t>
      </w:r>
      <w:r>
        <w:t>sociological</w:t>
      </w:r>
      <w:r w:rsidR="006F304D" w:rsidRPr="006F304D">
        <w:t xml:space="preserve">, </w:t>
      </w:r>
      <w:r>
        <w:t>psychological</w:t>
      </w:r>
      <w:r w:rsidR="006F304D" w:rsidRPr="006F304D">
        <w:t xml:space="preserve">, </w:t>
      </w:r>
      <w:r>
        <w:t>biographical)</w:t>
      </w:r>
      <w:r w:rsidR="006F304D" w:rsidRPr="006F304D">
        <w:t xml:space="preserve">, </w:t>
      </w:r>
      <w:r>
        <w:t>a special interest in irony and paradox</w:t>
      </w:r>
      <w:r w:rsidR="006F304D" w:rsidRPr="006F304D">
        <w:t xml:space="preserve">, </w:t>
      </w:r>
      <w:r>
        <w:t>and an insistence that form and content cannot be separated.</w:t>
      </w:r>
      <w:r>
        <w:rPr>
          <w:vertAlign w:val="superscript"/>
        </w:rPr>
        <w:footnoteReference w:id="103"/>
      </w:r>
    </w:p>
    <w:p w14:paraId="7B62B134" w14:textId="5BE91867" w:rsidR="0018433B" w:rsidRDefault="0018433B" w:rsidP="0018433B">
      <w:pPr>
        <w:widowControl w:val="0"/>
      </w:pPr>
      <w:r>
        <w:tab/>
        <w:t>Two movements that can be viewed as successors to New Criticism are the Chicago school (also known as “neo-Aristotelianism”)</w:t>
      </w:r>
      <w:r w:rsidR="006F304D" w:rsidRPr="006F304D">
        <w:t xml:space="preserve">, </w:t>
      </w:r>
      <w:r>
        <w:t>whose principal interests are the concepts of plot and genre;</w:t>
      </w:r>
      <w:r>
        <w:rPr>
          <w:vertAlign w:val="superscript"/>
        </w:rPr>
        <w:footnoteReference w:id="104"/>
      </w:r>
      <w:r>
        <w:t xml:space="preserve"> and deconstruction</w:t>
      </w:r>
      <w:r w:rsidR="006F304D" w:rsidRPr="006F304D">
        <w:t xml:space="preserve">, </w:t>
      </w:r>
      <w:r>
        <w:t xml:space="preserve">which has “developed out of </w:t>
      </w:r>
      <w:r w:rsidRPr="00C002BF">
        <w:t>. . .</w:t>
      </w:r>
      <w:r>
        <w:t xml:space="preserve"> a critique of philosophical concepts far more ambitious than anything dreamt of in New Critical theory </w:t>
      </w:r>
      <w:r w:rsidRPr="00C002BF">
        <w:t>. . .</w:t>
      </w:r>
      <w:r>
        <w:t>”</w:t>
      </w:r>
      <w:r>
        <w:rPr>
          <w:vertAlign w:val="superscript"/>
        </w:rPr>
        <w:footnoteReference w:id="105"/>
      </w:r>
    </w:p>
    <w:p w14:paraId="143514CD" w14:textId="3E1733D4" w:rsidR="0018433B" w:rsidRDefault="0018433B" w:rsidP="0018433B">
      <w:pPr>
        <w:widowControl w:val="0"/>
      </w:pPr>
      <w:r>
        <w:tab/>
        <w:t>Mention may also be made of myth criticism</w:t>
      </w:r>
      <w:r w:rsidR="006F304D" w:rsidRPr="006F304D">
        <w:t xml:space="preserve">, </w:t>
      </w:r>
      <w:r>
        <w:t>which is generally based on Jungian psychology. This approach</w:t>
      </w:r>
      <w:r w:rsidR="006F304D" w:rsidRPr="006F304D">
        <w:t xml:space="preserve">, </w:t>
      </w:r>
      <w:r>
        <w:t>too</w:t>
      </w:r>
      <w:r w:rsidR="006F304D" w:rsidRPr="006F304D">
        <w:t xml:space="preserve">, </w:t>
      </w:r>
      <w:r>
        <w:t>seems to be structural in its focus</w:t>
      </w:r>
      <w:r w:rsidR="006F304D" w:rsidRPr="006F304D">
        <w:t xml:space="preserve">, </w:t>
      </w:r>
      <w:r>
        <w:t>since Jung’s psychology posits four principal “characters” in the human psyche</w:t>
      </w:r>
      <w:r w:rsidR="006F304D" w:rsidRPr="006F304D">
        <w:t xml:space="preserve">, </w:t>
      </w:r>
      <w:r>
        <w:t>which in all possible combinations result in sixty-four basic archetypes.</w:t>
      </w:r>
      <w:r>
        <w:rPr>
          <w:vertAlign w:val="superscript"/>
        </w:rPr>
        <w:footnoteReference w:id="106"/>
      </w:r>
    </w:p>
    <w:p w14:paraId="536BA828" w14:textId="7851C2C0" w:rsidR="0018433B" w:rsidRDefault="0018433B" w:rsidP="0018433B">
      <w:pPr>
        <w:widowControl w:val="0"/>
      </w:pPr>
      <w:r>
        <w:lastRenderedPageBreak/>
        <w:tab/>
        <w:t>Finally</w:t>
      </w:r>
      <w:r w:rsidR="006F304D" w:rsidRPr="006F304D">
        <w:t xml:space="preserve">, </w:t>
      </w:r>
      <w:r>
        <w:t>mention may be made of two relatively recent phenomena</w:t>
      </w:r>
      <w:r w:rsidR="006F304D" w:rsidRPr="006F304D">
        <w:t xml:space="preserve">, </w:t>
      </w:r>
      <w:r>
        <w:t>German “</w:t>
      </w:r>
      <w:proofErr w:type="spellStart"/>
      <w:r>
        <w:t>Textlinguistik</w:t>
      </w:r>
      <w:proofErr w:type="spellEnd"/>
      <w:r>
        <w:t>” and Eugene A. Nida’s semantic analysis. Though they continue to focus primarily on the text itself</w:t>
      </w:r>
      <w:r w:rsidR="006F304D" w:rsidRPr="006F304D">
        <w:t xml:space="preserve">, </w:t>
      </w:r>
      <w:r>
        <w:t>and thus continue the tradition of structural methods of criticism</w:t>
      </w:r>
      <w:r w:rsidR="006F304D" w:rsidRPr="006F304D">
        <w:t xml:space="preserve">, </w:t>
      </w:r>
      <w:r>
        <w:t xml:space="preserve">these movements differ in that they admit into the circle of their considerations </w:t>
      </w:r>
      <w:r>
        <w:rPr>
          <w:i/>
        </w:rPr>
        <w:t>some</w:t>
      </w:r>
      <w:r>
        <w:t xml:space="preserve"> of the avenues of influence between the text and its factors of production and reception. Thus </w:t>
      </w:r>
      <w:proofErr w:type="spellStart"/>
      <w:r>
        <w:t>Textlinguistik</w:t>
      </w:r>
      <w:proofErr w:type="spellEnd"/>
      <w:r>
        <w:t>—also known as “</w:t>
      </w:r>
      <w:proofErr w:type="spellStart"/>
      <w:r>
        <w:t>Textsyntax</w:t>
      </w:r>
      <w:proofErr w:type="spellEnd"/>
      <w:r>
        <w:t>,” “</w:t>
      </w:r>
      <w:proofErr w:type="spellStart"/>
      <w:r>
        <w:t>Suprasyntax</w:t>
      </w:r>
      <w:proofErr w:type="spellEnd"/>
      <w:r>
        <w:t>,” “</w:t>
      </w:r>
      <w:proofErr w:type="spellStart"/>
      <w:r>
        <w:t>Supersyntax</w:t>
      </w:r>
      <w:proofErr w:type="spellEnd"/>
      <w:r>
        <w:t>,” “</w:t>
      </w:r>
      <w:proofErr w:type="spellStart"/>
      <w:r>
        <w:t>Hypersyntax</w:t>
      </w:r>
      <w:proofErr w:type="spellEnd"/>
      <w:r>
        <w:t>,” “</w:t>
      </w:r>
      <w:proofErr w:type="spellStart"/>
      <w:r>
        <w:t>Makrosyntax</w:t>
      </w:r>
      <w:proofErr w:type="spellEnd"/>
      <w:r>
        <w:t>”—attempts</w:t>
      </w:r>
      <w:r w:rsidR="006F304D" w:rsidRPr="006F304D">
        <w:t xml:space="preserve">, </w:t>
      </w:r>
      <w:r>
        <w:t>as all the names suggest</w:t>
      </w:r>
      <w:r w:rsidR="006F304D" w:rsidRPr="006F304D">
        <w:t xml:space="preserve">, </w:t>
      </w:r>
      <w:r>
        <w:t>to construct a syntax of the text as a whole (just as linguistics attempts to construct a syntax of the sentence)</w:t>
      </w:r>
      <w:r w:rsidR="006F304D" w:rsidRPr="006F304D">
        <w:t xml:space="preserve">, </w:t>
      </w:r>
      <w:r>
        <w:t xml:space="preserve">and that is a traditional structure-critical task; but </w:t>
      </w:r>
      <w:proofErr w:type="spellStart"/>
      <w:r>
        <w:t>Textlinguistik</w:t>
      </w:r>
      <w:proofErr w:type="spellEnd"/>
      <w:r>
        <w:t xml:space="preserve"> is also interested in such questions as</w:t>
      </w:r>
      <w:r w:rsidR="006F304D" w:rsidRPr="006F304D">
        <w:t xml:space="preserve">, </w:t>
      </w:r>
      <w:r>
        <w:t>“Which canons and rules at the level of the text as a whole are not changed during the historical development of speech?”</w:t>
      </w:r>
      <w:r>
        <w:rPr>
          <w:vertAlign w:val="superscript"/>
        </w:rPr>
        <w:footnoteReference w:id="107"/>
      </w:r>
      <w:r>
        <w:t xml:space="preserve"> Nida’s semantic analysis is interested in “universals of discourse,” constraints by which well-constructed discourses abide. Most of these universals (the marking of the beginning and ending</w:t>
      </w:r>
      <w:r w:rsidR="006F304D" w:rsidRPr="006F304D">
        <w:t xml:space="preserve">, </w:t>
      </w:r>
      <w:r>
        <w:t>the use of transitions or of emphasis</w:t>
      </w:r>
      <w:r w:rsidR="006F304D" w:rsidRPr="006F304D">
        <w:t xml:space="preserve">, </w:t>
      </w:r>
      <w:r>
        <w:t>etc.) are internal to the text; but some refer outside the text (</w:t>
      </w:r>
      <w:r w:rsidR="00775F9B" w:rsidRPr="00775F9B">
        <w:rPr>
          <w:iCs/>
        </w:rPr>
        <w:t>e.g.</w:t>
      </w:r>
      <w:r w:rsidR="006F304D" w:rsidRPr="006F304D">
        <w:t xml:space="preserve">, </w:t>
      </w:r>
      <w:r>
        <w:t>the author’s autobiographical references</w:t>
      </w:r>
      <w:r w:rsidR="006F304D" w:rsidRPr="006F304D">
        <w:t xml:space="preserve">, </w:t>
      </w:r>
      <w:r>
        <w:t>or his statements of personal judgment).</w:t>
      </w:r>
      <w:r>
        <w:rPr>
          <w:vertAlign w:val="superscript"/>
        </w:rPr>
        <w:footnoteReference w:id="108"/>
      </w:r>
    </w:p>
    <w:p w14:paraId="641EDC66" w14:textId="4DFE0341" w:rsidR="0018433B" w:rsidRDefault="0018433B" w:rsidP="0018433B">
      <w:pPr>
        <w:widowControl w:val="0"/>
      </w:pPr>
      <w:r>
        <w:tab/>
        <w:t>This survey of recent structural methods of literary criticism has shown that all of them have certain things in common: concentration on the text itself</w:t>
      </w:r>
      <w:r w:rsidR="006F304D" w:rsidRPr="006F304D">
        <w:t xml:space="preserve">, </w:t>
      </w:r>
      <w:r>
        <w:t>rather than its factors of production or reception; delineation of narrative elements at the level of the text as a whole; and an emphasis on the relations between the elements as the crucial factor in understanding the text.</w:t>
      </w:r>
    </w:p>
    <w:p w14:paraId="0EFA150B" w14:textId="4733CD85" w:rsidR="0018433B" w:rsidRDefault="0018433B" w:rsidP="0018433B">
      <w:pPr>
        <w:widowControl w:val="0"/>
      </w:pPr>
      <w:r>
        <w:tab/>
        <w:t>But there is another characteristic which all of these methodologies share</w:t>
      </w:r>
      <w:r w:rsidR="006F304D" w:rsidRPr="006F304D">
        <w:t xml:space="preserve">, </w:t>
      </w:r>
      <w:r>
        <w:t>one which has</w:t>
      </w:r>
      <w:r w:rsidR="006F304D" w:rsidRPr="006F304D">
        <w:t xml:space="preserve">, </w:t>
      </w:r>
      <w:r>
        <w:t>to date</w:t>
      </w:r>
      <w:r w:rsidR="006F304D" w:rsidRPr="006F304D">
        <w:t xml:space="preserve">, </w:t>
      </w:r>
      <w:r>
        <w:t xml:space="preserve">limited their applicability: all of them are intended to be used in the analysis of </w:t>
      </w:r>
      <w:r>
        <w:rPr>
          <w:i/>
        </w:rPr>
        <w:t>narrative</w:t>
      </w:r>
      <w:r>
        <w:t xml:space="preserve"> texts. Now</w:t>
      </w:r>
      <w:r w:rsidR="006F304D" w:rsidRPr="006F304D">
        <w:t xml:space="preserve">, </w:t>
      </w:r>
      <w:r>
        <w:t xml:space="preserve">it may be true that most works which are studied for their literary </w:t>
      </w:r>
      <w:proofErr w:type="spellStart"/>
      <w:r>
        <w:t>artfullness</w:t>
      </w:r>
      <w:proofErr w:type="spellEnd"/>
      <w:r>
        <w:t xml:space="preserve"> are narratives. But not all texts that are treated in this fashion are necessarily stories. One may also examine the </w:t>
      </w:r>
      <w:r>
        <w:rPr>
          <w:i/>
        </w:rPr>
        <w:t>Declaration of Independence</w:t>
      </w:r>
      <w:r w:rsidR="006F304D" w:rsidRPr="006F304D">
        <w:t xml:space="preserve">, </w:t>
      </w:r>
      <w:r>
        <w:t>or the essays of Montaigne</w:t>
      </w:r>
      <w:r w:rsidR="006F304D" w:rsidRPr="006F304D">
        <w:t xml:space="preserve">, </w:t>
      </w:r>
      <w:r>
        <w:t>for aesthetic qualities.</w:t>
      </w:r>
    </w:p>
    <w:p w14:paraId="2B05EE43" w14:textId="7AB1E1F4" w:rsidR="0018433B" w:rsidRDefault="0018433B" w:rsidP="0018433B">
      <w:pPr>
        <w:widowControl w:val="0"/>
      </w:pPr>
      <w:r>
        <w:tab/>
        <w:t>Methods for the study of non-narrative texts have traditionally been referred to as “rhetoric.” It would be possible to treat structure in rhetorical criticism as a third section of the present chapter (alongside our treatments of structure outside literary studies and structure in literary criticism). But structure in rhetorical criticism is our major interest</w:t>
      </w:r>
      <w:r w:rsidR="006F304D" w:rsidRPr="006F304D">
        <w:t xml:space="preserve">, </w:t>
      </w:r>
      <w:r>
        <w:t>as the title of the present work indicates. It seems best</w:t>
      </w:r>
      <w:r w:rsidR="006F304D" w:rsidRPr="006F304D">
        <w:t xml:space="preserve">, </w:t>
      </w:r>
      <w:r>
        <w:t>then</w:t>
      </w:r>
      <w:r w:rsidR="006F304D" w:rsidRPr="006F304D">
        <w:t xml:space="preserve">, </w:t>
      </w:r>
      <w:r>
        <w:t>to devote a separate chapter to rhetoric and rhetorical criticism and to the significance of structure in rhetorical thought.</w:t>
      </w:r>
    </w:p>
    <w:p w14:paraId="1D923AB6" w14:textId="77777777" w:rsidR="0018433B" w:rsidRDefault="0018433B">
      <w:r>
        <w:br w:type="page"/>
      </w:r>
    </w:p>
    <w:p w14:paraId="53335956" w14:textId="0D4C2815" w:rsidR="0018433B" w:rsidRPr="00A77C78" w:rsidRDefault="0018433B" w:rsidP="007D18CE">
      <w:pPr>
        <w:pStyle w:val="Heading1"/>
      </w:pPr>
      <w:r w:rsidRPr="00A77C78">
        <w:lastRenderedPageBreak/>
        <w:fldChar w:fldCharType="begin"/>
      </w:r>
      <w:r w:rsidRPr="00A77C78">
        <w:instrText xml:space="preserve"> SEQ CHAPTER \h \r 1</w:instrText>
      </w:r>
      <w:r w:rsidRPr="00A77C78">
        <w:fldChar w:fldCharType="end"/>
      </w:r>
      <w:bookmarkStart w:id="7" w:name="_Toc147618593"/>
      <w:r w:rsidR="007D18CE" w:rsidRPr="00A77C78">
        <w:t xml:space="preserve">Chapter </w:t>
      </w:r>
      <w:r w:rsidRPr="00A77C78">
        <w:t>3</w:t>
      </w:r>
      <w:r w:rsidR="007D18CE">
        <w:t xml:space="preserve">: </w:t>
      </w:r>
      <w:r w:rsidR="007D18CE" w:rsidRPr="00A77C78">
        <w:t xml:space="preserve">Rhetoric </w:t>
      </w:r>
      <w:r w:rsidR="007D18CE">
        <w:t>a</w:t>
      </w:r>
      <w:r w:rsidR="007D18CE" w:rsidRPr="00A77C78">
        <w:t>nd Rhetorical Criticism</w:t>
      </w:r>
      <w:bookmarkEnd w:id="7"/>
    </w:p>
    <w:p w14:paraId="73F71945" w14:textId="77777777" w:rsidR="0018433B" w:rsidRPr="00A77C78" w:rsidRDefault="0018433B" w:rsidP="0018433B">
      <w:pPr>
        <w:widowControl w:val="0"/>
      </w:pPr>
    </w:p>
    <w:p w14:paraId="699174E2" w14:textId="77777777" w:rsidR="0018433B" w:rsidRPr="00A77C78" w:rsidRDefault="0018433B" w:rsidP="0018433B">
      <w:pPr>
        <w:widowControl w:val="0"/>
      </w:pPr>
    </w:p>
    <w:p w14:paraId="0C3DF605" w14:textId="4BB951BC" w:rsidR="0018433B" w:rsidRPr="00A77C78" w:rsidRDefault="0018433B" w:rsidP="0018433B">
      <w:pPr>
        <w:widowControl w:val="0"/>
      </w:pPr>
      <w:r w:rsidRPr="00A77C78">
        <w:tab/>
        <w:t>Rhetorical criticism is not one of the traditional methods of criticism mentioned in chapter 1 (source</w:t>
      </w:r>
      <w:r w:rsidR="006F304D" w:rsidRPr="006F304D">
        <w:t xml:space="preserve">, </w:t>
      </w:r>
      <w:r w:rsidRPr="00A77C78">
        <w:t>form</w:t>
      </w:r>
      <w:r w:rsidR="006F304D" w:rsidRPr="006F304D">
        <w:t xml:space="preserve">, </w:t>
      </w:r>
      <w:r w:rsidRPr="00A77C78">
        <w:t>redaction</w:t>
      </w:r>
      <w:r w:rsidR="006F304D" w:rsidRPr="006F304D">
        <w:t xml:space="preserve">, </w:t>
      </w:r>
      <w:r w:rsidRPr="00A77C78">
        <w:t>and sociological criticism); nor is it identical with literary criticism. Although the phrase is creeping into the vocabulary of more and more exegetes</w:t>
      </w:r>
      <w:r w:rsidR="006F304D" w:rsidRPr="006F304D">
        <w:t xml:space="preserve">, </w:t>
      </w:r>
      <w:r w:rsidRPr="00A77C78">
        <w:t>it is not a univocal term. Before considering specifically the role of structure in rhetorical criticism</w:t>
      </w:r>
      <w:r w:rsidR="006F304D" w:rsidRPr="006F304D">
        <w:t xml:space="preserve">, </w:t>
      </w:r>
      <w:r w:rsidRPr="00A77C78">
        <w:t>we must first consider the term</w:t>
      </w:r>
      <w:r w:rsidR="006F304D" w:rsidRPr="006F304D">
        <w:t xml:space="preserve">, </w:t>
      </w:r>
      <w:r w:rsidRPr="00A77C78">
        <w:t>“rhetorical criticism.”</w:t>
      </w:r>
    </w:p>
    <w:p w14:paraId="4013D138" w14:textId="580725F9" w:rsidR="0018433B" w:rsidRPr="00A77C78" w:rsidRDefault="0018433B" w:rsidP="0018433B">
      <w:pPr>
        <w:widowControl w:val="0"/>
      </w:pPr>
      <w:r w:rsidRPr="00A77C78">
        <w:tab/>
        <w:t>Part of the problem is the first word of the phrase: rhetorical criticism must have some connection with the realm of knowledge called “rhetoric.” We begin</w:t>
      </w:r>
      <w:r w:rsidR="006F304D" w:rsidRPr="006F304D">
        <w:t xml:space="preserve">, </w:t>
      </w:r>
      <w:r w:rsidRPr="00A77C78">
        <w:t>then</w:t>
      </w:r>
      <w:r w:rsidR="006F304D" w:rsidRPr="006F304D">
        <w:t xml:space="preserve">, </w:t>
      </w:r>
      <w:r w:rsidRPr="00A77C78">
        <w:t>with a consideration of the nature of rhetoric itself.</w:t>
      </w:r>
    </w:p>
    <w:p w14:paraId="534E1C0C" w14:textId="77777777" w:rsidR="0018433B" w:rsidRPr="00A77C78" w:rsidRDefault="0018433B" w:rsidP="0018433B">
      <w:pPr>
        <w:widowControl w:val="0"/>
      </w:pPr>
    </w:p>
    <w:p w14:paraId="7696D5DE" w14:textId="77777777" w:rsidR="0018433B" w:rsidRPr="00A77C78" w:rsidRDefault="0018433B" w:rsidP="007D18CE">
      <w:pPr>
        <w:pStyle w:val="Heading2"/>
      </w:pPr>
      <w:bookmarkStart w:id="8" w:name="_Toc147618594"/>
      <w:r w:rsidRPr="00A77C78">
        <w:t>1. “Rhetoric”</w:t>
      </w:r>
      <w:bookmarkEnd w:id="8"/>
    </w:p>
    <w:p w14:paraId="139799DE" w14:textId="77777777" w:rsidR="0018433B" w:rsidRPr="00A77C78" w:rsidRDefault="0018433B" w:rsidP="0018433B">
      <w:pPr>
        <w:widowControl w:val="0"/>
      </w:pPr>
    </w:p>
    <w:p w14:paraId="39F682A3" w14:textId="0829F353" w:rsidR="0018433B" w:rsidRPr="00A77C78" w:rsidRDefault="0018433B" w:rsidP="0018433B">
      <w:pPr>
        <w:widowControl w:val="0"/>
      </w:pPr>
      <w:r w:rsidRPr="00A77C78">
        <w:tab/>
        <w:t>Aristotle defined rhetoric as “the faculty of observing in any given case the available means of persuasion.”</w:t>
      </w:r>
      <w:r w:rsidRPr="00A77C78">
        <w:rPr>
          <w:vertAlign w:val="superscript"/>
        </w:rPr>
        <w:footnoteReference w:id="109"/>
      </w:r>
      <w:r w:rsidRPr="00A77C78">
        <w:t xml:space="preserve"> This definition will strike the modern reader as peculiar: surely rhetoric is not a mental faculty (rather than</w:t>
      </w:r>
      <w:r w:rsidR="006F304D" w:rsidRPr="006F304D">
        <w:t xml:space="preserve">, </w:t>
      </w:r>
      <w:r w:rsidRPr="00A77C78">
        <w:t>in Aristotle’s terminology</w:t>
      </w:r>
      <w:r w:rsidR="006F304D" w:rsidRPr="006F304D">
        <w:t xml:space="preserve">, </w:t>
      </w:r>
      <w:r w:rsidRPr="00A77C78">
        <w:t>a practical art); surely it is not merely observing</w:t>
      </w:r>
      <w:r w:rsidR="006F304D" w:rsidRPr="006F304D">
        <w:t xml:space="preserve">, </w:t>
      </w:r>
      <w:r w:rsidRPr="00A77C78">
        <w:t>to the exclusion of the effective use of one’s observations; surely persuasion is not its only legitimate end; and surely it deals with more than the preliminary stage of assessing arguments.</w:t>
      </w:r>
      <w:r w:rsidRPr="00A77C78">
        <w:rPr>
          <w:vertAlign w:val="superscript"/>
        </w:rPr>
        <w:footnoteReference w:id="110"/>
      </w:r>
    </w:p>
    <w:p w14:paraId="40FE6867" w14:textId="48A7DED0" w:rsidR="0018433B" w:rsidRPr="00A77C78" w:rsidRDefault="0018433B" w:rsidP="0018433B">
      <w:pPr>
        <w:widowControl w:val="0"/>
      </w:pPr>
      <w:r w:rsidRPr="00A77C78">
        <w:tab/>
        <w:t>Other definitions than Aristotle’s have been attempted. Throughout the Roman Empire rhetoric was to some extent defined by its contrast with the other two “liberal arts” of the trivium</w:t>
      </w:r>
      <w:r w:rsidR="006F304D" w:rsidRPr="006F304D">
        <w:t xml:space="preserve">, </w:t>
      </w:r>
      <w:r w:rsidRPr="00A77C78">
        <w:t>grammar</w:t>
      </w:r>
      <w:r w:rsidRPr="00A77C78">
        <w:rPr>
          <w:vertAlign w:val="superscript"/>
        </w:rPr>
        <w:footnoteReference w:id="111"/>
      </w:r>
      <w:r w:rsidRPr="00A77C78">
        <w:t xml:space="preserve"> and dialectic.</w:t>
      </w:r>
      <w:r w:rsidRPr="00A77C78">
        <w:rPr>
          <w:vertAlign w:val="superscript"/>
        </w:rPr>
        <w:footnoteReference w:id="112"/>
      </w:r>
      <w:r w:rsidRPr="00A77C78">
        <w:t xml:space="preserve"> A later definition of rhetoric advanced by Rabanus Maurus (though </w:t>
      </w:r>
      <w:r w:rsidRPr="00A77C78">
        <w:lastRenderedPageBreak/>
        <w:t>he is careful to attribute it to the “ancients”): it is “skill in speaking well concerning secular matters in civil cases.”</w:t>
      </w:r>
      <w:r w:rsidRPr="00A77C78">
        <w:rPr>
          <w:vertAlign w:val="superscript"/>
        </w:rPr>
        <w:footnoteReference w:id="113"/>
      </w:r>
      <w:r w:rsidRPr="00A77C78">
        <w:t xml:space="preserve"> Here too rhetoric remains oratorical</w:t>
      </w:r>
      <w:r w:rsidR="006F304D" w:rsidRPr="006F304D">
        <w:t xml:space="preserve">, </w:t>
      </w:r>
      <w:r w:rsidRPr="00A77C78">
        <w:t>rather than literary as well</w:t>
      </w:r>
      <w:r w:rsidR="006F304D" w:rsidRPr="006F304D">
        <w:t xml:space="preserve">, </w:t>
      </w:r>
      <w:r w:rsidRPr="00A77C78">
        <w:t>and its subject matter is restricted to discourses that deal with civil and public issues and that are argumentative in nature.</w:t>
      </w:r>
      <w:r w:rsidRPr="00A77C78">
        <w:rPr>
          <w:vertAlign w:val="superscript"/>
        </w:rPr>
        <w:footnoteReference w:id="114"/>
      </w:r>
    </w:p>
    <w:p w14:paraId="7AF8124D" w14:textId="77777777" w:rsidR="0018433B" w:rsidRDefault="0018433B" w:rsidP="0018433B">
      <w:pPr>
        <w:widowControl w:val="0"/>
      </w:pPr>
      <w:r w:rsidRPr="00A77C78">
        <w:tab/>
        <w:t>A derogatory definition of rhetoric has grown out of the perennial proclivity of rhetoricians to identify rhetoric with style.</w:t>
      </w:r>
      <w:r w:rsidRPr="00A77C78">
        <w:rPr>
          <w:vertAlign w:val="superscript"/>
        </w:rPr>
        <w:footnoteReference w:id="115"/>
      </w:r>
      <w:r w:rsidRPr="00A77C78">
        <w:t xml:space="preserve"> Young and Becker discuss the unfortunate result of this tendency.</w:t>
      </w:r>
    </w:p>
    <w:p w14:paraId="19E320D7" w14:textId="77777777" w:rsidR="0018433B" w:rsidRPr="00A77C78" w:rsidRDefault="0018433B" w:rsidP="0018433B">
      <w:pPr>
        <w:widowControl w:val="0"/>
      </w:pPr>
    </w:p>
    <w:p w14:paraId="396F9E2A" w14:textId="61C154D6" w:rsidR="0018433B" w:rsidRPr="00A77C78" w:rsidRDefault="0018433B" w:rsidP="0018433B">
      <w:pPr>
        <w:widowControl w:val="0"/>
        <w:ind w:left="720" w:right="720"/>
      </w:pPr>
      <w:r w:rsidRPr="00A77C78">
        <w:t>In the classical tradition</w:t>
      </w:r>
      <w:r w:rsidR="006F304D" w:rsidRPr="006F304D">
        <w:t xml:space="preserve">, </w:t>
      </w:r>
      <w:r w:rsidRPr="00A77C78">
        <w:t xml:space="preserve">good style was a deliberate departure from the speech of everyday life. Renaissance classicists ingeniously isolated and systematized figures of speech. Henry Peacham’s </w:t>
      </w:r>
      <w:r w:rsidRPr="00A77C78">
        <w:rPr>
          <w:i/>
        </w:rPr>
        <w:t>Garden of Eloquence</w:t>
      </w:r>
      <w:r w:rsidRPr="00A77C78">
        <w:t xml:space="preserve"> (1577)</w:t>
      </w:r>
      <w:r w:rsidR="006F304D" w:rsidRPr="006F304D">
        <w:t xml:space="preserve">, </w:t>
      </w:r>
      <w:r w:rsidRPr="00A77C78">
        <w:t>for example</w:t>
      </w:r>
      <w:r w:rsidR="006F304D" w:rsidRPr="006F304D">
        <w:t xml:space="preserve">, </w:t>
      </w:r>
      <w:r w:rsidRPr="00A77C78">
        <w:t xml:space="preserve">lists 184 schemes and tropes </w:t>
      </w:r>
      <w:r w:rsidRPr="00E924C6">
        <w:t>. . .</w:t>
      </w:r>
      <w:r w:rsidRPr="00A77C78">
        <w:t xml:space="preserve"> As a result</w:t>
      </w:r>
      <w:r w:rsidR="006F304D" w:rsidRPr="006F304D">
        <w:t xml:space="preserve">, </w:t>
      </w:r>
      <w:r w:rsidRPr="00A77C78">
        <w:t>“rhetoric” gained its pejorative connotation of elegant but empty verbosity.</w:t>
      </w:r>
      <w:r w:rsidRPr="00A77C78">
        <w:rPr>
          <w:vertAlign w:val="superscript"/>
        </w:rPr>
        <w:footnoteReference w:id="116"/>
      </w:r>
    </w:p>
    <w:p w14:paraId="0A1384BB" w14:textId="77777777" w:rsidR="0018433B" w:rsidRDefault="0018433B" w:rsidP="0018433B">
      <w:pPr>
        <w:widowControl w:val="0"/>
      </w:pPr>
    </w:p>
    <w:p w14:paraId="29D7BAC0" w14:textId="4E928860" w:rsidR="0018433B" w:rsidRPr="00A77C78" w:rsidRDefault="0018433B" w:rsidP="0018433B">
      <w:pPr>
        <w:widowControl w:val="0"/>
      </w:pPr>
      <w:r w:rsidRPr="00A77C78">
        <w:t xml:space="preserve">This bombastic sense of “rhetoric” has caused some exegetes to deny that the sermon on the mount is rhetorical: “If the Sermon on the Mount had been expressed rhetorically it would have made little impact </w:t>
      </w:r>
      <w:r w:rsidRPr="00E924C6">
        <w:t>. . .</w:t>
      </w:r>
      <w:r w:rsidRPr="00A77C78">
        <w:t>”</w:t>
      </w:r>
      <w:r w:rsidRPr="00A77C78">
        <w:rPr>
          <w:vertAlign w:val="superscript"/>
        </w:rPr>
        <w:footnoteReference w:id="117"/>
      </w:r>
      <w:r>
        <w:t xml:space="preserve"> Even without the unpleasant connotation</w:t>
      </w:r>
      <w:r w:rsidR="006F304D" w:rsidRPr="006F304D">
        <w:t xml:space="preserve">, </w:t>
      </w:r>
      <w:r>
        <w:t xml:space="preserve">the identification of rhetoric with </w:t>
      </w:r>
      <w:r>
        <w:lastRenderedPageBreak/>
        <w:t>style is too narrow.</w:t>
      </w:r>
      <w:r>
        <w:rPr>
          <w:rStyle w:val="FootnoteReference"/>
        </w:rPr>
        <w:footnoteReference w:id="118"/>
      </w:r>
    </w:p>
    <w:p w14:paraId="54240FCC" w14:textId="766D5F44" w:rsidR="0018433B" w:rsidRPr="00A77C78" w:rsidRDefault="0018433B" w:rsidP="0018433B">
      <w:pPr>
        <w:widowControl w:val="0"/>
      </w:pPr>
      <w:r w:rsidRPr="00A77C78">
        <w:tab/>
        <w:t>But if rhetoric as style is too narrow</w:t>
      </w:r>
      <w:r w:rsidR="006F304D" w:rsidRPr="006F304D">
        <w:t xml:space="preserve">, </w:t>
      </w:r>
      <w:r w:rsidRPr="00A77C78">
        <w:t>then rhetoric as all verbal art is surely too broad. This extended definition tends to be the usage of the term in the “new rhetoric” of the present day.</w:t>
      </w:r>
      <w:r w:rsidRPr="00A77C78">
        <w:rPr>
          <w:vertAlign w:val="superscript"/>
        </w:rPr>
        <w:footnoteReference w:id="119"/>
      </w:r>
      <w:r w:rsidRPr="00A77C78">
        <w:t xml:space="preserve"> The new rhetoricians</w:t>
      </w:r>
      <w:r w:rsidR="006F304D" w:rsidRPr="006F304D">
        <w:t xml:space="preserve">, </w:t>
      </w:r>
      <w:r w:rsidRPr="00A77C78">
        <w:t>according to Booth</w:t>
      </w:r>
      <w:r w:rsidR="006F304D" w:rsidRPr="006F304D">
        <w:t xml:space="preserve">, </w:t>
      </w:r>
      <w:r w:rsidRPr="00A77C78">
        <w:t xml:space="preserve">are “trying to construct unified rhetorical views of all the verbal arts </w:t>
      </w:r>
      <w:r w:rsidRPr="00E924C6">
        <w:t>. . .</w:t>
      </w:r>
      <w:r w:rsidRPr="00A77C78">
        <w:t>”</w:t>
      </w:r>
      <w:r w:rsidRPr="00A77C78">
        <w:rPr>
          <w:vertAlign w:val="superscript"/>
        </w:rPr>
        <w:footnoteReference w:id="120"/>
      </w:r>
      <w:r w:rsidRPr="00A77C78">
        <w:t xml:space="preserve"> Though something must be said for the idea that there exists</w:t>
      </w:r>
      <w:r w:rsidR="006F304D" w:rsidRPr="006F304D">
        <w:t xml:space="preserve">, </w:t>
      </w:r>
      <w:r w:rsidRPr="00A77C78">
        <w:t>as the basis of all communication</w:t>
      </w:r>
      <w:r w:rsidR="006F304D" w:rsidRPr="006F304D">
        <w:t xml:space="preserve">, </w:t>
      </w:r>
      <w:r w:rsidRPr="00A77C78">
        <w:t>a set of principles that is universally employed in all utterance</w:t>
      </w:r>
      <w:r w:rsidR="006F304D" w:rsidRPr="006F304D">
        <w:t xml:space="preserve">, </w:t>
      </w:r>
      <w:r w:rsidRPr="00A77C78">
        <w:t>there is also something to be said for having a pair of distinct terms by which to distinguish the principles of fictional literature (works which are for the most part narrative) and the principles of nonfictional literature (works which are for the most part argumentative or expository).</w:t>
      </w:r>
      <w:r w:rsidRPr="00A77C78">
        <w:rPr>
          <w:vertAlign w:val="superscript"/>
        </w:rPr>
        <w:footnoteReference w:id="121"/>
      </w:r>
      <w:r w:rsidRPr="00A77C78">
        <w:t xml:space="preserve"> At any rate</w:t>
      </w:r>
      <w:r w:rsidR="006F304D" w:rsidRPr="006F304D">
        <w:t xml:space="preserve">, </w:t>
      </w:r>
      <w:r w:rsidRPr="00A77C78">
        <w:t xml:space="preserve">rhetoric </w:t>
      </w:r>
      <w:r w:rsidRPr="00A77C78">
        <w:lastRenderedPageBreak/>
        <w:t>as the principles of nonfictional literature remains the most common use of the term “rhetoric” in the present day.</w:t>
      </w:r>
      <w:r w:rsidRPr="00A77C78">
        <w:rPr>
          <w:vertAlign w:val="superscript"/>
        </w:rPr>
        <w:footnoteReference w:id="122"/>
      </w:r>
      <w:r w:rsidRPr="00A77C78">
        <w:t xml:space="preserve"> For the remainder of the present study</w:t>
      </w:r>
      <w:r w:rsidR="006F304D" w:rsidRPr="006F304D">
        <w:t xml:space="preserve">, </w:t>
      </w:r>
      <w:r w:rsidRPr="00A77C78">
        <w:t>therefore</w:t>
      </w:r>
      <w:r w:rsidR="006F304D" w:rsidRPr="006F304D">
        <w:t xml:space="preserve">, </w:t>
      </w:r>
      <w:r w:rsidRPr="00A77C78">
        <w:t>“rhetoric” will be used to mean the study of non-literary (</w:t>
      </w:r>
      <w:r w:rsidR="00775F9B" w:rsidRPr="00775F9B">
        <w:rPr>
          <w:iCs/>
        </w:rPr>
        <w:t>i.e.</w:t>
      </w:r>
      <w:r w:rsidR="006F304D" w:rsidRPr="006F304D">
        <w:t xml:space="preserve">, </w:t>
      </w:r>
      <w:r w:rsidRPr="00A77C78">
        <w:t>chiefly argumentative and expository) discourses</w:t>
      </w:r>
      <w:r w:rsidR="006F304D" w:rsidRPr="006F304D">
        <w:t xml:space="preserve">, </w:t>
      </w:r>
      <w:r w:rsidRPr="00A77C78">
        <w:t xml:space="preserve">or the principles </w:t>
      </w:r>
      <w:r>
        <w:t xml:space="preserve">derived from </w:t>
      </w:r>
      <w:r w:rsidRPr="00A77C78">
        <w:t>such study.</w:t>
      </w:r>
      <w:r w:rsidRPr="00A77C78">
        <w:rPr>
          <w:vertAlign w:val="superscript"/>
        </w:rPr>
        <w:footnoteReference w:id="123"/>
      </w:r>
    </w:p>
    <w:p w14:paraId="067ED9DB" w14:textId="77777777" w:rsidR="0018433B" w:rsidRPr="00A77C78" w:rsidRDefault="0018433B" w:rsidP="0018433B">
      <w:pPr>
        <w:widowControl w:val="0"/>
      </w:pPr>
    </w:p>
    <w:p w14:paraId="4B786ABE" w14:textId="792F6385" w:rsidR="0018433B" w:rsidRPr="00A77C78" w:rsidRDefault="0018433B" w:rsidP="007D18CE">
      <w:pPr>
        <w:pStyle w:val="Heading2"/>
      </w:pPr>
      <w:bookmarkStart w:id="9" w:name="_Toc147618595"/>
      <w:r w:rsidRPr="00A77C78">
        <w:t>2. “Rhetorical Criticism”</w:t>
      </w:r>
      <w:bookmarkEnd w:id="9"/>
    </w:p>
    <w:p w14:paraId="65A3E01A" w14:textId="77777777" w:rsidR="0018433B" w:rsidRPr="00A77C78" w:rsidRDefault="0018433B" w:rsidP="0018433B">
      <w:pPr>
        <w:widowControl w:val="0"/>
      </w:pPr>
    </w:p>
    <w:p w14:paraId="5AD9208F" w14:textId="681B1F6E" w:rsidR="0018433B" w:rsidRDefault="0018433B" w:rsidP="0018433B">
      <w:pPr>
        <w:widowControl w:val="0"/>
      </w:pPr>
      <w:r w:rsidRPr="00A77C78">
        <w:tab/>
        <w:t>This clarification of the term “rhetoric” in turn helps to explain what is meant by “rhetorical criticism.” The latter term is sometimes used to refer to the study of rhetorical principles or to the rhetorical principles so studied</w:t>
      </w:r>
      <w:r w:rsidR="006F304D" w:rsidRPr="006F304D">
        <w:t xml:space="preserve">, </w:t>
      </w:r>
      <w:r w:rsidRPr="00A77C78">
        <w:t>even though there already exists the perfectly good term “rhetoric” for these meanings.</w:t>
      </w:r>
      <w:r w:rsidRPr="00A77C78">
        <w:rPr>
          <w:vertAlign w:val="superscript"/>
        </w:rPr>
        <w:footnoteReference w:id="124"/>
      </w:r>
      <w:r w:rsidRPr="00A77C78">
        <w:t xml:space="preserve"> More properly (</w:t>
      </w:r>
      <w:r>
        <w:t>since it includes the word</w:t>
      </w:r>
      <w:r w:rsidRPr="00A77C78">
        <w:t xml:space="preserve"> “criticism”)</w:t>
      </w:r>
      <w:r w:rsidR="006F304D" w:rsidRPr="006F304D">
        <w:t xml:space="preserve">, </w:t>
      </w:r>
      <w:r w:rsidRPr="00A77C78">
        <w:t>“rhetorical criticism” should refer to the examination of specific discourses in order to assess a speaker’s or author’s use of rhetorical principles. In the present study</w:t>
      </w:r>
      <w:r w:rsidR="006F304D" w:rsidRPr="006F304D">
        <w:t xml:space="preserve">, </w:t>
      </w:r>
      <w:r w:rsidRPr="00A77C78">
        <w:t>at any rate</w:t>
      </w:r>
      <w:r w:rsidR="006F304D" w:rsidRPr="006F304D">
        <w:t xml:space="preserve">, </w:t>
      </w:r>
      <w:r w:rsidRPr="00A77C78">
        <w:t>I will use the term only in this sense.</w:t>
      </w:r>
      <w:r w:rsidRPr="00A77C78">
        <w:rPr>
          <w:vertAlign w:val="superscript"/>
        </w:rPr>
        <w:footnoteReference w:id="125"/>
      </w:r>
    </w:p>
    <w:p w14:paraId="56C2E2FE" w14:textId="2D613693" w:rsidR="0018433B" w:rsidRDefault="0018433B" w:rsidP="0018433B">
      <w:pPr>
        <w:widowControl w:val="0"/>
      </w:pPr>
      <w:r>
        <w:tab/>
      </w:r>
      <w:r w:rsidRPr="00A77C78">
        <w:t>The relations between the types of criticism which I have mentioned</w:t>
      </w:r>
      <w:r w:rsidR="006F304D" w:rsidRPr="006F304D">
        <w:t xml:space="preserve">, </w:t>
      </w:r>
      <w:r w:rsidRPr="00A77C78">
        <w:t>both in the first two chapters and in the present one</w:t>
      </w:r>
      <w:r w:rsidR="006F304D" w:rsidRPr="006F304D">
        <w:t xml:space="preserve">, </w:t>
      </w:r>
      <w:r w:rsidRPr="00A77C78">
        <w:t>can be represented in a chart (figure 1).</w:t>
      </w:r>
      <w:r w:rsidR="000151C8" w:rsidRPr="000151C8">
        <w:rPr>
          <w:iCs/>
        </w:rPr>
        <w:t xml:space="preserve"> </w:t>
      </w:r>
    </w:p>
    <w:p w14:paraId="0D8B0A56" w14:textId="77777777" w:rsidR="0018433B" w:rsidRDefault="0018433B" w:rsidP="0018433B">
      <w:pPr>
        <w:widowControl w:val="0"/>
      </w:pPr>
    </w:p>
    <w:p w14:paraId="2A18337A" w14:textId="77777777" w:rsidR="0018433B" w:rsidRDefault="0018433B" w:rsidP="0018433B">
      <w:pPr>
        <w:widowControl w:val="0"/>
        <w:tabs>
          <w:tab w:val="center" w:pos="2880"/>
        </w:tabs>
      </w:pPr>
      <w:r>
        <w:tab/>
        <w:t>literary</w:t>
      </w:r>
    </w:p>
    <w:p w14:paraId="7D7B8591" w14:textId="77777777" w:rsidR="0018433B" w:rsidRDefault="0018433B" w:rsidP="0018433B">
      <w:pPr>
        <w:widowControl w:val="0"/>
        <w:tabs>
          <w:tab w:val="center" w:pos="2880"/>
        </w:tabs>
      </w:pPr>
      <w:r>
        <w:tab/>
      </w:r>
      <w:r w:rsidRPr="00607FFB">
        <w:t>criticism</w:t>
      </w:r>
    </w:p>
    <w:p w14:paraId="06BFF900" w14:textId="77777777" w:rsidR="0018433B" w:rsidRPr="00607FFB" w:rsidRDefault="0018433B" w:rsidP="0018433B">
      <w:pPr>
        <w:widowControl w:val="0"/>
        <w:tabs>
          <w:tab w:val="center" w:pos="2970"/>
        </w:tabs>
      </w:pPr>
      <w:r>
        <w:tab/>
        <w:t>┌────────</w:t>
      </w:r>
      <w:r w:rsidRPr="00607FFB">
        <w:t>┴─</w:t>
      </w:r>
      <w:r>
        <w:t>─</w:t>
      </w:r>
      <w:r w:rsidRPr="00607FFB">
        <w:t>──────┐</w:t>
      </w:r>
    </w:p>
    <w:p w14:paraId="0DC02914" w14:textId="77777777" w:rsidR="0018433B" w:rsidRPr="00607FFB" w:rsidRDefault="0018433B" w:rsidP="0018433B">
      <w:pPr>
        <w:widowControl w:val="0"/>
        <w:tabs>
          <w:tab w:val="center" w:pos="1440"/>
          <w:tab w:val="center" w:pos="4410"/>
        </w:tabs>
      </w:pPr>
      <w:r w:rsidRPr="00607FFB">
        <w:tab/>
        <w:t>literary</w:t>
      </w:r>
      <w:r w:rsidRPr="00607FFB">
        <w:tab/>
        <w:t>historical</w:t>
      </w:r>
    </w:p>
    <w:p w14:paraId="1FF4A0F6" w14:textId="77777777" w:rsidR="0018433B" w:rsidRPr="00607FFB" w:rsidRDefault="0018433B" w:rsidP="0018433B">
      <w:pPr>
        <w:widowControl w:val="0"/>
        <w:tabs>
          <w:tab w:val="center" w:pos="1440"/>
          <w:tab w:val="center" w:pos="4410"/>
        </w:tabs>
      </w:pPr>
      <w:r w:rsidRPr="00607FFB">
        <w:tab/>
        <w:t>criticism</w:t>
      </w:r>
      <w:r w:rsidRPr="00607FFB">
        <w:tab/>
      </w:r>
      <w:proofErr w:type="spellStart"/>
      <w:r w:rsidRPr="00607FFB">
        <w:t>criticism</w:t>
      </w:r>
      <w:proofErr w:type="spellEnd"/>
    </w:p>
    <w:p w14:paraId="06CFB5CB" w14:textId="77777777" w:rsidR="0018433B" w:rsidRDefault="0018433B" w:rsidP="0018433B">
      <w:pPr>
        <w:widowControl w:val="0"/>
        <w:tabs>
          <w:tab w:val="center" w:pos="1440"/>
          <w:tab w:val="left" w:pos="3600"/>
          <w:tab w:val="center" w:pos="4680"/>
        </w:tabs>
      </w:pPr>
      <w:r>
        <w:tab/>
        <w:t>┌────┴───</w:t>
      </w:r>
      <w:r w:rsidRPr="00607FFB">
        <w:t>┐</w:t>
      </w:r>
      <w:r>
        <w:tab/>
        <w:t>┌────┴──┬───────┬────────┐</w:t>
      </w:r>
    </w:p>
    <w:p w14:paraId="697DD79A" w14:textId="77777777" w:rsidR="0018433B" w:rsidRPr="00607FFB" w:rsidRDefault="0018433B" w:rsidP="0018433B">
      <w:pPr>
        <w:widowControl w:val="0"/>
        <w:tabs>
          <w:tab w:val="center" w:pos="720"/>
          <w:tab w:val="center" w:pos="2160"/>
          <w:tab w:val="center" w:pos="3600"/>
          <w:tab w:val="center" w:pos="5040"/>
          <w:tab w:val="center" w:pos="6480"/>
          <w:tab w:val="center" w:pos="7920"/>
        </w:tabs>
      </w:pPr>
      <w:r w:rsidRPr="00607FFB">
        <w:tab/>
        <w:t>literary</w:t>
      </w:r>
      <w:r w:rsidRPr="00607FFB">
        <w:tab/>
        <w:t>rhetorical</w:t>
      </w:r>
      <w:r w:rsidRPr="00607FFB">
        <w:tab/>
        <w:t>source</w:t>
      </w:r>
      <w:r w:rsidRPr="00607FFB">
        <w:tab/>
        <w:t>form</w:t>
      </w:r>
      <w:r w:rsidRPr="00607FFB">
        <w:tab/>
        <w:t>redaction</w:t>
      </w:r>
      <w:r w:rsidRPr="00607FFB">
        <w:tab/>
        <w:t>sociological</w:t>
      </w:r>
    </w:p>
    <w:p w14:paraId="1BC52B41" w14:textId="77777777" w:rsidR="0018433B" w:rsidRPr="00607FFB" w:rsidRDefault="0018433B" w:rsidP="0018433B">
      <w:pPr>
        <w:widowControl w:val="0"/>
        <w:tabs>
          <w:tab w:val="center" w:pos="720"/>
          <w:tab w:val="center" w:pos="2160"/>
          <w:tab w:val="center" w:pos="3600"/>
          <w:tab w:val="center" w:pos="5040"/>
          <w:tab w:val="center" w:pos="6480"/>
          <w:tab w:val="center" w:pos="7920"/>
        </w:tabs>
      </w:pPr>
      <w:r w:rsidRPr="00607FFB">
        <w:tab/>
        <w:t xml:space="preserve">criticism </w:t>
      </w:r>
      <w:r w:rsidRPr="00607FFB">
        <w:tab/>
      </w:r>
      <w:proofErr w:type="spellStart"/>
      <w:r w:rsidRPr="00607FFB">
        <w:t>criticism</w:t>
      </w:r>
      <w:proofErr w:type="spellEnd"/>
      <w:r w:rsidRPr="00607FFB">
        <w:t xml:space="preserve"> </w:t>
      </w:r>
      <w:r w:rsidRPr="00607FFB">
        <w:tab/>
      </w:r>
      <w:proofErr w:type="spellStart"/>
      <w:r w:rsidRPr="00607FFB">
        <w:t>criticism</w:t>
      </w:r>
      <w:proofErr w:type="spellEnd"/>
      <w:r w:rsidRPr="00607FFB">
        <w:t xml:space="preserve"> </w:t>
      </w:r>
      <w:r w:rsidRPr="00607FFB">
        <w:tab/>
      </w:r>
      <w:proofErr w:type="spellStart"/>
      <w:r w:rsidRPr="00607FFB">
        <w:t>criticism</w:t>
      </w:r>
      <w:proofErr w:type="spellEnd"/>
      <w:r w:rsidRPr="00607FFB">
        <w:t xml:space="preserve"> </w:t>
      </w:r>
      <w:r w:rsidRPr="00607FFB">
        <w:tab/>
      </w:r>
      <w:proofErr w:type="spellStart"/>
      <w:r w:rsidRPr="00607FFB">
        <w:t>criticism</w:t>
      </w:r>
      <w:proofErr w:type="spellEnd"/>
      <w:r w:rsidRPr="00607FFB">
        <w:t xml:space="preserve"> </w:t>
      </w:r>
      <w:r w:rsidRPr="00607FFB">
        <w:tab/>
      </w:r>
      <w:proofErr w:type="spellStart"/>
      <w:r w:rsidRPr="00607FFB">
        <w:t>criticism</w:t>
      </w:r>
      <w:proofErr w:type="spellEnd"/>
    </w:p>
    <w:p w14:paraId="3C821D65" w14:textId="77777777" w:rsidR="0018433B" w:rsidRPr="00A77C78" w:rsidRDefault="0018433B" w:rsidP="0018433B">
      <w:pPr>
        <w:widowControl w:val="0"/>
        <w:rPr>
          <w:vanish/>
        </w:rPr>
      </w:pPr>
    </w:p>
    <w:p w14:paraId="66AE8CDF" w14:textId="4FD5B32F" w:rsidR="0018433B" w:rsidRPr="00A77C78" w:rsidRDefault="0018433B" w:rsidP="0018433B">
      <w:pPr>
        <w:widowControl w:val="0"/>
        <w:jc w:val="center"/>
        <w:rPr>
          <w:vanish/>
        </w:rPr>
      </w:pPr>
      <w:r w:rsidRPr="00A77C78">
        <w:t>Figure 1.</w:t>
      </w:r>
      <w:r w:rsidR="000151C8" w:rsidRPr="000151C8">
        <w:rPr>
          <w:iCs/>
        </w:rPr>
        <w:t xml:space="preserve"> </w:t>
      </w:r>
      <w:r w:rsidRPr="00A77C78">
        <w:rPr>
          <w:i/>
        </w:rPr>
        <w:t>Types of Literary Criticism</w:t>
      </w:r>
    </w:p>
    <w:p w14:paraId="4CDD55F1" w14:textId="77777777" w:rsidR="0018433B" w:rsidRDefault="0018433B" w:rsidP="0018433B">
      <w:pPr>
        <w:widowControl w:val="0"/>
      </w:pPr>
    </w:p>
    <w:p w14:paraId="6236CB20" w14:textId="672F364C" w:rsidR="0018433B" w:rsidRPr="00A77C78" w:rsidRDefault="0018433B" w:rsidP="0018433B">
      <w:pPr>
        <w:widowControl w:val="0"/>
      </w:pPr>
      <w:r w:rsidRPr="00A77C78">
        <w:t>The obvious difficulty with this</w:t>
      </w:r>
      <w:r w:rsidR="000151C8" w:rsidRPr="000151C8">
        <w:rPr>
          <w:iCs/>
        </w:rPr>
        <w:t xml:space="preserve"> </w:t>
      </w:r>
      <w:r w:rsidRPr="00A77C78">
        <w:t>chart is the use of “literary criticism” in three different positions. Unfortunately</w:t>
      </w:r>
      <w:r w:rsidR="006F304D" w:rsidRPr="006F304D">
        <w:t xml:space="preserve">, </w:t>
      </w:r>
      <w:r w:rsidRPr="00A77C78">
        <w:t>these positions only reflect the ambiguity that the phrase itself displays in day-to-</w:t>
      </w:r>
      <w:r w:rsidRPr="00A77C78">
        <w:lastRenderedPageBreak/>
        <w:t xml:space="preserve">day discourse. Thus “literary criticism” </w:t>
      </w:r>
      <w:r>
        <w:t xml:space="preserve">at the top of </w:t>
      </w:r>
      <w:r w:rsidRPr="00A77C78">
        <w:t>the chart denotes the interpretation</w:t>
      </w:r>
      <w:r w:rsidR="006F304D" w:rsidRPr="006F304D">
        <w:t xml:space="preserve">, </w:t>
      </w:r>
      <w:r w:rsidRPr="00A77C78">
        <w:t>for literary or historical purposes</w:t>
      </w:r>
      <w:r w:rsidR="006F304D" w:rsidRPr="006F304D">
        <w:t xml:space="preserve">, </w:t>
      </w:r>
      <w:r w:rsidRPr="00A77C78">
        <w:t xml:space="preserve">of </w:t>
      </w:r>
      <w:r>
        <w:t>any written text</w:t>
      </w:r>
      <w:r w:rsidRPr="00A77C78">
        <w:t xml:space="preserve"> (in exegesis</w:t>
      </w:r>
      <w:r w:rsidR="006F304D" w:rsidRPr="006F304D">
        <w:t xml:space="preserve">, </w:t>
      </w:r>
      <w:r>
        <w:t>any biblical text</w:t>
      </w:r>
      <w:r w:rsidRPr="00A77C78">
        <w:t>).</w:t>
      </w:r>
      <w:r w:rsidRPr="00A77C78">
        <w:rPr>
          <w:vertAlign w:val="superscript"/>
        </w:rPr>
        <w:footnoteReference w:id="126"/>
      </w:r>
      <w:r w:rsidRPr="00A77C78">
        <w:t xml:space="preserve"> </w:t>
      </w:r>
      <w:r>
        <w:t>(Perhaps f</w:t>
      </w:r>
      <w:r w:rsidRPr="00A77C78">
        <w:t>or this reason</w:t>
      </w:r>
      <w:r w:rsidR="006F304D" w:rsidRPr="006F304D">
        <w:t xml:space="preserve">, </w:t>
      </w:r>
      <w:r w:rsidRPr="00A77C78">
        <w:t>source criticism is sometimes referred to as “literary criticism.”</w:t>
      </w:r>
      <w:r w:rsidRPr="00A77C78">
        <w:rPr>
          <w:vertAlign w:val="superscript"/>
        </w:rPr>
        <w:footnoteReference w:id="127"/>
      </w:r>
      <w:r>
        <w:t>)</w:t>
      </w:r>
      <w:r w:rsidRPr="00A77C78">
        <w:t xml:space="preserve"> The phrase in its second occurrence denotes literary approaches to documents in contrast to historical ap</w:t>
      </w:r>
      <w:r>
        <w:t>proaches.</w:t>
      </w:r>
      <w:r w:rsidRPr="00A77C78">
        <w:t xml:space="preserve"> </w:t>
      </w:r>
      <w:r>
        <w:t>T</w:t>
      </w:r>
      <w:r w:rsidRPr="00A77C78">
        <w:t>his usage refers to the methods of interpretation that have so awakened the interest of exegetes in recent dec</w:t>
      </w:r>
      <w:r>
        <w:t>ades</w:t>
      </w:r>
      <w:r w:rsidR="006F304D" w:rsidRPr="006F304D">
        <w:t xml:space="preserve">, </w:t>
      </w:r>
      <w:r>
        <w:t>and t</w:t>
      </w:r>
      <w:r w:rsidRPr="00A77C78">
        <w:t xml:space="preserve">he second usage is the most common </w:t>
      </w:r>
      <w:r>
        <w:t xml:space="preserve">usage </w:t>
      </w:r>
      <w:r w:rsidRPr="00A77C78">
        <w:t>among scrip</w:t>
      </w:r>
      <w:r>
        <w:t>ture scholars.</w:t>
      </w:r>
      <w:r w:rsidRPr="00A77C78">
        <w:t xml:space="preserve"> The phrase in its </w:t>
      </w:r>
      <w:r>
        <w:t xml:space="preserve">third </w:t>
      </w:r>
      <w:r w:rsidRPr="00A77C78">
        <w:t>occurrence</w:t>
      </w:r>
      <w:r>
        <w:t xml:space="preserve"> denotes </w:t>
      </w:r>
      <w:r w:rsidRPr="00A77C78">
        <w:t>literary criticism as the interpretation of narrative texts</w:t>
      </w:r>
      <w:r w:rsidR="006F304D" w:rsidRPr="006F304D">
        <w:t xml:space="preserve">, </w:t>
      </w:r>
      <w:r w:rsidRPr="00A77C78">
        <w:t>as distinct from rhetorical criticism</w:t>
      </w:r>
      <w:r w:rsidR="006F304D" w:rsidRPr="006F304D">
        <w:t xml:space="preserve">, </w:t>
      </w:r>
      <w:r w:rsidRPr="00A77C78">
        <w:t>the interpretation of argumentative and expository texts.</w:t>
      </w:r>
      <w:r w:rsidRPr="00A77C78">
        <w:rPr>
          <w:vertAlign w:val="superscript"/>
        </w:rPr>
        <w:footnoteReference w:id="128"/>
      </w:r>
      <w:r w:rsidRPr="00A77C78">
        <w:t xml:space="preserve"> The third is the most common </w:t>
      </w:r>
      <w:r>
        <w:t xml:space="preserve">usage </w:t>
      </w:r>
      <w:r w:rsidRPr="00A77C78">
        <w:t>in departments of litera</w:t>
      </w:r>
      <w:r>
        <w:t>ture.</w:t>
      </w:r>
      <w:r w:rsidRPr="00A77C78">
        <w:t xml:space="preserve"> This third usage is the most exact</w:t>
      </w:r>
      <w:r w:rsidR="006F304D" w:rsidRPr="006F304D">
        <w:t xml:space="preserve">, </w:t>
      </w:r>
      <w:r w:rsidRPr="00A77C78">
        <w:t xml:space="preserve">and I will ordinarily use “literary criticism” in the remainder of the present study </w:t>
      </w:r>
      <w:r>
        <w:t xml:space="preserve">to mean </w:t>
      </w:r>
      <w:r w:rsidRPr="00A77C78">
        <w:t>the interpretation of narrative texts</w:t>
      </w:r>
      <w:r w:rsidR="006F304D" w:rsidRPr="006F304D">
        <w:t xml:space="preserve">, </w:t>
      </w:r>
      <w:r w:rsidRPr="00A77C78">
        <w:t>in contrast to rhetorical criticism.</w:t>
      </w:r>
      <w:r w:rsidRPr="00A77C78">
        <w:rPr>
          <w:vertAlign w:val="superscript"/>
        </w:rPr>
        <w:footnoteReference w:id="129"/>
      </w:r>
    </w:p>
    <w:p w14:paraId="6B1B7CE3" w14:textId="2143A58F" w:rsidR="0018433B" w:rsidRPr="00A77C78" w:rsidRDefault="0018433B" w:rsidP="0018433B">
      <w:pPr>
        <w:widowControl w:val="0"/>
      </w:pPr>
      <w:r w:rsidRPr="00A77C78">
        <w:tab/>
        <w:t>This effort to assign rhetorical criticism a place in relation to other methods of literary criticism may help to clarify its relations with them</w:t>
      </w:r>
      <w:r w:rsidR="006F304D" w:rsidRPr="006F304D">
        <w:t xml:space="preserve">, </w:t>
      </w:r>
      <w:r w:rsidRPr="00A77C78">
        <w:t>but the meaning of “rhetorical criticism” in itself remains ambiguous. For example</w:t>
      </w:r>
      <w:r w:rsidR="006F304D" w:rsidRPr="006F304D">
        <w:t xml:space="preserve">, </w:t>
      </w:r>
      <w:r w:rsidRPr="00A77C78">
        <w:t xml:space="preserve">an understanding of rhetorical criticism that continues its classical limitation to oratory is still a viable tradition in university speech departments. Thus Herbert A. </w:t>
      </w:r>
      <w:proofErr w:type="spellStart"/>
      <w:r w:rsidRPr="00A77C78">
        <w:t>Wichelns</w:t>
      </w:r>
      <w:proofErr w:type="spellEnd"/>
      <w:r w:rsidRPr="00A77C78">
        <w:t xml:space="preserve"> sees “rhetorical criticism” as the criticism of spoken discourses</w:t>
      </w:r>
      <w:r w:rsidR="006F304D" w:rsidRPr="006F304D">
        <w:t xml:space="preserve">, </w:t>
      </w:r>
      <w:r w:rsidRPr="00A77C78">
        <w:t>while “literary criticism” is the criticism of written discourses.</w:t>
      </w:r>
      <w:r w:rsidRPr="00A77C78">
        <w:rPr>
          <w:vertAlign w:val="superscript"/>
        </w:rPr>
        <w:footnoteReference w:id="130"/>
      </w:r>
      <w:r w:rsidRPr="00A77C78">
        <w:t xml:space="preserve"> This differs from my usage</w:t>
      </w:r>
      <w:r w:rsidR="006F304D" w:rsidRPr="006F304D">
        <w:t xml:space="preserve">, </w:t>
      </w:r>
      <w:r w:rsidRPr="00A77C78">
        <w:t xml:space="preserve">where both terms </w:t>
      </w:r>
      <w:r w:rsidRPr="00A77C78">
        <w:lastRenderedPageBreak/>
        <w:t>refer to both oral and written discourses; in my opinion</w:t>
      </w:r>
      <w:r w:rsidR="006F304D" w:rsidRPr="006F304D">
        <w:t xml:space="preserve">, </w:t>
      </w:r>
      <w:r w:rsidRPr="00A77C78">
        <w:t xml:space="preserve">the important distinction is not medium of communication </w:t>
      </w:r>
      <w:r>
        <w:t xml:space="preserve">(oral versus written) </w:t>
      </w:r>
      <w:r w:rsidRPr="00A77C78">
        <w:t>but mode of discourse (narration versus argumentation/exposi</w:t>
      </w:r>
      <w:r w:rsidRPr="000A1FA5">
        <w:softHyphen/>
      </w:r>
      <w:r w:rsidRPr="00A77C78">
        <w:t xml:space="preserve">tion). </w:t>
      </w:r>
      <w:proofErr w:type="spellStart"/>
      <w:r w:rsidRPr="00A77C78">
        <w:t>Wichelns</w:t>
      </w:r>
      <w:proofErr w:type="spellEnd"/>
      <w:r w:rsidRPr="00A77C78">
        <w:t>’ understanding of the term</w:t>
      </w:r>
      <w:r w:rsidR="006F304D" w:rsidRPr="006F304D">
        <w:t xml:space="preserve">, </w:t>
      </w:r>
      <w:r w:rsidRPr="00A77C78">
        <w:t>of course</w:t>
      </w:r>
      <w:r w:rsidR="006F304D" w:rsidRPr="006F304D">
        <w:t xml:space="preserve">, </w:t>
      </w:r>
      <w:r w:rsidRPr="00A77C78">
        <w:t>makes it unfit for use in exegesis</w:t>
      </w:r>
      <w:r w:rsidR="006F304D" w:rsidRPr="006F304D">
        <w:t xml:space="preserve">, </w:t>
      </w:r>
      <w:r w:rsidRPr="00A77C78">
        <w:t>which must deal with written texts.</w:t>
      </w:r>
      <w:r w:rsidRPr="00A77C78">
        <w:rPr>
          <w:vertAlign w:val="superscript"/>
        </w:rPr>
        <w:footnoteReference w:id="131"/>
      </w:r>
    </w:p>
    <w:p w14:paraId="189310BF" w14:textId="7044F621" w:rsidR="0018433B" w:rsidRPr="00A77C78" w:rsidRDefault="0018433B" w:rsidP="0018433B">
      <w:pPr>
        <w:widowControl w:val="0"/>
      </w:pPr>
      <w:r w:rsidRPr="00A77C78">
        <w:tab/>
        <w:t>Another understanding of rhetorical criticism which differs from the definition I have given is that of George A. Kennedy. Kennedy</w:t>
      </w:r>
      <w:r w:rsidR="006F304D" w:rsidRPr="006F304D">
        <w:t xml:space="preserve">, </w:t>
      </w:r>
      <w:r w:rsidRPr="00A77C78">
        <w:t>a classics professor</w:t>
      </w:r>
      <w:r w:rsidR="006F304D" w:rsidRPr="006F304D">
        <w:t xml:space="preserve">, </w:t>
      </w:r>
      <w:r w:rsidRPr="00A77C78">
        <w:t>has done biblical studies a service with the publication of his book</w:t>
      </w:r>
      <w:r w:rsidR="006F304D" w:rsidRPr="006F304D">
        <w:t xml:space="preserve">, </w:t>
      </w:r>
      <w:r w:rsidRPr="00A77C78">
        <w:rPr>
          <w:i/>
        </w:rPr>
        <w:t>New Testament Interpretation through Rhetorical Criticism</w:t>
      </w:r>
      <w:r w:rsidRPr="00A77C78">
        <w:t>. In it he sets forth his understanding of rhetorical criticism and then applies this understanding to a number of NT passages. Along the way</w:t>
      </w:r>
      <w:r w:rsidR="006F304D" w:rsidRPr="006F304D">
        <w:t xml:space="preserve">, </w:t>
      </w:r>
      <w:r w:rsidRPr="00A77C78">
        <w:t>he lets fall many valuable insights that might very well escape exegetes</w:t>
      </w:r>
      <w:r w:rsidR="006F304D" w:rsidRPr="006F304D">
        <w:t xml:space="preserve">, </w:t>
      </w:r>
      <w:r w:rsidRPr="00A77C78">
        <w:t>lacking as we do Kennedy’s view of our discipline from outside it.</w:t>
      </w:r>
    </w:p>
    <w:p w14:paraId="5CF621AA" w14:textId="165FC87C" w:rsidR="0018433B" w:rsidRPr="00A77C78" w:rsidRDefault="0018433B" w:rsidP="0018433B">
      <w:pPr>
        <w:widowControl w:val="0"/>
      </w:pPr>
      <w:r w:rsidRPr="00A77C78">
        <w:tab/>
        <w:t>Nevertheless</w:t>
      </w:r>
      <w:r w:rsidR="006F304D" w:rsidRPr="006F304D">
        <w:t xml:space="preserve">, </w:t>
      </w:r>
      <w:r w:rsidRPr="00A77C78">
        <w:t>Kennedy’s classical background may be a liability as well as an asset. For one thing</w:t>
      </w:r>
      <w:r w:rsidR="006F304D" w:rsidRPr="006F304D">
        <w:t xml:space="preserve">, </w:t>
      </w:r>
      <w:r w:rsidRPr="00A77C78">
        <w:t>he seems to include the study of narrative works within the compass of rhetoric.</w:t>
      </w:r>
      <w:r w:rsidRPr="00A77C78">
        <w:rPr>
          <w:vertAlign w:val="superscript"/>
        </w:rPr>
        <w:footnoteReference w:id="132"/>
      </w:r>
      <w:r w:rsidRPr="00A77C78">
        <w:t xml:space="preserve"> Yet he chooses</w:t>
      </w:r>
      <w:r w:rsidR="006F304D" w:rsidRPr="006F304D">
        <w:t xml:space="preserve">, </w:t>
      </w:r>
      <w:r w:rsidRPr="00A77C78">
        <w:t>as specific passages of the NT to analyze in detail</w:t>
      </w:r>
      <w:r w:rsidR="006F304D" w:rsidRPr="006F304D">
        <w:t xml:space="preserve">, </w:t>
      </w:r>
      <w:r w:rsidRPr="00A77C78">
        <w:t>only texts that come under the argumentation/exposition concept of rhetoric (the sermon on the mount</w:t>
      </w:r>
      <w:r w:rsidR="006F304D" w:rsidRPr="006F304D">
        <w:t xml:space="preserve">, </w:t>
      </w:r>
      <w:r w:rsidRPr="00A77C78">
        <w:t>Jesus’ farewell discourse in John 13-17</w:t>
      </w:r>
      <w:r w:rsidR="006F304D" w:rsidRPr="006F304D">
        <w:t xml:space="preserve">, </w:t>
      </w:r>
      <w:r w:rsidRPr="00A77C78">
        <w:t>2 Corinthians</w:t>
      </w:r>
      <w:r w:rsidR="006F304D" w:rsidRPr="006F304D">
        <w:t xml:space="preserve">, </w:t>
      </w:r>
      <w:r w:rsidRPr="00A77C78">
        <w:t>speeches in Acts</w:t>
      </w:r>
      <w:r w:rsidR="006F304D" w:rsidRPr="006F304D">
        <w:t xml:space="preserve">, </w:t>
      </w:r>
      <w:r w:rsidRPr="00A77C78">
        <w:t>and Thessalonians</w:t>
      </w:r>
      <w:r w:rsidR="006F304D" w:rsidRPr="006F304D">
        <w:t xml:space="preserve">, </w:t>
      </w:r>
      <w:r w:rsidRPr="00A77C78">
        <w:t>Galatians</w:t>
      </w:r>
      <w:r w:rsidR="006F304D" w:rsidRPr="006F304D">
        <w:t xml:space="preserve">, </w:t>
      </w:r>
      <w:r w:rsidRPr="00A77C78">
        <w:t>and Romans).</w:t>
      </w:r>
      <w:r w:rsidRPr="00A77C78">
        <w:rPr>
          <w:vertAlign w:val="superscript"/>
        </w:rPr>
        <w:footnoteReference w:id="133"/>
      </w:r>
    </w:p>
    <w:p w14:paraId="69764C06" w14:textId="2DDDA976" w:rsidR="0018433B" w:rsidRDefault="0018433B" w:rsidP="0018433B">
      <w:pPr>
        <w:widowControl w:val="0"/>
      </w:pPr>
      <w:r w:rsidRPr="00A77C78">
        <w:tab/>
        <w:t>Another difference between Kennedy’s approach to rhetorical criticism and the approach outlined above stems from his tendency to identify all of rhetoric with classical rhetoric. Kennedy understands by “rhetorical criticism” the bodily importation into NT studies of the entire corpus of classical rhetoric</w:t>
      </w:r>
      <w:r w:rsidR="006F304D" w:rsidRPr="006F304D">
        <w:t xml:space="preserve">, </w:t>
      </w:r>
      <w:r w:rsidRPr="00A77C78">
        <w:t>unchanged. He is</w:t>
      </w:r>
      <w:r w:rsidR="006F304D" w:rsidRPr="006F304D">
        <w:t xml:space="preserve">, </w:t>
      </w:r>
      <w:r w:rsidRPr="00A77C78">
        <w:t>in fact</w:t>
      </w:r>
      <w:r w:rsidR="006F304D" w:rsidRPr="006F304D">
        <w:t xml:space="preserve">, </w:t>
      </w:r>
      <w:r w:rsidRPr="00A77C78">
        <w:t>so ardent a proponent of the classical formulation of rhetorical principles that he almost never mentions the reflections that have been made on that corpus in the centuries since its original formulation. Kennedy believes that the principles of classical rhetoric</w:t>
      </w:r>
      <w:r w:rsidR="006F304D" w:rsidRPr="006F304D">
        <w:t xml:space="preserve">, </w:t>
      </w:r>
      <w:r w:rsidRPr="00A77C78">
        <w:rPr>
          <w:i/>
        </w:rPr>
        <w:t>in the form in which classical rhetoric enunciated them</w:t>
      </w:r>
      <w:r w:rsidR="006F304D" w:rsidRPr="006F304D">
        <w:t xml:space="preserve">, </w:t>
      </w:r>
      <w:r w:rsidRPr="00A77C78">
        <w:t>are valid for all time.</w:t>
      </w:r>
    </w:p>
    <w:p w14:paraId="7A4F7724" w14:textId="77777777" w:rsidR="0018433B" w:rsidRPr="00A77C78" w:rsidRDefault="0018433B" w:rsidP="0018433B">
      <w:pPr>
        <w:widowControl w:val="0"/>
      </w:pPr>
    </w:p>
    <w:p w14:paraId="559A8EAC" w14:textId="28F68041" w:rsidR="0018433B" w:rsidRPr="00A77C78" w:rsidRDefault="0018433B" w:rsidP="0018433B">
      <w:pPr>
        <w:widowControl w:val="0"/>
        <w:ind w:left="720" w:right="720"/>
      </w:pPr>
      <w:r w:rsidRPr="00A77C78">
        <w:t xml:space="preserve">Aristotle’s objective in writing the </w:t>
      </w:r>
      <w:r w:rsidRPr="00A77C78">
        <w:rPr>
          <w:i/>
        </w:rPr>
        <w:t>Rhetoric</w:t>
      </w:r>
      <w:r w:rsidRPr="00A77C78">
        <w:t xml:space="preserve"> was not to describe Greek rhetoric</w:t>
      </w:r>
      <w:r w:rsidR="006F304D" w:rsidRPr="006F304D">
        <w:t xml:space="preserve">, </w:t>
      </w:r>
      <w:r w:rsidRPr="00A77C78">
        <w:t>but to describe this universal facet of human communication</w:t>
      </w:r>
      <w:r w:rsidRPr="00E924C6">
        <w:t>. . . .</w:t>
      </w:r>
      <w:r w:rsidRPr="00A77C78">
        <w:t xml:space="preserve"> It is perfectly possible to utilize the categories of </w:t>
      </w:r>
      <w:proofErr w:type="spellStart"/>
      <w:r w:rsidRPr="00A77C78">
        <w:t>Aristotlian</w:t>
      </w:r>
      <w:proofErr w:type="spellEnd"/>
      <w:r w:rsidRPr="00A77C78">
        <w:t xml:space="preserve"> rhetoric to study speech in China</w:t>
      </w:r>
      <w:r w:rsidR="006F304D" w:rsidRPr="006F304D">
        <w:t xml:space="preserve">, </w:t>
      </w:r>
      <w:r w:rsidRPr="00A77C78">
        <w:t>India</w:t>
      </w:r>
      <w:r w:rsidR="006F304D" w:rsidRPr="006F304D">
        <w:t xml:space="preserve">, </w:t>
      </w:r>
      <w:r w:rsidRPr="00A77C78">
        <w:t>Africa</w:t>
      </w:r>
      <w:r w:rsidR="006F304D" w:rsidRPr="006F304D">
        <w:t xml:space="preserve">, </w:t>
      </w:r>
      <w:r w:rsidRPr="00A77C78">
        <w:t xml:space="preserve">and elsewhere </w:t>
      </w:r>
      <w:r w:rsidRPr="00E924C6">
        <w:t>. . .</w:t>
      </w:r>
      <w:r w:rsidRPr="00A77C78">
        <w:t xml:space="preserve"> What we mean by classical rhetorical theory is this structured system which describes the universal phenomenon of rhetoric in Greek terms.</w:t>
      </w:r>
      <w:r w:rsidRPr="00A77C78">
        <w:rPr>
          <w:vertAlign w:val="superscript"/>
        </w:rPr>
        <w:footnoteReference w:id="134"/>
      </w:r>
    </w:p>
    <w:p w14:paraId="25603A39" w14:textId="77777777" w:rsidR="0018433B" w:rsidRDefault="0018433B" w:rsidP="0018433B">
      <w:pPr>
        <w:widowControl w:val="0"/>
      </w:pPr>
    </w:p>
    <w:p w14:paraId="77A65919" w14:textId="0126642C" w:rsidR="0018433B" w:rsidRDefault="0018433B" w:rsidP="0018433B">
      <w:pPr>
        <w:widowControl w:val="0"/>
      </w:pPr>
      <w:r w:rsidRPr="00A77C78">
        <w:t>It is curious that Kennedy should apotheosize the “conventional forms”</w:t>
      </w:r>
      <w:r w:rsidRPr="00A77C78">
        <w:rPr>
          <w:vertAlign w:val="superscript"/>
        </w:rPr>
        <w:footnoteReference w:id="135"/>
      </w:r>
      <w:r w:rsidRPr="00A77C78">
        <w:t xml:space="preserve"> of classical rhetoric </w:t>
      </w:r>
      <w:r w:rsidRPr="00A77C78">
        <w:lastRenderedPageBreak/>
        <w:t xml:space="preserve">when he himself acknowledges that “Rhetoric is a historical phenomenon and differs somewhat from culture to culture </w:t>
      </w:r>
      <w:r w:rsidRPr="00E924C6">
        <w:t>. . .</w:t>
      </w:r>
      <w:r w:rsidRPr="00A77C78">
        <w:t>”</w:t>
      </w:r>
      <w:r w:rsidRPr="00A77C78">
        <w:rPr>
          <w:vertAlign w:val="superscript"/>
        </w:rPr>
        <w:footnoteReference w:id="136"/>
      </w:r>
      <w:r w:rsidRPr="00A77C78">
        <w:t xml:space="preserve"> Granted</w:t>
      </w:r>
      <w:r w:rsidR="006F304D" w:rsidRPr="006F304D">
        <w:t xml:space="preserve">, </w:t>
      </w:r>
      <w:r w:rsidRPr="00A77C78">
        <w:t>to subsume classical rhetoric within the broader and deeper tradition of modern rhetoric is to replace one culture-bound set of principles with another. But the modern set has the advantage of being able to reflect upon a greater variety of discourses and a longer stretch of rhetorical tradition than could the classical</w:t>
      </w:r>
      <w:r w:rsidR="006F304D" w:rsidRPr="006F304D">
        <w:t xml:space="preserve">, </w:t>
      </w:r>
      <w:r w:rsidRPr="00A77C78">
        <w:t>and thus its formulations of rhetorical principles should</w:t>
      </w:r>
      <w:r w:rsidR="006F304D" w:rsidRPr="006F304D">
        <w:t xml:space="preserve">, </w:t>
      </w:r>
      <w:r w:rsidRPr="00A77C78">
        <w:t>at least in theory</w:t>
      </w:r>
      <w:r w:rsidR="006F304D" w:rsidRPr="006F304D">
        <w:t xml:space="preserve">, </w:t>
      </w:r>
      <w:r w:rsidRPr="00A77C78">
        <w:t>be more universally applicable than the ancient. The search for universals at a greater “depth” than those proposed in earlier periods of rhetorical criticism ought to be a characteristic of each later stage</w:t>
      </w:r>
      <w:r w:rsidR="006F304D" w:rsidRPr="006F304D">
        <w:t xml:space="preserve">, </w:t>
      </w:r>
      <w:r w:rsidRPr="00A77C78">
        <w:t>if the tradition of rhetorical criticism is true to its vocation. The principles of classical rhetoric are in fact merely one instance of principles of rhetoric that can and should be stated in more universally applicable terms. In fact</w:t>
      </w:r>
      <w:r w:rsidR="006F304D" w:rsidRPr="006F304D">
        <w:t xml:space="preserve">, </w:t>
      </w:r>
      <w:r w:rsidRPr="00A77C78">
        <w:t>to restrict oneself to classical rhetoric is to labor needlessly under the limitations inherent in classical rhetoric. Young and Becker have summarized several of these.</w:t>
      </w:r>
    </w:p>
    <w:p w14:paraId="43B4FD5B" w14:textId="77777777" w:rsidR="0018433B" w:rsidRPr="00A77C78" w:rsidRDefault="0018433B" w:rsidP="0018433B">
      <w:pPr>
        <w:widowControl w:val="0"/>
      </w:pPr>
    </w:p>
    <w:p w14:paraId="11686DD8" w14:textId="63A459F6" w:rsidR="0018433B" w:rsidRPr="00A77C78" w:rsidRDefault="0018433B" w:rsidP="0018433B">
      <w:pPr>
        <w:widowControl w:val="0"/>
        <w:ind w:left="720" w:right="720"/>
      </w:pPr>
      <w:r w:rsidRPr="00A77C78">
        <w:t>The classical art of rhetoric has a number of weaknesses which make it inadequate for our time</w:t>
      </w:r>
      <w:r w:rsidRPr="00E924C6">
        <w:t>. . . .</w:t>
      </w:r>
      <w:r w:rsidRPr="00A77C78">
        <w:t xml:space="preserve"> First</w:t>
      </w:r>
      <w:r w:rsidR="006F304D" w:rsidRPr="006F304D">
        <w:t xml:space="preserve">, </w:t>
      </w:r>
      <w:r w:rsidRPr="00A77C78">
        <w:t>the classical art of invention stresses authoritative confirmation of present beliefs</w:t>
      </w:r>
      <w:r w:rsidR="006F304D" w:rsidRPr="006F304D">
        <w:t xml:space="preserve">, </w:t>
      </w:r>
      <w:r w:rsidRPr="00A77C78">
        <w:t>while modern modes of inquiry stress imaginative discovery of new facts and relationships. Second</w:t>
      </w:r>
      <w:r w:rsidR="006F304D" w:rsidRPr="006F304D">
        <w:t xml:space="preserve">, </w:t>
      </w:r>
      <w:r w:rsidRPr="00A77C78">
        <w:t>the art of arrangement includes only patterns of persuasion</w:t>
      </w:r>
      <w:r w:rsidR="006F304D" w:rsidRPr="006F304D">
        <w:t xml:space="preserve">, </w:t>
      </w:r>
      <w:r w:rsidRPr="00A77C78">
        <w:t>and neglects considerations of form in other important rhetorical modes such as description</w:t>
      </w:r>
      <w:r w:rsidR="006F304D" w:rsidRPr="006F304D">
        <w:t xml:space="preserve">, </w:t>
      </w:r>
      <w:r w:rsidRPr="00A77C78">
        <w:t>narration</w:t>
      </w:r>
      <w:r w:rsidR="006F304D" w:rsidRPr="006F304D">
        <w:t xml:space="preserve">, </w:t>
      </w:r>
      <w:r w:rsidRPr="00A77C78">
        <w:t>and exposition. Third</w:t>
      </w:r>
      <w:r w:rsidR="006F304D" w:rsidRPr="006F304D">
        <w:t xml:space="preserve">, </w:t>
      </w:r>
      <w:r w:rsidRPr="00A77C78">
        <w:t>both the art of arrangement and the art of style divorce form from content</w:t>
      </w:r>
      <w:r w:rsidR="006F304D" w:rsidRPr="006F304D">
        <w:t xml:space="preserve">, </w:t>
      </w:r>
      <w:r w:rsidRPr="00A77C78">
        <w:t>failing to consider the importance of the act of discovery in the shaping of form. And finally</w:t>
      </w:r>
      <w:r w:rsidR="006F304D" w:rsidRPr="006F304D">
        <w:t xml:space="preserve">, </w:t>
      </w:r>
      <w:r w:rsidRPr="00A77C78">
        <w:t>the art of style is concerned primarily with embellishing</w:t>
      </w:r>
      <w:r w:rsidR="006F304D" w:rsidRPr="006F304D">
        <w:t xml:space="preserve">, </w:t>
      </w:r>
      <w:r w:rsidRPr="00A77C78">
        <w:t>clarifying</w:t>
      </w:r>
      <w:r w:rsidR="006F304D" w:rsidRPr="006F304D">
        <w:t xml:space="preserve">, </w:t>
      </w:r>
      <w:r w:rsidRPr="00A77C78">
        <w:t>and giving point to sentences</w:t>
      </w:r>
      <w:r w:rsidR="006F304D" w:rsidRPr="006F304D">
        <w:t xml:space="preserve">, </w:t>
      </w:r>
      <w:r w:rsidRPr="00A77C78">
        <w:t>an approach which neglects both the deeper personal roots of style and the ways in which style is manifested in patterns beyond the sentence.</w:t>
      </w:r>
      <w:r w:rsidRPr="00A77C78">
        <w:rPr>
          <w:vertAlign w:val="superscript"/>
        </w:rPr>
        <w:footnoteReference w:id="137"/>
      </w:r>
    </w:p>
    <w:p w14:paraId="6E4AAC84" w14:textId="77777777" w:rsidR="0018433B" w:rsidRDefault="0018433B" w:rsidP="0018433B">
      <w:pPr>
        <w:widowControl w:val="0"/>
      </w:pPr>
    </w:p>
    <w:p w14:paraId="41C934DF" w14:textId="5C6DE250" w:rsidR="0018433B" w:rsidRPr="00A77C78" w:rsidRDefault="0018433B" w:rsidP="0018433B">
      <w:pPr>
        <w:widowControl w:val="0"/>
      </w:pPr>
      <w:r w:rsidRPr="00A77C78">
        <w:tab/>
        <w:t>It is true</w:t>
      </w:r>
      <w:r w:rsidR="006F304D" w:rsidRPr="006F304D">
        <w:t xml:space="preserve">, </w:t>
      </w:r>
      <w:r w:rsidRPr="00A77C78">
        <w:t>of course</w:t>
      </w:r>
      <w:r w:rsidR="006F304D" w:rsidRPr="006F304D">
        <w:t xml:space="preserve">, </w:t>
      </w:r>
      <w:r w:rsidRPr="00A77C78">
        <w:t>that the NT documents were written when the principles of classical</w:t>
      </w:r>
      <w:r w:rsidR="006F304D" w:rsidRPr="006F304D">
        <w:t xml:space="preserve">, </w:t>
      </w:r>
      <w:r w:rsidRPr="00A77C78">
        <w:t>not modern</w:t>
      </w:r>
      <w:r w:rsidR="006F304D" w:rsidRPr="006F304D">
        <w:t xml:space="preserve">, </w:t>
      </w:r>
      <w:r w:rsidRPr="00A77C78">
        <w:t>rhetoric were in force; and the investigation of the NT writings with a view to discovering whether or not their authors incorporated those principles is a valuable exercise</w:t>
      </w:r>
      <w:r w:rsidR="006F304D" w:rsidRPr="006F304D">
        <w:t xml:space="preserve">, </w:t>
      </w:r>
      <w:r w:rsidRPr="00A77C78">
        <w:t>particularly for those whose purpose in approaching the texts is historical. But if principles of rhetoric have universal validity—and Kennedy and I agree that they do</w:t>
      </w:r>
      <w:r w:rsidRPr="00A77C78">
        <w:rPr>
          <w:vertAlign w:val="superscript"/>
        </w:rPr>
        <w:footnoteReference w:id="138"/>
      </w:r>
      <w:r w:rsidRPr="00A77C78">
        <w:t>—then rhetorical critics need not limit themselves to one cultural statement of those principles</w:t>
      </w:r>
      <w:r w:rsidR="006F304D" w:rsidRPr="006F304D">
        <w:t xml:space="preserve">, </w:t>
      </w:r>
      <w:r w:rsidRPr="00A77C78">
        <w:t>be it the “classic” manifestation (by virtue of its being first in time) or a later one.</w:t>
      </w:r>
    </w:p>
    <w:p w14:paraId="5EFE1EA9" w14:textId="7801DE13" w:rsidR="0018433B" w:rsidRPr="00A77C78" w:rsidRDefault="0018433B" w:rsidP="0018433B">
      <w:pPr>
        <w:widowControl w:val="0"/>
      </w:pPr>
      <w:r w:rsidRPr="00A77C78">
        <w:lastRenderedPageBreak/>
        <w:tab/>
        <w:t>Despite our difference of opinion concerning the limitations of classical rhetoric</w:t>
      </w:r>
      <w:r w:rsidR="006F304D" w:rsidRPr="006F304D">
        <w:t xml:space="preserve">, </w:t>
      </w:r>
      <w:r w:rsidRPr="00A77C78">
        <w:t>Kennedy and I can agree on the strong necessity of determining structure when performing rhetorical criticism.</w:t>
      </w:r>
      <w:r w:rsidRPr="00A77C78">
        <w:rPr>
          <w:vertAlign w:val="superscript"/>
        </w:rPr>
        <w:footnoteReference w:id="139"/>
      </w:r>
      <w:r w:rsidRPr="00A77C78">
        <w:t xml:space="preserve"> Having considered the terms “rhetoric” and “rhetorical criticism,” I turn now to a study of the concept of structure as it has influenced the rhetorical tradition.</w:t>
      </w:r>
    </w:p>
    <w:p w14:paraId="55EB1674" w14:textId="77777777" w:rsidR="0018433B" w:rsidRPr="00A77C78" w:rsidRDefault="0018433B" w:rsidP="0018433B">
      <w:pPr>
        <w:widowControl w:val="0"/>
      </w:pPr>
    </w:p>
    <w:p w14:paraId="36C950E9" w14:textId="22AFF724" w:rsidR="0018433B" w:rsidRPr="00A77C78" w:rsidRDefault="0018433B" w:rsidP="007D18CE">
      <w:pPr>
        <w:pStyle w:val="Heading2"/>
      </w:pPr>
      <w:bookmarkStart w:id="10" w:name="_Toc147618596"/>
      <w:r w:rsidRPr="00A77C78">
        <w:t>3. Structure in Rhetoric</w:t>
      </w:r>
      <w:bookmarkEnd w:id="10"/>
    </w:p>
    <w:p w14:paraId="6431BC48" w14:textId="77777777" w:rsidR="0018433B" w:rsidRPr="00A77C78" w:rsidRDefault="0018433B" w:rsidP="0018433B">
      <w:pPr>
        <w:widowControl w:val="0"/>
      </w:pPr>
    </w:p>
    <w:p w14:paraId="6310F47D" w14:textId="3E440E09" w:rsidR="0018433B" w:rsidRPr="00A77C78" w:rsidRDefault="0018433B" w:rsidP="0018433B">
      <w:pPr>
        <w:widowControl w:val="0"/>
      </w:pPr>
      <w:r w:rsidRPr="00A77C78">
        <w:tab/>
        <w:t>In classical rhetoric</w:t>
      </w:r>
      <w:r w:rsidR="006F304D" w:rsidRPr="006F304D">
        <w:t xml:space="preserve">, </w:t>
      </w:r>
      <w:r w:rsidRPr="00A77C78">
        <w:t>the stages of the composing process were commonly said to be five: invention</w:t>
      </w:r>
      <w:r w:rsidR="006F304D" w:rsidRPr="006F304D">
        <w:t xml:space="preserve">, </w:t>
      </w:r>
      <w:r w:rsidRPr="00A77C78">
        <w:t>arrangement</w:t>
      </w:r>
      <w:r w:rsidR="006F304D" w:rsidRPr="006F304D">
        <w:t xml:space="preserve">, </w:t>
      </w:r>
      <w:r w:rsidRPr="00A77C78">
        <w:t>style</w:t>
      </w:r>
      <w:r w:rsidR="006F304D" w:rsidRPr="006F304D">
        <w:t xml:space="preserve">, </w:t>
      </w:r>
      <w:r w:rsidRPr="00A77C78">
        <w:t>elocution</w:t>
      </w:r>
      <w:r w:rsidR="006F304D" w:rsidRPr="006F304D">
        <w:t xml:space="preserve">, </w:t>
      </w:r>
      <w:r w:rsidRPr="00A77C78">
        <w:t>and memory.</w:t>
      </w:r>
      <w:r w:rsidRPr="00A77C78">
        <w:rPr>
          <w:vertAlign w:val="superscript"/>
        </w:rPr>
        <w:footnoteReference w:id="140"/>
      </w:r>
      <w:r w:rsidRPr="00A77C78">
        <w:t xml:space="preserve"> The second of these</w:t>
      </w:r>
      <w:r w:rsidR="006F304D" w:rsidRPr="006F304D">
        <w:t xml:space="preserve">, </w:t>
      </w:r>
      <w:r w:rsidRPr="00A77C78">
        <w:t>arrangement (Greek</w:t>
      </w:r>
      <w:r>
        <w:t xml:space="preserve"> </w:t>
      </w:r>
      <w:proofErr w:type="spellStart"/>
      <w:r>
        <w:t>τάχσις</w:t>
      </w:r>
      <w:proofErr w:type="spellEnd"/>
      <w:r w:rsidR="006F304D" w:rsidRPr="006F304D">
        <w:t xml:space="preserve">, </w:t>
      </w:r>
      <w:r w:rsidRPr="00A77C78">
        <w:t xml:space="preserve">Latin </w:t>
      </w:r>
      <w:proofErr w:type="spellStart"/>
      <w:r w:rsidRPr="00A77C78">
        <w:rPr>
          <w:i/>
        </w:rPr>
        <w:t>dispositio</w:t>
      </w:r>
      <w:proofErr w:type="spellEnd"/>
      <w:r w:rsidRPr="00A77C78">
        <w:t>)</w:t>
      </w:r>
      <w:r w:rsidR="006F304D" w:rsidRPr="006F304D">
        <w:t xml:space="preserve">, </w:t>
      </w:r>
      <w:r w:rsidRPr="00A77C78">
        <w:t>is the stage in which classical rhetoric concerned itself with structure.</w:t>
      </w:r>
    </w:p>
    <w:p w14:paraId="1C80538D" w14:textId="66086FC3" w:rsidR="0018433B" w:rsidRPr="00A77C78" w:rsidRDefault="0018433B" w:rsidP="0018433B">
      <w:pPr>
        <w:widowControl w:val="0"/>
      </w:pPr>
      <w:r w:rsidRPr="00A77C78">
        <w:lastRenderedPageBreak/>
        <w:tab/>
        <w:t xml:space="preserve">The earliest classical rhetoricians proposed many divisions and subdivisions for the </w:t>
      </w:r>
      <w:proofErr w:type="spellStart"/>
      <w:r>
        <w:t>τάχσις</w:t>
      </w:r>
      <w:proofErr w:type="spellEnd"/>
      <w:r w:rsidRPr="00A77C78">
        <w:t xml:space="preserve"> of a correct speech.</w:t>
      </w:r>
      <w:r w:rsidRPr="00A77C78">
        <w:rPr>
          <w:vertAlign w:val="superscript"/>
        </w:rPr>
        <w:footnoteReference w:id="141"/>
      </w:r>
      <w:r w:rsidRPr="00A77C78">
        <w:t xml:space="preserve"> Immediately prior to Aristotle</w:t>
      </w:r>
      <w:r w:rsidR="006F304D" w:rsidRPr="006F304D">
        <w:t xml:space="preserve">, </w:t>
      </w:r>
      <w:r w:rsidRPr="00A77C78">
        <w:t>Isocrates reduced the multitude to four:</w:t>
      </w:r>
      <w:r>
        <w:t xml:space="preserve"> the π</w:t>
      </w:r>
      <w:proofErr w:type="spellStart"/>
      <w:r>
        <w:t>ροο</w:t>
      </w:r>
      <w:r w:rsidRPr="00CB0999">
        <w:rPr>
          <w:szCs w:val="22"/>
        </w:rPr>
        <w:t>ῖ</w:t>
      </w:r>
      <w:r>
        <w:rPr>
          <w:szCs w:val="22"/>
        </w:rPr>
        <w:t>μιον</w:t>
      </w:r>
      <w:proofErr w:type="spellEnd"/>
      <w:r w:rsidR="006F304D" w:rsidRPr="006F304D">
        <w:t xml:space="preserve">, </w:t>
      </w:r>
      <w:r>
        <w:t xml:space="preserve">the </w:t>
      </w:r>
      <w:proofErr w:type="spellStart"/>
      <w:r>
        <w:t>δι</w:t>
      </w:r>
      <w:r w:rsidRPr="00CB0999">
        <w:rPr>
          <w:szCs w:val="22"/>
        </w:rPr>
        <w:t>ῆ</w:t>
      </w:r>
      <w:r>
        <w:rPr>
          <w:szCs w:val="22"/>
        </w:rPr>
        <w:t>γησις</w:t>
      </w:r>
      <w:proofErr w:type="spellEnd"/>
      <w:r w:rsidR="006F304D" w:rsidRPr="006F304D">
        <w:t xml:space="preserve">, </w:t>
      </w:r>
      <w:r>
        <w:t>the π</w:t>
      </w:r>
      <w:proofErr w:type="spellStart"/>
      <w:r>
        <w:t>ιστε</w:t>
      </w:r>
      <w:r w:rsidRPr="00CB0999">
        <w:rPr>
          <w:szCs w:val="22"/>
        </w:rPr>
        <w:t>ῖ</w:t>
      </w:r>
      <w:r>
        <w:rPr>
          <w:szCs w:val="22"/>
        </w:rPr>
        <w:t>ς</w:t>
      </w:r>
      <w:proofErr w:type="spellEnd"/>
      <w:r w:rsidR="006F304D" w:rsidRPr="006F304D">
        <w:t xml:space="preserve">, </w:t>
      </w:r>
      <w:r w:rsidRPr="00A77C78">
        <w:t>and</w:t>
      </w:r>
      <w:r>
        <w:t xml:space="preserve"> the </w:t>
      </w:r>
      <w:r w:rsidRPr="00CB0999">
        <w:rPr>
          <w:szCs w:val="22"/>
        </w:rPr>
        <w:t>ἐ</w:t>
      </w:r>
      <w:r>
        <w:rPr>
          <w:szCs w:val="22"/>
        </w:rPr>
        <w:t>π</w:t>
      </w:r>
      <w:proofErr w:type="spellStart"/>
      <w:r>
        <w:rPr>
          <w:szCs w:val="22"/>
        </w:rPr>
        <w:t>ίλογος</w:t>
      </w:r>
      <w:proofErr w:type="spellEnd"/>
      <w:r w:rsidRPr="00A77C78">
        <w:t xml:space="preserve">. The </w:t>
      </w:r>
      <w:r>
        <w:t>π</w:t>
      </w:r>
      <w:proofErr w:type="spellStart"/>
      <w:r>
        <w:t>ροο</w:t>
      </w:r>
      <w:r w:rsidRPr="00CB0999">
        <w:rPr>
          <w:szCs w:val="22"/>
        </w:rPr>
        <w:t>ῖ</w:t>
      </w:r>
      <w:r>
        <w:rPr>
          <w:szCs w:val="22"/>
        </w:rPr>
        <w:t>μιον</w:t>
      </w:r>
      <w:proofErr w:type="spellEnd"/>
      <w:r w:rsidRPr="00A77C78">
        <w:t xml:space="preserve"> is the introduction</w:t>
      </w:r>
      <w:r w:rsidR="006F304D" w:rsidRPr="006F304D">
        <w:t xml:space="preserve">, </w:t>
      </w:r>
      <w:r w:rsidRPr="00A77C78">
        <w:t xml:space="preserve">the </w:t>
      </w:r>
      <w:proofErr w:type="spellStart"/>
      <w:r>
        <w:t>δι</w:t>
      </w:r>
      <w:r w:rsidRPr="00CB0999">
        <w:rPr>
          <w:szCs w:val="22"/>
        </w:rPr>
        <w:t>ῆ</w:t>
      </w:r>
      <w:r>
        <w:rPr>
          <w:szCs w:val="22"/>
        </w:rPr>
        <w:t>γησις</w:t>
      </w:r>
      <w:proofErr w:type="spellEnd"/>
      <w:r w:rsidRPr="00A77C78">
        <w:t xml:space="preserve"> is a narration of circumstances the audience should know about the case</w:t>
      </w:r>
      <w:r w:rsidR="006F304D" w:rsidRPr="006F304D">
        <w:t xml:space="preserve">, </w:t>
      </w:r>
      <w:r w:rsidRPr="00A77C78">
        <w:t xml:space="preserve">the </w:t>
      </w:r>
      <w:r>
        <w:t>π</w:t>
      </w:r>
      <w:proofErr w:type="spellStart"/>
      <w:r>
        <w:t>ιστε</w:t>
      </w:r>
      <w:r w:rsidRPr="00CB0999">
        <w:rPr>
          <w:szCs w:val="22"/>
        </w:rPr>
        <w:t>ῖ</w:t>
      </w:r>
      <w:r>
        <w:rPr>
          <w:szCs w:val="22"/>
        </w:rPr>
        <w:t>ς</w:t>
      </w:r>
      <w:proofErr w:type="spellEnd"/>
      <w:r w:rsidRPr="00A77C78">
        <w:t xml:space="preserve"> are the arguments in support of the thesis</w:t>
      </w:r>
      <w:r w:rsidR="006F304D" w:rsidRPr="006F304D">
        <w:t xml:space="preserve">, </w:t>
      </w:r>
      <w:r w:rsidRPr="00A77C78">
        <w:t xml:space="preserve">and the </w:t>
      </w:r>
      <w:r w:rsidRPr="00CB0999">
        <w:rPr>
          <w:szCs w:val="22"/>
        </w:rPr>
        <w:t>ἐ</w:t>
      </w:r>
      <w:r>
        <w:rPr>
          <w:szCs w:val="22"/>
        </w:rPr>
        <w:t>π</w:t>
      </w:r>
      <w:proofErr w:type="spellStart"/>
      <w:r>
        <w:rPr>
          <w:szCs w:val="22"/>
        </w:rPr>
        <w:t>ίλογος</w:t>
      </w:r>
      <w:proofErr w:type="spellEnd"/>
      <w:r w:rsidRPr="00A77C78">
        <w:t xml:space="preserve"> is the conclusion.</w:t>
      </w:r>
      <w:r w:rsidRPr="00A77C78">
        <w:rPr>
          <w:vertAlign w:val="superscript"/>
        </w:rPr>
        <w:footnoteReference w:id="142"/>
      </w:r>
    </w:p>
    <w:p w14:paraId="02121088" w14:textId="6A671117" w:rsidR="0018433B" w:rsidRPr="00A77C78" w:rsidRDefault="0018433B" w:rsidP="0018433B">
      <w:pPr>
        <w:widowControl w:val="0"/>
      </w:pPr>
      <w:r w:rsidRPr="00A77C78">
        <w:tab/>
        <w:t>Aristotle himself</w:t>
      </w:r>
      <w:r w:rsidR="006F304D" w:rsidRPr="006F304D">
        <w:t xml:space="preserve">, </w:t>
      </w:r>
      <w:r w:rsidRPr="00A77C78">
        <w:t>with his uncommonly good common sense</w:t>
      </w:r>
      <w:r w:rsidR="006F304D" w:rsidRPr="006F304D">
        <w:t xml:space="preserve">, </w:t>
      </w:r>
      <w:r w:rsidRPr="00A77C78">
        <w:t>proposed only two divisions.</w:t>
      </w:r>
      <w:r w:rsidRPr="00A77C78">
        <w:rPr>
          <w:vertAlign w:val="superscript"/>
        </w:rPr>
        <w:footnoteReference w:id="143"/>
      </w:r>
      <w:r w:rsidRPr="00A77C78">
        <w:t xml:space="preserve"> He reasoned that only sections which are part of every speech should be included in a universally applicable schema. Since he questioned the need in every oration for an introduction or conclusion</w:t>
      </w:r>
      <w:r w:rsidR="006F304D" w:rsidRPr="006F304D">
        <w:t xml:space="preserve">, </w:t>
      </w:r>
      <w:r w:rsidRPr="00A77C78">
        <w:t>this left him only two of Isocrates’ parts</w:t>
      </w:r>
      <w:r w:rsidR="006F304D" w:rsidRPr="006F304D">
        <w:t xml:space="preserve">, </w:t>
      </w:r>
      <w:r>
        <w:t xml:space="preserve">the </w:t>
      </w:r>
      <w:proofErr w:type="spellStart"/>
      <w:r>
        <w:t>δι</w:t>
      </w:r>
      <w:r w:rsidRPr="00CB0999">
        <w:rPr>
          <w:szCs w:val="22"/>
        </w:rPr>
        <w:t>ῆ</w:t>
      </w:r>
      <w:r>
        <w:rPr>
          <w:szCs w:val="22"/>
        </w:rPr>
        <w:t>γησις</w:t>
      </w:r>
      <w:proofErr w:type="spellEnd"/>
      <w:r w:rsidRPr="00A77C78">
        <w:t xml:space="preserve"> and </w:t>
      </w:r>
      <w:r>
        <w:t>the π</w:t>
      </w:r>
      <w:proofErr w:type="spellStart"/>
      <w:r>
        <w:t>ιστε</w:t>
      </w:r>
      <w:r w:rsidRPr="00CB0999">
        <w:rPr>
          <w:szCs w:val="22"/>
        </w:rPr>
        <w:t>ῖ</w:t>
      </w:r>
      <w:r>
        <w:rPr>
          <w:szCs w:val="22"/>
        </w:rPr>
        <w:t>ς</w:t>
      </w:r>
      <w:proofErr w:type="spellEnd"/>
      <w:r w:rsidRPr="00A77C78">
        <w:t xml:space="preserve">. Since a </w:t>
      </w:r>
      <w:proofErr w:type="spellStart"/>
      <w:r>
        <w:t>δι</w:t>
      </w:r>
      <w:r w:rsidRPr="00CB0999">
        <w:rPr>
          <w:szCs w:val="22"/>
        </w:rPr>
        <w:t>ῆ</w:t>
      </w:r>
      <w:r>
        <w:rPr>
          <w:szCs w:val="22"/>
        </w:rPr>
        <w:t>γησις</w:t>
      </w:r>
      <w:proofErr w:type="spellEnd"/>
      <w:r w:rsidRPr="00A77C78">
        <w:t xml:space="preserve"> is necessary only in a legal brief (familiarizing the court with the circumstances of a case need only occur in a courtroom)</w:t>
      </w:r>
      <w:r w:rsidR="006F304D" w:rsidRPr="006F304D">
        <w:t xml:space="preserve">, </w:t>
      </w:r>
      <w:r w:rsidRPr="00A77C78">
        <w:t xml:space="preserve">he replaced the </w:t>
      </w:r>
      <w:proofErr w:type="spellStart"/>
      <w:r>
        <w:t>δι</w:t>
      </w:r>
      <w:r w:rsidRPr="00CB0999">
        <w:rPr>
          <w:szCs w:val="22"/>
        </w:rPr>
        <w:t>ῆ</w:t>
      </w:r>
      <w:r>
        <w:rPr>
          <w:szCs w:val="22"/>
        </w:rPr>
        <w:t>γησις</w:t>
      </w:r>
      <w:proofErr w:type="spellEnd"/>
      <w:r w:rsidRPr="00A77C78">
        <w:t xml:space="preserve"> with a broader category</w:t>
      </w:r>
      <w:r w:rsidR="006F304D" w:rsidRPr="006F304D">
        <w:t xml:space="preserve">, </w:t>
      </w:r>
      <w:r w:rsidRPr="00A77C78">
        <w:t>the</w:t>
      </w:r>
      <w:r>
        <w:t xml:space="preserve"> π</w:t>
      </w:r>
      <w:proofErr w:type="spellStart"/>
      <w:r>
        <w:t>ρόθησις</w:t>
      </w:r>
      <w:proofErr w:type="spellEnd"/>
      <w:r w:rsidR="006F304D" w:rsidRPr="006F304D">
        <w:t xml:space="preserve">, </w:t>
      </w:r>
      <w:r w:rsidRPr="00A77C78">
        <w:t>a statement of the thesis to be proved; and this left</w:t>
      </w:r>
      <w:r w:rsidR="006F304D" w:rsidRPr="006F304D">
        <w:t xml:space="preserve">, </w:t>
      </w:r>
      <w:r w:rsidRPr="00A77C78">
        <w:t>as his other section</w:t>
      </w:r>
      <w:r w:rsidR="006F304D" w:rsidRPr="006F304D">
        <w:t xml:space="preserve">, </w:t>
      </w:r>
      <w:r w:rsidRPr="00A77C78">
        <w:t>the</w:t>
      </w:r>
      <w:r>
        <w:t xml:space="preserve"> π</w:t>
      </w:r>
      <w:proofErr w:type="spellStart"/>
      <w:r>
        <w:t>ιστε</w:t>
      </w:r>
      <w:bookmarkStart w:id="11" w:name="_Hlk509085537"/>
      <w:r w:rsidRPr="00CB0999">
        <w:rPr>
          <w:szCs w:val="22"/>
        </w:rPr>
        <w:t>ῖ</w:t>
      </w:r>
      <w:bookmarkEnd w:id="11"/>
      <w:r>
        <w:t>ς</w:t>
      </w:r>
      <w:proofErr w:type="spellEnd"/>
      <w:r w:rsidR="006F304D" w:rsidRPr="006F304D">
        <w:t xml:space="preserve">, </w:t>
      </w:r>
      <w:r w:rsidRPr="00A77C78">
        <w:t>arguments in support of the thesis.</w:t>
      </w:r>
      <w:r w:rsidRPr="00A77C78">
        <w:rPr>
          <w:vertAlign w:val="superscript"/>
        </w:rPr>
        <w:footnoteReference w:id="144"/>
      </w:r>
      <w:r w:rsidRPr="00A77C78">
        <w:t xml:space="preserve"> For those who simply could not tolerate just two sections</w:t>
      </w:r>
      <w:r w:rsidR="006F304D" w:rsidRPr="006F304D">
        <w:t xml:space="preserve">, </w:t>
      </w:r>
      <w:r w:rsidRPr="00A77C78">
        <w:t>Aristotle conceded that introduction and conclusion (</w:t>
      </w:r>
      <w:r>
        <w:t>π</w:t>
      </w:r>
      <w:proofErr w:type="spellStart"/>
      <w:r>
        <w:t>ροο</w:t>
      </w:r>
      <w:r w:rsidRPr="00CB0999">
        <w:rPr>
          <w:szCs w:val="22"/>
        </w:rPr>
        <w:t>ῖ</w:t>
      </w:r>
      <w:r>
        <w:rPr>
          <w:szCs w:val="22"/>
        </w:rPr>
        <w:t>μιον</w:t>
      </w:r>
      <w:proofErr w:type="spellEnd"/>
      <w:r>
        <w:t xml:space="preserve"> </w:t>
      </w:r>
      <w:r w:rsidRPr="00A77C78">
        <w:t>and</w:t>
      </w:r>
      <w:r>
        <w:t xml:space="preserve"> </w:t>
      </w:r>
      <w:r w:rsidRPr="00CB0999">
        <w:rPr>
          <w:szCs w:val="22"/>
        </w:rPr>
        <w:t>ἐ</w:t>
      </w:r>
      <w:r>
        <w:rPr>
          <w:szCs w:val="22"/>
        </w:rPr>
        <w:t>π</w:t>
      </w:r>
      <w:proofErr w:type="spellStart"/>
      <w:r>
        <w:rPr>
          <w:szCs w:val="22"/>
        </w:rPr>
        <w:t>ίλογος</w:t>
      </w:r>
      <w:proofErr w:type="spellEnd"/>
      <w:r w:rsidRPr="00A77C78">
        <w:t>) can be added as divisions that occur in most speeches.</w:t>
      </w:r>
      <w:r w:rsidRPr="00A77C78">
        <w:rPr>
          <w:vertAlign w:val="superscript"/>
        </w:rPr>
        <w:footnoteReference w:id="145"/>
      </w:r>
    </w:p>
    <w:p w14:paraId="0A10EFC0" w14:textId="4AD369D6" w:rsidR="0018433B" w:rsidRPr="00DA4D89" w:rsidRDefault="0018433B" w:rsidP="0018433B">
      <w:pPr>
        <w:widowControl w:val="0"/>
        <w:rPr>
          <w:szCs w:val="22"/>
        </w:rPr>
      </w:pPr>
      <w:r w:rsidRPr="00A77C78">
        <w:tab/>
        <w:t>Though Dionysius of Halicarnassus (</w:t>
      </w:r>
      <w:r w:rsidRPr="00A77C78">
        <w:rPr>
          <w:i/>
        </w:rPr>
        <w:t>The Art of Rhetoric</w:t>
      </w:r>
      <w:r w:rsidR="006F304D" w:rsidRPr="006F304D">
        <w:t xml:space="preserve">, </w:t>
      </w:r>
      <w:r w:rsidRPr="00A77C78">
        <w:t>10.12-14</w:t>
      </w:r>
      <w:r w:rsidR="006F304D" w:rsidRPr="006F304D">
        <w:t xml:space="preserve">, </w:t>
      </w:r>
      <w:r w:rsidRPr="00A77C78">
        <w:t xml:space="preserve">first century </w:t>
      </w:r>
      <w:proofErr w:type="spellStart"/>
      <w:r w:rsidRPr="00A77C78">
        <w:rPr>
          <w:smallCaps/>
        </w:rPr>
        <w:t>bc</w:t>
      </w:r>
      <w:proofErr w:type="spellEnd"/>
      <w:r w:rsidRPr="00A77C78">
        <w:t>) retained the four divisions of Isocrates</w:t>
      </w:r>
      <w:r w:rsidR="006F304D" w:rsidRPr="006F304D">
        <w:t xml:space="preserve">, </w:t>
      </w:r>
      <w:r w:rsidRPr="00A77C78">
        <w:t>most of the tradition after Aristotle adopted either five parts (Aristotle’s divisions</w:t>
      </w:r>
      <w:r w:rsidR="006F304D" w:rsidRPr="006F304D">
        <w:t xml:space="preserve">, </w:t>
      </w:r>
      <w:r w:rsidRPr="00A77C78">
        <w:t xml:space="preserve">but with the </w:t>
      </w:r>
      <w:r>
        <w:t>π</w:t>
      </w:r>
      <w:proofErr w:type="spellStart"/>
      <w:r>
        <w:t>ιστε</w:t>
      </w:r>
      <w:r w:rsidRPr="00CB0999">
        <w:rPr>
          <w:szCs w:val="22"/>
        </w:rPr>
        <w:t>ῖ</w:t>
      </w:r>
      <w:r>
        <w:rPr>
          <w:szCs w:val="22"/>
        </w:rPr>
        <w:t>ς</w:t>
      </w:r>
      <w:proofErr w:type="spellEnd"/>
      <w:r>
        <w:t xml:space="preserve"> </w:t>
      </w:r>
      <w:r w:rsidRPr="00A77C78">
        <w:t>divided into proofs [</w:t>
      </w:r>
      <w:proofErr w:type="spellStart"/>
      <w:r w:rsidRPr="00A77C78">
        <w:rPr>
          <w:i/>
        </w:rPr>
        <w:t>confirmatio</w:t>
      </w:r>
      <w:proofErr w:type="spellEnd"/>
      <w:r w:rsidRPr="00A77C78">
        <w:t xml:space="preserve">] and </w:t>
      </w:r>
      <w:proofErr w:type="spellStart"/>
      <w:r w:rsidRPr="00A77C78">
        <w:t>disproofs</w:t>
      </w:r>
      <w:proofErr w:type="spellEnd"/>
      <w:r w:rsidRPr="00A77C78">
        <w:t xml:space="preserve"> [</w:t>
      </w:r>
      <w:proofErr w:type="spellStart"/>
      <w:r w:rsidRPr="00A77C78">
        <w:rPr>
          <w:i/>
        </w:rPr>
        <w:t>refutatio</w:t>
      </w:r>
      <w:proofErr w:type="spellEnd"/>
      <w:r w:rsidRPr="00A77C78">
        <w:t xml:space="preserve">]) or six parts (with the </w:t>
      </w:r>
      <w:proofErr w:type="spellStart"/>
      <w:r>
        <w:t>δι</w:t>
      </w:r>
      <w:r>
        <w:rPr>
          <w:szCs w:val="22"/>
        </w:rPr>
        <w:t>ῆγησις</w:t>
      </w:r>
      <w:proofErr w:type="spellEnd"/>
      <w:r>
        <w:t xml:space="preserve"> </w:t>
      </w:r>
      <w:r w:rsidRPr="00A77C78">
        <w:t>[narration of circumstances] also divided</w:t>
      </w:r>
      <w:r w:rsidR="006F304D" w:rsidRPr="006F304D">
        <w:t xml:space="preserve">, </w:t>
      </w:r>
      <w:r w:rsidRPr="00A77C78">
        <w:t xml:space="preserve">into </w:t>
      </w:r>
      <w:proofErr w:type="spellStart"/>
      <w:r w:rsidRPr="00A77C78">
        <w:rPr>
          <w:i/>
        </w:rPr>
        <w:t>narratio</w:t>
      </w:r>
      <w:proofErr w:type="spellEnd"/>
      <w:r w:rsidRPr="00A77C78">
        <w:t xml:space="preserve"> [circumstances of the case] and </w:t>
      </w:r>
      <w:proofErr w:type="spellStart"/>
      <w:r w:rsidRPr="00A77C78">
        <w:rPr>
          <w:i/>
        </w:rPr>
        <w:t>partitio</w:t>
      </w:r>
      <w:proofErr w:type="spellEnd"/>
      <w:r w:rsidRPr="00A77C78">
        <w:t xml:space="preserve"> or </w:t>
      </w:r>
      <w:proofErr w:type="spellStart"/>
      <w:r w:rsidRPr="00A77C78">
        <w:rPr>
          <w:i/>
        </w:rPr>
        <w:t>divisio</w:t>
      </w:r>
      <w:proofErr w:type="spellEnd"/>
      <w:r w:rsidRPr="00A77C78">
        <w:t xml:space="preserve"> [points at issue]).</w:t>
      </w:r>
      <w:r w:rsidRPr="00A77C78">
        <w:rPr>
          <w:vertAlign w:val="superscript"/>
        </w:rPr>
        <w:footnoteReference w:id="146"/>
      </w:r>
      <w:r w:rsidRPr="00A77C78">
        <w:t xml:space="preserve"> Cicero usually proposed the fivefold division but occasionally (</w:t>
      </w:r>
      <w:r w:rsidRPr="00A77C78">
        <w:rPr>
          <w:i/>
        </w:rPr>
        <w:t>On Invention</w:t>
      </w:r>
      <w:r w:rsidR="006F304D" w:rsidRPr="006F304D">
        <w:t xml:space="preserve">, </w:t>
      </w:r>
      <w:r w:rsidRPr="00A77C78">
        <w:t>1.14.19</w:t>
      </w:r>
      <w:r w:rsidR="006F304D" w:rsidRPr="006F304D">
        <w:t xml:space="preserve">, </w:t>
      </w:r>
      <w:r w:rsidRPr="00A77C78">
        <w:rPr>
          <w:i/>
        </w:rPr>
        <w:t>On the Orator</w:t>
      </w:r>
      <w:r w:rsidR="006F304D" w:rsidRPr="006F304D">
        <w:t xml:space="preserve">, </w:t>
      </w:r>
      <w:r w:rsidRPr="00A77C78">
        <w:t xml:space="preserve">2.19.80) advanced the sixfold; the </w:t>
      </w:r>
      <w:r w:rsidRPr="00A77C78">
        <w:rPr>
          <w:i/>
        </w:rPr>
        <w:t>Author to Herennius</w:t>
      </w:r>
      <w:r w:rsidRPr="00A77C78">
        <w:t xml:space="preserve"> (anonymous</w:t>
      </w:r>
      <w:r w:rsidR="006F304D" w:rsidRPr="006F304D">
        <w:t xml:space="preserve">, </w:t>
      </w:r>
      <w:r w:rsidRPr="00A77C78">
        <w:t xml:space="preserve">c. 84 </w:t>
      </w:r>
      <w:proofErr w:type="spellStart"/>
      <w:r w:rsidRPr="00A77C78">
        <w:rPr>
          <w:smallCaps/>
        </w:rPr>
        <w:t>bc</w:t>
      </w:r>
      <w:proofErr w:type="spellEnd"/>
      <w:r w:rsidRPr="00A77C78">
        <w:t>) referred to the sixfold division; and Quintilian (</w:t>
      </w:r>
      <w:r w:rsidRPr="00A77C78">
        <w:rPr>
          <w:i/>
        </w:rPr>
        <w:t>On the Education of the Orator</w:t>
      </w:r>
      <w:r w:rsidR="006F304D" w:rsidRPr="006F304D">
        <w:t xml:space="preserve">, </w:t>
      </w:r>
      <w:r w:rsidRPr="00A77C78">
        <w:t xml:space="preserve">c. </w:t>
      </w:r>
      <w:r w:rsidRPr="00A77C78">
        <w:rPr>
          <w:smallCaps/>
        </w:rPr>
        <w:t>ad</w:t>
      </w:r>
      <w:r w:rsidRPr="00A77C78">
        <w:t xml:space="preserve"> 92-95) usually gave the five parts. On the whole</w:t>
      </w:r>
      <w:r w:rsidR="006F304D" w:rsidRPr="006F304D">
        <w:t xml:space="preserve">, </w:t>
      </w:r>
      <w:r w:rsidRPr="00A77C78">
        <w:t>and in light of the later tradition as well</w:t>
      </w:r>
      <w:r w:rsidR="006F304D" w:rsidRPr="006F304D">
        <w:t xml:space="preserve">, </w:t>
      </w:r>
      <w:r w:rsidRPr="00A77C78">
        <w:t>the five-part schema may be said to have prevailed: introduction</w:t>
      </w:r>
      <w:r w:rsidR="006F304D" w:rsidRPr="006F304D">
        <w:t xml:space="preserve">, </w:t>
      </w:r>
      <w:r w:rsidRPr="00A77C78">
        <w:t>narration (statement of facts)</w:t>
      </w:r>
      <w:r w:rsidR="006F304D" w:rsidRPr="006F304D">
        <w:t xml:space="preserve">, </w:t>
      </w:r>
      <w:r w:rsidRPr="00A77C78">
        <w:t>confirmation (proofs)</w:t>
      </w:r>
      <w:r w:rsidR="006F304D" w:rsidRPr="006F304D">
        <w:t xml:space="preserve">, </w:t>
      </w:r>
      <w:r w:rsidRPr="00A77C78">
        <w:t>refutation</w:t>
      </w:r>
      <w:r w:rsidR="006F304D" w:rsidRPr="006F304D">
        <w:t xml:space="preserve">, </w:t>
      </w:r>
      <w:r w:rsidRPr="00A77C78">
        <w:t>and conclusion.</w:t>
      </w:r>
      <w:r w:rsidRPr="00A77C78">
        <w:rPr>
          <w:vertAlign w:val="superscript"/>
        </w:rPr>
        <w:footnoteReference w:id="147"/>
      </w:r>
    </w:p>
    <w:p w14:paraId="46CA5106" w14:textId="076830D6" w:rsidR="0018433B" w:rsidRDefault="0018433B" w:rsidP="0018433B">
      <w:pPr>
        <w:widowControl w:val="0"/>
      </w:pPr>
      <w:r w:rsidRPr="00A77C78">
        <w:tab/>
        <w:t>This</w:t>
      </w:r>
      <w:r w:rsidR="006F304D" w:rsidRPr="006F304D">
        <w:t xml:space="preserve">, </w:t>
      </w:r>
      <w:r w:rsidRPr="00A77C78">
        <w:t>then</w:t>
      </w:r>
      <w:r w:rsidR="006F304D" w:rsidRPr="006F304D">
        <w:t xml:space="preserve">, </w:t>
      </w:r>
      <w:r w:rsidRPr="00A77C78">
        <w:t>is what classical rhetoric had to say about structure. Even granting that additional comments now and then help to flesh out these bare bones,</w:t>
      </w:r>
      <w:r w:rsidRPr="00A77C78">
        <w:rPr>
          <w:vertAlign w:val="superscript"/>
        </w:rPr>
        <w:footnoteReference w:id="148"/>
      </w:r>
      <w:r w:rsidRPr="00A77C78">
        <w:t xml:space="preserve"> the doctrine as a whole is </w:t>
      </w:r>
      <w:r w:rsidRPr="00A77C78">
        <w:lastRenderedPageBreak/>
        <w:t>rather paltry. Baldwin has assessed this dearth:</w:t>
      </w:r>
    </w:p>
    <w:p w14:paraId="5A932D75" w14:textId="77777777" w:rsidR="0018433B" w:rsidRPr="00A77C78" w:rsidRDefault="0018433B" w:rsidP="0018433B">
      <w:pPr>
        <w:widowControl w:val="0"/>
      </w:pPr>
    </w:p>
    <w:p w14:paraId="5B43CDB3" w14:textId="38DD1301" w:rsidR="0018433B" w:rsidRPr="00A77C78" w:rsidRDefault="0018433B" w:rsidP="0018433B">
      <w:pPr>
        <w:widowControl w:val="0"/>
        <w:ind w:left="720" w:right="720"/>
      </w:pPr>
      <w:r w:rsidRPr="00A77C78">
        <w:t xml:space="preserve">discussion of </w:t>
      </w:r>
      <w:proofErr w:type="spellStart"/>
      <w:r>
        <w:t>τάχσις</w:t>
      </w:r>
      <w:proofErr w:type="spellEnd"/>
      <w:r>
        <w:t xml:space="preserve"> </w:t>
      </w:r>
      <w:r w:rsidRPr="00A77C78">
        <w:t>(</w:t>
      </w:r>
      <w:proofErr w:type="spellStart"/>
      <w:r w:rsidRPr="00A77C78">
        <w:rPr>
          <w:i/>
        </w:rPr>
        <w:t>dispositio</w:t>
      </w:r>
      <w:proofErr w:type="spellEnd"/>
      <w:r w:rsidRPr="00A77C78">
        <w:t xml:space="preserve">) [in Aristotle’s </w:t>
      </w:r>
      <w:r w:rsidRPr="00A77C78">
        <w:rPr>
          <w:i/>
        </w:rPr>
        <w:t>Rhetoric</w:t>
      </w:r>
      <w:r w:rsidRPr="00A77C78">
        <w:t>] is both meager and perfunctory</w:t>
      </w:r>
      <w:r w:rsidR="006F304D" w:rsidRPr="006F304D">
        <w:t xml:space="preserve">, </w:t>
      </w:r>
      <w:r w:rsidRPr="00A77C78">
        <w:t>hardly more than a rehearsal of those definitions and counsels which were already familiar in teaching and apparently in manuals</w:t>
      </w:r>
      <w:r w:rsidR="006F304D" w:rsidRPr="006F304D">
        <w:t xml:space="preserve">, </w:t>
      </w:r>
      <w:r w:rsidRPr="00A77C78">
        <w:t>and which were to be handed on by later tradition</w:t>
      </w:r>
      <w:r w:rsidRPr="00E924C6">
        <w:t>. . . .</w:t>
      </w:r>
      <w:r w:rsidRPr="00A77C78">
        <w:t xml:space="preserve"> What the modern teacher of rhetoric misses</w:t>
      </w:r>
      <w:r w:rsidR="006F304D" w:rsidRPr="006F304D">
        <w:t xml:space="preserve">, </w:t>
      </w:r>
      <w:r w:rsidRPr="00A77C78">
        <w:t xml:space="preserve">both here and throughout the later classical discussions of </w:t>
      </w:r>
      <w:proofErr w:type="spellStart"/>
      <w:r w:rsidRPr="00A77C78">
        <w:rPr>
          <w:i/>
        </w:rPr>
        <w:t>dispositio</w:t>
      </w:r>
      <w:proofErr w:type="spellEnd"/>
      <w:r w:rsidR="006F304D" w:rsidRPr="006F304D">
        <w:t xml:space="preserve">, </w:t>
      </w:r>
      <w:r w:rsidRPr="00A77C78">
        <w:t xml:space="preserve">is some definite inculcation of consecutiveness. That consecutiveness was achieved in the best </w:t>
      </w:r>
      <w:proofErr w:type="spellStart"/>
      <w:r w:rsidRPr="00A77C78">
        <w:t>practise</w:t>
      </w:r>
      <w:proofErr w:type="spellEnd"/>
      <w:r w:rsidRPr="00A77C78">
        <w:t xml:space="preserve"> there can be no doubt; how it was taught we are left to guess.</w:t>
      </w:r>
      <w:r w:rsidRPr="00A77C78">
        <w:rPr>
          <w:vertAlign w:val="superscript"/>
        </w:rPr>
        <w:footnoteReference w:id="149"/>
      </w:r>
    </w:p>
    <w:p w14:paraId="533730F4" w14:textId="77777777" w:rsidR="0018433B" w:rsidRDefault="0018433B" w:rsidP="0018433B">
      <w:pPr>
        <w:widowControl w:val="0"/>
      </w:pPr>
    </w:p>
    <w:p w14:paraId="075DF42F" w14:textId="0E7D7ACB" w:rsidR="0018433B" w:rsidRPr="00A77C78" w:rsidRDefault="0018433B" w:rsidP="0018433B">
      <w:pPr>
        <w:widowControl w:val="0"/>
      </w:pPr>
      <w:r w:rsidRPr="00A77C78">
        <w:tab/>
        <w:t>For the most part</w:t>
      </w:r>
      <w:r w:rsidR="006F304D" w:rsidRPr="006F304D">
        <w:t xml:space="preserve">, </w:t>
      </w:r>
      <w:r w:rsidRPr="00A77C78">
        <w:t>the early Middle Ages were content to repeat the formulas of classical rhetoric. Thus Cassiodorus (c. 485-582) and Boethius (c. 480-524) give the six divisions of Cicero and Quintilian;</w:t>
      </w:r>
      <w:r w:rsidRPr="00A77C78">
        <w:rPr>
          <w:vertAlign w:val="superscript"/>
        </w:rPr>
        <w:footnoteReference w:id="150"/>
      </w:r>
      <w:r w:rsidRPr="00A77C78">
        <w:t xml:space="preserve"> Isidore of Seville (</w:t>
      </w:r>
      <w:proofErr w:type="spellStart"/>
      <w:r w:rsidRPr="00A77C78">
        <w:t>d.</w:t>
      </w:r>
      <w:proofErr w:type="spellEnd"/>
      <w:r w:rsidRPr="00A77C78">
        <w:t xml:space="preserve"> 636) gives the four of Aristotle;</w:t>
      </w:r>
      <w:r w:rsidRPr="00A77C78">
        <w:rPr>
          <w:vertAlign w:val="superscript"/>
        </w:rPr>
        <w:footnoteReference w:id="151"/>
      </w:r>
      <w:r w:rsidRPr="00A77C78">
        <w:t xml:space="preserve"> and Geoffrey of Vinsauf (c. 1200) lists the four of the </w:t>
      </w:r>
      <w:r w:rsidRPr="00A77C78">
        <w:rPr>
          <w:i/>
        </w:rPr>
        <w:t>Author to Herrenius</w:t>
      </w:r>
      <w:r w:rsidRPr="00A77C78">
        <w:t>.</w:t>
      </w:r>
      <w:r w:rsidRPr="00A77C78">
        <w:rPr>
          <w:vertAlign w:val="superscript"/>
        </w:rPr>
        <w:footnoteReference w:id="152"/>
      </w:r>
      <w:r w:rsidRPr="00A77C78">
        <w:t xml:space="preserve"> The new developments in medieval rhetoric are not likely to elicit euphoria. The flowering of the </w:t>
      </w:r>
      <w:proofErr w:type="spellStart"/>
      <w:r w:rsidRPr="00A77C78">
        <w:rPr>
          <w:i/>
        </w:rPr>
        <w:t>ars</w:t>
      </w:r>
      <w:proofErr w:type="spellEnd"/>
      <w:r w:rsidRPr="00A77C78">
        <w:rPr>
          <w:i/>
        </w:rPr>
        <w:t xml:space="preserve"> </w:t>
      </w:r>
      <w:proofErr w:type="spellStart"/>
      <w:r w:rsidRPr="00A77C78">
        <w:rPr>
          <w:i/>
        </w:rPr>
        <w:t>dictaminis</w:t>
      </w:r>
      <w:proofErr w:type="spellEnd"/>
      <w:r w:rsidRPr="00A77C78">
        <w:t xml:space="preserve"> (art of letter writing [letters were dictated</w:t>
      </w:r>
      <w:r w:rsidR="006F304D" w:rsidRPr="006F304D">
        <w:t xml:space="preserve">, </w:t>
      </w:r>
      <w:r w:rsidRPr="00A77C78">
        <w:t xml:space="preserve">hence </w:t>
      </w:r>
      <w:r w:rsidRPr="00A77C78">
        <w:rPr>
          <w:i/>
        </w:rPr>
        <w:t>dictamen</w:t>
      </w:r>
      <w:r w:rsidRPr="00A77C78">
        <w:t>]) only increased the identification of rhetoric with style.</w:t>
      </w:r>
      <w:r w:rsidRPr="00A77C78">
        <w:rPr>
          <w:vertAlign w:val="superscript"/>
        </w:rPr>
        <w:footnoteReference w:id="153"/>
      </w:r>
      <w:r w:rsidRPr="00A77C78">
        <w:t xml:space="preserve"> Another </w:t>
      </w:r>
      <w:r w:rsidRPr="00A77C78">
        <w:lastRenderedPageBreak/>
        <w:t>new development</w:t>
      </w:r>
      <w:r w:rsidR="006F304D" w:rsidRPr="006F304D">
        <w:t xml:space="preserve">, </w:t>
      </w:r>
      <w:r w:rsidRPr="00A77C78">
        <w:t>the application of rhetoric to preaching</w:t>
      </w:r>
      <w:r w:rsidR="006F304D" w:rsidRPr="006F304D">
        <w:t xml:space="preserve">, </w:t>
      </w:r>
      <w:r w:rsidRPr="00A77C78">
        <w:t xml:space="preserve">also remained jejune. It was hardly a giant step forward for rhetorical theory when Thomas of Todi struck upon the dazzling idea of using an anagram to organize a sermon (divide </w:t>
      </w:r>
      <w:r w:rsidRPr="00A77C78">
        <w:rPr>
          <w:i/>
        </w:rPr>
        <w:t>angelus</w:t>
      </w:r>
      <w:r w:rsidRPr="00A77C78">
        <w:t xml:space="preserve"> into seven letters</w:t>
      </w:r>
      <w:r w:rsidR="006F304D" w:rsidRPr="006F304D">
        <w:t xml:space="preserve">, </w:t>
      </w:r>
      <w:r w:rsidRPr="00A77C78">
        <w:t xml:space="preserve">he </w:t>
      </w:r>
      <w:r>
        <w:t>b</w:t>
      </w:r>
      <w:r w:rsidRPr="00A77C78">
        <w:t>reathlessly advises</w:t>
      </w:r>
      <w:r w:rsidR="006F304D" w:rsidRPr="006F304D">
        <w:t xml:space="preserve">, </w:t>
      </w:r>
      <w:r w:rsidRPr="00A77C78">
        <w:t xml:space="preserve">and attach to each a word with that initial letter: “adherence” for </w:t>
      </w:r>
      <w:r w:rsidRPr="00A77C78">
        <w:rPr>
          <w:i/>
        </w:rPr>
        <w:t>a</w:t>
      </w:r>
      <w:r w:rsidR="006F304D" w:rsidRPr="006F304D">
        <w:t xml:space="preserve">, </w:t>
      </w:r>
      <w:r w:rsidRPr="00A77C78">
        <w:t>“</w:t>
      </w:r>
      <w:proofErr w:type="spellStart"/>
      <w:r w:rsidRPr="00A77C78">
        <w:t>nunciation</w:t>
      </w:r>
      <w:proofErr w:type="spellEnd"/>
      <w:r w:rsidRPr="00A77C78">
        <w:t xml:space="preserve">” for </w:t>
      </w:r>
      <w:r w:rsidRPr="00A77C78">
        <w:rPr>
          <w:i/>
        </w:rPr>
        <w:t>n</w:t>
      </w:r>
      <w:r w:rsidR="006F304D" w:rsidRPr="006F304D">
        <w:t xml:space="preserve">, </w:t>
      </w:r>
      <w:r w:rsidRPr="00A77C78">
        <w:t>etc.).</w:t>
      </w:r>
      <w:r w:rsidRPr="00A77C78">
        <w:rPr>
          <w:vertAlign w:val="superscript"/>
        </w:rPr>
        <w:footnoteReference w:id="154"/>
      </w:r>
    </w:p>
    <w:p w14:paraId="3A6D65FF" w14:textId="47F7B789" w:rsidR="0018433B" w:rsidRPr="00A77C78" w:rsidRDefault="0018433B" w:rsidP="0018433B">
      <w:pPr>
        <w:widowControl w:val="0"/>
      </w:pPr>
      <w:r w:rsidRPr="00A77C78">
        <w:tab/>
        <w:t>The classical tradition</w:t>
      </w:r>
      <w:r w:rsidR="006F304D" w:rsidRPr="006F304D">
        <w:t xml:space="preserve">, </w:t>
      </w:r>
      <w:r w:rsidRPr="00A77C78">
        <w:t>and its extension in the Middle Ages</w:t>
      </w:r>
      <w:r w:rsidR="006F304D" w:rsidRPr="006F304D">
        <w:t xml:space="preserve">, </w:t>
      </w:r>
      <w:r w:rsidRPr="00A77C78">
        <w:t>is not overly helpful</w:t>
      </w:r>
      <w:r w:rsidR="006F304D" w:rsidRPr="006F304D">
        <w:t xml:space="preserve">, </w:t>
      </w:r>
      <w:r w:rsidRPr="00A77C78">
        <w:t>then</w:t>
      </w:r>
      <w:r w:rsidR="006F304D" w:rsidRPr="006F304D">
        <w:t xml:space="preserve">, </w:t>
      </w:r>
      <w:r w:rsidRPr="00A77C78">
        <w:t xml:space="preserve">for understanding the concept of structure in nonfictional discourses. It </w:t>
      </w:r>
      <w:r>
        <w:t>might</w:t>
      </w:r>
      <w:r w:rsidRPr="00A77C78">
        <w:t xml:space="preserve"> be appropriate at this point to consider the advances concerning structure </w:t>
      </w:r>
      <w:r>
        <w:t xml:space="preserve">in </w:t>
      </w:r>
      <w:r w:rsidRPr="00A77C78">
        <w:t>rhetoric</w:t>
      </w:r>
      <w:r>
        <w:t xml:space="preserve"> </w:t>
      </w:r>
      <w:r w:rsidRPr="00A77C78">
        <w:t>that have been made since the Middle Ages. That discussion will be delayed</w:t>
      </w:r>
      <w:r w:rsidR="006F304D" w:rsidRPr="006F304D">
        <w:t xml:space="preserve">, </w:t>
      </w:r>
      <w:r w:rsidRPr="00A77C78">
        <w:t>however</w:t>
      </w:r>
      <w:r w:rsidR="006F304D" w:rsidRPr="006F304D">
        <w:t xml:space="preserve">, </w:t>
      </w:r>
      <w:r w:rsidRPr="00A77C78">
        <w:t>so that it can more suitably be located in the section</w:t>
      </w:r>
      <w:r w:rsidR="006F304D" w:rsidRPr="006F304D">
        <w:t xml:space="preserve">, </w:t>
      </w:r>
      <w:r w:rsidRPr="00A77C78">
        <w:t>“Logical Principles,” at the beginning of the fifth chapter</w:t>
      </w:r>
      <w:r w:rsidR="006F304D" w:rsidRPr="006F304D">
        <w:t xml:space="preserve">, </w:t>
      </w:r>
      <w:r w:rsidRPr="00A77C78">
        <w:t xml:space="preserve">“A Typology of Rhetorical Structures.” But we may conclude this general discussion of structure in rhetoric by reviewing Young and Becker’s astute discernment of three </w:t>
      </w:r>
      <w:r w:rsidRPr="00A77C78">
        <w:rPr>
          <w:i/>
        </w:rPr>
        <w:t>general</w:t>
      </w:r>
      <w:r w:rsidRPr="00A77C78">
        <w:t xml:space="preserve"> ways in which the concept of structure in rhetoric has been affected in the modern period.</w:t>
      </w:r>
    </w:p>
    <w:p w14:paraId="11EEC6F3" w14:textId="71195415" w:rsidR="0018433B" w:rsidRDefault="0018433B" w:rsidP="0018433B">
      <w:pPr>
        <w:widowControl w:val="0"/>
      </w:pPr>
      <w:r w:rsidRPr="00A77C78">
        <w:tab/>
        <w:t>One change from classical rhetoric in modern times is the preference</w:t>
      </w:r>
      <w:r w:rsidR="006F304D" w:rsidRPr="006F304D">
        <w:t xml:space="preserve">, </w:t>
      </w:r>
      <w:r w:rsidRPr="00A77C78">
        <w:t>within argumentative discourse</w:t>
      </w:r>
      <w:r w:rsidR="006F304D" w:rsidRPr="006F304D">
        <w:t xml:space="preserve">, </w:t>
      </w:r>
      <w:r w:rsidRPr="00A77C78">
        <w:t>for intrinsic arguments (facts and experimental evidence) rather than extrinsic arguments (arguments from authority). That is to say</w:t>
      </w:r>
      <w:r w:rsidR="006F304D" w:rsidRPr="006F304D">
        <w:t xml:space="preserve">, </w:t>
      </w:r>
      <w:r w:rsidRPr="00A77C78">
        <w:t>“We have become much more interested in techniques for discovering what is unknown than in techniques for bringing old beliefs to bear on new problems.”</w:t>
      </w:r>
      <w:r w:rsidRPr="00A77C78">
        <w:rPr>
          <w:vertAlign w:val="superscript"/>
        </w:rPr>
        <w:footnoteReference w:id="155"/>
      </w:r>
      <w:r w:rsidRPr="00A77C78">
        <w:t xml:space="preserve"> Another change resulting from the rise of inductive science has been the opening up of rhetoric to other modes of discourse than persuasion.</w:t>
      </w:r>
    </w:p>
    <w:p w14:paraId="10530D8E" w14:textId="77777777" w:rsidR="0018433B" w:rsidRPr="00A77C78" w:rsidRDefault="0018433B" w:rsidP="0018433B">
      <w:pPr>
        <w:widowControl w:val="0"/>
      </w:pPr>
    </w:p>
    <w:p w14:paraId="5D3BB9AE" w14:textId="39A316A7" w:rsidR="0018433B" w:rsidRPr="00A77C78" w:rsidRDefault="0018433B" w:rsidP="0018433B">
      <w:pPr>
        <w:widowControl w:val="0"/>
        <w:ind w:left="720" w:right="720"/>
      </w:pPr>
      <w:r w:rsidRPr="00A77C78">
        <w:t>Since [classical] rhetoric was the art of persuasion</w:t>
      </w:r>
      <w:r w:rsidR="006F304D" w:rsidRPr="006F304D">
        <w:t xml:space="preserve">, </w:t>
      </w:r>
      <w:r w:rsidRPr="00A77C78">
        <w:t>patterns for other modes of discourse (</w:t>
      </w:r>
      <w:r w:rsidRPr="000A1FA5">
        <w:t>e.g.</w:t>
      </w:r>
      <w:r w:rsidR="006F304D" w:rsidRPr="006F304D">
        <w:t xml:space="preserve">, </w:t>
      </w:r>
      <w:r w:rsidRPr="00A77C78">
        <w:t>description</w:t>
      </w:r>
      <w:r w:rsidR="006F304D" w:rsidRPr="006F304D">
        <w:t xml:space="preserve">, </w:t>
      </w:r>
      <w:r w:rsidRPr="00A77C78">
        <w:t>exposition) were given little attention. In the seventeenth century</w:t>
      </w:r>
      <w:r w:rsidR="006F304D" w:rsidRPr="006F304D">
        <w:t xml:space="preserve">, </w:t>
      </w:r>
      <w:r w:rsidRPr="00A77C78">
        <w:t>however</w:t>
      </w:r>
      <w:r w:rsidR="006F304D" w:rsidRPr="006F304D">
        <w:t xml:space="preserve">, </w:t>
      </w:r>
      <w:r w:rsidRPr="00A77C78">
        <w:t>developments in science led to an increasing interest in expository prose</w:t>
      </w:r>
      <w:r w:rsidR="006F304D" w:rsidRPr="006F304D">
        <w:t xml:space="preserve">, </w:t>
      </w:r>
      <w:r w:rsidRPr="00A77C78">
        <w:t>a movement which parallels the shift from intrinsic to extrinsic argument.</w:t>
      </w:r>
      <w:r w:rsidRPr="00A77C78">
        <w:rPr>
          <w:vertAlign w:val="superscript"/>
        </w:rPr>
        <w:footnoteReference w:id="156"/>
      </w:r>
    </w:p>
    <w:p w14:paraId="574F31C9" w14:textId="77777777" w:rsidR="0018433B" w:rsidRDefault="0018433B" w:rsidP="0018433B">
      <w:pPr>
        <w:widowControl w:val="0"/>
      </w:pPr>
    </w:p>
    <w:p w14:paraId="1435C33D" w14:textId="77777777" w:rsidR="0018433B" w:rsidRDefault="0018433B" w:rsidP="0018433B">
      <w:pPr>
        <w:widowControl w:val="0"/>
      </w:pPr>
      <w:r w:rsidRPr="00A77C78">
        <w:t>A third general change is the most significant of all for the concept of structure in rhetoric:</w:t>
      </w:r>
    </w:p>
    <w:p w14:paraId="6D8FBF1E" w14:textId="77777777" w:rsidR="0018433B" w:rsidRPr="00A77C78" w:rsidRDefault="0018433B" w:rsidP="0018433B">
      <w:pPr>
        <w:widowControl w:val="0"/>
      </w:pPr>
    </w:p>
    <w:p w14:paraId="3EA3D86F" w14:textId="3733C80A" w:rsidR="0018433B" w:rsidRPr="00A77C78" w:rsidRDefault="0018433B" w:rsidP="0018433B">
      <w:pPr>
        <w:widowControl w:val="0"/>
        <w:ind w:left="720" w:right="720"/>
      </w:pPr>
      <w:r w:rsidRPr="00A77C78">
        <w:t>Since the Renaissance</w:t>
      </w:r>
      <w:r w:rsidR="006F304D" w:rsidRPr="006F304D">
        <w:t xml:space="preserve">, </w:t>
      </w:r>
      <w:r w:rsidRPr="00A77C78">
        <w:t>there has been a tendency to see form as the product of a particular mind or as discoverable within the subject matter itself. In the latter case</w:t>
      </w:r>
      <w:r w:rsidR="006F304D" w:rsidRPr="006F304D">
        <w:t xml:space="preserve">, </w:t>
      </w:r>
      <w:r w:rsidRPr="00A77C78">
        <w:t>the form of a work is not predictable. If form is a personal matter</w:t>
      </w:r>
      <w:r w:rsidR="006F304D" w:rsidRPr="006F304D">
        <w:t xml:space="preserve">, </w:t>
      </w:r>
      <w:r w:rsidRPr="00A77C78">
        <w:t>or is implicit in the subject matter</w:t>
      </w:r>
      <w:r w:rsidR="006F304D" w:rsidRPr="006F304D">
        <w:t xml:space="preserve">, </w:t>
      </w:r>
      <w:r w:rsidRPr="00A77C78">
        <w:t>the rhetorician can make fewer generalizations about arrangement.</w:t>
      </w:r>
      <w:r w:rsidRPr="00A77C78">
        <w:rPr>
          <w:vertAlign w:val="superscript"/>
        </w:rPr>
        <w:footnoteReference w:id="157"/>
      </w:r>
    </w:p>
    <w:p w14:paraId="2EB301F4" w14:textId="77777777" w:rsidR="0018433B" w:rsidRDefault="0018433B" w:rsidP="0018433B">
      <w:pPr>
        <w:widowControl w:val="0"/>
      </w:pPr>
    </w:p>
    <w:p w14:paraId="245EA923" w14:textId="6C515355" w:rsidR="0018433B" w:rsidRPr="00A77C78" w:rsidRDefault="0018433B" w:rsidP="0018433B">
      <w:pPr>
        <w:widowControl w:val="0"/>
      </w:pPr>
      <w:r w:rsidRPr="00A77C78">
        <w:tab/>
        <w:t>We shall see in the next chapter</w:t>
      </w:r>
      <w:r w:rsidR="006F304D" w:rsidRPr="006F304D">
        <w:t xml:space="preserve">, </w:t>
      </w:r>
      <w:r w:rsidRPr="00A77C78">
        <w:t>when we turn our attention to a typology of the sorts of structure that have been proposed for the sermon on the plain</w:t>
      </w:r>
      <w:r w:rsidR="006F304D" w:rsidRPr="006F304D">
        <w:t xml:space="preserve">, </w:t>
      </w:r>
      <w:r w:rsidRPr="00A77C78">
        <w:t>that the variety of proposals concerning structure in that sermon utterly breaks the mold of the four-</w:t>
      </w:r>
      <w:r w:rsidR="006F304D" w:rsidRPr="006F304D">
        <w:t xml:space="preserve">, </w:t>
      </w:r>
      <w:r w:rsidRPr="00A77C78">
        <w:t>five-</w:t>
      </w:r>
      <w:r w:rsidR="006F304D" w:rsidRPr="006F304D">
        <w:t xml:space="preserve">, </w:t>
      </w:r>
      <w:r w:rsidRPr="00A77C78">
        <w:t>or six-part format proposed by classical rhetoric.</w:t>
      </w:r>
    </w:p>
    <w:p w14:paraId="5E8B5FBB" w14:textId="77777777" w:rsidR="0018433B" w:rsidRDefault="0018433B">
      <w:r>
        <w:br w:type="page"/>
      </w:r>
    </w:p>
    <w:p w14:paraId="2C62EEAD" w14:textId="3A3FA5B2" w:rsidR="0018433B" w:rsidRPr="00AB4400" w:rsidRDefault="0018433B" w:rsidP="007D18CE">
      <w:pPr>
        <w:pStyle w:val="Heading1"/>
      </w:pPr>
      <w:r w:rsidRPr="00AB4400">
        <w:lastRenderedPageBreak/>
        <w:fldChar w:fldCharType="begin"/>
      </w:r>
      <w:r w:rsidRPr="00AB4400">
        <w:instrText xml:space="preserve"> SEQ CHAPTER \h \r 1</w:instrText>
      </w:r>
      <w:r w:rsidRPr="00AB4400">
        <w:fldChar w:fldCharType="end"/>
      </w:r>
      <w:bookmarkStart w:id="12" w:name="_Toc147618597"/>
      <w:r w:rsidR="007D18CE" w:rsidRPr="00AB4400">
        <w:t xml:space="preserve">Chapter </w:t>
      </w:r>
      <w:r w:rsidRPr="00AB4400">
        <w:t>4</w:t>
      </w:r>
      <w:r w:rsidR="007D18CE">
        <w:t xml:space="preserve">: </w:t>
      </w:r>
      <w:r w:rsidR="007D18CE" w:rsidRPr="00AB4400">
        <w:t xml:space="preserve">A Typology </w:t>
      </w:r>
      <w:r w:rsidR="007D18CE">
        <w:t>o</w:t>
      </w:r>
      <w:r w:rsidR="007D18CE" w:rsidRPr="00AB4400">
        <w:t>f Rhetorical Structures</w:t>
      </w:r>
      <w:r w:rsidRPr="00AB4400">
        <w:t>:</w:t>
      </w:r>
      <w:bookmarkEnd w:id="12"/>
    </w:p>
    <w:p w14:paraId="6A6B1CC4" w14:textId="031191DC" w:rsidR="0018433B" w:rsidRPr="00AB4400" w:rsidRDefault="007D18CE" w:rsidP="007D18CE">
      <w:pPr>
        <w:pStyle w:val="Heading1"/>
      </w:pPr>
      <w:bookmarkStart w:id="13" w:name="_Toc147618598"/>
      <w:r w:rsidRPr="00AB4400">
        <w:t>Formal Criteria</w:t>
      </w:r>
      <w:bookmarkEnd w:id="13"/>
    </w:p>
    <w:p w14:paraId="2A3B74B4" w14:textId="77777777" w:rsidR="0018433B" w:rsidRPr="00AB4400" w:rsidRDefault="0018433B" w:rsidP="0018433B">
      <w:pPr>
        <w:widowControl w:val="0"/>
      </w:pPr>
    </w:p>
    <w:p w14:paraId="45F8EDA4" w14:textId="77777777" w:rsidR="0018433B" w:rsidRPr="00AB4400" w:rsidRDefault="0018433B" w:rsidP="0018433B">
      <w:pPr>
        <w:widowControl w:val="0"/>
      </w:pPr>
    </w:p>
    <w:p w14:paraId="0DA54732" w14:textId="3A497DD9" w:rsidR="0018433B" w:rsidRPr="00AB4400" w:rsidRDefault="0018433B" w:rsidP="0018433B">
      <w:pPr>
        <w:widowControl w:val="0"/>
      </w:pPr>
      <w:r w:rsidRPr="00AB4400">
        <w:tab/>
        <w:t xml:space="preserve">The principles by which the structure of a rhetorical text can be determined are either formal or </w:t>
      </w:r>
      <w:proofErr w:type="spellStart"/>
      <w:r w:rsidRPr="00AB4400">
        <w:t>contentual</w:t>
      </w:r>
      <w:proofErr w:type="spellEnd"/>
      <w:r w:rsidRPr="00AB4400">
        <w:t>.</w:t>
      </w:r>
      <w:r w:rsidRPr="00AB4400">
        <w:rPr>
          <w:vertAlign w:val="superscript"/>
        </w:rPr>
        <w:footnoteReference w:id="158"/>
      </w:r>
      <w:r w:rsidRPr="00AB4400">
        <w:t xml:space="preserve"> </w:t>
      </w:r>
      <w:proofErr w:type="spellStart"/>
      <w:r w:rsidRPr="00AB4400">
        <w:t>Contentual</w:t>
      </w:r>
      <w:proofErr w:type="spellEnd"/>
      <w:r w:rsidRPr="00AB4400">
        <w:t xml:space="preserve"> criteria include: logical principles</w:t>
      </w:r>
      <w:r w:rsidR="006F304D" w:rsidRPr="006F304D">
        <w:t xml:space="preserve">, </w:t>
      </w:r>
      <w:r w:rsidRPr="00AB4400">
        <w:t>parallelism</w:t>
      </w:r>
      <w:r w:rsidR="006F304D" w:rsidRPr="006F304D">
        <w:t xml:space="preserve">, </w:t>
      </w:r>
      <w:r w:rsidRPr="00AB4400">
        <w:t>catchwords</w:t>
      </w:r>
      <w:r w:rsidR="006F304D" w:rsidRPr="006F304D">
        <w:t xml:space="preserve">, </w:t>
      </w:r>
      <w:r w:rsidRPr="00AB4400">
        <w:t xml:space="preserve">and bridge passages. The theoretical grounds that underlie each of these criteria will be considered in the next chapter (“A Typology of Rhetorical Structures: </w:t>
      </w:r>
      <w:proofErr w:type="spellStart"/>
      <w:r w:rsidRPr="00AB4400">
        <w:t>Contentual</w:t>
      </w:r>
      <w:proofErr w:type="spellEnd"/>
      <w:r w:rsidRPr="00AB4400">
        <w:t xml:space="preserve"> Criteria”). In the present chapter I will examine the theoretical grounds that underlie formal criteria for dividing up a rhetorical text.</w:t>
      </w:r>
    </w:p>
    <w:p w14:paraId="18A90DE0" w14:textId="0037B6E6" w:rsidR="0018433B" w:rsidRPr="00AB4400" w:rsidRDefault="0018433B" w:rsidP="0018433B">
      <w:pPr>
        <w:widowControl w:val="0"/>
      </w:pPr>
      <w:r w:rsidRPr="00AB4400">
        <w:tab/>
        <w:t>There are several formal principles for determining structure; these include: numerical principles</w:t>
      </w:r>
      <w:r w:rsidR="006F304D" w:rsidRPr="006F304D">
        <w:t xml:space="preserve">, </w:t>
      </w:r>
      <w:r w:rsidRPr="00AB4400">
        <w:t>chiasm</w:t>
      </w:r>
      <w:r w:rsidR="006F304D" w:rsidRPr="006F304D">
        <w:t xml:space="preserve">, </w:t>
      </w:r>
      <w:r w:rsidRPr="00AB4400">
        <w:t>inclusion</w:t>
      </w:r>
      <w:r w:rsidR="006F304D" w:rsidRPr="006F304D">
        <w:t xml:space="preserve">, </w:t>
      </w:r>
      <w:r w:rsidRPr="00AB4400">
        <w:t>and rhythm. These formal criteria can be called “architectonic,” in that they structure a text by means of principles analogous to those found in architecture and the other fine arts of painting</w:t>
      </w:r>
      <w:r w:rsidR="006F304D" w:rsidRPr="006F304D">
        <w:t xml:space="preserve">, </w:t>
      </w:r>
      <w:r w:rsidRPr="00AB4400">
        <w:t>sculpture</w:t>
      </w:r>
      <w:r w:rsidR="006F304D" w:rsidRPr="006F304D">
        <w:t xml:space="preserve">, </w:t>
      </w:r>
      <w:r w:rsidRPr="00AB4400">
        <w:t>and drawing.</w:t>
      </w:r>
      <w:r w:rsidRPr="00AB4400">
        <w:rPr>
          <w:vertAlign w:val="superscript"/>
        </w:rPr>
        <w:footnoteReference w:id="159"/>
      </w:r>
      <w:r w:rsidRPr="00AB4400">
        <w:t xml:space="preserve"> These spatial arts</w:t>
      </w:r>
      <w:r w:rsidR="006F304D" w:rsidRPr="006F304D">
        <w:t xml:space="preserve">, </w:t>
      </w:r>
      <w:r w:rsidRPr="00AB4400">
        <w:t>however</w:t>
      </w:r>
      <w:r w:rsidR="006F304D" w:rsidRPr="006F304D">
        <w:t xml:space="preserve">, </w:t>
      </w:r>
      <w:r w:rsidRPr="00AB4400">
        <w:t xml:space="preserve">differ from the </w:t>
      </w:r>
      <w:r w:rsidRPr="00AB4400">
        <w:lastRenderedPageBreak/>
        <w:t>temporal arts of music</w:t>
      </w:r>
      <w:r w:rsidR="006F304D" w:rsidRPr="006F304D">
        <w:t xml:space="preserve">, </w:t>
      </w:r>
      <w:r w:rsidRPr="00AB4400">
        <w:t>dance</w:t>
      </w:r>
      <w:r w:rsidR="006F304D" w:rsidRPr="006F304D">
        <w:t xml:space="preserve">, </w:t>
      </w:r>
      <w:r w:rsidRPr="00AB4400">
        <w:t>and literature in that they do not unfold in time.</w:t>
      </w:r>
      <w:r w:rsidRPr="00AB4400">
        <w:rPr>
          <w:vertAlign w:val="superscript"/>
        </w:rPr>
        <w:footnoteReference w:id="160"/>
      </w:r>
      <w:r w:rsidRPr="00AB4400">
        <w:t xml:space="preserve"> Hence to examine formal principles in a work of literature is to view the text statically. Static principles seem innately incompatible with temporal works of art</w:t>
      </w:r>
      <w:r w:rsidR="006F304D" w:rsidRPr="006F304D">
        <w:t xml:space="preserve">, </w:t>
      </w:r>
      <w:r w:rsidRPr="00AB4400">
        <w:t>but a song or poem has an atemporal as well as a temporal existence: its atemporal existence occurs in the mind of the attentive listener or reader at the moment when the song or poem ends. T. S. Eliot once wrote</w:t>
      </w:r>
      <w:r w:rsidR="006F304D" w:rsidRPr="006F304D">
        <w:t xml:space="preserve">, </w:t>
      </w:r>
      <w:r w:rsidRPr="00AB4400">
        <w:t>“Ideally I should like to be able to hold the whole of a great symphony in my mind at once.”</w:t>
      </w:r>
      <w:r w:rsidRPr="00AB4400">
        <w:rPr>
          <w:vertAlign w:val="superscript"/>
        </w:rPr>
        <w:footnoteReference w:id="161"/>
      </w:r>
      <w:r w:rsidRPr="00AB4400">
        <w:t xml:space="preserve"> There is also a sense in which later stages in the form of a temporal work of art are anticipated even as the form is unfolding in time</w:t>
      </w:r>
      <w:r w:rsidR="006F304D" w:rsidRPr="006F304D">
        <w:t xml:space="preserve">, </w:t>
      </w:r>
      <w:r w:rsidRPr="00AB4400">
        <w:t>and this anticipation renders the form more static than a purely dynamic unfolding in time would seem to allow. And finally</w:t>
      </w:r>
      <w:r w:rsidR="006F304D" w:rsidRPr="006F304D">
        <w:t xml:space="preserve">, </w:t>
      </w:r>
      <w:r w:rsidRPr="00AB4400">
        <w:t>the grasping of the atemporal aspect of a work of temporal art is greatly enhanced by the static presentation of such a work on paper</w:t>
      </w:r>
      <w:r w:rsidR="006F304D" w:rsidRPr="006F304D">
        <w:t xml:space="preserve">, </w:t>
      </w:r>
      <w:r w:rsidRPr="00AB4400">
        <w:t>where every moment of the score or text can be perused at will</w:t>
      </w:r>
      <w:r w:rsidR="006F304D" w:rsidRPr="006F304D">
        <w:t xml:space="preserve">, </w:t>
      </w:r>
      <w:r w:rsidRPr="00AB4400">
        <w:t xml:space="preserve">thus rendering its form less time-bound and more stationary. In the same way that a listener or reader can grasp a song or poem’s form </w:t>
      </w:r>
      <w:proofErr w:type="spellStart"/>
      <w:r w:rsidRPr="00AB4400">
        <w:t>atemporally</w:t>
      </w:r>
      <w:proofErr w:type="spellEnd"/>
      <w:r w:rsidR="006F304D" w:rsidRPr="006F304D">
        <w:t xml:space="preserve">, </w:t>
      </w:r>
      <w:r w:rsidRPr="00AB4400">
        <w:t xml:space="preserve">so a composer or author can conceive it </w:t>
      </w:r>
      <w:proofErr w:type="spellStart"/>
      <w:r w:rsidRPr="00AB4400">
        <w:t>atemporally</w:t>
      </w:r>
      <w:proofErr w:type="spellEnd"/>
      <w:r w:rsidRPr="00AB4400">
        <w:t xml:space="preserve"> and intend that his work conform to an architectonic design; therefore</w:t>
      </w:r>
      <w:r w:rsidR="006F304D" w:rsidRPr="006F304D">
        <w:t xml:space="preserve">, </w:t>
      </w:r>
      <w:r w:rsidRPr="00AB4400">
        <w:t>the application of formal principles to a musical composition or literary work to determine its structure is justifiable.</w:t>
      </w:r>
    </w:p>
    <w:p w14:paraId="28861382" w14:textId="3933C4EA" w:rsidR="0018433B" w:rsidRPr="00AB4400" w:rsidRDefault="0018433B" w:rsidP="0018433B">
      <w:pPr>
        <w:widowControl w:val="0"/>
      </w:pPr>
      <w:r w:rsidRPr="00AB4400">
        <w:tab/>
        <w:t>The application of architectonic principles to the investigation of works of literary art has in fact been going on for some time. In the study of Luke-Acts alone</w:t>
      </w:r>
      <w:r w:rsidR="006F304D" w:rsidRPr="006F304D">
        <w:t xml:space="preserve">, </w:t>
      </w:r>
      <w:r w:rsidRPr="00AB4400">
        <w:t>for example</w:t>
      </w:r>
      <w:r w:rsidR="006F304D" w:rsidRPr="006F304D">
        <w:t xml:space="preserve">, </w:t>
      </w:r>
      <w:r w:rsidRPr="00AB4400">
        <w:t>one may mention—in addition to those studies which are mentioned in the discussions below of individual formal principles—the works of J. G. Davies</w:t>
      </w:r>
      <w:r w:rsidR="006F304D" w:rsidRPr="006F304D">
        <w:t xml:space="preserve">, </w:t>
      </w:r>
      <w:r w:rsidRPr="00AB4400">
        <w:t>René Laurentin</w:t>
      </w:r>
      <w:r w:rsidR="006F304D" w:rsidRPr="006F304D">
        <w:t xml:space="preserve">, </w:t>
      </w:r>
      <w:r w:rsidRPr="00AB4400">
        <w:t>V. E. McEachern</w:t>
      </w:r>
      <w:r w:rsidR="006F304D" w:rsidRPr="006F304D">
        <w:t xml:space="preserve">, </w:t>
      </w:r>
      <w:r w:rsidRPr="00AB4400">
        <w:t>and Paul Minear.</w:t>
      </w:r>
      <w:r w:rsidRPr="00AB4400">
        <w:rPr>
          <w:vertAlign w:val="superscript"/>
        </w:rPr>
        <w:footnoteReference w:id="162"/>
      </w:r>
      <w:r w:rsidRPr="00AB4400">
        <w:t xml:space="preserve"> In NT studies outside of Luke-Acts</w:t>
      </w:r>
      <w:r w:rsidR="006F304D" w:rsidRPr="006F304D">
        <w:t xml:space="preserve">, </w:t>
      </w:r>
      <w:r w:rsidRPr="00AB4400">
        <w:t xml:space="preserve">there are works by M.-E. </w:t>
      </w:r>
      <w:proofErr w:type="spellStart"/>
      <w:r w:rsidRPr="00AB4400">
        <w:t>Boismard</w:t>
      </w:r>
      <w:proofErr w:type="spellEnd"/>
      <w:r w:rsidR="006F304D" w:rsidRPr="006F304D">
        <w:t xml:space="preserve">, </w:t>
      </w:r>
      <w:r w:rsidR="00E366BA" w:rsidRPr="00E366BA">
        <w:rPr>
          <w:iCs/>
        </w:rPr>
        <w:t>W.D.</w:t>
      </w:r>
      <w:r w:rsidRPr="00AB4400">
        <w:t xml:space="preserve"> Davies</w:t>
      </w:r>
      <w:r w:rsidR="006F304D" w:rsidRPr="006F304D">
        <w:t xml:space="preserve">, </w:t>
      </w:r>
      <w:r w:rsidRPr="00AB4400">
        <w:t>Paul Gaechter</w:t>
      </w:r>
      <w:r w:rsidR="006F304D" w:rsidRPr="006F304D">
        <w:t xml:space="preserve">, </w:t>
      </w:r>
      <w:r w:rsidR="00674828" w:rsidRPr="00674828">
        <w:rPr>
          <w:iCs/>
        </w:rPr>
        <w:t>C.H.</w:t>
      </w:r>
      <w:r w:rsidRPr="00AB4400">
        <w:t xml:space="preserve"> Lohr</w:t>
      </w:r>
      <w:r w:rsidR="006F304D" w:rsidRPr="006F304D">
        <w:t xml:space="preserve">, </w:t>
      </w:r>
      <w:r w:rsidRPr="00AB4400">
        <w:t>Edward Malatesta</w:t>
      </w:r>
      <w:r w:rsidR="006F304D" w:rsidRPr="006F304D">
        <w:t xml:space="preserve">, </w:t>
      </w:r>
      <w:r w:rsidRPr="00AB4400">
        <w:t>Béda Rigaux</w:t>
      </w:r>
      <w:r w:rsidR="006F304D" w:rsidRPr="006F304D">
        <w:t xml:space="preserve">, </w:t>
      </w:r>
      <w:r w:rsidRPr="00AB4400">
        <w:t xml:space="preserve">J. </w:t>
      </w:r>
      <w:proofErr w:type="spellStart"/>
      <w:r w:rsidRPr="00AB4400">
        <w:t>Radermakers</w:t>
      </w:r>
      <w:proofErr w:type="spellEnd"/>
      <w:r w:rsidR="006F304D" w:rsidRPr="006F304D">
        <w:t xml:space="preserve">, </w:t>
      </w:r>
      <w:r w:rsidRPr="00AB4400">
        <w:t>and L. John Topel.</w:t>
      </w:r>
      <w:r w:rsidRPr="00AB4400">
        <w:rPr>
          <w:vertAlign w:val="superscript"/>
        </w:rPr>
        <w:footnoteReference w:id="163"/>
      </w:r>
      <w:r w:rsidRPr="00AB4400">
        <w:t xml:space="preserve"> In </w:t>
      </w:r>
      <w:r w:rsidRPr="00AB4400">
        <w:lastRenderedPageBreak/>
        <w:t>OT studies</w:t>
      </w:r>
      <w:r w:rsidR="006F304D" w:rsidRPr="006F304D">
        <w:t xml:space="preserve">, </w:t>
      </w:r>
      <w:r w:rsidRPr="00AB4400">
        <w:t>architectonic analyses have been advanced by Stephen Bertram</w:t>
      </w:r>
      <w:r w:rsidR="006F304D" w:rsidRPr="006F304D">
        <w:t xml:space="preserve">, </w:t>
      </w:r>
      <w:r w:rsidRPr="00AB4400">
        <w:t>Claude Coulot</w:t>
      </w:r>
      <w:r w:rsidR="006F304D" w:rsidRPr="006F304D">
        <w:t xml:space="preserve">, </w:t>
      </w:r>
      <w:r w:rsidRPr="00AB4400">
        <w:t>Jan Holman</w:t>
      </w:r>
      <w:r w:rsidR="006F304D" w:rsidRPr="006F304D">
        <w:t xml:space="preserve">, </w:t>
      </w:r>
      <w:r w:rsidRPr="00AB4400">
        <w:t xml:space="preserve">J. </w:t>
      </w:r>
      <w:proofErr w:type="spellStart"/>
      <w:r w:rsidRPr="00AB4400">
        <w:t>Hontheim</w:t>
      </w:r>
      <w:proofErr w:type="spellEnd"/>
      <w:r w:rsidR="006F304D" w:rsidRPr="006F304D">
        <w:t xml:space="preserve">, </w:t>
      </w:r>
      <w:r w:rsidRPr="00AB4400">
        <w:t>John T. Willis</w:t>
      </w:r>
      <w:r w:rsidR="006F304D" w:rsidRPr="006F304D">
        <w:t xml:space="preserve">, </w:t>
      </w:r>
      <w:r w:rsidRPr="00AB4400">
        <w:t>and others.</w:t>
      </w:r>
      <w:r w:rsidRPr="00AB4400">
        <w:rPr>
          <w:vertAlign w:val="superscript"/>
        </w:rPr>
        <w:footnoteReference w:id="164"/>
      </w:r>
      <w:r w:rsidRPr="00AB4400">
        <w:t xml:space="preserve"> Classical scholarship</w:t>
      </w:r>
      <w:r w:rsidR="006F304D" w:rsidRPr="006F304D">
        <w:t xml:space="preserve">, </w:t>
      </w:r>
      <w:r w:rsidRPr="00AB4400">
        <w:t>has long debated whether or not Greek and Roman works display architectonic structures; one may cite here especially the works of G. E. Duckworth</w:t>
      </w:r>
      <w:r w:rsidR="006F304D" w:rsidRPr="006F304D">
        <w:t xml:space="preserve">, </w:t>
      </w:r>
      <w:r w:rsidRPr="00AB4400">
        <w:t xml:space="preserve">Henry R. </w:t>
      </w:r>
      <w:proofErr w:type="spellStart"/>
      <w:r w:rsidRPr="00AB4400">
        <w:t>Immerwahr</w:t>
      </w:r>
      <w:proofErr w:type="spellEnd"/>
      <w:r w:rsidR="006F304D" w:rsidRPr="006F304D">
        <w:t xml:space="preserve">, </w:t>
      </w:r>
      <w:r w:rsidRPr="00AB4400">
        <w:t>John L. Myres</w:t>
      </w:r>
      <w:r w:rsidR="006F304D" w:rsidRPr="006F304D">
        <w:t xml:space="preserve">, </w:t>
      </w:r>
      <w:r w:rsidRPr="00AB4400">
        <w:t>R. B. Steele</w:t>
      </w:r>
      <w:r w:rsidR="006F304D" w:rsidRPr="006F304D">
        <w:t xml:space="preserve">, </w:t>
      </w:r>
      <w:r w:rsidRPr="00AB4400">
        <w:t>P. Walcot</w:t>
      </w:r>
      <w:r w:rsidR="006F304D" w:rsidRPr="006F304D">
        <w:t xml:space="preserve">, </w:t>
      </w:r>
      <w:r w:rsidRPr="00AB4400">
        <w:t>and Cedric H. Whitman.</w:t>
      </w:r>
      <w:r w:rsidRPr="00AB4400">
        <w:rPr>
          <w:vertAlign w:val="superscript"/>
        </w:rPr>
        <w:footnoteReference w:id="165"/>
      </w:r>
    </w:p>
    <w:p w14:paraId="3AA7207E" w14:textId="77777777" w:rsidR="0018433B" w:rsidRPr="00AB4400" w:rsidRDefault="0018433B" w:rsidP="0018433B">
      <w:pPr>
        <w:widowControl w:val="0"/>
      </w:pPr>
      <w:r w:rsidRPr="00AB4400">
        <w:tab/>
        <w:t>I begin a consideration of formal principles in themselves (their application to Luke’s sermon will occupy us in chapters 6 and 7) with the formal principle most extensively applied to Luke’s sermon: numerical principles.</w:t>
      </w:r>
    </w:p>
    <w:p w14:paraId="38965971" w14:textId="77777777" w:rsidR="0018433B" w:rsidRPr="00AB4400" w:rsidRDefault="0018433B" w:rsidP="0018433B">
      <w:pPr>
        <w:widowControl w:val="0"/>
      </w:pPr>
    </w:p>
    <w:p w14:paraId="7AF20B74" w14:textId="77777777" w:rsidR="0018433B" w:rsidRPr="00AB4400" w:rsidRDefault="0018433B" w:rsidP="007D18CE">
      <w:pPr>
        <w:pStyle w:val="Heading2"/>
      </w:pPr>
      <w:bookmarkStart w:id="14" w:name="_Toc147618599"/>
      <w:r w:rsidRPr="00AB4400">
        <w:t>1. Numerical Principles</w:t>
      </w:r>
      <w:bookmarkEnd w:id="14"/>
    </w:p>
    <w:p w14:paraId="32AE6551" w14:textId="77777777" w:rsidR="0018433B" w:rsidRPr="00AB4400" w:rsidRDefault="0018433B" w:rsidP="0018433B">
      <w:pPr>
        <w:widowControl w:val="0"/>
      </w:pPr>
    </w:p>
    <w:p w14:paraId="677197C9" w14:textId="58620136" w:rsidR="0018433B" w:rsidRPr="00AB4400" w:rsidRDefault="0018433B" w:rsidP="0018433B">
      <w:pPr>
        <w:widowControl w:val="0"/>
      </w:pPr>
      <w:r w:rsidRPr="00AB4400">
        <w:tab/>
        <w:t>“Numerical principle” means a number—ordinarily two</w:t>
      </w:r>
      <w:r w:rsidR="006F304D" w:rsidRPr="006F304D">
        <w:t xml:space="preserve">, </w:t>
      </w:r>
      <w:r w:rsidRPr="00AB4400">
        <w:t>three</w:t>
      </w:r>
      <w:r w:rsidR="006F304D" w:rsidRPr="006F304D">
        <w:t xml:space="preserve">, </w:t>
      </w:r>
      <w:r w:rsidRPr="00AB4400">
        <w:t xml:space="preserve">or four—used to structure a literary text. The </w:t>
      </w:r>
      <w:r w:rsidRPr="00AB4400">
        <w:rPr>
          <w:i/>
        </w:rPr>
        <w:t>terza rima</w:t>
      </w:r>
      <w:r w:rsidRPr="00AB4400">
        <w:t xml:space="preserve"> in Dante’s </w:t>
      </w:r>
      <w:r w:rsidRPr="00AB4400">
        <w:rPr>
          <w:i/>
        </w:rPr>
        <w:t xml:space="preserve">La </w:t>
      </w:r>
      <w:proofErr w:type="spellStart"/>
      <w:r w:rsidRPr="00AB4400">
        <w:rPr>
          <w:i/>
        </w:rPr>
        <w:t>divina</w:t>
      </w:r>
      <w:proofErr w:type="spellEnd"/>
      <w:r w:rsidRPr="00AB4400">
        <w:rPr>
          <w:i/>
        </w:rPr>
        <w:t xml:space="preserve"> commedia</w:t>
      </w:r>
      <w:r w:rsidR="006F304D" w:rsidRPr="006F304D">
        <w:t xml:space="preserve">, </w:t>
      </w:r>
      <w:r w:rsidRPr="00AB4400">
        <w:t>the villanelle form in Dylan Thomas’ “Do Not Go Gentle into That Good Night,” and so on</w:t>
      </w:r>
      <w:r w:rsidR="006F304D" w:rsidRPr="006F304D">
        <w:t xml:space="preserve">, </w:t>
      </w:r>
      <w:r w:rsidRPr="00AB4400">
        <w:t>certainly prove that such principles exist.</w:t>
      </w:r>
      <w:r w:rsidRPr="00AB4400">
        <w:rPr>
          <w:vertAlign w:val="superscript"/>
        </w:rPr>
        <w:footnoteReference w:id="166"/>
      </w:r>
    </w:p>
    <w:p w14:paraId="0BD8DF2D" w14:textId="2FD11DA0" w:rsidR="0018433B" w:rsidRPr="00AB4400" w:rsidRDefault="0018433B" w:rsidP="0018433B">
      <w:pPr>
        <w:widowControl w:val="0"/>
      </w:pPr>
      <w:r w:rsidRPr="00AB4400">
        <w:tab/>
        <w:t xml:space="preserve">Many scholars have proposed that nature itself suggests the use of numbers to structure </w:t>
      </w:r>
      <w:r w:rsidRPr="00AB4400">
        <w:lastRenderedPageBreak/>
        <w:t>literary works. Axel Olrik many years ago claimed that the frequent occurrence of patterns of three in folk literature is based on nature: “the organization of nature itself brings [three] forward: animals</w:t>
      </w:r>
      <w:r w:rsidR="006F304D" w:rsidRPr="006F304D">
        <w:t xml:space="preserve">, </w:t>
      </w:r>
      <w:r w:rsidRPr="00AB4400">
        <w:t>birds</w:t>
      </w:r>
      <w:r w:rsidR="006F304D" w:rsidRPr="006F304D">
        <w:t xml:space="preserve">, </w:t>
      </w:r>
      <w:r w:rsidRPr="00AB4400">
        <w:t>fish; earth</w:t>
      </w:r>
      <w:r w:rsidR="006F304D" w:rsidRPr="006F304D">
        <w:t xml:space="preserve">, </w:t>
      </w:r>
      <w:r w:rsidRPr="00AB4400">
        <w:t>sky</w:t>
      </w:r>
      <w:r w:rsidR="006F304D" w:rsidRPr="006F304D">
        <w:t xml:space="preserve">, </w:t>
      </w:r>
      <w:r w:rsidRPr="00AB4400">
        <w:t>sea; earth</w:t>
      </w:r>
      <w:r w:rsidR="006F304D" w:rsidRPr="006F304D">
        <w:t xml:space="preserve">, </w:t>
      </w:r>
      <w:r w:rsidRPr="00AB4400">
        <w:t>heaven</w:t>
      </w:r>
      <w:r w:rsidR="006F304D" w:rsidRPr="006F304D">
        <w:t xml:space="preserve">, </w:t>
      </w:r>
      <w:r w:rsidRPr="00AB4400">
        <w:t>hell—they are all divided into three.”</w:t>
      </w:r>
      <w:r w:rsidRPr="00AB4400">
        <w:rPr>
          <w:vertAlign w:val="superscript"/>
        </w:rPr>
        <w:footnoteReference w:id="167"/>
      </w:r>
      <w:r w:rsidRPr="00AB4400">
        <w:t xml:space="preserve"> A New Testament scholar</w:t>
      </w:r>
      <w:r w:rsidR="006F304D" w:rsidRPr="006F304D">
        <w:t xml:space="preserve">, </w:t>
      </w:r>
      <w:r w:rsidRPr="00AB4400">
        <w:t>Ernst von Dobschütz</w:t>
      </w:r>
      <w:r w:rsidR="006F304D" w:rsidRPr="006F304D">
        <w:t xml:space="preserve">, </w:t>
      </w:r>
      <w:r w:rsidRPr="00AB4400">
        <w:t>concurred but noted that two as a principle of organization is equally inherent in the structure of things: “Nature demonstrates the number two to man: he himself has two arms</w:t>
      </w:r>
      <w:r w:rsidR="006F304D" w:rsidRPr="006F304D">
        <w:t xml:space="preserve">, </w:t>
      </w:r>
      <w:r w:rsidRPr="00AB4400">
        <w:t>two legs</w:t>
      </w:r>
      <w:r w:rsidR="006F304D" w:rsidRPr="006F304D">
        <w:t xml:space="preserve">, </w:t>
      </w:r>
      <w:r w:rsidRPr="00AB4400">
        <w:t>two eyes</w:t>
      </w:r>
      <w:r w:rsidR="006F304D" w:rsidRPr="006F304D">
        <w:t xml:space="preserve">, </w:t>
      </w:r>
      <w:r w:rsidRPr="00AB4400">
        <w:t xml:space="preserve">two ears </w:t>
      </w:r>
      <w:r>
        <w:t>. . .</w:t>
      </w:r>
      <w:r w:rsidRPr="00AB4400">
        <w:t xml:space="preserve"> There seems to be in mankind a drive to divide things into two</w:t>
      </w:r>
      <w:r w:rsidR="006F304D" w:rsidRPr="006F304D">
        <w:t xml:space="preserve">, </w:t>
      </w:r>
      <w:r w:rsidRPr="00AB4400">
        <w:t>yet at the same time a desire to divide into three.”</w:t>
      </w:r>
      <w:r w:rsidRPr="00AB4400">
        <w:rPr>
          <w:vertAlign w:val="superscript"/>
        </w:rPr>
        <w:footnoteReference w:id="168"/>
      </w:r>
      <w:r w:rsidRPr="00AB4400">
        <w:t xml:space="preserve"> But another folklorist</w:t>
      </w:r>
      <w:r w:rsidR="006F304D" w:rsidRPr="006F304D">
        <w:t xml:space="preserve">, </w:t>
      </w:r>
      <w:r w:rsidRPr="00AB4400">
        <w:t>Alan Dundes</w:t>
      </w:r>
      <w:r w:rsidR="006F304D" w:rsidRPr="006F304D">
        <w:t xml:space="preserve">, </w:t>
      </w:r>
      <w:r w:rsidRPr="00AB4400">
        <w:t>has challenged the notion that patterns of two or three are suggested to authors by nature.</w:t>
      </w:r>
    </w:p>
    <w:p w14:paraId="19F67D11" w14:textId="77777777" w:rsidR="0018433B" w:rsidRPr="00AB4400" w:rsidRDefault="0018433B" w:rsidP="0018433B">
      <w:pPr>
        <w:widowControl w:val="0"/>
      </w:pPr>
    </w:p>
    <w:p w14:paraId="2028C61A" w14:textId="7E6F0D8E" w:rsidR="0018433B" w:rsidRPr="00AB4400" w:rsidRDefault="0018433B" w:rsidP="0018433B">
      <w:pPr>
        <w:widowControl w:val="0"/>
        <w:ind w:left="720" w:right="720"/>
      </w:pPr>
      <w:r w:rsidRPr="00AB4400">
        <w:t>By arguing that three is in the nature of nature rather than in the nature of culture</w:t>
      </w:r>
      <w:r w:rsidR="006F304D" w:rsidRPr="006F304D">
        <w:t xml:space="preserve">, </w:t>
      </w:r>
      <w:r w:rsidRPr="00AB4400">
        <w:t xml:space="preserve">Olrik is unable to see that the folk or native category of trebling and tripartition has infiltrated most of our so-called objective analytic schemes. Nature does not come in threes; we in Western civilization </w:t>
      </w:r>
      <w:r w:rsidRPr="00AB4400">
        <w:rPr>
          <w:i/>
        </w:rPr>
        <w:t>see</w:t>
      </w:r>
      <w:r w:rsidRPr="00AB4400">
        <w:t xml:space="preserve"> nature in threes.</w:t>
      </w:r>
      <w:r w:rsidRPr="00AB4400">
        <w:rPr>
          <w:vertAlign w:val="superscript"/>
        </w:rPr>
        <w:footnoteReference w:id="169"/>
      </w:r>
    </w:p>
    <w:p w14:paraId="57448D83" w14:textId="77777777" w:rsidR="0018433B" w:rsidRPr="00AB4400" w:rsidRDefault="0018433B" w:rsidP="0018433B">
      <w:pPr>
        <w:widowControl w:val="0"/>
      </w:pPr>
    </w:p>
    <w:p w14:paraId="7BF5D206" w14:textId="4FB5425C" w:rsidR="0018433B" w:rsidRPr="00AB4400" w:rsidRDefault="0018433B" w:rsidP="0018433B">
      <w:pPr>
        <w:widowControl w:val="0"/>
      </w:pPr>
      <w:r w:rsidRPr="00AB4400">
        <w:t>Neither two nor three</w:t>
      </w:r>
      <w:r w:rsidR="006F304D" w:rsidRPr="006F304D">
        <w:t xml:space="preserve">, </w:t>
      </w:r>
      <w:proofErr w:type="spellStart"/>
      <w:r w:rsidRPr="00AB4400">
        <w:t>Dundes</w:t>
      </w:r>
      <w:proofErr w:type="spellEnd"/>
      <w:r w:rsidRPr="00AB4400">
        <w:t xml:space="preserve"> contends</w:t>
      </w:r>
      <w:r w:rsidR="006F304D" w:rsidRPr="006F304D">
        <w:t xml:space="preserve">, </w:t>
      </w:r>
      <w:r w:rsidRPr="00AB4400">
        <w:t>is characteristic of all cultures; in fact,</w:t>
      </w:r>
    </w:p>
    <w:p w14:paraId="20871E8D" w14:textId="77777777" w:rsidR="0018433B" w:rsidRPr="00AB4400" w:rsidRDefault="0018433B" w:rsidP="0018433B">
      <w:pPr>
        <w:widowControl w:val="0"/>
      </w:pPr>
    </w:p>
    <w:p w14:paraId="7AABD020" w14:textId="2820F09C" w:rsidR="0018433B" w:rsidRPr="00AB4400" w:rsidRDefault="0018433B" w:rsidP="0018433B">
      <w:pPr>
        <w:widowControl w:val="0"/>
        <w:ind w:left="720" w:right="720"/>
      </w:pPr>
      <w:r w:rsidRPr="00AB4400">
        <w:t>There are several pattern numbers</w:t>
      </w:r>
      <w:r w:rsidR="006F304D" w:rsidRPr="006F304D">
        <w:t xml:space="preserve">, </w:t>
      </w:r>
      <w:r w:rsidRPr="00AB4400">
        <w:t>each with its own distribution. The majority of American Indian cultures have four as their ritual or sacred number</w:t>
      </w:r>
      <w:r>
        <w:t>. . . .</w:t>
      </w:r>
      <w:r w:rsidRPr="00AB4400">
        <w:t xml:space="preserve"> the ritual five [occurs] among numerous tribes in western North America </w:t>
      </w:r>
      <w:r>
        <w:t>. . .</w:t>
      </w:r>
      <w:r w:rsidRPr="00AB4400">
        <w:t xml:space="preserve"> The occurrence of five in South America and in China </w:t>
      </w:r>
      <w:r>
        <w:t>. . .</w:t>
      </w:r>
      <w:r w:rsidRPr="00AB4400">
        <w:t xml:space="preserve"> suggests that the ritual use of five may be of considerable antiquity</w:t>
      </w:r>
      <w:r>
        <w:t>. . . .</w:t>
      </w:r>
      <w:r w:rsidRPr="00AB4400">
        <w:t xml:space="preserve"> In fact</w:t>
      </w:r>
      <w:r w:rsidR="006F304D" w:rsidRPr="006F304D">
        <w:t xml:space="preserve">, </w:t>
      </w:r>
      <w:r w:rsidRPr="00AB4400">
        <w:t>there is clearly a plurality of pattern numbers—two</w:t>
      </w:r>
      <w:r w:rsidR="006F304D" w:rsidRPr="006F304D">
        <w:t xml:space="preserve">, </w:t>
      </w:r>
      <w:r w:rsidRPr="00AB4400">
        <w:t>seven</w:t>
      </w:r>
      <w:r w:rsidR="006F304D" w:rsidRPr="006F304D">
        <w:t xml:space="preserve">, </w:t>
      </w:r>
      <w:r w:rsidRPr="00AB4400">
        <w:t>and twelve are three obvious examples.</w:t>
      </w:r>
      <w:r w:rsidRPr="00AB4400">
        <w:rPr>
          <w:vertAlign w:val="superscript"/>
        </w:rPr>
        <w:footnoteReference w:id="170"/>
      </w:r>
    </w:p>
    <w:p w14:paraId="2C5C51B7" w14:textId="77777777" w:rsidR="0018433B" w:rsidRPr="00AB4400" w:rsidRDefault="0018433B" w:rsidP="0018433B">
      <w:pPr>
        <w:widowControl w:val="0"/>
      </w:pPr>
    </w:p>
    <w:p w14:paraId="6CB79725" w14:textId="393A290D" w:rsidR="0018433B" w:rsidRPr="00AB4400" w:rsidRDefault="0018433B" w:rsidP="0018433B">
      <w:pPr>
        <w:widowControl w:val="0"/>
      </w:pPr>
      <w:r w:rsidRPr="00AB4400">
        <w:t>Nevertheless</w:t>
      </w:r>
      <w:r w:rsidR="006F304D" w:rsidRPr="006F304D">
        <w:t xml:space="preserve">, </w:t>
      </w:r>
      <w:r w:rsidRPr="00AB4400">
        <w:t>three does seem to be unusually significant in Indo-European and Semitic cultures,</w:t>
      </w:r>
      <w:r w:rsidRPr="00AB4400">
        <w:rPr>
          <w:vertAlign w:val="superscript"/>
        </w:rPr>
        <w:footnoteReference w:id="171"/>
      </w:r>
      <w:r w:rsidRPr="00AB4400">
        <w:t xml:space="preserve"> and these cultures are the significant ones for an analysis of number principles in scripture.</w:t>
      </w:r>
    </w:p>
    <w:p w14:paraId="5A2E5316" w14:textId="4D65C9C6" w:rsidR="0018433B" w:rsidRPr="00AB4400" w:rsidRDefault="0018433B" w:rsidP="0018433B">
      <w:pPr>
        <w:widowControl w:val="0"/>
      </w:pPr>
      <w:r w:rsidRPr="00AB4400">
        <w:tab/>
        <w:t xml:space="preserve">Evidence for an emphasis on three in Indo-European cultures is the appearance in European folktales of threefold items or events. The German </w:t>
      </w:r>
      <w:r w:rsidRPr="00AB4400">
        <w:rPr>
          <w:i/>
        </w:rPr>
        <w:t>Märchen</w:t>
      </w:r>
      <w:r w:rsidR="006F304D" w:rsidRPr="006F304D">
        <w:t xml:space="preserve">, </w:t>
      </w:r>
      <w:r w:rsidRPr="00AB4400">
        <w:t xml:space="preserve">“The Frog King” (also known as “Iron Henry”) contains several series of three: “The princess is </w:t>
      </w:r>
      <w:r>
        <w:t>. . .</w:t>
      </w:r>
      <w:r w:rsidRPr="00AB4400">
        <w:t xml:space="preserve"> the youngest of three daughters; the frog’s demands are made in a series of three (door</w:t>
      </w:r>
      <w:r w:rsidR="006F304D" w:rsidRPr="006F304D">
        <w:t xml:space="preserve">, </w:t>
      </w:r>
      <w:r w:rsidRPr="00AB4400">
        <w:t>table</w:t>
      </w:r>
      <w:r w:rsidR="006F304D" w:rsidRPr="006F304D">
        <w:t xml:space="preserve">, </w:t>
      </w:r>
      <w:r w:rsidRPr="00AB4400">
        <w:t>bed); True Henry has three bands around his heart.”</w:t>
      </w:r>
      <w:r w:rsidRPr="00AB4400">
        <w:rPr>
          <w:vertAlign w:val="superscript"/>
        </w:rPr>
        <w:footnoteReference w:id="172"/>
      </w:r>
      <w:r w:rsidRPr="00AB4400">
        <w:t xml:space="preserve"> </w:t>
      </w:r>
      <w:proofErr w:type="spellStart"/>
      <w:r w:rsidRPr="00AB4400">
        <w:t>Dundes</w:t>
      </w:r>
      <w:proofErr w:type="spellEnd"/>
      <w:r w:rsidRPr="00AB4400">
        <w:t xml:space="preserve"> cites further examples</w:t>
      </w:r>
      <w:r w:rsidR="006F304D" w:rsidRPr="006F304D">
        <w:t xml:space="preserve">, </w:t>
      </w:r>
      <w:r w:rsidRPr="00AB4400">
        <w:t xml:space="preserve">from nursery rhymes as well as folktales: “are </w:t>
      </w:r>
      <w:r w:rsidRPr="00AB4400">
        <w:lastRenderedPageBreak/>
        <w:t xml:space="preserve">there not three men in a tub? three bags of Baa </w:t>
      </w:r>
      <w:proofErr w:type="spellStart"/>
      <w:r w:rsidRPr="00AB4400">
        <w:t>Baa</w:t>
      </w:r>
      <w:proofErr w:type="spellEnd"/>
      <w:r w:rsidRPr="00AB4400">
        <w:t xml:space="preserve"> Black Sheep’s wool? three little kittens who lost their mittens? three little pigs? Is not the third item called for by Old King Cole his fiddlers three? Is there an American child who has not heard the story of the three bears?”</w:t>
      </w:r>
      <w:r w:rsidRPr="00AB4400">
        <w:rPr>
          <w:vertAlign w:val="superscript"/>
        </w:rPr>
        <w:footnoteReference w:id="173"/>
      </w:r>
    </w:p>
    <w:p w14:paraId="3E365B85" w14:textId="77777777" w:rsidR="0018433B" w:rsidRPr="00AB4400" w:rsidRDefault="0018433B" w:rsidP="0018433B">
      <w:pPr>
        <w:widowControl w:val="0"/>
      </w:pPr>
      <w:r w:rsidRPr="00AB4400">
        <w:tab/>
        <w:t>The occurrence of tripartition in folktales is so frequent that Olrik has dubbed it “the law of three.”</w:t>
      </w:r>
    </w:p>
    <w:p w14:paraId="4661BFB4" w14:textId="77777777" w:rsidR="0018433B" w:rsidRPr="00AB4400" w:rsidRDefault="0018433B" w:rsidP="0018433B">
      <w:pPr>
        <w:widowControl w:val="0"/>
      </w:pPr>
    </w:p>
    <w:p w14:paraId="2F0433AF" w14:textId="4349C2F0" w:rsidR="0018433B" w:rsidRPr="00AB4400" w:rsidRDefault="0018433B" w:rsidP="0018433B">
      <w:pPr>
        <w:widowControl w:val="0"/>
        <w:ind w:left="720" w:right="720"/>
      </w:pPr>
      <w:r>
        <w:t>. . .</w:t>
      </w:r>
      <w:r w:rsidRPr="00AB4400">
        <w:t xml:space="preserve"> in hundreds of thousands of folk traditions</w:t>
      </w:r>
      <w:r w:rsidR="006F304D" w:rsidRPr="006F304D">
        <w:t xml:space="preserve">, </w:t>
      </w:r>
      <w:r w:rsidRPr="00AB4400">
        <w:t>three is the highest number with which one deals</w:t>
      </w:r>
      <w:r>
        <w:t>. . . .</w:t>
      </w:r>
      <w:r w:rsidRPr="00AB4400">
        <w:t xml:space="preserve"> Nothing distinguishes the great bulk of folk narrative from modern literature and from reality as much as does the number three</w:t>
      </w:r>
      <w:r>
        <w:t>. . . .</w:t>
      </w:r>
      <w:r w:rsidRPr="00AB4400">
        <w:t xml:space="preserve"> The Law of Three extends like a broad swath cut through the world of folk tradition</w:t>
      </w:r>
      <w:r w:rsidR="006F304D" w:rsidRPr="006F304D">
        <w:t xml:space="preserve">, </w:t>
      </w:r>
      <w:r w:rsidRPr="00AB4400">
        <w:t xml:space="preserve">through the centuries and </w:t>
      </w:r>
      <w:proofErr w:type="spellStart"/>
      <w:r w:rsidRPr="00AB4400">
        <w:t>millenia</w:t>
      </w:r>
      <w:proofErr w:type="spellEnd"/>
      <w:r w:rsidRPr="00AB4400">
        <w:t xml:space="preserve"> of human culture. The Semitic</w:t>
      </w:r>
      <w:r w:rsidR="006F304D" w:rsidRPr="006F304D">
        <w:t xml:space="preserve">, </w:t>
      </w:r>
      <w:r w:rsidRPr="00AB4400">
        <w:t>and even more</w:t>
      </w:r>
      <w:r w:rsidR="006F304D" w:rsidRPr="006F304D">
        <w:t xml:space="preserve">, </w:t>
      </w:r>
      <w:r w:rsidRPr="00AB4400">
        <w:t>the Aryan culture</w:t>
      </w:r>
      <w:r w:rsidR="006F304D" w:rsidRPr="006F304D">
        <w:t xml:space="preserve">, </w:t>
      </w:r>
      <w:r w:rsidRPr="00AB4400">
        <w:t>is subject to this dominant force.</w:t>
      </w:r>
      <w:r w:rsidRPr="00AB4400">
        <w:rPr>
          <w:vertAlign w:val="superscript"/>
        </w:rPr>
        <w:footnoteReference w:id="174"/>
      </w:r>
    </w:p>
    <w:p w14:paraId="4F3F8B80" w14:textId="77777777" w:rsidR="0018433B" w:rsidRDefault="0018433B" w:rsidP="0018433B">
      <w:pPr>
        <w:widowControl w:val="0"/>
      </w:pPr>
    </w:p>
    <w:p w14:paraId="53D79FEA" w14:textId="6E743F3D" w:rsidR="0018433B" w:rsidRDefault="0018433B" w:rsidP="0018433B">
      <w:pPr>
        <w:widowControl w:val="0"/>
      </w:pPr>
      <w:r w:rsidRPr="00AB4400">
        <w:t>Olrik’s mention of both Semitic and Aryan cultures nicely dovetails into biblical literature</w:t>
      </w:r>
      <w:r w:rsidR="006F304D" w:rsidRPr="006F304D">
        <w:t xml:space="preserve">, </w:t>
      </w:r>
      <w:r w:rsidRPr="00AB4400">
        <w:t>since many writings in both the OT and the NT display both Hellenistic and Semitic characteristics (the gospels</w:t>
      </w:r>
      <w:r w:rsidR="006F304D" w:rsidRPr="006F304D">
        <w:t xml:space="preserve">, </w:t>
      </w:r>
      <w:r w:rsidRPr="00AB4400">
        <w:t>especially</w:t>
      </w:r>
      <w:r w:rsidR="006F304D" w:rsidRPr="006F304D">
        <w:t xml:space="preserve">, </w:t>
      </w:r>
      <w:r w:rsidRPr="00AB4400">
        <w:t xml:space="preserve">are Greek writings with underlying Semitic features). </w:t>
      </w:r>
      <w:proofErr w:type="spellStart"/>
      <w:r w:rsidRPr="00AB4400">
        <w:t>Dundes</w:t>
      </w:r>
      <w:proofErr w:type="spellEnd"/>
      <w:r w:rsidRPr="00AB4400">
        <w:t xml:space="preserve"> cites several instances of tripartition in the scriptures.</w:t>
      </w:r>
    </w:p>
    <w:p w14:paraId="121EBBDD" w14:textId="77777777" w:rsidR="0018433B" w:rsidRPr="00AB4400" w:rsidRDefault="0018433B" w:rsidP="0018433B">
      <w:pPr>
        <w:widowControl w:val="0"/>
      </w:pPr>
    </w:p>
    <w:p w14:paraId="4019B752" w14:textId="72FB8676" w:rsidR="0018433B" w:rsidRPr="00AB4400" w:rsidRDefault="0018433B" w:rsidP="0018433B">
      <w:pPr>
        <w:widowControl w:val="0"/>
        <w:ind w:left="720" w:right="720"/>
      </w:pPr>
      <w:r w:rsidRPr="00AB4400">
        <w:t>Noah</w:t>
      </w:r>
      <w:r w:rsidR="006F304D" w:rsidRPr="006F304D">
        <w:t xml:space="preserve">, </w:t>
      </w:r>
      <w:r w:rsidRPr="00AB4400">
        <w:t>who had three sons</w:t>
      </w:r>
      <w:r w:rsidR="006F304D" w:rsidRPr="006F304D">
        <w:t xml:space="preserve">, </w:t>
      </w:r>
      <w:r w:rsidRPr="00AB4400">
        <w:t>sent the dove out of the three-storied ark three times. [There are] the three Magi</w:t>
      </w:r>
      <w:r w:rsidR="006F304D" w:rsidRPr="006F304D">
        <w:t xml:space="preserve">, </w:t>
      </w:r>
      <w:r w:rsidRPr="00AB4400">
        <w:t>Satan’s three temptations of Christ</w:t>
      </w:r>
      <w:r w:rsidR="006F304D" w:rsidRPr="006F304D">
        <w:t xml:space="preserve">, </w:t>
      </w:r>
      <w:r w:rsidRPr="00AB4400">
        <w:t>Peter’s three denials of Christ</w:t>
      </w:r>
      <w:r w:rsidR="006F304D" w:rsidRPr="006F304D">
        <w:t xml:space="preserve">, </w:t>
      </w:r>
      <w:r w:rsidRPr="00AB4400">
        <w:t>the three crucifixions at Calvary</w:t>
      </w:r>
      <w:r w:rsidR="006F304D" w:rsidRPr="006F304D">
        <w:t xml:space="preserve">, </w:t>
      </w:r>
      <w:r w:rsidRPr="00AB4400">
        <w:t xml:space="preserve">the three </w:t>
      </w:r>
      <w:proofErr w:type="spellStart"/>
      <w:r w:rsidRPr="00AB4400">
        <w:t>Marys</w:t>
      </w:r>
      <w:proofErr w:type="spellEnd"/>
      <w:r w:rsidR="006F304D" w:rsidRPr="006F304D">
        <w:t xml:space="preserve">, </w:t>
      </w:r>
      <w:r w:rsidRPr="00AB4400">
        <w:t>the three nails</w:t>
      </w:r>
      <w:r w:rsidR="006F304D" w:rsidRPr="006F304D">
        <w:t xml:space="preserve">, </w:t>
      </w:r>
      <w:r w:rsidRPr="00AB4400">
        <w:t>the three days intervening between the burial and the resurrection</w:t>
      </w:r>
      <w:r w:rsidR="006F304D" w:rsidRPr="006F304D">
        <w:t xml:space="preserve">, </w:t>
      </w:r>
      <w:r w:rsidRPr="00AB4400">
        <w:t>and Christ’s age of thirty-three. After the resurrection</w:t>
      </w:r>
      <w:r w:rsidR="006F304D" w:rsidRPr="006F304D">
        <w:t xml:space="preserve">, </w:t>
      </w:r>
      <w:r w:rsidRPr="00AB4400">
        <w:t>Christ showed himself three times to his disciples (John 21:14) and asked Peter three times “</w:t>
      </w:r>
      <w:proofErr w:type="spellStart"/>
      <w:r w:rsidRPr="00AB4400">
        <w:t>Lovest</w:t>
      </w:r>
      <w:proofErr w:type="spellEnd"/>
      <w:r w:rsidRPr="00AB4400">
        <w:t xml:space="preserve"> thou me?” (John 21:17).</w:t>
      </w:r>
      <w:r w:rsidRPr="00AB4400">
        <w:rPr>
          <w:vertAlign w:val="superscript"/>
        </w:rPr>
        <w:footnoteReference w:id="175"/>
      </w:r>
    </w:p>
    <w:p w14:paraId="359A9ACF" w14:textId="77777777" w:rsidR="0018433B" w:rsidRDefault="0018433B" w:rsidP="0018433B">
      <w:pPr>
        <w:widowControl w:val="0"/>
      </w:pPr>
    </w:p>
    <w:p w14:paraId="0731BEC2" w14:textId="722420B3" w:rsidR="0018433B" w:rsidRPr="00AB4400" w:rsidRDefault="0018433B" w:rsidP="0018433B">
      <w:pPr>
        <w:widowControl w:val="0"/>
      </w:pPr>
      <w:r w:rsidRPr="00AB4400">
        <w:t xml:space="preserve">All of these examples involve biblical </w:t>
      </w:r>
      <w:r w:rsidRPr="00AB4400">
        <w:rPr>
          <w:i/>
        </w:rPr>
        <w:t>narratives</w:t>
      </w:r>
      <w:r w:rsidRPr="00AB4400">
        <w:t>. Whether expository and argumentative compositions in scripture—including Luke’s sermon on the plain—obey a “law” of two or three or four is another matter</w:t>
      </w:r>
      <w:r w:rsidR="006F304D" w:rsidRPr="006F304D">
        <w:t xml:space="preserve">, </w:t>
      </w:r>
      <w:r w:rsidRPr="00AB4400">
        <w:t>and we shall devote the entirety of chapter 6 to that question.</w:t>
      </w:r>
    </w:p>
    <w:p w14:paraId="1A6FDDDD" w14:textId="77777777" w:rsidR="0018433B" w:rsidRPr="00AB4400" w:rsidRDefault="0018433B" w:rsidP="0018433B">
      <w:pPr>
        <w:widowControl w:val="0"/>
      </w:pPr>
    </w:p>
    <w:p w14:paraId="509F2267" w14:textId="77777777" w:rsidR="0018433B" w:rsidRPr="00AB4400" w:rsidRDefault="0018433B" w:rsidP="007D18CE">
      <w:pPr>
        <w:pStyle w:val="Heading2"/>
      </w:pPr>
      <w:bookmarkStart w:id="15" w:name="_Toc147618600"/>
      <w:r w:rsidRPr="00AB4400">
        <w:t>2. Chiasm</w:t>
      </w:r>
      <w:bookmarkEnd w:id="15"/>
    </w:p>
    <w:p w14:paraId="03F7AF53" w14:textId="77777777" w:rsidR="0018433B" w:rsidRPr="00AB4400" w:rsidRDefault="0018433B" w:rsidP="0018433B">
      <w:pPr>
        <w:widowControl w:val="0"/>
      </w:pPr>
    </w:p>
    <w:p w14:paraId="500DB7D4" w14:textId="3EED66A0" w:rsidR="0018433B" w:rsidRPr="00AB4400" w:rsidRDefault="0018433B" w:rsidP="0018433B">
      <w:pPr>
        <w:widowControl w:val="0"/>
      </w:pPr>
      <w:r w:rsidRPr="00AB4400">
        <w:tab/>
        <w:t>Another formal criterion by which the structure of a biblical passage can be analyzed is chiasm. The appearance of this architectonic device in literary texts has been justified not only by appeal to painting</w:t>
      </w:r>
      <w:r w:rsidR="006F304D" w:rsidRPr="006F304D">
        <w:t xml:space="preserve">, </w:t>
      </w:r>
      <w:r w:rsidRPr="00AB4400">
        <w:t>sculpture</w:t>
      </w:r>
      <w:r w:rsidR="006F304D" w:rsidRPr="006F304D">
        <w:t xml:space="preserve">, </w:t>
      </w:r>
      <w:r w:rsidRPr="00AB4400">
        <w:t>and music but</w:t>
      </w:r>
      <w:r w:rsidR="006F304D" w:rsidRPr="006F304D">
        <w:t xml:space="preserve">, </w:t>
      </w:r>
      <w:r w:rsidRPr="00AB4400">
        <w:t>again</w:t>
      </w:r>
      <w:r w:rsidR="006F304D" w:rsidRPr="006F304D">
        <w:t xml:space="preserve">, </w:t>
      </w:r>
      <w:r w:rsidRPr="00AB4400">
        <w:t>to nature.</w:t>
      </w:r>
      <w:r w:rsidRPr="00AB4400">
        <w:rPr>
          <w:vertAlign w:val="superscript"/>
        </w:rPr>
        <w:footnoteReference w:id="176"/>
      </w:r>
      <w:r w:rsidRPr="00AB4400">
        <w:t xml:space="preserve"> The term derives from the Greek letter </w:t>
      </w:r>
      <w:r w:rsidRPr="00AB4400">
        <w:rPr>
          <w:i/>
        </w:rPr>
        <w:t>chi</w:t>
      </w:r>
      <w:r w:rsidRPr="00AB4400">
        <w:t xml:space="preserve"> and indicates a “crossing” of elements</w:t>
      </w:r>
      <w:r w:rsidR="006F304D" w:rsidRPr="006F304D">
        <w:t xml:space="preserve">, </w:t>
      </w:r>
      <w:r w:rsidR="00775F9B" w:rsidRPr="00775F9B">
        <w:rPr>
          <w:iCs/>
        </w:rPr>
        <w:t>e.g.</w:t>
      </w:r>
      <w:r w:rsidR="006F304D" w:rsidRPr="006F304D">
        <w:t xml:space="preserve">, </w:t>
      </w:r>
      <w:r w:rsidRPr="00AB4400">
        <w:t>Luke 13:30: “some are last who will be first</w:t>
      </w:r>
      <w:r w:rsidR="006F304D" w:rsidRPr="006F304D">
        <w:t xml:space="preserve">, </w:t>
      </w:r>
      <w:r w:rsidRPr="00AB4400">
        <w:t>and some are first who will be last.”</w:t>
      </w:r>
    </w:p>
    <w:p w14:paraId="39520E17" w14:textId="67A0F7D6" w:rsidR="0018433B" w:rsidRPr="00AB4400" w:rsidRDefault="0018433B" w:rsidP="0018433B">
      <w:pPr>
        <w:widowControl w:val="0"/>
      </w:pPr>
      <w:r w:rsidRPr="00AB4400">
        <w:tab/>
        <w:t>Chiastic structures have been identified in scripture for approximately two centuries. The first to have discussed them extensively was Johann Albrecht Bengel,</w:t>
      </w:r>
      <w:r w:rsidRPr="00AB4400">
        <w:rPr>
          <w:vertAlign w:val="superscript"/>
        </w:rPr>
        <w:footnoteReference w:id="177"/>
      </w:r>
      <w:r w:rsidRPr="00AB4400">
        <w:t xml:space="preserve"> the pietist best remembered as a pioneer in textual criticism.</w:t>
      </w:r>
      <w:r w:rsidRPr="00AB4400">
        <w:rPr>
          <w:vertAlign w:val="superscript"/>
        </w:rPr>
        <w:footnoteReference w:id="178"/>
      </w:r>
      <w:r w:rsidRPr="00AB4400">
        <w:t xml:space="preserve"> </w:t>
      </w:r>
      <w:proofErr w:type="spellStart"/>
      <w:r w:rsidRPr="00AB4400">
        <w:t>Meynet</w:t>
      </w:r>
      <w:proofErr w:type="spellEnd"/>
      <w:r w:rsidRPr="00AB4400">
        <w:t xml:space="preserve"> thinks Bengel was the first to use the term “chiasmus,” but Lund recognizes that already for Bengel it was an “old rhetorical term </w:t>
      </w:r>
      <w:r>
        <w:t>. . .</w:t>
      </w:r>
      <w:r w:rsidRPr="00AB4400">
        <w:t>”</w:t>
      </w:r>
      <w:r w:rsidRPr="00AB4400">
        <w:rPr>
          <w:vertAlign w:val="superscript"/>
        </w:rPr>
        <w:footnoteReference w:id="179"/>
      </w:r>
      <w:r w:rsidRPr="00AB4400">
        <w:t xml:space="preserve"> Perhaps the confusion has arisen because “chiasmus” was not used in classical rhetoric during the biblical period: it first appears in Pseudo-Hermogenes’ </w:t>
      </w:r>
      <w:r w:rsidRPr="00AB4400">
        <w:rPr>
          <w:i/>
        </w:rPr>
        <w:t>On Invention</w:t>
      </w:r>
      <w:r w:rsidR="006F304D" w:rsidRPr="006F304D">
        <w:t xml:space="preserve">, </w:t>
      </w:r>
      <w:r w:rsidRPr="00AB4400">
        <w:t>4.3</w:t>
      </w:r>
      <w:r w:rsidR="006F304D" w:rsidRPr="006F304D">
        <w:t xml:space="preserve">, </w:t>
      </w:r>
      <w:r w:rsidRPr="00AB4400">
        <w:t xml:space="preserve">a work probably of the fourth century </w:t>
      </w:r>
      <w:r w:rsidRPr="00AB4400">
        <w:rPr>
          <w:smallCaps/>
        </w:rPr>
        <w:t>ad</w:t>
      </w:r>
      <w:r w:rsidRPr="00AB4400">
        <w:t>.</w:t>
      </w:r>
      <w:r w:rsidRPr="00AB4400">
        <w:rPr>
          <w:vertAlign w:val="superscript"/>
        </w:rPr>
        <w:footnoteReference w:id="180"/>
      </w:r>
      <w:r>
        <w:t xml:space="preserve"> </w:t>
      </w:r>
      <w:r w:rsidRPr="00AB4400">
        <w:t>Bengel was not the first to use the term but was the first to use it in relation to scripture.</w:t>
      </w:r>
      <w:r w:rsidRPr="00AB4400">
        <w:rPr>
          <w:vertAlign w:val="superscript"/>
        </w:rPr>
        <w:footnoteReference w:id="181"/>
      </w:r>
    </w:p>
    <w:p w14:paraId="1BF36C8A" w14:textId="253E0F55" w:rsidR="0018433B" w:rsidRDefault="0018433B" w:rsidP="0018433B">
      <w:pPr>
        <w:widowControl w:val="0"/>
      </w:pPr>
      <w:r w:rsidRPr="00AB4400">
        <w:lastRenderedPageBreak/>
        <w:tab/>
        <w:t>Bengel also seems to have been the first to use letters as sigla to denote the parts of a chiasm (A B C B</w:t>
      </w:r>
      <w:r>
        <w:t>´ A´</w:t>
      </w:r>
      <w:r w:rsidR="006F304D" w:rsidRPr="006F304D">
        <w:t xml:space="preserve">, </w:t>
      </w:r>
      <w:r w:rsidRPr="00AB4400">
        <w:t>etc.).</w:t>
      </w:r>
      <w:r w:rsidRPr="00AB4400">
        <w:rPr>
          <w:vertAlign w:val="superscript"/>
        </w:rPr>
        <w:footnoteReference w:id="182"/>
      </w:r>
      <w:r w:rsidRPr="00AB4400">
        <w:t xml:space="preserve"> He defined “chiasm” in this way:</w:t>
      </w:r>
    </w:p>
    <w:p w14:paraId="649797FD" w14:textId="77777777" w:rsidR="0018433B" w:rsidRPr="00AB4400" w:rsidRDefault="0018433B" w:rsidP="0018433B">
      <w:pPr>
        <w:widowControl w:val="0"/>
      </w:pPr>
    </w:p>
    <w:p w14:paraId="26AEA50C" w14:textId="77777777" w:rsidR="0018433B" w:rsidRPr="00AB4400" w:rsidRDefault="0018433B" w:rsidP="0018433B">
      <w:pPr>
        <w:widowControl w:val="0"/>
        <w:ind w:left="720" w:right="720"/>
      </w:pPr>
      <w:r w:rsidRPr="00AB4400">
        <w:t xml:space="preserve">Chiasm is a figure of language in which two pairs (AB and CD) of words or sentences are disposed in such a way that a relation obtains between a word or sentence of the first pair and a word or sentence of the second pair. Chiasm is </w:t>
      </w:r>
      <w:r w:rsidRPr="00AB4400">
        <w:rPr>
          <w:i/>
        </w:rPr>
        <w:t>direct</w:t>
      </w:r>
      <w:r w:rsidRPr="00AB4400">
        <w:t xml:space="preserve"> if the relation is between A and C and between B and D [but] </w:t>
      </w:r>
      <w:r w:rsidRPr="00AB4400">
        <w:rPr>
          <w:i/>
        </w:rPr>
        <w:t>inverse</w:t>
      </w:r>
      <w:r w:rsidRPr="00AB4400">
        <w:t xml:space="preserve"> or </w:t>
      </w:r>
      <w:r w:rsidRPr="00AB4400">
        <w:rPr>
          <w:i/>
        </w:rPr>
        <w:t>retrograde</w:t>
      </w:r>
      <w:r w:rsidRPr="00AB4400">
        <w:t xml:space="preserve"> if the relation is between A and D and between B and C.</w:t>
      </w:r>
      <w:r w:rsidRPr="00AB4400">
        <w:rPr>
          <w:vertAlign w:val="superscript"/>
        </w:rPr>
        <w:footnoteReference w:id="183"/>
      </w:r>
    </w:p>
    <w:p w14:paraId="14FE7290" w14:textId="77777777" w:rsidR="0018433B" w:rsidRDefault="0018433B" w:rsidP="0018433B">
      <w:pPr>
        <w:widowControl w:val="0"/>
      </w:pPr>
    </w:p>
    <w:p w14:paraId="007DB072" w14:textId="72474CA2" w:rsidR="0018433B" w:rsidRPr="00AB4400" w:rsidRDefault="0018433B" w:rsidP="0018433B">
      <w:pPr>
        <w:widowControl w:val="0"/>
      </w:pPr>
      <w:r w:rsidRPr="00AB4400">
        <w:t>Later investigators have not followed Bengel in using “chiasm” for his “direct” structures but restrict “chiasm” to Bengel’s “inverse” structures.</w:t>
      </w:r>
      <w:r w:rsidRPr="00AB4400">
        <w:rPr>
          <w:vertAlign w:val="superscript"/>
        </w:rPr>
        <w:footnoteReference w:id="184"/>
      </w:r>
      <w:r w:rsidRPr="00AB4400">
        <w:t xml:space="preserve"> It should be noted</w:t>
      </w:r>
      <w:r w:rsidR="006F304D" w:rsidRPr="006F304D">
        <w:t xml:space="preserve">, </w:t>
      </w:r>
      <w:r w:rsidRPr="00AB4400">
        <w:t>too</w:t>
      </w:r>
      <w:r w:rsidR="006F304D" w:rsidRPr="006F304D">
        <w:t xml:space="preserve">, </w:t>
      </w:r>
      <w:r w:rsidRPr="00AB4400">
        <w:t>that Bengel’s inverse chiasms are no more than simple two- or three-line patterns.</w:t>
      </w:r>
    </w:p>
    <w:p w14:paraId="70E6A661" w14:textId="4943CA18" w:rsidR="0018433B" w:rsidRPr="00AB4400" w:rsidRDefault="0018433B" w:rsidP="0018433B">
      <w:pPr>
        <w:widowControl w:val="0"/>
      </w:pPr>
      <w:r w:rsidRPr="00AB4400">
        <w:tab/>
        <w:t>Another early expositor of chiasms was Robert Lowth</w:t>
      </w:r>
      <w:r w:rsidR="006F304D" w:rsidRPr="006F304D">
        <w:t xml:space="preserve">, </w:t>
      </w:r>
      <w:r w:rsidRPr="00AB4400">
        <w:t>best known as the first to classify the types of Hebrew parallelism.</w:t>
      </w:r>
      <w:r w:rsidRPr="00AB4400">
        <w:rPr>
          <w:vertAlign w:val="superscript"/>
        </w:rPr>
        <w:footnoteReference w:id="185"/>
      </w:r>
      <w:r w:rsidRPr="00AB4400">
        <w:t xml:space="preserve"> Like Bengel</w:t>
      </w:r>
      <w:r w:rsidR="006F304D" w:rsidRPr="006F304D">
        <w:t xml:space="preserve">, </w:t>
      </w:r>
      <w:r w:rsidRPr="00AB4400">
        <w:t>however</w:t>
      </w:r>
      <w:r w:rsidR="006F304D" w:rsidRPr="006F304D">
        <w:t xml:space="preserve">, </w:t>
      </w:r>
      <w:r w:rsidRPr="00AB4400">
        <w:t>his observations concerning chiasm went no further than simple</w:t>
      </w:r>
      <w:r w:rsidR="006F304D" w:rsidRPr="006F304D">
        <w:t xml:space="preserve">, </w:t>
      </w:r>
      <w:r w:rsidRPr="00AB4400">
        <w:t>antithetical parallelisms. The concept was for the first time applied to larger units by John Jebb</w:t>
      </w:r>
      <w:r w:rsidR="006F304D" w:rsidRPr="006F304D">
        <w:t xml:space="preserve">, </w:t>
      </w:r>
      <w:r w:rsidRPr="00AB4400">
        <w:t>bishop of Limerick</w:t>
      </w:r>
      <w:r w:rsidR="006F304D" w:rsidRPr="006F304D">
        <w:t xml:space="preserve">, </w:t>
      </w:r>
      <w:r w:rsidRPr="00AB4400">
        <w:t>in 1820</w:t>
      </w:r>
      <w:r w:rsidR="006F304D" w:rsidRPr="006F304D">
        <w:t xml:space="preserve">, </w:t>
      </w:r>
      <w:r w:rsidRPr="00AB4400">
        <w:t>when he wrote: “There are stanzas so constructed that</w:t>
      </w:r>
      <w:r w:rsidR="006F304D" w:rsidRPr="006F304D">
        <w:t xml:space="preserve">, </w:t>
      </w:r>
      <w:r w:rsidRPr="00AB4400">
        <w:t>whatever be the number of lines</w:t>
      </w:r>
      <w:r w:rsidR="006F304D" w:rsidRPr="006F304D">
        <w:t xml:space="preserve">, </w:t>
      </w:r>
      <w:r w:rsidRPr="00AB4400">
        <w:t xml:space="preserve">the first shall be parallel with the last; the second with the penultimate; and so throughout </w:t>
      </w:r>
      <w:r>
        <w:t>. . .</w:t>
      </w:r>
      <w:r w:rsidRPr="00AB4400">
        <w:t>”</w:t>
      </w:r>
      <w:r w:rsidRPr="00AB4400">
        <w:rPr>
          <w:vertAlign w:val="superscript"/>
        </w:rPr>
        <w:footnoteReference w:id="186"/>
      </w:r>
    </w:p>
    <w:p w14:paraId="5B89D471" w14:textId="77777777" w:rsidR="0018433B" w:rsidRPr="00AB4400" w:rsidRDefault="0018433B" w:rsidP="0018433B">
      <w:pPr>
        <w:widowControl w:val="0"/>
      </w:pPr>
      <w:r w:rsidRPr="00AB4400">
        <w:lastRenderedPageBreak/>
        <w:tab/>
        <w:t>From so small a trickle begins the flood: the works of Thomas Boys,</w:t>
      </w:r>
      <w:r w:rsidRPr="00AB4400">
        <w:rPr>
          <w:vertAlign w:val="superscript"/>
        </w:rPr>
        <w:footnoteReference w:id="187"/>
      </w:r>
      <w:r w:rsidRPr="00AB4400">
        <w:t xml:space="preserve"> John Forbes,</w:t>
      </w:r>
      <w:r w:rsidRPr="00AB4400">
        <w:rPr>
          <w:vertAlign w:val="superscript"/>
        </w:rPr>
        <w:footnoteReference w:id="188"/>
      </w:r>
      <w:r w:rsidRPr="00AB4400">
        <w:t xml:space="preserve"> William Milligan,</w:t>
      </w:r>
      <w:r w:rsidRPr="00AB4400">
        <w:rPr>
          <w:vertAlign w:val="superscript"/>
        </w:rPr>
        <w:footnoteReference w:id="189"/>
      </w:r>
      <w:r w:rsidRPr="00AB4400">
        <w:t xml:space="preserve"> Ernest W. Bullinger,</w:t>
      </w:r>
      <w:r w:rsidRPr="00AB4400">
        <w:rPr>
          <w:vertAlign w:val="superscript"/>
        </w:rPr>
        <w:footnoteReference w:id="190"/>
      </w:r>
      <w:r w:rsidRPr="00AB4400">
        <w:t xml:space="preserve"> and Albert </w:t>
      </w:r>
      <w:proofErr w:type="spellStart"/>
      <w:r w:rsidRPr="00AB4400">
        <w:t>Condamin</w:t>
      </w:r>
      <w:proofErr w:type="spellEnd"/>
      <w:r w:rsidRPr="00AB4400">
        <w:rPr>
          <w:vertAlign w:val="superscript"/>
        </w:rPr>
        <w:footnoteReference w:id="191"/>
      </w:r>
      <w:r w:rsidRPr="00AB4400">
        <w:t xml:space="preserve"> in the nineteenth and early twentieth centuries only cleared the sluiceways for the many studies since that have concentrated on this structural device.</w:t>
      </w:r>
      <w:r w:rsidRPr="00AB4400">
        <w:rPr>
          <w:vertAlign w:val="superscript"/>
        </w:rPr>
        <w:footnoteReference w:id="192"/>
      </w:r>
    </w:p>
    <w:p w14:paraId="51A7EC82" w14:textId="573976B1" w:rsidR="0018433B" w:rsidRPr="00AB4400" w:rsidRDefault="0018433B" w:rsidP="0018433B">
      <w:pPr>
        <w:widowControl w:val="0"/>
      </w:pPr>
      <w:r w:rsidRPr="00AB4400">
        <w:lastRenderedPageBreak/>
        <w:tab/>
        <w:t>In our own time</w:t>
      </w:r>
      <w:r w:rsidR="006F304D" w:rsidRPr="006F304D">
        <w:t xml:space="preserve">, </w:t>
      </w:r>
      <w:r w:rsidRPr="00AB4400">
        <w:t>two theoreticians of biblical chiasm stand forth: Nils Willem Lund and Roland Meynet. After publishing several articles on chiasm in the 1920s and 1930s</w:t>
      </w:r>
      <w:r w:rsidR="006F304D" w:rsidRPr="006F304D">
        <w:t xml:space="preserve">, </w:t>
      </w:r>
      <w:r w:rsidRPr="00AB4400">
        <w:t>Lund</w:t>
      </w:r>
      <w:r w:rsidR="006F304D" w:rsidRPr="006F304D">
        <w:t xml:space="preserve">, </w:t>
      </w:r>
      <w:r w:rsidRPr="00AB4400">
        <w:t>professor at North Park Theological Seminary in Chicago</w:t>
      </w:r>
      <w:r w:rsidR="006F304D" w:rsidRPr="006F304D">
        <w:t xml:space="preserve">, </w:t>
      </w:r>
      <w:r w:rsidRPr="00AB4400">
        <w:t>produced his principal work</w:t>
      </w:r>
      <w:r w:rsidR="006F304D" w:rsidRPr="006F304D">
        <w:t xml:space="preserve">, </w:t>
      </w:r>
      <w:r w:rsidRPr="00AB4400">
        <w:rPr>
          <w:i/>
        </w:rPr>
        <w:t>Chiasmus in the New Testament</w:t>
      </w:r>
      <w:r w:rsidRPr="00AB4400">
        <w:t xml:space="preserve"> (1942)</w:t>
      </w:r>
      <w:r w:rsidR="006F304D" w:rsidRPr="006F304D">
        <w:t xml:space="preserve">, </w:t>
      </w:r>
      <w:r w:rsidRPr="00AB4400">
        <w:t>originally a dissertation for the University of Chicago; this work remains the classic treatment of chiasm in biblical literature.</w:t>
      </w:r>
      <w:r w:rsidRPr="00AB4400">
        <w:rPr>
          <w:vertAlign w:val="superscript"/>
        </w:rPr>
        <w:footnoteReference w:id="193"/>
      </w:r>
      <w:r w:rsidRPr="00AB4400">
        <w:t xml:space="preserve"> </w:t>
      </w:r>
      <w:proofErr w:type="spellStart"/>
      <w:r w:rsidRPr="00E5413C">
        <w:rPr>
          <w:lang w:val="fr-FR"/>
        </w:rPr>
        <w:t>Meynet’s</w:t>
      </w:r>
      <w:proofErr w:type="spellEnd"/>
      <w:r w:rsidRPr="00E5413C">
        <w:rPr>
          <w:lang w:val="fr-FR"/>
        </w:rPr>
        <w:t xml:space="preserve"> principal publication</w:t>
      </w:r>
      <w:r w:rsidR="006F304D" w:rsidRPr="00E5413C">
        <w:rPr>
          <w:lang w:val="fr-FR"/>
        </w:rPr>
        <w:t xml:space="preserve">, </w:t>
      </w:r>
      <w:r w:rsidRPr="00E5413C">
        <w:rPr>
          <w:i/>
          <w:lang w:val="fr-FR"/>
        </w:rPr>
        <w:t>Quelle est donc cette parole</w:t>
      </w:r>
      <w:r w:rsidRPr="00E5413C">
        <w:rPr>
          <w:lang w:val="fr-FR"/>
        </w:rPr>
        <w:t>?</w:t>
      </w:r>
      <w:r w:rsidR="006F304D" w:rsidRPr="00E5413C">
        <w:rPr>
          <w:lang w:val="fr-FR"/>
        </w:rPr>
        <w:t xml:space="preserve">, </w:t>
      </w:r>
      <w:proofErr w:type="spellStart"/>
      <w:r w:rsidRPr="00E5413C">
        <w:rPr>
          <w:lang w:val="fr-FR"/>
        </w:rPr>
        <w:t>appeared</w:t>
      </w:r>
      <w:proofErr w:type="spellEnd"/>
      <w:r w:rsidRPr="00E5413C">
        <w:rPr>
          <w:lang w:val="fr-FR"/>
        </w:rPr>
        <w:t xml:space="preserve"> </w:t>
      </w:r>
      <w:proofErr w:type="spellStart"/>
      <w:r w:rsidRPr="00E5413C">
        <w:rPr>
          <w:lang w:val="fr-FR"/>
        </w:rPr>
        <w:t>in</w:t>
      </w:r>
      <w:proofErr w:type="spellEnd"/>
      <w:r w:rsidRPr="00E5413C">
        <w:rPr>
          <w:lang w:val="fr-FR"/>
        </w:rPr>
        <w:t xml:space="preserve"> 1979.</w:t>
      </w:r>
      <w:r w:rsidRPr="00AB4400">
        <w:rPr>
          <w:vertAlign w:val="superscript"/>
        </w:rPr>
        <w:footnoteReference w:id="194"/>
      </w:r>
      <w:r w:rsidRPr="00E5413C">
        <w:rPr>
          <w:lang w:val="fr-FR"/>
        </w:rPr>
        <w:t xml:space="preserve"> </w:t>
      </w:r>
      <w:r w:rsidRPr="00AB4400">
        <w:t>Director at the time of the Center of Arabic Research and Studies at the University of St. Joseph in Beirut</w:t>
      </w:r>
      <w:r w:rsidR="006F304D" w:rsidRPr="006F304D">
        <w:t xml:space="preserve">, </w:t>
      </w:r>
      <w:proofErr w:type="spellStart"/>
      <w:r w:rsidRPr="00AB4400">
        <w:t>Meynet</w:t>
      </w:r>
      <w:proofErr w:type="spellEnd"/>
      <w:r w:rsidRPr="00AB4400">
        <w:t xml:space="preserve"> belongs to a circle of French linguists and rhetoricians who have felt</w:t>
      </w:r>
      <w:r w:rsidR="006F304D" w:rsidRPr="006F304D">
        <w:t xml:space="preserve">, </w:t>
      </w:r>
      <w:r w:rsidRPr="00AB4400">
        <w:t>like the structuralists</w:t>
      </w:r>
      <w:r w:rsidR="006F304D" w:rsidRPr="006F304D">
        <w:t xml:space="preserve">, </w:t>
      </w:r>
      <w:r w:rsidRPr="00AB4400">
        <w:t>the influence of de Saussure. Unlike the structuralists</w:t>
      </w:r>
      <w:r w:rsidR="006F304D" w:rsidRPr="006F304D">
        <w:t xml:space="preserve">, </w:t>
      </w:r>
      <w:r w:rsidRPr="00AB4400">
        <w:t>however</w:t>
      </w:r>
      <w:r w:rsidR="006F304D" w:rsidRPr="006F304D">
        <w:t xml:space="preserve">, </w:t>
      </w:r>
      <w:r w:rsidRPr="00AB4400">
        <w:t xml:space="preserve">the tradition to which </w:t>
      </w:r>
      <w:proofErr w:type="spellStart"/>
      <w:r w:rsidRPr="00AB4400">
        <w:t>Meynet</w:t>
      </w:r>
      <w:proofErr w:type="spellEnd"/>
      <w:r w:rsidRPr="00AB4400">
        <w:t xml:space="preserve"> belongs tends to remain at the level of the text</w:t>
      </w:r>
      <w:r w:rsidR="006F304D" w:rsidRPr="006F304D">
        <w:t xml:space="preserve">, </w:t>
      </w:r>
      <w:r w:rsidRPr="00AB4400">
        <w:t>not the level of the realities to which the text refers.</w:t>
      </w:r>
      <w:r w:rsidRPr="00AB4400">
        <w:rPr>
          <w:vertAlign w:val="superscript"/>
        </w:rPr>
        <w:footnoteReference w:id="195"/>
      </w:r>
    </w:p>
    <w:p w14:paraId="322921ED" w14:textId="629B57B6" w:rsidR="0018433B" w:rsidRDefault="0018433B" w:rsidP="0018433B">
      <w:pPr>
        <w:widowControl w:val="0"/>
      </w:pPr>
      <w:r w:rsidRPr="00AB4400">
        <w:tab/>
        <w:t>Though I shall consider simultaneously the remarks of these two authors concerning the various aspects of chiasm</w:t>
      </w:r>
      <w:r w:rsidR="006F304D" w:rsidRPr="006F304D">
        <w:t xml:space="preserve">, </w:t>
      </w:r>
      <w:r w:rsidRPr="00AB4400">
        <w:t>Meynet’s system (of which chiasm is only a small part) is much fuller</w:t>
      </w:r>
      <w:r w:rsidR="006F304D" w:rsidRPr="006F304D">
        <w:t xml:space="preserve">, </w:t>
      </w:r>
      <w:r w:rsidRPr="00AB4400">
        <w:t>and I have given it separate treatment in Appendix 1</w:t>
      </w:r>
      <w:r w:rsidR="006F304D" w:rsidRPr="006F304D">
        <w:t xml:space="preserve">, </w:t>
      </w:r>
      <w:r w:rsidRPr="00AB4400">
        <w:t>“</w:t>
      </w:r>
      <w:proofErr w:type="spellStart"/>
      <w:r w:rsidRPr="00AB4400">
        <w:t>Meynet’s</w:t>
      </w:r>
      <w:proofErr w:type="spellEnd"/>
      <w:r w:rsidRPr="00AB4400">
        <w:t xml:space="preserve"> ‘Biblical Rhetoric.’” The topics that both authors discuss concerning chiasm are: the classification of chiasms</w:t>
      </w:r>
      <w:r w:rsidR="006F304D" w:rsidRPr="006F304D">
        <w:t xml:space="preserve">, </w:t>
      </w:r>
      <w:r w:rsidRPr="00AB4400">
        <w:t>the use of chiasms in classical and Hebrew rhetoric</w:t>
      </w:r>
      <w:r w:rsidR="006F304D" w:rsidRPr="006F304D">
        <w:t xml:space="preserve">, </w:t>
      </w:r>
      <w:r w:rsidRPr="00AB4400">
        <w:t>reasons for the existence of chiasms in the NT</w:t>
      </w:r>
      <w:r w:rsidR="006F304D" w:rsidRPr="006F304D">
        <w:t xml:space="preserve">, </w:t>
      </w:r>
      <w:r w:rsidRPr="00AB4400">
        <w:t>and the laws of chiasm.</w:t>
      </w:r>
    </w:p>
    <w:p w14:paraId="6F074DBF" w14:textId="08D2A6AD" w:rsidR="0018433B" w:rsidRDefault="0018433B" w:rsidP="0018433B">
      <w:pPr>
        <w:widowControl w:val="0"/>
      </w:pPr>
      <w:r w:rsidRPr="00AB4400">
        <w:tab/>
        <w:t xml:space="preserve">Both Lund and </w:t>
      </w:r>
      <w:proofErr w:type="spellStart"/>
      <w:r w:rsidRPr="00AB4400">
        <w:t>Meynet</w:t>
      </w:r>
      <w:proofErr w:type="spellEnd"/>
      <w:r w:rsidRPr="00AB4400">
        <w:t xml:space="preserve"> distinguish classes of chiasm. Lund describes the elementary sort thus: “The term is used in rhetoric to designate an inversion of the order of words or phrases which are repeated or subsequently referred to in the sentence. The simplest application of the principle is found in structures of only </w:t>
      </w:r>
      <w:r w:rsidRPr="00AB4400">
        <w:rPr>
          <w:i/>
        </w:rPr>
        <w:t>four</w:t>
      </w:r>
      <w:r w:rsidRPr="00AB4400">
        <w:t xml:space="preserve"> terms </w:t>
      </w:r>
      <w:r>
        <w:t>. . .</w:t>
      </w:r>
      <w:r w:rsidRPr="00AB4400">
        <w:t>”</w:t>
      </w:r>
      <w:r w:rsidRPr="00AB4400">
        <w:rPr>
          <w:vertAlign w:val="superscript"/>
        </w:rPr>
        <w:footnoteReference w:id="196"/>
      </w:r>
      <w:r w:rsidRPr="00AB4400">
        <w:t xml:space="preserve"> Lund’s interest</w:t>
      </w:r>
      <w:r w:rsidR="006F304D" w:rsidRPr="006F304D">
        <w:t xml:space="preserve">, </w:t>
      </w:r>
      <w:r w:rsidRPr="00AB4400">
        <w:t>however</w:t>
      </w:r>
      <w:r w:rsidR="006F304D" w:rsidRPr="006F304D">
        <w:t xml:space="preserve">, </w:t>
      </w:r>
      <w:r w:rsidRPr="00AB4400">
        <w:t>lies in longer instances of the form</w:t>
      </w:r>
      <w:r w:rsidR="006F304D" w:rsidRPr="006F304D">
        <w:t xml:space="preserve">, </w:t>
      </w:r>
      <w:r w:rsidRPr="00AB4400">
        <w:t>for these longer structures illustrate</w:t>
      </w:r>
    </w:p>
    <w:p w14:paraId="063E91A0" w14:textId="77777777" w:rsidR="0018433B" w:rsidRPr="00AB4400" w:rsidRDefault="0018433B" w:rsidP="0018433B">
      <w:pPr>
        <w:widowControl w:val="0"/>
      </w:pPr>
    </w:p>
    <w:p w14:paraId="296556B5" w14:textId="159F1AE8" w:rsidR="0018433B" w:rsidRPr="00AB4400" w:rsidRDefault="0018433B" w:rsidP="0018433B">
      <w:pPr>
        <w:widowControl w:val="0"/>
        <w:ind w:left="720" w:right="720"/>
      </w:pPr>
      <w:r w:rsidRPr="00AB4400">
        <w:t>the basic proposition of this treatise</w:t>
      </w:r>
      <w:r w:rsidR="006F304D" w:rsidRPr="006F304D">
        <w:t xml:space="preserve">, </w:t>
      </w:r>
      <w:r w:rsidRPr="00AB4400">
        <w:t>namely</w:t>
      </w:r>
      <w:r w:rsidR="006F304D" w:rsidRPr="006F304D">
        <w:t xml:space="preserve">, </w:t>
      </w:r>
      <w:r w:rsidRPr="00AB4400">
        <w:t>that in this form of writing [extended biblical chiasms] neither length nor number of lines are essential; the order of the ideas is the only necessary consideration. Some sections have many lines and some few; some lines are long and others short; some are chiastic and some alternating. There is a great deal of flexibility in all these respects</w:t>
      </w:r>
      <w:r w:rsidR="006F304D" w:rsidRPr="006F304D">
        <w:t xml:space="preserve">, </w:t>
      </w:r>
      <w:r w:rsidRPr="00AB4400">
        <w:t>but amidst all these variations the parallelism of ideas is maintained.</w:t>
      </w:r>
      <w:r w:rsidRPr="00AB4400">
        <w:rPr>
          <w:vertAlign w:val="superscript"/>
        </w:rPr>
        <w:footnoteReference w:id="197"/>
      </w:r>
    </w:p>
    <w:p w14:paraId="2FBC1E58" w14:textId="77777777" w:rsidR="0018433B" w:rsidRDefault="0018433B" w:rsidP="0018433B">
      <w:pPr>
        <w:widowControl w:val="0"/>
      </w:pPr>
    </w:p>
    <w:p w14:paraId="5EE4DF79" w14:textId="62418DFD" w:rsidR="0018433B" w:rsidRDefault="0018433B" w:rsidP="0018433B">
      <w:pPr>
        <w:widowControl w:val="0"/>
      </w:pPr>
      <w:r w:rsidRPr="00AB4400">
        <w:tab/>
      </w:r>
      <w:proofErr w:type="spellStart"/>
      <w:r w:rsidRPr="00AB4400">
        <w:t>Meynet</w:t>
      </w:r>
      <w:proofErr w:type="spellEnd"/>
      <w:r w:rsidRPr="00AB4400">
        <w:t xml:space="preserve"> also recognizes Lund’s first type</w:t>
      </w:r>
      <w:r w:rsidR="006F304D" w:rsidRPr="006F304D">
        <w:t xml:space="preserve">, </w:t>
      </w:r>
      <w:r w:rsidRPr="00AB4400">
        <w:t>which he calls “the stylistic or sentence-chiasm.”</w:t>
      </w:r>
      <w:r w:rsidRPr="00AB4400">
        <w:rPr>
          <w:vertAlign w:val="superscript"/>
        </w:rPr>
        <w:footnoteReference w:id="198"/>
      </w:r>
      <w:r w:rsidRPr="00AB4400">
        <w:t xml:space="preserve"> It is essentially a stylistic ornament that rarely extends beyond the single sentence. This sort of chiasm</w:t>
      </w:r>
      <w:r w:rsidR="006F304D" w:rsidRPr="006F304D">
        <w:t xml:space="preserve">, </w:t>
      </w:r>
      <w:proofErr w:type="spellStart"/>
      <w:r w:rsidRPr="00AB4400">
        <w:t>Meynet</w:t>
      </w:r>
      <w:proofErr w:type="spellEnd"/>
      <w:r w:rsidRPr="00AB4400">
        <w:t xml:space="preserve"> rightly notes</w:t>
      </w:r>
      <w:r w:rsidR="006F304D" w:rsidRPr="006F304D">
        <w:t xml:space="preserve">, </w:t>
      </w:r>
      <w:r w:rsidRPr="00AB4400">
        <w:t>is of little interest to the exegete who wishes to give Luke a “‘rhetorical’ reading”—</w:t>
      </w:r>
      <w:r>
        <w:t>“</w:t>
      </w:r>
      <w:r w:rsidRPr="00AB4400">
        <w:t>rhetorical” not as ornamentation at the level of the sentence (</w:t>
      </w:r>
      <w:r w:rsidRPr="00AB4400">
        <w:rPr>
          <w:i/>
        </w:rPr>
        <w:t>elocutio</w:t>
      </w:r>
      <w:r w:rsidRPr="00AB4400">
        <w:t>) but as the structuring of the material (</w:t>
      </w:r>
      <w:proofErr w:type="spellStart"/>
      <w:r w:rsidRPr="00AB4400">
        <w:rPr>
          <w:i/>
        </w:rPr>
        <w:t>dispositio</w:t>
      </w:r>
      <w:proofErr w:type="spellEnd"/>
      <w:r w:rsidRPr="00AB4400">
        <w:t>).</w:t>
      </w:r>
      <w:r w:rsidRPr="00AB4400">
        <w:rPr>
          <w:vertAlign w:val="superscript"/>
        </w:rPr>
        <w:footnoteReference w:id="199"/>
      </w:r>
      <w:r w:rsidRPr="00AB4400">
        <w:t xml:space="preserve"> It is therefore understandable why </w:t>
      </w:r>
      <w:proofErr w:type="spellStart"/>
      <w:r w:rsidRPr="00AB4400">
        <w:t>Meynet</w:t>
      </w:r>
      <w:proofErr w:type="spellEnd"/>
      <w:r w:rsidRPr="00AB4400">
        <w:t xml:space="preserve"> groups his remaining two types of chiasm under the generic name</w:t>
      </w:r>
      <w:r w:rsidR="006F304D" w:rsidRPr="006F304D">
        <w:t xml:space="preserve">, </w:t>
      </w:r>
      <w:r w:rsidRPr="00AB4400">
        <w:t>“rhetorical chiasm”; these are the “lexical chiasm” and the “passage chiasm.” The lexical chiasm is essentially equivalent to Lund’s second type: it organizes in inverse fashion words</w:t>
      </w:r>
      <w:r w:rsidR="006F304D" w:rsidRPr="006F304D">
        <w:t xml:space="preserve">, </w:t>
      </w:r>
      <w:r w:rsidRPr="00AB4400">
        <w:t>phrases</w:t>
      </w:r>
      <w:r w:rsidR="006F304D" w:rsidRPr="006F304D">
        <w:t xml:space="preserve">, </w:t>
      </w:r>
      <w:r w:rsidRPr="00AB4400">
        <w:t>or sentences in a passage larger than a single sentence. The passage chiasm</w:t>
      </w:r>
      <w:r w:rsidR="006F304D" w:rsidRPr="006F304D">
        <w:t xml:space="preserve">, </w:t>
      </w:r>
      <w:r w:rsidRPr="00AB4400">
        <w:t>on the other hand</w:t>
      </w:r>
      <w:r w:rsidR="006F304D" w:rsidRPr="006F304D">
        <w:t xml:space="preserve">, </w:t>
      </w:r>
      <w:r w:rsidRPr="00AB4400">
        <w:t>organizes in inverse fashion</w:t>
      </w:r>
      <w:r w:rsidR="006F304D" w:rsidRPr="006F304D">
        <w:t xml:space="preserve">, </w:t>
      </w:r>
      <w:r w:rsidRPr="00AB4400">
        <w:t>not words or sentences</w:t>
      </w:r>
      <w:r w:rsidR="006F304D" w:rsidRPr="006F304D">
        <w:t xml:space="preserve">, </w:t>
      </w:r>
      <w:r w:rsidRPr="00AB4400">
        <w:t>but whole pericopes.</w:t>
      </w:r>
      <w:r w:rsidRPr="00AB4400">
        <w:rPr>
          <w:vertAlign w:val="superscript"/>
        </w:rPr>
        <w:footnoteReference w:id="200"/>
      </w:r>
      <w:r w:rsidRPr="00AB4400">
        <w:t xml:space="preserve"> </w:t>
      </w:r>
      <w:proofErr w:type="spellStart"/>
      <w:r w:rsidRPr="00AB4400">
        <w:t>Meynet</w:t>
      </w:r>
      <w:proofErr w:type="spellEnd"/>
      <w:r w:rsidRPr="00AB4400">
        <w:t xml:space="preserve"> cites as an example of a passage chiasm Luke 5:17-6:11.</w:t>
      </w:r>
    </w:p>
    <w:p w14:paraId="0D5E0611" w14:textId="77777777" w:rsidR="0018433B" w:rsidRPr="00AB4400" w:rsidRDefault="0018433B" w:rsidP="0018433B">
      <w:pPr>
        <w:widowControl w:val="0"/>
      </w:pPr>
    </w:p>
    <w:p w14:paraId="6B1B7D3C" w14:textId="77777777" w:rsidR="0018433B" w:rsidRPr="00AB4400" w:rsidRDefault="0018433B" w:rsidP="0018433B">
      <w:pPr>
        <w:widowControl w:val="0"/>
        <w:tabs>
          <w:tab w:val="left" w:pos="3600"/>
          <w:tab w:val="left" w:pos="3960"/>
          <w:tab w:val="left" w:pos="4320"/>
          <w:tab w:val="left" w:pos="4680"/>
        </w:tabs>
      </w:pPr>
      <w:r>
        <w:tab/>
        <w:t>A</w:t>
      </w:r>
      <w:r>
        <w:tab/>
      </w:r>
      <w:r w:rsidRPr="00AB4400">
        <w:t>healing</w:t>
      </w:r>
    </w:p>
    <w:p w14:paraId="18A05671" w14:textId="77777777" w:rsidR="0018433B" w:rsidRPr="00AB4400" w:rsidRDefault="0018433B" w:rsidP="0018433B">
      <w:pPr>
        <w:widowControl w:val="0"/>
        <w:tabs>
          <w:tab w:val="left" w:pos="3600"/>
          <w:tab w:val="left" w:pos="3960"/>
          <w:tab w:val="left" w:pos="4320"/>
          <w:tab w:val="left" w:pos="4680"/>
        </w:tabs>
      </w:pPr>
      <w:r w:rsidRPr="00AB4400">
        <w:tab/>
      </w:r>
      <w:r>
        <w:tab/>
        <w:t>B</w:t>
      </w:r>
      <w:r>
        <w:tab/>
      </w:r>
      <w:r w:rsidRPr="00AB4400">
        <w:t>controversy</w:t>
      </w:r>
    </w:p>
    <w:p w14:paraId="5A20F967" w14:textId="77777777" w:rsidR="0018433B" w:rsidRPr="00AB4400" w:rsidRDefault="0018433B" w:rsidP="0018433B">
      <w:pPr>
        <w:widowControl w:val="0"/>
        <w:tabs>
          <w:tab w:val="left" w:pos="3600"/>
          <w:tab w:val="left" w:pos="3960"/>
          <w:tab w:val="left" w:pos="4320"/>
          <w:tab w:val="left" w:pos="4680"/>
        </w:tabs>
      </w:pPr>
      <w:r>
        <w:tab/>
      </w:r>
      <w:r>
        <w:tab/>
      </w:r>
      <w:r>
        <w:tab/>
        <w:t>C</w:t>
      </w:r>
      <w:r>
        <w:tab/>
      </w:r>
      <w:r w:rsidRPr="00AB4400">
        <w:t>parable</w:t>
      </w:r>
    </w:p>
    <w:p w14:paraId="3E0CC1C7" w14:textId="77777777" w:rsidR="0018433B" w:rsidRPr="00AB4400" w:rsidRDefault="0018433B" w:rsidP="0018433B">
      <w:pPr>
        <w:widowControl w:val="0"/>
        <w:tabs>
          <w:tab w:val="left" w:pos="3600"/>
          <w:tab w:val="left" w:pos="3960"/>
          <w:tab w:val="left" w:pos="4320"/>
          <w:tab w:val="left" w:pos="4680"/>
        </w:tabs>
      </w:pPr>
      <w:r w:rsidRPr="00AB4400">
        <w:tab/>
      </w:r>
      <w:r>
        <w:tab/>
        <w:t>B´</w:t>
      </w:r>
      <w:r>
        <w:tab/>
      </w:r>
      <w:r w:rsidRPr="00AB4400">
        <w:t>controversy</w:t>
      </w:r>
    </w:p>
    <w:p w14:paraId="0A72D593" w14:textId="77777777" w:rsidR="0018433B" w:rsidRPr="00AB4400" w:rsidRDefault="0018433B" w:rsidP="0018433B">
      <w:pPr>
        <w:widowControl w:val="0"/>
        <w:tabs>
          <w:tab w:val="left" w:pos="3600"/>
          <w:tab w:val="left" w:pos="3960"/>
          <w:tab w:val="left" w:pos="4320"/>
          <w:tab w:val="left" w:pos="4680"/>
        </w:tabs>
      </w:pPr>
      <w:r w:rsidRPr="00AB4400">
        <w:tab/>
        <w:t>A</w:t>
      </w:r>
      <w:r>
        <w:t>´</w:t>
      </w:r>
      <w:r>
        <w:tab/>
      </w:r>
      <w:r w:rsidRPr="00AB4400">
        <w:t>healing.</w:t>
      </w:r>
      <w:r w:rsidRPr="00AB4400">
        <w:rPr>
          <w:vertAlign w:val="superscript"/>
        </w:rPr>
        <w:footnoteReference w:id="201"/>
      </w:r>
    </w:p>
    <w:p w14:paraId="7278198D" w14:textId="77777777" w:rsidR="0018433B" w:rsidRDefault="0018433B" w:rsidP="0018433B">
      <w:pPr>
        <w:widowControl w:val="0"/>
      </w:pPr>
    </w:p>
    <w:p w14:paraId="04793C6C" w14:textId="6ADD6440" w:rsidR="0018433B" w:rsidRPr="00AB4400" w:rsidRDefault="0018433B" w:rsidP="0018433B">
      <w:pPr>
        <w:widowControl w:val="0"/>
      </w:pPr>
      <w:r w:rsidRPr="00AB4400">
        <w:t>The passage chiasm extends over several pericopes and thus determines the magnitude of the units in Luke that are larger than the individual pericopes. According to Meynet</w:t>
      </w:r>
      <w:r w:rsidR="006F304D" w:rsidRPr="006F304D">
        <w:t xml:space="preserve">, </w:t>
      </w:r>
      <w:r w:rsidRPr="00AB4400">
        <w:t>the passage chiasm determines the basic structural units of Luke’s gospel.</w:t>
      </w:r>
      <w:r w:rsidRPr="00AB4400">
        <w:rPr>
          <w:vertAlign w:val="superscript"/>
        </w:rPr>
        <w:footnoteReference w:id="202"/>
      </w:r>
      <w:r w:rsidRPr="00AB4400">
        <w:t xml:space="preserve"> Lexical chiasms in Luke</w:t>
      </w:r>
      <w:r w:rsidR="006F304D" w:rsidRPr="006F304D">
        <w:t xml:space="preserve">, </w:t>
      </w:r>
      <w:r w:rsidRPr="00AB4400">
        <w:t>since they are generally smaller than passage chiasms</w:t>
      </w:r>
      <w:r w:rsidR="006F304D" w:rsidRPr="006F304D">
        <w:t xml:space="preserve">, </w:t>
      </w:r>
      <w:r w:rsidRPr="00AB4400">
        <w:t xml:space="preserve">almost never </w:t>
      </w:r>
      <w:proofErr w:type="spellStart"/>
      <w:r w:rsidRPr="00AB4400">
        <w:t>coterminate</w:t>
      </w:r>
      <w:proofErr w:type="spellEnd"/>
      <w:r w:rsidRPr="00AB4400">
        <w:t xml:space="preserve"> with these basic structural units (the only instances in Luke 1-9 and 22-24 are 1:5-25</w:t>
      </w:r>
      <w:r w:rsidR="006F304D" w:rsidRPr="006F304D">
        <w:t xml:space="preserve">, </w:t>
      </w:r>
      <w:r w:rsidRPr="00AB4400">
        <w:t>2:41-52</w:t>
      </w:r>
      <w:r w:rsidR="006F304D" w:rsidRPr="006F304D">
        <w:t xml:space="preserve">, </w:t>
      </w:r>
      <w:r w:rsidRPr="00AB4400">
        <w:t>and 4:14-30). Lexical chiasms can be interior to a single pericope or extend across the boundary of two or more pericopes</w:t>
      </w:r>
      <w:r w:rsidR="006F304D" w:rsidRPr="006F304D">
        <w:t xml:space="preserve">, </w:t>
      </w:r>
      <w:r w:rsidRPr="00AB4400">
        <w:t xml:space="preserve">but they </w:t>
      </w:r>
      <w:r w:rsidRPr="00AB4400">
        <w:lastRenderedPageBreak/>
        <w:t>are never constitutive of Luke’s basic structure: only passage chiasms play that role.</w:t>
      </w:r>
      <w:r w:rsidRPr="00AB4400">
        <w:rPr>
          <w:vertAlign w:val="superscript"/>
        </w:rPr>
        <w:footnoteReference w:id="203"/>
      </w:r>
    </w:p>
    <w:p w14:paraId="3A0FBB00" w14:textId="0CF79BE0" w:rsidR="0018433B" w:rsidRPr="00AB4400" w:rsidRDefault="0018433B" w:rsidP="0018433B">
      <w:pPr>
        <w:widowControl w:val="0"/>
      </w:pPr>
      <w:r w:rsidRPr="00AB4400">
        <w:tab/>
        <w:t>Besides classifying chiasms</w:t>
      </w:r>
      <w:r w:rsidR="006F304D" w:rsidRPr="006F304D">
        <w:t xml:space="preserve">, </w:t>
      </w:r>
      <w:r w:rsidRPr="00AB4400">
        <w:t xml:space="preserve">both </w:t>
      </w:r>
      <w:proofErr w:type="spellStart"/>
      <w:r w:rsidRPr="00AB4400">
        <w:t>Meynet</w:t>
      </w:r>
      <w:proofErr w:type="spellEnd"/>
      <w:r w:rsidRPr="00AB4400">
        <w:t xml:space="preserve"> and Lund agree that chiasms are especially characteristic of “Hebrew rhetoric.”</w:t>
      </w:r>
      <w:r w:rsidRPr="00AB4400">
        <w:rPr>
          <w:vertAlign w:val="superscript"/>
        </w:rPr>
        <w:footnoteReference w:id="204"/>
      </w:r>
      <w:r w:rsidRPr="00AB4400">
        <w:t xml:space="preserve"> Both acknowledge that stylistic (sentence-length) chiasms are common in classical literature</w:t>
      </w:r>
      <w:r w:rsidRPr="00AB4400">
        <w:rPr>
          <w:vertAlign w:val="superscript"/>
        </w:rPr>
        <w:footnoteReference w:id="205"/>
      </w:r>
      <w:r w:rsidRPr="00AB4400">
        <w:t xml:space="preserve"> but that lexical and passage chiasms are rare. Lund goes so far as to say that the lexical chiasm is exclusively a feature of the Bible: “of more extensive chiastic systems there is no trace</w:t>
      </w:r>
      <w:r w:rsidR="006F304D" w:rsidRPr="006F304D">
        <w:t xml:space="preserve">, </w:t>
      </w:r>
      <w:r w:rsidRPr="00AB4400">
        <w:t>except in so far as they are found in Scripture.”</w:t>
      </w:r>
      <w:r w:rsidRPr="00AB4400">
        <w:rPr>
          <w:vertAlign w:val="superscript"/>
        </w:rPr>
        <w:footnoteReference w:id="206"/>
      </w:r>
      <w:r w:rsidRPr="00AB4400">
        <w:t xml:space="preserve"> </w:t>
      </w:r>
      <w:proofErr w:type="spellStart"/>
      <w:r w:rsidRPr="00AB4400">
        <w:t>Meynet</w:t>
      </w:r>
      <w:proofErr w:type="spellEnd"/>
      <w:r w:rsidRPr="00AB4400">
        <w:t xml:space="preserve"> grants that there exists a limited use of extended chiasm in classical literature (he cites as an example the </w:t>
      </w:r>
      <w:r w:rsidRPr="00AB4400">
        <w:rPr>
          <w:i/>
        </w:rPr>
        <w:t>Odyssey</w:t>
      </w:r>
      <w:r w:rsidR="006F304D" w:rsidRPr="006F304D">
        <w:t xml:space="preserve">, </w:t>
      </w:r>
      <w:r w:rsidRPr="00AB4400">
        <w:t>11.171-204); but</w:t>
      </w:r>
      <w:r w:rsidR="006F304D" w:rsidRPr="006F304D">
        <w:t xml:space="preserve">, </w:t>
      </w:r>
      <w:r w:rsidRPr="00AB4400">
        <w:t>he claims</w:t>
      </w:r>
      <w:r w:rsidR="006F304D" w:rsidRPr="006F304D">
        <w:t xml:space="preserve">, </w:t>
      </w:r>
      <w:r w:rsidRPr="00AB4400">
        <w:t>it does not function structurally in the same way as the biblical chiasm.</w:t>
      </w:r>
      <w:r w:rsidRPr="00AB4400">
        <w:rPr>
          <w:vertAlign w:val="superscript"/>
        </w:rPr>
        <w:footnoteReference w:id="207"/>
      </w:r>
      <w:r w:rsidRPr="00AB4400">
        <w:t xml:space="preserve"> Moreover</w:t>
      </w:r>
      <w:r w:rsidR="006F304D" w:rsidRPr="006F304D">
        <w:t xml:space="preserve">, </w:t>
      </w:r>
      <w:r w:rsidRPr="00AB4400">
        <w:t xml:space="preserve">Lund implies and </w:t>
      </w:r>
      <w:proofErr w:type="spellStart"/>
      <w:r w:rsidRPr="00AB4400">
        <w:t>Meynet</w:t>
      </w:r>
      <w:proofErr w:type="spellEnd"/>
      <w:r w:rsidRPr="00AB4400">
        <w:t xml:space="preserve"> cites evidence that rhetorical chiasms are not just Hebraic</w:t>
      </w:r>
      <w:r w:rsidR="006F304D" w:rsidRPr="006F304D">
        <w:t xml:space="preserve">, </w:t>
      </w:r>
      <w:r w:rsidRPr="00AB4400">
        <w:t>but Semitic.</w:t>
      </w:r>
      <w:r w:rsidRPr="00AB4400">
        <w:rPr>
          <w:vertAlign w:val="superscript"/>
        </w:rPr>
        <w:footnoteReference w:id="208"/>
      </w:r>
    </w:p>
    <w:p w14:paraId="0885B895" w14:textId="18E87F28" w:rsidR="0018433B" w:rsidRPr="00AB4400" w:rsidRDefault="0018433B" w:rsidP="0018433B">
      <w:pPr>
        <w:widowControl w:val="0"/>
      </w:pPr>
      <w:r w:rsidRPr="00AB4400">
        <w:tab/>
        <w:t>Numerous examples of chiasms in the OT are given by Lund in his third</w:t>
      </w:r>
      <w:r w:rsidR="006F304D" w:rsidRPr="006F304D">
        <w:t xml:space="preserve">, </w:t>
      </w:r>
      <w:r w:rsidRPr="00AB4400">
        <w:t>fourth</w:t>
      </w:r>
      <w:r w:rsidR="006F304D" w:rsidRPr="006F304D">
        <w:t xml:space="preserve">, </w:t>
      </w:r>
      <w:r w:rsidRPr="00AB4400">
        <w:t>and fifth chapters (“The Law,” “The Prophets,” “The Psalms”). One of the most striking is Isa 60:1-3:</w:t>
      </w:r>
    </w:p>
    <w:p w14:paraId="0D06EDD8" w14:textId="77777777" w:rsidR="0018433B" w:rsidRDefault="0018433B" w:rsidP="0018433B">
      <w:pPr>
        <w:widowControl w:val="0"/>
      </w:pPr>
    </w:p>
    <w:p w14:paraId="5DDF3668" w14:textId="77777777" w:rsidR="0018433B" w:rsidRPr="00AB4400" w:rsidRDefault="0018433B" w:rsidP="0018433B">
      <w:pPr>
        <w:widowControl w:val="0"/>
      </w:pPr>
      <w:r w:rsidRPr="00AB4400">
        <w:tab/>
      </w:r>
      <w:r w:rsidRPr="00AB4400">
        <w:tab/>
        <w:t>Arise,</w:t>
      </w:r>
    </w:p>
    <w:p w14:paraId="573723CC" w14:textId="37FD3904" w:rsidR="0018433B" w:rsidRPr="00AB4400" w:rsidRDefault="0018433B" w:rsidP="0018433B">
      <w:pPr>
        <w:widowControl w:val="0"/>
      </w:pPr>
      <w:r w:rsidRPr="00AB4400">
        <w:tab/>
      </w:r>
      <w:r w:rsidRPr="00AB4400">
        <w:tab/>
      </w:r>
      <w:r w:rsidR="000151C8" w:rsidRPr="000151C8">
        <w:rPr>
          <w:iCs/>
        </w:rPr>
        <w:t xml:space="preserve"> </w:t>
      </w:r>
      <w:r w:rsidRPr="00AB4400">
        <w:t>Shine,</w:t>
      </w:r>
    </w:p>
    <w:p w14:paraId="79653826" w14:textId="32072ED6" w:rsidR="0018433B" w:rsidRPr="00AB4400" w:rsidRDefault="0018433B" w:rsidP="0018433B">
      <w:pPr>
        <w:widowControl w:val="0"/>
      </w:pPr>
      <w:r w:rsidRPr="00AB4400">
        <w:tab/>
      </w:r>
      <w:r w:rsidRPr="00AB4400">
        <w:tab/>
      </w:r>
      <w:r w:rsidR="000151C8" w:rsidRPr="000151C8">
        <w:rPr>
          <w:iCs/>
        </w:rPr>
        <w:t xml:space="preserve">  </w:t>
      </w:r>
      <w:r w:rsidRPr="00AB4400">
        <w:t>For thy light is come,</w:t>
      </w:r>
    </w:p>
    <w:p w14:paraId="3B28115A" w14:textId="3BD26CE7" w:rsidR="0018433B" w:rsidRPr="00AB4400" w:rsidRDefault="0018433B" w:rsidP="0018433B">
      <w:pPr>
        <w:widowControl w:val="0"/>
      </w:pPr>
      <w:r w:rsidRPr="00AB4400">
        <w:tab/>
      </w:r>
      <w:r w:rsidRPr="00AB4400">
        <w:tab/>
      </w:r>
      <w:r w:rsidR="000151C8" w:rsidRPr="000151C8">
        <w:rPr>
          <w:iCs/>
        </w:rPr>
        <w:t xml:space="preserve">   </w:t>
      </w:r>
      <w:r w:rsidRPr="00AB4400">
        <w:t>And the glory</w:t>
      </w:r>
    </w:p>
    <w:p w14:paraId="0B2E73CE" w14:textId="5C97BE00" w:rsidR="0018433B" w:rsidRPr="00AB4400" w:rsidRDefault="0018433B" w:rsidP="0018433B">
      <w:pPr>
        <w:widowControl w:val="0"/>
      </w:pPr>
      <w:r w:rsidRPr="00AB4400">
        <w:tab/>
      </w:r>
      <w:r w:rsidRPr="00AB4400">
        <w:tab/>
      </w:r>
      <w:r w:rsidR="000151C8" w:rsidRPr="000151C8">
        <w:rPr>
          <w:iCs/>
        </w:rPr>
        <w:t xml:space="preserve">    </w:t>
      </w:r>
      <w:r w:rsidRPr="00AB4400">
        <w:t>Of Yahweh</w:t>
      </w:r>
    </w:p>
    <w:p w14:paraId="101D4B9A" w14:textId="22A9C659" w:rsidR="0018433B" w:rsidRPr="00AB4400" w:rsidRDefault="0018433B" w:rsidP="0018433B">
      <w:pPr>
        <w:widowControl w:val="0"/>
      </w:pPr>
      <w:r w:rsidRPr="00AB4400">
        <w:tab/>
      </w:r>
      <w:r w:rsidRPr="00AB4400">
        <w:tab/>
      </w:r>
      <w:r w:rsidR="000151C8" w:rsidRPr="000151C8">
        <w:rPr>
          <w:iCs/>
        </w:rPr>
        <w:t xml:space="preserve">     </w:t>
      </w:r>
      <w:r w:rsidRPr="00AB4400">
        <w:t>Upon thee is risen.</w:t>
      </w:r>
    </w:p>
    <w:p w14:paraId="4EEA1B66" w14:textId="77777777" w:rsidR="0018433B" w:rsidRPr="00AB4400" w:rsidRDefault="0018433B" w:rsidP="0018433B">
      <w:pPr>
        <w:widowControl w:val="0"/>
      </w:pPr>
    </w:p>
    <w:p w14:paraId="062A0AB3" w14:textId="38385DEE" w:rsidR="0018433B" w:rsidRPr="00AB4400" w:rsidRDefault="0018433B" w:rsidP="0018433B">
      <w:pPr>
        <w:widowControl w:val="0"/>
      </w:pPr>
      <w:r w:rsidRPr="00AB4400">
        <w:tab/>
      </w:r>
      <w:r w:rsidRPr="00AB4400">
        <w:tab/>
      </w:r>
      <w:r w:rsidR="000151C8" w:rsidRPr="000151C8">
        <w:rPr>
          <w:iCs/>
        </w:rPr>
        <w:t xml:space="preserve">      </w:t>
      </w:r>
      <w:r w:rsidRPr="00AB4400">
        <w:t>For</w:t>
      </w:r>
      <w:r w:rsidR="006F304D" w:rsidRPr="006F304D">
        <w:t xml:space="preserve">, </w:t>
      </w:r>
      <w:r w:rsidRPr="00AB4400">
        <w:t>behold</w:t>
      </w:r>
      <w:r w:rsidR="006F304D" w:rsidRPr="006F304D">
        <w:t xml:space="preserve">, </w:t>
      </w:r>
      <w:r w:rsidRPr="00AB4400">
        <w:t>darkness shall cover the earth</w:t>
      </w:r>
    </w:p>
    <w:p w14:paraId="15E9250F" w14:textId="431E5C12" w:rsidR="0018433B" w:rsidRPr="00AB4400" w:rsidRDefault="0018433B" w:rsidP="0018433B">
      <w:pPr>
        <w:widowControl w:val="0"/>
      </w:pPr>
      <w:r w:rsidRPr="00AB4400">
        <w:tab/>
      </w:r>
      <w:r w:rsidRPr="00AB4400">
        <w:tab/>
      </w:r>
      <w:r w:rsidR="000151C8" w:rsidRPr="000151C8">
        <w:rPr>
          <w:iCs/>
        </w:rPr>
        <w:t xml:space="preserve">      </w:t>
      </w:r>
      <w:r w:rsidRPr="00AB4400">
        <w:t>And gross darkness the peoples.</w:t>
      </w:r>
    </w:p>
    <w:p w14:paraId="2C3F747C" w14:textId="77777777" w:rsidR="0018433B" w:rsidRPr="00AB4400" w:rsidRDefault="0018433B" w:rsidP="0018433B">
      <w:pPr>
        <w:widowControl w:val="0"/>
      </w:pPr>
    </w:p>
    <w:p w14:paraId="19649031" w14:textId="563C664E" w:rsidR="0018433B" w:rsidRPr="00AB4400" w:rsidRDefault="0018433B" w:rsidP="0018433B">
      <w:pPr>
        <w:widowControl w:val="0"/>
      </w:pPr>
      <w:r w:rsidRPr="00AB4400">
        <w:tab/>
      </w:r>
      <w:r w:rsidRPr="00AB4400">
        <w:tab/>
      </w:r>
      <w:r w:rsidR="000151C8" w:rsidRPr="000151C8">
        <w:rPr>
          <w:iCs/>
        </w:rPr>
        <w:t xml:space="preserve">     </w:t>
      </w:r>
      <w:r w:rsidRPr="00AB4400">
        <w:t>But upon thee will arise</w:t>
      </w:r>
    </w:p>
    <w:p w14:paraId="41FC64CB" w14:textId="5F0815EC" w:rsidR="0018433B" w:rsidRPr="00AB4400" w:rsidRDefault="0018433B" w:rsidP="0018433B">
      <w:pPr>
        <w:widowControl w:val="0"/>
      </w:pPr>
      <w:r w:rsidRPr="00AB4400">
        <w:tab/>
      </w:r>
      <w:r w:rsidRPr="00AB4400">
        <w:tab/>
      </w:r>
      <w:r w:rsidR="000151C8" w:rsidRPr="000151C8">
        <w:rPr>
          <w:iCs/>
        </w:rPr>
        <w:t xml:space="preserve">    </w:t>
      </w:r>
      <w:r w:rsidRPr="00AB4400">
        <w:t>Yahweh,</w:t>
      </w:r>
    </w:p>
    <w:p w14:paraId="0AB3940B" w14:textId="60C39983" w:rsidR="0018433B" w:rsidRPr="00AB4400" w:rsidRDefault="0018433B" w:rsidP="0018433B">
      <w:pPr>
        <w:widowControl w:val="0"/>
      </w:pPr>
      <w:r w:rsidRPr="00AB4400">
        <w:tab/>
      </w:r>
      <w:r w:rsidRPr="00AB4400">
        <w:tab/>
      </w:r>
      <w:r w:rsidR="000151C8" w:rsidRPr="000151C8">
        <w:rPr>
          <w:iCs/>
        </w:rPr>
        <w:t xml:space="preserve">   </w:t>
      </w:r>
      <w:r w:rsidRPr="00AB4400">
        <w:t>And his glory upon thee be seen,</w:t>
      </w:r>
    </w:p>
    <w:p w14:paraId="26432ABC" w14:textId="452EAA57" w:rsidR="0018433B" w:rsidRPr="00AB4400" w:rsidRDefault="0018433B" w:rsidP="0018433B">
      <w:pPr>
        <w:widowControl w:val="0"/>
      </w:pPr>
      <w:r w:rsidRPr="00AB4400">
        <w:tab/>
      </w:r>
      <w:r w:rsidRPr="00AB4400">
        <w:tab/>
      </w:r>
      <w:r w:rsidR="000151C8" w:rsidRPr="000151C8">
        <w:rPr>
          <w:iCs/>
        </w:rPr>
        <w:t xml:space="preserve">  </w:t>
      </w:r>
      <w:r w:rsidRPr="00AB4400">
        <w:t>And nations shall come to thy light,</w:t>
      </w:r>
    </w:p>
    <w:p w14:paraId="79CB45BC" w14:textId="6493CCA6" w:rsidR="0018433B" w:rsidRPr="00AB4400" w:rsidRDefault="0018433B" w:rsidP="0018433B">
      <w:pPr>
        <w:widowControl w:val="0"/>
      </w:pPr>
      <w:r w:rsidRPr="00AB4400">
        <w:tab/>
      </w:r>
      <w:r w:rsidRPr="00AB4400">
        <w:tab/>
      </w:r>
      <w:r w:rsidR="000151C8" w:rsidRPr="000151C8">
        <w:rPr>
          <w:iCs/>
        </w:rPr>
        <w:t xml:space="preserve"> </w:t>
      </w:r>
      <w:r w:rsidRPr="00AB4400">
        <w:t>And kings to the brightness</w:t>
      </w:r>
    </w:p>
    <w:p w14:paraId="063F3C87" w14:textId="77777777" w:rsidR="0018433B" w:rsidRPr="00AB4400" w:rsidRDefault="0018433B" w:rsidP="0018433B">
      <w:pPr>
        <w:widowControl w:val="0"/>
      </w:pPr>
      <w:r w:rsidRPr="00AB4400">
        <w:tab/>
      </w:r>
      <w:r w:rsidRPr="00AB4400">
        <w:tab/>
        <w:t>Of thy rising.</w:t>
      </w:r>
      <w:r w:rsidRPr="00AB4400">
        <w:rPr>
          <w:vertAlign w:val="superscript"/>
        </w:rPr>
        <w:footnoteReference w:id="209"/>
      </w:r>
    </w:p>
    <w:p w14:paraId="4301CB01" w14:textId="77777777" w:rsidR="0018433B" w:rsidRDefault="0018433B" w:rsidP="0018433B">
      <w:pPr>
        <w:widowControl w:val="0"/>
      </w:pPr>
    </w:p>
    <w:p w14:paraId="36D5B58A" w14:textId="24838132" w:rsidR="0018433B" w:rsidRPr="00AB4400" w:rsidRDefault="0018433B" w:rsidP="0018433B">
      <w:pPr>
        <w:widowControl w:val="0"/>
      </w:pPr>
      <w:r w:rsidRPr="00AB4400">
        <w:tab/>
        <w:t>What about the NT? Even if Lund’s examples from the OT are judged accurate</w:t>
      </w:r>
      <w:r w:rsidR="006F304D" w:rsidRPr="006F304D">
        <w:t xml:space="preserve">, </w:t>
      </w:r>
      <w:r w:rsidRPr="00AB4400">
        <w:t>it does not immediately follow that chiasm was used in the NT: its writers were composing in a largely Hellenized environment.</w:t>
      </w:r>
      <w:r w:rsidRPr="00AB4400">
        <w:rPr>
          <w:vertAlign w:val="superscript"/>
        </w:rPr>
        <w:footnoteReference w:id="210"/>
      </w:r>
      <w:r w:rsidRPr="00AB4400">
        <w:t xml:space="preserve"> Lund perceives the difficulty and tries to make probable the presence of chiasm in the NT by giving historical reasons for it. There existed</w:t>
      </w:r>
      <w:r w:rsidR="006F304D" w:rsidRPr="006F304D">
        <w:t xml:space="preserve">, </w:t>
      </w:r>
      <w:r w:rsidRPr="00AB4400">
        <w:t>he says</w:t>
      </w:r>
      <w:r w:rsidR="006F304D" w:rsidRPr="006F304D">
        <w:t xml:space="preserve">, </w:t>
      </w:r>
      <w:r w:rsidRPr="00AB4400">
        <w:t>a bridge between the Hebrew literature of the OT and the Greek literature of the New</w:t>
      </w:r>
      <w:r w:rsidR="006F304D" w:rsidRPr="006F304D">
        <w:t xml:space="preserve">, </w:t>
      </w:r>
      <w:r w:rsidRPr="00AB4400">
        <w:t>namely</w:t>
      </w:r>
      <w:r w:rsidR="006F304D" w:rsidRPr="006F304D">
        <w:t xml:space="preserve">, </w:t>
      </w:r>
      <w:r w:rsidRPr="00AB4400">
        <w:t>the body of Aramaic literature. Though little of it now survives</w:t>
      </w:r>
      <w:r w:rsidR="006F304D" w:rsidRPr="006F304D">
        <w:t xml:space="preserve">, </w:t>
      </w:r>
      <w:r w:rsidRPr="00AB4400">
        <w:t>it must once have been substantial; Jews writing in Aramaic probably constructed</w:t>
      </w:r>
      <w:r w:rsidR="006F304D" w:rsidRPr="006F304D">
        <w:t xml:space="preserve">, </w:t>
      </w:r>
      <w:r w:rsidRPr="00AB4400">
        <w:t>in their new tongue</w:t>
      </w:r>
      <w:r w:rsidR="006F304D" w:rsidRPr="006F304D">
        <w:t xml:space="preserve">, </w:t>
      </w:r>
      <w:r w:rsidRPr="00AB4400">
        <w:t>figures conventional in their old—including chiasm.</w:t>
      </w:r>
      <w:r w:rsidRPr="00AB4400">
        <w:rPr>
          <w:vertAlign w:val="superscript"/>
        </w:rPr>
        <w:footnoteReference w:id="211"/>
      </w:r>
      <w:r w:rsidRPr="00AB4400">
        <w:t xml:space="preserve"> Moreover</w:t>
      </w:r>
      <w:r w:rsidR="006F304D" w:rsidRPr="006F304D">
        <w:t xml:space="preserve">, </w:t>
      </w:r>
      <w:r w:rsidRPr="00AB4400">
        <w:t>he argues</w:t>
      </w:r>
      <w:r w:rsidR="006F304D" w:rsidRPr="006F304D">
        <w:t xml:space="preserve">, </w:t>
      </w:r>
      <w:r w:rsidRPr="00AB4400">
        <w:t xml:space="preserve">chiasm would have transferred from the OT to the NT because the writings in both were liturgical in nature and therefore highly stylized. </w:t>
      </w:r>
      <w:proofErr w:type="spellStart"/>
      <w:r w:rsidRPr="00AB4400">
        <w:t>Meynet</w:t>
      </w:r>
      <w:proofErr w:type="spellEnd"/>
      <w:r w:rsidR="006F304D" w:rsidRPr="006F304D">
        <w:t xml:space="preserve">, </w:t>
      </w:r>
      <w:r w:rsidRPr="00AB4400">
        <w:t>commenting on this argument</w:t>
      </w:r>
      <w:r w:rsidR="006F304D" w:rsidRPr="006F304D">
        <w:t xml:space="preserve">, </w:t>
      </w:r>
      <w:r w:rsidRPr="00AB4400">
        <w:t>acknowledges that present-day liturgical use of scripture totally ignores the chiastic structures that he and Lund find there; but he says that the psalms of the Bible are texts whose original limits are known today (as they were not when present-day liturgical use was determined) and they show chiastic structure; thus they provide support for Lund’s liturgical-use argument.</w:t>
      </w:r>
      <w:r w:rsidRPr="00AB4400">
        <w:rPr>
          <w:vertAlign w:val="superscript"/>
        </w:rPr>
        <w:footnoteReference w:id="212"/>
      </w:r>
    </w:p>
    <w:p w14:paraId="3FA2303F" w14:textId="1C98804B" w:rsidR="0018433B" w:rsidRPr="00AB4400" w:rsidRDefault="0018433B" w:rsidP="0018433B">
      <w:pPr>
        <w:widowControl w:val="0"/>
      </w:pPr>
      <w:r w:rsidRPr="00AB4400">
        <w:tab/>
        <w:t>Whereas Lund tries to support his instances of chiasm in the NT by arguments based on historical development</w:t>
      </w:r>
      <w:r w:rsidR="006F304D" w:rsidRPr="006F304D">
        <w:t xml:space="preserve">, </w:t>
      </w:r>
      <w:proofErr w:type="spellStart"/>
      <w:r w:rsidRPr="00AB4400">
        <w:t>Meynet</w:t>
      </w:r>
      <w:proofErr w:type="spellEnd"/>
      <w:r w:rsidRPr="00AB4400">
        <w:t xml:space="preserve"> supports them by suggesting that their primary function was that of a mnemonic device. We can never know</w:t>
      </w:r>
      <w:r w:rsidR="006F304D" w:rsidRPr="006F304D">
        <w:t xml:space="preserve">, </w:t>
      </w:r>
      <w:r w:rsidRPr="00AB4400">
        <w:t>he concedes</w:t>
      </w:r>
      <w:r w:rsidR="006F304D" w:rsidRPr="006F304D">
        <w:t xml:space="preserve">, </w:t>
      </w:r>
      <w:r w:rsidRPr="00AB4400">
        <w:t>whether or not scriptural chiasms were recognized liturgical units in biblical days; that their lengths vary considerably</w:t>
      </w:r>
      <w:r w:rsidR="006F304D" w:rsidRPr="006F304D">
        <w:t xml:space="preserve">, </w:t>
      </w:r>
      <w:r w:rsidRPr="00AB4400">
        <w:t>in fact</w:t>
      </w:r>
      <w:r w:rsidR="006F304D" w:rsidRPr="006F304D">
        <w:t xml:space="preserve">, </w:t>
      </w:r>
      <w:r w:rsidRPr="00AB4400">
        <w:t>would seem to argue against it. “But is it not conceivable,” he asks</w:t>
      </w:r>
      <w:r w:rsidR="006F304D" w:rsidRPr="006F304D">
        <w:t xml:space="preserve">, </w:t>
      </w:r>
      <w:r w:rsidRPr="00AB4400">
        <w:t>“that their function was precisely to favor the memorization of the text?” Not rote memorization</w:t>
      </w:r>
      <w:r w:rsidR="006F304D" w:rsidRPr="006F304D">
        <w:t xml:space="preserve">, </w:t>
      </w:r>
      <w:r w:rsidRPr="00AB4400">
        <w:t>he adds</w:t>
      </w:r>
      <w:r w:rsidR="006F304D" w:rsidRPr="006F304D">
        <w:t xml:space="preserve">, </w:t>
      </w:r>
      <w:r w:rsidRPr="00AB4400">
        <w:t>but the remembrance of which scenes occur together.</w:t>
      </w:r>
      <w:r w:rsidRPr="00AB4400">
        <w:rPr>
          <w:vertAlign w:val="superscript"/>
        </w:rPr>
        <w:footnoteReference w:id="213"/>
      </w:r>
    </w:p>
    <w:p w14:paraId="4C21B4CE" w14:textId="376EFD32" w:rsidR="0018433B" w:rsidRPr="00AB4400" w:rsidRDefault="0018433B" w:rsidP="0018433B">
      <w:pPr>
        <w:widowControl w:val="0"/>
      </w:pPr>
      <w:r w:rsidRPr="00AB4400">
        <w:lastRenderedPageBreak/>
        <w:tab/>
        <w:t>Whatever the a priori probability of chiasms in the NT</w:t>
      </w:r>
      <w:r w:rsidR="006F304D" w:rsidRPr="006F304D">
        <w:t xml:space="preserve">, </w:t>
      </w:r>
      <w:r w:rsidRPr="00AB4400">
        <w:t xml:space="preserve">Lund and </w:t>
      </w:r>
      <w:proofErr w:type="spellStart"/>
      <w:r w:rsidRPr="00AB4400">
        <w:t>Meynet</w:t>
      </w:r>
      <w:proofErr w:type="spellEnd"/>
      <w:r w:rsidRPr="00AB4400">
        <w:t xml:space="preserve"> claim to have found a large number of them. From this large number</w:t>
      </w:r>
      <w:r w:rsidR="006F304D" w:rsidRPr="006F304D">
        <w:t xml:space="preserve">, </w:t>
      </w:r>
      <w:r w:rsidRPr="00AB4400">
        <w:t>generalizations about their structure are made. Lund calls his generalizations “laws of chiastic structures,” and he formulates seven of them: (1) the center is the turning point; (2) the two halves of a chiasm are often antithetical in content; (3) identical ideas sometimes occur at the beginning</w:t>
      </w:r>
      <w:r w:rsidR="006F304D" w:rsidRPr="006F304D">
        <w:t xml:space="preserve">, </w:t>
      </w:r>
      <w:r w:rsidRPr="00AB4400">
        <w:t>center</w:t>
      </w:r>
      <w:r w:rsidR="006F304D" w:rsidRPr="006F304D">
        <w:t xml:space="preserve">, </w:t>
      </w:r>
      <w:r w:rsidRPr="00AB4400">
        <w:t>and end; (4) an idea at the center of one chiasm sometimes is found at the extremes of another; (5) the center and extremes tend to have special terms (</w:t>
      </w:r>
      <w:r w:rsidR="00775F9B" w:rsidRPr="00775F9B">
        <w:rPr>
          <w:iCs/>
        </w:rPr>
        <w:t>e.g.</w:t>
      </w:r>
      <w:r w:rsidR="006F304D" w:rsidRPr="006F304D">
        <w:t xml:space="preserve">, </w:t>
      </w:r>
      <w:r w:rsidRPr="00AB4400">
        <w:t>“Yahweh” in the Psalms</w:t>
      </w:r>
      <w:r w:rsidR="006F304D" w:rsidRPr="006F304D">
        <w:t xml:space="preserve">, </w:t>
      </w:r>
      <w:r w:rsidRPr="00AB4400">
        <w:t>or OT quotations in NT chiasms); (6) larger chiasms often begin and end with framing pericopes;</w:t>
      </w:r>
      <w:r w:rsidRPr="00AB4400">
        <w:rPr>
          <w:vertAlign w:val="superscript"/>
        </w:rPr>
        <w:footnoteReference w:id="214"/>
      </w:r>
      <w:r w:rsidRPr="00AB4400">
        <w:t xml:space="preserve"> (7) chiasms often have intermixed into them alternating parallelisms.</w:t>
      </w:r>
      <w:r w:rsidRPr="00AB4400">
        <w:rPr>
          <w:vertAlign w:val="superscript"/>
        </w:rPr>
        <w:footnoteReference w:id="215"/>
      </w:r>
    </w:p>
    <w:p w14:paraId="44222D75" w14:textId="77777777" w:rsidR="0018433B" w:rsidRDefault="0018433B" w:rsidP="0018433B">
      <w:pPr>
        <w:widowControl w:val="0"/>
      </w:pPr>
      <w:r w:rsidRPr="00AB4400">
        <w:tab/>
        <w:t xml:space="preserve">To Lund’s laws </w:t>
      </w:r>
      <w:proofErr w:type="spellStart"/>
      <w:r w:rsidRPr="00AB4400">
        <w:t>Meynet</w:t>
      </w:r>
      <w:proofErr w:type="spellEnd"/>
      <w:r w:rsidRPr="00AB4400">
        <w:t xml:space="preserve"> adds those formulated by Albert Condamin:</w:t>
      </w:r>
    </w:p>
    <w:p w14:paraId="6E36CD8C" w14:textId="77777777" w:rsidR="0018433B" w:rsidRPr="00AB4400" w:rsidRDefault="0018433B" w:rsidP="0018433B">
      <w:pPr>
        <w:widowControl w:val="0"/>
      </w:pPr>
    </w:p>
    <w:p w14:paraId="47787137" w14:textId="77777777" w:rsidR="0018433B" w:rsidRPr="00AB4400" w:rsidRDefault="0018433B" w:rsidP="0018433B">
      <w:pPr>
        <w:widowControl w:val="0"/>
        <w:ind w:left="1440" w:right="720" w:hanging="720"/>
      </w:pPr>
      <w:r w:rsidRPr="00AB4400">
        <w:t>1.</w:t>
      </w:r>
      <w:r w:rsidRPr="00AB4400">
        <w:tab/>
        <w:t>“each strophe develops one principal thought”;</w:t>
      </w:r>
    </w:p>
    <w:p w14:paraId="729C2079" w14:textId="7ED5C793" w:rsidR="0018433B" w:rsidRPr="00AB4400" w:rsidRDefault="0018433B" w:rsidP="0018433B">
      <w:pPr>
        <w:widowControl w:val="0"/>
        <w:ind w:left="1440" w:right="720" w:hanging="720"/>
      </w:pPr>
      <w:r w:rsidRPr="00AB4400">
        <w:t>2.</w:t>
      </w:r>
      <w:r w:rsidRPr="00AB4400">
        <w:tab/>
        <w:t>there is “symmetry of the number of verses [</w:t>
      </w:r>
      <w:r w:rsidR="00775F9B" w:rsidRPr="00775F9B">
        <w:rPr>
          <w:iCs/>
        </w:rPr>
        <w:t>i.e.</w:t>
      </w:r>
      <w:r w:rsidR="006F304D" w:rsidRPr="006F304D">
        <w:t xml:space="preserve">, </w:t>
      </w:r>
      <w:proofErr w:type="spellStart"/>
      <w:r w:rsidRPr="00AB4400">
        <w:t>distichs</w:t>
      </w:r>
      <w:proofErr w:type="spellEnd"/>
      <w:r w:rsidR="006F304D" w:rsidRPr="006F304D">
        <w:t xml:space="preserve">, </w:t>
      </w:r>
      <w:r w:rsidRPr="00AB4400">
        <w:t>etc.] and of groups of verses”;</w:t>
      </w:r>
    </w:p>
    <w:p w14:paraId="6A96A576" w14:textId="254DC255" w:rsidR="0018433B" w:rsidRPr="00AB4400" w:rsidRDefault="0018433B" w:rsidP="0018433B">
      <w:pPr>
        <w:widowControl w:val="0"/>
        <w:ind w:left="1440" w:right="720" w:hanging="720"/>
      </w:pPr>
      <w:r w:rsidRPr="00AB4400">
        <w:t>3.</w:t>
      </w:r>
      <w:r w:rsidRPr="00AB4400">
        <w:tab/>
        <w:t>there is “repetition of certain words</w:t>
      </w:r>
      <w:r w:rsidR="006F304D" w:rsidRPr="006F304D">
        <w:t xml:space="preserve">, </w:t>
      </w:r>
      <w:r w:rsidRPr="00AB4400">
        <w:t>either at the beginning and end of strophes</w:t>
      </w:r>
      <w:r w:rsidR="006F304D" w:rsidRPr="006F304D">
        <w:t xml:space="preserve">, </w:t>
      </w:r>
      <w:r>
        <w:t>. . .</w:t>
      </w:r>
      <w:r w:rsidRPr="00AB4400">
        <w:t xml:space="preserve"> or from one strophe to another</w:t>
      </w:r>
      <w:r w:rsidR="006F304D" w:rsidRPr="006F304D">
        <w:t xml:space="preserve">, </w:t>
      </w:r>
      <w:r w:rsidRPr="00AB4400">
        <w:t>in parallel or symmetrical fashion”;</w:t>
      </w:r>
    </w:p>
    <w:p w14:paraId="30568219" w14:textId="77777777" w:rsidR="0018433B" w:rsidRPr="00AB4400" w:rsidRDefault="0018433B" w:rsidP="0018433B">
      <w:pPr>
        <w:widowControl w:val="0"/>
        <w:ind w:left="1440" w:right="720" w:hanging="720"/>
      </w:pPr>
      <w:r w:rsidRPr="00AB4400">
        <w:t>4.</w:t>
      </w:r>
      <w:r w:rsidRPr="00AB4400">
        <w:tab/>
        <w:t xml:space="preserve">“the central strophe </w:t>
      </w:r>
      <w:r>
        <w:t>. . .</w:t>
      </w:r>
      <w:r w:rsidRPr="00AB4400">
        <w:t xml:space="preserve"> it develops the most important idea </w:t>
      </w:r>
      <w:r>
        <w:t>. . .</w:t>
      </w:r>
      <w:r w:rsidRPr="00AB4400">
        <w:t>”</w:t>
      </w:r>
      <w:r w:rsidRPr="00AB4400">
        <w:rPr>
          <w:vertAlign w:val="superscript"/>
        </w:rPr>
        <w:footnoteReference w:id="216"/>
      </w:r>
    </w:p>
    <w:p w14:paraId="01C9D7F2" w14:textId="77777777" w:rsidR="0018433B" w:rsidRDefault="0018433B" w:rsidP="0018433B">
      <w:pPr>
        <w:widowControl w:val="0"/>
      </w:pPr>
    </w:p>
    <w:p w14:paraId="376E10BE" w14:textId="3F88ABDD" w:rsidR="0018433B" w:rsidRDefault="0018433B" w:rsidP="0018433B">
      <w:pPr>
        <w:widowControl w:val="0"/>
      </w:pPr>
      <w:proofErr w:type="spellStart"/>
      <w:r w:rsidRPr="00AB4400">
        <w:t>Meynet</w:t>
      </w:r>
      <w:proofErr w:type="spellEnd"/>
      <w:r w:rsidRPr="00AB4400">
        <w:t xml:space="preserve"> acknowledges many of the “laws” of Lund and </w:t>
      </w:r>
      <w:proofErr w:type="spellStart"/>
      <w:r w:rsidRPr="00AB4400">
        <w:t>Condamin</w:t>
      </w:r>
      <w:proofErr w:type="spellEnd"/>
      <w:r w:rsidRPr="00AB4400">
        <w:t>. He says</w:t>
      </w:r>
      <w:r w:rsidR="006F304D" w:rsidRPr="006F304D">
        <w:t xml:space="preserve">, </w:t>
      </w:r>
      <w:r w:rsidRPr="00AB4400">
        <w:t>for example</w:t>
      </w:r>
      <w:r w:rsidR="006F304D" w:rsidRPr="006F304D">
        <w:t xml:space="preserve">, </w:t>
      </w:r>
      <w:r w:rsidRPr="00AB4400">
        <w:t>that “that which is at the extremes of a chiasm often reappears at the center,”</w:t>
      </w:r>
      <w:r w:rsidRPr="00AB4400">
        <w:rPr>
          <w:vertAlign w:val="superscript"/>
        </w:rPr>
        <w:footnoteReference w:id="217"/>
      </w:r>
      <w:r w:rsidRPr="00AB4400">
        <w:t xml:space="preserve"> which corresponds to Lund’s third law. He also says that lexical chiasms</w:t>
      </w:r>
      <w:r w:rsidR="006F304D" w:rsidRPr="006F304D">
        <w:t xml:space="preserve">, </w:t>
      </w:r>
      <w:r w:rsidRPr="00AB4400">
        <w:t>if they are internal to a pericope</w:t>
      </w:r>
      <w:r w:rsidR="006F304D" w:rsidRPr="006F304D">
        <w:t xml:space="preserve">, </w:t>
      </w:r>
      <w:r w:rsidRPr="00AB4400">
        <w:t>have the sole function of emphasizing the central element; but if they extend over a boundary between pericopes</w:t>
      </w:r>
      <w:r w:rsidR="006F304D" w:rsidRPr="006F304D">
        <w:t xml:space="preserve">, </w:t>
      </w:r>
      <w:r w:rsidRPr="00AB4400">
        <w:t>they have the additional function of showing that the pericopes are related.</w:t>
      </w:r>
      <w:r w:rsidRPr="00AB4400">
        <w:rPr>
          <w:vertAlign w:val="superscript"/>
        </w:rPr>
        <w:footnoteReference w:id="218"/>
      </w:r>
      <w:r w:rsidRPr="00AB4400">
        <w:t xml:space="preserve"> </w:t>
      </w:r>
      <w:proofErr w:type="spellStart"/>
      <w:r w:rsidRPr="00AB4400">
        <w:t>M</w:t>
      </w:r>
      <w:r>
        <w:t>eynet</w:t>
      </w:r>
      <w:proofErr w:type="spellEnd"/>
      <w:r>
        <w:t xml:space="preserve"> especially focuses on the</w:t>
      </w:r>
      <w:r w:rsidRPr="00AB4400">
        <w:t xml:space="preserve"> way chiasms emphasize the center.</w:t>
      </w:r>
    </w:p>
    <w:p w14:paraId="14851ADA" w14:textId="77777777" w:rsidR="0018433B" w:rsidRPr="00AB4400" w:rsidRDefault="0018433B" w:rsidP="0018433B">
      <w:pPr>
        <w:widowControl w:val="0"/>
      </w:pPr>
    </w:p>
    <w:p w14:paraId="5163CECC" w14:textId="2BABF217" w:rsidR="0018433B" w:rsidRPr="00AB4400" w:rsidRDefault="0018433B" w:rsidP="0018433B">
      <w:pPr>
        <w:widowControl w:val="0"/>
        <w:ind w:left="720" w:right="720"/>
      </w:pPr>
      <w:r w:rsidRPr="00AB4400">
        <w:t xml:space="preserve">The essential property of the rhetorical chiasm [lexical </w:t>
      </w:r>
      <w:r w:rsidRPr="00AB4400">
        <w:rPr>
          <w:i/>
        </w:rPr>
        <w:t>or</w:t>
      </w:r>
      <w:r w:rsidRPr="00AB4400">
        <w:t xml:space="preserve"> passage chiasm] is its focus upon the central element</w:t>
      </w:r>
      <w:r w:rsidR="006F304D" w:rsidRPr="006F304D">
        <w:t xml:space="preserve">, </w:t>
      </w:r>
      <w:r w:rsidRPr="00AB4400">
        <w:t xml:space="preserve">which is thereby given emphasis. This occurs for two reasons: because the meaning of the parallel elements tends toward the center [and] because the central element is unique </w:t>
      </w:r>
      <w:r>
        <w:t>. . .</w:t>
      </w:r>
      <w:r w:rsidRPr="00AB4400">
        <w:rPr>
          <w:vertAlign w:val="superscript"/>
        </w:rPr>
        <w:footnoteReference w:id="219"/>
      </w:r>
    </w:p>
    <w:p w14:paraId="7D014B63" w14:textId="77777777" w:rsidR="0018433B" w:rsidRDefault="0018433B" w:rsidP="0018433B">
      <w:pPr>
        <w:widowControl w:val="0"/>
      </w:pPr>
    </w:p>
    <w:p w14:paraId="35B608A8" w14:textId="77777777" w:rsidR="0018433B" w:rsidRDefault="0018433B" w:rsidP="0018433B">
      <w:pPr>
        <w:widowControl w:val="0"/>
      </w:pPr>
      <w:r w:rsidRPr="00AB4400">
        <w:t xml:space="preserve">But later </w:t>
      </w:r>
      <w:proofErr w:type="spellStart"/>
      <w:r w:rsidRPr="00AB4400">
        <w:t>Meynet</w:t>
      </w:r>
      <w:proofErr w:type="spellEnd"/>
      <w:r w:rsidRPr="00AB4400">
        <w:t xml:space="preserve"> seems dissatisfied with these reasons for the importance of the center and proposes another.</w:t>
      </w:r>
    </w:p>
    <w:p w14:paraId="2376D9E4" w14:textId="77777777" w:rsidR="0018433B" w:rsidRPr="00AB4400" w:rsidRDefault="0018433B" w:rsidP="0018433B">
      <w:pPr>
        <w:widowControl w:val="0"/>
      </w:pPr>
    </w:p>
    <w:p w14:paraId="2191D6E6" w14:textId="04115697" w:rsidR="0018433B" w:rsidRPr="00AB4400" w:rsidRDefault="0018433B" w:rsidP="0018433B">
      <w:pPr>
        <w:widowControl w:val="0"/>
        <w:ind w:left="720" w:right="720"/>
      </w:pPr>
      <w:r w:rsidRPr="00AB4400">
        <w:t>First of all</w:t>
      </w:r>
      <w:r w:rsidR="006F304D" w:rsidRPr="006F304D">
        <w:t xml:space="preserve">, </w:t>
      </w:r>
      <w:r w:rsidRPr="00AB4400">
        <w:t>what reasons make the central element important and emphatic</w:t>
      </w:r>
      <w:r w:rsidR="006F304D" w:rsidRPr="006F304D">
        <w:t xml:space="preserve">, </w:t>
      </w:r>
      <w:r w:rsidRPr="00AB4400">
        <w:t xml:space="preserve">as all authors assert? It has already been said that it is [important] because it is unique </w:t>
      </w:r>
      <w:r>
        <w:t>. . .</w:t>
      </w:r>
      <w:r w:rsidRPr="00AB4400">
        <w:t xml:space="preserve"> But there are other unique elements </w:t>
      </w:r>
      <w:r>
        <w:t>. . .</w:t>
      </w:r>
      <w:r w:rsidRPr="00AB4400">
        <w:t xml:space="preserve"> [Perhaps</w:t>
      </w:r>
      <w:r w:rsidR="006F304D" w:rsidRPr="006F304D">
        <w:t xml:space="preserve">, </w:t>
      </w:r>
      <w:r w:rsidRPr="00AB4400">
        <w:t>then</w:t>
      </w:r>
      <w:r w:rsidR="006F304D" w:rsidRPr="006F304D">
        <w:t xml:space="preserve">, </w:t>
      </w:r>
      <w:r w:rsidRPr="00AB4400">
        <w:t xml:space="preserve">it is because] the other elements converge toward it. But is that a sufficient reason? The true reason is that one simply </w:t>
      </w:r>
      <w:r w:rsidRPr="00AB4400">
        <w:rPr>
          <w:i/>
        </w:rPr>
        <w:t>knows</w:t>
      </w:r>
      <w:r w:rsidR="006F304D" w:rsidRPr="006F304D">
        <w:t xml:space="preserve">, </w:t>
      </w:r>
      <w:r w:rsidRPr="00AB4400">
        <w:t>as do the other authors</w:t>
      </w:r>
      <w:r w:rsidR="006F304D" w:rsidRPr="006F304D">
        <w:t xml:space="preserve">, </w:t>
      </w:r>
      <w:r w:rsidRPr="00AB4400">
        <w:t>that it is important. It is a question of experience and frequency: certain elements that one senses</w:t>
      </w:r>
      <w:r w:rsidR="006F304D" w:rsidRPr="006F304D">
        <w:t xml:space="preserve">, </w:t>
      </w:r>
      <w:r w:rsidRPr="00AB4400">
        <w:t xml:space="preserve">that one </w:t>
      </w:r>
      <w:r w:rsidRPr="00AB4400">
        <w:rPr>
          <w:i/>
        </w:rPr>
        <w:t>knows</w:t>
      </w:r>
      <w:r w:rsidRPr="00AB4400">
        <w:t xml:space="preserve"> to be important</w:t>
      </w:r>
      <w:r w:rsidR="006F304D" w:rsidRPr="006F304D">
        <w:t xml:space="preserve">, </w:t>
      </w:r>
      <w:r w:rsidRPr="00AB4400">
        <w:t>are found to be at the center of chiasms. It is therefore fortunate that the function of the chiasm is to make these elements emphatic.</w:t>
      </w:r>
      <w:r w:rsidRPr="00AB4400">
        <w:rPr>
          <w:vertAlign w:val="superscript"/>
        </w:rPr>
        <w:footnoteReference w:id="220"/>
      </w:r>
    </w:p>
    <w:p w14:paraId="72EDEB93" w14:textId="77777777" w:rsidR="0018433B" w:rsidRDefault="0018433B" w:rsidP="0018433B">
      <w:pPr>
        <w:widowControl w:val="0"/>
      </w:pPr>
    </w:p>
    <w:p w14:paraId="2C73652F" w14:textId="43FB3AE7" w:rsidR="0018433B" w:rsidRPr="00AB4400" w:rsidRDefault="0018433B" w:rsidP="0018433B">
      <w:pPr>
        <w:widowControl w:val="0"/>
      </w:pPr>
      <w:r w:rsidRPr="00AB4400">
        <w:tab/>
        <w:t>These</w:t>
      </w:r>
      <w:r w:rsidR="006F304D" w:rsidRPr="006F304D">
        <w:t xml:space="preserve">, </w:t>
      </w:r>
      <w:r w:rsidRPr="00AB4400">
        <w:t>then</w:t>
      </w:r>
      <w:r w:rsidR="006F304D" w:rsidRPr="006F304D">
        <w:t xml:space="preserve">, </w:t>
      </w:r>
      <w:r w:rsidRPr="00AB4400">
        <w:t>are the principal aspects of chiasm</w:t>
      </w:r>
      <w:r w:rsidR="006F304D" w:rsidRPr="006F304D">
        <w:t xml:space="preserve">, </w:t>
      </w:r>
      <w:r w:rsidRPr="00AB4400">
        <w:t>so far as the principal theoreticians are concerned: the classification of chiasms into sentence</w:t>
      </w:r>
      <w:r w:rsidR="006F304D" w:rsidRPr="006F304D">
        <w:t xml:space="preserve">, </w:t>
      </w:r>
      <w:r w:rsidRPr="00AB4400">
        <w:t>lexical</w:t>
      </w:r>
      <w:r w:rsidR="006F304D" w:rsidRPr="006F304D">
        <w:t xml:space="preserve">, </w:t>
      </w:r>
      <w:r w:rsidRPr="00AB4400">
        <w:t>and passage chiasms; the use of chiasms in classical and Hebrew rhetoric; reasons for the existence of chiasms in the NT; and the laws of the chiasm. An application of these considerations to Luke’s sermon on the plain will be made in chapter 7.</w:t>
      </w:r>
    </w:p>
    <w:p w14:paraId="61FD7C70" w14:textId="77777777" w:rsidR="0018433B" w:rsidRPr="00AB4400" w:rsidRDefault="0018433B" w:rsidP="0018433B">
      <w:pPr>
        <w:widowControl w:val="0"/>
      </w:pPr>
    </w:p>
    <w:p w14:paraId="549BAFA6" w14:textId="77777777" w:rsidR="0018433B" w:rsidRPr="00AB4400" w:rsidRDefault="0018433B" w:rsidP="007D18CE">
      <w:pPr>
        <w:pStyle w:val="Heading2"/>
      </w:pPr>
      <w:bookmarkStart w:id="16" w:name="_Toc147618601"/>
      <w:r w:rsidRPr="00AB4400">
        <w:t>3. Inclusion</w:t>
      </w:r>
      <w:bookmarkEnd w:id="16"/>
    </w:p>
    <w:p w14:paraId="73AE60C6" w14:textId="77777777" w:rsidR="0018433B" w:rsidRPr="00AB4400" w:rsidRDefault="0018433B" w:rsidP="0018433B">
      <w:pPr>
        <w:widowControl w:val="0"/>
      </w:pPr>
    </w:p>
    <w:p w14:paraId="03C3743C" w14:textId="27ED44A0" w:rsidR="0018433B" w:rsidRDefault="0018433B" w:rsidP="0018433B">
      <w:pPr>
        <w:widowControl w:val="0"/>
      </w:pPr>
      <w:r w:rsidRPr="00AB4400">
        <w:tab/>
        <w:t>Another principle by which a rhetorical text may be structured is inclusion. Inclusion is a formal principle in its own right</w:t>
      </w:r>
      <w:r w:rsidR="006F304D" w:rsidRPr="006F304D">
        <w:t xml:space="preserve">, </w:t>
      </w:r>
      <w:r w:rsidRPr="00AB4400">
        <w:t>but it can also be treated as an addendum to chiasm</w:t>
      </w:r>
      <w:r w:rsidR="006F304D" w:rsidRPr="006F304D">
        <w:t xml:space="preserve">, </w:t>
      </w:r>
      <w:r w:rsidRPr="00AB4400">
        <w:t>since it is “the repetition</w:t>
      </w:r>
      <w:r w:rsidR="006F304D" w:rsidRPr="006F304D">
        <w:t xml:space="preserve">, </w:t>
      </w:r>
      <w:r w:rsidRPr="00AB4400">
        <w:t>at the end of a section</w:t>
      </w:r>
      <w:r w:rsidR="006F304D" w:rsidRPr="006F304D">
        <w:t xml:space="preserve">, </w:t>
      </w:r>
      <w:r w:rsidRPr="00AB4400">
        <w:t>of a word or phrase used at its beginning.”</w:t>
      </w:r>
      <w:r w:rsidRPr="00AB4400">
        <w:rPr>
          <w:vertAlign w:val="superscript"/>
        </w:rPr>
        <w:footnoteReference w:id="221"/>
      </w:r>
      <w:r w:rsidRPr="00AB4400">
        <w:t xml:space="preserve"> Meynet’s idea of inclusion seems the most flexible:</w:t>
      </w:r>
    </w:p>
    <w:p w14:paraId="7C4ECF46" w14:textId="77777777" w:rsidR="0018433B" w:rsidRPr="00AB4400" w:rsidRDefault="0018433B" w:rsidP="0018433B">
      <w:pPr>
        <w:widowControl w:val="0"/>
      </w:pPr>
    </w:p>
    <w:p w14:paraId="7672BA72" w14:textId="10F9EAEE" w:rsidR="0018433B" w:rsidRPr="00AB4400" w:rsidRDefault="0018433B" w:rsidP="0018433B">
      <w:pPr>
        <w:widowControl w:val="0"/>
        <w:ind w:left="720" w:right="720"/>
      </w:pPr>
      <w:r w:rsidRPr="00AB4400">
        <w:t>enclosing symmetry</w:t>
      </w:r>
      <w:r w:rsidR="006F304D" w:rsidRPr="006F304D">
        <w:t xml:space="preserve">, </w:t>
      </w:r>
      <w:r w:rsidRPr="00AB4400">
        <w:t xml:space="preserve">or inclusion </w:t>
      </w:r>
      <w:r>
        <w:t>. . .</w:t>
      </w:r>
      <w:r w:rsidRPr="00AB4400">
        <w:t xml:space="preserve"> can put in relation a single word or an entire sentence</w:t>
      </w:r>
      <w:r w:rsidR="006F304D" w:rsidRPr="006F304D">
        <w:t xml:space="preserve">, </w:t>
      </w:r>
      <w:r w:rsidRPr="00AB4400">
        <w:t>indeed an [entire] utterance. The symmetrical elements in the inclusion are distinguished from those of parallelism by their position and their function: placed at the beginning and end of a unit</w:t>
      </w:r>
      <w:r w:rsidR="006F304D" w:rsidRPr="006F304D">
        <w:t xml:space="preserve">, </w:t>
      </w:r>
      <w:r w:rsidRPr="00AB4400">
        <w:t xml:space="preserve">they signal its limits. Beginning and end </w:t>
      </w:r>
      <w:r w:rsidRPr="00AB4400">
        <w:lastRenderedPageBreak/>
        <w:t>are not to be understood in a rigid fashion</w:t>
      </w:r>
      <w:r w:rsidR="006F304D" w:rsidRPr="006F304D">
        <w:t xml:space="preserve">, </w:t>
      </w:r>
      <w:r w:rsidRPr="00AB4400">
        <w:t>or no inclusion would be possible</w:t>
      </w:r>
      <w:r w:rsidR="006F304D" w:rsidRPr="006F304D">
        <w:t xml:space="preserve">, </w:t>
      </w:r>
      <w:r w:rsidRPr="00AB4400">
        <w:t>strictly speaking</w:t>
      </w:r>
      <w:r w:rsidR="006F304D" w:rsidRPr="006F304D">
        <w:t xml:space="preserve">, </w:t>
      </w:r>
      <w:r w:rsidRPr="00AB4400">
        <w:t>unless the two words at the [exact] extremities of a unit were related. The enclosing element can be [anywhere] in the first and last sentence</w:t>
      </w:r>
      <w:r w:rsidR="006F304D" w:rsidRPr="006F304D">
        <w:t xml:space="preserve">, </w:t>
      </w:r>
      <w:r w:rsidRPr="00AB4400">
        <w:t>indeed in the first and last sentences; if for example the same element</w:t>
      </w:r>
      <w:r w:rsidR="006F304D" w:rsidRPr="006F304D">
        <w:t xml:space="preserve">, </w:t>
      </w:r>
      <w:r w:rsidRPr="00AB4400">
        <w:t>or a fortiori several</w:t>
      </w:r>
      <w:r w:rsidR="006F304D" w:rsidRPr="006F304D">
        <w:t xml:space="preserve">, </w:t>
      </w:r>
      <w:r w:rsidRPr="00AB4400">
        <w:t>occur together in the introduction and in the conclusion</w:t>
      </w:r>
      <w:r w:rsidR="006F304D" w:rsidRPr="006F304D">
        <w:t xml:space="preserve">, </w:t>
      </w:r>
      <w:r w:rsidRPr="00AB4400">
        <w:t>one could also speak of inclusion. This will be even more the case if the symmetrical element or elements are not found elsewhere in the text</w:t>
      </w:r>
      <w:r w:rsidR="006F304D" w:rsidRPr="006F304D">
        <w:t xml:space="preserve">, </w:t>
      </w:r>
      <w:r w:rsidRPr="00AB4400">
        <w:t xml:space="preserve">or if they only recur in the center. The units delimited by inclusion can be of different lengths </w:t>
      </w:r>
      <w:r>
        <w:t>. . .</w:t>
      </w:r>
      <w:r w:rsidRPr="00AB4400">
        <w:rPr>
          <w:vertAlign w:val="superscript"/>
        </w:rPr>
        <w:footnoteReference w:id="222"/>
      </w:r>
    </w:p>
    <w:p w14:paraId="2A6797BC" w14:textId="77777777" w:rsidR="0018433B" w:rsidRDefault="0018433B" w:rsidP="0018433B">
      <w:pPr>
        <w:widowControl w:val="0"/>
      </w:pPr>
    </w:p>
    <w:p w14:paraId="6334C58F" w14:textId="6573C0A2" w:rsidR="0018433B" w:rsidRPr="00AB4400" w:rsidRDefault="0018433B" w:rsidP="0018433B">
      <w:pPr>
        <w:widowControl w:val="0"/>
      </w:pPr>
      <w:r w:rsidRPr="00AB4400">
        <w:tab/>
        <w:t>A number of authors have discovered inclusion in the OT.</w:t>
      </w:r>
      <w:r w:rsidRPr="00AB4400">
        <w:rPr>
          <w:vertAlign w:val="superscript"/>
        </w:rPr>
        <w:footnoteReference w:id="223"/>
      </w:r>
      <w:r w:rsidRPr="00AB4400">
        <w:t xml:space="preserve"> The device has also been found in the NT; if one accepts Meynet’s broad concept of the term</w:t>
      </w:r>
      <w:r w:rsidR="006F304D" w:rsidRPr="006F304D">
        <w:t xml:space="preserve">, </w:t>
      </w:r>
      <w:r w:rsidRPr="00AB4400">
        <w:t>then one could even say it has been found quite frequently in the NT</w:t>
      </w:r>
      <w:r w:rsidR="006F304D" w:rsidRPr="006F304D">
        <w:t xml:space="preserve">, </w:t>
      </w:r>
      <w:r w:rsidRPr="00AB4400">
        <w:t>though under the name “intercalation.”</w:t>
      </w:r>
      <w:r w:rsidRPr="00AB4400">
        <w:rPr>
          <w:vertAlign w:val="superscript"/>
        </w:rPr>
        <w:footnoteReference w:id="224"/>
      </w:r>
      <w:r w:rsidRPr="00AB4400">
        <w:t xml:space="preserve"> Intercalation is “the framing of a body of material by two sections [sc. halves of a pericope] similar to each other but different from the intercalated material.”</w:t>
      </w:r>
      <w:r w:rsidRPr="00AB4400">
        <w:rPr>
          <w:vertAlign w:val="superscript"/>
        </w:rPr>
        <w:footnoteReference w:id="225"/>
      </w:r>
      <w:r w:rsidRPr="00AB4400">
        <w:t xml:space="preserve"> The procedure has especially been attributed to Mark; Donahue finds seven instances.</w:t>
      </w:r>
      <w:r w:rsidRPr="00AB4400">
        <w:rPr>
          <w:vertAlign w:val="superscript"/>
        </w:rPr>
        <w:footnoteReference w:id="226"/>
      </w:r>
      <w:r w:rsidRPr="00AB4400">
        <w:t xml:space="preserve"> The purpose of intercalation has been said to be both </w:t>
      </w:r>
      <w:r w:rsidRPr="00AB4400">
        <w:lastRenderedPageBreak/>
        <w:t>literary (to build suspense and to indicate the passing of time) and theological (to cause the stories to interpret one another).</w:t>
      </w:r>
      <w:r w:rsidRPr="00AB4400">
        <w:rPr>
          <w:vertAlign w:val="superscript"/>
        </w:rPr>
        <w:footnoteReference w:id="227"/>
      </w:r>
    </w:p>
    <w:p w14:paraId="7A8BFCFA" w14:textId="77777777" w:rsidR="0018433B" w:rsidRPr="00AB4400" w:rsidRDefault="0018433B" w:rsidP="0018433B">
      <w:pPr>
        <w:widowControl w:val="0"/>
      </w:pPr>
    </w:p>
    <w:p w14:paraId="6774F097" w14:textId="77777777" w:rsidR="0018433B" w:rsidRPr="00AB4400" w:rsidRDefault="0018433B" w:rsidP="007D18CE">
      <w:pPr>
        <w:pStyle w:val="Heading2"/>
      </w:pPr>
      <w:bookmarkStart w:id="17" w:name="_Toc147618602"/>
      <w:r w:rsidRPr="00AB4400">
        <w:t>4. Rhythm</w:t>
      </w:r>
      <w:bookmarkEnd w:id="17"/>
    </w:p>
    <w:p w14:paraId="0C3EAEBE" w14:textId="77777777" w:rsidR="0018433B" w:rsidRPr="00AB4400" w:rsidRDefault="0018433B" w:rsidP="0018433B">
      <w:pPr>
        <w:widowControl w:val="0"/>
      </w:pPr>
    </w:p>
    <w:p w14:paraId="5BC2795A" w14:textId="77777777" w:rsidR="0018433B" w:rsidRPr="00AB4400" w:rsidRDefault="0018433B" w:rsidP="0018433B">
      <w:pPr>
        <w:widowControl w:val="0"/>
      </w:pPr>
      <w:r w:rsidRPr="00AB4400">
        <w:tab/>
        <w:t>Perhaps the most commonly recognized formal principle in literature—certainly one that is universal to all writing—is rhythm.</w:t>
      </w:r>
      <w:r w:rsidRPr="00AB4400">
        <w:rPr>
          <w:vertAlign w:val="superscript"/>
        </w:rPr>
        <w:footnoteReference w:id="228"/>
      </w:r>
    </w:p>
    <w:p w14:paraId="4EB652BA" w14:textId="38A561BC" w:rsidR="0018433B" w:rsidRPr="00AB4400" w:rsidRDefault="0018433B" w:rsidP="0018433B">
      <w:pPr>
        <w:widowControl w:val="0"/>
      </w:pPr>
      <w:r w:rsidRPr="00AB4400">
        <w:tab/>
        <w:t>Peculiar difficulties arise when one applies the principle of rhythm to the synoptic gospels. First</w:t>
      </w:r>
      <w:r w:rsidR="006F304D" w:rsidRPr="006F304D">
        <w:t xml:space="preserve">, </w:t>
      </w:r>
      <w:r w:rsidRPr="00AB4400">
        <w:t>there is the problem of language. The traditions in the synoptics are extant only in Greek</w:t>
      </w:r>
      <w:r w:rsidR="006F304D" w:rsidRPr="006F304D">
        <w:t xml:space="preserve">, </w:t>
      </w:r>
      <w:r w:rsidRPr="00AB4400">
        <w:t>yet they display unmistakable signs of having once existed</w:t>
      </w:r>
      <w:r w:rsidR="006F304D" w:rsidRPr="006F304D">
        <w:t xml:space="preserve">, </w:t>
      </w:r>
      <w:r w:rsidRPr="00AB4400">
        <w:t>in part at least</w:t>
      </w:r>
      <w:r w:rsidR="006F304D" w:rsidRPr="006F304D">
        <w:t xml:space="preserve">, </w:t>
      </w:r>
      <w:r w:rsidRPr="00AB4400">
        <w:t>in Aramaic.</w:t>
      </w:r>
      <w:r w:rsidRPr="00AB4400">
        <w:rPr>
          <w:vertAlign w:val="superscript"/>
        </w:rPr>
        <w:footnoteReference w:id="229"/>
      </w:r>
      <w:r w:rsidRPr="00AB4400">
        <w:t xml:space="preserve"> To the </w:t>
      </w:r>
      <w:r w:rsidRPr="00AB4400">
        <w:lastRenderedPageBreak/>
        <w:t>rhythmical canons of which language</w:t>
      </w:r>
      <w:r w:rsidR="006F304D" w:rsidRPr="006F304D">
        <w:t xml:space="preserve">, </w:t>
      </w:r>
      <w:r w:rsidRPr="00AB4400">
        <w:t>Greek or Aramaic</w:t>
      </w:r>
      <w:r w:rsidR="006F304D" w:rsidRPr="006F304D">
        <w:t xml:space="preserve">, </w:t>
      </w:r>
      <w:r w:rsidRPr="00AB4400">
        <w:t>can we expect these texts to conform? Second</w:t>
      </w:r>
      <w:r w:rsidR="006F304D" w:rsidRPr="006F304D">
        <w:t xml:space="preserve">, </w:t>
      </w:r>
      <w:r w:rsidRPr="00AB4400">
        <w:t>to assess the conformity of these traditions to the rhythmical precepts of either Greek or Aramaic</w:t>
      </w:r>
      <w:r w:rsidR="006F304D" w:rsidRPr="006F304D">
        <w:t xml:space="preserve">, </w:t>
      </w:r>
      <w:r w:rsidRPr="00AB4400">
        <w:t>one must know what those precepts are. The rhythmical canons of Greek easily determined</w:t>
      </w:r>
      <w:r w:rsidR="006F304D" w:rsidRPr="006F304D">
        <w:t xml:space="preserve">, </w:t>
      </w:r>
      <w:r w:rsidRPr="00AB4400">
        <w:t>since much of Greek literature remains; but the once-large Aramaic literature exists now only in fragments,</w:t>
      </w:r>
      <w:r w:rsidRPr="00AB4400">
        <w:rPr>
          <w:vertAlign w:val="superscript"/>
        </w:rPr>
        <w:footnoteReference w:id="230"/>
      </w:r>
      <w:r w:rsidRPr="00AB4400">
        <w:t xml:space="preserve"> and so the rhythmical canons of that language are not easily established.</w:t>
      </w:r>
    </w:p>
    <w:p w14:paraId="43908C07" w14:textId="07DA899C" w:rsidR="0018433B" w:rsidRPr="00AB4400" w:rsidRDefault="0018433B" w:rsidP="0018433B">
      <w:pPr>
        <w:widowControl w:val="0"/>
      </w:pPr>
      <w:r w:rsidRPr="00AB4400">
        <w:tab/>
        <w:t>Surprisingly</w:t>
      </w:r>
      <w:r w:rsidR="006F304D" w:rsidRPr="006F304D">
        <w:t xml:space="preserve">, </w:t>
      </w:r>
      <w:r w:rsidRPr="00AB4400">
        <w:t>no one seems to have addressed the first problem. Though the gospels exist only in Greek</w:t>
      </w:r>
      <w:r w:rsidR="006F304D" w:rsidRPr="006F304D">
        <w:t xml:space="preserve">, </w:t>
      </w:r>
      <w:r w:rsidRPr="00AB4400">
        <w:t>no attempt has been made</w:t>
      </w:r>
      <w:r w:rsidR="006F304D" w:rsidRPr="006F304D">
        <w:t xml:space="preserve">, </w:t>
      </w:r>
      <w:r w:rsidRPr="00AB4400">
        <w:t>to my knowledge</w:t>
      </w:r>
      <w:r w:rsidR="006F304D" w:rsidRPr="006F304D">
        <w:t xml:space="preserve">, </w:t>
      </w:r>
      <w:r w:rsidRPr="00AB4400">
        <w:t>to scan them according to the rules of Greek prosody.</w:t>
      </w:r>
      <w:r w:rsidRPr="00AB4400">
        <w:rPr>
          <w:vertAlign w:val="superscript"/>
        </w:rPr>
        <w:footnoteReference w:id="231"/>
      </w:r>
      <w:r w:rsidRPr="00AB4400">
        <w:t xml:space="preserve"> What work has been done on the rhythmical structure of the synoptic materials has been done on the (apparently unexamined) assumption that</w:t>
      </w:r>
      <w:r w:rsidR="006F304D" w:rsidRPr="006F304D">
        <w:t xml:space="preserve">, </w:t>
      </w:r>
      <w:r w:rsidRPr="00AB4400">
        <w:t>if they conform to any rhythmical principles</w:t>
      </w:r>
      <w:r w:rsidR="006F304D" w:rsidRPr="006F304D">
        <w:t xml:space="preserve">, </w:t>
      </w:r>
      <w:r w:rsidRPr="00AB4400">
        <w:t>those principles will be the canons of Aramaic rhythm.</w:t>
      </w:r>
    </w:p>
    <w:p w14:paraId="1B58B5F2" w14:textId="24B7DCA9" w:rsidR="0018433B" w:rsidRPr="00AB4400" w:rsidRDefault="0018433B" w:rsidP="0018433B">
      <w:pPr>
        <w:widowControl w:val="0"/>
      </w:pPr>
      <w:r w:rsidRPr="00AB4400">
        <w:tab/>
        <w:t>Concerning the second problem</w:t>
      </w:r>
      <w:r w:rsidR="006F304D" w:rsidRPr="006F304D">
        <w:t xml:space="preserve">, </w:t>
      </w:r>
      <w:r w:rsidRPr="00AB4400">
        <w:t>establishing the rules of rhythm for Aramaic: the foremost investigator of the rhythm of the synoptic materials</w:t>
      </w:r>
      <w:r w:rsidR="006F304D" w:rsidRPr="006F304D">
        <w:t xml:space="preserve">, </w:t>
      </w:r>
      <w:r w:rsidR="00714629" w:rsidRPr="00714629">
        <w:rPr>
          <w:iCs/>
        </w:rPr>
        <w:t>C.F.</w:t>
      </w:r>
      <w:r w:rsidRPr="00AB4400">
        <w:t xml:space="preserve"> Burney,</w:t>
      </w:r>
      <w:r w:rsidRPr="00AB4400">
        <w:rPr>
          <w:vertAlign w:val="superscript"/>
        </w:rPr>
        <w:footnoteReference w:id="232"/>
      </w:r>
      <w:r w:rsidRPr="00AB4400">
        <w:t xml:space="preserve"> distinguished two problems here. First</w:t>
      </w:r>
      <w:r w:rsidR="006F304D" w:rsidRPr="006F304D">
        <w:t xml:space="preserve">, </w:t>
      </w:r>
      <w:r w:rsidRPr="00AB4400">
        <w:t>since the Aramaic of Jesus’ teaching</w:t>
      </w:r>
      <w:r w:rsidRPr="00AB4400">
        <w:rPr>
          <w:vertAlign w:val="superscript"/>
        </w:rPr>
        <w:footnoteReference w:id="233"/>
      </w:r>
      <w:r w:rsidRPr="00AB4400">
        <w:t xml:space="preserve"> no longer exists</w:t>
      </w:r>
      <w:r w:rsidR="006F304D" w:rsidRPr="006F304D">
        <w:t xml:space="preserve">, </w:t>
      </w:r>
      <w:r w:rsidRPr="00AB4400">
        <w:t xml:space="preserve">assessing its Aramaic rhythm requires </w:t>
      </w:r>
      <w:proofErr w:type="spellStart"/>
      <w:r w:rsidRPr="00AB4400">
        <w:t>retrotranslation</w:t>
      </w:r>
      <w:proofErr w:type="spellEnd"/>
      <w:r w:rsidRPr="00AB4400">
        <w:t>. Second</w:t>
      </w:r>
      <w:r w:rsidR="006F304D" w:rsidRPr="006F304D">
        <w:t xml:space="preserve">, </w:t>
      </w:r>
      <w:r w:rsidRPr="00AB4400">
        <w:t>even assuming the accuracy of such translations</w:t>
      </w:r>
      <w:r w:rsidR="006F304D" w:rsidRPr="006F304D">
        <w:t xml:space="preserve">, </w:t>
      </w:r>
      <w:r w:rsidRPr="00AB4400">
        <w:t xml:space="preserve">we would still suffer from “a lack of similarly constructed teaching in Aramaic” by which to determine the canons </w:t>
      </w:r>
      <w:r w:rsidRPr="00AB4400">
        <w:lastRenderedPageBreak/>
        <w:t>of Aramaic rhythm.</w:t>
      </w:r>
      <w:r w:rsidRPr="00AB4400">
        <w:rPr>
          <w:vertAlign w:val="superscript"/>
        </w:rPr>
        <w:footnoteReference w:id="234"/>
      </w:r>
    </w:p>
    <w:p w14:paraId="3548D0BE" w14:textId="40F97638" w:rsidR="0018433B" w:rsidRPr="00AB4400" w:rsidRDefault="0018433B" w:rsidP="0018433B">
      <w:pPr>
        <w:widowControl w:val="0"/>
      </w:pPr>
      <w:r w:rsidRPr="00AB4400">
        <w:tab/>
        <w:t>The first problem cannot be evaded; one must simply retranslate to the best of one’s ability.</w:t>
      </w:r>
      <w:r w:rsidRPr="00AB4400">
        <w:rPr>
          <w:vertAlign w:val="superscript"/>
        </w:rPr>
        <w:footnoteReference w:id="235"/>
      </w:r>
      <w:r w:rsidRPr="00AB4400">
        <w:t xml:space="preserve"> The second problem</w:t>
      </w:r>
      <w:r w:rsidR="006F304D" w:rsidRPr="006F304D">
        <w:t xml:space="preserve">, </w:t>
      </w:r>
      <w:r w:rsidRPr="00AB4400">
        <w:t>on the other hand</w:t>
      </w:r>
      <w:r w:rsidR="006F304D" w:rsidRPr="006F304D">
        <w:t xml:space="preserve">, </w:t>
      </w:r>
      <w:r w:rsidRPr="00AB4400">
        <w:t>can perhaps be circumvented. First of all</w:t>
      </w:r>
      <w:r w:rsidR="006F304D" w:rsidRPr="006F304D">
        <w:t xml:space="preserve">, </w:t>
      </w:r>
      <w:r w:rsidRPr="00AB4400">
        <w:t>we are not entirely without examples of Aramaic poetry: Burney notes that Daniel 2:4b-7:28 is not only Aramaic but also contains some poetic material and therefore is somewhat analogous to Jesus’ teachings.</w:t>
      </w:r>
      <w:r w:rsidRPr="00AB4400">
        <w:rPr>
          <w:vertAlign w:val="superscript"/>
        </w:rPr>
        <w:footnoteReference w:id="236"/>
      </w:r>
      <w:r w:rsidRPr="00AB4400">
        <w:t xml:space="preserve"> Moreover</w:t>
      </w:r>
      <w:r w:rsidR="006F304D" w:rsidRPr="006F304D">
        <w:t xml:space="preserve">, </w:t>
      </w:r>
      <w:r w:rsidRPr="00AB4400">
        <w:t>the poetic devices (parallelism</w:t>
      </w:r>
      <w:r w:rsidR="006F304D" w:rsidRPr="006F304D">
        <w:t xml:space="preserve">, </w:t>
      </w:r>
      <w:r w:rsidRPr="00AB4400">
        <w:t>rhythm</w:t>
      </w:r>
      <w:r w:rsidR="006F304D" w:rsidRPr="006F304D">
        <w:t xml:space="preserve">, </w:t>
      </w:r>
      <w:r w:rsidRPr="00AB4400">
        <w:t>and rhyme) in Daniel 2:4b-7:28 are similar to those found elsewhere in the Hebrew Bible. Since Jesus’ extant teachings (Greek) display poetic devices similar to those in the Daniel passage (Aramaic)</w:t>
      </w:r>
      <w:r w:rsidR="006F304D" w:rsidRPr="006F304D">
        <w:t xml:space="preserve">, </w:t>
      </w:r>
      <w:r w:rsidRPr="00AB4400">
        <w:t>and since the Daniel passage displays poetic devices similar to those elsewhere in the OT (Hebrew)</w:t>
      </w:r>
      <w:r w:rsidR="006F304D" w:rsidRPr="006F304D">
        <w:t xml:space="preserve">, </w:t>
      </w:r>
      <w:r w:rsidRPr="00AB4400">
        <w:t>the canons of Hebrew rhythm are probably applicable to Jesus’ teachings. Since Hebrew sources are plentiful from which to infer rhythmical canons</w:t>
      </w:r>
      <w:r w:rsidR="006F304D" w:rsidRPr="006F304D">
        <w:t xml:space="preserve">, </w:t>
      </w:r>
      <w:r w:rsidRPr="00AB4400">
        <w:t>the problem of scant Aramaic materials can thus be sidestepped.</w:t>
      </w:r>
      <w:r w:rsidRPr="00AB4400">
        <w:rPr>
          <w:vertAlign w:val="superscript"/>
        </w:rPr>
        <w:footnoteReference w:id="237"/>
      </w:r>
    </w:p>
    <w:p w14:paraId="457CDBF8" w14:textId="4E612B01" w:rsidR="0018433B" w:rsidRPr="00AB4400" w:rsidRDefault="0018433B" w:rsidP="0018433B">
      <w:pPr>
        <w:widowControl w:val="0"/>
      </w:pPr>
      <w:r w:rsidRPr="00AB4400">
        <w:tab/>
        <w:t>What</w:t>
      </w:r>
      <w:r w:rsidR="006F304D" w:rsidRPr="006F304D">
        <w:t xml:space="preserve">, </w:t>
      </w:r>
      <w:r w:rsidRPr="00AB4400">
        <w:t>then</w:t>
      </w:r>
      <w:r w:rsidR="006F304D" w:rsidRPr="006F304D">
        <w:t xml:space="preserve">, </w:t>
      </w:r>
      <w:r w:rsidRPr="00AB4400">
        <w:t>are the rules of rhythm</w:t>
      </w:r>
      <w:r w:rsidRPr="00AB4400">
        <w:rPr>
          <w:vertAlign w:val="superscript"/>
        </w:rPr>
        <w:footnoteReference w:id="238"/>
      </w:r>
      <w:r w:rsidRPr="00AB4400">
        <w:t xml:space="preserve"> in Hebrew poetry</w:t>
      </w:r>
      <w:r w:rsidR="006F304D" w:rsidRPr="006F304D">
        <w:t xml:space="preserve">, </w:t>
      </w:r>
      <w:r w:rsidRPr="00AB4400">
        <w:t>which we presume to be the same in Aramaic poetry and therefore in Jesus’ sayings? Burney lists eight. (1) Every word</w:t>
      </w:r>
      <w:r w:rsidR="006F304D" w:rsidRPr="006F304D">
        <w:t xml:space="preserve">, </w:t>
      </w:r>
      <w:r w:rsidRPr="00AB4400">
        <w:t xml:space="preserve">unless </w:t>
      </w:r>
      <w:r w:rsidRPr="00AB4400">
        <w:lastRenderedPageBreak/>
        <w:t>monosyllabic</w:t>
      </w:r>
      <w:r w:rsidR="006F304D" w:rsidRPr="006F304D">
        <w:t xml:space="preserve">, </w:t>
      </w:r>
      <w:r w:rsidRPr="00AB4400">
        <w:t>usually receives a stress accent. (2) For euphony</w:t>
      </w:r>
      <w:r w:rsidR="006F304D" w:rsidRPr="006F304D">
        <w:t xml:space="preserve">, </w:t>
      </w:r>
      <w:r w:rsidRPr="00AB4400">
        <w:t>a stressed ultimate loses its accent</w:t>
      </w:r>
      <w:r w:rsidR="006F304D" w:rsidRPr="006F304D">
        <w:t xml:space="preserve">, </w:t>
      </w:r>
      <w:r w:rsidRPr="00AB4400">
        <w:t>unless (3) hiatus intervenes. (4) But the ultimate accent recedes to the penultimate if the penultimate is a long vowel in an open syllable or a short vowel in a half-open syllable. (5) A syllable that is two syllables before a stress receives a stress if it has a long vowel or if it has a short vowel and is half-open (the stressing of a closed syllable that is two syllables before an accent is a late development). (6) The added stress in rule 5 is omitted if it is adjacent to a preceding word’s final stress. (7) A compound word that normally would have two stresses may have only one if</w:t>
      </w:r>
      <w:r w:rsidR="006F304D" w:rsidRPr="006F304D">
        <w:t xml:space="preserve">, </w:t>
      </w:r>
      <w:r w:rsidRPr="00AB4400">
        <w:t>in an instance of parallelism</w:t>
      </w:r>
      <w:r w:rsidR="006F304D" w:rsidRPr="006F304D">
        <w:t xml:space="preserve">, </w:t>
      </w:r>
      <w:r w:rsidRPr="00AB4400">
        <w:t xml:space="preserve">the term to which it is parallel has only one stress; this especially happens in </w:t>
      </w:r>
      <w:r w:rsidRPr="00AB4400">
        <w:rPr>
          <w:i/>
        </w:rPr>
        <w:t>kina</w:t>
      </w:r>
      <w:r w:rsidRPr="00AB4400">
        <w:t xml:space="preserve"> meter.</w:t>
      </w:r>
      <w:r w:rsidRPr="00AB4400">
        <w:rPr>
          <w:vertAlign w:val="superscript"/>
        </w:rPr>
        <w:footnoteReference w:id="239"/>
      </w:r>
      <w:r w:rsidRPr="00AB4400">
        <w:t xml:space="preserve"> (8) Considerable freedom is permitted in the stressing or not of particles (</w:t>
      </w:r>
      <w:proofErr w:type="spellStart"/>
      <w:r w:rsidRPr="00AB4400">
        <w:rPr>
          <w:i/>
        </w:rPr>
        <w:t>l</w:t>
      </w:r>
      <w:r>
        <w:rPr>
          <w:i/>
        </w:rPr>
        <w:t>ō</w:t>
      </w:r>
      <w:proofErr w:type="spellEnd"/>
      <w:r w:rsidR="006F304D" w:rsidRPr="006F304D">
        <w:t xml:space="preserve">, </w:t>
      </w:r>
      <w:proofErr w:type="spellStart"/>
      <w:r w:rsidRPr="00AB4400">
        <w:rPr>
          <w:i/>
        </w:rPr>
        <w:t>bal</w:t>
      </w:r>
      <w:proofErr w:type="spellEnd"/>
      <w:r w:rsidR="006F304D" w:rsidRPr="006F304D">
        <w:t xml:space="preserve">, </w:t>
      </w:r>
      <w:r>
        <w:t>´</w:t>
      </w:r>
      <w:proofErr w:type="spellStart"/>
      <w:r>
        <w:rPr>
          <w:i/>
        </w:rPr>
        <w:t>ē</w:t>
      </w:r>
      <w:r w:rsidRPr="00AB4400">
        <w:rPr>
          <w:i/>
        </w:rPr>
        <w:t>n</w:t>
      </w:r>
      <w:proofErr w:type="spellEnd"/>
      <w:r w:rsidR="006F304D" w:rsidRPr="006F304D">
        <w:t xml:space="preserve">, </w:t>
      </w:r>
      <w:r w:rsidRPr="00AB4400">
        <w:t>etc.).</w:t>
      </w:r>
      <w:r w:rsidRPr="00AB4400">
        <w:rPr>
          <w:vertAlign w:val="superscript"/>
        </w:rPr>
        <w:footnoteReference w:id="240"/>
      </w:r>
    </w:p>
    <w:p w14:paraId="620F95DA" w14:textId="441502FE" w:rsidR="0018433B" w:rsidRPr="00AB4400" w:rsidRDefault="0018433B" w:rsidP="0018433B">
      <w:pPr>
        <w:widowControl w:val="0"/>
      </w:pPr>
      <w:r w:rsidRPr="00AB4400">
        <w:tab/>
        <w:t>Application of these principles results in three common rhythmical patterns: three-beat lines</w:t>
      </w:r>
      <w:r w:rsidR="006F304D" w:rsidRPr="006F304D">
        <w:t xml:space="preserve">, </w:t>
      </w:r>
      <w:r w:rsidRPr="00AB4400">
        <w:t>four-beat lines</w:t>
      </w:r>
      <w:r w:rsidR="006F304D" w:rsidRPr="006F304D">
        <w:t xml:space="preserve">, </w:t>
      </w:r>
      <w:r w:rsidRPr="00AB4400">
        <w:t>and five-beat (</w:t>
      </w:r>
      <w:r w:rsidRPr="00AB4400">
        <w:rPr>
          <w:i/>
        </w:rPr>
        <w:t>kina</w:t>
      </w:r>
      <w:r w:rsidRPr="00AB4400">
        <w:t>-meter) lines.</w:t>
      </w:r>
      <w:r w:rsidRPr="00AB4400">
        <w:rPr>
          <w:vertAlign w:val="superscript"/>
        </w:rPr>
        <w:footnoteReference w:id="241"/>
      </w:r>
      <w:r w:rsidRPr="00AB4400">
        <w:t xml:space="preserve"> Three-beat couplets are quite common; the “Song of the Sword,” Gen 4:23-24</w:t>
      </w:r>
      <w:r w:rsidR="006F304D" w:rsidRPr="006F304D">
        <w:t xml:space="preserve">, </w:t>
      </w:r>
      <w:r w:rsidRPr="00AB4400">
        <w:t>perhaps the oldest poem in the Bible</w:t>
      </w:r>
      <w:r w:rsidR="006F304D" w:rsidRPr="006F304D">
        <w:t xml:space="preserve">, </w:t>
      </w:r>
      <w:r w:rsidRPr="00AB4400">
        <w:t>displays this meter</w:t>
      </w:r>
      <w:r w:rsidR="006F304D" w:rsidRPr="006F304D">
        <w:t xml:space="preserve">, </w:t>
      </w:r>
      <w:r w:rsidRPr="00AB4400">
        <w:t>as do many of the psalms and most of Job. Less common is the four-beat rhythm</w:t>
      </w:r>
      <w:r w:rsidR="006F304D" w:rsidRPr="006F304D">
        <w:t xml:space="preserve">, </w:t>
      </w:r>
      <w:r w:rsidRPr="00AB4400">
        <w:t>though this too is ancient (the Babylonian epics use this meter</w:t>
      </w:r>
      <w:r w:rsidR="006F304D" w:rsidRPr="006F304D">
        <w:t xml:space="preserve">, </w:t>
      </w:r>
      <w:r w:rsidRPr="00AB4400">
        <w:t>and the early songs in Exodus 15</w:t>
      </w:r>
      <w:r w:rsidR="006F304D" w:rsidRPr="006F304D">
        <w:t xml:space="preserve">, </w:t>
      </w:r>
      <w:r w:rsidRPr="00AB4400">
        <w:t>Judges 5</w:t>
      </w:r>
      <w:r w:rsidR="006F304D" w:rsidRPr="006F304D">
        <w:t xml:space="preserve">, </w:t>
      </w:r>
      <w:r w:rsidRPr="00AB4400">
        <w:t>2 Sam 1:19-27).</w:t>
      </w:r>
      <w:r w:rsidRPr="00AB4400">
        <w:rPr>
          <w:vertAlign w:val="superscript"/>
        </w:rPr>
        <w:footnoteReference w:id="242"/>
      </w:r>
      <w:r w:rsidRPr="00AB4400">
        <w:t xml:space="preserve"> Ordinarily four-beat lines have a caesura in the middle</w:t>
      </w:r>
      <w:r w:rsidR="006F304D" w:rsidRPr="006F304D">
        <w:t xml:space="preserve">, </w:t>
      </w:r>
      <w:r w:rsidRPr="00AB4400">
        <w:t>which may or may not correspond to a break in the sense. The third pattern</w:t>
      </w:r>
      <w:r w:rsidR="006F304D" w:rsidRPr="006F304D">
        <w:t xml:space="preserve">, </w:t>
      </w:r>
      <w:r w:rsidRPr="00AB4400">
        <w:rPr>
          <w:i/>
        </w:rPr>
        <w:t>kina</w:t>
      </w:r>
      <w:r w:rsidRPr="00AB4400">
        <w:t xml:space="preserve"> (Hebrew “lament”) meter</w:t>
      </w:r>
      <w:r w:rsidR="006F304D" w:rsidRPr="006F304D">
        <w:t xml:space="preserve">, </w:t>
      </w:r>
      <w:r w:rsidRPr="00AB4400">
        <w:t>consists of three beats followed by two beats; “the second half of the line seems to form an echo of the first</w:t>
      </w:r>
      <w:r w:rsidR="006F304D" w:rsidRPr="006F304D">
        <w:t xml:space="preserve">, </w:t>
      </w:r>
      <w:r w:rsidRPr="00AB4400">
        <w:t xml:space="preserve">the effect being peculiarly plaintive </w:t>
      </w:r>
      <w:r>
        <w:t>. . .</w:t>
      </w:r>
      <w:r w:rsidRPr="00AB4400">
        <w:t>”</w:t>
      </w:r>
      <w:r w:rsidRPr="00AB4400">
        <w:rPr>
          <w:vertAlign w:val="superscript"/>
        </w:rPr>
        <w:footnoteReference w:id="243"/>
      </w:r>
      <w:r w:rsidRPr="00AB4400">
        <w:t xml:space="preserve"> The probability that these five beats were understood to form a single line with caesura rather than two lines of unequal length is demonstrated by their use in parallel five-beat lines. Examples of </w:t>
      </w:r>
      <w:r w:rsidRPr="00AB4400">
        <w:rPr>
          <w:i/>
        </w:rPr>
        <w:t>kina</w:t>
      </w:r>
      <w:r w:rsidRPr="00AB4400">
        <w:t xml:space="preserve"> meter can be found in the first four chapters of Lamentations.</w:t>
      </w:r>
    </w:p>
    <w:p w14:paraId="0AF4C775" w14:textId="1D83B580" w:rsidR="0018433B" w:rsidRPr="00AB4400" w:rsidRDefault="0018433B" w:rsidP="0018433B">
      <w:pPr>
        <w:widowControl w:val="0"/>
      </w:pPr>
      <w:r w:rsidRPr="00AB4400">
        <w:tab/>
        <w:t>These principles and patterns of Hebrew rhythm can</w:t>
      </w:r>
      <w:r w:rsidR="006F304D" w:rsidRPr="006F304D">
        <w:t xml:space="preserve">, </w:t>
      </w:r>
      <w:r w:rsidRPr="00AB4400">
        <w:t>of course</w:t>
      </w:r>
      <w:r w:rsidR="006F304D" w:rsidRPr="006F304D">
        <w:t xml:space="preserve">, </w:t>
      </w:r>
      <w:r w:rsidRPr="00AB4400">
        <w:t>be used to develop rather intricate architectonic structures. In Ps 46</w:t>
      </w:r>
      <w:r w:rsidR="006F304D" w:rsidRPr="006F304D">
        <w:t xml:space="preserve">, </w:t>
      </w:r>
      <w:r w:rsidRPr="00AB4400">
        <w:t>for example</w:t>
      </w:r>
      <w:r w:rsidR="006F304D" w:rsidRPr="006F304D">
        <w:t xml:space="preserve">, </w:t>
      </w:r>
      <w:r w:rsidRPr="00AB4400">
        <w:t>one finds three stanzas</w:t>
      </w:r>
      <w:r w:rsidR="006F304D" w:rsidRPr="006F304D">
        <w:t xml:space="preserve">, </w:t>
      </w:r>
      <w:r w:rsidRPr="00AB4400">
        <w:t>each with four beats to the line</w:t>
      </w:r>
      <w:r w:rsidR="006F304D" w:rsidRPr="006F304D">
        <w:t xml:space="preserve">, </w:t>
      </w:r>
      <w:r w:rsidRPr="00AB4400">
        <w:t>alternating with three-beat couplets. In Lam 3:1-66</w:t>
      </w:r>
      <w:r w:rsidR="006F304D" w:rsidRPr="006F304D">
        <w:t xml:space="preserve">, </w:t>
      </w:r>
      <w:r w:rsidRPr="00AB4400">
        <w:t xml:space="preserve">one finds an acrostic poem in </w:t>
      </w:r>
      <w:r w:rsidRPr="00AB4400">
        <w:rPr>
          <w:i/>
        </w:rPr>
        <w:t>kina</w:t>
      </w:r>
      <w:r w:rsidRPr="00AB4400">
        <w:t xml:space="preserve"> meter: a first triad of five-beat lines begins with </w:t>
      </w:r>
      <w:r>
        <w:rPr>
          <w:rtl/>
          <w:lang w:bidi="he-IL"/>
        </w:rPr>
        <w:t>א</w:t>
      </w:r>
      <w:r w:rsidR="006F304D" w:rsidRPr="006F304D">
        <w:t xml:space="preserve">, </w:t>
      </w:r>
      <w:r w:rsidRPr="00AB4400">
        <w:t xml:space="preserve">a second triad with </w:t>
      </w:r>
      <w:r>
        <w:rPr>
          <w:rtl/>
          <w:lang w:bidi="he-IL"/>
        </w:rPr>
        <w:t>ב</w:t>
      </w:r>
      <w:r w:rsidR="006F304D" w:rsidRPr="006F304D">
        <w:t xml:space="preserve">, </w:t>
      </w:r>
      <w:r w:rsidRPr="00AB4400">
        <w:t xml:space="preserve">etc. While we will </w:t>
      </w:r>
      <w:r w:rsidRPr="00AB4400">
        <w:lastRenderedPageBreak/>
        <w:t>discover</w:t>
      </w:r>
      <w:r w:rsidR="006F304D" w:rsidRPr="006F304D">
        <w:t xml:space="preserve">, </w:t>
      </w:r>
      <w:r w:rsidRPr="00AB4400">
        <w:t>when we examine the use of rhythm in the sermon on the plain</w:t>
      </w:r>
      <w:r w:rsidR="006F304D" w:rsidRPr="006F304D">
        <w:t xml:space="preserve">, </w:t>
      </w:r>
      <w:r w:rsidRPr="00AB4400">
        <w:t>that no such intricate arrangements can be found</w:t>
      </w:r>
      <w:r w:rsidR="006F304D" w:rsidRPr="006F304D">
        <w:t xml:space="preserve">, </w:t>
      </w:r>
      <w:r w:rsidRPr="00AB4400">
        <w:t>it may be possible to discern there smaller groupings of rhythmical lines</w:t>
      </w:r>
      <w:r w:rsidR="006F304D" w:rsidRPr="006F304D">
        <w:t xml:space="preserve">, </w:t>
      </w:r>
      <w:r w:rsidRPr="00AB4400">
        <w:t>such as quatrains.</w:t>
      </w:r>
      <w:r w:rsidRPr="00AB4400">
        <w:rPr>
          <w:vertAlign w:val="superscript"/>
        </w:rPr>
        <w:footnoteReference w:id="244"/>
      </w:r>
    </w:p>
    <w:p w14:paraId="6B947F42" w14:textId="77777777" w:rsidR="0018433B" w:rsidRDefault="0018433B">
      <w:r>
        <w:br w:type="page"/>
      </w:r>
    </w:p>
    <w:p w14:paraId="2AB7917D" w14:textId="3FE24E14" w:rsidR="0018433B" w:rsidRPr="005C0DF3" w:rsidRDefault="007D18CE" w:rsidP="007D18CE">
      <w:pPr>
        <w:pStyle w:val="Heading1"/>
      </w:pPr>
      <w:bookmarkStart w:id="18" w:name="_Toc147618603"/>
      <w:r w:rsidRPr="005C0DF3">
        <w:lastRenderedPageBreak/>
        <w:t xml:space="preserve">Chapter </w:t>
      </w:r>
      <w:r w:rsidR="0018433B" w:rsidRPr="005C0DF3">
        <w:t>5</w:t>
      </w:r>
      <w:r>
        <w:t xml:space="preserve">: </w:t>
      </w:r>
      <w:r w:rsidRPr="005C0DF3">
        <w:t xml:space="preserve">A Typology </w:t>
      </w:r>
      <w:r>
        <w:t>o</w:t>
      </w:r>
      <w:r w:rsidRPr="005C0DF3">
        <w:t>f Rhetorical Structures</w:t>
      </w:r>
      <w:r w:rsidR="0018433B" w:rsidRPr="005C0DF3">
        <w:t>:</w:t>
      </w:r>
      <w:bookmarkEnd w:id="18"/>
    </w:p>
    <w:p w14:paraId="5F554180" w14:textId="3057B487" w:rsidR="0018433B" w:rsidRPr="005C0DF3" w:rsidRDefault="007D18CE" w:rsidP="007D18CE">
      <w:pPr>
        <w:pStyle w:val="Heading1"/>
      </w:pPr>
      <w:bookmarkStart w:id="19" w:name="_Toc147618604"/>
      <w:r w:rsidRPr="005C0DF3">
        <w:t>Contentual Criteria</w:t>
      </w:r>
      <w:bookmarkEnd w:id="19"/>
    </w:p>
    <w:p w14:paraId="64BEA437" w14:textId="77777777" w:rsidR="0018433B" w:rsidRPr="005C0DF3" w:rsidRDefault="0018433B" w:rsidP="0018433B"/>
    <w:p w14:paraId="00AEAE39" w14:textId="77777777" w:rsidR="0018433B" w:rsidRPr="005C0DF3" w:rsidRDefault="0018433B" w:rsidP="0018433B"/>
    <w:p w14:paraId="485E64D3" w14:textId="77777777" w:rsidR="0018433B" w:rsidRPr="005C0DF3" w:rsidRDefault="0018433B" w:rsidP="007D18CE">
      <w:pPr>
        <w:pStyle w:val="Heading2"/>
      </w:pPr>
      <w:bookmarkStart w:id="20" w:name="_Toc147618605"/>
      <w:r w:rsidRPr="005C0DF3">
        <w:t>1. Logical Principles</w:t>
      </w:r>
      <w:bookmarkEnd w:id="20"/>
    </w:p>
    <w:p w14:paraId="684EBB42" w14:textId="77777777" w:rsidR="0018433B" w:rsidRPr="005C0DF3" w:rsidRDefault="0018433B" w:rsidP="0018433B"/>
    <w:p w14:paraId="2F72B8A8" w14:textId="4F138333" w:rsidR="0018433B" w:rsidRPr="005C0DF3" w:rsidRDefault="0018433B" w:rsidP="0018433B">
      <w:r>
        <w:tab/>
      </w:r>
      <w:r w:rsidRPr="005C0DF3">
        <w:t>At the conclusion of chapter three</w:t>
      </w:r>
      <w:r w:rsidR="006F304D" w:rsidRPr="006F304D">
        <w:t xml:space="preserve">, </w:t>
      </w:r>
      <w:r w:rsidRPr="005C0DF3">
        <w:t>we considered several ways in which mod</w:t>
      </w:r>
      <w:r w:rsidRPr="005C0DF3">
        <w:softHyphen/>
        <w:t>ern rhetoric has advanced the concept of structure in rhetoric beyond what had been achieved in ancient times. The three advances which we there consid</w:t>
      </w:r>
      <w:r w:rsidRPr="005C0DF3">
        <w:softHyphen/>
        <w:t>ered were the preference for inductive arguments</w:t>
      </w:r>
      <w:r w:rsidR="006F304D" w:rsidRPr="006F304D">
        <w:t xml:space="preserve">, </w:t>
      </w:r>
      <w:r w:rsidRPr="005C0DF3">
        <w:t>the expan</w:t>
      </w:r>
      <w:r w:rsidRPr="005C0DF3">
        <w:softHyphen/>
        <w:t>sion of rhe</w:t>
      </w:r>
      <w:r w:rsidRPr="005C0DF3">
        <w:softHyphen/>
        <w:t>toric to include other modes of discourse than persuasion (espe</w:t>
      </w:r>
      <w:r w:rsidRPr="005C0DF3">
        <w:softHyphen/>
        <w:t>cially expo</w:t>
      </w:r>
      <w:r w:rsidRPr="005C0DF3">
        <w:softHyphen/>
        <w:t>si</w:t>
      </w:r>
      <w:r w:rsidRPr="005C0DF3">
        <w:softHyphen/>
        <w:t>tion)</w:t>
      </w:r>
      <w:r w:rsidR="006F304D" w:rsidRPr="006F304D">
        <w:t xml:space="preserve">, </w:t>
      </w:r>
      <w:r w:rsidRPr="005C0DF3">
        <w:t>and the tendency to see form as something bound more closely to the ob</w:t>
      </w:r>
      <w:r w:rsidRPr="005C0DF3">
        <w:softHyphen/>
        <w:t>ject dis</w:t>
      </w:r>
      <w:r w:rsidRPr="005C0DF3">
        <w:softHyphen/>
        <w:t>cussed. We turn our attention now to another modern advance over clas</w:t>
      </w:r>
      <w:r w:rsidRPr="005C0DF3">
        <w:softHyphen/>
        <w:t>sical rhetoric</w:t>
      </w:r>
      <w:r w:rsidR="006F304D" w:rsidRPr="006F304D">
        <w:t xml:space="preserve">, </w:t>
      </w:r>
      <w:r w:rsidRPr="005C0DF3">
        <w:t>the development of the idea of the paragraph as a unit of struc</w:t>
      </w:r>
      <w:r w:rsidRPr="005C0DF3">
        <w:softHyphen/>
        <w:t>ture.</w:t>
      </w:r>
    </w:p>
    <w:p w14:paraId="5F22CB2A" w14:textId="3A4ABE29" w:rsidR="0018433B" w:rsidRDefault="0018433B" w:rsidP="0018433B">
      <w:r>
        <w:tab/>
      </w:r>
      <w:r w:rsidRPr="005C0DF3">
        <w:t>Ancient rhetoricians do not discuss paragraphing</w:t>
      </w:r>
      <w:r w:rsidR="006F304D" w:rsidRPr="006F304D">
        <w:t xml:space="preserve">, </w:t>
      </w:r>
      <w:r w:rsidRPr="005C0DF3">
        <w:t>but ancient writers wrote in para</w:t>
      </w:r>
      <w:r w:rsidRPr="005C0DF3">
        <w:softHyphen/>
        <w:t>graph-length sec</w:t>
      </w:r>
      <w:r w:rsidRPr="005C0DF3">
        <w:softHyphen/>
        <w:t>tions (the pericopes of the gospels are ex</w:t>
      </w:r>
      <w:r w:rsidRPr="005C0DF3">
        <w:softHyphen/>
        <w:t>amples)</w:t>
      </w:r>
      <w:r w:rsidR="006F304D" w:rsidRPr="006F304D">
        <w:t xml:space="preserve">, </w:t>
      </w:r>
      <w:r w:rsidRPr="005C0DF3">
        <w:t>probably be</w:t>
      </w:r>
      <w:r w:rsidRPr="005C0DF3">
        <w:softHyphen/>
        <w:t>cause para</w:t>
      </w:r>
      <w:r w:rsidRPr="005C0DF3">
        <w:softHyphen/>
        <w:t>graphing is a universal aspect of discourse</w:t>
      </w:r>
      <w:r>
        <w:t>.</w:t>
      </w:r>
    </w:p>
    <w:p w14:paraId="54D8E4B2" w14:textId="77777777" w:rsidR="0018433B" w:rsidRDefault="0018433B" w:rsidP="0018433B"/>
    <w:p w14:paraId="1FCA63B9" w14:textId="15AA4178" w:rsidR="0018433B" w:rsidRDefault="0018433B" w:rsidP="0018433B">
      <w:pPr>
        <w:ind w:left="720" w:right="720"/>
      </w:pPr>
      <w:r>
        <w:t xml:space="preserve">There is also a sound psychological reason for stressing the paragraph as the unit of composition </w:t>
      </w:r>
      <w:r w:rsidRPr="00963D68">
        <w:t>. . .</w:t>
      </w:r>
      <w:r>
        <w:t xml:space="preserve"> Since the mind works sequentially</w:t>
      </w:r>
      <w:r w:rsidR="006F304D" w:rsidRPr="006F304D">
        <w:t xml:space="preserve">, </w:t>
      </w:r>
      <w:r>
        <w:t xml:space="preserve">nothing is gained by taking up a second theme before the first one has been understood. This principle of closure works on the large scale of the text as well as the small scale of the clause. </w:t>
      </w:r>
      <w:r w:rsidRPr="005C0DF3">
        <w:t>A theme must have some degree of semantic closure before it can function as a textual element in long-term memory. If the para</w:t>
      </w:r>
      <w:r w:rsidRPr="005C0DF3">
        <w:softHyphen/>
        <w:t>graph did not exist</w:t>
      </w:r>
      <w:r w:rsidR="006F304D" w:rsidRPr="006F304D">
        <w:t xml:space="preserve">, </w:t>
      </w:r>
      <w:r w:rsidRPr="005C0DF3">
        <w:t>we would have to invent it.</w:t>
      </w:r>
      <w:r w:rsidRPr="005C0DF3">
        <w:rPr>
          <w:rStyle w:val="FootnoteReference"/>
        </w:rPr>
        <w:footnoteReference w:id="245"/>
      </w:r>
    </w:p>
    <w:p w14:paraId="326068A1" w14:textId="77777777" w:rsidR="0018433B" w:rsidRDefault="0018433B" w:rsidP="0018433B"/>
    <w:p w14:paraId="379AB9B6" w14:textId="77777777" w:rsidR="0018433B" w:rsidRDefault="0018433B" w:rsidP="0018433B">
      <w:r>
        <w:tab/>
      </w:r>
      <w:r w:rsidRPr="005C0DF3">
        <w:t>Presumably the idea of paragraphs was not hit upon by classical rhetor</w:t>
      </w:r>
      <w:r w:rsidRPr="005C0DF3">
        <w:softHyphen/>
        <w:t>i</w:t>
      </w:r>
      <w:r w:rsidRPr="005C0DF3">
        <w:softHyphen/>
        <w:t>cians because paragraphing as a typographical feature was unknown in the classi</w:t>
      </w:r>
      <w:r w:rsidRPr="005C0DF3">
        <w:softHyphen/>
        <w:t>cal period.</w:t>
      </w:r>
      <w:r w:rsidRPr="005C0DF3">
        <w:rPr>
          <w:rStyle w:val="FootnoteReference"/>
        </w:rPr>
        <w:footnoteReference w:id="246"/>
      </w:r>
      <w:r w:rsidRPr="005C0DF3">
        <w:t xml:space="preserve"> Probably this is one </w:t>
      </w:r>
      <w:r w:rsidRPr="005C0DF3">
        <w:lastRenderedPageBreak/>
        <w:t>reason why “some definite incul</w:t>
      </w:r>
      <w:r w:rsidRPr="005C0DF3">
        <w:softHyphen/>
        <w:t>ca</w:t>
      </w:r>
      <w:r w:rsidRPr="005C0DF3">
        <w:softHyphen/>
        <w:t>tion of con</w:t>
      </w:r>
      <w:r w:rsidRPr="005C0DF3">
        <w:softHyphen/>
        <w:t>secu</w:t>
      </w:r>
      <w:r w:rsidRPr="005C0DF3">
        <w:softHyphen/>
        <w:t>tive</w:t>
      </w:r>
      <w:r w:rsidRPr="005C0DF3">
        <w:softHyphen/>
        <w:t>ness”</w:t>
      </w:r>
      <w:r w:rsidRPr="005C0DF3">
        <w:rPr>
          <w:rStyle w:val="FootnoteReference"/>
        </w:rPr>
        <w:footnoteReference w:id="247"/>
      </w:r>
      <w:r w:rsidRPr="005C0DF3">
        <w:t xml:space="preserve"> never devel</w:t>
      </w:r>
      <w:r w:rsidRPr="005C0DF3">
        <w:softHyphen/>
        <w:t>oped in classical rhetoric.</w:t>
      </w:r>
      <w:r w:rsidRPr="005C0DF3">
        <w:rPr>
          <w:rStyle w:val="FootnoteReference"/>
        </w:rPr>
        <w:footnoteReference w:id="248"/>
      </w:r>
    </w:p>
    <w:p w14:paraId="45D3510F" w14:textId="31F9549E" w:rsidR="0018433B" w:rsidRPr="005C0DF3" w:rsidRDefault="0018433B" w:rsidP="0018433B">
      <w:r>
        <w:tab/>
      </w:r>
      <w:r w:rsidRPr="005C0DF3">
        <w:t>But modern rhetoric’s body of doctrine on arrangement by para</w:t>
      </w:r>
      <w:r w:rsidRPr="005C0DF3">
        <w:softHyphen/>
        <w:t>graphs has devel</w:t>
      </w:r>
      <w:r w:rsidRPr="005C0DF3">
        <w:softHyphen/>
        <w:t>oped peculi</w:t>
      </w:r>
      <w:r w:rsidRPr="005C0DF3">
        <w:softHyphen/>
        <w:t>arly. Perhaps because of the formation of na</w:t>
      </w:r>
      <w:r w:rsidRPr="005C0DF3">
        <w:softHyphen/>
        <w:t>tion</w:t>
      </w:r>
      <w:r w:rsidRPr="005C0DF3">
        <w:softHyphen/>
        <w:t>al school sys</w:t>
      </w:r>
      <w:r w:rsidRPr="005C0DF3">
        <w:softHyphen/>
        <w:t>tems</w:t>
      </w:r>
      <w:r w:rsidR="006F304D" w:rsidRPr="006F304D">
        <w:t xml:space="preserve">, </w:t>
      </w:r>
      <w:r w:rsidRPr="005C0DF3">
        <w:t>with their need for rhet</w:t>
      </w:r>
      <w:r w:rsidRPr="005C0DF3">
        <w:softHyphen/>
        <w:t>oric manuals for the masses</w:t>
      </w:r>
      <w:r w:rsidR="006F304D" w:rsidRPr="006F304D">
        <w:t xml:space="preserve">, </w:t>
      </w:r>
      <w:r w:rsidRPr="005C0DF3">
        <w:t>a “text</w:t>
      </w:r>
      <w:r w:rsidRPr="005C0DF3">
        <w:softHyphen/>
        <w:t>book” tradi</w:t>
      </w:r>
      <w:r w:rsidRPr="005C0DF3">
        <w:softHyphen/>
        <w:t>tion has evolved in which the discussion of ar</w:t>
      </w:r>
      <w:r w:rsidRPr="005C0DF3">
        <w:softHyphen/>
        <w:t>rangement is inade</w:t>
      </w:r>
      <w:r w:rsidRPr="005C0DF3">
        <w:softHyphen/>
        <w:t>quate. The textbooks have developed a mold that is nearly as rigid as that which classi</w:t>
      </w:r>
      <w:r w:rsidRPr="005C0DF3">
        <w:softHyphen/>
        <w:t>cal rhetoric worked out for the oration. Modern textbooks pre</w:t>
      </w:r>
      <w:r w:rsidRPr="005C0DF3">
        <w:softHyphen/>
        <w:t>scribe “the five-para</w:t>
      </w:r>
      <w:r w:rsidRPr="005C0DF3">
        <w:softHyphen/>
        <w:t>graph theme,” with intro</w:t>
      </w:r>
      <w:r w:rsidRPr="005C0DF3">
        <w:softHyphen/>
        <w:t>duction</w:t>
      </w:r>
      <w:r w:rsidR="006F304D" w:rsidRPr="006F304D">
        <w:t xml:space="preserve">, </w:t>
      </w:r>
      <w:r w:rsidRPr="005C0DF3">
        <w:t>three devel</w:t>
      </w:r>
      <w:r w:rsidRPr="005C0DF3">
        <w:softHyphen/>
        <w:t>opment para</w:t>
      </w:r>
      <w:r w:rsidRPr="005C0DF3">
        <w:softHyphen/>
        <w:t>graphs</w:t>
      </w:r>
      <w:r w:rsidR="006F304D" w:rsidRPr="006F304D">
        <w:t xml:space="preserve">, </w:t>
      </w:r>
      <w:r w:rsidRPr="005C0DF3">
        <w:t>and con</w:t>
      </w:r>
      <w:r w:rsidRPr="005C0DF3">
        <w:softHyphen/>
        <w:t>clu</w:t>
      </w:r>
      <w:r w:rsidRPr="005C0DF3">
        <w:softHyphen/>
        <w:t>sion. What is worse</w:t>
      </w:r>
      <w:r w:rsidR="006F304D" w:rsidRPr="006F304D">
        <w:t xml:space="preserve">, </w:t>
      </w:r>
      <w:r w:rsidRPr="005C0DF3">
        <w:t>this tradition has taken over the “to</w:t>
      </w:r>
      <w:r w:rsidRPr="005C0DF3">
        <w:softHyphen/>
        <w:t>pics” of classi</w:t>
      </w:r>
      <w:r w:rsidRPr="005C0DF3">
        <w:softHyphen/>
        <w:t>cal rhetoric and made them into patterns which au</w:t>
      </w:r>
      <w:r w:rsidRPr="005C0DF3">
        <w:softHyphen/>
        <w:t>thors are to imitate in their para</w:t>
      </w:r>
      <w:r w:rsidRPr="005C0DF3">
        <w:softHyphen/>
        <w:t>graphs. The topics were never intended to be used as patterns of para</w:t>
      </w:r>
      <w:r w:rsidRPr="005C0DF3">
        <w:softHyphen/>
        <w:t>graph development; they were tools to be used dur</w:t>
      </w:r>
      <w:r w:rsidRPr="005C0DF3">
        <w:softHyphen/>
        <w:t>ing the pre-writing stage (invention).</w:t>
      </w:r>
      <w:r w:rsidRPr="005C0DF3">
        <w:rPr>
          <w:rStyle w:val="FootnoteReference"/>
        </w:rPr>
        <w:footnoteReference w:id="249"/>
      </w:r>
    </w:p>
    <w:p w14:paraId="56D99366" w14:textId="77777777" w:rsidR="0018433B" w:rsidRDefault="0018433B" w:rsidP="0018433B">
      <w:r>
        <w:lastRenderedPageBreak/>
        <w:tab/>
      </w:r>
      <w:r w:rsidRPr="005C0DF3">
        <w:t>What sorts of things are these ill-begotten topics? D’Angelo mentions many of them:</w:t>
      </w:r>
    </w:p>
    <w:p w14:paraId="73F89FEB" w14:textId="77777777" w:rsidR="0018433B" w:rsidRPr="005C0DF3" w:rsidRDefault="0018433B" w:rsidP="0018433B"/>
    <w:p w14:paraId="241C01D8" w14:textId="77777777" w:rsidR="0018433B" w:rsidRPr="005C0DF3" w:rsidRDefault="0018433B" w:rsidP="0018433B">
      <w:pPr>
        <w:ind w:firstLine="1440"/>
      </w:pPr>
      <w:r w:rsidRPr="005C0DF3">
        <w:t>alternation</w:t>
      </w:r>
      <w:r w:rsidRPr="005C0DF3">
        <w:tab/>
      </w:r>
      <w:r w:rsidRPr="005C0DF3">
        <w:tab/>
      </w:r>
      <w:r w:rsidRPr="005C0DF3">
        <w:tab/>
      </w:r>
      <w:r w:rsidRPr="005C0DF3">
        <w:tab/>
        <w:t>iteration</w:t>
      </w:r>
    </w:p>
    <w:p w14:paraId="617F7E87" w14:textId="77777777" w:rsidR="0018433B" w:rsidRPr="005C0DF3" w:rsidRDefault="0018433B" w:rsidP="0018433B">
      <w:pPr>
        <w:ind w:firstLine="1440"/>
      </w:pPr>
      <w:r w:rsidRPr="005C0DF3">
        <w:t>analogy</w:t>
      </w:r>
      <w:r w:rsidRPr="005C0DF3">
        <w:tab/>
      </w:r>
      <w:r w:rsidRPr="005C0DF3">
        <w:tab/>
      </w:r>
      <w:r w:rsidRPr="005C0DF3">
        <w:tab/>
      </w:r>
      <w:r w:rsidRPr="005C0DF3">
        <w:tab/>
        <w:t>logical analysis</w:t>
      </w:r>
    </w:p>
    <w:p w14:paraId="7325F0AF" w14:textId="77777777" w:rsidR="0018433B" w:rsidRPr="005C0DF3" w:rsidRDefault="0018433B" w:rsidP="0018433B">
      <w:pPr>
        <w:ind w:firstLine="1440"/>
      </w:pPr>
      <w:r w:rsidRPr="005C0DF3">
        <w:t>balance</w:t>
      </w:r>
      <w:r w:rsidRPr="005C0DF3">
        <w:tab/>
      </w:r>
      <w:r w:rsidRPr="005C0DF3">
        <w:tab/>
      </w:r>
      <w:r w:rsidRPr="005C0DF3">
        <w:tab/>
      </w:r>
      <w:r w:rsidRPr="005C0DF3">
        <w:tab/>
        <w:t>metaphor</w:t>
      </w:r>
    </w:p>
    <w:p w14:paraId="118F5C25" w14:textId="77777777" w:rsidR="0018433B" w:rsidRPr="005C0DF3" w:rsidRDefault="0018433B" w:rsidP="0018433B">
      <w:pPr>
        <w:ind w:firstLine="1440"/>
      </w:pPr>
      <w:r w:rsidRPr="005C0DF3">
        <w:t>cause and effect</w:t>
      </w:r>
      <w:r w:rsidRPr="005C0DF3">
        <w:tab/>
      </w:r>
      <w:r w:rsidRPr="005C0DF3">
        <w:tab/>
      </w:r>
      <w:r w:rsidRPr="005C0DF3">
        <w:tab/>
        <w:t>narration</w:t>
      </w:r>
    </w:p>
    <w:p w14:paraId="43CEA094" w14:textId="77777777" w:rsidR="0018433B" w:rsidRPr="005C0DF3" w:rsidRDefault="0018433B" w:rsidP="0018433B">
      <w:pPr>
        <w:ind w:firstLine="1440"/>
      </w:pPr>
      <w:r w:rsidRPr="005C0DF3">
        <w:t>classification</w:t>
      </w:r>
      <w:r w:rsidRPr="005C0DF3">
        <w:tab/>
      </w:r>
      <w:r w:rsidRPr="005C0DF3">
        <w:tab/>
      </w:r>
      <w:r w:rsidRPr="005C0DF3">
        <w:tab/>
      </w:r>
      <w:r w:rsidRPr="005C0DF3">
        <w:tab/>
        <w:t>negation</w:t>
      </w:r>
    </w:p>
    <w:p w14:paraId="68F31CE3" w14:textId="77777777" w:rsidR="0018433B" w:rsidRPr="005C0DF3" w:rsidRDefault="0018433B" w:rsidP="0018433B">
      <w:pPr>
        <w:ind w:firstLine="1440"/>
      </w:pPr>
      <w:r w:rsidRPr="005C0DF3">
        <w:t>comparison</w:t>
      </w:r>
      <w:r w:rsidRPr="005C0DF3">
        <w:tab/>
      </w:r>
      <w:r w:rsidRPr="005C0DF3">
        <w:tab/>
      </w:r>
      <w:r w:rsidRPr="005C0DF3">
        <w:tab/>
      </w:r>
      <w:r w:rsidRPr="005C0DF3">
        <w:tab/>
        <w:t>partition</w:t>
      </w:r>
    </w:p>
    <w:p w14:paraId="51A82979" w14:textId="77777777" w:rsidR="0018433B" w:rsidRPr="005C0DF3" w:rsidRDefault="0018433B" w:rsidP="0018433B">
      <w:pPr>
        <w:ind w:firstLine="1440"/>
      </w:pPr>
      <w:r w:rsidRPr="005C0DF3">
        <w:t>contrast</w:t>
      </w:r>
      <w:r w:rsidRPr="005C0DF3">
        <w:tab/>
      </w:r>
      <w:r w:rsidRPr="005C0DF3">
        <w:tab/>
      </w:r>
      <w:r w:rsidRPr="005C0DF3">
        <w:tab/>
      </w:r>
      <w:r w:rsidRPr="005C0DF3">
        <w:tab/>
        <w:t>process</w:t>
      </w:r>
    </w:p>
    <w:p w14:paraId="3B4BEE35" w14:textId="77777777" w:rsidR="0018433B" w:rsidRPr="005C0DF3" w:rsidRDefault="0018433B" w:rsidP="0018433B">
      <w:pPr>
        <w:ind w:firstLine="1440"/>
      </w:pPr>
      <w:r w:rsidRPr="005C0DF3">
        <w:t>definition</w:t>
      </w:r>
      <w:r w:rsidRPr="005C0DF3">
        <w:tab/>
      </w:r>
      <w:r w:rsidRPr="005C0DF3">
        <w:tab/>
      </w:r>
      <w:r w:rsidRPr="005C0DF3">
        <w:tab/>
      </w:r>
      <w:r w:rsidRPr="005C0DF3">
        <w:tab/>
        <w:t>repetition</w:t>
      </w:r>
    </w:p>
    <w:p w14:paraId="6AFE4CA1" w14:textId="77777777" w:rsidR="0018433B" w:rsidRPr="005C0DF3" w:rsidRDefault="0018433B" w:rsidP="0018433B">
      <w:pPr>
        <w:ind w:firstLine="1440"/>
      </w:pPr>
      <w:r w:rsidRPr="005C0DF3">
        <w:t>description</w:t>
      </w:r>
      <w:r w:rsidRPr="005C0DF3">
        <w:tab/>
      </w:r>
      <w:r w:rsidRPr="005C0DF3">
        <w:tab/>
      </w:r>
      <w:r w:rsidRPr="005C0DF3">
        <w:tab/>
      </w:r>
      <w:r w:rsidRPr="005C0DF3">
        <w:tab/>
        <w:t>syllogistic progression</w:t>
      </w:r>
    </w:p>
    <w:p w14:paraId="38CEB37A" w14:textId="77777777" w:rsidR="0018433B" w:rsidRPr="005C0DF3" w:rsidRDefault="0018433B" w:rsidP="0018433B">
      <w:pPr>
        <w:ind w:firstLine="1440"/>
      </w:pPr>
      <w:r w:rsidRPr="005C0DF3">
        <w:t>division into parts</w:t>
      </w:r>
      <w:r w:rsidRPr="005C0DF3">
        <w:tab/>
      </w:r>
      <w:r w:rsidRPr="005C0DF3">
        <w:tab/>
      </w:r>
      <w:r w:rsidRPr="005C0DF3">
        <w:tab/>
        <w:t>series</w:t>
      </w:r>
    </w:p>
    <w:p w14:paraId="6CC813E1" w14:textId="77777777" w:rsidR="0018433B" w:rsidRPr="005C0DF3" w:rsidRDefault="0018433B" w:rsidP="0018433B">
      <w:pPr>
        <w:ind w:firstLine="1440"/>
      </w:pPr>
      <w:r w:rsidRPr="005C0DF3">
        <w:t>enumeration</w:t>
      </w:r>
      <w:r w:rsidRPr="005C0DF3">
        <w:tab/>
      </w:r>
      <w:r w:rsidRPr="005C0DF3">
        <w:tab/>
      </w:r>
      <w:r w:rsidRPr="005C0DF3">
        <w:tab/>
      </w:r>
      <w:r w:rsidRPr="005C0DF3">
        <w:tab/>
        <w:t>thesis and support.</w:t>
      </w:r>
      <w:r w:rsidRPr="005C0DF3">
        <w:rPr>
          <w:rStyle w:val="FootnoteReference"/>
        </w:rPr>
        <w:footnoteReference w:id="250"/>
      </w:r>
    </w:p>
    <w:p w14:paraId="52AF804B" w14:textId="77777777" w:rsidR="0018433B" w:rsidRPr="005C0DF3" w:rsidRDefault="0018433B" w:rsidP="0018433B">
      <w:pPr>
        <w:ind w:firstLine="1440"/>
      </w:pPr>
      <w:r w:rsidRPr="005C0DF3">
        <w:t>exemplification</w:t>
      </w:r>
    </w:p>
    <w:p w14:paraId="31D9AA45" w14:textId="77777777" w:rsidR="0018433B" w:rsidRDefault="0018433B" w:rsidP="0018433B"/>
    <w:p w14:paraId="0665D78F" w14:textId="33513A8F" w:rsidR="0018433B" w:rsidRPr="005C0DF3" w:rsidRDefault="0018433B" w:rsidP="0018433B">
      <w:r>
        <w:tab/>
      </w:r>
      <w:r w:rsidRPr="005C0DF3">
        <w:t>Modern rhetoricians</w:t>
      </w:r>
      <w:r w:rsidR="006F304D" w:rsidRPr="006F304D">
        <w:t xml:space="preserve">, </w:t>
      </w:r>
      <w:r w:rsidRPr="005C0DF3">
        <w:t>thankfully</w:t>
      </w:r>
      <w:r w:rsidR="006F304D" w:rsidRPr="006F304D">
        <w:t xml:space="preserve">, </w:t>
      </w:r>
      <w:r w:rsidRPr="005C0DF3">
        <w:t xml:space="preserve">are not content to accept this jumble </w:t>
      </w:r>
      <w:r w:rsidRPr="005C0DF3">
        <w:softHyphen/>
        <w:t>that has sprouted over the centuries. Among attempts to im</w:t>
      </w:r>
      <w:r w:rsidRPr="005C0DF3">
        <w:softHyphen/>
        <w:t>pose order on the hodge</w:t>
      </w:r>
      <w:r w:rsidRPr="005C0DF3">
        <w:softHyphen/>
        <w:t>podge are the classifications of Kenneth Burke</w:t>
      </w:r>
      <w:r w:rsidR="006F304D" w:rsidRPr="006F304D">
        <w:t xml:space="preserve">, </w:t>
      </w:r>
      <w:r w:rsidRPr="005C0DF3">
        <w:t>Frank D’An</w:t>
      </w:r>
      <w:r w:rsidRPr="005C0DF3">
        <w:softHyphen/>
        <w:t>gelo</w:t>
      </w:r>
      <w:r w:rsidR="006F304D" w:rsidRPr="006F304D">
        <w:t xml:space="preserve">, </w:t>
      </w:r>
      <w:r w:rsidRPr="005C0DF3">
        <w:t>and Francis Christensen. A brief look at each of these attempts will not only demon</w:t>
      </w:r>
      <w:r w:rsidRPr="005C0DF3">
        <w:softHyphen/>
        <w:t>strate the extent to which structure has preoc</w:t>
      </w:r>
      <w:r w:rsidRPr="005C0DF3">
        <w:softHyphen/>
        <w:t>cupied the think</w:t>
      </w:r>
      <w:r w:rsidRPr="005C0DF3">
        <w:softHyphen/>
        <w:t>ing of mod</w:t>
      </w:r>
      <w:r w:rsidRPr="005C0DF3">
        <w:softHyphen/>
        <w:t>ern rhet</w:t>
      </w:r>
      <w:r w:rsidRPr="005C0DF3">
        <w:softHyphen/>
        <w:t>oricians</w:t>
      </w:r>
      <w:r w:rsidR="006F304D" w:rsidRPr="006F304D">
        <w:t xml:space="preserve">, </w:t>
      </w:r>
      <w:r w:rsidRPr="005C0DF3">
        <w:t>but will also prepare us to discern the principles that are basic to the logical structuring of texts.</w:t>
      </w:r>
    </w:p>
    <w:p w14:paraId="0C0B4F29" w14:textId="7FC31072" w:rsidR="0018433B" w:rsidRDefault="0018433B" w:rsidP="0018433B">
      <w:r>
        <w:tab/>
      </w:r>
      <w:r w:rsidRPr="005C0DF3">
        <w:t>In his famous essay</w:t>
      </w:r>
      <w:r w:rsidR="006F304D" w:rsidRPr="006F304D">
        <w:t xml:space="preserve">, </w:t>
      </w:r>
      <w:r w:rsidRPr="005C0DF3">
        <w:t xml:space="preserve">“Lexicon </w:t>
      </w:r>
      <w:proofErr w:type="spellStart"/>
      <w:r w:rsidRPr="005C0DF3">
        <w:t>Rhetoricae</w:t>
      </w:r>
      <w:proofErr w:type="spellEnd"/>
      <w:r w:rsidRPr="005C0DF3">
        <w:t>,”</w:t>
      </w:r>
      <w:r w:rsidRPr="005C0DF3">
        <w:rPr>
          <w:rStyle w:val="FootnoteReference"/>
        </w:rPr>
        <w:footnoteReference w:id="251"/>
      </w:r>
      <w:r w:rsidRPr="005C0DF3">
        <w:t xml:space="preserve"> Kenneth Burke distin</w:t>
      </w:r>
      <w:r w:rsidRPr="005C0DF3">
        <w:softHyphen/>
        <w:t>guishes five forms in literature. The first two</w:t>
      </w:r>
      <w:r w:rsidR="006F304D" w:rsidRPr="006F304D">
        <w:t xml:space="preserve">, </w:t>
      </w:r>
      <w:r w:rsidRPr="005C0DF3">
        <w:t>syllogistic form and qualitative form</w:t>
      </w:r>
      <w:r w:rsidR="006F304D" w:rsidRPr="006F304D">
        <w:t xml:space="preserve">, </w:t>
      </w:r>
      <w:r w:rsidRPr="005C0DF3">
        <w:t>are both “progres</w:t>
      </w:r>
      <w:r w:rsidRPr="005C0DF3">
        <w:softHyphen/>
        <w:t xml:space="preserve">sive.” To employ syllogistic progression is “To go from </w:t>
      </w:r>
      <w:r w:rsidRPr="005C0DF3">
        <w:rPr>
          <w:i/>
        </w:rPr>
        <w:t>A</w:t>
      </w:r>
      <w:r w:rsidRPr="005C0DF3">
        <w:t xml:space="preserve"> to </w:t>
      </w:r>
      <w:r w:rsidRPr="005C0DF3">
        <w:rPr>
          <w:i/>
        </w:rPr>
        <w:t>E</w:t>
      </w:r>
      <w:r w:rsidRPr="005C0DF3">
        <w:t xml:space="preserve"> through stages </w:t>
      </w:r>
      <w:r w:rsidRPr="005C0DF3">
        <w:rPr>
          <w:i/>
        </w:rPr>
        <w:t>B</w:t>
      </w:r>
      <w:r w:rsidR="006F304D" w:rsidRPr="006F304D">
        <w:t xml:space="preserve">, </w:t>
      </w:r>
      <w:r w:rsidRPr="005C0DF3">
        <w:rPr>
          <w:i/>
        </w:rPr>
        <w:t>C</w:t>
      </w:r>
      <w:r w:rsidR="006F304D" w:rsidRPr="006F304D">
        <w:t xml:space="preserve">, </w:t>
      </w:r>
      <w:r w:rsidRPr="005C0DF3">
        <w:t xml:space="preserve">and </w:t>
      </w:r>
      <w:r w:rsidRPr="005C0DF3">
        <w:rPr>
          <w:i/>
        </w:rPr>
        <w:t>D</w:t>
      </w:r>
      <w:r w:rsidRPr="005C0DF3">
        <w:t xml:space="preserve"> </w:t>
      </w:r>
      <w:r w:rsidRPr="00963D68">
        <w:t>. . .</w:t>
      </w:r>
      <w:r w:rsidRPr="005C0DF3">
        <w:t>” Burke is not referring to the struc</w:t>
      </w:r>
      <w:r w:rsidRPr="005C0DF3">
        <w:softHyphen/>
        <w:t>tured syllo</w:t>
      </w:r>
      <w:r w:rsidRPr="005C0DF3">
        <w:softHyphen/>
        <w:t>gisms of formal logic but simply means that “given certain things</w:t>
      </w:r>
      <w:r w:rsidR="006F304D" w:rsidRPr="006F304D">
        <w:t xml:space="preserve">, </w:t>
      </w:r>
      <w:r w:rsidRPr="005C0DF3">
        <w:t>cer</w:t>
      </w:r>
      <w:r w:rsidRPr="005C0DF3">
        <w:softHyphen/>
        <w:t xml:space="preserve">tain things must follow </w:t>
      </w:r>
      <w:r w:rsidRPr="00963D68">
        <w:t>. . .</w:t>
      </w:r>
      <w:r w:rsidRPr="005C0DF3">
        <w:t>”</w:t>
      </w:r>
      <w:r w:rsidRPr="005C0DF3">
        <w:rPr>
          <w:rStyle w:val="FootnoteReference"/>
        </w:rPr>
        <w:footnoteReference w:id="252"/>
      </w:r>
      <w:r w:rsidRPr="005C0DF3">
        <w:t xml:space="preserve"> Qualita</w:t>
      </w:r>
      <w:r w:rsidRPr="005C0DF3">
        <w:softHyphen/>
        <w:t>tive progres</w:t>
      </w:r>
      <w:r w:rsidRPr="005C0DF3">
        <w:softHyphen/>
        <w:t>sions “lack the pro</w:t>
      </w:r>
      <w:r w:rsidRPr="005C0DF3">
        <w:softHyphen/>
        <w:t>nounced an</w:t>
      </w:r>
      <w:r w:rsidRPr="005C0DF3">
        <w:softHyphen/>
        <w:t>tici</w:t>
      </w:r>
      <w:r w:rsidRPr="005C0DF3">
        <w:softHyphen/>
        <w:t>patory nature of the syllogistic pro</w:t>
      </w:r>
      <w:r w:rsidRPr="005C0DF3">
        <w:softHyphen/>
        <w:t xml:space="preserve">gression”: the anticipation that A will lead to B is not felt by the reader beforehand as requisite but </w:t>
      </w:r>
      <w:r w:rsidRPr="005C0DF3">
        <w:softHyphen/>
        <w:t>af</w:t>
      </w:r>
      <w:r w:rsidRPr="005C0DF3">
        <w:softHyphen/>
        <w:t>terward as appropriate. A does not make us feel that B must hap</w:t>
      </w:r>
      <w:r w:rsidRPr="005C0DF3">
        <w:softHyphen/>
        <w:t>pen</w:t>
      </w:r>
      <w:r w:rsidR="006F304D" w:rsidRPr="006F304D">
        <w:t xml:space="preserve">, </w:t>
      </w:r>
      <w:r w:rsidRPr="005C0DF3">
        <w:t>but given A</w:t>
      </w:r>
      <w:r w:rsidR="006F304D" w:rsidRPr="006F304D">
        <w:t xml:space="preserve">, </w:t>
      </w:r>
      <w:r w:rsidRPr="005C0DF3">
        <w:t>B seems fit</w:t>
      </w:r>
      <w:r w:rsidRPr="005C0DF3">
        <w:softHyphen/>
        <w:t>ting. Whereas Macbeth’s murder of Duncan makes us feel that Mac</w:t>
      </w:r>
      <w:r w:rsidRPr="005C0DF3">
        <w:softHyphen/>
        <w:t>beth’s death is re</w:t>
      </w:r>
      <w:r w:rsidRPr="005C0DF3">
        <w:softHyphen/>
        <w:t>quired in turn (syllogistic form)</w:t>
      </w:r>
      <w:r w:rsidR="006F304D" w:rsidRPr="006F304D">
        <w:t xml:space="preserve">, </w:t>
      </w:r>
      <w:r w:rsidRPr="005C0DF3">
        <w:t>“the grotesque seri</w:t>
      </w:r>
      <w:r w:rsidRPr="005C0DF3">
        <w:softHyphen/>
        <w:t>ousness of the murder scene [pre</w:t>
      </w:r>
      <w:r w:rsidRPr="005C0DF3">
        <w:softHyphen/>
        <w:t>pares] us for the grotesque buf</w:t>
      </w:r>
      <w:r w:rsidRPr="005C0DF3">
        <w:softHyphen/>
        <w:t>foonery of the porter scene” (quali</w:t>
      </w:r>
      <w:r w:rsidRPr="005C0DF3">
        <w:softHyphen/>
        <w:t>tative form).</w:t>
      </w:r>
      <w:r w:rsidRPr="005C0DF3">
        <w:rPr>
          <w:rStyle w:val="FootnoteReference"/>
        </w:rPr>
        <w:footnoteReference w:id="253"/>
      </w:r>
      <w:r w:rsidRPr="005C0DF3">
        <w:t xml:space="preserve"> Third is repetitive form: “By a varying number of details</w:t>
      </w:r>
      <w:r w:rsidR="006F304D" w:rsidRPr="006F304D">
        <w:t xml:space="preserve">, </w:t>
      </w:r>
      <w:r w:rsidRPr="005C0DF3">
        <w:t xml:space="preserve">the reader is led to feel more or less consciously the principle underlying them </w:t>
      </w:r>
      <w:r w:rsidRPr="00963D68">
        <w:t>. . .</w:t>
      </w:r>
      <w:r w:rsidRPr="005C0DF3">
        <w:t>” This form seems the most common; among Burke’s examples are “A suc</w:t>
      </w:r>
      <w:r w:rsidRPr="005C0DF3">
        <w:softHyphen/>
        <w:t>cession of images</w:t>
      </w:r>
      <w:r w:rsidR="006F304D" w:rsidRPr="006F304D">
        <w:t xml:space="preserve">, </w:t>
      </w:r>
      <w:r w:rsidRPr="005C0DF3">
        <w:t>each of them regiving the same lyric mood; a character re</w:t>
      </w:r>
      <w:r w:rsidRPr="005C0DF3">
        <w:softHyphen/>
        <w:t xml:space="preserve">peating his identity </w:t>
      </w:r>
      <w:r w:rsidRPr="00963D68">
        <w:lastRenderedPageBreak/>
        <w:t>. . .</w:t>
      </w:r>
      <w:r w:rsidRPr="005C0DF3">
        <w:t>; the sustaining of an attitude</w:t>
      </w:r>
      <w:r w:rsidR="006F304D" w:rsidRPr="006F304D">
        <w:t xml:space="preserve">, </w:t>
      </w:r>
      <w:r w:rsidRPr="005C0DF3">
        <w:t xml:space="preserve">as in satire; the rhythmic regularity of blank verse </w:t>
      </w:r>
      <w:r w:rsidRPr="00963D68">
        <w:t>. . .</w:t>
      </w:r>
      <w:r w:rsidRPr="005C0DF3">
        <w:t>”</w:t>
      </w:r>
      <w:r w:rsidRPr="005C0DF3">
        <w:rPr>
          <w:rStyle w:val="FootnoteReference"/>
        </w:rPr>
        <w:footnoteReference w:id="254"/>
      </w:r>
      <w:r w:rsidRPr="005C0DF3">
        <w:t xml:space="preserve"> Fourth is conven</w:t>
      </w:r>
      <w:r w:rsidRPr="005C0DF3">
        <w:softHyphen/>
        <w:t>tional form:</w:t>
      </w:r>
    </w:p>
    <w:p w14:paraId="28E892F1" w14:textId="77777777" w:rsidR="0018433B" w:rsidRPr="005C0DF3" w:rsidRDefault="0018433B" w:rsidP="0018433B"/>
    <w:p w14:paraId="7D59E01E" w14:textId="0CF972A4" w:rsidR="0018433B" w:rsidRPr="005C0DF3" w:rsidRDefault="0018433B" w:rsidP="0018433B">
      <w:pPr>
        <w:ind w:left="720" w:right="720"/>
      </w:pPr>
      <w:r w:rsidRPr="005C0DF3">
        <w:t>Progressive [</w:t>
      </w:r>
      <w:r w:rsidR="00775F9B" w:rsidRPr="00775F9B">
        <w:rPr>
          <w:iCs/>
        </w:rPr>
        <w:t>i.e.</w:t>
      </w:r>
      <w:r w:rsidR="006F304D" w:rsidRPr="006F304D">
        <w:t xml:space="preserve">, </w:t>
      </w:r>
      <w:r w:rsidRPr="005C0DF3">
        <w:t>syllogistic and qualitative]</w:t>
      </w:r>
      <w:r w:rsidR="006F304D" w:rsidRPr="006F304D">
        <w:t xml:space="preserve">, </w:t>
      </w:r>
      <w:r w:rsidRPr="005C0DF3">
        <w:t>repetitive</w:t>
      </w:r>
      <w:r w:rsidR="006F304D" w:rsidRPr="006F304D">
        <w:t xml:space="preserve">, </w:t>
      </w:r>
      <w:r w:rsidRPr="005C0DF3">
        <w:t>and minor forms [to be explained in a moment]</w:t>
      </w:r>
      <w:r w:rsidR="006F304D" w:rsidRPr="006F304D">
        <w:t xml:space="preserve">, </w:t>
      </w:r>
      <w:r w:rsidRPr="005C0DF3">
        <w:t>may be effec</w:t>
      </w:r>
      <w:r w:rsidRPr="005C0DF3">
        <w:softHyphen/>
        <w:t>tive even though the reader has no aware</w:t>
      </w:r>
      <w:r w:rsidRPr="005C0DF3">
        <w:softHyphen/>
        <w:t>ness of their formality. But when a form appeals as form</w:t>
      </w:r>
      <w:r w:rsidR="006F304D" w:rsidRPr="006F304D">
        <w:t xml:space="preserve">, </w:t>
      </w:r>
      <w:r w:rsidRPr="005C0DF3">
        <w:t>we designate it as conventional form. Any form can become conven</w:t>
      </w:r>
      <w:r w:rsidRPr="005C0DF3">
        <w:softHyphen/>
        <w:t>tion</w:t>
      </w:r>
      <w:r w:rsidRPr="005C0DF3">
        <w:softHyphen/>
        <w:t>al</w:t>
      </w:r>
      <w:r w:rsidR="006F304D" w:rsidRPr="006F304D">
        <w:t xml:space="preserve">, </w:t>
      </w:r>
      <w:r w:rsidRPr="005C0DF3">
        <w:t>and be sought for itself—whether it be as complex as the Greek tragedy or as compact as the son</w:t>
      </w:r>
      <w:r w:rsidRPr="005C0DF3">
        <w:softHyphen/>
        <w:t>net.</w:t>
      </w:r>
      <w:r w:rsidRPr="005C0DF3">
        <w:rPr>
          <w:rStyle w:val="FootnoteReference"/>
        </w:rPr>
        <w:footnoteReference w:id="255"/>
      </w:r>
    </w:p>
    <w:p w14:paraId="7BF7E46B" w14:textId="77777777" w:rsidR="0018433B" w:rsidRDefault="0018433B" w:rsidP="0018433B"/>
    <w:p w14:paraId="7002D115" w14:textId="2D383C7F" w:rsidR="0018433B" w:rsidRPr="005C0DF3" w:rsidRDefault="0018433B" w:rsidP="0018433B">
      <w:r w:rsidRPr="005C0DF3">
        <w:t>Burke’s fifth type</w:t>
      </w:r>
      <w:r w:rsidR="006F304D" w:rsidRPr="006F304D">
        <w:t xml:space="preserve">, </w:t>
      </w:r>
      <w:r w:rsidRPr="005C0DF3">
        <w:t>minor forms</w:t>
      </w:r>
      <w:r w:rsidR="006F304D" w:rsidRPr="006F304D">
        <w:t xml:space="preserve">, </w:t>
      </w:r>
      <w:r w:rsidRPr="005C0DF3">
        <w:t>are forms distin</w:t>
      </w:r>
      <w:r w:rsidRPr="005C0DF3">
        <w:softHyphen/>
        <w:t>guishable within larger forms: “Their effect partially depends upon their function in the whole</w:t>
      </w:r>
      <w:r w:rsidR="006F304D" w:rsidRPr="006F304D">
        <w:t xml:space="preserve">, </w:t>
      </w:r>
      <w:r w:rsidRPr="005C0DF3">
        <w:t>yet they manifest sufficient evidences of episodic distinct</w:t>
      </w:r>
      <w:r w:rsidRPr="005C0DF3">
        <w:softHyphen/>
        <w:t>ness to bear consideration apart from their context.” Burke’s examples include met</w:t>
      </w:r>
      <w:r w:rsidRPr="005C0DF3">
        <w:softHyphen/>
        <w:t>aphor</w:t>
      </w:r>
      <w:r w:rsidR="006F304D" w:rsidRPr="006F304D">
        <w:t xml:space="preserve">, </w:t>
      </w:r>
      <w:r w:rsidRPr="005C0DF3">
        <w:t>paradox</w:t>
      </w:r>
      <w:r w:rsidR="006F304D" w:rsidRPr="006F304D">
        <w:t xml:space="preserve">, </w:t>
      </w:r>
      <w:r w:rsidRPr="005C0DF3">
        <w:t>contraction</w:t>
      </w:r>
      <w:r w:rsidR="006F304D" w:rsidRPr="006F304D">
        <w:t xml:space="preserve">, </w:t>
      </w:r>
      <w:r w:rsidRPr="005C0DF3">
        <w:t>expansion</w:t>
      </w:r>
      <w:r w:rsidR="006F304D" w:rsidRPr="006F304D">
        <w:t xml:space="preserve">, </w:t>
      </w:r>
      <w:r w:rsidRPr="005C0DF3">
        <w:t>apostrophe</w:t>
      </w:r>
      <w:r w:rsidR="006F304D" w:rsidRPr="006F304D">
        <w:t xml:space="preserve">, </w:t>
      </w:r>
      <w:r w:rsidRPr="005C0DF3">
        <w:t>series</w:t>
      </w:r>
      <w:r w:rsidR="006F304D" w:rsidRPr="006F304D">
        <w:t xml:space="preserve">, </w:t>
      </w:r>
      <w:r w:rsidRPr="005C0DF3">
        <w:t>and chiasm.</w:t>
      </w:r>
      <w:r w:rsidRPr="005C0DF3">
        <w:rPr>
          <w:rStyle w:val="FootnoteReference"/>
        </w:rPr>
        <w:footnoteReference w:id="256"/>
      </w:r>
      <w:r w:rsidRPr="005C0DF3">
        <w:t xml:space="preserve"> The five forms can overlap,</w:t>
      </w:r>
      <w:r w:rsidRPr="005C0DF3">
        <w:rPr>
          <w:rStyle w:val="FootnoteReference"/>
        </w:rPr>
        <w:footnoteReference w:id="257"/>
      </w:r>
      <w:r w:rsidRPr="005C0DF3">
        <w:t xml:space="preserve"> but no other types than these</w:t>
      </w:r>
      <w:r w:rsidR="006F304D" w:rsidRPr="006F304D">
        <w:t xml:space="preserve">, </w:t>
      </w:r>
      <w:r w:rsidRPr="005C0DF3">
        <w:t>Burke maintains</w:t>
      </w:r>
      <w:r w:rsidR="006F304D" w:rsidRPr="006F304D">
        <w:t xml:space="preserve">, </w:t>
      </w:r>
      <w:r w:rsidRPr="005C0DF3">
        <w:t>are needed to analyze forms in literature.</w:t>
      </w:r>
      <w:r w:rsidRPr="005C0DF3">
        <w:rPr>
          <w:rStyle w:val="FootnoteReference"/>
        </w:rPr>
        <w:footnoteReference w:id="258"/>
      </w:r>
    </w:p>
    <w:p w14:paraId="371C0858" w14:textId="32F170CF" w:rsidR="0018433B" w:rsidRPr="005C0DF3" w:rsidRDefault="0018433B" w:rsidP="0018433B">
      <w:r>
        <w:tab/>
      </w:r>
      <w:r w:rsidRPr="005C0DF3">
        <w:t>Burke’s forms are justly famous for their suggestiveness; exam</w:t>
      </w:r>
      <w:r w:rsidRPr="005C0DF3">
        <w:softHyphen/>
        <w:t xml:space="preserve">ples of each type will occur to everyone who considers them. But it is not </w:t>
      </w:r>
      <w:r w:rsidRPr="005C0DF3">
        <w:softHyphen/>
        <w:t>clear that Burke intends these forms to be used in the an</w:t>
      </w:r>
      <w:r w:rsidRPr="005C0DF3">
        <w:softHyphen/>
        <w:t xml:space="preserve">alysis of discursive writing as well as </w:t>
      </w:r>
      <w:r w:rsidRPr="005C0DF3">
        <w:rPr>
          <w:i/>
        </w:rPr>
        <w:t xml:space="preserve">belles </w:t>
      </w:r>
      <w:proofErr w:type="spellStart"/>
      <w:r w:rsidRPr="005C0DF3">
        <w:rPr>
          <w:i/>
        </w:rPr>
        <w:t>lettres</w:t>
      </w:r>
      <w:proofErr w:type="spellEnd"/>
      <w:r w:rsidRPr="005C0DF3">
        <w:t>. Not only are his examples from fic</w:t>
      </w:r>
      <w:r w:rsidRPr="005C0DF3">
        <w:softHyphen/>
        <w:t>tional litera</w:t>
      </w:r>
      <w:r w:rsidRPr="005C0DF3">
        <w:softHyphen/>
        <w:t>ture</w:t>
      </w:r>
      <w:r w:rsidR="006F304D" w:rsidRPr="006F304D">
        <w:t xml:space="preserve">, </w:t>
      </w:r>
      <w:r w:rsidRPr="005C0DF3">
        <w:t>but his very defi</w:t>
      </w:r>
      <w:r w:rsidRPr="005C0DF3">
        <w:softHyphen/>
        <w:t>nition of form echoes Aris</w:t>
      </w:r>
      <w:r w:rsidRPr="005C0DF3">
        <w:softHyphen/>
        <w:t>totelian poetics: “</w:t>
      </w:r>
      <w:r w:rsidRPr="005C0DF3">
        <w:rPr>
          <w:i/>
        </w:rPr>
        <w:t>Form</w:t>
      </w:r>
      <w:r w:rsidRPr="005C0DF3">
        <w:t xml:space="preserve"> in litera</w:t>
      </w:r>
      <w:r w:rsidRPr="005C0DF3">
        <w:softHyphen/>
        <w:t>ture is an arousing and fulfill</w:t>
      </w:r>
      <w:r w:rsidRPr="005C0DF3">
        <w:softHyphen/>
        <w:t>ment of desires. A work has form in so far as one part of it leads a reader to anticipate another part</w:t>
      </w:r>
      <w:r w:rsidR="006F304D" w:rsidRPr="006F304D">
        <w:t xml:space="preserve">, </w:t>
      </w:r>
      <w:r w:rsidRPr="005C0DF3">
        <w:t>to be gratified by the sequence.”</w:t>
      </w:r>
      <w:r w:rsidRPr="005C0DF3">
        <w:rPr>
          <w:rStyle w:val="FootnoteReference"/>
        </w:rPr>
        <w:footnoteReference w:id="259"/>
      </w:r>
      <w:r w:rsidRPr="005C0DF3">
        <w:t xml:space="preserve"> Yet much of what he says </w:t>
      </w:r>
      <w:r w:rsidRPr="005C0DF3">
        <w:rPr>
          <w:i/>
        </w:rPr>
        <w:t>is</w:t>
      </w:r>
      <w:r w:rsidRPr="005C0DF3">
        <w:t xml:space="preserve"> applicable to discursive writ</w:t>
      </w:r>
      <w:r w:rsidRPr="005C0DF3">
        <w:softHyphen/>
        <w:t>ing: his concepts of syllogistic progression and repetitive form</w:t>
      </w:r>
      <w:r w:rsidR="006F304D" w:rsidRPr="006F304D">
        <w:t xml:space="preserve">, </w:t>
      </w:r>
      <w:r w:rsidRPr="005C0DF3">
        <w:t>in particu</w:t>
      </w:r>
      <w:r w:rsidRPr="005C0DF3">
        <w:softHyphen/>
        <w:t>lar</w:t>
      </w:r>
      <w:r w:rsidR="006F304D" w:rsidRPr="006F304D">
        <w:t xml:space="preserve">, </w:t>
      </w:r>
      <w:r w:rsidRPr="005C0DF3">
        <w:t>are ideas that we will return to</w:t>
      </w:r>
      <w:r w:rsidR="006F304D" w:rsidRPr="006F304D">
        <w:t xml:space="preserve">, </w:t>
      </w:r>
      <w:r w:rsidRPr="005C0DF3">
        <w:t>after consider</w:t>
      </w:r>
      <w:r w:rsidRPr="005C0DF3">
        <w:softHyphen/>
        <w:t>ing the other two attempts to clarify the sub</w:t>
      </w:r>
      <w:r w:rsidRPr="005C0DF3">
        <w:softHyphen/>
        <w:t>ject of ar</w:t>
      </w:r>
      <w:r w:rsidRPr="005C0DF3">
        <w:softHyphen/>
        <w:t>rangement in rhetoric.</w:t>
      </w:r>
    </w:p>
    <w:p w14:paraId="4978D93B" w14:textId="6EEB29FD" w:rsidR="0018433B" w:rsidRPr="005C0DF3" w:rsidRDefault="0018433B" w:rsidP="0018433B">
      <w:r>
        <w:tab/>
      </w:r>
      <w:r w:rsidRPr="005C0DF3">
        <w:t>Instead of reducing the textbook tradition’s jumble of pat</w:t>
      </w:r>
      <w:r w:rsidRPr="005C0DF3">
        <w:softHyphen/>
        <w:t>terns in</w:t>
      </w:r>
      <w:r w:rsidRPr="005C0DF3">
        <w:softHyphen/>
        <w:t>to a smaller number</w:t>
      </w:r>
      <w:r w:rsidR="006F304D" w:rsidRPr="006F304D">
        <w:t xml:space="preserve">, </w:t>
      </w:r>
      <w:r w:rsidRPr="005C0DF3">
        <w:t>as Burke has done</w:t>
      </w:r>
      <w:r w:rsidR="006F304D" w:rsidRPr="006F304D">
        <w:t xml:space="preserve">, </w:t>
      </w:r>
      <w:r w:rsidRPr="005C0DF3">
        <w:t>D’Angelo re</w:t>
      </w:r>
      <w:r w:rsidRPr="005C0DF3">
        <w:softHyphen/>
        <w:t>tains all of them and merely sorts them into categories.</w:t>
      </w:r>
      <w:r w:rsidRPr="005C0DF3">
        <w:rPr>
          <w:rStyle w:val="FootnoteReference"/>
        </w:rPr>
        <w:footnoteReference w:id="260"/>
      </w:r>
      <w:r w:rsidRPr="005C0DF3">
        <w:t xml:space="preserve"> The result </w:t>
      </w:r>
      <w:r w:rsidRPr="005C0DF3">
        <w:lastRenderedPageBreak/>
        <w:t>is four groups: stat</w:t>
      </w:r>
      <w:r w:rsidRPr="005C0DF3">
        <w:softHyphen/>
        <w:t>ic log</w:t>
      </w:r>
      <w:r w:rsidRPr="005C0DF3">
        <w:softHyphen/>
        <w:t>i</w:t>
      </w:r>
      <w:r w:rsidRPr="005C0DF3">
        <w:softHyphen/>
        <w:t>cal patterns</w:t>
      </w:r>
      <w:r w:rsidR="006F304D" w:rsidRPr="006F304D">
        <w:t xml:space="preserve">, </w:t>
      </w:r>
      <w:r w:rsidRPr="005C0DF3">
        <w:t>progressive logical patterns</w:t>
      </w:r>
      <w:r w:rsidR="006F304D" w:rsidRPr="006F304D">
        <w:t xml:space="preserve">, </w:t>
      </w:r>
      <w:r w:rsidRPr="005C0DF3">
        <w:t>repeti</w:t>
      </w:r>
      <w:r w:rsidRPr="005C0DF3">
        <w:softHyphen/>
        <w:t>tive log</w:t>
      </w:r>
      <w:r w:rsidRPr="005C0DF3">
        <w:softHyphen/>
        <w:t>ical pat</w:t>
      </w:r>
      <w:r w:rsidRPr="005C0DF3">
        <w:softHyphen/>
        <w:t>terns</w:t>
      </w:r>
      <w:r w:rsidR="006F304D" w:rsidRPr="006F304D">
        <w:t xml:space="preserve">, </w:t>
      </w:r>
      <w:r w:rsidRPr="005C0DF3">
        <w:t>and nonlogical patterns. The static patterns are des</w:t>
      </w:r>
      <w:r w:rsidRPr="005C0DF3">
        <w:softHyphen/>
        <w:t>crip</w:t>
      </w:r>
      <w:r w:rsidRPr="005C0DF3">
        <w:softHyphen/>
        <w:t>tion</w:t>
      </w:r>
      <w:r w:rsidR="006F304D" w:rsidRPr="006F304D">
        <w:t xml:space="preserve">, </w:t>
      </w:r>
      <w:r w:rsidRPr="005C0DF3">
        <w:t>defini</w:t>
      </w:r>
      <w:r w:rsidRPr="005C0DF3">
        <w:softHyphen/>
        <w:t>tion</w:t>
      </w:r>
      <w:r w:rsidR="006F304D" w:rsidRPr="006F304D">
        <w:t xml:space="preserve">, </w:t>
      </w:r>
      <w:r w:rsidRPr="005C0DF3">
        <w:t>divi</w:t>
      </w:r>
      <w:r w:rsidRPr="005C0DF3">
        <w:softHyphen/>
        <w:t>sion (either partition or enumera</w:t>
      </w:r>
      <w:r w:rsidRPr="005C0DF3">
        <w:softHyphen/>
        <w:t>tion)</w:t>
      </w:r>
      <w:r w:rsidR="006F304D" w:rsidRPr="006F304D">
        <w:t xml:space="preserve">, </w:t>
      </w:r>
      <w:r w:rsidRPr="005C0DF3">
        <w:t>clas</w:t>
      </w:r>
      <w:r w:rsidRPr="005C0DF3">
        <w:softHyphen/>
        <w:t>sifica</w:t>
      </w:r>
      <w:r w:rsidRPr="005C0DF3">
        <w:softHyphen/>
        <w:t>tion</w:t>
      </w:r>
      <w:r w:rsidR="006F304D" w:rsidRPr="006F304D">
        <w:t xml:space="preserve">, </w:t>
      </w:r>
      <w:r w:rsidRPr="005C0DF3">
        <w:t>exem</w:t>
      </w:r>
      <w:r w:rsidRPr="005C0DF3">
        <w:softHyphen/>
        <w:t>plifica</w:t>
      </w:r>
      <w:r w:rsidRPr="005C0DF3">
        <w:softHyphen/>
        <w:t>tion</w:t>
      </w:r>
      <w:r w:rsidR="006F304D" w:rsidRPr="006F304D">
        <w:t xml:space="preserve">, </w:t>
      </w:r>
      <w:r w:rsidRPr="005C0DF3">
        <w:t>and com</w:t>
      </w:r>
      <w:r w:rsidRPr="005C0DF3">
        <w:softHyphen/>
        <w:t>parison and con</w:t>
      </w:r>
      <w:r w:rsidRPr="005C0DF3">
        <w:softHyphen/>
        <w:t>trast.</w:t>
      </w:r>
      <w:r w:rsidRPr="005C0DF3">
        <w:rPr>
          <w:rStyle w:val="FootnoteReference"/>
        </w:rPr>
        <w:footnoteReference w:id="261"/>
      </w:r>
      <w:r w:rsidRPr="005C0DF3">
        <w:t xml:space="preserve"> The progressive pat</w:t>
      </w:r>
      <w:r w:rsidRPr="005C0DF3">
        <w:softHyphen/>
        <w:t>terns are nar</w:t>
      </w:r>
      <w:r w:rsidRPr="005C0DF3">
        <w:softHyphen/>
        <w:t>ration</w:t>
      </w:r>
      <w:r w:rsidR="006F304D" w:rsidRPr="006F304D">
        <w:t xml:space="preserve">, </w:t>
      </w:r>
      <w:r w:rsidRPr="005C0DF3">
        <w:t>pro</w:t>
      </w:r>
      <w:r w:rsidRPr="005C0DF3">
        <w:softHyphen/>
        <w:t>cess</w:t>
      </w:r>
      <w:r w:rsidR="006F304D" w:rsidRPr="006F304D">
        <w:t xml:space="preserve">, </w:t>
      </w:r>
      <w:r w:rsidRPr="005C0DF3">
        <w:t>cause and effect</w:t>
      </w:r>
      <w:r w:rsidR="006F304D" w:rsidRPr="006F304D">
        <w:t xml:space="preserve">, </w:t>
      </w:r>
      <w:r w:rsidRPr="005C0DF3">
        <w:t>and syl</w:t>
      </w:r>
      <w:r w:rsidRPr="005C0DF3">
        <w:softHyphen/>
        <w:t>logistic progres</w:t>
      </w:r>
      <w:r w:rsidRPr="005C0DF3">
        <w:softHyphen/>
        <w:t>sion. The repeti</w:t>
      </w:r>
      <w:r w:rsidRPr="005C0DF3">
        <w:softHyphen/>
        <w:t>tive pat</w:t>
      </w:r>
      <w:r w:rsidRPr="005C0DF3">
        <w:softHyphen/>
        <w:t>terns are iteration</w:t>
      </w:r>
      <w:r w:rsidR="006F304D" w:rsidRPr="006F304D">
        <w:t xml:space="preserve">, </w:t>
      </w:r>
      <w:r w:rsidRPr="005C0DF3">
        <w:t>nega</w:t>
      </w:r>
      <w:r w:rsidRPr="005C0DF3">
        <w:softHyphen/>
        <w:t>tion</w:t>
      </w:r>
      <w:r w:rsidR="006F304D" w:rsidRPr="006F304D">
        <w:t xml:space="preserve">, </w:t>
      </w:r>
      <w:r w:rsidRPr="005C0DF3">
        <w:t>and alterna</w:t>
      </w:r>
      <w:r w:rsidRPr="005C0DF3">
        <w:softHyphen/>
        <w:t>tion. The nonlog</w:t>
      </w:r>
      <w:r w:rsidRPr="005C0DF3">
        <w:softHyphen/>
        <w:t>ical pat</w:t>
      </w:r>
      <w:r w:rsidRPr="005C0DF3">
        <w:softHyphen/>
        <w:t>terns are fanta</w:t>
      </w:r>
      <w:r w:rsidRPr="005C0DF3">
        <w:softHyphen/>
        <w:t>sy</w:t>
      </w:r>
      <w:r w:rsidR="006F304D" w:rsidRPr="006F304D">
        <w:t xml:space="preserve">, </w:t>
      </w:r>
      <w:r w:rsidRPr="005C0DF3">
        <w:t>hallucina</w:t>
      </w:r>
      <w:r w:rsidRPr="005C0DF3">
        <w:softHyphen/>
        <w:t>tion</w:t>
      </w:r>
      <w:r w:rsidR="006F304D" w:rsidRPr="006F304D">
        <w:t xml:space="preserve">, </w:t>
      </w:r>
      <w:r w:rsidRPr="005C0DF3">
        <w:t>dream</w:t>
      </w:r>
      <w:r w:rsidR="006F304D" w:rsidRPr="006F304D">
        <w:t xml:space="preserve">, </w:t>
      </w:r>
      <w:r w:rsidRPr="005C0DF3">
        <w:t>reverie</w:t>
      </w:r>
      <w:r w:rsidR="006F304D" w:rsidRPr="006F304D">
        <w:t xml:space="preserve">, </w:t>
      </w:r>
      <w:r w:rsidRPr="005C0DF3">
        <w:t>vision</w:t>
      </w:r>
      <w:r w:rsidR="006F304D" w:rsidRPr="006F304D">
        <w:t xml:space="preserve">, </w:t>
      </w:r>
      <w:r w:rsidRPr="005C0DF3">
        <w:t>trance</w:t>
      </w:r>
      <w:r w:rsidR="006F304D" w:rsidRPr="006F304D">
        <w:t xml:space="preserve">, </w:t>
      </w:r>
      <w:r w:rsidRPr="005C0DF3">
        <w:t>and medita</w:t>
      </w:r>
      <w:r w:rsidRPr="005C0DF3">
        <w:softHyphen/>
        <w:t>tion.</w:t>
      </w:r>
      <w:r w:rsidRPr="005C0DF3">
        <w:rPr>
          <w:rStyle w:val="FootnoteReference"/>
        </w:rPr>
        <w:footnoteReference w:id="262"/>
      </w:r>
    </w:p>
    <w:p w14:paraId="3C328E4A" w14:textId="004BA549" w:rsidR="0018433B" w:rsidRPr="005C0DF3" w:rsidRDefault="0018433B" w:rsidP="0018433B">
      <w:r>
        <w:tab/>
      </w:r>
      <w:r w:rsidRPr="005C0DF3">
        <w:t>D’Angelo acknowledges his debt to Burke (“syllogistic progres</w:t>
      </w:r>
      <w:r w:rsidRPr="005C0DF3">
        <w:softHyphen/>
        <w:t>sion,” “repetitive patterns,” etc.)</w:t>
      </w:r>
      <w:r w:rsidR="006F304D" w:rsidRPr="006F304D">
        <w:t xml:space="preserve">, </w:t>
      </w:r>
      <w:r w:rsidRPr="005C0DF3">
        <w:t xml:space="preserve">but his </w:t>
      </w:r>
      <w:r w:rsidRPr="005C0DF3">
        <w:softHyphen/>
        <w:t xml:space="preserve">categories seem to me less useful than Burke’s. </w:t>
      </w:r>
      <w:r w:rsidRPr="005C0DF3">
        <w:softHyphen/>
        <w:t>For one thing</w:t>
      </w:r>
      <w:r w:rsidR="006F304D" w:rsidRPr="006F304D">
        <w:t xml:space="preserve">, </w:t>
      </w:r>
      <w:r w:rsidRPr="005C0DF3">
        <w:t>the “no</w:t>
      </w:r>
      <w:r w:rsidRPr="005C0DF3">
        <w:softHyphen/>
        <w:t>nlogical patterns” seem out of place; ap</w:t>
      </w:r>
      <w:r w:rsidRPr="005C0DF3">
        <w:softHyphen/>
        <w:t>par</w:t>
      </w:r>
      <w:r w:rsidRPr="005C0DF3">
        <w:softHyphen/>
        <w:t>ently D’Angelo incorporates them because he is thinking of fictional rather than nonfictional struc</w:t>
      </w:r>
      <w:r w:rsidRPr="005C0DF3">
        <w:softHyphen/>
        <w:t>tures</w:t>
      </w:r>
      <w:r w:rsidR="006F304D" w:rsidRPr="006F304D">
        <w:t xml:space="preserve">, </w:t>
      </w:r>
      <w:r w:rsidRPr="005C0DF3">
        <w:t>and his “nonlogi</w:t>
      </w:r>
      <w:r w:rsidRPr="005C0DF3">
        <w:softHyphen/>
        <w:t xml:space="preserve">cal patterns” account for such works as Joyce’s </w:t>
      </w:r>
      <w:r w:rsidRPr="005C0DF3">
        <w:rPr>
          <w:i/>
        </w:rPr>
        <w:t>Ulysses</w:t>
      </w:r>
      <w:r w:rsidRPr="005C0DF3">
        <w:t xml:space="preserve"> and </w:t>
      </w:r>
      <w:r w:rsidRPr="005C0DF3">
        <w:rPr>
          <w:i/>
        </w:rPr>
        <w:t>Finnegan</w:t>
      </w:r>
      <w:r w:rsidRPr="005C0DF3">
        <w:t>’</w:t>
      </w:r>
      <w:r w:rsidRPr="005C0DF3">
        <w:rPr>
          <w:i/>
        </w:rPr>
        <w:t>s Wake</w:t>
      </w:r>
      <w:r w:rsidRPr="005C0DF3">
        <w:t>. Also</w:t>
      </w:r>
      <w:r w:rsidR="006F304D" w:rsidRPr="006F304D">
        <w:t xml:space="preserve">, </w:t>
      </w:r>
      <w:r w:rsidRPr="005C0DF3">
        <w:t>some of D’Angelo’s categories are confusing. He lists enu</w:t>
      </w:r>
      <w:r w:rsidRPr="005C0DF3">
        <w:softHyphen/>
        <w:t>mera</w:t>
      </w:r>
      <w:r w:rsidRPr="005C0DF3">
        <w:softHyphen/>
        <w:t>tion as a distinct type of division</w:t>
      </w:r>
      <w:r w:rsidR="006F304D" w:rsidRPr="006F304D">
        <w:t xml:space="preserve">, </w:t>
      </w:r>
      <w:r w:rsidRPr="005C0DF3">
        <w:t xml:space="preserve">yet it is not a type on an equal footing with </w:t>
      </w:r>
      <w:r w:rsidRPr="005C0DF3">
        <w:softHyphen/>
        <w:t>the other type of divi</w:t>
      </w:r>
      <w:r w:rsidRPr="005C0DF3">
        <w:softHyphen/>
        <w:t>sion</w:t>
      </w:r>
      <w:r w:rsidR="006F304D" w:rsidRPr="006F304D">
        <w:t xml:space="preserve">, </w:t>
      </w:r>
      <w:r w:rsidRPr="005C0DF3">
        <w:t>partition: it is simply partition with numbers added—a stylis</w:t>
      </w:r>
      <w:r w:rsidRPr="005C0DF3">
        <w:softHyphen/>
        <w:t>tic de</w:t>
      </w:r>
      <w:r w:rsidRPr="005C0DF3">
        <w:softHyphen/>
        <w:t>vice</w:t>
      </w:r>
      <w:r w:rsidR="006F304D" w:rsidRPr="006F304D">
        <w:t xml:space="preserve">, </w:t>
      </w:r>
      <w:r w:rsidRPr="005C0DF3">
        <w:t>not a pattern of dis</w:t>
      </w:r>
      <w:r w:rsidRPr="005C0DF3">
        <w:softHyphen/>
        <w:t>course.</w:t>
      </w:r>
      <w:r w:rsidRPr="005C0DF3">
        <w:rPr>
          <w:rStyle w:val="FootnoteReference"/>
        </w:rPr>
        <w:footnoteReference w:id="263"/>
      </w:r>
      <w:r w:rsidRPr="005C0DF3">
        <w:t xml:space="preserve"> And what is “de</w:t>
      </w:r>
      <w:r w:rsidRPr="005C0DF3">
        <w:softHyphen/>
        <w:t>scrip</w:t>
      </w:r>
      <w:r w:rsidRPr="005C0DF3">
        <w:softHyphen/>
        <w:t xml:space="preserve">tion”? How is it a </w:t>
      </w:r>
      <w:r w:rsidRPr="005C0DF3">
        <w:rPr>
          <w:i/>
        </w:rPr>
        <w:t>pattern</w:t>
      </w:r>
      <w:r w:rsidRPr="005C0DF3">
        <w:t>? What is the differ</w:t>
      </w:r>
      <w:r w:rsidRPr="005C0DF3">
        <w:softHyphen/>
        <w:t>ence between “narra</w:t>
      </w:r>
      <w:r w:rsidRPr="005C0DF3">
        <w:softHyphen/>
        <w:t>tion” and “process”? Why is cause and effect a pat</w:t>
      </w:r>
      <w:r w:rsidRPr="005C0DF3">
        <w:softHyphen/>
        <w:t>tern equal to syllo</w:t>
      </w:r>
      <w:r w:rsidRPr="005C0DF3">
        <w:softHyphen/>
        <w:t>gistic pro</w:t>
      </w:r>
      <w:r w:rsidRPr="005C0DF3">
        <w:softHyphen/>
        <w:t>gression</w:t>
      </w:r>
      <w:r w:rsidR="006F304D" w:rsidRPr="006F304D">
        <w:t xml:space="preserve">, </w:t>
      </w:r>
      <w:r w:rsidRPr="005C0DF3">
        <w:t>rather than being a subtype of syllogis</w:t>
      </w:r>
      <w:r w:rsidRPr="005C0DF3">
        <w:softHyphen/>
        <w:t>tic pro</w:t>
      </w:r>
      <w:r w:rsidRPr="005C0DF3">
        <w:softHyphen/>
        <w:t>gres</w:t>
      </w:r>
      <w:r w:rsidRPr="005C0DF3">
        <w:softHyphen/>
        <w:t>sion?</w:t>
      </w:r>
    </w:p>
    <w:p w14:paraId="7A898F43" w14:textId="39580113" w:rsidR="0018433B" w:rsidRDefault="0018433B" w:rsidP="0018433B">
      <w:r>
        <w:tab/>
      </w:r>
      <w:r w:rsidRPr="005C0DF3">
        <w:t>D’Angelo’s desire to make sense of the miscellany of tradi</w:t>
      </w:r>
      <w:r w:rsidRPr="005C0DF3">
        <w:softHyphen/>
        <w:t>tional pat</w:t>
      </w:r>
      <w:r w:rsidRPr="005C0DF3">
        <w:softHyphen/>
        <w:t>terns is laudable</w:t>
      </w:r>
      <w:r w:rsidR="006F304D" w:rsidRPr="006F304D">
        <w:t xml:space="preserve">, </w:t>
      </w:r>
      <w:r w:rsidRPr="005C0DF3">
        <w:t>but his decision to retain and merely classify them is unfor</w:t>
      </w:r>
      <w:r w:rsidRPr="005C0DF3">
        <w:softHyphen/>
        <w:t>tunate. It is all the more disappointing when one con</w:t>
      </w:r>
      <w:r w:rsidRPr="005C0DF3">
        <w:softHyphen/>
        <w:t>siders that D’Angelo</w:t>
      </w:r>
      <w:r w:rsidR="006F304D" w:rsidRPr="006F304D">
        <w:t xml:space="preserve">, </w:t>
      </w:r>
      <w:r w:rsidRPr="005C0DF3">
        <w:t>of all current rhetori</w:t>
      </w:r>
      <w:r w:rsidRPr="005C0DF3">
        <w:softHyphen/>
        <w:t>cians</w:t>
      </w:r>
      <w:r w:rsidR="006F304D" w:rsidRPr="006F304D">
        <w:t xml:space="preserve">, </w:t>
      </w:r>
      <w:r w:rsidRPr="005C0DF3">
        <w:t>seems the most aware of the cen</w:t>
      </w:r>
      <w:r w:rsidRPr="005C0DF3">
        <w:softHyphen/>
        <w:t>tral</w:t>
      </w:r>
      <w:r w:rsidRPr="005C0DF3">
        <w:softHyphen/>
        <w:t>ity of structure in rhe</w:t>
      </w:r>
      <w:r w:rsidRPr="005C0DF3">
        <w:softHyphen/>
        <w:t>toric and of the possibili</w:t>
      </w:r>
      <w:r w:rsidRPr="005C0DF3">
        <w:softHyphen/>
        <w:t>ties for simpli</w:t>
      </w:r>
      <w:r w:rsidRPr="005C0DF3">
        <w:softHyphen/>
        <w:t>fi</w:t>
      </w:r>
      <w:r w:rsidRPr="005C0DF3">
        <w:softHyphen/>
        <w:t>ca</w:t>
      </w:r>
      <w:r w:rsidRPr="005C0DF3">
        <w:softHyphen/>
        <w:t>tion in the treatment of structure. His observations are so keen in this re</w:t>
      </w:r>
      <w:r w:rsidRPr="005C0DF3">
        <w:softHyphen/>
        <w:t>gard that I would like to quote them at length.</w:t>
      </w:r>
    </w:p>
    <w:p w14:paraId="0A49EA24" w14:textId="77777777" w:rsidR="0018433B" w:rsidRPr="005C0DF3" w:rsidRDefault="0018433B" w:rsidP="0018433B"/>
    <w:p w14:paraId="50A810AA" w14:textId="5C775F42" w:rsidR="0018433B" w:rsidRPr="005C0DF3" w:rsidRDefault="0018433B" w:rsidP="0018433B">
      <w:pPr>
        <w:ind w:left="720" w:right="720"/>
      </w:pPr>
      <w:r w:rsidRPr="005C0DF3">
        <w:t>Definition</w:t>
      </w:r>
      <w:r w:rsidR="006F304D" w:rsidRPr="006F304D">
        <w:t xml:space="preserve">, </w:t>
      </w:r>
      <w:r w:rsidRPr="005C0DF3">
        <w:t>division into parts</w:t>
      </w:r>
      <w:r w:rsidR="006F304D" w:rsidRPr="006F304D">
        <w:t xml:space="preserve">, </w:t>
      </w:r>
      <w:r w:rsidRPr="005C0DF3">
        <w:t>and classification share funda</w:t>
      </w:r>
      <w:r w:rsidRPr="005C0DF3">
        <w:softHyphen/>
        <w:t>men</w:t>
      </w:r>
      <w:r w:rsidRPr="005C0DF3">
        <w:softHyphen/>
        <w:t>tal rela</w:t>
      </w:r>
      <w:r w:rsidRPr="005C0DF3">
        <w:softHyphen/>
        <w:t>tionships: to define is to limit or set boundaries to a thing by separating it from other things (divi</w:t>
      </w:r>
      <w:r w:rsidRPr="005C0DF3">
        <w:softHyphen/>
        <w:t>sion); to define is to put the thing to be defined into a class (classification); to classify is to divide into categories</w:t>
      </w:r>
      <w:r w:rsidR="006F304D" w:rsidRPr="006F304D">
        <w:t xml:space="preserve">, </w:t>
      </w:r>
      <w:r w:rsidRPr="005C0DF3">
        <w:t>so classification and divi</w:t>
      </w:r>
      <w:r w:rsidRPr="005C0DF3">
        <w:softHyphen/>
        <w:t>sion are related categories. Exemplification is re</w:t>
      </w:r>
      <w:r w:rsidRPr="005C0DF3">
        <w:softHyphen/>
        <w:t>lated to defini</w:t>
      </w:r>
      <w:r w:rsidRPr="005C0DF3">
        <w:softHyphen/>
        <w:t>tion (giving examples is one way of defining)</w:t>
      </w:r>
      <w:r w:rsidR="006F304D" w:rsidRPr="006F304D">
        <w:t xml:space="preserve">, </w:t>
      </w:r>
      <w:r w:rsidRPr="005C0DF3">
        <w:t>to division in parts (examples are parts of wholes)</w:t>
      </w:r>
      <w:r w:rsidR="006F304D" w:rsidRPr="006F304D">
        <w:t xml:space="preserve">, </w:t>
      </w:r>
      <w:r w:rsidRPr="005C0DF3">
        <w:t>and to classi</w:t>
      </w:r>
      <w:r w:rsidRPr="005C0DF3">
        <w:softHyphen/>
        <w:t>fi</w:t>
      </w:r>
      <w:r w:rsidRPr="005C0DF3">
        <w:softHyphen/>
        <w:t>ca</w:t>
      </w:r>
      <w:r w:rsidRPr="005C0DF3">
        <w:softHyphen/>
        <w:t>tion (each exam</w:t>
      </w:r>
      <w:r w:rsidRPr="005C0DF3">
        <w:softHyphen/>
        <w:t>ple is a member of a group or class of persons and things)</w:t>
      </w:r>
      <w:r w:rsidRPr="00963D68">
        <w:t>. . . .</w:t>
      </w:r>
      <w:r w:rsidRPr="005C0DF3">
        <w:t xml:space="preserve"> classification is based on grouping similar things; division into parts is based on differences. Thus there is a relationship between the topic of classifica</w:t>
      </w:r>
      <w:r w:rsidRPr="005C0DF3">
        <w:softHyphen/>
        <w:t>tion and the topic of similarity and between the topic of divi</w:t>
      </w:r>
      <w:r w:rsidRPr="005C0DF3">
        <w:softHyphen/>
        <w:t>sion into parts and that of difference. Defini</w:t>
      </w:r>
      <w:r w:rsidRPr="005C0DF3">
        <w:softHyphen/>
        <w:t>tion differentiates; there</w:t>
      </w:r>
      <w:r w:rsidRPr="005C0DF3">
        <w:softHyphen/>
        <w:t>fore</w:t>
      </w:r>
      <w:r w:rsidR="006F304D" w:rsidRPr="006F304D">
        <w:t xml:space="preserve">, </w:t>
      </w:r>
      <w:r w:rsidRPr="005C0DF3">
        <w:t>this topic [also] relates to the topic of difference</w:t>
      </w:r>
      <w:r w:rsidRPr="00963D68">
        <w:t>. . . .</w:t>
      </w:r>
      <w:r w:rsidRPr="005C0DF3">
        <w:t xml:space="preserve"> Probably all of the topics operate together as a single entity in the pro</w:t>
      </w:r>
      <w:r w:rsidRPr="005C0DF3">
        <w:softHyphen/>
        <w:t xml:space="preserve">cess of composing </w:t>
      </w:r>
      <w:r w:rsidRPr="00963D68">
        <w:t>. . .</w:t>
      </w:r>
      <w:r w:rsidRPr="005C0DF3">
        <w:t xml:space="preserve"> we are really looking at a single pro</w:t>
      </w:r>
      <w:r w:rsidRPr="005C0DF3">
        <w:softHyphen/>
        <w:t xml:space="preserve">cess </w:t>
      </w:r>
      <w:r w:rsidRPr="00963D68">
        <w:t>. . .</w:t>
      </w:r>
      <w:r w:rsidRPr="005C0DF3">
        <w:rPr>
          <w:rStyle w:val="FootnoteReference"/>
        </w:rPr>
        <w:footnoteReference w:id="264"/>
      </w:r>
    </w:p>
    <w:p w14:paraId="5A941C54" w14:textId="77777777" w:rsidR="0018433B" w:rsidRDefault="0018433B" w:rsidP="0018433B"/>
    <w:p w14:paraId="7F0FA2CC" w14:textId="719A23E8" w:rsidR="0018433B" w:rsidRPr="005C0DF3" w:rsidRDefault="0018433B" w:rsidP="0018433B">
      <w:r>
        <w:tab/>
      </w:r>
      <w:r w:rsidRPr="005C0DF3">
        <w:t>If the traditional patterns are reducible to a single process</w:t>
      </w:r>
      <w:r w:rsidR="006F304D" w:rsidRPr="006F304D">
        <w:t xml:space="preserve">, </w:t>
      </w:r>
      <w:r w:rsidRPr="005C0DF3">
        <w:t>then the proper course of action is not a mere schematization of the hodgepodge</w:t>
      </w:r>
      <w:r w:rsidR="006F304D" w:rsidRPr="006F304D">
        <w:t xml:space="preserve">, </w:t>
      </w:r>
      <w:r w:rsidRPr="005C0DF3">
        <w:softHyphen/>
      </w:r>
      <w:r w:rsidRPr="005C0DF3">
        <w:softHyphen/>
        <w:t xml:space="preserve">but a determination of the nature of that single </w:t>
      </w:r>
      <w:r w:rsidRPr="005C0DF3">
        <w:lastRenderedPageBreak/>
        <w:t>process. D’Angelo seems quite close to putting his finger on it when</w:t>
      </w:r>
      <w:r w:rsidR="006F304D" w:rsidRPr="006F304D">
        <w:t xml:space="preserve">, </w:t>
      </w:r>
      <w:r w:rsidRPr="005C0DF3">
        <w:t xml:space="preserve">in the quotation </w:t>
      </w:r>
      <w:r w:rsidRPr="005C0DF3">
        <w:softHyphen/>
      </w:r>
      <w:r w:rsidRPr="005C0DF3">
        <w:softHyphen/>
        <w:t>above</w:t>
      </w:r>
      <w:r w:rsidR="006F304D" w:rsidRPr="006F304D">
        <w:t xml:space="preserve">, </w:t>
      </w:r>
      <w:r w:rsidRPr="005C0DF3">
        <w:t>he continually returns to the concept of division and continually re</w:t>
      </w:r>
      <w:r w:rsidRPr="005C0DF3">
        <w:softHyphen/>
        <w:t>peats the concepts</w:t>
      </w:r>
      <w:r w:rsidR="006F304D" w:rsidRPr="006F304D">
        <w:t xml:space="preserve">, </w:t>
      </w:r>
      <w:r w:rsidRPr="005C0DF3">
        <w:t>“similarity” and “difference.”</w:t>
      </w:r>
    </w:p>
    <w:p w14:paraId="15E5559C" w14:textId="3C69940E" w:rsidR="0018433B" w:rsidRPr="005C0DF3" w:rsidRDefault="0018433B" w:rsidP="0018433B">
      <w:r>
        <w:tab/>
      </w:r>
      <w:r w:rsidRPr="005C0DF3">
        <w:t>For is it not the case that the fundamental act in thinking is dis</w:t>
      </w:r>
      <w:r w:rsidRPr="005C0DF3">
        <w:softHyphen/>
        <w:t>crimi</w:t>
      </w:r>
      <w:r w:rsidRPr="005C0DF3">
        <w:softHyphen/>
        <w:t>na</w:t>
      </w:r>
      <w:r w:rsidRPr="005C0DF3">
        <w:softHyphen/>
        <w:t>tion? And what is discrimination</w:t>
      </w:r>
      <w:r w:rsidR="006F304D" w:rsidRPr="006F304D">
        <w:t xml:space="preserve">, </w:t>
      </w:r>
      <w:r w:rsidRPr="005C0DF3">
        <w:t>but the dividing of the one</w:t>
      </w:r>
      <w:r w:rsidR="006F304D" w:rsidRPr="006F304D">
        <w:t xml:space="preserve">, </w:t>
      </w:r>
      <w:r w:rsidRPr="005C0DF3">
        <w:t>perceived as an in</w:t>
      </w:r>
      <w:r w:rsidRPr="005C0DF3">
        <w:softHyphen/>
        <w:t>dividu</w:t>
      </w:r>
      <w:r w:rsidRPr="005C0DF3">
        <w:softHyphen/>
        <w:t>ated entity</w:t>
      </w:r>
      <w:r w:rsidR="006F304D" w:rsidRPr="006F304D">
        <w:t xml:space="preserve">, </w:t>
      </w:r>
      <w:r w:rsidRPr="005C0DF3">
        <w:t>from the many that surround it? And</w:t>
      </w:r>
      <w:r w:rsidR="006F304D" w:rsidRPr="006F304D">
        <w:t xml:space="preserve">, </w:t>
      </w:r>
      <w:r w:rsidRPr="005C0DF3">
        <w:t>finally</w:t>
      </w:r>
      <w:r w:rsidR="006F304D" w:rsidRPr="006F304D">
        <w:t xml:space="preserve">, </w:t>
      </w:r>
      <w:r w:rsidRPr="005C0DF3">
        <w:t>how is the divid</w:t>
      </w:r>
      <w:r w:rsidRPr="005C0DF3">
        <w:softHyphen/>
        <w:t>ing done</w:t>
      </w:r>
      <w:r w:rsidR="006F304D" w:rsidRPr="006F304D">
        <w:t xml:space="preserve">, </w:t>
      </w:r>
      <w:r w:rsidRPr="005C0DF3">
        <w:t>except by means of the comprehension of similarities (per</w:t>
      </w:r>
      <w:r w:rsidRPr="005C0DF3">
        <w:softHyphen/>
        <w:t>ceived as being interior to and constitutive of the entity) and differences (perceived as being ex</w:t>
      </w:r>
      <w:r w:rsidRPr="005C0DF3">
        <w:softHyphen/>
        <w:t>ternal to and differentiated from the en</w:t>
      </w:r>
      <w:r w:rsidRPr="005C0DF3">
        <w:softHyphen/>
        <w:t>tity)?</w:t>
      </w:r>
    </w:p>
    <w:p w14:paraId="1A1211EC" w14:textId="09E96684" w:rsidR="0018433B" w:rsidRPr="005C0DF3" w:rsidRDefault="0018433B" w:rsidP="0018433B">
      <w:r>
        <w:tab/>
      </w:r>
      <w:r w:rsidRPr="005C0DF3">
        <w:t>This basic insight has been remarked upon by others. Kief</w:t>
      </w:r>
      <w:r w:rsidRPr="005C0DF3">
        <w:softHyphen/>
        <w:t>fer</w:t>
      </w:r>
      <w:r w:rsidR="006F304D" w:rsidRPr="006F304D">
        <w:t xml:space="preserve">, </w:t>
      </w:r>
      <w:r w:rsidRPr="005C0DF3">
        <w:t>treating structure in exegetical method</w:t>
      </w:r>
      <w:r w:rsidR="006F304D" w:rsidRPr="006F304D">
        <w:t xml:space="preserve">, </w:t>
      </w:r>
      <w:r w:rsidRPr="005C0DF3">
        <w:t xml:space="preserve">notes that “The problem of ‘the many’ and ‘the one,’ already treated profoundly by Plato in the </w:t>
      </w:r>
      <w:r w:rsidRPr="005C0DF3">
        <w:rPr>
          <w:i/>
        </w:rPr>
        <w:t>Sophist</w:t>
      </w:r>
      <w:r w:rsidRPr="005C0DF3">
        <w:t xml:space="preserve"> and the </w:t>
      </w:r>
      <w:r w:rsidRPr="005C0DF3">
        <w:rPr>
          <w:i/>
        </w:rPr>
        <w:t>Parmenides</w:t>
      </w:r>
      <w:r w:rsidR="006F304D" w:rsidRPr="006F304D">
        <w:t xml:space="preserve">, </w:t>
      </w:r>
      <w:r w:rsidRPr="005C0DF3">
        <w:t>is always at the center of these reflec</w:t>
      </w:r>
      <w:r w:rsidRPr="005C0DF3">
        <w:softHyphen/>
        <w:t>tions on ‘that which is.’”</w:t>
      </w:r>
      <w:r w:rsidRPr="005C0DF3">
        <w:rPr>
          <w:rStyle w:val="FootnoteReference"/>
        </w:rPr>
        <w:footnoteReference w:id="265"/>
      </w:r>
      <w:r w:rsidRPr="005C0DF3">
        <w:t xml:space="preserve"> In mu</w:t>
      </w:r>
      <w:r w:rsidRPr="005C0DF3">
        <w:softHyphen/>
        <w:t>sic</w:t>
      </w:r>
      <w:r w:rsidR="006F304D" w:rsidRPr="006F304D">
        <w:t xml:space="preserve">, </w:t>
      </w:r>
      <w:r w:rsidRPr="005C0DF3">
        <w:t>Chávez points out</w:t>
      </w:r>
      <w:r w:rsidR="006F304D" w:rsidRPr="006F304D">
        <w:t xml:space="preserve">, </w:t>
      </w:r>
      <w:r w:rsidRPr="005C0DF3">
        <w:t>“The notion of form implies that of an entity—a being—a uni</w:t>
      </w:r>
      <w:r w:rsidRPr="005C0DF3">
        <w:softHyphen/>
        <w:t>ty limited in space or time”;</w:t>
      </w:r>
      <w:r w:rsidRPr="005C0DF3">
        <w:rPr>
          <w:rStyle w:val="FootnoteReference"/>
        </w:rPr>
        <w:footnoteReference w:id="266"/>
      </w:r>
      <w:r w:rsidRPr="005C0DF3">
        <w:t xml:space="preserve"> and Meyer </w:t>
      </w:r>
      <w:r w:rsidRPr="005C0DF3">
        <w:softHyphen/>
        <w:t>suggests that “The delinea</w:t>
      </w:r>
      <w:r w:rsidRPr="005C0DF3">
        <w:softHyphen/>
        <w:t>tion of musical pat</w:t>
      </w:r>
      <w:r w:rsidRPr="005C0DF3">
        <w:softHyphen/>
        <w:t xml:space="preserve">terns is the result of </w:t>
      </w:r>
      <w:r w:rsidRPr="00963D68">
        <w:t>. . .</w:t>
      </w:r>
      <w:r w:rsidRPr="005C0DF3">
        <w:t xml:space="preserve"> the pres</w:t>
      </w:r>
      <w:r w:rsidRPr="005C0DF3">
        <w:softHyphen/>
        <w:t>ence of similarity and dif</w:t>
      </w:r>
      <w:r w:rsidRPr="005C0DF3">
        <w:softHyphen/>
        <w:t>fer</w:t>
      </w:r>
      <w:r w:rsidRPr="005C0DF3">
        <w:softHyphen/>
        <w:t>ence be</w:t>
      </w:r>
      <w:r w:rsidRPr="005C0DF3">
        <w:softHyphen/>
        <w:t>tween succes</w:t>
      </w:r>
      <w:r w:rsidRPr="005C0DF3">
        <w:softHyphen/>
        <w:t xml:space="preserve">sive events </w:t>
      </w:r>
      <w:r w:rsidRPr="00963D68">
        <w:t>. . .</w:t>
      </w:r>
      <w:r w:rsidRPr="005C0DF3">
        <w:t>”</w:t>
      </w:r>
      <w:r w:rsidRPr="005C0DF3">
        <w:rPr>
          <w:rStyle w:val="FootnoteReference"/>
        </w:rPr>
        <w:footnoteReference w:id="267"/>
      </w:r>
      <w:r w:rsidRPr="005C0DF3">
        <w:t xml:space="preserve"> Burke him</w:t>
      </w:r>
      <w:r w:rsidRPr="005C0DF3">
        <w:softHyphen/>
        <w:t>self remarks: “co-existent unity and di</w:t>
      </w:r>
      <w:r w:rsidRPr="005C0DF3">
        <w:softHyphen/>
        <w:t>ver</w:t>
      </w:r>
      <w:r w:rsidRPr="005C0DF3">
        <w:softHyphen/>
        <w:t>sity—’some</w:t>
      </w:r>
      <w:r w:rsidRPr="005C0DF3">
        <w:softHyphen/>
        <w:t>thing’ in rela</w:t>
      </w:r>
      <w:r w:rsidRPr="005C0DF3">
        <w:softHyphen/>
        <w:t>tion to ‘some</w:t>
      </w:r>
      <w:r w:rsidRPr="005C0DF3">
        <w:softHyphen/>
        <w:t>thing else’—</w:t>
      </w:r>
      <w:r w:rsidRPr="00963D68">
        <w:t>. . .</w:t>
      </w:r>
      <w:r w:rsidRPr="005C0DF3">
        <w:t xml:space="preserve"> is probably the basic distinc</w:t>
      </w:r>
      <w:r w:rsidRPr="005C0DF3">
        <w:softHyphen/>
        <w:t>tion of our ear</w:t>
      </w:r>
      <w:r w:rsidRPr="005C0DF3">
        <w:softHyphen/>
        <w:t>liest percep</w:t>
      </w:r>
      <w:r w:rsidRPr="005C0DF3">
        <w:softHyphen/>
        <w:t>tions.”</w:t>
      </w:r>
      <w:r w:rsidRPr="005C0DF3">
        <w:rPr>
          <w:rStyle w:val="FootnoteReference"/>
        </w:rPr>
        <w:footnoteReference w:id="268"/>
      </w:r>
    </w:p>
    <w:p w14:paraId="424652D1" w14:textId="2638AFCB" w:rsidR="0018433B" w:rsidRPr="005C0DF3" w:rsidRDefault="0018433B" w:rsidP="0018433B">
      <w:r>
        <w:tab/>
      </w:r>
      <w:r w:rsidRPr="005C0DF3">
        <w:t>Division based on similarity and difference is the basic structural act. Imag</w:t>
      </w:r>
      <w:r w:rsidRPr="005C0DF3">
        <w:softHyphen/>
        <w:t>ine</w:t>
      </w:r>
      <w:r w:rsidR="006F304D" w:rsidRPr="006F304D">
        <w:t xml:space="preserve">, </w:t>
      </w:r>
      <w:r w:rsidRPr="005C0DF3">
        <w:t>for instance</w:t>
      </w:r>
      <w:r w:rsidR="006F304D" w:rsidRPr="006F304D">
        <w:t xml:space="preserve">, </w:t>
      </w:r>
      <w:r w:rsidRPr="005C0DF3">
        <w:t>that a perceiver is looking at—to pick a homely ex</w:t>
      </w:r>
      <w:r w:rsidRPr="005C0DF3">
        <w:softHyphen/>
        <w:t>ample—a frog on a lily</w:t>
      </w:r>
      <w:r>
        <w:t xml:space="preserve"> </w:t>
      </w:r>
      <w:r w:rsidRPr="005C0DF3">
        <w:t>pad. How does he distin</w:t>
      </w:r>
      <w:r w:rsidRPr="005C0DF3">
        <w:softHyphen/>
        <w:t>guish the one from the other? He notices that the richer shade of green on the lily</w:t>
      </w:r>
      <w:r>
        <w:t xml:space="preserve"> </w:t>
      </w:r>
      <w:r w:rsidRPr="005C0DF3">
        <w:t>pad ceases along the out</w:t>
      </w:r>
      <w:r w:rsidRPr="005C0DF3">
        <w:softHyphen/>
        <w:t>line of the frog’s body; that all parts of the frog launch them</w:t>
      </w:r>
      <w:r w:rsidRPr="005C0DF3">
        <w:softHyphen/>
        <w:t>selves together</w:t>
      </w:r>
      <w:r w:rsidR="006F304D" w:rsidRPr="006F304D">
        <w:t xml:space="preserve">, </w:t>
      </w:r>
      <w:r w:rsidRPr="005C0DF3">
        <w:t>while all parts of the lily</w:t>
      </w:r>
      <w:r>
        <w:t xml:space="preserve"> </w:t>
      </w:r>
      <w:r w:rsidRPr="005C0DF3">
        <w:t>pad remain; and so on. All points of the lily</w:t>
      </w:r>
      <w:r>
        <w:t xml:space="preserve"> </w:t>
      </w:r>
      <w:r w:rsidRPr="005C0DF3">
        <w:t>pad share certain similarities and share certain differences from the frog</w:t>
      </w:r>
      <w:r w:rsidR="006F304D" w:rsidRPr="006F304D">
        <w:t xml:space="preserve">, </w:t>
      </w:r>
      <w:r w:rsidRPr="005C0DF3">
        <w:t>and vice versa; thus the recognition of similarity and difference results in divi</w:t>
      </w:r>
      <w:r w:rsidRPr="005C0DF3">
        <w:softHyphen/>
        <w:t xml:space="preserve">sion. </w:t>
      </w:r>
      <w:r>
        <w:t xml:space="preserve">Another example: </w:t>
      </w:r>
      <w:r w:rsidRPr="005C0DF3">
        <w:t>how does a perceiver distin</w:t>
      </w:r>
      <w:r w:rsidRPr="005C0DF3">
        <w:softHyphen/>
        <w:t>guish the eye of a frog from the rest of its body? Every</w:t>
      </w:r>
      <w:r w:rsidRPr="005C0DF3">
        <w:softHyphen/>
        <w:t>thing inside the cir</w:t>
      </w:r>
      <w:r w:rsidRPr="005C0DF3">
        <w:softHyphen/>
        <w:t>cle of the eye seems metallic</w:t>
      </w:r>
      <w:r w:rsidR="006F304D" w:rsidRPr="006F304D">
        <w:t xml:space="preserve">, </w:t>
      </w:r>
      <w:r w:rsidRPr="005C0DF3">
        <w:softHyphen/>
      </w:r>
      <w:r w:rsidRPr="005C0DF3">
        <w:softHyphen/>
        <w:t>is matched by the other eye</w:t>
      </w:r>
      <w:r w:rsidR="006F304D" w:rsidRPr="006F304D">
        <w:t xml:space="preserve">, </w:t>
      </w:r>
      <w:r w:rsidRPr="005C0DF3">
        <w:t>moves to</w:t>
      </w:r>
      <w:r w:rsidRPr="005C0DF3">
        <w:softHyphen/>
        <w:t>gether</w:t>
      </w:r>
      <w:r w:rsidR="006F304D" w:rsidRPr="006F304D">
        <w:t xml:space="preserve">, </w:t>
      </w:r>
      <w:r w:rsidRPr="005C0DF3">
        <w:t>etc. Again: simi</w:t>
      </w:r>
      <w:r w:rsidRPr="005C0DF3">
        <w:softHyphen/>
        <w:t>lari</w:t>
      </w:r>
      <w:r w:rsidRPr="005C0DF3">
        <w:softHyphen/>
        <w:t>ty and difference result in division.</w:t>
      </w:r>
    </w:p>
    <w:p w14:paraId="1EE3EBBA" w14:textId="5516A964" w:rsidR="0018433B" w:rsidRPr="005C0DF3" w:rsidRDefault="0018433B" w:rsidP="0018433B">
      <w:r>
        <w:tab/>
      </w:r>
      <w:r w:rsidRPr="005C0DF3">
        <w:t xml:space="preserve">Yet division into parts does not immediately result in structure. </w:t>
      </w:r>
      <w:r w:rsidRPr="005C0DF3">
        <w:softHyphen/>
        <w:t>One may dis</w:t>
      </w:r>
      <w:r w:rsidRPr="005C0DF3">
        <w:softHyphen/>
        <w:t>tinguish the parts of the frog (eye</w:t>
      </w:r>
      <w:r w:rsidR="006F304D" w:rsidRPr="006F304D">
        <w:t xml:space="preserve">, </w:t>
      </w:r>
      <w:r w:rsidRPr="005C0DF3">
        <w:t>foot</w:t>
      </w:r>
      <w:r w:rsidR="006F304D" w:rsidRPr="006F304D">
        <w:t xml:space="preserve">, </w:t>
      </w:r>
      <w:r w:rsidRPr="005C0DF3">
        <w:t>etc.) and leave it a conceptually dissected mess—that is</w:t>
      </w:r>
      <w:r w:rsidR="006F304D" w:rsidRPr="006F304D">
        <w:t xml:space="preserve">, </w:t>
      </w:r>
      <w:r w:rsidRPr="005C0DF3">
        <w:t>not rec</w:t>
      </w:r>
      <w:r w:rsidRPr="005C0DF3">
        <w:softHyphen/>
        <w:t>ognize that the parts form a whole. Most of us will have had the experience of puzzling over a set of parts without recog</w:t>
      </w:r>
      <w:r w:rsidRPr="005C0DF3">
        <w:softHyphen/>
        <w:t>niz</w:t>
      </w:r>
      <w:r w:rsidRPr="005C0DF3">
        <w:softHyphen/>
        <w:t>ing the whole that they form</w:t>
      </w:r>
      <w:r w:rsidR="006F304D" w:rsidRPr="006F304D">
        <w:t xml:space="preserve">, </w:t>
      </w:r>
      <w:r w:rsidRPr="005C0DF3">
        <w:t>only to have the parts leap togeth</w:t>
      </w:r>
      <w:r w:rsidRPr="005C0DF3">
        <w:softHyphen/>
        <w:t>er</w:t>
      </w:r>
      <w:r w:rsidR="006F304D" w:rsidRPr="006F304D">
        <w:t xml:space="preserve">, </w:t>
      </w:r>
      <w:r w:rsidRPr="005C0DF3">
        <w:t>so to speak</w:t>
      </w:r>
      <w:r w:rsidR="006F304D" w:rsidRPr="006F304D">
        <w:t xml:space="preserve">, </w:t>
      </w:r>
      <w:r w:rsidRPr="005C0DF3">
        <w:t>to form an object that we recognize. I remem</w:t>
      </w:r>
      <w:r w:rsidRPr="005C0DF3">
        <w:softHyphen/>
        <w:t>ber once</w:t>
      </w:r>
      <w:r w:rsidR="006F304D" w:rsidRPr="006F304D">
        <w:t xml:space="preserve">, </w:t>
      </w:r>
      <w:r w:rsidRPr="005C0DF3">
        <w:t>stand</w:t>
      </w:r>
      <w:r w:rsidRPr="005C0DF3">
        <w:softHyphen/>
        <w:t>ing in a wood in autumn</w:t>
      </w:r>
      <w:r w:rsidR="006F304D" w:rsidRPr="006F304D">
        <w:t xml:space="preserve">, </w:t>
      </w:r>
      <w:r w:rsidRPr="005C0DF3">
        <w:t>wondering how a bright blue marble could possibly have found its way into a tan</w:t>
      </w:r>
      <w:r w:rsidRPr="005C0DF3">
        <w:softHyphen/>
        <w:t>gle of un</w:t>
      </w:r>
      <w:r w:rsidRPr="005C0DF3">
        <w:softHyphen/>
        <w:t>der</w:t>
      </w:r>
      <w:r w:rsidRPr="005C0DF3">
        <w:softHyphen/>
        <w:t>growth. Then the marble blinked</w:t>
      </w:r>
      <w:r w:rsidR="006F304D" w:rsidRPr="006F304D">
        <w:t xml:space="preserve">, </w:t>
      </w:r>
      <w:r w:rsidRPr="005C0DF3">
        <w:t>and at once the whole of the rabbit snapped into view. It seems</w:t>
      </w:r>
      <w:r w:rsidR="006F304D" w:rsidRPr="006F304D">
        <w:t xml:space="preserve">, </w:t>
      </w:r>
      <w:r w:rsidRPr="005C0DF3">
        <w:t>then</w:t>
      </w:r>
      <w:r w:rsidR="006F304D" w:rsidRPr="006F304D">
        <w:t xml:space="preserve">, </w:t>
      </w:r>
      <w:r w:rsidRPr="005C0DF3">
        <w:t>that a fur</w:t>
      </w:r>
      <w:r w:rsidRPr="005C0DF3">
        <w:softHyphen/>
        <w:t>ther act of the mind</w:t>
      </w:r>
      <w:r w:rsidR="006F304D" w:rsidRPr="006F304D">
        <w:t xml:space="preserve">, </w:t>
      </w:r>
      <w:r w:rsidRPr="005C0DF3">
        <w:t>beyond that of division based on simi</w:t>
      </w:r>
      <w:r w:rsidRPr="005C0DF3">
        <w:softHyphen/>
        <w:t>larity and difference</w:t>
      </w:r>
      <w:r w:rsidR="006F304D" w:rsidRPr="006F304D">
        <w:t xml:space="preserve">, </w:t>
      </w:r>
      <w:r w:rsidRPr="005C0DF3">
        <w:t>is re</w:t>
      </w:r>
      <w:r w:rsidRPr="005C0DF3">
        <w:softHyphen/>
        <w:t>quired to co</w:t>
      </w:r>
      <w:r w:rsidRPr="005C0DF3">
        <w:softHyphen/>
        <w:t>here parts into a uni</w:t>
      </w:r>
      <w:r w:rsidRPr="005C0DF3">
        <w:softHyphen/>
        <w:t>ty. This fur</w:t>
      </w:r>
      <w:r w:rsidRPr="005C0DF3">
        <w:softHyphen/>
        <w:t>ther act is the recog</w:t>
      </w:r>
      <w:r w:rsidRPr="005C0DF3">
        <w:softHyphen/>
        <w:t>ni</w:t>
      </w:r>
      <w:r w:rsidRPr="005C0DF3">
        <w:softHyphen/>
        <w:t xml:space="preserve">tion of </w:t>
      </w:r>
      <w:r w:rsidRPr="005C0DF3">
        <w:rPr>
          <w:i/>
        </w:rPr>
        <w:t>hierar</w:t>
      </w:r>
      <w:r w:rsidRPr="005C0DF3">
        <w:rPr>
          <w:i/>
        </w:rPr>
        <w:softHyphen/>
        <w:t>chy</w:t>
      </w:r>
      <w:r w:rsidR="006F304D" w:rsidRPr="006F304D">
        <w:t xml:space="preserve">, </w:t>
      </w:r>
      <w:r w:rsidRPr="005C0DF3">
        <w:t xml:space="preserve">the perception </w:t>
      </w:r>
      <w:r w:rsidRPr="005C0DF3">
        <w:softHyphen/>
        <w:t>that some things are coordi</w:t>
      </w:r>
      <w:r w:rsidRPr="005C0DF3">
        <w:softHyphen/>
        <w:t>nate (parts in relation to each other)</w:t>
      </w:r>
      <w:r w:rsidR="006F304D" w:rsidRPr="006F304D">
        <w:t xml:space="preserve">, </w:t>
      </w:r>
      <w:r w:rsidRPr="005C0DF3">
        <w:t>and some things are subor</w:t>
      </w:r>
      <w:r w:rsidRPr="005C0DF3">
        <w:softHyphen/>
        <w:t>dinate (parts in relation to the whole). Two fundamental principles of logical outlining</w:t>
      </w:r>
      <w:r w:rsidR="006F304D" w:rsidRPr="006F304D">
        <w:t xml:space="preserve">, </w:t>
      </w:r>
      <w:r w:rsidRPr="005C0DF3">
        <w:t>then</w:t>
      </w:r>
      <w:r w:rsidR="006F304D" w:rsidRPr="006F304D">
        <w:t xml:space="preserve">, </w:t>
      </w:r>
      <w:r w:rsidRPr="005C0DF3">
        <w:t xml:space="preserve">should be the coordination </w:t>
      </w:r>
      <w:r>
        <w:t xml:space="preserve">and </w:t>
      </w:r>
      <w:r w:rsidRPr="005C0DF3">
        <w:t>subordination of ideas in a text.</w:t>
      </w:r>
    </w:p>
    <w:p w14:paraId="28D70335" w14:textId="69C039E2" w:rsidR="0018433B" w:rsidRDefault="0018433B" w:rsidP="0018433B">
      <w:r>
        <w:tab/>
      </w:r>
      <w:r w:rsidRPr="005C0DF3">
        <w:t>One rhetorician who has taken advantage of this crucial in</w:t>
      </w:r>
      <w:r w:rsidRPr="005C0DF3">
        <w:softHyphen/>
        <w:t>sight to as</w:t>
      </w:r>
      <w:r w:rsidRPr="005C0DF3">
        <w:softHyphen/>
        <w:t>sess structure in rhetori</w:t>
      </w:r>
      <w:r w:rsidRPr="005C0DF3">
        <w:softHyphen/>
        <w:t>cal texts is Francis Christen</w:t>
      </w:r>
      <w:r w:rsidRPr="005C0DF3">
        <w:softHyphen/>
        <w:t>sen.</w:t>
      </w:r>
      <w:r w:rsidRPr="005C0DF3">
        <w:rPr>
          <w:rStyle w:val="FootnoteReference"/>
        </w:rPr>
        <w:footnoteReference w:id="269"/>
      </w:r>
      <w:r w:rsidRPr="005C0DF3">
        <w:t xml:space="preserve"> Accord</w:t>
      </w:r>
      <w:r w:rsidRPr="005C0DF3">
        <w:softHyphen/>
        <w:t>ing to Christen</w:t>
      </w:r>
      <w:r w:rsidRPr="005C0DF3">
        <w:softHyphen/>
        <w:t>sen</w:t>
      </w:r>
      <w:r w:rsidR="006F304D" w:rsidRPr="006F304D">
        <w:t xml:space="preserve">, </w:t>
      </w:r>
      <w:r w:rsidRPr="005C0DF3">
        <w:t xml:space="preserve">the relations of elements at the </w:t>
      </w:r>
      <w:r w:rsidRPr="005C0DF3">
        <w:lastRenderedPageBreak/>
        <w:t>same level (</w:t>
      </w:r>
      <w:r w:rsidR="00775F9B" w:rsidRPr="00775F9B">
        <w:rPr>
          <w:iCs/>
        </w:rPr>
        <w:t>i.e.</w:t>
      </w:r>
      <w:r w:rsidR="006F304D" w:rsidRPr="006F304D">
        <w:t xml:space="preserve">, </w:t>
      </w:r>
      <w:r w:rsidRPr="005C0DF3">
        <w:t>of words in a sentence</w:t>
      </w:r>
      <w:r w:rsidR="006F304D" w:rsidRPr="006F304D">
        <w:t xml:space="preserve">, </w:t>
      </w:r>
      <w:r>
        <w:t xml:space="preserve">or </w:t>
      </w:r>
      <w:r w:rsidRPr="005C0DF3">
        <w:t>of sentences in a para</w:t>
      </w:r>
      <w:r w:rsidRPr="005C0DF3">
        <w:softHyphen/>
        <w:t>graph</w:t>
      </w:r>
      <w:r w:rsidR="006F304D" w:rsidRPr="006F304D">
        <w:t xml:space="preserve">, </w:t>
      </w:r>
      <w:r>
        <w:t xml:space="preserve">or </w:t>
      </w:r>
      <w:r w:rsidRPr="005C0DF3">
        <w:t>of paragraphs in a section</w:t>
      </w:r>
      <w:r w:rsidR="006F304D" w:rsidRPr="006F304D">
        <w:t xml:space="preserve">, </w:t>
      </w:r>
      <w:r>
        <w:t xml:space="preserve">or </w:t>
      </w:r>
      <w:r w:rsidRPr="005C0DF3">
        <w:t>of sec</w:t>
      </w:r>
      <w:r w:rsidRPr="005C0DF3">
        <w:softHyphen/>
        <w:t>tions in a whole text) are explicable structurally by means of co</w:t>
      </w:r>
      <w:r w:rsidRPr="005C0DF3">
        <w:softHyphen/>
        <w:t>or</w:t>
      </w:r>
      <w:r w:rsidRPr="005C0DF3">
        <w:softHyphen/>
      </w:r>
      <w:r w:rsidRPr="005C0DF3">
        <w:softHyphen/>
        <w:t>dina</w:t>
      </w:r>
      <w:r w:rsidRPr="005C0DF3">
        <w:softHyphen/>
        <w:t>tion and subordina</w:t>
      </w:r>
      <w:r w:rsidRPr="005C0DF3">
        <w:softHyphen/>
        <w:t>tion; only these two principles are needed. But Christensen also recognizes the import</w:t>
      </w:r>
      <w:r>
        <w:t>ance of hierarchy in out</w:t>
      </w:r>
      <w:r>
        <w:softHyphen/>
        <w:t>lining.</w:t>
      </w:r>
      <w:r w:rsidRPr="005C0DF3">
        <w:t xml:space="preserve"> </w:t>
      </w:r>
      <w:r>
        <w:t>(A</w:t>
      </w:r>
      <w:r w:rsidRPr="005C0DF3">
        <w:t xml:space="preserve"> composition in which the elements are all coordi</w:t>
      </w:r>
      <w:r w:rsidRPr="005C0DF3">
        <w:softHyphen/>
        <w:t xml:space="preserve">nate would </w:t>
      </w:r>
      <w:r>
        <w:t xml:space="preserve">hopefully </w:t>
      </w:r>
      <w:r w:rsidRPr="005C0DF3">
        <w:t>be very short.</w:t>
      </w:r>
      <w:r>
        <w:t>)</w:t>
      </w:r>
      <w:r w:rsidRPr="005C0DF3">
        <w:t xml:space="preserve"> Usu</w:t>
      </w:r>
      <w:r w:rsidRPr="005C0DF3">
        <w:softHyphen/>
        <w:t>al</w:t>
      </w:r>
      <w:r w:rsidRPr="005C0DF3">
        <w:softHyphen/>
        <w:t>ly subor</w:t>
      </w:r>
      <w:r w:rsidRPr="005C0DF3">
        <w:softHyphen/>
        <w:t>dinate ele</w:t>
      </w:r>
      <w:r w:rsidRPr="005C0DF3">
        <w:softHyphen/>
        <w:t>ments are added “under” coor</w:t>
      </w:r>
      <w:r w:rsidRPr="005C0DF3">
        <w:softHyphen/>
        <w:t>dinate ele</w:t>
      </w:r>
      <w:r w:rsidRPr="005C0DF3">
        <w:softHyphen/>
        <w:t xml:space="preserve">ments to </w:t>
      </w:r>
      <w:r>
        <w:t xml:space="preserve">expand </w:t>
      </w:r>
      <w:r w:rsidRPr="005C0DF3">
        <w:t>them further</w:t>
      </w:r>
      <w:r w:rsidR="006F304D" w:rsidRPr="006F304D">
        <w:t xml:space="preserve">, </w:t>
      </w:r>
      <w:r w:rsidRPr="005C0DF3">
        <w:t>and coordi</w:t>
      </w:r>
      <w:r w:rsidRPr="005C0DF3">
        <w:softHyphen/>
        <w:t>nate ele</w:t>
      </w:r>
      <w:r w:rsidRPr="005C0DF3">
        <w:softHyphen/>
        <w:t>ments are added “under” subordi</w:t>
      </w:r>
      <w:r w:rsidRPr="005C0DF3">
        <w:softHyphen/>
        <w:t>nate ele</w:t>
      </w:r>
      <w:r w:rsidRPr="005C0DF3">
        <w:softHyphen/>
        <w:t>ments to expand them fur</w:t>
      </w:r>
      <w:r w:rsidRPr="005C0DF3">
        <w:softHyphen/>
        <w:t>ther.</w:t>
      </w:r>
      <w:r w:rsidRPr="005C0DF3">
        <w:rPr>
          <w:rStyle w:val="FootnoteReference"/>
        </w:rPr>
        <w:footnoteReference w:id="270"/>
      </w:r>
      <w:r w:rsidRPr="005C0DF3">
        <w:t xml:space="preserve"> Analyz</w:t>
      </w:r>
      <w:r w:rsidRPr="005C0DF3">
        <w:softHyphen/>
        <w:t>ing sentences in a para</w:t>
      </w:r>
      <w:r w:rsidRPr="005C0DF3">
        <w:softHyphen/>
        <w:t>graph along Christensen’s lines pro</w:t>
      </w:r>
      <w:r w:rsidRPr="005C0DF3">
        <w:softHyphen/>
        <w:t>ceeds as follows:</w:t>
      </w:r>
    </w:p>
    <w:p w14:paraId="5BA2CA6A" w14:textId="77777777" w:rsidR="0018433B" w:rsidRPr="005C0DF3" w:rsidRDefault="0018433B" w:rsidP="0018433B"/>
    <w:p w14:paraId="0F3C2D43" w14:textId="72E5FDF0" w:rsidR="0018433B" w:rsidRPr="005C0DF3" w:rsidRDefault="0018433B" w:rsidP="0018433B">
      <w:pPr>
        <w:ind w:left="720" w:right="720"/>
      </w:pPr>
      <w:r w:rsidRPr="005C0DF3">
        <w:t>going sentence by sentence through the paragraph</w:t>
      </w:r>
      <w:r w:rsidR="006F304D" w:rsidRPr="006F304D">
        <w:t xml:space="preserve">, </w:t>
      </w:r>
      <w:r w:rsidRPr="005C0DF3">
        <w:t xml:space="preserve">one searches </w:t>
      </w:r>
      <w:r w:rsidRPr="00963D68">
        <w:t>. . .</w:t>
      </w:r>
      <w:r w:rsidRPr="005C0DF3">
        <w:t xml:space="preserve"> for like</w:t>
      </w:r>
      <w:r w:rsidRPr="005C0DF3">
        <w:softHyphen/>
        <w:t>nesses—that is</w:t>
      </w:r>
      <w:r w:rsidR="006F304D" w:rsidRPr="006F304D">
        <w:t xml:space="preserve">, </w:t>
      </w:r>
      <w:r w:rsidRPr="005C0DF3">
        <w:t>for evidences of coordination</w:t>
      </w:r>
      <w:r w:rsidRPr="00963D68">
        <w:t>. . . .</w:t>
      </w:r>
      <w:r w:rsidRPr="005C0DF3">
        <w:t xml:space="preserve"> [When] the second element is </w:t>
      </w:r>
      <w:r w:rsidRPr="005C0DF3">
        <w:rPr>
          <w:i/>
        </w:rPr>
        <w:t>unlike</w:t>
      </w:r>
      <w:r w:rsidRPr="005C0DF3">
        <w:t xml:space="preserve"> the first one </w:t>
      </w:r>
      <w:r w:rsidRPr="00963D68">
        <w:t>. . .</w:t>
      </w:r>
      <w:r w:rsidRPr="005C0DF3">
        <w:t xml:space="preserve"> it is set down as subordinate</w:t>
      </w:r>
      <w:r w:rsidRPr="00963D68">
        <w:t>. . . .</w:t>
      </w:r>
      <w:r w:rsidRPr="005C0DF3">
        <w:t xml:space="preserve"> The clearest mark of coordination is iden</w:t>
      </w:r>
      <w:r w:rsidRPr="005C0DF3">
        <w:softHyphen/>
        <w:t>tity of struc</w:t>
      </w:r>
      <w:r w:rsidRPr="005C0DF3">
        <w:softHyphen/>
        <w:t>ture at the beginning of the sentence</w:t>
      </w:r>
      <w:r w:rsidRPr="00963D68">
        <w:t>. . . .</w:t>
      </w:r>
      <w:r w:rsidRPr="005C0DF3">
        <w:t xml:space="preserve"> [That repeti</w:t>
      </w:r>
      <w:r w:rsidRPr="005C0DF3">
        <w:softHyphen/>
        <w:t>tion] is all that is necessary to join sen</w:t>
      </w:r>
      <w:r w:rsidRPr="005C0DF3">
        <w:softHyphen/>
        <w:t>tence to sentence at the same level</w:t>
      </w:r>
      <w:r w:rsidRPr="00963D68">
        <w:t>. . . .</w:t>
      </w:r>
      <w:r w:rsidRPr="005C0DF3">
        <w:t xml:space="preserve"> repetition of structure is neces</w:t>
      </w:r>
      <w:r w:rsidRPr="005C0DF3">
        <w:softHyphen/>
        <w:t>sary; like things in like ways is one of the impera</w:t>
      </w:r>
      <w:r w:rsidRPr="005C0DF3">
        <w:softHyphen/>
        <w:t>tives of discur</w:t>
      </w:r>
      <w:r w:rsidRPr="005C0DF3">
        <w:softHyphen/>
        <w:t>sive writing</w:t>
      </w:r>
      <w:r w:rsidRPr="00963D68">
        <w:t>. . . .</w:t>
      </w:r>
      <w:r w:rsidRPr="005C0DF3">
        <w:t xml:space="preserve"> In a subordinate sequence</w:t>
      </w:r>
      <w:r w:rsidR="006F304D" w:rsidRPr="006F304D">
        <w:t xml:space="preserve">, </w:t>
      </w:r>
      <w:r w:rsidRPr="005C0DF3">
        <w:t>just as clearly</w:t>
      </w:r>
      <w:r w:rsidR="006F304D" w:rsidRPr="006F304D">
        <w:t xml:space="preserve">, </w:t>
      </w:r>
      <w:r w:rsidRPr="005C0DF3">
        <w:t>repe</w:t>
      </w:r>
      <w:r w:rsidRPr="005C0DF3">
        <w:softHyphen/>
        <w:t>tition of struc</w:t>
      </w:r>
      <w:r w:rsidRPr="005C0DF3">
        <w:softHyphen/>
        <w:t>ture must be avoid</w:t>
      </w:r>
      <w:r w:rsidRPr="005C0DF3">
        <w:softHyphen/>
        <w:t>ed.</w:t>
      </w:r>
      <w:r w:rsidRPr="005C0DF3">
        <w:rPr>
          <w:rStyle w:val="FootnoteReference"/>
        </w:rPr>
        <w:footnoteReference w:id="271"/>
      </w:r>
    </w:p>
    <w:p w14:paraId="12A11445" w14:textId="77777777" w:rsidR="0018433B" w:rsidRDefault="0018433B" w:rsidP="0018433B"/>
    <w:p w14:paraId="489365FF" w14:textId="2A040101" w:rsidR="0018433B" w:rsidRPr="005C0DF3" w:rsidRDefault="0018433B" w:rsidP="0018433B">
      <w:r w:rsidRPr="005C0DF3">
        <w:t>Christensen’s generative rhetoric seems to me to simplify</w:t>
      </w:r>
      <w:r w:rsidR="006F304D" w:rsidRPr="006F304D">
        <w:t xml:space="preserve">, </w:t>
      </w:r>
      <w:r w:rsidRPr="005C0DF3">
        <w:t>better than Burke and D’Angelo’s at</w:t>
      </w:r>
      <w:r w:rsidRPr="005C0DF3">
        <w:softHyphen/>
        <w:t>tempts</w:t>
      </w:r>
      <w:r w:rsidR="006F304D" w:rsidRPr="006F304D">
        <w:t xml:space="preserve">, </w:t>
      </w:r>
      <w:r w:rsidRPr="005C0DF3">
        <w:t>modern rhetoric’s doc</w:t>
      </w:r>
      <w:r w:rsidRPr="005C0DF3">
        <w:softHyphen/>
        <w:t>trine of ar</w:t>
      </w:r>
      <w:r w:rsidRPr="005C0DF3">
        <w:softHyphen/>
        <w:t>rangement. When discerning structure in a text</w:t>
      </w:r>
      <w:r w:rsidR="006F304D" w:rsidRPr="006F304D">
        <w:t xml:space="preserve">, </w:t>
      </w:r>
      <w:r w:rsidRPr="005C0DF3">
        <w:t>an exe</w:t>
      </w:r>
      <w:r w:rsidRPr="005C0DF3">
        <w:softHyphen/>
        <w:t>gete’s pri</w:t>
      </w:r>
      <w:r w:rsidRPr="005C0DF3">
        <w:softHyphen/>
        <w:t>mary activity is the di</w:t>
      </w:r>
      <w:r w:rsidRPr="005C0DF3">
        <w:softHyphen/>
        <w:t>viding up of the text into units. Whe</w:t>
      </w:r>
      <w:r w:rsidRPr="005C0DF3">
        <w:softHyphen/>
        <w:t>ther at the lev</w:t>
      </w:r>
      <w:r w:rsidRPr="005C0DF3">
        <w:softHyphen/>
        <w:t>el of the smallest pieces or at that of the ma</w:t>
      </w:r>
      <w:r w:rsidRPr="005C0DF3">
        <w:softHyphen/>
        <w:t>jor sec</w:t>
      </w:r>
      <w:r w:rsidRPr="005C0DF3">
        <w:softHyphen/>
        <w:t>tions</w:t>
      </w:r>
      <w:r w:rsidR="006F304D" w:rsidRPr="006F304D">
        <w:t xml:space="preserve">, </w:t>
      </w:r>
      <w:r w:rsidRPr="005C0DF3">
        <w:t>partition will be based ultimately on two</w:t>
      </w:r>
      <w:r w:rsidR="006F304D" w:rsidRPr="006F304D">
        <w:t xml:space="preserve">, </w:t>
      </w:r>
      <w:r w:rsidRPr="005C0DF3">
        <w:t>and only two</w:t>
      </w:r>
      <w:r w:rsidR="006F304D" w:rsidRPr="006F304D">
        <w:t xml:space="preserve">, </w:t>
      </w:r>
      <w:r w:rsidRPr="005C0DF3">
        <w:t>features: same</w:t>
      </w:r>
      <w:r w:rsidRPr="005C0DF3">
        <w:softHyphen/>
        <w:t>ness (resul</w:t>
      </w:r>
      <w:r w:rsidRPr="005C0DF3">
        <w:softHyphen/>
        <w:t>ting in unity) or differ</w:t>
      </w:r>
      <w:r w:rsidRPr="005C0DF3">
        <w:softHyphen/>
        <w:t>ence (result</w:t>
      </w:r>
      <w:r w:rsidRPr="005C0DF3">
        <w:softHyphen/>
        <w:t>ing in divi</w:t>
      </w:r>
      <w:r w:rsidRPr="005C0DF3">
        <w:softHyphen/>
        <w:t>sion) of units. The sameness or dif</w:t>
      </w:r>
      <w:r w:rsidRPr="005C0DF3">
        <w:softHyphen/>
        <w:t>fer</w:t>
      </w:r>
      <w:r w:rsidRPr="005C0DF3">
        <w:softHyphen/>
        <w:t>ence will in turn result either in the coordination or the subor</w:t>
      </w:r>
      <w:r w:rsidRPr="005C0DF3">
        <w:softHyphen/>
        <w:t>dination of the parts in relation to one another.</w:t>
      </w:r>
    </w:p>
    <w:p w14:paraId="59BCB3B0" w14:textId="0D75E827" w:rsidR="0018433B" w:rsidRDefault="0018433B" w:rsidP="0018433B">
      <w:r>
        <w:tab/>
      </w:r>
      <w:r w:rsidRPr="005C0DF3">
        <w:t>Though it anticipates a later chapter</w:t>
      </w:r>
      <w:r w:rsidR="006F304D" w:rsidRPr="006F304D">
        <w:t xml:space="preserve">, </w:t>
      </w:r>
      <w:r w:rsidRPr="005C0DF3">
        <w:t>an example will further clarify these princi</w:t>
      </w:r>
      <w:r w:rsidRPr="005C0DF3">
        <w:softHyphen/>
        <w:t>ples. Luke 6:27b-28 can be analyzed in two stages.</w:t>
      </w:r>
    </w:p>
    <w:p w14:paraId="37464ECA" w14:textId="77777777" w:rsidR="0018433B" w:rsidRPr="005C0DF3" w:rsidRDefault="0018433B" w:rsidP="0018433B"/>
    <w:p w14:paraId="1F496BC8" w14:textId="77777777" w:rsidR="0018433B" w:rsidRPr="005C0DF3" w:rsidRDefault="0018433B" w:rsidP="0018433B">
      <w:pPr>
        <w:ind w:firstLine="720"/>
      </w:pPr>
      <w:r w:rsidRPr="005C0DF3">
        <w:t>(Luke 6:27b)</w:t>
      </w:r>
      <w:r w:rsidRPr="005C0DF3">
        <w:tab/>
        <w:t>love</w:t>
      </w:r>
      <w:r w:rsidRPr="005C0DF3">
        <w:tab/>
      </w:r>
      <w:r w:rsidRPr="005C0DF3">
        <w:tab/>
        <w:t>your enemies</w:t>
      </w:r>
    </w:p>
    <w:p w14:paraId="5EB8ADAC" w14:textId="77777777" w:rsidR="0018433B" w:rsidRPr="005C0DF3" w:rsidRDefault="0018433B" w:rsidP="0018433B">
      <w:pPr>
        <w:ind w:firstLine="1440"/>
      </w:pPr>
      <w:r w:rsidRPr="005C0DF3">
        <w:t>(27c)</w:t>
      </w:r>
      <w:r w:rsidRPr="005C0DF3">
        <w:tab/>
        <w:t>do good to</w:t>
      </w:r>
      <w:r w:rsidRPr="005C0DF3">
        <w:tab/>
        <w:t>those who hate you</w:t>
      </w:r>
    </w:p>
    <w:p w14:paraId="6DEB8D67" w14:textId="77777777" w:rsidR="0018433B" w:rsidRPr="005C0DF3" w:rsidRDefault="0018433B" w:rsidP="0018433B">
      <w:pPr>
        <w:ind w:firstLine="1440"/>
      </w:pPr>
      <w:r w:rsidRPr="005C0DF3">
        <w:t>(28a)</w:t>
      </w:r>
      <w:r w:rsidRPr="005C0DF3">
        <w:tab/>
        <w:t>bless</w:t>
      </w:r>
      <w:r w:rsidRPr="005C0DF3">
        <w:tab/>
      </w:r>
      <w:r w:rsidRPr="005C0DF3">
        <w:tab/>
        <w:t>those who curse you</w:t>
      </w:r>
    </w:p>
    <w:p w14:paraId="009C942B" w14:textId="77777777" w:rsidR="0018433B" w:rsidRPr="005C0DF3" w:rsidRDefault="0018433B" w:rsidP="0018433B">
      <w:pPr>
        <w:ind w:firstLine="1440"/>
      </w:pPr>
      <w:r w:rsidRPr="005C0DF3">
        <w:t>(28b)</w:t>
      </w:r>
      <w:r w:rsidRPr="005C0DF3">
        <w:tab/>
        <w:t>pray for</w:t>
      </w:r>
      <w:r w:rsidRPr="005C0DF3">
        <w:tab/>
        <w:t>those who abuse you</w:t>
      </w:r>
    </w:p>
    <w:p w14:paraId="11ECF0E4" w14:textId="77777777" w:rsidR="0018433B" w:rsidRDefault="0018433B" w:rsidP="0018433B"/>
    <w:p w14:paraId="49E2284E" w14:textId="005DB74C" w:rsidR="0018433B" w:rsidRPr="005C0DF3" w:rsidRDefault="0018433B" w:rsidP="0018433B">
      <w:r w:rsidRPr="005C0DF3">
        <w:t>An exegete’s primary task in determining logical structure is to rec</w:t>
      </w:r>
      <w:r w:rsidRPr="005C0DF3">
        <w:softHyphen/>
        <w:t>ognize similarities and differences</w:t>
      </w:r>
      <w:r w:rsidR="006F304D" w:rsidRPr="006F304D">
        <w:t xml:space="preserve">, </w:t>
      </w:r>
      <w:r w:rsidRPr="005C0DF3">
        <w:t>in order to di</w:t>
      </w:r>
      <w:r w:rsidRPr="005C0DF3">
        <w:softHyphen/>
        <w:t>vide the text into parts. In Luke 6:27b-28</w:t>
      </w:r>
      <w:r w:rsidR="006F304D" w:rsidRPr="006F304D">
        <w:t xml:space="preserve">, </w:t>
      </w:r>
      <w:r w:rsidRPr="005C0DF3">
        <w:t>all four clauses are united by their identical form: each is a com</w:t>
      </w:r>
      <w:r w:rsidRPr="005C0DF3">
        <w:softHyphen/>
        <w:t>mand</w:t>
      </w:r>
      <w:r w:rsidR="006F304D" w:rsidRPr="006F304D">
        <w:t xml:space="preserve">, </w:t>
      </w:r>
      <w:r w:rsidRPr="005C0DF3">
        <w:t>with the order</w:t>
      </w:r>
      <w:r w:rsidR="006F304D" w:rsidRPr="006F304D">
        <w:t xml:space="preserve">, </w:t>
      </w:r>
      <w:r w:rsidRPr="005C0DF3">
        <w:t>“second-person imper</w:t>
      </w:r>
      <w:r w:rsidRPr="005C0DF3">
        <w:softHyphen/>
        <w:t>ative verb + ob</w:t>
      </w:r>
      <w:r w:rsidRPr="005C0DF3">
        <w:softHyphen/>
        <w:t>ject.” The clauses are also uni</w:t>
      </w:r>
      <w:r w:rsidRPr="005C0DF3">
        <w:softHyphen/>
        <w:t>ted by their similar con</w:t>
      </w:r>
      <w:r w:rsidRPr="005C0DF3">
        <w:softHyphen/>
        <w:t>tent: each has to do with the re</w:t>
      </w:r>
      <w:r w:rsidRPr="005C0DF3">
        <w:softHyphen/>
        <w:t>sponse ap</w:t>
      </w:r>
      <w:r w:rsidRPr="005C0DF3">
        <w:softHyphen/>
        <w:t>pro</w:t>
      </w:r>
      <w:r w:rsidRPr="005C0DF3">
        <w:softHyphen/>
        <w:t>priate to ill-treatment. These similar</w:t>
      </w:r>
      <w:r w:rsidRPr="005C0DF3">
        <w:softHyphen/>
        <w:t>ities indicate that the four clauses belong together</w:t>
      </w:r>
      <w:r w:rsidR="006F304D" w:rsidRPr="006F304D">
        <w:t xml:space="preserve">, </w:t>
      </w:r>
      <w:r w:rsidRPr="005C0DF3">
        <w:t>as a unit.</w:t>
      </w:r>
      <w:r w:rsidRPr="005C0DF3">
        <w:rPr>
          <w:rStyle w:val="FootnoteReference"/>
        </w:rPr>
        <w:footnoteReference w:id="272"/>
      </w:r>
      <w:r w:rsidRPr="005C0DF3">
        <w:t xml:space="preserve"> On the other hand</w:t>
      </w:r>
      <w:r w:rsidR="006F304D" w:rsidRPr="006F304D">
        <w:t xml:space="preserve">, </w:t>
      </w:r>
      <w:r w:rsidRPr="005C0DF3">
        <w:t>the last three clauses dif</w:t>
      </w:r>
      <w:r w:rsidRPr="005C0DF3">
        <w:softHyphen/>
        <w:t>fer from the first both in form (“your ene</w:t>
      </w:r>
      <w:r w:rsidRPr="005C0DF3">
        <w:softHyphen/>
        <w:t>mies” as op</w:t>
      </w:r>
      <w:r w:rsidRPr="005C0DF3">
        <w:softHyphen/>
        <w:t>posed to “those who,” a dif</w:t>
      </w:r>
      <w:r w:rsidRPr="005C0DF3">
        <w:softHyphen/>
        <w:t>fer</w:t>
      </w:r>
      <w:r w:rsidRPr="005C0DF3">
        <w:softHyphen/>
        <w:t>ence reflected in the Greek by the use of a noun in the first clause and of participles in the last three) and in content (the first clause is a gener</w:t>
      </w:r>
      <w:r w:rsidRPr="005C0DF3">
        <w:softHyphen/>
        <w:t>al</w:t>
      </w:r>
      <w:r w:rsidRPr="005C0DF3">
        <w:softHyphen/>
        <w:t>ization</w:t>
      </w:r>
      <w:r w:rsidR="006F304D" w:rsidRPr="006F304D">
        <w:t xml:space="preserve">, </w:t>
      </w:r>
      <w:r w:rsidRPr="005C0DF3">
        <w:t>the last three spec</w:t>
      </w:r>
      <w:r w:rsidRPr="005C0DF3">
        <w:softHyphen/>
        <w:t>ifi</w:t>
      </w:r>
      <w:r w:rsidRPr="005C0DF3">
        <w:softHyphen/>
        <w:t>ca</w:t>
      </w:r>
      <w:r w:rsidRPr="005C0DF3">
        <w:softHyphen/>
      </w:r>
      <w:r w:rsidRPr="005C0DF3">
        <w:softHyphen/>
        <w:t>tions of it).</w:t>
      </w:r>
    </w:p>
    <w:p w14:paraId="043116A3" w14:textId="4751B43D" w:rsidR="0018433B" w:rsidRDefault="0018433B" w:rsidP="0018433B">
      <w:r>
        <w:tab/>
      </w:r>
      <w:r w:rsidRPr="005C0DF3">
        <w:t>After the primary task of recognizing similarities and differences re</w:t>
      </w:r>
      <w:r w:rsidRPr="005C0DF3">
        <w:softHyphen/>
        <w:t>sults in a divi</w:t>
      </w:r>
      <w:r w:rsidRPr="005C0DF3">
        <w:softHyphen/>
        <w:t>sion of the text into parts</w:t>
      </w:r>
      <w:r w:rsidR="006F304D" w:rsidRPr="006F304D">
        <w:t xml:space="preserve">, </w:t>
      </w:r>
      <w:r w:rsidRPr="005C0DF3">
        <w:t>an exegete performs the second</w:t>
      </w:r>
      <w:r w:rsidRPr="005C0DF3">
        <w:softHyphen/>
        <w:t xml:space="preserve"> task in logical outlining</w:t>
      </w:r>
      <w:r w:rsidR="006F304D" w:rsidRPr="006F304D">
        <w:t xml:space="preserve">, </w:t>
      </w:r>
      <w:r w:rsidRPr="005C0DF3">
        <w:softHyphen/>
        <w:t>determining the relations of the units to one another accord</w:t>
      </w:r>
      <w:r w:rsidRPr="005C0DF3">
        <w:softHyphen/>
        <w:t>ing to the principles of coor</w:t>
      </w:r>
      <w:r w:rsidRPr="005C0DF3">
        <w:softHyphen/>
        <w:t>di</w:t>
      </w:r>
      <w:r w:rsidRPr="005C0DF3">
        <w:softHyphen/>
        <w:t>na</w:t>
      </w:r>
      <w:r w:rsidRPr="005C0DF3">
        <w:softHyphen/>
        <w:t>tion and subor</w:t>
      </w:r>
      <w:r w:rsidRPr="005C0DF3">
        <w:softHyphen/>
        <w:t>di</w:t>
      </w:r>
      <w:r w:rsidRPr="005C0DF3">
        <w:softHyphen/>
        <w:t>na</w:t>
      </w:r>
      <w:r w:rsidRPr="005C0DF3">
        <w:softHyphen/>
        <w:t>tion.</w:t>
      </w:r>
      <w:r w:rsidRPr="005C0DF3">
        <w:rPr>
          <w:rStyle w:val="FootnoteReference"/>
        </w:rPr>
        <w:footnoteReference w:id="273"/>
      </w:r>
      <w:r w:rsidRPr="005C0DF3">
        <w:t xml:space="preserve"> In our example</w:t>
      </w:r>
      <w:r w:rsidR="006F304D" w:rsidRPr="006F304D">
        <w:t xml:space="preserve">, </w:t>
      </w:r>
      <w:r w:rsidRPr="005C0DF3">
        <w:t>the four clau</w:t>
      </w:r>
      <w:r w:rsidRPr="005C0DF3">
        <w:softHyphen/>
        <w:t>ses are a unity</w:t>
      </w:r>
      <w:r w:rsidR="006F304D" w:rsidRPr="006F304D">
        <w:t xml:space="preserve">, </w:t>
      </w:r>
      <w:r w:rsidRPr="005C0DF3">
        <w:t>yet the first is a sub</w:t>
      </w:r>
      <w:r w:rsidRPr="005C0DF3">
        <w:softHyphen/>
        <w:t>unit sub</w:t>
      </w:r>
      <w:r w:rsidRPr="005C0DF3">
        <w:softHyphen/>
        <w:t>ordinate to the whole</w:t>
      </w:r>
      <w:r w:rsidR="006F304D" w:rsidRPr="006F304D">
        <w:t xml:space="preserve">, </w:t>
      </w:r>
      <w:r w:rsidRPr="005C0DF3">
        <w:t>and the second through fourth are a subunit subordinate to the whole; and these two sub</w:t>
      </w:r>
      <w:r w:rsidRPr="005C0DF3">
        <w:softHyphen/>
        <w:t>units are coor</w:t>
      </w:r>
      <w:r w:rsidRPr="005C0DF3">
        <w:softHyphen/>
        <w:t>dinate with one an</w:t>
      </w:r>
      <w:r w:rsidRPr="005C0DF3">
        <w:softHyphen/>
        <w:t>other. A graphi</w:t>
      </w:r>
      <w:r w:rsidRPr="005C0DF3">
        <w:softHyphen/>
        <w:t>cal representation of these rela</w:t>
      </w:r>
      <w:r w:rsidRPr="005C0DF3">
        <w:softHyphen/>
        <w:t>tions results in a logical outline.</w:t>
      </w:r>
    </w:p>
    <w:p w14:paraId="6A3E225C" w14:textId="77777777" w:rsidR="0018433B" w:rsidRPr="005C0DF3" w:rsidRDefault="0018433B" w:rsidP="0018433B"/>
    <w:p w14:paraId="6CB917A2" w14:textId="77777777" w:rsidR="0018433B" w:rsidRPr="005C0DF3" w:rsidRDefault="0018433B" w:rsidP="00B91A68">
      <w:pPr>
        <w:pStyle w:val="Level5"/>
        <w:widowControl/>
        <w:numPr>
          <w:ilvl w:val="4"/>
          <w:numId w:val="4"/>
        </w:numPr>
        <w:ind w:left="4044" w:hanging="432"/>
        <w:jc w:val="both"/>
      </w:pPr>
      <w:r w:rsidRPr="005C0DF3">
        <w:t>27b-28</w:t>
      </w:r>
    </w:p>
    <w:p w14:paraId="13CC977E" w14:textId="77777777" w:rsidR="0018433B" w:rsidRPr="005C0DF3" w:rsidRDefault="0018433B" w:rsidP="00B91A68">
      <w:pPr>
        <w:pStyle w:val="Level6"/>
        <w:widowControl/>
        <w:numPr>
          <w:ilvl w:val="5"/>
          <w:numId w:val="4"/>
        </w:numPr>
        <w:ind w:left="4476" w:hanging="432"/>
        <w:jc w:val="both"/>
      </w:pPr>
      <w:r w:rsidRPr="005C0DF3">
        <w:lastRenderedPageBreak/>
        <w:t>27b</w:t>
      </w:r>
    </w:p>
    <w:p w14:paraId="2ADC7725" w14:textId="77777777" w:rsidR="0018433B" w:rsidRPr="005C0DF3" w:rsidRDefault="0018433B" w:rsidP="00B91A68">
      <w:pPr>
        <w:pStyle w:val="Level6"/>
        <w:widowControl/>
        <w:numPr>
          <w:ilvl w:val="5"/>
          <w:numId w:val="4"/>
        </w:numPr>
        <w:ind w:left="4476" w:hanging="432"/>
        <w:jc w:val="both"/>
      </w:pPr>
      <w:r w:rsidRPr="005C0DF3">
        <w:t>27c-28</w:t>
      </w:r>
    </w:p>
    <w:p w14:paraId="66D38D06" w14:textId="77777777" w:rsidR="0018433B" w:rsidRPr="005C0DF3" w:rsidRDefault="0018433B" w:rsidP="00B91A68">
      <w:pPr>
        <w:pStyle w:val="Level7"/>
        <w:widowControl/>
        <w:numPr>
          <w:ilvl w:val="6"/>
          <w:numId w:val="4"/>
        </w:numPr>
        <w:ind w:left="4836" w:hanging="360"/>
        <w:jc w:val="both"/>
      </w:pPr>
      <w:r w:rsidRPr="005C0DF3">
        <w:t>27c</w:t>
      </w:r>
    </w:p>
    <w:p w14:paraId="5CD5FD10" w14:textId="77777777" w:rsidR="0018433B" w:rsidRPr="005C0DF3" w:rsidRDefault="0018433B" w:rsidP="00B91A68">
      <w:pPr>
        <w:pStyle w:val="Level7"/>
        <w:widowControl/>
        <w:numPr>
          <w:ilvl w:val="6"/>
          <w:numId w:val="4"/>
        </w:numPr>
        <w:ind w:left="4836" w:hanging="360"/>
        <w:jc w:val="both"/>
      </w:pPr>
      <w:r w:rsidRPr="005C0DF3">
        <w:t>28a</w:t>
      </w:r>
    </w:p>
    <w:p w14:paraId="185A3F82" w14:textId="77777777" w:rsidR="0018433B" w:rsidRPr="005C0DF3" w:rsidRDefault="0018433B" w:rsidP="00B91A68">
      <w:pPr>
        <w:pStyle w:val="Level7"/>
        <w:widowControl/>
        <w:numPr>
          <w:ilvl w:val="6"/>
          <w:numId w:val="4"/>
        </w:numPr>
        <w:ind w:left="4836" w:hanging="360"/>
        <w:jc w:val="both"/>
      </w:pPr>
      <w:r w:rsidRPr="005C0DF3">
        <w:t>28b</w:t>
      </w:r>
    </w:p>
    <w:p w14:paraId="594318E5" w14:textId="77777777" w:rsidR="0018433B" w:rsidRDefault="0018433B" w:rsidP="0018433B"/>
    <w:p w14:paraId="7E1EEBA5" w14:textId="255A5F92" w:rsidR="0018433B" w:rsidRPr="005C0DF3" w:rsidRDefault="0018433B" w:rsidP="0018433B">
      <w:r w:rsidRPr="005C0DF3">
        <w:t>To summarize: in logical outlining</w:t>
      </w:r>
      <w:r w:rsidR="006F304D" w:rsidRPr="006F304D">
        <w:t xml:space="preserve">, </w:t>
      </w:r>
      <w:r w:rsidRPr="005C0DF3">
        <w:t>an exegete uses two char</w:t>
      </w:r>
      <w:r w:rsidRPr="005C0DF3">
        <w:softHyphen/>
        <w:t>ac</w:t>
      </w:r>
      <w:r w:rsidRPr="005C0DF3">
        <w:softHyphen/>
        <w:t>teris</w:t>
      </w:r>
      <w:r w:rsidRPr="005C0DF3">
        <w:softHyphen/>
        <w:t>tics</w:t>
      </w:r>
      <w:r w:rsidR="006F304D" w:rsidRPr="006F304D">
        <w:t xml:space="preserve">, </w:t>
      </w:r>
      <w:r w:rsidRPr="005C0DF3">
        <w:t>same</w:t>
      </w:r>
      <w:r w:rsidRPr="005C0DF3">
        <w:softHyphen/>
        <w:t>ness and difference</w:t>
      </w:r>
      <w:r w:rsidR="006F304D" w:rsidRPr="006F304D">
        <w:t xml:space="preserve">, </w:t>
      </w:r>
      <w:r w:rsidRPr="005C0DF3">
        <w:t>to divide a text into parts</w:t>
      </w:r>
      <w:r w:rsidR="006F304D" w:rsidRPr="006F304D">
        <w:t xml:space="preserve">, </w:t>
      </w:r>
      <w:r w:rsidRPr="005C0DF3">
        <w:t>and two rela</w:t>
      </w:r>
      <w:r w:rsidRPr="005C0DF3">
        <w:softHyphen/>
        <w:t>tions</w:t>
      </w:r>
      <w:r w:rsidR="006F304D" w:rsidRPr="006F304D">
        <w:t xml:space="preserve">, </w:t>
      </w:r>
      <w:r w:rsidRPr="005C0DF3">
        <w:t>coor</w:t>
      </w:r>
      <w:r w:rsidRPr="005C0DF3">
        <w:softHyphen/>
        <w:t>dination and subordi</w:t>
      </w:r>
      <w:r w:rsidRPr="005C0DF3">
        <w:softHyphen/>
        <w:t>nation</w:t>
      </w:r>
      <w:r w:rsidR="006F304D" w:rsidRPr="006F304D">
        <w:t xml:space="preserve">, </w:t>
      </w:r>
      <w:r w:rsidRPr="005C0DF3">
        <w:t>to determine the parts’ hierarchical connections.</w:t>
      </w:r>
    </w:p>
    <w:p w14:paraId="03430CB6" w14:textId="500BF385" w:rsidR="0018433B" w:rsidRPr="005C0DF3" w:rsidRDefault="0018433B" w:rsidP="0018433B">
      <w:r>
        <w:tab/>
      </w:r>
      <w:r w:rsidRPr="005C0DF3">
        <w:t>One further consider</w:t>
      </w:r>
      <w:r w:rsidRPr="005C0DF3">
        <w:softHyphen/>
        <w:t>ation remains to be noted in our theoretical dis</w:t>
      </w:r>
      <w:r w:rsidRPr="005C0DF3">
        <w:softHyphen/>
        <w:t>cussion of log</w:t>
      </w:r>
      <w:r w:rsidRPr="005C0DF3">
        <w:softHyphen/>
        <w:t>ical princi</w:t>
      </w:r>
      <w:r w:rsidRPr="005C0DF3">
        <w:softHyphen/>
        <w:t>ples of structure</w:t>
      </w:r>
      <w:r w:rsidR="006F304D" w:rsidRPr="006F304D">
        <w:t xml:space="preserve">, </w:t>
      </w:r>
      <w:r w:rsidRPr="005C0DF3">
        <w:t xml:space="preserve">a consideration which concerns the depth to which a logical outline is taken. </w:t>
      </w:r>
      <w:r w:rsidRPr="005C0DF3">
        <w:rPr>
          <w:i/>
        </w:rPr>
        <w:t>Every</w:t>
      </w:r>
      <w:r w:rsidRPr="005C0DF3">
        <w:t xml:space="preserve"> differ</w:t>
      </w:r>
      <w:r w:rsidRPr="005C0DF3">
        <w:softHyphen/>
        <w:t>ence between two units in an ut</w:t>
      </w:r>
      <w:r w:rsidRPr="005C0DF3">
        <w:softHyphen/>
        <w:t>ter</w:t>
      </w:r>
      <w:r w:rsidRPr="005C0DF3">
        <w:softHyphen/>
        <w:t>ance can</w:t>
      </w:r>
      <w:r w:rsidR="006F304D" w:rsidRPr="006F304D">
        <w:t xml:space="preserve">, </w:t>
      </w:r>
      <w:r w:rsidRPr="005C0DF3">
        <w:t>hypothetical</w:t>
      </w:r>
      <w:r w:rsidRPr="005C0DF3">
        <w:softHyphen/>
        <w:t>ly</w:t>
      </w:r>
      <w:r w:rsidR="006F304D" w:rsidRPr="006F304D">
        <w:t xml:space="preserve">, </w:t>
      </w:r>
      <w:r w:rsidRPr="005C0DF3">
        <w:t>be used to distinguish parts. Each clause in the above ex</w:t>
      </w:r>
      <w:r w:rsidRPr="005C0DF3">
        <w:softHyphen/>
        <w:t>ample could</w:t>
      </w:r>
      <w:r w:rsidR="006F304D" w:rsidRPr="006F304D">
        <w:t xml:space="preserve">, </w:t>
      </w:r>
      <w:r w:rsidRPr="005C0DF3">
        <w:t>for instance</w:t>
      </w:r>
      <w:r w:rsidR="006F304D" w:rsidRPr="006F304D">
        <w:t xml:space="preserve">, </w:t>
      </w:r>
      <w:r w:rsidRPr="005C0DF3">
        <w:t>be subdivided further</w:t>
      </w:r>
      <w:r w:rsidR="006F304D" w:rsidRPr="006F304D">
        <w:t xml:space="preserve">, </w:t>
      </w:r>
      <w:r w:rsidRPr="005C0DF3">
        <w:t>into its complex subject and complex pre</w:t>
      </w:r>
      <w:r w:rsidRPr="005C0DF3">
        <w:softHyphen/>
        <w:t>di</w:t>
      </w:r>
      <w:r w:rsidRPr="005C0DF3">
        <w:softHyphen/>
        <w:t>cate</w:t>
      </w:r>
      <w:r w:rsidR="006F304D" w:rsidRPr="006F304D">
        <w:t xml:space="preserve">, </w:t>
      </w:r>
      <w:r w:rsidRPr="005C0DF3">
        <w:t>etc.</w:t>
      </w:r>
      <w:r w:rsidR="006F304D" w:rsidRPr="006F304D">
        <w:t xml:space="preserve">, </w:t>
      </w:r>
      <w:r w:rsidRPr="005C0DF3">
        <w:t>as in the old practice of diagramming sentences. There must</w:t>
      </w:r>
      <w:r w:rsidR="006F304D" w:rsidRPr="006F304D">
        <w:t xml:space="preserve">, </w:t>
      </w:r>
      <w:r w:rsidRPr="005C0DF3">
        <w:t>then</w:t>
      </w:r>
      <w:r w:rsidR="006F304D" w:rsidRPr="006F304D">
        <w:t xml:space="preserve">, </w:t>
      </w:r>
      <w:r w:rsidRPr="005C0DF3">
        <w:t>be one additional step in the pro</w:t>
      </w:r>
      <w:r w:rsidRPr="005C0DF3">
        <w:softHyphen/>
        <w:t>cess of logical outlining which we have yet to consider. This step will oc</w:t>
      </w:r>
      <w:r w:rsidRPr="005C0DF3">
        <w:softHyphen/>
        <w:t>cur between the (logically prior) dis</w:t>
      </w:r>
      <w:r w:rsidRPr="005C0DF3">
        <w:softHyphen/>
        <w:t>cern</w:t>
      </w:r>
      <w:r w:rsidRPr="005C0DF3">
        <w:softHyphen/>
        <w:t>ment of simi</w:t>
      </w:r>
      <w:r w:rsidRPr="005C0DF3">
        <w:softHyphen/>
        <w:t>larities and dif</w:t>
      </w:r>
      <w:r w:rsidRPr="005C0DF3">
        <w:softHyphen/>
        <w:t>feren</w:t>
      </w:r>
      <w:r w:rsidRPr="005C0DF3">
        <w:softHyphen/>
        <w:t>ces and the (logically poste</w:t>
      </w:r>
      <w:r w:rsidRPr="005C0DF3">
        <w:softHyphen/>
        <w:t>rior) rec</w:t>
      </w:r>
      <w:r w:rsidRPr="005C0DF3">
        <w:softHyphen/>
        <w:t>ogni</w:t>
      </w:r>
      <w:r w:rsidRPr="005C0DF3">
        <w:softHyphen/>
        <w:t>tion of divi</w:t>
      </w:r>
      <w:r w:rsidRPr="005C0DF3">
        <w:softHyphen/>
        <w:t>sions. This step is an eval</w:t>
      </w:r>
      <w:r w:rsidRPr="005C0DF3">
        <w:softHyphen/>
        <w:t>uation of the im</w:t>
      </w:r>
      <w:r w:rsidRPr="005C0DF3">
        <w:softHyphen/>
        <w:t>portance of the iden</w:t>
      </w:r>
      <w:r w:rsidRPr="005C0DF3">
        <w:softHyphen/>
        <w:t>ti</w:t>
      </w:r>
      <w:r w:rsidRPr="005C0DF3">
        <w:softHyphen/>
        <w:t>ties and dif</w:t>
      </w:r>
      <w:r w:rsidRPr="005C0DF3">
        <w:softHyphen/>
        <w:t>feren</w:t>
      </w:r>
      <w:r w:rsidRPr="005C0DF3">
        <w:softHyphen/>
        <w:t>ces one sees</w:t>
      </w:r>
      <w:r w:rsidR="006F304D" w:rsidRPr="006F304D">
        <w:t xml:space="preserve">, </w:t>
      </w:r>
      <w:r w:rsidRPr="005C0DF3">
        <w:t>a deci</w:t>
      </w:r>
      <w:r w:rsidRPr="005C0DF3">
        <w:softHyphen/>
        <w:t>sion whe</w:t>
      </w:r>
      <w:r w:rsidRPr="005C0DF3">
        <w:softHyphen/>
        <w:t>ther they are significant enough to war</w:t>
      </w:r>
      <w:r w:rsidRPr="005C0DF3">
        <w:softHyphen/>
        <w:t>rant the for</w:t>
      </w:r>
      <w:r w:rsidRPr="005C0DF3">
        <w:softHyphen/>
        <w:t>mation of a divi</w:t>
      </w:r>
      <w:r w:rsidRPr="005C0DF3">
        <w:softHyphen/>
        <w:t>sion. The exegete has two principal aids to help in this eval</w:t>
      </w:r>
      <w:r w:rsidRPr="005C0DF3">
        <w:softHyphen/>
        <w:t>u</w:t>
      </w:r>
      <w:r w:rsidRPr="005C0DF3">
        <w:softHyphen/>
        <w:t>ation. There is</w:t>
      </w:r>
      <w:r w:rsidR="006F304D" w:rsidRPr="006F304D">
        <w:t xml:space="preserve">, </w:t>
      </w:r>
      <w:r w:rsidRPr="005C0DF3">
        <w:t>first</w:t>
      </w:r>
      <w:r w:rsidR="006F304D" w:rsidRPr="006F304D">
        <w:t xml:space="preserve">, </w:t>
      </w:r>
      <w:r w:rsidRPr="005C0DF3">
        <w:t xml:space="preserve">the interpreter’s </w:t>
      </w:r>
      <w:r w:rsidRPr="005C0DF3">
        <w:rPr>
          <w:i/>
        </w:rPr>
        <w:t>a priori</w:t>
      </w:r>
      <w:r w:rsidRPr="005C0DF3">
        <w:t xml:space="preserve"> decision to outline the mate</w:t>
      </w:r>
      <w:r w:rsidRPr="005C0DF3">
        <w:softHyphen/>
        <w:t>ri</w:t>
      </w:r>
      <w:r w:rsidRPr="005C0DF3">
        <w:softHyphen/>
        <w:t xml:space="preserve">al only to a certain depth; an </w:t>
      </w:r>
      <w:r w:rsidRPr="005C0DF3">
        <w:softHyphen/>
      </w:r>
      <w:r w:rsidRPr="005C0DF3">
        <w:softHyphen/>
        <w:t xml:space="preserve">outline can be </w:t>
      </w:r>
      <w:r>
        <w:t xml:space="preserve">very </w:t>
      </w:r>
      <w:r w:rsidRPr="005C0DF3">
        <w:t xml:space="preserve">broad or </w:t>
      </w:r>
      <w:r>
        <w:t xml:space="preserve">very </w:t>
      </w:r>
      <w:r w:rsidRPr="005C0DF3">
        <w:t>detailed</w:t>
      </w:r>
      <w:r>
        <w:t xml:space="preserve"> or somewhere in between</w:t>
      </w:r>
      <w:r w:rsidRPr="005C0DF3">
        <w:t>. And second</w:t>
      </w:r>
      <w:r w:rsidR="006F304D" w:rsidRPr="006F304D">
        <w:t xml:space="preserve">, </w:t>
      </w:r>
      <w:r w:rsidRPr="005C0DF3">
        <w:t>there is the prob</w:t>
      </w:r>
      <w:r w:rsidRPr="005C0DF3">
        <w:softHyphen/>
        <w:t>able inten</w:t>
      </w:r>
      <w:r w:rsidRPr="005C0DF3">
        <w:softHyphen/>
        <w:t>tion of the au</w:t>
      </w:r>
      <w:r w:rsidRPr="005C0DF3">
        <w:softHyphen/>
        <w:t>thor: did he or she intend dif</w:t>
      </w:r>
      <w:r w:rsidRPr="005C0DF3">
        <w:softHyphen/>
        <w:t>ferences in the text to sug</w:t>
      </w:r>
      <w:r w:rsidRPr="005C0DF3">
        <w:softHyphen/>
        <w:t>gest con</w:t>
      </w:r>
      <w:r w:rsidRPr="005C0DF3">
        <w:softHyphen/>
        <w:t>trast</w:t>
      </w:r>
      <w:r w:rsidRPr="005C0DF3">
        <w:softHyphen/>
        <w:t>ing divi</w:t>
      </w:r>
      <w:r w:rsidRPr="005C0DF3">
        <w:softHyphen/>
        <w:t>sions</w:t>
      </w:r>
      <w:r w:rsidR="006F304D" w:rsidRPr="006F304D">
        <w:t xml:space="preserve">, </w:t>
      </w:r>
      <w:r w:rsidRPr="005C0DF3">
        <w:t xml:space="preserve">or </w:t>
      </w:r>
      <w:r>
        <w:t xml:space="preserve">did he or she </w:t>
      </w:r>
      <w:r w:rsidRPr="005C0DF3">
        <w:t>intend the differ</w:t>
      </w:r>
      <w:r w:rsidRPr="005C0DF3">
        <w:softHyphen/>
        <w:t>ences to be</w:t>
      </w:r>
      <w:r w:rsidR="006F304D" w:rsidRPr="006F304D">
        <w:t xml:space="preserve">, </w:t>
      </w:r>
      <w:r w:rsidRPr="005C0DF3">
        <w:t>so to speak</w:t>
      </w:r>
      <w:r w:rsidR="006F304D" w:rsidRPr="006F304D">
        <w:t xml:space="preserve">, </w:t>
      </w:r>
      <w:r w:rsidRPr="005C0DF3">
        <w:t>swal</w:t>
      </w:r>
      <w:r w:rsidRPr="005C0DF3">
        <w:softHyphen/>
        <w:t>lowed up in the similari</w:t>
      </w:r>
      <w:r w:rsidRPr="005C0DF3">
        <w:softHyphen/>
        <w:t>ties? Assume</w:t>
      </w:r>
      <w:r w:rsidR="006F304D" w:rsidRPr="006F304D">
        <w:t xml:space="preserve">, </w:t>
      </w:r>
      <w:r w:rsidRPr="005C0DF3">
        <w:t>for example</w:t>
      </w:r>
      <w:r w:rsidR="006F304D" w:rsidRPr="006F304D">
        <w:t xml:space="preserve">, </w:t>
      </w:r>
      <w:r w:rsidRPr="005C0DF3">
        <w:t>that Luke 6:27b-28 were originally writ</w:t>
      </w:r>
      <w:r w:rsidRPr="005C0DF3">
        <w:softHyphen/>
        <w:t>ten in English</w:t>
      </w:r>
      <w:r w:rsidR="006F304D" w:rsidRPr="006F304D">
        <w:t xml:space="preserve">, </w:t>
      </w:r>
      <w:r w:rsidRPr="005C0DF3">
        <w:t>as the verses are given above. Note that the second and fourth clauses have pre</w:t>
      </w:r>
      <w:r w:rsidRPr="005C0DF3">
        <w:softHyphen/>
        <w:t>posi</w:t>
      </w:r>
      <w:r w:rsidRPr="005C0DF3">
        <w:softHyphen/>
        <w:t>tional particles after their verbs (“do good to,” “pray for”)</w:t>
      </w:r>
      <w:r w:rsidR="006F304D" w:rsidRPr="006F304D">
        <w:t xml:space="preserve">, </w:t>
      </w:r>
      <w:r w:rsidRPr="005C0DF3">
        <w:t>while the first and third do not. Is this difference significant enough to result in divisions in the text? Most would answer</w:t>
      </w:r>
      <w:r w:rsidR="006F304D" w:rsidRPr="006F304D">
        <w:t xml:space="preserve">, </w:t>
      </w:r>
      <w:r w:rsidRPr="005C0DF3">
        <w:t>“No</w:t>
      </w:r>
      <w:r w:rsidR="006F304D" w:rsidRPr="006F304D">
        <w:t xml:space="preserve">, </w:t>
      </w:r>
      <w:r w:rsidRPr="005C0DF3">
        <w:t>the author is not likely to have intended these dif</w:t>
      </w:r>
      <w:r w:rsidRPr="005C0DF3">
        <w:softHyphen/>
        <w:t>ferences to be significant; they are simply accidents of the language in which he wrote.”</w:t>
      </w:r>
      <w:r w:rsidRPr="005C0DF3">
        <w:rPr>
          <w:rStyle w:val="FootnoteReference"/>
        </w:rPr>
        <w:footnoteReference w:id="274"/>
      </w:r>
    </w:p>
    <w:p w14:paraId="3E4B47A8" w14:textId="77777777" w:rsidR="0018433B" w:rsidRPr="005C0DF3" w:rsidRDefault="0018433B" w:rsidP="0018433B"/>
    <w:p w14:paraId="6908D1F2" w14:textId="77777777" w:rsidR="0018433B" w:rsidRPr="005C0DF3" w:rsidRDefault="0018433B" w:rsidP="007D18CE">
      <w:pPr>
        <w:pStyle w:val="Heading2"/>
      </w:pPr>
      <w:bookmarkStart w:id="21" w:name="_Toc147618606"/>
      <w:r w:rsidRPr="005C0DF3">
        <w:t>2. Parallelism</w:t>
      </w:r>
      <w:bookmarkEnd w:id="21"/>
    </w:p>
    <w:p w14:paraId="126B208F" w14:textId="77777777" w:rsidR="0018433B" w:rsidRPr="005C0DF3" w:rsidRDefault="0018433B" w:rsidP="0018433B"/>
    <w:p w14:paraId="32CCDA27" w14:textId="3C972CF3" w:rsidR="0018433B" w:rsidRPr="005C0DF3" w:rsidRDefault="0018433B" w:rsidP="0018433B">
      <w:r>
        <w:tab/>
      </w:r>
      <w:r w:rsidRPr="005C0DF3">
        <w:t>The exegetes who first speculated on the existence of chi</w:t>
      </w:r>
      <w:r w:rsidRPr="005C0DF3">
        <w:softHyphen/>
        <w:t>asm in scrip</w:t>
      </w:r>
      <w:r w:rsidRPr="005C0DF3">
        <w:softHyphen/>
        <w:t>ture also first broached the possi</w:t>
      </w:r>
      <w:r w:rsidRPr="005C0DF3">
        <w:softHyphen/>
        <w:t>bility of par</w:t>
      </w:r>
      <w:r w:rsidRPr="005C0DF3">
        <w:softHyphen/>
        <w:t>allel</w:t>
      </w:r>
      <w:r w:rsidRPr="005C0DF3">
        <w:softHyphen/>
        <w:t xml:space="preserve">ism in the Bible. </w:t>
      </w:r>
      <w:r w:rsidRPr="005C0DF3">
        <w:softHyphen/>
        <w:t>Bengel even de</w:t>
      </w:r>
      <w:r w:rsidRPr="005C0DF3">
        <w:softHyphen/>
        <w:t>fined paral</w:t>
      </w:r>
      <w:r w:rsidRPr="005C0DF3">
        <w:softHyphen/>
        <w:t>lelism in terms of chi</w:t>
      </w:r>
      <w:r w:rsidRPr="005C0DF3">
        <w:softHyphen/>
        <w:t xml:space="preserve">asm: “Chiasm is </w:t>
      </w:r>
      <w:r w:rsidRPr="005C0DF3">
        <w:rPr>
          <w:i/>
        </w:rPr>
        <w:t>direct</w:t>
      </w:r>
      <w:r w:rsidRPr="005C0DF3">
        <w:t xml:space="preserve"> if the rela</w:t>
      </w:r>
      <w:r w:rsidRPr="005C0DF3">
        <w:softHyphen/>
        <w:t>tion is between A and C and bet</w:t>
      </w:r>
      <w:r w:rsidRPr="005C0DF3">
        <w:softHyphen/>
        <w:t xml:space="preserve">ween B and D [but] </w:t>
      </w:r>
      <w:r w:rsidRPr="005C0DF3">
        <w:rPr>
          <w:i/>
        </w:rPr>
        <w:t>inverse</w:t>
      </w:r>
      <w:r w:rsidRPr="005C0DF3">
        <w:t xml:space="preserve"> or </w:t>
      </w:r>
      <w:r w:rsidRPr="005C0DF3">
        <w:rPr>
          <w:i/>
        </w:rPr>
        <w:t>retrograde</w:t>
      </w:r>
      <w:r w:rsidRPr="005C0DF3">
        <w:t xml:space="preserve"> if the relation is between A and D and between B and C.”</w:t>
      </w:r>
      <w:r w:rsidRPr="005C0DF3">
        <w:rPr>
          <w:rStyle w:val="FootnoteReference"/>
        </w:rPr>
        <w:footnoteReference w:id="275"/>
      </w:r>
      <w:r w:rsidRPr="005C0DF3">
        <w:t xml:space="preserve"> Bengel’s “direct chiasm” was quickly recognized to be</w:t>
      </w:r>
      <w:r w:rsidR="006F304D" w:rsidRPr="006F304D">
        <w:t xml:space="preserve">, </w:t>
      </w:r>
      <w:r w:rsidRPr="005C0DF3">
        <w:t>and consequently re</w:t>
      </w:r>
      <w:r w:rsidRPr="005C0DF3">
        <w:softHyphen/>
        <w:t>named as</w:t>
      </w:r>
      <w:r w:rsidR="006F304D" w:rsidRPr="006F304D">
        <w:t xml:space="preserve">, </w:t>
      </w:r>
      <w:r w:rsidRPr="005C0DF3">
        <w:t>a form of parallel</w:t>
      </w:r>
      <w:r w:rsidRPr="005C0DF3">
        <w:softHyphen/>
        <w:t>ism.</w:t>
      </w:r>
      <w:r w:rsidRPr="005C0DF3">
        <w:rPr>
          <w:rStyle w:val="FootnoteReference"/>
        </w:rPr>
        <w:footnoteReference w:id="276"/>
      </w:r>
    </w:p>
    <w:p w14:paraId="77D9D997" w14:textId="4C87A43A" w:rsidR="0018433B" w:rsidRDefault="0018433B" w:rsidP="0018433B">
      <w:r>
        <w:lastRenderedPageBreak/>
        <w:tab/>
      </w:r>
      <w:r w:rsidRPr="005C0DF3">
        <w:t>First to use the term “parallelism” (</w:t>
      </w:r>
      <w:proofErr w:type="spellStart"/>
      <w:r w:rsidRPr="005C0DF3">
        <w:rPr>
          <w:i/>
        </w:rPr>
        <w:t>parallelismus</w:t>
      </w:r>
      <w:proofErr w:type="spellEnd"/>
      <w:r w:rsidRPr="005C0DF3">
        <w:rPr>
          <w:i/>
        </w:rPr>
        <w:t xml:space="preserve"> </w:t>
      </w:r>
      <w:proofErr w:type="spellStart"/>
      <w:r w:rsidRPr="005C0DF3">
        <w:rPr>
          <w:i/>
        </w:rPr>
        <w:t>membrorum</w:t>
      </w:r>
      <w:proofErr w:type="spellEnd"/>
      <w:r w:rsidRPr="005C0DF3">
        <w:t>) was the Oxford scholar</w:t>
      </w:r>
      <w:r w:rsidR="006F304D" w:rsidRPr="006F304D">
        <w:t xml:space="preserve">, </w:t>
      </w:r>
      <w:r w:rsidRPr="005C0DF3">
        <w:t>Robert Lowth;</w:t>
      </w:r>
      <w:r w:rsidRPr="005C0DF3">
        <w:rPr>
          <w:rStyle w:val="FootnoteReference"/>
        </w:rPr>
        <w:footnoteReference w:id="277"/>
      </w:r>
      <w:r w:rsidRPr="005C0DF3">
        <w:t xml:space="preserve"> he was first also to classify parallelism into three types.</w:t>
      </w:r>
    </w:p>
    <w:p w14:paraId="7B7D645F" w14:textId="77777777" w:rsidR="0018433B" w:rsidRPr="005C0DF3" w:rsidRDefault="0018433B" w:rsidP="0018433B"/>
    <w:p w14:paraId="14808DB8" w14:textId="09DB8FA8" w:rsidR="0018433B" w:rsidRPr="005C0DF3" w:rsidRDefault="0018433B" w:rsidP="0018433B">
      <w:pPr>
        <w:ind w:left="720" w:right="720"/>
      </w:pPr>
      <w:r w:rsidRPr="005C0DF3">
        <w:t>The correspondence of one verse</w:t>
      </w:r>
      <w:r w:rsidR="006F304D" w:rsidRPr="006F304D">
        <w:t xml:space="preserve">, </w:t>
      </w:r>
      <w:r w:rsidRPr="005C0DF3">
        <w:t>or line</w:t>
      </w:r>
      <w:r w:rsidR="006F304D" w:rsidRPr="006F304D">
        <w:t xml:space="preserve">, </w:t>
      </w:r>
      <w:r w:rsidRPr="005C0DF3">
        <w:t>with another</w:t>
      </w:r>
      <w:r w:rsidR="006F304D" w:rsidRPr="006F304D">
        <w:t xml:space="preserve">, </w:t>
      </w:r>
      <w:r w:rsidRPr="005C0DF3">
        <w:t>I call par</w:t>
      </w:r>
      <w:r w:rsidRPr="005C0DF3">
        <w:softHyphen/>
        <w:t>al</w:t>
      </w:r>
      <w:r w:rsidRPr="005C0DF3">
        <w:softHyphen/>
        <w:t>lel</w:t>
      </w:r>
      <w:r w:rsidRPr="005C0DF3">
        <w:softHyphen/>
        <w:t>ism. When a proposition is delivered</w:t>
      </w:r>
      <w:r w:rsidR="006F304D" w:rsidRPr="006F304D">
        <w:t xml:space="preserve">, </w:t>
      </w:r>
      <w:r w:rsidRPr="005C0DF3">
        <w:t>and a second is sub</w:t>
      </w:r>
      <w:r w:rsidRPr="005C0DF3">
        <w:softHyphen/>
        <w:t>joined to it</w:t>
      </w:r>
      <w:r w:rsidR="006F304D" w:rsidRPr="006F304D">
        <w:t xml:space="preserve">, </w:t>
      </w:r>
      <w:r w:rsidRPr="005C0DF3">
        <w:t>or drawn under it</w:t>
      </w:r>
      <w:r w:rsidR="006F304D" w:rsidRPr="006F304D">
        <w:t xml:space="preserve">, </w:t>
      </w:r>
      <w:r w:rsidRPr="005C0DF3">
        <w:t>equiva</w:t>
      </w:r>
      <w:r w:rsidRPr="005C0DF3">
        <w:softHyphen/>
        <w:t>lent</w:t>
      </w:r>
      <w:r w:rsidR="006F304D" w:rsidRPr="006F304D">
        <w:t xml:space="preserve">, </w:t>
      </w:r>
      <w:r w:rsidRPr="005C0DF3">
        <w:t>or contrasted with it</w:t>
      </w:r>
      <w:r w:rsidR="006F304D" w:rsidRPr="006F304D">
        <w:t xml:space="preserve">, </w:t>
      </w:r>
      <w:r w:rsidRPr="005C0DF3">
        <w:t>in sense; or similar to it in the form of grammatical con</w:t>
      </w:r>
      <w:r w:rsidRPr="005C0DF3">
        <w:softHyphen/>
        <w:t>struction; these I call parallel lines</w:t>
      </w:r>
      <w:r w:rsidR="006F304D" w:rsidRPr="006F304D">
        <w:t xml:space="preserve">, </w:t>
      </w:r>
      <w:r w:rsidRPr="005C0DF3">
        <w:t>and the words or phras</w:t>
      </w:r>
      <w:r w:rsidRPr="005C0DF3">
        <w:softHyphen/>
        <w:t>es</w:t>
      </w:r>
      <w:r w:rsidR="006F304D" w:rsidRPr="006F304D">
        <w:t xml:space="preserve">, </w:t>
      </w:r>
      <w:r w:rsidRPr="005C0DF3">
        <w:t>answering one to another in the corresponding lines</w:t>
      </w:r>
      <w:r w:rsidR="006F304D" w:rsidRPr="006F304D">
        <w:t xml:space="preserve">, </w:t>
      </w:r>
      <w:r w:rsidRPr="005C0DF3">
        <w:t>parallel terms. Paral</w:t>
      </w:r>
      <w:r w:rsidRPr="005C0DF3">
        <w:softHyphen/>
        <w:t>lel lines may be reduced to three sorts: paral</w:t>
      </w:r>
      <w:r w:rsidRPr="005C0DF3">
        <w:softHyphen/>
        <w:t>lels synonymous</w:t>
      </w:r>
      <w:r w:rsidR="006F304D" w:rsidRPr="006F304D">
        <w:t xml:space="preserve">, </w:t>
      </w:r>
      <w:r w:rsidRPr="005C0DF3">
        <w:t>par</w:t>
      </w:r>
      <w:r w:rsidRPr="005C0DF3">
        <w:softHyphen/>
        <w:t>allels antithetic and parallels synthetic.</w:t>
      </w:r>
      <w:r w:rsidRPr="005C0DF3">
        <w:rPr>
          <w:rStyle w:val="FootnoteReference"/>
        </w:rPr>
        <w:footnoteReference w:id="278"/>
      </w:r>
    </w:p>
    <w:p w14:paraId="22C99367" w14:textId="77777777" w:rsidR="0018433B" w:rsidRDefault="0018433B" w:rsidP="0018433B"/>
    <w:p w14:paraId="2A289BCE" w14:textId="2151EEC9" w:rsidR="0018433B" w:rsidRPr="005C0DF3" w:rsidRDefault="0018433B" w:rsidP="0018433B">
      <w:r w:rsidRPr="005C0DF3">
        <w:t>Like Ben</w:t>
      </w:r>
      <w:r w:rsidRPr="005C0DF3">
        <w:softHyphen/>
        <w:t>gel</w:t>
      </w:r>
      <w:r w:rsidR="006F304D" w:rsidRPr="006F304D">
        <w:t xml:space="preserve">, </w:t>
      </w:r>
      <w:r w:rsidRPr="005C0DF3">
        <w:t>Lowth’s obser</w:t>
      </w:r>
      <w:r w:rsidRPr="005C0DF3">
        <w:softHyphen/>
        <w:t>va</w:t>
      </w:r>
      <w:r w:rsidRPr="005C0DF3">
        <w:softHyphen/>
        <w:t>tions went no further than sim</w:t>
      </w:r>
      <w:r w:rsidRPr="005C0DF3">
        <w:softHyphen/>
        <w:t>ple couplets and quatrains.</w:t>
      </w:r>
    </w:p>
    <w:p w14:paraId="72EDE8F4" w14:textId="58196817" w:rsidR="0018433B" w:rsidRDefault="0018433B" w:rsidP="0018433B">
      <w:r>
        <w:tab/>
      </w:r>
      <w:r w:rsidRPr="005C0DF3">
        <w:t>Lowth’s three types of parallelism remain the basic forms recog</w:t>
      </w:r>
      <w:r w:rsidRPr="005C0DF3">
        <w:softHyphen/>
        <w:t>nized today. Just as Lund’s work on chiasm remains the standard study of that device</w:t>
      </w:r>
      <w:r w:rsidR="006F304D" w:rsidRPr="006F304D">
        <w:t xml:space="preserve">, </w:t>
      </w:r>
      <w:r w:rsidRPr="005C0DF3">
        <w:t xml:space="preserve">so </w:t>
      </w:r>
      <w:r w:rsidR="00714629" w:rsidRPr="00714629">
        <w:rPr>
          <w:iCs/>
        </w:rPr>
        <w:t>C.F.</w:t>
      </w:r>
      <w:r w:rsidRPr="005C0DF3">
        <w:t xml:space="preserve"> Burney’s </w:t>
      </w:r>
      <w:r w:rsidRPr="005C0DF3">
        <w:rPr>
          <w:i/>
        </w:rPr>
        <w:t>The Poetry of Our Lord</w:t>
      </w:r>
      <w:r w:rsidRPr="005C0DF3">
        <w:t xml:space="preserve"> remains the classic presenta</w:t>
      </w:r>
      <w:r w:rsidRPr="005C0DF3">
        <w:softHyphen/>
        <w:t>tion of par</w:t>
      </w:r>
      <w:r w:rsidRPr="005C0DF3">
        <w:softHyphen/>
        <w:t>al</w:t>
      </w:r>
      <w:r w:rsidRPr="005C0DF3">
        <w:softHyphen/>
        <w:t xml:space="preserve">lelism. Burney defines the first of </w:t>
      </w:r>
      <w:proofErr w:type="spellStart"/>
      <w:r w:rsidRPr="005C0DF3">
        <w:t>Lowth’s</w:t>
      </w:r>
      <w:proofErr w:type="spellEnd"/>
      <w:r w:rsidRPr="005C0DF3">
        <w:t xml:space="preserve"> three forms as fol</w:t>
      </w:r>
      <w:r w:rsidRPr="005C0DF3">
        <w:softHyphen/>
        <w:t>lows: “</w:t>
      </w:r>
      <w:r w:rsidRPr="005C0DF3">
        <w:rPr>
          <w:i/>
        </w:rPr>
        <w:t>Synonymous Parallel</w:t>
      </w:r>
      <w:r w:rsidRPr="005C0DF3">
        <w:rPr>
          <w:i/>
        </w:rPr>
        <w:softHyphen/>
        <w:t>ism</w:t>
      </w:r>
      <w:r w:rsidRPr="005C0DF3">
        <w:t xml:space="preserve"> </w:t>
      </w:r>
      <w:r w:rsidRPr="00963D68">
        <w:t>. . .</w:t>
      </w:r>
      <w:r w:rsidRPr="005C0DF3">
        <w:t xml:space="preserve"> is a corres</w:t>
      </w:r>
      <w:r w:rsidRPr="005C0DF3">
        <w:softHyphen/>
        <w:t>pond</w:t>
      </w:r>
      <w:r w:rsidRPr="005C0DF3">
        <w:softHyphen/>
        <w:t>ence in idea between the two lines of a couplet</w:t>
      </w:r>
      <w:r w:rsidR="006F304D" w:rsidRPr="006F304D">
        <w:t xml:space="preserve">, </w:t>
      </w:r>
      <w:r w:rsidRPr="005C0DF3">
        <w:t>the second line rein</w:t>
      </w:r>
      <w:r w:rsidRPr="005C0DF3">
        <w:softHyphen/>
        <w:t xml:space="preserve">forcing </w:t>
      </w:r>
      <w:r w:rsidRPr="00963D68">
        <w:t>. . .</w:t>
      </w:r>
      <w:r w:rsidRPr="005C0DF3">
        <w:t xml:space="preserve"> the first in equi</w:t>
      </w:r>
      <w:r w:rsidRPr="005C0DF3">
        <w:softHyphen/>
        <w:t>va</w:t>
      </w:r>
      <w:r w:rsidRPr="005C0DF3">
        <w:softHyphen/>
        <w:t>lent</w:t>
      </w:r>
      <w:r w:rsidR="006F304D" w:rsidRPr="006F304D">
        <w:t xml:space="preserve">, </w:t>
      </w:r>
      <w:r w:rsidRPr="005C0DF3">
        <w:t>though different</w:t>
      </w:r>
      <w:r w:rsidR="006F304D" w:rsidRPr="006F304D">
        <w:t xml:space="preserve">, </w:t>
      </w:r>
      <w:r w:rsidRPr="005C0DF3">
        <w:t>terms.”</w:t>
      </w:r>
      <w:r w:rsidRPr="005C0DF3">
        <w:rPr>
          <w:rStyle w:val="FootnoteReference"/>
        </w:rPr>
        <w:footnoteReference w:id="279"/>
      </w:r>
      <w:r w:rsidRPr="005C0DF3">
        <w:t xml:space="preserve"> Bur</w:t>
      </w:r>
      <w:r w:rsidRPr="005C0DF3">
        <w:softHyphen/>
        <w:t>ney notes that “The most per</w:t>
      </w:r>
      <w:r w:rsidRPr="005C0DF3">
        <w:softHyphen/>
        <w:t>fect ex</w:t>
      </w:r>
      <w:r w:rsidRPr="005C0DF3">
        <w:softHyphen/>
        <w:t>em</w:t>
      </w:r>
      <w:r w:rsidRPr="005C0DF3">
        <w:softHyphen/>
        <w:t>plifica</w:t>
      </w:r>
      <w:r w:rsidRPr="005C0DF3">
        <w:softHyphen/>
        <w:t>tion of this form of composition is when each member of the one line (</w:t>
      </w:r>
      <w:r w:rsidR="00775F9B" w:rsidRPr="00775F9B">
        <w:rPr>
          <w:iCs/>
        </w:rPr>
        <w:t>e.g.</w:t>
      </w:r>
      <w:r w:rsidRPr="005C0DF3">
        <w:t xml:space="preserve"> subject</w:t>
      </w:r>
      <w:r w:rsidR="006F304D" w:rsidRPr="006F304D">
        <w:t xml:space="preserve">, </w:t>
      </w:r>
      <w:r w:rsidRPr="005C0DF3">
        <w:t>verb</w:t>
      </w:r>
      <w:r w:rsidR="006F304D" w:rsidRPr="006F304D">
        <w:t xml:space="preserve">, </w:t>
      </w:r>
      <w:r w:rsidRPr="005C0DF3">
        <w:t>and object) is reproduced by a corre</w:t>
      </w:r>
      <w:r w:rsidRPr="005C0DF3">
        <w:softHyphen/>
        <w:t>sponding term in the par</w:t>
      </w:r>
      <w:r w:rsidRPr="005C0DF3">
        <w:softHyphen/>
        <w:t>al</w:t>
      </w:r>
      <w:r w:rsidRPr="005C0DF3">
        <w:softHyphen/>
        <w:t>lel line.”</w:t>
      </w:r>
      <w:r w:rsidRPr="005C0DF3">
        <w:rPr>
          <w:rStyle w:val="FootnoteReference"/>
        </w:rPr>
        <w:footnoteReference w:id="280"/>
      </w:r>
      <w:r w:rsidRPr="005C0DF3">
        <w:t xml:space="preserve"> He cites Ps 19:1-2: “The heav</w:t>
      </w:r>
      <w:r w:rsidRPr="005C0DF3">
        <w:softHyphen/>
        <w:t>ens are telling the glory of God; and the firma</w:t>
      </w:r>
      <w:r w:rsidRPr="005C0DF3">
        <w:softHyphen/>
        <w:t>ment pro</w:t>
      </w:r>
      <w:r w:rsidRPr="005C0DF3">
        <w:softHyphen/>
        <w:t>claims his handi</w:t>
      </w:r>
      <w:r w:rsidRPr="005C0DF3">
        <w:softHyphen/>
        <w:t>work. Day to day pours forth speech</w:t>
      </w:r>
      <w:r w:rsidR="006F304D" w:rsidRPr="006F304D">
        <w:t xml:space="preserve">, </w:t>
      </w:r>
      <w:r w:rsidRPr="005C0DF3">
        <w:t>and night to night de</w:t>
      </w:r>
      <w:r w:rsidRPr="005C0DF3">
        <w:softHyphen/>
        <w:t>clares knowl</w:t>
      </w:r>
      <w:r w:rsidRPr="005C0DF3">
        <w:softHyphen/>
        <w:t>edge.” But incomplete parallelism is more often the case:</w:t>
      </w:r>
    </w:p>
    <w:p w14:paraId="2C0EBE8B" w14:textId="77777777" w:rsidR="0018433B" w:rsidRPr="005C0DF3" w:rsidRDefault="0018433B" w:rsidP="0018433B"/>
    <w:p w14:paraId="4CB0B589" w14:textId="2F2810F4" w:rsidR="0018433B" w:rsidRPr="005C0DF3" w:rsidRDefault="0018433B" w:rsidP="0018433B">
      <w:pPr>
        <w:ind w:left="720" w:right="720"/>
      </w:pPr>
      <w:r w:rsidRPr="005C0DF3">
        <w:lastRenderedPageBreak/>
        <w:t xml:space="preserve">It frequently happens </w:t>
      </w:r>
      <w:r w:rsidRPr="00963D68">
        <w:t>. . .</w:t>
      </w:r>
      <w:r w:rsidRPr="005C0DF3">
        <w:t xml:space="preserve"> that </w:t>
      </w:r>
      <w:proofErr w:type="spellStart"/>
      <w:r w:rsidRPr="005C0DF3">
        <w:t>some one</w:t>
      </w:r>
      <w:proofErr w:type="spellEnd"/>
      <w:r w:rsidRPr="005C0DF3">
        <w:t xml:space="preserve"> member of the first stichos (es</w:t>
      </w:r>
      <w:r w:rsidRPr="005C0DF3">
        <w:softHyphen/>
        <w:t>pe</w:t>
      </w:r>
      <w:r w:rsidRPr="005C0DF3">
        <w:softHyphen/>
        <w:t>cially a verb) may extend its in</w:t>
      </w:r>
      <w:r w:rsidRPr="005C0DF3">
        <w:softHyphen/>
        <w:t>fluence into the second sti</w:t>
      </w:r>
      <w:r w:rsidRPr="005C0DF3">
        <w:softHyphen/>
        <w:t>chos</w:t>
      </w:r>
      <w:r w:rsidR="006F304D" w:rsidRPr="006F304D">
        <w:t xml:space="preserve">, </w:t>
      </w:r>
      <w:r w:rsidRPr="005C0DF3">
        <w:t>which thus possesses no synonym to form an equivalent rhyth</w:t>
      </w:r>
      <w:r w:rsidRPr="005C0DF3">
        <w:softHyphen/>
        <w:t>mical balance. In such a case it is commonly found that the equiv</w:t>
      </w:r>
      <w:r w:rsidRPr="005C0DF3">
        <w:softHyphen/>
        <w:t xml:space="preserve">alent in stichos </w:t>
      </w:r>
      <w:r w:rsidRPr="005C0DF3">
        <w:rPr>
          <w:i/>
        </w:rPr>
        <w:t>b</w:t>
      </w:r>
      <w:r w:rsidRPr="005C0DF3">
        <w:t xml:space="preserve"> of one of the other terms in stichos </w:t>
      </w:r>
      <w:r w:rsidRPr="005C0DF3">
        <w:rPr>
          <w:i/>
        </w:rPr>
        <w:t>a</w:t>
      </w:r>
      <w:r w:rsidRPr="005C0DF3">
        <w:t xml:space="preserve"> is </w:t>
      </w:r>
      <w:r w:rsidRPr="005C0DF3">
        <w:rPr>
          <w:i/>
        </w:rPr>
        <w:t>a com</w:t>
      </w:r>
      <w:r w:rsidRPr="005C0DF3">
        <w:rPr>
          <w:i/>
        </w:rPr>
        <w:softHyphen/>
        <w:t>pound one</w:t>
      </w:r>
      <w:r w:rsidR="006F304D" w:rsidRPr="006F304D">
        <w:t xml:space="preserve">, </w:t>
      </w:r>
      <w:r w:rsidRPr="005C0DF3">
        <w:t>of</w:t>
      </w:r>
      <w:r w:rsidRPr="005C0DF3">
        <w:softHyphen/>
        <w:t>fer</w:t>
      </w:r>
      <w:r w:rsidRPr="005C0DF3">
        <w:softHyphen/>
        <w:t>ing two stress-accents</w:t>
      </w:r>
      <w:r w:rsidR="006F304D" w:rsidRPr="006F304D">
        <w:t xml:space="preserve">, </w:t>
      </w:r>
      <w:r w:rsidRPr="005C0DF3">
        <w:t>and thus redressing the rhythmi</w:t>
      </w:r>
      <w:r w:rsidRPr="005C0DF3">
        <w:softHyphen/>
        <w:t>cal imbal</w:t>
      </w:r>
      <w:r w:rsidRPr="005C0DF3">
        <w:softHyphen/>
        <w:t>ance.</w:t>
      </w:r>
      <w:r w:rsidRPr="005C0DF3">
        <w:rPr>
          <w:rStyle w:val="FootnoteReference"/>
        </w:rPr>
        <w:footnoteReference w:id="281"/>
      </w:r>
    </w:p>
    <w:p w14:paraId="323116D9" w14:textId="77777777" w:rsidR="0018433B" w:rsidRDefault="0018433B" w:rsidP="0018433B"/>
    <w:p w14:paraId="204640A6" w14:textId="36C1E5E0" w:rsidR="0018433B" w:rsidRDefault="0018433B" w:rsidP="0018433B">
      <w:r w:rsidRPr="005C0DF3">
        <w:t>Here Burney cites Ps 24:5</w:t>
      </w:r>
      <w:r w:rsidR="006F304D" w:rsidRPr="006F304D">
        <w:t xml:space="preserve">, </w:t>
      </w:r>
      <w:r w:rsidRPr="005C0DF3">
        <w:t>whose pattern</w:t>
      </w:r>
      <w:r w:rsidR="006F304D" w:rsidRPr="006F304D">
        <w:t xml:space="preserve">, </w:t>
      </w:r>
      <w:r w:rsidRPr="005C0DF3">
        <w:t>he says</w:t>
      </w:r>
      <w:r w:rsidR="006F304D" w:rsidRPr="006F304D">
        <w:t xml:space="preserve">, </w:t>
      </w:r>
      <w:r w:rsidRPr="005C0DF3">
        <w:t>is “</w:t>
      </w:r>
      <w:r w:rsidRPr="005C0DF3">
        <w:rPr>
          <w:i/>
        </w:rPr>
        <w:t>a</w:t>
      </w:r>
      <w:r w:rsidR="006F304D" w:rsidRPr="006F304D">
        <w:t xml:space="preserve">, </w:t>
      </w:r>
      <w:r w:rsidRPr="005C0DF3">
        <w:rPr>
          <w:i/>
        </w:rPr>
        <w:t>b</w:t>
      </w:r>
      <w:r w:rsidR="006F304D" w:rsidRPr="006F304D">
        <w:t xml:space="preserve">, </w:t>
      </w:r>
      <w:r w:rsidRPr="005C0DF3">
        <w:rPr>
          <w:i/>
        </w:rPr>
        <w:t>c</w:t>
      </w:r>
      <w:r w:rsidRPr="005C0DF3">
        <w:t xml:space="preserve">; </w:t>
      </w:r>
      <w:r w:rsidRPr="005C0DF3">
        <w:rPr>
          <w:i/>
        </w:rPr>
        <w:t>b</w:t>
      </w:r>
      <w:r w:rsidR="006F304D" w:rsidRPr="006F304D">
        <w:t xml:space="preserve">, </w:t>
      </w:r>
      <w:r w:rsidRPr="005C0DF3">
        <w:rPr>
          <w:i/>
        </w:rPr>
        <w:t>c</w:t>
      </w:r>
      <w:r w:rsidRPr="005C0DF3">
        <w:rPr>
          <w:vertAlign w:val="superscript"/>
        </w:rPr>
        <w:t>2</w:t>
      </w:r>
      <w:r w:rsidRPr="005C0DF3">
        <w:t>.”</w:t>
      </w:r>
    </w:p>
    <w:p w14:paraId="422AF486" w14:textId="77777777" w:rsidR="0018433B" w:rsidRPr="005C0DF3" w:rsidRDefault="0018433B" w:rsidP="0018433B"/>
    <w:p w14:paraId="04F398D1" w14:textId="77777777" w:rsidR="0018433B" w:rsidRPr="005C0DF3" w:rsidRDefault="0018433B" w:rsidP="0018433B">
      <w:pPr>
        <w:ind w:firstLine="720"/>
      </w:pPr>
      <w:r w:rsidRPr="005C0DF3">
        <w:t>He shall receive</w:t>
      </w:r>
      <w:r w:rsidRPr="005C0DF3">
        <w:tab/>
        <w:t>| a blessing</w:t>
      </w:r>
      <w:r w:rsidRPr="005C0DF3">
        <w:tab/>
      </w:r>
      <w:r w:rsidRPr="005C0DF3">
        <w:tab/>
        <w:t>| from Yahweh</w:t>
      </w:r>
    </w:p>
    <w:p w14:paraId="103A3F21" w14:textId="77777777" w:rsidR="0018433B" w:rsidRPr="005C0DF3" w:rsidRDefault="0018433B" w:rsidP="0018433B">
      <w:pPr>
        <w:ind w:firstLine="2880"/>
      </w:pPr>
      <w:r w:rsidRPr="005C0DF3">
        <w:t xml:space="preserve">| And righteousness </w:t>
      </w:r>
      <w:r w:rsidRPr="005C0DF3">
        <w:tab/>
        <w:t>| from the God of his salvation.</w:t>
      </w:r>
      <w:r w:rsidRPr="005C0DF3">
        <w:rPr>
          <w:rStyle w:val="FootnoteReference"/>
        </w:rPr>
        <w:footnoteReference w:id="282"/>
      </w:r>
    </w:p>
    <w:p w14:paraId="2594871E" w14:textId="77777777" w:rsidR="0018433B" w:rsidRDefault="0018433B" w:rsidP="0018433B"/>
    <w:p w14:paraId="4E10513B" w14:textId="63F61C75" w:rsidR="0018433B" w:rsidRPr="005C0DF3" w:rsidRDefault="0018433B" w:rsidP="0018433B">
      <w:r>
        <w:tab/>
      </w:r>
      <w:r w:rsidRPr="005C0DF3">
        <w:t>In the second type of parallelism</w:t>
      </w:r>
      <w:r w:rsidR="006F304D" w:rsidRPr="006F304D">
        <w:t xml:space="preserve">, </w:t>
      </w:r>
      <w:r w:rsidRPr="005C0DF3">
        <w:t>antithetic</w:t>
      </w:r>
      <w:r w:rsidR="006F304D" w:rsidRPr="006F304D">
        <w:t xml:space="preserve">, </w:t>
      </w:r>
      <w:r w:rsidRPr="005C0DF3">
        <w:t>“term an</w:t>
      </w:r>
      <w:r w:rsidRPr="005C0DF3">
        <w:softHyphen/>
        <w:t>swer[s] to term in the contrasted statements of the par</w:t>
      </w:r>
      <w:r w:rsidRPr="005C0DF3">
        <w:softHyphen/>
        <w:t>allel lines.”</w:t>
      </w:r>
      <w:r w:rsidRPr="005C0DF3">
        <w:rPr>
          <w:rStyle w:val="FootnoteReference"/>
        </w:rPr>
        <w:footnoteReference w:id="283"/>
      </w:r>
      <w:r w:rsidRPr="005C0DF3">
        <w:t xml:space="preserve"> Antithetic parallelism is far less frequent in the Psalms than syn</w:t>
      </w:r>
      <w:r w:rsidRPr="005C0DF3">
        <w:softHyphen/>
        <w:t>onymous par</w:t>
      </w:r>
      <w:r w:rsidRPr="005C0DF3">
        <w:softHyphen/>
        <w:t>allelism but is es</w:t>
      </w:r>
      <w:r w:rsidRPr="005C0DF3">
        <w:softHyphen/>
        <w:t>pecially charac</w:t>
      </w:r>
      <w:r w:rsidRPr="005C0DF3">
        <w:softHyphen/>
        <w:t>teristic of wis</w:t>
      </w:r>
      <w:r w:rsidRPr="005C0DF3">
        <w:softHyphen/>
        <w:t>dom litera</w:t>
      </w:r>
      <w:r w:rsidRPr="005C0DF3">
        <w:softHyphen/>
        <w:t>ture</w:t>
      </w:r>
      <w:r w:rsidRPr="005C0DF3">
        <w:rPr>
          <w:rStyle w:val="FootnoteReference"/>
        </w:rPr>
        <w:footnoteReference w:id="284"/>
      </w:r>
      <w:r w:rsidRPr="005C0DF3">
        <w:t>—perhaps</w:t>
      </w:r>
      <w:r w:rsidR="006F304D" w:rsidRPr="006F304D">
        <w:t xml:space="preserve">, </w:t>
      </w:r>
      <w:r w:rsidRPr="005C0DF3">
        <w:t>Burney sug</w:t>
      </w:r>
      <w:r w:rsidRPr="005C0DF3">
        <w:softHyphen/>
        <w:t>gests</w:t>
      </w:r>
      <w:r w:rsidR="006F304D" w:rsidRPr="006F304D">
        <w:t xml:space="preserve">, </w:t>
      </w:r>
      <w:r w:rsidRPr="005C0DF3">
        <w:t>because “a maxim cast in An</w:t>
      </w:r>
      <w:r w:rsidRPr="005C0DF3">
        <w:softHyphen/>
        <w:t>tithetic paral</w:t>
      </w:r>
      <w:r w:rsidRPr="005C0DF3">
        <w:softHyphen/>
        <w:t>lelism would fix it</w:t>
      </w:r>
      <w:r w:rsidRPr="005C0DF3">
        <w:softHyphen/>
        <w:t>self in men’s minds more readily and surely than if it were framed in any other form.”</w:t>
      </w:r>
      <w:r w:rsidRPr="005C0DF3">
        <w:rPr>
          <w:rStyle w:val="FootnoteReference"/>
        </w:rPr>
        <w:footnoteReference w:id="285"/>
      </w:r>
      <w:r w:rsidRPr="005C0DF3">
        <w:t xml:space="preserve"> An example </w:t>
      </w:r>
      <w:r w:rsidRPr="005C0DF3">
        <w:softHyphen/>
        <w:t>is Prov 10:1: “A wise son makes a glad fa</w:t>
      </w:r>
      <w:r w:rsidRPr="005C0DF3">
        <w:softHyphen/>
        <w:t>ther</w:t>
      </w:r>
      <w:r w:rsidR="006F304D" w:rsidRPr="006F304D">
        <w:t xml:space="preserve">, </w:t>
      </w:r>
      <w:r w:rsidRPr="005C0DF3">
        <w:t>but a foolish son is a sorrow to his moth</w:t>
      </w:r>
      <w:r w:rsidRPr="005C0DF3">
        <w:softHyphen/>
        <w:t>er.”</w:t>
      </w:r>
      <w:r w:rsidRPr="005C0DF3">
        <w:rPr>
          <w:rStyle w:val="FootnoteReference"/>
        </w:rPr>
        <w:footnoteReference w:id="286"/>
      </w:r>
    </w:p>
    <w:p w14:paraId="63091B46" w14:textId="076D9299" w:rsidR="0018433B" w:rsidRDefault="0018433B" w:rsidP="0018433B">
      <w:r>
        <w:tab/>
      </w:r>
      <w:r w:rsidRPr="005C0DF3">
        <w:t xml:space="preserve">Of </w:t>
      </w:r>
      <w:proofErr w:type="spellStart"/>
      <w:r w:rsidRPr="005C0DF3">
        <w:t>Lowth’s</w:t>
      </w:r>
      <w:proofErr w:type="spellEnd"/>
      <w:r w:rsidRPr="005C0DF3">
        <w:t xml:space="preserve"> third type</w:t>
      </w:r>
      <w:r w:rsidR="006F304D" w:rsidRPr="006F304D">
        <w:t xml:space="preserve">, </w:t>
      </w:r>
      <w:r w:rsidRPr="005C0DF3">
        <w:t>Burney says: “In Synthetic or Constructive paral</w:t>
      </w:r>
      <w:r w:rsidRPr="005C0DF3">
        <w:softHyphen/>
        <w:t xml:space="preserve">lelism </w:t>
      </w:r>
      <w:r w:rsidRPr="00963D68">
        <w:t>. . .</w:t>
      </w:r>
      <w:r w:rsidRPr="005C0DF3">
        <w:t xml:space="preserve"> the second line of a couplet neither repeats nor contrasts with the sense of the first</w:t>
      </w:r>
      <w:r w:rsidR="006F304D" w:rsidRPr="006F304D">
        <w:t xml:space="preserve">, </w:t>
      </w:r>
      <w:r w:rsidRPr="005C0DF3">
        <w:t>but the sense flows on continuously</w:t>
      </w:r>
      <w:r w:rsidR="006F304D" w:rsidRPr="006F304D">
        <w:t xml:space="preserve">, </w:t>
      </w:r>
      <w:r w:rsidRPr="005C0DF3">
        <w:t>much as in prose.”</w:t>
      </w:r>
      <w:r w:rsidRPr="005C0DF3">
        <w:rPr>
          <w:rStyle w:val="FootnoteReference"/>
        </w:rPr>
        <w:footnoteReference w:id="287"/>
      </w:r>
      <w:r w:rsidRPr="005C0DF3">
        <w:t xml:space="preserve"> This descrip</w:t>
      </w:r>
      <w:r w:rsidRPr="005C0DF3">
        <w:softHyphen/>
        <w:t>tion raises the question why such lines should be consid</w:t>
      </w:r>
      <w:r w:rsidRPr="005C0DF3">
        <w:softHyphen/>
        <w:t>ered in</w:t>
      </w:r>
      <w:r w:rsidRPr="005C0DF3">
        <w:softHyphen/>
        <w:t>stances of par</w:t>
      </w:r>
      <w:r w:rsidRPr="005C0DF3">
        <w:softHyphen/>
        <w:t>al</w:t>
      </w:r>
      <w:r w:rsidRPr="005C0DF3">
        <w:softHyphen/>
        <w:t>lelism at all. The two clauses in the sentence just quoted from Burney</w:t>
      </w:r>
      <w:r w:rsidR="006F304D" w:rsidRPr="006F304D">
        <w:t xml:space="preserve">, </w:t>
      </w:r>
      <w:r w:rsidRPr="005C0DF3">
        <w:t>for exam</w:t>
      </w:r>
      <w:r w:rsidRPr="005C0DF3">
        <w:softHyphen/>
        <w:t>ple</w:t>
      </w:r>
      <w:r w:rsidR="006F304D" w:rsidRPr="006F304D">
        <w:t xml:space="preserve">, </w:t>
      </w:r>
      <w:r w:rsidRPr="005C0DF3">
        <w:t>fit his description</w:t>
      </w:r>
      <w:r w:rsidR="006F304D" w:rsidRPr="006F304D">
        <w:t xml:space="preserve">, </w:t>
      </w:r>
      <w:r w:rsidRPr="005C0DF3">
        <w:t>yet can hardly be called par</w:t>
      </w:r>
      <w:r w:rsidRPr="005C0DF3">
        <w:softHyphen/>
        <w:t>allel</w:t>
      </w:r>
      <w:r w:rsidRPr="005C0DF3">
        <w:softHyphen/>
        <w:t xml:space="preserve">ism. </w:t>
      </w:r>
      <w:r w:rsidRPr="005C0DF3">
        <w:rPr>
          <w:rStyle w:val="FootnoteReference"/>
        </w:rPr>
        <w:footnoteReference w:id="288"/>
      </w:r>
      <w:r w:rsidRPr="005C0DF3">
        <w:t xml:space="preserve"> At any rate</w:t>
      </w:r>
      <w:r w:rsidR="006F304D" w:rsidRPr="006F304D">
        <w:t xml:space="preserve">, </w:t>
      </w:r>
      <w:r w:rsidRPr="005C0DF3">
        <w:t>Burney cites</w:t>
      </w:r>
      <w:r w:rsidR="006F304D" w:rsidRPr="006F304D">
        <w:t xml:space="preserve">, </w:t>
      </w:r>
      <w:r w:rsidRPr="005C0DF3">
        <w:t>as an example of synthetic parallelism</w:t>
      </w:r>
      <w:r w:rsidR="006F304D" w:rsidRPr="006F304D">
        <w:t xml:space="preserve">, </w:t>
      </w:r>
      <w:r w:rsidRPr="005C0DF3">
        <w:t>Psalm 40:1-3.</w:t>
      </w:r>
    </w:p>
    <w:p w14:paraId="6F683A46" w14:textId="77777777" w:rsidR="0018433B" w:rsidRPr="005C0DF3" w:rsidRDefault="0018433B" w:rsidP="0018433B"/>
    <w:p w14:paraId="0C907436" w14:textId="77777777" w:rsidR="0018433B" w:rsidRPr="005C0DF3" w:rsidRDefault="0018433B" w:rsidP="0018433B">
      <w:pPr>
        <w:ind w:left="720" w:right="720"/>
      </w:pPr>
      <w:r w:rsidRPr="005C0DF3">
        <w:t>I waited patient</w:t>
      </w:r>
      <w:r w:rsidRPr="005C0DF3">
        <w:softHyphen/>
        <w:t xml:space="preserve">ly for the </w:t>
      </w:r>
      <w:r w:rsidRPr="005C0DF3">
        <w:rPr>
          <w:smallCaps/>
        </w:rPr>
        <w:t>Lord</w:t>
      </w:r>
      <w:r w:rsidRPr="005C0DF3">
        <w:t>;</w:t>
      </w:r>
    </w:p>
    <w:p w14:paraId="1CC6FAEF" w14:textId="77777777" w:rsidR="0018433B" w:rsidRPr="005C0DF3" w:rsidRDefault="0018433B" w:rsidP="0018433B">
      <w:pPr>
        <w:ind w:left="720"/>
      </w:pPr>
      <w:r w:rsidRPr="005C0DF3">
        <w:t>he inclined to me and heard my cry.</w:t>
      </w:r>
    </w:p>
    <w:p w14:paraId="189568F6" w14:textId="6AD1B7EF" w:rsidR="0018433B" w:rsidRPr="005C0DF3" w:rsidRDefault="0018433B" w:rsidP="0018433B">
      <w:pPr>
        <w:ind w:left="720"/>
      </w:pPr>
      <w:r w:rsidRPr="005C0DF3">
        <w:t>He drew me up from the desolate pit</w:t>
      </w:r>
      <w:r w:rsidR="006F304D" w:rsidRPr="006F304D">
        <w:t xml:space="preserve">, </w:t>
      </w:r>
      <w:r w:rsidRPr="005C0DF3">
        <w:t>out of the miry bog,</w:t>
      </w:r>
    </w:p>
    <w:p w14:paraId="36E85971" w14:textId="7600E0CF" w:rsidR="0018433B" w:rsidRPr="005C0DF3" w:rsidRDefault="0018433B" w:rsidP="0018433B">
      <w:pPr>
        <w:ind w:left="720"/>
      </w:pPr>
      <w:r w:rsidRPr="005C0DF3">
        <w:t>and set my feet upon a rock</w:t>
      </w:r>
      <w:r w:rsidR="006F304D" w:rsidRPr="006F304D">
        <w:t xml:space="preserve">, </w:t>
      </w:r>
      <w:r w:rsidRPr="005C0DF3">
        <w:t>making my steps secure.</w:t>
      </w:r>
    </w:p>
    <w:p w14:paraId="0ABC271C" w14:textId="77777777" w:rsidR="0018433B" w:rsidRPr="005C0DF3" w:rsidRDefault="0018433B" w:rsidP="0018433B">
      <w:pPr>
        <w:ind w:left="720"/>
      </w:pPr>
      <w:r w:rsidRPr="005C0DF3">
        <w:t>He put a new song in my mouth,</w:t>
      </w:r>
    </w:p>
    <w:p w14:paraId="6F351597" w14:textId="77777777" w:rsidR="0018433B" w:rsidRPr="005C0DF3" w:rsidRDefault="0018433B" w:rsidP="0018433B">
      <w:pPr>
        <w:ind w:left="720"/>
      </w:pPr>
      <w:r w:rsidRPr="005C0DF3">
        <w:t>a song of praise to our God.</w:t>
      </w:r>
    </w:p>
    <w:p w14:paraId="628A3970" w14:textId="77777777" w:rsidR="0018433B" w:rsidRPr="005C0DF3" w:rsidRDefault="0018433B" w:rsidP="0018433B">
      <w:pPr>
        <w:ind w:left="720"/>
      </w:pPr>
      <w:r w:rsidRPr="005C0DF3">
        <w:t>Many will see and fear,</w:t>
      </w:r>
    </w:p>
    <w:p w14:paraId="6BCA79FE" w14:textId="77777777" w:rsidR="0018433B" w:rsidRPr="005C0DF3" w:rsidRDefault="0018433B" w:rsidP="0018433B">
      <w:pPr>
        <w:ind w:left="720"/>
      </w:pPr>
      <w:r w:rsidRPr="005C0DF3">
        <w:t xml:space="preserve">and put their trust in the </w:t>
      </w:r>
      <w:r w:rsidRPr="005C0DF3">
        <w:rPr>
          <w:smallCaps/>
        </w:rPr>
        <w:t>Lord</w:t>
      </w:r>
      <w:r w:rsidRPr="005C0DF3">
        <w:t>.</w:t>
      </w:r>
    </w:p>
    <w:p w14:paraId="51B6EC39" w14:textId="77777777" w:rsidR="0018433B" w:rsidRDefault="0018433B" w:rsidP="0018433B"/>
    <w:p w14:paraId="719136B9" w14:textId="6BD7358B" w:rsidR="0018433B" w:rsidRDefault="0018433B" w:rsidP="0018433B">
      <w:r>
        <w:tab/>
      </w:r>
      <w:r w:rsidRPr="005C0DF3">
        <w:t>In addition to the three forms of parallelism discerned by Lowth</w:t>
      </w:r>
      <w:r w:rsidR="006F304D" w:rsidRPr="006F304D">
        <w:t xml:space="preserve">, </w:t>
      </w:r>
      <w:r w:rsidRPr="005C0DF3">
        <w:t>Burney believes that he has found a fourth. Calling it “step parallelism,” he detects it in several of the psalms termed “Song of Ascents.”</w:t>
      </w:r>
      <w:r w:rsidRPr="005C0DF3">
        <w:rPr>
          <w:rStyle w:val="FootnoteReference"/>
        </w:rPr>
        <w:footnoteReference w:id="289"/>
      </w:r>
      <w:r w:rsidRPr="005C0DF3">
        <w:t xml:space="preserve"> In step paral</w:t>
      </w:r>
      <w:r w:rsidRPr="005C0DF3">
        <w:softHyphen/>
        <w:t>lelism,</w:t>
      </w:r>
    </w:p>
    <w:p w14:paraId="6AED4640" w14:textId="77777777" w:rsidR="0018433B" w:rsidRPr="005C0DF3" w:rsidRDefault="0018433B" w:rsidP="0018433B"/>
    <w:p w14:paraId="2BACE695" w14:textId="1784162E" w:rsidR="0018433B" w:rsidRPr="005C0DF3" w:rsidRDefault="0018433B" w:rsidP="0018433B">
      <w:pPr>
        <w:ind w:left="720" w:right="720"/>
      </w:pPr>
      <w:r w:rsidRPr="005C0DF3">
        <w:t>a second line takes up a thought con</w:t>
      </w:r>
      <w:r w:rsidRPr="005C0DF3">
        <w:softHyphen/>
        <w:t>tained in the first line</w:t>
      </w:r>
      <w:r w:rsidR="006F304D" w:rsidRPr="006F304D">
        <w:t xml:space="preserve">, </w:t>
      </w:r>
      <w:r w:rsidRPr="005C0DF3">
        <w:t>and</w:t>
      </w:r>
      <w:r w:rsidR="006F304D" w:rsidRPr="006F304D">
        <w:t xml:space="preserve">, </w:t>
      </w:r>
      <w:r w:rsidRPr="005C0DF3">
        <w:t>repeat</w:t>
      </w:r>
      <w:r w:rsidRPr="005C0DF3">
        <w:softHyphen/>
        <w:t>ing it</w:t>
      </w:r>
      <w:r w:rsidR="006F304D" w:rsidRPr="006F304D">
        <w:t xml:space="preserve">, </w:t>
      </w:r>
      <w:r w:rsidRPr="005C0DF3">
        <w:t>makes it as it were a step up</w:t>
      </w:r>
      <w:r w:rsidRPr="005C0DF3">
        <w:softHyphen/>
        <w:t>wards for the develop</w:t>
      </w:r>
      <w:r w:rsidRPr="005C0DF3">
        <w:softHyphen/>
        <w:t>ment of a fur</w:t>
      </w:r>
      <w:r w:rsidRPr="005C0DF3">
        <w:softHyphen/>
        <w:t>ther thought</w:t>
      </w:r>
      <w:r w:rsidR="006F304D" w:rsidRPr="006F304D">
        <w:t xml:space="preserve">, </w:t>
      </w:r>
      <w:r w:rsidRPr="005C0DF3">
        <w:t>which is com</w:t>
      </w:r>
      <w:r w:rsidRPr="005C0DF3">
        <w:softHyphen/>
        <w:t>monly the climax of the whole. Thus the par</w:t>
      </w:r>
      <w:r w:rsidRPr="005C0DF3">
        <w:softHyphen/>
        <w:t>allelism is neither wholly Synonymous nor whol</w:t>
      </w:r>
      <w:r w:rsidRPr="005C0DF3">
        <w:softHyphen/>
        <w:t>ly Synthetic</w:t>
      </w:r>
      <w:r w:rsidR="006F304D" w:rsidRPr="006F304D">
        <w:t xml:space="preserve">, </w:t>
      </w:r>
      <w:r w:rsidRPr="005C0DF3">
        <w:t>but is partly Synony</w:t>
      </w:r>
      <w:r w:rsidRPr="005C0DF3">
        <w:softHyphen/>
        <w:t xml:space="preserve">mous </w:t>
      </w:r>
      <w:r w:rsidRPr="00963D68">
        <w:t>. . .</w:t>
      </w:r>
      <w:r w:rsidRPr="005C0DF3">
        <w:t xml:space="preserve"> and partly Synthet</w:t>
      </w:r>
      <w:r w:rsidRPr="005C0DF3">
        <w:softHyphen/>
        <w:t>ic.</w:t>
      </w:r>
      <w:r w:rsidRPr="005C0DF3">
        <w:rPr>
          <w:rStyle w:val="FootnoteReference"/>
        </w:rPr>
        <w:footnoteReference w:id="290"/>
      </w:r>
    </w:p>
    <w:p w14:paraId="2316BA2C" w14:textId="77777777" w:rsidR="0018433B" w:rsidRDefault="0018433B" w:rsidP="0018433B"/>
    <w:p w14:paraId="39F0EDDF" w14:textId="4005E8FB" w:rsidR="0018433B" w:rsidRPr="005C0DF3" w:rsidRDefault="0018433B" w:rsidP="0018433B">
      <w:r w:rsidRPr="005C0DF3">
        <w:t>He proposes Matthew 6:6 as an example: “pray to your Father who is in secret; and your Father who sees in secret will reward you.” Here “your Father who is/sees in secret” serves as the step</w:t>
      </w:r>
      <w:r w:rsidR="006F304D" w:rsidRPr="006F304D">
        <w:t xml:space="preserve">, </w:t>
      </w:r>
      <w:r w:rsidRPr="005C0DF3">
        <w:t>and “will reward you” is the climax.</w:t>
      </w:r>
      <w:r w:rsidRPr="005C0DF3">
        <w:rPr>
          <w:rStyle w:val="FootnoteReference"/>
        </w:rPr>
        <w:footnoteReference w:id="291"/>
      </w:r>
    </w:p>
    <w:p w14:paraId="6AE24D37" w14:textId="084819C8" w:rsidR="0018433B" w:rsidRDefault="0018433B" w:rsidP="0018433B">
      <w:r>
        <w:lastRenderedPageBreak/>
        <w:tab/>
      </w:r>
      <w:r w:rsidRPr="005C0DF3">
        <w:t>Finally</w:t>
      </w:r>
      <w:r w:rsidR="006F304D" w:rsidRPr="006F304D">
        <w:t xml:space="preserve">, </w:t>
      </w:r>
      <w:r w:rsidRPr="005C0DF3">
        <w:t>mention must be made of the creation of strophes</w:t>
      </w:r>
      <w:r w:rsidR="006F304D" w:rsidRPr="006F304D">
        <w:t xml:space="preserve">, </w:t>
      </w:r>
      <w:r w:rsidRPr="005C0DF3">
        <w:t>either by com</w:t>
      </w:r>
      <w:r w:rsidRPr="005C0DF3">
        <w:softHyphen/>
        <w:t>bining parallel couplets with a line ex</w:t>
      </w:r>
      <w:r w:rsidRPr="005C0DF3">
        <w:softHyphen/>
        <w:t>traneous to the parallelism or by com</w:t>
      </w:r>
      <w:r w:rsidRPr="005C0DF3">
        <w:softHyphen/>
        <w:t>bining parallel couplets. Here is Petrus Dausch</w:t>
      </w:r>
      <w:r>
        <w:t xml:space="preserve"> on strophes</w:t>
      </w:r>
      <w:r w:rsidRPr="005C0DF3">
        <w:t>:</w:t>
      </w:r>
    </w:p>
    <w:p w14:paraId="06B92295" w14:textId="77777777" w:rsidR="0018433B" w:rsidRPr="005C0DF3" w:rsidRDefault="0018433B" w:rsidP="0018433B"/>
    <w:p w14:paraId="07705B50" w14:textId="6946B70E" w:rsidR="0018433B" w:rsidRPr="005C0DF3" w:rsidRDefault="0018433B" w:rsidP="0018433B">
      <w:pPr>
        <w:ind w:left="720" w:right="720"/>
      </w:pPr>
      <w:r w:rsidRPr="005C0DF3">
        <w:t>Strophes result when more [than two] sayings are bound together as a whole. Thus a strophe is already formed when Jesus adds to the begin</w:t>
      </w:r>
      <w:r w:rsidRPr="005C0DF3">
        <w:softHyphen/>
        <w:t>ning of a parallel couplet a type of thesis state</w:t>
      </w:r>
      <w:r w:rsidRPr="005C0DF3">
        <w:softHyphen/>
        <w:t>ment (</w:t>
      </w:r>
      <w:r w:rsidR="00775F9B" w:rsidRPr="00775F9B">
        <w:rPr>
          <w:iCs/>
        </w:rPr>
        <w:t>e.g.</w:t>
      </w:r>
      <w:r w:rsidR="006F304D" w:rsidRPr="006F304D">
        <w:t xml:space="preserve">, </w:t>
      </w:r>
      <w:r w:rsidRPr="005C0DF3">
        <w:t xml:space="preserve">Matt 11:29-30 [“Take my yoke upon you,” etc.]) </w:t>
      </w:r>
      <w:r w:rsidRPr="00963D68">
        <w:t>. . .</w:t>
      </w:r>
      <w:r w:rsidRPr="005C0DF3">
        <w:t xml:space="preserve"> In Matt 6:24 [“You cannot serve God and wealth”] a concluding line rounds off a cou</w:t>
      </w:r>
      <w:r w:rsidRPr="005C0DF3">
        <w:softHyphen/>
        <w:t xml:space="preserve">plet. Longer strophes </w:t>
      </w:r>
      <w:r w:rsidRPr="005C0DF3">
        <w:softHyphen/>
        <w:t>arise when parallel lines (with or with</w:t>
      </w:r>
      <w:r w:rsidRPr="005C0DF3">
        <w:softHyphen/>
        <w:t>out a prefatory or con</w:t>
      </w:r>
      <w:r w:rsidRPr="005C0DF3">
        <w:softHyphen/>
        <w:t>cluding line) com</w:t>
      </w:r>
      <w:r w:rsidRPr="005C0DF3">
        <w:softHyphen/>
        <w:t>bine two or more sentences (</w:t>
      </w:r>
      <w:r w:rsidR="00775F9B" w:rsidRPr="00775F9B">
        <w:rPr>
          <w:iCs/>
        </w:rPr>
        <w:t>e.g.</w:t>
      </w:r>
      <w:r w:rsidR="006F304D" w:rsidRPr="006F304D">
        <w:t xml:space="preserve">, </w:t>
      </w:r>
      <w:r w:rsidRPr="005C0DF3">
        <w:t>Matt 11:25-27 [exultation of Jesus]).</w:t>
      </w:r>
      <w:r w:rsidRPr="005C0DF3">
        <w:rPr>
          <w:rStyle w:val="FootnoteReference"/>
        </w:rPr>
        <w:footnoteReference w:id="292"/>
      </w:r>
      <w:r w:rsidRPr="005C0DF3">
        <w:t xml:space="preserve"> </w:t>
      </w:r>
      <w:r w:rsidRPr="00963D68">
        <w:t>. . .</w:t>
      </w:r>
      <w:r w:rsidRPr="005C0DF3">
        <w:t xml:space="preserve"> According to many exegetes</w:t>
      </w:r>
      <w:r w:rsidR="006F304D" w:rsidRPr="006F304D">
        <w:t xml:space="preserve">, </w:t>
      </w:r>
      <w:r w:rsidRPr="005C0DF3">
        <w:t>the warn</w:t>
      </w:r>
      <w:r w:rsidRPr="005C0DF3">
        <w:softHyphen/>
        <w:t>ing against anxi</w:t>
      </w:r>
      <w:r w:rsidRPr="005C0DF3">
        <w:softHyphen/>
        <w:t>ety (Matt 6:25-34) represents a wonder</w:t>
      </w:r>
      <w:r w:rsidRPr="005C0DF3">
        <w:softHyphen/>
        <w:t>ful didactic poem in which two opening stro</w:t>
      </w:r>
      <w:r w:rsidRPr="005C0DF3">
        <w:softHyphen/>
        <w:t>phes (</w:t>
      </w:r>
      <w:proofErr w:type="spellStart"/>
      <w:r w:rsidRPr="005C0DF3">
        <w:t>vv</w:t>
      </w:r>
      <w:proofErr w:type="spellEnd"/>
      <w:r w:rsidRPr="005C0DF3">
        <w:t xml:space="preserve"> 26-30) are closed by a third (31-33) which harkens back to the beginning. V 34 com</w:t>
      </w:r>
      <w:r w:rsidRPr="005C0DF3">
        <w:softHyphen/>
        <w:t>prises an ap</w:t>
      </w:r>
      <w:r w:rsidRPr="005C0DF3">
        <w:softHyphen/>
        <w:t>pended say</w:t>
      </w:r>
      <w:r w:rsidRPr="005C0DF3">
        <w:softHyphen/>
        <w:t>ing.</w:t>
      </w:r>
      <w:r w:rsidRPr="005C0DF3">
        <w:rPr>
          <w:rStyle w:val="FootnoteReference"/>
        </w:rPr>
        <w:footnoteReference w:id="293"/>
      </w:r>
    </w:p>
    <w:p w14:paraId="7C6BD3D7" w14:textId="77777777" w:rsidR="0018433B" w:rsidRDefault="0018433B" w:rsidP="0018433B"/>
    <w:p w14:paraId="4FAADFC2" w14:textId="62536FDF" w:rsidR="0018433B" w:rsidRPr="005C0DF3" w:rsidRDefault="0018433B" w:rsidP="0018433B">
      <w:r>
        <w:tab/>
      </w:r>
      <w:r w:rsidRPr="005C0DF3">
        <w:t>To what extent did Jesus avail himself of these rhetorical devices of paral</w:t>
      </w:r>
      <w:r w:rsidRPr="005C0DF3">
        <w:softHyphen/>
        <w:t>lelism? According to Burney</w:t>
      </w:r>
      <w:r w:rsidR="006F304D" w:rsidRPr="006F304D">
        <w:t xml:space="preserve">, </w:t>
      </w:r>
      <w:r w:rsidRPr="005C0DF3">
        <w:t>the answer varies with the type of parallelism. Syn</w:t>
      </w:r>
      <w:r w:rsidRPr="005C0DF3">
        <w:softHyphen/>
        <w:t>thetic paral</w:t>
      </w:r>
      <w:r w:rsidRPr="005C0DF3">
        <w:softHyphen/>
        <w:t>lel</w:t>
      </w:r>
      <w:r w:rsidRPr="005C0DF3">
        <w:softHyphen/>
        <w:t>ism is rare: only Matt 23:5-10</w:t>
      </w:r>
      <w:r w:rsidR="006F304D" w:rsidRPr="006F304D">
        <w:t xml:space="preserve">, </w:t>
      </w:r>
      <w:r w:rsidRPr="005C0DF3">
        <w:t>Luke 12:49-51</w:t>
      </w:r>
      <w:r w:rsidR="006F304D" w:rsidRPr="006F304D">
        <w:t xml:space="preserve">, </w:t>
      </w:r>
      <w:r w:rsidRPr="005C0DF3">
        <w:t>and John 8:</w:t>
      </w:r>
      <w:r w:rsidRPr="005C0DF3">
        <w:softHyphen/>
        <w:t>44.</w:t>
      </w:r>
      <w:r w:rsidRPr="005C0DF3">
        <w:rPr>
          <w:rStyle w:val="FootnoteReference"/>
        </w:rPr>
        <w:footnoteReference w:id="294"/>
      </w:r>
      <w:r w:rsidRPr="005C0DF3">
        <w:t xml:space="preserve"> Step parallel</w:t>
      </w:r>
      <w:r w:rsidRPr="005C0DF3">
        <w:softHyphen/>
        <w:t>ism is also used with re</w:t>
      </w:r>
      <w:r w:rsidRPr="005C0DF3">
        <w:softHyphen/>
        <w:t>straint: only ten instances in the synoptics.</w:t>
      </w:r>
      <w:r w:rsidRPr="005C0DF3">
        <w:rPr>
          <w:rStyle w:val="FootnoteReference"/>
        </w:rPr>
        <w:footnoteReference w:id="295"/>
      </w:r>
      <w:r w:rsidRPr="005C0DF3">
        <w:t xml:space="preserve"> Synonymous parallelism is more frequent: twenty-seven in</w:t>
      </w:r>
      <w:r w:rsidRPr="005C0DF3">
        <w:softHyphen/>
        <w:t>stances in the synoptics.</w:t>
      </w:r>
      <w:r w:rsidRPr="005C0DF3">
        <w:rPr>
          <w:rStyle w:val="FootnoteReference"/>
        </w:rPr>
        <w:footnoteReference w:id="296"/>
      </w:r>
      <w:r w:rsidRPr="005C0DF3">
        <w:t xml:space="preserve"> By contrast</w:t>
      </w:r>
      <w:r w:rsidR="006F304D" w:rsidRPr="006F304D">
        <w:t xml:space="preserve">, </w:t>
      </w:r>
      <w:r w:rsidRPr="005C0DF3">
        <w:t>Jesus’ use of an</w:t>
      </w:r>
      <w:r w:rsidRPr="005C0DF3">
        <w:softHyphen/>
        <w:t>tithetic parallelism is so constant as to con</w:t>
      </w:r>
      <w:r w:rsidRPr="005C0DF3">
        <w:softHyphen/>
        <w:t>sti</w:t>
      </w:r>
      <w:r w:rsidRPr="005C0DF3">
        <w:softHyphen/>
        <w:t xml:space="preserve">tute a </w:t>
      </w:r>
      <w:r w:rsidRPr="005C0DF3">
        <w:lastRenderedPageBreak/>
        <w:t>verita</w:t>
      </w:r>
      <w:r w:rsidRPr="005C0DF3">
        <w:softHyphen/>
        <w:t>ble criteri</w:t>
      </w:r>
      <w:r w:rsidRPr="005C0DF3">
        <w:softHyphen/>
        <w:t>on for deter</w:t>
      </w:r>
      <w:r w:rsidRPr="005C0DF3">
        <w:softHyphen/>
        <w:t>mining authenticity.</w:t>
      </w:r>
      <w:r w:rsidRPr="005C0DF3">
        <w:rPr>
          <w:rStyle w:val="FootnoteReference"/>
        </w:rPr>
        <w:footnoteReference w:id="297"/>
      </w:r>
      <w:r w:rsidRPr="005C0DF3">
        <w:t xml:space="preserve"> According to Jeremias</w:t>
      </w:r>
      <w:r w:rsidR="006F304D" w:rsidRPr="006F304D">
        <w:t xml:space="preserve">, </w:t>
      </w:r>
      <w:r w:rsidRPr="005C0DF3">
        <w:t>more than one hundred instances of antithetic parallelism occur in the syn</w:t>
      </w:r>
      <w:r w:rsidRPr="005C0DF3">
        <w:softHyphen/>
        <w:t>optic say</w:t>
      </w:r>
      <w:r w:rsidRPr="005C0DF3">
        <w:softHyphen/>
        <w:t>ings;</w:t>
      </w:r>
      <w:r w:rsidRPr="005C0DF3">
        <w:rPr>
          <w:rStyle w:val="FootnoteReference"/>
        </w:rPr>
        <w:footnoteReference w:id="298"/>
      </w:r>
      <w:r w:rsidRPr="005C0DF3">
        <w:t xml:space="preserve"> they are found in all four strata of tradition</w:t>
      </w:r>
      <w:r w:rsidR="006F304D" w:rsidRPr="006F304D">
        <w:t xml:space="preserve">, </w:t>
      </w:r>
      <w:r w:rsidRPr="005C0DF3">
        <w:t>in roughly equal pro</w:t>
      </w:r>
      <w:r w:rsidRPr="005C0DF3">
        <w:softHyphen/>
        <w:t>portions.</w:t>
      </w:r>
      <w:r w:rsidRPr="005C0DF3">
        <w:rPr>
          <w:rStyle w:val="FootnoteReference"/>
        </w:rPr>
        <w:footnoteReference w:id="299"/>
      </w:r>
      <w:r w:rsidRPr="005C0DF3">
        <w:t xml:space="preserve"> Jesus’ rea</w:t>
      </w:r>
      <w:r w:rsidRPr="005C0DF3">
        <w:softHyphen/>
        <w:t>sons for pre</w:t>
      </w:r>
      <w:r w:rsidRPr="005C0DF3">
        <w:softHyphen/>
        <w:t>fer</w:t>
      </w:r>
      <w:r w:rsidRPr="005C0DF3">
        <w:softHyphen/>
        <w:t>ring antithetic parallelism presumably were “the urgency of this way of speaking</w:t>
      </w:r>
      <w:r w:rsidR="006F304D" w:rsidRPr="006F304D">
        <w:t xml:space="preserve">, </w:t>
      </w:r>
      <w:r w:rsidRPr="005C0DF3">
        <w:t>and the ease with which it can be remem</w:t>
      </w:r>
      <w:r w:rsidRPr="005C0DF3">
        <w:softHyphen/>
        <w:t>bered.”</w:t>
      </w:r>
      <w:r w:rsidRPr="005C0DF3">
        <w:rPr>
          <w:rStyle w:val="FootnoteReference"/>
        </w:rPr>
        <w:footnoteReference w:id="300"/>
      </w:r>
    </w:p>
    <w:p w14:paraId="6956EAAB" w14:textId="661A9531" w:rsidR="0018433B" w:rsidRDefault="0018433B" w:rsidP="0018433B">
      <w:r>
        <w:tab/>
      </w:r>
      <w:r w:rsidRPr="005C0DF3">
        <w:t>In contrast to antithetic parallelisms in the OT and in the Juda</w:t>
      </w:r>
      <w:r w:rsidRPr="005C0DF3">
        <w:softHyphen/>
        <w:t>ism of his own day</w:t>
      </w:r>
      <w:r w:rsidR="006F304D" w:rsidRPr="006F304D">
        <w:t xml:space="preserve">, </w:t>
      </w:r>
      <w:r w:rsidRPr="005C0DF3">
        <w:t>Jesus does not use the device merely to formulate pro</w:t>
      </w:r>
      <w:r w:rsidRPr="005C0DF3">
        <w:softHyphen/>
        <w:t>verbs</w:t>
      </w:r>
      <w:r w:rsidR="006F304D" w:rsidRPr="006F304D">
        <w:t xml:space="preserve">, </w:t>
      </w:r>
      <w:r w:rsidRPr="005C0DF3">
        <w:t>legal axioms</w:t>
      </w:r>
      <w:r w:rsidR="006F304D" w:rsidRPr="006F304D">
        <w:t xml:space="preserve">, </w:t>
      </w:r>
      <w:r w:rsidRPr="005C0DF3">
        <w:t>or apoca</w:t>
      </w:r>
      <w:r w:rsidRPr="005C0DF3">
        <w:softHyphen/>
        <w:t>lyptic sayings</w:t>
      </w:r>
      <w:r w:rsidR="006F304D" w:rsidRPr="006F304D">
        <w:t xml:space="preserve">, </w:t>
      </w:r>
      <w:r w:rsidRPr="005C0DF3">
        <w:t>but uses it</w:t>
      </w:r>
    </w:p>
    <w:p w14:paraId="4675901E" w14:textId="77777777" w:rsidR="0018433B" w:rsidRPr="005C0DF3" w:rsidRDefault="0018433B" w:rsidP="0018433B"/>
    <w:p w14:paraId="27269B41" w14:textId="72F6F918" w:rsidR="0018433B" w:rsidRPr="005C0DF3" w:rsidRDefault="0018433B" w:rsidP="0018433B">
      <w:pPr>
        <w:ind w:left="720" w:right="720"/>
      </w:pPr>
      <w:r w:rsidRPr="005C0DF3">
        <w:t>as a vehicle for attack</w:t>
      </w:r>
      <w:r w:rsidR="006F304D" w:rsidRPr="006F304D">
        <w:t xml:space="preserve">, </w:t>
      </w:r>
      <w:r w:rsidRPr="005C0DF3">
        <w:t>reprimand</w:t>
      </w:r>
      <w:r w:rsidR="006F304D" w:rsidRPr="006F304D">
        <w:t xml:space="preserve">, </w:t>
      </w:r>
      <w:r w:rsidRPr="005C0DF3">
        <w:t>accusation</w:t>
      </w:r>
      <w:r w:rsidR="006F304D" w:rsidRPr="006F304D">
        <w:t xml:space="preserve">, </w:t>
      </w:r>
      <w:r w:rsidRPr="005C0DF3">
        <w:t>warning</w:t>
      </w:r>
      <w:r w:rsidR="006F304D" w:rsidRPr="006F304D">
        <w:t xml:space="preserve">, </w:t>
      </w:r>
      <w:r w:rsidRPr="005C0DF3">
        <w:t>threat</w:t>
      </w:r>
      <w:r w:rsidR="006F304D" w:rsidRPr="006F304D">
        <w:t xml:space="preserve">, </w:t>
      </w:r>
      <w:r w:rsidRPr="005C0DF3">
        <w:t>the pro</w:t>
      </w:r>
      <w:r w:rsidRPr="005C0DF3">
        <w:softHyphen/>
        <w:t>clamation of judgment</w:t>
      </w:r>
      <w:r w:rsidR="006F304D" w:rsidRPr="006F304D">
        <w:t xml:space="preserve">, </w:t>
      </w:r>
      <w:proofErr w:type="spellStart"/>
      <w:r w:rsidRPr="005C0DF3">
        <w:t>defence</w:t>
      </w:r>
      <w:proofErr w:type="spellEnd"/>
      <w:r w:rsidR="006F304D" w:rsidRPr="006F304D">
        <w:t xml:space="preserve">, </w:t>
      </w:r>
      <w:r w:rsidRPr="005C0DF3">
        <w:t>rebuff</w:t>
      </w:r>
      <w:r w:rsidR="006F304D" w:rsidRPr="006F304D">
        <w:t xml:space="preserve">, </w:t>
      </w:r>
      <w:r w:rsidRPr="005C0DF3">
        <w:t>repudi</w:t>
      </w:r>
      <w:r w:rsidRPr="005C0DF3">
        <w:softHyphen/>
        <w:t>ation</w:t>
      </w:r>
      <w:r w:rsidR="006F304D" w:rsidRPr="006F304D">
        <w:t xml:space="preserve">, </w:t>
      </w:r>
      <w:r w:rsidRPr="005C0DF3">
        <w:t>in</w:t>
      </w:r>
      <w:r w:rsidRPr="005C0DF3">
        <w:softHyphen/>
        <w:t>timi</w:t>
      </w:r>
      <w:r w:rsidRPr="005C0DF3">
        <w:softHyphen/>
        <w:t>da</w:t>
      </w:r>
      <w:r w:rsidRPr="005C0DF3">
        <w:softHyphen/>
        <w:t>tion</w:t>
      </w:r>
      <w:r w:rsidR="006F304D" w:rsidRPr="006F304D">
        <w:t xml:space="preserve">, </w:t>
      </w:r>
      <w:r w:rsidRPr="005C0DF3">
        <w:t>the instruction of disciples</w:t>
      </w:r>
      <w:r w:rsidR="006F304D" w:rsidRPr="006F304D">
        <w:t xml:space="preserve">, </w:t>
      </w:r>
      <w:r w:rsidRPr="005C0DF3">
        <w:t>words of commis</w:t>
      </w:r>
      <w:r w:rsidRPr="005C0DF3">
        <w:softHyphen/>
        <w:t>sioning</w:t>
      </w:r>
      <w:r w:rsidR="006F304D" w:rsidRPr="006F304D">
        <w:t xml:space="preserve">, </w:t>
      </w:r>
      <w:r w:rsidRPr="005C0DF3">
        <w:t>prom</w:t>
      </w:r>
      <w:r w:rsidRPr="005C0DF3">
        <w:softHyphen/>
        <w:t>ise</w:t>
      </w:r>
      <w:r w:rsidR="006F304D" w:rsidRPr="006F304D">
        <w:t xml:space="preserve">, </w:t>
      </w:r>
      <w:r w:rsidRPr="005C0DF3">
        <w:t>strength</w:t>
      </w:r>
      <w:r w:rsidRPr="005C0DF3">
        <w:softHyphen/>
        <w:t>ening</w:t>
      </w:r>
      <w:r w:rsidR="006F304D" w:rsidRPr="006F304D">
        <w:t xml:space="preserve">, </w:t>
      </w:r>
      <w:r w:rsidRPr="005C0DF3">
        <w:t>acknowledgement</w:t>
      </w:r>
      <w:r w:rsidR="006F304D" w:rsidRPr="006F304D">
        <w:t xml:space="preserve">, </w:t>
      </w:r>
      <w:r w:rsidRPr="005C0DF3">
        <w:t>[and] self-descriptive state</w:t>
      </w:r>
      <w:r w:rsidRPr="005C0DF3">
        <w:softHyphen/>
        <w:t>ments.</w:t>
      </w:r>
      <w:r w:rsidRPr="005C0DF3">
        <w:rPr>
          <w:rStyle w:val="FootnoteReference"/>
        </w:rPr>
        <w:footnoteReference w:id="301"/>
      </w:r>
    </w:p>
    <w:p w14:paraId="0F1EC39D" w14:textId="77777777" w:rsidR="0018433B" w:rsidRDefault="0018433B" w:rsidP="0018433B"/>
    <w:p w14:paraId="2A431DF3" w14:textId="45949EEE" w:rsidR="0018433B" w:rsidRPr="005C0DF3" w:rsidRDefault="0018433B" w:rsidP="0018433B">
      <w:r w:rsidRPr="005C0DF3">
        <w:lastRenderedPageBreak/>
        <w:t>Two other characteristics distinguish Jesus’ use of antithetic parallelism from that of the OT and contemporary Judaism: his emphasis is usu</w:t>
      </w:r>
      <w:r w:rsidRPr="005C0DF3">
        <w:softHyphen/>
        <w:t>ally on the second line</w:t>
      </w:r>
      <w:r w:rsidR="006F304D" w:rsidRPr="006F304D">
        <w:t xml:space="preserve">, </w:t>
      </w:r>
      <w:r w:rsidRPr="005C0DF3">
        <w:t>not the first;</w:t>
      </w:r>
      <w:r w:rsidRPr="005C0DF3">
        <w:rPr>
          <w:rStyle w:val="FootnoteReference"/>
        </w:rPr>
        <w:footnoteReference w:id="302"/>
      </w:r>
      <w:r w:rsidRPr="005C0DF3">
        <w:t xml:space="preserve"> and the ways in which antithesis is formed are many and varied.</w:t>
      </w:r>
      <w:r w:rsidRPr="005C0DF3">
        <w:rPr>
          <w:rStyle w:val="FootnoteReference"/>
        </w:rPr>
        <w:footnoteReference w:id="303"/>
      </w:r>
    </w:p>
    <w:p w14:paraId="6BE0CACB" w14:textId="5A06805B" w:rsidR="0018433B" w:rsidRPr="005C0DF3" w:rsidRDefault="0018433B" w:rsidP="0018433B">
      <w:r>
        <w:tab/>
      </w:r>
      <w:r w:rsidRPr="005C0DF3">
        <w:t>As we shall see in chapter 10</w:t>
      </w:r>
      <w:r w:rsidR="006F304D" w:rsidRPr="006F304D">
        <w:t xml:space="preserve">, </w:t>
      </w:r>
      <w:r w:rsidRPr="005C0DF3">
        <w:t>principles of paral</w:t>
      </w:r>
      <w:r w:rsidRPr="005C0DF3">
        <w:softHyphen/>
        <w:t>lelism have ex</w:t>
      </w:r>
      <w:r w:rsidRPr="005C0DF3">
        <w:softHyphen/>
        <w:t>ten</w:t>
      </w:r>
      <w:r w:rsidRPr="005C0DF3">
        <w:softHyphen/>
        <w:t>sive ap</w:t>
      </w:r>
      <w:r w:rsidRPr="005C0DF3">
        <w:softHyphen/>
        <w:t>pli</w:t>
      </w:r>
      <w:r w:rsidRPr="005C0DF3">
        <w:softHyphen/>
        <w:t>cation to rhetorical texts in scripture—for example</w:t>
      </w:r>
      <w:r w:rsidR="006F304D" w:rsidRPr="006F304D">
        <w:t xml:space="preserve">, </w:t>
      </w:r>
      <w:r w:rsidRPr="005C0DF3">
        <w:t>the sermon on the plain.</w:t>
      </w:r>
    </w:p>
    <w:p w14:paraId="29D0AD95" w14:textId="77777777" w:rsidR="0018433B" w:rsidRPr="005C0DF3" w:rsidRDefault="0018433B" w:rsidP="0018433B"/>
    <w:p w14:paraId="459FECE5" w14:textId="77777777" w:rsidR="0018433B" w:rsidRPr="005C0DF3" w:rsidRDefault="0018433B" w:rsidP="007D18CE">
      <w:pPr>
        <w:pStyle w:val="Heading2"/>
      </w:pPr>
      <w:bookmarkStart w:id="22" w:name="_Toc147618607"/>
      <w:r w:rsidRPr="005C0DF3">
        <w:t>3. Catchwords</w:t>
      </w:r>
      <w:bookmarkEnd w:id="22"/>
    </w:p>
    <w:p w14:paraId="234FD6C6" w14:textId="77777777" w:rsidR="0018433B" w:rsidRPr="005C0DF3" w:rsidRDefault="0018433B" w:rsidP="0018433B"/>
    <w:p w14:paraId="48EF2BA4" w14:textId="30E9CF08" w:rsidR="0018433B" w:rsidRPr="005C0DF3" w:rsidRDefault="0018433B" w:rsidP="0018433B">
      <w:r>
        <w:tab/>
      </w:r>
      <w:r w:rsidRPr="005C0DF3">
        <w:t>A catchword in the narrow sense is a word whose occurrence in otherwise inde</w:t>
      </w:r>
      <w:r w:rsidRPr="005C0DF3">
        <w:softHyphen/>
        <w:t>pendent texts is made the basis for the texts’ association. Catchwords in the synoptic materi</w:t>
      </w:r>
      <w:r w:rsidRPr="005C0DF3">
        <w:softHyphen/>
        <w:t>al were recog</w:t>
      </w:r>
      <w:r w:rsidRPr="005C0DF3">
        <w:softHyphen/>
        <w:t>nized already by Holtzmann</w:t>
      </w:r>
      <w:r w:rsidR="006F304D" w:rsidRPr="006F304D">
        <w:t xml:space="preserve">, </w:t>
      </w:r>
      <w:r w:rsidRPr="005C0DF3">
        <w:t>though he includes more than catch</w:t>
      </w:r>
      <w:r w:rsidRPr="005C0DF3">
        <w:softHyphen/>
        <w:t xml:space="preserve">words in the narrow sense: “Often </w:t>
      </w:r>
      <w:r w:rsidRPr="00963D68">
        <w:t>. . .</w:t>
      </w:r>
      <w:r w:rsidRPr="005C0DF3">
        <w:t xml:space="preserve"> there is only a simi</w:t>
      </w:r>
      <w:r w:rsidRPr="005C0DF3">
        <w:softHyphen/>
        <w:t>lar sound of words</w:t>
      </w:r>
      <w:r w:rsidR="006F304D" w:rsidRPr="006F304D">
        <w:t xml:space="preserve">, </w:t>
      </w:r>
      <w:r w:rsidRPr="005C0DF3">
        <w:t>or an ap</w:t>
      </w:r>
      <w:r w:rsidRPr="005C0DF3">
        <w:softHyphen/>
        <w:t>proxi</w:t>
      </w:r>
      <w:r w:rsidRPr="005C0DF3">
        <w:softHyphen/>
        <w:t>mation in the presentation of the thought of two say</w:t>
      </w:r>
      <w:r w:rsidRPr="005C0DF3">
        <w:softHyphen/>
        <w:t>ings or espe</w:t>
      </w:r>
      <w:r w:rsidRPr="005C0DF3">
        <w:softHyphen/>
        <w:t>cially in the order of their elements</w:t>
      </w:r>
      <w:r w:rsidR="006F304D" w:rsidRPr="006F304D">
        <w:t xml:space="preserve">, </w:t>
      </w:r>
      <w:r w:rsidRPr="005C0DF3">
        <w:t>to link the say</w:t>
      </w:r>
      <w:r w:rsidRPr="005C0DF3">
        <w:softHyphen/>
        <w:t>ings to</w:t>
      </w:r>
      <w:r w:rsidRPr="005C0DF3">
        <w:softHyphen/>
        <w:t>gether.”</w:t>
      </w:r>
      <w:r w:rsidRPr="005C0DF3">
        <w:rPr>
          <w:rStyle w:val="FootnoteReference"/>
        </w:rPr>
        <w:footnoteReference w:id="304"/>
      </w:r>
      <w:r w:rsidRPr="005C0DF3">
        <w:t xml:space="preserve"> Holtzmann notes several ways in which sayings might be “externally” linked</w:t>
      </w:r>
      <w:r w:rsidR="006F304D" w:rsidRPr="006F304D">
        <w:t xml:space="preserve">, </w:t>
      </w:r>
      <w:r w:rsidRPr="005C0DF3">
        <w:t>but three primary methods are word-asso</w:t>
      </w:r>
      <w:r w:rsidRPr="005C0DF3">
        <w:softHyphen/>
        <w:t>cia</w:t>
      </w:r>
      <w:r w:rsidRPr="005C0DF3">
        <w:softHyphen/>
        <w:t>tion (the “catchword” proper)</w:t>
      </w:r>
      <w:r w:rsidR="006F304D" w:rsidRPr="006F304D">
        <w:t xml:space="preserve">, </w:t>
      </w:r>
      <w:r w:rsidRPr="005C0DF3">
        <w:t>idea-association (connection through simi</w:t>
      </w:r>
      <w:r w:rsidRPr="005C0DF3">
        <w:softHyphen/>
        <w:t>larity of ideas)</w:t>
      </w:r>
      <w:r w:rsidR="006F304D" w:rsidRPr="006F304D">
        <w:t xml:space="preserve">, </w:t>
      </w:r>
      <w:r w:rsidRPr="005C0DF3">
        <w:t>and image-asso</w:t>
      </w:r>
      <w:r w:rsidRPr="005C0DF3">
        <w:softHyphen/>
        <w:t>cia</w:t>
      </w:r>
      <w:r w:rsidRPr="005C0DF3">
        <w:softHyphen/>
        <w:t>tion (connection through similarity of im</w:t>
      </w:r>
      <w:r w:rsidRPr="005C0DF3">
        <w:softHyphen/>
        <w:t>ages).</w:t>
      </w:r>
      <w:r w:rsidRPr="005C0DF3">
        <w:rPr>
          <w:rStyle w:val="FootnoteReference"/>
        </w:rPr>
        <w:footnoteReference w:id="305"/>
      </w:r>
      <w:r w:rsidRPr="005C0DF3">
        <w:t xml:space="preserve"> Un</w:t>
      </w:r>
      <w:r w:rsidRPr="005C0DF3">
        <w:softHyphen/>
        <w:t>for</w:t>
      </w:r>
      <w:r w:rsidRPr="005C0DF3">
        <w:softHyphen/>
        <w:t>tun</w:t>
      </w:r>
      <w:r w:rsidRPr="005C0DF3">
        <w:softHyphen/>
        <w:t>ately</w:t>
      </w:r>
      <w:r w:rsidR="006F304D" w:rsidRPr="006F304D">
        <w:t xml:space="preserve">, </w:t>
      </w:r>
      <w:r w:rsidRPr="005C0DF3">
        <w:t>exe</w:t>
      </w:r>
      <w:r w:rsidRPr="005C0DF3">
        <w:softHyphen/>
        <w:t>getes tend to use “catch</w:t>
      </w:r>
      <w:r w:rsidRPr="005C0DF3">
        <w:softHyphen/>
        <w:t>word” as a “catchall” term: idea-associ</w:t>
      </w:r>
      <w:r w:rsidRPr="005C0DF3">
        <w:softHyphen/>
        <w:t>a</w:t>
      </w:r>
      <w:r w:rsidRPr="005C0DF3">
        <w:softHyphen/>
        <w:t>tions and im</w:t>
      </w:r>
      <w:r w:rsidRPr="005C0DF3">
        <w:softHyphen/>
        <w:t>age-associa</w:t>
      </w:r>
      <w:r w:rsidRPr="005C0DF3">
        <w:softHyphen/>
        <w:t xml:space="preserve">tions are included as </w:t>
      </w:r>
      <w:r w:rsidRPr="005C0DF3">
        <w:softHyphen/>
      </w:r>
      <w:r w:rsidRPr="005C0DF3">
        <w:softHyphen/>
        <w:t>catch</w:t>
      </w:r>
      <w:r w:rsidRPr="005C0DF3">
        <w:softHyphen/>
        <w:t>words in the broad sense.</w:t>
      </w:r>
      <w:r w:rsidRPr="005C0DF3">
        <w:rPr>
          <w:rStyle w:val="FootnoteReference"/>
        </w:rPr>
        <w:footnoteReference w:id="306"/>
      </w:r>
    </w:p>
    <w:p w14:paraId="1A6A17E2" w14:textId="3C3B1BF8" w:rsidR="0018433B" w:rsidRPr="005C0DF3" w:rsidRDefault="0018433B" w:rsidP="0018433B">
      <w:r>
        <w:lastRenderedPageBreak/>
        <w:tab/>
      </w:r>
      <w:r w:rsidRPr="005C0DF3">
        <w:t>An example of a catchword (in the narrow sense) is Luke 8:16-17 (catchword “light”): “No one after lighting a lamp hides it under a jar</w:t>
      </w:r>
      <w:r w:rsidR="006F304D" w:rsidRPr="006F304D">
        <w:t xml:space="preserve">, </w:t>
      </w:r>
      <w:r w:rsidRPr="005C0DF3">
        <w:t>or puts it under a bed</w:t>
      </w:r>
      <w:r w:rsidR="006F304D" w:rsidRPr="006F304D">
        <w:t xml:space="preserve">, </w:t>
      </w:r>
      <w:r w:rsidRPr="005C0DF3">
        <w:t>but puts it on a lampstand</w:t>
      </w:r>
      <w:r w:rsidR="006F304D" w:rsidRPr="006F304D">
        <w:t xml:space="preserve">, </w:t>
      </w:r>
      <w:r w:rsidRPr="005C0DF3">
        <w:t xml:space="preserve">so that those who enter may see the light. </w:t>
      </w:r>
      <w:r w:rsidRPr="005C0DF3">
        <w:rPr>
          <w:vertAlign w:val="superscript"/>
        </w:rPr>
        <w:t>17</w:t>
      </w:r>
      <w:r w:rsidRPr="005C0DF3">
        <w:t xml:space="preserve"> For nothing is hidden that will not be disclosed</w:t>
      </w:r>
      <w:r w:rsidR="006F304D" w:rsidRPr="006F304D">
        <w:t xml:space="preserve">, </w:t>
      </w:r>
      <w:r w:rsidRPr="005C0DF3">
        <w:t>nor is anything secret that will not become known and come to light.” With this example may be contrasted Matt 5:14-15</w:t>
      </w:r>
      <w:r w:rsidR="006F304D" w:rsidRPr="006F304D">
        <w:t xml:space="preserve">, </w:t>
      </w:r>
      <w:r w:rsidRPr="005C0DF3">
        <w:t>where the say</w:t>
      </w:r>
      <w:r w:rsidRPr="005C0DF3">
        <w:softHyphen/>
        <w:t xml:space="preserve">ing in Luke 8:16 is combined with a different </w:t>
      </w:r>
      <w:r w:rsidRPr="005C0DF3">
        <w:rPr>
          <w:i/>
        </w:rPr>
        <w:t>logion</w:t>
      </w:r>
      <w:r w:rsidR="006F304D" w:rsidRPr="006F304D">
        <w:t xml:space="preserve">, </w:t>
      </w:r>
      <w:r w:rsidRPr="005C0DF3">
        <w:t>again on the ba</w:t>
      </w:r>
      <w:r w:rsidRPr="005C0DF3">
        <w:softHyphen/>
        <w:t xml:space="preserve">sis of “light”: “You are the light of the world. A city built on a hill cannot be hid. </w:t>
      </w:r>
      <w:r w:rsidRPr="005C0DF3">
        <w:rPr>
          <w:vertAlign w:val="superscript"/>
        </w:rPr>
        <w:t>15</w:t>
      </w:r>
      <w:r w:rsidRPr="005C0DF3">
        <w:t xml:space="preserve"> No one after lighting a lamp puts it under the bushel basket</w:t>
      </w:r>
      <w:r w:rsidR="006F304D" w:rsidRPr="006F304D">
        <w:t xml:space="preserve">, </w:t>
      </w:r>
      <w:r w:rsidRPr="005C0DF3">
        <w:t>but on the lampstand</w:t>
      </w:r>
      <w:r w:rsidR="006F304D" w:rsidRPr="006F304D">
        <w:t xml:space="preserve">, </w:t>
      </w:r>
      <w:r w:rsidRPr="005C0DF3">
        <w:t>and it gives light to all in the house.” In the latter example</w:t>
      </w:r>
      <w:r w:rsidR="006F304D" w:rsidRPr="006F304D">
        <w:t xml:space="preserve">, </w:t>
      </w:r>
      <w:r w:rsidRPr="005C0DF3">
        <w:t>it could be argued that the connection is based also on idea-association: a city cannot be hid</w:t>
      </w:r>
      <w:r w:rsidR="006F304D" w:rsidRPr="006F304D">
        <w:t xml:space="preserve">, </w:t>
      </w:r>
      <w:r w:rsidRPr="005C0DF3">
        <w:t>a lit lamp is not hid.</w:t>
      </w:r>
    </w:p>
    <w:p w14:paraId="732302C1" w14:textId="179A6022" w:rsidR="0018433B" w:rsidRPr="005C0DF3" w:rsidRDefault="0018433B" w:rsidP="0018433B">
      <w:r>
        <w:tab/>
      </w:r>
      <w:r w:rsidRPr="005C0DF3">
        <w:t>Catchwords have been univer</w:t>
      </w:r>
      <w:r w:rsidRPr="005C0DF3">
        <w:softHyphen/>
        <w:t>sal</w:t>
      </w:r>
      <w:r w:rsidRPr="005C0DF3">
        <w:softHyphen/>
        <w:t xml:space="preserve">ly accepted as indicative of oral tradition. According to </w:t>
      </w:r>
      <w:proofErr w:type="spellStart"/>
      <w:r w:rsidRPr="005C0DF3">
        <w:t>Soi</w:t>
      </w:r>
      <w:r w:rsidRPr="005C0DF3">
        <w:softHyphen/>
        <w:t>ron</w:t>
      </w:r>
      <w:proofErr w:type="spellEnd"/>
      <w:r w:rsidR="006F304D" w:rsidRPr="006F304D">
        <w:t xml:space="preserve">, </w:t>
      </w:r>
      <w:r w:rsidRPr="005C0DF3">
        <w:t>“catch</w:t>
      </w:r>
      <w:r w:rsidRPr="005C0DF3">
        <w:softHyphen/>
        <w:t xml:space="preserve">words are to be assessed as </w:t>
      </w:r>
      <w:r w:rsidRPr="005C0DF3">
        <w:rPr>
          <w:i/>
        </w:rPr>
        <w:t>memory connections</w:t>
      </w:r>
      <w:r w:rsidRPr="005C0DF3">
        <w:t xml:space="preserve"> and as sediment from the oral tradi</w:t>
      </w:r>
      <w:r w:rsidRPr="005C0DF3">
        <w:softHyphen/>
        <w:t>tion”; Jeremias says</w:t>
      </w:r>
      <w:r w:rsidR="006F304D" w:rsidRPr="006F304D">
        <w:t xml:space="preserve">, </w:t>
      </w:r>
      <w:r w:rsidRPr="005C0DF3">
        <w:t>“association by linking-word as a mne</w:t>
      </w:r>
      <w:r w:rsidRPr="005C0DF3">
        <w:softHyphen/>
        <w:t>mon</w:t>
      </w:r>
      <w:r w:rsidRPr="005C0DF3">
        <w:softHyphen/>
        <w:t>ic aid points to oral tra</w:t>
      </w:r>
      <w:r w:rsidRPr="005C0DF3">
        <w:softHyphen/>
        <w:t>dition”; Dupont “hesitates to attribute to Luke connec</w:t>
      </w:r>
      <w:r w:rsidRPr="005C0DF3">
        <w:softHyphen/>
        <w:t xml:space="preserve">tions so evocative </w:t>
      </w:r>
      <w:r w:rsidRPr="00963D68">
        <w:t>. . .</w:t>
      </w:r>
      <w:r w:rsidRPr="005C0DF3">
        <w:t xml:space="preserve"> of the oral Semitic style </w:t>
      </w:r>
      <w:r w:rsidRPr="00963D68">
        <w:t>. . .</w:t>
      </w:r>
      <w:r w:rsidRPr="005C0DF3">
        <w:t>”</w:t>
      </w:r>
      <w:r w:rsidRPr="005C0DF3">
        <w:rPr>
          <w:rStyle w:val="FootnoteReference"/>
        </w:rPr>
        <w:footnoteReference w:id="307"/>
      </w:r>
    </w:p>
    <w:p w14:paraId="212D9529" w14:textId="77777777" w:rsidR="0018433B" w:rsidRDefault="0018433B" w:rsidP="0018433B">
      <w:r>
        <w:tab/>
      </w:r>
      <w:proofErr w:type="spellStart"/>
      <w:r w:rsidRPr="005C0DF3">
        <w:t>Soiron</w:t>
      </w:r>
      <w:proofErr w:type="spellEnd"/>
      <w:r w:rsidRPr="005C0DF3">
        <w:t xml:space="preserve"> and Jeremias use catchwords in the synoptic mat</w:t>
      </w:r>
      <w:r w:rsidRPr="005C0DF3">
        <w:softHyphen/>
        <w:t xml:space="preserve">erial as an argument against the Q hypothesis. </w:t>
      </w:r>
      <w:proofErr w:type="spellStart"/>
      <w:r w:rsidRPr="005C0DF3">
        <w:t>Soiron</w:t>
      </w:r>
      <w:proofErr w:type="spellEnd"/>
      <w:r w:rsidRPr="005C0DF3">
        <w:t xml:space="preserve"> is quite explicit:</w:t>
      </w:r>
    </w:p>
    <w:p w14:paraId="6CC000DC" w14:textId="77777777" w:rsidR="0018433B" w:rsidRPr="005C0DF3" w:rsidRDefault="0018433B" w:rsidP="0018433B"/>
    <w:p w14:paraId="1CEDF641" w14:textId="55BB4BDB" w:rsidR="0018433B" w:rsidRPr="005C0DF3" w:rsidRDefault="0018433B" w:rsidP="0018433B">
      <w:pPr>
        <w:ind w:left="720" w:right="720"/>
      </w:pPr>
      <w:r w:rsidRPr="005C0DF3">
        <w:t>If in these mnemonic connections the oral tradition is passed on without mediation to the evange</w:t>
      </w:r>
      <w:r w:rsidRPr="005C0DF3">
        <w:softHyphen/>
        <w:t>lists’ fixing of the tradition in writing</w:t>
      </w:r>
      <w:r w:rsidR="006F304D" w:rsidRPr="006F304D">
        <w:t xml:space="preserve">, </w:t>
      </w:r>
      <w:r w:rsidRPr="005C0DF3">
        <w:t>then the oral tradition is still to be found and recog</w:t>
      </w:r>
      <w:r w:rsidRPr="005C0DF3">
        <w:softHyphen/>
        <w:t>nized in the evangelists’ writ</w:t>
      </w:r>
      <w:r w:rsidRPr="005C0DF3">
        <w:softHyphen/>
        <w:t>ings in its memory-connected form. We have thus proven that the the</w:t>
      </w:r>
      <w:r w:rsidRPr="005C0DF3">
        <w:softHyphen/>
        <w:t>ory of a collection of sayings</w:t>
      </w:r>
      <w:r w:rsidR="006F304D" w:rsidRPr="006F304D">
        <w:t xml:space="preserve">, </w:t>
      </w:r>
      <w:r w:rsidRPr="005C0DF3">
        <w:t>forming a literary unity and providing a written source for the syn</w:t>
      </w:r>
      <w:r w:rsidRPr="005C0DF3">
        <w:softHyphen/>
        <w:t>optists</w:t>
      </w:r>
      <w:r w:rsidR="006F304D" w:rsidRPr="006F304D">
        <w:t xml:space="preserve">, </w:t>
      </w:r>
      <w:r w:rsidRPr="00963D68">
        <w:t>. . .</w:t>
      </w:r>
      <w:r w:rsidRPr="005C0DF3">
        <w:t xml:space="preserve"> is superfluous and unfounded.</w:t>
      </w:r>
      <w:r w:rsidRPr="005C0DF3">
        <w:rPr>
          <w:rStyle w:val="FootnoteReference"/>
        </w:rPr>
        <w:footnoteReference w:id="308"/>
      </w:r>
    </w:p>
    <w:p w14:paraId="700CD8AD" w14:textId="77777777" w:rsidR="0018433B" w:rsidRDefault="0018433B" w:rsidP="0018433B"/>
    <w:p w14:paraId="37E16679" w14:textId="77777777" w:rsidR="0018433B" w:rsidRDefault="0018433B" w:rsidP="0018433B">
      <w:r w:rsidRPr="005C0DF3">
        <w:t>Jeremias adds finesse to the argument.</w:t>
      </w:r>
    </w:p>
    <w:p w14:paraId="5D251316" w14:textId="77777777" w:rsidR="0018433B" w:rsidRPr="005C0DF3" w:rsidRDefault="0018433B" w:rsidP="0018433B"/>
    <w:p w14:paraId="725A18BE" w14:textId="5395D3CF" w:rsidR="0018433B" w:rsidRPr="005C0DF3" w:rsidRDefault="0018433B" w:rsidP="0018433B">
      <w:pPr>
        <w:ind w:left="720" w:right="720"/>
      </w:pPr>
      <w:r w:rsidRPr="005C0DF3">
        <w:t>It can be shown that</w:t>
      </w:r>
      <w:r w:rsidR="006F304D" w:rsidRPr="006F304D">
        <w:t xml:space="preserve">, </w:t>
      </w:r>
      <w:r w:rsidRPr="005C0DF3">
        <w:t xml:space="preserve">not only (as </w:t>
      </w:r>
      <w:proofErr w:type="spellStart"/>
      <w:r w:rsidRPr="005C0DF3">
        <w:t>Soiron</w:t>
      </w:r>
      <w:proofErr w:type="spellEnd"/>
      <w:r w:rsidRPr="005C0DF3">
        <w:t xml:space="preserve"> saw) do numerous say</w:t>
      </w:r>
      <w:r w:rsidRPr="005C0DF3">
        <w:softHyphen/>
        <w:t>ings stand in catch</w:t>
      </w:r>
      <w:r w:rsidRPr="005C0DF3">
        <w:softHyphen/>
        <w:t xml:space="preserve">word relations </w:t>
      </w:r>
      <w:r w:rsidRPr="005C0DF3">
        <w:rPr>
          <w:i/>
        </w:rPr>
        <w:t>either</w:t>
      </w:r>
      <w:r w:rsidRPr="005C0DF3">
        <w:t xml:space="preserve"> in Matthew </w:t>
      </w:r>
      <w:r w:rsidRPr="005C0DF3">
        <w:rPr>
          <w:i/>
        </w:rPr>
        <w:t>or</w:t>
      </w:r>
      <w:r w:rsidRPr="005C0DF3">
        <w:t xml:space="preserve"> in Luke</w:t>
      </w:r>
      <w:r w:rsidR="006F304D" w:rsidRPr="006F304D">
        <w:t xml:space="preserve">, </w:t>
      </w:r>
      <w:r w:rsidRPr="005C0DF3">
        <w:t xml:space="preserve">but also that there are many cases in which </w:t>
      </w:r>
      <w:r w:rsidRPr="005C0DF3">
        <w:rPr>
          <w:i/>
        </w:rPr>
        <w:t>one and the same</w:t>
      </w:r>
      <w:r w:rsidRPr="005C0DF3">
        <w:t xml:space="preserve"> say</w:t>
      </w:r>
      <w:r w:rsidRPr="005C0DF3">
        <w:softHyphen/>
        <w:t xml:space="preserve">ing (even one and the same complex of sayings) stands in </w:t>
      </w:r>
      <w:r w:rsidRPr="005C0DF3">
        <w:rPr>
          <w:i/>
        </w:rPr>
        <w:t>different</w:t>
      </w:r>
      <w:r w:rsidRPr="005C0DF3">
        <w:t xml:space="preserve"> catchword re</w:t>
      </w:r>
      <w:r w:rsidRPr="005C0DF3">
        <w:softHyphen/>
        <w:t>lations in Matthew and in Luke. In such cases it is obvious that both evangelists have created directly from the oral tradi</w:t>
      </w:r>
      <w:r w:rsidRPr="005C0DF3">
        <w:softHyphen/>
        <w:t>tion</w:t>
      </w:r>
      <w:r w:rsidR="006F304D" w:rsidRPr="006F304D">
        <w:t xml:space="preserve">, </w:t>
      </w:r>
      <w:r w:rsidRPr="005C0DF3">
        <w:t>in</w:t>
      </w:r>
      <w:r w:rsidRPr="005C0DF3">
        <w:softHyphen/>
        <w:t>de</w:t>
      </w:r>
      <w:r w:rsidRPr="005C0DF3">
        <w:softHyphen/>
        <w:t>pendently of one ano</w:t>
      </w:r>
      <w:r w:rsidRPr="005C0DF3">
        <w:softHyphen/>
        <w:t xml:space="preserve">ther </w:t>
      </w:r>
      <w:r w:rsidRPr="00963D68">
        <w:t>. . .</w:t>
      </w:r>
      <w:r w:rsidRPr="005C0DF3">
        <w:t xml:space="preserve"> This material as a whole </w:t>
      </w:r>
      <w:r w:rsidRPr="00963D68">
        <w:t>. . .</w:t>
      </w:r>
      <w:r w:rsidRPr="005C0DF3">
        <w:t xml:space="preserve"> for</w:t>
      </w:r>
      <w:r w:rsidRPr="005C0DF3">
        <w:softHyphen/>
        <w:t xml:space="preserve">ces one to the conclusion that the theory of a </w:t>
      </w:r>
      <w:r w:rsidRPr="005C0DF3">
        <w:rPr>
          <w:i/>
        </w:rPr>
        <w:t>common</w:t>
      </w:r>
      <w:r w:rsidRPr="005C0DF3">
        <w:t xml:space="preserve"> sayings col</w:t>
      </w:r>
      <w:r w:rsidRPr="005C0DF3">
        <w:softHyphen/>
        <w:t>lec</w:t>
      </w:r>
      <w:r w:rsidRPr="005C0DF3">
        <w:softHyphen/>
        <w:t>tion</w:t>
      </w:r>
      <w:r w:rsidR="006F304D" w:rsidRPr="006F304D">
        <w:t xml:space="preserve">, </w:t>
      </w:r>
      <w:r w:rsidRPr="005C0DF3">
        <w:t xml:space="preserve">used by Matthew and Luke as a </w:t>
      </w:r>
      <w:r w:rsidRPr="005C0DF3">
        <w:rPr>
          <w:i/>
        </w:rPr>
        <w:t>written</w:t>
      </w:r>
      <w:r w:rsidRPr="005C0DF3">
        <w:t xml:space="preserve"> source (Q)</w:t>
      </w:r>
      <w:r w:rsidR="006F304D" w:rsidRPr="006F304D">
        <w:t xml:space="preserve">, </w:t>
      </w:r>
      <w:r w:rsidRPr="005C0DF3">
        <w:t>is un</w:t>
      </w:r>
      <w:r w:rsidRPr="005C0DF3">
        <w:softHyphen/>
        <w:t>ten</w:t>
      </w:r>
      <w:r w:rsidRPr="005C0DF3">
        <w:softHyphen/>
        <w:t>able.</w:t>
      </w:r>
      <w:r w:rsidRPr="005C0DF3">
        <w:rPr>
          <w:rStyle w:val="FootnoteReference"/>
        </w:rPr>
        <w:footnoteReference w:id="309"/>
      </w:r>
    </w:p>
    <w:p w14:paraId="0574247E" w14:textId="77777777" w:rsidR="0018433B" w:rsidRDefault="0018433B" w:rsidP="0018433B"/>
    <w:p w14:paraId="53A8A5CD" w14:textId="11EAFFAA" w:rsidR="0018433B" w:rsidRPr="005C0DF3" w:rsidRDefault="0018433B" w:rsidP="0018433B">
      <w:r>
        <w:tab/>
      </w:r>
      <w:r w:rsidRPr="005C0DF3">
        <w:t>Be that as it may</w:t>
      </w:r>
      <w:r w:rsidR="006F304D" w:rsidRPr="006F304D">
        <w:t xml:space="preserve">, </w:t>
      </w:r>
      <w:r w:rsidRPr="005C0DF3">
        <w:t>we shall soon see that</w:t>
      </w:r>
      <w:r w:rsidR="006F304D" w:rsidRPr="006F304D">
        <w:t xml:space="preserve">, </w:t>
      </w:r>
      <w:r w:rsidRPr="005C0DF3">
        <w:t xml:space="preserve">as in the rest of the </w:t>
      </w:r>
      <w:r w:rsidRPr="005C0DF3">
        <w:rPr>
          <w:i/>
        </w:rPr>
        <w:t>logia</w:t>
      </w:r>
      <w:r w:rsidRPr="005C0DF3">
        <w:t xml:space="preserve"> materi</w:t>
      </w:r>
      <w:r w:rsidRPr="005C0DF3">
        <w:softHyphen/>
        <w:t>al in the gospels</w:t>
      </w:r>
      <w:r w:rsidR="006F304D" w:rsidRPr="006F304D">
        <w:t xml:space="preserve">, </w:t>
      </w:r>
      <w:r w:rsidRPr="005C0DF3">
        <w:t>so also in Luke’s sermon on the plain</w:t>
      </w:r>
      <w:r w:rsidR="006F304D" w:rsidRPr="006F304D">
        <w:t xml:space="preserve">, </w:t>
      </w:r>
      <w:r w:rsidRPr="005C0DF3">
        <w:t>instances of catch</w:t>
      </w:r>
      <w:r w:rsidRPr="005C0DF3">
        <w:softHyphen/>
        <w:t>word have been pro</w:t>
      </w:r>
      <w:r w:rsidRPr="005C0DF3">
        <w:softHyphen/>
        <w:t xml:space="preserve">posed in abundance. </w:t>
      </w:r>
      <w:r w:rsidRPr="000C436F">
        <w:rPr>
          <w:vanish/>
        </w:rPr>
        <w:lastRenderedPageBreak/>
        <w:t>Next put</w:t>
      </w:r>
      <w:r w:rsidR="006F304D" w:rsidRPr="006F304D">
        <w:rPr>
          <w:vanish/>
        </w:rPr>
        <w:t xml:space="preserve">, </w:t>
      </w:r>
      <w:r w:rsidRPr="000C436F">
        <w:rPr>
          <w:vanish/>
        </w:rPr>
        <w:t>"[centered:]4. The Genre of the Wisdom Sermon" [= Kloppenborg]</w:t>
      </w:r>
      <w:r>
        <w:t xml:space="preserve"> </w:t>
      </w:r>
      <w:r w:rsidRPr="005C0DF3">
        <w:t>To the sermon on the plain</w:t>
      </w:r>
      <w:r w:rsidR="006F304D" w:rsidRPr="006F304D">
        <w:t xml:space="preserve">, </w:t>
      </w:r>
      <w:r w:rsidRPr="005C0DF3">
        <w:t>and to the ap</w:t>
      </w:r>
      <w:r w:rsidRPr="005C0DF3">
        <w:softHyphen/>
        <w:t>plication to it of all the criteria of structure in rhetorical criti</w:t>
      </w:r>
      <w:r w:rsidRPr="005C0DF3">
        <w:softHyphen/>
        <w:t>cism—the formal criteria of num</w:t>
      </w:r>
      <w:r w:rsidRPr="005C0DF3">
        <w:softHyphen/>
        <w:t>erical principles</w:t>
      </w:r>
      <w:r w:rsidR="006F304D" w:rsidRPr="006F304D">
        <w:t xml:space="preserve">, </w:t>
      </w:r>
      <w:r w:rsidRPr="005C0DF3">
        <w:t>chiasm</w:t>
      </w:r>
      <w:r w:rsidR="006F304D" w:rsidRPr="006F304D">
        <w:t xml:space="preserve">, </w:t>
      </w:r>
      <w:r w:rsidRPr="005C0DF3">
        <w:t>inclusion</w:t>
      </w:r>
      <w:r w:rsidR="006F304D" w:rsidRPr="006F304D">
        <w:t xml:space="preserve">, </w:t>
      </w:r>
      <w:r w:rsidRPr="005C0DF3">
        <w:t>and rhy</w:t>
      </w:r>
      <w:r w:rsidRPr="005C0DF3">
        <w:softHyphen/>
        <w:t>thm</w:t>
      </w:r>
      <w:r w:rsidR="006F304D" w:rsidRPr="006F304D">
        <w:t xml:space="preserve">, </w:t>
      </w:r>
      <w:r w:rsidRPr="005C0DF3">
        <w:t xml:space="preserve">as well as the </w:t>
      </w:r>
      <w:proofErr w:type="spellStart"/>
      <w:r w:rsidRPr="005C0DF3">
        <w:t>contentual</w:t>
      </w:r>
      <w:proofErr w:type="spellEnd"/>
      <w:r w:rsidRPr="005C0DF3">
        <w:t xml:space="preserve"> crite</w:t>
      </w:r>
      <w:r w:rsidRPr="005C0DF3">
        <w:softHyphen/>
        <w:t>ria of logical principles</w:t>
      </w:r>
      <w:r w:rsidR="006F304D" w:rsidRPr="006F304D">
        <w:t xml:space="preserve">, </w:t>
      </w:r>
      <w:r w:rsidRPr="005C0DF3">
        <w:t>parallelism</w:t>
      </w:r>
      <w:r w:rsidR="006F304D" w:rsidRPr="006F304D">
        <w:t xml:space="preserve">, </w:t>
      </w:r>
      <w:r w:rsidRPr="005C0DF3">
        <w:t>and catchword—we now turn.</w:t>
      </w:r>
    </w:p>
    <w:p w14:paraId="07ED93E0" w14:textId="77777777" w:rsidR="0018433B" w:rsidRDefault="0018433B">
      <w:r>
        <w:br w:type="page"/>
      </w:r>
    </w:p>
    <w:p w14:paraId="404EA927" w14:textId="77777777" w:rsidR="0018433B" w:rsidRDefault="0018433B" w:rsidP="0018433B">
      <w:pPr>
        <w:contextualSpacing/>
      </w:pPr>
    </w:p>
    <w:p w14:paraId="24BC2086" w14:textId="77777777" w:rsidR="0018433B" w:rsidRDefault="0018433B" w:rsidP="0018433B">
      <w:pPr>
        <w:contextualSpacing/>
      </w:pPr>
    </w:p>
    <w:p w14:paraId="603888F9" w14:textId="77777777" w:rsidR="0018433B" w:rsidRDefault="0018433B" w:rsidP="0018433B">
      <w:pPr>
        <w:contextualSpacing/>
      </w:pPr>
    </w:p>
    <w:p w14:paraId="73EB9F8E" w14:textId="77777777" w:rsidR="0018433B" w:rsidRDefault="0018433B" w:rsidP="0018433B">
      <w:pPr>
        <w:contextualSpacing/>
      </w:pPr>
    </w:p>
    <w:p w14:paraId="31550864" w14:textId="77777777" w:rsidR="0018433B" w:rsidRDefault="0018433B" w:rsidP="0018433B">
      <w:pPr>
        <w:contextualSpacing/>
      </w:pPr>
    </w:p>
    <w:p w14:paraId="262FBD45" w14:textId="77777777" w:rsidR="0018433B" w:rsidRDefault="0018433B" w:rsidP="0018433B">
      <w:pPr>
        <w:contextualSpacing/>
      </w:pPr>
    </w:p>
    <w:p w14:paraId="107CCAD9" w14:textId="77777777" w:rsidR="0018433B" w:rsidRDefault="0018433B" w:rsidP="0018433B">
      <w:pPr>
        <w:contextualSpacing/>
      </w:pPr>
    </w:p>
    <w:p w14:paraId="1E7EA4F3" w14:textId="77777777" w:rsidR="0018433B" w:rsidRDefault="0018433B" w:rsidP="0018433B">
      <w:pPr>
        <w:contextualSpacing/>
      </w:pPr>
    </w:p>
    <w:p w14:paraId="7B8AC801" w14:textId="77777777" w:rsidR="0018433B" w:rsidRDefault="0018433B" w:rsidP="0018433B">
      <w:pPr>
        <w:contextualSpacing/>
      </w:pPr>
    </w:p>
    <w:p w14:paraId="1627C461" w14:textId="77777777" w:rsidR="0018433B" w:rsidRDefault="0018433B" w:rsidP="0018433B">
      <w:pPr>
        <w:contextualSpacing/>
      </w:pPr>
    </w:p>
    <w:p w14:paraId="0EA57404" w14:textId="77777777" w:rsidR="0018433B" w:rsidRDefault="0018433B" w:rsidP="0018433B">
      <w:pPr>
        <w:contextualSpacing/>
      </w:pPr>
    </w:p>
    <w:p w14:paraId="7C606875" w14:textId="77777777" w:rsidR="0018433B" w:rsidRDefault="0018433B" w:rsidP="0018433B">
      <w:pPr>
        <w:contextualSpacing/>
      </w:pPr>
    </w:p>
    <w:p w14:paraId="19945AC0" w14:textId="77777777" w:rsidR="0018433B" w:rsidRDefault="0018433B" w:rsidP="0018433B">
      <w:pPr>
        <w:contextualSpacing/>
      </w:pPr>
    </w:p>
    <w:p w14:paraId="6B6A302B" w14:textId="77777777" w:rsidR="0018433B" w:rsidRDefault="0018433B" w:rsidP="0018433B">
      <w:pPr>
        <w:contextualSpacing/>
      </w:pPr>
    </w:p>
    <w:p w14:paraId="63C6D934" w14:textId="77777777" w:rsidR="0018433B" w:rsidRDefault="0018433B" w:rsidP="0018433B">
      <w:pPr>
        <w:contextualSpacing/>
      </w:pPr>
    </w:p>
    <w:p w14:paraId="5E879C32" w14:textId="77777777" w:rsidR="0018433B" w:rsidRDefault="0018433B" w:rsidP="0018433B">
      <w:pPr>
        <w:contextualSpacing/>
      </w:pPr>
    </w:p>
    <w:p w14:paraId="1A489760" w14:textId="7A2BBF5C" w:rsidR="0018433B" w:rsidRDefault="007D18CE" w:rsidP="007D18CE">
      <w:pPr>
        <w:pStyle w:val="Heading1"/>
      </w:pPr>
      <w:bookmarkStart w:id="23" w:name="_Toc147618608"/>
      <w:r>
        <w:t xml:space="preserve">Part </w:t>
      </w:r>
      <w:r w:rsidR="0018433B">
        <w:t>2</w:t>
      </w:r>
      <w:r>
        <w:t>: Practice</w:t>
      </w:r>
      <w:r w:rsidR="0018433B">
        <w:t>:</w:t>
      </w:r>
      <w:bookmarkEnd w:id="23"/>
    </w:p>
    <w:p w14:paraId="2A5A2F73" w14:textId="4624CB07" w:rsidR="0018433B" w:rsidRDefault="007D18CE" w:rsidP="007D18CE">
      <w:pPr>
        <w:pStyle w:val="Heading1"/>
      </w:pPr>
      <w:bookmarkStart w:id="24" w:name="_Toc147618609"/>
      <w:r>
        <w:t>The Structure of the Sermon on the Plain (Luke</w:t>
      </w:r>
      <w:r w:rsidR="000151C8" w:rsidRPr="000151C8">
        <w:rPr>
          <w:iCs/>
        </w:rPr>
        <w:t xml:space="preserve"> </w:t>
      </w:r>
      <w:r w:rsidR="0018433B">
        <w:t>6:20-49)</w:t>
      </w:r>
      <w:bookmarkEnd w:id="24"/>
    </w:p>
    <w:p w14:paraId="60DB143C" w14:textId="77777777" w:rsidR="0018433B" w:rsidRDefault="0018433B">
      <w:r>
        <w:br w:type="page"/>
      </w:r>
    </w:p>
    <w:p w14:paraId="7F92B805" w14:textId="77777777" w:rsidR="00904123" w:rsidRDefault="007D18CE" w:rsidP="00904123">
      <w:pPr>
        <w:pStyle w:val="Heading1"/>
      </w:pPr>
      <w:bookmarkStart w:id="25" w:name="_Toc147618610"/>
      <w:r w:rsidRPr="005B36A4">
        <w:lastRenderedPageBreak/>
        <w:t xml:space="preserve">Chapter </w:t>
      </w:r>
      <w:r w:rsidR="0018433B" w:rsidRPr="005B36A4">
        <w:t>6</w:t>
      </w:r>
      <w:r>
        <w:t xml:space="preserve">: </w:t>
      </w:r>
      <w:r w:rsidRPr="005B36A4">
        <w:t>Formal Criteria</w:t>
      </w:r>
      <w:r w:rsidR="00904123">
        <w:t>:</w:t>
      </w:r>
      <w:bookmarkEnd w:id="25"/>
    </w:p>
    <w:p w14:paraId="08733554" w14:textId="7D4C9F93" w:rsidR="0018433B" w:rsidRPr="005B36A4" w:rsidRDefault="00904123" w:rsidP="00904123">
      <w:pPr>
        <w:pStyle w:val="Heading1"/>
      </w:pPr>
      <w:bookmarkStart w:id="26" w:name="_Toc147618611"/>
      <w:r w:rsidRPr="005B36A4">
        <w:t>Numerical Principles</w:t>
      </w:r>
      <w:bookmarkEnd w:id="26"/>
    </w:p>
    <w:p w14:paraId="46D180BA" w14:textId="77777777" w:rsidR="0018433B" w:rsidRPr="005B36A4" w:rsidRDefault="0018433B" w:rsidP="0018433B"/>
    <w:p w14:paraId="6E4435A9" w14:textId="77777777" w:rsidR="0018433B" w:rsidRPr="005B36A4" w:rsidRDefault="0018433B" w:rsidP="0018433B"/>
    <w:p w14:paraId="49CB8948" w14:textId="499DDB7F" w:rsidR="0018433B" w:rsidRPr="005B36A4" w:rsidRDefault="0018433B" w:rsidP="0018433B">
      <w:r>
        <w:tab/>
      </w:r>
      <w:r w:rsidRPr="005B36A4">
        <w:t>A number of scholars have detected in Luke a penchant for numerical principles. The water</w:t>
      </w:r>
      <w:r w:rsidRPr="005B36A4">
        <w:softHyphen/>
        <w:t>shed figure in this tradition is unquestionably Robert Morgenthaler</w:t>
      </w:r>
      <w:r w:rsidR="006F304D" w:rsidRPr="006F304D">
        <w:t xml:space="preserve">, </w:t>
      </w:r>
      <w:r w:rsidRPr="005B36A4">
        <w:t>and three scholars who have followed in his wake are Walter Grundmann</w:t>
      </w:r>
      <w:r w:rsidR="006F304D" w:rsidRPr="006F304D">
        <w:t xml:space="preserve">, </w:t>
      </w:r>
      <w:r w:rsidRPr="005B36A4">
        <w:t>E. Earle Ellis</w:t>
      </w:r>
      <w:r w:rsidR="006F304D" w:rsidRPr="006F304D">
        <w:t xml:space="preserve">, </w:t>
      </w:r>
      <w:r w:rsidRPr="005B36A4">
        <w:t>and Charles Talbert. Since these four are the most important exegetes to consider in the present chapter</w:t>
      </w:r>
      <w:r w:rsidR="006F304D" w:rsidRPr="006F304D">
        <w:t xml:space="preserve">, </w:t>
      </w:r>
      <w:r w:rsidRPr="005B36A4">
        <w:t>we will treat each in a separate section</w:t>
      </w:r>
      <w:r w:rsidR="006F304D" w:rsidRPr="006F304D">
        <w:t xml:space="preserve">, </w:t>
      </w:r>
      <w:r w:rsidRPr="005B36A4">
        <w:t>but consider in a beginning section those scholars who precede Morgenthaler and in a final section those who come after.</w:t>
      </w:r>
    </w:p>
    <w:p w14:paraId="205E76C9" w14:textId="77777777" w:rsidR="0018433B" w:rsidRPr="005B36A4" w:rsidRDefault="0018433B" w:rsidP="0018433B"/>
    <w:p w14:paraId="62FFB883" w14:textId="77777777" w:rsidR="0018433B" w:rsidRPr="005B36A4" w:rsidRDefault="0018433B" w:rsidP="00904123">
      <w:pPr>
        <w:pStyle w:val="Heading2"/>
      </w:pPr>
      <w:bookmarkStart w:id="27" w:name="_Toc147618612"/>
      <w:r w:rsidRPr="005B36A4">
        <w:t>1.</w:t>
      </w:r>
      <w:r>
        <w:t xml:space="preserve"> </w:t>
      </w:r>
      <w:r w:rsidRPr="005B36A4">
        <w:t>Early Exponents of Numerical Principles</w:t>
      </w:r>
      <w:bookmarkEnd w:id="27"/>
    </w:p>
    <w:p w14:paraId="07565BF9" w14:textId="77777777" w:rsidR="0018433B" w:rsidRPr="005B36A4" w:rsidRDefault="0018433B" w:rsidP="0018433B"/>
    <w:p w14:paraId="171325E4" w14:textId="70E654CC" w:rsidR="0018433B" w:rsidRPr="005B36A4" w:rsidRDefault="0018433B" w:rsidP="0018433B">
      <w:r>
        <w:tab/>
      </w:r>
      <w:r w:rsidRPr="005B36A4">
        <w:t>Several scholars in the first half of this century commented on the presence in Luke and Acts of numerical principles of organization. One early exponent was Ernst von Dobschütz</w:t>
      </w:r>
      <w:r w:rsidR="006F304D" w:rsidRPr="006F304D">
        <w:t xml:space="preserve">, </w:t>
      </w:r>
      <w:r w:rsidRPr="005B36A4">
        <w:t>who argued in 1914 that much of the synoptic tradition is based on units of two or three items;</w:t>
      </w:r>
      <w:r w:rsidRPr="005B36A4">
        <w:rPr>
          <w:rStyle w:val="FootnoteReference"/>
        </w:rPr>
        <w:footnoteReference w:id="310"/>
      </w:r>
      <w:r w:rsidRPr="005B36A4">
        <w:t xml:space="preserve"> in 1931 he reexamined the evidence.</w:t>
      </w:r>
      <w:r w:rsidRPr="005B36A4">
        <w:rPr>
          <w:rStyle w:val="FootnoteReference"/>
        </w:rPr>
        <w:footnoteReference w:id="311"/>
      </w:r>
    </w:p>
    <w:p w14:paraId="54A16BC7" w14:textId="4AA93885" w:rsidR="0018433B" w:rsidRPr="005B36A4" w:rsidRDefault="0018433B" w:rsidP="0018433B">
      <w:pPr>
        <w:contextualSpacing/>
      </w:pPr>
      <w:r>
        <w:tab/>
      </w:r>
      <w:r w:rsidRPr="005B36A4">
        <w:t>Another early exponent of numerical criteria was Henry J. Cadbury</w:t>
      </w:r>
      <w:r w:rsidR="006F304D" w:rsidRPr="006F304D">
        <w:t xml:space="preserve">, </w:t>
      </w:r>
      <w:r w:rsidRPr="005B36A4">
        <w:t>who wrote in 1927:</w:t>
      </w:r>
    </w:p>
    <w:p w14:paraId="4FB083DD" w14:textId="77777777" w:rsidR="0018433B" w:rsidRPr="005B36A4" w:rsidRDefault="0018433B" w:rsidP="0018433B">
      <w:pPr>
        <w:contextualSpacing/>
      </w:pPr>
    </w:p>
    <w:p w14:paraId="41BF9591" w14:textId="541C02CD" w:rsidR="0018433B" w:rsidRPr="005B36A4" w:rsidRDefault="0018433B" w:rsidP="0018433B">
      <w:pPr>
        <w:ind w:left="720" w:right="720"/>
      </w:pPr>
      <w:r w:rsidRPr="005B36A4">
        <w:t>Luke seems to be fond of parallel pairs</w:t>
      </w:r>
      <w:r w:rsidRPr="00E149A1">
        <w:t>. . . .</w:t>
      </w:r>
      <w:r w:rsidRPr="005B36A4">
        <w:t xml:space="preserve"> Two historical examples are used to illustrate a point</w:t>
      </w:r>
      <w:r w:rsidR="006F304D" w:rsidRPr="006F304D">
        <w:t xml:space="preserve">, </w:t>
      </w:r>
      <w:r w:rsidRPr="005B36A4">
        <w:t>either the unpreparedness in the days of Noah and of Lot [17:26-30] (only the former in Matthew)</w:t>
      </w:r>
      <w:r w:rsidR="006F304D" w:rsidRPr="006F304D">
        <w:t xml:space="preserve">, </w:t>
      </w:r>
      <w:r w:rsidRPr="005B36A4">
        <w:t>or the attention paid to Jonah’s preaching and Solomon’s wisdom [11:29-32] (both in Matthew)</w:t>
      </w:r>
      <w:r w:rsidR="006F304D" w:rsidRPr="006F304D">
        <w:t xml:space="preserve">, </w:t>
      </w:r>
      <w:r w:rsidRPr="005B36A4">
        <w:t>or the honoring of foreigners by the prophets Elijah and Elisha [4:24-27]</w:t>
      </w:r>
      <w:r w:rsidR="006F304D" w:rsidRPr="006F304D">
        <w:t xml:space="preserve">, </w:t>
      </w:r>
      <w:r w:rsidRPr="005B36A4">
        <w:t>or the two recent disasters in Jerusalem [13:1-5]</w:t>
      </w:r>
      <w:r w:rsidR="006F304D" w:rsidRPr="006F304D">
        <w:t xml:space="preserve">, </w:t>
      </w:r>
      <w:r w:rsidRPr="005B36A4">
        <w:t>or the two ineffective insurrections of Theudas and Judas [Acts 5:36</w:t>
      </w:r>
      <w:r w:rsidRPr="005B36A4">
        <w:noBreakHyphen/>
        <w:t xml:space="preserve">37]. As double illustrations of identical thought we may quote the prudent builder and </w:t>
      </w:r>
      <w:r w:rsidRPr="005B36A4">
        <w:lastRenderedPageBreak/>
        <w:t>the prudent warrior [Luke 14:28-32]</w:t>
      </w:r>
      <w:r w:rsidR="006F304D" w:rsidRPr="006F304D">
        <w:t xml:space="preserve">, </w:t>
      </w:r>
      <w:r w:rsidRPr="005B36A4">
        <w:t>the two sleepers and the two grinders [17:34-35].</w:t>
      </w:r>
      <w:r w:rsidRPr="005B36A4">
        <w:rPr>
          <w:rStyle w:val="FootnoteReference"/>
        </w:rPr>
        <w:footnoteReference w:id="312"/>
      </w:r>
    </w:p>
    <w:p w14:paraId="6DD9C52C" w14:textId="77777777" w:rsidR="0018433B" w:rsidRDefault="0018433B" w:rsidP="0018433B"/>
    <w:p w14:paraId="566E1F98" w14:textId="2D9C25AE" w:rsidR="0018433B" w:rsidRPr="005B36A4" w:rsidRDefault="0018433B" w:rsidP="0018433B">
      <w:r>
        <w:tab/>
      </w:r>
      <w:r w:rsidRPr="005B36A4">
        <w:t>Much more systematic in his application of numerical principles to Luke-Acts was Lyder Brun</w:t>
      </w:r>
      <w:r w:rsidR="006F304D" w:rsidRPr="006F304D">
        <w:t xml:space="preserve">, </w:t>
      </w:r>
      <w:r w:rsidRPr="005B36A4">
        <w:t xml:space="preserve">who in 1930 published an extensive article on Luke’s </w:t>
      </w:r>
      <w:proofErr w:type="spellStart"/>
      <w:r w:rsidRPr="005B36A4">
        <w:rPr>
          <w:i/>
          <w:iCs/>
        </w:rPr>
        <w:t>Kompositionstechnik</w:t>
      </w:r>
      <w:proofErr w:type="spellEnd"/>
      <w:r w:rsidRPr="005B36A4">
        <w:rPr>
          <w:iCs/>
        </w:rPr>
        <w:t xml:space="preserve">. </w:t>
      </w:r>
      <w:r w:rsidRPr="005B36A4">
        <w:t>He cites dozens of instances of pairings (and</w:t>
      </w:r>
      <w:r w:rsidR="006F304D" w:rsidRPr="006F304D">
        <w:t xml:space="preserve">, </w:t>
      </w:r>
      <w:r w:rsidRPr="005B36A4">
        <w:t>to a lesser extent</w:t>
      </w:r>
      <w:r w:rsidR="006F304D" w:rsidRPr="006F304D">
        <w:t xml:space="preserve">, </w:t>
      </w:r>
      <w:proofErr w:type="spellStart"/>
      <w:r w:rsidRPr="005B36A4">
        <w:t>treblings</w:t>
      </w:r>
      <w:proofErr w:type="spellEnd"/>
      <w:r w:rsidRPr="005B36A4">
        <w:t>) in Luke’s gospel</w:t>
      </w:r>
      <w:r w:rsidR="006F304D" w:rsidRPr="006F304D">
        <w:t xml:space="preserve">, </w:t>
      </w:r>
      <w:r w:rsidRPr="005B36A4">
        <w:t>commenting on “what a great role the system of parallelism</w:t>
      </w:r>
      <w:r w:rsidR="006F304D" w:rsidRPr="006F304D">
        <w:t xml:space="preserve">, </w:t>
      </w:r>
      <w:r w:rsidRPr="005B36A4">
        <w:t>contrasts</w:t>
      </w:r>
      <w:r w:rsidR="006F304D" w:rsidRPr="006F304D">
        <w:t xml:space="preserve">, </w:t>
      </w:r>
      <w:r w:rsidRPr="005B36A4">
        <w:t>and complements seems to play in the literary compo</w:t>
      </w:r>
      <w:r w:rsidRPr="005B36A4">
        <w:softHyphen/>
        <w:t>sition of Luke’s gospel.”</w:t>
      </w:r>
      <w:r w:rsidRPr="005B36A4">
        <w:rPr>
          <w:rStyle w:val="FootnoteReference"/>
        </w:rPr>
        <w:footnoteReference w:id="313"/>
      </w:r>
      <w:r w:rsidRPr="005B36A4">
        <w:t xml:space="preserve"> Brun does not consider parallelism and pairings within the sermon on the plain but notes the sermon’s relation to what precedes it: “to the narrative of the choosing of the twelve and the gathering of the multitudes [6:12-19] he binds the sermon on the plain [6:20-49]</w:t>
      </w:r>
      <w:r w:rsidR="006F304D" w:rsidRPr="006F304D">
        <w:t xml:space="preserve">, </w:t>
      </w:r>
      <w:r w:rsidRPr="005B36A4">
        <w:t>by means of which there arises once again a striking double-structure.”</w:t>
      </w:r>
      <w:r w:rsidRPr="005B36A4">
        <w:rPr>
          <w:rStyle w:val="FootnoteReference"/>
        </w:rPr>
        <w:footnoteReference w:id="314"/>
      </w:r>
    </w:p>
    <w:p w14:paraId="59BEF8BD" w14:textId="18033ACD" w:rsidR="0018433B" w:rsidRPr="005B36A4" w:rsidRDefault="0018433B" w:rsidP="0018433B">
      <w:r>
        <w:tab/>
      </w:r>
      <w:r w:rsidRPr="005B36A4">
        <w:t xml:space="preserve">Another champion of numerical principles was </w:t>
      </w:r>
      <w:r w:rsidR="00E565D9" w:rsidRPr="00E565D9">
        <w:rPr>
          <w:iCs/>
        </w:rPr>
        <w:t>H.F.</w:t>
      </w:r>
      <w:r w:rsidR="00214BC2" w:rsidRPr="00214BC2">
        <w:rPr>
          <w:iCs/>
        </w:rPr>
        <w:t>D.</w:t>
      </w:r>
      <w:r w:rsidRPr="005B36A4">
        <w:t xml:space="preserve"> Sparks. Whereas </w:t>
      </w:r>
      <w:proofErr w:type="spellStart"/>
      <w:r w:rsidRPr="005B36A4">
        <w:t>Dobschütz</w:t>
      </w:r>
      <w:proofErr w:type="spellEnd"/>
      <w:r w:rsidRPr="005B36A4">
        <w:t xml:space="preserve"> attrib</w:t>
      </w:r>
      <w:r w:rsidRPr="005B36A4">
        <w:softHyphen/>
        <w:t xml:space="preserve">uted the development of two-member units into three-member units (and of three-member units </w:t>
      </w:r>
      <w:r w:rsidRPr="005B36A4">
        <w:lastRenderedPageBreak/>
        <w:t>into four) to the natural evolution of oral material,</w:t>
      </w:r>
      <w:r w:rsidRPr="005B36A4">
        <w:rPr>
          <w:rStyle w:val="FootnoteReference"/>
        </w:rPr>
        <w:footnoteReference w:id="315"/>
      </w:r>
      <w:r w:rsidRPr="005B36A4">
        <w:t xml:space="preserve"> Sparks maintained that the oral tradition was based mostly on pairs and that threefold units are therefore redactional.</w:t>
      </w:r>
      <w:r w:rsidRPr="005B36A4">
        <w:rPr>
          <w:rStyle w:val="FootnoteReference"/>
        </w:rPr>
        <w:footnoteReference w:id="316"/>
      </w:r>
      <w:r w:rsidRPr="005B36A4">
        <w:t xml:space="preserve"> Redactional triads include: the request for three loaves (11:5)</w:t>
      </w:r>
      <w:r w:rsidR="006F304D" w:rsidRPr="006F304D">
        <w:t xml:space="preserve">, </w:t>
      </w:r>
      <w:r w:rsidRPr="005B36A4">
        <w:t>three complaints against Simon the Pharisee (7:44-46)</w:t>
      </w:r>
      <w:r w:rsidR="006F304D" w:rsidRPr="006F304D">
        <w:t xml:space="preserve">, </w:t>
      </w:r>
      <w:r w:rsidRPr="005B36A4">
        <w:t>three words from the cross (23:34-46)</w:t>
      </w:r>
      <w:r w:rsidR="006F304D" w:rsidRPr="006F304D">
        <w:t xml:space="preserve">, </w:t>
      </w:r>
      <w:r w:rsidRPr="005B36A4">
        <w:t>three parables at the house of a Pharisaic ruler (14:7-24)</w:t>
      </w:r>
      <w:r w:rsidR="006F304D" w:rsidRPr="006F304D">
        <w:t xml:space="preserve">, </w:t>
      </w:r>
      <w:r w:rsidRPr="005B36A4">
        <w:t>three parables of the lost (Luke 15)</w:t>
      </w:r>
      <w:r w:rsidR="006F304D" w:rsidRPr="006F304D">
        <w:t xml:space="preserve">, </w:t>
      </w:r>
      <w:r w:rsidRPr="005B36A4">
        <w:t>three woes against the Pharisees and three against the lawyers (see 11:37</w:t>
      </w:r>
      <w:r w:rsidR="006F304D" w:rsidRPr="006F304D">
        <w:t xml:space="preserve">, </w:t>
      </w:r>
      <w:r w:rsidRPr="005B36A4">
        <w:t>12:1</w:t>
      </w:r>
      <w:r w:rsidR="006F304D" w:rsidRPr="006F304D">
        <w:t xml:space="preserve">, </w:t>
      </w:r>
      <w:r w:rsidRPr="005B36A4">
        <w:t>in contrast to Matthew’s series of seven)</w:t>
      </w:r>
      <w:r w:rsidR="006F304D" w:rsidRPr="006F304D">
        <w:t xml:space="preserve">, </w:t>
      </w:r>
      <w:r w:rsidRPr="005B36A4">
        <w:t xml:space="preserve">and so on. But like </w:t>
      </w:r>
      <w:proofErr w:type="spellStart"/>
      <w:r w:rsidRPr="005B36A4">
        <w:t>Dobschütz</w:t>
      </w:r>
      <w:proofErr w:type="spellEnd"/>
      <w:r w:rsidR="006F304D" w:rsidRPr="006F304D">
        <w:t xml:space="preserve">, </w:t>
      </w:r>
      <w:r w:rsidRPr="005B36A4">
        <w:t>Sparks’ real interest lay elsewhere than in the numerical principle itself: he used Luke’s habit of expanding two-part units into three-part to prove that</w:t>
      </w:r>
      <w:r w:rsidR="006F304D" w:rsidRPr="006F304D">
        <w:t xml:space="preserve">, </w:t>
      </w:r>
      <w:r w:rsidRPr="005B36A4">
        <w:t>when reconstructing Q</w:t>
      </w:r>
      <w:r w:rsidR="006F304D" w:rsidRPr="006F304D">
        <w:t xml:space="preserve">, </w:t>
      </w:r>
      <w:r w:rsidRPr="005B36A4">
        <w:t>Matthew’s binary readings are preferrable to Luke’s ternary.</w:t>
      </w:r>
      <w:r w:rsidRPr="005B36A4">
        <w:rPr>
          <w:rStyle w:val="FootnoteReference"/>
        </w:rPr>
        <w:footnoteReference w:id="317"/>
      </w:r>
      <w:r w:rsidRPr="005B36A4">
        <w:t xml:space="preserve"> About the sermon on the plain he has nothing in particular to say.</w:t>
      </w:r>
    </w:p>
    <w:p w14:paraId="0E59416E" w14:textId="77777777" w:rsidR="0018433B" w:rsidRPr="005B36A4" w:rsidRDefault="0018433B" w:rsidP="0018433B">
      <w:r>
        <w:tab/>
      </w:r>
      <w:r w:rsidRPr="005B36A4">
        <w:t>It is not until Robert Morgenthaler’s classic work that the application of numerical principles to the structure of Luke-Acts comes fully into its own.</w:t>
      </w:r>
    </w:p>
    <w:p w14:paraId="112FD97A" w14:textId="77777777" w:rsidR="0018433B" w:rsidRPr="005B36A4" w:rsidRDefault="0018433B" w:rsidP="0018433B"/>
    <w:p w14:paraId="73B6DFDB" w14:textId="77777777" w:rsidR="0018433B" w:rsidRPr="005B36A4" w:rsidRDefault="0018433B" w:rsidP="00904123">
      <w:pPr>
        <w:pStyle w:val="Heading2"/>
      </w:pPr>
      <w:bookmarkStart w:id="28" w:name="_Toc147618613"/>
      <w:r w:rsidRPr="005B36A4">
        <w:t>2.</w:t>
      </w:r>
      <w:r>
        <w:t xml:space="preserve"> </w:t>
      </w:r>
      <w:r w:rsidRPr="005B36A4">
        <w:t>Robert Morgenthaler</w:t>
      </w:r>
      <w:bookmarkEnd w:id="28"/>
    </w:p>
    <w:p w14:paraId="49B6B9C9" w14:textId="77777777" w:rsidR="0018433B" w:rsidRPr="005B36A4" w:rsidRDefault="0018433B" w:rsidP="0018433B"/>
    <w:p w14:paraId="02023D26" w14:textId="47CBD18F" w:rsidR="0018433B" w:rsidRPr="00263795" w:rsidRDefault="0018433B" w:rsidP="0018433B">
      <w:pPr>
        <w:rPr>
          <w:iCs/>
        </w:rPr>
      </w:pPr>
      <w:r>
        <w:rPr>
          <w:iCs/>
        </w:rPr>
        <w:tab/>
      </w:r>
      <w:r w:rsidRPr="005B36A4">
        <w:rPr>
          <w:i/>
          <w:iCs/>
        </w:rPr>
        <w:t>The Lukan Writing of History as Witness</w:t>
      </w:r>
      <w:r w:rsidRPr="005B36A4">
        <w:rPr>
          <w:iCs/>
        </w:rPr>
        <w:t xml:space="preserve">: </w:t>
      </w:r>
      <w:r w:rsidRPr="005B36A4">
        <w:rPr>
          <w:i/>
          <w:iCs/>
        </w:rPr>
        <w:t>Form and Content in the Art of Luke</w:t>
      </w:r>
      <w:r w:rsidRPr="005B36A4">
        <w:rPr>
          <w:rStyle w:val="FootnoteReference"/>
        </w:rPr>
        <w:footnoteReference w:id="318"/>
      </w:r>
      <w:r w:rsidRPr="005B36A4">
        <w:t xml:space="preserve"> by the Swiss exegete Robert Morgenthaler advances two theses</w:t>
      </w:r>
      <w:r w:rsidR="006F304D" w:rsidRPr="006F304D">
        <w:t xml:space="preserve">, </w:t>
      </w:r>
      <w:r w:rsidRPr="005B36A4">
        <w:t>one in each of its two volumes. The thesis of the first volume is that Luke constructed his gospel</w:t>
      </w:r>
      <w:r w:rsidR="006F304D" w:rsidRPr="006F304D">
        <w:t xml:space="preserve">, </w:t>
      </w:r>
      <w:r w:rsidRPr="005B36A4">
        <w:t>from smallest detail to largest outline</w:t>
      </w:r>
      <w:r w:rsidR="006F304D" w:rsidRPr="006F304D">
        <w:t xml:space="preserve">, </w:t>
      </w:r>
      <w:r w:rsidRPr="005B36A4">
        <w:t xml:space="preserve">on a principle of </w:t>
      </w:r>
      <w:proofErr w:type="spellStart"/>
      <w:r w:rsidRPr="005B36A4">
        <w:t>twofoldness</w:t>
      </w:r>
      <w:proofErr w:type="spellEnd"/>
      <w:r w:rsidRPr="005B36A4">
        <w:t>.</w:t>
      </w:r>
      <w:r w:rsidRPr="005B36A4">
        <w:rPr>
          <w:rStyle w:val="FootnoteReference"/>
        </w:rPr>
        <w:footnoteReference w:id="319"/>
      </w:r>
      <w:r w:rsidRPr="005B36A4">
        <w:t xml:space="preserve"> The thesis of the second volume is that Luke’s reason for using this principle throughout is to comply with the Jewish legal requirement of at least two witnesses </w:t>
      </w:r>
      <w:r w:rsidRPr="005B36A4">
        <w:lastRenderedPageBreak/>
        <w:t>to prove a case.</w:t>
      </w:r>
      <w:r w:rsidRPr="005B36A4">
        <w:rPr>
          <w:rStyle w:val="FootnoteReference"/>
        </w:rPr>
        <w:footnoteReference w:id="320"/>
      </w:r>
      <w:r w:rsidRPr="005B36A4">
        <w:t xml:space="preserve"> Our interest of course is in the first thesis</w:t>
      </w:r>
      <w:r w:rsidR="006F304D" w:rsidRPr="006F304D">
        <w:t xml:space="preserve">, </w:t>
      </w:r>
      <w:r w:rsidRPr="005B36A4">
        <w:t xml:space="preserve">the construction of Luke’s work on a principle of </w:t>
      </w:r>
      <w:proofErr w:type="spellStart"/>
      <w:r w:rsidRPr="005B36A4">
        <w:t>twofold</w:t>
      </w:r>
      <w:r w:rsidRPr="005B36A4">
        <w:softHyphen/>
        <w:t>ness</w:t>
      </w:r>
      <w:proofErr w:type="spellEnd"/>
      <w:r w:rsidR="006F304D" w:rsidRPr="006F304D">
        <w:t xml:space="preserve">, </w:t>
      </w:r>
      <w:r w:rsidRPr="005B36A4">
        <w:t>and not the second.</w:t>
      </w:r>
      <w:r w:rsidRPr="005B36A4">
        <w:rPr>
          <w:rStyle w:val="FootnoteReference"/>
        </w:rPr>
        <w:footnoteReference w:id="321"/>
      </w:r>
    </w:p>
    <w:p w14:paraId="2AF08836" w14:textId="171E7B89" w:rsidR="0018433B" w:rsidRDefault="0018433B" w:rsidP="0018433B">
      <w:r>
        <w:tab/>
      </w:r>
      <w:r w:rsidRPr="005B36A4">
        <w:t xml:space="preserve">Morgenthaler’s principle of </w:t>
      </w:r>
      <w:proofErr w:type="spellStart"/>
      <w:r w:rsidRPr="005B36A4">
        <w:rPr>
          <w:i/>
          <w:iCs/>
        </w:rPr>
        <w:t>Zweigliedrigkeit</w:t>
      </w:r>
      <w:proofErr w:type="spellEnd"/>
      <w:r w:rsidRPr="005B36A4">
        <w:t xml:space="preserve"> or </w:t>
      </w:r>
      <w:proofErr w:type="spellStart"/>
      <w:r w:rsidRPr="005B36A4">
        <w:rPr>
          <w:i/>
          <w:iCs/>
        </w:rPr>
        <w:t>Zweiheitsgesetz</w:t>
      </w:r>
      <w:proofErr w:type="spellEnd"/>
      <w:r w:rsidRPr="005B36A4">
        <w:t xml:space="preserve"> is variously translated; I will call it</w:t>
      </w:r>
      <w:r w:rsidR="006F304D" w:rsidRPr="006F304D">
        <w:t xml:space="preserve">, </w:t>
      </w:r>
      <w:r w:rsidRPr="005B36A4">
        <w:t>with Barrett</w:t>
      </w:r>
      <w:r w:rsidR="006F304D" w:rsidRPr="006F304D">
        <w:t xml:space="preserve">, </w:t>
      </w:r>
      <w:r w:rsidRPr="005B36A4">
        <w:t>the “principle of two-</w:t>
      </w:r>
      <w:proofErr w:type="spellStart"/>
      <w:r w:rsidRPr="005B36A4">
        <w:t>foldness</w:t>
      </w:r>
      <w:proofErr w:type="spellEnd"/>
      <w:r w:rsidRPr="005B36A4">
        <w:t>.”</w:t>
      </w:r>
      <w:r w:rsidRPr="005B36A4">
        <w:rPr>
          <w:rStyle w:val="FootnoteReference"/>
        </w:rPr>
        <w:footnoteReference w:id="322"/>
      </w:r>
      <w:r w:rsidRPr="005B36A4">
        <w:t xml:space="preserve"> Whatever the name</w:t>
      </w:r>
      <w:r w:rsidR="006F304D" w:rsidRPr="006F304D">
        <w:t xml:space="preserve">, </w:t>
      </w:r>
      <w:r w:rsidRPr="005B36A4">
        <w:t>the idea refers to Luke’s tendency to cast his thought in paired units.</w:t>
      </w:r>
      <w:r w:rsidRPr="005B36A4">
        <w:rPr>
          <w:rStyle w:val="FootnoteReference"/>
        </w:rPr>
        <w:footnoteReference w:id="323"/>
      </w:r>
      <w:r w:rsidRPr="005B36A4">
        <w:t xml:space="preserve"> Morgenthaler organizes his first volume from smaller to larger instances of </w:t>
      </w:r>
      <w:proofErr w:type="spellStart"/>
      <w:r w:rsidRPr="005B36A4">
        <w:t>twofoldness</w:t>
      </w:r>
      <w:proofErr w:type="spellEnd"/>
      <w:r w:rsidRPr="005B36A4">
        <w:t>. His first chapter deals with words</w:t>
      </w:r>
      <w:r w:rsidR="006F304D" w:rsidRPr="006F304D">
        <w:t xml:space="preserve">, </w:t>
      </w:r>
      <w:r w:rsidRPr="005B36A4">
        <w:t>his second with sentences</w:t>
      </w:r>
      <w:r w:rsidR="006F304D" w:rsidRPr="006F304D">
        <w:t xml:space="preserve">, </w:t>
      </w:r>
      <w:r w:rsidRPr="005B36A4">
        <w:t>his third with pericopes (</w:t>
      </w:r>
      <w:proofErr w:type="spellStart"/>
      <w:r w:rsidRPr="005B36A4">
        <w:rPr>
          <w:i/>
          <w:iCs/>
        </w:rPr>
        <w:t>Abschnitte</w:t>
      </w:r>
      <w:proofErr w:type="spellEnd"/>
      <w:r w:rsidRPr="005B36A4">
        <w:t>)</w:t>
      </w:r>
      <w:r w:rsidR="006F304D" w:rsidRPr="006F304D">
        <w:t xml:space="preserve">, </w:t>
      </w:r>
      <w:r w:rsidRPr="005B36A4">
        <w:t>and his fourth with Luke-Acts as a whole (</w:t>
      </w:r>
      <w:proofErr w:type="spellStart"/>
      <w:r w:rsidRPr="005B36A4">
        <w:rPr>
          <w:i/>
          <w:iCs/>
        </w:rPr>
        <w:t>Gesamtkomposition</w:t>
      </w:r>
      <w:proofErr w:type="spellEnd"/>
      <w:r w:rsidRPr="005B36A4">
        <w:t>). In all but the last chapter</w:t>
      </w:r>
      <w:r w:rsidR="006F304D" w:rsidRPr="006F304D">
        <w:t xml:space="preserve">, </w:t>
      </w:r>
      <w:r w:rsidRPr="005B36A4">
        <w:t xml:space="preserve">he presents examples of </w:t>
      </w:r>
      <w:proofErr w:type="spellStart"/>
      <w:r w:rsidRPr="005B36A4">
        <w:t>twofoldness</w:t>
      </w:r>
      <w:proofErr w:type="spellEnd"/>
      <w:r w:rsidRPr="005B36A4">
        <w:t xml:space="preserve"> </w:t>
      </w:r>
      <w:r w:rsidRPr="005B36A4">
        <w:rPr>
          <w:i/>
          <w:iCs/>
        </w:rPr>
        <w:t>in</w:t>
      </w:r>
      <w:r w:rsidRPr="005B36A4">
        <w:t xml:space="preserve"> double units (</w:t>
      </w:r>
      <w:proofErr w:type="spellStart"/>
      <w:r w:rsidRPr="005B36A4">
        <w:rPr>
          <w:i/>
          <w:iCs/>
        </w:rPr>
        <w:t>Doppelwörte</w:t>
      </w:r>
      <w:proofErr w:type="spellEnd"/>
      <w:r w:rsidR="006F304D" w:rsidRPr="006F304D">
        <w:rPr>
          <w:iCs/>
        </w:rPr>
        <w:t xml:space="preserve">, </w:t>
      </w:r>
      <w:proofErr w:type="spellStart"/>
      <w:r w:rsidRPr="005B36A4">
        <w:rPr>
          <w:i/>
          <w:iCs/>
        </w:rPr>
        <w:t>Doppelsätze</w:t>
      </w:r>
      <w:proofErr w:type="spellEnd"/>
      <w:r w:rsidR="006F304D" w:rsidRPr="006F304D">
        <w:rPr>
          <w:iCs/>
        </w:rPr>
        <w:t xml:space="preserve">, </w:t>
      </w:r>
      <w:proofErr w:type="spellStart"/>
      <w:r w:rsidRPr="005B36A4">
        <w:rPr>
          <w:i/>
          <w:iCs/>
        </w:rPr>
        <w:t>Doppelabschnitte</w:t>
      </w:r>
      <w:proofErr w:type="spellEnd"/>
      <w:r w:rsidRPr="005B36A4">
        <w:t>)</w:t>
      </w:r>
      <w:r w:rsidR="006F304D" w:rsidRPr="006F304D">
        <w:t xml:space="preserve">, </w:t>
      </w:r>
      <w:r w:rsidRPr="005B36A4">
        <w:t xml:space="preserve">then </w:t>
      </w:r>
      <w:r w:rsidRPr="005B36A4">
        <w:rPr>
          <w:i/>
          <w:iCs/>
        </w:rPr>
        <w:t>between</w:t>
      </w:r>
      <w:r w:rsidRPr="005B36A4">
        <w:t xml:space="preserve"> double units (resulting in at least four-member units: </w:t>
      </w:r>
      <w:proofErr w:type="spellStart"/>
      <w:r w:rsidRPr="005B36A4">
        <w:rPr>
          <w:i/>
          <w:iCs/>
        </w:rPr>
        <w:t>Wortkompositionen</w:t>
      </w:r>
      <w:proofErr w:type="spellEnd"/>
      <w:r w:rsidR="006F304D" w:rsidRPr="006F304D">
        <w:rPr>
          <w:iCs/>
        </w:rPr>
        <w:t xml:space="preserve">, </w:t>
      </w:r>
      <w:proofErr w:type="spellStart"/>
      <w:r w:rsidRPr="005B36A4">
        <w:rPr>
          <w:i/>
          <w:iCs/>
        </w:rPr>
        <w:t>Satzkompositionen</w:t>
      </w:r>
      <w:proofErr w:type="spellEnd"/>
      <w:r w:rsidR="006F304D" w:rsidRPr="006F304D">
        <w:rPr>
          <w:iCs/>
        </w:rPr>
        <w:t xml:space="preserve">, </w:t>
      </w:r>
      <w:proofErr w:type="spellStart"/>
      <w:r w:rsidRPr="005B36A4">
        <w:rPr>
          <w:i/>
          <w:iCs/>
        </w:rPr>
        <w:t>Abschnittkompositionen</w:t>
      </w:r>
      <w:proofErr w:type="spellEnd"/>
      <w:r w:rsidRPr="005B36A4">
        <w:t>). Because it is carried through at the level of words</w:t>
      </w:r>
      <w:r w:rsidR="006F304D" w:rsidRPr="006F304D">
        <w:t xml:space="preserve">, </w:t>
      </w:r>
      <w:r w:rsidRPr="005B36A4">
        <w:t>sentences</w:t>
      </w:r>
      <w:r w:rsidR="006F304D" w:rsidRPr="006F304D">
        <w:t xml:space="preserve">, </w:t>
      </w:r>
      <w:r w:rsidRPr="005B36A4">
        <w:t>sections</w:t>
      </w:r>
      <w:r w:rsidR="006F304D" w:rsidRPr="006F304D">
        <w:t xml:space="preserve">, </w:t>
      </w:r>
      <w:r w:rsidRPr="005B36A4">
        <w:t>and the sermon as a whole</w:t>
      </w:r>
      <w:r w:rsidR="006F304D" w:rsidRPr="006F304D">
        <w:t xml:space="preserve">, </w:t>
      </w:r>
      <w:r w:rsidRPr="005B36A4">
        <w:t xml:space="preserve">his analysis of the sermon on the plain in light of the principle of </w:t>
      </w:r>
      <w:proofErr w:type="spellStart"/>
      <w:r w:rsidRPr="005B36A4">
        <w:t>twofoldness</w:t>
      </w:r>
      <w:proofErr w:type="spellEnd"/>
      <w:r w:rsidRPr="005B36A4">
        <w:t xml:space="preserve"> is quite extensive. I shall present Morgenthaler’s investi</w:t>
      </w:r>
      <w:r w:rsidRPr="005B36A4">
        <w:softHyphen/>
        <w:t>gation at each of these levels</w:t>
      </w:r>
      <w:r w:rsidR="006F304D" w:rsidRPr="006F304D">
        <w:t xml:space="preserve">, </w:t>
      </w:r>
      <w:r w:rsidRPr="005B36A4">
        <w:t>reserving comments upon his analysis until its presentation is complete.</w:t>
      </w:r>
      <w:r w:rsidRPr="005B36A4">
        <w:rPr>
          <w:rStyle w:val="FootnoteReference"/>
        </w:rPr>
        <w:footnoteReference w:id="324"/>
      </w:r>
    </w:p>
    <w:p w14:paraId="68A65C4E" w14:textId="2BF79B5A" w:rsidR="0018433B" w:rsidRDefault="0018433B" w:rsidP="0018433B">
      <w:pPr>
        <w:autoSpaceDE w:val="0"/>
        <w:autoSpaceDN w:val="0"/>
        <w:adjustRightInd w:val="0"/>
      </w:pPr>
      <w:r>
        <w:tab/>
      </w:r>
      <w:r w:rsidRPr="005B36A4">
        <w:t xml:space="preserve">At the level of </w:t>
      </w:r>
      <w:proofErr w:type="spellStart"/>
      <w:r w:rsidRPr="005B36A4">
        <w:t>twofoldness</w:t>
      </w:r>
      <w:proofErr w:type="spellEnd"/>
      <w:r w:rsidRPr="005B36A4">
        <w:t xml:space="preserve"> of words</w:t>
      </w:r>
      <w:r w:rsidR="006F304D" w:rsidRPr="006F304D">
        <w:t xml:space="preserve">, </w:t>
      </w:r>
      <w:r w:rsidRPr="005B36A4">
        <w:t>Morgenthaler discovers several literary devices. An instance of “word doubling” (</w:t>
      </w:r>
      <w:proofErr w:type="spellStart"/>
      <w:r w:rsidRPr="005B36A4">
        <w:rPr>
          <w:i/>
          <w:iCs/>
        </w:rPr>
        <w:t>Wortdoppelungen</w:t>
      </w:r>
      <w:proofErr w:type="spellEnd"/>
      <w:r w:rsidRPr="005B36A4">
        <w:t>) is the dire</w:t>
      </w:r>
      <w:r>
        <w:t>ct address “Lord</w:t>
      </w:r>
      <w:r w:rsidR="006F304D" w:rsidRPr="006F304D">
        <w:t xml:space="preserve">, </w:t>
      </w:r>
      <w:r>
        <w:t>Lord” (</w:t>
      </w:r>
      <w:proofErr w:type="spellStart"/>
      <w:r>
        <w:t>κύριε</w:t>
      </w:r>
      <w:proofErr w:type="spellEnd"/>
      <w:r>
        <w:t xml:space="preserve"> </w:t>
      </w:r>
      <w:proofErr w:type="spellStart"/>
      <w:r>
        <w:t>κ</w:t>
      </w:r>
      <w:r w:rsidRPr="005B36A4">
        <w:t>ύριε</w:t>
      </w:r>
      <w:proofErr w:type="spellEnd"/>
      <w:r w:rsidRPr="005B36A4">
        <w:t xml:space="preserve">) </w:t>
      </w:r>
      <w:r w:rsidRPr="005B36A4">
        <w:lastRenderedPageBreak/>
        <w:t>in Luke 6:46.</w:t>
      </w:r>
      <w:r w:rsidRPr="005B36A4">
        <w:rPr>
          <w:rStyle w:val="FootnoteReference"/>
        </w:rPr>
        <w:footnoteReference w:id="325"/>
      </w:r>
      <w:r w:rsidRPr="005B36A4">
        <w:t xml:space="preserve"> “Two words with the same root” (</w:t>
      </w:r>
      <w:proofErr w:type="spellStart"/>
      <w:r w:rsidRPr="005B36A4">
        <w:rPr>
          <w:i/>
          <w:iCs/>
        </w:rPr>
        <w:t>etymologische</w:t>
      </w:r>
      <w:proofErr w:type="spellEnd"/>
      <w:r w:rsidRPr="005B36A4">
        <w:rPr>
          <w:i/>
          <w:iCs/>
        </w:rPr>
        <w:t xml:space="preserve"> Figure</w:t>
      </w:r>
      <w:r w:rsidRPr="005B36A4">
        <w:t>) can be found in 6:48 and 49</w:t>
      </w:r>
      <w:r w:rsidR="006F304D" w:rsidRPr="006F304D">
        <w:t xml:space="preserve">, </w:t>
      </w:r>
      <w:r w:rsidRPr="005B36A4">
        <w:t>“building a house” (</w:t>
      </w:r>
      <w:proofErr w:type="spellStart"/>
      <w:r w:rsidRPr="005B36A4">
        <w:t>o</w:t>
      </w:r>
      <w:r w:rsidRPr="00CB0999">
        <w:rPr>
          <w:szCs w:val="22"/>
          <w:lang w:bidi="he-IL"/>
        </w:rPr>
        <w:t>ἰ</w:t>
      </w:r>
      <w:r>
        <w:t>κ</w:t>
      </w:r>
      <w:r w:rsidRPr="005B36A4">
        <w:t>oδoμέω</w:t>
      </w:r>
      <w:proofErr w:type="spellEnd"/>
      <w:r w:rsidRPr="005B36A4">
        <w:t xml:space="preserve"> </w:t>
      </w:r>
      <w:proofErr w:type="spellStart"/>
      <w:r w:rsidRPr="005B36A4">
        <w:t>o</w:t>
      </w:r>
      <w:r w:rsidRPr="00CB0999">
        <w:rPr>
          <w:szCs w:val="22"/>
          <w:lang w:bidi="he-IL"/>
        </w:rPr>
        <w:t>ἰ</w:t>
      </w:r>
      <w:r>
        <w:t>κί</w:t>
      </w:r>
      <w:proofErr w:type="spellEnd"/>
      <w:r>
        <w:t>αν</w:t>
      </w:r>
      <w:r w:rsidR="006F304D" w:rsidRPr="006F304D">
        <w:t xml:space="preserve">, </w:t>
      </w:r>
      <w:r w:rsidRPr="005B36A4">
        <w:t>literally</w:t>
      </w:r>
      <w:r w:rsidR="006F304D" w:rsidRPr="006F304D">
        <w:t xml:space="preserve">, </w:t>
      </w:r>
      <w:r w:rsidRPr="005B36A4">
        <w:t>“building a bui</w:t>
      </w:r>
      <w:r>
        <w:t>lding</w:t>
      </w:r>
      <w:r w:rsidRPr="005B36A4">
        <w:t>”).</w:t>
      </w:r>
      <w:r w:rsidRPr="005B36A4">
        <w:rPr>
          <w:rStyle w:val="FootnoteReference"/>
        </w:rPr>
        <w:footnoteReference w:id="326"/>
      </w:r>
      <w:r w:rsidRPr="005B36A4">
        <w:t xml:space="preserve"> More common is the “pair of synonyms” (</w:t>
      </w:r>
      <w:proofErr w:type="spellStart"/>
      <w:r w:rsidRPr="005B36A4">
        <w:rPr>
          <w:i/>
          <w:iCs/>
        </w:rPr>
        <w:t>Tautologie</w:t>
      </w:r>
      <w:proofErr w:type="spellEnd"/>
      <w:r w:rsidRPr="005B36A4">
        <w:t>)</w:t>
      </w:r>
      <w:r w:rsidR="006F304D" w:rsidRPr="006F304D">
        <w:t xml:space="preserve">, </w:t>
      </w:r>
      <w:r w:rsidRPr="005B36A4">
        <w:t>as in 6:23</w:t>
      </w:r>
      <w:r w:rsidR="006F304D" w:rsidRPr="006F304D">
        <w:t xml:space="preserve">, </w:t>
      </w:r>
      <w:r w:rsidRPr="005B36A4">
        <w:t xml:space="preserve">“Rejoice </w:t>
      </w:r>
      <w:r w:rsidRPr="00E149A1">
        <w:t>. . .</w:t>
      </w:r>
      <w:r w:rsidRPr="005B36A4">
        <w:t xml:space="preserve"> leap for joy” (</w:t>
      </w:r>
      <w:proofErr w:type="spellStart"/>
      <w:r w:rsidRPr="005B36A4">
        <w:t>χάρητε</w:t>
      </w:r>
      <w:proofErr w:type="spellEnd"/>
      <w:r w:rsidRPr="005B36A4">
        <w:t xml:space="preserve"> </w:t>
      </w:r>
      <w:r w:rsidRPr="00E149A1">
        <w:t>. . .</w:t>
      </w:r>
      <w:r w:rsidRPr="005B36A4">
        <w:t xml:space="preserve"> </w:t>
      </w:r>
      <w:r w:rsidRPr="00806AD5">
        <w:rPr>
          <w:kern w:val="0"/>
          <w:szCs w:val="20"/>
          <w:lang w:val="el-GR"/>
        </w:rPr>
        <w:t>καὶ σκιρ</w:t>
      </w:r>
      <w:proofErr w:type="spellStart"/>
      <w:r w:rsidRPr="005B36A4">
        <w:t>τήσ</w:t>
      </w:r>
      <w:proofErr w:type="spellEnd"/>
      <w:r w:rsidRPr="005B36A4">
        <w:t>ατε).</w:t>
      </w:r>
      <w:r w:rsidRPr="005B36A4">
        <w:rPr>
          <w:rStyle w:val="FootnoteReference"/>
        </w:rPr>
        <w:footnoteReference w:id="327"/>
      </w:r>
      <w:r w:rsidRPr="005B36A4">
        <w:t xml:space="preserve"> </w:t>
      </w:r>
      <w:r w:rsidRPr="00B43126">
        <w:t>A “double pair of synonyms” (</w:t>
      </w:r>
      <w:proofErr w:type="spellStart"/>
      <w:r w:rsidRPr="00B43126">
        <w:rPr>
          <w:i/>
          <w:iCs/>
        </w:rPr>
        <w:t>Doppeltautologie</w:t>
      </w:r>
      <w:proofErr w:type="spellEnd"/>
      <w:r w:rsidRPr="00B43126">
        <w:t xml:space="preserve">) occurs in 6:35: “Your reward will be </w:t>
      </w:r>
      <w:r w:rsidRPr="00E149A1">
        <w:t>. . .</w:t>
      </w:r>
      <w:r w:rsidRPr="00B43126">
        <w:t xml:space="preserve"> you will be children / the ungrateful and the wicked” (</w:t>
      </w:r>
      <w:proofErr w:type="spellStart"/>
      <w:r w:rsidRPr="00DB4988">
        <w:t>ἔστ</w:t>
      </w:r>
      <w:proofErr w:type="spellEnd"/>
      <w:r w:rsidRPr="00DB4988">
        <w:t xml:space="preserve">αι ὁ </w:t>
      </w:r>
      <w:proofErr w:type="spellStart"/>
      <w:r w:rsidRPr="00DB4988">
        <w:t>μισθὸς</w:t>
      </w:r>
      <w:proofErr w:type="spellEnd"/>
      <w:r w:rsidRPr="00DB4988">
        <w:t xml:space="preserve"> </w:t>
      </w:r>
      <w:proofErr w:type="spellStart"/>
      <w:r w:rsidRPr="00DB4988">
        <w:t>ὑμῶν</w:t>
      </w:r>
      <w:proofErr w:type="spellEnd"/>
      <w:r w:rsidRPr="00DB4988">
        <w:t xml:space="preserve"> and </w:t>
      </w:r>
      <w:proofErr w:type="spellStart"/>
      <w:r w:rsidRPr="00DB4988">
        <w:t>ἔσεσθε</w:t>
      </w:r>
      <w:proofErr w:type="spellEnd"/>
      <w:r w:rsidRPr="00DB4988">
        <w:t xml:space="preserve"> </w:t>
      </w:r>
      <w:proofErr w:type="spellStart"/>
      <w:r w:rsidRPr="00DB4988">
        <w:t>υἱοὶ</w:t>
      </w:r>
      <w:proofErr w:type="spellEnd"/>
      <w:r w:rsidRPr="00DB4988">
        <w:t xml:space="preserve"> / </w:t>
      </w:r>
      <w:proofErr w:type="spellStart"/>
      <w:r w:rsidRPr="00DB4988">
        <w:t>ἀχ</w:t>
      </w:r>
      <w:proofErr w:type="spellEnd"/>
      <w:r w:rsidRPr="00DB4988">
        <w:t>αρίστους καὶ π</w:t>
      </w:r>
      <w:proofErr w:type="spellStart"/>
      <w:r w:rsidRPr="00DB4988">
        <w:t>ονηρούς</w:t>
      </w:r>
      <w:proofErr w:type="spellEnd"/>
      <w:r>
        <w:t>)</w:t>
      </w:r>
      <w:r w:rsidRPr="00DB4988">
        <w:t xml:space="preserve"> </w:t>
      </w:r>
      <w:r>
        <w:t>(</w:t>
      </w:r>
      <w:r w:rsidRPr="00B43126">
        <w:t>83</w:t>
      </w:r>
      <w:r>
        <w:t>).</w:t>
      </w:r>
      <w:r w:rsidRPr="00B43126">
        <w:t xml:space="preserve"> </w:t>
      </w:r>
      <w:r>
        <w:t xml:space="preserve">Morgenthaler </w:t>
      </w:r>
      <w:r w:rsidRPr="00B43126">
        <w:t xml:space="preserve">had already presented </w:t>
      </w:r>
      <w:r>
        <w:t>t</w:t>
      </w:r>
      <w:r w:rsidRPr="00B43126">
        <w:t xml:space="preserve">he latter pair </w:t>
      </w:r>
      <w:r>
        <w:t>(“</w:t>
      </w:r>
      <w:r w:rsidRPr="00B43126">
        <w:t>the ungrateful and the wicked”</w:t>
      </w:r>
      <w:r>
        <w:t>)</w:t>
      </w:r>
      <w:r w:rsidRPr="00B43126">
        <w:t xml:space="preserve"> as an independent tautology</w:t>
      </w:r>
      <w:r>
        <w:t xml:space="preserve"> </w:t>
      </w:r>
      <w:r w:rsidRPr="00B43126">
        <w:t>(28).</w:t>
      </w:r>
      <w:r>
        <w:t xml:space="preserve"> </w:t>
      </w:r>
      <w:r w:rsidRPr="005B36A4">
        <w:t>Another device is Luke’s use of “groups of four related words” (</w:t>
      </w:r>
      <w:proofErr w:type="spellStart"/>
      <w:r>
        <w:rPr>
          <w:i/>
          <w:iCs/>
        </w:rPr>
        <w:t>Vier</w:t>
      </w:r>
      <w:r w:rsidRPr="005B36A4">
        <w:rPr>
          <w:i/>
          <w:iCs/>
        </w:rPr>
        <w:t>gruppen</w:t>
      </w:r>
      <w:proofErr w:type="spellEnd"/>
      <w:r w:rsidRPr="005B36A4">
        <w:t>)</w:t>
      </w:r>
      <w:r w:rsidR="006F304D" w:rsidRPr="006F304D">
        <w:t xml:space="preserve">, </w:t>
      </w:r>
      <w:r w:rsidRPr="005B36A4">
        <w:t>for example</w:t>
      </w:r>
      <w:r w:rsidR="006F304D" w:rsidRPr="006F304D">
        <w:t xml:space="preserve">, </w:t>
      </w:r>
      <w:r w:rsidRPr="005B36A4">
        <w:t xml:space="preserve">6:38: “good </w:t>
      </w:r>
      <w:r w:rsidRPr="00E149A1">
        <w:t>. . .</w:t>
      </w:r>
      <w:r w:rsidR="006F304D" w:rsidRPr="006F304D">
        <w:t xml:space="preserve">, </w:t>
      </w:r>
      <w:r w:rsidRPr="005B36A4">
        <w:t>pressed down</w:t>
      </w:r>
      <w:r w:rsidR="006F304D" w:rsidRPr="006F304D">
        <w:t xml:space="preserve">, </w:t>
      </w:r>
      <w:r w:rsidRPr="005B36A4">
        <w:t>shaken together</w:t>
      </w:r>
      <w:r w:rsidR="006F304D" w:rsidRPr="006F304D">
        <w:t xml:space="preserve">, </w:t>
      </w:r>
      <w:r w:rsidRPr="005B36A4">
        <w:t>running over” (</w:t>
      </w:r>
      <w:r w:rsidRPr="00806AD5">
        <w:t>κα</w:t>
      </w:r>
      <w:proofErr w:type="spellStart"/>
      <w:r w:rsidRPr="00806AD5">
        <w:t>λὸν</w:t>
      </w:r>
      <w:proofErr w:type="spellEnd"/>
      <w:r w:rsidRPr="00806AD5">
        <w:t xml:space="preserve"> πεπ</w:t>
      </w:r>
      <w:proofErr w:type="spellStart"/>
      <w:r w:rsidRPr="00806AD5">
        <w:t>ιεσμένον</w:t>
      </w:r>
      <w:proofErr w:type="spellEnd"/>
      <w:r w:rsidRPr="00806AD5">
        <w:t xml:space="preserve"> </w:t>
      </w:r>
      <w:proofErr w:type="spellStart"/>
      <w:r w:rsidRPr="00806AD5">
        <w:t>σεσ</w:t>
      </w:r>
      <w:proofErr w:type="spellEnd"/>
      <w:r w:rsidRPr="00806AD5">
        <w:t>αλευμένον ὑπ</w:t>
      </w:r>
      <w:proofErr w:type="spellStart"/>
      <w:r w:rsidRPr="00806AD5">
        <w:t>ερεκχυννόμενον</w:t>
      </w:r>
      <w:proofErr w:type="spellEnd"/>
      <w:r w:rsidRPr="005B36A4">
        <w:t>).</w:t>
      </w:r>
      <w:r w:rsidRPr="005B36A4">
        <w:rPr>
          <w:rStyle w:val="FootnoteReference"/>
        </w:rPr>
        <w:footnoteReference w:id="328"/>
      </w:r>
    </w:p>
    <w:p w14:paraId="51300143" w14:textId="4CF37972" w:rsidR="0018433B" w:rsidRPr="005B36A4" w:rsidRDefault="0018433B" w:rsidP="0018433B">
      <w:r>
        <w:tab/>
      </w:r>
      <w:r w:rsidRPr="005B36A4">
        <w:t xml:space="preserve">Morgenthaler’s analysis of </w:t>
      </w:r>
      <w:proofErr w:type="spellStart"/>
      <w:r w:rsidRPr="005B36A4">
        <w:t>twofoldness</w:t>
      </w:r>
      <w:proofErr w:type="spellEnd"/>
      <w:r w:rsidRPr="005B36A4">
        <w:t xml:space="preserve"> in sentences is equally detailed. A device he calls the “epic double-sentence” (</w:t>
      </w:r>
      <w:proofErr w:type="spellStart"/>
      <w:r w:rsidRPr="005B36A4">
        <w:rPr>
          <w:i/>
          <w:iCs/>
        </w:rPr>
        <w:t>epische</w:t>
      </w:r>
      <w:proofErr w:type="spellEnd"/>
      <w:r w:rsidRPr="005B36A4">
        <w:rPr>
          <w:i/>
          <w:iCs/>
        </w:rPr>
        <w:t xml:space="preserve"> </w:t>
      </w:r>
      <w:proofErr w:type="spellStart"/>
      <w:r w:rsidRPr="005B36A4">
        <w:rPr>
          <w:i/>
          <w:iCs/>
        </w:rPr>
        <w:t>Satzdoppel</w:t>
      </w:r>
      <w:proofErr w:type="spellEnd"/>
      <w:r w:rsidR="006F304D" w:rsidRPr="006F304D">
        <w:rPr>
          <w:iCs/>
        </w:rPr>
        <w:t xml:space="preserve">, </w:t>
      </w:r>
      <w:r w:rsidRPr="005B36A4">
        <w:t xml:space="preserve">the stately repetition of a sentence) is Luke 6:23 and 26 (the final beatitude and the final woe: “Blessed are you when people hate you </w:t>
      </w:r>
      <w:r w:rsidRPr="00E149A1">
        <w:t>. . .</w:t>
      </w:r>
      <w:r w:rsidRPr="005B36A4">
        <w:t xml:space="preserve"> for that is what their ancestors did to the prophets”; “Woe to you when all speak well of you</w:t>
      </w:r>
      <w:r w:rsidR="006F304D" w:rsidRPr="006F304D">
        <w:t xml:space="preserve">, </w:t>
      </w:r>
      <w:r w:rsidRPr="005B36A4">
        <w:t>for that is what their ancestors did to the false prophets”).</w:t>
      </w:r>
      <w:r w:rsidRPr="005B36A4">
        <w:rPr>
          <w:rStyle w:val="FootnoteReference"/>
        </w:rPr>
        <w:footnoteReference w:id="329"/>
      </w:r>
      <w:r w:rsidRPr="005B36A4">
        <w:t xml:space="preserve"> The figure</w:t>
      </w:r>
      <w:r w:rsidR="006F304D" w:rsidRPr="006F304D">
        <w:t xml:space="preserve">, </w:t>
      </w:r>
      <w:r w:rsidRPr="005B36A4">
        <w:t>“double sentences with anaphora” (</w:t>
      </w:r>
      <w:proofErr w:type="spellStart"/>
      <w:r w:rsidRPr="005B36A4">
        <w:rPr>
          <w:i/>
          <w:iCs/>
        </w:rPr>
        <w:t>Doppelsätze</w:t>
      </w:r>
      <w:proofErr w:type="spellEnd"/>
      <w:r w:rsidRPr="005B36A4">
        <w:rPr>
          <w:i/>
          <w:iCs/>
        </w:rPr>
        <w:t xml:space="preserve"> </w:t>
      </w:r>
      <w:proofErr w:type="spellStart"/>
      <w:r w:rsidRPr="005B36A4">
        <w:rPr>
          <w:i/>
          <w:iCs/>
        </w:rPr>
        <w:t>mit</w:t>
      </w:r>
      <w:proofErr w:type="spellEnd"/>
      <w:r w:rsidRPr="005B36A4">
        <w:rPr>
          <w:i/>
          <w:iCs/>
        </w:rPr>
        <w:t xml:space="preserve"> </w:t>
      </w:r>
      <w:proofErr w:type="spellStart"/>
      <w:r w:rsidRPr="005B36A4">
        <w:rPr>
          <w:i/>
          <w:iCs/>
        </w:rPr>
        <w:t>Anaphern</w:t>
      </w:r>
      <w:proofErr w:type="spellEnd"/>
      <w:r w:rsidRPr="005B36A4">
        <w:t>—anaphora is the same word beginning two sentences),</w:t>
      </w:r>
      <w:r w:rsidRPr="005B36A4">
        <w:rPr>
          <w:rStyle w:val="FootnoteReference"/>
        </w:rPr>
        <w:footnoteReference w:id="330"/>
      </w:r>
      <w:r w:rsidRPr="005B36A4">
        <w:t xml:space="preserve"> can be found in Luke 6:35</w:t>
      </w:r>
      <w:r w:rsidR="006F304D" w:rsidRPr="006F304D">
        <w:t xml:space="preserve">, </w:t>
      </w:r>
      <w:r w:rsidRPr="005B36A4">
        <w:t>“Your reward will be great</w:t>
      </w:r>
      <w:r w:rsidR="006F304D" w:rsidRPr="006F304D">
        <w:t xml:space="preserve">, </w:t>
      </w:r>
      <w:r w:rsidRPr="005B36A4">
        <w:t>and you will be children of the Most High” (</w:t>
      </w:r>
      <w:r w:rsidRPr="00DB4988">
        <w:t xml:space="preserve">καὶ </w:t>
      </w:r>
      <w:proofErr w:type="spellStart"/>
      <w:r w:rsidRPr="00DB4988">
        <w:t>ἔστ</w:t>
      </w:r>
      <w:proofErr w:type="spellEnd"/>
      <w:r w:rsidRPr="00DB4988">
        <w:t xml:space="preserve">αι ὁ </w:t>
      </w:r>
      <w:proofErr w:type="spellStart"/>
      <w:r w:rsidRPr="00DB4988">
        <w:t>μισθὸς</w:t>
      </w:r>
      <w:proofErr w:type="spellEnd"/>
      <w:r w:rsidRPr="00DB4988">
        <w:t xml:space="preserve"> </w:t>
      </w:r>
      <w:proofErr w:type="spellStart"/>
      <w:r w:rsidRPr="00DB4988">
        <w:t>ὑμῶν</w:t>
      </w:r>
      <w:proofErr w:type="spellEnd"/>
      <w:r w:rsidRPr="00DB4988">
        <w:t xml:space="preserve"> π</w:t>
      </w:r>
      <w:proofErr w:type="spellStart"/>
      <w:r w:rsidRPr="00DB4988">
        <w:t>ολύς</w:t>
      </w:r>
      <w:proofErr w:type="spellEnd"/>
      <w:r w:rsidR="006F304D" w:rsidRPr="006F304D">
        <w:t xml:space="preserve">, </w:t>
      </w:r>
      <w:r w:rsidRPr="00DB4988">
        <w:t xml:space="preserve">καὶ </w:t>
      </w:r>
      <w:proofErr w:type="spellStart"/>
      <w:r w:rsidRPr="00DB4988">
        <w:t>ἔσεσθε</w:t>
      </w:r>
      <w:proofErr w:type="spellEnd"/>
      <w:r w:rsidRPr="00DB4988">
        <w:t xml:space="preserve"> </w:t>
      </w:r>
      <w:proofErr w:type="spellStart"/>
      <w:r w:rsidRPr="00DB4988">
        <w:t>υἱοὶ</w:t>
      </w:r>
      <w:proofErr w:type="spellEnd"/>
      <w:r w:rsidRPr="00DB4988">
        <w:t xml:space="preserve"> </w:t>
      </w:r>
      <w:proofErr w:type="spellStart"/>
      <w:r w:rsidRPr="00DB4988">
        <w:t>ὑψίστου</w:t>
      </w:r>
      <w:proofErr w:type="spellEnd"/>
      <w:r w:rsidRPr="005B36A4">
        <w:t>).</w:t>
      </w:r>
      <w:r w:rsidRPr="005B36A4">
        <w:rPr>
          <w:rStyle w:val="FootnoteReference"/>
        </w:rPr>
        <w:footnoteReference w:id="331"/>
      </w:r>
      <w:r w:rsidRPr="005B36A4">
        <w:t xml:space="preserve"> Aside from examples of chiasm (see the next chapter) and of Semitic parallelism (see chapter 10)</w:t>
      </w:r>
      <w:r w:rsidR="006F304D" w:rsidRPr="006F304D">
        <w:t xml:space="preserve">, </w:t>
      </w:r>
      <w:r w:rsidRPr="005B36A4">
        <w:t xml:space="preserve">these are all of the instances of </w:t>
      </w:r>
      <w:proofErr w:type="spellStart"/>
      <w:r w:rsidRPr="005B36A4">
        <w:t>twofoldness</w:t>
      </w:r>
      <w:proofErr w:type="spellEnd"/>
      <w:r w:rsidRPr="005B36A4">
        <w:t xml:space="preserve"> which Morgenthaler finds in the sermon on the plain at the level of sentences.</w:t>
      </w:r>
    </w:p>
    <w:p w14:paraId="39AD5AE1" w14:textId="738A034E" w:rsidR="0018433B" w:rsidRPr="005B36A4" w:rsidRDefault="0018433B" w:rsidP="0018433B">
      <w:r>
        <w:tab/>
      </w:r>
      <w:r w:rsidRPr="005B36A4">
        <w:t>But Morgenthaler’s principal treatment of the sermon occurs at the level of sections (</w:t>
      </w:r>
      <w:proofErr w:type="spellStart"/>
      <w:r w:rsidRPr="005B36A4">
        <w:rPr>
          <w:i/>
          <w:iCs/>
        </w:rPr>
        <w:t>Satzkomposi</w:t>
      </w:r>
      <w:r w:rsidRPr="005B36A4">
        <w:rPr>
          <w:i/>
          <w:iCs/>
        </w:rPr>
        <w:softHyphen/>
        <w:t>tionen</w:t>
      </w:r>
      <w:proofErr w:type="spellEnd"/>
      <w:r w:rsidRPr="005B36A4">
        <w:t xml:space="preserve">). Here he discusses in particular </w:t>
      </w:r>
      <w:proofErr w:type="spellStart"/>
      <w:r w:rsidRPr="005B36A4">
        <w:rPr>
          <w:i/>
          <w:iCs/>
        </w:rPr>
        <w:t>Viererparallelismus</w:t>
      </w:r>
      <w:proofErr w:type="spellEnd"/>
      <w:r w:rsidR="006F304D" w:rsidRPr="006F304D">
        <w:rPr>
          <w:iCs/>
        </w:rPr>
        <w:t xml:space="preserve">, </w:t>
      </w:r>
      <w:r w:rsidRPr="005B36A4">
        <w:t>that is</w:t>
      </w:r>
      <w:r w:rsidR="006F304D" w:rsidRPr="006F304D">
        <w:t xml:space="preserve">, </w:t>
      </w:r>
      <w:r w:rsidRPr="005B36A4">
        <w:t xml:space="preserve">two adjacent “double sentences” </w:t>
      </w:r>
      <w:r>
        <w:t>(</w:t>
      </w:r>
      <w:proofErr w:type="spellStart"/>
      <w:r>
        <w:rPr>
          <w:i/>
        </w:rPr>
        <w:t>Doppelsätze</w:t>
      </w:r>
      <w:proofErr w:type="spellEnd"/>
      <w:r>
        <w:t xml:space="preserve">) </w:t>
      </w:r>
      <w:r w:rsidRPr="005B36A4">
        <w:t>that result in four parallel clauses or sentences. According to Morgenthaler</w:t>
      </w:r>
      <w:r w:rsidR="006F304D" w:rsidRPr="006F304D">
        <w:t xml:space="preserve">, </w:t>
      </w:r>
      <w:r w:rsidRPr="005B36A4">
        <w:t>“As Luke loves groups of four at the level of words</w:t>
      </w:r>
      <w:r w:rsidR="006F304D" w:rsidRPr="006F304D">
        <w:t xml:space="preserve">, </w:t>
      </w:r>
      <w:r w:rsidRPr="005B36A4">
        <w:t>so [he loves] fourfold parallelism at the level of sentences.”</w:t>
      </w:r>
      <w:r w:rsidRPr="005B36A4">
        <w:rPr>
          <w:rStyle w:val="FootnoteReference"/>
        </w:rPr>
        <w:footnoteReference w:id="332"/>
      </w:r>
    </w:p>
    <w:p w14:paraId="4A844706" w14:textId="51661FF5" w:rsidR="0018433B" w:rsidRPr="005B36A4" w:rsidRDefault="0018433B" w:rsidP="0018433B">
      <w:r>
        <w:lastRenderedPageBreak/>
        <w:tab/>
      </w:r>
      <w:r w:rsidRPr="005B36A4">
        <w:t>Morgenthaler begins his treatment of sections with Luke’s beatitudes and woes</w:t>
      </w:r>
      <w:r w:rsidR="006F304D" w:rsidRPr="006F304D">
        <w:t xml:space="preserve">, </w:t>
      </w:r>
      <w:r w:rsidRPr="005B36A4">
        <w:t>6:20b-23</w:t>
      </w:r>
      <w:r w:rsidRPr="005B36A4">
        <w:rPr>
          <w:rStyle w:val="FootnoteReference"/>
        </w:rPr>
        <w:footnoteReference w:id="333"/>
      </w:r>
      <w:r w:rsidRPr="005B36A4">
        <w:t xml:space="preserve"> and 24-26. Here</w:t>
      </w:r>
      <w:r w:rsidR="006F304D" w:rsidRPr="006F304D">
        <w:t xml:space="preserve">, </w:t>
      </w:r>
      <w:r w:rsidRPr="005B36A4">
        <w:t>he says</w:t>
      </w:r>
      <w:r w:rsidR="006F304D" w:rsidRPr="006F304D">
        <w:t xml:space="preserve">, </w:t>
      </w:r>
      <w:proofErr w:type="spellStart"/>
      <w:r w:rsidRPr="005B36A4">
        <w:t>twofoldness</w:t>
      </w:r>
      <w:proofErr w:type="spellEnd"/>
      <w:r w:rsidRPr="005B36A4">
        <w:t xml:space="preserve"> is abundant. First</w:t>
      </w:r>
      <w:r w:rsidR="006F304D" w:rsidRPr="006F304D">
        <w:t xml:space="preserve">, </w:t>
      </w:r>
      <w:r w:rsidRPr="005B36A4">
        <w:t>there is the distinction in content between the two major divisions</w:t>
      </w:r>
      <w:r w:rsidR="006F304D" w:rsidRPr="006F304D">
        <w:t xml:space="preserve">, </w:t>
      </w:r>
      <w:r w:rsidRPr="005B36A4">
        <w:t>beatitudes and woes. Second</w:t>
      </w:r>
      <w:r w:rsidR="006F304D" w:rsidRPr="006F304D">
        <w:t xml:space="preserve">, </w:t>
      </w:r>
      <w:r w:rsidRPr="005B36A4">
        <w:t xml:space="preserve">each division ends with one member of the </w:t>
      </w:r>
      <w:proofErr w:type="spellStart"/>
      <w:r w:rsidRPr="005B36A4">
        <w:rPr>
          <w:i/>
          <w:iCs/>
        </w:rPr>
        <w:t>Doppellogion</w:t>
      </w:r>
      <w:proofErr w:type="spellEnd"/>
      <w:r w:rsidR="006F304D" w:rsidRPr="006F304D">
        <w:rPr>
          <w:iCs/>
        </w:rPr>
        <w:t xml:space="preserve">, </w:t>
      </w:r>
      <w:r w:rsidRPr="005B36A4">
        <w:t>23 and 26. Third</w:t>
      </w:r>
      <w:r w:rsidR="006F304D" w:rsidRPr="006F304D">
        <w:t xml:space="preserve">, </w:t>
      </w:r>
      <w:r w:rsidRPr="005B36A4">
        <w:t>each has two-times-two sentences (</w:t>
      </w:r>
      <w:proofErr w:type="spellStart"/>
      <w:r w:rsidRPr="005B36A4">
        <w:rPr>
          <w:i/>
          <w:iCs/>
        </w:rPr>
        <w:t>Viererparallelismus</w:t>
      </w:r>
      <w:proofErr w:type="spellEnd"/>
      <w:r w:rsidRPr="005B36A4">
        <w:t>). Fourth</w:t>
      </w:r>
      <w:r w:rsidR="006F304D" w:rsidRPr="006F304D">
        <w:t xml:space="preserve">, </w:t>
      </w:r>
      <w:r w:rsidRPr="005B36A4">
        <w:t>each set of sentences has two middle members</w:t>
      </w:r>
      <w:r w:rsidR="006F304D" w:rsidRPr="006F304D">
        <w:t xml:space="preserve">, </w:t>
      </w:r>
      <w:r w:rsidRPr="005B36A4">
        <w:t xml:space="preserve">which contain </w:t>
      </w:r>
      <w:r>
        <w:t>“now” (</w:t>
      </w:r>
      <w:proofErr w:type="spellStart"/>
      <w:r>
        <w:t>ν</w:t>
      </w:r>
      <w:r w:rsidRPr="00CB0999">
        <w:rPr>
          <w:szCs w:val="22"/>
          <w:lang w:bidi="he-IL"/>
        </w:rPr>
        <w:t>ῦ</w:t>
      </w:r>
      <w:r>
        <w:rPr>
          <w:szCs w:val="22"/>
          <w:lang w:bidi="he-IL"/>
        </w:rPr>
        <w:t>ν</w:t>
      </w:r>
      <w:proofErr w:type="spellEnd"/>
      <w:r w:rsidRPr="005B36A4">
        <w:t>)</w:t>
      </w:r>
      <w:r w:rsidR="006F304D" w:rsidRPr="006F304D">
        <w:t xml:space="preserve">, </w:t>
      </w:r>
      <w:r w:rsidRPr="005B36A4">
        <w:t>and a first and last member</w:t>
      </w:r>
      <w:r w:rsidR="006F304D" w:rsidRPr="006F304D">
        <w:t xml:space="preserve">, </w:t>
      </w:r>
      <w:r w:rsidRPr="005B36A4">
        <w:t>which do not. Fifth</w:t>
      </w:r>
      <w:r w:rsidR="006F304D" w:rsidRPr="006F304D">
        <w:t xml:space="preserve">, </w:t>
      </w:r>
      <w:r w:rsidRPr="005B36A4">
        <w:t>every sentence is itself divisible into a distich. Here are the details presented typographically.</w:t>
      </w:r>
      <w:r w:rsidRPr="005B36A4">
        <w:rPr>
          <w:rStyle w:val="FootnoteReference"/>
        </w:rPr>
        <w:footnoteReference w:id="334"/>
      </w:r>
    </w:p>
    <w:p w14:paraId="4FA5907D" w14:textId="77777777" w:rsidR="0018433B" w:rsidRDefault="0018433B" w:rsidP="0018433B"/>
    <w:p w14:paraId="1DA4E70D" w14:textId="77777777" w:rsidR="0018433B" w:rsidRPr="005B36A4" w:rsidRDefault="0018433B" w:rsidP="0018433B">
      <w:pPr>
        <w:ind w:left="720"/>
      </w:pPr>
      <w:r w:rsidRPr="005B36A4">
        <w:t>20b</w:t>
      </w:r>
      <w:r w:rsidRPr="005B36A4">
        <w:tab/>
      </w:r>
      <w:r w:rsidRPr="00CE06CA">
        <w:rPr>
          <w:bCs/>
          <w:szCs w:val="22"/>
          <w:lang w:val="el-GR"/>
        </w:rPr>
        <w:t>Μακάριοι οἱ πτωχοί</w:t>
      </w:r>
      <w:r w:rsidRPr="005B36A4">
        <w:t>,</w:t>
      </w:r>
    </w:p>
    <w:p w14:paraId="5A4096D1" w14:textId="77777777" w:rsidR="0018433B" w:rsidRPr="005B36A4" w:rsidRDefault="0018433B" w:rsidP="0018433B">
      <w:pPr>
        <w:ind w:left="720"/>
      </w:pPr>
      <w:r w:rsidRPr="005B36A4">
        <w:t>20c</w:t>
      </w:r>
      <w:r w:rsidRPr="005B36A4">
        <w:tab/>
      </w:r>
      <w:r w:rsidRPr="005B36A4">
        <w:tab/>
      </w:r>
      <w:r w:rsidRPr="00CE06CA">
        <w:rPr>
          <w:bCs/>
          <w:szCs w:val="22"/>
          <w:lang w:val="el-GR"/>
        </w:rPr>
        <w:t>ὅτι ὑμετέρα ἐστὶν ἡ βασιλεία τοῦ θεοῦ.</w:t>
      </w:r>
    </w:p>
    <w:p w14:paraId="7AE6B97F" w14:textId="77777777" w:rsidR="0018433B" w:rsidRPr="005B36A4" w:rsidRDefault="0018433B" w:rsidP="0018433B">
      <w:pPr>
        <w:ind w:left="720"/>
      </w:pPr>
      <w:r w:rsidRPr="005B36A4">
        <w:t>21a</w:t>
      </w:r>
      <w:r w:rsidRPr="005B36A4">
        <w:tab/>
      </w:r>
      <w:r w:rsidRPr="00CE06CA">
        <w:rPr>
          <w:bCs/>
          <w:szCs w:val="22"/>
          <w:lang w:val="el-GR"/>
        </w:rPr>
        <w:t>μακάριοι οἱ πεινῶντες νῦν,</w:t>
      </w:r>
    </w:p>
    <w:p w14:paraId="00673AB9" w14:textId="77777777" w:rsidR="0018433B" w:rsidRPr="005B36A4" w:rsidRDefault="0018433B" w:rsidP="0018433B">
      <w:pPr>
        <w:ind w:left="720"/>
      </w:pPr>
      <w:r w:rsidRPr="005B36A4">
        <w:t>21b</w:t>
      </w:r>
      <w:r w:rsidRPr="005B36A4">
        <w:tab/>
      </w:r>
      <w:r w:rsidRPr="005B36A4">
        <w:tab/>
      </w:r>
      <w:r w:rsidRPr="00CE06CA">
        <w:rPr>
          <w:bCs/>
          <w:szCs w:val="22"/>
          <w:lang w:val="el-GR"/>
        </w:rPr>
        <w:t>ὅτι χορτασθήσεσθε.</w:t>
      </w:r>
    </w:p>
    <w:p w14:paraId="134468CF" w14:textId="77777777" w:rsidR="0018433B" w:rsidRPr="005B36A4" w:rsidRDefault="0018433B" w:rsidP="0018433B">
      <w:pPr>
        <w:ind w:left="720"/>
      </w:pPr>
      <w:r w:rsidRPr="005B36A4">
        <w:t>21c</w:t>
      </w:r>
      <w:r w:rsidRPr="005B36A4">
        <w:tab/>
      </w:r>
      <w:r w:rsidRPr="00CE06CA">
        <w:rPr>
          <w:bCs/>
          <w:szCs w:val="22"/>
          <w:lang w:val="el-GR"/>
        </w:rPr>
        <w:t>μακάριοι οἱ κλαίοντες νῦν,</w:t>
      </w:r>
    </w:p>
    <w:p w14:paraId="42757703" w14:textId="77777777" w:rsidR="0018433B" w:rsidRPr="005B36A4" w:rsidRDefault="0018433B" w:rsidP="0018433B">
      <w:pPr>
        <w:ind w:left="720"/>
      </w:pPr>
      <w:r w:rsidRPr="005B36A4">
        <w:t>21d</w:t>
      </w:r>
      <w:r w:rsidRPr="005B36A4">
        <w:tab/>
      </w:r>
      <w:r w:rsidRPr="005B36A4">
        <w:tab/>
      </w:r>
      <w:r w:rsidRPr="00CE06CA">
        <w:rPr>
          <w:bCs/>
          <w:szCs w:val="22"/>
          <w:lang w:val="el-GR"/>
        </w:rPr>
        <w:t xml:space="preserve">ὅτι </w:t>
      </w:r>
      <w:proofErr w:type="spellStart"/>
      <w:r w:rsidRPr="001A290C">
        <w:t>γελάσετε</w:t>
      </w:r>
      <w:proofErr w:type="spellEnd"/>
      <w:r w:rsidRPr="00CE06CA">
        <w:rPr>
          <w:bCs/>
          <w:szCs w:val="22"/>
          <w:lang w:val="el-GR"/>
        </w:rPr>
        <w:t>.</w:t>
      </w:r>
    </w:p>
    <w:p w14:paraId="2F637D92" w14:textId="77777777" w:rsidR="0018433B" w:rsidRPr="005B36A4" w:rsidRDefault="0018433B" w:rsidP="0018433B">
      <w:pPr>
        <w:ind w:left="720"/>
      </w:pPr>
      <w:r w:rsidRPr="005B36A4">
        <w:t>22a</w:t>
      </w:r>
      <w:r w:rsidRPr="005B36A4">
        <w:tab/>
      </w:r>
      <w:r w:rsidRPr="00CE06CA">
        <w:rPr>
          <w:bCs/>
          <w:szCs w:val="22"/>
          <w:lang w:val="el-GR"/>
        </w:rPr>
        <w:t>μακάριοί ἐστε</w:t>
      </w:r>
    </w:p>
    <w:p w14:paraId="16D52109" w14:textId="77777777" w:rsidR="0018433B" w:rsidRPr="005B36A4" w:rsidRDefault="0018433B" w:rsidP="0018433B">
      <w:pPr>
        <w:ind w:left="720"/>
      </w:pPr>
      <w:r w:rsidRPr="005B36A4">
        <w:t>22b</w:t>
      </w:r>
      <w:r w:rsidRPr="005B36A4">
        <w:tab/>
      </w:r>
      <w:r w:rsidRPr="005B36A4">
        <w:tab/>
      </w:r>
      <w:r w:rsidRPr="00CE06CA">
        <w:rPr>
          <w:bCs/>
          <w:szCs w:val="22"/>
          <w:lang w:val="el-GR"/>
        </w:rPr>
        <w:t>ὅ</w:t>
      </w:r>
      <w:r>
        <w:rPr>
          <w:bCs/>
          <w:szCs w:val="22"/>
          <w:lang w:val="el-GR"/>
        </w:rPr>
        <w:t>ταν</w:t>
      </w:r>
      <w:r>
        <w:rPr>
          <w:bCs/>
          <w:szCs w:val="22"/>
        </w:rPr>
        <w:tab/>
      </w:r>
      <w:proofErr w:type="spellStart"/>
      <w:r w:rsidRPr="001A290C">
        <w:t>μισήσωσιν</w:t>
      </w:r>
      <w:proofErr w:type="spellEnd"/>
      <w:r w:rsidRPr="00CE06CA">
        <w:rPr>
          <w:bCs/>
          <w:szCs w:val="22"/>
          <w:lang w:val="el-GR"/>
        </w:rPr>
        <w:t xml:space="preserve"> ὑμᾶς οἱ ἄνθρωποι</w:t>
      </w:r>
    </w:p>
    <w:p w14:paraId="09610554" w14:textId="77777777" w:rsidR="0018433B" w:rsidRDefault="0018433B" w:rsidP="0018433B">
      <w:pPr>
        <w:ind w:left="720"/>
        <w:rPr>
          <w:bCs/>
          <w:szCs w:val="22"/>
        </w:rPr>
      </w:pPr>
      <w:r w:rsidRPr="005B36A4">
        <w:t>22c</w:t>
      </w:r>
      <w:r>
        <w:t>α</w:t>
      </w:r>
      <w:r w:rsidRPr="005B36A4">
        <w:tab/>
      </w:r>
      <w:r w:rsidRPr="00CE06CA">
        <w:rPr>
          <w:bCs/>
          <w:szCs w:val="22"/>
          <w:lang w:val="el-GR"/>
        </w:rPr>
        <w:t>καὶ</w:t>
      </w:r>
      <w:r>
        <w:rPr>
          <w:bCs/>
          <w:szCs w:val="22"/>
        </w:rPr>
        <w:tab/>
      </w:r>
      <w:r w:rsidRPr="00CE06CA">
        <w:rPr>
          <w:bCs/>
          <w:szCs w:val="22"/>
          <w:lang w:val="el-GR"/>
        </w:rPr>
        <w:t>ὅ</w:t>
      </w:r>
      <w:r>
        <w:rPr>
          <w:bCs/>
          <w:szCs w:val="22"/>
          <w:lang w:val="el-GR"/>
        </w:rPr>
        <w:t>ταν</w:t>
      </w:r>
      <w:r>
        <w:rPr>
          <w:bCs/>
          <w:szCs w:val="22"/>
        </w:rPr>
        <w:tab/>
      </w:r>
      <w:r w:rsidRPr="00CE06CA">
        <w:rPr>
          <w:bCs/>
          <w:szCs w:val="22"/>
          <w:lang w:val="el-GR"/>
        </w:rPr>
        <w:t>ἀφορίσωσιν ὑμᾶς</w:t>
      </w:r>
    </w:p>
    <w:p w14:paraId="6A161DB0" w14:textId="77777777" w:rsidR="0018433B" w:rsidRPr="001A290C" w:rsidRDefault="0018433B" w:rsidP="0018433B">
      <w:pPr>
        <w:ind w:left="720"/>
        <w:rPr>
          <w:bCs/>
          <w:szCs w:val="22"/>
        </w:rPr>
      </w:pPr>
      <w:r>
        <w:rPr>
          <w:bCs/>
          <w:szCs w:val="22"/>
        </w:rPr>
        <w:t>22cβ</w:t>
      </w:r>
      <w:r>
        <w:rPr>
          <w:bCs/>
          <w:szCs w:val="22"/>
        </w:rPr>
        <w:tab/>
      </w:r>
      <w:r w:rsidRPr="00CE06CA">
        <w:rPr>
          <w:bCs/>
          <w:szCs w:val="22"/>
          <w:lang w:val="el-GR"/>
        </w:rPr>
        <w:t>καὶ</w:t>
      </w:r>
      <w:r>
        <w:rPr>
          <w:bCs/>
          <w:szCs w:val="22"/>
        </w:rPr>
        <w:tab/>
      </w:r>
      <w:r>
        <w:rPr>
          <w:bCs/>
          <w:szCs w:val="22"/>
        </w:rPr>
        <w:tab/>
      </w:r>
      <w:r w:rsidRPr="00CE06CA">
        <w:rPr>
          <w:bCs/>
          <w:szCs w:val="22"/>
          <w:lang w:val="el-GR"/>
        </w:rPr>
        <w:t>ὀνειδίσωσιν</w:t>
      </w:r>
    </w:p>
    <w:p w14:paraId="6D7DCF49" w14:textId="77777777" w:rsidR="0018433B" w:rsidRPr="001A290C" w:rsidRDefault="0018433B" w:rsidP="0018433B">
      <w:pPr>
        <w:ind w:left="720"/>
        <w:rPr>
          <w:bCs/>
          <w:szCs w:val="22"/>
          <w:lang w:val="el-GR"/>
        </w:rPr>
      </w:pPr>
      <w:r>
        <w:rPr>
          <w:bCs/>
          <w:szCs w:val="22"/>
        </w:rPr>
        <w:t>22cγ</w:t>
      </w:r>
      <w:r>
        <w:rPr>
          <w:bCs/>
          <w:szCs w:val="22"/>
          <w:lang w:val="el-GR"/>
        </w:rPr>
        <w:tab/>
      </w:r>
      <w:r w:rsidRPr="00C200C8">
        <w:rPr>
          <w:bCs/>
          <w:i/>
          <w:szCs w:val="22"/>
          <w:lang w:val="el-GR"/>
        </w:rPr>
        <w:t>καὶ</w:t>
      </w:r>
      <w:r>
        <w:rPr>
          <w:bCs/>
          <w:szCs w:val="22"/>
        </w:rPr>
        <w:tab/>
      </w:r>
      <w:r>
        <w:rPr>
          <w:bCs/>
          <w:szCs w:val="22"/>
        </w:rPr>
        <w:tab/>
      </w:r>
      <w:r w:rsidRPr="00C200C8">
        <w:rPr>
          <w:bCs/>
          <w:i/>
          <w:szCs w:val="22"/>
          <w:lang w:val="el-GR"/>
        </w:rPr>
        <w:t>ἐκβάλωσιν τὸ ὄνομα ὑμῶν ὡς πονηρὸν</w:t>
      </w:r>
    </w:p>
    <w:p w14:paraId="0E86285F" w14:textId="77777777" w:rsidR="0018433B" w:rsidRPr="001A290C" w:rsidRDefault="0018433B" w:rsidP="0018433B">
      <w:pPr>
        <w:ind w:left="720"/>
        <w:rPr>
          <w:bCs/>
          <w:szCs w:val="22"/>
          <w:lang w:val="el-GR"/>
        </w:rPr>
      </w:pPr>
      <w:r w:rsidRPr="00E5413C">
        <w:rPr>
          <w:bCs/>
          <w:szCs w:val="22"/>
          <w:lang w:val="el-GR"/>
        </w:rPr>
        <w:t>22</w:t>
      </w:r>
      <w:r>
        <w:rPr>
          <w:bCs/>
          <w:szCs w:val="22"/>
        </w:rPr>
        <w:t>b</w:t>
      </w:r>
      <w:r w:rsidRPr="00E5413C">
        <w:rPr>
          <w:bCs/>
          <w:szCs w:val="22"/>
          <w:lang w:val="el-GR"/>
        </w:rPr>
        <w:t>δ</w:t>
      </w:r>
      <w:r w:rsidRPr="00E5413C">
        <w:rPr>
          <w:bCs/>
          <w:szCs w:val="22"/>
          <w:lang w:val="el-GR"/>
        </w:rPr>
        <w:tab/>
      </w:r>
      <w:r w:rsidRPr="00E5413C">
        <w:rPr>
          <w:bCs/>
          <w:szCs w:val="22"/>
          <w:lang w:val="el-GR"/>
        </w:rPr>
        <w:tab/>
      </w:r>
      <w:r w:rsidRPr="00C200C8">
        <w:rPr>
          <w:bCs/>
          <w:i/>
          <w:szCs w:val="22"/>
          <w:lang w:val="el-GR"/>
        </w:rPr>
        <w:t xml:space="preserve">ἕνεκα </w:t>
      </w:r>
      <w:r w:rsidRPr="00E5413C">
        <w:rPr>
          <w:i/>
          <w:lang w:val="el-GR"/>
        </w:rPr>
        <w:t>τοῦ</w:t>
      </w:r>
      <w:r w:rsidRPr="00C200C8">
        <w:rPr>
          <w:bCs/>
          <w:i/>
          <w:szCs w:val="22"/>
          <w:lang w:val="el-GR"/>
        </w:rPr>
        <w:t xml:space="preserve"> υἱοῦ τοῦ ἀνθρώπου</w:t>
      </w:r>
      <w:r w:rsidRPr="00CE06CA">
        <w:rPr>
          <w:bCs/>
          <w:szCs w:val="22"/>
          <w:lang w:val="el-GR"/>
        </w:rPr>
        <w:t>·</w:t>
      </w:r>
    </w:p>
    <w:p w14:paraId="4BC779EF" w14:textId="77777777" w:rsidR="0018433B" w:rsidRPr="00E5413C" w:rsidRDefault="0018433B" w:rsidP="0018433B">
      <w:pPr>
        <w:ind w:left="720"/>
        <w:rPr>
          <w:lang w:val="el-GR"/>
        </w:rPr>
      </w:pPr>
      <w:r w:rsidRPr="00E5413C">
        <w:rPr>
          <w:lang w:val="el-GR"/>
        </w:rPr>
        <w:t>23</w:t>
      </w:r>
      <w:r w:rsidRPr="001A290C">
        <w:t>a</w:t>
      </w:r>
      <w:r w:rsidRPr="00E5413C">
        <w:rPr>
          <w:lang w:val="el-GR"/>
        </w:rPr>
        <w:tab/>
      </w:r>
      <w:r w:rsidRPr="00C200C8">
        <w:rPr>
          <w:bCs/>
          <w:i/>
          <w:szCs w:val="22"/>
          <w:lang w:val="el-GR"/>
        </w:rPr>
        <w:t xml:space="preserve">χάρητε ἐν </w:t>
      </w:r>
      <w:r w:rsidRPr="00E5413C">
        <w:rPr>
          <w:bCs/>
          <w:i/>
          <w:szCs w:val="22"/>
          <w:lang w:val="el-GR"/>
        </w:rPr>
        <w:t>ἐκείνῃ</w:t>
      </w:r>
      <w:r w:rsidRPr="00C200C8">
        <w:rPr>
          <w:bCs/>
          <w:i/>
          <w:szCs w:val="22"/>
          <w:lang w:val="el-GR"/>
        </w:rPr>
        <w:t xml:space="preserve"> τῇ ἡμέρᾳ καὶ σκιρτήσατε</w:t>
      </w:r>
      <w:r w:rsidRPr="00CE06CA">
        <w:rPr>
          <w:bCs/>
          <w:szCs w:val="22"/>
          <w:lang w:val="el-GR"/>
        </w:rPr>
        <w:t>,</w:t>
      </w:r>
    </w:p>
    <w:p w14:paraId="3E9DB338" w14:textId="77777777" w:rsidR="0018433B" w:rsidRPr="00E5413C" w:rsidRDefault="0018433B" w:rsidP="0018433B">
      <w:pPr>
        <w:ind w:left="720"/>
        <w:rPr>
          <w:lang w:val="el-GR"/>
        </w:rPr>
      </w:pPr>
      <w:r w:rsidRPr="00E5413C">
        <w:rPr>
          <w:lang w:val="el-GR"/>
        </w:rPr>
        <w:t>23</w:t>
      </w:r>
      <w:r w:rsidRPr="001A290C">
        <w:t>b</w:t>
      </w:r>
      <w:r w:rsidRPr="00E5413C">
        <w:rPr>
          <w:lang w:val="el-GR"/>
        </w:rPr>
        <w:tab/>
      </w:r>
      <w:r w:rsidRPr="00C200C8">
        <w:rPr>
          <w:bCs/>
          <w:i/>
          <w:szCs w:val="22"/>
          <w:lang w:val="el-GR"/>
        </w:rPr>
        <w:t xml:space="preserve">ἰδοὺ γὰρ ὁ </w:t>
      </w:r>
      <w:r w:rsidRPr="00E5413C">
        <w:rPr>
          <w:bCs/>
          <w:i/>
          <w:szCs w:val="22"/>
          <w:lang w:val="el-GR"/>
        </w:rPr>
        <w:t>μισθὸς</w:t>
      </w:r>
      <w:r w:rsidRPr="00C200C8">
        <w:rPr>
          <w:bCs/>
          <w:i/>
          <w:szCs w:val="22"/>
          <w:lang w:val="el-GR"/>
        </w:rPr>
        <w:t xml:space="preserve"> ὑμῶν πολὺς ἐν τῷ οὐρανῷ</w:t>
      </w:r>
      <w:r w:rsidRPr="00CE06CA">
        <w:rPr>
          <w:bCs/>
          <w:szCs w:val="22"/>
          <w:lang w:val="el-GR"/>
        </w:rPr>
        <w:t>·</w:t>
      </w:r>
    </w:p>
    <w:p w14:paraId="42F14CAD" w14:textId="77777777" w:rsidR="0018433B" w:rsidRPr="00E5413C" w:rsidRDefault="0018433B" w:rsidP="0018433B">
      <w:pPr>
        <w:ind w:left="720"/>
        <w:rPr>
          <w:lang w:val="el-GR"/>
        </w:rPr>
      </w:pPr>
      <w:r w:rsidRPr="00E5413C">
        <w:rPr>
          <w:lang w:val="el-GR"/>
        </w:rPr>
        <w:t>23</w:t>
      </w:r>
      <w:r w:rsidRPr="001A290C">
        <w:t>c</w:t>
      </w:r>
      <w:r w:rsidRPr="00E5413C">
        <w:rPr>
          <w:lang w:val="el-GR"/>
        </w:rPr>
        <w:tab/>
      </w:r>
      <w:r w:rsidRPr="00E5413C">
        <w:rPr>
          <w:lang w:val="el-GR"/>
        </w:rPr>
        <w:tab/>
      </w:r>
      <w:r w:rsidRPr="00C200C8">
        <w:rPr>
          <w:bCs/>
          <w:i/>
          <w:szCs w:val="22"/>
          <w:lang w:val="el-GR"/>
        </w:rPr>
        <w:t>κατὰ τὰ αὐτὰ γὰρ ἐποίουν τοῖς προφήταις οἱ πατέρες αὐτῶν</w:t>
      </w:r>
      <w:r w:rsidRPr="00CE06CA">
        <w:rPr>
          <w:bCs/>
          <w:szCs w:val="22"/>
          <w:lang w:val="el-GR"/>
        </w:rPr>
        <w:t>.</w:t>
      </w:r>
    </w:p>
    <w:p w14:paraId="3E1760D0" w14:textId="77777777" w:rsidR="0018433B" w:rsidRPr="00E5413C" w:rsidRDefault="0018433B" w:rsidP="0018433B">
      <w:pPr>
        <w:ind w:left="720"/>
        <w:rPr>
          <w:lang w:val="el-GR"/>
        </w:rPr>
      </w:pPr>
      <w:r w:rsidRPr="00E5413C">
        <w:rPr>
          <w:lang w:val="el-GR"/>
        </w:rPr>
        <w:t>24</w:t>
      </w:r>
      <w:r w:rsidRPr="005B36A4">
        <w:t>a</w:t>
      </w:r>
      <w:r w:rsidRPr="00E5413C">
        <w:rPr>
          <w:lang w:val="el-GR"/>
        </w:rPr>
        <w:tab/>
      </w:r>
      <w:r w:rsidRPr="00CE06CA">
        <w:rPr>
          <w:bCs/>
          <w:szCs w:val="22"/>
          <w:lang w:val="el-GR"/>
        </w:rPr>
        <w:t>Πλὴ</w:t>
      </w:r>
      <w:r>
        <w:rPr>
          <w:bCs/>
          <w:szCs w:val="22"/>
          <w:lang w:val="el-GR"/>
        </w:rPr>
        <w:t>ν</w:t>
      </w:r>
    </w:p>
    <w:p w14:paraId="21E9EED8" w14:textId="77777777" w:rsidR="0018433B" w:rsidRPr="00E5413C" w:rsidRDefault="0018433B" w:rsidP="0018433B">
      <w:pPr>
        <w:ind w:left="720"/>
        <w:rPr>
          <w:lang w:val="el-GR"/>
        </w:rPr>
      </w:pPr>
      <w:r w:rsidRPr="00E5413C">
        <w:rPr>
          <w:lang w:val="el-GR"/>
        </w:rPr>
        <w:tab/>
      </w:r>
      <w:r w:rsidRPr="00CE06CA">
        <w:rPr>
          <w:bCs/>
          <w:szCs w:val="22"/>
          <w:lang w:val="el-GR"/>
        </w:rPr>
        <w:t>οὐαὶ ὑμῖν τοῖς πλουσίοις,</w:t>
      </w:r>
    </w:p>
    <w:p w14:paraId="267CA1CC" w14:textId="77777777" w:rsidR="0018433B" w:rsidRPr="00E5413C" w:rsidRDefault="0018433B" w:rsidP="0018433B">
      <w:pPr>
        <w:ind w:left="720"/>
        <w:rPr>
          <w:lang w:val="el-GR"/>
        </w:rPr>
      </w:pPr>
      <w:r w:rsidRPr="00E5413C">
        <w:rPr>
          <w:lang w:val="el-GR"/>
        </w:rPr>
        <w:t>24</w:t>
      </w:r>
      <w:r w:rsidRPr="005B36A4">
        <w:t>b</w:t>
      </w:r>
      <w:r w:rsidRPr="00E5413C">
        <w:rPr>
          <w:lang w:val="el-GR"/>
        </w:rPr>
        <w:tab/>
      </w:r>
      <w:r w:rsidRPr="00E5413C">
        <w:rPr>
          <w:lang w:val="el-GR"/>
        </w:rPr>
        <w:tab/>
      </w:r>
      <w:r w:rsidRPr="00CE06CA">
        <w:rPr>
          <w:bCs/>
          <w:szCs w:val="22"/>
          <w:lang w:val="el-GR"/>
        </w:rPr>
        <w:t>ὅτι ἀπέχετε τὴν παράκλησιν ὑμῶν.</w:t>
      </w:r>
    </w:p>
    <w:p w14:paraId="1657D3F9" w14:textId="46D394D0" w:rsidR="0018433B" w:rsidRPr="00E5413C" w:rsidRDefault="0018433B" w:rsidP="0018433B">
      <w:pPr>
        <w:ind w:left="720"/>
        <w:rPr>
          <w:lang w:val="el-GR"/>
        </w:rPr>
      </w:pPr>
      <w:r w:rsidRPr="00E5413C">
        <w:rPr>
          <w:lang w:val="el-GR"/>
        </w:rPr>
        <w:t>25</w:t>
      </w:r>
      <w:r w:rsidRPr="005B36A4">
        <w:t>a</w:t>
      </w:r>
      <w:r w:rsidRPr="00E5413C">
        <w:rPr>
          <w:lang w:val="el-GR"/>
        </w:rPr>
        <w:tab/>
      </w:r>
      <w:r w:rsidRPr="00CE06CA">
        <w:rPr>
          <w:bCs/>
          <w:szCs w:val="22"/>
          <w:lang w:val="el-GR"/>
        </w:rPr>
        <w:t>οὐαὶ ὑμῖν</w:t>
      </w:r>
      <w:r w:rsidR="006F304D" w:rsidRPr="006F304D">
        <w:rPr>
          <w:bCs/>
          <w:szCs w:val="22"/>
          <w:lang w:val="el-GR"/>
        </w:rPr>
        <w:t xml:space="preserve">, </w:t>
      </w:r>
      <w:r w:rsidRPr="00CE06CA">
        <w:rPr>
          <w:bCs/>
          <w:szCs w:val="22"/>
          <w:lang w:val="el-GR"/>
        </w:rPr>
        <w:t>οἱ ἐμπεπλησμένοι νῦν,</w:t>
      </w:r>
    </w:p>
    <w:p w14:paraId="426BA829" w14:textId="77777777" w:rsidR="0018433B" w:rsidRPr="00E5413C" w:rsidRDefault="0018433B" w:rsidP="0018433B">
      <w:pPr>
        <w:ind w:left="720"/>
        <w:rPr>
          <w:lang w:val="el-GR"/>
        </w:rPr>
      </w:pPr>
      <w:r w:rsidRPr="00E5413C">
        <w:rPr>
          <w:lang w:val="el-GR"/>
        </w:rPr>
        <w:t>25</w:t>
      </w:r>
      <w:r w:rsidRPr="005B36A4">
        <w:t>b</w:t>
      </w:r>
      <w:r w:rsidRPr="00E5413C">
        <w:rPr>
          <w:lang w:val="el-GR"/>
        </w:rPr>
        <w:tab/>
      </w:r>
      <w:r w:rsidRPr="00E5413C">
        <w:rPr>
          <w:lang w:val="el-GR"/>
        </w:rPr>
        <w:tab/>
      </w:r>
      <w:r w:rsidRPr="00CE06CA">
        <w:rPr>
          <w:bCs/>
          <w:szCs w:val="22"/>
          <w:lang w:val="el-GR"/>
        </w:rPr>
        <w:t>ὅτι πεινάσετε.</w:t>
      </w:r>
    </w:p>
    <w:p w14:paraId="371F0948" w14:textId="3F8BC278" w:rsidR="0018433B" w:rsidRPr="00E5413C" w:rsidRDefault="0018433B" w:rsidP="0018433B">
      <w:pPr>
        <w:ind w:left="720"/>
        <w:rPr>
          <w:lang w:val="el-GR"/>
        </w:rPr>
      </w:pPr>
      <w:r w:rsidRPr="00E5413C">
        <w:rPr>
          <w:lang w:val="el-GR"/>
        </w:rPr>
        <w:t>25</w:t>
      </w:r>
      <w:r w:rsidRPr="005B36A4">
        <w:t>c</w:t>
      </w:r>
      <w:r w:rsidRPr="00E5413C">
        <w:rPr>
          <w:lang w:val="el-GR"/>
        </w:rPr>
        <w:tab/>
      </w:r>
      <w:r w:rsidRPr="00CE06CA">
        <w:rPr>
          <w:bCs/>
          <w:szCs w:val="22"/>
          <w:lang w:val="el-GR"/>
        </w:rPr>
        <w:t>οὐαί</w:t>
      </w:r>
      <w:r w:rsidR="006F304D" w:rsidRPr="006F304D">
        <w:rPr>
          <w:bCs/>
          <w:szCs w:val="22"/>
          <w:lang w:val="el-GR"/>
        </w:rPr>
        <w:t xml:space="preserve">, </w:t>
      </w:r>
      <w:r w:rsidRPr="00CE06CA">
        <w:rPr>
          <w:bCs/>
          <w:szCs w:val="22"/>
          <w:lang w:val="el-GR"/>
        </w:rPr>
        <w:t>οἱ γελῶντες νῦν,</w:t>
      </w:r>
    </w:p>
    <w:p w14:paraId="3CB3E792" w14:textId="77777777" w:rsidR="0018433B" w:rsidRPr="00E5413C" w:rsidRDefault="0018433B" w:rsidP="0018433B">
      <w:pPr>
        <w:ind w:left="720"/>
        <w:rPr>
          <w:lang w:val="el-GR"/>
        </w:rPr>
      </w:pPr>
      <w:r w:rsidRPr="00E5413C">
        <w:rPr>
          <w:lang w:val="el-GR"/>
        </w:rPr>
        <w:t>25</w:t>
      </w:r>
      <w:r w:rsidRPr="005B36A4">
        <w:t>d</w:t>
      </w:r>
      <w:r w:rsidRPr="00E5413C">
        <w:rPr>
          <w:lang w:val="el-GR"/>
        </w:rPr>
        <w:tab/>
      </w:r>
      <w:r w:rsidRPr="00E5413C">
        <w:rPr>
          <w:lang w:val="el-GR"/>
        </w:rPr>
        <w:tab/>
      </w:r>
      <w:r w:rsidRPr="00CE06CA">
        <w:rPr>
          <w:bCs/>
          <w:szCs w:val="22"/>
          <w:lang w:val="el-GR"/>
        </w:rPr>
        <w:t>ὅτι πενθήσετε καὶ κλαύσετε.</w:t>
      </w:r>
    </w:p>
    <w:p w14:paraId="5CC7B2C4" w14:textId="77777777" w:rsidR="0018433B" w:rsidRPr="00E5413C" w:rsidRDefault="0018433B" w:rsidP="0018433B">
      <w:pPr>
        <w:ind w:left="720"/>
        <w:rPr>
          <w:lang w:val="el-GR"/>
        </w:rPr>
      </w:pPr>
      <w:r w:rsidRPr="00E5413C">
        <w:rPr>
          <w:lang w:val="el-GR"/>
        </w:rPr>
        <w:t>26</w:t>
      </w:r>
      <w:r>
        <w:t>a</w:t>
      </w:r>
      <w:r w:rsidRPr="00E5413C">
        <w:rPr>
          <w:lang w:val="el-GR"/>
        </w:rPr>
        <w:tab/>
      </w:r>
      <w:r w:rsidRPr="00CE06CA">
        <w:rPr>
          <w:bCs/>
          <w:szCs w:val="22"/>
          <w:lang w:val="el-GR"/>
        </w:rPr>
        <w:t>οὐαὶ</w:t>
      </w:r>
    </w:p>
    <w:p w14:paraId="7421E42A" w14:textId="77777777" w:rsidR="0018433B" w:rsidRPr="00E5413C" w:rsidRDefault="0018433B" w:rsidP="0018433B">
      <w:pPr>
        <w:ind w:left="720"/>
        <w:rPr>
          <w:lang w:val="el-GR"/>
        </w:rPr>
      </w:pPr>
      <w:r w:rsidRPr="00E5413C">
        <w:rPr>
          <w:lang w:val="el-GR"/>
        </w:rPr>
        <w:t>26</w:t>
      </w:r>
      <w:r w:rsidRPr="005B36A4">
        <w:t>b</w:t>
      </w:r>
      <w:r w:rsidRPr="00E5413C">
        <w:rPr>
          <w:lang w:val="el-GR"/>
        </w:rPr>
        <w:tab/>
      </w:r>
      <w:r w:rsidRPr="00E5413C">
        <w:rPr>
          <w:lang w:val="el-GR"/>
        </w:rPr>
        <w:tab/>
      </w:r>
      <w:r w:rsidRPr="00CE06CA">
        <w:rPr>
          <w:bCs/>
          <w:szCs w:val="22"/>
          <w:lang w:val="el-GR"/>
        </w:rPr>
        <w:t>ὅταν ὑμᾶς καλῶς εἴπωσιν πάντες οἱ ἄνθρωποι·</w:t>
      </w:r>
    </w:p>
    <w:p w14:paraId="533B0CBA" w14:textId="77777777" w:rsidR="0018433B" w:rsidRPr="00E5413C" w:rsidRDefault="0018433B" w:rsidP="0018433B">
      <w:pPr>
        <w:ind w:left="720"/>
        <w:rPr>
          <w:lang w:val="el-GR"/>
        </w:rPr>
      </w:pPr>
      <w:r w:rsidRPr="00E5413C">
        <w:rPr>
          <w:lang w:val="el-GR"/>
        </w:rPr>
        <w:t>26</w:t>
      </w:r>
      <w:r w:rsidRPr="005067B8">
        <w:t>c</w:t>
      </w:r>
      <w:r w:rsidRPr="00E5413C">
        <w:rPr>
          <w:lang w:val="el-GR"/>
        </w:rPr>
        <w:tab/>
      </w:r>
      <w:r w:rsidRPr="00E5413C">
        <w:rPr>
          <w:lang w:val="el-GR"/>
        </w:rPr>
        <w:tab/>
      </w:r>
      <w:r w:rsidRPr="00C200C8">
        <w:rPr>
          <w:bCs/>
          <w:i/>
          <w:szCs w:val="22"/>
          <w:lang w:val="el-GR"/>
        </w:rPr>
        <w:t>κατὰ τὰ αὐτὰ γὰρ ἐποίουν τοῖς ψευδοπροφήταις οἱ πατέρες αὐτῶν</w:t>
      </w:r>
      <w:r w:rsidRPr="00CE06CA">
        <w:rPr>
          <w:bCs/>
          <w:szCs w:val="22"/>
          <w:lang w:val="el-GR"/>
        </w:rPr>
        <w:t>.</w:t>
      </w:r>
    </w:p>
    <w:p w14:paraId="1B6423F3" w14:textId="77777777" w:rsidR="0018433B" w:rsidRPr="00E5413C" w:rsidRDefault="0018433B" w:rsidP="0018433B">
      <w:pPr>
        <w:contextualSpacing/>
        <w:rPr>
          <w:lang w:val="el-GR"/>
        </w:rPr>
      </w:pPr>
    </w:p>
    <w:p w14:paraId="6BC3D5BA" w14:textId="77777777" w:rsidR="0018433B" w:rsidRDefault="0018433B" w:rsidP="0018433B">
      <w:pPr>
        <w:ind w:left="720" w:right="720"/>
      </w:pPr>
      <w:r w:rsidRPr="00641039">
        <w:t>20b</w:t>
      </w:r>
      <w:r>
        <w:tab/>
        <w:t>Blessed are you who are poor,</w:t>
      </w:r>
    </w:p>
    <w:p w14:paraId="52EB201A" w14:textId="77777777" w:rsidR="0018433B" w:rsidRDefault="0018433B" w:rsidP="0018433B">
      <w:pPr>
        <w:ind w:left="720" w:right="720"/>
      </w:pPr>
      <w:r w:rsidRPr="00641039">
        <w:t>20c</w:t>
      </w:r>
      <w:r>
        <w:tab/>
      </w:r>
      <w:r>
        <w:tab/>
      </w:r>
      <w:r w:rsidRPr="00641039">
        <w:t>f</w:t>
      </w:r>
      <w:r>
        <w:t>or yours is the kingdom of God.</w:t>
      </w:r>
    </w:p>
    <w:p w14:paraId="213B7611" w14:textId="77777777" w:rsidR="0018433B" w:rsidRDefault="0018433B" w:rsidP="0018433B">
      <w:pPr>
        <w:ind w:left="720" w:right="720"/>
      </w:pPr>
      <w:r w:rsidRPr="00641039">
        <w:t>21a</w:t>
      </w:r>
      <w:r>
        <w:tab/>
      </w:r>
      <w:r w:rsidRPr="00641039">
        <w:t>Bles</w:t>
      </w:r>
      <w:r>
        <w:t>sed are you who are hungry now,</w:t>
      </w:r>
    </w:p>
    <w:p w14:paraId="012D1DE1" w14:textId="77777777" w:rsidR="0018433B" w:rsidRDefault="0018433B" w:rsidP="0018433B">
      <w:pPr>
        <w:ind w:left="720" w:right="720"/>
      </w:pPr>
      <w:r w:rsidRPr="00641039">
        <w:t>21b</w:t>
      </w:r>
      <w:r>
        <w:tab/>
      </w:r>
      <w:r>
        <w:tab/>
        <w:t>for you will be filled.</w:t>
      </w:r>
    </w:p>
    <w:p w14:paraId="3AE000F4" w14:textId="77777777" w:rsidR="0018433B" w:rsidRDefault="0018433B" w:rsidP="0018433B">
      <w:pPr>
        <w:ind w:left="720" w:right="720"/>
      </w:pPr>
      <w:r w:rsidRPr="00641039">
        <w:lastRenderedPageBreak/>
        <w:t>21c</w:t>
      </w:r>
      <w:r>
        <w:tab/>
        <w:t>Blessed are you who weep now,</w:t>
      </w:r>
    </w:p>
    <w:p w14:paraId="3E915DAB" w14:textId="77777777" w:rsidR="0018433B" w:rsidRDefault="0018433B" w:rsidP="0018433B">
      <w:pPr>
        <w:ind w:left="720" w:right="720"/>
      </w:pPr>
      <w:r w:rsidRPr="00641039">
        <w:t>21d</w:t>
      </w:r>
      <w:r>
        <w:tab/>
      </w:r>
      <w:r>
        <w:tab/>
        <w:t>for you will laugh.</w:t>
      </w:r>
    </w:p>
    <w:p w14:paraId="69C343EF" w14:textId="77777777" w:rsidR="0018433B" w:rsidRDefault="0018433B" w:rsidP="0018433B">
      <w:pPr>
        <w:ind w:left="720" w:right="720"/>
      </w:pPr>
      <w:r w:rsidRPr="00641039">
        <w:t>22a</w:t>
      </w:r>
      <w:r>
        <w:tab/>
      </w:r>
      <w:r w:rsidRPr="00641039">
        <w:t xml:space="preserve">Blessed </w:t>
      </w:r>
      <w:r>
        <w:t>are you</w:t>
      </w:r>
    </w:p>
    <w:p w14:paraId="0312075D" w14:textId="77777777" w:rsidR="0018433B" w:rsidRDefault="0018433B" w:rsidP="0018433B">
      <w:pPr>
        <w:ind w:left="720" w:right="720"/>
      </w:pPr>
      <w:r w:rsidRPr="00641039">
        <w:t>22b</w:t>
      </w:r>
      <w:r>
        <w:tab/>
      </w:r>
      <w:r>
        <w:tab/>
        <w:t>when</w:t>
      </w:r>
      <w:r>
        <w:tab/>
        <w:t>people hate you,</w:t>
      </w:r>
    </w:p>
    <w:p w14:paraId="65B11E99" w14:textId="77777777" w:rsidR="0018433B" w:rsidRDefault="0018433B" w:rsidP="0018433B">
      <w:pPr>
        <w:ind w:left="720" w:right="720"/>
      </w:pPr>
      <w:r w:rsidRPr="00641039">
        <w:t>22c</w:t>
      </w:r>
      <w:r>
        <w:tab/>
        <w:t>and</w:t>
      </w:r>
      <w:r>
        <w:tab/>
        <w:t>when</w:t>
      </w:r>
      <w:r>
        <w:tab/>
      </w:r>
      <w:r w:rsidRPr="00641039">
        <w:t>they ex</w:t>
      </w:r>
      <w:r>
        <w:t>clude you,</w:t>
      </w:r>
    </w:p>
    <w:p w14:paraId="56EFCD0B" w14:textId="77777777" w:rsidR="0018433B" w:rsidRDefault="0018433B" w:rsidP="0018433B">
      <w:pPr>
        <w:ind w:left="720" w:right="720"/>
      </w:pPr>
      <w:r>
        <w:tab/>
      </w:r>
      <w:r>
        <w:tab/>
      </w:r>
      <w:r>
        <w:tab/>
        <w:t>revile you,</w:t>
      </w:r>
    </w:p>
    <w:p w14:paraId="4899FA55" w14:textId="77777777" w:rsidR="0018433B" w:rsidRDefault="0018433B" w:rsidP="0018433B">
      <w:pPr>
        <w:ind w:left="720" w:right="720"/>
      </w:pPr>
      <w:r>
        <w:tab/>
        <w:t>and</w:t>
      </w:r>
      <w:r>
        <w:tab/>
      </w:r>
      <w:r>
        <w:tab/>
      </w:r>
      <w:r w:rsidRPr="00641039">
        <w:t>defame yo</w:t>
      </w:r>
      <w:r>
        <w:t>u</w:t>
      </w:r>
    </w:p>
    <w:p w14:paraId="562578D4" w14:textId="77777777" w:rsidR="0018433B" w:rsidRDefault="0018433B" w:rsidP="0018433B">
      <w:pPr>
        <w:ind w:left="720" w:right="720"/>
      </w:pPr>
      <w:r>
        <w:tab/>
      </w:r>
      <w:r>
        <w:tab/>
        <w:t>on account of the Son of Man.</w:t>
      </w:r>
    </w:p>
    <w:p w14:paraId="769930B5" w14:textId="77777777" w:rsidR="0018433B" w:rsidRDefault="0018433B" w:rsidP="0018433B">
      <w:pPr>
        <w:ind w:left="720" w:right="720"/>
      </w:pPr>
      <w:r w:rsidRPr="00641039">
        <w:t>23a</w:t>
      </w:r>
      <w:r>
        <w:tab/>
      </w:r>
      <w:r w:rsidRPr="00641039">
        <w:t>Rejoic</w:t>
      </w:r>
      <w:r>
        <w:t>e in that day and leap for joy,</w:t>
      </w:r>
    </w:p>
    <w:p w14:paraId="6DEE8BD5" w14:textId="77777777" w:rsidR="0018433B" w:rsidRDefault="0018433B" w:rsidP="0018433B">
      <w:pPr>
        <w:ind w:left="720" w:right="720"/>
      </w:pPr>
      <w:r w:rsidRPr="00641039">
        <w:t>23b</w:t>
      </w:r>
      <w:r>
        <w:tab/>
      </w:r>
      <w:r w:rsidRPr="00641039">
        <w:t xml:space="preserve">for surely </w:t>
      </w:r>
      <w:r>
        <w:t>your reward is great in heaven;</w:t>
      </w:r>
    </w:p>
    <w:p w14:paraId="737762C9" w14:textId="77777777" w:rsidR="0018433B" w:rsidRDefault="0018433B" w:rsidP="0018433B">
      <w:pPr>
        <w:ind w:left="720" w:right="720"/>
      </w:pPr>
      <w:r w:rsidRPr="00641039">
        <w:t>23c</w:t>
      </w:r>
      <w:r>
        <w:tab/>
      </w:r>
      <w:r>
        <w:tab/>
      </w:r>
      <w:r>
        <w:tab/>
      </w:r>
      <w:r w:rsidRPr="00641039">
        <w:t>for that is what their ancestors did to the pr</w:t>
      </w:r>
      <w:r>
        <w:t>ophets.</w:t>
      </w:r>
    </w:p>
    <w:p w14:paraId="4615B553" w14:textId="77777777" w:rsidR="0018433B" w:rsidRDefault="0018433B" w:rsidP="0018433B">
      <w:pPr>
        <w:ind w:left="720" w:right="720"/>
      </w:pPr>
      <w:r w:rsidRPr="00641039">
        <w:t>24a</w:t>
      </w:r>
      <w:r>
        <w:tab/>
        <w:t>But</w:t>
      </w:r>
    </w:p>
    <w:p w14:paraId="49DA182E" w14:textId="77777777" w:rsidR="0018433B" w:rsidRDefault="0018433B" w:rsidP="0018433B">
      <w:pPr>
        <w:ind w:left="720" w:right="720"/>
      </w:pPr>
      <w:r>
        <w:tab/>
        <w:t>woe</w:t>
      </w:r>
      <w:r>
        <w:tab/>
        <w:t>to you who are rich,</w:t>
      </w:r>
    </w:p>
    <w:p w14:paraId="4EDE6D2F" w14:textId="77777777" w:rsidR="0018433B" w:rsidRDefault="0018433B" w:rsidP="0018433B">
      <w:pPr>
        <w:ind w:left="720" w:right="720"/>
      </w:pPr>
      <w:r w:rsidRPr="00641039">
        <w:t>24b</w:t>
      </w:r>
      <w:r>
        <w:tab/>
      </w:r>
      <w:r>
        <w:tab/>
      </w:r>
      <w:r>
        <w:tab/>
      </w:r>
      <w:r w:rsidRPr="00641039">
        <w:t>for you have received your conso</w:t>
      </w:r>
      <w:r>
        <w:t>lation.</w:t>
      </w:r>
    </w:p>
    <w:p w14:paraId="460F810F" w14:textId="77777777" w:rsidR="0018433B" w:rsidRDefault="0018433B" w:rsidP="0018433B">
      <w:pPr>
        <w:ind w:left="720" w:right="720"/>
      </w:pPr>
      <w:r w:rsidRPr="00641039">
        <w:t>25a</w:t>
      </w:r>
      <w:r>
        <w:tab/>
        <w:t>Woe</w:t>
      </w:r>
      <w:r>
        <w:tab/>
        <w:t>to you who are full now,</w:t>
      </w:r>
    </w:p>
    <w:p w14:paraId="5BD7063F" w14:textId="77777777" w:rsidR="0018433B" w:rsidRDefault="0018433B" w:rsidP="0018433B">
      <w:pPr>
        <w:ind w:left="720" w:right="720"/>
      </w:pPr>
      <w:r w:rsidRPr="00641039">
        <w:t>25b</w:t>
      </w:r>
      <w:r>
        <w:tab/>
      </w:r>
      <w:r>
        <w:tab/>
      </w:r>
      <w:r>
        <w:tab/>
        <w:t>for you will be hungry.</w:t>
      </w:r>
    </w:p>
    <w:p w14:paraId="63178B02" w14:textId="77777777" w:rsidR="0018433B" w:rsidRDefault="0018433B" w:rsidP="0018433B">
      <w:pPr>
        <w:ind w:left="720" w:right="720"/>
      </w:pPr>
      <w:r w:rsidRPr="00641039">
        <w:t>25c</w:t>
      </w:r>
      <w:r>
        <w:tab/>
        <w:t>Woe</w:t>
      </w:r>
      <w:r>
        <w:tab/>
      </w:r>
      <w:r w:rsidRPr="00641039">
        <w:t>to you who are laugh</w:t>
      </w:r>
      <w:r>
        <w:t>ing now,</w:t>
      </w:r>
    </w:p>
    <w:p w14:paraId="193CA9B0" w14:textId="77777777" w:rsidR="0018433B" w:rsidRDefault="0018433B" w:rsidP="0018433B">
      <w:pPr>
        <w:ind w:left="720" w:right="720"/>
      </w:pPr>
      <w:r w:rsidRPr="00641039">
        <w:t>25d</w:t>
      </w:r>
      <w:r>
        <w:tab/>
      </w:r>
      <w:r>
        <w:tab/>
      </w:r>
      <w:r>
        <w:tab/>
        <w:t>for you will mourn and weep.</w:t>
      </w:r>
    </w:p>
    <w:p w14:paraId="4746963C" w14:textId="77777777" w:rsidR="0018433B" w:rsidRDefault="0018433B" w:rsidP="0018433B">
      <w:pPr>
        <w:ind w:left="720" w:right="720"/>
      </w:pPr>
      <w:r w:rsidRPr="00641039">
        <w:t>26a</w:t>
      </w:r>
      <w:r>
        <w:tab/>
        <w:t>Woe</w:t>
      </w:r>
      <w:r>
        <w:tab/>
        <w:t>to you</w:t>
      </w:r>
    </w:p>
    <w:p w14:paraId="79FE58B4" w14:textId="77777777" w:rsidR="0018433B" w:rsidRDefault="0018433B" w:rsidP="0018433B">
      <w:pPr>
        <w:ind w:left="720" w:right="720"/>
      </w:pPr>
      <w:r w:rsidRPr="00641039">
        <w:t>26b</w:t>
      </w:r>
      <w:r>
        <w:tab/>
      </w:r>
      <w:r>
        <w:tab/>
      </w:r>
      <w:r>
        <w:tab/>
        <w:t>when all speak well of you,</w:t>
      </w:r>
    </w:p>
    <w:p w14:paraId="2D9DFA96" w14:textId="77777777" w:rsidR="0018433B" w:rsidRPr="00641039" w:rsidRDefault="0018433B" w:rsidP="0018433B">
      <w:pPr>
        <w:ind w:left="720" w:right="720"/>
      </w:pPr>
      <w:r w:rsidRPr="00641039">
        <w:t>26c</w:t>
      </w:r>
      <w:r>
        <w:tab/>
      </w:r>
      <w:r>
        <w:tab/>
      </w:r>
      <w:r>
        <w:tab/>
      </w:r>
      <w:r w:rsidRPr="00641039">
        <w:t>for that is what their ances</w:t>
      </w:r>
      <w:r>
        <w:t>tors did to the false prophets.</w:t>
      </w:r>
    </w:p>
    <w:p w14:paraId="20A31673" w14:textId="77777777" w:rsidR="0018433B" w:rsidRDefault="0018433B" w:rsidP="0018433B"/>
    <w:p w14:paraId="2BA0F7F8" w14:textId="7BCD3147" w:rsidR="0018433B" w:rsidRDefault="0018433B" w:rsidP="0018433B">
      <w:r>
        <w:tab/>
      </w:r>
      <w:r w:rsidRPr="005B36A4">
        <w:t>The next two verses</w:t>
      </w:r>
      <w:r w:rsidR="006F304D" w:rsidRPr="006F304D">
        <w:t xml:space="preserve">, </w:t>
      </w:r>
      <w:r w:rsidRPr="005B36A4">
        <w:t>27-28</w:t>
      </w:r>
      <w:r w:rsidR="006F304D" w:rsidRPr="006F304D">
        <w:t xml:space="preserve">, </w:t>
      </w:r>
      <w:r w:rsidRPr="005B36A4">
        <w:t>form</w:t>
      </w:r>
      <w:r w:rsidR="006F304D" w:rsidRPr="006F304D">
        <w:t xml:space="preserve">, </w:t>
      </w:r>
      <w:r w:rsidRPr="005B36A4">
        <w:t>with the beatitudes and woes</w:t>
      </w:r>
      <w:r w:rsidR="006F304D" w:rsidRPr="006F304D">
        <w:t xml:space="preserve">, </w:t>
      </w:r>
      <w:r w:rsidRPr="005B36A4">
        <w:t>a third four-line unit (</w:t>
      </w:r>
      <w:r w:rsidRPr="005B36A4">
        <w:rPr>
          <w:i/>
          <w:iCs/>
        </w:rPr>
        <w:t>Tetrastich</w:t>
      </w:r>
      <w:r w:rsidRPr="005B36A4">
        <w:t>).</w:t>
      </w:r>
      <w:r w:rsidRPr="005B36A4">
        <w:rPr>
          <w:rStyle w:val="FootnoteReference"/>
        </w:rPr>
        <w:footnoteReference w:id="335"/>
      </w:r>
    </w:p>
    <w:p w14:paraId="5955B5CA" w14:textId="77777777" w:rsidR="0018433B" w:rsidRPr="005B36A4" w:rsidRDefault="0018433B" w:rsidP="0018433B"/>
    <w:p w14:paraId="482BF846" w14:textId="77777777" w:rsidR="0018433B" w:rsidRPr="005B36A4" w:rsidRDefault="0018433B" w:rsidP="0018433B">
      <w:pPr>
        <w:ind w:left="720"/>
      </w:pPr>
      <w:r w:rsidRPr="005B36A4">
        <w:t>27b</w:t>
      </w:r>
      <w:r w:rsidRPr="005B36A4">
        <w:tab/>
      </w:r>
      <w:r w:rsidRPr="00CE06CA">
        <w:rPr>
          <w:bCs/>
          <w:szCs w:val="22"/>
          <w:lang w:val="el-GR"/>
        </w:rPr>
        <w:t>ἀγαπᾶτε τοὺς ἐχθροὺς ὑμῶν,</w:t>
      </w:r>
    </w:p>
    <w:p w14:paraId="59E072DD" w14:textId="77777777" w:rsidR="0018433B" w:rsidRPr="005B36A4" w:rsidRDefault="0018433B" w:rsidP="0018433B">
      <w:pPr>
        <w:ind w:left="720"/>
      </w:pPr>
      <w:r w:rsidRPr="005B36A4">
        <w:t>27c</w:t>
      </w:r>
      <w:r w:rsidRPr="005B36A4">
        <w:tab/>
      </w:r>
      <w:r w:rsidRPr="00CE06CA">
        <w:rPr>
          <w:bCs/>
          <w:szCs w:val="22"/>
          <w:lang w:val="el-GR"/>
        </w:rPr>
        <w:t>καλῶς ποιεῖτε τοῖς μισοῦσιν ὑμᾶς,</w:t>
      </w:r>
    </w:p>
    <w:p w14:paraId="12A37589" w14:textId="77777777" w:rsidR="0018433B" w:rsidRPr="005B36A4" w:rsidRDefault="0018433B" w:rsidP="0018433B">
      <w:pPr>
        <w:ind w:left="720"/>
      </w:pPr>
      <w:r w:rsidRPr="005B36A4">
        <w:t>28a</w:t>
      </w:r>
      <w:r w:rsidRPr="005B36A4">
        <w:tab/>
      </w:r>
      <w:r w:rsidRPr="00CE06CA">
        <w:rPr>
          <w:bCs/>
          <w:szCs w:val="22"/>
          <w:lang w:val="el-GR"/>
        </w:rPr>
        <w:t>εὐλογεῖτε τοὺς καταρωμένους ὑμᾶς,</w:t>
      </w:r>
    </w:p>
    <w:p w14:paraId="23E0B5CE" w14:textId="77777777" w:rsidR="0018433B" w:rsidRPr="005B36A4" w:rsidRDefault="0018433B" w:rsidP="0018433B">
      <w:pPr>
        <w:ind w:left="720"/>
      </w:pPr>
      <w:r w:rsidRPr="005B36A4">
        <w:t>28b</w:t>
      </w:r>
      <w:r w:rsidRPr="005B36A4">
        <w:tab/>
      </w:r>
      <w:r w:rsidRPr="00CE06CA">
        <w:rPr>
          <w:bCs/>
          <w:szCs w:val="22"/>
          <w:lang w:val="el-GR"/>
        </w:rPr>
        <w:t>προσεύχεσθε περὶ τῶν ἐπηρεαζόντων ὑμᾶς.</w:t>
      </w:r>
    </w:p>
    <w:p w14:paraId="7EAB59AD" w14:textId="77777777" w:rsidR="0018433B" w:rsidRDefault="0018433B" w:rsidP="0018433B"/>
    <w:p w14:paraId="0E9C4ABF" w14:textId="77777777" w:rsidR="0018433B" w:rsidRDefault="0018433B" w:rsidP="0018433B">
      <w:pPr>
        <w:ind w:left="720" w:right="720"/>
      </w:pPr>
      <w:r>
        <w:t>27</w:t>
      </w:r>
      <w:r>
        <w:tab/>
        <w:t>Love your enemies,</w:t>
      </w:r>
    </w:p>
    <w:p w14:paraId="1CEC2F78" w14:textId="77777777" w:rsidR="0018433B" w:rsidRDefault="0018433B" w:rsidP="0018433B">
      <w:pPr>
        <w:ind w:left="720" w:right="720"/>
      </w:pPr>
      <w:r w:rsidRPr="005058C1">
        <w:t>27c</w:t>
      </w:r>
      <w:r>
        <w:tab/>
        <w:t>do good to those who hate you,</w:t>
      </w:r>
    </w:p>
    <w:p w14:paraId="2BE5DD45" w14:textId="77777777" w:rsidR="0018433B" w:rsidRDefault="0018433B" w:rsidP="0018433B">
      <w:pPr>
        <w:ind w:left="720" w:right="720"/>
      </w:pPr>
      <w:r w:rsidRPr="005058C1">
        <w:t>28a</w:t>
      </w:r>
      <w:r>
        <w:tab/>
        <w:t>bless those who curse you,</w:t>
      </w:r>
    </w:p>
    <w:p w14:paraId="2C666F44" w14:textId="77777777" w:rsidR="0018433B" w:rsidRPr="005058C1" w:rsidRDefault="0018433B" w:rsidP="0018433B">
      <w:pPr>
        <w:ind w:left="720" w:right="720"/>
      </w:pPr>
      <w:r w:rsidRPr="005058C1">
        <w:t>28b</w:t>
      </w:r>
      <w:r>
        <w:tab/>
        <w:t>pray for those who abuse you.</w:t>
      </w:r>
    </w:p>
    <w:p w14:paraId="70C75D51" w14:textId="77777777" w:rsidR="0018433B" w:rsidRDefault="0018433B" w:rsidP="0018433B"/>
    <w:p w14:paraId="2B53CF8F" w14:textId="33CE0932" w:rsidR="0018433B" w:rsidRDefault="0018433B" w:rsidP="0018433B">
      <w:r w:rsidRPr="005B36A4">
        <w:t>A tetrastich is likewise found in the next two verses</w:t>
      </w:r>
      <w:r w:rsidR="006F304D" w:rsidRPr="006F304D">
        <w:t xml:space="preserve">, </w:t>
      </w:r>
      <w:r w:rsidRPr="005B36A4">
        <w:t>29-30.</w:t>
      </w:r>
    </w:p>
    <w:p w14:paraId="494E606A" w14:textId="77777777" w:rsidR="0018433B" w:rsidRPr="005B36A4" w:rsidRDefault="0018433B" w:rsidP="0018433B"/>
    <w:p w14:paraId="5ED59693" w14:textId="77777777" w:rsidR="0018433B" w:rsidRPr="005B36A4" w:rsidRDefault="0018433B" w:rsidP="0018433B">
      <w:pPr>
        <w:ind w:left="720"/>
      </w:pPr>
      <w:r w:rsidRPr="005B36A4">
        <w:t>29a</w:t>
      </w:r>
      <w:r w:rsidRPr="005B36A4">
        <w:tab/>
      </w:r>
      <w:r w:rsidRPr="00CE06CA">
        <w:rPr>
          <w:bCs/>
          <w:szCs w:val="22"/>
          <w:lang w:val="el-GR"/>
        </w:rPr>
        <w:t>τῷ τύπτοντί σε ἐπὶ τὴν σιαγόνα πάρεχε καὶ τὴν ἄλλην,</w:t>
      </w:r>
    </w:p>
    <w:p w14:paraId="42FE7DF6" w14:textId="77777777" w:rsidR="0018433B" w:rsidRPr="005B36A4" w:rsidRDefault="0018433B" w:rsidP="0018433B">
      <w:pPr>
        <w:ind w:left="720"/>
      </w:pPr>
      <w:r w:rsidRPr="005B36A4">
        <w:t>29b</w:t>
      </w:r>
      <w:r w:rsidRPr="005B36A4">
        <w:tab/>
      </w:r>
      <w:r w:rsidRPr="00CE06CA">
        <w:rPr>
          <w:bCs/>
          <w:szCs w:val="22"/>
          <w:lang w:val="el-GR"/>
        </w:rPr>
        <w:t>καὶ ἀπὸ τοῦ αἴροντός σου τὸ ἱμάτιον καὶ τὸν χιτῶνα μὴ κωλύσῃς.</w:t>
      </w:r>
    </w:p>
    <w:p w14:paraId="38332A2C" w14:textId="77777777" w:rsidR="0018433B" w:rsidRPr="005B36A4" w:rsidRDefault="0018433B" w:rsidP="0018433B">
      <w:pPr>
        <w:ind w:left="720"/>
      </w:pPr>
      <w:r w:rsidRPr="005B36A4">
        <w:t>30a</w:t>
      </w:r>
      <w:r w:rsidRPr="005B36A4">
        <w:tab/>
      </w:r>
      <w:r w:rsidRPr="00CE06CA">
        <w:rPr>
          <w:bCs/>
          <w:szCs w:val="22"/>
          <w:lang w:val="el-GR"/>
        </w:rPr>
        <w:t>παντὶ αἰτοῦντί σε δίδου,</w:t>
      </w:r>
    </w:p>
    <w:p w14:paraId="1DE5B1BA" w14:textId="77777777" w:rsidR="0018433B" w:rsidRPr="005B36A4" w:rsidRDefault="0018433B" w:rsidP="0018433B">
      <w:pPr>
        <w:ind w:left="720"/>
      </w:pPr>
      <w:r w:rsidRPr="005B36A4">
        <w:t>30b</w:t>
      </w:r>
      <w:r w:rsidRPr="005B36A4">
        <w:tab/>
      </w:r>
      <w:r w:rsidRPr="00CE06CA">
        <w:rPr>
          <w:bCs/>
          <w:szCs w:val="22"/>
          <w:lang w:val="el-GR"/>
        </w:rPr>
        <w:t>καὶ ἀπὸ τοῦ αἴροντος τὰ σὰ μὴ ἀπαίτει.</w:t>
      </w:r>
    </w:p>
    <w:p w14:paraId="0FDFFAF3" w14:textId="77777777" w:rsidR="0018433B" w:rsidRDefault="0018433B" w:rsidP="0018433B"/>
    <w:p w14:paraId="1EAAEF9B" w14:textId="77B1581C" w:rsidR="0018433B" w:rsidRDefault="0018433B" w:rsidP="0018433B">
      <w:pPr>
        <w:ind w:left="720" w:right="720"/>
      </w:pPr>
      <w:r w:rsidRPr="005058C1">
        <w:t>29a</w:t>
      </w:r>
      <w:r>
        <w:tab/>
      </w:r>
      <w:r w:rsidRPr="005058C1">
        <w:t>If anyone strikes you on t</w:t>
      </w:r>
      <w:r>
        <w:t>he cheek</w:t>
      </w:r>
      <w:r w:rsidR="006F304D" w:rsidRPr="006F304D">
        <w:t xml:space="preserve">, </w:t>
      </w:r>
      <w:r>
        <w:t>offer the other also;</w:t>
      </w:r>
    </w:p>
    <w:p w14:paraId="1EB6D10C" w14:textId="77777777" w:rsidR="0018433B" w:rsidRDefault="0018433B" w:rsidP="0018433B">
      <w:pPr>
        <w:ind w:left="1440" w:right="720" w:hanging="720"/>
      </w:pPr>
      <w:r w:rsidRPr="005058C1">
        <w:t>29b</w:t>
      </w:r>
      <w:r>
        <w:tab/>
      </w:r>
      <w:r w:rsidRPr="005058C1">
        <w:t>and from anyone who takes away your coat d</w:t>
      </w:r>
      <w:r>
        <w:t>o not withhold even your shirt.</w:t>
      </w:r>
    </w:p>
    <w:p w14:paraId="667E74A0" w14:textId="77777777" w:rsidR="0018433B" w:rsidRDefault="0018433B" w:rsidP="0018433B">
      <w:pPr>
        <w:ind w:left="720" w:right="720"/>
      </w:pPr>
      <w:r w:rsidRPr="005058C1">
        <w:lastRenderedPageBreak/>
        <w:t>30a</w:t>
      </w:r>
      <w:r>
        <w:tab/>
      </w:r>
      <w:r w:rsidRPr="005058C1">
        <w:t>Give to every</w:t>
      </w:r>
      <w:r>
        <w:t>one who begs from you;</w:t>
      </w:r>
    </w:p>
    <w:p w14:paraId="1C4D11F7" w14:textId="0B8CC9B1" w:rsidR="0018433B" w:rsidRPr="005058C1" w:rsidRDefault="0018433B" w:rsidP="0018433B">
      <w:pPr>
        <w:ind w:left="720" w:right="720"/>
      </w:pPr>
      <w:r w:rsidRPr="005058C1">
        <w:t>30b</w:t>
      </w:r>
      <w:r>
        <w:tab/>
      </w:r>
      <w:r w:rsidRPr="005058C1">
        <w:t>and if anyone takes away your go</w:t>
      </w:r>
      <w:r>
        <w:t>ods</w:t>
      </w:r>
      <w:r w:rsidR="006F304D" w:rsidRPr="006F304D">
        <w:t xml:space="preserve">, </w:t>
      </w:r>
      <w:r>
        <w:t>do not ask for them again.</w:t>
      </w:r>
    </w:p>
    <w:p w14:paraId="53B70386" w14:textId="77777777" w:rsidR="0018433B" w:rsidRDefault="0018433B" w:rsidP="0018433B"/>
    <w:p w14:paraId="2F0F20DE" w14:textId="452C16D5" w:rsidR="0018433B" w:rsidRPr="005B36A4" w:rsidRDefault="0018433B" w:rsidP="0018433B">
      <w:r w:rsidRPr="005B36A4">
        <w:t xml:space="preserve">Morgenthaler notes that the </w:t>
      </w:r>
      <w:r>
        <w:t xml:space="preserve">beginning of the </w:t>
      </w:r>
      <w:r w:rsidRPr="005B36A4">
        <w:t>first member of the second distich (29b</w:t>
      </w:r>
      <w:r w:rsidR="006F304D" w:rsidRPr="006F304D">
        <w:t xml:space="preserve">, </w:t>
      </w:r>
      <w:r w:rsidRPr="005B36A4">
        <w:t xml:space="preserve">“and from anyone who takes away”) and the </w:t>
      </w:r>
      <w:r>
        <w:t xml:space="preserve">beginning of the </w:t>
      </w:r>
      <w:r w:rsidRPr="005B36A4">
        <w:t>first member of the fourth (30b</w:t>
      </w:r>
      <w:r w:rsidR="006F304D" w:rsidRPr="006F304D">
        <w:t xml:space="preserve">, </w:t>
      </w:r>
      <w:r w:rsidRPr="005B36A4">
        <w:t xml:space="preserve">“and if anyone takes away”) form a </w:t>
      </w:r>
      <w:proofErr w:type="spellStart"/>
      <w:r w:rsidRPr="005B36A4">
        <w:rPr>
          <w:i/>
          <w:iCs/>
        </w:rPr>
        <w:t>Doppellogion</w:t>
      </w:r>
      <w:proofErr w:type="spellEnd"/>
      <w:r w:rsidRPr="005B36A4">
        <w:rPr>
          <w:iCs/>
        </w:rPr>
        <w:t>.</w:t>
      </w:r>
      <w:r w:rsidRPr="005B36A4">
        <w:rPr>
          <w:rStyle w:val="FootnoteReference"/>
        </w:rPr>
        <w:footnoteReference w:id="336"/>
      </w:r>
    </w:p>
    <w:p w14:paraId="726CC1C8" w14:textId="06462C1F" w:rsidR="0018433B" w:rsidRDefault="0018433B" w:rsidP="0018433B">
      <w:r>
        <w:tab/>
      </w:r>
      <w:r w:rsidRPr="005B36A4">
        <w:t>The next verses</w:t>
      </w:r>
      <w:r w:rsidR="006F304D" w:rsidRPr="006F304D">
        <w:t xml:space="preserve">, </w:t>
      </w:r>
      <w:r w:rsidRPr="005B36A4">
        <w:t>32-35c</w:t>
      </w:r>
      <w:r w:rsidR="006F304D" w:rsidRPr="006F304D">
        <w:t xml:space="preserve">, </w:t>
      </w:r>
      <w:r w:rsidRPr="005B36A4">
        <w:t>form “an artful two-member tristich.”</w:t>
      </w:r>
      <w:r w:rsidRPr="005B36A4">
        <w:rPr>
          <w:rStyle w:val="FootnoteReference"/>
        </w:rPr>
        <w:footnoteReference w:id="337"/>
      </w:r>
    </w:p>
    <w:p w14:paraId="51530D64" w14:textId="77777777" w:rsidR="0018433B" w:rsidRDefault="0018433B" w:rsidP="0018433B"/>
    <w:p w14:paraId="7A35995B" w14:textId="77777777" w:rsidR="0018433B" w:rsidRPr="005B36A4" w:rsidRDefault="0018433B" w:rsidP="0018433B">
      <w:pPr>
        <w:ind w:left="720"/>
      </w:pPr>
      <w:r w:rsidRPr="005B36A4">
        <w:t>32a</w:t>
      </w:r>
      <w:r w:rsidRPr="005B36A4">
        <w:tab/>
      </w:r>
      <w:r w:rsidRPr="00CE06CA">
        <w:rPr>
          <w:bCs/>
          <w:szCs w:val="22"/>
          <w:lang w:val="el-GR"/>
        </w:rPr>
        <w:t>καὶ εἰ ἀγαπᾶτε τοὺς ἀγαπῶντας ὑμᾶς,</w:t>
      </w:r>
    </w:p>
    <w:p w14:paraId="754924B4" w14:textId="77777777" w:rsidR="0018433B" w:rsidRPr="005B36A4" w:rsidRDefault="0018433B" w:rsidP="0018433B">
      <w:pPr>
        <w:ind w:left="720"/>
      </w:pPr>
      <w:r w:rsidRPr="005B36A4">
        <w:t>32b</w:t>
      </w:r>
      <w:r w:rsidRPr="005B36A4">
        <w:tab/>
      </w:r>
      <w:r>
        <w:tab/>
      </w:r>
      <w:r w:rsidRPr="00CE06CA">
        <w:rPr>
          <w:bCs/>
          <w:szCs w:val="22"/>
          <w:lang w:val="el-GR"/>
        </w:rPr>
        <w:t>ποία ὑμῖν χάρις ἐστίν;</w:t>
      </w:r>
    </w:p>
    <w:p w14:paraId="1211F5EB" w14:textId="77777777" w:rsidR="0018433B" w:rsidRPr="005B36A4" w:rsidRDefault="0018433B" w:rsidP="0018433B">
      <w:pPr>
        <w:ind w:left="720"/>
      </w:pPr>
      <w:r w:rsidRPr="005B36A4">
        <w:t>32c</w:t>
      </w:r>
      <w:r w:rsidRPr="005B36A4">
        <w:tab/>
      </w:r>
      <w:r>
        <w:tab/>
      </w:r>
      <w:r w:rsidRPr="00CE06CA">
        <w:rPr>
          <w:bCs/>
          <w:szCs w:val="22"/>
          <w:lang w:val="el-GR"/>
        </w:rPr>
        <w:t>καὶ γὰρ οἱ ἁμαρτωλοὶ τοὺς ἀγαπῶντας αὐτοὺς ἀγαπῶσιν.</w:t>
      </w:r>
    </w:p>
    <w:p w14:paraId="5613FAD5" w14:textId="77777777" w:rsidR="0018433B" w:rsidRPr="005B36A4" w:rsidRDefault="0018433B" w:rsidP="0018433B">
      <w:pPr>
        <w:ind w:left="720"/>
      </w:pPr>
      <w:r w:rsidRPr="005B36A4">
        <w:t>33a</w:t>
      </w:r>
      <w:r w:rsidRPr="005B36A4">
        <w:tab/>
      </w:r>
      <w:r w:rsidRPr="00CE06CA">
        <w:rPr>
          <w:bCs/>
          <w:szCs w:val="22"/>
          <w:lang w:val="el-GR"/>
        </w:rPr>
        <w:t>καὶ [γὰρ] ἐὰν ἀγαθοποιῆτε τοὺς ἀγαθοποιοῦντας ὑμᾶς,</w:t>
      </w:r>
    </w:p>
    <w:p w14:paraId="578A9BA3" w14:textId="77777777" w:rsidR="0018433B" w:rsidRPr="005B36A4" w:rsidRDefault="0018433B" w:rsidP="0018433B">
      <w:pPr>
        <w:ind w:left="720"/>
      </w:pPr>
      <w:r w:rsidRPr="005B36A4">
        <w:t>33b</w:t>
      </w:r>
      <w:r w:rsidRPr="005B36A4">
        <w:tab/>
      </w:r>
      <w:r>
        <w:tab/>
      </w:r>
      <w:r w:rsidRPr="00CE06CA">
        <w:rPr>
          <w:bCs/>
          <w:szCs w:val="22"/>
          <w:lang w:val="el-GR"/>
        </w:rPr>
        <w:t>ποία ὑμῖν χάρις ἐστίν;</w:t>
      </w:r>
    </w:p>
    <w:p w14:paraId="7B81A962" w14:textId="77777777" w:rsidR="0018433B" w:rsidRPr="005B36A4" w:rsidRDefault="0018433B" w:rsidP="0018433B">
      <w:pPr>
        <w:ind w:left="720"/>
      </w:pPr>
      <w:r w:rsidRPr="005B36A4">
        <w:t>33c</w:t>
      </w:r>
      <w:r w:rsidRPr="005B36A4">
        <w:tab/>
      </w:r>
      <w:r>
        <w:tab/>
      </w:r>
      <w:r w:rsidRPr="00CE06CA">
        <w:rPr>
          <w:bCs/>
          <w:szCs w:val="22"/>
          <w:lang w:val="el-GR"/>
        </w:rPr>
        <w:t>καὶ οἱ ἁμαρτωλοὶ τὸ αὐτὸ ποιοῦσιν.</w:t>
      </w:r>
    </w:p>
    <w:p w14:paraId="384C0764" w14:textId="77777777" w:rsidR="0018433B" w:rsidRPr="005B36A4" w:rsidRDefault="0018433B" w:rsidP="0018433B">
      <w:pPr>
        <w:ind w:left="720"/>
      </w:pPr>
      <w:r w:rsidRPr="005B36A4">
        <w:t>34a</w:t>
      </w:r>
      <w:r w:rsidRPr="005B36A4">
        <w:tab/>
      </w:r>
      <w:r w:rsidRPr="00CE06CA">
        <w:rPr>
          <w:bCs/>
          <w:szCs w:val="22"/>
          <w:lang w:val="el-GR"/>
        </w:rPr>
        <w:t>καὶ ἐὰν δανίσητε παρ᾽ ὧν ἐλπίζετε λαβεῖν,</w:t>
      </w:r>
    </w:p>
    <w:p w14:paraId="57C46BA8" w14:textId="77777777" w:rsidR="0018433B" w:rsidRPr="005B36A4" w:rsidRDefault="0018433B" w:rsidP="0018433B">
      <w:pPr>
        <w:ind w:left="720"/>
      </w:pPr>
      <w:r w:rsidRPr="005B36A4">
        <w:t>34b</w:t>
      </w:r>
      <w:r w:rsidRPr="005B36A4">
        <w:tab/>
      </w:r>
      <w:r>
        <w:tab/>
      </w:r>
      <w:r w:rsidRPr="00CE06CA">
        <w:rPr>
          <w:bCs/>
          <w:szCs w:val="22"/>
          <w:lang w:val="el-GR"/>
        </w:rPr>
        <w:t>ποία ὑμῖν χάρις [ἐστίν];</w:t>
      </w:r>
    </w:p>
    <w:p w14:paraId="2562EE30" w14:textId="77777777" w:rsidR="0018433B" w:rsidRPr="005B36A4" w:rsidRDefault="0018433B" w:rsidP="0018433B">
      <w:pPr>
        <w:ind w:left="720"/>
      </w:pPr>
      <w:r w:rsidRPr="005B36A4">
        <w:t>34c</w:t>
      </w:r>
      <w:r w:rsidRPr="005B36A4">
        <w:tab/>
      </w:r>
      <w:r>
        <w:tab/>
      </w:r>
      <w:r w:rsidRPr="00CE06CA">
        <w:rPr>
          <w:bCs/>
          <w:szCs w:val="22"/>
          <w:lang w:val="el-GR"/>
        </w:rPr>
        <w:t>καὶ ἁμαρτωλοὶ ἁμαρτωλοῖς δανίζουσιν ἵνα ἀπολάβωσιν τὰ ἴσα.</w:t>
      </w:r>
    </w:p>
    <w:p w14:paraId="5F587F54" w14:textId="77777777" w:rsidR="0018433B" w:rsidRPr="00630A1E" w:rsidRDefault="0018433B" w:rsidP="0018433B">
      <w:pPr>
        <w:ind w:left="720"/>
      </w:pPr>
      <w:r w:rsidRPr="005B36A4">
        <w:t>35a</w:t>
      </w:r>
      <w:r w:rsidRPr="005B36A4">
        <w:tab/>
      </w:r>
      <w:r w:rsidRPr="00CE06CA">
        <w:rPr>
          <w:bCs/>
          <w:szCs w:val="22"/>
          <w:lang w:val="el-GR"/>
        </w:rPr>
        <w:t>πλὴ</w:t>
      </w:r>
      <w:r>
        <w:rPr>
          <w:bCs/>
          <w:szCs w:val="22"/>
          <w:lang w:val="el-GR"/>
        </w:rPr>
        <w:t>ν</w:t>
      </w:r>
    </w:p>
    <w:p w14:paraId="611995D3" w14:textId="77777777" w:rsidR="0018433B" w:rsidRPr="005B36A4" w:rsidRDefault="0018433B" w:rsidP="0018433B">
      <w:pPr>
        <w:ind w:left="720"/>
      </w:pPr>
      <w:r>
        <w:tab/>
      </w:r>
      <w:r>
        <w:tab/>
      </w:r>
      <w:r w:rsidRPr="00CE06CA">
        <w:rPr>
          <w:bCs/>
          <w:szCs w:val="22"/>
          <w:lang w:val="el-GR"/>
        </w:rPr>
        <w:t>ἀγαπᾶτε τοὺς ἐχθροὺς ὑμῶν</w:t>
      </w:r>
    </w:p>
    <w:p w14:paraId="2D95B777" w14:textId="77777777" w:rsidR="0018433B" w:rsidRPr="005B36A4" w:rsidRDefault="0018433B" w:rsidP="0018433B">
      <w:pPr>
        <w:ind w:left="720"/>
      </w:pPr>
      <w:r w:rsidRPr="005B36A4">
        <w:t>35b</w:t>
      </w:r>
      <w:r w:rsidRPr="005B36A4">
        <w:tab/>
      </w:r>
      <w:r>
        <w:tab/>
      </w:r>
      <w:r w:rsidRPr="00CE06CA">
        <w:rPr>
          <w:bCs/>
          <w:szCs w:val="22"/>
          <w:lang w:val="el-GR"/>
        </w:rPr>
        <w:t>καὶ ἀγαθοποιεῖτε</w:t>
      </w:r>
    </w:p>
    <w:p w14:paraId="63AC14B7" w14:textId="77777777" w:rsidR="0018433B" w:rsidRPr="005B36A4" w:rsidRDefault="0018433B" w:rsidP="0018433B">
      <w:pPr>
        <w:ind w:left="720"/>
      </w:pPr>
      <w:r w:rsidRPr="005B36A4">
        <w:t>35c</w:t>
      </w:r>
      <w:r w:rsidRPr="005B36A4">
        <w:tab/>
      </w:r>
      <w:r>
        <w:tab/>
      </w:r>
      <w:r w:rsidRPr="00CE06CA">
        <w:rPr>
          <w:bCs/>
          <w:szCs w:val="22"/>
          <w:lang w:val="el-GR"/>
        </w:rPr>
        <w:t>καὶ δανίζετε μηδὲν ἀπελπίζοντες·</w:t>
      </w:r>
    </w:p>
    <w:p w14:paraId="5BA38B11" w14:textId="77777777" w:rsidR="0018433B" w:rsidRPr="005B36A4" w:rsidRDefault="0018433B" w:rsidP="0018433B"/>
    <w:p w14:paraId="2C1AFC2B" w14:textId="77777777" w:rsidR="0018433B" w:rsidRDefault="0018433B" w:rsidP="0018433B">
      <w:pPr>
        <w:ind w:left="720"/>
        <w:contextualSpacing/>
      </w:pPr>
      <w:r w:rsidRPr="003775AB">
        <w:t>32a</w:t>
      </w:r>
      <w:r>
        <w:tab/>
      </w:r>
      <w:r w:rsidRPr="003775AB">
        <w:t>If you love t</w:t>
      </w:r>
      <w:r>
        <w:t>hose who love you,</w:t>
      </w:r>
    </w:p>
    <w:p w14:paraId="2248D42A" w14:textId="77777777" w:rsidR="0018433B" w:rsidRDefault="0018433B" w:rsidP="0018433B">
      <w:pPr>
        <w:ind w:left="720"/>
        <w:contextualSpacing/>
      </w:pPr>
      <w:r w:rsidRPr="003775AB">
        <w:t>32b</w:t>
      </w:r>
      <w:r>
        <w:tab/>
      </w:r>
      <w:r>
        <w:tab/>
        <w:t>what credit is that to you?</w:t>
      </w:r>
    </w:p>
    <w:p w14:paraId="5F00213A" w14:textId="77777777" w:rsidR="0018433B" w:rsidRDefault="0018433B" w:rsidP="0018433B">
      <w:pPr>
        <w:ind w:left="720"/>
        <w:contextualSpacing/>
      </w:pPr>
      <w:r w:rsidRPr="003775AB">
        <w:t>32c</w:t>
      </w:r>
      <w:r>
        <w:tab/>
      </w:r>
      <w:r>
        <w:tab/>
      </w:r>
      <w:r w:rsidRPr="003775AB">
        <w:t>For even sin</w:t>
      </w:r>
      <w:r>
        <w:t>ners love those who love them.</w:t>
      </w:r>
    </w:p>
    <w:p w14:paraId="2307A356" w14:textId="77777777" w:rsidR="0018433B" w:rsidRDefault="0018433B" w:rsidP="0018433B">
      <w:pPr>
        <w:ind w:left="720"/>
        <w:contextualSpacing/>
      </w:pPr>
      <w:r w:rsidRPr="003775AB">
        <w:t>33a</w:t>
      </w:r>
      <w:r>
        <w:tab/>
      </w:r>
      <w:r w:rsidRPr="003775AB">
        <w:t>And if you do go</w:t>
      </w:r>
      <w:r>
        <w:t>od to those who do good to you,</w:t>
      </w:r>
    </w:p>
    <w:p w14:paraId="7711D7FB" w14:textId="77777777" w:rsidR="0018433B" w:rsidRDefault="0018433B" w:rsidP="0018433B">
      <w:pPr>
        <w:ind w:left="720"/>
        <w:contextualSpacing/>
      </w:pPr>
      <w:r w:rsidRPr="003775AB">
        <w:t>33b</w:t>
      </w:r>
      <w:r>
        <w:tab/>
      </w:r>
      <w:r>
        <w:tab/>
        <w:t>what credit is that to you?</w:t>
      </w:r>
    </w:p>
    <w:p w14:paraId="0297ABCD" w14:textId="77777777" w:rsidR="0018433B" w:rsidRDefault="0018433B" w:rsidP="0018433B">
      <w:pPr>
        <w:ind w:left="720"/>
        <w:contextualSpacing/>
      </w:pPr>
      <w:r w:rsidRPr="003775AB">
        <w:t>33c</w:t>
      </w:r>
      <w:r>
        <w:tab/>
      </w:r>
      <w:r>
        <w:tab/>
        <w:t>For even sinners do the same.</w:t>
      </w:r>
    </w:p>
    <w:p w14:paraId="0FA69571" w14:textId="77777777" w:rsidR="0018433B" w:rsidRDefault="0018433B" w:rsidP="0018433B">
      <w:pPr>
        <w:ind w:left="720"/>
        <w:contextualSpacing/>
      </w:pPr>
      <w:r w:rsidRPr="003775AB">
        <w:t>34a</w:t>
      </w:r>
      <w:r>
        <w:tab/>
      </w:r>
      <w:r w:rsidRPr="003775AB">
        <w:t>If you lend to those from whom you hope to re</w:t>
      </w:r>
      <w:r>
        <w:t>ceive,</w:t>
      </w:r>
    </w:p>
    <w:p w14:paraId="04BFCBDA" w14:textId="77777777" w:rsidR="0018433B" w:rsidRDefault="0018433B" w:rsidP="0018433B">
      <w:pPr>
        <w:ind w:left="720"/>
        <w:contextualSpacing/>
      </w:pPr>
      <w:r w:rsidRPr="003775AB">
        <w:t>34b</w:t>
      </w:r>
      <w:r>
        <w:tab/>
      </w:r>
      <w:r>
        <w:tab/>
      </w:r>
      <w:r w:rsidRPr="003775AB">
        <w:t>what cred</w:t>
      </w:r>
      <w:r>
        <w:t>it is that to you?</w:t>
      </w:r>
    </w:p>
    <w:p w14:paraId="4CFC0C5D" w14:textId="143CFB46" w:rsidR="0018433B" w:rsidRDefault="0018433B" w:rsidP="0018433B">
      <w:pPr>
        <w:ind w:left="720"/>
        <w:contextualSpacing/>
      </w:pPr>
      <w:r w:rsidRPr="003775AB">
        <w:t>34c</w:t>
      </w:r>
      <w:r>
        <w:tab/>
      </w:r>
      <w:r>
        <w:tab/>
      </w:r>
      <w:r w:rsidRPr="003775AB">
        <w:t>Even sinners lend to sinners</w:t>
      </w:r>
      <w:r w:rsidR="006F304D" w:rsidRPr="006F304D">
        <w:t xml:space="preserve">, </w:t>
      </w:r>
      <w:r w:rsidRPr="003775AB">
        <w:t>to re</w:t>
      </w:r>
      <w:r>
        <w:t>ceive as much again.</w:t>
      </w:r>
    </w:p>
    <w:p w14:paraId="7C731F07" w14:textId="77777777" w:rsidR="0018433B" w:rsidRDefault="0018433B" w:rsidP="0018433B">
      <w:pPr>
        <w:ind w:left="720"/>
        <w:contextualSpacing/>
      </w:pPr>
      <w:r w:rsidRPr="003775AB">
        <w:t>35a</w:t>
      </w:r>
      <w:r>
        <w:tab/>
        <w:t>But</w:t>
      </w:r>
    </w:p>
    <w:p w14:paraId="677A482D" w14:textId="77777777" w:rsidR="0018433B" w:rsidRDefault="0018433B" w:rsidP="0018433B">
      <w:pPr>
        <w:ind w:left="720"/>
        <w:contextualSpacing/>
      </w:pPr>
      <w:r>
        <w:tab/>
      </w:r>
      <w:r>
        <w:tab/>
      </w:r>
      <w:r w:rsidRPr="003775AB">
        <w:t>love your ene</w:t>
      </w:r>
      <w:r>
        <w:t>mies,</w:t>
      </w:r>
    </w:p>
    <w:p w14:paraId="592FD145" w14:textId="77777777" w:rsidR="0018433B" w:rsidRDefault="0018433B" w:rsidP="0018433B">
      <w:pPr>
        <w:ind w:left="720"/>
        <w:contextualSpacing/>
      </w:pPr>
      <w:r w:rsidRPr="003775AB">
        <w:t>35b</w:t>
      </w:r>
      <w:r>
        <w:tab/>
      </w:r>
      <w:r>
        <w:tab/>
        <w:t>do good,</w:t>
      </w:r>
    </w:p>
    <w:p w14:paraId="1A7C25A0" w14:textId="12B82FC6" w:rsidR="0018433B" w:rsidRDefault="0018433B" w:rsidP="0018433B">
      <w:pPr>
        <w:ind w:left="720"/>
        <w:contextualSpacing/>
      </w:pPr>
      <w:r w:rsidRPr="003775AB">
        <w:t>35c</w:t>
      </w:r>
      <w:r>
        <w:tab/>
      </w:r>
      <w:r>
        <w:tab/>
      </w:r>
      <w:r w:rsidRPr="003775AB">
        <w:t>and lend</w:t>
      </w:r>
      <w:r w:rsidR="006F304D" w:rsidRPr="006F304D">
        <w:t xml:space="preserve">, </w:t>
      </w:r>
      <w:r w:rsidRPr="003775AB">
        <w:t>expecting nothing in return.</w:t>
      </w:r>
    </w:p>
    <w:p w14:paraId="27BC31A2" w14:textId="77777777" w:rsidR="0018433B" w:rsidRDefault="0018433B" w:rsidP="0018433B"/>
    <w:p w14:paraId="79C8EAC4" w14:textId="0099C21F" w:rsidR="0018433B" w:rsidRDefault="0018433B" w:rsidP="0018433B">
      <w:r w:rsidRPr="005B36A4">
        <w:t>Though Morgenthaler must here speak of “threefold parallelism,”</w:t>
      </w:r>
      <w:r w:rsidRPr="005B36A4">
        <w:rPr>
          <w:rStyle w:val="FootnoteReference"/>
        </w:rPr>
        <w:footnoteReference w:id="338"/>
      </w:r>
      <w:r w:rsidRPr="005B36A4">
        <w:t xml:space="preserve"> he nevertheless claims that verses 32-34</w:t>
      </w:r>
      <w:r w:rsidR="006F304D" w:rsidRPr="006F304D">
        <w:t xml:space="preserve">, </w:t>
      </w:r>
      <w:r w:rsidRPr="005B36A4">
        <w:t>on the one hand</w:t>
      </w:r>
      <w:r w:rsidR="006F304D" w:rsidRPr="006F304D">
        <w:t xml:space="preserve">, </w:t>
      </w:r>
      <w:r w:rsidRPr="005B36A4">
        <w:t>and 35abc</w:t>
      </w:r>
      <w:r w:rsidR="006F304D" w:rsidRPr="006F304D">
        <w:t xml:space="preserve">, </w:t>
      </w:r>
      <w:r w:rsidRPr="005B36A4">
        <w:t>on the other</w:t>
      </w:r>
      <w:r w:rsidR="006F304D" w:rsidRPr="006F304D">
        <w:t xml:space="preserve">, </w:t>
      </w:r>
      <w:r w:rsidRPr="005B36A4">
        <w:t xml:space="preserve">form two complementary units; thus the principle of </w:t>
      </w:r>
      <w:proofErr w:type="spellStart"/>
      <w:r w:rsidRPr="005B36A4">
        <w:t>twofoldness</w:t>
      </w:r>
      <w:proofErr w:type="spellEnd"/>
      <w:r w:rsidRPr="005B36A4">
        <w:t xml:space="preserve"> is maintained even here. The section is rounded off</w:t>
      </w:r>
      <w:r w:rsidR="006F304D" w:rsidRPr="006F304D">
        <w:t xml:space="preserve">, </w:t>
      </w:r>
      <w:r w:rsidRPr="005B36A4">
        <w:t>he says</w:t>
      </w:r>
      <w:r w:rsidR="006F304D" w:rsidRPr="006F304D">
        <w:t xml:space="preserve">, </w:t>
      </w:r>
      <w:r w:rsidRPr="005B36A4">
        <w:t xml:space="preserve">by a </w:t>
      </w:r>
      <w:proofErr w:type="spellStart"/>
      <w:r w:rsidRPr="005B36A4">
        <w:rPr>
          <w:i/>
          <w:iCs/>
        </w:rPr>
        <w:t>Doppeltautologie</w:t>
      </w:r>
      <w:proofErr w:type="spellEnd"/>
      <w:r w:rsidRPr="005B36A4">
        <w:t xml:space="preserve"> in 6:35def:</w:t>
      </w:r>
    </w:p>
    <w:p w14:paraId="2BE35605" w14:textId="77777777" w:rsidR="0018433B" w:rsidRPr="005B36A4" w:rsidRDefault="0018433B" w:rsidP="0018433B"/>
    <w:p w14:paraId="4B67B82F" w14:textId="77777777" w:rsidR="0018433B" w:rsidRPr="005B36A4" w:rsidRDefault="0018433B" w:rsidP="0018433B">
      <w:pPr>
        <w:ind w:firstLine="720"/>
      </w:pPr>
      <w:r w:rsidRPr="005B36A4">
        <w:t>35d</w:t>
      </w:r>
      <w:r w:rsidRPr="005B36A4">
        <w:tab/>
      </w:r>
      <w:r w:rsidRPr="00CE06CA">
        <w:rPr>
          <w:bCs/>
          <w:szCs w:val="22"/>
          <w:lang w:val="el-GR"/>
        </w:rPr>
        <w:t>καὶ ἔσται ὁ μισθὸς ὑμῶν πολύς,</w:t>
      </w:r>
    </w:p>
    <w:p w14:paraId="6511D005" w14:textId="77777777" w:rsidR="0018433B" w:rsidRPr="005B36A4" w:rsidRDefault="0018433B" w:rsidP="0018433B">
      <w:pPr>
        <w:ind w:firstLine="720"/>
      </w:pPr>
      <w:r w:rsidRPr="005B36A4">
        <w:lastRenderedPageBreak/>
        <w:t>35e</w:t>
      </w:r>
      <w:r w:rsidRPr="005B36A4">
        <w:tab/>
      </w:r>
      <w:r w:rsidRPr="00CE06CA">
        <w:rPr>
          <w:bCs/>
          <w:szCs w:val="22"/>
          <w:lang w:val="el-GR"/>
        </w:rPr>
        <w:t>καὶ ἔσεσθε υἱοὶ ὑψίστου,</w:t>
      </w:r>
    </w:p>
    <w:p w14:paraId="77662DB3" w14:textId="77777777" w:rsidR="0018433B" w:rsidRDefault="0018433B" w:rsidP="0018433B">
      <w:pPr>
        <w:ind w:left="720"/>
      </w:pPr>
      <w:r w:rsidRPr="005B36A4">
        <w:t>35f</w:t>
      </w:r>
      <w:r w:rsidRPr="005B36A4">
        <w:tab/>
      </w:r>
      <w:r w:rsidRPr="00CE06CA">
        <w:rPr>
          <w:bCs/>
          <w:szCs w:val="22"/>
          <w:lang w:val="el-GR"/>
        </w:rPr>
        <w:t>ὅτι αὐτὸς χρηστός ἐστιν ἐπὶ τοὺς ἀχαρίστους καὶ πονηρούς.</w:t>
      </w:r>
    </w:p>
    <w:p w14:paraId="25F41CB9" w14:textId="77777777" w:rsidR="0018433B" w:rsidRPr="005B36A4" w:rsidRDefault="0018433B" w:rsidP="0018433B"/>
    <w:p w14:paraId="20FE9FE1" w14:textId="77777777" w:rsidR="0018433B" w:rsidRDefault="0018433B" w:rsidP="0018433B">
      <w:pPr>
        <w:ind w:left="720"/>
      </w:pPr>
      <w:r>
        <w:t>35d</w:t>
      </w:r>
      <w:r>
        <w:tab/>
        <w:t>Your reward will be great,</w:t>
      </w:r>
    </w:p>
    <w:p w14:paraId="634836D4" w14:textId="77777777" w:rsidR="0018433B" w:rsidRDefault="0018433B" w:rsidP="0018433B">
      <w:pPr>
        <w:ind w:left="720"/>
      </w:pPr>
      <w:r w:rsidRPr="003775AB">
        <w:t>35e</w:t>
      </w:r>
      <w:r>
        <w:tab/>
      </w:r>
      <w:r w:rsidRPr="003775AB">
        <w:t>and you wil</w:t>
      </w:r>
      <w:r>
        <w:t>l be children of the Most High;</w:t>
      </w:r>
    </w:p>
    <w:p w14:paraId="646C56C7" w14:textId="77777777" w:rsidR="0018433B" w:rsidRPr="003775AB" w:rsidRDefault="0018433B" w:rsidP="0018433B">
      <w:pPr>
        <w:ind w:left="720"/>
      </w:pPr>
      <w:r w:rsidRPr="003775AB">
        <w:t>35f</w:t>
      </w:r>
      <w:r>
        <w:tab/>
      </w:r>
      <w:r w:rsidRPr="003775AB">
        <w:t>for he is kind to the ungrateful and the wicked.</w:t>
      </w:r>
    </w:p>
    <w:p w14:paraId="2B4A027C" w14:textId="77777777" w:rsidR="0018433B" w:rsidRDefault="0018433B" w:rsidP="0018433B"/>
    <w:p w14:paraId="514E21FE" w14:textId="77777777" w:rsidR="0018433B" w:rsidRPr="005B36A4" w:rsidRDefault="0018433B" w:rsidP="0018433B">
      <w:r>
        <w:t>(</w:t>
      </w:r>
      <w:r w:rsidRPr="00B43126">
        <w:t>Apparently the first tautology is “Your reward will be great” + “you will be children of the Most High”; the second is “the ungrateful” + “the wicked.”</w:t>
      </w:r>
      <w:r>
        <w:t>)</w:t>
      </w:r>
    </w:p>
    <w:p w14:paraId="3D7AEA09" w14:textId="77777777" w:rsidR="0018433B" w:rsidRDefault="0018433B" w:rsidP="0018433B"/>
    <w:p w14:paraId="2F71302A" w14:textId="77777777" w:rsidR="0018433B" w:rsidRDefault="0018433B" w:rsidP="0018433B">
      <w:r>
        <w:tab/>
      </w:r>
      <w:r w:rsidRPr="005B36A4">
        <w:t>The next section is 6:36-38.</w:t>
      </w:r>
    </w:p>
    <w:p w14:paraId="24518D62" w14:textId="77777777" w:rsidR="0018433B" w:rsidRPr="005B36A4" w:rsidRDefault="0018433B" w:rsidP="0018433B"/>
    <w:p w14:paraId="67A99F13" w14:textId="77777777" w:rsidR="0018433B" w:rsidRPr="005B36A4" w:rsidRDefault="0018433B" w:rsidP="0018433B">
      <w:pPr>
        <w:ind w:left="720"/>
      </w:pPr>
      <w:r w:rsidRPr="005B36A4">
        <w:t>36a</w:t>
      </w:r>
      <w:r w:rsidRPr="005B36A4">
        <w:tab/>
      </w:r>
      <w:r w:rsidRPr="005B36A4">
        <w:tab/>
      </w:r>
      <w:r w:rsidRPr="00CE06CA">
        <w:rPr>
          <w:bCs/>
          <w:szCs w:val="22"/>
          <w:lang w:val="el-GR"/>
        </w:rPr>
        <w:t>Γίνεσθε οἰκτίρμονες</w:t>
      </w:r>
    </w:p>
    <w:p w14:paraId="714877C3" w14:textId="77777777" w:rsidR="0018433B" w:rsidRPr="005B36A4" w:rsidRDefault="0018433B" w:rsidP="0018433B">
      <w:pPr>
        <w:ind w:left="720"/>
      </w:pPr>
      <w:r w:rsidRPr="005B36A4">
        <w:t>36b</w:t>
      </w:r>
      <w:r w:rsidRPr="005B36A4">
        <w:tab/>
      </w:r>
      <w:r w:rsidRPr="005B36A4">
        <w:tab/>
      </w:r>
      <w:r w:rsidRPr="00CE06CA">
        <w:rPr>
          <w:bCs/>
          <w:szCs w:val="22"/>
          <w:lang w:val="el-GR"/>
        </w:rPr>
        <w:t>καθὼς [καὶ] ὁ πατὴρ ὑμῶν οἰκτίρμων ἐστίν.</w:t>
      </w:r>
    </w:p>
    <w:p w14:paraId="04276835" w14:textId="3E906D4D" w:rsidR="0018433B" w:rsidRPr="002E2F03" w:rsidRDefault="0018433B" w:rsidP="0018433B">
      <w:pPr>
        <w:ind w:left="720"/>
      </w:pPr>
      <w:r w:rsidRPr="005B36A4">
        <w:t>37ab</w:t>
      </w:r>
      <w:r w:rsidRPr="005B36A4">
        <w:tab/>
      </w:r>
      <w:r w:rsidRPr="00CE06CA">
        <w:rPr>
          <w:bCs/>
          <w:szCs w:val="22"/>
          <w:lang w:val="el-GR"/>
        </w:rPr>
        <w:t>Καὶ μὴ κρίνετε</w:t>
      </w:r>
      <w:r w:rsidR="006F304D" w:rsidRPr="006F304D">
        <w:rPr>
          <w:bCs/>
          <w:szCs w:val="22"/>
          <w:lang w:val="el-GR"/>
        </w:rPr>
        <w:t xml:space="preserve">, </w:t>
      </w:r>
      <w:r w:rsidRPr="00CE06CA">
        <w:rPr>
          <w:bCs/>
          <w:szCs w:val="22"/>
          <w:lang w:val="el-GR"/>
        </w:rPr>
        <w:t>καὶ οὐ μὴ κριθῆτε·</w:t>
      </w:r>
    </w:p>
    <w:p w14:paraId="76D5702C" w14:textId="214FBF1A" w:rsidR="0018433B" w:rsidRPr="002E2F03" w:rsidRDefault="0018433B" w:rsidP="0018433B">
      <w:pPr>
        <w:ind w:left="720"/>
      </w:pPr>
      <w:r w:rsidRPr="005B36A4">
        <w:t>37cd</w:t>
      </w:r>
      <w:r w:rsidRPr="005B36A4">
        <w:tab/>
      </w:r>
      <w:r w:rsidRPr="00CE06CA">
        <w:rPr>
          <w:bCs/>
          <w:szCs w:val="22"/>
          <w:lang w:val="el-GR"/>
        </w:rPr>
        <w:t>καὶ μὴ καταδικάζετε</w:t>
      </w:r>
      <w:r w:rsidR="006F304D" w:rsidRPr="006F304D">
        <w:rPr>
          <w:bCs/>
          <w:szCs w:val="22"/>
          <w:lang w:val="el-GR"/>
        </w:rPr>
        <w:t xml:space="preserve">, </w:t>
      </w:r>
      <w:r w:rsidRPr="00CE06CA">
        <w:rPr>
          <w:bCs/>
          <w:szCs w:val="22"/>
          <w:lang w:val="el-GR"/>
        </w:rPr>
        <w:t>καὶ οὐ μὴ καταδικασθῆτε.</w:t>
      </w:r>
    </w:p>
    <w:p w14:paraId="753D4DA7" w14:textId="72473D4C" w:rsidR="0018433B" w:rsidRPr="002E2F03" w:rsidRDefault="0018433B" w:rsidP="0018433B">
      <w:pPr>
        <w:ind w:left="720"/>
      </w:pPr>
      <w:r w:rsidRPr="005B36A4">
        <w:t>37ef</w:t>
      </w:r>
      <w:r w:rsidRPr="005B36A4">
        <w:tab/>
      </w:r>
      <w:r w:rsidRPr="00CE06CA">
        <w:rPr>
          <w:bCs/>
          <w:szCs w:val="22"/>
          <w:lang w:val="el-GR"/>
        </w:rPr>
        <w:t>ἀπολύετε</w:t>
      </w:r>
      <w:r w:rsidR="006F304D" w:rsidRPr="006F304D">
        <w:rPr>
          <w:bCs/>
          <w:szCs w:val="22"/>
          <w:lang w:val="el-GR"/>
        </w:rPr>
        <w:t xml:space="preserve">, </w:t>
      </w:r>
      <w:r w:rsidRPr="00CE06CA">
        <w:rPr>
          <w:bCs/>
          <w:szCs w:val="22"/>
          <w:lang w:val="el-GR"/>
        </w:rPr>
        <w:t>καὶ ἀπολυθήσεσθε·</w:t>
      </w:r>
    </w:p>
    <w:p w14:paraId="4BD901AB" w14:textId="63C0BB31" w:rsidR="0018433B" w:rsidRPr="002E2F03" w:rsidRDefault="0018433B" w:rsidP="0018433B">
      <w:pPr>
        <w:ind w:left="720"/>
      </w:pPr>
      <w:r w:rsidRPr="005B36A4">
        <w:t>38ab</w:t>
      </w:r>
      <w:r w:rsidRPr="005B36A4">
        <w:tab/>
      </w:r>
      <w:r w:rsidRPr="00CE06CA">
        <w:rPr>
          <w:bCs/>
          <w:szCs w:val="22"/>
          <w:lang w:val="el-GR"/>
        </w:rPr>
        <w:t>δίδοτε</w:t>
      </w:r>
      <w:r w:rsidR="006F304D" w:rsidRPr="006F304D">
        <w:rPr>
          <w:bCs/>
          <w:szCs w:val="22"/>
          <w:lang w:val="el-GR"/>
        </w:rPr>
        <w:t xml:space="preserve">, </w:t>
      </w:r>
      <w:r w:rsidRPr="00CE06CA">
        <w:rPr>
          <w:bCs/>
          <w:szCs w:val="22"/>
          <w:lang w:val="el-GR"/>
        </w:rPr>
        <w:t>καὶ δοθήσεται ὑμῖν·</w:t>
      </w:r>
    </w:p>
    <w:p w14:paraId="5F21DCA7" w14:textId="77777777" w:rsidR="0018433B" w:rsidRPr="002E2F03" w:rsidRDefault="0018433B" w:rsidP="0018433B">
      <w:pPr>
        <w:ind w:left="720"/>
      </w:pPr>
      <w:r>
        <w:t>38c</w:t>
      </w:r>
      <w:r>
        <w:tab/>
      </w:r>
      <w:r w:rsidRPr="00CE06CA">
        <w:rPr>
          <w:bCs/>
          <w:szCs w:val="22"/>
          <w:lang w:val="el-GR"/>
        </w:rPr>
        <w:t>μέτρον καλὸν πεπιεσμένον σεσαλευμένον ὑπερεκχυννό</w:t>
      </w:r>
      <w:r>
        <w:rPr>
          <w:bCs/>
          <w:szCs w:val="22"/>
          <w:lang w:val="el-GR"/>
        </w:rPr>
        <w:t>μενον</w:t>
      </w:r>
    </w:p>
    <w:p w14:paraId="311AE336" w14:textId="77777777" w:rsidR="0018433B" w:rsidRPr="005B36A4" w:rsidRDefault="0018433B" w:rsidP="0018433B">
      <w:pPr>
        <w:ind w:left="720"/>
      </w:pPr>
      <w:r>
        <w:tab/>
      </w:r>
      <w:r w:rsidRPr="00CE06CA">
        <w:rPr>
          <w:bCs/>
          <w:szCs w:val="22"/>
          <w:lang w:val="el-GR"/>
        </w:rPr>
        <w:t>δώσουσιν εἰς τὸν κόλπον ὑμῶν·</w:t>
      </w:r>
    </w:p>
    <w:p w14:paraId="6F8B61B6" w14:textId="77777777" w:rsidR="0018433B" w:rsidRPr="002E2F03" w:rsidRDefault="0018433B" w:rsidP="0018433B">
      <w:pPr>
        <w:ind w:left="720"/>
      </w:pPr>
      <w:r w:rsidRPr="005B36A4">
        <w:t>38d</w:t>
      </w:r>
      <w:r w:rsidRPr="005B36A4">
        <w:tab/>
      </w:r>
      <w:r>
        <w:tab/>
      </w:r>
      <w:r w:rsidRPr="00CE06CA">
        <w:rPr>
          <w:bCs/>
          <w:szCs w:val="22"/>
          <w:lang w:val="el-GR"/>
        </w:rPr>
        <w:t>ᾧ γὰρ μέτρῳ μετρεῖ</w:t>
      </w:r>
      <w:r>
        <w:rPr>
          <w:bCs/>
          <w:szCs w:val="22"/>
          <w:lang w:val="el-GR"/>
        </w:rPr>
        <w:t>τε</w:t>
      </w:r>
    </w:p>
    <w:p w14:paraId="51306DD0" w14:textId="77777777" w:rsidR="0018433B" w:rsidRPr="005B36A4" w:rsidRDefault="0018433B" w:rsidP="0018433B">
      <w:pPr>
        <w:ind w:left="720"/>
      </w:pPr>
      <w:r>
        <w:tab/>
      </w:r>
      <w:r>
        <w:tab/>
      </w:r>
      <w:r w:rsidRPr="00CE06CA">
        <w:rPr>
          <w:bCs/>
          <w:szCs w:val="22"/>
          <w:lang w:val="el-GR"/>
        </w:rPr>
        <w:t>ἀντιμετρηθήσεται ὑμῖν.</w:t>
      </w:r>
    </w:p>
    <w:p w14:paraId="49F1B794" w14:textId="77777777" w:rsidR="0018433B" w:rsidRDefault="0018433B" w:rsidP="0018433B"/>
    <w:p w14:paraId="591C7BA3" w14:textId="77777777" w:rsidR="0018433B" w:rsidRDefault="0018433B" w:rsidP="0018433B">
      <w:pPr>
        <w:ind w:left="720"/>
      </w:pPr>
      <w:r w:rsidRPr="002E2F03">
        <w:t>36a</w:t>
      </w:r>
      <w:r>
        <w:tab/>
        <w:t>Be merciful,</w:t>
      </w:r>
    </w:p>
    <w:p w14:paraId="34BFF202" w14:textId="77777777" w:rsidR="0018433B" w:rsidRDefault="0018433B" w:rsidP="0018433B">
      <w:pPr>
        <w:ind w:left="720"/>
      </w:pPr>
      <w:r w:rsidRPr="002E2F03">
        <w:t>36b</w:t>
      </w:r>
      <w:r>
        <w:tab/>
      </w:r>
      <w:r w:rsidRPr="002E2F03">
        <w:t>j</w:t>
      </w:r>
      <w:r>
        <w:t>ust as your Father is merciful.</w:t>
      </w:r>
    </w:p>
    <w:p w14:paraId="42B40FBE" w14:textId="77777777" w:rsidR="0018433B" w:rsidRDefault="0018433B" w:rsidP="0018433B">
      <w:pPr>
        <w:ind w:left="720"/>
      </w:pPr>
      <w:r w:rsidRPr="002E2F03">
        <w:t>37a</w:t>
      </w:r>
      <w:r>
        <w:tab/>
        <w:t>Do not judge,</w:t>
      </w:r>
    </w:p>
    <w:p w14:paraId="10CCBDC6" w14:textId="77777777" w:rsidR="0018433B" w:rsidRDefault="0018433B" w:rsidP="0018433B">
      <w:pPr>
        <w:ind w:left="720"/>
      </w:pPr>
      <w:r w:rsidRPr="002E2F03">
        <w:t>37b</w:t>
      </w:r>
      <w:r>
        <w:tab/>
        <w:t>and you will not be judged;</w:t>
      </w:r>
    </w:p>
    <w:p w14:paraId="19990EED" w14:textId="77777777" w:rsidR="0018433B" w:rsidRDefault="0018433B" w:rsidP="0018433B">
      <w:pPr>
        <w:ind w:left="720"/>
      </w:pPr>
      <w:r w:rsidRPr="002E2F03">
        <w:t>37c</w:t>
      </w:r>
      <w:r>
        <w:tab/>
        <w:t>do not condemn,</w:t>
      </w:r>
    </w:p>
    <w:p w14:paraId="1FDE6434" w14:textId="77777777" w:rsidR="0018433B" w:rsidRDefault="0018433B" w:rsidP="0018433B">
      <w:pPr>
        <w:ind w:left="720"/>
      </w:pPr>
      <w:r w:rsidRPr="002E2F03">
        <w:t>37d</w:t>
      </w:r>
      <w:r>
        <w:tab/>
      </w:r>
      <w:r w:rsidRPr="002E2F03">
        <w:t>and you will not be con</w:t>
      </w:r>
      <w:r>
        <w:t>demned.</w:t>
      </w:r>
    </w:p>
    <w:p w14:paraId="31B6EB05" w14:textId="77777777" w:rsidR="0018433B" w:rsidRDefault="0018433B" w:rsidP="0018433B">
      <w:pPr>
        <w:ind w:left="720"/>
      </w:pPr>
      <w:r w:rsidRPr="002E2F03">
        <w:t>37e</w:t>
      </w:r>
      <w:r>
        <w:tab/>
        <w:t>Forgive,</w:t>
      </w:r>
    </w:p>
    <w:p w14:paraId="5162E745" w14:textId="77777777" w:rsidR="0018433B" w:rsidRDefault="0018433B" w:rsidP="0018433B">
      <w:pPr>
        <w:ind w:left="720"/>
      </w:pPr>
      <w:r w:rsidRPr="002E2F03">
        <w:t>37f</w:t>
      </w:r>
      <w:r>
        <w:tab/>
        <w:t>and you will be forgiven;</w:t>
      </w:r>
    </w:p>
    <w:p w14:paraId="5A4F34B5" w14:textId="77777777" w:rsidR="0018433B" w:rsidRDefault="0018433B" w:rsidP="0018433B">
      <w:pPr>
        <w:ind w:left="720"/>
      </w:pPr>
      <w:r w:rsidRPr="002E2F03">
        <w:t>38a</w:t>
      </w:r>
      <w:r>
        <w:tab/>
        <w:t>give,</w:t>
      </w:r>
    </w:p>
    <w:p w14:paraId="2BA5DA26" w14:textId="77777777" w:rsidR="0018433B" w:rsidRDefault="0018433B" w:rsidP="0018433B">
      <w:pPr>
        <w:ind w:left="720"/>
      </w:pPr>
      <w:r w:rsidRPr="002E2F03">
        <w:t>38b</w:t>
      </w:r>
      <w:r>
        <w:tab/>
        <w:t>and it will be given to you.</w:t>
      </w:r>
    </w:p>
    <w:p w14:paraId="14AEA7D8" w14:textId="3E297A63" w:rsidR="0018433B" w:rsidRDefault="0018433B" w:rsidP="0018433B">
      <w:pPr>
        <w:ind w:left="1440" w:hanging="720"/>
      </w:pPr>
      <w:r w:rsidRPr="002E2F03">
        <w:t>38c</w:t>
      </w:r>
      <w:r>
        <w:tab/>
      </w:r>
      <w:r w:rsidRPr="002E2F03">
        <w:t>A good measure</w:t>
      </w:r>
      <w:r w:rsidR="006F304D" w:rsidRPr="006F304D">
        <w:t xml:space="preserve">, </w:t>
      </w:r>
      <w:r w:rsidRPr="002E2F03">
        <w:t>pressed down</w:t>
      </w:r>
      <w:r w:rsidR="006F304D" w:rsidRPr="006F304D">
        <w:t xml:space="preserve">, </w:t>
      </w:r>
      <w:r w:rsidRPr="002E2F03">
        <w:t>shaken together</w:t>
      </w:r>
      <w:r w:rsidR="006F304D" w:rsidRPr="006F304D">
        <w:t xml:space="preserve">, </w:t>
      </w:r>
      <w:r w:rsidRPr="002E2F03">
        <w:t>running o</w:t>
      </w:r>
      <w:r>
        <w:t>ver</w:t>
      </w:r>
      <w:r w:rsidR="006F304D" w:rsidRPr="006F304D">
        <w:t xml:space="preserve">, </w:t>
      </w:r>
      <w:r>
        <w:t>will be put into your lap;</w:t>
      </w:r>
    </w:p>
    <w:p w14:paraId="0B69BA40" w14:textId="77777777" w:rsidR="0018433B" w:rsidRPr="002E2F03" w:rsidRDefault="0018433B" w:rsidP="0018433B">
      <w:pPr>
        <w:ind w:left="720"/>
      </w:pPr>
      <w:r w:rsidRPr="002E2F03">
        <w:t>38d</w:t>
      </w:r>
      <w:r>
        <w:tab/>
      </w:r>
      <w:r w:rsidRPr="002E2F03">
        <w:t>for the measure you give will be the measure you get back.)</w:t>
      </w:r>
    </w:p>
    <w:p w14:paraId="721AE63D" w14:textId="77777777" w:rsidR="0018433B" w:rsidRDefault="0018433B" w:rsidP="0018433B"/>
    <w:p w14:paraId="0CFFACD2" w14:textId="0158EA39" w:rsidR="0018433B" w:rsidRPr="005B36A4" w:rsidRDefault="0018433B" w:rsidP="0018433B">
      <w:r w:rsidRPr="005B36A4">
        <w:t>On this passage Morgenthaler tersely comments: “a framing</w:t>
      </w:r>
      <w:r w:rsidR="006F304D" w:rsidRPr="006F304D">
        <w:t xml:space="preserve">, </w:t>
      </w:r>
      <w:r w:rsidRPr="005B36A4">
        <w:t>then a tetrastich and indeed [one] paired antithetically; anaphora of</w:t>
      </w:r>
      <w:r>
        <w:t xml:space="preserve"> </w:t>
      </w:r>
      <w:r w:rsidRPr="00CE06CA">
        <w:rPr>
          <w:bCs/>
          <w:szCs w:val="22"/>
          <w:lang w:val="el-GR"/>
        </w:rPr>
        <w:t>οἰκτίρμων</w:t>
      </w:r>
      <w:r w:rsidRPr="005B36A4">
        <w:t xml:space="preserve"> in the first frame-passage.”</w:t>
      </w:r>
      <w:r w:rsidRPr="005B36A4">
        <w:rPr>
          <w:rStyle w:val="FootnoteReference"/>
        </w:rPr>
        <w:footnoteReference w:id="339"/>
      </w:r>
    </w:p>
    <w:p w14:paraId="4795B51A" w14:textId="093E7D70" w:rsidR="0018433B" w:rsidRDefault="0018433B" w:rsidP="0018433B">
      <w:r>
        <w:lastRenderedPageBreak/>
        <w:tab/>
      </w:r>
      <w:r w:rsidRPr="005B36A4">
        <w:t>The remainder of the sermon on the plain</w:t>
      </w:r>
      <w:r w:rsidR="006F304D" w:rsidRPr="006F304D">
        <w:t xml:space="preserve">, </w:t>
      </w:r>
      <w:r w:rsidRPr="005B36A4">
        <w:t>according to Morgenthaler</w:t>
      </w:r>
      <w:r w:rsidR="006F304D" w:rsidRPr="006F304D">
        <w:t xml:space="preserve">, </w:t>
      </w:r>
      <w:r w:rsidRPr="005B36A4">
        <w:t>consists of four parables: 6:39-40</w:t>
      </w:r>
      <w:r w:rsidR="006F304D" w:rsidRPr="006F304D">
        <w:t xml:space="preserve">, </w:t>
      </w:r>
      <w:r w:rsidRPr="005B36A4">
        <w:t>41-42</w:t>
      </w:r>
      <w:r w:rsidR="006F304D" w:rsidRPr="006F304D">
        <w:t xml:space="preserve">, </w:t>
      </w:r>
      <w:r w:rsidRPr="005B36A4">
        <w:t>44-45</w:t>
      </w:r>
      <w:r w:rsidR="006F304D" w:rsidRPr="006F304D">
        <w:t xml:space="preserve">, </w:t>
      </w:r>
      <w:r w:rsidRPr="005B36A4">
        <w:t>and 48-49. Though he does not present this section typographically</w:t>
      </w:r>
      <w:r w:rsidR="006F304D" w:rsidRPr="006F304D">
        <w:t xml:space="preserve">, </w:t>
      </w:r>
      <w:r>
        <w:t>we may attempt it thus</w:t>
      </w:r>
      <w:r w:rsidRPr="005B36A4">
        <w:t>.</w:t>
      </w:r>
      <w:r w:rsidRPr="005B36A4">
        <w:rPr>
          <w:rStyle w:val="FootnoteReference"/>
        </w:rPr>
        <w:footnoteReference w:id="340"/>
      </w:r>
    </w:p>
    <w:p w14:paraId="555184DB" w14:textId="77777777" w:rsidR="0018433B" w:rsidRPr="005B36A4" w:rsidRDefault="0018433B" w:rsidP="0018433B"/>
    <w:p w14:paraId="33629A4E" w14:textId="77777777" w:rsidR="0018433B" w:rsidRPr="005B36A4" w:rsidRDefault="0018433B" w:rsidP="0018433B">
      <w:pPr>
        <w:ind w:left="720"/>
      </w:pPr>
      <w:r w:rsidRPr="005B36A4">
        <w:t>39b</w:t>
      </w:r>
      <w:r w:rsidRPr="005B36A4">
        <w:tab/>
      </w:r>
      <w:r w:rsidRPr="00CE06CA">
        <w:rPr>
          <w:bCs/>
          <w:szCs w:val="22"/>
          <w:lang w:val="el-GR"/>
        </w:rPr>
        <w:t>μήτι δύναται τυφλὸς τυφλὸν ὁδηγεῖν;</w:t>
      </w:r>
    </w:p>
    <w:p w14:paraId="68C66685" w14:textId="77777777" w:rsidR="0018433B" w:rsidRPr="005B36A4" w:rsidRDefault="0018433B" w:rsidP="0018433B">
      <w:pPr>
        <w:ind w:left="720"/>
      </w:pPr>
      <w:r w:rsidRPr="005B36A4">
        <w:t>39c</w:t>
      </w:r>
      <w:r w:rsidRPr="005B36A4">
        <w:tab/>
      </w:r>
      <w:r w:rsidRPr="00CE06CA">
        <w:rPr>
          <w:bCs/>
          <w:szCs w:val="22"/>
          <w:lang w:val="el-GR"/>
        </w:rPr>
        <w:t>οὐχὶ ἀμφότεροι εἰς βόθυνον ἐμπεσοῦνται;</w:t>
      </w:r>
    </w:p>
    <w:p w14:paraId="1E57E166" w14:textId="77777777" w:rsidR="0018433B" w:rsidRPr="005B36A4" w:rsidRDefault="0018433B" w:rsidP="0018433B">
      <w:pPr>
        <w:ind w:left="720"/>
      </w:pPr>
      <w:r w:rsidRPr="005B36A4">
        <w:t>40a</w:t>
      </w:r>
      <w:r w:rsidRPr="005B36A4">
        <w:tab/>
      </w:r>
      <w:r w:rsidRPr="00CE06CA">
        <w:rPr>
          <w:bCs/>
          <w:szCs w:val="22"/>
          <w:lang w:val="el-GR"/>
        </w:rPr>
        <w:t>οὐκ ἔστιν μαθητὴς ὑπὲρ τὸν διδάσκαλον·</w:t>
      </w:r>
    </w:p>
    <w:p w14:paraId="2C6EBACE" w14:textId="77777777" w:rsidR="0018433B" w:rsidRPr="005B36A4" w:rsidRDefault="0018433B" w:rsidP="0018433B">
      <w:pPr>
        <w:ind w:left="720"/>
      </w:pPr>
      <w:r w:rsidRPr="005B36A4">
        <w:t>40b</w:t>
      </w:r>
      <w:r w:rsidRPr="005B36A4">
        <w:tab/>
      </w:r>
      <w:r w:rsidRPr="00CE06CA">
        <w:rPr>
          <w:bCs/>
          <w:szCs w:val="22"/>
          <w:lang w:val="el-GR"/>
        </w:rPr>
        <w:t>κατηρτισμένος δὲ πᾶς ἔσται ὡς ὁ διδάσκαλος αὐτοῦ.</w:t>
      </w:r>
    </w:p>
    <w:p w14:paraId="2F0145E2" w14:textId="77777777" w:rsidR="0018433B" w:rsidRPr="005B36A4" w:rsidRDefault="0018433B" w:rsidP="0018433B"/>
    <w:p w14:paraId="5EE2A8CB" w14:textId="77777777" w:rsidR="0018433B" w:rsidRPr="005B36A4" w:rsidRDefault="0018433B" w:rsidP="0018433B">
      <w:pPr>
        <w:ind w:left="720"/>
      </w:pPr>
      <w:r w:rsidRPr="005B36A4">
        <w:t>41a</w:t>
      </w:r>
      <w:r w:rsidRPr="005B36A4">
        <w:tab/>
      </w:r>
      <w:r w:rsidRPr="00CE06CA">
        <w:rPr>
          <w:bCs/>
          <w:szCs w:val="22"/>
          <w:lang w:val="el-GR"/>
        </w:rPr>
        <w:t>Τί δὲ βλέπεις τὸ κάρφος τὸ ἐν τῷ ὀφθαλμῷ τοῦ ἀδελφοῦ σου,</w:t>
      </w:r>
    </w:p>
    <w:p w14:paraId="38726EB4" w14:textId="77777777" w:rsidR="0018433B" w:rsidRPr="005B36A4" w:rsidRDefault="0018433B" w:rsidP="0018433B">
      <w:pPr>
        <w:ind w:left="720"/>
      </w:pPr>
      <w:r w:rsidRPr="005B36A4">
        <w:t>41b</w:t>
      </w:r>
      <w:r w:rsidRPr="005B36A4">
        <w:tab/>
      </w:r>
      <w:r>
        <w:tab/>
      </w:r>
      <w:r w:rsidRPr="00CE06CA">
        <w:rPr>
          <w:bCs/>
          <w:szCs w:val="22"/>
          <w:lang w:val="el-GR"/>
        </w:rPr>
        <w:t>τὴν δὲ δοκὸν τὴν ἐν τῷ ἰδίῳ ὀφθαλμῷ οὐ κατανοεῖς;</w:t>
      </w:r>
    </w:p>
    <w:p w14:paraId="190DCC01" w14:textId="77777777" w:rsidR="0018433B" w:rsidRPr="005B36A4" w:rsidRDefault="0018433B" w:rsidP="0018433B">
      <w:pPr>
        <w:ind w:left="720"/>
      </w:pPr>
      <w:r w:rsidRPr="005B36A4">
        <w:t>42a</w:t>
      </w:r>
      <w:r w:rsidRPr="005B36A4">
        <w:tab/>
      </w:r>
      <w:r w:rsidRPr="00CE06CA">
        <w:rPr>
          <w:bCs/>
          <w:szCs w:val="22"/>
          <w:lang w:val="el-GR"/>
        </w:rPr>
        <w:t>πῶς δύνασαι λέγειν τῷ ἀδελφῷ σου·</w:t>
      </w:r>
    </w:p>
    <w:p w14:paraId="41580952" w14:textId="7CA70CA2" w:rsidR="0018433B" w:rsidRPr="005B36A4" w:rsidRDefault="0018433B" w:rsidP="0018433B">
      <w:pPr>
        <w:ind w:left="720"/>
      </w:pPr>
      <w:r w:rsidRPr="005B36A4">
        <w:t>42b</w:t>
      </w:r>
      <w:r w:rsidRPr="005B36A4">
        <w:tab/>
      </w:r>
      <w:r w:rsidRPr="00CE06CA">
        <w:rPr>
          <w:bCs/>
          <w:szCs w:val="22"/>
          <w:lang w:val="el-GR"/>
        </w:rPr>
        <w:t>ἀδελφέ</w:t>
      </w:r>
      <w:r w:rsidR="006F304D" w:rsidRPr="006F304D">
        <w:rPr>
          <w:bCs/>
          <w:szCs w:val="22"/>
          <w:lang w:val="el-GR"/>
        </w:rPr>
        <w:t xml:space="preserve">, </w:t>
      </w:r>
      <w:r w:rsidRPr="00CE06CA">
        <w:rPr>
          <w:bCs/>
          <w:szCs w:val="22"/>
          <w:lang w:val="el-GR"/>
        </w:rPr>
        <w:t>ἄφες ἐκβάλω τὸ κάρφος τὸ ἐν τῷ ὀφθαλμῷ σου,</w:t>
      </w:r>
    </w:p>
    <w:p w14:paraId="696A6926" w14:textId="77777777" w:rsidR="0018433B" w:rsidRPr="005B36A4" w:rsidRDefault="0018433B" w:rsidP="0018433B">
      <w:pPr>
        <w:ind w:left="720"/>
      </w:pPr>
      <w:r w:rsidRPr="005B36A4">
        <w:t>42c</w:t>
      </w:r>
      <w:r w:rsidRPr="005B36A4">
        <w:tab/>
      </w:r>
      <w:r>
        <w:tab/>
      </w:r>
      <w:r w:rsidRPr="00CE06CA">
        <w:rPr>
          <w:bCs/>
          <w:szCs w:val="22"/>
          <w:lang w:val="el-GR"/>
        </w:rPr>
        <w:t>αὐτὸς τὴν ἐν τῷ ὀφθαλμῷ σου δοκὸν οὐ βλέπων;</w:t>
      </w:r>
    </w:p>
    <w:p w14:paraId="3250D942" w14:textId="26A9A786" w:rsidR="0018433B" w:rsidRPr="005B36A4" w:rsidRDefault="0018433B" w:rsidP="0018433B">
      <w:pPr>
        <w:ind w:left="720"/>
      </w:pPr>
      <w:r w:rsidRPr="005B36A4">
        <w:t>42d</w:t>
      </w:r>
      <w:r w:rsidRPr="005B36A4">
        <w:tab/>
      </w:r>
      <w:r w:rsidRPr="00CE06CA">
        <w:rPr>
          <w:bCs/>
          <w:szCs w:val="22"/>
          <w:lang w:val="el-GR"/>
        </w:rPr>
        <w:t>ὑποκριτά</w:t>
      </w:r>
      <w:r w:rsidR="006F304D" w:rsidRPr="006F304D">
        <w:rPr>
          <w:bCs/>
          <w:szCs w:val="22"/>
          <w:lang w:val="el-GR"/>
        </w:rPr>
        <w:t xml:space="preserve">, </w:t>
      </w:r>
      <w:r w:rsidRPr="00CE06CA">
        <w:rPr>
          <w:bCs/>
          <w:szCs w:val="22"/>
          <w:lang w:val="el-GR"/>
        </w:rPr>
        <w:t>ἔκβαλε πρῶτον τὴν δοκὸν ἐκ τοῦ ὀφθαλμοῦ σου,</w:t>
      </w:r>
    </w:p>
    <w:p w14:paraId="62AB7584" w14:textId="77777777" w:rsidR="0018433B" w:rsidRPr="005B36A4" w:rsidRDefault="0018433B" w:rsidP="0018433B">
      <w:pPr>
        <w:tabs>
          <w:tab w:val="left" w:pos="1440"/>
        </w:tabs>
        <w:ind w:left="2160" w:hanging="1440"/>
      </w:pPr>
      <w:r w:rsidRPr="005B36A4">
        <w:t>42e</w:t>
      </w:r>
      <w:r w:rsidRPr="005B36A4">
        <w:tab/>
      </w:r>
      <w:r>
        <w:tab/>
      </w:r>
      <w:r w:rsidRPr="00CE06CA">
        <w:rPr>
          <w:bCs/>
          <w:szCs w:val="22"/>
          <w:lang w:val="el-GR"/>
        </w:rPr>
        <w:t>καὶ τότε διαβλέψεις τὸ κάρφος τὸ ἐν τῷ ὀφθαλμῷ τοῦ ἀδελφοῦ σου ἐκβαλεῖν.</w:t>
      </w:r>
    </w:p>
    <w:p w14:paraId="66C84029" w14:textId="77777777" w:rsidR="0018433B" w:rsidRPr="005B36A4" w:rsidRDefault="0018433B" w:rsidP="0018433B"/>
    <w:p w14:paraId="2B5264B9" w14:textId="77777777" w:rsidR="0018433B" w:rsidRPr="005B36A4" w:rsidRDefault="0018433B" w:rsidP="0018433B">
      <w:pPr>
        <w:ind w:left="720"/>
      </w:pPr>
      <w:r w:rsidRPr="005B36A4">
        <w:t>43a</w:t>
      </w:r>
      <w:r w:rsidRPr="005B36A4">
        <w:tab/>
      </w:r>
      <w:r w:rsidRPr="00CE06CA">
        <w:rPr>
          <w:bCs/>
          <w:szCs w:val="22"/>
          <w:lang w:val="el-GR"/>
        </w:rPr>
        <w:t>Οὐ γάρ ἐστιν δένδρον καλὸν ποιοῦν καρπὸν σαπρόν,</w:t>
      </w:r>
    </w:p>
    <w:p w14:paraId="12EEE267" w14:textId="77777777" w:rsidR="0018433B" w:rsidRPr="005B36A4" w:rsidRDefault="0018433B" w:rsidP="0018433B">
      <w:pPr>
        <w:ind w:left="720"/>
      </w:pPr>
      <w:r w:rsidRPr="005B36A4">
        <w:t>43b</w:t>
      </w:r>
      <w:r w:rsidRPr="005B36A4">
        <w:tab/>
      </w:r>
      <w:r w:rsidRPr="00CE06CA">
        <w:rPr>
          <w:bCs/>
          <w:szCs w:val="22"/>
          <w:lang w:val="el-GR"/>
        </w:rPr>
        <w:t>οὐδὲ πάλιν δένδρον σαπρὸν ποιοῦν καρπὸν καλόν.</w:t>
      </w:r>
    </w:p>
    <w:p w14:paraId="7170510C" w14:textId="77777777" w:rsidR="0018433B" w:rsidRPr="005B36A4" w:rsidRDefault="0018433B" w:rsidP="0018433B">
      <w:pPr>
        <w:ind w:left="720"/>
      </w:pPr>
      <w:r w:rsidRPr="005B36A4">
        <w:t>44a</w:t>
      </w:r>
      <w:r w:rsidRPr="005B36A4">
        <w:tab/>
      </w:r>
      <w:r w:rsidRPr="00CE06CA">
        <w:rPr>
          <w:bCs/>
          <w:szCs w:val="22"/>
          <w:lang w:val="el-GR"/>
        </w:rPr>
        <w:t>ἕκαστον γὰρ δένδρον ἐκ τοῦ ἰδίου καρποῦ γινώσκεται·</w:t>
      </w:r>
    </w:p>
    <w:p w14:paraId="7CE22C12" w14:textId="77777777" w:rsidR="0018433B" w:rsidRPr="006654C0" w:rsidRDefault="0018433B" w:rsidP="0018433B">
      <w:pPr>
        <w:ind w:left="720"/>
      </w:pPr>
      <w:r w:rsidRPr="005B36A4">
        <w:t>44b</w:t>
      </w:r>
      <w:r w:rsidRPr="005B36A4">
        <w:tab/>
      </w:r>
      <w:r w:rsidRPr="00CE06CA">
        <w:rPr>
          <w:bCs/>
          <w:szCs w:val="22"/>
          <w:lang w:val="el-GR"/>
        </w:rPr>
        <w:t>οὐ γὰρ ἐξ ἀκανθῶν συλλέγουσιν σῦκα</w:t>
      </w:r>
    </w:p>
    <w:p w14:paraId="0BC1B257" w14:textId="77777777" w:rsidR="0018433B" w:rsidRPr="005B36A4" w:rsidRDefault="0018433B" w:rsidP="0018433B">
      <w:pPr>
        <w:ind w:left="720"/>
      </w:pPr>
      <w:r w:rsidRPr="005B36A4">
        <w:t>44c</w:t>
      </w:r>
      <w:r w:rsidRPr="005B36A4">
        <w:tab/>
      </w:r>
      <w:r w:rsidRPr="00CE06CA">
        <w:rPr>
          <w:bCs/>
          <w:szCs w:val="22"/>
          <w:lang w:val="el-GR"/>
        </w:rPr>
        <w:t>οὐδὲ ἐκ βάτου σταφυλὴν τρυγῶσιν.</w:t>
      </w:r>
    </w:p>
    <w:p w14:paraId="20E37A91" w14:textId="77777777" w:rsidR="0018433B" w:rsidRPr="005B36A4" w:rsidRDefault="0018433B" w:rsidP="0018433B">
      <w:pPr>
        <w:ind w:left="720"/>
      </w:pPr>
      <w:r w:rsidRPr="005B36A4">
        <w:t>45a</w:t>
      </w:r>
      <w:r w:rsidRPr="005B36A4">
        <w:tab/>
      </w:r>
      <w:r w:rsidRPr="00CE06CA">
        <w:rPr>
          <w:bCs/>
          <w:szCs w:val="22"/>
          <w:lang w:val="el-GR"/>
        </w:rPr>
        <w:t>ὁ ἀγαθὸς ἄνθρωπος ἐκ τοῦ ἀγαθοῦ θησαυροῦ τῆς καρδίας προφέρει τὸ ἀγαθόν,</w:t>
      </w:r>
    </w:p>
    <w:p w14:paraId="51E1C0AD" w14:textId="77777777" w:rsidR="0018433B" w:rsidRPr="005B36A4" w:rsidRDefault="0018433B" w:rsidP="0018433B">
      <w:pPr>
        <w:ind w:left="720"/>
      </w:pPr>
      <w:r w:rsidRPr="005B36A4">
        <w:t>45b</w:t>
      </w:r>
      <w:r w:rsidRPr="005B36A4">
        <w:tab/>
      </w:r>
      <w:r w:rsidRPr="00CE06CA">
        <w:rPr>
          <w:bCs/>
          <w:szCs w:val="22"/>
          <w:lang w:val="el-GR"/>
        </w:rPr>
        <w:t>καὶ ὁ πονηρὸς ἐκ τοῦ πονηροῦ προφέρει τὸ πονηρόν·</w:t>
      </w:r>
    </w:p>
    <w:p w14:paraId="5CA988EF" w14:textId="77777777" w:rsidR="0018433B" w:rsidRPr="005B36A4" w:rsidRDefault="0018433B" w:rsidP="0018433B">
      <w:pPr>
        <w:ind w:left="720"/>
      </w:pPr>
      <w:r w:rsidRPr="005B36A4">
        <w:t>45c</w:t>
      </w:r>
      <w:r w:rsidRPr="005B36A4">
        <w:tab/>
      </w:r>
      <w:r w:rsidRPr="00CE06CA">
        <w:rPr>
          <w:bCs/>
          <w:szCs w:val="22"/>
          <w:lang w:val="el-GR"/>
        </w:rPr>
        <w:t>ἐκ γὰρ περισσεύματος καρδίας λαλεῖ τὸ στόμα αὐτοῦ.</w:t>
      </w:r>
    </w:p>
    <w:p w14:paraId="6EF71BBA" w14:textId="77777777" w:rsidR="0018433B" w:rsidRPr="005B36A4" w:rsidRDefault="0018433B" w:rsidP="0018433B"/>
    <w:p w14:paraId="18EFA5C9" w14:textId="77777777" w:rsidR="0018433B" w:rsidRPr="005B36A4" w:rsidRDefault="0018433B" w:rsidP="0018433B">
      <w:pPr>
        <w:ind w:left="720"/>
      </w:pPr>
      <w:r w:rsidRPr="005B36A4">
        <w:t>46a</w:t>
      </w:r>
      <w:r w:rsidRPr="005B36A4">
        <w:tab/>
      </w:r>
      <w:r w:rsidRPr="00CE06CA">
        <w:rPr>
          <w:bCs/>
          <w:szCs w:val="22"/>
          <w:lang w:val="el-GR"/>
        </w:rPr>
        <w:t>Τί δέ με καλεῖτε· κύριε κύριε,</w:t>
      </w:r>
    </w:p>
    <w:p w14:paraId="3CB7C332" w14:textId="77777777" w:rsidR="0018433B" w:rsidRPr="005B36A4" w:rsidRDefault="0018433B" w:rsidP="0018433B">
      <w:pPr>
        <w:ind w:left="720"/>
      </w:pPr>
      <w:r w:rsidRPr="005B36A4">
        <w:t>46b</w:t>
      </w:r>
      <w:r w:rsidRPr="005B36A4">
        <w:tab/>
      </w:r>
      <w:r w:rsidRPr="00CE06CA">
        <w:rPr>
          <w:bCs/>
          <w:szCs w:val="22"/>
          <w:lang w:val="el-GR"/>
        </w:rPr>
        <w:t>καὶ οὐ ποιεῖτε ἃ λέγω;</w:t>
      </w:r>
    </w:p>
    <w:p w14:paraId="70C83153" w14:textId="77777777" w:rsidR="0018433B" w:rsidRPr="005B36A4" w:rsidRDefault="0018433B" w:rsidP="0018433B">
      <w:pPr>
        <w:ind w:left="720"/>
      </w:pPr>
      <w:r w:rsidRPr="005B36A4">
        <w:t>47a</w:t>
      </w:r>
      <w:r w:rsidRPr="005B36A4">
        <w:tab/>
      </w:r>
      <w:r w:rsidRPr="00CE06CA">
        <w:rPr>
          <w:bCs/>
          <w:szCs w:val="22"/>
          <w:lang w:val="el-GR"/>
        </w:rPr>
        <w:t>Πᾶς ὁ ἐρχόμενος πρός με καὶ ἀκούων μου τῶν λόγων καὶ ποιῶν αὐτούς,</w:t>
      </w:r>
    </w:p>
    <w:p w14:paraId="4B192707" w14:textId="77777777" w:rsidR="0018433B" w:rsidRPr="005B36A4" w:rsidRDefault="0018433B" w:rsidP="0018433B">
      <w:pPr>
        <w:ind w:left="720"/>
      </w:pPr>
      <w:r w:rsidRPr="005B36A4">
        <w:t>47b</w:t>
      </w:r>
      <w:r w:rsidRPr="005B36A4">
        <w:tab/>
      </w:r>
      <w:r w:rsidRPr="00CE06CA">
        <w:rPr>
          <w:bCs/>
          <w:szCs w:val="22"/>
          <w:lang w:val="el-GR"/>
        </w:rPr>
        <w:t>ὑποδείξω ὑμῖν τίνι ἐστὶν ὅμοιος·</w:t>
      </w:r>
    </w:p>
    <w:p w14:paraId="1EFB0459" w14:textId="77777777" w:rsidR="0018433B" w:rsidRPr="005B36A4" w:rsidRDefault="0018433B" w:rsidP="0018433B"/>
    <w:p w14:paraId="1EE284C7" w14:textId="77777777" w:rsidR="0018433B" w:rsidRPr="005B36A4" w:rsidRDefault="0018433B" w:rsidP="0018433B">
      <w:pPr>
        <w:ind w:left="720"/>
      </w:pPr>
      <w:r w:rsidRPr="005B36A4">
        <w:t>48a</w:t>
      </w:r>
      <w:r w:rsidRPr="005B36A4">
        <w:tab/>
      </w:r>
      <w:r w:rsidRPr="00CE06CA">
        <w:rPr>
          <w:bCs/>
          <w:szCs w:val="22"/>
          <w:lang w:val="el-GR"/>
        </w:rPr>
        <w:t>ὅμοιός ἐστιν ἀνθρώπῳ οἰκοδομοῦντι οἰκίαν</w:t>
      </w:r>
    </w:p>
    <w:p w14:paraId="730C93D7" w14:textId="77777777" w:rsidR="0018433B" w:rsidRPr="005B36A4" w:rsidRDefault="0018433B" w:rsidP="0018433B">
      <w:pPr>
        <w:ind w:left="720"/>
      </w:pPr>
      <w:r w:rsidRPr="005B36A4">
        <w:t>48b</w:t>
      </w:r>
      <w:r w:rsidRPr="005B36A4">
        <w:tab/>
      </w:r>
      <w:r w:rsidRPr="00CE06CA">
        <w:rPr>
          <w:bCs/>
          <w:szCs w:val="22"/>
          <w:lang w:val="el-GR"/>
        </w:rPr>
        <w:t>ὃς ἔσκαψεν καὶ ἐβάθυνεν καὶ ἔθηκεν θεμέλιον ἐπὶ τὴν πέτραν·</w:t>
      </w:r>
    </w:p>
    <w:p w14:paraId="44909F3C" w14:textId="77777777" w:rsidR="0018433B" w:rsidRPr="005B36A4" w:rsidRDefault="0018433B" w:rsidP="0018433B">
      <w:pPr>
        <w:ind w:left="720"/>
      </w:pPr>
      <w:r w:rsidRPr="005B36A4">
        <w:t>48c</w:t>
      </w:r>
      <w:r w:rsidRPr="005B36A4">
        <w:tab/>
      </w:r>
      <w:r w:rsidRPr="00CE06CA">
        <w:rPr>
          <w:bCs/>
          <w:szCs w:val="22"/>
          <w:lang w:val="el-GR"/>
        </w:rPr>
        <w:t>πλημμύρης δὲ γενομένης προσέρηξεν ὁ ποταμὸς τῇ οἰκίᾳ ἐκείνῃ,</w:t>
      </w:r>
    </w:p>
    <w:p w14:paraId="7B398BA6" w14:textId="77777777" w:rsidR="0018433B" w:rsidRPr="005B36A4" w:rsidRDefault="0018433B" w:rsidP="0018433B">
      <w:pPr>
        <w:ind w:left="720"/>
      </w:pPr>
      <w:r w:rsidRPr="005B36A4">
        <w:t>48d</w:t>
      </w:r>
      <w:r w:rsidRPr="005B36A4">
        <w:tab/>
      </w:r>
      <w:r w:rsidRPr="00CE06CA">
        <w:rPr>
          <w:bCs/>
          <w:szCs w:val="22"/>
          <w:lang w:val="el-GR"/>
        </w:rPr>
        <w:t>καὶ οὐκ ἴσχυσεν σαλεῦσαι αὐτὴν διὰ τὸ καλῶς οἰκοδομῆσθαι αὐτήν.</w:t>
      </w:r>
    </w:p>
    <w:p w14:paraId="69AF4AC0" w14:textId="77777777" w:rsidR="0018433B" w:rsidRPr="005B36A4" w:rsidRDefault="0018433B" w:rsidP="0018433B">
      <w:pPr>
        <w:ind w:left="720"/>
      </w:pPr>
      <w:r w:rsidRPr="005B36A4">
        <w:t>49a</w:t>
      </w:r>
      <w:r w:rsidRPr="005B36A4">
        <w:tab/>
      </w:r>
      <w:r w:rsidRPr="00CE06CA">
        <w:rPr>
          <w:bCs/>
          <w:szCs w:val="22"/>
          <w:lang w:val="el-GR"/>
        </w:rPr>
        <w:t>ὁ δὲ ἀκούσας καὶ μὴ ποιήσας ὅμοιός ἐστιν ἀνθρώπῳ</w:t>
      </w:r>
    </w:p>
    <w:p w14:paraId="04D393E0" w14:textId="77777777" w:rsidR="0018433B" w:rsidRPr="005B36A4" w:rsidRDefault="0018433B" w:rsidP="0018433B">
      <w:pPr>
        <w:ind w:left="720"/>
      </w:pPr>
      <w:r w:rsidRPr="005B36A4">
        <w:t>49b</w:t>
      </w:r>
      <w:r w:rsidRPr="005B36A4">
        <w:tab/>
      </w:r>
      <w:r w:rsidRPr="00CE06CA">
        <w:rPr>
          <w:bCs/>
          <w:szCs w:val="22"/>
          <w:lang w:val="el-GR"/>
        </w:rPr>
        <w:t>οἰκοδομήσαντι οἰκίαν ἐπὶ τὴν γῆν χωρὶς θεμελίου,</w:t>
      </w:r>
    </w:p>
    <w:p w14:paraId="43DCAFF9" w14:textId="77777777" w:rsidR="0018433B" w:rsidRPr="005B36A4" w:rsidRDefault="0018433B" w:rsidP="0018433B">
      <w:pPr>
        <w:ind w:left="720"/>
      </w:pPr>
      <w:r w:rsidRPr="005B36A4">
        <w:t>49c</w:t>
      </w:r>
      <w:r w:rsidRPr="005B36A4">
        <w:tab/>
      </w:r>
      <w:r w:rsidRPr="00CE06CA">
        <w:rPr>
          <w:bCs/>
          <w:szCs w:val="22"/>
          <w:lang w:val="el-GR"/>
        </w:rPr>
        <w:t>ᾗ προσέρηξεν ὁ ποταμός,</w:t>
      </w:r>
    </w:p>
    <w:p w14:paraId="0457B4C2" w14:textId="77777777" w:rsidR="0018433B" w:rsidRPr="005B36A4" w:rsidRDefault="0018433B" w:rsidP="0018433B">
      <w:pPr>
        <w:ind w:left="720"/>
      </w:pPr>
      <w:r w:rsidRPr="005B36A4">
        <w:t>49d</w:t>
      </w:r>
      <w:r w:rsidRPr="005B36A4">
        <w:tab/>
      </w:r>
      <w:r w:rsidRPr="00CE06CA">
        <w:rPr>
          <w:bCs/>
          <w:szCs w:val="22"/>
          <w:lang w:val="el-GR"/>
        </w:rPr>
        <w:t>καὶ εὐθὺς συνέπεσεν</w:t>
      </w:r>
    </w:p>
    <w:p w14:paraId="33BE2D07" w14:textId="77777777" w:rsidR="0018433B" w:rsidRPr="005B36A4" w:rsidRDefault="0018433B" w:rsidP="0018433B">
      <w:pPr>
        <w:ind w:left="720"/>
      </w:pPr>
      <w:r w:rsidRPr="005B36A4">
        <w:t>49e</w:t>
      </w:r>
      <w:r w:rsidRPr="005B36A4">
        <w:tab/>
      </w:r>
      <w:r w:rsidRPr="00CE06CA">
        <w:rPr>
          <w:bCs/>
          <w:szCs w:val="22"/>
          <w:lang w:val="el-GR"/>
        </w:rPr>
        <w:t>καὶ ἐγένετο τὸ ῥῆγμα τῆς οἰκίας ἐκείνης μέγα.</w:t>
      </w:r>
    </w:p>
    <w:p w14:paraId="21D22203" w14:textId="77777777" w:rsidR="0018433B" w:rsidRDefault="0018433B" w:rsidP="0018433B"/>
    <w:p w14:paraId="156F96F9" w14:textId="77777777" w:rsidR="0018433B" w:rsidRDefault="0018433B" w:rsidP="0018433B">
      <w:pPr>
        <w:ind w:left="720"/>
        <w:contextualSpacing/>
      </w:pPr>
      <w:r w:rsidRPr="00FE2F77">
        <w:t>39a</w:t>
      </w:r>
      <w:r>
        <w:tab/>
        <w:t>He also told them a parable:</w:t>
      </w:r>
    </w:p>
    <w:p w14:paraId="74FF85AD" w14:textId="77777777" w:rsidR="0018433B" w:rsidRDefault="0018433B" w:rsidP="0018433B">
      <w:pPr>
        <w:ind w:left="720"/>
        <w:contextualSpacing/>
      </w:pPr>
      <w:r w:rsidRPr="00FE2F77">
        <w:t>39b</w:t>
      </w:r>
      <w:r>
        <w:tab/>
        <w:t>“</w:t>
      </w:r>
      <w:r w:rsidRPr="00FE2F77">
        <w:t>Can a bli</w:t>
      </w:r>
      <w:r>
        <w:t>nd person guide a blind person?</w:t>
      </w:r>
    </w:p>
    <w:p w14:paraId="09B83909" w14:textId="77777777" w:rsidR="0018433B" w:rsidRDefault="0018433B" w:rsidP="0018433B">
      <w:pPr>
        <w:ind w:left="720"/>
        <w:contextualSpacing/>
      </w:pPr>
      <w:r w:rsidRPr="00FE2F77">
        <w:lastRenderedPageBreak/>
        <w:t>39c</w:t>
      </w:r>
      <w:r>
        <w:tab/>
        <w:t>Will not both fall into a pit?</w:t>
      </w:r>
    </w:p>
    <w:p w14:paraId="7B70B30E" w14:textId="77777777" w:rsidR="0018433B" w:rsidRDefault="0018433B" w:rsidP="0018433B">
      <w:pPr>
        <w:ind w:left="720"/>
        <w:contextualSpacing/>
      </w:pPr>
      <w:r w:rsidRPr="00FE2F77">
        <w:t>40a</w:t>
      </w:r>
      <w:r>
        <w:tab/>
      </w:r>
      <w:r w:rsidRPr="00FE2F77">
        <w:t>A disci</w:t>
      </w:r>
      <w:r>
        <w:t>ple is not above the teacher,</w:t>
      </w:r>
    </w:p>
    <w:p w14:paraId="2D922768" w14:textId="77777777" w:rsidR="0018433B" w:rsidRDefault="0018433B" w:rsidP="0018433B">
      <w:pPr>
        <w:ind w:left="720"/>
        <w:contextualSpacing/>
      </w:pPr>
      <w:r w:rsidRPr="00FE2F77">
        <w:t>40b</w:t>
      </w:r>
      <w:r>
        <w:tab/>
      </w:r>
      <w:r w:rsidRPr="00FE2F77">
        <w:t>but everyone who is fully qualified will be like the teach</w:t>
      </w:r>
      <w:r>
        <w:t>er.</w:t>
      </w:r>
    </w:p>
    <w:p w14:paraId="5AFE9C6B" w14:textId="77777777" w:rsidR="0018433B" w:rsidRPr="005B36A4" w:rsidRDefault="0018433B" w:rsidP="0018433B"/>
    <w:p w14:paraId="74C39454" w14:textId="77777777" w:rsidR="0018433B" w:rsidRDefault="0018433B" w:rsidP="0018433B">
      <w:pPr>
        <w:ind w:left="720"/>
        <w:contextualSpacing/>
      </w:pPr>
      <w:r w:rsidRPr="00FE2F77">
        <w:t>41a</w:t>
      </w:r>
      <w:r>
        <w:tab/>
      </w:r>
      <w:r w:rsidRPr="00FE2F77">
        <w:t>Why do you see th</w:t>
      </w:r>
      <w:r>
        <w:t>e speck in your neighbor’s eye,</w:t>
      </w:r>
    </w:p>
    <w:p w14:paraId="0E1E4418" w14:textId="77777777" w:rsidR="0018433B" w:rsidRDefault="0018433B" w:rsidP="0018433B">
      <w:pPr>
        <w:ind w:left="720"/>
        <w:contextualSpacing/>
      </w:pPr>
      <w:r w:rsidRPr="00FE2F77">
        <w:t>41b</w:t>
      </w:r>
      <w:r>
        <w:tab/>
      </w:r>
      <w:r>
        <w:tab/>
      </w:r>
      <w:r w:rsidRPr="00FE2F77">
        <w:t>but do not no</w:t>
      </w:r>
      <w:r>
        <w:t>tice the log in your own eye?</w:t>
      </w:r>
    </w:p>
    <w:p w14:paraId="3A26FDA6" w14:textId="77777777" w:rsidR="0018433B" w:rsidRDefault="0018433B" w:rsidP="0018433B">
      <w:pPr>
        <w:ind w:left="720"/>
        <w:contextualSpacing/>
      </w:pPr>
      <w:r w:rsidRPr="00FE2F77">
        <w:t>42a</w:t>
      </w:r>
      <w:r>
        <w:tab/>
      </w:r>
      <w:r w:rsidRPr="00FE2F77">
        <w:t>Or how can you say to your neigh</w:t>
      </w:r>
      <w:r>
        <w:t>bor,</w:t>
      </w:r>
    </w:p>
    <w:p w14:paraId="04DD943D" w14:textId="0D51FBD9" w:rsidR="0018433B" w:rsidRDefault="0018433B" w:rsidP="0018433B">
      <w:pPr>
        <w:ind w:left="720"/>
        <w:contextualSpacing/>
      </w:pPr>
      <w:r w:rsidRPr="00FE2F77">
        <w:t>42b</w:t>
      </w:r>
      <w:r>
        <w:tab/>
        <w:t>‘</w:t>
      </w:r>
      <w:r w:rsidRPr="00FE2F77">
        <w:t>Friend</w:t>
      </w:r>
      <w:r w:rsidR="006F304D" w:rsidRPr="006F304D">
        <w:t xml:space="preserve">, </w:t>
      </w:r>
      <w:r w:rsidRPr="00FE2F77">
        <w:t>let me t</w:t>
      </w:r>
      <w:r>
        <w:t>ake out the speck in your eye,’</w:t>
      </w:r>
    </w:p>
    <w:p w14:paraId="438C8DD9" w14:textId="77777777" w:rsidR="0018433B" w:rsidRDefault="0018433B" w:rsidP="0018433B">
      <w:pPr>
        <w:ind w:left="720"/>
        <w:contextualSpacing/>
      </w:pPr>
      <w:r w:rsidRPr="00FE2F77">
        <w:t>42c</w:t>
      </w:r>
      <w:r>
        <w:tab/>
      </w:r>
      <w:r>
        <w:tab/>
      </w:r>
      <w:r w:rsidRPr="00FE2F77">
        <w:t>when you yourself do n</w:t>
      </w:r>
      <w:r>
        <w:t>ot see the log in your own eye?</w:t>
      </w:r>
    </w:p>
    <w:p w14:paraId="022AA5B0" w14:textId="6FAE8873" w:rsidR="0018433B" w:rsidRDefault="0018433B" w:rsidP="0018433B">
      <w:pPr>
        <w:ind w:left="720"/>
        <w:contextualSpacing/>
      </w:pPr>
      <w:r w:rsidRPr="00FE2F77">
        <w:t>42d</w:t>
      </w:r>
      <w:r>
        <w:tab/>
      </w:r>
      <w:r w:rsidRPr="00FE2F77">
        <w:t>You hypocrite</w:t>
      </w:r>
      <w:r w:rsidR="006F304D" w:rsidRPr="006F304D">
        <w:t xml:space="preserve">, </w:t>
      </w:r>
      <w:r w:rsidRPr="00FE2F77">
        <w:t>first ta</w:t>
      </w:r>
      <w:r>
        <w:t>ke the log out of your own eye,</w:t>
      </w:r>
    </w:p>
    <w:p w14:paraId="3922FAF9" w14:textId="77777777" w:rsidR="0018433B" w:rsidRDefault="0018433B" w:rsidP="0018433B">
      <w:pPr>
        <w:ind w:left="720"/>
        <w:contextualSpacing/>
      </w:pPr>
      <w:r w:rsidRPr="00FE2F77">
        <w:t>42e</w:t>
      </w:r>
      <w:r>
        <w:tab/>
      </w:r>
      <w:r>
        <w:tab/>
      </w:r>
      <w:r w:rsidRPr="00FE2F77">
        <w:t>and then you will see clearly to take the speck out of your neigh</w:t>
      </w:r>
      <w:r>
        <w:t>bor’s eye.</w:t>
      </w:r>
    </w:p>
    <w:p w14:paraId="0E02F87B" w14:textId="77777777" w:rsidR="0018433B" w:rsidRPr="005B36A4" w:rsidRDefault="0018433B" w:rsidP="0018433B"/>
    <w:p w14:paraId="23033EE2" w14:textId="77777777" w:rsidR="0018433B" w:rsidRDefault="0018433B" w:rsidP="0018433B">
      <w:pPr>
        <w:ind w:left="720"/>
        <w:contextualSpacing/>
      </w:pPr>
      <w:r w:rsidRPr="00FE2F77">
        <w:t>43a</w:t>
      </w:r>
      <w:r>
        <w:tab/>
      </w:r>
      <w:r w:rsidRPr="00FE2F77">
        <w:t>Fo</w:t>
      </w:r>
      <w:r>
        <w:t>r no good tree bears bad fruit,</w:t>
      </w:r>
    </w:p>
    <w:p w14:paraId="4E90206B" w14:textId="77777777" w:rsidR="0018433B" w:rsidRDefault="0018433B" w:rsidP="0018433B">
      <w:pPr>
        <w:ind w:left="720"/>
        <w:contextualSpacing/>
      </w:pPr>
      <w:r w:rsidRPr="00FE2F77">
        <w:t>43b</w:t>
      </w:r>
      <w:r>
        <w:tab/>
      </w:r>
      <w:r w:rsidRPr="00FE2F77">
        <w:t>nor again d</w:t>
      </w:r>
      <w:r>
        <w:t>oes a bad tree bear good fruit;</w:t>
      </w:r>
    </w:p>
    <w:p w14:paraId="0A388B2E" w14:textId="77777777" w:rsidR="0018433B" w:rsidRDefault="0018433B" w:rsidP="0018433B">
      <w:pPr>
        <w:ind w:left="720"/>
        <w:contextualSpacing/>
      </w:pPr>
      <w:r w:rsidRPr="00FE2F77">
        <w:t>44a</w:t>
      </w:r>
      <w:r>
        <w:tab/>
      </w:r>
      <w:r w:rsidRPr="00FE2F77">
        <w:t xml:space="preserve">for each </w:t>
      </w:r>
      <w:r>
        <w:t>tree is known by its own fruit.</w:t>
      </w:r>
    </w:p>
    <w:p w14:paraId="3640232D" w14:textId="77777777" w:rsidR="0018433B" w:rsidRDefault="0018433B" w:rsidP="0018433B">
      <w:pPr>
        <w:ind w:left="720"/>
        <w:contextualSpacing/>
      </w:pPr>
      <w:r w:rsidRPr="00FE2F77">
        <w:t>44b</w:t>
      </w:r>
      <w:r>
        <w:tab/>
      </w:r>
      <w:r w:rsidRPr="00FE2F77">
        <w:t>Fig</w:t>
      </w:r>
      <w:r>
        <w:t>s are not gathered from thorns,</w:t>
      </w:r>
    </w:p>
    <w:p w14:paraId="5592496B" w14:textId="77777777" w:rsidR="0018433B" w:rsidRDefault="0018433B" w:rsidP="0018433B">
      <w:pPr>
        <w:ind w:left="720"/>
        <w:contextualSpacing/>
      </w:pPr>
      <w:r w:rsidRPr="00FE2F77">
        <w:t>44c</w:t>
      </w:r>
      <w:r>
        <w:tab/>
      </w:r>
      <w:r w:rsidRPr="00FE2F77">
        <w:t>nor are gra</w:t>
      </w:r>
      <w:r>
        <w:t>pes picked from a bramble bush.</w:t>
      </w:r>
    </w:p>
    <w:p w14:paraId="68176011" w14:textId="77777777" w:rsidR="0018433B" w:rsidRDefault="0018433B" w:rsidP="0018433B">
      <w:pPr>
        <w:ind w:left="720"/>
        <w:contextualSpacing/>
      </w:pPr>
      <w:r w:rsidRPr="00FE2F77">
        <w:t>45a</w:t>
      </w:r>
      <w:r>
        <w:tab/>
      </w:r>
      <w:r w:rsidRPr="00FE2F77">
        <w:t>The good person out of the good treas</w:t>
      </w:r>
      <w:r>
        <w:t>ure of the heart produces good,</w:t>
      </w:r>
    </w:p>
    <w:p w14:paraId="63CD4FFA" w14:textId="77777777" w:rsidR="0018433B" w:rsidRDefault="0018433B" w:rsidP="0018433B">
      <w:pPr>
        <w:ind w:left="720"/>
        <w:contextualSpacing/>
      </w:pPr>
      <w:r w:rsidRPr="00FE2F77">
        <w:t>45b</w:t>
      </w:r>
      <w:r>
        <w:tab/>
      </w:r>
      <w:r w:rsidRPr="00FE2F77">
        <w:t>and the evil person out of evil treasure produces evi</w:t>
      </w:r>
      <w:r>
        <w:t>l;</w:t>
      </w:r>
    </w:p>
    <w:p w14:paraId="568227EC" w14:textId="77777777" w:rsidR="0018433B" w:rsidRDefault="0018433B" w:rsidP="0018433B">
      <w:pPr>
        <w:ind w:left="720"/>
        <w:contextualSpacing/>
      </w:pPr>
      <w:r w:rsidRPr="00FE2F77">
        <w:t>45c</w:t>
      </w:r>
      <w:r>
        <w:tab/>
      </w:r>
      <w:r w:rsidRPr="00FE2F77">
        <w:t>for it is out of the abundance of t</w:t>
      </w:r>
      <w:r>
        <w:t>he heart that the mouth speaks.</w:t>
      </w:r>
    </w:p>
    <w:p w14:paraId="5A427D79" w14:textId="77777777" w:rsidR="0018433B" w:rsidRPr="005B36A4" w:rsidRDefault="0018433B" w:rsidP="0018433B"/>
    <w:p w14:paraId="43D464A5" w14:textId="717DE73D" w:rsidR="0018433B" w:rsidRDefault="0018433B" w:rsidP="0018433B">
      <w:pPr>
        <w:ind w:left="720"/>
        <w:contextualSpacing/>
      </w:pPr>
      <w:r w:rsidRPr="00FE2F77">
        <w:t>46a</w:t>
      </w:r>
      <w:r>
        <w:tab/>
      </w:r>
      <w:r w:rsidRPr="00FE2F77">
        <w:t>W</w:t>
      </w:r>
      <w:r>
        <w:t>hy do you call me ‘Lord</w:t>
      </w:r>
      <w:r w:rsidR="006F304D" w:rsidRPr="006F304D">
        <w:t xml:space="preserve">, </w:t>
      </w:r>
      <w:r>
        <w:t>Lord,’</w:t>
      </w:r>
    </w:p>
    <w:p w14:paraId="4625F80A" w14:textId="77777777" w:rsidR="0018433B" w:rsidRDefault="0018433B" w:rsidP="0018433B">
      <w:pPr>
        <w:ind w:left="720"/>
        <w:contextualSpacing/>
      </w:pPr>
      <w:r w:rsidRPr="00FE2F77">
        <w:t>46b</w:t>
      </w:r>
      <w:r>
        <w:tab/>
        <w:t>and not do what I tell you?</w:t>
      </w:r>
    </w:p>
    <w:p w14:paraId="39A97944" w14:textId="77777777" w:rsidR="0018433B" w:rsidRDefault="0018433B" w:rsidP="0018433B">
      <w:pPr>
        <w:ind w:left="720"/>
        <w:contextualSpacing/>
      </w:pPr>
      <w:r w:rsidRPr="00FE2F77">
        <w:t>47a</w:t>
      </w:r>
      <w:r>
        <w:tab/>
      </w:r>
      <w:r w:rsidRPr="00FE2F77">
        <w:t>I wil</w:t>
      </w:r>
      <w:r>
        <w:t>l show you what someone is like</w:t>
      </w:r>
    </w:p>
    <w:p w14:paraId="359DF32E" w14:textId="45B06FF1" w:rsidR="0018433B" w:rsidRDefault="0018433B" w:rsidP="0018433B">
      <w:pPr>
        <w:ind w:left="720"/>
        <w:contextualSpacing/>
      </w:pPr>
      <w:r w:rsidRPr="00FE2F77">
        <w:t>47b</w:t>
      </w:r>
      <w:r>
        <w:tab/>
      </w:r>
      <w:r w:rsidRPr="00FE2F77">
        <w:t>who comes to me</w:t>
      </w:r>
      <w:r w:rsidR="006F304D" w:rsidRPr="006F304D">
        <w:t xml:space="preserve">, </w:t>
      </w:r>
      <w:r w:rsidRPr="00FE2F77">
        <w:t>he</w:t>
      </w:r>
      <w:r>
        <w:t>ars my words</w:t>
      </w:r>
      <w:r w:rsidR="006F304D" w:rsidRPr="006F304D">
        <w:t xml:space="preserve">, </w:t>
      </w:r>
      <w:r>
        <w:t>and acts on them.</w:t>
      </w:r>
    </w:p>
    <w:p w14:paraId="0786FE83" w14:textId="77777777" w:rsidR="0018433B" w:rsidRPr="005B36A4" w:rsidRDefault="0018433B" w:rsidP="0018433B"/>
    <w:p w14:paraId="60DE900D" w14:textId="77777777" w:rsidR="0018433B" w:rsidRDefault="0018433B" w:rsidP="0018433B">
      <w:pPr>
        <w:ind w:left="720"/>
        <w:contextualSpacing/>
      </w:pPr>
      <w:r w:rsidRPr="00FE2F77">
        <w:t>48a</w:t>
      </w:r>
      <w:r>
        <w:tab/>
      </w:r>
      <w:r w:rsidRPr="00FE2F77">
        <w:t xml:space="preserve">That one is like a </w:t>
      </w:r>
      <w:r>
        <w:t>man building a house,</w:t>
      </w:r>
    </w:p>
    <w:p w14:paraId="55491FDC" w14:textId="77777777" w:rsidR="0018433B" w:rsidRDefault="0018433B" w:rsidP="0018433B">
      <w:pPr>
        <w:ind w:left="720"/>
        <w:contextualSpacing/>
      </w:pPr>
      <w:r w:rsidRPr="00FE2F77">
        <w:t>48b</w:t>
      </w:r>
      <w:r>
        <w:tab/>
      </w:r>
      <w:r w:rsidRPr="00FE2F77">
        <w:t>who dug deeply and laid the founda</w:t>
      </w:r>
      <w:r>
        <w:t>tion on rock;</w:t>
      </w:r>
    </w:p>
    <w:p w14:paraId="71580C4B" w14:textId="089FABCF" w:rsidR="0018433B" w:rsidRDefault="0018433B" w:rsidP="0018433B">
      <w:pPr>
        <w:ind w:left="720"/>
        <w:contextualSpacing/>
      </w:pPr>
      <w:r w:rsidRPr="00FE2F77">
        <w:t>48c</w:t>
      </w:r>
      <w:r>
        <w:tab/>
      </w:r>
      <w:r w:rsidRPr="00FE2F77">
        <w:t>when a flood arose</w:t>
      </w:r>
      <w:r w:rsidR="006F304D" w:rsidRPr="006F304D">
        <w:t xml:space="preserve">, </w:t>
      </w:r>
      <w:r w:rsidRPr="00FE2F77">
        <w:t>the riv</w:t>
      </w:r>
      <w:r>
        <w:t>er burst against that house</w:t>
      </w:r>
    </w:p>
    <w:p w14:paraId="59DC7D20" w14:textId="337073F6" w:rsidR="0018433B" w:rsidRDefault="0018433B" w:rsidP="0018433B">
      <w:pPr>
        <w:ind w:left="720"/>
        <w:contextualSpacing/>
      </w:pPr>
      <w:r w:rsidRPr="00FE2F77">
        <w:t>48d</w:t>
      </w:r>
      <w:r>
        <w:tab/>
      </w:r>
      <w:r w:rsidRPr="00FE2F77">
        <w:t>but could not shake it</w:t>
      </w:r>
      <w:r w:rsidR="006F304D" w:rsidRPr="006F304D">
        <w:t xml:space="preserve">, </w:t>
      </w:r>
      <w:r w:rsidRPr="00FE2F77">
        <w:t>be</w:t>
      </w:r>
      <w:r>
        <w:t>cause it had been well built.</w:t>
      </w:r>
    </w:p>
    <w:p w14:paraId="7AB91368" w14:textId="77777777" w:rsidR="0018433B" w:rsidRDefault="0018433B" w:rsidP="0018433B">
      <w:pPr>
        <w:ind w:left="720"/>
        <w:contextualSpacing/>
      </w:pPr>
      <w:r w:rsidRPr="00FE2F77">
        <w:t>49a</w:t>
      </w:r>
      <w:r>
        <w:tab/>
      </w:r>
      <w:r w:rsidRPr="00FE2F77">
        <w:t>But the one who hears</w:t>
      </w:r>
      <w:r>
        <w:t xml:space="preserve"> and does not act is like a man</w:t>
      </w:r>
    </w:p>
    <w:p w14:paraId="292A745E" w14:textId="77777777" w:rsidR="0018433B" w:rsidRDefault="0018433B" w:rsidP="0018433B">
      <w:pPr>
        <w:ind w:left="720"/>
        <w:contextualSpacing/>
      </w:pPr>
      <w:r w:rsidRPr="00FE2F77">
        <w:t>49b</w:t>
      </w:r>
      <w:r>
        <w:tab/>
      </w:r>
      <w:r w:rsidRPr="00FE2F77">
        <w:t>who built a house on t</w:t>
      </w:r>
      <w:r>
        <w:t>he ground without a foundation.</w:t>
      </w:r>
    </w:p>
    <w:p w14:paraId="5CBF1017" w14:textId="77777777" w:rsidR="0018433B" w:rsidRDefault="0018433B" w:rsidP="0018433B">
      <w:pPr>
        <w:ind w:left="720"/>
        <w:contextualSpacing/>
      </w:pPr>
      <w:r w:rsidRPr="00FE2F77">
        <w:t>49c</w:t>
      </w:r>
      <w:r>
        <w:tab/>
      </w:r>
      <w:r w:rsidRPr="00FE2F77">
        <w:t>W</w:t>
      </w:r>
      <w:r>
        <w:t>hen the river burst against it,</w:t>
      </w:r>
    </w:p>
    <w:p w14:paraId="28D9294F" w14:textId="77777777" w:rsidR="0018433B" w:rsidRDefault="0018433B" w:rsidP="0018433B">
      <w:pPr>
        <w:ind w:left="720"/>
        <w:contextualSpacing/>
      </w:pPr>
      <w:r w:rsidRPr="00FE2F77">
        <w:t>49d</w:t>
      </w:r>
      <w:r>
        <w:tab/>
        <w:t>immedi</w:t>
      </w:r>
      <w:r>
        <w:softHyphen/>
        <w:t>ately it fell,</w:t>
      </w:r>
    </w:p>
    <w:p w14:paraId="2E128535" w14:textId="77777777" w:rsidR="0018433B" w:rsidRPr="00FE2F77" w:rsidRDefault="0018433B" w:rsidP="0018433B">
      <w:pPr>
        <w:ind w:left="720"/>
        <w:contextualSpacing/>
      </w:pPr>
      <w:r w:rsidRPr="00FE2F77">
        <w:t>49e</w:t>
      </w:r>
      <w:r>
        <w:tab/>
      </w:r>
      <w:r w:rsidRPr="00FE2F77">
        <w:t>and gre</w:t>
      </w:r>
      <w:r>
        <w:t>at was the ruin of that house.</w:t>
      </w:r>
    </w:p>
    <w:p w14:paraId="178CFD00" w14:textId="77777777" w:rsidR="0018433B" w:rsidRDefault="0018433B" w:rsidP="0018433B"/>
    <w:p w14:paraId="16D2AC10" w14:textId="77777777" w:rsidR="0018433B" w:rsidRDefault="0018433B" w:rsidP="0018433B">
      <w:r w:rsidRPr="005B36A4">
        <w:t xml:space="preserve">Here is </w:t>
      </w:r>
      <w:r>
        <w:t>Morgenthaler’s</w:t>
      </w:r>
      <w:r w:rsidRPr="005B36A4">
        <w:t xml:space="preserve"> analysis of the section.</w:t>
      </w:r>
    </w:p>
    <w:p w14:paraId="2B1FAB18" w14:textId="77777777" w:rsidR="0018433B" w:rsidRPr="005B36A4" w:rsidRDefault="0018433B" w:rsidP="0018433B"/>
    <w:p w14:paraId="78F383EB" w14:textId="12043B7A" w:rsidR="0018433B" w:rsidRPr="005B36A4" w:rsidRDefault="0018433B" w:rsidP="0018433B">
      <w:pPr>
        <w:ind w:left="720" w:right="720"/>
      </w:pPr>
      <w:r w:rsidRPr="005B36A4">
        <w:t>There follows once again a tetrastich</w:t>
      </w:r>
      <w:r w:rsidR="006F304D" w:rsidRPr="006F304D">
        <w:t xml:space="preserve">, </w:t>
      </w:r>
      <w:r w:rsidRPr="005B36A4">
        <w:t>verses 39-40. Luke has already said concerning it that it is a παραβ</w:t>
      </w:r>
      <w:proofErr w:type="spellStart"/>
      <w:r w:rsidRPr="005B36A4">
        <w:t>oλή</w:t>
      </w:r>
      <w:proofErr w:type="spellEnd"/>
      <w:r w:rsidRPr="005B36A4">
        <w:t xml:space="preserve"> (v. 39). A second parable in tristich form follows in 41-42 (beam in eye) </w:t>
      </w:r>
      <w:r w:rsidRPr="00E149A1">
        <w:t>. . .</w:t>
      </w:r>
      <w:r w:rsidRPr="005B36A4">
        <w:t xml:space="preserve"> A third parable in tristich form follows in 44-45</w:t>
      </w:r>
      <w:r w:rsidRPr="00E149A1">
        <w:t>. . . .</w:t>
      </w:r>
      <w:r w:rsidRPr="005B36A4">
        <w:t xml:space="preserve"> Finally</w:t>
      </w:r>
      <w:r w:rsidR="006F304D" w:rsidRPr="006F304D">
        <w:t xml:space="preserve">, </w:t>
      </w:r>
      <w:r w:rsidRPr="005B36A4">
        <w:t>two small interrupting sentences follow</w:t>
      </w:r>
      <w:r w:rsidR="006F304D" w:rsidRPr="006F304D">
        <w:t xml:space="preserve">, </w:t>
      </w:r>
      <w:r w:rsidRPr="005B36A4">
        <w:t>and at the end is the fourth parable</w:t>
      </w:r>
      <w:r w:rsidR="006F304D" w:rsidRPr="006F304D">
        <w:t xml:space="preserve">, </w:t>
      </w:r>
      <w:r w:rsidRPr="005B36A4">
        <w:t>in the famil</w:t>
      </w:r>
      <w:r w:rsidRPr="005B36A4">
        <w:softHyphen/>
        <w:t>iar free and antithetical parallel form—in a similar way</w:t>
      </w:r>
      <w:r w:rsidR="006F304D" w:rsidRPr="006F304D">
        <w:t xml:space="preserve">, </w:t>
      </w:r>
      <w:r w:rsidRPr="005B36A4">
        <w:t>the antithesis of beatitudes and woes stands at the beginning of the sermon on the plain.</w:t>
      </w:r>
      <w:r w:rsidRPr="005B36A4">
        <w:rPr>
          <w:rStyle w:val="FootnoteReference"/>
        </w:rPr>
        <w:footnoteReference w:id="341"/>
      </w:r>
    </w:p>
    <w:p w14:paraId="3118C429" w14:textId="77777777" w:rsidR="0018433B" w:rsidRDefault="0018433B" w:rsidP="0018433B"/>
    <w:p w14:paraId="1E2A210E" w14:textId="77777777" w:rsidR="0018433B" w:rsidRDefault="0018433B" w:rsidP="0018433B">
      <w:r>
        <w:tab/>
      </w:r>
      <w:r w:rsidRPr="005B36A4">
        <w:t>Morgenthaler summarizes his analysis of the entire sermon’s structure with the following outline.</w:t>
      </w:r>
    </w:p>
    <w:p w14:paraId="5142C67D" w14:textId="77777777" w:rsidR="0018433B" w:rsidRPr="005B36A4" w:rsidRDefault="0018433B" w:rsidP="0018433B"/>
    <w:p w14:paraId="09C5904A" w14:textId="77777777" w:rsidR="0018433B" w:rsidRPr="005B36A4" w:rsidRDefault="0018433B" w:rsidP="0018433B">
      <w:r>
        <w:tab/>
      </w:r>
      <w:r>
        <w:tab/>
      </w:r>
      <w:r>
        <w:tab/>
        <w:t>four beatitudes—four woes:</w:t>
      </w:r>
      <w:r>
        <w:tab/>
      </w:r>
      <w:r>
        <w:tab/>
      </w:r>
      <w:r w:rsidRPr="005B36A4">
        <w:t>antithesis</w:t>
      </w:r>
    </w:p>
    <w:p w14:paraId="7B3D296A" w14:textId="77777777" w:rsidR="0018433B" w:rsidRPr="005B36A4" w:rsidRDefault="0018433B" w:rsidP="0018433B">
      <w:r>
        <w:tab/>
      </w:r>
      <w:r>
        <w:tab/>
      </w:r>
      <w:r>
        <w:tab/>
      </w:r>
      <w:r>
        <w:tab/>
      </w:r>
      <w:r w:rsidRPr="005B36A4">
        <w:t>tetrastich</w:t>
      </w:r>
    </w:p>
    <w:p w14:paraId="746AD319" w14:textId="77777777" w:rsidR="0018433B" w:rsidRPr="005B36A4" w:rsidRDefault="0018433B" w:rsidP="0018433B">
      <w:r>
        <w:tab/>
      </w:r>
      <w:r>
        <w:tab/>
      </w:r>
      <w:r>
        <w:tab/>
      </w:r>
      <w:r>
        <w:tab/>
      </w:r>
      <w:r w:rsidRPr="005B36A4">
        <w:t>tetrastich</w:t>
      </w:r>
    </w:p>
    <w:p w14:paraId="41314F35" w14:textId="77777777" w:rsidR="0018433B" w:rsidRPr="005B36A4" w:rsidRDefault="0018433B" w:rsidP="0018433B">
      <w:r>
        <w:tab/>
      </w:r>
      <w:r>
        <w:tab/>
      </w:r>
      <w:r>
        <w:tab/>
      </w:r>
      <w:r>
        <w:tab/>
      </w:r>
      <w:r w:rsidRPr="005B36A4">
        <w:t>antithetical tristich</w:t>
      </w:r>
    </w:p>
    <w:p w14:paraId="1BB8781A" w14:textId="77777777" w:rsidR="0018433B" w:rsidRPr="005B36A4" w:rsidRDefault="0018433B" w:rsidP="0018433B">
      <w:r>
        <w:tab/>
      </w:r>
      <w:r>
        <w:tab/>
      </w:r>
      <w:r>
        <w:tab/>
      </w:r>
      <w:r>
        <w:tab/>
      </w:r>
      <w:r w:rsidRPr="005B36A4">
        <w:t>framed tetrastich</w:t>
      </w:r>
    </w:p>
    <w:p w14:paraId="0EE43ABD" w14:textId="77777777" w:rsidR="0018433B" w:rsidRPr="005B36A4" w:rsidRDefault="0018433B" w:rsidP="0018433B">
      <w:r>
        <w:tab/>
      </w:r>
      <w:r>
        <w:tab/>
      </w:r>
      <w:r>
        <w:tab/>
      </w:r>
      <w:r>
        <w:tab/>
        <w:t>parable</w:t>
      </w:r>
      <w:r>
        <w:tab/>
      </w:r>
      <w:r>
        <w:tab/>
        <w:t xml:space="preserve">of </w:t>
      </w:r>
      <w:r w:rsidRPr="005B36A4">
        <w:t>the blind</w:t>
      </w:r>
    </w:p>
    <w:p w14:paraId="64AE2E76" w14:textId="77777777" w:rsidR="0018433B" w:rsidRPr="005B36A4" w:rsidRDefault="0018433B" w:rsidP="0018433B">
      <w:r>
        <w:tab/>
      </w:r>
      <w:r>
        <w:tab/>
      </w:r>
      <w:r>
        <w:tab/>
      </w:r>
      <w:r>
        <w:tab/>
      </w:r>
      <w:r>
        <w:tab/>
      </w:r>
      <w:r>
        <w:tab/>
      </w:r>
      <w:r w:rsidRPr="005B36A4">
        <w:t>of the beam</w:t>
      </w:r>
    </w:p>
    <w:p w14:paraId="093961DA" w14:textId="77777777" w:rsidR="0018433B" w:rsidRPr="005B36A4" w:rsidRDefault="0018433B" w:rsidP="0018433B">
      <w:r>
        <w:tab/>
      </w:r>
      <w:r>
        <w:tab/>
      </w:r>
      <w:r>
        <w:tab/>
      </w:r>
      <w:r>
        <w:tab/>
      </w:r>
      <w:r>
        <w:tab/>
      </w:r>
      <w:r>
        <w:tab/>
      </w:r>
      <w:r w:rsidRPr="005B36A4">
        <w:t>of the tree</w:t>
      </w:r>
    </w:p>
    <w:p w14:paraId="796B9AC5" w14:textId="77777777" w:rsidR="0018433B" w:rsidRPr="005B36A4" w:rsidRDefault="0018433B" w:rsidP="0018433B">
      <w:r>
        <w:tab/>
      </w:r>
      <w:r>
        <w:tab/>
      </w:r>
      <w:r>
        <w:tab/>
      </w:r>
      <w:r>
        <w:tab/>
      </w:r>
      <w:r>
        <w:tab/>
      </w:r>
      <w:r>
        <w:tab/>
      </w:r>
      <w:r w:rsidRPr="005B36A4">
        <w:t>of the house:</w:t>
      </w:r>
      <w:r>
        <w:tab/>
      </w:r>
      <w:r w:rsidRPr="005B36A4">
        <w:t>antithesis</w:t>
      </w:r>
      <w:r w:rsidRPr="005B36A4">
        <w:rPr>
          <w:rStyle w:val="FootnoteReference"/>
        </w:rPr>
        <w:footnoteReference w:id="342"/>
      </w:r>
    </w:p>
    <w:p w14:paraId="301D68B6" w14:textId="77777777" w:rsidR="0018433B" w:rsidRDefault="0018433B" w:rsidP="0018433B"/>
    <w:p w14:paraId="7346CC61" w14:textId="6DA51571" w:rsidR="0018433B" w:rsidRDefault="0018433B" w:rsidP="0018433B">
      <w:r>
        <w:tab/>
        <w:t>We have now covered all of Morgenthaler’s analysis of Luke’s sermon on the plain</w:t>
      </w:r>
      <w:r w:rsidR="006F304D" w:rsidRPr="006F304D">
        <w:t xml:space="preserve">, </w:t>
      </w:r>
      <w:r>
        <w:t>insofar as that analysis occurs at the levels of words</w:t>
      </w:r>
      <w:r w:rsidR="006F304D" w:rsidRPr="006F304D">
        <w:t xml:space="preserve">, </w:t>
      </w:r>
      <w:r>
        <w:t>of sentences</w:t>
      </w:r>
      <w:r w:rsidR="006F304D" w:rsidRPr="006F304D">
        <w:t xml:space="preserve">, </w:t>
      </w:r>
      <w:r>
        <w:t xml:space="preserve">and of sections. But Morgenthaler has one more application of his principle of </w:t>
      </w:r>
      <w:proofErr w:type="spellStart"/>
      <w:r>
        <w:t>twofoldness</w:t>
      </w:r>
      <w:proofErr w:type="spellEnd"/>
      <w:r>
        <w:t xml:space="preserve"> to show us</w:t>
      </w:r>
      <w:r w:rsidR="006F304D" w:rsidRPr="006F304D">
        <w:t xml:space="preserve">, </w:t>
      </w:r>
      <w:r>
        <w:t>and this occurs at the level of pericopes as a whole.</w:t>
      </w:r>
    </w:p>
    <w:p w14:paraId="7E1BA344" w14:textId="14DA24B2" w:rsidR="0018433B" w:rsidRDefault="0018433B" w:rsidP="0018433B">
      <w:r>
        <w:tab/>
      </w:r>
      <w:r w:rsidRPr="005B36A4">
        <w:t xml:space="preserve">Morgenthaler considers the entire sermon to be an instance of </w:t>
      </w:r>
      <w:proofErr w:type="spellStart"/>
      <w:r w:rsidRPr="005B36A4">
        <w:rPr>
          <w:i/>
          <w:iCs/>
        </w:rPr>
        <w:t>Zweigliedrigkeit</w:t>
      </w:r>
      <w:proofErr w:type="spellEnd"/>
      <w:r w:rsidR="006F304D" w:rsidRPr="006F304D">
        <w:rPr>
          <w:iCs/>
        </w:rPr>
        <w:t xml:space="preserve">, </w:t>
      </w:r>
      <w:r w:rsidRPr="005B36A4">
        <w:t>in that it is divisible into two parts. Triumphantly he proclaims</w:t>
      </w:r>
      <w:r w:rsidR="006F304D" w:rsidRPr="006F304D">
        <w:t xml:space="preserve">, </w:t>
      </w:r>
      <w:r w:rsidRPr="005B36A4">
        <w:t xml:space="preserve">“the law of </w:t>
      </w:r>
      <w:proofErr w:type="spellStart"/>
      <w:r w:rsidRPr="005B36A4">
        <w:t>twofoldness</w:t>
      </w:r>
      <w:proofErr w:type="spellEnd"/>
      <w:r w:rsidRPr="005B36A4">
        <w:t xml:space="preserve"> controls the Lukan speeches as well!”</w:t>
      </w:r>
      <w:r w:rsidRPr="005B36A4">
        <w:rPr>
          <w:rStyle w:val="FootnoteReference"/>
        </w:rPr>
        <w:footnoteReference w:id="343"/>
      </w:r>
      <w:r w:rsidRPr="005B36A4">
        <w:t xml:space="preserve"> To prove his point</w:t>
      </w:r>
      <w:r w:rsidR="006F304D" w:rsidRPr="006F304D">
        <w:t xml:space="preserve">, </w:t>
      </w:r>
      <w:r w:rsidRPr="005B36A4">
        <w:t>he lists several Lukan “two-part speeches” (</w:t>
      </w:r>
      <w:proofErr w:type="spellStart"/>
      <w:r w:rsidRPr="005B36A4">
        <w:rPr>
          <w:i/>
          <w:iCs/>
        </w:rPr>
        <w:t>Doppelreden</w:t>
      </w:r>
      <w:proofErr w:type="spellEnd"/>
      <w:r w:rsidRPr="005B36A4">
        <w:t>):</w:t>
      </w:r>
      <w:r w:rsidRPr="005B36A4">
        <w:rPr>
          <w:rStyle w:val="FootnoteReference"/>
        </w:rPr>
        <w:footnoteReference w:id="344"/>
      </w:r>
    </w:p>
    <w:p w14:paraId="055355A0" w14:textId="77777777" w:rsidR="0018433B" w:rsidRPr="005B36A4" w:rsidRDefault="0018433B" w:rsidP="0018433B"/>
    <w:p w14:paraId="6908A095" w14:textId="77777777" w:rsidR="0018433B" w:rsidRPr="005B36A4" w:rsidRDefault="0018433B" w:rsidP="0018433B">
      <w:pPr>
        <w:tabs>
          <w:tab w:val="right" w:leader="dot" w:pos="5040"/>
          <w:tab w:val="right" w:leader="dot" w:pos="7920"/>
        </w:tabs>
        <w:ind w:left="1440"/>
      </w:pPr>
      <w:r w:rsidRPr="005B36A4">
        <w:t>the sermon on the plain</w:t>
      </w:r>
      <w:r w:rsidRPr="005B36A4">
        <w:tab/>
      </w:r>
      <w:r>
        <w:t>Luke 6</w:t>
      </w:r>
      <w:r>
        <w:tab/>
        <w:t xml:space="preserve">interrupting verse </w:t>
      </w:r>
      <w:r w:rsidRPr="005B36A4">
        <w:t>39</w:t>
      </w:r>
    </w:p>
    <w:p w14:paraId="0B055C95" w14:textId="77777777" w:rsidR="0018433B" w:rsidRPr="005B36A4" w:rsidRDefault="0018433B" w:rsidP="0018433B">
      <w:pPr>
        <w:tabs>
          <w:tab w:val="right" w:leader="dot" w:pos="5040"/>
          <w:tab w:val="right" w:leader="dot" w:pos="7920"/>
        </w:tabs>
        <w:ind w:left="1440"/>
      </w:pPr>
      <w:r w:rsidRPr="005B36A4">
        <w:t xml:space="preserve">the </w:t>
      </w:r>
      <w:proofErr w:type="spellStart"/>
      <w:r w:rsidRPr="005B36A4">
        <w:t>sower</w:t>
      </w:r>
      <w:proofErr w:type="spellEnd"/>
      <w:r w:rsidRPr="005B36A4">
        <w:t xml:space="preserve"> speech</w:t>
      </w:r>
      <w:r w:rsidRPr="005B36A4">
        <w:tab/>
        <w:t>8</w:t>
      </w:r>
      <w:r w:rsidRPr="005B36A4">
        <w:tab/>
        <w:t>9</w:t>
      </w:r>
    </w:p>
    <w:p w14:paraId="67BD7B8C" w14:textId="77777777" w:rsidR="0018433B" w:rsidRPr="005B36A4" w:rsidRDefault="0018433B" w:rsidP="0018433B">
      <w:pPr>
        <w:tabs>
          <w:tab w:val="right" w:leader="dot" w:pos="5040"/>
          <w:tab w:val="right" w:leader="dot" w:pos="7920"/>
        </w:tabs>
        <w:ind w:left="1440"/>
      </w:pPr>
      <w:r w:rsidRPr="005B36A4">
        <w:t>the speech concerning prayer</w:t>
      </w:r>
      <w:r w:rsidRPr="005B36A4">
        <w:tab/>
        <w:t>11</w:t>
      </w:r>
      <w:r w:rsidRPr="005B36A4">
        <w:tab/>
        <w:t>5</w:t>
      </w:r>
    </w:p>
    <w:p w14:paraId="6B398545" w14:textId="77777777" w:rsidR="0018433B" w:rsidRPr="005B36A4" w:rsidRDefault="0018433B" w:rsidP="0018433B">
      <w:pPr>
        <w:tabs>
          <w:tab w:val="right" w:leader="dot" w:pos="5040"/>
          <w:tab w:val="right" w:leader="dot" w:pos="7920"/>
        </w:tabs>
        <w:ind w:left="1440"/>
      </w:pPr>
      <w:r w:rsidRPr="005B36A4">
        <w:t>the parable discourse</w:t>
      </w:r>
      <w:r w:rsidRPr="005B36A4">
        <w:tab/>
      </w:r>
      <w:r>
        <w:t xml:space="preserve"> </w:t>
      </w:r>
      <w:r w:rsidRPr="005B36A4">
        <w:t>13</w:t>
      </w:r>
      <w:r w:rsidRPr="005B36A4">
        <w:tab/>
        <w:t>6</w:t>
      </w:r>
    </w:p>
    <w:p w14:paraId="18BA98FC" w14:textId="77777777" w:rsidR="0018433B" w:rsidRPr="005B36A4" w:rsidRDefault="0018433B" w:rsidP="0018433B">
      <w:pPr>
        <w:tabs>
          <w:tab w:val="right" w:leader="dot" w:pos="5040"/>
          <w:tab w:val="right" w:leader="dot" w:pos="7920"/>
        </w:tabs>
        <w:ind w:left="1440"/>
      </w:pPr>
      <w:r w:rsidRPr="005B36A4">
        <w:t>the eschatological discourse</w:t>
      </w:r>
      <w:r w:rsidRPr="005B36A4">
        <w:tab/>
        <w:t>13</w:t>
      </w:r>
      <w:r w:rsidRPr="005B36A4">
        <w:tab/>
        <w:t>31</w:t>
      </w:r>
    </w:p>
    <w:p w14:paraId="498BCB32" w14:textId="77777777" w:rsidR="0018433B" w:rsidRPr="005B36A4" w:rsidRDefault="0018433B" w:rsidP="0018433B">
      <w:pPr>
        <w:tabs>
          <w:tab w:val="right" w:leader="dot" w:pos="5040"/>
          <w:tab w:val="right" w:leader="dot" w:pos="7920"/>
        </w:tabs>
        <w:ind w:left="1440"/>
      </w:pPr>
      <w:r w:rsidRPr="005B36A4">
        <w:t>the parable discourse</w:t>
      </w:r>
      <w:r w:rsidRPr="005B36A4">
        <w:tab/>
        <w:t>15</w:t>
      </w:r>
      <w:r w:rsidRPr="005B36A4">
        <w:tab/>
        <w:t>11</w:t>
      </w:r>
    </w:p>
    <w:p w14:paraId="12FF1A3A" w14:textId="77777777" w:rsidR="0018433B" w:rsidRPr="005B36A4" w:rsidRDefault="0018433B" w:rsidP="0018433B">
      <w:pPr>
        <w:tabs>
          <w:tab w:val="right" w:leader="dot" w:pos="5040"/>
          <w:tab w:val="right" w:leader="dot" w:pos="7920"/>
        </w:tabs>
        <w:ind w:left="1440"/>
      </w:pPr>
      <w:r w:rsidRPr="005B36A4">
        <w:t>the speech about mammon</w:t>
      </w:r>
      <w:r w:rsidRPr="005B36A4">
        <w:tab/>
        <w:t>16</w:t>
      </w:r>
      <w:r w:rsidRPr="005B36A4">
        <w:tab/>
        <w:t>14</w:t>
      </w:r>
    </w:p>
    <w:p w14:paraId="5F9DED79" w14:textId="77777777" w:rsidR="0018433B" w:rsidRPr="005B36A4" w:rsidRDefault="0018433B" w:rsidP="0018433B">
      <w:pPr>
        <w:tabs>
          <w:tab w:val="right" w:leader="dot" w:pos="5040"/>
          <w:tab w:val="right" w:leader="dot" w:pos="7920"/>
        </w:tabs>
        <w:ind w:left="1440"/>
      </w:pPr>
      <w:r w:rsidRPr="005B36A4">
        <w:t>the speech about disciples</w:t>
      </w:r>
      <w:r w:rsidRPr="005B36A4">
        <w:tab/>
        <w:t>17</w:t>
      </w:r>
      <w:r w:rsidRPr="005B36A4">
        <w:tab/>
        <w:t>7</w:t>
      </w:r>
    </w:p>
    <w:p w14:paraId="48AC22F5" w14:textId="77777777" w:rsidR="0018433B" w:rsidRPr="005B36A4" w:rsidRDefault="0018433B" w:rsidP="0018433B">
      <w:pPr>
        <w:tabs>
          <w:tab w:val="right" w:leader="dot" w:pos="5040"/>
          <w:tab w:val="right" w:leader="dot" w:pos="7920"/>
        </w:tabs>
        <w:ind w:left="1440"/>
      </w:pPr>
      <w:r w:rsidRPr="005B36A4">
        <w:t>the speech about the future</w:t>
      </w:r>
      <w:r w:rsidRPr="005B36A4">
        <w:tab/>
        <w:t xml:space="preserve"> 21</w:t>
      </w:r>
      <w:r w:rsidRPr="005B36A4">
        <w:tab/>
        <w:t>29</w:t>
      </w:r>
    </w:p>
    <w:p w14:paraId="0EC5EF58" w14:textId="77777777" w:rsidR="0018433B" w:rsidRDefault="0018433B" w:rsidP="0018433B"/>
    <w:p w14:paraId="5A7BAA61" w14:textId="339E793D" w:rsidR="0018433B" w:rsidRPr="005B36A4" w:rsidRDefault="0018433B" w:rsidP="0018433B">
      <w:r w:rsidRPr="005B36A4">
        <w:t>These speeches</w:t>
      </w:r>
      <w:r w:rsidR="006F304D" w:rsidRPr="006F304D">
        <w:t xml:space="preserve">, </w:t>
      </w:r>
      <w:r w:rsidRPr="005B36A4">
        <w:t>he says</w:t>
      </w:r>
      <w:r w:rsidR="006F304D" w:rsidRPr="006F304D">
        <w:t xml:space="preserve">, </w:t>
      </w:r>
      <w:r w:rsidRPr="005B36A4">
        <w:t>can “be divided into two sections by means of quite brief</w:t>
      </w:r>
      <w:r w:rsidR="006F304D" w:rsidRPr="006F304D">
        <w:t xml:space="preserve">, </w:t>
      </w:r>
      <w:r w:rsidRPr="005B36A4">
        <w:t>interruptive notes.”</w:t>
      </w:r>
      <w:r w:rsidRPr="005B36A4">
        <w:rPr>
          <w:rStyle w:val="FootnoteReference"/>
        </w:rPr>
        <w:footnoteReference w:id="345"/>
      </w:r>
      <w:r w:rsidRPr="005B36A4">
        <w:t xml:space="preserve"> The verses listed in the final column of Morgenthaler’s chart are these brief notes. Thus</w:t>
      </w:r>
      <w:r w:rsidR="006F304D" w:rsidRPr="006F304D">
        <w:t xml:space="preserve">, </w:t>
      </w:r>
      <w:r w:rsidRPr="005B36A4">
        <w:t>the sermon on the plain divides at Luke 6:39</w:t>
      </w:r>
      <w:r w:rsidR="006F304D" w:rsidRPr="006F304D">
        <w:t xml:space="preserve">, </w:t>
      </w:r>
      <w:r w:rsidRPr="005B36A4">
        <w:t>at the interruptive note</w:t>
      </w:r>
      <w:r w:rsidR="006F304D" w:rsidRPr="006F304D">
        <w:t xml:space="preserve">, </w:t>
      </w:r>
      <w:r w:rsidRPr="005B36A4">
        <w:t xml:space="preserve">“He also told them a parable </w:t>
      </w:r>
      <w:r w:rsidRPr="00E149A1">
        <w:t>. . .</w:t>
      </w:r>
      <w:r w:rsidRPr="005B36A4">
        <w:t>”</w:t>
      </w:r>
      <w:r w:rsidRPr="005B36A4">
        <w:rPr>
          <w:rStyle w:val="FootnoteReference"/>
        </w:rPr>
        <w:footnoteReference w:id="346"/>
      </w:r>
    </w:p>
    <w:p w14:paraId="554439E8" w14:textId="77777777" w:rsidR="0018433B" w:rsidRPr="005B36A4" w:rsidRDefault="0018433B" w:rsidP="0018433B">
      <w:r>
        <w:lastRenderedPageBreak/>
        <w:tab/>
      </w:r>
      <w:r w:rsidRPr="005B36A4">
        <w:t xml:space="preserve">We have now examined </w:t>
      </w:r>
      <w:r w:rsidRPr="005B36A4">
        <w:rPr>
          <w:i/>
          <w:iCs/>
        </w:rPr>
        <w:t>in toto</w:t>
      </w:r>
      <w:r w:rsidRPr="005B36A4">
        <w:t xml:space="preserve"> Morgenthaler’s analysis of the structure of the sermon on the plain. What shall we make of all this?</w:t>
      </w:r>
    </w:p>
    <w:p w14:paraId="356E5DFC" w14:textId="73385EC9" w:rsidR="0018433B" w:rsidRPr="005B36A4" w:rsidRDefault="0018433B" w:rsidP="0018433B">
      <w:r>
        <w:tab/>
      </w:r>
      <w:r w:rsidRPr="005B36A4">
        <w:t xml:space="preserve">Though Morgenthaler’s examples of </w:t>
      </w:r>
      <w:proofErr w:type="spellStart"/>
      <w:r w:rsidRPr="005B36A4">
        <w:t>twofoldness</w:t>
      </w:r>
      <w:proofErr w:type="spellEnd"/>
      <w:r w:rsidRPr="005B36A4">
        <w:t xml:space="preserve"> at the level of words and sentences show considerable creativity</w:t>
      </w:r>
      <w:r w:rsidR="006F304D" w:rsidRPr="006F304D">
        <w:t xml:space="preserve">, </w:t>
      </w:r>
      <w:r w:rsidRPr="005B36A4">
        <w:t xml:space="preserve">many of the phenomena that Morgenthaler discusses can be explained without reference to a law of </w:t>
      </w:r>
      <w:proofErr w:type="spellStart"/>
      <w:r w:rsidRPr="005B36A4">
        <w:t>twofoldness</w:t>
      </w:r>
      <w:proofErr w:type="spellEnd"/>
      <w:r w:rsidRPr="005B36A4">
        <w:t>. Has Luke doubled the vocative</w:t>
      </w:r>
      <w:r w:rsidR="006F304D" w:rsidRPr="006F304D">
        <w:t xml:space="preserve">, </w:t>
      </w:r>
      <w:r w:rsidRPr="005B36A4">
        <w:t>“Lord</w:t>
      </w:r>
      <w:r w:rsidR="006F304D" w:rsidRPr="006F304D">
        <w:t xml:space="preserve">, </w:t>
      </w:r>
      <w:r w:rsidRPr="005B36A4">
        <w:t>Lord” (6:46)</w:t>
      </w:r>
      <w:r w:rsidR="006F304D" w:rsidRPr="006F304D">
        <w:t xml:space="preserve">, </w:t>
      </w:r>
      <w:r w:rsidRPr="005B36A4">
        <w:t xml:space="preserve">to </w:t>
      </w:r>
      <w:r>
        <w:t xml:space="preserve">maintain </w:t>
      </w:r>
      <w:proofErr w:type="spellStart"/>
      <w:r w:rsidRPr="005B36A4">
        <w:t>twofoldness</w:t>
      </w:r>
      <w:proofErr w:type="spellEnd"/>
      <w:r w:rsidR="006F304D" w:rsidRPr="006F304D">
        <w:t xml:space="preserve">, </w:t>
      </w:r>
      <w:r w:rsidRPr="005B36A4">
        <w:t>or because he is imitating</w:t>
      </w:r>
      <w:r w:rsidR="006F304D" w:rsidRPr="006F304D">
        <w:t xml:space="preserve">, </w:t>
      </w:r>
      <w:r w:rsidRPr="005B36A4">
        <w:t>as he does elsewhere</w:t>
      </w:r>
      <w:r w:rsidR="006F304D" w:rsidRPr="006F304D">
        <w:t xml:space="preserve">, </w:t>
      </w:r>
      <w:r w:rsidRPr="005B36A4">
        <w:t>the Septua</w:t>
      </w:r>
      <w:r w:rsidRPr="005B36A4">
        <w:softHyphen/>
        <w:t>gint?</w:t>
      </w:r>
      <w:r w:rsidRPr="005B36A4">
        <w:rPr>
          <w:rStyle w:val="FootnoteReference"/>
        </w:rPr>
        <w:footnoteReference w:id="347"/>
      </w:r>
      <w:r w:rsidRPr="005B36A4">
        <w:t xml:space="preserve"> Does he use the phrase</w:t>
      </w:r>
      <w:r w:rsidR="006F304D" w:rsidRPr="006F304D">
        <w:t xml:space="preserve">, </w:t>
      </w:r>
      <w:r w:rsidRPr="005B36A4">
        <w:t xml:space="preserve">“building a building” (6:48 and 49) to create an </w:t>
      </w:r>
      <w:proofErr w:type="spellStart"/>
      <w:r w:rsidRPr="005B36A4">
        <w:rPr>
          <w:i/>
          <w:iCs/>
        </w:rPr>
        <w:t>etymologische</w:t>
      </w:r>
      <w:proofErr w:type="spellEnd"/>
      <w:r w:rsidRPr="005B36A4">
        <w:rPr>
          <w:i/>
          <w:iCs/>
        </w:rPr>
        <w:t xml:space="preserve"> </w:t>
      </w:r>
      <w:proofErr w:type="spellStart"/>
      <w:r w:rsidRPr="005B36A4">
        <w:rPr>
          <w:i/>
          <w:iCs/>
        </w:rPr>
        <w:t>Figur</w:t>
      </w:r>
      <w:proofErr w:type="spellEnd"/>
      <w:r w:rsidRPr="005B36A4">
        <w:t xml:space="preserve"> or because Greek typically forms its parts of speech in families based on a single root?</w:t>
      </w:r>
      <w:r w:rsidRPr="005B36A4">
        <w:rPr>
          <w:rStyle w:val="FootnoteReference"/>
        </w:rPr>
        <w:footnoteReference w:id="348"/>
      </w:r>
      <w:r w:rsidRPr="005B36A4">
        <w:t xml:space="preserve"> Is “to be” repeated in “Your reward will be great</w:t>
      </w:r>
      <w:r w:rsidR="006F304D" w:rsidRPr="006F304D">
        <w:t xml:space="preserve">, </w:t>
      </w:r>
      <w:r w:rsidRPr="005B36A4">
        <w:t>and you will be children of the Most High” (6:35de) to create an anaphora (repeated initial word) or because “to be” is the most common verb</w:t>
      </w:r>
      <w:r w:rsidR="006F304D" w:rsidRPr="006F304D">
        <w:t xml:space="preserve">, </w:t>
      </w:r>
      <w:r w:rsidRPr="005B36A4">
        <w:t xml:space="preserve">and the two clauses are after all parallel? Are there four words in “good </w:t>
      </w:r>
      <w:r w:rsidRPr="00E149A1">
        <w:t>. . .</w:t>
      </w:r>
      <w:r w:rsidR="006F304D" w:rsidRPr="006F304D">
        <w:t xml:space="preserve">, </w:t>
      </w:r>
      <w:r w:rsidRPr="005B36A4">
        <w:t>pressed down</w:t>
      </w:r>
      <w:r w:rsidR="006F304D" w:rsidRPr="006F304D">
        <w:t xml:space="preserve">, </w:t>
      </w:r>
      <w:r w:rsidRPr="005B36A4">
        <w:t>shaken together</w:t>
      </w:r>
      <w:r w:rsidR="006F304D" w:rsidRPr="006F304D">
        <w:t xml:space="preserve">, </w:t>
      </w:r>
      <w:r w:rsidRPr="005B36A4">
        <w:t>running over” (6:38</w:t>
      </w:r>
      <w:r>
        <w:t xml:space="preserve">: </w:t>
      </w:r>
      <w:r w:rsidRPr="00CE06CA">
        <w:rPr>
          <w:bCs/>
          <w:szCs w:val="22"/>
          <w:lang w:val="el-GR"/>
        </w:rPr>
        <w:t>καλὸν πεπιεσμένον σεσαλευμένον ὑπερεκχυννόμενον</w:t>
      </w:r>
      <w:r w:rsidRPr="005B36A4">
        <w:t xml:space="preserve">) because Luke wants to create a </w:t>
      </w:r>
      <w:proofErr w:type="spellStart"/>
      <w:r w:rsidRPr="005B36A4">
        <w:rPr>
          <w:i/>
          <w:iCs/>
        </w:rPr>
        <w:t>Vierergruppe</w:t>
      </w:r>
      <w:proofErr w:type="spellEnd"/>
      <w:r w:rsidR="006F304D" w:rsidRPr="006F304D">
        <w:rPr>
          <w:iCs/>
        </w:rPr>
        <w:t xml:space="preserve">, </w:t>
      </w:r>
      <w:r w:rsidRPr="005B36A4">
        <w:t>or because he or his source wants to express the exuberance or abundance with which the measure will be given?</w:t>
      </w:r>
    </w:p>
    <w:p w14:paraId="66186B2E" w14:textId="02D2FA42" w:rsidR="0018433B" w:rsidRPr="005B36A4" w:rsidRDefault="0018433B" w:rsidP="0018433B">
      <w:r>
        <w:tab/>
      </w:r>
      <w:r w:rsidRPr="005B36A4">
        <w:t>When one comes to the level of sections (</w:t>
      </w:r>
      <w:proofErr w:type="spellStart"/>
      <w:r w:rsidRPr="005B36A4">
        <w:rPr>
          <w:i/>
          <w:iCs/>
        </w:rPr>
        <w:t>Satzkompositionen</w:t>
      </w:r>
      <w:proofErr w:type="spellEnd"/>
      <w:r w:rsidRPr="005B36A4">
        <w:t>)</w:t>
      </w:r>
      <w:r w:rsidR="006F304D" w:rsidRPr="006F304D">
        <w:t xml:space="preserve">, </w:t>
      </w:r>
      <w:r w:rsidRPr="005B36A4">
        <w:t>where Morgenthaler’s main discussion of the sermon occurs</w:t>
      </w:r>
      <w:r w:rsidR="006F304D" w:rsidRPr="006F304D">
        <w:t xml:space="preserve">, </w:t>
      </w:r>
      <w:r w:rsidRPr="005B36A4">
        <w:t xml:space="preserve">further </w:t>
      </w:r>
      <w:r>
        <w:t xml:space="preserve">questions </w:t>
      </w:r>
      <w:r w:rsidRPr="005B36A4">
        <w:t xml:space="preserve">arise. Consider his analysis of the beatitudes </w:t>
      </w:r>
      <w:r w:rsidRPr="005B36A4">
        <w:lastRenderedPageBreak/>
        <w:t>and woes. He is correct to distinguish the beatitudes from the woes</w:t>
      </w:r>
      <w:r w:rsidR="006F304D" w:rsidRPr="006F304D">
        <w:t xml:space="preserve">, </w:t>
      </w:r>
      <w:r w:rsidRPr="005B36A4">
        <w:t>to note that each contains four instances of “blessed” or “woe,” and to point to the presence of “now” (</w:t>
      </w:r>
      <w:proofErr w:type="spellStart"/>
      <w:r>
        <w:t>ν</w:t>
      </w:r>
      <w:r w:rsidRPr="00CB0999">
        <w:rPr>
          <w:szCs w:val="22"/>
          <w:lang w:bidi="he-IL"/>
        </w:rPr>
        <w:t>ῦ</w:t>
      </w:r>
      <w:r>
        <w:rPr>
          <w:szCs w:val="22"/>
          <w:lang w:bidi="he-IL"/>
        </w:rPr>
        <w:t>ν</w:t>
      </w:r>
      <w:proofErr w:type="spellEnd"/>
      <w:r w:rsidRPr="005B36A4">
        <w:t xml:space="preserve">) in the middle two of each set of four. But is all this really the result of the principle of </w:t>
      </w:r>
      <w:proofErr w:type="spellStart"/>
      <w:r w:rsidRPr="005B36A4">
        <w:t>twofoldness</w:t>
      </w:r>
      <w:proofErr w:type="spellEnd"/>
      <w:r w:rsidRPr="005B36A4">
        <w:t xml:space="preserve">? Must every instance of </w:t>
      </w:r>
      <w:proofErr w:type="spellStart"/>
      <w:r w:rsidRPr="005B36A4">
        <w:t>fourfoldness</w:t>
      </w:r>
      <w:proofErr w:type="spellEnd"/>
      <w:r w:rsidRPr="005B36A4">
        <w:t xml:space="preserve"> be the principle of </w:t>
      </w:r>
      <w:proofErr w:type="spellStart"/>
      <w:r w:rsidRPr="005B36A4">
        <w:t>twofoldness</w:t>
      </w:r>
      <w:proofErr w:type="spellEnd"/>
      <w:r w:rsidRPr="005B36A4">
        <w:t xml:space="preserve"> applied twice</w:t>
      </w:r>
      <w:r w:rsidR="006F304D" w:rsidRPr="006F304D">
        <w:t xml:space="preserve">, </w:t>
      </w:r>
      <w:r w:rsidRPr="005B36A4">
        <w:t xml:space="preserve">rather than </w:t>
      </w:r>
      <w:proofErr w:type="spellStart"/>
      <w:r w:rsidRPr="005B36A4">
        <w:rPr>
          <w:i/>
          <w:iCs/>
        </w:rPr>
        <w:t>Viererparallelismus</w:t>
      </w:r>
      <w:proofErr w:type="spellEnd"/>
      <w:r w:rsidRPr="005B36A4">
        <w:t xml:space="preserve"> for its own sake? And must the presence of </w:t>
      </w:r>
      <w:proofErr w:type="spellStart"/>
      <w:r>
        <w:t>ν</w:t>
      </w:r>
      <w:r w:rsidRPr="00CB0999">
        <w:rPr>
          <w:szCs w:val="22"/>
          <w:lang w:bidi="he-IL"/>
        </w:rPr>
        <w:t>ῦ</w:t>
      </w:r>
      <w:r>
        <w:rPr>
          <w:szCs w:val="22"/>
          <w:lang w:bidi="he-IL"/>
        </w:rPr>
        <w:t>ν</w:t>
      </w:r>
      <w:proofErr w:type="spellEnd"/>
      <w:r w:rsidRPr="005B36A4">
        <w:t xml:space="preserve"> in the second and third members of each set and its absence in the first and fourth members create two groups (those with and those without </w:t>
      </w:r>
      <w:proofErr w:type="spellStart"/>
      <w:r>
        <w:t>ν</w:t>
      </w:r>
      <w:r w:rsidRPr="00CB0999">
        <w:rPr>
          <w:szCs w:val="22"/>
          <w:lang w:bidi="he-IL"/>
        </w:rPr>
        <w:t>ῦ</w:t>
      </w:r>
      <w:r>
        <w:rPr>
          <w:szCs w:val="22"/>
          <w:lang w:bidi="he-IL"/>
        </w:rPr>
        <w:t>ν</w:t>
      </w:r>
      <w:proofErr w:type="spellEnd"/>
      <w:r w:rsidRPr="005B36A4">
        <w:t>)</w:t>
      </w:r>
      <w:r w:rsidR="006F304D" w:rsidRPr="006F304D">
        <w:t xml:space="preserve">, </w:t>
      </w:r>
      <w:r w:rsidRPr="005B36A4">
        <w:t xml:space="preserve">so that one winds up with four groups of two? Is not </w:t>
      </w:r>
      <w:proofErr w:type="spellStart"/>
      <w:r>
        <w:t>ν</w:t>
      </w:r>
      <w:r w:rsidRPr="00CB0999">
        <w:rPr>
          <w:szCs w:val="22"/>
          <w:lang w:bidi="he-IL"/>
        </w:rPr>
        <w:t>ῦ</w:t>
      </w:r>
      <w:r>
        <w:rPr>
          <w:szCs w:val="22"/>
          <w:lang w:bidi="he-IL"/>
        </w:rPr>
        <w:t>ν</w:t>
      </w:r>
      <w:proofErr w:type="spellEnd"/>
      <w:r w:rsidRPr="005B36A4">
        <w:t xml:space="preserve"> in fact more ornamental than structural? “Hungering” and “weeping” (the middle beatitudes) or “full” and “laughing” (the middle woes) are no more creditable or reprehensible</w:t>
      </w:r>
      <w:r w:rsidR="006F304D" w:rsidRPr="006F304D">
        <w:t xml:space="preserve">, </w:t>
      </w:r>
      <w:r w:rsidRPr="005B36A4">
        <w:t>respectively</w:t>
      </w:r>
      <w:r w:rsidR="006F304D" w:rsidRPr="006F304D">
        <w:t xml:space="preserve">, </w:t>
      </w:r>
      <w:r w:rsidRPr="005B36A4">
        <w:t xml:space="preserve">if done “now” than are the other beatitudes </w:t>
      </w:r>
      <w:r>
        <w:t>or</w:t>
      </w:r>
      <w:r w:rsidRPr="005B36A4">
        <w:t xml:space="preserve"> woes.</w:t>
      </w:r>
    </w:p>
    <w:p w14:paraId="51D4AD5C" w14:textId="161C2819" w:rsidR="0018433B" w:rsidRPr="005B36A4" w:rsidRDefault="0018433B" w:rsidP="0018433B">
      <w:r>
        <w:tab/>
      </w:r>
      <w:r w:rsidRPr="005B36A4">
        <w:t>The greatest difficulty with Morgenthaler’s analysis of the beatitudes and woes is his failure to take into consideration the deviations from pure parallelism that occur in them. The beatitudes and woes do parallel one another in general content: the first beatitude and woe contrast the poor and the rich</w:t>
      </w:r>
      <w:r w:rsidR="006F304D" w:rsidRPr="006F304D">
        <w:t xml:space="preserve">, </w:t>
      </w:r>
      <w:r w:rsidRPr="005B36A4">
        <w:t>the second the hungry and the full</w:t>
      </w:r>
      <w:r w:rsidR="006F304D" w:rsidRPr="006F304D">
        <w:t xml:space="preserve">, </w:t>
      </w:r>
      <w:r w:rsidRPr="005B36A4">
        <w:t>the third the weeping and the laughing</w:t>
      </w:r>
      <w:r w:rsidR="006F304D" w:rsidRPr="006F304D">
        <w:t xml:space="preserve">, </w:t>
      </w:r>
      <w:r w:rsidRPr="005B36A4">
        <w:t>the fourth the reviled and the praised. But even within the first three pairs of beatitudes and woes</w:t>
      </w:r>
      <w:r w:rsidR="006F304D" w:rsidRPr="006F304D">
        <w:t xml:space="preserve">, </w:t>
      </w:r>
      <w:r w:rsidRPr="005B36A4">
        <w:t>where formal similarities are most numerous</w:t>
      </w:r>
      <w:r w:rsidR="006F304D" w:rsidRPr="006F304D">
        <w:t xml:space="preserve">, </w:t>
      </w:r>
      <w:r w:rsidRPr="005B36A4">
        <w:t>there are many formal deviations.</w:t>
      </w:r>
    </w:p>
    <w:p w14:paraId="670B809B" w14:textId="2850C8A3" w:rsidR="0018433B" w:rsidRPr="005B36A4" w:rsidRDefault="0018433B" w:rsidP="0018433B">
      <w:r>
        <w:tab/>
      </w:r>
      <w:r w:rsidRPr="005B36A4">
        <w:t>The pattern of the second and third beatitudes is: “blessed” + definite article + present participle + “now” + “for” + future verb (</w:t>
      </w:r>
      <w:r w:rsidRPr="00CE06CA">
        <w:rPr>
          <w:bCs/>
          <w:szCs w:val="22"/>
          <w:lang w:val="el-GR"/>
        </w:rPr>
        <w:t xml:space="preserve">μακάριοι </w:t>
      </w:r>
      <w:r>
        <w:rPr>
          <w:bCs/>
          <w:szCs w:val="22"/>
        </w:rPr>
        <w:t xml:space="preserve">+ </w:t>
      </w:r>
      <w:r w:rsidRPr="00CE06CA">
        <w:rPr>
          <w:bCs/>
          <w:szCs w:val="22"/>
          <w:lang w:val="el-GR"/>
        </w:rPr>
        <w:t xml:space="preserve">οἱ </w:t>
      </w:r>
      <w:r>
        <w:rPr>
          <w:bCs/>
          <w:szCs w:val="22"/>
        </w:rPr>
        <w:t xml:space="preserve">+ </w:t>
      </w:r>
      <w:r w:rsidRPr="00CE06CA">
        <w:rPr>
          <w:bCs/>
          <w:szCs w:val="22"/>
          <w:lang w:val="el-GR"/>
        </w:rPr>
        <w:t xml:space="preserve">πεινῶντες </w:t>
      </w:r>
      <w:r>
        <w:rPr>
          <w:bCs/>
          <w:szCs w:val="22"/>
        </w:rPr>
        <w:t xml:space="preserve">+ </w:t>
      </w:r>
      <w:r w:rsidRPr="00CE06CA">
        <w:rPr>
          <w:bCs/>
          <w:szCs w:val="22"/>
          <w:lang w:val="el-GR"/>
        </w:rPr>
        <w:t>νῦν</w:t>
      </w:r>
      <w:r w:rsidR="006F304D" w:rsidRPr="006F304D">
        <w:rPr>
          <w:bCs/>
          <w:szCs w:val="22"/>
          <w:lang w:val="el-GR"/>
        </w:rPr>
        <w:t xml:space="preserve">, </w:t>
      </w:r>
      <w:r>
        <w:rPr>
          <w:bCs/>
          <w:szCs w:val="22"/>
        </w:rPr>
        <w:t xml:space="preserve">+ </w:t>
      </w:r>
      <w:r w:rsidRPr="00CE06CA">
        <w:rPr>
          <w:bCs/>
          <w:szCs w:val="22"/>
          <w:lang w:val="el-GR"/>
        </w:rPr>
        <w:t xml:space="preserve">ὅτι </w:t>
      </w:r>
      <w:r>
        <w:rPr>
          <w:bCs/>
          <w:szCs w:val="22"/>
        </w:rPr>
        <w:t xml:space="preserve">+ </w:t>
      </w:r>
      <w:r w:rsidRPr="00CE06CA">
        <w:rPr>
          <w:bCs/>
          <w:szCs w:val="22"/>
          <w:lang w:val="el-GR"/>
        </w:rPr>
        <w:t>χορτασθήσεσθε.</w:t>
      </w:r>
      <w:r w:rsidRPr="00BA7D1A">
        <w:rPr>
          <w:bCs/>
          <w:szCs w:val="22"/>
          <w:lang w:val="el-GR"/>
        </w:rPr>
        <w:t xml:space="preserve"> </w:t>
      </w:r>
      <w:r w:rsidRPr="00CE06CA">
        <w:rPr>
          <w:bCs/>
          <w:szCs w:val="22"/>
          <w:lang w:val="el-GR"/>
        </w:rPr>
        <w:t xml:space="preserve">μακάριοι </w:t>
      </w:r>
      <w:r>
        <w:rPr>
          <w:bCs/>
          <w:szCs w:val="22"/>
        </w:rPr>
        <w:t xml:space="preserve">+ </w:t>
      </w:r>
      <w:r w:rsidRPr="00CE06CA">
        <w:rPr>
          <w:bCs/>
          <w:szCs w:val="22"/>
          <w:lang w:val="el-GR"/>
        </w:rPr>
        <w:t xml:space="preserve">οἱ </w:t>
      </w:r>
      <w:r>
        <w:rPr>
          <w:bCs/>
          <w:szCs w:val="22"/>
        </w:rPr>
        <w:t xml:space="preserve">+ </w:t>
      </w:r>
      <w:r w:rsidRPr="00CE06CA">
        <w:rPr>
          <w:bCs/>
          <w:szCs w:val="22"/>
          <w:lang w:val="el-GR"/>
        </w:rPr>
        <w:t xml:space="preserve">κλαίοντες </w:t>
      </w:r>
      <w:r>
        <w:rPr>
          <w:bCs/>
          <w:szCs w:val="22"/>
        </w:rPr>
        <w:t xml:space="preserve">+ </w:t>
      </w:r>
      <w:r w:rsidRPr="00CE06CA">
        <w:rPr>
          <w:bCs/>
          <w:szCs w:val="22"/>
          <w:lang w:val="el-GR"/>
        </w:rPr>
        <w:t>νῦν</w:t>
      </w:r>
      <w:r w:rsidR="006F304D" w:rsidRPr="006F304D">
        <w:rPr>
          <w:bCs/>
          <w:szCs w:val="22"/>
          <w:lang w:val="el-GR"/>
        </w:rPr>
        <w:t xml:space="preserve">, </w:t>
      </w:r>
      <w:r>
        <w:rPr>
          <w:bCs/>
          <w:szCs w:val="22"/>
        </w:rPr>
        <w:t xml:space="preserve">+ </w:t>
      </w:r>
      <w:r w:rsidRPr="00CE06CA">
        <w:rPr>
          <w:bCs/>
          <w:szCs w:val="22"/>
          <w:lang w:val="el-GR"/>
        </w:rPr>
        <w:t xml:space="preserve">ὅτι </w:t>
      </w:r>
      <w:r>
        <w:rPr>
          <w:bCs/>
          <w:szCs w:val="22"/>
        </w:rPr>
        <w:t xml:space="preserve">+ </w:t>
      </w:r>
      <w:r w:rsidRPr="00CE06CA">
        <w:rPr>
          <w:bCs/>
          <w:szCs w:val="22"/>
          <w:lang w:val="el-GR"/>
        </w:rPr>
        <w:t>γελά</w:t>
      </w:r>
      <w:r>
        <w:rPr>
          <w:bCs/>
          <w:szCs w:val="22"/>
          <w:lang w:val="el-GR"/>
        </w:rPr>
        <w:t>σετε</w:t>
      </w:r>
      <w:r w:rsidRPr="005B36A4">
        <w:t>). The first beatitude</w:t>
      </w:r>
      <w:r w:rsidR="006F304D" w:rsidRPr="006F304D">
        <w:t xml:space="preserve">, </w:t>
      </w:r>
      <w:r w:rsidRPr="005B36A4">
        <w:t>on the other hand</w:t>
      </w:r>
      <w:r w:rsidR="006F304D" w:rsidRPr="006F304D">
        <w:t xml:space="preserve">, </w:t>
      </w:r>
      <w:r w:rsidRPr="005B36A4">
        <w:t>besides lacking “now,” has a noun rather than a participle and has a pr</w:t>
      </w:r>
      <w:r>
        <w:t>esent rather than a future verb.</w:t>
      </w:r>
      <w:r w:rsidRPr="005B36A4">
        <w:t xml:space="preserve"> </w:t>
      </w:r>
      <w:r>
        <w:t>A</w:t>
      </w:r>
      <w:r w:rsidRPr="005B36A4">
        <w:t>lso</w:t>
      </w:r>
      <w:r w:rsidR="006F304D" w:rsidRPr="006F304D">
        <w:t xml:space="preserve">, </w:t>
      </w:r>
      <w:r w:rsidRPr="005B36A4">
        <w:t xml:space="preserve">the verb </w:t>
      </w:r>
      <w:r>
        <w:t>ha</w:t>
      </w:r>
      <w:r w:rsidRPr="005B36A4">
        <w:t>s a</w:t>
      </w:r>
      <w:r>
        <w:t xml:space="preserve"> predicate adjective</w:t>
      </w:r>
      <w:r>
        <w:rPr>
          <w:rStyle w:val="FootnoteReference"/>
        </w:rPr>
        <w:footnoteReference w:id="349"/>
      </w:r>
      <w:r w:rsidRPr="005B36A4">
        <w:t xml:space="preserve"> (</w:t>
      </w:r>
      <w:r w:rsidRPr="00CE06CA">
        <w:rPr>
          <w:bCs/>
          <w:szCs w:val="22"/>
          <w:lang w:val="el-GR"/>
        </w:rPr>
        <w:t>Μακάριοι οἱ πτωχοί</w:t>
      </w:r>
      <w:r w:rsidR="006F304D" w:rsidRPr="006F304D">
        <w:t xml:space="preserve">, </w:t>
      </w:r>
      <w:r w:rsidRPr="00CE06CA">
        <w:rPr>
          <w:bCs/>
          <w:szCs w:val="22"/>
          <w:lang w:val="el-GR"/>
        </w:rPr>
        <w:t>ὅτι ὑμετέρα ἐστὶν ἡ βασιλεία τοῦ θεοῦ</w:t>
      </w:r>
      <w:r w:rsidRPr="005B36A4">
        <w:t>). The woes</w:t>
      </w:r>
      <w:r w:rsidR="006F304D" w:rsidRPr="006F304D">
        <w:t xml:space="preserve">, </w:t>
      </w:r>
      <w:r w:rsidRPr="005B36A4">
        <w:t>too</w:t>
      </w:r>
      <w:r w:rsidR="006F304D" w:rsidRPr="006F304D">
        <w:t xml:space="preserve">, </w:t>
      </w:r>
      <w:r w:rsidRPr="005B36A4">
        <w:t>show deviation. The pattern of the second woe is: “woe” + “to you” + definite article + present participle + “now” + “for” + future verb (</w:t>
      </w:r>
      <w:r w:rsidRPr="00CE06CA">
        <w:rPr>
          <w:bCs/>
          <w:szCs w:val="22"/>
          <w:lang w:val="el-GR"/>
        </w:rPr>
        <w:t xml:space="preserve">οὐαὶ </w:t>
      </w:r>
      <w:r>
        <w:rPr>
          <w:bCs/>
          <w:szCs w:val="22"/>
        </w:rPr>
        <w:t xml:space="preserve">+ </w:t>
      </w:r>
      <w:r w:rsidRPr="00CE06CA">
        <w:rPr>
          <w:bCs/>
          <w:szCs w:val="22"/>
          <w:lang w:val="el-GR"/>
        </w:rPr>
        <w:t>ὑμῖν</w:t>
      </w:r>
      <w:r w:rsidR="006F304D" w:rsidRPr="006F304D">
        <w:rPr>
          <w:bCs/>
          <w:szCs w:val="22"/>
          <w:lang w:val="el-GR"/>
        </w:rPr>
        <w:t xml:space="preserve">, </w:t>
      </w:r>
      <w:r>
        <w:rPr>
          <w:bCs/>
          <w:szCs w:val="22"/>
        </w:rPr>
        <w:t xml:space="preserve">+ </w:t>
      </w:r>
      <w:r w:rsidRPr="00CE06CA">
        <w:rPr>
          <w:bCs/>
          <w:szCs w:val="22"/>
          <w:lang w:val="el-GR"/>
        </w:rPr>
        <w:t xml:space="preserve">οἱ </w:t>
      </w:r>
      <w:r>
        <w:rPr>
          <w:bCs/>
          <w:szCs w:val="22"/>
        </w:rPr>
        <w:t xml:space="preserve">+ </w:t>
      </w:r>
      <w:r w:rsidRPr="00CE06CA">
        <w:rPr>
          <w:bCs/>
          <w:szCs w:val="22"/>
          <w:lang w:val="el-GR"/>
        </w:rPr>
        <w:t xml:space="preserve">ἐμπεπλησμένοι </w:t>
      </w:r>
      <w:r>
        <w:rPr>
          <w:bCs/>
          <w:szCs w:val="22"/>
        </w:rPr>
        <w:t xml:space="preserve">+ </w:t>
      </w:r>
      <w:r w:rsidRPr="00CE06CA">
        <w:rPr>
          <w:bCs/>
          <w:szCs w:val="22"/>
          <w:lang w:val="el-GR"/>
        </w:rPr>
        <w:t>νῦν</w:t>
      </w:r>
      <w:r w:rsidR="006F304D" w:rsidRPr="006F304D">
        <w:rPr>
          <w:bCs/>
          <w:szCs w:val="22"/>
          <w:lang w:val="el-GR"/>
        </w:rPr>
        <w:t xml:space="preserve">, </w:t>
      </w:r>
      <w:r>
        <w:rPr>
          <w:bCs/>
          <w:szCs w:val="22"/>
        </w:rPr>
        <w:t xml:space="preserve">+ </w:t>
      </w:r>
      <w:r w:rsidRPr="00CE06CA">
        <w:rPr>
          <w:bCs/>
          <w:szCs w:val="22"/>
          <w:lang w:val="el-GR"/>
        </w:rPr>
        <w:t xml:space="preserve">ὅτι </w:t>
      </w:r>
      <w:r>
        <w:rPr>
          <w:bCs/>
          <w:szCs w:val="22"/>
        </w:rPr>
        <w:t xml:space="preserve">+ </w:t>
      </w:r>
      <w:r w:rsidRPr="00CE06CA">
        <w:rPr>
          <w:bCs/>
          <w:szCs w:val="22"/>
          <w:lang w:val="el-GR"/>
        </w:rPr>
        <w:t>πεινά</w:t>
      </w:r>
      <w:r>
        <w:rPr>
          <w:bCs/>
          <w:szCs w:val="22"/>
          <w:lang w:val="el-GR"/>
        </w:rPr>
        <w:t>σετε</w:t>
      </w:r>
      <w:r w:rsidRPr="005B36A4">
        <w:t xml:space="preserve">). </w:t>
      </w:r>
      <w:r>
        <w:t>The first woe</w:t>
      </w:r>
      <w:r w:rsidR="006F304D" w:rsidRPr="006F304D">
        <w:t xml:space="preserve">, </w:t>
      </w:r>
      <w:r>
        <w:t>besides lacking “now</w:t>
      </w:r>
      <w:r w:rsidRPr="005B36A4">
        <w:t>,</w:t>
      </w:r>
      <w:r>
        <w:t>”</w:t>
      </w:r>
      <w:r w:rsidRPr="005B36A4">
        <w:t xml:space="preserve"> has a noun rather than a participle and a present rather than a future verb</w:t>
      </w:r>
      <w:r w:rsidR="006F304D" w:rsidRPr="006F304D">
        <w:t xml:space="preserve">, </w:t>
      </w:r>
      <w:r w:rsidRPr="005B36A4">
        <w:t>and the verb is fol</w:t>
      </w:r>
      <w:r>
        <w:t>lowed by a</w:t>
      </w:r>
      <w:r w:rsidRPr="005B36A4">
        <w:t xml:space="preserve"> </w:t>
      </w:r>
      <w:r>
        <w:t>predicate adjective</w:t>
      </w:r>
      <w:r w:rsidRPr="005B36A4">
        <w:t>: in these respects it matches the first beatitude (</w:t>
      </w:r>
      <w:r w:rsidRPr="00CE06CA">
        <w:rPr>
          <w:bCs/>
          <w:szCs w:val="22"/>
          <w:lang w:val="el-GR"/>
        </w:rPr>
        <w:t>οὐαὶ ὑμῖν τοῖς πλουσίοις</w:t>
      </w:r>
      <w:r w:rsidR="006F304D" w:rsidRPr="006F304D">
        <w:rPr>
          <w:bCs/>
          <w:szCs w:val="22"/>
          <w:lang w:val="el-GR"/>
        </w:rPr>
        <w:t xml:space="preserve">, </w:t>
      </w:r>
      <w:r w:rsidRPr="00CE06CA">
        <w:rPr>
          <w:bCs/>
          <w:szCs w:val="22"/>
          <w:lang w:val="el-GR"/>
        </w:rPr>
        <w:t>ὅτι ἀπέχετε τὴν παράκλησιν ὑμῶν</w:t>
      </w:r>
      <w:r w:rsidRPr="005B36A4">
        <w:t>). The third woe also deviates from the pattern: it lacks “to you”</w:t>
      </w:r>
      <w:r w:rsidRPr="005B36A4">
        <w:rPr>
          <w:rStyle w:val="FootnoteReference"/>
        </w:rPr>
        <w:footnoteReference w:id="350"/>
      </w:r>
      <w:r w:rsidRPr="005B36A4">
        <w:t xml:space="preserve"> and doubles the future verb </w:t>
      </w:r>
      <w:r>
        <w:t>(</w:t>
      </w:r>
      <w:r w:rsidRPr="00CE06CA">
        <w:rPr>
          <w:bCs/>
          <w:szCs w:val="22"/>
          <w:lang w:val="el-GR"/>
        </w:rPr>
        <w:t>οὐαί</w:t>
      </w:r>
      <w:r w:rsidR="006F304D" w:rsidRPr="006F304D">
        <w:rPr>
          <w:bCs/>
          <w:szCs w:val="22"/>
          <w:lang w:val="el-GR"/>
        </w:rPr>
        <w:t xml:space="preserve">, </w:t>
      </w:r>
      <w:r w:rsidRPr="00CE06CA">
        <w:rPr>
          <w:bCs/>
          <w:szCs w:val="22"/>
          <w:lang w:val="el-GR"/>
        </w:rPr>
        <w:t>οἱ γελῶντες νῦν</w:t>
      </w:r>
      <w:r w:rsidR="006F304D" w:rsidRPr="006F304D">
        <w:rPr>
          <w:bCs/>
          <w:szCs w:val="22"/>
          <w:lang w:val="el-GR"/>
        </w:rPr>
        <w:t xml:space="preserve">, </w:t>
      </w:r>
      <w:r w:rsidRPr="00CE06CA">
        <w:rPr>
          <w:bCs/>
          <w:szCs w:val="22"/>
          <w:lang w:val="el-GR"/>
        </w:rPr>
        <w:t>ὅτι πενθήσετε καὶ κλαύσετε</w:t>
      </w:r>
      <w:r>
        <w:t>).</w:t>
      </w:r>
    </w:p>
    <w:p w14:paraId="3F51A083" w14:textId="5B07B0C9" w:rsidR="0018433B" w:rsidRDefault="0018433B" w:rsidP="0018433B">
      <w:r>
        <w:tab/>
      </w:r>
      <w:r w:rsidRPr="005B36A4">
        <w:t>These deviations among the first three beatitudes and woes pale to insignificance compared to those which occur between the fourth beatitude and the fourth woe (6:22-23</w:t>
      </w:r>
      <w:r w:rsidR="006F304D" w:rsidRPr="006F304D">
        <w:t xml:space="preserve">, </w:t>
      </w:r>
      <w:r w:rsidRPr="005B36A4">
        <w:t>26). Granted</w:t>
      </w:r>
      <w:r w:rsidR="006F304D" w:rsidRPr="006F304D">
        <w:t xml:space="preserve">, </w:t>
      </w:r>
      <w:r w:rsidRPr="005B36A4">
        <w:t>there are notable similarities: “Blessed are you</w:t>
      </w:r>
      <w:r>
        <w:rPr>
          <w:rStyle w:val="FootnoteReference"/>
        </w:rPr>
        <w:footnoteReference w:id="351"/>
      </w:r>
      <w:r w:rsidRPr="005B36A4">
        <w:t xml:space="preserve"> when people hate you </w:t>
      </w:r>
      <w:r w:rsidRPr="00E149A1">
        <w:t>. . .</w:t>
      </w:r>
      <w:r w:rsidRPr="005B36A4">
        <w:t xml:space="preserve"> for that is what their ancestors did to the prophets,” “Woe to you when all speak well of you</w:t>
      </w:r>
      <w:r w:rsidR="006F304D" w:rsidRPr="006F304D">
        <w:t xml:space="preserve">, </w:t>
      </w:r>
      <w:r w:rsidRPr="005B36A4">
        <w:t>for that is what their ancestors did to the false prophets.”</w:t>
      </w:r>
      <w:r w:rsidRPr="005B36A4">
        <w:rPr>
          <w:rStyle w:val="FootnoteReference"/>
        </w:rPr>
        <w:footnoteReference w:id="352"/>
      </w:r>
      <w:r w:rsidRPr="005B36A4">
        <w:t xml:space="preserve"> But these verses share deviations from the pattern of the other </w:t>
      </w:r>
      <w:r w:rsidRPr="005B36A4">
        <w:lastRenderedPageBreak/>
        <w:t>beatitudes and woes: there is presence of a noun subject (“ancestors,”</w:t>
      </w:r>
      <w:r>
        <w:t xml:space="preserve"> </w:t>
      </w:r>
      <w:r w:rsidRPr="00CE06CA">
        <w:rPr>
          <w:bCs/>
          <w:szCs w:val="22"/>
          <w:lang w:val="el-GR"/>
        </w:rPr>
        <w:t>οἱ πατέρες</w:t>
      </w:r>
      <w:r w:rsidRPr="005B36A4">
        <w:t>)</w:t>
      </w:r>
      <w:r w:rsidR="006F304D" w:rsidRPr="006F304D">
        <w:t xml:space="preserve">, </w:t>
      </w:r>
      <w:r w:rsidRPr="005B36A4">
        <w:t>“when” (</w:t>
      </w:r>
      <w:r w:rsidRPr="00CE06CA">
        <w:rPr>
          <w:bCs/>
          <w:szCs w:val="22"/>
          <w:lang w:val="el-GR"/>
        </w:rPr>
        <w:t>ὅταν</w:t>
      </w:r>
      <w:r w:rsidRPr="005B36A4">
        <w:t>) rather than “for” (</w:t>
      </w:r>
      <w:r w:rsidRPr="00CE06CA">
        <w:rPr>
          <w:bCs/>
          <w:szCs w:val="22"/>
          <w:lang w:val="el-GR"/>
        </w:rPr>
        <w:t>ὅτι</w:t>
      </w:r>
      <w:r w:rsidRPr="005B36A4">
        <w:t>)</w:t>
      </w:r>
      <w:r w:rsidR="006F304D" w:rsidRPr="006F304D">
        <w:t xml:space="preserve">, </w:t>
      </w:r>
      <w:r w:rsidRPr="005B36A4">
        <w:t>and therefore a temporal subordinate clause (identical save for π</w:t>
      </w:r>
      <w:proofErr w:type="spellStart"/>
      <w:r w:rsidRPr="005B36A4">
        <w:t>σευδo</w:t>
      </w:r>
      <w:proofErr w:type="spellEnd"/>
      <w:r w:rsidRPr="005B36A4">
        <w:t>- in the woe) rather than a causative</w:t>
      </w:r>
      <w:r>
        <w:t xml:space="preserve"> clause</w:t>
      </w:r>
      <w:r w:rsidRPr="005B36A4">
        <w:t xml:space="preserve">. If Luke were so intent on </w:t>
      </w:r>
      <w:proofErr w:type="spellStart"/>
      <w:r w:rsidRPr="005B36A4">
        <w:t>twofoldness</w:t>
      </w:r>
      <w:proofErr w:type="spellEnd"/>
      <w:r w:rsidR="006F304D" w:rsidRPr="006F304D">
        <w:t xml:space="preserve">, </w:t>
      </w:r>
      <w:r w:rsidRPr="005B36A4">
        <w:t xml:space="preserve">why did he </w:t>
      </w:r>
      <w:r>
        <w:t>create these deviations?</w:t>
      </w:r>
    </w:p>
    <w:p w14:paraId="39879223" w14:textId="38D2F704" w:rsidR="0018433B" w:rsidRPr="005B36A4" w:rsidRDefault="0018433B" w:rsidP="0018433B">
      <w:r>
        <w:tab/>
      </w:r>
      <w:r w:rsidRPr="005B36A4">
        <w:t>Moreover</w:t>
      </w:r>
      <w:r w:rsidR="006F304D" w:rsidRPr="006F304D">
        <w:t xml:space="preserve">, </w:t>
      </w:r>
      <w:r w:rsidRPr="005B36A4">
        <w:t xml:space="preserve">though Morgenthaler calls the fourth beatitude and fourth woe a </w:t>
      </w:r>
      <w:proofErr w:type="spellStart"/>
      <w:r w:rsidRPr="005B36A4">
        <w:rPr>
          <w:i/>
          <w:iCs/>
        </w:rPr>
        <w:t>Doppellogion</w:t>
      </w:r>
      <w:proofErr w:type="spellEnd"/>
      <w:r w:rsidR="006F304D" w:rsidRPr="006F304D">
        <w:rPr>
          <w:iCs/>
        </w:rPr>
        <w:t xml:space="preserve">, </w:t>
      </w:r>
      <w:r w:rsidRPr="005B36A4">
        <w:t xml:space="preserve">they are hardly parallel in their present form: material inserted into the fourth beatitude breaks not only its </w:t>
      </w:r>
      <w:r>
        <w:t>parallelism</w:t>
      </w:r>
      <w:r w:rsidRPr="005B36A4">
        <w:t xml:space="preserve"> with all the other beatitudes and woes but also its </w:t>
      </w:r>
      <w:r>
        <w:t>parallelism with the fourth woe as well. The fourth woe says simply</w:t>
      </w:r>
      <w:r w:rsidR="006F304D" w:rsidRPr="006F304D">
        <w:t xml:space="preserve">, </w:t>
      </w:r>
      <w:r>
        <w:t>“</w:t>
      </w:r>
      <w:r w:rsidRPr="00CD75A6">
        <w:t>Woe to you</w:t>
      </w:r>
      <w:r>
        <w:t xml:space="preserve"> when all speak well of you</w:t>
      </w:r>
      <w:r w:rsidR="006F304D" w:rsidRPr="006F304D">
        <w:t xml:space="preserve">, </w:t>
      </w:r>
      <w:r w:rsidRPr="00CD75A6">
        <w:t>for that is what their ancestors did to the false prophets.</w:t>
      </w:r>
      <w:r>
        <w:t>”</w:t>
      </w:r>
      <w:r w:rsidRPr="005B36A4">
        <w:t xml:space="preserve"> </w:t>
      </w:r>
      <w:r>
        <w:t>The fourth beatitude also begins and ends simply</w:t>
      </w:r>
      <w:r w:rsidR="006F304D" w:rsidRPr="006F304D">
        <w:t xml:space="preserve">, </w:t>
      </w:r>
      <w:r>
        <w:t>“</w:t>
      </w:r>
      <w:r w:rsidRPr="00CD75A6">
        <w:t>Blessed are you</w:t>
      </w:r>
      <w:r w:rsidRPr="005B36A4">
        <w:t xml:space="preserve"> </w:t>
      </w:r>
      <w:r w:rsidRPr="00CD75A6">
        <w:t>when people hate you</w:t>
      </w:r>
      <w:r w:rsidR="006F304D" w:rsidRPr="006F304D">
        <w:t xml:space="preserve">, </w:t>
      </w:r>
      <w:r>
        <w:t xml:space="preserve">. . . </w:t>
      </w:r>
      <w:r w:rsidRPr="00CD75A6">
        <w:t>for that is what thei</w:t>
      </w:r>
      <w:r>
        <w:t>r ancestors did to the prophets.” But the fourth beatitude has added material in the middle (</w:t>
      </w:r>
      <w:r w:rsidRPr="005B36A4">
        <w:t>22c-23b</w:t>
      </w:r>
      <w:r w:rsidR="006F304D" w:rsidRPr="006F304D">
        <w:t xml:space="preserve">, </w:t>
      </w:r>
      <w:r>
        <w:t xml:space="preserve">here italicized): </w:t>
      </w:r>
      <w:r w:rsidRPr="005B36A4">
        <w:t>“</w:t>
      </w:r>
      <w:r>
        <w:t>“</w:t>
      </w:r>
      <w:r w:rsidRPr="00CD75A6">
        <w:t>Blessed are you</w:t>
      </w:r>
      <w:r w:rsidRPr="005B36A4">
        <w:t xml:space="preserve"> </w:t>
      </w:r>
      <w:r w:rsidRPr="00CD75A6">
        <w:t>when people hate you</w:t>
      </w:r>
      <w:r w:rsidR="006F304D" w:rsidRPr="006F304D">
        <w:t xml:space="preserve">, </w:t>
      </w:r>
      <w:r w:rsidRPr="002E2E43">
        <w:rPr>
          <w:i/>
        </w:rPr>
        <w:t>and when they exclude you</w:t>
      </w:r>
      <w:r w:rsidR="006F304D" w:rsidRPr="006F304D">
        <w:t xml:space="preserve">, </w:t>
      </w:r>
      <w:r w:rsidRPr="002E2E43">
        <w:rPr>
          <w:i/>
        </w:rPr>
        <w:t>revile you</w:t>
      </w:r>
      <w:r w:rsidR="006F304D" w:rsidRPr="006F304D">
        <w:t xml:space="preserve">, </w:t>
      </w:r>
      <w:r w:rsidRPr="002E2E43">
        <w:rPr>
          <w:i/>
        </w:rPr>
        <w:t>and defame you on account of the Son of Man</w:t>
      </w:r>
      <w:r w:rsidRPr="005B36A4">
        <w:t xml:space="preserve">. </w:t>
      </w:r>
      <w:r w:rsidRPr="002E2E43">
        <w:rPr>
          <w:i/>
        </w:rPr>
        <w:t>Rejoice in that day and leap for joy</w:t>
      </w:r>
      <w:r w:rsidR="006F304D" w:rsidRPr="006F304D">
        <w:t xml:space="preserve">, </w:t>
      </w:r>
      <w:r w:rsidRPr="002E2E43">
        <w:rPr>
          <w:i/>
        </w:rPr>
        <w:t>for surely your reward is great in heaven</w:t>
      </w:r>
      <w:r w:rsidR="006F304D" w:rsidRPr="006F304D">
        <w:t xml:space="preserve">, </w:t>
      </w:r>
      <w:r w:rsidRPr="00CD75A6">
        <w:t>for that is what thei</w:t>
      </w:r>
      <w:r>
        <w:t>r ancestors did to the prophets.”</w:t>
      </w:r>
      <w:r w:rsidRPr="005B36A4">
        <w:t xml:space="preserve"> Can this addition be the gloss of a later scribe? </w:t>
      </w:r>
      <w:r>
        <w:t xml:space="preserve">That seems </w:t>
      </w:r>
      <w:r w:rsidRPr="005B36A4">
        <w:t>unlikely</w:t>
      </w:r>
      <w:r w:rsidR="006F304D" w:rsidRPr="006F304D">
        <w:t xml:space="preserve">, </w:t>
      </w:r>
      <w:r>
        <w:t xml:space="preserve">since </w:t>
      </w:r>
      <w:r w:rsidRPr="005B36A4">
        <w:t>the addi</w:t>
      </w:r>
      <w:r w:rsidRPr="005B36A4">
        <w:softHyphen/>
        <w:t xml:space="preserve">tional material </w:t>
      </w:r>
      <w:r>
        <w:t>ha</w:t>
      </w:r>
      <w:r w:rsidRPr="005B36A4">
        <w:t xml:space="preserve">s almost </w:t>
      </w:r>
      <w:r>
        <w:t xml:space="preserve">no </w:t>
      </w:r>
      <w:r w:rsidRPr="005B36A4">
        <w:t>textual ambiguity.</w:t>
      </w:r>
      <w:r w:rsidRPr="005B36A4">
        <w:rPr>
          <w:rStyle w:val="FootnoteReference"/>
        </w:rPr>
        <w:footnoteReference w:id="353"/>
      </w:r>
      <w:r w:rsidRPr="005B36A4">
        <w:t xml:space="preserve"> It seems</w:t>
      </w:r>
      <w:r w:rsidR="006F304D" w:rsidRPr="006F304D">
        <w:t xml:space="preserve">, </w:t>
      </w:r>
      <w:r w:rsidRPr="005B36A4">
        <w:t>then</w:t>
      </w:r>
      <w:r w:rsidR="006F304D" w:rsidRPr="006F304D">
        <w:t xml:space="preserve">, </w:t>
      </w:r>
      <w:r w:rsidRPr="005B36A4">
        <w:t>that Luke</w:t>
      </w:r>
      <w:r w:rsidR="006F304D" w:rsidRPr="006F304D">
        <w:t xml:space="preserve">, </w:t>
      </w:r>
      <w:r w:rsidRPr="005B36A4">
        <w:t>whether inheritor or author of the insertion</w:t>
      </w:r>
      <w:r w:rsidR="006F304D" w:rsidRPr="006F304D">
        <w:t xml:space="preserve">, </w:t>
      </w:r>
      <w:r w:rsidRPr="005B36A4">
        <w:t xml:space="preserve">cared less for a supposed principle of </w:t>
      </w:r>
      <w:proofErr w:type="spellStart"/>
      <w:r w:rsidRPr="005B36A4">
        <w:rPr>
          <w:i/>
          <w:iCs/>
        </w:rPr>
        <w:t>Zweigliedrigkeit</w:t>
      </w:r>
      <w:proofErr w:type="spellEnd"/>
      <w:r w:rsidRPr="005B36A4">
        <w:t xml:space="preserve"> than for the </w:t>
      </w:r>
      <w:r w:rsidRPr="005B36A4">
        <w:rPr>
          <w:i/>
          <w:iCs/>
        </w:rPr>
        <w:t>content</w:t>
      </w:r>
      <w:r w:rsidRPr="005B36A4">
        <w:t xml:space="preserve"> he wished to convey.</w:t>
      </w:r>
      <w:r w:rsidRPr="005B36A4">
        <w:rPr>
          <w:rStyle w:val="FootnoteReference"/>
        </w:rPr>
        <w:footnoteReference w:id="354"/>
      </w:r>
      <w:r w:rsidRPr="005B36A4">
        <w:t xml:space="preserve"> Furthermore</w:t>
      </w:r>
      <w:r w:rsidR="006F304D" w:rsidRPr="006F304D">
        <w:t xml:space="preserve">, </w:t>
      </w:r>
      <w:r w:rsidRPr="005B36A4">
        <w:t>his contention that each member of the beatitudes and woes is itself a distich made up of two members simply will not stand: where</w:t>
      </w:r>
      <w:r w:rsidR="006F304D" w:rsidRPr="006F304D">
        <w:t xml:space="preserve">, </w:t>
      </w:r>
      <w:r w:rsidRPr="005B36A4">
        <w:t xml:space="preserve">among the </w:t>
      </w:r>
      <w:r>
        <w:t xml:space="preserve">beginning and ending clauses and the three </w:t>
      </w:r>
      <w:r w:rsidRPr="005B36A4">
        <w:t>clauses in the additional material</w:t>
      </w:r>
      <w:r w:rsidR="006F304D" w:rsidRPr="006F304D">
        <w:t xml:space="preserve">, </w:t>
      </w:r>
      <w:r w:rsidRPr="005B36A4">
        <w:t>is the division between the two members to be drawn?</w:t>
      </w:r>
    </w:p>
    <w:p w14:paraId="20FE2CAC" w14:textId="018253AE" w:rsidR="0018433B" w:rsidRDefault="0018433B" w:rsidP="0018433B">
      <w:r>
        <w:tab/>
      </w:r>
      <w:r w:rsidRPr="005B36A4">
        <w:t>If the situation is thus with the beatitudes and woes</w:t>
      </w:r>
      <w:r w:rsidR="006F304D" w:rsidRPr="006F304D">
        <w:t xml:space="preserve">, </w:t>
      </w:r>
      <w:r w:rsidRPr="005B36A4">
        <w:t>which of all the sections in the sermon most clearly display architectonic structure</w:t>
      </w:r>
      <w:r w:rsidR="006F304D" w:rsidRPr="006F304D">
        <w:t xml:space="preserve">, </w:t>
      </w:r>
      <w:r w:rsidRPr="005B36A4">
        <w:t>what is to be said of the remainder of Morgenthaler’s analysis? His observations are not without value: he correctly observes that 27b-28 are a four-member unit.</w:t>
      </w:r>
      <w:r w:rsidRPr="005B36A4">
        <w:rPr>
          <w:rStyle w:val="FootnoteReference"/>
        </w:rPr>
        <w:footnoteReference w:id="355"/>
      </w:r>
      <w:r w:rsidRPr="005B36A4">
        <w:t xml:space="preserve"> He also observes that 29-30 contain four members</w:t>
      </w:r>
      <w:r w:rsidR="006F304D" w:rsidRPr="006F304D">
        <w:t xml:space="preserve">, </w:t>
      </w:r>
      <w:r w:rsidRPr="005B36A4">
        <w:t>though here there is disorder as well.</w:t>
      </w:r>
    </w:p>
    <w:p w14:paraId="520481CC" w14:textId="77777777" w:rsidR="0018433B" w:rsidRPr="005B36A4" w:rsidRDefault="0018433B" w:rsidP="0018433B"/>
    <w:p w14:paraId="11F45B9C" w14:textId="77777777" w:rsidR="0018433B" w:rsidRDefault="0018433B" w:rsidP="0018433B">
      <w:pPr>
        <w:ind w:left="720"/>
        <w:rPr>
          <w:bCs/>
          <w:szCs w:val="22"/>
        </w:rPr>
      </w:pPr>
      <w:r w:rsidRPr="005B36A4">
        <w:t>29a</w:t>
      </w:r>
      <w:r w:rsidRPr="005B36A4">
        <w:tab/>
      </w:r>
      <w:r w:rsidRPr="00CE06CA">
        <w:rPr>
          <w:bCs/>
          <w:szCs w:val="22"/>
          <w:lang w:val="el-GR"/>
        </w:rPr>
        <w:t>τῷ τύπτοντί σε ἐπὶ τὴν σιαγό</w:t>
      </w:r>
      <w:r>
        <w:rPr>
          <w:bCs/>
          <w:szCs w:val="22"/>
          <w:lang w:val="el-GR"/>
        </w:rPr>
        <w:t>να</w:t>
      </w:r>
    </w:p>
    <w:p w14:paraId="666B23BF" w14:textId="77777777" w:rsidR="0018433B" w:rsidRPr="00926801" w:rsidRDefault="0018433B" w:rsidP="0018433B">
      <w:pPr>
        <w:ind w:left="720"/>
        <w:rPr>
          <w:bCs/>
          <w:szCs w:val="22"/>
        </w:rPr>
      </w:pPr>
      <w:r>
        <w:rPr>
          <w:bCs/>
          <w:szCs w:val="22"/>
        </w:rPr>
        <w:tab/>
      </w:r>
      <w:r>
        <w:rPr>
          <w:bCs/>
          <w:szCs w:val="22"/>
        </w:rPr>
        <w:tab/>
      </w:r>
      <w:r w:rsidRPr="00CE06CA">
        <w:rPr>
          <w:bCs/>
          <w:szCs w:val="22"/>
          <w:lang w:val="el-GR"/>
        </w:rPr>
        <w:t>πάρεχε καὶ τὴν ἄλλην,</w:t>
      </w:r>
    </w:p>
    <w:p w14:paraId="37473971" w14:textId="77777777" w:rsidR="0018433B" w:rsidRDefault="0018433B" w:rsidP="0018433B">
      <w:pPr>
        <w:ind w:left="720"/>
        <w:rPr>
          <w:bCs/>
          <w:szCs w:val="22"/>
        </w:rPr>
      </w:pPr>
      <w:r w:rsidRPr="005B36A4">
        <w:lastRenderedPageBreak/>
        <w:t>29b</w:t>
      </w:r>
      <w:r w:rsidRPr="005B36A4">
        <w:tab/>
      </w:r>
      <w:r w:rsidRPr="00CE06CA">
        <w:rPr>
          <w:bCs/>
          <w:szCs w:val="22"/>
          <w:lang w:val="el-GR"/>
        </w:rPr>
        <w:t>καὶ ἀπὸ τοῦ αἴροντός σου τὸ ἱμά</w:t>
      </w:r>
      <w:r>
        <w:rPr>
          <w:bCs/>
          <w:szCs w:val="22"/>
          <w:lang w:val="el-GR"/>
        </w:rPr>
        <w:t>τιον</w:t>
      </w:r>
    </w:p>
    <w:p w14:paraId="427382D6" w14:textId="77777777" w:rsidR="0018433B" w:rsidRPr="00926801" w:rsidRDefault="0018433B" w:rsidP="0018433B">
      <w:pPr>
        <w:ind w:left="720"/>
        <w:rPr>
          <w:bCs/>
          <w:szCs w:val="22"/>
        </w:rPr>
      </w:pPr>
      <w:r>
        <w:rPr>
          <w:bCs/>
          <w:szCs w:val="22"/>
        </w:rPr>
        <w:tab/>
      </w:r>
      <w:r>
        <w:rPr>
          <w:bCs/>
          <w:szCs w:val="22"/>
        </w:rPr>
        <w:tab/>
      </w:r>
      <w:r w:rsidRPr="00CE06CA">
        <w:rPr>
          <w:bCs/>
          <w:szCs w:val="22"/>
          <w:lang w:val="el-GR"/>
        </w:rPr>
        <w:t>καὶ τὸν χιτῶνα μὴ κωλύσῃς.</w:t>
      </w:r>
    </w:p>
    <w:p w14:paraId="646F1CF6" w14:textId="77777777" w:rsidR="0018433B" w:rsidRDefault="0018433B" w:rsidP="0018433B">
      <w:pPr>
        <w:ind w:left="720"/>
        <w:rPr>
          <w:bCs/>
          <w:szCs w:val="22"/>
        </w:rPr>
      </w:pPr>
      <w:r w:rsidRPr="005B36A4">
        <w:t>30a</w:t>
      </w:r>
      <w:r w:rsidRPr="005B36A4">
        <w:tab/>
      </w:r>
      <w:r w:rsidRPr="00CE06CA">
        <w:rPr>
          <w:bCs/>
          <w:szCs w:val="22"/>
          <w:lang w:val="el-GR"/>
        </w:rPr>
        <w:t>παντὶ αἰτοῦντί</w:t>
      </w:r>
      <w:r>
        <w:rPr>
          <w:bCs/>
          <w:szCs w:val="22"/>
          <w:lang w:val="el-GR"/>
        </w:rPr>
        <w:t xml:space="preserve"> σε</w:t>
      </w:r>
    </w:p>
    <w:p w14:paraId="15B705AD" w14:textId="77777777" w:rsidR="0018433B" w:rsidRPr="00200133" w:rsidRDefault="0018433B" w:rsidP="0018433B">
      <w:pPr>
        <w:ind w:left="720"/>
        <w:rPr>
          <w:bCs/>
          <w:szCs w:val="22"/>
        </w:rPr>
      </w:pPr>
      <w:r>
        <w:rPr>
          <w:bCs/>
          <w:szCs w:val="22"/>
        </w:rPr>
        <w:tab/>
      </w:r>
      <w:r>
        <w:rPr>
          <w:bCs/>
          <w:szCs w:val="22"/>
        </w:rPr>
        <w:tab/>
      </w:r>
      <w:r w:rsidRPr="00CE06CA">
        <w:rPr>
          <w:bCs/>
          <w:szCs w:val="22"/>
          <w:lang w:val="el-GR"/>
        </w:rPr>
        <w:t>δίδου,</w:t>
      </w:r>
    </w:p>
    <w:p w14:paraId="29617E70" w14:textId="77777777" w:rsidR="0018433B" w:rsidRDefault="0018433B" w:rsidP="0018433B">
      <w:pPr>
        <w:ind w:left="720"/>
        <w:rPr>
          <w:bCs/>
          <w:szCs w:val="22"/>
        </w:rPr>
      </w:pPr>
      <w:r w:rsidRPr="005B36A4">
        <w:t>30b</w:t>
      </w:r>
      <w:r w:rsidRPr="005B36A4">
        <w:tab/>
      </w:r>
      <w:r w:rsidRPr="00CE06CA">
        <w:rPr>
          <w:bCs/>
          <w:szCs w:val="22"/>
          <w:lang w:val="el-GR"/>
        </w:rPr>
        <w:t>καὶ ἀπὸ τοῦ αἴροντος τὰ σὰ</w:t>
      </w:r>
    </w:p>
    <w:p w14:paraId="1C3C5832" w14:textId="77777777" w:rsidR="0018433B" w:rsidRPr="00200133" w:rsidRDefault="0018433B" w:rsidP="0018433B">
      <w:pPr>
        <w:ind w:left="720"/>
        <w:rPr>
          <w:bCs/>
          <w:szCs w:val="22"/>
        </w:rPr>
      </w:pPr>
      <w:r>
        <w:rPr>
          <w:bCs/>
          <w:szCs w:val="22"/>
        </w:rPr>
        <w:tab/>
      </w:r>
      <w:r>
        <w:rPr>
          <w:bCs/>
          <w:szCs w:val="22"/>
        </w:rPr>
        <w:tab/>
      </w:r>
      <w:r w:rsidRPr="00CE06CA">
        <w:rPr>
          <w:bCs/>
          <w:szCs w:val="22"/>
          <w:lang w:val="el-GR"/>
        </w:rPr>
        <w:t>μὴ ἀπαίτει.</w:t>
      </w:r>
    </w:p>
    <w:p w14:paraId="521030E8" w14:textId="77777777" w:rsidR="0018433B" w:rsidRDefault="0018433B" w:rsidP="0018433B"/>
    <w:p w14:paraId="52311DB4" w14:textId="0A920944" w:rsidR="0018433B" w:rsidRDefault="0018433B" w:rsidP="0018433B">
      <w:pPr>
        <w:ind w:left="720" w:right="720"/>
      </w:pPr>
      <w:r w:rsidRPr="00926801">
        <w:t>29a</w:t>
      </w:r>
      <w:r>
        <w:tab/>
      </w:r>
      <w:r w:rsidRPr="00926801">
        <w:t>To him who strikes you on the cheek</w:t>
      </w:r>
      <w:r w:rsidR="006F304D" w:rsidRPr="006F304D">
        <w:t xml:space="preserve">, </w:t>
      </w:r>
      <w:r w:rsidRPr="00926801">
        <w:t xml:space="preserve">offer the </w:t>
      </w:r>
      <w:r>
        <w:t>other also;</w:t>
      </w:r>
    </w:p>
    <w:p w14:paraId="414D7209" w14:textId="77777777" w:rsidR="0018433B" w:rsidRDefault="0018433B" w:rsidP="0018433B">
      <w:pPr>
        <w:ind w:left="720" w:right="720"/>
      </w:pPr>
      <w:r w:rsidRPr="00926801">
        <w:t>29b</w:t>
      </w:r>
      <w:r>
        <w:tab/>
      </w:r>
      <w:r w:rsidRPr="00926801">
        <w:t>and from him who takes away your coat do not withhold even your shirt.</w:t>
      </w:r>
    </w:p>
    <w:p w14:paraId="531C8F79" w14:textId="77777777" w:rsidR="0018433B" w:rsidRDefault="0018433B" w:rsidP="0018433B">
      <w:pPr>
        <w:ind w:left="720" w:right="720"/>
      </w:pPr>
      <w:r w:rsidRPr="00926801">
        <w:t>30a</w:t>
      </w:r>
      <w:r>
        <w:tab/>
      </w:r>
      <w:r w:rsidRPr="00926801">
        <w:t>Give to every</w:t>
      </w:r>
      <w:r>
        <w:t>one who begs from you;</w:t>
      </w:r>
    </w:p>
    <w:p w14:paraId="09B8E462" w14:textId="77777777" w:rsidR="0018433B" w:rsidRPr="00926801" w:rsidRDefault="0018433B" w:rsidP="0018433B">
      <w:pPr>
        <w:ind w:left="720" w:right="720"/>
      </w:pPr>
      <w:r w:rsidRPr="00926801">
        <w:t>30b</w:t>
      </w:r>
      <w:r>
        <w:tab/>
      </w:r>
      <w:r w:rsidRPr="00926801">
        <w:t>and of him who takes away your goods do not ask them again.</w:t>
      </w:r>
    </w:p>
    <w:p w14:paraId="151E4BC3" w14:textId="77777777" w:rsidR="0018433B" w:rsidRDefault="0018433B" w:rsidP="0018433B"/>
    <w:p w14:paraId="464D283E" w14:textId="4042B053" w:rsidR="0018433B" w:rsidRPr="005B36A4" w:rsidRDefault="0018433B" w:rsidP="0018433B">
      <w:r>
        <w:tab/>
      </w:r>
      <w:r w:rsidRPr="005B36A4">
        <w:t>All four half-verses are similar in that the first half of each concerns a person other than the one being addressed</w:t>
      </w:r>
      <w:r w:rsidR="006F304D" w:rsidRPr="006F304D">
        <w:t xml:space="preserve">, </w:t>
      </w:r>
      <w:r w:rsidRPr="005B36A4">
        <w:t>while the second half contains an imperative verb</w:t>
      </w:r>
      <w:r w:rsidR="006F304D" w:rsidRPr="006F304D">
        <w:t xml:space="preserve">, </w:t>
      </w:r>
      <w:r w:rsidRPr="005B36A4">
        <w:t>which can be used to divide each half-verse into a distich</w:t>
      </w:r>
      <w:r>
        <w:t>.</w:t>
      </w:r>
      <w:r w:rsidRPr="005B36A4">
        <w:t xml:space="preserve"> The first two</w:t>
      </w:r>
      <w:r w:rsidR="006F304D" w:rsidRPr="006F304D">
        <w:t xml:space="preserve">, </w:t>
      </w:r>
      <w:r w:rsidRPr="005B36A4">
        <w:t>29a and 29b</w:t>
      </w:r>
      <w:r w:rsidR="006F304D" w:rsidRPr="006F304D">
        <w:t xml:space="preserve">, </w:t>
      </w:r>
      <w:r w:rsidRPr="005B36A4">
        <w:t>parallel one another in other respects: the terms designating other persons in both are gerunds (</w:t>
      </w:r>
      <w:r w:rsidRPr="00CE06CA">
        <w:rPr>
          <w:bCs/>
          <w:szCs w:val="22"/>
          <w:lang w:val="el-GR"/>
        </w:rPr>
        <w:t>τύπτοντί</w:t>
      </w:r>
      <w:r w:rsidR="006F304D" w:rsidRPr="006F304D">
        <w:t xml:space="preserve">, </w:t>
      </w:r>
      <w:r w:rsidRPr="00CE06CA">
        <w:rPr>
          <w:bCs/>
          <w:szCs w:val="22"/>
          <w:lang w:val="el-GR"/>
        </w:rPr>
        <w:t>αἴροντ</w:t>
      </w:r>
      <w:r>
        <w:rPr>
          <w:bCs/>
          <w:szCs w:val="22"/>
          <w:lang w:val="el-GR"/>
        </w:rPr>
        <w:t>ο</w:t>
      </w:r>
      <w:r w:rsidRPr="00CE06CA">
        <w:rPr>
          <w:bCs/>
          <w:szCs w:val="22"/>
          <w:lang w:val="el-GR"/>
        </w:rPr>
        <w:t>ς</w:t>
      </w:r>
      <w:r w:rsidRPr="005B36A4">
        <w:t>)</w:t>
      </w:r>
      <w:r w:rsidR="006F304D" w:rsidRPr="006F304D">
        <w:t xml:space="preserve">, </w:t>
      </w:r>
      <w:r w:rsidRPr="005B36A4">
        <w:t>and both contain</w:t>
      </w:r>
      <w:r>
        <w:t xml:space="preserve"> </w:t>
      </w:r>
      <w:r w:rsidRPr="00CE06CA">
        <w:rPr>
          <w:bCs/>
          <w:szCs w:val="22"/>
          <w:lang w:val="el-GR"/>
        </w:rPr>
        <w:t>κα</w:t>
      </w:r>
      <w:r>
        <w:rPr>
          <w:bCs/>
          <w:szCs w:val="22"/>
          <w:lang w:val="el-GR"/>
        </w:rPr>
        <w:t>ί</w:t>
      </w:r>
      <w:r w:rsidRPr="005B36A4">
        <w:t xml:space="preserve"> in the sense of “in addition.”</w:t>
      </w:r>
    </w:p>
    <w:p w14:paraId="190DB967" w14:textId="325F067E" w:rsidR="0018433B" w:rsidRPr="005B36A4" w:rsidRDefault="0018433B" w:rsidP="0018433B">
      <w:r>
        <w:tab/>
      </w:r>
      <w:r w:rsidRPr="005B36A4">
        <w:t>But from this point on</w:t>
      </w:r>
      <w:r w:rsidR="006F304D" w:rsidRPr="006F304D">
        <w:t xml:space="preserve">, </w:t>
      </w:r>
      <w:r w:rsidRPr="005B36A4">
        <w:t>characteristics sometimes associate and sometimes dissociate the first</w:t>
      </w:r>
      <w:r w:rsidR="006F304D" w:rsidRPr="006F304D">
        <w:t xml:space="preserve">, </w:t>
      </w:r>
      <w:r w:rsidRPr="005B36A4">
        <w:t>second</w:t>
      </w:r>
      <w:r w:rsidR="006F304D" w:rsidRPr="006F304D">
        <w:t xml:space="preserve">, </w:t>
      </w:r>
      <w:r w:rsidRPr="005B36A4">
        <w:t>and fou</w:t>
      </w:r>
      <w:r>
        <w:t>rth half-verses (29a</w:t>
      </w:r>
      <w:r w:rsidR="006F304D" w:rsidRPr="006F304D">
        <w:t xml:space="preserve">, </w:t>
      </w:r>
      <w:r>
        <w:t>29b</w:t>
      </w:r>
      <w:r w:rsidR="006F304D" w:rsidRPr="006F304D">
        <w:t xml:space="preserve">, </w:t>
      </w:r>
      <w:r>
        <w:t>30b).</w:t>
      </w:r>
      <w:r w:rsidRPr="005B36A4">
        <w:t xml:space="preserve"> Though 29b and 30b have the same gerund (</w:t>
      </w:r>
      <w:r>
        <w:rPr>
          <w:bCs/>
          <w:szCs w:val="22"/>
          <w:lang w:val="el-GR"/>
        </w:rPr>
        <w:t>αἴροντος</w:t>
      </w:r>
      <w:r w:rsidR="006F304D" w:rsidRPr="006F304D">
        <w:t xml:space="preserve">, </w:t>
      </w:r>
      <w:r w:rsidRPr="005B36A4">
        <w:t>literally “taking away”)</w:t>
      </w:r>
      <w:r w:rsidR="006F304D" w:rsidRPr="006F304D">
        <w:t xml:space="preserve">, </w:t>
      </w:r>
      <w:r w:rsidRPr="005B36A4">
        <w:t>29a does not; though 29b and 30b negate their verbs (“do not with</w:t>
      </w:r>
      <w:r w:rsidRPr="005B36A4">
        <w:softHyphen/>
        <w:t>hold,” “do not ask”)</w:t>
      </w:r>
      <w:r w:rsidR="006F304D" w:rsidRPr="006F304D">
        <w:t xml:space="preserve">, </w:t>
      </w:r>
      <w:r w:rsidRPr="005B36A4">
        <w:t>29a does not; though 29a and 29b have concrete objects of their gerunds (“cheek,” “coat”)</w:t>
      </w:r>
      <w:r w:rsidR="006F304D" w:rsidRPr="006F304D">
        <w:t xml:space="preserve">, </w:t>
      </w:r>
      <w:r w:rsidRPr="005B36A4">
        <w:t>30b does not (merely</w:t>
      </w:r>
      <w:r>
        <w:t xml:space="preserve"> </w:t>
      </w:r>
      <w:r w:rsidRPr="00CE06CA">
        <w:rPr>
          <w:bCs/>
          <w:szCs w:val="22"/>
          <w:lang w:val="el-GR"/>
        </w:rPr>
        <w:t>τὰ σ</w:t>
      </w:r>
      <w:r>
        <w:rPr>
          <w:bCs/>
          <w:szCs w:val="22"/>
          <w:lang w:val="el-GR"/>
        </w:rPr>
        <w:t>ά</w:t>
      </w:r>
      <w:r w:rsidR="006F304D" w:rsidRPr="006F304D">
        <w:t xml:space="preserve">, </w:t>
      </w:r>
      <w:r w:rsidRPr="005B36A4">
        <w:t>“your goods”). Also</w:t>
      </w:r>
      <w:r w:rsidR="006F304D" w:rsidRPr="006F304D">
        <w:t xml:space="preserve">, </w:t>
      </w:r>
      <w:r w:rsidRPr="005B36A4">
        <w:t>the second half of 30b (“do not ask [for] them again”)</w:t>
      </w:r>
      <w:r w:rsidR="006F304D" w:rsidRPr="006F304D">
        <w:t xml:space="preserve">, </w:t>
      </w:r>
      <w:r w:rsidRPr="005B36A4">
        <w:t>despite its greater formal similarity to the second half of 29b (“do not withhold even your shirt”)</w:t>
      </w:r>
      <w:r w:rsidR="006F304D" w:rsidRPr="006F304D">
        <w:t xml:space="preserve">, </w:t>
      </w:r>
      <w:r w:rsidRPr="005B36A4">
        <w:t>has less to do with the content of 29b than with that of 30a (“Give”: see 6:35</w:t>
      </w:r>
      <w:r>
        <w:t>c</w:t>
      </w:r>
      <w:r w:rsidR="006F304D" w:rsidRPr="006F304D">
        <w:t xml:space="preserve">, </w:t>
      </w:r>
      <w:r w:rsidRPr="005B36A4">
        <w:t>“lend</w:t>
      </w:r>
      <w:r w:rsidR="006F304D" w:rsidRPr="006F304D">
        <w:t xml:space="preserve">, </w:t>
      </w:r>
      <w:r w:rsidRPr="005B36A4">
        <w:t>expecting nothing in return”). Strangest of all the half-verses is the third one</w:t>
      </w:r>
      <w:r w:rsidR="006F304D" w:rsidRPr="006F304D">
        <w:t xml:space="preserve">, </w:t>
      </w:r>
      <w:r w:rsidRPr="005B36A4">
        <w:t>30a</w:t>
      </w:r>
      <w:r>
        <w:t xml:space="preserve"> (“</w:t>
      </w:r>
      <w:r w:rsidRPr="00CD75A6">
        <w:t>Give to everyone who begs from you</w:t>
      </w:r>
      <w:r>
        <w:t>”)</w:t>
      </w:r>
      <w:r w:rsidRPr="005B36A4">
        <w:t>: unlike the others there is no object of the gerund</w:t>
      </w:r>
      <w:r w:rsidR="006F304D" w:rsidRPr="006F304D">
        <w:t xml:space="preserve">, </w:t>
      </w:r>
      <w:r w:rsidRPr="005B36A4">
        <w:t>concrete or abstract</w:t>
      </w:r>
      <w:r w:rsidR="006F304D" w:rsidRPr="006F304D">
        <w:t xml:space="preserve">, </w:t>
      </w:r>
      <w:r w:rsidRPr="005B36A4">
        <w:t>and its second half consists of a single word</w:t>
      </w:r>
      <w:r>
        <w:t xml:space="preserve"> (</w:t>
      </w:r>
      <w:r w:rsidRPr="00CE06CA">
        <w:rPr>
          <w:bCs/>
          <w:szCs w:val="22"/>
          <w:lang w:val="el-GR"/>
        </w:rPr>
        <w:t>ἀπαίτει</w:t>
      </w:r>
      <w:r w:rsidR="006F304D" w:rsidRPr="006F304D">
        <w:t xml:space="preserve">, </w:t>
      </w:r>
      <w:r>
        <w:t>“</w:t>
      </w:r>
      <w:r w:rsidRPr="00CD75A6">
        <w:t>ask for them again</w:t>
      </w:r>
      <w:r>
        <w:t>”). Thus</w:t>
      </w:r>
      <w:r w:rsidR="006F304D" w:rsidRPr="006F304D">
        <w:t xml:space="preserve">, </w:t>
      </w:r>
      <w:r>
        <w:t>while 6:29-30 do</w:t>
      </w:r>
      <w:r w:rsidRPr="005B36A4">
        <w:t xml:space="preserve"> indeed consist of four clauses</w:t>
      </w:r>
      <w:r w:rsidR="006F304D" w:rsidRPr="006F304D">
        <w:t xml:space="preserve">, </w:t>
      </w:r>
      <w:r>
        <w:t>the verses are</w:t>
      </w:r>
      <w:r w:rsidRPr="005B36A4">
        <w:t xml:space="preserve"> not so simple and tidy a “tetrastich” as Morgenthaler supposes.</w:t>
      </w:r>
    </w:p>
    <w:p w14:paraId="3E8E66F4" w14:textId="5476E138" w:rsidR="0018433B" w:rsidRPr="005B36A4" w:rsidRDefault="0018433B" w:rsidP="0018433B">
      <w:r>
        <w:tab/>
      </w:r>
      <w:r w:rsidRPr="005B36A4">
        <w:t xml:space="preserve">From this point on the adequacy of Morgenthaler’s analysis declines ever more steeply. He maintains that 32-34 (“If you love those who love you,” etc.—fifty-three words) and 35abc (“But love your enemies,” etc.—eleven words) are equal members in an instance of </w:t>
      </w:r>
      <w:proofErr w:type="spellStart"/>
      <w:r w:rsidRPr="005B36A4">
        <w:t>twofoldness</w:t>
      </w:r>
      <w:proofErr w:type="spellEnd"/>
      <w:r w:rsidRPr="005B36A4">
        <w:t>. The disproportion of the members is obvious;</w:t>
      </w:r>
      <w:r w:rsidRPr="005B36A4">
        <w:rPr>
          <w:rStyle w:val="FootnoteReference"/>
        </w:rPr>
        <w:footnoteReference w:id="356"/>
      </w:r>
      <w:r w:rsidRPr="005B36A4">
        <w:t xml:space="preserve"> Luke more likely saw 35abc as a summary of 32-34 than as a half-section coordinate with it. Besides</w:t>
      </w:r>
      <w:r w:rsidR="006F304D" w:rsidRPr="006F304D">
        <w:t xml:space="preserve">, </w:t>
      </w:r>
      <w:r w:rsidRPr="005B36A4">
        <w:t xml:space="preserve">the principle of </w:t>
      </w:r>
      <w:proofErr w:type="spellStart"/>
      <w:r w:rsidRPr="005B36A4">
        <w:t>twofoldness</w:t>
      </w:r>
      <w:proofErr w:type="spellEnd"/>
      <w:r w:rsidR="006F304D" w:rsidRPr="006F304D">
        <w:t xml:space="preserve">, </w:t>
      </w:r>
      <w:r>
        <w:t xml:space="preserve">whose prevalence is </w:t>
      </w:r>
      <w:r w:rsidRPr="005B36A4">
        <w:t>the thesis of Morgen</w:t>
      </w:r>
      <w:r w:rsidRPr="005B36A4">
        <w:softHyphen/>
        <w:t>thaler’s first volume</w:t>
      </w:r>
      <w:r w:rsidR="006F304D" w:rsidRPr="006F304D">
        <w:t xml:space="preserve">, </w:t>
      </w:r>
      <w:r w:rsidRPr="005B36A4">
        <w:t xml:space="preserve">seems to have given way in these verses to a principle of </w:t>
      </w:r>
      <w:proofErr w:type="spellStart"/>
      <w:r w:rsidRPr="005B36A4">
        <w:t>threefoldness</w:t>
      </w:r>
      <w:proofErr w:type="spellEnd"/>
      <w:r w:rsidRPr="005B36A4">
        <w:t xml:space="preserve"> (32abc</w:t>
      </w:r>
      <w:r w:rsidR="006F304D" w:rsidRPr="006F304D">
        <w:t xml:space="preserve">, </w:t>
      </w:r>
      <w:r w:rsidRPr="005B36A4">
        <w:t>33abc</w:t>
      </w:r>
      <w:r w:rsidR="006F304D" w:rsidRPr="006F304D">
        <w:t xml:space="preserve">, </w:t>
      </w:r>
      <w:r w:rsidRPr="005B36A4">
        <w:t>34abc</w:t>
      </w:r>
      <w:r w:rsidR="006F304D" w:rsidRPr="006F304D">
        <w:t xml:space="preserve">, </w:t>
      </w:r>
      <w:r w:rsidRPr="005B36A4">
        <w:t>35abc). This need not vitiate Morgenthaler’s second thesis</w:t>
      </w:r>
      <w:r w:rsidR="006F304D" w:rsidRPr="006F304D">
        <w:t xml:space="preserve">, </w:t>
      </w:r>
      <w:r w:rsidRPr="005B36A4">
        <w:t>that Luke abided by the OT law of witnesses</w:t>
      </w:r>
      <w:r w:rsidR="006F304D" w:rsidRPr="006F304D">
        <w:t xml:space="preserve">, </w:t>
      </w:r>
      <w:r w:rsidRPr="005B36A4">
        <w:t xml:space="preserve">since </w:t>
      </w:r>
      <w:proofErr w:type="spellStart"/>
      <w:r w:rsidRPr="005B36A4">
        <w:t>Deut</w:t>
      </w:r>
      <w:proofErr w:type="spellEnd"/>
      <w:r w:rsidRPr="005B36A4">
        <w:t xml:space="preserve"> 19:15 refers to “the evidence of two </w:t>
      </w:r>
      <w:r w:rsidRPr="005B36A4">
        <w:lastRenderedPageBreak/>
        <w:t>witnesses</w:t>
      </w:r>
      <w:r w:rsidR="006F304D" w:rsidRPr="006F304D">
        <w:t xml:space="preserve">, </w:t>
      </w:r>
      <w:r w:rsidRPr="005B36A4">
        <w:t>or of three”; but Morgenthaler will have none of it: unbelievably</w:t>
      </w:r>
      <w:r w:rsidR="006F304D" w:rsidRPr="006F304D">
        <w:t xml:space="preserve">, </w:t>
      </w:r>
      <w:r w:rsidRPr="005B36A4">
        <w:t xml:space="preserve">he dismisses instances of </w:t>
      </w:r>
      <w:proofErr w:type="spellStart"/>
      <w:r w:rsidRPr="005B36A4">
        <w:rPr>
          <w:i/>
          <w:iCs/>
        </w:rPr>
        <w:t>Dreierparallelismus</w:t>
      </w:r>
      <w:proofErr w:type="spellEnd"/>
      <w:r w:rsidRPr="005B36A4">
        <w:t xml:space="preserve"> by saying</w:t>
      </w:r>
      <w:r w:rsidR="006F304D" w:rsidRPr="006F304D">
        <w:t xml:space="preserve">, </w:t>
      </w:r>
      <w:r w:rsidRPr="005B36A4">
        <w:t>“nothing is so distant from Luke as [mere] schematizing”!</w:t>
      </w:r>
      <w:r w:rsidRPr="005B36A4">
        <w:rPr>
          <w:rStyle w:val="FootnoteReference"/>
        </w:rPr>
        <w:footnoteReference w:id="357"/>
      </w:r>
    </w:p>
    <w:p w14:paraId="781083DE" w14:textId="0428C0B8" w:rsidR="0018433B" w:rsidRPr="005B36A4" w:rsidRDefault="0018433B" w:rsidP="0018433B">
      <w:r>
        <w:tab/>
      </w:r>
      <w:r w:rsidRPr="005B36A4">
        <w:t>The second half of 35</w:t>
      </w:r>
      <w:r w:rsidR="006F304D" w:rsidRPr="006F304D">
        <w:t xml:space="preserve">, </w:t>
      </w:r>
      <w:r w:rsidRPr="005B36A4">
        <w:t>35def</w:t>
      </w:r>
      <w:r w:rsidR="006F304D" w:rsidRPr="006F304D">
        <w:t xml:space="preserve">, </w:t>
      </w:r>
      <w:r w:rsidRPr="005B36A4">
        <w:t xml:space="preserve">is called by Morgenthaler a </w:t>
      </w:r>
      <w:proofErr w:type="spellStart"/>
      <w:r w:rsidRPr="005B36A4">
        <w:rPr>
          <w:i/>
          <w:iCs/>
        </w:rPr>
        <w:t>Doppeltautologie</w:t>
      </w:r>
      <w:proofErr w:type="spellEnd"/>
      <w:r w:rsidRPr="005B36A4">
        <w:rPr>
          <w:iCs/>
        </w:rPr>
        <w:t>: “</w:t>
      </w:r>
      <w:r w:rsidRPr="005B36A4">
        <w:t>Your reward will be great</w:t>
      </w:r>
      <w:r w:rsidR="006F304D" w:rsidRPr="006F304D">
        <w:t xml:space="preserve">, </w:t>
      </w:r>
      <w:r w:rsidRPr="005B36A4">
        <w:t>and you will be children of the Most High; for he is kind to the ungrateful and the wicked.” By this he means that “your reward will be great” and “you will be sons of the Most High” are synonymous and that “ungrateful” and “selfish” are too; since the two tautologies (pairs of synonyms) are near each other</w:t>
      </w:r>
      <w:r w:rsidR="006F304D" w:rsidRPr="006F304D">
        <w:t xml:space="preserve">, </w:t>
      </w:r>
      <w:r w:rsidRPr="005B36A4">
        <w:t>they form a “double tautology.” But the first tautology is a pair of clauses</w:t>
      </w:r>
      <w:r w:rsidR="006F304D" w:rsidRPr="006F304D">
        <w:t xml:space="preserve">, </w:t>
      </w:r>
      <w:r w:rsidRPr="005B36A4">
        <w:t>while the second is a pair of words. Nor do the two tautologies</w:t>
      </w:r>
      <w:r w:rsidR="006F304D" w:rsidRPr="006F304D">
        <w:t xml:space="preserve">, </w:t>
      </w:r>
      <w:r w:rsidRPr="005B36A4">
        <w:t>taken in themselves and without regard for the intervening movement of thought (“For he is kind to”)</w:t>
      </w:r>
      <w:r w:rsidR="006F304D" w:rsidRPr="006F304D">
        <w:t xml:space="preserve">, </w:t>
      </w:r>
      <w:r w:rsidRPr="005B36A4">
        <w:t>have much to do with each other in content.</w:t>
      </w:r>
    </w:p>
    <w:p w14:paraId="2C9FC4B3" w14:textId="4E4CA9F2" w:rsidR="0018433B" w:rsidRDefault="0018433B" w:rsidP="0018433B">
      <w:r>
        <w:tab/>
      </w:r>
      <w:r w:rsidRPr="005B36A4">
        <w:t>Morgenthaler says that verses 36 and 38c are a frame for the intervening verses</w:t>
      </w:r>
      <w:r w:rsidR="006F304D" w:rsidRPr="006F304D">
        <w:t xml:space="preserve">, </w:t>
      </w:r>
      <w:r w:rsidRPr="005B36A4">
        <w:t xml:space="preserve">37-38b; we shall discuss this suggestion </w:t>
      </w:r>
      <w:r>
        <w:t xml:space="preserve">of a frame </w:t>
      </w:r>
      <w:r w:rsidRPr="005B36A4">
        <w:t>in the next chapter</w:t>
      </w:r>
      <w:r w:rsidR="006F304D" w:rsidRPr="006F304D">
        <w:t xml:space="preserve">, </w:t>
      </w:r>
      <w:r w:rsidRPr="005B36A4">
        <w:t>when we consider the possibility of inclusions in the sermon. But of the intervening verses Morgenthaler declares that here is formed not only a tetra</w:t>
      </w:r>
      <w:r w:rsidRPr="005B36A4">
        <w:softHyphen/>
        <w:t>stich</w:t>
      </w:r>
      <w:r w:rsidR="006F304D" w:rsidRPr="006F304D">
        <w:t xml:space="preserve">, </w:t>
      </w:r>
      <w:r w:rsidRPr="005B36A4">
        <w:t>but one that is paired antithetically:</w:t>
      </w:r>
    </w:p>
    <w:p w14:paraId="0849D3FC" w14:textId="77777777" w:rsidR="0018433B" w:rsidRPr="005B36A4" w:rsidRDefault="0018433B" w:rsidP="0018433B"/>
    <w:p w14:paraId="13560C91" w14:textId="7078B574" w:rsidR="0018433B" w:rsidRPr="005B36A4" w:rsidRDefault="0018433B" w:rsidP="0018433B">
      <w:pPr>
        <w:ind w:left="720"/>
      </w:pPr>
      <w:r w:rsidRPr="005B36A4">
        <w:t>37ab</w:t>
      </w:r>
      <w:r w:rsidRPr="005B36A4">
        <w:tab/>
        <w:t>Do not judge</w:t>
      </w:r>
      <w:r w:rsidR="006F304D" w:rsidRPr="006F304D">
        <w:t xml:space="preserve">, </w:t>
      </w:r>
      <w:r w:rsidRPr="005B36A4">
        <w:t>and you will not be judged;</w:t>
      </w:r>
    </w:p>
    <w:p w14:paraId="672CDBFB" w14:textId="6F673518" w:rsidR="0018433B" w:rsidRPr="005B36A4" w:rsidRDefault="0018433B" w:rsidP="0018433B">
      <w:pPr>
        <w:ind w:left="720"/>
      </w:pPr>
      <w:r w:rsidRPr="005B36A4">
        <w:t>37cd</w:t>
      </w:r>
      <w:r w:rsidRPr="005B36A4">
        <w:tab/>
        <w:t>do not condemn</w:t>
      </w:r>
      <w:r w:rsidR="006F304D" w:rsidRPr="006F304D">
        <w:t xml:space="preserve">, </w:t>
      </w:r>
      <w:r w:rsidRPr="005B36A4">
        <w:t>and you will not be condemned.</w:t>
      </w:r>
    </w:p>
    <w:p w14:paraId="3F002D10" w14:textId="171FDC0A" w:rsidR="0018433B" w:rsidRPr="005B36A4" w:rsidRDefault="0018433B" w:rsidP="0018433B">
      <w:pPr>
        <w:ind w:left="720"/>
      </w:pPr>
      <w:r w:rsidRPr="005B36A4">
        <w:t>37ef</w:t>
      </w:r>
      <w:r w:rsidRPr="005B36A4">
        <w:tab/>
        <w:t>Forgive</w:t>
      </w:r>
      <w:r w:rsidR="006F304D" w:rsidRPr="006F304D">
        <w:t xml:space="preserve">, </w:t>
      </w:r>
      <w:r w:rsidRPr="005B36A4">
        <w:t>and you will be forgiven;</w:t>
      </w:r>
    </w:p>
    <w:p w14:paraId="04CD827A" w14:textId="5EBC4A01" w:rsidR="0018433B" w:rsidRDefault="0018433B" w:rsidP="0018433B">
      <w:pPr>
        <w:ind w:left="720"/>
      </w:pPr>
      <w:r w:rsidRPr="005B36A4">
        <w:t>38ab</w:t>
      </w:r>
      <w:r w:rsidRPr="005B36A4">
        <w:tab/>
        <w:t>give</w:t>
      </w:r>
      <w:r w:rsidR="006F304D" w:rsidRPr="006F304D">
        <w:t xml:space="preserve">, </w:t>
      </w:r>
      <w:r w:rsidRPr="005B36A4">
        <w:t>and it will be given to you.</w:t>
      </w:r>
    </w:p>
    <w:p w14:paraId="5B13369E" w14:textId="77777777" w:rsidR="0018433B" w:rsidRPr="005B36A4" w:rsidRDefault="0018433B" w:rsidP="0018433B"/>
    <w:p w14:paraId="0B23435D" w14:textId="6ED0223B" w:rsidR="0018433B" w:rsidRPr="005B36A4" w:rsidRDefault="0018433B" w:rsidP="0018433B">
      <w:r>
        <w:t>Each unit contains two clauses;</w:t>
      </w:r>
      <w:r w:rsidRPr="005B36A4">
        <w:t xml:space="preserve"> </w:t>
      </w:r>
      <w:r>
        <w:t xml:space="preserve">the first clauses have </w:t>
      </w:r>
      <w:r w:rsidRPr="005B36A4">
        <w:t>imperative verb</w:t>
      </w:r>
      <w:r>
        <w:t>s</w:t>
      </w:r>
      <w:r w:rsidRPr="005B36A4">
        <w:t xml:space="preserve"> (negated or not)</w:t>
      </w:r>
      <w:r w:rsidR="006F304D" w:rsidRPr="006F304D">
        <w:t xml:space="preserve">, </w:t>
      </w:r>
      <w:r>
        <w:t xml:space="preserve">and the second clauses contain </w:t>
      </w:r>
      <w:r w:rsidRPr="005B36A4">
        <w:t xml:space="preserve">the idea of reciprocity. Yet 38b to some extent disrupts the pattern: </w:t>
      </w:r>
      <w:r>
        <w:t xml:space="preserve">after 7 second-person </w:t>
      </w:r>
      <w:r w:rsidRPr="005B36A4">
        <w:t xml:space="preserve">plural </w:t>
      </w:r>
      <w:r>
        <w:t>verbs</w:t>
      </w:r>
      <w:r w:rsidRPr="005B36A4">
        <w:t xml:space="preserve"> (</w:t>
      </w:r>
      <w:r>
        <w:t>37a-38a</w:t>
      </w:r>
      <w:r w:rsidRPr="005B36A4">
        <w:t>)</w:t>
      </w:r>
      <w:r w:rsidR="006F304D" w:rsidRPr="006F304D">
        <w:t xml:space="preserve">, </w:t>
      </w:r>
      <w:r>
        <w:t xml:space="preserve">38b provides a first-person </w:t>
      </w:r>
      <w:r w:rsidRPr="005B36A4">
        <w:t xml:space="preserve">singular impersonal </w:t>
      </w:r>
      <w:r>
        <w:t>verb</w:t>
      </w:r>
      <w:r w:rsidRPr="005B36A4">
        <w:t xml:space="preserve"> (“</w:t>
      </w:r>
      <w:r w:rsidRPr="005B36A4">
        <w:rPr>
          <w:i/>
          <w:iCs/>
        </w:rPr>
        <w:t>it</w:t>
      </w:r>
      <w:r w:rsidRPr="005B36A4">
        <w:t xml:space="preserve"> will be,” </w:t>
      </w:r>
      <w:proofErr w:type="spellStart"/>
      <w:r w:rsidRPr="005B36A4">
        <w:t>δoθήσετ</w:t>
      </w:r>
      <w:proofErr w:type="spellEnd"/>
      <w:r w:rsidRPr="005B36A4">
        <w:t>αι). In saying that the members are paired antithetically</w:t>
      </w:r>
      <w:r w:rsidR="006F304D" w:rsidRPr="006F304D">
        <w:t xml:space="preserve">, </w:t>
      </w:r>
      <w:r w:rsidRPr="005B36A4">
        <w:t>Morgenthaler may mean that “judge” and “condemn” as a set are antithetically paired with “forgive” and “give”</w:t>
      </w:r>
      <w:r>
        <w:t>;</w:t>
      </w:r>
      <w:r w:rsidRPr="005B36A4">
        <w:t xml:space="preserve"> or </w:t>
      </w:r>
      <w:r>
        <w:t xml:space="preserve">he </w:t>
      </w:r>
      <w:r w:rsidRPr="005B36A4">
        <w:t>may mean that “judge” is paired with “forgive” and “con</w:t>
      </w:r>
      <w:r>
        <w:t>demn” with “give.”</w:t>
      </w:r>
      <w:r w:rsidRPr="005B36A4">
        <w:t xml:space="preserve"> But either way</w:t>
      </w:r>
      <w:r w:rsidR="006F304D" w:rsidRPr="006F304D">
        <w:t xml:space="preserve">, </w:t>
      </w:r>
      <w:r w:rsidRPr="005B36A4">
        <w:t>there are problems. “Judge” and “condemn” are close synonyms</w:t>
      </w:r>
      <w:r w:rsidR="006F304D" w:rsidRPr="006F304D">
        <w:t xml:space="preserve">, </w:t>
      </w:r>
      <w:r w:rsidRPr="005B36A4">
        <w:t>and “forgive” is somewhat antithetical to them;</w:t>
      </w:r>
      <w:r w:rsidRPr="005B36A4">
        <w:rPr>
          <w:rStyle w:val="FootnoteReference"/>
        </w:rPr>
        <w:footnoteReference w:id="358"/>
      </w:r>
      <w:r w:rsidRPr="005B36A4">
        <w:t xml:space="preserve"> but “give” indicates a new tangent of thought</w:t>
      </w:r>
      <w:r w:rsidR="006F304D" w:rsidRPr="006F304D">
        <w:t xml:space="preserve">, </w:t>
      </w:r>
      <w:r w:rsidRPr="005B36A4">
        <w:t xml:space="preserve">more related to verses we have already </w:t>
      </w:r>
      <w:r>
        <w:t>seen</w:t>
      </w:r>
      <w:r w:rsidRPr="005B36A4">
        <w:t xml:space="preserve"> (20b</w:t>
      </w:r>
      <w:r w:rsidR="006F304D" w:rsidRPr="006F304D">
        <w:t xml:space="preserve">, </w:t>
      </w:r>
      <w:r w:rsidRPr="005B36A4">
        <w:t>24</w:t>
      </w:r>
      <w:r w:rsidR="006F304D" w:rsidRPr="006F304D">
        <w:t xml:space="preserve">, </w:t>
      </w:r>
      <w:r w:rsidRPr="005B36A4">
        <w:t>30ab</w:t>
      </w:r>
      <w:r w:rsidR="006F304D" w:rsidRPr="006F304D">
        <w:t xml:space="preserve">, </w:t>
      </w:r>
      <w:r w:rsidRPr="005B36A4">
        <w:t>34 and 35c) than to t</w:t>
      </w:r>
      <w:r>
        <w:t>he first three units in this supposed</w:t>
      </w:r>
      <w:r w:rsidRPr="005B36A4">
        <w:t xml:space="preserve"> tetrastich.</w:t>
      </w:r>
      <w:r w:rsidRPr="005B36A4">
        <w:rPr>
          <w:rStyle w:val="FootnoteReference"/>
        </w:rPr>
        <w:footnoteReference w:id="359"/>
      </w:r>
    </w:p>
    <w:p w14:paraId="62DBF2D7" w14:textId="40441AF7" w:rsidR="0018433B" w:rsidRDefault="0018433B" w:rsidP="0018433B">
      <w:r>
        <w:lastRenderedPageBreak/>
        <w:tab/>
      </w:r>
      <w:r w:rsidRPr="005B36A4">
        <w:t>The most ingenious of Morgenthaler’s proposals is his treatment of Luke 6:39-49. The division of these verses into four parables</w:t>
      </w:r>
      <w:r w:rsidR="006F304D" w:rsidRPr="006F304D">
        <w:t xml:space="preserve">, </w:t>
      </w:r>
      <w:r w:rsidRPr="005B36A4">
        <w:t>39-40</w:t>
      </w:r>
      <w:r w:rsidR="006F304D" w:rsidRPr="006F304D">
        <w:t xml:space="preserve">, </w:t>
      </w:r>
      <w:r w:rsidRPr="005B36A4">
        <w:t>41-42</w:t>
      </w:r>
      <w:r w:rsidR="006F304D" w:rsidRPr="006F304D">
        <w:t xml:space="preserve">, </w:t>
      </w:r>
      <w:r w:rsidRPr="005B36A4">
        <w:t>44-45</w:t>
      </w:r>
      <w:r w:rsidR="006F304D" w:rsidRPr="006F304D">
        <w:t xml:space="preserve">, </w:t>
      </w:r>
      <w:r w:rsidRPr="005B36A4">
        <w:t xml:space="preserve">and 48-49—the principle of </w:t>
      </w:r>
      <w:proofErr w:type="spellStart"/>
      <w:r w:rsidRPr="005B36A4">
        <w:t>twofold</w:t>
      </w:r>
      <w:r w:rsidRPr="005B36A4">
        <w:softHyphen/>
        <w:t>ness</w:t>
      </w:r>
      <w:proofErr w:type="spellEnd"/>
      <w:r w:rsidRPr="005B36A4">
        <w:t xml:space="preserve"> applied twice—is possible only because Morgenthaler reads 6:39a</w:t>
      </w:r>
      <w:r w:rsidR="006F304D" w:rsidRPr="006F304D">
        <w:t xml:space="preserve">, </w:t>
      </w:r>
      <w:r w:rsidRPr="005B36A4">
        <w:t>“He also told them a parable,” as a reference to both verses 39bc and 40. This requires examination.</w:t>
      </w:r>
    </w:p>
    <w:p w14:paraId="2B001AD1" w14:textId="77777777" w:rsidR="0018433B" w:rsidRPr="005B36A4" w:rsidRDefault="0018433B" w:rsidP="0018433B"/>
    <w:p w14:paraId="3E118F4E" w14:textId="77777777" w:rsidR="0018433B" w:rsidRPr="005B36A4" w:rsidRDefault="0018433B" w:rsidP="0018433B">
      <w:pPr>
        <w:ind w:left="720"/>
      </w:pPr>
      <w:r w:rsidRPr="005B36A4">
        <w:t>39b</w:t>
      </w:r>
      <w:r w:rsidRPr="005B36A4">
        <w:tab/>
        <w:t>Can a blind person guide a blind person?</w:t>
      </w:r>
    </w:p>
    <w:p w14:paraId="42B372D6" w14:textId="77777777" w:rsidR="0018433B" w:rsidRPr="005B36A4" w:rsidRDefault="0018433B" w:rsidP="0018433B">
      <w:pPr>
        <w:ind w:left="720"/>
      </w:pPr>
      <w:r w:rsidRPr="005B36A4">
        <w:t>39c</w:t>
      </w:r>
      <w:r w:rsidRPr="005B36A4">
        <w:tab/>
        <w:t>Will not both fall into a pit?</w:t>
      </w:r>
    </w:p>
    <w:p w14:paraId="79494ADD" w14:textId="77777777" w:rsidR="0018433B" w:rsidRPr="005B36A4" w:rsidRDefault="0018433B" w:rsidP="0018433B">
      <w:pPr>
        <w:ind w:left="720"/>
      </w:pPr>
      <w:r w:rsidRPr="005B36A4">
        <w:t>40a</w:t>
      </w:r>
      <w:r w:rsidRPr="005B36A4">
        <w:tab/>
        <w:t>A disciple is not above the teacher,</w:t>
      </w:r>
    </w:p>
    <w:p w14:paraId="0BC9F94C" w14:textId="77777777" w:rsidR="0018433B" w:rsidRPr="005B36A4" w:rsidRDefault="0018433B" w:rsidP="0018433B">
      <w:pPr>
        <w:ind w:left="720"/>
      </w:pPr>
      <w:r w:rsidRPr="005B36A4">
        <w:t>40b</w:t>
      </w:r>
      <w:r w:rsidRPr="005B36A4">
        <w:tab/>
        <w:t>but everyone who is fully qualified will be like the teacher.</w:t>
      </w:r>
    </w:p>
    <w:p w14:paraId="5E6D9992" w14:textId="77777777" w:rsidR="0018433B" w:rsidRDefault="0018433B" w:rsidP="0018433B"/>
    <w:p w14:paraId="2DA96263" w14:textId="3CEAB2C3" w:rsidR="0018433B" w:rsidRPr="005B36A4" w:rsidRDefault="0018433B" w:rsidP="0018433B">
      <w:r>
        <w:tab/>
      </w:r>
      <w:r w:rsidRPr="005B36A4">
        <w:t>None will dispute that 39b and 39c belong together (they share the rhetorical-question form</w:t>
      </w:r>
      <w:r w:rsidR="006F304D" w:rsidRPr="006F304D">
        <w:t xml:space="preserve">, </w:t>
      </w:r>
      <w:r w:rsidRPr="005B36A4">
        <w:t>and 39c’s “both” refers to the blind persons in 39b)</w:t>
      </w:r>
      <w:r w:rsidR="006F304D" w:rsidRPr="006F304D">
        <w:t xml:space="preserve">, </w:t>
      </w:r>
      <w:r w:rsidRPr="005B36A4">
        <w:t>and few would deny a certain parallelism of situation between 39bc and 40ab (both concern the relation between a guide and one guided). The four versicles form a unit</w:t>
      </w:r>
      <w:r w:rsidR="006F304D" w:rsidRPr="006F304D">
        <w:t xml:space="preserve">, </w:t>
      </w:r>
      <w:r w:rsidRPr="005B36A4">
        <w:t>but does it follow that they form one single parable? Surely a παραβ</w:t>
      </w:r>
      <w:proofErr w:type="spellStart"/>
      <w:r w:rsidRPr="005B36A4">
        <w:t>oλή</w:t>
      </w:r>
      <w:proofErr w:type="spellEnd"/>
      <w:r w:rsidRPr="005B36A4">
        <w:t xml:space="preserve"> (or</w:t>
      </w:r>
      <w:r w:rsidR="006F304D" w:rsidRPr="006F304D">
        <w:t xml:space="preserve">, </w:t>
      </w:r>
      <w:r w:rsidRPr="005B36A4">
        <w:t>as we might translate the word today in the context of 6:39</w:t>
      </w:r>
      <w:r w:rsidR="006F304D" w:rsidRPr="006F304D">
        <w:t xml:space="preserve">, </w:t>
      </w:r>
      <w:r w:rsidRPr="005B36A4">
        <w:t>a proverb)</w:t>
      </w:r>
      <w:r w:rsidRPr="005B36A4">
        <w:rPr>
          <w:rStyle w:val="FootnoteReference"/>
        </w:rPr>
        <w:footnoteReference w:id="360"/>
      </w:r>
      <w:r w:rsidRPr="005B36A4">
        <w:t xml:space="preserve"> ends when the imagery with which it began ceases and different imagery succeeds it. Thus the images in 39bc (blind men</w:t>
      </w:r>
      <w:r w:rsidR="006F304D" w:rsidRPr="006F304D">
        <w:t xml:space="preserve">, </w:t>
      </w:r>
      <w:r w:rsidRPr="005B36A4">
        <w:t>pit) belong to the same landscape</w:t>
      </w:r>
      <w:r w:rsidR="006F304D" w:rsidRPr="006F304D">
        <w:t xml:space="preserve">, </w:t>
      </w:r>
      <w:r w:rsidRPr="005B36A4">
        <w:t>but with 40 the scene shifts. Rather than one single parable</w:t>
      </w:r>
      <w:r w:rsidR="006F304D" w:rsidRPr="006F304D">
        <w:t xml:space="preserve">, </w:t>
      </w:r>
      <w:r w:rsidRPr="005B36A4">
        <w:t>39 and 40 are a pair of parables.</w:t>
      </w:r>
      <w:r w:rsidRPr="005B36A4">
        <w:rPr>
          <w:rStyle w:val="FootnoteReference"/>
        </w:rPr>
        <w:footnoteReference w:id="361"/>
      </w:r>
      <w:r w:rsidRPr="005B36A4">
        <w:t xml:space="preserve"> Once again</w:t>
      </w:r>
      <w:r w:rsidR="006F304D" w:rsidRPr="006F304D">
        <w:t xml:space="preserve">, </w:t>
      </w:r>
      <w:r w:rsidRPr="005B36A4">
        <w:t>Morgenthaler seems to have shaped the text to fit his mold rather than shaped the model to fit the text.</w:t>
      </w:r>
    </w:p>
    <w:p w14:paraId="56303C77" w14:textId="078F57CC" w:rsidR="0018433B" w:rsidRPr="005B36A4" w:rsidRDefault="0018433B" w:rsidP="0018433B">
      <w:r>
        <w:tab/>
      </w:r>
      <w:r w:rsidRPr="005B36A4">
        <w:t>Since Morgenthaler considers 39-40 to be one parable</w:t>
      </w:r>
      <w:r w:rsidR="006F304D" w:rsidRPr="006F304D">
        <w:t xml:space="preserve">, </w:t>
      </w:r>
      <w:r w:rsidRPr="005B36A4">
        <w:t>he calls 6:41-42 his “second” parable and 6:43-45 his “third.” While 41-42 (speck and log) are certainly a unit</w:t>
      </w:r>
      <w:r w:rsidR="006F304D" w:rsidRPr="006F304D">
        <w:t xml:space="preserve">, </w:t>
      </w:r>
      <w:r w:rsidRPr="005B36A4">
        <w:t>is it true that 43-45 contain only one parable?</w:t>
      </w:r>
    </w:p>
    <w:p w14:paraId="138C8C88" w14:textId="77777777" w:rsidR="0018433B" w:rsidRDefault="0018433B" w:rsidP="0018433B"/>
    <w:p w14:paraId="11F7F515" w14:textId="77777777" w:rsidR="0018433B" w:rsidRPr="005B36A4" w:rsidRDefault="0018433B" w:rsidP="0018433B">
      <w:pPr>
        <w:ind w:left="720"/>
      </w:pPr>
      <w:r w:rsidRPr="005B36A4">
        <w:t>43a</w:t>
      </w:r>
      <w:r w:rsidRPr="005B36A4">
        <w:tab/>
        <w:t>For no good tree bears bad fruit,</w:t>
      </w:r>
    </w:p>
    <w:p w14:paraId="7081D887" w14:textId="77777777" w:rsidR="0018433B" w:rsidRPr="005B36A4" w:rsidRDefault="0018433B" w:rsidP="0018433B">
      <w:pPr>
        <w:ind w:left="720"/>
      </w:pPr>
      <w:r w:rsidRPr="005B36A4">
        <w:t>43b</w:t>
      </w:r>
      <w:r w:rsidRPr="005B36A4">
        <w:tab/>
        <w:t>nor again does a bad tree bear good fruit;</w:t>
      </w:r>
    </w:p>
    <w:p w14:paraId="405CB232" w14:textId="77777777" w:rsidR="0018433B" w:rsidRPr="005B36A4" w:rsidRDefault="0018433B" w:rsidP="0018433B">
      <w:pPr>
        <w:ind w:left="720"/>
      </w:pPr>
      <w:r w:rsidRPr="005B36A4">
        <w:t>44a</w:t>
      </w:r>
      <w:r w:rsidRPr="005B36A4">
        <w:tab/>
        <w:t>for each tree is known by its own fruit.</w:t>
      </w:r>
    </w:p>
    <w:p w14:paraId="3F2D0B72" w14:textId="77777777" w:rsidR="0018433B" w:rsidRPr="005B36A4" w:rsidRDefault="0018433B" w:rsidP="0018433B">
      <w:pPr>
        <w:ind w:left="720"/>
      </w:pPr>
      <w:r w:rsidRPr="005B36A4">
        <w:t>44b</w:t>
      </w:r>
      <w:r w:rsidRPr="005B36A4">
        <w:tab/>
        <w:t>Figs are not gathered from thorns,</w:t>
      </w:r>
    </w:p>
    <w:p w14:paraId="3E1CE1BE" w14:textId="77777777" w:rsidR="0018433B" w:rsidRPr="005B36A4" w:rsidRDefault="0018433B" w:rsidP="0018433B">
      <w:pPr>
        <w:ind w:left="720"/>
      </w:pPr>
      <w:r w:rsidRPr="005B36A4">
        <w:t>44c</w:t>
      </w:r>
      <w:r w:rsidRPr="005B36A4">
        <w:tab/>
        <w:t>nor are grapes picked from a bramble bush.</w:t>
      </w:r>
    </w:p>
    <w:p w14:paraId="750CFAE1" w14:textId="77777777" w:rsidR="0018433B" w:rsidRPr="005B36A4" w:rsidRDefault="0018433B" w:rsidP="0018433B">
      <w:pPr>
        <w:ind w:left="720"/>
      </w:pPr>
      <w:r w:rsidRPr="005B36A4">
        <w:t>45</w:t>
      </w:r>
      <w:r>
        <w:t>a</w:t>
      </w:r>
      <w:r w:rsidRPr="005B36A4">
        <w:tab/>
        <w:t>The good person out of the good treasure of the heart produces good,</w:t>
      </w:r>
    </w:p>
    <w:p w14:paraId="0E01872C" w14:textId="77777777" w:rsidR="0018433B" w:rsidRPr="005B36A4" w:rsidRDefault="0018433B" w:rsidP="0018433B">
      <w:pPr>
        <w:ind w:left="720"/>
      </w:pPr>
      <w:r w:rsidRPr="005B36A4">
        <w:t>45b</w:t>
      </w:r>
      <w:r w:rsidRPr="005B36A4">
        <w:tab/>
        <w:t>and the evil person out of evil treasure produces evil;</w:t>
      </w:r>
    </w:p>
    <w:p w14:paraId="6BAB5928" w14:textId="77777777" w:rsidR="0018433B" w:rsidRPr="005B36A4" w:rsidRDefault="0018433B" w:rsidP="0018433B">
      <w:pPr>
        <w:ind w:left="720"/>
      </w:pPr>
      <w:r w:rsidRPr="005B36A4">
        <w:t>45c</w:t>
      </w:r>
      <w:r w:rsidRPr="005B36A4">
        <w:tab/>
        <w:t>for it is out of the abundance of the heart that the mouth speaks.</w:t>
      </w:r>
    </w:p>
    <w:p w14:paraId="278839E3" w14:textId="77777777" w:rsidR="0018433B" w:rsidRDefault="0018433B" w:rsidP="0018433B"/>
    <w:p w14:paraId="302171BD" w14:textId="7582983F" w:rsidR="0018433B" w:rsidRPr="005B36A4" w:rsidRDefault="0018433B" w:rsidP="0018433B">
      <w:r w:rsidRPr="005B36A4">
        <w:t>Verses 43-44 belong together: 44a is a more generalizing summary of 43ab</w:t>
      </w:r>
      <w:r w:rsidR="006F304D" w:rsidRPr="006F304D">
        <w:t xml:space="preserve">, </w:t>
      </w:r>
      <w:r w:rsidRPr="005B36A4">
        <w:t xml:space="preserve">while 44bc is a more concrete representation of 43b. But 45 changes the metaphor entirely: instead of good and bad behaviors as the literal term of the metaphor (the subject actually being discussed) and good and </w:t>
      </w:r>
      <w:r w:rsidRPr="005B36A4">
        <w:lastRenderedPageBreak/>
        <w:t>bad trees as the figurative term (the item to which the literal term is compared),</w:t>
      </w:r>
      <w:r w:rsidRPr="005B36A4">
        <w:rPr>
          <w:rStyle w:val="FootnoteReference"/>
        </w:rPr>
        <w:footnoteReference w:id="362"/>
      </w:r>
      <w:r w:rsidRPr="005B36A4">
        <w:t xml:space="preserve"> 45</w:t>
      </w:r>
      <w:r w:rsidR="006F304D" w:rsidRPr="006F304D">
        <w:t xml:space="preserve">, </w:t>
      </w:r>
      <w:r w:rsidRPr="005B36A4">
        <w:t>though it still has good and bad behaviors as the literal term</w:t>
      </w:r>
      <w:r w:rsidR="006F304D" w:rsidRPr="006F304D">
        <w:t xml:space="preserve">, </w:t>
      </w:r>
      <w:r w:rsidRPr="005B36A4">
        <w:t>has good and bad treasures as the figurative term. It seems</w:t>
      </w:r>
      <w:r w:rsidR="006F304D" w:rsidRPr="006F304D">
        <w:t xml:space="preserve">, </w:t>
      </w:r>
      <w:r w:rsidRPr="005B36A4">
        <w:t>then</w:t>
      </w:r>
      <w:r w:rsidR="006F304D" w:rsidRPr="006F304D">
        <w:t xml:space="preserve">, </w:t>
      </w:r>
      <w:r w:rsidRPr="005B36A4">
        <w:t>that in 42-49 Morgenthaler has not merely compressed five metaphors into four</w:t>
      </w:r>
      <w:r w:rsidR="006F304D" w:rsidRPr="006F304D">
        <w:t xml:space="preserve">, </w:t>
      </w:r>
      <w:r w:rsidRPr="005B36A4">
        <w:t>as we might have concluded from his treatment of 39-40</w:t>
      </w:r>
      <w:r w:rsidR="006F304D" w:rsidRPr="006F304D">
        <w:t xml:space="preserve">, </w:t>
      </w:r>
      <w:r w:rsidRPr="005B36A4">
        <w:t xml:space="preserve">but has in fact compressed six into four—all for the sake of </w:t>
      </w:r>
      <w:proofErr w:type="spellStart"/>
      <w:r w:rsidRPr="005B36A4">
        <w:rPr>
          <w:i/>
          <w:iCs/>
        </w:rPr>
        <w:t>Zweigliedrigkeit</w:t>
      </w:r>
      <w:proofErr w:type="spellEnd"/>
      <w:r w:rsidRPr="005B36A4">
        <w:rPr>
          <w:iCs/>
        </w:rPr>
        <w:t>.</w:t>
      </w:r>
      <w:r w:rsidRPr="005B36A4">
        <w:rPr>
          <w:rStyle w:val="FootnoteReference"/>
        </w:rPr>
        <w:footnoteReference w:id="363"/>
      </w:r>
    </w:p>
    <w:p w14:paraId="0E1522F3" w14:textId="3FCC5B1B" w:rsidR="0018433B" w:rsidRPr="005B36A4" w:rsidRDefault="0018433B" w:rsidP="0018433B">
      <w:r>
        <w:tab/>
      </w:r>
      <w:r w:rsidRPr="005B36A4">
        <w:t>Morgenthaler dismisses 6:46-47 as “two small interrupting sentences”:</w:t>
      </w:r>
      <w:r w:rsidRPr="005B36A4">
        <w:rPr>
          <w:rStyle w:val="FootnoteReference"/>
        </w:rPr>
        <w:footnoteReference w:id="364"/>
      </w:r>
      <w:r w:rsidRPr="005B36A4">
        <w:t xml:space="preserve"> “Why do you call me ‘Lord</w:t>
      </w:r>
      <w:r w:rsidR="006F304D" w:rsidRPr="006F304D">
        <w:t xml:space="preserve">, </w:t>
      </w:r>
      <w:r w:rsidRPr="005B36A4">
        <w:t xml:space="preserve">Lord,’ and do not do what I tell you? </w:t>
      </w:r>
      <w:r w:rsidRPr="005B36A4">
        <w:rPr>
          <w:vertAlign w:val="superscript"/>
        </w:rPr>
        <w:t>47</w:t>
      </w:r>
      <w:r w:rsidRPr="005B36A4">
        <w:t>I will show you what someone is like who comes to me</w:t>
      </w:r>
      <w:r w:rsidR="006F304D" w:rsidRPr="006F304D">
        <w:t xml:space="preserve">, </w:t>
      </w:r>
      <w:r w:rsidRPr="005B36A4">
        <w:t>hears my words</w:t>
      </w:r>
      <w:r w:rsidR="006F304D" w:rsidRPr="006F304D">
        <w:t xml:space="preserve">, </w:t>
      </w:r>
      <w:r w:rsidRPr="005B36A4">
        <w:t xml:space="preserve">and acts on them.” It is true that they disrupt the neat division of 42-49 into four parables; but apparently Luke considered their contribution to be more important than strict adherence to </w:t>
      </w:r>
      <w:proofErr w:type="spellStart"/>
      <w:r w:rsidRPr="005B36A4">
        <w:rPr>
          <w:i/>
          <w:iCs/>
        </w:rPr>
        <w:t>Zweigliedrigkeit</w:t>
      </w:r>
      <w:proofErr w:type="spellEnd"/>
      <w:r w:rsidRPr="005B36A4">
        <w:rPr>
          <w:iCs/>
        </w:rPr>
        <w:t xml:space="preserve">. </w:t>
      </w:r>
      <w:r w:rsidRPr="005B36A4">
        <w:t>Morgenthaler’s curt dismissal makes one suspect that Luke’s inter</w:t>
      </w:r>
      <w:r w:rsidRPr="005B36A4">
        <w:softHyphen/>
        <w:t>ruption of Morgenthaler’s pattern is an indiscretion scarcely to be tolerated.</w:t>
      </w:r>
    </w:p>
    <w:p w14:paraId="5BEA7C19" w14:textId="01003BC4" w:rsidR="0018433B" w:rsidRPr="005B36A4" w:rsidRDefault="0018433B" w:rsidP="0018433B">
      <w:r>
        <w:tab/>
      </w:r>
      <w:r w:rsidRPr="005B36A4">
        <w:t>Morgenthaler rightly describes the fourth parable (48-49</w:t>
      </w:r>
      <w:r w:rsidR="006F304D" w:rsidRPr="006F304D">
        <w:t xml:space="preserve">, </w:t>
      </w:r>
      <w:r w:rsidRPr="005B36A4">
        <w:t>the two houses) as a single unit</w:t>
      </w:r>
      <w:r w:rsidR="006F304D" w:rsidRPr="006F304D">
        <w:t xml:space="preserve">, </w:t>
      </w:r>
      <w:r w:rsidRPr="005B36A4">
        <w:t>but his division of the sermon as a whole is perplexing. He proposes to use the editorial comment in 39a</w:t>
      </w:r>
      <w:r w:rsidR="006F304D" w:rsidRPr="006F304D">
        <w:t xml:space="preserve">, </w:t>
      </w:r>
      <w:r w:rsidRPr="005B36A4">
        <w:t>“He also told them a parable,” as a “between-note” (</w:t>
      </w:r>
      <w:proofErr w:type="spellStart"/>
      <w:r w:rsidRPr="005B36A4">
        <w:rPr>
          <w:i/>
          <w:iCs/>
        </w:rPr>
        <w:t>Zwischennotiz</w:t>
      </w:r>
      <w:proofErr w:type="spellEnd"/>
      <w:r w:rsidRPr="005B36A4">
        <w:t>) whose purpose is to divide the sermon into two sections. In this way</w:t>
      </w:r>
      <w:r w:rsidR="006F304D" w:rsidRPr="006F304D">
        <w:t xml:space="preserve">, </w:t>
      </w:r>
      <w:r w:rsidRPr="005B36A4">
        <w:t>Morgenthaler is able to maintain that—leaving to one side the beatitudes and woes (6:20b-26)—each of the two resultant sections (6:27-38</w:t>
      </w:r>
      <w:r w:rsidR="006F304D" w:rsidRPr="006F304D">
        <w:t xml:space="preserve">, </w:t>
      </w:r>
      <w:r w:rsidRPr="005B36A4">
        <w:t>6:39b-49) has four units.</w:t>
      </w:r>
      <w:r w:rsidRPr="005B36A4">
        <w:rPr>
          <w:rStyle w:val="FootnoteReference"/>
        </w:rPr>
        <w:footnoteReference w:id="365"/>
      </w:r>
      <w:r w:rsidRPr="005B36A4">
        <w:t xml:space="preserve"> The first has a tetrastich (27-28)</w:t>
      </w:r>
      <w:r w:rsidR="006F304D" w:rsidRPr="006F304D">
        <w:t xml:space="preserve">, </w:t>
      </w:r>
      <w:r w:rsidRPr="005B36A4">
        <w:t>another tetrastich (29-30)</w:t>
      </w:r>
      <w:r w:rsidR="006F304D" w:rsidRPr="006F304D">
        <w:t xml:space="preserve">, </w:t>
      </w:r>
      <w:r w:rsidRPr="005B36A4">
        <w:t>a double-tristich (32-35c)</w:t>
      </w:r>
      <w:r w:rsidR="006F304D" w:rsidRPr="006F304D">
        <w:t xml:space="preserve">, </w:t>
      </w:r>
      <w:r w:rsidRPr="005B36A4">
        <w:t>and a framed antithetical tetrastich (36-38); the second has four parables (39b-40</w:t>
      </w:r>
      <w:r w:rsidR="006F304D" w:rsidRPr="006F304D">
        <w:t xml:space="preserve">, </w:t>
      </w:r>
      <w:r w:rsidRPr="005B36A4">
        <w:t>41-42</w:t>
      </w:r>
      <w:r w:rsidR="006F304D" w:rsidRPr="006F304D">
        <w:t xml:space="preserve">, </w:t>
      </w:r>
      <w:r w:rsidRPr="005B36A4">
        <w:t>43-45</w:t>
      </w:r>
      <w:r w:rsidR="006F304D" w:rsidRPr="006F304D">
        <w:t xml:space="preserve">, </w:t>
      </w:r>
      <w:r w:rsidRPr="005B36A4">
        <w:t>48-49). But there are problems here. First</w:t>
      </w:r>
      <w:r w:rsidR="006F304D" w:rsidRPr="006F304D">
        <w:t xml:space="preserve">, </w:t>
      </w:r>
      <w:r w:rsidRPr="005B36A4">
        <w:t>why leave aside the beatitudes and woes? Second</w:t>
      </w:r>
      <w:r w:rsidR="006F304D" w:rsidRPr="006F304D">
        <w:t xml:space="preserve">, </w:t>
      </w:r>
      <w:r w:rsidRPr="005B36A4">
        <w:t>we have already demonstrated that the second section contains</w:t>
      </w:r>
      <w:r w:rsidR="006F304D" w:rsidRPr="006F304D">
        <w:t xml:space="preserve">, </w:t>
      </w:r>
      <w:r w:rsidRPr="005B36A4">
        <w:t>not four</w:t>
      </w:r>
      <w:r w:rsidR="006F304D" w:rsidRPr="006F304D">
        <w:t xml:space="preserve">, </w:t>
      </w:r>
      <w:r w:rsidRPr="005B36A4">
        <w:t>but six parables. Third</w:t>
      </w:r>
      <w:r w:rsidR="006F304D" w:rsidRPr="006F304D">
        <w:t xml:space="preserve">, </w:t>
      </w:r>
      <w:r w:rsidRPr="005B36A4">
        <w:t>the symme</w:t>
      </w:r>
      <w:r w:rsidRPr="005B36A4">
        <w:softHyphen/>
        <w:t>try is achieved only by ignoring some verses: 31</w:t>
      </w:r>
      <w:r w:rsidR="006F304D" w:rsidRPr="006F304D">
        <w:t xml:space="preserve">, </w:t>
      </w:r>
      <w:r w:rsidRPr="005B36A4">
        <w:t>35def</w:t>
      </w:r>
      <w:r w:rsidR="006F304D" w:rsidRPr="006F304D">
        <w:t xml:space="preserve">, </w:t>
      </w:r>
      <w:r w:rsidRPr="005B36A4">
        <w:t>46-47. And fourth</w:t>
      </w:r>
      <w:r w:rsidR="006F304D" w:rsidRPr="006F304D">
        <w:t xml:space="preserve">, </w:t>
      </w:r>
      <w:r w:rsidRPr="005B36A4">
        <w:t>we will soon demon</w:t>
      </w:r>
      <w:r w:rsidRPr="005B36A4">
        <w:softHyphen/>
        <w:t>strate</w:t>
      </w:r>
      <w:r w:rsidRPr="005B36A4">
        <w:rPr>
          <w:rStyle w:val="FootnoteReference"/>
        </w:rPr>
        <w:footnoteReference w:id="366"/>
      </w:r>
      <w:r w:rsidRPr="005B36A4">
        <w:t xml:space="preserve"> that Morgenthaler is not justified in using the editorial comment in 39a as a major divider.</w:t>
      </w:r>
    </w:p>
    <w:p w14:paraId="4DA7B149" w14:textId="5BBBF91C" w:rsidR="0018433B" w:rsidRPr="005B36A4" w:rsidRDefault="0018433B" w:rsidP="0018433B">
      <w:r w:rsidRPr="005B36A4">
        <w:tab/>
        <w:t>To sum up: we discern throughout Morgenthaler’s analysis of the structure of the sermon on the plain a tendency to adjust Luke’s material to his own predetermined pattern. From Morgen</w:t>
      </w:r>
      <w:r w:rsidRPr="005B36A4">
        <w:softHyphen/>
        <w:t>thaler’s ignoring of the major insertion in the beatitudes (6:22b-23b)</w:t>
      </w:r>
      <w:r w:rsidR="006F304D" w:rsidRPr="006F304D">
        <w:t xml:space="preserve">, </w:t>
      </w:r>
      <w:r w:rsidRPr="005B36A4">
        <w:t>to his failure to notice the deviations in 29-30</w:t>
      </w:r>
      <w:r w:rsidR="006F304D" w:rsidRPr="006F304D">
        <w:t xml:space="preserve">, </w:t>
      </w:r>
      <w:r w:rsidRPr="005B36A4">
        <w:t>to his failure to mention 31</w:t>
      </w:r>
      <w:r w:rsidR="006F304D" w:rsidRPr="006F304D">
        <w:t xml:space="preserve">, </w:t>
      </w:r>
      <w:r w:rsidRPr="005B36A4">
        <w:t xml:space="preserve">to the </w:t>
      </w:r>
      <w:proofErr w:type="spellStart"/>
      <w:r w:rsidRPr="005B36A4">
        <w:rPr>
          <w:i/>
          <w:iCs/>
        </w:rPr>
        <w:t>Dreierparallelismus</w:t>
      </w:r>
      <w:proofErr w:type="spellEnd"/>
      <w:r w:rsidRPr="005B36A4">
        <w:t xml:space="preserve"> and disproportion of 32-35c</w:t>
      </w:r>
      <w:r w:rsidR="006F304D" w:rsidRPr="006F304D">
        <w:t xml:space="preserve">, </w:t>
      </w:r>
      <w:r w:rsidRPr="005B36A4">
        <w:t>to the omission of 35def in his summary</w:t>
      </w:r>
      <w:r w:rsidR="006F304D" w:rsidRPr="006F304D">
        <w:t xml:space="preserve">, </w:t>
      </w:r>
      <w:r w:rsidRPr="005B36A4">
        <w:t>to the combining of six parables into four in 39-49</w:t>
      </w:r>
      <w:r w:rsidR="006F304D" w:rsidRPr="006F304D">
        <w:t xml:space="preserve">, </w:t>
      </w:r>
      <w:r w:rsidRPr="005B36A4">
        <w:t>to the dismissal of 46-47</w:t>
      </w:r>
      <w:r w:rsidR="006F304D" w:rsidRPr="006F304D">
        <w:t xml:space="preserve">, </w:t>
      </w:r>
      <w:r w:rsidRPr="005B36A4">
        <w:t>to the misleading division of the sermon as a whole into two parts—the tendency throughout has been to give primacy</w:t>
      </w:r>
      <w:r w:rsidR="006F304D" w:rsidRPr="006F304D">
        <w:t xml:space="preserve">, </w:t>
      </w:r>
      <w:r w:rsidRPr="005B36A4">
        <w:t>not to Luke’s text</w:t>
      </w:r>
      <w:r w:rsidR="006F304D" w:rsidRPr="006F304D">
        <w:t xml:space="preserve">, </w:t>
      </w:r>
      <w:r w:rsidRPr="005B36A4">
        <w:t>but to Morgenthaler’s pattern.</w:t>
      </w:r>
      <w:r w:rsidRPr="005B36A4">
        <w:rPr>
          <w:rStyle w:val="FootnoteReference"/>
        </w:rPr>
        <w:footnoteReference w:id="367"/>
      </w:r>
    </w:p>
    <w:p w14:paraId="35490E12" w14:textId="2AB84534" w:rsidR="0018433B" w:rsidRPr="005B36A4" w:rsidRDefault="0018433B" w:rsidP="0018433B">
      <w:r>
        <w:lastRenderedPageBreak/>
        <w:tab/>
      </w:r>
      <w:r w:rsidRPr="005B36A4">
        <w:t>It cannot be said that Morgenthaler has contributed nothing to our knowledge of the struc</w:t>
      </w:r>
      <w:r w:rsidRPr="005B36A4">
        <w:softHyphen/>
        <w:t xml:space="preserve">ture of Luke’s sermon. There is some evidence for a “principle of </w:t>
      </w:r>
      <w:proofErr w:type="spellStart"/>
      <w:r w:rsidRPr="005B36A4">
        <w:t>twofoldness</w:t>
      </w:r>
      <w:proofErr w:type="spellEnd"/>
      <w:r w:rsidRPr="005B36A4">
        <w:t>” in the discourse</w:t>
      </w:r>
      <w:r w:rsidR="006F304D" w:rsidRPr="006F304D">
        <w:t xml:space="preserve">, </w:t>
      </w:r>
      <w:r w:rsidRPr="005B36A4">
        <w:t>in 6:23a</w:t>
      </w:r>
      <w:r w:rsidR="006F304D" w:rsidRPr="006F304D">
        <w:t xml:space="preserve">, </w:t>
      </w:r>
      <w:r w:rsidRPr="005B36A4">
        <w:t>27b-28</w:t>
      </w:r>
      <w:r w:rsidR="006F304D" w:rsidRPr="006F304D">
        <w:t xml:space="preserve">, </w:t>
      </w:r>
      <w:r w:rsidRPr="005B36A4">
        <w:t>29</w:t>
      </w:r>
      <w:r w:rsidR="006F304D" w:rsidRPr="006F304D">
        <w:t xml:space="preserve">, </w:t>
      </w:r>
      <w:r w:rsidRPr="005B36A4">
        <w:t>37abcd</w:t>
      </w:r>
      <w:r w:rsidR="006F304D" w:rsidRPr="006F304D">
        <w:t xml:space="preserve">, </w:t>
      </w:r>
      <w:r w:rsidRPr="005B36A4">
        <w:t>43</w:t>
      </w:r>
      <w:r w:rsidR="006F304D" w:rsidRPr="006F304D">
        <w:t xml:space="preserve">, </w:t>
      </w:r>
      <w:r w:rsidRPr="005B36A4">
        <w:t>44bc</w:t>
      </w:r>
      <w:r w:rsidR="006F304D" w:rsidRPr="006F304D">
        <w:t xml:space="preserve">, </w:t>
      </w:r>
      <w:r w:rsidRPr="005B36A4">
        <w:t>and 45ab. Yet each of these is explicable purely in terms of Semitic parallelism; there is no need to suppose that Luke had a fixation on the number two</w:t>
      </w:r>
      <w:r w:rsidR="006F304D" w:rsidRPr="006F304D">
        <w:t xml:space="preserve">, </w:t>
      </w:r>
      <w:r w:rsidRPr="005B36A4">
        <w:t>beyond that which the Palestinian background of his sources or the style of the Septuagint provided him. Perhaps Morgenthaler’s major contribution</w:t>
      </w:r>
      <w:r w:rsidR="006F304D" w:rsidRPr="006F304D">
        <w:t xml:space="preserve">, </w:t>
      </w:r>
      <w:r w:rsidRPr="005B36A4">
        <w:t>then</w:t>
      </w:r>
      <w:r w:rsidR="006F304D" w:rsidRPr="006F304D">
        <w:t xml:space="preserve">, </w:t>
      </w:r>
      <w:r w:rsidRPr="005B36A4">
        <w:t>has been</w:t>
      </w:r>
      <w:r w:rsidR="006F304D" w:rsidRPr="006F304D">
        <w:t xml:space="preserve">, </w:t>
      </w:r>
      <w:r w:rsidRPr="005B36A4">
        <w:t xml:space="preserve">not his insistence on </w:t>
      </w:r>
      <w:proofErr w:type="spellStart"/>
      <w:r w:rsidRPr="005B36A4">
        <w:t>twofoldness</w:t>
      </w:r>
      <w:proofErr w:type="spellEnd"/>
      <w:r w:rsidR="006F304D" w:rsidRPr="006F304D">
        <w:t xml:space="preserve">, </w:t>
      </w:r>
      <w:r w:rsidRPr="005B36A4">
        <w:t xml:space="preserve">but his persistence in noting the presence in the sermon of </w:t>
      </w:r>
      <w:proofErr w:type="spellStart"/>
      <w:r w:rsidRPr="005B36A4">
        <w:rPr>
          <w:i/>
          <w:iCs/>
        </w:rPr>
        <w:t>Viererparallelismus</w:t>
      </w:r>
      <w:proofErr w:type="spellEnd"/>
      <w:r w:rsidRPr="005B36A4">
        <w:rPr>
          <w:iCs/>
        </w:rPr>
        <w:t xml:space="preserve">; </w:t>
      </w:r>
      <w:r w:rsidRPr="005B36A4">
        <w:t>and he has in fact correctly discerned several fourfold units: 20b-23</w:t>
      </w:r>
      <w:r w:rsidR="006F304D" w:rsidRPr="006F304D">
        <w:t xml:space="preserve">, </w:t>
      </w:r>
      <w:r w:rsidRPr="005B36A4">
        <w:t>24-26</w:t>
      </w:r>
      <w:r w:rsidR="006F304D" w:rsidRPr="006F304D">
        <w:t xml:space="preserve">, </w:t>
      </w:r>
      <w:r w:rsidRPr="005B36A4">
        <w:t>27b-28</w:t>
      </w:r>
      <w:r w:rsidR="006F304D" w:rsidRPr="006F304D">
        <w:t xml:space="preserve">, </w:t>
      </w:r>
      <w:r w:rsidRPr="005B36A4">
        <w:t>29-30. Of course</w:t>
      </w:r>
      <w:r w:rsidR="006F304D" w:rsidRPr="006F304D">
        <w:t xml:space="preserve">, </w:t>
      </w:r>
      <w:r w:rsidRPr="005B36A4">
        <w:t xml:space="preserve">Morgenthaler wants to argue that every instance of </w:t>
      </w:r>
      <w:proofErr w:type="spellStart"/>
      <w:r w:rsidRPr="005B36A4">
        <w:t>fourfoldness</w:t>
      </w:r>
      <w:proofErr w:type="spellEnd"/>
      <w:r w:rsidRPr="005B36A4">
        <w:t xml:space="preserve"> is nothing more than </w:t>
      </w:r>
      <w:proofErr w:type="spellStart"/>
      <w:r w:rsidRPr="005B36A4">
        <w:t>twofoldness</w:t>
      </w:r>
      <w:proofErr w:type="spellEnd"/>
      <w:r w:rsidRPr="005B36A4">
        <w:t xml:space="preserve"> </w:t>
      </w:r>
      <w:proofErr w:type="spellStart"/>
      <w:r w:rsidRPr="005B36A4">
        <w:t>twofoldly</w:t>
      </w:r>
      <w:proofErr w:type="spellEnd"/>
      <w:r w:rsidRPr="005B36A4">
        <w:t xml:space="preserve"> applied.</w:t>
      </w:r>
      <w:r w:rsidRPr="005B36A4">
        <w:rPr>
          <w:rStyle w:val="FootnoteReference"/>
        </w:rPr>
        <w:footnoteReference w:id="368"/>
      </w:r>
      <w:r w:rsidRPr="005B36A4">
        <w:t xml:space="preserve"> But when his tendentious thesis is dropped</w:t>
      </w:r>
      <w:r w:rsidR="006F304D" w:rsidRPr="006F304D">
        <w:t xml:space="preserve">, </w:t>
      </w:r>
      <w:r w:rsidRPr="005B36A4">
        <w:t>it is possible to see Luke’s groups of four for what they are: groups of four—which are sometimes groups of three.</w:t>
      </w:r>
    </w:p>
    <w:p w14:paraId="4EAD8621" w14:textId="77777777" w:rsidR="0018433B" w:rsidRPr="005B36A4" w:rsidRDefault="0018433B" w:rsidP="0018433B"/>
    <w:p w14:paraId="71FF85AA" w14:textId="77777777" w:rsidR="0018433B" w:rsidRPr="005B36A4" w:rsidRDefault="0018433B" w:rsidP="00904123">
      <w:pPr>
        <w:pStyle w:val="Heading2"/>
      </w:pPr>
      <w:bookmarkStart w:id="29" w:name="_Toc147618614"/>
      <w:r w:rsidRPr="005B36A4">
        <w:t>3.</w:t>
      </w:r>
      <w:r>
        <w:t xml:space="preserve"> </w:t>
      </w:r>
      <w:r w:rsidRPr="005B36A4">
        <w:t>Walter Grundmann</w:t>
      </w:r>
      <w:bookmarkEnd w:id="29"/>
    </w:p>
    <w:p w14:paraId="72B7B740" w14:textId="77777777" w:rsidR="0018433B" w:rsidRPr="005B36A4" w:rsidRDefault="0018433B" w:rsidP="0018433B"/>
    <w:p w14:paraId="0CFE130E" w14:textId="284A26CC" w:rsidR="0018433B" w:rsidRPr="005B36A4" w:rsidRDefault="0018433B" w:rsidP="0018433B">
      <w:r>
        <w:tab/>
      </w:r>
      <w:r w:rsidRPr="005B36A4">
        <w:t>Like Morgenthaler</w:t>
      </w:r>
      <w:r w:rsidR="006F304D" w:rsidRPr="006F304D">
        <w:t xml:space="preserve">, </w:t>
      </w:r>
      <w:r w:rsidRPr="005B36A4">
        <w:t>Walter Grundmann has considered the structure of the sermon on the plain in the light of numerical principles. In his commentary on Luke</w:t>
      </w:r>
      <w:r w:rsidR="006F304D" w:rsidRPr="006F304D">
        <w:t xml:space="preserve">, </w:t>
      </w:r>
      <w:r w:rsidRPr="005B36A4">
        <w:t>he closely follows Morgen</w:t>
      </w:r>
      <w:r w:rsidRPr="005B36A4">
        <w:softHyphen/>
        <w:t>thaler’s divisions of the sermon. Though he acknowledges his dependence on Morgenthaler in a footnote</w:t>
      </w:r>
      <w:r w:rsidR="006F304D" w:rsidRPr="006F304D">
        <w:t xml:space="preserve">, </w:t>
      </w:r>
      <w:r w:rsidRPr="005B36A4">
        <w:t xml:space="preserve">the datum for which he acknowledges dependence is not the principle of </w:t>
      </w:r>
      <w:proofErr w:type="spellStart"/>
      <w:r w:rsidRPr="005B36A4">
        <w:t>twofoldness</w:t>
      </w:r>
      <w:proofErr w:type="spellEnd"/>
      <w:r w:rsidRPr="005B36A4">
        <w:t xml:space="preserve"> but a “principle of </w:t>
      </w:r>
      <w:proofErr w:type="spellStart"/>
      <w:r w:rsidRPr="005B36A4">
        <w:t>fourfoldness</w:t>
      </w:r>
      <w:proofErr w:type="spellEnd"/>
      <w:r w:rsidRPr="005B36A4">
        <w:t>” (</w:t>
      </w:r>
      <w:r w:rsidRPr="005B36A4">
        <w:rPr>
          <w:i/>
          <w:iCs/>
        </w:rPr>
        <w:t>Viererprinzip</w:t>
      </w:r>
      <w:r w:rsidRPr="005B36A4">
        <w:t>).</w:t>
      </w:r>
      <w:r w:rsidRPr="005B36A4">
        <w:rPr>
          <w:rStyle w:val="FootnoteReference"/>
        </w:rPr>
        <w:footnoteReference w:id="369"/>
      </w:r>
    </w:p>
    <w:p w14:paraId="0A2DBCDB" w14:textId="553EA90C" w:rsidR="0018433B" w:rsidRPr="005B36A4" w:rsidRDefault="0018433B" w:rsidP="0018433B">
      <w:r>
        <w:tab/>
      </w:r>
      <w:r w:rsidRPr="005B36A4">
        <w:t>Grundmann</w:t>
      </w:r>
      <w:r w:rsidR="006F304D" w:rsidRPr="006F304D">
        <w:t xml:space="preserve">, </w:t>
      </w:r>
      <w:r w:rsidRPr="005B36A4">
        <w:t>of course</w:t>
      </w:r>
      <w:r w:rsidR="006F304D" w:rsidRPr="006F304D">
        <w:t xml:space="preserve">, </w:t>
      </w:r>
      <w:r w:rsidRPr="005B36A4">
        <w:t xml:space="preserve">cites the four beatitudes and four woes as examples of </w:t>
      </w:r>
      <w:proofErr w:type="spellStart"/>
      <w:r w:rsidRPr="005B36A4">
        <w:t>fourfoldness</w:t>
      </w:r>
      <w:proofErr w:type="spellEnd"/>
      <w:r w:rsidR="006F304D" w:rsidRPr="006F304D">
        <w:t xml:space="preserve">, </w:t>
      </w:r>
      <w:r w:rsidRPr="005B36A4">
        <w:t>though they receive but a passing reference: “the speech begins with four beatitudes</w:t>
      </w:r>
      <w:r w:rsidR="006F304D" w:rsidRPr="006F304D">
        <w:t xml:space="preserve">, </w:t>
      </w:r>
      <w:r w:rsidRPr="005B36A4">
        <w:t xml:space="preserve">which reveal the principle of </w:t>
      </w:r>
      <w:proofErr w:type="spellStart"/>
      <w:r w:rsidRPr="005B36A4">
        <w:t>fourfoldness</w:t>
      </w:r>
      <w:proofErr w:type="spellEnd"/>
      <w:r w:rsidRPr="005B36A4">
        <w:t xml:space="preserve"> that dominates the structure of the Lukan sermon on the mount.”</w:t>
      </w:r>
      <w:r w:rsidRPr="005B36A4">
        <w:rPr>
          <w:rStyle w:val="FootnoteReference"/>
        </w:rPr>
        <w:footnoteReference w:id="370"/>
      </w:r>
      <w:r w:rsidRPr="005B36A4">
        <w:t xml:space="preserve"> Much more detailed is his explanation of 6:27-38</w:t>
      </w:r>
      <w:r w:rsidR="006F304D" w:rsidRPr="006F304D">
        <w:t xml:space="preserve">, </w:t>
      </w:r>
      <w:r w:rsidRPr="005B36A4">
        <w:t>which he calls a “three-part poem.”</w:t>
      </w:r>
    </w:p>
    <w:p w14:paraId="17B2DCF3" w14:textId="77777777" w:rsidR="0018433B" w:rsidRDefault="0018433B" w:rsidP="0018433B"/>
    <w:p w14:paraId="43D32361" w14:textId="211E8583" w:rsidR="0018433B" w:rsidRPr="005B36A4" w:rsidRDefault="0018433B" w:rsidP="0018433B">
      <w:pPr>
        <w:ind w:left="720" w:right="720"/>
      </w:pPr>
      <w:r w:rsidRPr="005B36A4">
        <w:t>The structure is based on a principle of four. There are two four-line units at the beginning (verses 27-28 and 29-30)</w:t>
      </w:r>
      <w:r w:rsidR="006F304D" w:rsidRPr="006F304D">
        <w:t xml:space="preserve">, </w:t>
      </w:r>
      <w:r w:rsidRPr="005B36A4">
        <w:t>which</w:t>
      </w:r>
      <w:r w:rsidR="006F304D" w:rsidRPr="006F304D">
        <w:t xml:space="preserve">, </w:t>
      </w:r>
      <w:r w:rsidRPr="005B36A4">
        <w:t>when retranslated back into Aramaic</w:t>
      </w:r>
      <w:r w:rsidR="006F304D" w:rsidRPr="006F304D">
        <w:t xml:space="preserve">, </w:t>
      </w:r>
      <w:r w:rsidRPr="005B36A4">
        <w:t>yield lines of rhymed tetrameter; these units are closed off by a two-line unit (verse 31). There are four three-line statements in the middle [32-35c]</w:t>
      </w:r>
      <w:r w:rsidR="006F304D" w:rsidRPr="006F304D">
        <w:t xml:space="preserve">, </w:t>
      </w:r>
      <w:r w:rsidRPr="005B36A4">
        <w:t>which are closed off by a three-line promise [35def]. And there are two four-line units at the end (verses 37-38)</w:t>
      </w:r>
      <w:r w:rsidR="006F304D" w:rsidRPr="006F304D">
        <w:t xml:space="preserve">, </w:t>
      </w:r>
      <w:r w:rsidRPr="005B36A4">
        <w:t xml:space="preserve">which are introduced by a two-part unit (v 36) </w:t>
      </w:r>
      <w:r w:rsidRPr="00E149A1">
        <w:t>. . .</w:t>
      </w:r>
      <w:r w:rsidRPr="005B36A4">
        <w:rPr>
          <w:rStyle w:val="FootnoteReference"/>
        </w:rPr>
        <w:footnoteReference w:id="371"/>
      </w:r>
    </w:p>
    <w:p w14:paraId="1601168F" w14:textId="77777777" w:rsidR="0018433B" w:rsidRDefault="0018433B" w:rsidP="0018433B"/>
    <w:p w14:paraId="42CB2904" w14:textId="77777777" w:rsidR="0018433B" w:rsidRDefault="0018433B" w:rsidP="0018433B">
      <w:r w:rsidRPr="005B36A4">
        <w:lastRenderedPageBreak/>
        <w:t>Grundmann presents this structure typographically as follows (the right-hand numbers have been added).</w:t>
      </w:r>
    </w:p>
    <w:p w14:paraId="06F159B8" w14:textId="77777777" w:rsidR="0018433B" w:rsidRDefault="0018433B" w:rsidP="0018433B">
      <w:pPr>
        <w:contextualSpacing/>
      </w:pPr>
    </w:p>
    <w:tbl>
      <w:tblPr>
        <w:tblStyle w:val="TableGrid"/>
        <w:tblW w:w="0" w:type="auto"/>
        <w:tblLayout w:type="fixed"/>
        <w:tblCellMar>
          <w:left w:w="115" w:type="dxa"/>
          <w:right w:w="115" w:type="dxa"/>
        </w:tblCellMar>
        <w:tblLook w:val="04A0" w:firstRow="1" w:lastRow="0" w:firstColumn="1" w:lastColumn="0" w:noHBand="0" w:noVBand="1"/>
      </w:tblPr>
      <w:tblGrid>
        <w:gridCol w:w="745"/>
        <w:gridCol w:w="630"/>
        <w:gridCol w:w="7560"/>
        <w:gridCol w:w="641"/>
      </w:tblGrid>
      <w:tr w:rsidR="0018433B" w14:paraId="75359D87" w14:textId="77777777" w:rsidTr="00A44C2E">
        <w:tc>
          <w:tcPr>
            <w:tcW w:w="745" w:type="dxa"/>
          </w:tcPr>
          <w:p w14:paraId="740BA475" w14:textId="77777777" w:rsidR="0018433B" w:rsidRDefault="0018433B" w:rsidP="00A44C2E">
            <w:pPr>
              <w:contextualSpacing/>
            </w:pPr>
            <w:r>
              <w:t>(27)</w:t>
            </w:r>
          </w:p>
        </w:tc>
        <w:tc>
          <w:tcPr>
            <w:tcW w:w="630" w:type="dxa"/>
          </w:tcPr>
          <w:p w14:paraId="7DB11AAE" w14:textId="77777777" w:rsidR="0018433B" w:rsidRDefault="0018433B" w:rsidP="00A44C2E">
            <w:pPr>
              <w:contextualSpacing/>
            </w:pPr>
            <w:r>
              <w:t>I.</w:t>
            </w:r>
          </w:p>
        </w:tc>
        <w:tc>
          <w:tcPr>
            <w:tcW w:w="7560" w:type="dxa"/>
          </w:tcPr>
          <w:p w14:paraId="0E5980EC" w14:textId="77777777" w:rsidR="0018433B" w:rsidRDefault="0018433B" w:rsidP="00A44C2E">
            <w:pPr>
              <w:contextualSpacing/>
            </w:pPr>
            <w:r>
              <w:t>But I say to you that listen,</w:t>
            </w:r>
          </w:p>
        </w:tc>
        <w:tc>
          <w:tcPr>
            <w:tcW w:w="641" w:type="dxa"/>
            <w:vAlign w:val="center"/>
          </w:tcPr>
          <w:p w14:paraId="1AB38D04" w14:textId="77777777" w:rsidR="0018433B" w:rsidRDefault="0018433B" w:rsidP="00A44C2E">
            <w:pPr>
              <w:contextualSpacing/>
            </w:pPr>
          </w:p>
        </w:tc>
      </w:tr>
      <w:tr w:rsidR="0018433B" w14:paraId="3D285E13" w14:textId="77777777" w:rsidTr="00A44C2E">
        <w:tc>
          <w:tcPr>
            <w:tcW w:w="745" w:type="dxa"/>
          </w:tcPr>
          <w:p w14:paraId="24E94466" w14:textId="77777777" w:rsidR="0018433B" w:rsidRDefault="0018433B" w:rsidP="00A44C2E">
            <w:pPr>
              <w:contextualSpacing/>
            </w:pPr>
          </w:p>
        </w:tc>
        <w:tc>
          <w:tcPr>
            <w:tcW w:w="630" w:type="dxa"/>
          </w:tcPr>
          <w:p w14:paraId="23F1B660" w14:textId="77777777" w:rsidR="0018433B" w:rsidRDefault="0018433B" w:rsidP="00A44C2E">
            <w:pPr>
              <w:contextualSpacing/>
            </w:pPr>
          </w:p>
        </w:tc>
        <w:tc>
          <w:tcPr>
            <w:tcW w:w="7560" w:type="dxa"/>
          </w:tcPr>
          <w:p w14:paraId="0AEE58FF" w14:textId="77777777" w:rsidR="0018433B" w:rsidRDefault="0018433B" w:rsidP="00A44C2E">
            <w:pPr>
              <w:contextualSpacing/>
            </w:pPr>
            <w:r>
              <w:t>Love your enemies,</w:t>
            </w:r>
          </w:p>
        </w:tc>
        <w:tc>
          <w:tcPr>
            <w:tcW w:w="641" w:type="dxa"/>
            <w:vMerge w:val="restart"/>
            <w:vAlign w:val="center"/>
          </w:tcPr>
          <w:p w14:paraId="74D8D320" w14:textId="77777777" w:rsidR="0018433B" w:rsidRDefault="0018433B" w:rsidP="00A44C2E">
            <w:pPr>
              <w:contextualSpacing/>
            </w:pPr>
            <w:r>
              <w:t>4</w:t>
            </w:r>
          </w:p>
        </w:tc>
      </w:tr>
      <w:tr w:rsidR="0018433B" w14:paraId="46D53CED" w14:textId="77777777" w:rsidTr="00A44C2E">
        <w:tc>
          <w:tcPr>
            <w:tcW w:w="745" w:type="dxa"/>
          </w:tcPr>
          <w:p w14:paraId="50ADC4A9" w14:textId="77777777" w:rsidR="0018433B" w:rsidRDefault="0018433B" w:rsidP="00A44C2E">
            <w:pPr>
              <w:contextualSpacing/>
            </w:pPr>
          </w:p>
        </w:tc>
        <w:tc>
          <w:tcPr>
            <w:tcW w:w="630" w:type="dxa"/>
          </w:tcPr>
          <w:p w14:paraId="355E655B" w14:textId="77777777" w:rsidR="0018433B" w:rsidRDefault="0018433B" w:rsidP="00A44C2E">
            <w:pPr>
              <w:contextualSpacing/>
            </w:pPr>
          </w:p>
        </w:tc>
        <w:tc>
          <w:tcPr>
            <w:tcW w:w="7560" w:type="dxa"/>
          </w:tcPr>
          <w:p w14:paraId="0163255C" w14:textId="77777777" w:rsidR="0018433B" w:rsidRDefault="0018433B" w:rsidP="00A44C2E">
            <w:pPr>
              <w:contextualSpacing/>
            </w:pPr>
            <w:r>
              <w:t>do good to those who hate you,</w:t>
            </w:r>
          </w:p>
        </w:tc>
        <w:tc>
          <w:tcPr>
            <w:tcW w:w="641" w:type="dxa"/>
            <w:vMerge/>
            <w:vAlign w:val="center"/>
          </w:tcPr>
          <w:p w14:paraId="539CF0F8" w14:textId="77777777" w:rsidR="0018433B" w:rsidRDefault="0018433B" w:rsidP="00A44C2E">
            <w:pPr>
              <w:contextualSpacing/>
            </w:pPr>
          </w:p>
        </w:tc>
      </w:tr>
      <w:tr w:rsidR="0018433B" w14:paraId="40F25526" w14:textId="77777777" w:rsidTr="00A44C2E">
        <w:tc>
          <w:tcPr>
            <w:tcW w:w="745" w:type="dxa"/>
          </w:tcPr>
          <w:p w14:paraId="7D8F2570" w14:textId="77777777" w:rsidR="0018433B" w:rsidRDefault="0018433B" w:rsidP="00A44C2E">
            <w:pPr>
              <w:contextualSpacing/>
            </w:pPr>
            <w:r>
              <w:t>(28)</w:t>
            </w:r>
          </w:p>
        </w:tc>
        <w:tc>
          <w:tcPr>
            <w:tcW w:w="630" w:type="dxa"/>
          </w:tcPr>
          <w:p w14:paraId="779C359E" w14:textId="77777777" w:rsidR="0018433B" w:rsidRDefault="0018433B" w:rsidP="00A44C2E">
            <w:pPr>
              <w:contextualSpacing/>
            </w:pPr>
          </w:p>
        </w:tc>
        <w:tc>
          <w:tcPr>
            <w:tcW w:w="7560" w:type="dxa"/>
          </w:tcPr>
          <w:p w14:paraId="3EC1D906" w14:textId="77777777" w:rsidR="0018433B" w:rsidRDefault="0018433B" w:rsidP="00A44C2E">
            <w:pPr>
              <w:contextualSpacing/>
            </w:pPr>
            <w:r>
              <w:t>bless those who curse you,</w:t>
            </w:r>
          </w:p>
        </w:tc>
        <w:tc>
          <w:tcPr>
            <w:tcW w:w="641" w:type="dxa"/>
            <w:vMerge/>
            <w:vAlign w:val="center"/>
          </w:tcPr>
          <w:p w14:paraId="2DAF80F0" w14:textId="77777777" w:rsidR="0018433B" w:rsidRDefault="0018433B" w:rsidP="00A44C2E">
            <w:pPr>
              <w:contextualSpacing/>
            </w:pPr>
          </w:p>
        </w:tc>
      </w:tr>
      <w:tr w:rsidR="0018433B" w14:paraId="58EC9357" w14:textId="77777777" w:rsidTr="00A44C2E">
        <w:tc>
          <w:tcPr>
            <w:tcW w:w="745" w:type="dxa"/>
          </w:tcPr>
          <w:p w14:paraId="2BB9641A" w14:textId="77777777" w:rsidR="0018433B" w:rsidRDefault="0018433B" w:rsidP="00A44C2E">
            <w:pPr>
              <w:contextualSpacing/>
            </w:pPr>
          </w:p>
        </w:tc>
        <w:tc>
          <w:tcPr>
            <w:tcW w:w="630" w:type="dxa"/>
          </w:tcPr>
          <w:p w14:paraId="0242165C" w14:textId="77777777" w:rsidR="0018433B" w:rsidRDefault="0018433B" w:rsidP="00A44C2E">
            <w:pPr>
              <w:contextualSpacing/>
            </w:pPr>
          </w:p>
        </w:tc>
        <w:tc>
          <w:tcPr>
            <w:tcW w:w="7560" w:type="dxa"/>
          </w:tcPr>
          <w:p w14:paraId="3C6083E4" w14:textId="77777777" w:rsidR="0018433B" w:rsidRDefault="0018433B" w:rsidP="00A44C2E">
            <w:pPr>
              <w:contextualSpacing/>
            </w:pPr>
            <w:r>
              <w:t>pray for those who abuse you.</w:t>
            </w:r>
          </w:p>
        </w:tc>
        <w:tc>
          <w:tcPr>
            <w:tcW w:w="641" w:type="dxa"/>
            <w:vMerge/>
            <w:vAlign w:val="center"/>
          </w:tcPr>
          <w:p w14:paraId="5DB08BB5" w14:textId="77777777" w:rsidR="0018433B" w:rsidRDefault="0018433B" w:rsidP="00A44C2E">
            <w:pPr>
              <w:contextualSpacing/>
            </w:pPr>
          </w:p>
        </w:tc>
      </w:tr>
      <w:tr w:rsidR="0018433B" w14:paraId="5EC56744" w14:textId="77777777" w:rsidTr="00A44C2E">
        <w:tc>
          <w:tcPr>
            <w:tcW w:w="745" w:type="dxa"/>
          </w:tcPr>
          <w:p w14:paraId="06DD62BA" w14:textId="77777777" w:rsidR="0018433B" w:rsidRDefault="0018433B" w:rsidP="00A44C2E">
            <w:pPr>
              <w:contextualSpacing/>
            </w:pPr>
            <w:r>
              <w:t>(29)</w:t>
            </w:r>
          </w:p>
        </w:tc>
        <w:tc>
          <w:tcPr>
            <w:tcW w:w="630" w:type="dxa"/>
          </w:tcPr>
          <w:p w14:paraId="76211F2E" w14:textId="77777777" w:rsidR="0018433B" w:rsidRDefault="0018433B" w:rsidP="00A44C2E">
            <w:pPr>
              <w:contextualSpacing/>
            </w:pPr>
          </w:p>
        </w:tc>
        <w:tc>
          <w:tcPr>
            <w:tcW w:w="7560" w:type="dxa"/>
          </w:tcPr>
          <w:p w14:paraId="6FB62EF4" w14:textId="078520FD" w:rsidR="0018433B" w:rsidRDefault="0018433B" w:rsidP="00A44C2E">
            <w:pPr>
              <w:contextualSpacing/>
            </w:pPr>
            <w:r>
              <w:t>If anyone strikes you on the cheek</w:t>
            </w:r>
            <w:r w:rsidR="006F304D" w:rsidRPr="006F304D">
              <w:t xml:space="preserve">, </w:t>
            </w:r>
            <w:r>
              <w:t>offer the other also;</w:t>
            </w:r>
          </w:p>
        </w:tc>
        <w:tc>
          <w:tcPr>
            <w:tcW w:w="641" w:type="dxa"/>
            <w:vMerge w:val="restart"/>
            <w:vAlign w:val="center"/>
          </w:tcPr>
          <w:p w14:paraId="3B344199" w14:textId="77777777" w:rsidR="0018433B" w:rsidRDefault="0018433B" w:rsidP="00A44C2E">
            <w:pPr>
              <w:contextualSpacing/>
            </w:pPr>
            <w:r>
              <w:t>4</w:t>
            </w:r>
          </w:p>
        </w:tc>
      </w:tr>
      <w:tr w:rsidR="0018433B" w14:paraId="7C6F2B6E" w14:textId="77777777" w:rsidTr="00A44C2E">
        <w:tc>
          <w:tcPr>
            <w:tcW w:w="745" w:type="dxa"/>
          </w:tcPr>
          <w:p w14:paraId="56178FFE" w14:textId="77777777" w:rsidR="0018433B" w:rsidRDefault="0018433B" w:rsidP="00A44C2E">
            <w:pPr>
              <w:contextualSpacing/>
            </w:pPr>
          </w:p>
        </w:tc>
        <w:tc>
          <w:tcPr>
            <w:tcW w:w="630" w:type="dxa"/>
          </w:tcPr>
          <w:p w14:paraId="60FBD984" w14:textId="77777777" w:rsidR="0018433B" w:rsidRDefault="0018433B" w:rsidP="00A44C2E">
            <w:pPr>
              <w:contextualSpacing/>
            </w:pPr>
          </w:p>
        </w:tc>
        <w:tc>
          <w:tcPr>
            <w:tcW w:w="7560" w:type="dxa"/>
          </w:tcPr>
          <w:p w14:paraId="38D4796A" w14:textId="77777777" w:rsidR="0018433B" w:rsidRDefault="0018433B" w:rsidP="00A44C2E">
            <w:pPr>
              <w:contextualSpacing/>
            </w:pPr>
            <w:r>
              <w:t>and from anyone who takes away your coat do not withhold even your shirt.</w:t>
            </w:r>
          </w:p>
        </w:tc>
        <w:tc>
          <w:tcPr>
            <w:tcW w:w="641" w:type="dxa"/>
            <w:vMerge/>
            <w:vAlign w:val="center"/>
          </w:tcPr>
          <w:p w14:paraId="4A42B6E4" w14:textId="77777777" w:rsidR="0018433B" w:rsidRDefault="0018433B" w:rsidP="00A44C2E">
            <w:pPr>
              <w:contextualSpacing/>
            </w:pPr>
          </w:p>
        </w:tc>
      </w:tr>
      <w:tr w:rsidR="0018433B" w14:paraId="42F78592" w14:textId="77777777" w:rsidTr="00A44C2E">
        <w:tc>
          <w:tcPr>
            <w:tcW w:w="745" w:type="dxa"/>
          </w:tcPr>
          <w:p w14:paraId="4FE21CA9" w14:textId="77777777" w:rsidR="0018433B" w:rsidRDefault="0018433B" w:rsidP="00A44C2E">
            <w:pPr>
              <w:contextualSpacing/>
            </w:pPr>
            <w:r>
              <w:t>(30)</w:t>
            </w:r>
          </w:p>
        </w:tc>
        <w:tc>
          <w:tcPr>
            <w:tcW w:w="630" w:type="dxa"/>
          </w:tcPr>
          <w:p w14:paraId="3072696B" w14:textId="77777777" w:rsidR="0018433B" w:rsidRDefault="0018433B" w:rsidP="00A44C2E">
            <w:pPr>
              <w:contextualSpacing/>
            </w:pPr>
          </w:p>
        </w:tc>
        <w:tc>
          <w:tcPr>
            <w:tcW w:w="7560" w:type="dxa"/>
          </w:tcPr>
          <w:p w14:paraId="30430889" w14:textId="77777777" w:rsidR="0018433B" w:rsidRDefault="0018433B" w:rsidP="00A44C2E">
            <w:pPr>
              <w:contextualSpacing/>
            </w:pPr>
            <w:r>
              <w:t>Give to everyone who begs from you;</w:t>
            </w:r>
          </w:p>
        </w:tc>
        <w:tc>
          <w:tcPr>
            <w:tcW w:w="641" w:type="dxa"/>
            <w:vMerge/>
            <w:vAlign w:val="center"/>
          </w:tcPr>
          <w:p w14:paraId="16AB415F" w14:textId="77777777" w:rsidR="0018433B" w:rsidRDefault="0018433B" w:rsidP="00A44C2E">
            <w:pPr>
              <w:contextualSpacing/>
            </w:pPr>
          </w:p>
        </w:tc>
      </w:tr>
      <w:tr w:rsidR="0018433B" w14:paraId="397D677E" w14:textId="77777777" w:rsidTr="00A44C2E">
        <w:tc>
          <w:tcPr>
            <w:tcW w:w="745" w:type="dxa"/>
          </w:tcPr>
          <w:p w14:paraId="2CCC0463" w14:textId="77777777" w:rsidR="0018433B" w:rsidRDefault="0018433B" w:rsidP="00A44C2E">
            <w:pPr>
              <w:contextualSpacing/>
            </w:pPr>
          </w:p>
        </w:tc>
        <w:tc>
          <w:tcPr>
            <w:tcW w:w="630" w:type="dxa"/>
          </w:tcPr>
          <w:p w14:paraId="29D11558" w14:textId="77777777" w:rsidR="0018433B" w:rsidRDefault="0018433B" w:rsidP="00A44C2E">
            <w:pPr>
              <w:contextualSpacing/>
            </w:pPr>
          </w:p>
        </w:tc>
        <w:tc>
          <w:tcPr>
            <w:tcW w:w="7560" w:type="dxa"/>
          </w:tcPr>
          <w:p w14:paraId="552CA077" w14:textId="0FBF12F8" w:rsidR="0018433B" w:rsidRDefault="0018433B" w:rsidP="00A44C2E">
            <w:pPr>
              <w:contextualSpacing/>
            </w:pPr>
            <w:r>
              <w:t>and if anyone takes away your goods</w:t>
            </w:r>
            <w:r w:rsidR="006F304D" w:rsidRPr="006F304D">
              <w:t xml:space="preserve">, </w:t>
            </w:r>
            <w:r>
              <w:t>do not ask them again.</w:t>
            </w:r>
          </w:p>
        </w:tc>
        <w:tc>
          <w:tcPr>
            <w:tcW w:w="641" w:type="dxa"/>
            <w:vMerge/>
            <w:vAlign w:val="center"/>
          </w:tcPr>
          <w:p w14:paraId="2C14EAB8" w14:textId="77777777" w:rsidR="0018433B" w:rsidRDefault="0018433B" w:rsidP="00A44C2E">
            <w:pPr>
              <w:contextualSpacing/>
            </w:pPr>
          </w:p>
        </w:tc>
      </w:tr>
      <w:tr w:rsidR="0018433B" w14:paraId="375CDA00" w14:textId="77777777" w:rsidTr="00A44C2E">
        <w:tc>
          <w:tcPr>
            <w:tcW w:w="745" w:type="dxa"/>
          </w:tcPr>
          <w:p w14:paraId="1AF80DAA" w14:textId="77777777" w:rsidR="0018433B" w:rsidRDefault="0018433B" w:rsidP="00A44C2E">
            <w:pPr>
              <w:contextualSpacing/>
            </w:pPr>
            <w:r>
              <w:t>(31)</w:t>
            </w:r>
          </w:p>
        </w:tc>
        <w:tc>
          <w:tcPr>
            <w:tcW w:w="630" w:type="dxa"/>
          </w:tcPr>
          <w:p w14:paraId="3930F1C6" w14:textId="77777777" w:rsidR="0018433B" w:rsidRDefault="0018433B" w:rsidP="00A44C2E">
            <w:pPr>
              <w:contextualSpacing/>
            </w:pPr>
          </w:p>
        </w:tc>
        <w:tc>
          <w:tcPr>
            <w:tcW w:w="7560" w:type="dxa"/>
          </w:tcPr>
          <w:p w14:paraId="25B8098E" w14:textId="77777777" w:rsidR="0018433B" w:rsidRDefault="0018433B" w:rsidP="00A44C2E">
            <w:pPr>
              <w:contextualSpacing/>
            </w:pPr>
            <w:r>
              <w:t>Do to others</w:t>
            </w:r>
          </w:p>
        </w:tc>
        <w:tc>
          <w:tcPr>
            <w:tcW w:w="641" w:type="dxa"/>
            <w:vMerge w:val="restart"/>
            <w:vAlign w:val="center"/>
          </w:tcPr>
          <w:p w14:paraId="20535126" w14:textId="77777777" w:rsidR="0018433B" w:rsidRDefault="0018433B" w:rsidP="00A44C2E">
            <w:pPr>
              <w:contextualSpacing/>
            </w:pPr>
            <w:r>
              <w:t>2</w:t>
            </w:r>
          </w:p>
        </w:tc>
      </w:tr>
      <w:tr w:rsidR="0018433B" w14:paraId="20F73424" w14:textId="77777777" w:rsidTr="00A44C2E">
        <w:tc>
          <w:tcPr>
            <w:tcW w:w="745" w:type="dxa"/>
          </w:tcPr>
          <w:p w14:paraId="0023F883" w14:textId="77777777" w:rsidR="0018433B" w:rsidRDefault="0018433B" w:rsidP="00A44C2E">
            <w:pPr>
              <w:contextualSpacing/>
            </w:pPr>
          </w:p>
        </w:tc>
        <w:tc>
          <w:tcPr>
            <w:tcW w:w="630" w:type="dxa"/>
          </w:tcPr>
          <w:p w14:paraId="7F016A24" w14:textId="77777777" w:rsidR="0018433B" w:rsidRDefault="0018433B" w:rsidP="00A44C2E">
            <w:pPr>
              <w:contextualSpacing/>
            </w:pPr>
          </w:p>
        </w:tc>
        <w:tc>
          <w:tcPr>
            <w:tcW w:w="7560" w:type="dxa"/>
          </w:tcPr>
          <w:p w14:paraId="7451DBE4" w14:textId="77777777" w:rsidR="0018433B" w:rsidRDefault="0018433B" w:rsidP="00A44C2E">
            <w:pPr>
              <w:contextualSpacing/>
            </w:pPr>
            <w:r>
              <w:t>as you would have them do to you.</w:t>
            </w:r>
            <w:r w:rsidRPr="005B36A4">
              <w:rPr>
                <w:rStyle w:val="FootnoteReference"/>
              </w:rPr>
              <w:footnoteReference w:id="372"/>
            </w:r>
          </w:p>
        </w:tc>
        <w:tc>
          <w:tcPr>
            <w:tcW w:w="641" w:type="dxa"/>
            <w:vMerge/>
            <w:vAlign w:val="center"/>
          </w:tcPr>
          <w:p w14:paraId="036DA8F3" w14:textId="77777777" w:rsidR="0018433B" w:rsidRDefault="0018433B" w:rsidP="00A44C2E">
            <w:pPr>
              <w:contextualSpacing/>
            </w:pPr>
          </w:p>
        </w:tc>
      </w:tr>
      <w:tr w:rsidR="0018433B" w14:paraId="58C3D2B7" w14:textId="77777777" w:rsidTr="00A44C2E">
        <w:tc>
          <w:tcPr>
            <w:tcW w:w="745" w:type="dxa"/>
          </w:tcPr>
          <w:p w14:paraId="469815F4" w14:textId="77777777" w:rsidR="0018433B" w:rsidRDefault="0018433B" w:rsidP="00A44C2E">
            <w:pPr>
              <w:contextualSpacing/>
            </w:pPr>
            <w:r>
              <w:t>(32)</w:t>
            </w:r>
          </w:p>
        </w:tc>
        <w:tc>
          <w:tcPr>
            <w:tcW w:w="630" w:type="dxa"/>
          </w:tcPr>
          <w:p w14:paraId="538F196A" w14:textId="77777777" w:rsidR="0018433B" w:rsidRDefault="0018433B" w:rsidP="00A44C2E">
            <w:pPr>
              <w:contextualSpacing/>
            </w:pPr>
            <w:r>
              <w:t>II.</w:t>
            </w:r>
          </w:p>
        </w:tc>
        <w:tc>
          <w:tcPr>
            <w:tcW w:w="7560" w:type="dxa"/>
          </w:tcPr>
          <w:p w14:paraId="33CEE74D" w14:textId="77777777" w:rsidR="0018433B" w:rsidRDefault="0018433B" w:rsidP="00A44C2E">
            <w:pPr>
              <w:contextualSpacing/>
            </w:pPr>
            <w:r>
              <w:t>If you love those who love you,</w:t>
            </w:r>
          </w:p>
        </w:tc>
        <w:tc>
          <w:tcPr>
            <w:tcW w:w="641" w:type="dxa"/>
            <w:vMerge w:val="restart"/>
            <w:vAlign w:val="center"/>
          </w:tcPr>
          <w:p w14:paraId="238C4F1D" w14:textId="77777777" w:rsidR="0018433B" w:rsidRDefault="0018433B" w:rsidP="00A44C2E">
            <w:pPr>
              <w:contextualSpacing/>
            </w:pPr>
            <w:r>
              <w:t>3</w:t>
            </w:r>
          </w:p>
        </w:tc>
      </w:tr>
      <w:tr w:rsidR="0018433B" w14:paraId="42F2BB53" w14:textId="77777777" w:rsidTr="00A44C2E">
        <w:tc>
          <w:tcPr>
            <w:tcW w:w="745" w:type="dxa"/>
          </w:tcPr>
          <w:p w14:paraId="6B77A5BF" w14:textId="77777777" w:rsidR="0018433B" w:rsidRDefault="0018433B" w:rsidP="00A44C2E">
            <w:pPr>
              <w:contextualSpacing/>
            </w:pPr>
          </w:p>
        </w:tc>
        <w:tc>
          <w:tcPr>
            <w:tcW w:w="630" w:type="dxa"/>
          </w:tcPr>
          <w:p w14:paraId="681E8679" w14:textId="77777777" w:rsidR="0018433B" w:rsidRDefault="0018433B" w:rsidP="00A44C2E">
            <w:pPr>
              <w:contextualSpacing/>
            </w:pPr>
          </w:p>
        </w:tc>
        <w:tc>
          <w:tcPr>
            <w:tcW w:w="7560" w:type="dxa"/>
          </w:tcPr>
          <w:p w14:paraId="7619B3FC" w14:textId="77777777" w:rsidR="0018433B" w:rsidRDefault="0018433B" w:rsidP="00A44C2E">
            <w:pPr>
              <w:contextualSpacing/>
            </w:pPr>
            <w:r>
              <w:t>what credit is that to you?</w:t>
            </w:r>
          </w:p>
        </w:tc>
        <w:tc>
          <w:tcPr>
            <w:tcW w:w="641" w:type="dxa"/>
            <w:vMerge/>
            <w:vAlign w:val="center"/>
          </w:tcPr>
          <w:p w14:paraId="531AB731" w14:textId="77777777" w:rsidR="0018433B" w:rsidRDefault="0018433B" w:rsidP="00A44C2E">
            <w:pPr>
              <w:contextualSpacing/>
            </w:pPr>
          </w:p>
        </w:tc>
      </w:tr>
      <w:tr w:rsidR="0018433B" w14:paraId="66D7EA05" w14:textId="77777777" w:rsidTr="00A44C2E">
        <w:tc>
          <w:tcPr>
            <w:tcW w:w="745" w:type="dxa"/>
          </w:tcPr>
          <w:p w14:paraId="750947E6" w14:textId="77777777" w:rsidR="0018433B" w:rsidRDefault="0018433B" w:rsidP="00A44C2E">
            <w:pPr>
              <w:contextualSpacing/>
            </w:pPr>
          </w:p>
        </w:tc>
        <w:tc>
          <w:tcPr>
            <w:tcW w:w="630" w:type="dxa"/>
          </w:tcPr>
          <w:p w14:paraId="00184037" w14:textId="77777777" w:rsidR="0018433B" w:rsidRDefault="0018433B" w:rsidP="00A44C2E">
            <w:pPr>
              <w:contextualSpacing/>
            </w:pPr>
          </w:p>
        </w:tc>
        <w:tc>
          <w:tcPr>
            <w:tcW w:w="7560" w:type="dxa"/>
          </w:tcPr>
          <w:p w14:paraId="3D64229F" w14:textId="77777777" w:rsidR="0018433B" w:rsidRDefault="0018433B" w:rsidP="00A44C2E">
            <w:pPr>
              <w:contextualSpacing/>
            </w:pPr>
            <w:r>
              <w:t>For even sinners love those who love them.</w:t>
            </w:r>
          </w:p>
        </w:tc>
        <w:tc>
          <w:tcPr>
            <w:tcW w:w="641" w:type="dxa"/>
            <w:vMerge/>
            <w:vAlign w:val="center"/>
          </w:tcPr>
          <w:p w14:paraId="459100C9" w14:textId="77777777" w:rsidR="0018433B" w:rsidRDefault="0018433B" w:rsidP="00A44C2E">
            <w:pPr>
              <w:contextualSpacing/>
            </w:pPr>
          </w:p>
        </w:tc>
      </w:tr>
      <w:tr w:rsidR="0018433B" w14:paraId="307F2947" w14:textId="77777777" w:rsidTr="00A44C2E">
        <w:tc>
          <w:tcPr>
            <w:tcW w:w="745" w:type="dxa"/>
          </w:tcPr>
          <w:p w14:paraId="0439BB34" w14:textId="77777777" w:rsidR="0018433B" w:rsidRDefault="0018433B" w:rsidP="00A44C2E">
            <w:pPr>
              <w:contextualSpacing/>
            </w:pPr>
            <w:r>
              <w:t>(33)</w:t>
            </w:r>
          </w:p>
        </w:tc>
        <w:tc>
          <w:tcPr>
            <w:tcW w:w="630" w:type="dxa"/>
          </w:tcPr>
          <w:p w14:paraId="35CF7742" w14:textId="77777777" w:rsidR="0018433B" w:rsidRDefault="0018433B" w:rsidP="00A44C2E">
            <w:pPr>
              <w:contextualSpacing/>
            </w:pPr>
          </w:p>
        </w:tc>
        <w:tc>
          <w:tcPr>
            <w:tcW w:w="7560" w:type="dxa"/>
          </w:tcPr>
          <w:p w14:paraId="731EEFBF" w14:textId="77777777" w:rsidR="0018433B" w:rsidRDefault="0018433B" w:rsidP="00A44C2E">
            <w:pPr>
              <w:contextualSpacing/>
            </w:pPr>
            <w:r>
              <w:t>And if you do good to those who do good to you,</w:t>
            </w:r>
          </w:p>
        </w:tc>
        <w:tc>
          <w:tcPr>
            <w:tcW w:w="641" w:type="dxa"/>
            <w:vMerge w:val="restart"/>
            <w:vAlign w:val="center"/>
          </w:tcPr>
          <w:p w14:paraId="04E06B40" w14:textId="77777777" w:rsidR="0018433B" w:rsidRDefault="0018433B" w:rsidP="00A44C2E">
            <w:pPr>
              <w:contextualSpacing/>
            </w:pPr>
            <w:r>
              <w:t>3</w:t>
            </w:r>
          </w:p>
        </w:tc>
      </w:tr>
      <w:tr w:rsidR="0018433B" w14:paraId="09C65C82" w14:textId="77777777" w:rsidTr="00A44C2E">
        <w:tc>
          <w:tcPr>
            <w:tcW w:w="745" w:type="dxa"/>
          </w:tcPr>
          <w:p w14:paraId="195F5705" w14:textId="77777777" w:rsidR="0018433B" w:rsidRDefault="0018433B" w:rsidP="00A44C2E">
            <w:pPr>
              <w:contextualSpacing/>
            </w:pPr>
          </w:p>
        </w:tc>
        <w:tc>
          <w:tcPr>
            <w:tcW w:w="630" w:type="dxa"/>
          </w:tcPr>
          <w:p w14:paraId="799A2691" w14:textId="77777777" w:rsidR="0018433B" w:rsidRDefault="0018433B" w:rsidP="00A44C2E">
            <w:pPr>
              <w:contextualSpacing/>
            </w:pPr>
          </w:p>
        </w:tc>
        <w:tc>
          <w:tcPr>
            <w:tcW w:w="7560" w:type="dxa"/>
          </w:tcPr>
          <w:p w14:paraId="29C67B05" w14:textId="77777777" w:rsidR="0018433B" w:rsidRDefault="0018433B" w:rsidP="00A44C2E">
            <w:pPr>
              <w:contextualSpacing/>
            </w:pPr>
            <w:r>
              <w:t>what credit is that to you?</w:t>
            </w:r>
          </w:p>
        </w:tc>
        <w:tc>
          <w:tcPr>
            <w:tcW w:w="641" w:type="dxa"/>
            <w:vMerge/>
            <w:vAlign w:val="center"/>
          </w:tcPr>
          <w:p w14:paraId="3E6A297C" w14:textId="77777777" w:rsidR="0018433B" w:rsidRDefault="0018433B" w:rsidP="00A44C2E">
            <w:pPr>
              <w:contextualSpacing/>
            </w:pPr>
          </w:p>
        </w:tc>
      </w:tr>
      <w:tr w:rsidR="0018433B" w14:paraId="3CCF4045" w14:textId="77777777" w:rsidTr="00A44C2E">
        <w:tc>
          <w:tcPr>
            <w:tcW w:w="745" w:type="dxa"/>
          </w:tcPr>
          <w:p w14:paraId="19D78E44" w14:textId="77777777" w:rsidR="0018433B" w:rsidRDefault="0018433B" w:rsidP="00A44C2E">
            <w:pPr>
              <w:contextualSpacing/>
            </w:pPr>
          </w:p>
        </w:tc>
        <w:tc>
          <w:tcPr>
            <w:tcW w:w="630" w:type="dxa"/>
          </w:tcPr>
          <w:p w14:paraId="7D799287" w14:textId="77777777" w:rsidR="0018433B" w:rsidRDefault="0018433B" w:rsidP="00A44C2E">
            <w:pPr>
              <w:contextualSpacing/>
            </w:pPr>
          </w:p>
        </w:tc>
        <w:tc>
          <w:tcPr>
            <w:tcW w:w="7560" w:type="dxa"/>
          </w:tcPr>
          <w:p w14:paraId="3BF73E5A" w14:textId="77777777" w:rsidR="0018433B" w:rsidRDefault="0018433B" w:rsidP="00A44C2E">
            <w:pPr>
              <w:contextualSpacing/>
            </w:pPr>
            <w:r>
              <w:t>For even sinners do the same.</w:t>
            </w:r>
          </w:p>
        </w:tc>
        <w:tc>
          <w:tcPr>
            <w:tcW w:w="641" w:type="dxa"/>
            <w:vMerge/>
            <w:vAlign w:val="center"/>
          </w:tcPr>
          <w:p w14:paraId="171FDF89" w14:textId="77777777" w:rsidR="0018433B" w:rsidRDefault="0018433B" w:rsidP="00A44C2E">
            <w:pPr>
              <w:contextualSpacing/>
            </w:pPr>
          </w:p>
        </w:tc>
      </w:tr>
      <w:tr w:rsidR="0018433B" w14:paraId="4B89E7CD" w14:textId="77777777" w:rsidTr="00A44C2E">
        <w:tc>
          <w:tcPr>
            <w:tcW w:w="745" w:type="dxa"/>
          </w:tcPr>
          <w:p w14:paraId="75E16510" w14:textId="77777777" w:rsidR="0018433B" w:rsidRDefault="0018433B" w:rsidP="00A44C2E">
            <w:pPr>
              <w:contextualSpacing/>
            </w:pPr>
            <w:r>
              <w:t>(34)</w:t>
            </w:r>
          </w:p>
        </w:tc>
        <w:tc>
          <w:tcPr>
            <w:tcW w:w="630" w:type="dxa"/>
          </w:tcPr>
          <w:p w14:paraId="62EF1A63" w14:textId="77777777" w:rsidR="0018433B" w:rsidRDefault="0018433B" w:rsidP="00A44C2E">
            <w:pPr>
              <w:contextualSpacing/>
            </w:pPr>
          </w:p>
        </w:tc>
        <w:tc>
          <w:tcPr>
            <w:tcW w:w="7560" w:type="dxa"/>
          </w:tcPr>
          <w:p w14:paraId="09D4204F" w14:textId="77777777" w:rsidR="0018433B" w:rsidRDefault="0018433B" w:rsidP="00A44C2E">
            <w:pPr>
              <w:contextualSpacing/>
            </w:pPr>
            <w:r>
              <w:t>If you lend to those from whom you hope to receive,</w:t>
            </w:r>
          </w:p>
        </w:tc>
        <w:tc>
          <w:tcPr>
            <w:tcW w:w="641" w:type="dxa"/>
            <w:vMerge w:val="restart"/>
            <w:vAlign w:val="center"/>
          </w:tcPr>
          <w:p w14:paraId="29E83019" w14:textId="77777777" w:rsidR="0018433B" w:rsidRDefault="0018433B" w:rsidP="00A44C2E">
            <w:pPr>
              <w:contextualSpacing/>
            </w:pPr>
            <w:r>
              <w:t>3</w:t>
            </w:r>
          </w:p>
        </w:tc>
      </w:tr>
      <w:tr w:rsidR="0018433B" w14:paraId="2691C296" w14:textId="77777777" w:rsidTr="00A44C2E">
        <w:tc>
          <w:tcPr>
            <w:tcW w:w="745" w:type="dxa"/>
          </w:tcPr>
          <w:p w14:paraId="048E9092" w14:textId="77777777" w:rsidR="0018433B" w:rsidRDefault="0018433B" w:rsidP="00A44C2E">
            <w:pPr>
              <w:contextualSpacing/>
            </w:pPr>
          </w:p>
        </w:tc>
        <w:tc>
          <w:tcPr>
            <w:tcW w:w="630" w:type="dxa"/>
          </w:tcPr>
          <w:p w14:paraId="6C4CF67F" w14:textId="77777777" w:rsidR="0018433B" w:rsidRDefault="0018433B" w:rsidP="00A44C2E">
            <w:pPr>
              <w:contextualSpacing/>
            </w:pPr>
          </w:p>
        </w:tc>
        <w:tc>
          <w:tcPr>
            <w:tcW w:w="7560" w:type="dxa"/>
          </w:tcPr>
          <w:p w14:paraId="5F994E96" w14:textId="77777777" w:rsidR="0018433B" w:rsidRDefault="0018433B" w:rsidP="00A44C2E">
            <w:pPr>
              <w:contextualSpacing/>
            </w:pPr>
            <w:r>
              <w:t>what credit is that to you?</w:t>
            </w:r>
          </w:p>
        </w:tc>
        <w:tc>
          <w:tcPr>
            <w:tcW w:w="641" w:type="dxa"/>
            <w:vMerge/>
            <w:vAlign w:val="center"/>
          </w:tcPr>
          <w:p w14:paraId="1768B26D" w14:textId="77777777" w:rsidR="0018433B" w:rsidRDefault="0018433B" w:rsidP="00A44C2E">
            <w:pPr>
              <w:contextualSpacing/>
            </w:pPr>
          </w:p>
        </w:tc>
      </w:tr>
      <w:tr w:rsidR="0018433B" w14:paraId="265ACB3B" w14:textId="77777777" w:rsidTr="00A44C2E">
        <w:tc>
          <w:tcPr>
            <w:tcW w:w="745" w:type="dxa"/>
          </w:tcPr>
          <w:p w14:paraId="40E2B6CE" w14:textId="77777777" w:rsidR="0018433B" w:rsidRDefault="0018433B" w:rsidP="00A44C2E">
            <w:pPr>
              <w:contextualSpacing/>
            </w:pPr>
          </w:p>
        </w:tc>
        <w:tc>
          <w:tcPr>
            <w:tcW w:w="630" w:type="dxa"/>
          </w:tcPr>
          <w:p w14:paraId="548BCD28" w14:textId="77777777" w:rsidR="0018433B" w:rsidRDefault="0018433B" w:rsidP="00A44C2E">
            <w:pPr>
              <w:contextualSpacing/>
            </w:pPr>
          </w:p>
        </w:tc>
        <w:tc>
          <w:tcPr>
            <w:tcW w:w="7560" w:type="dxa"/>
          </w:tcPr>
          <w:p w14:paraId="124A6CF2" w14:textId="3DEA22E2" w:rsidR="0018433B" w:rsidRDefault="0018433B" w:rsidP="00A44C2E">
            <w:pPr>
              <w:contextualSpacing/>
            </w:pPr>
            <w:r>
              <w:t>Even sinners lend to sinners</w:t>
            </w:r>
            <w:r w:rsidR="006F304D" w:rsidRPr="006F304D">
              <w:t xml:space="preserve">, </w:t>
            </w:r>
            <w:r>
              <w:t>to receive as much again.</w:t>
            </w:r>
          </w:p>
        </w:tc>
        <w:tc>
          <w:tcPr>
            <w:tcW w:w="641" w:type="dxa"/>
            <w:vMerge/>
            <w:vAlign w:val="center"/>
          </w:tcPr>
          <w:p w14:paraId="4C424B97" w14:textId="77777777" w:rsidR="0018433B" w:rsidRDefault="0018433B" w:rsidP="00A44C2E">
            <w:pPr>
              <w:contextualSpacing/>
            </w:pPr>
          </w:p>
        </w:tc>
      </w:tr>
      <w:tr w:rsidR="0018433B" w14:paraId="162DBEE7" w14:textId="77777777" w:rsidTr="00A44C2E">
        <w:tc>
          <w:tcPr>
            <w:tcW w:w="745" w:type="dxa"/>
          </w:tcPr>
          <w:p w14:paraId="04335514" w14:textId="77777777" w:rsidR="0018433B" w:rsidRDefault="0018433B" w:rsidP="00A44C2E">
            <w:pPr>
              <w:contextualSpacing/>
            </w:pPr>
            <w:r>
              <w:t>(35)</w:t>
            </w:r>
          </w:p>
        </w:tc>
        <w:tc>
          <w:tcPr>
            <w:tcW w:w="630" w:type="dxa"/>
          </w:tcPr>
          <w:p w14:paraId="40538E0C" w14:textId="77777777" w:rsidR="0018433B" w:rsidRDefault="0018433B" w:rsidP="00A44C2E">
            <w:pPr>
              <w:contextualSpacing/>
            </w:pPr>
          </w:p>
        </w:tc>
        <w:tc>
          <w:tcPr>
            <w:tcW w:w="7560" w:type="dxa"/>
          </w:tcPr>
          <w:p w14:paraId="607D3B86" w14:textId="77777777" w:rsidR="0018433B" w:rsidRDefault="0018433B" w:rsidP="00A44C2E">
            <w:pPr>
              <w:contextualSpacing/>
            </w:pPr>
            <w:r>
              <w:t>But love your enemies,</w:t>
            </w:r>
          </w:p>
        </w:tc>
        <w:tc>
          <w:tcPr>
            <w:tcW w:w="641" w:type="dxa"/>
            <w:vMerge w:val="restart"/>
            <w:vAlign w:val="center"/>
          </w:tcPr>
          <w:p w14:paraId="3F61635D" w14:textId="77777777" w:rsidR="0018433B" w:rsidRDefault="0018433B" w:rsidP="00A44C2E">
            <w:pPr>
              <w:contextualSpacing/>
            </w:pPr>
            <w:r>
              <w:t>3</w:t>
            </w:r>
          </w:p>
        </w:tc>
      </w:tr>
      <w:tr w:rsidR="0018433B" w14:paraId="674C7A02" w14:textId="77777777" w:rsidTr="00A44C2E">
        <w:tc>
          <w:tcPr>
            <w:tcW w:w="745" w:type="dxa"/>
          </w:tcPr>
          <w:p w14:paraId="74016EC5" w14:textId="77777777" w:rsidR="0018433B" w:rsidRDefault="0018433B" w:rsidP="00A44C2E">
            <w:pPr>
              <w:contextualSpacing/>
            </w:pPr>
          </w:p>
        </w:tc>
        <w:tc>
          <w:tcPr>
            <w:tcW w:w="630" w:type="dxa"/>
          </w:tcPr>
          <w:p w14:paraId="76036703" w14:textId="77777777" w:rsidR="0018433B" w:rsidRDefault="0018433B" w:rsidP="00A44C2E">
            <w:pPr>
              <w:contextualSpacing/>
            </w:pPr>
          </w:p>
        </w:tc>
        <w:tc>
          <w:tcPr>
            <w:tcW w:w="7560" w:type="dxa"/>
          </w:tcPr>
          <w:p w14:paraId="7B93CA35" w14:textId="77777777" w:rsidR="0018433B" w:rsidRDefault="0018433B" w:rsidP="00A44C2E">
            <w:pPr>
              <w:contextualSpacing/>
            </w:pPr>
            <w:r>
              <w:t>do good,</w:t>
            </w:r>
          </w:p>
        </w:tc>
        <w:tc>
          <w:tcPr>
            <w:tcW w:w="641" w:type="dxa"/>
            <w:vMerge/>
            <w:vAlign w:val="center"/>
          </w:tcPr>
          <w:p w14:paraId="6FC157A6" w14:textId="77777777" w:rsidR="0018433B" w:rsidRDefault="0018433B" w:rsidP="00A44C2E">
            <w:pPr>
              <w:contextualSpacing/>
            </w:pPr>
          </w:p>
        </w:tc>
      </w:tr>
      <w:tr w:rsidR="0018433B" w14:paraId="596D153F" w14:textId="77777777" w:rsidTr="00A44C2E">
        <w:tc>
          <w:tcPr>
            <w:tcW w:w="745" w:type="dxa"/>
          </w:tcPr>
          <w:p w14:paraId="7BF17E8E" w14:textId="77777777" w:rsidR="0018433B" w:rsidRDefault="0018433B" w:rsidP="00A44C2E">
            <w:pPr>
              <w:contextualSpacing/>
            </w:pPr>
          </w:p>
        </w:tc>
        <w:tc>
          <w:tcPr>
            <w:tcW w:w="630" w:type="dxa"/>
          </w:tcPr>
          <w:p w14:paraId="7A911A00" w14:textId="77777777" w:rsidR="0018433B" w:rsidRDefault="0018433B" w:rsidP="00A44C2E">
            <w:pPr>
              <w:contextualSpacing/>
            </w:pPr>
          </w:p>
        </w:tc>
        <w:tc>
          <w:tcPr>
            <w:tcW w:w="7560" w:type="dxa"/>
          </w:tcPr>
          <w:p w14:paraId="2B9F5B20" w14:textId="41E5C957" w:rsidR="0018433B" w:rsidRDefault="0018433B" w:rsidP="00A44C2E">
            <w:pPr>
              <w:contextualSpacing/>
            </w:pPr>
            <w:r>
              <w:t>and lend</w:t>
            </w:r>
            <w:r w:rsidR="006F304D" w:rsidRPr="006F304D">
              <w:t xml:space="preserve">, </w:t>
            </w:r>
            <w:r>
              <w:t>expecting nothing in return.</w:t>
            </w:r>
          </w:p>
        </w:tc>
        <w:tc>
          <w:tcPr>
            <w:tcW w:w="641" w:type="dxa"/>
            <w:vMerge/>
            <w:vAlign w:val="center"/>
          </w:tcPr>
          <w:p w14:paraId="1B77AE79" w14:textId="77777777" w:rsidR="0018433B" w:rsidRDefault="0018433B" w:rsidP="00A44C2E">
            <w:pPr>
              <w:contextualSpacing/>
            </w:pPr>
          </w:p>
        </w:tc>
      </w:tr>
      <w:tr w:rsidR="0018433B" w14:paraId="3C7B4B83" w14:textId="77777777" w:rsidTr="00A44C2E">
        <w:tc>
          <w:tcPr>
            <w:tcW w:w="745" w:type="dxa"/>
          </w:tcPr>
          <w:p w14:paraId="48D5020E" w14:textId="77777777" w:rsidR="0018433B" w:rsidRDefault="0018433B" w:rsidP="00A44C2E">
            <w:pPr>
              <w:contextualSpacing/>
            </w:pPr>
          </w:p>
        </w:tc>
        <w:tc>
          <w:tcPr>
            <w:tcW w:w="630" w:type="dxa"/>
          </w:tcPr>
          <w:p w14:paraId="2EBCA9B4" w14:textId="77777777" w:rsidR="0018433B" w:rsidRDefault="0018433B" w:rsidP="00A44C2E">
            <w:pPr>
              <w:contextualSpacing/>
            </w:pPr>
          </w:p>
        </w:tc>
        <w:tc>
          <w:tcPr>
            <w:tcW w:w="7560" w:type="dxa"/>
          </w:tcPr>
          <w:p w14:paraId="16C73755" w14:textId="77777777" w:rsidR="0018433B" w:rsidRDefault="0018433B" w:rsidP="00A44C2E">
            <w:pPr>
              <w:contextualSpacing/>
            </w:pPr>
            <w:r>
              <w:t>Your reward will be great,</w:t>
            </w:r>
          </w:p>
        </w:tc>
        <w:tc>
          <w:tcPr>
            <w:tcW w:w="641" w:type="dxa"/>
            <w:vMerge w:val="restart"/>
            <w:vAlign w:val="center"/>
          </w:tcPr>
          <w:p w14:paraId="73A282A8" w14:textId="77777777" w:rsidR="0018433B" w:rsidRDefault="0018433B" w:rsidP="00A44C2E">
            <w:pPr>
              <w:contextualSpacing/>
            </w:pPr>
            <w:r>
              <w:t>3</w:t>
            </w:r>
          </w:p>
        </w:tc>
      </w:tr>
      <w:tr w:rsidR="0018433B" w14:paraId="4506BBB0" w14:textId="77777777" w:rsidTr="00A44C2E">
        <w:tc>
          <w:tcPr>
            <w:tcW w:w="745" w:type="dxa"/>
          </w:tcPr>
          <w:p w14:paraId="610CAA64" w14:textId="77777777" w:rsidR="0018433B" w:rsidRDefault="0018433B" w:rsidP="00A44C2E">
            <w:pPr>
              <w:contextualSpacing/>
            </w:pPr>
          </w:p>
        </w:tc>
        <w:tc>
          <w:tcPr>
            <w:tcW w:w="630" w:type="dxa"/>
          </w:tcPr>
          <w:p w14:paraId="3DF1BB4F" w14:textId="77777777" w:rsidR="0018433B" w:rsidRDefault="0018433B" w:rsidP="00A44C2E">
            <w:pPr>
              <w:contextualSpacing/>
            </w:pPr>
          </w:p>
        </w:tc>
        <w:tc>
          <w:tcPr>
            <w:tcW w:w="7560" w:type="dxa"/>
          </w:tcPr>
          <w:p w14:paraId="7DAB9EA3" w14:textId="77777777" w:rsidR="0018433B" w:rsidRDefault="0018433B" w:rsidP="00A44C2E">
            <w:pPr>
              <w:contextualSpacing/>
            </w:pPr>
            <w:r>
              <w:t>and you will be sons of the Most High;</w:t>
            </w:r>
          </w:p>
        </w:tc>
        <w:tc>
          <w:tcPr>
            <w:tcW w:w="641" w:type="dxa"/>
            <w:vMerge/>
            <w:vAlign w:val="center"/>
          </w:tcPr>
          <w:p w14:paraId="3BF1C45B" w14:textId="77777777" w:rsidR="0018433B" w:rsidRDefault="0018433B" w:rsidP="00A44C2E">
            <w:pPr>
              <w:contextualSpacing/>
            </w:pPr>
          </w:p>
        </w:tc>
      </w:tr>
      <w:tr w:rsidR="0018433B" w14:paraId="0A504477" w14:textId="77777777" w:rsidTr="00A44C2E">
        <w:tc>
          <w:tcPr>
            <w:tcW w:w="745" w:type="dxa"/>
          </w:tcPr>
          <w:p w14:paraId="2E5B269B" w14:textId="77777777" w:rsidR="0018433B" w:rsidRDefault="0018433B" w:rsidP="00A44C2E">
            <w:pPr>
              <w:contextualSpacing/>
            </w:pPr>
          </w:p>
        </w:tc>
        <w:tc>
          <w:tcPr>
            <w:tcW w:w="630" w:type="dxa"/>
          </w:tcPr>
          <w:p w14:paraId="79E4CFB6" w14:textId="77777777" w:rsidR="0018433B" w:rsidRDefault="0018433B" w:rsidP="00A44C2E">
            <w:pPr>
              <w:contextualSpacing/>
            </w:pPr>
          </w:p>
        </w:tc>
        <w:tc>
          <w:tcPr>
            <w:tcW w:w="7560" w:type="dxa"/>
          </w:tcPr>
          <w:p w14:paraId="5A017D4A" w14:textId="77777777" w:rsidR="0018433B" w:rsidRDefault="0018433B" w:rsidP="00A44C2E">
            <w:pPr>
              <w:contextualSpacing/>
            </w:pPr>
            <w:r>
              <w:t>for he is kind to the ungrateful and the wicked.</w:t>
            </w:r>
          </w:p>
        </w:tc>
        <w:tc>
          <w:tcPr>
            <w:tcW w:w="641" w:type="dxa"/>
            <w:vMerge/>
            <w:vAlign w:val="center"/>
          </w:tcPr>
          <w:p w14:paraId="0630699C" w14:textId="77777777" w:rsidR="0018433B" w:rsidRDefault="0018433B" w:rsidP="00A44C2E">
            <w:pPr>
              <w:contextualSpacing/>
            </w:pPr>
          </w:p>
        </w:tc>
      </w:tr>
      <w:tr w:rsidR="0018433B" w14:paraId="05BE3C10" w14:textId="77777777" w:rsidTr="00A44C2E">
        <w:tc>
          <w:tcPr>
            <w:tcW w:w="745" w:type="dxa"/>
          </w:tcPr>
          <w:p w14:paraId="445F44F3" w14:textId="77777777" w:rsidR="0018433B" w:rsidRDefault="0018433B" w:rsidP="00A44C2E">
            <w:pPr>
              <w:contextualSpacing/>
            </w:pPr>
            <w:r>
              <w:t>(36)</w:t>
            </w:r>
          </w:p>
        </w:tc>
        <w:tc>
          <w:tcPr>
            <w:tcW w:w="630" w:type="dxa"/>
          </w:tcPr>
          <w:p w14:paraId="15E4EF34" w14:textId="77777777" w:rsidR="0018433B" w:rsidRDefault="0018433B" w:rsidP="00A44C2E">
            <w:pPr>
              <w:contextualSpacing/>
            </w:pPr>
            <w:r>
              <w:t>III.</w:t>
            </w:r>
          </w:p>
        </w:tc>
        <w:tc>
          <w:tcPr>
            <w:tcW w:w="7560" w:type="dxa"/>
          </w:tcPr>
          <w:p w14:paraId="0AB957F7" w14:textId="77777777" w:rsidR="0018433B" w:rsidRDefault="0018433B" w:rsidP="00A44C2E">
            <w:pPr>
              <w:contextualSpacing/>
            </w:pPr>
            <w:r>
              <w:t>Be merciful,</w:t>
            </w:r>
          </w:p>
        </w:tc>
        <w:tc>
          <w:tcPr>
            <w:tcW w:w="641" w:type="dxa"/>
            <w:vMerge w:val="restart"/>
            <w:vAlign w:val="center"/>
          </w:tcPr>
          <w:p w14:paraId="03704972" w14:textId="77777777" w:rsidR="0018433B" w:rsidRDefault="0018433B" w:rsidP="00A44C2E">
            <w:pPr>
              <w:contextualSpacing/>
            </w:pPr>
            <w:r>
              <w:t>2</w:t>
            </w:r>
          </w:p>
        </w:tc>
      </w:tr>
      <w:tr w:rsidR="0018433B" w14:paraId="63E9B763" w14:textId="77777777" w:rsidTr="00A44C2E">
        <w:tc>
          <w:tcPr>
            <w:tcW w:w="745" w:type="dxa"/>
          </w:tcPr>
          <w:p w14:paraId="6E12D447" w14:textId="77777777" w:rsidR="0018433B" w:rsidRDefault="0018433B" w:rsidP="00A44C2E">
            <w:pPr>
              <w:contextualSpacing/>
            </w:pPr>
          </w:p>
        </w:tc>
        <w:tc>
          <w:tcPr>
            <w:tcW w:w="630" w:type="dxa"/>
          </w:tcPr>
          <w:p w14:paraId="636696E9" w14:textId="77777777" w:rsidR="0018433B" w:rsidRDefault="0018433B" w:rsidP="00A44C2E">
            <w:pPr>
              <w:contextualSpacing/>
            </w:pPr>
          </w:p>
        </w:tc>
        <w:tc>
          <w:tcPr>
            <w:tcW w:w="7560" w:type="dxa"/>
          </w:tcPr>
          <w:p w14:paraId="71B850DE" w14:textId="77777777" w:rsidR="0018433B" w:rsidRDefault="0018433B" w:rsidP="00A44C2E">
            <w:pPr>
              <w:contextualSpacing/>
            </w:pPr>
            <w:r>
              <w:t>just as your Father is merciful.</w:t>
            </w:r>
          </w:p>
        </w:tc>
        <w:tc>
          <w:tcPr>
            <w:tcW w:w="641" w:type="dxa"/>
            <w:vMerge/>
            <w:vAlign w:val="center"/>
          </w:tcPr>
          <w:p w14:paraId="470347E3" w14:textId="77777777" w:rsidR="0018433B" w:rsidRDefault="0018433B" w:rsidP="00A44C2E">
            <w:pPr>
              <w:contextualSpacing/>
            </w:pPr>
          </w:p>
        </w:tc>
      </w:tr>
      <w:tr w:rsidR="0018433B" w14:paraId="01201CB5" w14:textId="77777777" w:rsidTr="00A44C2E">
        <w:tc>
          <w:tcPr>
            <w:tcW w:w="745" w:type="dxa"/>
          </w:tcPr>
          <w:p w14:paraId="182D4EB3" w14:textId="77777777" w:rsidR="0018433B" w:rsidRDefault="0018433B" w:rsidP="00A44C2E">
            <w:pPr>
              <w:contextualSpacing/>
            </w:pPr>
            <w:r>
              <w:t>(37)</w:t>
            </w:r>
          </w:p>
        </w:tc>
        <w:tc>
          <w:tcPr>
            <w:tcW w:w="630" w:type="dxa"/>
          </w:tcPr>
          <w:p w14:paraId="1D30D490" w14:textId="77777777" w:rsidR="0018433B" w:rsidRDefault="0018433B" w:rsidP="00A44C2E">
            <w:pPr>
              <w:contextualSpacing/>
            </w:pPr>
          </w:p>
        </w:tc>
        <w:tc>
          <w:tcPr>
            <w:tcW w:w="7560" w:type="dxa"/>
          </w:tcPr>
          <w:p w14:paraId="7557603E" w14:textId="26C79AEA" w:rsidR="0018433B" w:rsidRDefault="0018433B" w:rsidP="00A44C2E">
            <w:pPr>
              <w:contextualSpacing/>
            </w:pPr>
            <w:r>
              <w:t>Do not judge</w:t>
            </w:r>
            <w:r w:rsidR="006F304D" w:rsidRPr="006F304D">
              <w:t xml:space="preserve">, </w:t>
            </w:r>
            <w:r>
              <w:t>and you will not be judged;</w:t>
            </w:r>
          </w:p>
        </w:tc>
        <w:tc>
          <w:tcPr>
            <w:tcW w:w="641" w:type="dxa"/>
            <w:vMerge w:val="restart"/>
            <w:vAlign w:val="center"/>
          </w:tcPr>
          <w:p w14:paraId="341412C0" w14:textId="77777777" w:rsidR="0018433B" w:rsidRDefault="0018433B" w:rsidP="00A44C2E">
            <w:pPr>
              <w:contextualSpacing/>
            </w:pPr>
            <w:r>
              <w:t>4</w:t>
            </w:r>
          </w:p>
        </w:tc>
      </w:tr>
      <w:tr w:rsidR="0018433B" w14:paraId="65AFAF29" w14:textId="77777777" w:rsidTr="00A44C2E">
        <w:tc>
          <w:tcPr>
            <w:tcW w:w="745" w:type="dxa"/>
          </w:tcPr>
          <w:p w14:paraId="47F9EDC5" w14:textId="77777777" w:rsidR="0018433B" w:rsidRDefault="0018433B" w:rsidP="00A44C2E">
            <w:pPr>
              <w:contextualSpacing/>
            </w:pPr>
          </w:p>
        </w:tc>
        <w:tc>
          <w:tcPr>
            <w:tcW w:w="630" w:type="dxa"/>
          </w:tcPr>
          <w:p w14:paraId="5A238A3D" w14:textId="77777777" w:rsidR="0018433B" w:rsidRDefault="0018433B" w:rsidP="00A44C2E">
            <w:pPr>
              <w:contextualSpacing/>
            </w:pPr>
          </w:p>
        </w:tc>
        <w:tc>
          <w:tcPr>
            <w:tcW w:w="7560" w:type="dxa"/>
          </w:tcPr>
          <w:p w14:paraId="207B2C24" w14:textId="494EB575" w:rsidR="0018433B" w:rsidRDefault="0018433B" w:rsidP="00A44C2E">
            <w:pPr>
              <w:contextualSpacing/>
            </w:pPr>
            <w:r>
              <w:t>do not condemn</w:t>
            </w:r>
            <w:r w:rsidR="006F304D" w:rsidRPr="006F304D">
              <w:t xml:space="preserve">, </w:t>
            </w:r>
            <w:r>
              <w:t>and you will not be condemned.</w:t>
            </w:r>
          </w:p>
        </w:tc>
        <w:tc>
          <w:tcPr>
            <w:tcW w:w="641" w:type="dxa"/>
            <w:vMerge/>
            <w:vAlign w:val="center"/>
          </w:tcPr>
          <w:p w14:paraId="30591CB9" w14:textId="77777777" w:rsidR="0018433B" w:rsidRDefault="0018433B" w:rsidP="00A44C2E">
            <w:pPr>
              <w:contextualSpacing/>
            </w:pPr>
          </w:p>
        </w:tc>
      </w:tr>
      <w:tr w:rsidR="0018433B" w14:paraId="02D53B07" w14:textId="77777777" w:rsidTr="00A44C2E">
        <w:tc>
          <w:tcPr>
            <w:tcW w:w="745" w:type="dxa"/>
          </w:tcPr>
          <w:p w14:paraId="1FDF9C73" w14:textId="77777777" w:rsidR="0018433B" w:rsidRDefault="0018433B" w:rsidP="00A44C2E">
            <w:pPr>
              <w:contextualSpacing/>
            </w:pPr>
          </w:p>
        </w:tc>
        <w:tc>
          <w:tcPr>
            <w:tcW w:w="630" w:type="dxa"/>
          </w:tcPr>
          <w:p w14:paraId="6081B879" w14:textId="77777777" w:rsidR="0018433B" w:rsidRDefault="0018433B" w:rsidP="00A44C2E">
            <w:pPr>
              <w:contextualSpacing/>
            </w:pPr>
          </w:p>
        </w:tc>
        <w:tc>
          <w:tcPr>
            <w:tcW w:w="7560" w:type="dxa"/>
          </w:tcPr>
          <w:p w14:paraId="6B8EEBD8" w14:textId="2EE8A3F3" w:rsidR="0018433B" w:rsidRDefault="0018433B" w:rsidP="00A44C2E">
            <w:pPr>
              <w:contextualSpacing/>
            </w:pPr>
            <w:r>
              <w:t>Forgive</w:t>
            </w:r>
            <w:r w:rsidR="006F304D" w:rsidRPr="006F304D">
              <w:t xml:space="preserve">, </w:t>
            </w:r>
            <w:r>
              <w:t>and you will be forgiven;</w:t>
            </w:r>
          </w:p>
        </w:tc>
        <w:tc>
          <w:tcPr>
            <w:tcW w:w="641" w:type="dxa"/>
            <w:vMerge/>
            <w:vAlign w:val="center"/>
          </w:tcPr>
          <w:p w14:paraId="64FAC144" w14:textId="77777777" w:rsidR="0018433B" w:rsidRDefault="0018433B" w:rsidP="00A44C2E">
            <w:pPr>
              <w:contextualSpacing/>
            </w:pPr>
          </w:p>
        </w:tc>
      </w:tr>
      <w:tr w:rsidR="0018433B" w14:paraId="778294CB" w14:textId="77777777" w:rsidTr="00A44C2E">
        <w:tc>
          <w:tcPr>
            <w:tcW w:w="745" w:type="dxa"/>
          </w:tcPr>
          <w:p w14:paraId="49462F8B" w14:textId="77777777" w:rsidR="0018433B" w:rsidRDefault="0018433B" w:rsidP="00A44C2E">
            <w:pPr>
              <w:contextualSpacing/>
            </w:pPr>
            <w:r>
              <w:t>(38)</w:t>
            </w:r>
          </w:p>
        </w:tc>
        <w:tc>
          <w:tcPr>
            <w:tcW w:w="630" w:type="dxa"/>
          </w:tcPr>
          <w:p w14:paraId="249AC396" w14:textId="77777777" w:rsidR="0018433B" w:rsidRDefault="0018433B" w:rsidP="00A44C2E">
            <w:pPr>
              <w:contextualSpacing/>
            </w:pPr>
          </w:p>
        </w:tc>
        <w:tc>
          <w:tcPr>
            <w:tcW w:w="7560" w:type="dxa"/>
          </w:tcPr>
          <w:p w14:paraId="604E2509" w14:textId="7CEE8C80" w:rsidR="0018433B" w:rsidRDefault="0018433B" w:rsidP="00A44C2E">
            <w:pPr>
              <w:contextualSpacing/>
            </w:pPr>
            <w:r>
              <w:t>give</w:t>
            </w:r>
            <w:r w:rsidR="006F304D" w:rsidRPr="006F304D">
              <w:t xml:space="preserve">, </w:t>
            </w:r>
            <w:r>
              <w:t>and it will be given to you.</w:t>
            </w:r>
          </w:p>
        </w:tc>
        <w:tc>
          <w:tcPr>
            <w:tcW w:w="641" w:type="dxa"/>
            <w:vMerge/>
            <w:vAlign w:val="center"/>
          </w:tcPr>
          <w:p w14:paraId="30EFB86A" w14:textId="77777777" w:rsidR="0018433B" w:rsidRDefault="0018433B" w:rsidP="00A44C2E">
            <w:pPr>
              <w:contextualSpacing/>
            </w:pPr>
          </w:p>
        </w:tc>
      </w:tr>
      <w:tr w:rsidR="0018433B" w14:paraId="061438D7" w14:textId="77777777" w:rsidTr="00A44C2E">
        <w:tc>
          <w:tcPr>
            <w:tcW w:w="745" w:type="dxa"/>
          </w:tcPr>
          <w:p w14:paraId="67932B3A" w14:textId="77777777" w:rsidR="0018433B" w:rsidRDefault="0018433B" w:rsidP="00A44C2E">
            <w:pPr>
              <w:contextualSpacing/>
            </w:pPr>
          </w:p>
        </w:tc>
        <w:tc>
          <w:tcPr>
            <w:tcW w:w="630" w:type="dxa"/>
          </w:tcPr>
          <w:p w14:paraId="13EE371A" w14:textId="77777777" w:rsidR="0018433B" w:rsidRDefault="0018433B" w:rsidP="00A44C2E">
            <w:pPr>
              <w:contextualSpacing/>
            </w:pPr>
          </w:p>
        </w:tc>
        <w:tc>
          <w:tcPr>
            <w:tcW w:w="7560" w:type="dxa"/>
          </w:tcPr>
          <w:p w14:paraId="34C48A8E" w14:textId="4F57DF6D" w:rsidR="0018433B" w:rsidRDefault="0018433B" w:rsidP="00A44C2E">
            <w:pPr>
              <w:contextualSpacing/>
            </w:pPr>
            <w:r>
              <w:t>A good measure</w:t>
            </w:r>
            <w:r w:rsidR="006F304D" w:rsidRPr="006F304D">
              <w:t xml:space="preserve">, </w:t>
            </w:r>
            <w:r>
              <w:t>pressed down</w:t>
            </w:r>
            <w:r w:rsidR="006F304D" w:rsidRPr="006F304D">
              <w:t xml:space="preserve">, </w:t>
            </w:r>
            <w:r>
              <w:t>shaken together</w:t>
            </w:r>
            <w:r w:rsidR="006F304D" w:rsidRPr="006F304D">
              <w:t xml:space="preserve">, </w:t>
            </w:r>
            <w:r>
              <w:t>running over,</w:t>
            </w:r>
          </w:p>
        </w:tc>
        <w:tc>
          <w:tcPr>
            <w:tcW w:w="641" w:type="dxa"/>
            <w:vMerge w:val="restart"/>
            <w:vAlign w:val="center"/>
          </w:tcPr>
          <w:p w14:paraId="73044692" w14:textId="77777777" w:rsidR="0018433B" w:rsidRDefault="0018433B" w:rsidP="00A44C2E">
            <w:pPr>
              <w:contextualSpacing/>
            </w:pPr>
            <w:r>
              <w:t>4</w:t>
            </w:r>
          </w:p>
        </w:tc>
      </w:tr>
      <w:tr w:rsidR="0018433B" w14:paraId="730EB460" w14:textId="77777777" w:rsidTr="00A44C2E">
        <w:tc>
          <w:tcPr>
            <w:tcW w:w="745" w:type="dxa"/>
          </w:tcPr>
          <w:p w14:paraId="50D555DD" w14:textId="77777777" w:rsidR="0018433B" w:rsidRDefault="0018433B" w:rsidP="00A44C2E">
            <w:pPr>
              <w:contextualSpacing/>
            </w:pPr>
          </w:p>
        </w:tc>
        <w:tc>
          <w:tcPr>
            <w:tcW w:w="630" w:type="dxa"/>
          </w:tcPr>
          <w:p w14:paraId="234BDD3F" w14:textId="77777777" w:rsidR="0018433B" w:rsidRDefault="0018433B" w:rsidP="00A44C2E">
            <w:pPr>
              <w:contextualSpacing/>
            </w:pPr>
          </w:p>
        </w:tc>
        <w:tc>
          <w:tcPr>
            <w:tcW w:w="7560" w:type="dxa"/>
          </w:tcPr>
          <w:p w14:paraId="30738B2F" w14:textId="77777777" w:rsidR="0018433B" w:rsidRDefault="0018433B" w:rsidP="00A44C2E">
            <w:pPr>
              <w:contextualSpacing/>
            </w:pPr>
            <w:r>
              <w:t>will be put into your lap;</w:t>
            </w:r>
          </w:p>
        </w:tc>
        <w:tc>
          <w:tcPr>
            <w:tcW w:w="641" w:type="dxa"/>
            <w:vMerge/>
            <w:vAlign w:val="center"/>
          </w:tcPr>
          <w:p w14:paraId="5BAF66FC" w14:textId="77777777" w:rsidR="0018433B" w:rsidRDefault="0018433B" w:rsidP="00A44C2E">
            <w:pPr>
              <w:contextualSpacing/>
            </w:pPr>
          </w:p>
        </w:tc>
      </w:tr>
      <w:tr w:rsidR="0018433B" w14:paraId="3EA510A7" w14:textId="77777777" w:rsidTr="00A44C2E">
        <w:tc>
          <w:tcPr>
            <w:tcW w:w="745" w:type="dxa"/>
          </w:tcPr>
          <w:p w14:paraId="162AB71F" w14:textId="77777777" w:rsidR="0018433B" w:rsidRDefault="0018433B" w:rsidP="00A44C2E">
            <w:pPr>
              <w:contextualSpacing/>
            </w:pPr>
          </w:p>
        </w:tc>
        <w:tc>
          <w:tcPr>
            <w:tcW w:w="630" w:type="dxa"/>
          </w:tcPr>
          <w:p w14:paraId="7FBFD7A1" w14:textId="77777777" w:rsidR="0018433B" w:rsidRDefault="0018433B" w:rsidP="00A44C2E">
            <w:pPr>
              <w:contextualSpacing/>
            </w:pPr>
          </w:p>
        </w:tc>
        <w:tc>
          <w:tcPr>
            <w:tcW w:w="7560" w:type="dxa"/>
          </w:tcPr>
          <w:p w14:paraId="7DC0449B" w14:textId="77777777" w:rsidR="0018433B" w:rsidRDefault="0018433B" w:rsidP="00A44C2E">
            <w:pPr>
              <w:contextualSpacing/>
            </w:pPr>
            <w:r>
              <w:t>for the measure you give</w:t>
            </w:r>
          </w:p>
        </w:tc>
        <w:tc>
          <w:tcPr>
            <w:tcW w:w="641" w:type="dxa"/>
            <w:vMerge/>
            <w:vAlign w:val="center"/>
          </w:tcPr>
          <w:p w14:paraId="5414D7BB" w14:textId="77777777" w:rsidR="0018433B" w:rsidRDefault="0018433B" w:rsidP="00A44C2E">
            <w:pPr>
              <w:contextualSpacing/>
            </w:pPr>
          </w:p>
        </w:tc>
      </w:tr>
      <w:tr w:rsidR="0018433B" w14:paraId="5179D6FD" w14:textId="77777777" w:rsidTr="00A44C2E">
        <w:tc>
          <w:tcPr>
            <w:tcW w:w="745" w:type="dxa"/>
          </w:tcPr>
          <w:p w14:paraId="5D7CA9D6" w14:textId="77777777" w:rsidR="0018433B" w:rsidRDefault="0018433B" w:rsidP="00A44C2E">
            <w:pPr>
              <w:contextualSpacing/>
            </w:pPr>
          </w:p>
        </w:tc>
        <w:tc>
          <w:tcPr>
            <w:tcW w:w="630" w:type="dxa"/>
          </w:tcPr>
          <w:p w14:paraId="128C6869" w14:textId="77777777" w:rsidR="0018433B" w:rsidRDefault="0018433B" w:rsidP="00A44C2E">
            <w:pPr>
              <w:contextualSpacing/>
            </w:pPr>
          </w:p>
        </w:tc>
        <w:tc>
          <w:tcPr>
            <w:tcW w:w="7560" w:type="dxa"/>
          </w:tcPr>
          <w:p w14:paraId="2F8E4CAD" w14:textId="77777777" w:rsidR="0018433B" w:rsidRDefault="0018433B" w:rsidP="00A44C2E">
            <w:pPr>
              <w:contextualSpacing/>
            </w:pPr>
            <w:r>
              <w:t>will be the measure you get back.</w:t>
            </w:r>
            <w:r w:rsidRPr="005B36A4">
              <w:rPr>
                <w:rStyle w:val="FootnoteReference"/>
              </w:rPr>
              <w:footnoteReference w:id="373"/>
            </w:r>
          </w:p>
        </w:tc>
        <w:tc>
          <w:tcPr>
            <w:tcW w:w="641" w:type="dxa"/>
            <w:vMerge/>
            <w:vAlign w:val="center"/>
          </w:tcPr>
          <w:p w14:paraId="01205C19" w14:textId="77777777" w:rsidR="0018433B" w:rsidRDefault="0018433B" w:rsidP="00A44C2E">
            <w:pPr>
              <w:contextualSpacing/>
            </w:pPr>
          </w:p>
        </w:tc>
      </w:tr>
    </w:tbl>
    <w:p w14:paraId="4A3992AF" w14:textId="77777777" w:rsidR="0018433B" w:rsidRDefault="0018433B" w:rsidP="0018433B">
      <w:pPr>
        <w:contextualSpacing/>
      </w:pPr>
    </w:p>
    <w:p w14:paraId="1DBD22A9" w14:textId="3BCBB336" w:rsidR="0018433B" w:rsidRPr="005B36A4" w:rsidRDefault="0018433B" w:rsidP="0018433B">
      <w:r w:rsidRPr="005B36A4">
        <w:t>Concerning the remainder of the sermon (6:39-49)</w:t>
      </w:r>
      <w:r w:rsidR="006F304D" w:rsidRPr="006F304D">
        <w:t xml:space="preserve">, </w:t>
      </w:r>
      <w:r w:rsidRPr="005B36A4">
        <w:t>Grundmann says</w:t>
      </w:r>
      <w:r w:rsidR="006F304D" w:rsidRPr="006F304D">
        <w:t xml:space="preserve">, </w:t>
      </w:r>
      <w:r w:rsidRPr="005B36A4">
        <w:t>“a narrative comment [39a</w:t>
      </w:r>
      <w:r w:rsidR="006F304D" w:rsidRPr="006F304D">
        <w:t xml:space="preserve">, </w:t>
      </w:r>
      <w:r w:rsidRPr="005B36A4">
        <w:t xml:space="preserve">“He also told them a parable”] interrupts the speech and leads to a new section </w:t>
      </w:r>
      <w:r w:rsidRPr="00E149A1">
        <w:t>. . .</w:t>
      </w:r>
      <w:r w:rsidRPr="005B36A4">
        <w:t xml:space="preserve"> This part also contains four pericopes</w:t>
      </w:r>
      <w:r w:rsidR="006F304D" w:rsidRPr="006F304D">
        <w:t xml:space="preserve">, </w:t>
      </w:r>
      <w:r w:rsidRPr="005B36A4">
        <w:t xml:space="preserve">so that once again the principle of </w:t>
      </w:r>
      <w:proofErr w:type="spellStart"/>
      <w:r w:rsidRPr="005B36A4">
        <w:t>fourfoldness</w:t>
      </w:r>
      <w:proofErr w:type="spellEnd"/>
      <w:r w:rsidRPr="005B36A4">
        <w:t xml:space="preserve"> is recognizable.”</w:t>
      </w:r>
      <w:r w:rsidRPr="005B36A4">
        <w:rPr>
          <w:rStyle w:val="FootnoteReference"/>
        </w:rPr>
        <w:footnoteReference w:id="374"/>
      </w:r>
    </w:p>
    <w:p w14:paraId="7BE77420" w14:textId="0FD475F5" w:rsidR="0018433B" w:rsidRDefault="0018433B" w:rsidP="0018433B">
      <w:r>
        <w:tab/>
      </w:r>
      <w:r w:rsidRPr="005B36A4">
        <w:t xml:space="preserve">Grundmann is correct to retain Morgenthaler’s instances of </w:t>
      </w:r>
      <w:proofErr w:type="spellStart"/>
      <w:r w:rsidRPr="005B36A4">
        <w:rPr>
          <w:i/>
          <w:iCs/>
        </w:rPr>
        <w:t>Viererparallelismus</w:t>
      </w:r>
      <w:proofErr w:type="spellEnd"/>
      <w:r w:rsidR="006F304D" w:rsidRPr="006F304D">
        <w:rPr>
          <w:iCs/>
        </w:rPr>
        <w:t xml:space="preserve">, </w:t>
      </w:r>
      <w:r w:rsidRPr="005B36A4">
        <w:t>such as 20b-23</w:t>
      </w:r>
      <w:r w:rsidR="006F304D" w:rsidRPr="006F304D">
        <w:t xml:space="preserve">, </w:t>
      </w:r>
      <w:r w:rsidRPr="005B36A4">
        <w:t>24-26</w:t>
      </w:r>
      <w:r w:rsidR="006F304D" w:rsidRPr="006F304D">
        <w:t xml:space="preserve">, </w:t>
      </w:r>
      <w:r w:rsidRPr="005B36A4">
        <w:t>27b-28</w:t>
      </w:r>
      <w:r w:rsidR="006F304D" w:rsidRPr="006F304D">
        <w:t xml:space="preserve">, </w:t>
      </w:r>
      <w:r w:rsidRPr="005B36A4">
        <w:t xml:space="preserve">and 29-30; but by turning </w:t>
      </w:r>
      <w:proofErr w:type="spellStart"/>
      <w:r w:rsidRPr="005B36A4">
        <w:rPr>
          <w:i/>
          <w:iCs/>
        </w:rPr>
        <w:t>Viererparallelismus</w:t>
      </w:r>
      <w:proofErr w:type="spellEnd"/>
      <w:r w:rsidRPr="005B36A4">
        <w:t xml:space="preserve"> into </w:t>
      </w:r>
      <w:r w:rsidRPr="005B36A4">
        <w:rPr>
          <w:i/>
          <w:iCs/>
        </w:rPr>
        <w:t>Viererprinzip</w:t>
      </w:r>
      <w:r w:rsidR="006F304D" w:rsidRPr="006F304D">
        <w:rPr>
          <w:iCs/>
        </w:rPr>
        <w:t xml:space="preserve">, </w:t>
      </w:r>
      <w:r w:rsidRPr="005B36A4">
        <w:t>Grundmann has commits the same error is his mentor</w:t>
      </w:r>
      <w:r w:rsidR="006F304D" w:rsidRPr="006F304D">
        <w:t xml:space="preserve">, </w:t>
      </w:r>
      <w:r w:rsidRPr="005B36A4">
        <w:t>namely</w:t>
      </w:r>
      <w:r w:rsidR="006F304D" w:rsidRPr="006F304D">
        <w:t xml:space="preserve">, </w:t>
      </w:r>
      <w:r w:rsidRPr="005B36A4">
        <w:t xml:space="preserve">finding more orderliness in the sermon than the </w:t>
      </w:r>
      <w:r>
        <w:t>sermon in fact displays.</w:t>
      </w:r>
    </w:p>
    <w:p w14:paraId="795EDB72" w14:textId="044A7AF7" w:rsidR="0018433B" w:rsidRPr="005B36A4" w:rsidRDefault="0018433B" w:rsidP="0018433B">
      <w:r>
        <w:tab/>
      </w:r>
      <w:r w:rsidRPr="005B36A4">
        <w:t>For example: Grundmann says 29-30 are a four-member unit and 31 a two-member unit. Yet 31 is similar to 29-30: like 29a</w:t>
      </w:r>
      <w:r w:rsidR="006F304D" w:rsidRPr="006F304D">
        <w:t xml:space="preserve">, </w:t>
      </w:r>
      <w:r w:rsidRPr="005B36A4">
        <w:t>29b</w:t>
      </w:r>
      <w:r w:rsidR="006F304D" w:rsidRPr="006F304D">
        <w:t xml:space="preserve">, </w:t>
      </w:r>
      <w:r w:rsidRPr="005B36A4">
        <w:t>30a</w:t>
      </w:r>
      <w:r w:rsidR="006F304D" w:rsidRPr="006F304D">
        <w:t xml:space="preserve">, </w:t>
      </w:r>
      <w:r w:rsidRPr="005B36A4">
        <w:t>and 30b</w:t>
      </w:r>
      <w:r w:rsidR="006F304D" w:rsidRPr="006F304D">
        <w:t xml:space="preserve">, </w:t>
      </w:r>
      <w:r w:rsidRPr="005B36A4">
        <w:t>it begins with a reference to persons who mistreat one</w:t>
      </w:r>
      <w:r w:rsidR="006F304D" w:rsidRPr="006F304D">
        <w:t xml:space="preserve">, </w:t>
      </w:r>
      <w:r w:rsidRPr="005B36A4">
        <w:t>delaying the imperative verb till later. Purely on formal grounds</w:t>
      </w:r>
      <w:r w:rsidR="006F304D" w:rsidRPr="006F304D">
        <w:t xml:space="preserve">, </w:t>
      </w:r>
      <w:r w:rsidRPr="005B36A4">
        <w:t>it is as reasonable to conclude that 29-31 constitute a single</w:t>
      </w:r>
      <w:r w:rsidR="006F304D" w:rsidRPr="006F304D">
        <w:t xml:space="preserve">, </w:t>
      </w:r>
      <w:r w:rsidRPr="005B36A4">
        <w:t xml:space="preserve">five-member unit as to separate 31 as a distinct unit. That Grundmann really senses the difference between 31 and the preceding verses on </w:t>
      </w:r>
      <w:proofErr w:type="spellStart"/>
      <w:r w:rsidRPr="005B36A4">
        <w:rPr>
          <w:i/>
          <w:iCs/>
        </w:rPr>
        <w:t>conten</w:t>
      </w:r>
      <w:r w:rsidRPr="005B36A4">
        <w:rPr>
          <w:i/>
          <w:iCs/>
        </w:rPr>
        <w:softHyphen/>
        <w:t>tual</w:t>
      </w:r>
      <w:proofErr w:type="spellEnd"/>
      <w:r w:rsidRPr="005B36A4">
        <w:t xml:space="preserve"> rather than formal grounds is indicated by his statement that 31 “closes off” 29-30; this recog</w:t>
      </w:r>
      <w:r w:rsidRPr="005B36A4">
        <w:softHyphen/>
        <w:t>nizes the function that the content of 31 plays in relation to the earlier verses.</w:t>
      </w:r>
    </w:p>
    <w:p w14:paraId="47158CF0" w14:textId="50A9C28C" w:rsidR="0018433B" w:rsidRDefault="0018433B" w:rsidP="0018433B">
      <w:r>
        <w:tab/>
      </w:r>
      <w:r w:rsidRPr="005B36A4">
        <w:t>Concerning the next section</w:t>
      </w:r>
      <w:r w:rsidR="006F304D" w:rsidRPr="006F304D">
        <w:t xml:space="preserve">, </w:t>
      </w:r>
      <w:r w:rsidRPr="005B36A4">
        <w:t>Grundmann says</w:t>
      </w:r>
      <w:r w:rsidR="006F304D" w:rsidRPr="006F304D">
        <w:t xml:space="preserve">, </w:t>
      </w:r>
      <w:r w:rsidRPr="005B36A4">
        <w:t xml:space="preserve">“There are four three-line statements in the middle [32-35c] </w:t>
      </w:r>
      <w:r w:rsidRPr="00E149A1">
        <w:t>. . .</w:t>
      </w:r>
      <w:r w:rsidRPr="005B36A4">
        <w:t>” Verses 32</w:t>
      </w:r>
      <w:r w:rsidR="006F304D" w:rsidRPr="006F304D">
        <w:t xml:space="preserve">, </w:t>
      </w:r>
      <w:r w:rsidRPr="005B36A4">
        <w:t>33</w:t>
      </w:r>
      <w:r w:rsidR="006F304D" w:rsidRPr="006F304D">
        <w:t xml:space="preserve">, </w:t>
      </w:r>
      <w:r w:rsidRPr="005B36A4">
        <w:t>and 34 certainly have three lines each</w:t>
      </w:r>
      <w:r w:rsidR="006F304D" w:rsidRPr="006F304D">
        <w:t xml:space="preserve">, </w:t>
      </w:r>
      <w:r w:rsidRPr="005B36A4">
        <w:t>but to create out of 35abc (“But love your enemies</w:t>
      </w:r>
      <w:r w:rsidR="006F304D" w:rsidRPr="006F304D">
        <w:t xml:space="preserve">, </w:t>
      </w:r>
      <w:r w:rsidRPr="005B36A4">
        <w:t>do good</w:t>
      </w:r>
      <w:r w:rsidR="006F304D" w:rsidRPr="006F304D">
        <w:t xml:space="preserve">, </w:t>
      </w:r>
      <w:r w:rsidRPr="005B36A4">
        <w:t xml:space="preserve">and lend”) a unit coordinate with the other three stretches it out of proportion purely to maintain </w:t>
      </w:r>
      <w:r w:rsidRPr="005B36A4">
        <w:rPr>
          <w:i/>
          <w:iCs/>
        </w:rPr>
        <w:t>Viererprinzip</w:t>
      </w:r>
      <w:r w:rsidRPr="005B36A4">
        <w:rPr>
          <w:iCs/>
        </w:rPr>
        <w:t xml:space="preserve">. </w:t>
      </w:r>
      <w:r w:rsidRPr="005B36A4">
        <w:t>Grundman’s statement that 32-35c “are closed off by a three-line promise [35def]” (“Your reward will be great</w:t>
      </w:r>
      <w:r w:rsidR="006F304D" w:rsidRPr="006F304D">
        <w:t xml:space="preserve">, </w:t>
      </w:r>
      <w:r w:rsidRPr="005B36A4">
        <w:t>and you will be children of the Most High; for he is kind to the ungrateful and the wicked”) also seems forced. While the first two clauses</w:t>
      </w:r>
      <w:r w:rsidR="006F304D" w:rsidRPr="006F304D">
        <w:t xml:space="preserve">, </w:t>
      </w:r>
      <w:r w:rsidRPr="005B36A4">
        <w:t>35de</w:t>
      </w:r>
      <w:r w:rsidR="006F304D" w:rsidRPr="006F304D">
        <w:t xml:space="preserve">, </w:t>
      </w:r>
      <w:r w:rsidRPr="005B36A4">
        <w:t>contain a promise</w:t>
      </w:r>
      <w:r w:rsidR="006F304D" w:rsidRPr="006F304D">
        <w:t xml:space="preserve">, </w:t>
      </w:r>
      <w:r w:rsidRPr="005B36A4">
        <w:t>the third does not: 35d does not repeat the promise but explains it. The lines in 35def are not coordinate but are more complexly related:</w:t>
      </w:r>
    </w:p>
    <w:p w14:paraId="6D56F71C" w14:textId="77777777" w:rsidR="00B8667C" w:rsidRDefault="00B8667C" w:rsidP="00B8667C">
      <w:bookmarkStart w:id="30" w:name="_Toc147618615"/>
      <w:bookmarkStart w:id="31" w:name="_Hlk147618868"/>
    </w:p>
    <w:p w14:paraId="69559D59" w14:textId="2F8D6D4C" w:rsidR="0018433B" w:rsidRPr="005B36A4" w:rsidRDefault="001771B1" w:rsidP="001771B1">
      <w:pPr>
        <w:tabs>
          <w:tab w:val="left" w:pos="3600"/>
          <w:tab w:val="left" w:pos="3960"/>
          <w:tab w:val="left" w:pos="4320"/>
          <w:tab w:val="left" w:pos="4680"/>
        </w:tabs>
      </w:pPr>
      <w:r>
        <w:tab/>
      </w:r>
      <w:r w:rsidR="00B8667C">
        <w:t>1)</w:t>
      </w:r>
      <w:r w:rsidR="0018433B" w:rsidRPr="005B36A4">
        <w:tab/>
        <w:t>35bcd</w:t>
      </w:r>
      <w:bookmarkEnd w:id="30"/>
    </w:p>
    <w:p w14:paraId="14824C81" w14:textId="4EC786FF" w:rsidR="0018433B" w:rsidRPr="005B36A4" w:rsidRDefault="001771B1" w:rsidP="001771B1">
      <w:pPr>
        <w:tabs>
          <w:tab w:val="left" w:pos="3600"/>
          <w:tab w:val="left" w:pos="3960"/>
          <w:tab w:val="left" w:pos="4320"/>
          <w:tab w:val="left" w:pos="4680"/>
        </w:tabs>
      </w:pPr>
      <w:r>
        <w:tab/>
      </w:r>
      <w:r w:rsidR="0018433B">
        <w:tab/>
      </w:r>
      <w:bookmarkStart w:id="32" w:name="_Toc147618616"/>
      <w:r w:rsidR="0018433B">
        <w:t>a.</w:t>
      </w:r>
      <w:r w:rsidR="0018433B">
        <w:tab/>
      </w:r>
      <w:r w:rsidR="0018433B" w:rsidRPr="005B36A4">
        <w:t>35bc</w:t>
      </w:r>
      <w:bookmarkEnd w:id="32"/>
    </w:p>
    <w:p w14:paraId="65BDBD4A" w14:textId="21E0C605" w:rsidR="0018433B" w:rsidRPr="005B36A4" w:rsidRDefault="001771B1" w:rsidP="001771B1">
      <w:pPr>
        <w:tabs>
          <w:tab w:val="left" w:pos="3600"/>
          <w:tab w:val="left" w:pos="3960"/>
          <w:tab w:val="left" w:pos="4320"/>
          <w:tab w:val="left" w:pos="4680"/>
        </w:tabs>
      </w:pPr>
      <w:r>
        <w:tab/>
      </w:r>
      <w:r w:rsidR="0018433B">
        <w:tab/>
      </w:r>
      <w:r w:rsidR="0018433B">
        <w:tab/>
      </w:r>
      <w:bookmarkStart w:id="33" w:name="_Toc147618617"/>
      <w:r>
        <w:t>1)</w:t>
      </w:r>
      <w:r>
        <w:tab/>
      </w:r>
      <w:r w:rsidR="0018433B" w:rsidRPr="005B36A4">
        <w:t>35b</w:t>
      </w:r>
      <w:bookmarkEnd w:id="33"/>
    </w:p>
    <w:p w14:paraId="3B13A436" w14:textId="35983FD6" w:rsidR="0018433B" w:rsidRPr="005B36A4" w:rsidRDefault="001771B1" w:rsidP="001771B1">
      <w:pPr>
        <w:tabs>
          <w:tab w:val="left" w:pos="3600"/>
          <w:tab w:val="left" w:pos="3960"/>
          <w:tab w:val="left" w:pos="4320"/>
          <w:tab w:val="left" w:pos="4680"/>
        </w:tabs>
      </w:pPr>
      <w:r>
        <w:tab/>
      </w:r>
      <w:r w:rsidR="0018433B">
        <w:tab/>
      </w:r>
      <w:r w:rsidR="0018433B">
        <w:tab/>
      </w:r>
      <w:bookmarkStart w:id="34" w:name="_Toc147618618"/>
      <w:r>
        <w:t>2)</w:t>
      </w:r>
      <w:r>
        <w:tab/>
      </w:r>
      <w:r w:rsidR="0018433B" w:rsidRPr="005B36A4">
        <w:t>35c</w:t>
      </w:r>
      <w:bookmarkEnd w:id="34"/>
    </w:p>
    <w:p w14:paraId="7B8F8DC5" w14:textId="27DC4709" w:rsidR="0018433B" w:rsidRPr="005B36A4" w:rsidRDefault="001771B1" w:rsidP="001771B1">
      <w:pPr>
        <w:tabs>
          <w:tab w:val="left" w:pos="3600"/>
          <w:tab w:val="left" w:pos="3960"/>
          <w:tab w:val="left" w:pos="4320"/>
          <w:tab w:val="left" w:pos="4680"/>
        </w:tabs>
      </w:pPr>
      <w:r>
        <w:tab/>
      </w:r>
      <w:r w:rsidR="0018433B">
        <w:tab/>
      </w:r>
      <w:bookmarkStart w:id="35" w:name="_Toc147618619"/>
      <w:r w:rsidR="0018433B">
        <w:t>b.</w:t>
      </w:r>
      <w:r w:rsidR="0018433B">
        <w:tab/>
      </w:r>
      <w:r w:rsidR="0018433B" w:rsidRPr="005B36A4">
        <w:t>35d.</w:t>
      </w:r>
      <w:bookmarkEnd w:id="35"/>
    </w:p>
    <w:p w14:paraId="4D3EBCD2" w14:textId="77777777" w:rsidR="0018433B" w:rsidRDefault="0018433B" w:rsidP="00B8667C"/>
    <w:bookmarkEnd w:id="31"/>
    <w:p w14:paraId="7ADEA0AC" w14:textId="470B58C2" w:rsidR="0018433B" w:rsidRDefault="0018433B" w:rsidP="0018433B">
      <w:r>
        <w:tab/>
      </w:r>
      <w:r w:rsidRPr="005B36A4">
        <w:t>In 36-38 Grundmann sees three units</w:t>
      </w:r>
      <w:r w:rsidR="006F304D" w:rsidRPr="006F304D">
        <w:t xml:space="preserve">, </w:t>
      </w:r>
      <w:r w:rsidRPr="005B36A4">
        <w:t>36</w:t>
      </w:r>
      <w:r w:rsidR="006F304D" w:rsidRPr="006F304D">
        <w:t xml:space="preserve">, </w:t>
      </w:r>
      <w:r w:rsidRPr="005B36A4">
        <w:t>37-38b</w:t>
      </w:r>
      <w:r w:rsidR="006F304D" w:rsidRPr="006F304D">
        <w:t xml:space="preserve">, </w:t>
      </w:r>
      <w:r w:rsidRPr="005B36A4">
        <w:t>and 38cd. But</w:t>
      </w:r>
      <w:r w:rsidR="006F304D" w:rsidRPr="006F304D">
        <w:t xml:space="preserve">, </w:t>
      </w:r>
      <w:r w:rsidRPr="005B36A4">
        <w:t>as we shall see in a later chapter</w:t>
      </w:r>
      <w:r w:rsidR="006F304D" w:rsidRPr="006F304D">
        <w:t xml:space="preserve">, </w:t>
      </w:r>
      <w:r w:rsidRPr="005B36A4">
        <w:t>36 (“Be merciful</w:t>
      </w:r>
      <w:r w:rsidR="006F304D" w:rsidRPr="006F304D">
        <w:t xml:space="preserve">, </w:t>
      </w:r>
      <w:r w:rsidRPr="005B36A4">
        <w:t>just as your Father is merciful”) probably belongs with the versicle that precedes it (35f</w:t>
      </w:r>
      <w:r w:rsidR="006F304D" w:rsidRPr="006F304D">
        <w:t xml:space="preserve">, </w:t>
      </w:r>
      <w:r w:rsidRPr="005B36A4">
        <w:t>“for he is kind to the ungrateful and the wicked”) rather than with the verses that follow it. Grundmann apparently felt it necessary to attach 35f to 35d and e</w:t>
      </w:r>
      <w:r>
        <w:t xml:space="preserve"> (“</w:t>
      </w:r>
      <w:r w:rsidRPr="00CD75A6">
        <w:t>Your reward will be great</w:t>
      </w:r>
      <w:r w:rsidR="006F304D" w:rsidRPr="006F304D">
        <w:t xml:space="preserve">, </w:t>
      </w:r>
      <w:r w:rsidRPr="00CD75A6">
        <w:t>and you wi</w:t>
      </w:r>
      <w:r>
        <w:t>ll be children of the Most High”)</w:t>
      </w:r>
      <w:r w:rsidRPr="005B36A4">
        <w:t xml:space="preserve"> in order to create a fifth threefold pattern (along with those in 32</w:t>
      </w:r>
      <w:r w:rsidR="006F304D" w:rsidRPr="006F304D">
        <w:t xml:space="preserve">, </w:t>
      </w:r>
      <w:r w:rsidRPr="005B36A4">
        <w:t>33</w:t>
      </w:r>
      <w:r w:rsidR="006F304D" w:rsidRPr="006F304D">
        <w:t xml:space="preserve">, </w:t>
      </w:r>
      <w:r w:rsidRPr="005B36A4">
        <w:t>34</w:t>
      </w:r>
      <w:r w:rsidR="006F304D" w:rsidRPr="006F304D">
        <w:t xml:space="preserve">, </w:t>
      </w:r>
      <w:r w:rsidRPr="005B36A4">
        <w:t>and 35abc). Verses 37-38b contain four imperative verbs: “judge,” “condemn,” “forgive,” “give,” and Grundmann is right to see in the verses a fourfold unit. His delineation of four members in 38cd</w:t>
      </w:r>
      <w:r w:rsidR="006F304D" w:rsidRPr="006F304D">
        <w:t xml:space="preserve">, </w:t>
      </w:r>
      <w:r w:rsidRPr="005B36A4">
        <w:t>on the other hand</w:t>
      </w:r>
      <w:r w:rsidR="006F304D" w:rsidRPr="006F304D">
        <w:t xml:space="preserve">, </w:t>
      </w:r>
      <w:r w:rsidRPr="005B36A4">
        <w:t>is less satisfactory.</w:t>
      </w:r>
    </w:p>
    <w:p w14:paraId="49C6E543" w14:textId="77777777" w:rsidR="0018433B" w:rsidRPr="005B36A4" w:rsidRDefault="0018433B" w:rsidP="0018433B"/>
    <w:p w14:paraId="6E562210" w14:textId="77777777" w:rsidR="0018433B" w:rsidRDefault="0018433B" w:rsidP="0018433B">
      <w:pPr>
        <w:ind w:left="1440" w:right="720" w:hanging="720"/>
        <w:rPr>
          <w:bCs/>
          <w:szCs w:val="22"/>
        </w:rPr>
      </w:pPr>
      <w:r w:rsidRPr="005B36A4">
        <w:t>38c</w:t>
      </w:r>
      <w:r w:rsidRPr="005B36A4">
        <w:tab/>
      </w:r>
      <w:r w:rsidRPr="00CE06CA">
        <w:rPr>
          <w:bCs/>
          <w:szCs w:val="22"/>
          <w:lang w:val="el-GR"/>
        </w:rPr>
        <w:t>μέτρον καλὸν πεπιεσμένον σεσαλευμένον ὑπερεκχυννό</w:t>
      </w:r>
      <w:r>
        <w:rPr>
          <w:bCs/>
          <w:szCs w:val="22"/>
          <w:lang w:val="el-GR"/>
        </w:rPr>
        <w:t>μενον</w:t>
      </w:r>
    </w:p>
    <w:p w14:paraId="7965C123" w14:textId="77777777" w:rsidR="0018433B" w:rsidRPr="00B50893" w:rsidRDefault="0018433B" w:rsidP="0018433B">
      <w:pPr>
        <w:ind w:left="1440" w:right="720" w:hanging="720"/>
        <w:rPr>
          <w:bCs/>
          <w:szCs w:val="22"/>
        </w:rPr>
      </w:pPr>
      <w:r>
        <w:rPr>
          <w:bCs/>
          <w:szCs w:val="22"/>
        </w:rPr>
        <w:tab/>
      </w:r>
      <w:r w:rsidRPr="00CE06CA">
        <w:rPr>
          <w:bCs/>
          <w:szCs w:val="22"/>
          <w:lang w:val="el-GR"/>
        </w:rPr>
        <w:t>δώσουσιν εἰς τὸν κόλπον ὑμῶν·</w:t>
      </w:r>
    </w:p>
    <w:p w14:paraId="4FAF4956" w14:textId="77777777" w:rsidR="0018433B" w:rsidRDefault="0018433B" w:rsidP="0018433B">
      <w:pPr>
        <w:ind w:left="1440" w:hanging="720"/>
        <w:rPr>
          <w:bCs/>
          <w:szCs w:val="22"/>
        </w:rPr>
      </w:pPr>
      <w:r w:rsidRPr="005B36A4">
        <w:t>38d</w:t>
      </w:r>
      <w:r w:rsidRPr="005B36A4">
        <w:tab/>
      </w:r>
      <w:r w:rsidRPr="00CE06CA">
        <w:rPr>
          <w:bCs/>
          <w:szCs w:val="22"/>
          <w:lang w:val="el-GR"/>
        </w:rPr>
        <w:t>ᾧ γὰρ μέτρῳ μετρεῖ</w:t>
      </w:r>
      <w:r>
        <w:rPr>
          <w:bCs/>
          <w:szCs w:val="22"/>
          <w:lang w:val="el-GR"/>
        </w:rPr>
        <w:t>τε</w:t>
      </w:r>
    </w:p>
    <w:p w14:paraId="129D3832" w14:textId="77777777" w:rsidR="0018433B" w:rsidRPr="00C81C70" w:rsidRDefault="0018433B" w:rsidP="0018433B">
      <w:pPr>
        <w:ind w:left="1440" w:hanging="720"/>
        <w:rPr>
          <w:bCs/>
          <w:szCs w:val="22"/>
        </w:rPr>
      </w:pPr>
      <w:r>
        <w:rPr>
          <w:bCs/>
          <w:szCs w:val="22"/>
        </w:rPr>
        <w:lastRenderedPageBreak/>
        <w:tab/>
      </w:r>
      <w:r w:rsidRPr="00CE06CA">
        <w:rPr>
          <w:bCs/>
          <w:szCs w:val="22"/>
          <w:lang w:val="el-GR"/>
        </w:rPr>
        <w:t>ἀντιμετρηθήσεται ὑμῖν.</w:t>
      </w:r>
    </w:p>
    <w:p w14:paraId="3481825F" w14:textId="77777777" w:rsidR="0018433B" w:rsidRDefault="0018433B" w:rsidP="0018433B"/>
    <w:p w14:paraId="677356CB" w14:textId="650773F1" w:rsidR="0018433B" w:rsidRDefault="0018433B" w:rsidP="0018433B">
      <w:pPr>
        <w:ind w:left="1440" w:right="720" w:hanging="720"/>
      </w:pPr>
      <w:r>
        <w:t>38c</w:t>
      </w:r>
      <w:r>
        <w:tab/>
      </w:r>
      <w:r w:rsidRPr="00CD75A6">
        <w:t>A good measure</w:t>
      </w:r>
      <w:r w:rsidR="006F304D" w:rsidRPr="006F304D">
        <w:t xml:space="preserve">, </w:t>
      </w:r>
      <w:r w:rsidRPr="00CD75A6">
        <w:t>pressed down</w:t>
      </w:r>
      <w:r w:rsidR="006F304D" w:rsidRPr="006F304D">
        <w:t xml:space="preserve">, </w:t>
      </w:r>
      <w:r w:rsidRPr="00CD75A6">
        <w:t>shaken together</w:t>
      </w:r>
      <w:r w:rsidR="006F304D" w:rsidRPr="006F304D">
        <w:t xml:space="preserve">, </w:t>
      </w:r>
      <w:r>
        <w:t>running over,</w:t>
      </w:r>
    </w:p>
    <w:p w14:paraId="4ED5933F" w14:textId="77777777" w:rsidR="0018433B" w:rsidRDefault="0018433B" w:rsidP="0018433B">
      <w:pPr>
        <w:ind w:left="1440" w:right="720" w:hanging="720"/>
      </w:pPr>
      <w:r>
        <w:tab/>
      </w:r>
      <w:r w:rsidRPr="00CD75A6">
        <w:t>will be put into your lap;</w:t>
      </w:r>
    </w:p>
    <w:p w14:paraId="727EA822" w14:textId="77777777" w:rsidR="0018433B" w:rsidRDefault="0018433B" w:rsidP="0018433B">
      <w:pPr>
        <w:ind w:left="1440" w:right="720" w:hanging="720"/>
      </w:pPr>
      <w:r>
        <w:t>38d</w:t>
      </w:r>
      <w:r>
        <w:tab/>
        <w:t>for the measure you give</w:t>
      </w:r>
    </w:p>
    <w:p w14:paraId="00050ECD" w14:textId="77777777" w:rsidR="0018433B" w:rsidRDefault="0018433B" w:rsidP="0018433B">
      <w:pPr>
        <w:ind w:left="1440" w:right="720" w:hanging="720"/>
      </w:pPr>
      <w:r>
        <w:tab/>
      </w:r>
      <w:r w:rsidRPr="00CD75A6">
        <w:t>will be the meas</w:t>
      </w:r>
      <w:r>
        <w:t>ure you get back.</w:t>
      </w:r>
    </w:p>
    <w:p w14:paraId="5D15780E" w14:textId="77777777" w:rsidR="0018433B" w:rsidRDefault="0018433B" w:rsidP="0018433B"/>
    <w:p w14:paraId="1BABAA06" w14:textId="4E37CA2F" w:rsidR="0018433B" w:rsidRPr="005B36A4" w:rsidRDefault="0018433B" w:rsidP="0018433B">
      <w:r w:rsidRPr="005B36A4">
        <w:t>To secure four lines</w:t>
      </w:r>
      <w:r w:rsidR="006F304D" w:rsidRPr="006F304D">
        <w:t xml:space="preserve">, </w:t>
      </w:r>
      <w:r w:rsidRPr="005B36A4">
        <w:t>Grundmann divides “A good measure</w:t>
      </w:r>
      <w:r w:rsidR="006F304D" w:rsidRPr="006F304D">
        <w:t xml:space="preserve">, </w:t>
      </w:r>
      <w:r w:rsidRPr="005B36A4">
        <w:t>pressed down</w:t>
      </w:r>
      <w:r w:rsidR="006F304D" w:rsidRPr="006F304D">
        <w:t xml:space="preserve">, </w:t>
      </w:r>
      <w:r w:rsidRPr="005B36A4">
        <w:t>shaken together</w:t>
      </w:r>
      <w:r w:rsidR="006F304D" w:rsidRPr="006F304D">
        <w:t xml:space="preserve">, </w:t>
      </w:r>
      <w:r w:rsidRPr="005B36A4">
        <w:t xml:space="preserve">running over” </w:t>
      </w:r>
      <w:r>
        <w:t>from “will be put into your lap</w:t>
      </w:r>
      <w:r w:rsidRPr="005B36A4">
        <w:t xml:space="preserve">” and </w:t>
      </w:r>
      <w:r>
        <w:t xml:space="preserve">divides </w:t>
      </w:r>
      <w:r w:rsidRPr="005B36A4">
        <w:t xml:space="preserve">“for the measure you give” from “will be the measure you get back.” In </w:t>
      </w:r>
      <w:r>
        <w:t xml:space="preserve">both </w:t>
      </w:r>
      <w:r w:rsidRPr="005B36A4">
        <w:t>case</w:t>
      </w:r>
      <w:r>
        <w:t>s</w:t>
      </w:r>
      <w:r w:rsidR="006F304D" w:rsidRPr="006F304D">
        <w:t xml:space="preserve">, </w:t>
      </w:r>
      <w:r>
        <w:t>sub</w:t>
      </w:r>
      <w:r w:rsidRPr="005B36A4">
        <w:t>ject</w:t>
      </w:r>
      <w:r>
        <w:t>s</w:t>
      </w:r>
      <w:r w:rsidRPr="005B36A4">
        <w:t xml:space="preserve"> </w:t>
      </w:r>
      <w:r>
        <w:t xml:space="preserve">are </w:t>
      </w:r>
      <w:r w:rsidRPr="005B36A4">
        <w:t>separated from verb</w:t>
      </w:r>
      <w:r>
        <w:t>s</w:t>
      </w:r>
      <w:r w:rsidRPr="005B36A4">
        <w:t xml:space="preserve">. Can </w:t>
      </w:r>
      <w:r>
        <w:t xml:space="preserve">breaking the subject-verb bond </w:t>
      </w:r>
      <w:r w:rsidRPr="005B36A4">
        <w:t>be justified</w:t>
      </w:r>
      <w:r w:rsidR="006F304D" w:rsidRPr="006F304D">
        <w:t xml:space="preserve">, </w:t>
      </w:r>
      <w:r w:rsidRPr="005B36A4">
        <w:t>merely to devise a four-member unit?</w:t>
      </w:r>
      <w:r w:rsidRPr="005B36A4">
        <w:rPr>
          <w:rStyle w:val="FootnoteReference"/>
        </w:rPr>
        <w:footnoteReference w:id="375"/>
      </w:r>
    </w:p>
    <w:p w14:paraId="23A66FF7" w14:textId="0AD1C407" w:rsidR="0018433B" w:rsidRPr="005B36A4" w:rsidRDefault="0018433B" w:rsidP="0018433B">
      <w:r>
        <w:tab/>
      </w:r>
      <w:r w:rsidRPr="005B36A4">
        <w:t>Grundmann’s treatment of the remainder of the sermon</w:t>
      </w:r>
      <w:r w:rsidR="006F304D" w:rsidRPr="006F304D">
        <w:t xml:space="preserve">, </w:t>
      </w:r>
      <w:r w:rsidRPr="005B36A4">
        <w:t>6:39-49</w:t>
      </w:r>
      <w:r w:rsidR="006F304D" w:rsidRPr="006F304D">
        <w:t xml:space="preserve">, </w:t>
      </w:r>
      <w:r w:rsidRPr="005B36A4">
        <w:t>is more circumspect. Rather than speak</w:t>
      </w:r>
      <w:r w:rsidR="006F304D" w:rsidRPr="006F304D">
        <w:t xml:space="preserve">, </w:t>
      </w:r>
      <w:r w:rsidRPr="005B36A4">
        <w:t>like Morgenthaler</w:t>
      </w:r>
      <w:r w:rsidR="006F304D" w:rsidRPr="006F304D">
        <w:t xml:space="preserve">, </w:t>
      </w:r>
      <w:r w:rsidRPr="005B36A4">
        <w:t>of four “parables” here</w:t>
      </w:r>
      <w:r w:rsidR="006F304D" w:rsidRPr="006F304D">
        <w:t xml:space="preserve">, </w:t>
      </w:r>
      <w:r w:rsidRPr="005B36A4">
        <w:t>Grundmann refers to four “pericopes” (</w:t>
      </w:r>
      <w:proofErr w:type="spellStart"/>
      <w:r w:rsidRPr="005B36A4">
        <w:rPr>
          <w:i/>
          <w:iCs/>
        </w:rPr>
        <w:t>Abschnitte</w:t>
      </w:r>
      <w:proofErr w:type="spellEnd"/>
      <w:r w:rsidRPr="005B36A4">
        <w:t>). We have already seen that 39-49 in fact contain six parables. But even if it did contain four</w:t>
      </w:r>
      <w:r w:rsidR="006F304D" w:rsidRPr="006F304D">
        <w:t xml:space="preserve">, </w:t>
      </w:r>
      <w:r w:rsidRPr="005B36A4">
        <w:t xml:space="preserve">the question whether Luke consciously intended four pericopes or whether the section simply happened to have four would remain; since the other instances of </w:t>
      </w:r>
      <w:proofErr w:type="spellStart"/>
      <w:r w:rsidRPr="005B36A4">
        <w:rPr>
          <w:i/>
          <w:iCs/>
        </w:rPr>
        <w:t>Viererparallelismus</w:t>
      </w:r>
      <w:proofErr w:type="spellEnd"/>
      <w:r w:rsidRPr="005B36A4">
        <w:t xml:space="preserve"> in the sermon concern </w:t>
      </w:r>
      <w:proofErr w:type="spellStart"/>
      <w:r w:rsidRPr="005B36A4">
        <w:t>fourfoldness</w:t>
      </w:r>
      <w:proofErr w:type="spellEnd"/>
      <w:r w:rsidRPr="005B36A4">
        <w:t xml:space="preserve"> at the level of clauses or sentences rather than pericopes</w:t>
      </w:r>
      <w:r w:rsidR="006F304D" w:rsidRPr="006F304D">
        <w:t xml:space="preserve">, </w:t>
      </w:r>
      <w:r w:rsidRPr="005B36A4">
        <w:t>I suspect the latter. Grundmann himself sees</w:t>
      </w:r>
      <w:r w:rsidR="006F304D" w:rsidRPr="006F304D">
        <w:t xml:space="preserve">, </w:t>
      </w:r>
      <w:r w:rsidRPr="005B36A4">
        <w:t>at the level of pericopes</w:t>
      </w:r>
      <w:r w:rsidR="006F304D" w:rsidRPr="006F304D">
        <w:t xml:space="preserve">, </w:t>
      </w:r>
      <w:r w:rsidRPr="005B36A4">
        <w:t xml:space="preserve">two sections in the beatitudes and woes and a “three-stanza poem” in 27-38; so four sections in 39-49 would not prove a Lukan fixation on </w:t>
      </w:r>
      <w:proofErr w:type="spellStart"/>
      <w:r w:rsidRPr="005B36A4">
        <w:t>fourfoldness</w:t>
      </w:r>
      <w:proofErr w:type="spellEnd"/>
      <w:r w:rsidRPr="005B36A4">
        <w:t>.</w:t>
      </w:r>
    </w:p>
    <w:p w14:paraId="43220AA8" w14:textId="52145EAE" w:rsidR="0018433B" w:rsidRPr="005B36A4" w:rsidRDefault="0018433B" w:rsidP="0018433B">
      <w:r>
        <w:tab/>
      </w:r>
      <w:r w:rsidRPr="005B36A4">
        <w:t>In conclusion</w:t>
      </w:r>
      <w:r w:rsidR="006F304D" w:rsidRPr="006F304D">
        <w:t xml:space="preserve">, </w:t>
      </w:r>
      <w:r w:rsidRPr="005B36A4">
        <w:t>Grundmann seems guilty of the same tendency we detected in Morgenthaler</w:t>
      </w:r>
      <w:r w:rsidR="006F304D" w:rsidRPr="006F304D">
        <w:t xml:space="preserve">, </w:t>
      </w:r>
      <w:r w:rsidRPr="005B36A4">
        <w:t>a tendency to see greater numerical rigidity in the sermon than the text itself warrants. Still</w:t>
      </w:r>
      <w:r w:rsidR="006F304D" w:rsidRPr="006F304D">
        <w:t xml:space="preserve">, </w:t>
      </w:r>
      <w:r w:rsidRPr="005B36A4">
        <w:t>several things may be said in Grundmann’s favor. For one thing</w:t>
      </w:r>
      <w:r w:rsidR="006F304D" w:rsidRPr="006F304D">
        <w:t xml:space="preserve">, </w:t>
      </w:r>
      <w:r w:rsidRPr="005B36A4">
        <w:t xml:space="preserve">he has quietly set aside Morgenthaler’s preoccupation with the principle of </w:t>
      </w:r>
      <w:proofErr w:type="spellStart"/>
      <w:r w:rsidRPr="005B36A4">
        <w:t>twofoldness</w:t>
      </w:r>
      <w:proofErr w:type="spellEnd"/>
      <w:r w:rsidRPr="005B36A4">
        <w:t>. For another</w:t>
      </w:r>
      <w:r w:rsidR="006F304D" w:rsidRPr="006F304D">
        <w:t xml:space="preserve">, </w:t>
      </w:r>
      <w:r w:rsidRPr="005B36A4">
        <w:t xml:space="preserve">he retains instances of </w:t>
      </w:r>
      <w:proofErr w:type="spellStart"/>
      <w:r w:rsidRPr="005B36A4">
        <w:rPr>
          <w:i/>
          <w:iCs/>
        </w:rPr>
        <w:t>Viererparallelis</w:t>
      </w:r>
      <w:r w:rsidRPr="005B36A4">
        <w:rPr>
          <w:i/>
          <w:iCs/>
        </w:rPr>
        <w:softHyphen/>
        <w:t>mus</w:t>
      </w:r>
      <w:proofErr w:type="spellEnd"/>
      <w:r w:rsidRPr="005B36A4">
        <w:t xml:space="preserve"> that his predecessor had noted. Lastly</w:t>
      </w:r>
      <w:r w:rsidR="006F304D" w:rsidRPr="006F304D">
        <w:t xml:space="preserve">, </w:t>
      </w:r>
      <w:r w:rsidRPr="005B36A4">
        <w:t xml:space="preserve">though Grundmann has allowed a </w:t>
      </w:r>
      <w:r w:rsidRPr="005B36A4">
        <w:rPr>
          <w:i/>
          <w:iCs/>
        </w:rPr>
        <w:t>Viererprinzip</w:t>
      </w:r>
      <w:r w:rsidRPr="005B36A4">
        <w:t xml:space="preserve"> to take the place of Morgenthaler’s </w:t>
      </w:r>
      <w:proofErr w:type="spellStart"/>
      <w:r w:rsidRPr="005B36A4">
        <w:rPr>
          <w:i/>
          <w:iCs/>
        </w:rPr>
        <w:t>Zweiheitsgesetz</w:t>
      </w:r>
      <w:proofErr w:type="spellEnd"/>
      <w:r w:rsidR="006F304D" w:rsidRPr="006F304D">
        <w:rPr>
          <w:iCs/>
        </w:rPr>
        <w:t xml:space="preserve">, </w:t>
      </w:r>
      <w:r w:rsidRPr="005B36A4">
        <w:t>the resultant rigidity is not so unyielding as Morgenthaler’s determination to see his numerical principle at every turn.</w:t>
      </w:r>
    </w:p>
    <w:p w14:paraId="0BFFA427" w14:textId="77777777" w:rsidR="0018433B" w:rsidRPr="005B36A4" w:rsidRDefault="0018433B" w:rsidP="0018433B"/>
    <w:p w14:paraId="69492CD4" w14:textId="77777777" w:rsidR="0018433B" w:rsidRPr="005B36A4" w:rsidRDefault="0018433B" w:rsidP="00904123">
      <w:pPr>
        <w:pStyle w:val="Heading2"/>
      </w:pPr>
      <w:bookmarkStart w:id="36" w:name="_Toc147618620"/>
      <w:r w:rsidRPr="005B36A4">
        <w:t>4.</w:t>
      </w:r>
      <w:r>
        <w:t xml:space="preserve"> </w:t>
      </w:r>
      <w:r w:rsidRPr="005B36A4">
        <w:t>E. Earle Ellis</w:t>
      </w:r>
      <w:bookmarkEnd w:id="36"/>
    </w:p>
    <w:p w14:paraId="3749B7DA" w14:textId="77777777" w:rsidR="0018433B" w:rsidRPr="005B36A4" w:rsidRDefault="0018433B" w:rsidP="0018433B"/>
    <w:p w14:paraId="221F032F" w14:textId="60BC13E2" w:rsidR="0018433B" w:rsidRPr="005B36A4" w:rsidRDefault="0018433B" w:rsidP="0018433B">
      <w:r>
        <w:tab/>
      </w:r>
      <w:r w:rsidRPr="005B36A4">
        <w:t>Another scholar in the mainstream of the numerical tradition is E. Earle Ellis</w:t>
      </w:r>
      <w:r w:rsidR="006F304D" w:rsidRPr="006F304D">
        <w:t xml:space="preserve">, </w:t>
      </w:r>
      <w:r w:rsidRPr="005B36A4">
        <w:t>whose com</w:t>
      </w:r>
      <w:r w:rsidRPr="005B36A4">
        <w:softHyphen/>
        <w:t>mentary on Luke appeared in 1966.</w:t>
      </w:r>
      <w:r w:rsidRPr="005B36A4">
        <w:rPr>
          <w:rStyle w:val="FootnoteReference"/>
        </w:rPr>
        <w:footnoteReference w:id="376"/>
      </w:r>
      <w:r w:rsidRPr="005B36A4">
        <w:t xml:space="preserve"> Ellis does not emphasize numerical principles</w:t>
      </w:r>
      <w:r w:rsidR="006F304D" w:rsidRPr="006F304D">
        <w:t xml:space="preserve">, </w:t>
      </w:r>
      <w:r w:rsidRPr="005B36A4">
        <w:t>but his references to them are noteworthy.</w:t>
      </w:r>
      <w:r w:rsidRPr="005B36A4">
        <w:rPr>
          <w:rStyle w:val="FootnoteReference"/>
        </w:rPr>
        <w:footnoteReference w:id="377"/>
      </w:r>
      <w:r w:rsidRPr="005B36A4">
        <w:t xml:space="preserve"> In the sermon on the plain</w:t>
      </w:r>
      <w:r w:rsidR="006F304D" w:rsidRPr="006F304D">
        <w:t xml:space="preserve">, </w:t>
      </w:r>
      <w:r w:rsidRPr="005B36A4">
        <w:t xml:space="preserve">he recognizes a principle of </w:t>
      </w:r>
      <w:proofErr w:type="spellStart"/>
      <w:r w:rsidRPr="005B36A4">
        <w:lastRenderedPageBreak/>
        <w:t>fourfoldness</w:t>
      </w:r>
      <w:proofErr w:type="spellEnd"/>
      <w:r w:rsidR="006F304D" w:rsidRPr="006F304D">
        <w:t xml:space="preserve">, </w:t>
      </w:r>
      <w:r w:rsidRPr="005B36A4">
        <w:t>referring to it as a “literary form”</w:t>
      </w:r>
      <w:r w:rsidRPr="005B36A4">
        <w:rPr>
          <w:rStyle w:val="FootnoteReference"/>
        </w:rPr>
        <w:footnoteReference w:id="378"/>
      </w:r>
      <w:r w:rsidRPr="005B36A4">
        <w:t xml:space="preserve"> and finding “series of ‘fours’” in verses 27-28</w:t>
      </w:r>
      <w:r w:rsidR="006F304D" w:rsidRPr="006F304D">
        <w:t xml:space="preserve">, </w:t>
      </w:r>
      <w:r w:rsidRPr="005B36A4">
        <w:t>32-35</w:t>
      </w:r>
      <w:r w:rsidR="006F304D" w:rsidRPr="006F304D">
        <w:t xml:space="preserve">, </w:t>
      </w:r>
      <w:r w:rsidRPr="005B36A4">
        <w:t>and 37-38.</w:t>
      </w:r>
      <w:r w:rsidRPr="005B36A4">
        <w:rPr>
          <w:rStyle w:val="FootnoteReference"/>
        </w:rPr>
        <w:footnoteReference w:id="379"/>
      </w:r>
      <w:r w:rsidRPr="005B36A4">
        <w:t xml:space="preserve"> But Ellis goes further than Grundmann in that he not only recognizes instances of </w:t>
      </w:r>
      <w:proofErr w:type="spellStart"/>
      <w:r w:rsidRPr="005B36A4">
        <w:rPr>
          <w:i/>
          <w:iCs/>
        </w:rPr>
        <w:t>Viererparallelis</w:t>
      </w:r>
      <w:r w:rsidRPr="005B36A4">
        <w:rPr>
          <w:i/>
          <w:iCs/>
        </w:rPr>
        <w:softHyphen/>
        <w:t>mus</w:t>
      </w:r>
      <w:proofErr w:type="spellEnd"/>
      <w:r w:rsidRPr="005B36A4">
        <w:t xml:space="preserve"> but argues for climactic arrangement within them. So for example he asserts that “The lengthening of the fourth beatitude creates an emphatic climax,”</w:t>
      </w:r>
      <w:r w:rsidRPr="005B36A4">
        <w:rPr>
          <w:rStyle w:val="FootnoteReference"/>
        </w:rPr>
        <w:footnoteReference w:id="380"/>
      </w:r>
      <w:r w:rsidRPr="005B36A4">
        <w:t xml:space="preserve"> and he says concerning 32-35 and 37-38 that “The last member of the series forms an extended climax in 6:35</w:t>
      </w:r>
      <w:r w:rsidR="006F304D" w:rsidRPr="006F304D">
        <w:t xml:space="preserve">, </w:t>
      </w:r>
      <w:r w:rsidRPr="005B36A4">
        <w:t>38.”</w:t>
      </w:r>
      <w:r w:rsidRPr="005B36A4">
        <w:rPr>
          <w:rStyle w:val="FootnoteReference"/>
        </w:rPr>
        <w:footnoteReference w:id="381"/>
      </w:r>
    </w:p>
    <w:p w14:paraId="1AC9E583" w14:textId="675E1A31" w:rsidR="0018433B" w:rsidRPr="005B36A4" w:rsidRDefault="0018433B" w:rsidP="0018433B">
      <w:r>
        <w:tab/>
      </w:r>
      <w:r w:rsidRPr="005B36A4">
        <w:t>Ellis’s recognition of the existence of fourfold units is creditable</w:t>
      </w:r>
      <w:r w:rsidR="006F304D" w:rsidRPr="006F304D">
        <w:t xml:space="preserve">, </w:t>
      </w:r>
      <w:r w:rsidRPr="005B36A4">
        <w:t>and his refreshing willing</w:t>
      </w:r>
      <w:r w:rsidRPr="005B36A4">
        <w:softHyphen/>
        <w:t>ness to forego over-schematizing the sermon is commendable. But his observations concerning climaxes are less certainly worthwhile.</w:t>
      </w:r>
    </w:p>
    <w:p w14:paraId="4E769859" w14:textId="7A24C31A" w:rsidR="0018433B" w:rsidRPr="005B36A4" w:rsidRDefault="0018433B" w:rsidP="0018433B">
      <w:r>
        <w:tab/>
      </w:r>
      <w:r w:rsidRPr="005B36A4">
        <w:t>Since one should give an author the benefit of the doubt by a priori presuming artistry rather than its absence</w:t>
      </w:r>
      <w:r w:rsidR="006F304D" w:rsidRPr="006F304D">
        <w:t xml:space="preserve">, </w:t>
      </w:r>
      <w:r w:rsidRPr="005B36A4">
        <w:t>explaining the extended nature of the fourth beatitude as climax rather than disrup</w:t>
      </w:r>
      <w:r w:rsidRPr="005B36A4">
        <w:softHyphen/>
        <w:t>tion is preferable.</w:t>
      </w:r>
      <w:r w:rsidRPr="005B36A4">
        <w:rPr>
          <w:rStyle w:val="FootnoteReference"/>
        </w:rPr>
        <w:footnoteReference w:id="382"/>
      </w:r>
      <w:r w:rsidRPr="005B36A4">
        <w:t xml:space="preserve"> But a presumption of artistry must fade if artistry (here</w:t>
      </w:r>
      <w:r w:rsidR="006F304D" w:rsidRPr="006F304D">
        <w:t xml:space="preserve">, </w:t>
      </w:r>
      <w:r w:rsidRPr="005B36A4">
        <w:t xml:space="preserve">climactic structure) is not in fact present. Since the fourth </w:t>
      </w:r>
      <w:r w:rsidRPr="005B36A4">
        <w:rPr>
          <w:i/>
          <w:iCs/>
        </w:rPr>
        <w:t>woe</w:t>
      </w:r>
      <w:r w:rsidRPr="005B36A4">
        <w:t xml:space="preserve"> is not proportionately larger than the first three</w:t>
      </w:r>
      <w:r w:rsidR="006F304D" w:rsidRPr="006F304D">
        <w:t xml:space="preserve">, </w:t>
      </w:r>
      <w:r w:rsidRPr="005B36A4">
        <w:t xml:space="preserve">it seems more likely that the pattern-breaking insertion (22b-23c) was introduced into the fourth beatitude (22-23) because Luke (or an earlier scribe) considered the content of the insertion of more </w:t>
      </w:r>
      <w:r>
        <w:t>importance than the beatitudes’</w:t>
      </w:r>
      <w:r w:rsidRPr="005B36A4">
        <w:t xml:space="preserve"> architectonic design.</w:t>
      </w:r>
    </w:p>
    <w:p w14:paraId="36BF6C4B" w14:textId="25C8F0E7" w:rsidR="0018433B" w:rsidRPr="005B36A4" w:rsidRDefault="0018433B" w:rsidP="0018433B">
      <w:r>
        <w:tab/>
      </w:r>
      <w:r w:rsidRPr="005B36A4">
        <w:t>Ellis’s assertion of climax in verse 35 is even more problematical. He says that 32-35 are a fourfold unit; though he does not delimit the members</w:t>
      </w:r>
      <w:r w:rsidR="006F304D" w:rsidRPr="006F304D">
        <w:t xml:space="preserve">, </w:t>
      </w:r>
      <w:r w:rsidRPr="005B36A4">
        <w:t>undoubtedly 32</w:t>
      </w:r>
      <w:r w:rsidR="006F304D" w:rsidRPr="006F304D">
        <w:t xml:space="preserve">, </w:t>
      </w:r>
      <w:r w:rsidRPr="005B36A4">
        <w:t>33</w:t>
      </w:r>
      <w:r w:rsidR="006F304D" w:rsidRPr="006F304D">
        <w:t xml:space="preserve">, </w:t>
      </w:r>
      <w:r w:rsidRPr="005B36A4">
        <w:t>and 34 are the first three (“If you love those who love you</w:t>
      </w:r>
      <w:r w:rsidR="006F304D" w:rsidRPr="006F304D">
        <w:t xml:space="preserve">, </w:t>
      </w:r>
      <w:r w:rsidRPr="005B36A4">
        <w:t>what credit is that to you? For even sinners love those who love them,”</w:t>
      </w:r>
      <w:proofErr w:type="spellStart"/>
      <w:r w:rsidRPr="005B36A4">
        <w:t>etc</w:t>
      </w:r>
      <w:proofErr w:type="spellEnd"/>
      <w:r w:rsidRPr="005B36A4">
        <w:t>.). But it is unclear whether all of verse 35 is one extended fourth member (this is the surface meaning of Ellis’s statement</w:t>
      </w:r>
      <w:r w:rsidR="006F304D" w:rsidRPr="006F304D">
        <w:t xml:space="preserve">, </w:t>
      </w:r>
      <w:r w:rsidRPr="005B36A4">
        <w:t>“The last member of the series forms an extended climax in 6:35”)</w:t>
      </w:r>
      <w:r w:rsidR="006F304D" w:rsidRPr="006F304D">
        <w:t xml:space="preserve">, </w:t>
      </w:r>
      <w:r w:rsidRPr="005B36A4">
        <w:t>or whether 35abc (“But love your enemies</w:t>
      </w:r>
      <w:r w:rsidR="006F304D" w:rsidRPr="006F304D">
        <w:t xml:space="preserve">, </w:t>
      </w:r>
      <w:r w:rsidRPr="005B36A4">
        <w:t>do good</w:t>
      </w:r>
      <w:r w:rsidR="006F304D" w:rsidRPr="006F304D">
        <w:t xml:space="preserve">, </w:t>
      </w:r>
      <w:r w:rsidRPr="005B36A4">
        <w:t>and lend</w:t>
      </w:r>
      <w:r w:rsidR="006F304D" w:rsidRPr="006F304D">
        <w:t xml:space="preserve">, </w:t>
      </w:r>
      <w:r w:rsidRPr="005B36A4">
        <w:t>expecting nothing in return”) is the fourth member</w:t>
      </w:r>
      <w:r w:rsidR="006F304D" w:rsidRPr="006F304D">
        <w:t xml:space="preserve">, </w:t>
      </w:r>
      <w:r w:rsidRPr="005B36A4">
        <w:t>with 35def (“Your reward will be great</w:t>
      </w:r>
      <w:r w:rsidR="006F304D" w:rsidRPr="006F304D">
        <w:t xml:space="preserve">, </w:t>
      </w:r>
      <w:r w:rsidRPr="005B36A4">
        <w:t>and you will be children of the Most High; for he is kind to the ungrateful and the wicked”) an added extension (this is the more natural reading of the verse</w:t>
      </w:r>
      <w:r w:rsidR="006F304D" w:rsidRPr="006F304D">
        <w:t xml:space="preserve">, </w:t>
      </w:r>
      <w:r w:rsidRPr="005B36A4">
        <w:t>since 35abc parallels 32-34</w:t>
      </w:r>
      <w:r w:rsidR="006F304D" w:rsidRPr="006F304D">
        <w:t xml:space="preserve">, </w:t>
      </w:r>
      <w:r w:rsidRPr="005B36A4">
        <w:t>while 35def does not). We have already seen the difficulty in considering 35abc as a fourth member</w:t>
      </w:r>
      <w:r w:rsidR="006F304D" w:rsidRPr="006F304D">
        <w:t xml:space="preserve">, </w:t>
      </w:r>
      <w:r w:rsidRPr="005B36A4">
        <w:t>coordinate with the three preceding verses</w:t>
      </w:r>
      <w:r w:rsidR="006F304D" w:rsidRPr="006F304D">
        <w:t xml:space="preserve">, </w:t>
      </w:r>
      <w:r w:rsidRPr="005B36A4">
        <w:t>of a fourfold unit;</w:t>
      </w:r>
      <w:r w:rsidRPr="005B36A4">
        <w:rPr>
          <w:rStyle w:val="FootnoteReference"/>
        </w:rPr>
        <w:footnoteReference w:id="383"/>
      </w:r>
      <w:r w:rsidRPr="005B36A4">
        <w:t xml:space="preserve"> but even if that were allowed</w:t>
      </w:r>
      <w:r w:rsidR="006F304D" w:rsidRPr="006F304D">
        <w:t xml:space="preserve">, </w:t>
      </w:r>
      <w:r w:rsidRPr="005B36A4">
        <w:t>it would remain unclear whether Luke intended 35def to be a mere extension of 35abc or an additional but discrete thought.</w:t>
      </w:r>
    </w:p>
    <w:p w14:paraId="68AA4A8B" w14:textId="6CF0A5CA" w:rsidR="0018433B" w:rsidRPr="005B36A4" w:rsidRDefault="0018433B" w:rsidP="0018433B">
      <w:r>
        <w:tab/>
      </w:r>
      <w:r w:rsidRPr="005B36A4">
        <w:t>To interpret 6:38 as a climax is also difficult. If a “climax” is the apex of a movement that increases in each successive member</w:t>
      </w:r>
      <w:r w:rsidR="006F304D" w:rsidRPr="006F304D">
        <w:t xml:space="preserve">, </w:t>
      </w:r>
      <w:r w:rsidRPr="005B36A4">
        <w:t>then the four-member series in 36-38b (do not judge</w:t>
      </w:r>
      <w:r w:rsidR="006F304D" w:rsidRPr="006F304D">
        <w:t xml:space="preserve">, </w:t>
      </w:r>
      <w:r w:rsidRPr="005B36A4">
        <w:t>do not condemn</w:t>
      </w:r>
      <w:r w:rsidR="006F304D" w:rsidRPr="006F304D">
        <w:t xml:space="preserve">, </w:t>
      </w:r>
      <w:r w:rsidRPr="005B36A4">
        <w:t>forgive</w:t>
      </w:r>
      <w:r w:rsidR="006F304D" w:rsidRPr="006F304D">
        <w:t xml:space="preserve">, </w:t>
      </w:r>
      <w:r w:rsidRPr="005B36A4">
        <w:t>give) does not demonstrate climax. First</w:t>
      </w:r>
      <w:r w:rsidR="006F304D" w:rsidRPr="006F304D">
        <w:t xml:space="preserve">, </w:t>
      </w:r>
      <w:r w:rsidRPr="005B36A4">
        <w:t xml:space="preserve">there is little additional content to be </w:t>
      </w:r>
      <w:r w:rsidRPr="005B36A4">
        <w:lastRenderedPageBreak/>
        <w:t>found in the second member than the first</w:t>
      </w:r>
      <w:r w:rsidR="006F304D" w:rsidRPr="006F304D">
        <w:t xml:space="preserve">, </w:t>
      </w:r>
      <w:r w:rsidRPr="005B36A4">
        <w:t>nor in the third member than in the second (the three concepts are quite similar</w:t>
      </w:r>
      <w:r w:rsidR="006F304D" w:rsidRPr="006F304D">
        <w:t xml:space="preserve">, </w:t>
      </w:r>
      <w:r w:rsidRPr="005B36A4">
        <w:t>despite the shift from negative to positive formulation in the third mem</w:t>
      </w:r>
      <w:r w:rsidRPr="005B36A4">
        <w:softHyphen/>
        <w:t>ber); the movement is therefore largely “horizontal” rather than “upward.” Second</w:t>
      </w:r>
      <w:r w:rsidR="006F304D" w:rsidRPr="006F304D">
        <w:t xml:space="preserve">, </w:t>
      </w:r>
      <w:r w:rsidRPr="005B36A4">
        <w:t>the supposed climax</w:t>
      </w:r>
      <w:r w:rsidR="006F304D" w:rsidRPr="006F304D">
        <w:t xml:space="preserve">, </w:t>
      </w:r>
      <w:r w:rsidRPr="005B36A4">
        <w:t>“give,” in fact diverges at an angle from the first three members</w:t>
      </w:r>
      <w:r w:rsidR="006F304D" w:rsidRPr="006F304D">
        <w:t xml:space="preserve">, </w:t>
      </w:r>
      <w:r w:rsidRPr="005B36A4">
        <w:t>entering a new conceptual realm altogether: though “forgive” and “give” share the property of granting a boon to another</w:t>
      </w:r>
      <w:r w:rsidR="006F304D" w:rsidRPr="006F304D">
        <w:t xml:space="preserve">, </w:t>
      </w:r>
      <w:r w:rsidRPr="005B36A4">
        <w:t>“give” refers to the granting of a material</w:t>
      </w:r>
      <w:r w:rsidR="006F304D" w:rsidRPr="006F304D">
        <w:t xml:space="preserve">, </w:t>
      </w:r>
      <w:r w:rsidRPr="005B36A4">
        <w:t>not an immaterial</w:t>
      </w:r>
      <w:r w:rsidR="006F304D" w:rsidRPr="006F304D">
        <w:t xml:space="preserve">, </w:t>
      </w:r>
      <w:r w:rsidRPr="005B36A4">
        <w:t>boon.</w:t>
      </w:r>
      <w:r w:rsidRPr="005B36A4">
        <w:rPr>
          <w:rStyle w:val="FootnoteReference"/>
        </w:rPr>
        <w:footnoteReference w:id="384"/>
      </w:r>
      <w:r w:rsidRPr="005B36A4">
        <w:t xml:space="preserve"> With no increasing movement in the first three members</w:t>
      </w:r>
      <w:r w:rsidR="006F304D" w:rsidRPr="006F304D">
        <w:t xml:space="preserve">, </w:t>
      </w:r>
      <w:r w:rsidRPr="005B36A4">
        <w:t>there can be no climax in the fourth (38ab); and with no climax in the fourth</w:t>
      </w:r>
      <w:r w:rsidR="006F304D" w:rsidRPr="006F304D">
        <w:t xml:space="preserve">, </w:t>
      </w:r>
      <w:r w:rsidRPr="005B36A4">
        <w:t>the remainder of the verse (38cd</w:t>
      </w:r>
      <w:r w:rsidR="006F304D" w:rsidRPr="006F304D">
        <w:t xml:space="preserve">, </w:t>
      </w:r>
      <w:r w:rsidRPr="005B36A4">
        <w:t>“A good measure</w:t>
      </w:r>
      <w:r w:rsidR="006F304D" w:rsidRPr="006F304D">
        <w:t xml:space="preserve">, </w:t>
      </w:r>
      <w:r w:rsidRPr="005B36A4">
        <w:t>pressed down</w:t>
      </w:r>
      <w:r w:rsidR="006F304D" w:rsidRPr="006F304D">
        <w:t xml:space="preserve">, </w:t>
      </w:r>
      <w:r w:rsidRPr="005B36A4">
        <w:t>shaken together</w:t>
      </w:r>
      <w:r w:rsidR="006F304D" w:rsidRPr="006F304D">
        <w:t xml:space="preserve">, </w:t>
      </w:r>
      <w:r w:rsidRPr="005B36A4">
        <w:t>running over</w:t>
      </w:r>
      <w:r w:rsidR="006F304D" w:rsidRPr="006F304D">
        <w:t xml:space="preserve">, </w:t>
      </w:r>
      <w:r w:rsidRPr="005B36A4">
        <w:t>will be put into your lap; for the measure you give will be the measure you get back”) cannot “extend”</w:t>
      </w:r>
      <w:r w:rsidRPr="005B36A4">
        <w:rPr>
          <w:rStyle w:val="FootnoteReference"/>
        </w:rPr>
        <w:footnoteReference w:id="385"/>
      </w:r>
      <w:r w:rsidRPr="005B36A4">
        <w:t xml:space="preserve"> the climax.</w:t>
      </w:r>
    </w:p>
    <w:p w14:paraId="67FA9368" w14:textId="305731A1" w:rsidR="0018433B" w:rsidRPr="005B36A4" w:rsidRDefault="0018433B" w:rsidP="0018433B">
      <w:r>
        <w:tab/>
      </w:r>
      <w:r w:rsidRPr="005B36A4">
        <w:t>We cannot</w:t>
      </w:r>
      <w:r w:rsidR="006F304D" w:rsidRPr="006F304D">
        <w:t xml:space="preserve">, </w:t>
      </w:r>
      <w:r w:rsidRPr="005B36A4">
        <w:t>then</w:t>
      </w:r>
      <w:r w:rsidR="006F304D" w:rsidRPr="006F304D">
        <w:t xml:space="preserve">, </w:t>
      </w:r>
      <w:r w:rsidRPr="005B36A4">
        <w:t>grant Ellis’s attempted advance over his predecessors. Though he correctly retains their fourfold units and admirably refrains from over</w:t>
      </w:r>
      <w:r>
        <w:t>-</w:t>
      </w:r>
      <w:r w:rsidRPr="005B36A4">
        <w:t>applying a numerical principle</w:t>
      </w:r>
      <w:r w:rsidR="006F304D" w:rsidRPr="006F304D">
        <w:t xml:space="preserve">, </w:t>
      </w:r>
      <w:r w:rsidRPr="005B36A4">
        <w:t>his belief that 6:22-23</w:t>
      </w:r>
      <w:r w:rsidR="006F304D" w:rsidRPr="006F304D">
        <w:t xml:space="preserve">, </w:t>
      </w:r>
      <w:r w:rsidRPr="005B36A4">
        <w:t>35</w:t>
      </w:r>
      <w:r w:rsidR="006F304D" w:rsidRPr="006F304D">
        <w:t xml:space="preserve">, </w:t>
      </w:r>
      <w:r w:rsidRPr="005B36A4">
        <w:t>and 38 are climaxes is not probable.</w:t>
      </w:r>
      <w:r w:rsidRPr="005B36A4">
        <w:rPr>
          <w:rStyle w:val="FootnoteReference"/>
        </w:rPr>
        <w:footnoteReference w:id="386"/>
      </w:r>
    </w:p>
    <w:p w14:paraId="12F5DF9D" w14:textId="25069BCC" w:rsidR="0018433B" w:rsidRPr="005B36A4" w:rsidRDefault="0018433B" w:rsidP="0018433B">
      <w:r>
        <w:lastRenderedPageBreak/>
        <w:tab/>
      </w:r>
      <w:r w:rsidRPr="005B36A4">
        <w:t>Yet the fact remains</w:t>
      </w:r>
      <w:r w:rsidR="006F304D" w:rsidRPr="006F304D">
        <w:t xml:space="preserve">, </w:t>
      </w:r>
      <w:r w:rsidRPr="005B36A4">
        <w:t>which Ellis properly has brought to our attention</w:t>
      </w:r>
      <w:r w:rsidR="006F304D" w:rsidRPr="006F304D">
        <w:t xml:space="preserve">, </w:t>
      </w:r>
      <w:r w:rsidRPr="005B36A4">
        <w:t>that the fourth member of more than one unit of four in the sermon does show additional material</w:t>
      </w:r>
      <w:r w:rsidR="006F304D" w:rsidRPr="006F304D">
        <w:t xml:space="preserve">, </w:t>
      </w:r>
      <w:r w:rsidRPr="005B36A4">
        <w:t>additional in that the expansion breaks the pattern of the preceding members in the series. Perhaps</w:t>
      </w:r>
      <w:r w:rsidR="006F304D" w:rsidRPr="006F304D">
        <w:t xml:space="preserve">, </w:t>
      </w:r>
      <w:r w:rsidRPr="005B36A4">
        <w:t>then</w:t>
      </w:r>
      <w:r w:rsidR="006F304D" w:rsidRPr="006F304D">
        <w:t xml:space="preserve">, </w:t>
      </w:r>
      <w:r w:rsidRPr="005B36A4">
        <w:t>since this additional matter cannot be explained as an intended climactic pattern</w:t>
      </w:r>
      <w:r w:rsidR="006F304D" w:rsidRPr="006F304D">
        <w:t xml:space="preserve">, </w:t>
      </w:r>
      <w:r w:rsidRPr="005B36A4">
        <w:t>it will have to be explained on the basis of some other organizational principle—perhaps the principle of the catchword</w:t>
      </w:r>
      <w:r w:rsidR="006F304D" w:rsidRPr="006F304D">
        <w:t xml:space="preserve">, </w:t>
      </w:r>
      <w:r w:rsidRPr="005B36A4">
        <w:t>or of the bridging passage.</w:t>
      </w:r>
      <w:r w:rsidRPr="005B36A4">
        <w:rPr>
          <w:rStyle w:val="FootnoteReference"/>
        </w:rPr>
        <w:footnoteReference w:id="387"/>
      </w:r>
    </w:p>
    <w:p w14:paraId="7D9053E9" w14:textId="77777777" w:rsidR="0018433B" w:rsidRPr="005B36A4" w:rsidRDefault="0018433B" w:rsidP="0018433B"/>
    <w:p w14:paraId="24F01598" w14:textId="77777777" w:rsidR="0018433B" w:rsidRPr="005B36A4" w:rsidRDefault="0018433B" w:rsidP="00904123">
      <w:pPr>
        <w:pStyle w:val="Heading2"/>
      </w:pPr>
      <w:bookmarkStart w:id="38" w:name="_Toc147618621"/>
      <w:r w:rsidRPr="005B36A4">
        <w:t>5.</w:t>
      </w:r>
      <w:r>
        <w:t xml:space="preserve"> </w:t>
      </w:r>
      <w:r w:rsidRPr="005B36A4">
        <w:t>Charles Talbert</w:t>
      </w:r>
      <w:bookmarkEnd w:id="38"/>
    </w:p>
    <w:p w14:paraId="29793D1D" w14:textId="77777777" w:rsidR="0018433B" w:rsidRPr="005B36A4" w:rsidRDefault="0018433B" w:rsidP="0018433B"/>
    <w:p w14:paraId="2B2A53A8" w14:textId="5E33434B" w:rsidR="0018433B" w:rsidRPr="005B36A4" w:rsidRDefault="0018433B" w:rsidP="0018433B">
      <w:r>
        <w:tab/>
      </w:r>
      <w:r w:rsidRPr="005B36A4">
        <w:t>Another scholar who finds numerical principles in the sermon on the plain is Charles Talbert. Talbert is no stranger to Morgenthaler’s proposals. In an early work</w:t>
      </w:r>
      <w:r w:rsidR="006F304D" w:rsidRPr="006F304D">
        <w:t xml:space="preserve">, </w:t>
      </w:r>
      <w:r w:rsidRPr="005B36A4">
        <w:rPr>
          <w:i/>
          <w:iCs/>
        </w:rPr>
        <w:t>Literary Patterns</w:t>
      </w:r>
      <w:r w:rsidR="006F304D" w:rsidRPr="006F304D">
        <w:rPr>
          <w:iCs/>
        </w:rPr>
        <w:t xml:space="preserve">, </w:t>
      </w:r>
      <w:r w:rsidRPr="005B36A4">
        <w:rPr>
          <w:i/>
          <w:iCs/>
        </w:rPr>
        <w:t>Theological Themes</w:t>
      </w:r>
      <w:r w:rsidR="006F304D" w:rsidRPr="006F304D">
        <w:rPr>
          <w:iCs/>
        </w:rPr>
        <w:t xml:space="preserve">, </w:t>
      </w:r>
      <w:r w:rsidRPr="005B36A4">
        <w:rPr>
          <w:i/>
          <w:iCs/>
        </w:rPr>
        <w:t>and the Genre of Luke-Acts</w:t>
      </w:r>
      <w:r w:rsidR="006F304D" w:rsidRPr="006F304D">
        <w:rPr>
          <w:iCs/>
        </w:rPr>
        <w:t xml:space="preserve">, </w:t>
      </w:r>
      <w:r w:rsidRPr="005B36A4">
        <w:t xml:space="preserve">Talbert acknowledges his indebtedness to Morgenthaler for examples of </w:t>
      </w:r>
      <w:proofErr w:type="spellStart"/>
      <w:r w:rsidRPr="005B36A4">
        <w:rPr>
          <w:i/>
          <w:iCs/>
        </w:rPr>
        <w:t>Zweigliedrigkeit</w:t>
      </w:r>
      <w:proofErr w:type="spellEnd"/>
      <w:r w:rsidRPr="005B36A4">
        <w:t xml:space="preserve"> and even seems to adopt Morgenthaler’s thesis that Luke adhered to a principle of </w:t>
      </w:r>
      <w:proofErr w:type="spellStart"/>
      <w:r w:rsidRPr="005B36A4">
        <w:t>twofoldness</w:t>
      </w:r>
      <w:proofErr w:type="spellEnd"/>
      <w:r w:rsidRPr="005B36A4">
        <w:t>.</w:t>
      </w:r>
      <w:r w:rsidRPr="005B36A4">
        <w:rPr>
          <w:rStyle w:val="FootnoteReference"/>
        </w:rPr>
        <w:footnoteReference w:id="388"/>
      </w:r>
      <w:r w:rsidRPr="005B36A4">
        <w:t xml:space="preserve"> Luke</w:t>
      </w:r>
      <w:r w:rsidR="006F304D" w:rsidRPr="006F304D">
        <w:t xml:space="preserve">, </w:t>
      </w:r>
      <w:r w:rsidRPr="005B36A4">
        <w:t>he says</w:t>
      </w:r>
      <w:r w:rsidR="006F304D" w:rsidRPr="006F304D">
        <w:t xml:space="preserve">, </w:t>
      </w:r>
      <w:r w:rsidRPr="005B36A4">
        <w:t>adhered to a “principle of balance”: a “tendency to balance some feature of his work with another which corresponds or is analogous to it in some way.”</w:t>
      </w:r>
      <w:r w:rsidRPr="005B36A4">
        <w:rPr>
          <w:rStyle w:val="FootnoteReference"/>
        </w:rPr>
        <w:footnoteReference w:id="389"/>
      </w:r>
      <w:r w:rsidRPr="005B36A4">
        <w:t xml:space="preserve"> Talbert’s book is in large part an attempt “to investigate certain of the formal patterns of Luke-Acts—in particular</w:t>
      </w:r>
      <w:r w:rsidR="006F304D" w:rsidRPr="006F304D">
        <w:t xml:space="preserve">, </w:t>
      </w:r>
      <w:r w:rsidRPr="005B36A4">
        <w:t xml:space="preserve">those expressive of the principle of balance </w:t>
      </w:r>
      <w:r w:rsidRPr="00E149A1">
        <w:t>. . .</w:t>
      </w:r>
      <w:r w:rsidRPr="005B36A4">
        <w:t>”</w:t>
      </w:r>
      <w:r w:rsidRPr="005B36A4">
        <w:rPr>
          <w:rStyle w:val="FootnoteReference"/>
        </w:rPr>
        <w:footnoteReference w:id="390"/>
      </w:r>
      <w:r w:rsidRPr="005B36A4">
        <w:t xml:space="preserve"> Surprisingly</w:t>
      </w:r>
      <w:r w:rsidR="006F304D" w:rsidRPr="006F304D">
        <w:t xml:space="preserve">, </w:t>
      </w:r>
      <w:r w:rsidRPr="005B36A4">
        <w:t xml:space="preserve">he has nothing to say in </w:t>
      </w:r>
      <w:r w:rsidRPr="005B36A4">
        <w:rPr>
          <w:i/>
          <w:iCs/>
        </w:rPr>
        <w:t>Literary Patterns</w:t>
      </w:r>
      <w:r w:rsidRPr="005B36A4">
        <w:t xml:space="preserve"> about the internal structure of the sermon on the plain. He does refer to the whole sermon on one occasion</w:t>
      </w:r>
      <w:r w:rsidR="006F304D" w:rsidRPr="006F304D">
        <w:t xml:space="preserve">, </w:t>
      </w:r>
      <w:r w:rsidRPr="005B36A4">
        <w:t>to point out its correspondence with Luke 8:4-21.</w:t>
      </w:r>
      <w:r w:rsidRPr="005B36A4">
        <w:rPr>
          <w:rStyle w:val="FootnoteReference"/>
        </w:rPr>
        <w:footnoteReference w:id="391"/>
      </w:r>
    </w:p>
    <w:p w14:paraId="11D830DF" w14:textId="44E4C074" w:rsidR="0018433B" w:rsidRPr="005B36A4" w:rsidRDefault="0018433B" w:rsidP="0018433B">
      <w:r>
        <w:lastRenderedPageBreak/>
        <w:tab/>
      </w:r>
      <w:r w:rsidRPr="005B36A4">
        <w:t>It is in a later work</w:t>
      </w:r>
      <w:r w:rsidR="006F304D" w:rsidRPr="006F304D">
        <w:t xml:space="preserve">, </w:t>
      </w:r>
      <w:r w:rsidRPr="005B36A4">
        <w:rPr>
          <w:i/>
          <w:iCs/>
        </w:rPr>
        <w:t>Reading Luke</w:t>
      </w:r>
      <w:r w:rsidRPr="005B36A4">
        <w:rPr>
          <w:iCs/>
        </w:rPr>
        <w:t>,</w:t>
      </w:r>
      <w:r w:rsidRPr="005B36A4">
        <w:rPr>
          <w:rStyle w:val="FootnoteReference"/>
        </w:rPr>
        <w:footnoteReference w:id="392"/>
      </w:r>
      <w:r w:rsidRPr="005B36A4">
        <w:t xml:space="preserve"> that Talbert extensively treats the sermon’s structure. As might be expected</w:t>
      </w:r>
      <w:r w:rsidR="006F304D" w:rsidRPr="006F304D">
        <w:t xml:space="preserve">, </w:t>
      </w:r>
      <w:r w:rsidRPr="005B36A4">
        <w:t xml:space="preserve">the treatment is somewhat identical to Morgenthaler’s. Though Talbert intends to “make </w:t>
      </w:r>
      <w:r w:rsidRPr="00E149A1">
        <w:t>. . .</w:t>
      </w:r>
      <w:r w:rsidRPr="005B36A4">
        <w:t xml:space="preserve"> little reference to secondary literature,”</w:t>
      </w:r>
      <w:r w:rsidRPr="005B36A4">
        <w:rPr>
          <w:rStyle w:val="FootnoteReference"/>
        </w:rPr>
        <w:footnoteReference w:id="393"/>
      </w:r>
      <w:r w:rsidRPr="005B36A4">
        <w:t xml:space="preserve"> his reliance on Morgenthaler in the sermon appears to merit a reference: “observations on the pattern of 6:20-49 throughout this section are influenced by Robert Morgenthaler</w:t>
      </w:r>
      <w:r w:rsidR="006F304D" w:rsidRPr="006F304D">
        <w:t xml:space="preserve">, </w:t>
      </w:r>
      <w:r w:rsidRPr="005B36A4">
        <w:rPr>
          <w:i/>
          <w:iCs/>
        </w:rPr>
        <w:t xml:space="preserve">Die </w:t>
      </w:r>
      <w:proofErr w:type="spellStart"/>
      <w:r w:rsidRPr="005B36A4">
        <w:rPr>
          <w:i/>
          <w:iCs/>
        </w:rPr>
        <w:t>lukanische</w:t>
      </w:r>
      <w:proofErr w:type="spellEnd"/>
      <w:r w:rsidRPr="005B36A4">
        <w:rPr>
          <w:i/>
          <w:iCs/>
        </w:rPr>
        <w:t xml:space="preserve"> </w:t>
      </w:r>
      <w:proofErr w:type="spellStart"/>
      <w:r w:rsidRPr="005B36A4">
        <w:rPr>
          <w:i/>
          <w:iCs/>
        </w:rPr>
        <w:t>Geschichtsschreibung</w:t>
      </w:r>
      <w:proofErr w:type="spellEnd"/>
      <w:r w:rsidRPr="005B36A4">
        <w:t xml:space="preserve"> </w:t>
      </w:r>
      <w:r w:rsidRPr="00E149A1">
        <w:t>. . .</w:t>
      </w:r>
      <w:r w:rsidR="006F304D" w:rsidRPr="006F304D">
        <w:t xml:space="preserve">, </w:t>
      </w:r>
      <w:r w:rsidRPr="005B36A4">
        <w:t>1:81-83.”</w:t>
      </w:r>
      <w:r w:rsidRPr="005B36A4">
        <w:rPr>
          <w:rStyle w:val="FootnoteReference"/>
        </w:rPr>
        <w:footnoteReference w:id="394"/>
      </w:r>
    </w:p>
    <w:p w14:paraId="2DD79083" w14:textId="52B3EE5C" w:rsidR="0018433B" w:rsidRPr="005B36A4" w:rsidRDefault="0018433B" w:rsidP="0018433B">
      <w:r>
        <w:tab/>
      </w:r>
      <w:r w:rsidRPr="005B36A4">
        <w:t>Despite this reliance</w:t>
      </w:r>
      <w:r w:rsidR="006F304D" w:rsidRPr="006F304D">
        <w:t xml:space="preserve">, </w:t>
      </w:r>
      <w:r w:rsidRPr="005B36A4">
        <w:t>Talbert proposes that the sermon is a “triptych,” and that the three “panels” of this triptych are distinguished by means of “formulae of introduction”:</w:t>
      </w:r>
      <w:r w:rsidRPr="005B36A4">
        <w:rPr>
          <w:rStyle w:val="FootnoteReference"/>
        </w:rPr>
        <w:footnoteReference w:id="395"/>
      </w:r>
      <w:r w:rsidRPr="005B36A4">
        <w:t xml:space="preserve"> “The Sermon on the Plain falls into three parts determined by the formulae of introduction: (1) 6:20</w:t>
      </w:r>
      <w:r w:rsidR="006F304D" w:rsidRPr="006F304D">
        <w:t xml:space="preserve">, </w:t>
      </w:r>
      <w:r w:rsidRPr="005B36A4">
        <w:t>‘And he lifted up his eyes on his disciples</w:t>
      </w:r>
      <w:r w:rsidR="006F304D" w:rsidRPr="006F304D">
        <w:t xml:space="preserve">, </w:t>
      </w:r>
      <w:r w:rsidRPr="005B36A4">
        <w:t>and said’; (2) 6:27</w:t>
      </w:r>
      <w:r w:rsidR="006F304D" w:rsidRPr="006F304D">
        <w:t xml:space="preserve">, </w:t>
      </w:r>
      <w:r w:rsidRPr="005B36A4">
        <w:t>‘But I say to you that hear’; and (3) 6:39</w:t>
      </w:r>
      <w:r w:rsidR="006F304D" w:rsidRPr="006F304D">
        <w:t xml:space="preserve">, </w:t>
      </w:r>
      <w:r w:rsidRPr="005B36A4">
        <w:t>‘He also told them a parable.’”</w:t>
      </w:r>
      <w:r w:rsidRPr="005B36A4">
        <w:rPr>
          <w:rStyle w:val="FootnoteReference"/>
        </w:rPr>
        <w:footnoteReference w:id="396"/>
      </w:r>
      <w:r w:rsidRPr="005B36A4">
        <w:t xml:space="preserve"> This is quite a suggestive statement. Many commentators who rely primarily on </w:t>
      </w:r>
      <w:proofErr w:type="spellStart"/>
      <w:r w:rsidRPr="005B36A4">
        <w:t>contentual</w:t>
      </w:r>
      <w:proofErr w:type="spellEnd"/>
      <w:r w:rsidRPr="005B36A4">
        <w:t xml:space="preserve"> criteria want to divide the sermon</w:t>
      </w:r>
      <w:r w:rsidR="006F304D" w:rsidRPr="006F304D">
        <w:t xml:space="preserve">, </w:t>
      </w:r>
      <w:r w:rsidRPr="005B36A4">
        <w:t>as we shall see</w:t>
      </w:r>
      <w:r w:rsidR="006F304D" w:rsidRPr="006F304D">
        <w:t xml:space="preserve">, </w:t>
      </w:r>
      <w:r w:rsidRPr="005B36A4">
        <w:t>at exactly the points Talbert refers to</w:t>
      </w:r>
      <w:r w:rsidR="006F304D" w:rsidRPr="006F304D">
        <w:t xml:space="preserve">, </w:t>
      </w:r>
      <w:r w:rsidRPr="005B36A4">
        <w:t xml:space="preserve">and now Talbert seems to have provided them with a </w:t>
      </w:r>
      <w:r w:rsidRPr="005B36A4">
        <w:rPr>
          <w:i/>
          <w:iCs/>
        </w:rPr>
        <w:t>formal</w:t>
      </w:r>
      <w:r w:rsidRPr="005B36A4">
        <w:t xml:space="preserve"> justification for doing so.</w:t>
      </w:r>
    </w:p>
    <w:p w14:paraId="41CFBF97" w14:textId="6F7FA721" w:rsidR="0018433B" w:rsidRPr="005B36A4" w:rsidRDefault="0018433B" w:rsidP="0018433B">
      <w:r>
        <w:tab/>
      </w:r>
      <w:r w:rsidRPr="005B36A4">
        <w:t>But a close comparison of the three formulae indicates that Talbert has neglected to call attention to important differences between them. The second formula</w:t>
      </w:r>
      <w:r w:rsidR="006F304D" w:rsidRPr="006F304D">
        <w:t xml:space="preserve">, </w:t>
      </w:r>
      <w:r w:rsidRPr="005B36A4">
        <w:t>27a (“But I say to you that listen”)</w:t>
      </w:r>
      <w:r w:rsidR="006F304D" w:rsidRPr="006F304D">
        <w:t xml:space="preserve">, </w:t>
      </w:r>
      <w:r w:rsidRPr="005B36A4">
        <w:t>differs from the other two in that it is not an editorial comment but is spoken by Jesus. The second formula differs from the first in another respect as well.</w:t>
      </w:r>
      <w:r>
        <w:t xml:space="preserve"> </w:t>
      </w:r>
      <w:r w:rsidRPr="005B36A4">
        <w:t xml:space="preserve">Verse 20a (“And he lifted up </w:t>
      </w:r>
      <w:r w:rsidRPr="005B36A4">
        <w:lastRenderedPageBreak/>
        <w:t>his eyes on his disciples</w:t>
      </w:r>
      <w:r w:rsidR="006F304D" w:rsidRPr="006F304D">
        <w:t xml:space="preserve">, </w:t>
      </w:r>
      <w:r w:rsidRPr="005B36A4">
        <w:t>and said”) introduces all that follows it.</w:t>
      </w:r>
      <w:r w:rsidRPr="005B36A4">
        <w:rPr>
          <w:rStyle w:val="FootnoteReference"/>
        </w:rPr>
        <w:footnoteReference w:id="397"/>
      </w:r>
      <w:r w:rsidRPr="005B36A4">
        <w:t xml:space="preserve"> What Jesus then says is not just the beatitudes</w:t>
      </w:r>
      <w:r w:rsidR="006F304D" w:rsidRPr="006F304D">
        <w:t xml:space="preserve">, </w:t>
      </w:r>
      <w:r w:rsidRPr="005B36A4">
        <w:t>not just the woes</w:t>
      </w:r>
      <w:r w:rsidR="006F304D" w:rsidRPr="006F304D">
        <w:t xml:space="preserve">, </w:t>
      </w:r>
      <w:r w:rsidRPr="005B36A4">
        <w:t>not just the discussion of love and retribution</w:t>
      </w:r>
      <w:r w:rsidR="006F304D" w:rsidRPr="006F304D">
        <w:t xml:space="preserve">, </w:t>
      </w:r>
      <w:r w:rsidRPr="005B36A4">
        <w:t>but everything in the sermon. By contrast</w:t>
      </w:r>
      <w:r w:rsidR="006F304D" w:rsidRPr="006F304D">
        <w:t xml:space="preserve">, </w:t>
      </w:r>
      <w:r w:rsidRPr="005B36A4">
        <w:t>27a is a mere transition</w:t>
      </w:r>
      <w:r w:rsidR="006F304D" w:rsidRPr="006F304D">
        <w:t xml:space="preserve">, </w:t>
      </w:r>
      <w:r w:rsidRPr="005B36A4">
        <w:t>a “hinge” that fades quickly in importance once its function is accomplished. It is needed only in order that Jesus’ words be redirected to those among the disciples who are obedient to Jesus</w:t>
      </w:r>
      <w:r w:rsidR="006F304D" w:rsidRPr="006F304D">
        <w:t xml:space="preserve">, </w:t>
      </w:r>
      <w:r w:rsidRPr="005B36A4">
        <w:t>after the address of the woes has been directed to those who are not: the rich</w:t>
      </w:r>
      <w:r w:rsidR="006F304D" w:rsidRPr="006F304D">
        <w:t xml:space="preserve">, </w:t>
      </w:r>
      <w:r w:rsidRPr="005B36A4">
        <w:t>the full</w:t>
      </w:r>
      <w:r w:rsidR="006F304D" w:rsidRPr="006F304D">
        <w:t xml:space="preserve">, </w:t>
      </w:r>
      <w:r w:rsidRPr="005B36A4">
        <w:t>the laughing</w:t>
      </w:r>
      <w:r w:rsidR="006F304D" w:rsidRPr="006F304D">
        <w:t xml:space="preserve">, </w:t>
      </w:r>
      <w:r w:rsidRPr="005B36A4">
        <w:t>and the praised.</w:t>
      </w:r>
      <w:r w:rsidRPr="005B36A4">
        <w:rPr>
          <w:rStyle w:val="FootnoteReference"/>
        </w:rPr>
        <w:footnoteReference w:id="398"/>
      </w:r>
    </w:p>
    <w:p w14:paraId="59F5E111" w14:textId="6450EF32" w:rsidR="0018433B" w:rsidRPr="005B36A4" w:rsidRDefault="0018433B" w:rsidP="0018433B">
      <w:r>
        <w:tab/>
      </w:r>
      <w:r w:rsidRPr="005B36A4">
        <w:t>What about 39a? Both 20a and 39a are editorial comments by the narrator—in fact</w:t>
      </w:r>
      <w:r w:rsidR="006F304D" w:rsidRPr="006F304D">
        <w:t xml:space="preserve">, </w:t>
      </w:r>
      <w:r w:rsidRPr="005B36A4">
        <w:t>the only editorial comments in the sermon. Plummer notes also</w:t>
      </w:r>
      <w:r w:rsidRPr="005B36A4">
        <w:rPr>
          <w:rStyle w:val="FootnoteReference"/>
        </w:rPr>
        <w:footnoteReference w:id="399"/>
      </w:r>
      <w:r w:rsidRPr="005B36A4">
        <w:t xml:space="preserve"> that </w:t>
      </w:r>
      <w:proofErr w:type="spellStart"/>
      <w:r w:rsidRPr="005B36A4">
        <w:t>λέγω</w:t>
      </w:r>
      <w:proofErr w:type="spellEnd"/>
      <w:r w:rsidRPr="005B36A4">
        <w:t xml:space="preserve"> occurs in both. And surely Luke would not have interrupted Jesus’ speech at 39a except to indicate a major break in the discourse. If a correspondence can be drawn between verses 20a and 39a</w:t>
      </w:r>
      <w:r w:rsidR="006F304D" w:rsidRPr="006F304D">
        <w:t xml:space="preserve">, </w:t>
      </w:r>
      <w:r w:rsidRPr="005B36A4">
        <w:t>so that both will introduce “half” of the sermon</w:t>
      </w:r>
      <w:r w:rsidR="006F304D" w:rsidRPr="006F304D">
        <w:t xml:space="preserve">, </w:t>
      </w:r>
      <w:r w:rsidRPr="005B36A4">
        <w:t>then we will have arrived once again (this time</w:t>
      </w:r>
      <w:r w:rsidR="006F304D" w:rsidRPr="006F304D">
        <w:t xml:space="preserve">, </w:t>
      </w:r>
      <w:r w:rsidRPr="005B36A4">
        <w:t>it seems</w:t>
      </w:r>
      <w:r w:rsidR="006F304D" w:rsidRPr="006F304D">
        <w:t xml:space="preserve">, </w:t>
      </w:r>
      <w:r w:rsidRPr="005B36A4">
        <w:t>with better reason for being there) at Morgenthaler’s division of the sermon into two major sections</w:t>
      </w:r>
      <w:r w:rsidR="006F304D" w:rsidRPr="006F304D">
        <w:t xml:space="preserve">, </w:t>
      </w:r>
      <w:r w:rsidRPr="005B36A4">
        <w:t>20-38 and 39-49.</w:t>
      </w:r>
      <w:r w:rsidRPr="005B36A4">
        <w:rPr>
          <w:rStyle w:val="FootnoteReference"/>
        </w:rPr>
        <w:footnoteReference w:id="400"/>
      </w:r>
      <w:r w:rsidRPr="005B36A4">
        <w:t xml:space="preserve"> But there are</w:t>
      </w:r>
      <w:r w:rsidR="006F304D" w:rsidRPr="006F304D">
        <w:t xml:space="preserve">, </w:t>
      </w:r>
      <w:r w:rsidRPr="005B36A4">
        <w:t>alas</w:t>
      </w:r>
      <w:r w:rsidR="006F304D" w:rsidRPr="006F304D">
        <w:t xml:space="preserve">, </w:t>
      </w:r>
      <w:r w:rsidRPr="005B36A4">
        <w:t>two problems with this use of 20a and 39a as the “correlative conjunctions” of the sermon. First</w:t>
      </w:r>
      <w:r w:rsidR="006F304D" w:rsidRPr="006F304D">
        <w:t xml:space="preserve">, </w:t>
      </w:r>
      <w:r w:rsidRPr="005B36A4">
        <w:t>20a and 39a are just as different in function from each other as each is from 27a. Verse 20a is introductory not just up to 39a</w:t>
      </w:r>
      <w:r w:rsidR="006F304D" w:rsidRPr="006F304D">
        <w:t xml:space="preserve">, </w:t>
      </w:r>
      <w:r w:rsidRPr="005B36A4">
        <w:t>but to the whole of Jesus’ address</w:t>
      </w:r>
      <w:r w:rsidR="006F304D" w:rsidRPr="006F304D">
        <w:t xml:space="preserve">, </w:t>
      </w:r>
      <w:r w:rsidRPr="005B36A4">
        <w:t>whereas 39a introduces only a part of the sermon. Second</w:t>
      </w:r>
      <w:r w:rsidR="006F304D" w:rsidRPr="006F304D">
        <w:t xml:space="preserve">, </w:t>
      </w:r>
      <w:r w:rsidRPr="005B36A4">
        <w:t>it is not likely that 39a introduces all of the material that follows it. After all</w:t>
      </w:r>
      <w:r w:rsidR="006F304D" w:rsidRPr="006F304D">
        <w:t xml:space="preserve">, </w:t>
      </w:r>
      <w:r w:rsidRPr="005B36A4">
        <w:t>the versicle reads</w:t>
      </w:r>
      <w:r w:rsidR="006F304D" w:rsidRPr="006F304D">
        <w:t xml:space="preserve">, </w:t>
      </w:r>
      <w:r w:rsidRPr="005B36A4">
        <w:t>“He also told them a parable,” with παραβ</w:t>
      </w:r>
      <w:proofErr w:type="spellStart"/>
      <w:r w:rsidRPr="005B36A4">
        <w:t>oλή</w:t>
      </w:r>
      <w:proofErr w:type="spellEnd"/>
      <w:r w:rsidRPr="005B36A4">
        <w:t xml:space="preserve"> in the singular. Presumably</w:t>
      </w:r>
      <w:r w:rsidR="006F304D" w:rsidRPr="006F304D">
        <w:t xml:space="preserve">, </w:t>
      </w:r>
      <w:r w:rsidRPr="005B36A4">
        <w:t>then</w:t>
      </w:r>
      <w:r w:rsidR="006F304D" w:rsidRPr="006F304D">
        <w:t xml:space="preserve">, </w:t>
      </w:r>
      <w:r w:rsidRPr="005B36A4">
        <w:t>39a introduces only 39bc</w:t>
      </w:r>
      <w:r w:rsidR="006F304D" w:rsidRPr="006F304D">
        <w:t xml:space="preserve">, </w:t>
      </w:r>
      <w:r w:rsidRPr="005B36A4">
        <w:t>the first of the parables that follows the editorial comment (or perhaps 39b-40</w:t>
      </w:r>
      <w:r w:rsidR="006F304D" w:rsidRPr="006F304D">
        <w:t xml:space="preserve">, </w:t>
      </w:r>
      <w:r w:rsidRPr="005B36A4">
        <w:t>since 40 is closely related).</w:t>
      </w:r>
      <w:r w:rsidRPr="005B36A4">
        <w:rPr>
          <w:rStyle w:val="FootnoteReference"/>
        </w:rPr>
        <w:footnoteReference w:id="401"/>
      </w:r>
    </w:p>
    <w:p w14:paraId="48C82184" w14:textId="2493212A" w:rsidR="0018433B" w:rsidRDefault="0018433B" w:rsidP="0018433B">
      <w:r>
        <w:tab/>
      </w:r>
      <w:r w:rsidRPr="005B36A4">
        <w:t>Talbert</w:t>
      </w:r>
      <w:r w:rsidR="006F304D" w:rsidRPr="006F304D">
        <w:t xml:space="preserve">, </w:t>
      </w:r>
      <w:r w:rsidRPr="005B36A4">
        <w:t>however</w:t>
      </w:r>
      <w:r w:rsidR="006F304D" w:rsidRPr="006F304D">
        <w:t xml:space="preserve">, </w:t>
      </w:r>
      <w:r w:rsidRPr="005B36A4">
        <w:t>has a refutation ready for this objection:</w:t>
      </w:r>
    </w:p>
    <w:p w14:paraId="40BAA4B6" w14:textId="77777777" w:rsidR="0018433B" w:rsidRPr="005B36A4" w:rsidRDefault="0018433B" w:rsidP="0018433B"/>
    <w:p w14:paraId="534DB933" w14:textId="1071FEF1" w:rsidR="0018433B" w:rsidRPr="005B36A4" w:rsidRDefault="0018433B" w:rsidP="0018433B">
      <w:pPr>
        <w:ind w:left="720" w:right="720"/>
      </w:pPr>
      <w:r w:rsidRPr="005B36A4">
        <w:t>Just as in 15:3</w:t>
      </w:r>
      <w:r w:rsidR="006F304D" w:rsidRPr="006F304D">
        <w:t xml:space="preserve">, </w:t>
      </w:r>
      <w:r w:rsidRPr="005B36A4">
        <w:t>where the evangelist says Jesus told a parable (singular) and followed the statement with three parables in the remainder of the chapter [lost sheep</w:t>
      </w:r>
      <w:r w:rsidR="006F304D" w:rsidRPr="006F304D">
        <w:t xml:space="preserve">, </w:t>
      </w:r>
      <w:r w:rsidRPr="005B36A4">
        <w:t>lost coin</w:t>
      </w:r>
      <w:r w:rsidR="006F304D" w:rsidRPr="006F304D">
        <w:t xml:space="preserve">, </w:t>
      </w:r>
      <w:r w:rsidRPr="005B36A4">
        <w:t>prodigal son]</w:t>
      </w:r>
      <w:r w:rsidR="006F304D" w:rsidRPr="006F304D">
        <w:t xml:space="preserve">, </w:t>
      </w:r>
      <w:r w:rsidRPr="005B36A4">
        <w:t>so the singular is followed here by four stories (cf. 5:36-38). That he introduces a series with the singular indicates the unity of the parables which follow</w:t>
      </w:r>
      <w:r w:rsidR="006F304D" w:rsidRPr="006F304D">
        <w:t xml:space="preserve">, </w:t>
      </w:r>
      <w:r w:rsidRPr="005B36A4">
        <w:t>insofar as the evangelist is concerned. In chapter 15 Luke told three stories about the lost</w:t>
      </w:r>
      <w:r w:rsidR="006F304D" w:rsidRPr="006F304D">
        <w:t xml:space="preserve">, </w:t>
      </w:r>
      <w:r w:rsidRPr="005B36A4">
        <w:t>its recovery</w:t>
      </w:r>
      <w:r w:rsidR="006F304D" w:rsidRPr="006F304D">
        <w:t xml:space="preserve">, </w:t>
      </w:r>
      <w:r w:rsidRPr="005B36A4">
        <w:t>and the resulting joy. Here the evangelist</w:t>
      </w:r>
      <w:r w:rsidR="006F304D" w:rsidRPr="006F304D">
        <w:t xml:space="preserve">, </w:t>
      </w:r>
      <w:r w:rsidRPr="005B36A4">
        <w:t>in verses 39-45</w:t>
      </w:r>
      <w:r w:rsidR="006F304D" w:rsidRPr="006F304D">
        <w:t xml:space="preserve">, </w:t>
      </w:r>
      <w:r w:rsidRPr="005B36A4">
        <w:t>is especially concerned with the matter of Christian influence.</w:t>
      </w:r>
      <w:r w:rsidRPr="005B36A4">
        <w:rPr>
          <w:rStyle w:val="FootnoteReference"/>
        </w:rPr>
        <w:footnoteReference w:id="402"/>
      </w:r>
    </w:p>
    <w:p w14:paraId="67C6C69F" w14:textId="77777777" w:rsidR="0018433B" w:rsidRDefault="0018433B" w:rsidP="0018433B"/>
    <w:p w14:paraId="4FBEAD95" w14:textId="35761174" w:rsidR="0018433B" w:rsidRPr="005B36A4" w:rsidRDefault="0018433B" w:rsidP="0018433B">
      <w:r w:rsidRPr="005B36A4">
        <w:t>There are several problems with this rebuttal. For one thing</w:t>
      </w:r>
      <w:r w:rsidR="006F304D" w:rsidRPr="006F304D">
        <w:t xml:space="preserve">, </w:t>
      </w:r>
      <w:r w:rsidRPr="005B36A4">
        <w:t>Talbert uses “parable” in its modern sense</w:t>
      </w:r>
      <w:r w:rsidR="006F304D" w:rsidRPr="006F304D">
        <w:t xml:space="preserve">, </w:t>
      </w:r>
      <w:r w:rsidRPr="005B36A4">
        <w:t xml:space="preserve">for he refers to the “four </w:t>
      </w:r>
      <w:r w:rsidRPr="005B36A4">
        <w:rPr>
          <w:i/>
          <w:iCs/>
        </w:rPr>
        <w:t>stories</w:t>
      </w:r>
      <w:r w:rsidRPr="005B36A4">
        <w:t>” of 6:39-49.</w:t>
      </w:r>
      <w:r w:rsidRPr="005B36A4">
        <w:rPr>
          <w:rStyle w:val="FootnoteReference"/>
        </w:rPr>
        <w:footnoteReference w:id="403"/>
      </w:r>
      <w:r w:rsidRPr="005B36A4">
        <w:t xml:space="preserve"> Yet only 47-49 (the two houses) has any narrative content (at the edge of possibility one might try to ease in 41-42</w:t>
      </w:r>
      <w:r w:rsidR="006F304D" w:rsidRPr="006F304D">
        <w:t xml:space="preserve">, </w:t>
      </w:r>
      <w:r w:rsidRPr="005B36A4">
        <w:t>speck and log</w:t>
      </w:r>
      <w:r w:rsidR="006F304D" w:rsidRPr="006F304D">
        <w:t xml:space="preserve">, </w:t>
      </w:r>
      <w:r w:rsidRPr="005B36A4">
        <w:t>as well). The other “parables” (blind leading blind</w:t>
      </w:r>
      <w:r w:rsidR="006F304D" w:rsidRPr="006F304D">
        <w:t xml:space="preserve">, </w:t>
      </w:r>
      <w:r w:rsidRPr="005B36A4">
        <w:t>master and disciple</w:t>
      </w:r>
      <w:r w:rsidR="006F304D" w:rsidRPr="006F304D">
        <w:t xml:space="preserve">, </w:t>
      </w:r>
      <w:r w:rsidRPr="005B36A4">
        <w:t>good and bad trees</w:t>
      </w:r>
      <w:r w:rsidR="006F304D" w:rsidRPr="006F304D">
        <w:t xml:space="preserve">, </w:t>
      </w:r>
      <w:r w:rsidRPr="005B36A4">
        <w:t>heart as treasure) are figures</w:t>
      </w:r>
      <w:r w:rsidR="006F304D" w:rsidRPr="006F304D">
        <w:t xml:space="preserve">, </w:t>
      </w:r>
      <w:r w:rsidRPr="005B36A4">
        <w:t>metaphors</w:t>
      </w:r>
      <w:r w:rsidR="006F304D" w:rsidRPr="006F304D">
        <w:t xml:space="preserve">, </w:t>
      </w:r>
      <w:r w:rsidRPr="005B36A4">
        <w:t>similitudes.</w:t>
      </w:r>
      <w:r w:rsidRPr="005B36A4">
        <w:rPr>
          <w:rStyle w:val="FootnoteReference"/>
        </w:rPr>
        <w:footnoteReference w:id="404"/>
      </w:r>
      <w:r w:rsidRPr="005B36A4">
        <w:t xml:space="preserve"> Secondly</w:t>
      </w:r>
      <w:r w:rsidR="006F304D" w:rsidRPr="006F304D">
        <w:t xml:space="preserve">, </w:t>
      </w:r>
      <w:r w:rsidRPr="005B36A4">
        <w:t xml:space="preserve">the section is not just “stories”: 39-49 contain </w:t>
      </w:r>
      <w:r w:rsidRPr="005B36A4">
        <w:lastRenderedPageBreak/>
        <w:t>non-figurative logia</w:t>
      </w:r>
      <w:r w:rsidR="006F304D" w:rsidRPr="006F304D">
        <w:t xml:space="preserve">, </w:t>
      </w:r>
      <w:r w:rsidRPr="005B36A4">
        <w:t>40 and 46,</w:t>
      </w:r>
      <w:r w:rsidRPr="005B36A4">
        <w:rPr>
          <w:rStyle w:val="FootnoteReference"/>
        </w:rPr>
        <w:footnoteReference w:id="405"/>
      </w:r>
      <w:r w:rsidRPr="005B36A4">
        <w:t xml:space="preserve"> and not just parables.</w:t>
      </w:r>
      <w:r w:rsidRPr="005B36A4">
        <w:rPr>
          <w:rStyle w:val="FootnoteReference"/>
        </w:rPr>
        <w:footnoteReference w:id="406"/>
      </w:r>
      <w:r w:rsidRPr="005B36A4">
        <w:t xml:space="preserve"> Thirdly</w:t>
      </w:r>
      <w:r w:rsidR="006F304D" w:rsidRPr="006F304D">
        <w:t xml:space="preserve">, </w:t>
      </w:r>
      <w:r w:rsidRPr="005B36A4">
        <w:t>Talbert asserts that Luke uses the singular</w:t>
      </w:r>
      <w:r w:rsidR="006F304D" w:rsidRPr="006F304D">
        <w:t xml:space="preserve">, </w:t>
      </w:r>
      <w:r w:rsidRPr="005B36A4">
        <w:t>παραβ</w:t>
      </w:r>
      <w:proofErr w:type="spellStart"/>
      <w:r w:rsidRPr="005B36A4">
        <w:t>oλή</w:t>
      </w:r>
      <w:proofErr w:type="spellEnd"/>
      <w:r w:rsidR="006F304D" w:rsidRPr="006F304D">
        <w:t xml:space="preserve">, </w:t>
      </w:r>
      <w:r w:rsidRPr="005B36A4">
        <w:t>to betoken the “unity” of the four parables; but apparently not even Talbert can find the unity in these parables</w:t>
      </w:r>
      <w:r w:rsidR="006F304D" w:rsidRPr="006F304D">
        <w:t xml:space="preserve">, </w:t>
      </w:r>
      <w:r w:rsidRPr="005B36A4">
        <w:t>for according to him</w:t>
      </w:r>
      <w:r w:rsidR="006F304D" w:rsidRPr="006F304D">
        <w:t xml:space="preserve">, </w:t>
      </w:r>
      <w:r w:rsidRPr="005B36A4">
        <w:t>the unity with which the evangelist is concerned extends only through “vss. 39-45.”</w:t>
      </w:r>
      <w:r w:rsidRPr="005B36A4">
        <w:rPr>
          <w:rStyle w:val="FootnoteReference"/>
        </w:rPr>
        <w:footnoteReference w:id="407"/>
      </w:r>
    </w:p>
    <w:p w14:paraId="61161594" w14:textId="77777777" w:rsidR="0018433B" w:rsidRPr="005B36A4" w:rsidRDefault="0018433B" w:rsidP="0018433B">
      <w:r>
        <w:tab/>
      </w:r>
      <w:r w:rsidRPr="005B36A4">
        <w:t>The most significant problems in Talbert’s argument are those concerning his analogies between 6:39a on the one hand and 5:36a and 15:3 on the other. Let us consider these analogies.</w:t>
      </w:r>
    </w:p>
    <w:p w14:paraId="2746B08D" w14:textId="6E6E5109" w:rsidR="0018433B" w:rsidRDefault="0018433B" w:rsidP="0018433B">
      <w:r>
        <w:tab/>
      </w:r>
      <w:r w:rsidRPr="005B36A4">
        <w:t>Talbert argues that</w:t>
      </w:r>
      <w:r w:rsidR="006F304D" w:rsidRPr="006F304D">
        <w:t xml:space="preserve">, </w:t>
      </w:r>
      <w:r w:rsidRPr="005B36A4">
        <w:t>just as Luke uses the singular “parable” in 5:36a and follows it by a series of parables</w:t>
      </w:r>
      <w:r w:rsidR="006F304D" w:rsidRPr="006F304D">
        <w:t xml:space="preserve">, </w:t>
      </w:r>
      <w:r w:rsidRPr="005B36A4">
        <w:t>so he uses the singular in 6:39a and follows it by a series. Verses 5:36a and following read:</w:t>
      </w:r>
    </w:p>
    <w:p w14:paraId="5DEFC645" w14:textId="77777777" w:rsidR="0018433B" w:rsidRPr="005B36A4" w:rsidRDefault="0018433B" w:rsidP="0018433B"/>
    <w:p w14:paraId="529635FC" w14:textId="7935C4A1" w:rsidR="0018433B" w:rsidRPr="005B36A4" w:rsidRDefault="0018433B" w:rsidP="0018433B">
      <w:pPr>
        <w:ind w:left="720" w:right="720"/>
      </w:pPr>
      <w:r w:rsidRPr="005B36A4">
        <w:rPr>
          <w:vertAlign w:val="superscript"/>
        </w:rPr>
        <w:t>36</w:t>
      </w:r>
      <w:r w:rsidRPr="005B36A4">
        <w:t xml:space="preserve"> He also told them a parable: “No one tears a piece from a new garment and sews it on an old garment; otherwise the new will be torn</w:t>
      </w:r>
      <w:r w:rsidR="006F304D" w:rsidRPr="006F304D">
        <w:t xml:space="preserve">, </w:t>
      </w:r>
      <w:r w:rsidRPr="005B36A4">
        <w:t xml:space="preserve">and the piece from the new will not match the old. </w:t>
      </w:r>
      <w:r w:rsidRPr="005B36A4">
        <w:rPr>
          <w:vertAlign w:val="superscript"/>
        </w:rPr>
        <w:t>37</w:t>
      </w:r>
      <w:r w:rsidRPr="005B36A4">
        <w:t xml:space="preserve"> And no one puts new wine into old wineskins; otherwise the new wine will burst the skins and will be spilled</w:t>
      </w:r>
      <w:r w:rsidR="006F304D" w:rsidRPr="006F304D">
        <w:t xml:space="preserve">, </w:t>
      </w:r>
      <w:r w:rsidRPr="005B36A4">
        <w:t xml:space="preserve">and the skins will be destroyed. </w:t>
      </w:r>
      <w:r w:rsidRPr="005B36A4">
        <w:rPr>
          <w:vertAlign w:val="superscript"/>
        </w:rPr>
        <w:t>38</w:t>
      </w:r>
      <w:r w:rsidRPr="005B36A4">
        <w:t xml:space="preserve"> But new wine must be put into fresh wineskins. </w:t>
      </w:r>
      <w:r w:rsidRPr="005B36A4">
        <w:rPr>
          <w:vertAlign w:val="superscript"/>
        </w:rPr>
        <w:t>39</w:t>
      </w:r>
      <w:r w:rsidRPr="005B36A4">
        <w:t xml:space="preserve"> And no one after drinking old wine desires new wine</w:t>
      </w:r>
      <w:r w:rsidR="006F304D" w:rsidRPr="006F304D">
        <w:t xml:space="preserve">, </w:t>
      </w:r>
      <w:r w:rsidRPr="005B36A4">
        <w:t>but says</w:t>
      </w:r>
      <w:r w:rsidR="006F304D" w:rsidRPr="006F304D">
        <w:t xml:space="preserve">, </w:t>
      </w:r>
      <w:r w:rsidRPr="005B36A4">
        <w:t>‘The old is good.’”</w:t>
      </w:r>
    </w:p>
    <w:p w14:paraId="67A1D41E" w14:textId="77777777" w:rsidR="0018433B" w:rsidRDefault="0018433B" w:rsidP="0018433B"/>
    <w:p w14:paraId="46537F5B" w14:textId="111080FF" w:rsidR="0018433B" w:rsidRPr="005B36A4" w:rsidRDefault="0018433B" w:rsidP="0018433B">
      <w:r w:rsidRPr="005B36A4">
        <w:t>As in 6:39a</w:t>
      </w:r>
      <w:r w:rsidR="006F304D" w:rsidRPr="006F304D">
        <w:t xml:space="preserve">, </w:t>
      </w:r>
      <w:r w:rsidRPr="005B36A4">
        <w:t>Jesus tells a parable (</w:t>
      </w:r>
      <w:proofErr w:type="spellStart"/>
      <w:r w:rsidRPr="005B36A4">
        <w:t>λέγειv</w:t>
      </w:r>
      <w:proofErr w:type="spellEnd"/>
      <w:r w:rsidRPr="005B36A4">
        <w:t xml:space="preserve"> </w:t>
      </w:r>
      <w:r>
        <w:t>παραβ</w:t>
      </w:r>
      <w:proofErr w:type="spellStart"/>
      <w:r>
        <w:t>oλήν</w:t>
      </w:r>
      <w:proofErr w:type="spellEnd"/>
      <w:r w:rsidRPr="005B36A4">
        <w:t>)</w:t>
      </w:r>
      <w:r w:rsidR="006F304D" w:rsidRPr="006F304D">
        <w:t xml:space="preserve">, </w:t>
      </w:r>
      <w:r w:rsidRPr="005B36A4">
        <w:t>and the sentences which follow contain a series of parables (</w:t>
      </w:r>
      <w:r>
        <w:t>5:</w:t>
      </w:r>
      <w:r w:rsidRPr="005B36A4">
        <w:t>36bcd</w:t>
      </w:r>
      <w:r w:rsidR="006F304D" w:rsidRPr="006F304D">
        <w:t xml:space="preserve">, </w:t>
      </w:r>
      <w:r w:rsidRPr="005B36A4">
        <w:t>37-38</w:t>
      </w:r>
      <w:r w:rsidR="006F304D" w:rsidRPr="006F304D">
        <w:t xml:space="preserve">, </w:t>
      </w:r>
      <w:r w:rsidRPr="005B36A4">
        <w:t>and 39).</w:t>
      </w:r>
      <w:r w:rsidRPr="005B36A4">
        <w:rPr>
          <w:rStyle w:val="FootnoteReference"/>
        </w:rPr>
        <w:footnoteReference w:id="408"/>
      </w:r>
      <w:r w:rsidRPr="005B36A4">
        <w:t xml:space="preserve"> But how exact is the analogy? The two similitudes </w:t>
      </w:r>
      <w:r w:rsidRPr="005B36A4">
        <w:lastRenderedPageBreak/>
        <w:t>(36bcd</w:t>
      </w:r>
      <w:r w:rsidR="006F304D" w:rsidRPr="006F304D">
        <w:t xml:space="preserve">, </w:t>
      </w:r>
      <w:r w:rsidRPr="005B36A4">
        <w:t>37)</w:t>
      </w:r>
      <w:r w:rsidR="006F304D" w:rsidRPr="006F304D">
        <w:t xml:space="preserve">, </w:t>
      </w:r>
      <w:r w:rsidRPr="005B36A4">
        <w:t>in their probably original form</w:t>
      </w:r>
      <w:r w:rsidR="006F304D" w:rsidRPr="006F304D">
        <w:t xml:space="preserve">, </w:t>
      </w:r>
      <w:r w:rsidRPr="005B36A4">
        <w:t>are so closely matched a pair that it is hard to believe they ever existed separately: in each the point is similar</w:t>
      </w:r>
      <w:r w:rsidR="006F304D" w:rsidRPr="006F304D">
        <w:t xml:space="preserve">, </w:t>
      </w:r>
      <w:r w:rsidRPr="005B36A4">
        <w:t>in each the imagery (mending garments</w:t>
      </w:r>
      <w:r w:rsidR="006F304D" w:rsidRPr="006F304D">
        <w:t xml:space="preserve">, </w:t>
      </w:r>
      <w:r w:rsidRPr="005B36A4">
        <w:t>preparing wine) is from the same realm of life (domestic duties)</w:t>
      </w:r>
      <w:r w:rsidR="006F304D" w:rsidRPr="006F304D">
        <w:t xml:space="preserve">, </w:t>
      </w:r>
      <w:r w:rsidRPr="005B36A4">
        <w:t xml:space="preserve">and in each the form is identical: “No one </w:t>
      </w:r>
      <w:r w:rsidRPr="00E149A1">
        <w:t>. . .</w:t>
      </w:r>
      <w:r w:rsidRPr="005B36A4">
        <w:t xml:space="preserve"> new </w:t>
      </w:r>
      <w:r w:rsidRPr="00E149A1">
        <w:t>. . .</w:t>
      </w:r>
      <w:r w:rsidRPr="005B36A4">
        <w:t xml:space="preserve"> old </w:t>
      </w:r>
      <w:r w:rsidRPr="00E149A1">
        <w:t>. . .</w:t>
      </w:r>
      <w:r w:rsidRPr="005B36A4">
        <w:t xml:space="preserve">; if he does </w:t>
      </w:r>
      <w:r w:rsidRPr="00E149A1">
        <w:t>. . .</w:t>
      </w:r>
      <w:r w:rsidRPr="005B36A4">
        <w:t>” Thus</w:t>
      </w:r>
      <w:r w:rsidR="006F304D" w:rsidRPr="006F304D">
        <w:t xml:space="preserve">, </w:t>
      </w:r>
      <w:r w:rsidRPr="005B36A4">
        <w:t>36bcd and 37 are more easily thought of as a single unit than are the sayings</w:t>
      </w:r>
      <w:r>
        <w:t xml:space="preserve"> </w:t>
      </w:r>
      <w:r w:rsidRPr="005B36A4">
        <w:t>that follow 6:39a (blind leading blind</w:t>
      </w:r>
      <w:r w:rsidR="006F304D" w:rsidRPr="006F304D">
        <w:t xml:space="preserve">, </w:t>
      </w:r>
      <w:r w:rsidRPr="005B36A4">
        <w:t>disciple and teacher). In 5:36a</w:t>
      </w:r>
      <w:r w:rsidR="006F304D" w:rsidRPr="006F304D">
        <w:t xml:space="preserve">, </w:t>
      </w:r>
      <w:r w:rsidRPr="005B36A4">
        <w:t>therefore</w:t>
      </w:r>
      <w:r w:rsidR="006F304D" w:rsidRPr="006F304D">
        <w:t xml:space="preserve">, </w:t>
      </w:r>
      <w:r w:rsidRPr="005B36A4">
        <w:t>Luke may have used παραβ</w:t>
      </w:r>
      <w:proofErr w:type="spellStart"/>
      <w:r w:rsidRPr="005B36A4">
        <w:t>oλή</w:t>
      </w:r>
      <w:proofErr w:type="spellEnd"/>
      <w:r w:rsidRPr="005B36A4">
        <w:t xml:space="preserve"> in the singular because he thought of 36b-37 (with its expansions</w:t>
      </w:r>
      <w:r w:rsidR="006F304D" w:rsidRPr="006F304D">
        <w:t xml:space="preserve">, </w:t>
      </w:r>
      <w:r w:rsidRPr="005B36A4">
        <w:t>38-39) as one unit. Verse 5:36a</w:t>
      </w:r>
      <w:r w:rsidR="006F304D" w:rsidRPr="006F304D">
        <w:t xml:space="preserve">, </w:t>
      </w:r>
      <w:r w:rsidRPr="005B36A4">
        <w:t>then</w:t>
      </w:r>
      <w:r w:rsidR="006F304D" w:rsidRPr="006F304D">
        <w:t xml:space="preserve">, </w:t>
      </w:r>
      <w:r w:rsidRPr="005B36A4">
        <w:t>is not really analogous with 6:39a and therefore does not justify reading 6:39a as referring to all of the utterances in 6:39-49.</w:t>
      </w:r>
      <w:r w:rsidRPr="005B36A4">
        <w:rPr>
          <w:rStyle w:val="FootnoteReference"/>
        </w:rPr>
        <w:footnoteReference w:id="409"/>
      </w:r>
    </w:p>
    <w:p w14:paraId="0C499496" w14:textId="2FE0FD8E" w:rsidR="0018433B" w:rsidRDefault="0018433B" w:rsidP="0018433B">
      <w:r>
        <w:tab/>
      </w:r>
      <w:r w:rsidRPr="005B36A4">
        <w:t xml:space="preserve">Talbert also makes an analogy between 6:39a and 15:3. It is true that in 15:3 a phrase similar to </w:t>
      </w:r>
      <w:r>
        <w:t>6:</w:t>
      </w:r>
      <w:r w:rsidRPr="005B36A4">
        <w:t>39a occurs</w:t>
      </w:r>
      <w:r w:rsidR="006F304D" w:rsidRPr="006F304D">
        <w:t xml:space="preserve">, </w:t>
      </w:r>
      <w:r w:rsidRPr="005B36A4">
        <w:t xml:space="preserve">but that phrase is not </w:t>
      </w:r>
      <w:r>
        <w:t>simply a repeat of 39a (</w:t>
      </w:r>
      <w:r w:rsidRPr="005B36A4">
        <w:t>“He also told them a parable</w:t>
      </w:r>
      <w:r>
        <w:t>,</w:t>
      </w:r>
      <w:r w:rsidRPr="005B36A4">
        <w:t>”</w:t>
      </w:r>
      <w:r>
        <w:t xml:space="preserve"> </w:t>
      </w:r>
      <w:proofErr w:type="spellStart"/>
      <w:r w:rsidRPr="00490072">
        <w:t>Εἶ</w:t>
      </w:r>
      <w:proofErr w:type="spellEnd"/>
      <w:r w:rsidRPr="00490072">
        <w:t xml:space="preserve">πεν </w:t>
      </w:r>
      <w:proofErr w:type="spellStart"/>
      <w:r w:rsidRPr="00490072">
        <w:t>δὲ</w:t>
      </w:r>
      <w:proofErr w:type="spellEnd"/>
      <w:r w:rsidRPr="00490072">
        <w:t xml:space="preserve"> καὶ παραβ</w:t>
      </w:r>
      <w:proofErr w:type="spellStart"/>
      <w:r w:rsidRPr="00490072">
        <w:t>ολὴν</w:t>
      </w:r>
      <w:proofErr w:type="spellEnd"/>
      <w:r w:rsidRPr="00490072">
        <w:t xml:space="preserve"> α</w:t>
      </w:r>
      <w:proofErr w:type="spellStart"/>
      <w:r w:rsidRPr="00490072">
        <w:t>ὐτοῖς</w:t>
      </w:r>
      <w:proofErr w:type="spellEnd"/>
      <w:r>
        <w:t>)</w:t>
      </w:r>
      <w:r w:rsidRPr="005B36A4">
        <w:t xml:space="preserve"> but “</w:t>
      </w:r>
      <w:r w:rsidRPr="005B36A4">
        <w:rPr>
          <w:i/>
          <w:iCs/>
        </w:rPr>
        <w:t>So</w:t>
      </w:r>
      <w:r w:rsidRPr="005B36A4">
        <w:t xml:space="preserve"> he told</w:t>
      </w:r>
      <w:r>
        <w:t xml:space="preserve"> </w:t>
      </w:r>
      <w:r w:rsidRPr="005B36A4">
        <w:t xml:space="preserve">them </w:t>
      </w:r>
      <w:r w:rsidRPr="005B36A4">
        <w:rPr>
          <w:i/>
          <w:iCs/>
        </w:rPr>
        <w:t>this</w:t>
      </w:r>
      <w:r w:rsidRPr="005B36A4">
        <w:t xml:space="preserve"> parable” (</w:t>
      </w:r>
      <w:proofErr w:type="spellStart"/>
      <w:r w:rsidRPr="00490072">
        <w:t>Εἶ</w:t>
      </w:r>
      <w:proofErr w:type="spellEnd"/>
      <w:r w:rsidRPr="00490072">
        <w:t xml:space="preserve">πεν </w:t>
      </w:r>
      <w:proofErr w:type="spellStart"/>
      <w:r w:rsidRPr="00490072">
        <w:rPr>
          <w:i/>
        </w:rPr>
        <w:t>δὲ</w:t>
      </w:r>
      <w:proofErr w:type="spellEnd"/>
      <w:r w:rsidRPr="00490072">
        <w:t xml:space="preserve"> π</w:t>
      </w:r>
      <w:proofErr w:type="spellStart"/>
      <w:r w:rsidRPr="00490072">
        <w:t>ρὸς</w:t>
      </w:r>
      <w:proofErr w:type="spellEnd"/>
      <w:r w:rsidRPr="00490072">
        <w:t xml:space="preserve"> α</w:t>
      </w:r>
      <w:proofErr w:type="spellStart"/>
      <w:r w:rsidRPr="00490072">
        <w:t>ὐτοὺς</w:t>
      </w:r>
      <w:proofErr w:type="spellEnd"/>
      <w:r w:rsidRPr="00490072">
        <w:t xml:space="preserve"> </w:t>
      </w:r>
      <w:proofErr w:type="spellStart"/>
      <w:r w:rsidRPr="00490072">
        <w:t>τὴν</w:t>
      </w:r>
      <w:proofErr w:type="spellEnd"/>
      <w:r w:rsidRPr="00490072">
        <w:t xml:space="preserve"> παραβ</w:t>
      </w:r>
      <w:proofErr w:type="spellStart"/>
      <w:r w:rsidRPr="00490072">
        <w:t>ολὴν</w:t>
      </w:r>
      <w:proofErr w:type="spellEnd"/>
      <w:r w:rsidRPr="00490072">
        <w:t xml:space="preserve"> </w:t>
      </w:r>
      <w:r w:rsidRPr="00490072">
        <w:rPr>
          <w:i/>
        </w:rPr>
        <w:t>τα</w:t>
      </w:r>
      <w:proofErr w:type="spellStart"/>
      <w:r w:rsidRPr="00490072">
        <w:rPr>
          <w:i/>
        </w:rPr>
        <w:t>ύτην</w:t>
      </w:r>
      <w:proofErr w:type="spellEnd"/>
      <w:r w:rsidRPr="005B36A4">
        <w:t>). Because 15:3 is not the beginning of its pericope</w:t>
      </w:r>
      <w:r w:rsidR="006F304D" w:rsidRPr="006F304D">
        <w:t xml:space="preserve">, </w:t>
      </w:r>
      <w:r w:rsidRPr="005B36A4">
        <w:t>as is 6:39a</w:t>
      </w:r>
      <w:r w:rsidR="006F304D" w:rsidRPr="006F304D">
        <w:t xml:space="preserve">, </w:t>
      </w:r>
      <w:r w:rsidRPr="005B36A4">
        <w:t>but occurs in the midst of it</w:t>
      </w:r>
      <w:r w:rsidR="006F304D" w:rsidRPr="006F304D">
        <w:t xml:space="preserve">, </w:t>
      </w:r>
      <w:r w:rsidRPr="005B36A4">
        <w:t>it begins with “So” (</w:t>
      </w:r>
      <w:proofErr w:type="spellStart"/>
      <w:r w:rsidRPr="005B36A4">
        <w:t>δέ</w:t>
      </w:r>
      <w:proofErr w:type="spellEnd"/>
      <w:r w:rsidRPr="005B36A4">
        <w:t>): the parable of the lost sheep is in Luke a subordinate part of a controversy story.</w:t>
      </w:r>
    </w:p>
    <w:p w14:paraId="7DD5FFC0" w14:textId="77777777" w:rsidR="0018433B" w:rsidRPr="005B36A4" w:rsidRDefault="0018433B" w:rsidP="0018433B"/>
    <w:p w14:paraId="15C170F9" w14:textId="5C27CEE1" w:rsidR="0018433B" w:rsidRPr="005B36A4" w:rsidRDefault="0018433B" w:rsidP="0018433B">
      <w:pPr>
        <w:ind w:left="720" w:right="720"/>
      </w:pPr>
      <w:r w:rsidRPr="005B36A4">
        <w:rPr>
          <w:vertAlign w:val="superscript"/>
        </w:rPr>
        <w:t>1</w:t>
      </w:r>
      <w:r w:rsidRPr="005B36A4">
        <w:t xml:space="preserve"> Now all the tax collectors and sinners were coming near to listen to him. </w:t>
      </w:r>
      <w:r w:rsidRPr="005B36A4">
        <w:rPr>
          <w:vertAlign w:val="superscript"/>
        </w:rPr>
        <w:t>2</w:t>
      </w:r>
      <w:r w:rsidRPr="005B36A4">
        <w:t xml:space="preserve"> And the Pharisees and the scribes were grumbling and saying</w:t>
      </w:r>
      <w:r w:rsidR="006F304D" w:rsidRPr="006F304D">
        <w:t xml:space="preserve">, </w:t>
      </w:r>
      <w:r w:rsidRPr="005B36A4">
        <w:t xml:space="preserve">“This fellow welcomes sinners and eats with them.” </w:t>
      </w:r>
      <w:r w:rsidRPr="005B36A4">
        <w:rPr>
          <w:vertAlign w:val="superscript"/>
        </w:rPr>
        <w:t>3</w:t>
      </w:r>
      <w:r w:rsidRPr="005B36A4">
        <w:t xml:space="preserve"> So he told them this parable: </w:t>
      </w:r>
      <w:r w:rsidRPr="005B36A4">
        <w:rPr>
          <w:vertAlign w:val="superscript"/>
        </w:rPr>
        <w:t>4</w:t>
      </w:r>
      <w:r w:rsidRPr="005B36A4">
        <w:t xml:space="preserve"> </w:t>
      </w:r>
      <w:r>
        <w:t>“</w:t>
      </w:r>
      <w:r w:rsidRPr="005B36A4">
        <w:t>Which one of you</w:t>
      </w:r>
      <w:r w:rsidR="006F304D" w:rsidRPr="006F304D">
        <w:t xml:space="preserve">, </w:t>
      </w:r>
      <w:r w:rsidRPr="005B36A4">
        <w:t xml:space="preserve">having a hundred sheep </w:t>
      </w:r>
      <w:r w:rsidRPr="00E149A1">
        <w:t>. . .</w:t>
      </w:r>
      <w:r w:rsidRPr="005B36A4">
        <w:t>”</w:t>
      </w:r>
    </w:p>
    <w:p w14:paraId="3917BCA0" w14:textId="77777777" w:rsidR="0018433B" w:rsidRDefault="0018433B" w:rsidP="0018433B"/>
    <w:p w14:paraId="5EAC1A7E" w14:textId="2C8840D5" w:rsidR="0018433B" w:rsidRPr="005B36A4" w:rsidRDefault="0018433B" w:rsidP="0018433B">
      <w:r w:rsidRPr="005B36A4">
        <w:t>Differing contexts</w:t>
      </w:r>
      <w:r w:rsidR="006F304D" w:rsidRPr="006F304D">
        <w:t xml:space="preserve">, </w:t>
      </w:r>
      <w:r w:rsidRPr="005B36A4">
        <w:t>then</w:t>
      </w:r>
      <w:r w:rsidR="006F304D" w:rsidRPr="006F304D">
        <w:t xml:space="preserve">, </w:t>
      </w:r>
      <w:r w:rsidRPr="005B36A4">
        <w:t>diminish the analogous nature of the two formulae</w:t>
      </w:r>
      <w:r w:rsidR="006F304D" w:rsidRPr="006F304D">
        <w:t xml:space="preserve">, </w:t>
      </w:r>
      <w:r w:rsidRPr="005B36A4">
        <w:t>6:39a and 15:3. More</w:t>
      </w:r>
      <w:r w:rsidRPr="005B36A4">
        <w:softHyphen/>
        <w:t>over</w:t>
      </w:r>
      <w:r w:rsidR="006F304D" w:rsidRPr="006F304D">
        <w:t xml:space="preserve">, </w:t>
      </w:r>
      <w:r w:rsidRPr="005B36A4">
        <w:t>that Luke speaks of “this” parable (τα</w:t>
      </w:r>
      <w:proofErr w:type="spellStart"/>
      <w:r w:rsidRPr="005B36A4">
        <w:t>ύτηv</w:t>
      </w:r>
      <w:proofErr w:type="spellEnd"/>
      <w:r w:rsidRPr="005B36A4">
        <w:t>) makes it unlikely that he intended the phrase as an introduction to the series of parables that follow in chapter 15 (lost sheep</w:t>
      </w:r>
      <w:r w:rsidR="006F304D" w:rsidRPr="006F304D">
        <w:t xml:space="preserve">, </w:t>
      </w:r>
      <w:r w:rsidRPr="005B36A4">
        <w:t>lost coin</w:t>
      </w:r>
      <w:r w:rsidR="006F304D" w:rsidRPr="006F304D">
        <w:t xml:space="preserve">, </w:t>
      </w:r>
      <w:r w:rsidRPr="005B36A4">
        <w:t>prodigal son). Finally</w:t>
      </w:r>
      <w:r w:rsidR="006F304D" w:rsidRPr="006F304D">
        <w:t xml:space="preserve">, </w:t>
      </w:r>
      <w:r w:rsidRPr="005B36A4">
        <w:t>15:3 and its parable (lost sheep) occur within a whole series of parables: tower builder (14:28-30)</w:t>
      </w:r>
      <w:r w:rsidR="006F304D" w:rsidRPr="006F304D">
        <w:t xml:space="preserve">, </w:t>
      </w:r>
      <w:r w:rsidRPr="005B36A4">
        <w:t>rash king (14:31-32</w:t>
      </w:r>
      <w:r w:rsidR="006F304D" w:rsidRPr="006F304D">
        <w:t xml:space="preserve">, </w:t>
      </w:r>
      <w:r w:rsidRPr="005B36A4">
        <w:t>with appended logia in 33-35)</w:t>
      </w:r>
      <w:r w:rsidR="006F304D" w:rsidRPr="006F304D">
        <w:t xml:space="preserve">, </w:t>
      </w:r>
      <w:r w:rsidRPr="005B36A4">
        <w:t>lost sheep (15:3-7)</w:t>
      </w:r>
      <w:r w:rsidR="006F304D" w:rsidRPr="006F304D">
        <w:t xml:space="preserve">, </w:t>
      </w:r>
      <w:r w:rsidRPr="005B36A4">
        <w:t>lost coin (15:8-10)</w:t>
      </w:r>
      <w:r w:rsidR="006F304D" w:rsidRPr="006F304D">
        <w:t xml:space="preserve">, </w:t>
      </w:r>
      <w:r w:rsidRPr="005B36A4">
        <w:t>prodigal son (15:11-32)</w:t>
      </w:r>
      <w:r w:rsidR="006F304D" w:rsidRPr="006F304D">
        <w:t xml:space="preserve">, </w:t>
      </w:r>
      <w:r w:rsidRPr="005B36A4">
        <w:t>dishonest steward (16:1-9</w:t>
      </w:r>
      <w:r w:rsidR="006F304D" w:rsidRPr="006F304D">
        <w:t xml:space="preserve">, </w:t>
      </w:r>
      <w:r w:rsidRPr="005B36A4">
        <w:t>with appended logia in 10-18)</w:t>
      </w:r>
      <w:r w:rsidR="006F304D" w:rsidRPr="006F304D">
        <w:t xml:space="preserve">, </w:t>
      </w:r>
      <w:r w:rsidRPr="005B36A4">
        <w:t>rich man and Lazarus (16:19-31).</w:t>
      </w:r>
      <w:r w:rsidRPr="005B36A4">
        <w:rPr>
          <w:rStyle w:val="FootnoteReference"/>
        </w:rPr>
        <w:footnoteReference w:id="410"/>
      </w:r>
      <w:r w:rsidRPr="005B36A4">
        <w:t xml:space="preserve"> In conclusion: 15:3 does not begin its pericope but initiates only a subordinate part of it; it does not introduce a series of parables but only one; and it does not occur at the beginning of a string of parables but in the midst of a string. To argue that in 6:39a “parable” means “parables” because in 15:3 “parable” means “parables” is very weak.</w:t>
      </w:r>
    </w:p>
    <w:p w14:paraId="0B8141D9" w14:textId="59DC72F5" w:rsidR="0018433B" w:rsidRDefault="0018433B" w:rsidP="0018433B">
      <w:r>
        <w:tab/>
      </w:r>
      <w:r w:rsidRPr="005B36A4">
        <w:t>Luke 5:36-38 and 15:3 are in fact the closest analogies for 6:39a that can be found in the third gospel</w:t>
      </w:r>
      <w:r w:rsidR="006F304D" w:rsidRPr="006F304D">
        <w:t xml:space="preserve">, </w:t>
      </w:r>
      <w:r w:rsidRPr="005B36A4">
        <w:t>and Talbert is wise to have chosen them. He fails to mention</w:t>
      </w:r>
      <w:r w:rsidR="006F304D" w:rsidRPr="006F304D">
        <w:t xml:space="preserve">, </w:t>
      </w:r>
      <w:r w:rsidRPr="005B36A4">
        <w:t>however</w:t>
      </w:r>
      <w:r w:rsidR="006F304D" w:rsidRPr="006F304D">
        <w:t xml:space="preserve">, </w:t>
      </w:r>
      <w:r w:rsidRPr="005B36A4">
        <w:t>the other instances in Luke where Jesus “tells a parable” (</w:t>
      </w:r>
      <w:proofErr w:type="spellStart"/>
      <w:r>
        <w:t>λέγειν</w:t>
      </w:r>
      <w:proofErr w:type="spellEnd"/>
      <w:r>
        <w:t xml:space="preserve"> παραβ</w:t>
      </w:r>
      <w:proofErr w:type="spellStart"/>
      <w:r>
        <w:t>oλήν</w:t>
      </w:r>
      <w:proofErr w:type="spellEnd"/>
      <w:r w:rsidRPr="005B36A4">
        <w:t>).</w:t>
      </w:r>
    </w:p>
    <w:p w14:paraId="78C7CEC9" w14:textId="77777777" w:rsidR="0018433B" w:rsidRPr="005B36A4" w:rsidRDefault="0018433B" w:rsidP="0018433B"/>
    <w:tbl>
      <w:tblPr>
        <w:tblW w:w="0" w:type="auto"/>
        <w:tblLayout w:type="fixed"/>
        <w:tblLook w:val="04A0" w:firstRow="1" w:lastRow="0" w:firstColumn="1" w:lastColumn="0" w:noHBand="0" w:noVBand="1"/>
      </w:tblPr>
      <w:tblGrid>
        <w:gridCol w:w="835"/>
        <w:gridCol w:w="4320"/>
        <w:gridCol w:w="4421"/>
      </w:tblGrid>
      <w:tr w:rsidR="0018433B" w:rsidRPr="00C540FC" w14:paraId="094975FC" w14:textId="77777777" w:rsidTr="00A44C2E">
        <w:tc>
          <w:tcPr>
            <w:tcW w:w="835" w:type="dxa"/>
          </w:tcPr>
          <w:p w14:paraId="2454F4A0" w14:textId="77777777" w:rsidR="0018433B" w:rsidRPr="00C540FC" w:rsidRDefault="0018433B" w:rsidP="00A44C2E">
            <w:pPr>
              <w:jc w:val="left"/>
            </w:pPr>
            <w:r w:rsidRPr="00C540FC">
              <w:t>8:4</w:t>
            </w:r>
          </w:p>
        </w:tc>
        <w:tc>
          <w:tcPr>
            <w:tcW w:w="4320" w:type="dxa"/>
          </w:tcPr>
          <w:p w14:paraId="6A395E7C" w14:textId="77777777" w:rsidR="0018433B" w:rsidRPr="00C540FC" w:rsidRDefault="0018433B" w:rsidP="00A44C2E">
            <w:pPr>
              <w:jc w:val="left"/>
            </w:pPr>
            <w:proofErr w:type="spellStart"/>
            <w:r w:rsidRPr="00C540FC">
              <w:t>εἶ</w:t>
            </w:r>
            <w:proofErr w:type="spellEnd"/>
            <w:r w:rsidRPr="00C540FC">
              <w:t xml:space="preserve">πεν </w:t>
            </w:r>
            <w:proofErr w:type="spellStart"/>
            <w:r w:rsidRPr="00C540FC">
              <w:t>διὰ</w:t>
            </w:r>
            <w:proofErr w:type="spellEnd"/>
            <w:r w:rsidRPr="00C540FC">
              <w:t xml:space="preserve"> παραβ</w:t>
            </w:r>
            <w:proofErr w:type="spellStart"/>
            <w:r w:rsidRPr="00C540FC">
              <w:t>ολῆς</w:t>
            </w:r>
            <w:proofErr w:type="spellEnd"/>
          </w:p>
        </w:tc>
        <w:tc>
          <w:tcPr>
            <w:tcW w:w="4421" w:type="dxa"/>
          </w:tcPr>
          <w:p w14:paraId="35EABC60" w14:textId="77777777" w:rsidR="0018433B" w:rsidRPr="00C540FC" w:rsidRDefault="0018433B" w:rsidP="00A44C2E">
            <w:pPr>
              <w:tabs>
                <w:tab w:val="right" w:pos="3910"/>
              </w:tabs>
              <w:jc w:val="left"/>
            </w:pPr>
            <w:r w:rsidRPr="00C540FC">
              <w:t>“he said in a parable”</w:t>
            </w:r>
            <w:r>
              <w:tab/>
            </w:r>
          </w:p>
        </w:tc>
      </w:tr>
      <w:tr w:rsidR="0018433B" w:rsidRPr="00C540FC" w14:paraId="6CAC3AD9" w14:textId="77777777" w:rsidTr="00A44C2E">
        <w:tc>
          <w:tcPr>
            <w:tcW w:w="835" w:type="dxa"/>
          </w:tcPr>
          <w:p w14:paraId="6240067B" w14:textId="77777777" w:rsidR="0018433B" w:rsidRPr="00C540FC" w:rsidRDefault="0018433B" w:rsidP="00A44C2E">
            <w:pPr>
              <w:jc w:val="left"/>
            </w:pPr>
            <w:r w:rsidRPr="00C540FC">
              <w:lastRenderedPageBreak/>
              <w:t>12:16</w:t>
            </w:r>
          </w:p>
        </w:tc>
        <w:tc>
          <w:tcPr>
            <w:tcW w:w="4320" w:type="dxa"/>
          </w:tcPr>
          <w:p w14:paraId="4D4596E4" w14:textId="77777777" w:rsidR="0018433B" w:rsidRPr="00C540FC" w:rsidRDefault="0018433B" w:rsidP="00A44C2E">
            <w:pPr>
              <w:jc w:val="left"/>
            </w:pPr>
            <w:proofErr w:type="spellStart"/>
            <w:r w:rsidRPr="00C540FC">
              <w:t>Εἶ</w:t>
            </w:r>
            <w:proofErr w:type="spellEnd"/>
            <w:r w:rsidRPr="00C540FC">
              <w:t xml:space="preserve">πεν </w:t>
            </w:r>
            <w:proofErr w:type="spellStart"/>
            <w:r w:rsidRPr="00C540FC">
              <w:t>δὲ</w:t>
            </w:r>
            <w:proofErr w:type="spellEnd"/>
            <w:r w:rsidRPr="00C540FC">
              <w:t xml:space="preserve"> παραβ</w:t>
            </w:r>
            <w:proofErr w:type="spellStart"/>
            <w:r w:rsidRPr="00C540FC">
              <w:t>ολὴν</w:t>
            </w:r>
            <w:proofErr w:type="spellEnd"/>
            <w:r w:rsidRPr="00C540FC">
              <w:t xml:space="preserve"> π</w:t>
            </w:r>
            <w:proofErr w:type="spellStart"/>
            <w:r w:rsidRPr="00C540FC">
              <w:t>ρὸς</w:t>
            </w:r>
            <w:proofErr w:type="spellEnd"/>
            <w:r w:rsidRPr="00C540FC">
              <w:t xml:space="preserve"> α</w:t>
            </w:r>
            <w:proofErr w:type="spellStart"/>
            <w:r w:rsidRPr="00C540FC">
              <w:t>ὐτοὺς</w:t>
            </w:r>
            <w:proofErr w:type="spellEnd"/>
            <w:r w:rsidRPr="00C540FC">
              <w:t xml:space="preserve"> </w:t>
            </w:r>
            <w:proofErr w:type="spellStart"/>
            <w:r w:rsidRPr="00C540FC">
              <w:t>λέγων</w:t>
            </w:r>
            <w:proofErr w:type="spellEnd"/>
          </w:p>
        </w:tc>
        <w:tc>
          <w:tcPr>
            <w:tcW w:w="4421" w:type="dxa"/>
          </w:tcPr>
          <w:p w14:paraId="01BA8C7D" w14:textId="77777777" w:rsidR="0018433B" w:rsidRPr="00C540FC" w:rsidRDefault="0018433B" w:rsidP="00A44C2E">
            <w:pPr>
              <w:jc w:val="left"/>
            </w:pPr>
            <w:r w:rsidRPr="00C540FC">
              <w:t>“Then he told them a parable”</w:t>
            </w:r>
          </w:p>
        </w:tc>
      </w:tr>
      <w:tr w:rsidR="0018433B" w:rsidRPr="00C540FC" w14:paraId="63422487" w14:textId="77777777" w:rsidTr="00A44C2E">
        <w:tc>
          <w:tcPr>
            <w:tcW w:w="835" w:type="dxa"/>
          </w:tcPr>
          <w:p w14:paraId="265A93D1" w14:textId="77777777" w:rsidR="0018433B" w:rsidRPr="00C540FC" w:rsidRDefault="0018433B" w:rsidP="00A44C2E">
            <w:pPr>
              <w:jc w:val="left"/>
            </w:pPr>
            <w:r w:rsidRPr="00C540FC">
              <w:t>13:6</w:t>
            </w:r>
          </w:p>
        </w:tc>
        <w:tc>
          <w:tcPr>
            <w:tcW w:w="4320" w:type="dxa"/>
          </w:tcPr>
          <w:p w14:paraId="7BE58294" w14:textId="77777777" w:rsidR="0018433B" w:rsidRPr="00C540FC" w:rsidRDefault="0018433B" w:rsidP="00A44C2E">
            <w:pPr>
              <w:jc w:val="left"/>
            </w:pPr>
            <w:proofErr w:type="spellStart"/>
            <w:r w:rsidRPr="00C540FC">
              <w:t>Ἔλεγεν</w:t>
            </w:r>
            <w:proofErr w:type="spellEnd"/>
            <w:r w:rsidRPr="00C540FC">
              <w:t xml:space="preserve"> </w:t>
            </w:r>
            <w:proofErr w:type="spellStart"/>
            <w:r w:rsidRPr="00C540FC">
              <w:t>δὲ</w:t>
            </w:r>
            <w:proofErr w:type="spellEnd"/>
            <w:r w:rsidRPr="00C540FC">
              <w:t xml:space="preserve"> τα</w:t>
            </w:r>
            <w:proofErr w:type="spellStart"/>
            <w:r w:rsidRPr="00C540FC">
              <w:t>ύτην</w:t>
            </w:r>
            <w:proofErr w:type="spellEnd"/>
            <w:r w:rsidRPr="00C540FC">
              <w:t xml:space="preserve"> </w:t>
            </w:r>
            <w:proofErr w:type="spellStart"/>
            <w:r w:rsidRPr="00C540FC">
              <w:t>τὴν</w:t>
            </w:r>
            <w:proofErr w:type="spellEnd"/>
            <w:r w:rsidRPr="00C540FC">
              <w:t xml:space="preserve"> παραβ</w:t>
            </w:r>
            <w:proofErr w:type="spellStart"/>
            <w:r w:rsidRPr="00C540FC">
              <w:t>ολήν</w:t>
            </w:r>
            <w:proofErr w:type="spellEnd"/>
          </w:p>
        </w:tc>
        <w:tc>
          <w:tcPr>
            <w:tcW w:w="4421" w:type="dxa"/>
          </w:tcPr>
          <w:p w14:paraId="2ECF56D0" w14:textId="77777777" w:rsidR="0018433B" w:rsidRPr="00C540FC" w:rsidRDefault="0018433B" w:rsidP="00A44C2E">
            <w:pPr>
              <w:jc w:val="left"/>
            </w:pPr>
            <w:r w:rsidRPr="00C540FC">
              <w:t>“Then he told this parable”</w:t>
            </w:r>
          </w:p>
        </w:tc>
      </w:tr>
      <w:tr w:rsidR="0018433B" w:rsidRPr="00C540FC" w14:paraId="70140AA1" w14:textId="77777777" w:rsidTr="00A44C2E">
        <w:tc>
          <w:tcPr>
            <w:tcW w:w="835" w:type="dxa"/>
          </w:tcPr>
          <w:p w14:paraId="7B804D5E" w14:textId="77777777" w:rsidR="0018433B" w:rsidRPr="00C540FC" w:rsidRDefault="0018433B" w:rsidP="00A44C2E">
            <w:pPr>
              <w:jc w:val="left"/>
            </w:pPr>
            <w:r w:rsidRPr="00C540FC">
              <w:t>14:7</w:t>
            </w:r>
          </w:p>
        </w:tc>
        <w:tc>
          <w:tcPr>
            <w:tcW w:w="4320" w:type="dxa"/>
          </w:tcPr>
          <w:p w14:paraId="042518CC" w14:textId="77777777" w:rsidR="0018433B" w:rsidRPr="00C540FC" w:rsidRDefault="0018433B" w:rsidP="00A44C2E">
            <w:pPr>
              <w:jc w:val="left"/>
            </w:pPr>
            <w:proofErr w:type="spellStart"/>
            <w:r w:rsidRPr="00C540FC">
              <w:t>Ἔλεγεν</w:t>
            </w:r>
            <w:proofErr w:type="spellEnd"/>
            <w:r w:rsidRPr="00C540FC">
              <w:t xml:space="preserve"> </w:t>
            </w:r>
            <w:proofErr w:type="spellStart"/>
            <w:r w:rsidRPr="00C540FC">
              <w:t>δὲ</w:t>
            </w:r>
            <w:proofErr w:type="spellEnd"/>
            <w:r w:rsidRPr="00C540FC">
              <w:t xml:space="preserve"> π</w:t>
            </w:r>
            <w:proofErr w:type="spellStart"/>
            <w:r w:rsidRPr="00C540FC">
              <w:t>ρὸς</w:t>
            </w:r>
            <w:proofErr w:type="spellEnd"/>
            <w:r w:rsidRPr="00C540FC">
              <w:t xml:space="preserve"> </w:t>
            </w:r>
            <w:proofErr w:type="spellStart"/>
            <w:r w:rsidRPr="00C540FC">
              <w:t>τοὺς</w:t>
            </w:r>
            <w:proofErr w:type="spellEnd"/>
            <w:r w:rsidRPr="00C540FC">
              <w:t xml:space="preserve"> </w:t>
            </w:r>
            <w:proofErr w:type="spellStart"/>
            <w:r w:rsidRPr="00C540FC">
              <w:t>κεκλημένους</w:t>
            </w:r>
            <w:proofErr w:type="spellEnd"/>
            <w:r w:rsidRPr="00C540FC">
              <w:t xml:space="preserve"> παραβ</w:t>
            </w:r>
            <w:proofErr w:type="spellStart"/>
            <w:r w:rsidRPr="00C540FC">
              <w:t>ολήν</w:t>
            </w:r>
            <w:proofErr w:type="spellEnd"/>
          </w:p>
        </w:tc>
        <w:tc>
          <w:tcPr>
            <w:tcW w:w="4421" w:type="dxa"/>
          </w:tcPr>
          <w:p w14:paraId="1E34F126" w14:textId="77777777" w:rsidR="0018433B" w:rsidRPr="00C540FC" w:rsidRDefault="0018433B" w:rsidP="00A44C2E">
            <w:pPr>
              <w:jc w:val="left"/>
            </w:pPr>
            <w:r w:rsidRPr="00C540FC">
              <w:t>“he told them [</w:t>
            </w:r>
            <w:r>
              <w:t xml:space="preserve">the </w:t>
            </w:r>
            <w:r w:rsidRPr="00C540FC">
              <w:t>guests] a parable”</w:t>
            </w:r>
          </w:p>
        </w:tc>
      </w:tr>
      <w:tr w:rsidR="0018433B" w:rsidRPr="00C540FC" w14:paraId="2C8FE84B" w14:textId="77777777" w:rsidTr="00A44C2E">
        <w:tc>
          <w:tcPr>
            <w:tcW w:w="835" w:type="dxa"/>
          </w:tcPr>
          <w:p w14:paraId="4BE8BBCC" w14:textId="77777777" w:rsidR="0018433B" w:rsidRPr="00C540FC" w:rsidRDefault="0018433B" w:rsidP="00A44C2E">
            <w:pPr>
              <w:jc w:val="left"/>
            </w:pPr>
            <w:r w:rsidRPr="00C540FC">
              <w:t>18:1</w:t>
            </w:r>
          </w:p>
        </w:tc>
        <w:tc>
          <w:tcPr>
            <w:tcW w:w="4320" w:type="dxa"/>
          </w:tcPr>
          <w:p w14:paraId="3A795DF2" w14:textId="77777777" w:rsidR="0018433B" w:rsidRPr="00C540FC" w:rsidRDefault="0018433B" w:rsidP="00A44C2E">
            <w:pPr>
              <w:jc w:val="left"/>
            </w:pPr>
            <w:proofErr w:type="spellStart"/>
            <w:r w:rsidRPr="00C540FC">
              <w:t>Ἔλεγεν</w:t>
            </w:r>
            <w:proofErr w:type="spellEnd"/>
            <w:r w:rsidRPr="00C540FC">
              <w:t xml:space="preserve"> </w:t>
            </w:r>
            <w:proofErr w:type="spellStart"/>
            <w:r w:rsidRPr="00C540FC">
              <w:t>δὲ</w:t>
            </w:r>
            <w:proofErr w:type="spellEnd"/>
            <w:r w:rsidRPr="00C540FC">
              <w:t xml:space="preserve"> παραβ</w:t>
            </w:r>
            <w:proofErr w:type="spellStart"/>
            <w:r w:rsidRPr="00C540FC">
              <w:t>ολὴν</w:t>
            </w:r>
            <w:proofErr w:type="spellEnd"/>
            <w:r w:rsidRPr="00C540FC">
              <w:t xml:space="preserve"> α</w:t>
            </w:r>
            <w:proofErr w:type="spellStart"/>
            <w:r w:rsidRPr="00C540FC">
              <w:t>ὐτοῖς</w:t>
            </w:r>
            <w:proofErr w:type="spellEnd"/>
          </w:p>
        </w:tc>
        <w:tc>
          <w:tcPr>
            <w:tcW w:w="4421" w:type="dxa"/>
          </w:tcPr>
          <w:p w14:paraId="5D15E8C6" w14:textId="77777777" w:rsidR="0018433B" w:rsidRPr="00C540FC" w:rsidRDefault="0018433B" w:rsidP="00A44C2E">
            <w:pPr>
              <w:jc w:val="left"/>
            </w:pPr>
            <w:r w:rsidRPr="00C540FC">
              <w:t>“Then Jesus told them a parable”</w:t>
            </w:r>
          </w:p>
        </w:tc>
      </w:tr>
      <w:tr w:rsidR="0018433B" w:rsidRPr="00C540FC" w14:paraId="1B0F6028" w14:textId="77777777" w:rsidTr="00A44C2E">
        <w:tc>
          <w:tcPr>
            <w:tcW w:w="835" w:type="dxa"/>
          </w:tcPr>
          <w:p w14:paraId="27CF6275" w14:textId="77777777" w:rsidR="0018433B" w:rsidRPr="00C540FC" w:rsidRDefault="0018433B" w:rsidP="00A44C2E">
            <w:pPr>
              <w:jc w:val="left"/>
            </w:pPr>
            <w:r w:rsidRPr="00C540FC">
              <w:t>18:9</w:t>
            </w:r>
          </w:p>
        </w:tc>
        <w:tc>
          <w:tcPr>
            <w:tcW w:w="4320" w:type="dxa"/>
          </w:tcPr>
          <w:p w14:paraId="5A00FAD8" w14:textId="77777777" w:rsidR="0018433B" w:rsidRPr="00C540FC" w:rsidRDefault="0018433B" w:rsidP="00A44C2E">
            <w:pPr>
              <w:jc w:val="left"/>
            </w:pPr>
            <w:proofErr w:type="spellStart"/>
            <w:r w:rsidRPr="00C540FC">
              <w:t>Εἶ</w:t>
            </w:r>
            <w:proofErr w:type="spellEnd"/>
            <w:r w:rsidRPr="00C540FC">
              <w:t xml:space="preserve">πεν </w:t>
            </w:r>
            <w:proofErr w:type="spellStart"/>
            <w:r w:rsidRPr="00C540FC">
              <w:t>δὲ</w:t>
            </w:r>
            <w:proofErr w:type="spellEnd"/>
            <w:r w:rsidRPr="00C540FC">
              <w:t xml:space="preserve"> καὶ . . . </w:t>
            </w:r>
            <w:proofErr w:type="spellStart"/>
            <w:r w:rsidRPr="00C540FC">
              <w:t>τὴν</w:t>
            </w:r>
            <w:proofErr w:type="spellEnd"/>
            <w:r w:rsidRPr="00C540FC">
              <w:t xml:space="preserve"> παραβ</w:t>
            </w:r>
            <w:proofErr w:type="spellStart"/>
            <w:r w:rsidRPr="00C540FC">
              <w:t>ολὴν</w:t>
            </w:r>
            <w:proofErr w:type="spellEnd"/>
            <w:r w:rsidRPr="00C540FC">
              <w:t xml:space="preserve"> τα</w:t>
            </w:r>
            <w:proofErr w:type="spellStart"/>
            <w:r w:rsidRPr="00C540FC">
              <w:t>ύτην</w:t>
            </w:r>
            <w:proofErr w:type="spellEnd"/>
          </w:p>
        </w:tc>
        <w:tc>
          <w:tcPr>
            <w:tcW w:w="4421" w:type="dxa"/>
          </w:tcPr>
          <w:p w14:paraId="72A41039" w14:textId="77777777" w:rsidR="0018433B" w:rsidRPr="00C540FC" w:rsidRDefault="0018433B" w:rsidP="00A44C2E">
            <w:pPr>
              <w:jc w:val="left"/>
            </w:pPr>
            <w:r w:rsidRPr="00C540FC">
              <w:t>“He also told this parable”</w:t>
            </w:r>
          </w:p>
        </w:tc>
      </w:tr>
      <w:tr w:rsidR="0018433B" w:rsidRPr="00C540FC" w14:paraId="62587A07" w14:textId="77777777" w:rsidTr="00A44C2E">
        <w:tc>
          <w:tcPr>
            <w:tcW w:w="835" w:type="dxa"/>
          </w:tcPr>
          <w:p w14:paraId="37E8A557" w14:textId="77777777" w:rsidR="0018433B" w:rsidRPr="00C540FC" w:rsidRDefault="0018433B" w:rsidP="00A44C2E">
            <w:pPr>
              <w:jc w:val="left"/>
            </w:pPr>
            <w:r w:rsidRPr="00C540FC">
              <w:t>19:11</w:t>
            </w:r>
          </w:p>
        </w:tc>
        <w:tc>
          <w:tcPr>
            <w:tcW w:w="4320" w:type="dxa"/>
          </w:tcPr>
          <w:p w14:paraId="731BC708" w14:textId="77777777" w:rsidR="0018433B" w:rsidRPr="00C540FC" w:rsidRDefault="0018433B" w:rsidP="00A44C2E">
            <w:pPr>
              <w:jc w:val="left"/>
            </w:pPr>
            <w:r w:rsidRPr="00C540FC">
              <w:t>π</w:t>
            </w:r>
            <w:proofErr w:type="spellStart"/>
            <w:r w:rsidRPr="00C540FC">
              <w:t>ροσθεὶς</w:t>
            </w:r>
            <w:proofErr w:type="spellEnd"/>
            <w:r w:rsidRPr="00C540FC">
              <w:t xml:space="preserve"> </w:t>
            </w:r>
            <w:proofErr w:type="spellStart"/>
            <w:r w:rsidRPr="00C540FC">
              <w:t>εἶ</w:t>
            </w:r>
            <w:proofErr w:type="spellEnd"/>
            <w:r w:rsidRPr="00C540FC">
              <w:t>πεν παραβ</w:t>
            </w:r>
            <w:proofErr w:type="spellStart"/>
            <w:r w:rsidRPr="00C540FC">
              <w:t>ολὴν</w:t>
            </w:r>
            <w:proofErr w:type="spellEnd"/>
          </w:p>
        </w:tc>
        <w:tc>
          <w:tcPr>
            <w:tcW w:w="4421" w:type="dxa"/>
          </w:tcPr>
          <w:p w14:paraId="0BAF623D" w14:textId="77777777" w:rsidR="0018433B" w:rsidRPr="00C540FC" w:rsidRDefault="0018433B" w:rsidP="00A44C2E">
            <w:pPr>
              <w:jc w:val="left"/>
            </w:pPr>
            <w:r w:rsidRPr="00C540FC">
              <w:t>“he went on to tell a parable”</w:t>
            </w:r>
          </w:p>
        </w:tc>
      </w:tr>
      <w:tr w:rsidR="0018433B" w:rsidRPr="00C540FC" w14:paraId="3482C2F9" w14:textId="77777777" w:rsidTr="00A44C2E">
        <w:tc>
          <w:tcPr>
            <w:tcW w:w="835" w:type="dxa"/>
          </w:tcPr>
          <w:p w14:paraId="774E3D66" w14:textId="77777777" w:rsidR="0018433B" w:rsidRPr="00C540FC" w:rsidRDefault="0018433B" w:rsidP="00A44C2E">
            <w:pPr>
              <w:jc w:val="left"/>
            </w:pPr>
            <w:r w:rsidRPr="00C540FC">
              <w:t>20:9</w:t>
            </w:r>
          </w:p>
        </w:tc>
        <w:tc>
          <w:tcPr>
            <w:tcW w:w="4320" w:type="dxa"/>
          </w:tcPr>
          <w:p w14:paraId="0F96709D" w14:textId="77777777" w:rsidR="0018433B" w:rsidRPr="00C540FC" w:rsidRDefault="0018433B" w:rsidP="00A44C2E">
            <w:pPr>
              <w:jc w:val="left"/>
            </w:pPr>
            <w:proofErr w:type="spellStart"/>
            <w:r w:rsidRPr="00C540FC">
              <w:t>Ἤρξ</w:t>
            </w:r>
            <w:proofErr w:type="spellEnd"/>
            <w:r w:rsidRPr="00C540FC">
              <w:t xml:space="preserve">ατο </w:t>
            </w:r>
            <w:proofErr w:type="spellStart"/>
            <w:r w:rsidRPr="00C540FC">
              <w:t>δὲ</w:t>
            </w:r>
            <w:proofErr w:type="spellEnd"/>
            <w:r w:rsidRPr="00C540FC">
              <w:t xml:space="preserve"> π</w:t>
            </w:r>
            <w:proofErr w:type="spellStart"/>
            <w:r w:rsidRPr="00C540FC">
              <w:t>ρὸς</w:t>
            </w:r>
            <w:proofErr w:type="spellEnd"/>
            <w:r w:rsidRPr="00C540FC">
              <w:t xml:space="preserve"> </w:t>
            </w:r>
            <w:proofErr w:type="spellStart"/>
            <w:r w:rsidRPr="00C540FC">
              <w:t>τὸν</w:t>
            </w:r>
            <w:proofErr w:type="spellEnd"/>
            <w:r w:rsidRPr="00C540FC">
              <w:t xml:space="preserve"> λα</w:t>
            </w:r>
            <w:proofErr w:type="spellStart"/>
            <w:r w:rsidRPr="00C540FC">
              <w:t>ὸν</w:t>
            </w:r>
            <w:proofErr w:type="spellEnd"/>
            <w:r w:rsidRPr="00C540FC">
              <w:t xml:space="preserve"> </w:t>
            </w:r>
            <w:proofErr w:type="spellStart"/>
            <w:r w:rsidRPr="00C540FC">
              <w:t>λέγειν</w:t>
            </w:r>
            <w:proofErr w:type="spellEnd"/>
            <w:r w:rsidRPr="00C540FC">
              <w:t xml:space="preserve"> </w:t>
            </w:r>
            <w:proofErr w:type="spellStart"/>
            <w:r w:rsidRPr="00C540FC">
              <w:t>τὴν</w:t>
            </w:r>
            <w:proofErr w:type="spellEnd"/>
            <w:r w:rsidRPr="00C540FC">
              <w:t xml:space="preserve"> παραβ</w:t>
            </w:r>
            <w:proofErr w:type="spellStart"/>
            <w:r w:rsidRPr="00C540FC">
              <w:t>ολὴν</w:t>
            </w:r>
            <w:proofErr w:type="spellEnd"/>
            <w:r w:rsidRPr="00C540FC">
              <w:t xml:space="preserve"> τα</w:t>
            </w:r>
            <w:proofErr w:type="spellStart"/>
            <w:r w:rsidRPr="00C540FC">
              <w:t>ύτην</w:t>
            </w:r>
            <w:proofErr w:type="spellEnd"/>
          </w:p>
        </w:tc>
        <w:tc>
          <w:tcPr>
            <w:tcW w:w="4421" w:type="dxa"/>
          </w:tcPr>
          <w:p w14:paraId="196AE292" w14:textId="77777777" w:rsidR="0018433B" w:rsidRPr="00C540FC" w:rsidRDefault="0018433B" w:rsidP="00A44C2E">
            <w:pPr>
              <w:jc w:val="left"/>
            </w:pPr>
            <w:r w:rsidRPr="00C540FC">
              <w:t>“He began to tell the people this parable”</w:t>
            </w:r>
          </w:p>
        </w:tc>
      </w:tr>
      <w:tr w:rsidR="0018433B" w:rsidRPr="00C540FC" w14:paraId="17419047" w14:textId="77777777" w:rsidTr="00A44C2E">
        <w:tc>
          <w:tcPr>
            <w:tcW w:w="835" w:type="dxa"/>
          </w:tcPr>
          <w:p w14:paraId="177E8C52" w14:textId="77777777" w:rsidR="0018433B" w:rsidRPr="00C540FC" w:rsidRDefault="0018433B" w:rsidP="00A44C2E">
            <w:pPr>
              <w:jc w:val="left"/>
            </w:pPr>
            <w:r w:rsidRPr="00C540FC">
              <w:t>20:19</w:t>
            </w:r>
          </w:p>
        </w:tc>
        <w:tc>
          <w:tcPr>
            <w:tcW w:w="4320" w:type="dxa"/>
          </w:tcPr>
          <w:p w14:paraId="6CD9F2AA" w14:textId="77777777" w:rsidR="0018433B" w:rsidRPr="00C540FC" w:rsidRDefault="0018433B" w:rsidP="00A44C2E">
            <w:pPr>
              <w:jc w:val="left"/>
            </w:pPr>
            <w:r w:rsidRPr="00C540FC">
              <w:t>π</w:t>
            </w:r>
            <w:proofErr w:type="spellStart"/>
            <w:r w:rsidRPr="00C540FC">
              <w:t>ρὸς</w:t>
            </w:r>
            <w:proofErr w:type="spellEnd"/>
            <w:r w:rsidRPr="00C540FC">
              <w:t xml:space="preserve"> α</w:t>
            </w:r>
            <w:proofErr w:type="spellStart"/>
            <w:r w:rsidRPr="00C540FC">
              <w:t>ὐτοὺς</w:t>
            </w:r>
            <w:proofErr w:type="spellEnd"/>
            <w:r w:rsidRPr="00C540FC">
              <w:t xml:space="preserve"> </w:t>
            </w:r>
            <w:proofErr w:type="spellStart"/>
            <w:r w:rsidRPr="00C540FC">
              <w:t>εἶ</w:t>
            </w:r>
            <w:proofErr w:type="spellEnd"/>
            <w:r w:rsidRPr="00C540FC">
              <w:t xml:space="preserve">πεν </w:t>
            </w:r>
            <w:proofErr w:type="spellStart"/>
            <w:r w:rsidRPr="00C540FC">
              <w:t>τὴν</w:t>
            </w:r>
            <w:proofErr w:type="spellEnd"/>
            <w:r w:rsidRPr="00C540FC">
              <w:t xml:space="preserve"> παραβ</w:t>
            </w:r>
            <w:proofErr w:type="spellStart"/>
            <w:r w:rsidRPr="00C540FC">
              <w:t>ολὴν</w:t>
            </w:r>
            <w:proofErr w:type="spellEnd"/>
            <w:r w:rsidRPr="00C540FC">
              <w:t xml:space="preserve"> τα</w:t>
            </w:r>
            <w:proofErr w:type="spellStart"/>
            <w:r w:rsidRPr="00C540FC">
              <w:t>ύτην</w:t>
            </w:r>
            <w:proofErr w:type="spellEnd"/>
          </w:p>
        </w:tc>
        <w:tc>
          <w:tcPr>
            <w:tcW w:w="4421" w:type="dxa"/>
          </w:tcPr>
          <w:p w14:paraId="003F4B8A" w14:textId="77777777" w:rsidR="0018433B" w:rsidRPr="00C540FC" w:rsidRDefault="0018433B" w:rsidP="00A44C2E">
            <w:pPr>
              <w:jc w:val="left"/>
            </w:pPr>
            <w:r w:rsidRPr="00C540FC">
              <w:t>“he had told this parable against them”</w:t>
            </w:r>
          </w:p>
        </w:tc>
      </w:tr>
      <w:tr w:rsidR="0018433B" w:rsidRPr="00C540FC" w14:paraId="7A4E541E" w14:textId="77777777" w:rsidTr="00A44C2E">
        <w:tc>
          <w:tcPr>
            <w:tcW w:w="835" w:type="dxa"/>
          </w:tcPr>
          <w:p w14:paraId="4948AE8A" w14:textId="77777777" w:rsidR="0018433B" w:rsidRPr="00C540FC" w:rsidRDefault="0018433B" w:rsidP="00A44C2E">
            <w:pPr>
              <w:jc w:val="left"/>
            </w:pPr>
            <w:r w:rsidRPr="00C540FC">
              <w:t>21:29</w:t>
            </w:r>
          </w:p>
        </w:tc>
        <w:tc>
          <w:tcPr>
            <w:tcW w:w="4320" w:type="dxa"/>
          </w:tcPr>
          <w:p w14:paraId="045CB591" w14:textId="77777777" w:rsidR="0018433B" w:rsidRPr="00C540FC" w:rsidRDefault="0018433B" w:rsidP="00A44C2E">
            <w:pPr>
              <w:jc w:val="left"/>
            </w:pPr>
            <w:r w:rsidRPr="00C540FC">
              <w:t xml:space="preserve">Καὶ </w:t>
            </w:r>
            <w:proofErr w:type="spellStart"/>
            <w:r w:rsidRPr="00C540FC">
              <w:t>εἶ</w:t>
            </w:r>
            <w:proofErr w:type="spellEnd"/>
            <w:r w:rsidRPr="00C540FC">
              <w:t>πεν παραβ</w:t>
            </w:r>
            <w:proofErr w:type="spellStart"/>
            <w:r w:rsidRPr="00C540FC">
              <w:t>ολὴν</w:t>
            </w:r>
            <w:proofErr w:type="spellEnd"/>
            <w:r w:rsidRPr="00C540FC">
              <w:t xml:space="preserve"> α</w:t>
            </w:r>
            <w:proofErr w:type="spellStart"/>
            <w:r w:rsidRPr="00C540FC">
              <w:t>ὐτοῖς</w:t>
            </w:r>
            <w:proofErr w:type="spellEnd"/>
          </w:p>
        </w:tc>
        <w:tc>
          <w:tcPr>
            <w:tcW w:w="4421" w:type="dxa"/>
          </w:tcPr>
          <w:p w14:paraId="73AE21A9" w14:textId="77777777" w:rsidR="0018433B" w:rsidRPr="00C540FC" w:rsidRDefault="0018433B" w:rsidP="00A44C2E">
            <w:pPr>
              <w:jc w:val="left"/>
            </w:pPr>
            <w:r w:rsidRPr="00C540FC">
              <w:t>“Then he told them a parable”</w:t>
            </w:r>
          </w:p>
        </w:tc>
      </w:tr>
    </w:tbl>
    <w:p w14:paraId="29FDE954" w14:textId="77777777" w:rsidR="0018433B" w:rsidRDefault="0018433B" w:rsidP="0018433B"/>
    <w:p w14:paraId="0CECFAAF" w14:textId="77777777" w:rsidR="0018433B" w:rsidRPr="005B36A4" w:rsidRDefault="0018433B" w:rsidP="0018433B">
      <w:r w:rsidRPr="005B36A4">
        <w:t xml:space="preserve">Each of these is followed by only </w:t>
      </w:r>
      <w:r w:rsidRPr="005B36A4">
        <w:rPr>
          <w:i/>
          <w:iCs/>
        </w:rPr>
        <w:t>one</w:t>
      </w:r>
      <w:r w:rsidRPr="005B36A4">
        <w:t xml:space="preserve"> parable.</w:t>
      </w:r>
      <w:r w:rsidRPr="005B36A4">
        <w:rPr>
          <w:rStyle w:val="FootnoteReference"/>
        </w:rPr>
        <w:footnoteReference w:id="411"/>
      </w:r>
    </w:p>
    <w:p w14:paraId="7A59C3C4" w14:textId="5AB067C3" w:rsidR="0018433B" w:rsidRPr="005B36A4" w:rsidRDefault="0018433B" w:rsidP="0018433B">
      <w:r>
        <w:tab/>
      </w:r>
      <w:r w:rsidRPr="005B36A4">
        <w:t>It does not seem likely</w:t>
      </w:r>
      <w:r w:rsidR="006F304D" w:rsidRPr="006F304D">
        <w:t xml:space="preserve">, </w:t>
      </w:r>
      <w:r w:rsidRPr="005B36A4">
        <w:t>then</w:t>
      </w:r>
      <w:r w:rsidR="006F304D" w:rsidRPr="006F304D">
        <w:t xml:space="preserve">, </w:t>
      </w:r>
      <w:r w:rsidRPr="005B36A4">
        <w:t>that in 5:36a</w:t>
      </w:r>
      <w:r w:rsidR="006F304D" w:rsidRPr="006F304D">
        <w:t xml:space="preserve">, </w:t>
      </w:r>
      <w:r w:rsidRPr="005B36A4">
        <w:t>6:39a</w:t>
      </w:r>
      <w:r w:rsidR="006F304D" w:rsidRPr="006F304D">
        <w:t xml:space="preserve">, </w:t>
      </w:r>
      <w:r w:rsidRPr="005B36A4">
        <w:t>or 15:3 Luke deliberately suppressed the more accurate plural form (παραβ</w:t>
      </w:r>
      <w:proofErr w:type="spellStart"/>
      <w:r w:rsidRPr="005B36A4">
        <w:t>oλ</w:t>
      </w:r>
      <w:bookmarkStart w:id="39" w:name="_Hlk509084720"/>
      <w:r w:rsidRPr="00CB0999">
        <w:rPr>
          <w:szCs w:val="22"/>
          <w:lang w:bidi="he-IL"/>
        </w:rPr>
        <w:t>ᾶ</w:t>
      </w:r>
      <w:bookmarkEnd w:id="39"/>
      <w:r w:rsidRPr="005B36A4">
        <w:t>ς</w:t>
      </w:r>
      <w:proofErr w:type="spellEnd"/>
      <w:r w:rsidRPr="005B36A4">
        <w:t xml:space="preserve">) merely to indicate the unity of the parables that follow. Much more likely is the inference that in these three instances of </w:t>
      </w:r>
      <w:proofErr w:type="spellStart"/>
      <w:r w:rsidRPr="005B36A4">
        <w:t>λέγω</w:t>
      </w:r>
      <w:proofErr w:type="spellEnd"/>
      <w:r w:rsidRPr="005B36A4">
        <w:t xml:space="preserve"> </w:t>
      </w:r>
      <w:r>
        <w:t>παραβ</w:t>
      </w:r>
      <w:proofErr w:type="spellStart"/>
      <w:r>
        <w:t>oλήν</w:t>
      </w:r>
      <w:proofErr w:type="spellEnd"/>
      <w:r w:rsidRPr="005B36A4">
        <w:t>—as in all the other instances—Luke said what he meant to say. Talbert’s use of 6:39a as a special comment to mark a major section of the sermon cannot</w:t>
      </w:r>
      <w:r w:rsidR="006F304D" w:rsidRPr="006F304D">
        <w:t xml:space="preserve">, </w:t>
      </w:r>
      <w:r w:rsidRPr="005B36A4">
        <w:t>be accepted. Since 6:39a does not introduce 6:39-49 but only 6:39bc (or 39b-40)</w:t>
      </w:r>
      <w:r w:rsidR="006F304D" w:rsidRPr="006F304D">
        <w:t xml:space="preserve">, </w:t>
      </w:r>
      <w:r w:rsidRPr="005B36A4">
        <w:t>it cannot be used as a major divider in the sermon. This in turn means that none of Talbert’s dividers—6:20a</w:t>
      </w:r>
      <w:r w:rsidR="006F304D" w:rsidRPr="006F304D">
        <w:t xml:space="preserve">, </w:t>
      </w:r>
      <w:r w:rsidRPr="005B36A4">
        <w:t>27a</w:t>
      </w:r>
      <w:r w:rsidR="006F304D" w:rsidRPr="006F304D">
        <w:t xml:space="preserve">, </w:t>
      </w:r>
      <w:r w:rsidRPr="005B36A4">
        <w:t xml:space="preserve">39a—is significant for demarcating a major section. We can thus safely dismiss the notion that there exist “formulae of introduction” which provide </w:t>
      </w:r>
      <w:r w:rsidRPr="005B36A4">
        <w:rPr>
          <w:i/>
          <w:iCs/>
        </w:rPr>
        <w:t>formal</w:t>
      </w:r>
      <w:r w:rsidRPr="005B36A4">
        <w:t xml:space="preserve"> grounds by which the major sections of the sermon can to be determined.</w:t>
      </w:r>
    </w:p>
    <w:p w14:paraId="60B83F3F" w14:textId="0367B9B6" w:rsidR="0018433B" w:rsidRDefault="0018433B" w:rsidP="0018433B">
      <w:r>
        <w:tab/>
      </w:r>
      <w:r w:rsidRPr="005B36A4">
        <w:t>Talbert does mention a second formal characteristic by which he justifies structural dis</w:t>
      </w:r>
      <w:r>
        <w:t>tinc</w:t>
      </w:r>
      <w:r>
        <w:softHyphen/>
        <w:t>tions in the sermon</w:t>
      </w:r>
      <w:r w:rsidR="006F304D" w:rsidRPr="006F304D">
        <w:t xml:space="preserve">, </w:t>
      </w:r>
      <w:proofErr w:type="spellStart"/>
      <w:r w:rsidRPr="005B36A4">
        <w:rPr>
          <w:i/>
          <w:iCs/>
        </w:rPr>
        <w:t>Viererparallelismus</w:t>
      </w:r>
      <w:proofErr w:type="spellEnd"/>
      <w:r w:rsidRPr="005B36A4">
        <w:t xml:space="preserve"> (though he does not use the term).</w:t>
      </w:r>
    </w:p>
    <w:p w14:paraId="175F3645" w14:textId="77777777" w:rsidR="0018433B" w:rsidRPr="005B36A4" w:rsidRDefault="0018433B" w:rsidP="0018433B"/>
    <w:p w14:paraId="3AB1BB80" w14:textId="292D9D87" w:rsidR="0018433B" w:rsidRPr="005B36A4" w:rsidRDefault="0018433B" w:rsidP="0018433B">
      <w:pPr>
        <w:ind w:left="720" w:right="720"/>
      </w:pPr>
      <w:r w:rsidRPr="005B36A4">
        <w:t>The first part</w:t>
      </w:r>
      <w:r w:rsidR="006F304D" w:rsidRPr="006F304D">
        <w:t xml:space="preserve">, </w:t>
      </w:r>
      <w:r w:rsidRPr="005B36A4">
        <w:t>6:20-26</w:t>
      </w:r>
      <w:r w:rsidR="006F304D" w:rsidRPr="006F304D">
        <w:t xml:space="preserve">, </w:t>
      </w:r>
      <w:r w:rsidRPr="005B36A4">
        <w:t>contains four beatitudes balanced by four woes. This section offers congratulations and condolences to two kinds of people. The second part</w:t>
      </w:r>
      <w:r w:rsidR="006F304D" w:rsidRPr="006F304D">
        <w:t xml:space="preserve">, </w:t>
      </w:r>
      <w:r w:rsidRPr="005B36A4">
        <w:t>6:27-38</w:t>
      </w:r>
      <w:r w:rsidR="006F304D" w:rsidRPr="006F304D">
        <w:t xml:space="preserve">, </w:t>
      </w:r>
      <w:r w:rsidRPr="005B36A4">
        <w:t>focuses on the life of love</w:t>
      </w:r>
      <w:r w:rsidR="006F304D" w:rsidRPr="006F304D">
        <w:t xml:space="preserve">, </w:t>
      </w:r>
      <w:r w:rsidRPr="005B36A4">
        <w:t>in four thought units: (a) 6:27-28</w:t>
      </w:r>
      <w:r w:rsidR="006F304D" w:rsidRPr="006F304D">
        <w:t xml:space="preserve">, </w:t>
      </w:r>
      <w:r w:rsidRPr="005B36A4">
        <w:t>a four-member unit—love</w:t>
      </w:r>
      <w:r w:rsidR="006F304D" w:rsidRPr="006F304D">
        <w:t xml:space="preserve">, </w:t>
      </w:r>
      <w:r w:rsidRPr="005B36A4">
        <w:t>do good</w:t>
      </w:r>
      <w:r w:rsidR="006F304D" w:rsidRPr="006F304D">
        <w:t xml:space="preserve">, </w:t>
      </w:r>
      <w:r w:rsidRPr="005B36A4">
        <w:t>bless</w:t>
      </w:r>
      <w:r w:rsidR="006F304D" w:rsidRPr="006F304D">
        <w:t xml:space="preserve">, </w:t>
      </w:r>
      <w:r w:rsidRPr="005B36A4">
        <w:t>pray; (b) 6:29-30</w:t>
      </w:r>
      <w:r w:rsidR="006F304D" w:rsidRPr="006F304D">
        <w:t xml:space="preserve">, </w:t>
      </w:r>
      <w:r w:rsidRPr="005B36A4">
        <w:t>a four-member unit—strikes you</w:t>
      </w:r>
      <w:r w:rsidR="006F304D" w:rsidRPr="006F304D">
        <w:t xml:space="preserve">, </w:t>
      </w:r>
      <w:r w:rsidRPr="005B36A4">
        <w:t>takes away your cloak</w:t>
      </w:r>
      <w:r w:rsidR="006F304D" w:rsidRPr="006F304D">
        <w:t xml:space="preserve">, </w:t>
      </w:r>
      <w:r w:rsidRPr="005B36A4">
        <w:t>begs from you</w:t>
      </w:r>
      <w:r w:rsidR="006F304D" w:rsidRPr="006F304D">
        <w:t xml:space="preserve">, </w:t>
      </w:r>
      <w:r w:rsidRPr="005B36A4">
        <w:t>takes away your goods—followed by a summary</w:t>
      </w:r>
      <w:r w:rsidR="006F304D" w:rsidRPr="006F304D">
        <w:t xml:space="preserve">, </w:t>
      </w:r>
      <w:r w:rsidRPr="005B36A4">
        <w:t>vs. 31; (c) 6:32-35</w:t>
      </w:r>
      <w:r w:rsidR="006F304D" w:rsidRPr="006F304D">
        <w:t xml:space="preserve">, </w:t>
      </w:r>
      <w:r w:rsidRPr="005B36A4">
        <w:t>a four-member unit: the first three—if you love</w:t>
      </w:r>
      <w:r w:rsidR="006F304D" w:rsidRPr="006F304D">
        <w:t xml:space="preserve">, </w:t>
      </w:r>
      <w:r w:rsidRPr="005B36A4">
        <w:t>do good</w:t>
      </w:r>
      <w:r w:rsidR="006F304D" w:rsidRPr="006F304D">
        <w:t xml:space="preserve">, </w:t>
      </w:r>
      <w:r w:rsidRPr="005B36A4">
        <w:t>lend—and followed by a summary</w:t>
      </w:r>
      <w:r w:rsidR="006F304D" w:rsidRPr="006F304D">
        <w:t xml:space="preserve">, </w:t>
      </w:r>
      <w:r w:rsidRPr="005B36A4">
        <w:t>vs. 36; and (d) 6:37-38a</w:t>
      </w:r>
      <w:r w:rsidR="006F304D" w:rsidRPr="006F304D">
        <w:t xml:space="preserve">, </w:t>
      </w:r>
      <w:r w:rsidRPr="005B36A4">
        <w:t>a four-member unit: two negatives—judge not</w:t>
      </w:r>
      <w:r w:rsidR="006F304D" w:rsidRPr="006F304D">
        <w:t xml:space="preserve">, </w:t>
      </w:r>
      <w:r w:rsidRPr="005B36A4">
        <w:t>condemn not—balanced by two positives—forgive</w:t>
      </w:r>
      <w:r w:rsidR="006F304D" w:rsidRPr="006F304D">
        <w:t xml:space="preserve">, </w:t>
      </w:r>
      <w:r w:rsidRPr="005B36A4">
        <w:t>give—followed by a summary</w:t>
      </w:r>
      <w:r w:rsidR="006F304D" w:rsidRPr="006F304D">
        <w:t xml:space="preserve">, </w:t>
      </w:r>
      <w:r w:rsidRPr="005B36A4">
        <w:t>vs. 38b. The third part</w:t>
      </w:r>
      <w:r w:rsidR="006F304D" w:rsidRPr="006F304D">
        <w:t xml:space="preserve">, </w:t>
      </w:r>
      <w:r w:rsidRPr="005B36A4">
        <w:t>6:39-49</w:t>
      </w:r>
      <w:r w:rsidR="006F304D" w:rsidRPr="006F304D">
        <w:t xml:space="preserve">, </w:t>
      </w:r>
      <w:r w:rsidRPr="005B36A4">
        <w:t>is a collection of four parables: vss. 39-40</w:t>
      </w:r>
      <w:r w:rsidR="006F304D" w:rsidRPr="006F304D">
        <w:t xml:space="preserve">, </w:t>
      </w:r>
      <w:r w:rsidRPr="005B36A4">
        <w:t>blind man; vss. 41-42</w:t>
      </w:r>
      <w:r w:rsidR="006F304D" w:rsidRPr="006F304D">
        <w:t xml:space="preserve">, </w:t>
      </w:r>
      <w:r w:rsidRPr="005B36A4">
        <w:t>speck and log; vss. 43-45</w:t>
      </w:r>
      <w:r w:rsidR="006F304D" w:rsidRPr="006F304D">
        <w:t xml:space="preserve">, </w:t>
      </w:r>
      <w:r w:rsidRPr="005B36A4">
        <w:t>trees and fruit; vss. 46-49</w:t>
      </w:r>
      <w:r w:rsidR="006F304D" w:rsidRPr="006F304D">
        <w:t xml:space="preserve">, </w:t>
      </w:r>
      <w:r w:rsidRPr="005B36A4">
        <w:t>two houses. It is concerned with principles that should govern the lives of disciples</w:t>
      </w:r>
      <w:r w:rsidR="006F304D" w:rsidRPr="006F304D">
        <w:t xml:space="preserve">, </w:t>
      </w:r>
      <w:r w:rsidRPr="005B36A4">
        <w:t>such as the proper use of influence. The contrast between the two types of people (6:46-49) at the end of the Sermon echoes the contrast (6:20-26) at the beginning.</w:t>
      </w:r>
      <w:r w:rsidRPr="005B36A4">
        <w:rPr>
          <w:rStyle w:val="FootnoteReference"/>
        </w:rPr>
        <w:footnoteReference w:id="412"/>
      </w:r>
    </w:p>
    <w:p w14:paraId="4F72ED73" w14:textId="77777777" w:rsidR="0018433B" w:rsidRDefault="0018433B" w:rsidP="0018433B"/>
    <w:p w14:paraId="070C275A" w14:textId="304C90FC" w:rsidR="0018433B" w:rsidRPr="005B36A4" w:rsidRDefault="0018433B" w:rsidP="0018433B">
      <w:r>
        <w:tab/>
      </w:r>
      <w:r w:rsidRPr="005B36A4">
        <w:t>Talbert has not applied the “principle of four” to the sermon consistently. In 27-28</w:t>
      </w:r>
      <w:r w:rsidR="006F304D" w:rsidRPr="006F304D">
        <w:t xml:space="preserve">, </w:t>
      </w:r>
      <w:r w:rsidRPr="005B36A4">
        <w:t>it is true</w:t>
      </w:r>
      <w:r w:rsidR="006F304D" w:rsidRPr="006F304D">
        <w:t xml:space="preserve">, </w:t>
      </w:r>
      <w:r w:rsidRPr="005B36A4">
        <w:t>there are four imperative verbs</w:t>
      </w:r>
      <w:r w:rsidR="006F304D" w:rsidRPr="006F304D">
        <w:t xml:space="preserve">, </w:t>
      </w:r>
      <w:r w:rsidRPr="005B36A4">
        <w:t>and in 29-30 there are four more. Yet 31 falls out of the fourfold pattern: it is a summary which Talbert</w:t>
      </w:r>
      <w:r w:rsidR="006F304D" w:rsidRPr="006F304D">
        <w:t xml:space="preserve">, </w:t>
      </w:r>
      <w:r w:rsidRPr="005B36A4">
        <w:t>by his failure to mention it</w:t>
      </w:r>
      <w:r w:rsidR="006F304D" w:rsidRPr="006F304D">
        <w:t xml:space="preserve">, </w:t>
      </w:r>
      <w:r w:rsidRPr="005B36A4">
        <w:t xml:space="preserve">shows to be extrinsic </w:t>
      </w:r>
      <w:r w:rsidRPr="005B36A4">
        <w:lastRenderedPageBreak/>
        <w:t>to the set of four it summarizes. Verse 35</w:t>
      </w:r>
      <w:r w:rsidR="006F304D" w:rsidRPr="006F304D">
        <w:t xml:space="preserve">, </w:t>
      </w:r>
      <w:r w:rsidRPr="005B36A4">
        <w:t>on the other hand</w:t>
      </w:r>
      <w:r w:rsidR="006F304D" w:rsidRPr="006F304D">
        <w:t xml:space="preserve">, </w:t>
      </w:r>
      <w:r w:rsidRPr="005B36A4">
        <w:t>the first part of which (35abc</w:t>
      </w:r>
      <w:r w:rsidR="006F304D" w:rsidRPr="006F304D">
        <w:t xml:space="preserve">, </w:t>
      </w:r>
      <w:r w:rsidRPr="005B36A4">
        <w:t>“But love your enemies</w:t>
      </w:r>
      <w:r w:rsidR="006F304D" w:rsidRPr="006F304D">
        <w:t xml:space="preserve">, </w:t>
      </w:r>
      <w:r w:rsidRPr="005B36A4">
        <w:t>do good</w:t>
      </w:r>
      <w:r w:rsidR="006F304D" w:rsidRPr="006F304D">
        <w:t xml:space="preserve">, </w:t>
      </w:r>
      <w:r w:rsidRPr="005B36A4">
        <w:t>and lend”) clearly summarizes 32-34</w:t>
      </w:r>
      <w:r w:rsidR="006F304D" w:rsidRPr="006F304D">
        <w:t xml:space="preserve">, </w:t>
      </w:r>
      <w:r w:rsidRPr="005B36A4">
        <w:t>is denied the status of summary so that it can be a fourth element that “balances” 32</w:t>
      </w:r>
      <w:r w:rsidR="006F304D" w:rsidRPr="006F304D">
        <w:t xml:space="preserve">, </w:t>
      </w:r>
      <w:r w:rsidRPr="005B36A4">
        <w:t>33</w:t>
      </w:r>
      <w:r w:rsidR="006F304D" w:rsidRPr="006F304D">
        <w:t xml:space="preserve">, </w:t>
      </w:r>
      <w:r w:rsidRPr="005B36A4">
        <w:t>and 34; if one adds 35def</w:t>
      </w:r>
      <w:r w:rsidR="006F304D" w:rsidRPr="006F304D">
        <w:t xml:space="preserve">, </w:t>
      </w:r>
      <w:r w:rsidRPr="005B36A4">
        <w:t>which according to Tal</w:t>
      </w:r>
      <w:r w:rsidRPr="005B36A4">
        <w:softHyphen/>
        <w:t>bert’s text one should (“Your reward will be great</w:t>
      </w:r>
      <w:r w:rsidR="006F304D" w:rsidRPr="006F304D">
        <w:t xml:space="preserve">, </w:t>
      </w:r>
      <w:r w:rsidRPr="005B36A4">
        <w:t>and you will be children of the Most High; for he is kind to the ungrateful and the wicked”)</w:t>
      </w:r>
      <w:r w:rsidR="006F304D" w:rsidRPr="006F304D">
        <w:t xml:space="preserve">, </w:t>
      </w:r>
      <w:r w:rsidRPr="005B36A4">
        <w:t>the 35 is even further out of kilter with 32-34. Verse 36 (“Be merciful</w:t>
      </w:r>
      <w:r w:rsidR="006F304D" w:rsidRPr="006F304D">
        <w:t xml:space="preserve">, </w:t>
      </w:r>
      <w:r w:rsidRPr="005B36A4">
        <w:t>just as your Father is merciful”)</w:t>
      </w:r>
      <w:r w:rsidR="006F304D" w:rsidRPr="006F304D">
        <w:t xml:space="preserve">, </w:t>
      </w:r>
      <w:r w:rsidRPr="005B36A4">
        <w:t>which clearly extends the thought of 35def</w:t>
      </w:r>
      <w:r w:rsidR="006F304D" w:rsidRPr="006F304D">
        <w:t xml:space="preserve">, </w:t>
      </w:r>
      <w:r w:rsidRPr="005B36A4">
        <w:t>is made instead a summary</w:t>
      </w:r>
      <w:r w:rsidR="006F304D" w:rsidRPr="006F304D">
        <w:t xml:space="preserve">, </w:t>
      </w:r>
      <w:r w:rsidRPr="005B36A4">
        <w:t>though it does not summarize 32-34 (nor 35: it extends that thought). Then comes 37-38a (do not judge</w:t>
      </w:r>
      <w:r w:rsidR="006F304D" w:rsidRPr="006F304D">
        <w:t xml:space="preserve">, </w:t>
      </w:r>
      <w:r w:rsidRPr="005B36A4">
        <w:t>do not condemn</w:t>
      </w:r>
      <w:r w:rsidR="006F304D" w:rsidRPr="006F304D">
        <w:t xml:space="preserve">, </w:t>
      </w:r>
      <w:r w:rsidRPr="005B36A4">
        <w:t>forgive</w:t>
      </w:r>
      <w:r w:rsidR="006F304D" w:rsidRPr="006F304D">
        <w:t xml:space="preserve">, </w:t>
      </w:r>
      <w:r w:rsidRPr="005B36A4">
        <w:t>give)—a tiny fourfold unit whose length is less than a third that of the preceding unit</w:t>
      </w:r>
      <w:r w:rsidR="006F304D" w:rsidRPr="006F304D">
        <w:t xml:space="preserve">, </w:t>
      </w:r>
      <w:r w:rsidRPr="005B36A4">
        <w:t xml:space="preserve">and whose </w:t>
      </w:r>
      <w:proofErr w:type="spellStart"/>
      <w:r w:rsidRPr="005B36A4">
        <w:t>fourfoldness</w:t>
      </w:r>
      <w:proofErr w:type="spellEnd"/>
      <w:r w:rsidRPr="005B36A4">
        <w:t xml:space="preserve"> is disrupted by 38c (“good measure</w:t>
      </w:r>
      <w:r w:rsidR="006F304D" w:rsidRPr="006F304D">
        <w:t xml:space="preserve">, </w:t>
      </w:r>
      <w:r w:rsidRPr="005B36A4">
        <w:t>pressed down</w:t>
      </w:r>
      <w:r w:rsidR="006F304D" w:rsidRPr="006F304D">
        <w:t xml:space="preserve">, </w:t>
      </w:r>
      <w:r w:rsidRPr="005B36A4">
        <w:t>shaken together,” etc.).</w:t>
      </w:r>
      <w:r w:rsidRPr="005B36A4">
        <w:rPr>
          <w:rStyle w:val="FootnoteReference"/>
        </w:rPr>
        <w:footnoteReference w:id="413"/>
      </w:r>
      <w:r w:rsidRPr="005B36A4">
        <w:t xml:space="preserve"> Finally</w:t>
      </w:r>
      <w:r w:rsidR="006F304D" w:rsidRPr="006F304D">
        <w:t xml:space="preserve">, </w:t>
      </w:r>
      <w:r w:rsidRPr="005B36A4">
        <w:t>since we have already seen that Talbert</w:t>
      </w:r>
      <w:r w:rsidR="006F304D" w:rsidRPr="006F304D">
        <w:t xml:space="preserve">, </w:t>
      </w:r>
      <w:r w:rsidRPr="005B36A4">
        <w:t>like Morgenthaler</w:t>
      </w:r>
      <w:r w:rsidR="006F304D" w:rsidRPr="006F304D">
        <w:t xml:space="preserve">, </w:t>
      </w:r>
      <w:r w:rsidRPr="005B36A4">
        <w:t>uses verse 39a to introduce more than the first parable that follows</w:t>
      </w:r>
      <w:r w:rsidR="006F304D" w:rsidRPr="006F304D">
        <w:t xml:space="preserve">, </w:t>
      </w:r>
      <w:r w:rsidRPr="005B36A4">
        <w:t>it is not surprising to discover that he also</w:t>
      </w:r>
      <w:r w:rsidR="006F304D" w:rsidRPr="006F304D">
        <w:t xml:space="preserve">, </w:t>
      </w:r>
      <w:r w:rsidRPr="005B36A4">
        <w:t>like his predecessor</w:t>
      </w:r>
      <w:r w:rsidR="006F304D" w:rsidRPr="006F304D">
        <w:t xml:space="preserve">, </w:t>
      </w:r>
      <w:r w:rsidRPr="005B36A4">
        <w:t>divides 39-49 into four parables. Talbert has here given himself over completely to the guidance of Morgenthaler</w:t>
      </w:r>
      <w:r w:rsidR="006F304D" w:rsidRPr="006F304D">
        <w:t xml:space="preserve">, </w:t>
      </w:r>
      <w:r w:rsidRPr="005B36A4">
        <w:t>who of course escorts him straightway to Morgenthaler’s own pit: for as we have already seen,</w:t>
      </w:r>
      <w:r w:rsidRPr="005B36A4">
        <w:rPr>
          <w:rStyle w:val="FootnoteReference"/>
        </w:rPr>
        <w:footnoteReference w:id="414"/>
      </w:r>
      <w:r w:rsidRPr="005B36A4">
        <w:t xml:space="preserve"> 39-49 contains not four parables</w:t>
      </w:r>
      <w:r w:rsidR="006F304D" w:rsidRPr="006F304D">
        <w:t xml:space="preserve">, </w:t>
      </w:r>
      <w:r w:rsidRPr="005B36A4">
        <w:t>but six.</w:t>
      </w:r>
    </w:p>
    <w:p w14:paraId="784E619D" w14:textId="7875B087" w:rsidR="0018433B" w:rsidRDefault="0018433B" w:rsidP="0018433B">
      <w:r>
        <w:tab/>
      </w:r>
      <w:r w:rsidRPr="005B36A4">
        <w:t>Talbert has nevertheless made a significant advance over Morgenthaler</w:t>
      </w:r>
      <w:r w:rsidR="006F304D" w:rsidRPr="006F304D">
        <w:t xml:space="preserve">, </w:t>
      </w:r>
      <w:r w:rsidRPr="005B36A4">
        <w:t>in that he</w:t>
      </w:r>
      <w:r w:rsidR="006F304D" w:rsidRPr="006F304D">
        <w:t xml:space="preserve">, </w:t>
      </w:r>
      <w:r w:rsidRPr="005B36A4">
        <w:t>like Grundmann and Ellis</w:t>
      </w:r>
      <w:r w:rsidR="006F304D" w:rsidRPr="006F304D">
        <w:t xml:space="preserve">, </w:t>
      </w:r>
      <w:r w:rsidRPr="005B36A4">
        <w:t>has eliminated Morgenthaler’s fanatical insistence on Luke’s use of a “princi</w:t>
      </w:r>
      <w:r w:rsidRPr="005B36A4">
        <w:softHyphen/>
        <w:t xml:space="preserve">ple of </w:t>
      </w:r>
      <w:proofErr w:type="spellStart"/>
      <w:r w:rsidRPr="005B36A4">
        <w:t>twofoldness</w:t>
      </w:r>
      <w:proofErr w:type="spellEnd"/>
      <w:r w:rsidRPr="005B36A4">
        <w:t>.” At the same time</w:t>
      </w:r>
      <w:r w:rsidR="006F304D" w:rsidRPr="006F304D">
        <w:t xml:space="preserve">, </w:t>
      </w:r>
      <w:r w:rsidRPr="005B36A4">
        <w:t>Talbert has retained what is most worthwhile in Morgen</w:t>
      </w:r>
      <w:r w:rsidRPr="005B36A4">
        <w:softHyphen/>
        <w:t>thaler’s observations</w:t>
      </w:r>
      <w:r w:rsidR="006F304D" w:rsidRPr="006F304D">
        <w:t xml:space="preserve">, </w:t>
      </w:r>
      <w:r w:rsidRPr="005B36A4">
        <w:t>namely</w:t>
      </w:r>
      <w:r w:rsidR="006F304D" w:rsidRPr="006F304D">
        <w:t xml:space="preserve">, </w:t>
      </w:r>
      <w:r w:rsidRPr="005B36A4">
        <w:t>the occur</w:t>
      </w:r>
      <w:r>
        <w:t>r</w:t>
      </w:r>
      <w:r w:rsidRPr="005B36A4">
        <w:t xml:space="preserve">ence in the sermon of some instances of </w:t>
      </w:r>
      <w:proofErr w:type="spellStart"/>
      <w:r w:rsidRPr="005B36A4">
        <w:rPr>
          <w:i/>
          <w:iCs/>
        </w:rPr>
        <w:t>Viererparallelismus</w:t>
      </w:r>
      <w:proofErr w:type="spellEnd"/>
      <w:r w:rsidRPr="005B36A4">
        <w:rPr>
          <w:iCs/>
        </w:rPr>
        <w:t xml:space="preserve">. </w:t>
      </w:r>
      <w:r w:rsidRPr="005B36A4">
        <w:t xml:space="preserve">But it is regrettable that Talbert creates out of these instances a new principle—a </w:t>
      </w:r>
      <w:proofErr w:type="spellStart"/>
      <w:r w:rsidRPr="005B36A4">
        <w:rPr>
          <w:i/>
          <w:iCs/>
        </w:rPr>
        <w:t>Vierergesetz</w:t>
      </w:r>
      <w:proofErr w:type="spellEnd"/>
      <w:r w:rsidRPr="005B36A4">
        <w:t>—which</w:t>
      </w:r>
      <w:r w:rsidR="006F304D" w:rsidRPr="006F304D">
        <w:t xml:space="preserve">, </w:t>
      </w:r>
      <w:r w:rsidRPr="005B36A4">
        <w:t>like Morgenthaler’s</w:t>
      </w:r>
      <w:r w:rsidR="006F304D" w:rsidRPr="006F304D">
        <w:t xml:space="preserve">, </w:t>
      </w:r>
      <w:r w:rsidRPr="005B36A4">
        <w:t>is applied with more rigor than the material warrants.</w:t>
      </w:r>
    </w:p>
    <w:p w14:paraId="7203AD88" w14:textId="77777777" w:rsidR="0018433B" w:rsidRPr="005B36A4" w:rsidRDefault="0018433B" w:rsidP="0018433B"/>
    <w:p w14:paraId="12253105" w14:textId="77777777" w:rsidR="0018433B" w:rsidRPr="005B36A4" w:rsidRDefault="0018433B" w:rsidP="00904123">
      <w:pPr>
        <w:pStyle w:val="Heading2"/>
      </w:pPr>
      <w:bookmarkStart w:id="40" w:name="_Toc147618622"/>
      <w:r w:rsidRPr="005B36A4">
        <w:t>6.</w:t>
      </w:r>
      <w:r>
        <w:t xml:space="preserve"> </w:t>
      </w:r>
      <w:r w:rsidRPr="005B36A4">
        <w:t xml:space="preserve">Scholars Marginally Influenced by the </w:t>
      </w:r>
      <w:r>
        <w:t xml:space="preserve">Numerical </w:t>
      </w:r>
      <w:r w:rsidRPr="005B36A4">
        <w:t>Tradition</w:t>
      </w:r>
      <w:bookmarkEnd w:id="40"/>
    </w:p>
    <w:p w14:paraId="37D654F9" w14:textId="77777777" w:rsidR="0018433B" w:rsidRPr="005B36A4" w:rsidRDefault="0018433B" w:rsidP="0018433B"/>
    <w:p w14:paraId="3486AB3A" w14:textId="77777777" w:rsidR="0018433B" w:rsidRPr="005B36A4" w:rsidRDefault="0018433B" w:rsidP="0018433B">
      <w:r>
        <w:tab/>
      </w:r>
      <w:r w:rsidRPr="005B36A4">
        <w:t>There remain to be examined those scholars who have felt the influence of the numerical tradition but who have not embraced numerical principles as the central means by which to discern the structure of the sermon on the plain.</w:t>
      </w:r>
      <w:r w:rsidRPr="005B36A4">
        <w:rPr>
          <w:rStyle w:val="FootnoteReference"/>
        </w:rPr>
        <w:footnoteReference w:id="415"/>
      </w:r>
    </w:p>
    <w:p w14:paraId="2D639096" w14:textId="0BD557E6" w:rsidR="0018433B" w:rsidRDefault="0018433B" w:rsidP="0018433B">
      <w:r>
        <w:lastRenderedPageBreak/>
        <w:tab/>
      </w:r>
      <w:r w:rsidRPr="005B36A4">
        <w:t xml:space="preserve">One scholar who shows the influence of the numerical tradition is </w:t>
      </w:r>
      <w:r w:rsidR="00DF22B8" w:rsidRPr="00DF22B8">
        <w:rPr>
          <w:iCs/>
        </w:rPr>
        <w:t>W.C.</w:t>
      </w:r>
      <w:r w:rsidRPr="005B36A4">
        <w:t xml:space="preserve"> van Unnik</w:t>
      </w:r>
      <w:r w:rsidR="006F304D" w:rsidRPr="006F304D">
        <w:t xml:space="preserve">, </w:t>
      </w:r>
      <w:r w:rsidRPr="005B36A4">
        <w:t xml:space="preserve">who in 1966 published an article on “Die </w:t>
      </w:r>
      <w:proofErr w:type="spellStart"/>
      <w:r w:rsidRPr="005B36A4">
        <w:t>Motivierung</w:t>
      </w:r>
      <w:proofErr w:type="spellEnd"/>
      <w:r w:rsidRPr="005B36A4">
        <w:t xml:space="preserve"> der </w:t>
      </w:r>
      <w:proofErr w:type="spellStart"/>
      <w:r w:rsidRPr="005B36A4">
        <w:t>Feindesliebe</w:t>
      </w:r>
      <w:proofErr w:type="spellEnd"/>
      <w:r w:rsidRPr="005B36A4">
        <w:t xml:space="preserve"> in Lukas VI 32-35.”</w:t>
      </w:r>
      <w:r w:rsidRPr="005B36A4">
        <w:rPr>
          <w:rStyle w:val="FootnoteReference"/>
        </w:rPr>
        <w:footnoteReference w:id="416"/>
      </w:r>
      <w:r w:rsidRPr="005B36A4">
        <w:t xml:space="preserve"> He argues for a principle of </w:t>
      </w:r>
      <w:proofErr w:type="spellStart"/>
      <w:r w:rsidRPr="005B36A4">
        <w:t>threefoldness</w:t>
      </w:r>
      <w:proofErr w:type="spellEnd"/>
      <w:r w:rsidRPr="005B36A4">
        <w:t>: “in Luke three sayings [29a</w:t>
      </w:r>
      <w:r w:rsidR="006F304D" w:rsidRPr="006F304D">
        <w:t xml:space="preserve">, </w:t>
      </w:r>
      <w:r w:rsidRPr="005B36A4">
        <w:t>29b</w:t>
      </w:r>
      <w:r w:rsidR="006F304D" w:rsidRPr="006F304D">
        <w:t xml:space="preserve">, </w:t>
      </w:r>
      <w:r w:rsidRPr="005B36A4">
        <w:t>30b]</w:t>
      </w:r>
      <w:r w:rsidR="006F304D" w:rsidRPr="006F304D">
        <w:t xml:space="preserve">, </w:t>
      </w:r>
      <w:r w:rsidRPr="005B36A4">
        <w:t xml:space="preserve">constructed almost in </w:t>
      </w:r>
      <w:proofErr w:type="spellStart"/>
      <w:r w:rsidRPr="005B36A4">
        <w:rPr>
          <w:i/>
          <w:iCs/>
        </w:rPr>
        <w:t>Parallelis</w:t>
      </w:r>
      <w:r w:rsidRPr="005B36A4">
        <w:rPr>
          <w:i/>
          <w:iCs/>
        </w:rPr>
        <w:softHyphen/>
        <w:t>mus</w:t>
      </w:r>
      <w:proofErr w:type="spellEnd"/>
      <w:r w:rsidRPr="005B36A4">
        <w:rPr>
          <w:i/>
          <w:iCs/>
        </w:rPr>
        <w:t xml:space="preserve"> </w:t>
      </w:r>
      <w:proofErr w:type="spellStart"/>
      <w:r w:rsidRPr="005B36A4">
        <w:rPr>
          <w:i/>
          <w:iCs/>
        </w:rPr>
        <w:t>membrorum</w:t>
      </w:r>
      <w:proofErr w:type="spellEnd"/>
      <w:r w:rsidR="006F304D" w:rsidRPr="006F304D">
        <w:rPr>
          <w:iCs/>
        </w:rPr>
        <w:t xml:space="preserve">, </w:t>
      </w:r>
      <w:r w:rsidRPr="005B36A4">
        <w:t>have been put together; he joined the three by taking up an element that in Mat</w:t>
      </w:r>
      <w:r w:rsidRPr="005B36A4">
        <w:softHyphen/>
        <w:t xml:space="preserve">thew had been given previously and in a different formulation (Matt 5:42) </w:t>
      </w:r>
      <w:r w:rsidRPr="00E149A1">
        <w:t>. . .</w:t>
      </w:r>
      <w:r w:rsidRPr="005B36A4">
        <w:t xml:space="preserve"> Here is seen the preference in Luke for a </w:t>
      </w:r>
      <w:proofErr w:type="spellStart"/>
      <w:r w:rsidRPr="005B36A4">
        <w:rPr>
          <w:i/>
          <w:iCs/>
        </w:rPr>
        <w:t>Dreiheitzgesetz</w:t>
      </w:r>
      <w:proofErr w:type="spellEnd"/>
      <w:r w:rsidRPr="005B36A4">
        <w:rPr>
          <w:iCs/>
        </w:rPr>
        <w:t>.</w:t>
      </w:r>
      <w:r w:rsidRPr="005B36A4">
        <w:t>’”</w:t>
      </w:r>
      <w:r w:rsidRPr="005B36A4">
        <w:rPr>
          <w:rStyle w:val="FootnoteReference"/>
        </w:rPr>
        <w:footnoteReference w:id="417"/>
      </w:r>
      <w:r w:rsidRPr="005B36A4">
        <w:t xml:space="preserve"> The verses in Luke read:</w:t>
      </w:r>
    </w:p>
    <w:p w14:paraId="5FAE8D07" w14:textId="77777777" w:rsidR="0018433B" w:rsidRPr="005B36A4" w:rsidRDefault="0018433B" w:rsidP="0018433B"/>
    <w:p w14:paraId="46652AC5" w14:textId="23036FD4" w:rsidR="0018433B" w:rsidRPr="005B36A4" w:rsidRDefault="0018433B" w:rsidP="0018433B">
      <w:pPr>
        <w:ind w:left="720"/>
      </w:pPr>
      <w:r w:rsidRPr="005B36A4">
        <w:t>29a</w:t>
      </w:r>
      <w:r w:rsidRPr="005B36A4">
        <w:tab/>
        <w:t>If anyone strikes you on the cheek</w:t>
      </w:r>
      <w:r w:rsidR="006F304D" w:rsidRPr="006F304D">
        <w:t xml:space="preserve">, </w:t>
      </w:r>
      <w:r w:rsidRPr="005B36A4">
        <w:t>offer the other also;</w:t>
      </w:r>
    </w:p>
    <w:p w14:paraId="3226B09E" w14:textId="77777777" w:rsidR="0018433B" w:rsidRPr="005B36A4" w:rsidRDefault="0018433B" w:rsidP="0018433B">
      <w:pPr>
        <w:ind w:left="720"/>
      </w:pPr>
      <w:r w:rsidRPr="005B36A4">
        <w:t>29b</w:t>
      </w:r>
      <w:r w:rsidRPr="005B36A4">
        <w:tab/>
        <w:t>and from anyone who takes away your coat do not withhold even your shirt.</w:t>
      </w:r>
    </w:p>
    <w:p w14:paraId="11526A34" w14:textId="77777777" w:rsidR="0018433B" w:rsidRPr="005B36A4" w:rsidRDefault="0018433B" w:rsidP="0018433B">
      <w:pPr>
        <w:ind w:left="720"/>
      </w:pPr>
      <w:r w:rsidRPr="005B36A4">
        <w:t>30a</w:t>
      </w:r>
      <w:r w:rsidRPr="005B36A4">
        <w:tab/>
        <w:t>Give to everyone who begs from you;</w:t>
      </w:r>
    </w:p>
    <w:p w14:paraId="21C10756" w14:textId="6D12830E" w:rsidR="0018433B" w:rsidRPr="005B36A4" w:rsidRDefault="0018433B" w:rsidP="0018433B">
      <w:pPr>
        <w:ind w:left="720"/>
      </w:pPr>
      <w:r w:rsidRPr="005B36A4">
        <w:t>30b</w:t>
      </w:r>
      <w:r w:rsidRPr="005B36A4">
        <w:tab/>
        <w:t>and if anyone takes away your goods</w:t>
      </w:r>
      <w:r w:rsidR="006F304D" w:rsidRPr="006F304D">
        <w:t xml:space="preserve">, </w:t>
      </w:r>
      <w:r w:rsidRPr="005B36A4">
        <w:t>do not ask for them again.</w:t>
      </w:r>
    </w:p>
    <w:p w14:paraId="05433BCC" w14:textId="77777777" w:rsidR="0018433B" w:rsidRDefault="0018433B" w:rsidP="0018433B"/>
    <w:p w14:paraId="7F59B482" w14:textId="10D15040" w:rsidR="0018433B" w:rsidRPr="005B36A4" w:rsidRDefault="0018433B" w:rsidP="0018433B">
      <w:r w:rsidRPr="005B36A4">
        <w:t>The hypothesis is that Luke combined parallel versicles</w:t>
      </w:r>
      <w:r w:rsidR="006F304D" w:rsidRPr="006F304D">
        <w:t xml:space="preserve">, </w:t>
      </w:r>
      <w:r w:rsidRPr="005B36A4">
        <w:t>29a</w:t>
      </w:r>
      <w:r w:rsidR="006F304D" w:rsidRPr="006F304D">
        <w:t xml:space="preserve">, </w:t>
      </w:r>
      <w:r w:rsidRPr="005B36A4">
        <w:t>29b</w:t>
      </w:r>
      <w:r w:rsidR="006F304D" w:rsidRPr="006F304D">
        <w:t xml:space="preserve">, </w:t>
      </w:r>
      <w:r w:rsidRPr="005B36A4">
        <w:t>and 30b</w:t>
      </w:r>
      <w:r w:rsidR="006F304D" w:rsidRPr="006F304D">
        <w:t xml:space="preserve">, </w:t>
      </w:r>
      <w:r w:rsidRPr="005B36A4">
        <w:t>by using a bit of Q material found also in Matt 5:42a: “Give to everyone who begs from you,” and that Luke therefore must have had a preference for a “law of three.” Now</w:t>
      </w:r>
      <w:r w:rsidR="006F304D" w:rsidRPr="006F304D">
        <w:t xml:space="preserve">, </w:t>
      </w:r>
      <w:r w:rsidRPr="005B36A4">
        <w:t xml:space="preserve">aside from the tradition-historical questions that arise from the (unexamined) assumption that Luke and not an earlier </w:t>
      </w:r>
      <w:proofErr w:type="spellStart"/>
      <w:r w:rsidRPr="005B36A4">
        <w:t>tradent</w:t>
      </w:r>
      <w:proofErr w:type="spellEnd"/>
      <w:r w:rsidRPr="005B36A4">
        <w:t xml:space="preserve"> (</w:t>
      </w:r>
      <w:r w:rsidR="00775F9B" w:rsidRPr="00775F9B">
        <w:rPr>
          <w:iCs/>
        </w:rPr>
        <w:t>e.g.</w:t>
      </w:r>
      <w:r w:rsidR="006F304D" w:rsidRPr="006F304D">
        <w:t xml:space="preserve">, </w:t>
      </w:r>
      <w:r w:rsidRPr="005B36A4">
        <w:t>the author of Q) was responsible for the collocation of 29a</w:t>
      </w:r>
      <w:r w:rsidR="006F304D" w:rsidRPr="006F304D">
        <w:t xml:space="preserve">, </w:t>
      </w:r>
      <w:r w:rsidRPr="005B36A4">
        <w:t>29b</w:t>
      </w:r>
      <w:r w:rsidR="006F304D" w:rsidRPr="006F304D">
        <w:t xml:space="preserve">, </w:t>
      </w:r>
      <w:r w:rsidRPr="005B36A4">
        <w:t>and 30b</w:t>
      </w:r>
      <w:r w:rsidR="006F304D" w:rsidRPr="006F304D">
        <w:t xml:space="preserve">, </w:t>
      </w:r>
      <w:r w:rsidRPr="005B36A4">
        <w:t xml:space="preserve">to say that conjoining these three by means of 30a manifests </w:t>
      </w:r>
      <w:proofErr w:type="spellStart"/>
      <w:r w:rsidRPr="005B36A4">
        <w:rPr>
          <w:i/>
          <w:iCs/>
        </w:rPr>
        <w:t>Dreiheitsgesetz</w:t>
      </w:r>
      <w:proofErr w:type="spellEnd"/>
      <w:r w:rsidRPr="005B36A4">
        <w:t xml:space="preserve"> is nonsensical: adding 30a creates a fourfold unit.</w:t>
      </w:r>
    </w:p>
    <w:p w14:paraId="2F6ED04B" w14:textId="11F084DA" w:rsidR="0018433B" w:rsidRPr="005B36A4" w:rsidRDefault="0018433B" w:rsidP="0018433B">
      <w:r>
        <w:tab/>
      </w:r>
      <w:r w:rsidRPr="005B36A4">
        <w:t xml:space="preserve">But van </w:t>
      </w:r>
      <w:proofErr w:type="spellStart"/>
      <w:r w:rsidRPr="005B36A4">
        <w:t>Unnik</w:t>
      </w:r>
      <w:proofErr w:type="spellEnd"/>
      <w:r w:rsidRPr="005B36A4">
        <w:t xml:space="preserve"> goes further: because Luke prefers </w:t>
      </w:r>
      <w:proofErr w:type="spellStart"/>
      <w:r w:rsidRPr="005B36A4">
        <w:t>threefoldness</w:t>
      </w:r>
      <w:proofErr w:type="spellEnd"/>
      <w:r w:rsidR="006F304D" w:rsidRPr="006F304D">
        <w:t xml:space="preserve">, </w:t>
      </w:r>
      <w:r w:rsidRPr="005B36A4">
        <w:t xml:space="preserve">in 32-34 he “repeats </w:t>
      </w:r>
      <w:proofErr w:type="spellStart"/>
      <w:r w:rsidRPr="005B36A4">
        <w:t>χάρις</w:t>
      </w:r>
      <w:proofErr w:type="spellEnd"/>
      <w:r w:rsidRPr="005B36A4">
        <w:t xml:space="preserve"> [“credit”] three times where Matthew has </w:t>
      </w:r>
      <w:proofErr w:type="spellStart"/>
      <w:r w:rsidRPr="005B36A4">
        <w:t>μισθόv</w:t>
      </w:r>
      <w:proofErr w:type="spellEnd"/>
      <w:r w:rsidRPr="005B36A4">
        <w:t xml:space="preserve"> [“reward”] (Matt 5:46) and </w:t>
      </w:r>
      <w:proofErr w:type="spellStart"/>
      <w:r w:rsidRPr="0056101B">
        <w:t>τί</w:t>
      </w:r>
      <w:proofErr w:type="spellEnd"/>
      <w:r w:rsidRPr="0056101B">
        <w:t xml:space="preserve"> π</w:t>
      </w:r>
      <w:proofErr w:type="spellStart"/>
      <w:r w:rsidRPr="0056101B">
        <w:t>ερισσ</w:t>
      </w:r>
      <w:r w:rsidRPr="005B36A4">
        <w:t>όv</w:t>
      </w:r>
      <w:proofErr w:type="spellEnd"/>
      <w:r w:rsidRPr="005B36A4">
        <w:t xml:space="preserve"> [“what more” (5:47)</w:t>
      </w:r>
      <w:r w:rsidR="006F304D" w:rsidRPr="006F304D">
        <w:t xml:space="preserve">, </w:t>
      </w:r>
      <w:r w:rsidRPr="005B36A4">
        <w:t xml:space="preserve">and] he characterizes the people as </w:t>
      </w:r>
      <w:proofErr w:type="spellStart"/>
      <w:r w:rsidRPr="00CB0999">
        <w:rPr>
          <w:szCs w:val="22"/>
          <w:lang w:bidi="he-IL"/>
        </w:rPr>
        <w:t>ἁ</w:t>
      </w:r>
      <w:r w:rsidRPr="005B36A4">
        <w:t>μ</w:t>
      </w:r>
      <w:proofErr w:type="spellEnd"/>
      <w:r w:rsidRPr="005B36A4">
        <w:t>αρτωλoί [“sinners”]</w:t>
      </w:r>
      <w:r w:rsidR="006F304D" w:rsidRPr="006F304D">
        <w:t xml:space="preserve">, </w:t>
      </w:r>
      <w:r w:rsidRPr="005B36A4">
        <w:t>again three times</w:t>
      </w:r>
      <w:r w:rsidR="006F304D" w:rsidRPr="006F304D">
        <w:t xml:space="preserve">, </w:t>
      </w:r>
      <w:r w:rsidRPr="005B36A4">
        <w:t xml:space="preserve">whereas in Matthew the reference is to </w:t>
      </w:r>
      <w:proofErr w:type="spellStart"/>
      <w:r w:rsidRPr="005B36A4">
        <w:t>τελ</w:t>
      </w:r>
      <w:r w:rsidRPr="00CB0999">
        <w:rPr>
          <w:szCs w:val="22"/>
          <w:lang w:bidi="he-IL"/>
        </w:rPr>
        <w:t>ῶ</w:t>
      </w:r>
      <w:r>
        <w:rPr>
          <w:szCs w:val="22"/>
          <w:lang w:bidi="he-IL"/>
        </w:rPr>
        <w:t>ν</w:t>
      </w:r>
      <w:proofErr w:type="spellEnd"/>
      <w:r w:rsidRPr="005B36A4">
        <w:t xml:space="preserve">αι [“tax collectors”] and </w:t>
      </w:r>
      <w:proofErr w:type="spellStart"/>
      <w:r w:rsidRPr="00CB0999">
        <w:rPr>
          <w:szCs w:val="22"/>
          <w:lang w:bidi="he-IL"/>
        </w:rPr>
        <w:t>ἐ</w:t>
      </w:r>
      <w:r>
        <w:t>θvικ</w:t>
      </w:r>
      <w:r w:rsidRPr="005B36A4">
        <w:t>oί</w:t>
      </w:r>
      <w:proofErr w:type="spellEnd"/>
      <w:r w:rsidRPr="005B36A4">
        <w:t xml:space="preserve"> [“Gentiles”].”</w:t>
      </w:r>
      <w:r w:rsidRPr="005B36A4">
        <w:rPr>
          <w:rStyle w:val="FootnoteReference"/>
        </w:rPr>
        <w:footnoteReference w:id="418"/>
      </w:r>
      <w:r w:rsidRPr="005B36A4">
        <w:t xml:space="preserve"> But the uniformity in Luke may or may not result from a desire for </w:t>
      </w:r>
      <w:proofErr w:type="spellStart"/>
      <w:r w:rsidRPr="005B36A4">
        <w:t>threefoldness</w:t>
      </w:r>
      <w:proofErr w:type="spellEnd"/>
      <w:r w:rsidRPr="005B36A4">
        <w:t>: even granted the (unexamined) assumption that Matthew has the more original reading</w:t>
      </w:r>
      <w:r w:rsidR="006F304D" w:rsidRPr="006F304D">
        <w:t xml:space="preserve">, </w:t>
      </w:r>
      <w:r w:rsidRPr="005B36A4">
        <w:t xml:space="preserve">van </w:t>
      </w:r>
      <w:proofErr w:type="spellStart"/>
      <w:r w:rsidRPr="005B36A4">
        <w:t>Unnik</w:t>
      </w:r>
      <w:proofErr w:type="spellEnd"/>
      <w:r w:rsidRPr="005B36A4">
        <w:t xml:space="preserve"> himself supplies another</w:t>
      </w:r>
      <w:r w:rsidR="006F304D" w:rsidRPr="006F304D">
        <w:t xml:space="preserve">, </w:t>
      </w:r>
      <w:r w:rsidRPr="005B36A4">
        <w:t>equally adequate reason for Luke’s homogeneity: “Luke’s Hellenism.”</w:t>
      </w:r>
      <w:r w:rsidRPr="005B36A4">
        <w:rPr>
          <w:rStyle w:val="FootnoteReference"/>
        </w:rPr>
        <w:footnoteReference w:id="419"/>
      </w:r>
    </w:p>
    <w:p w14:paraId="4939AAD5" w14:textId="7D3BDAD8" w:rsidR="0018433B" w:rsidRPr="005B36A4" w:rsidRDefault="0018433B" w:rsidP="0018433B">
      <w:r>
        <w:tab/>
      </w:r>
      <w:r w:rsidRPr="005B36A4">
        <w:t>A scholar who attempts much more extensively to ascribe numerical principles to Luke is Wilhelm Wilkens.</w:t>
      </w:r>
      <w:r w:rsidRPr="005B36A4">
        <w:rPr>
          <w:rStyle w:val="FootnoteReference"/>
        </w:rPr>
        <w:footnoteReference w:id="420"/>
      </w:r>
      <w:r w:rsidRPr="005B36A4">
        <w:t xml:space="preserve"> Like van </w:t>
      </w:r>
      <w:proofErr w:type="spellStart"/>
      <w:r w:rsidRPr="005B36A4">
        <w:t>Unnik</w:t>
      </w:r>
      <w:proofErr w:type="spellEnd"/>
      <w:r w:rsidR="006F304D" w:rsidRPr="006F304D">
        <w:t xml:space="preserve">, </w:t>
      </w:r>
      <w:r w:rsidRPr="005B36A4">
        <w:t xml:space="preserve">Wilkens sees </w:t>
      </w:r>
      <w:proofErr w:type="spellStart"/>
      <w:r w:rsidRPr="005B36A4">
        <w:t>threefoldness</w:t>
      </w:r>
      <w:proofErr w:type="spellEnd"/>
      <w:r w:rsidRPr="005B36A4">
        <w:t xml:space="preserve"> at work</w:t>
      </w:r>
      <w:r w:rsidR="006F304D" w:rsidRPr="006F304D">
        <w:t xml:space="preserve">, </w:t>
      </w:r>
      <w:r w:rsidRPr="005B36A4">
        <w:t xml:space="preserve">but he adds to </w:t>
      </w:r>
      <w:proofErr w:type="spellStart"/>
      <w:r w:rsidRPr="005B36A4">
        <w:rPr>
          <w:i/>
          <w:iCs/>
        </w:rPr>
        <w:t>Dreiheitsge</w:t>
      </w:r>
      <w:r w:rsidRPr="005B36A4">
        <w:rPr>
          <w:i/>
          <w:iCs/>
        </w:rPr>
        <w:softHyphen/>
        <w:t>setz</w:t>
      </w:r>
      <w:proofErr w:type="spellEnd"/>
      <w:r w:rsidRPr="005B36A4">
        <w:t xml:space="preserve"> (or</w:t>
      </w:r>
      <w:r w:rsidR="006F304D" w:rsidRPr="006F304D">
        <w:t xml:space="preserve">, </w:t>
      </w:r>
      <w:r w:rsidRPr="005B36A4">
        <w:t>his preferred term</w:t>
      </w:r>
      <w:r w:rsidR="006F304D" w:rsidRPr="006F304D">
        <w:t xml:space="preserve">, </w:t>
      </w:r>
      <w:proofErr w:type="spellStart"/>
      <w:r w:rsidRPr="005B36A4">
        <w:rPr>
          <w:i/>
          <w:iCs/>
        </w:rPr>
        <w:t>Dreischrittkomposition</w:t>
      </w:r>
      <w:proofErr w:type="spellEnd"/>
      <w:r w:rsidRPr="005B36A4">
        <w:t xml:space="preserve">) a </w:t>
      </w:r>
      <w:proofErr w:type="spellStart"/>
      <w:r w:rsidRPr="005B36A4">
        <w:t>contentual</w:t>
      </w:r>
      <w:proofErr w:type="spellEnd"/>
      <w:r w:rsidRPr="005B36A4">
        <w:t xml:space="preserve"> twist: the threefold </w:t>
      </w:r>
      <w:r w:rsidRPr="005B36A4">
        <w:lastRenderedPageBreak/>
        <w:t>principle in Luke is that of proclamation—revelation—mission. The gospel as a whole</w:t>
      </w:r>
      <w:r w:rsidR="006F304D" w:rsidRPr="006F304D">
        <w:t xml:space="preserve">, </w:t>
      </w:r>
      <w:r w:rsidRPr="005B36A4">
        <w:t>he claims</w:t>
      </w:r>
      <w:r w:rsidR="006F304D" w:rsidRPr="006F304D">
        <w:t xml:space="preserve">, </w:t>
      </w:r>
      <w:r w:rsidRPr="005B36A4">
        <w:t>conforms to this principle: the gospel’s “primary divisions” (</w:t>
      </w:r>
      <w:proofErr w:type="spellStart"/>
      <w:r w:rsidRPr="005B36A4">
        <w:rPr>
          <w:i/>
          <w:iCs/>
        </w:rPr>
        <w:t>Hauptteile</w:t>
      </w:r>
      <w:proofErr w:type="spellEnd"/>
      <w:r w:rsidRPr="005B36A4">
        <w:t>) are Jesus’ proclamation in word and deed (1:1-9:50)</w:t>
      </w:r>
      <w:r w:rsidR="006F304D" w:rsidRPr="006F304D">
        <w:t xml:space="preserve">, </w:t>
      </w:r>
      <w:r w:rsidRPr="005B36A4">
        <w:t>his way to the cross (9:51-19:27)</w:t>
      </w:r>
      <w:r w:rsidR="006F304D" w:rsidRPr="006F304D">
        <w:t xml:space="preserve">, </w:t>
      </w:r>
      <w:r w:rsidRPr="005B36A4">
        <w:t>and Easter (19:28-24:53).</w:t>
      </w:r>
      <w:r w:rsidRPr="005B36A4">
        <w:rPr>
          <w:rStyle w:val="FootnoteReference"/>
        </w:rPr>
        <w:footnoteReference w:id="421"/>
      </w:r>
    </w:p>
    <w:p w14:paraId="445B8233" w14:textId="601E6CE3" w:rsidR="0018433B" w:rsidRDefault="0018433B" w:rsidP="0018433B">
      <w:r>
        <w:tab/>
      </w:r>
      <w:r w:rsidRPr="005B36A4">
        <w:t>But when one examines in detail Wilkens’s treatment of the sermon on the plain</w:t>
      </w:r>
      <w:r w:rsidR="006F304D" w:rsidRPr="006F304D">
        <w:t xml:space="preserve">, </w:t>
      </w:r>
      <w:r w:rsidRPr="005B36A4">
        <w:t xml:space="preserve">one can see how his principle of </w:t>
      </w:r>
      <w:proofErr w:type="spellStart"/>
      <w:r w:rsidRPr="005B36A4">
        <w:rPr>
          <w:i/>
          <w:iCs/>
        </w:rPr>
        <w:t>Dreischrittkomposition</w:t>
      </w:r>
      <w:proofErr w:type="spellEnd"/>
      <w:r w:rsidRPr="005B36A4">
        <w:t xml:space="preserve"> begins to deteriorate. Here is his outline of Luke 6:12-7:50:</w:t>
      </w:r>
      <w:r w:rsidRPr="005B36A4">
        <w:rPr>
          <w:rStyle w:val="FootnoteReference"/>
        </w:rPr>
        <w:footnoteReference w:id="422"/>
      </w:r>
    </w:p>
    <w:p w14:paraId="059EA9AF" w14:textId="77777777" w:rsidR="0018433B" w:rsidRPr="005B36A4" w:rsidRDefault="0018433B" w:rsidP="001771B1"/>
    <w:p w14:paraId="32E0592B" w14:textId="77777777" w:rsidR="0018433B" w:rsidRPr="005B36A4" w:rsidRDefault="0018433B" w:rsidP="001771B1">
      <w:pPr>
        <w:tabs>
          <w:tab w:val="left" w:pos="720"/>
          <w:tab w:val="left" w:pos="1080"/>
          <w:tab w:val="left" w:pos="1440"/>
          <w:tab w:val="left" w:pos="1800"/>
          <w:tab w:val="left" w:pos="2160"/>
          <w:tab w:val="left" w:pos="7740"/>
        </w:tabs>
      </w:pPr>
      <w:r>
        <w:tab/>
      </w:r>
      <w:bookmarkStart w:id="41" w:name="_Toc147618623"/>
      <w:bookmarkStart w:id="42" w:name="_Hlk147619081"/>
      <w:r>
        <w:t>1.</w:t>
      </w:r>
      <w:r>
        <w:tab/>
      </w:r>
      <w:r w:rsidRPr="005B36A4">
        <w:t>Jesus chooses the twelve apostles and introduces</w:t>
      </w:r>
      <w:r>
        <w:t xml:space="preserve"> </w:t>
      </w:r>
      <w:r w:rsidRPr="005B36A4">
        <w:t>them to his work</w:t>
      </w:r>
      <w:r>
        <w:tab/>
      </w:r>
      <w:r w:rsidRPr="005B36A4">
        <w:t>6:12-7:50</w:t>
      </w:r>
      <w:bookmarkEnd w:id="41"/>
    </w:p>
    <w:p w14:paraId="63C9A21B" w14:textId="77777777" w:rsidR="0018433B" w:rsidRPr="005B36A4" w:rsidRDefault="0018433B" w:rsidP="001771B1">
      <w:pPr>
        <w:tabs>
          <w:tab w:val="left" w:pos="720"/>
          <w:tab w:val="left" w:pos="1080"/>
          <w:tab w:val="left" w:pos="1440"/>
          <w:tab w:val="left" w:pos="1800"/>
          <w:tab w:val="left" w:pos="2160"/>
          <w:tab w:val="left" w:pos="7740"/>
        </w:tabs>
      </w:pPr>
      <w:r>
        <w:tab/>
      </w:r>
      <w:r>
        <w:tab/>
      </w:r>
      <w:bookmarkStart w:id="43" w:name="_Toc147618624"/>
      <w:r>
        <w:t>a.</w:t>
      </w:r>
      <w:r>
        <w:tab/>
      </w:r>
      <w:r w:rsidRPr="005B36A4">
        <w:t>the “</w:t>
      </w:r>
      <w:proofErr w:type="spellStart"/>
      <w:r w:rsidRPr="005B36A4">
        <w:t>deedpower</w:t>
      </w:r>
      <w:proofErr w:type="spellEnd"/>
      <w:r w:rsidRPr="005B36A4">
        <w:t>” of the words</w:t>
      </w:r>
      <w:r w:rsidRPr="005B36A4">
        <w:tab/>
        <w:t>6:12-49</w:t>
      </w:r>
      <w:bookmarkEnd w:id="43"/>
    </w:p>
    <w:p w14:paraId="495CDDB2" w14:textId="77777777" w:rsidR="0018433B" w:rsidRPr="005B36A4" w:rsidRDefault="0018433B" w:rsidP="001771B1">
      <w:pPr>
        <w:tabs>
          <w:tab w:val="left" w:pos="720"/>
          <w:tab w:val="left" w:pos="1080"/>
          <w:tab w:val="left" w:pos="1440"/>
          <w:tab w:val="left" w:pos="1800"/>
          <w:tab w:val="left" w:pos="2160"/>
          <w:tab w:val="left" w:pos="7740"/>
        </w:tabs>
      </w:pPr>
      <w:r>
        <w:tab/>
      </w:r>
      <w:r>
        <w:tab/>
      </w:r>
      <w:r>
        <w:tab/>
        <w:t>1)</w:t>
      </w:r>
      <w:r>
        <w:tab/>
      </w:r>
      <w:r w:rsidRPr="005B36A4">
        <w:t>the choosing of the twelve</w:t>
      </w:r>
      <w:r w:rsidRPr="005B36A4">
        <w:tab/>
        <w:t>6:12:19</w:t>
      </w:r>
    </w:p>
    <w:p w14:paraId="0AB1C11F" w14:textId="77777777" w:rsidR="0018433B" w:rsidRPr="005B36A4" w:rsidRDefault="0018433B" w:rsidP="001771B1">
      <w:pPr>
        <w:tabs>
          <w:tab w:val="left" w:pos="720"/>
          <w:tab w:val="left" w:pos="1080"/>
          <w:tab w:val="left" w:pos="1440"/>
          <w:tab w:val="left" w:pos="1800"/>
          <w:tab w:val="left" w:pos="2160"/>
          <w:tab w:val="left" w:pos="7740"/>
        </w:tabs>
      </w:pPr>
      <w:r>
        <w:tab/>
      </w:r>
      <w:r>
        <w:tab/>
      </w:r>
      <w:r>
        <w:tab/>
        <w:t>2)</w:t>
      </w:r>
      <w:r>
        <w:tab/>
      </w:r>
      <w:r w:rsidRPr="005B36A4">
        <w:t>the sermon on the plain</w:t>
      </w:r>
      <w:r w:rsidRPr="005B36A4">
        <w:tab/>
        <w:t>6:20-46</w:t>
      </w:r>
    </w:p>
    <w:p w14:paraId="604A725D" w14:textId="77777777" w:rsidR="0018433B" w:rsidRPr="005B36A4" w:rsidRDefault="0018433B" w:rsidP="001771B1">
      <w:pPr>
        <w:tabs>
          <w:tab w:val="left" w:pos="720"/>
          <w:tab w:val="left" w:pos="1080"/>
          <w:tab w:val="left" w:pos="1440"/>
          <w:tab w:val="left" w:pos="1800"/>
          <w:tab w:val="left" w:pos="2160"/>
          <w:tab w:val="left" w:pos="7740"/>
        </w:tabs>
      </w:pPr>
      <w:r>
        <w:tab/>
      </w:r>
      <w:r>
        <w:tab/>
      </w:r>
      <w:r>
        <w:tab/>
      </w:r>
      <w:r>
        <w:tab/>
        <w:t>a)</w:t>
      </w:r>
      <w:r>
        <w:tab/>
      </w:r>
      <w:r w:rsidRPr="005B36A4">
        <w:t>beatitudes and woes</w:t>
      </w:r>
      <w:r w:rsidRPr="005B36A4">
        <w:tab/>
        <w:t>6:20-26</w:t>
      </w:r>
    </w:p>
    <w:p w14:paraId="23124B27" w14:textId="77777777" w:rsidR="0018433B" w:rsidRPr="005B36A4" w:rsidRDefault="0018433B" w:rsidP="001771B1">
      <w:pPr>
        <w:tabs>
          <w:tab w:val="left" w:pos="720"/>
          <w:tab w:val="left" w:pos="1080"/>
          <w:tab w:val="left" w:pos="1440"/>
          <w:tab w:val="left" w:pos="1800"/>
          <w:tab w:val="left" w:pos="2160"/>
          <w:tab w:val="left" w:pos="7740"/>
        </w:tabs>
      </w:pPr>
      <w:r>
        <w:tab/>
      </w:r>
      <w:r>
        <w:tab/>
      </w:r>
      <w:r>
        <w:tab/>
      </w:r>
      <w:r>
        <w:tab/>
        <w:t>b)</w:t>
      </w:r>
      <w:r>
        <w:tab/>
      </w:r>
      <w:r w:rsidRPr="005B36A4">
        <w:t>the message of love of enemies</w:t>
      </w:r>
      <w:r w:rsidRPr="005B36A4">
        <w:tab/>
        <w:t>6:27-35</w:t>
      </w:r>
    </w:p>
    <w:p w14:paraId="0FD9EA31" w14:textId="77777777" w:rsidR="0018433B" w:rsidRPr="005B36A4" w:rsidRDefault="0018433B" w:rsidP="001771B1">
      <w:pPr>
        <w:tabs>
          <w:tab w:val="left" w:pos="720"/>
          <w:tab w:val="left" w:pos="1080"/>
          <w:tab w:val="left" w:pos="1440"/>
          <w:tab w:val="left" w:pos="1800"/>
          <w:tab w:val="left" w:pos="2160"/>
          <w:tab w:val="left" w:pos="7740"/>
        </w:tabs>
      </w:pPr>
      <w:r>
        <w:tab/>
      </w:r>
      <w:r>
        <w:tab/>
      </w:r>
      <w:r>
        <w:tab/>
      </w:r>
      <w:r>
        <w:tab/>
        <w:t>c)</w:t>
      </w:r>
      <w:r>
        <w:tab/>
      </w:r>
      <w:r w:rsidRPr="005B36A4">
        <w:t>the call to compassion</w:t>
      </w:r>
      <w:r w:rsidRPr="005B36A4">
        <w:tab/>
        <w:t>6:36-46</w:t>
      </w:r>
    </w:p>
    <w:p w14:paraId="35FA172B" w14:textId="77777777" w:rsidR="0018433B" w:rsidRPr="005B36A4" w:rsidRDefault="0018433B" w:rsidP="001771B1">
      <w:pPr>
        <w:tabs>
          <w:tab w:val="left" w:pos="720"/>
          <w:tab w:val="left" w:pos="1080"/>
          <w:tab w:val="left" w:pos="1440"/>
          <w:tab w:val="left" w:pos="1800"/>
          <w:tab w:val="left" w:pos="2160"/>
          <w:tab w:val="left" w:pos="7740"/>
        </w:tabs>
      </w:pPr>
      <w:r>
        <w:tab/>
      </w:r>
      <w:r>
        <w:tab/>
      </w:r>
      <w:r>
        <w:tab/>
        <w:t>3)</w:t>
      </w:r>
      <w:r>
        <w:tab/>
      </w:r>
      <w:r w:rsidRPr="005B36A4">
        <w:t>to hear and to do</w:t>
      </w:r>
      <w:r w:rsidRPr="005B36A4">
        <w:tab/>
        <w:t>6:47-49</w:t>
      </w:r>
    </w:p>
    <w:p w14:paraId="56579D65" w14:textId="77777777" w:rsidR="0018433B" w:rsidRPr="005B36A4" w:rsidRDefault="0018433B" w:rsidP="001771B1">
      <w:pPr>
        <w:tabs>
          <w:tab w:val="left" w:pos="720"/>
          <w:tab w:val="left" w:pos="1080"/>
          <w:tab w:val="left" w:pos="1440"/>
          <w:tab w:val="left" w:pos="1800"/>
          <w:tab w:val="left" w:pos="2160"/>
          <w:tab w:val="left" w:pos="7740"/>
        </w:tabs>
      </w:pPr>
      <w:r>
        <w:tab/>
      </w:r>
      <w:r>
        <w:tab/>
      </w:r>
      <w:bookmarkStart w:id="44" w:name="_Toc147618625"/>
      <w:r>
        <w:t>b.</w:t>
      </w:r>
      <w:r>
        <w:tab/>
      </w:r>
      <w:r w:rsidRPr="005B36A4">
        <w:t>the “</w:t>
      </w:r>
      <w:proofErr w:type="spellStart"/>
      <w:r w:rsidRPr="005B36A4">
        <w:t>wordpower</w:t>
      </w:r>
      <w:proofErr w:type="spellEnd"/>
      <w:r w:rsidRPr="005B36A4">
        <w:t>” of the deed</w:t>
      </w:r>
      <w:r w:rsidRPr="005B36A4">
        <w:tab/>
        <w:t>7:1-50</w:t>
      </w:r>
      <w:bookmarkEnd w:id="44"/>
    </w:p>
    <w:p w14:paraId="7A3DFE2F" w14:textId="77777777" w:rsidR="0018433B" w:rsidRPr="005B36A4" w:rsidRDefault="0018433B" w:rsidP="001771B1">
      <w:pPr>
        <w:tabs>
          <w:tab w:val="left" w:pos="720"/>
          <w:tab w:val="left" w:pos="1080"/>
          <w:tab w:val="left" w:pos="1440"/>
          <w:tab w:val="left" w:pos="1800"/>
          <w:tab w:val="left" w:pos="2160"/>
          <w:tab w:val="left" w:pos="7740"/>
        </w:tabs>
      </w:pPr>
      <w:r>
        <w:tab/>
      </w:r>
      <w:r>
        <w:tab/>
      </w:r>
      <w:r>
        <w:tab/>
        <w:t>1)</w:t>
      </w:r>
      <w:r>
        <w:tab/>
      </w:r>
      <w:r w:rsidRPr="005B36A4">
        <w:t>“a greater prophet”</w:t>
      </w:r>
      <w:r w:rsidRPr="005B36A4">
        <w:tab/>
        <w:t>7:1-17</w:t>
      </w:r>
    </w:p>
    <w:p w14:paraId="374D50C1" w14:textId="77777777" w:rsidR="0018433B" w:rsidRPr="005B36A4" w:rsidRDefault="0018433B" w:rsidP="001771B1">
      <w:pPr>
        <w:tabs>
          <w:tab w:val="left" w:pos="720"/>
          <w:tab w:val="left" w:pos="1080"/>
          <w:tab w:val="left" w:pos="1440"/>
          <w:tab w:val="left" w:pos="1800"/>
          <w:tab w:val="left" w:pos="2160"/>
          <w:tab w:val="left" w:pos="7740"/>
        </w:tabs>
      </w:pPr>
      <w:r>
        <w:tab/>
      </w:r>
      <w:r>
        <w:tab/>
      </w:r>
      <w:r>
        <w:tab/>
        <w:t>2)</w:t>
      </w:r>
      <w:r>
        <w:tab/>
      </w:r>
      <w:r w:rsidRPr="005B36A4">
        <w:t>“more than a prophet”</w:t>
      </w:r>
      <w:r w:rsidRPr="005B36A4">
        <w:tab/>
        <w:t>7:18-35</w:t>
      </w:r>
    </w:p>
    <w:p w14:paraId="2C1FC35F" w14:textId="77777777" w:rsidR="0018433B" w:rsidRPr="005B36A4" w:rsidRDefault="0018433B" w:rsidP="001771B1">
      <w:pPr>
        <w:tabs>
          <w:tab w:val="left" w:pos="720"/>
          <w:tab w:val="left" w:pos="1080"/>
          <w:tab w:val="left" w:pos="1440"/>
          <w:tab w:val="left" w:pos="1800"/>
          <w:tab w:val="left" w:pos="2160"/>
          <w:tab w:val="left" w:pos="7740"/>
        </w:tabs>
      </w:pPr>
      <w:r>
        <w:tab/>
      </w:r>
      <w:r>
        <w:tab/>
      </w:r>
      <w:r>
        <w:tab/>
        <w:t>3)</w:t>
      </w:r>
      <w:r>
        <w:tab/>
      </w:r>
      <w:r w:rsidRPr="005B36A4">
        <w:t>“your faith has saved you”</w:t>
      </w:r>
      <w:r w:rsidRPr="005B36A4">
        <w:tab/>
        <w:t>7:36-50</w:t>
      </w:r>
      <w:r w:rsidRPr="005B36A4">
        <w:rPr>
          <w:rStyle w:val="FootnoteReference"/>
        </w:rPr>
        <w:footnoteReference w:id="423"/>
      </w:r>
    </w:p>
    <w:bookmarkEnd w:id="42"/>
    <w:p w14:paraId="5996E362" w14:textId="77777777" w:rsidR="0018433B" w:rsidRDefault="0018433B" w:rsidP="001771B1"/>
    <w:p w14:paraId="0C9E1892" w14:textId="3AB4AF0A" w:rsidR="0018433B" w:rsidRPr="005B36A4" w:rsidRDefault="0018433B" w:rsidP="0018433B">
      <w:r w:rsidRPr="005B36A4">
        <w:t>Whatever Wilkens may mean by “‘</w:t>
      </w:r>
      <w:proofErr w:type="spellStart"/>
      <w:r w:rsidRPr="005B36A4">
        <w:t>deedpower</w:t>
      </w:r>
      <w:proofErr w:type="spellEnd"/>
      <w:r w:rsidRPr="005B36A4">
        <w:t xml:space="preserve">’ of the word” </w:t>
      </w:r>
      <w:r>
        <w:t>and “‘</w:t>
      </w:r>
      <w:proofErr w:type="spellStart"/>
      <w:r>
        <w:t>wordpower</w:t>
      </w:r>
      <w:proofErr w:type="spellEnd"/>
      <w:r>
        <w:t>’ of the deed” (</w:t>
      </w:r>
      <w:proofErr w:type="spellStart"/>
      <w:r w:rsidRPr="00B109C6">
        <w:rPr>
          <w:i/>
        </w:rPr>
        <w:t>Tat</w:t>
      </w:r>
      <w:r w:rsidRPr="00B109C6">
        <w:rPr>
          <w:i/>
        </w:rPr>
        <w:softHyphen/>
        <w:t>macht</w:t>
      </w:r>
      <w:proofErr w:type="spellEnd"/>
      <w:r w:rsidRPr="00B109C6">
        <w:rPr>
          <w:i/>
        </w:rPr>
        <w:t xml:space="preserve"> des </w:t>
      </w:r>
      <w:proofErr w:type="spellStart"/>
      <w:r w:rsidRPr="00B109C6">
        <w:rPr>
          <w:i/>
        </w:rPr>
        <w:t>Wortes</w:t>
      </w:r>
      <w:proofErr w:type="spellEnd"/>
      <w:r w:rsidR="006F304D" w:rsidRPr="006F304D">
        <w:t xml:space="preserve">, </w:t>
      </w:r>
      <w:proofErr w:type="spellStart"/>
      <w:r w:rsidRPr="00B109C6">
        <w:rPr>
          <w:i/>
        </w:rPr>
        <w:t>Wortmacht</w:t>
      </w:r>
      <w:proofErr w:type="spellEnd"/>
      <w:r w:rsidRPr="00B109C6">
        <w:rPr>
          <w:i/>
        </w:rPr>
        <w:t xml:space="preserve"> der Tat</w:t>
      </w:r>
      <w:r w:rsidRPr="005B36A4">
        <w:t>)</w:t>
      </w:r>
      <w:r w:rsidR="006F304D" w:rsidRPr="006F304D">
        <w:t xml:space="preserve">, </w:t>
      </w:r>
      <w:r w:rsidRPr="005B36A4">
        <w:t xml:space="preserve">this division is clearly unsatisfactory. The sermon </w:t>
      </w:r>
      <w:r>
        <w:t xml:space="preserve">is </w:t>
      </w:r>
      <w:r w:rsidRPr="005B36A4">
        <w:t xml:space="preserve">subdivided at 6:36 </w:t>
      </w:r>
      <w:r>
        <w:t>(“</w:t>
      </w:r>
      <w:r w:rsidRPr="00CD75A6">
        <w:t>Be merciful</w:t>
      </w:r>
      <w:r>
        <w:t xml:space="preserve">”) </w:t>
      </w:r>
      <w:r w:rsidRPr="005B36A4">
        <w:t>rather than 39</w:t>
      </w:r>
      <w:r>
        <w:t xml:space="preserve"> (“</w:t>
      </w:r>
      <w:r w:rsidRPr="00CD75A6">
        <w:t>He also told them a parable</w:t>
      </w:r>
      <w:r>
        <w:t>”). In addition</w:t>
      </w:r>
      <w:r w:rsidR="006F304D" w:rsidRPr="006F304D">
        <w:t xml:space="preserve">, </w:t>
      </w:r>
      <w:r w:rsidRPr="005B36A4">
        <w:t>47-49 (two houses) is cut off from the sermon alto</w:t>
      </w:r>
      <w:r w:rsidRPr="005B36A4">
        <w:softHyphen/>
        <w:t xml:space="preserve">gether. </w:t>
      </w:r>
      <w:r>
        <w:t>Moreover</w:t>
      </w:r>
      <w:r w:rsidR="006F304D" w:rsidRPr="006F304D">
        <w:t xml:space="preserve">, </w:t>
      </w:r>
      <w:r>
        <w:t>t</w:t>
      </w:r>
      <w:r w:rsidRPr="005B36A4">
        <w:t>here is no reason to include 46</w:t>
      </w:r>
      <w:r>
        <w:t xml:space="preserve"> (“</w:t>
      </w:r>
      <w:r w:rsidRPr="00CD75A6">
        <w:t>Lord</w:t>
      </w:r>
      <w:r w:rsidR="006F304D" w:rsidRPr="006F304D">
        <w:t xml:space="preserve">, </w:t>
      </w:r>
      <w:r w:rsidRPr="00CD75A6">
        <w:t>Lord</w:t>
      </w:r>
      <w:r>
        <w:t>”)</w:t>
      </w:r>
      <w:r w:rsidRPr="005B36A4">
        <w:t xml:space="preserve"> with 36-45 </w:t>
      </w:r>
      <w:r>
        <w:t xml:space="preserve">(“Do not judge” through tree and fruit) </w:t>
      </w:r>
      <w:r w:rsidRPr="005B36A4">
        <w:t>rather than with 47-49</w:t>
      </w:r>
      <w:r w:rsidR="006F304D" w:rsidRPr="006F304D">
        <w:t xml:space="preserve">, </w:t>
      </w:r>
      <w:r w:rsidRPr="005B36A4">
        <w:t xml:space="preserve">and there is no reason to include 43-45 </w:t>
      </w:r>
      <w:r>
        <w:t xml:space="preserve">(tree and fruit) </w:t>
      </w:r>
      <w:r w:rsidRPr="005B36A4">
        <w:t>under the rubric</w:t>
      </w:r>
      <w:r w:rsidR="006F304D" w:rsidRPr="006F304D">
        <w:t xml:space="preserve">, </w:t>
      </w:r>
      <w:r w:rsidRPr="005B36A4">
        <w:t>“the call to compassion.” The only motive for this bewildering dissection seems to be a determination to effect three subdivisions; and the three subdivisions do not even correspond par</w:t>
      </w:r>
      <w:r>
        <w:t>ticularly to the concepts of</w:t>
      </w:r>
      <w:r w:rsidRPr="005B36A4">
        <w:t xml:space="preserve"> proclamation</w:t>
      </w:r>
      <w:r w:rsidR="006F304D" w:rsidRPr="006F304D">
        <w:t xml:space="preserve">, </w:t>
      </w:r>
      <w:r w:rsidRPr="005B36A4">
        <w:t>revelation</w:t>
      </w:r>
      <w:r w:rsidR="006F304D" w:rsidRPr="006F304D">
        <w:t xml:space="preserve">, </w:t>
      </w:r>
      <w:r w:rsidRPr="005B36A4">
        <w:t>and mission.</w:t>
      </w:r>
    </w:p>
    <w:p w14:paraId="28215715" w14:textId="7AEBD730" w:rsidR="0018433B" w:rsidRPr="005B36A4" w:rsidRDefault="0018433B" w:rsidP="0018433B">
      <w:r>
        <w:tab/>
      </w:r>
      <w:r w:rsidRPr="005B36A4">
        <w:t>One other scholar who is marginally influenced by the numerical tradition is Friedrich Wilhelm Horn</w:t>
      </w:r>
      <w:r w:rsidR="006F304D" w:rsidRPr="006F304D">
        <w:t xml:space="preserve">, </w:t>
      </w:r>
      <w:r w:rsidRPr="005B36A4">
        <w:t xml:space="preserve">who in an important work on Luke’s ethics refers to principles both of </w:t>
      </w:r>
      <w:proofErr w:type="spellStart"/>
      <w:r w:rsidRPr="005B36A4">
        <w:t>threefoldness</w:t>
      </w:r>
      <w:proofErr w:type="spellEnd"/>
      <w:r w:rsidRPr="005B36A4">
        <w:t xml:space="preserve"> and of </w:t>
      </w:r>
      <w:proofErr w:type="spellStart"/>
      <w:r w:rsidRPr="005B36A4">
        <w:t>fourfoldness</w:t>
      </w:r>
      <w:proofErr w:type="spellEnd"/>
      <w:r w:rsidRPr="005B36A4">
        <w:t>. Of the series</w:t>
      </w:r>
      <w:r w:rsidR="006F304D" w:rsidRPr="006F304D">
        <w:t xml:space="preserve">, </w:t>
      </w:r>
      <w:r w:rsidRPr="005B36A4">
        <w:t xml:space="preserve">“love,” “do good,” and “lend” </w:t>
      </w:r>
      <w:r>
        <w:t>(</w:t>
      </w:r>
      <w:r w:rsidRPr="005B36A4">
        <w:t>6:32-34</w:t>
      </w:r>
      <w:r>
        <w:t>)</w:t>
      </w:r>
      <w:r w:rsidR="006F304D" w:rsidRPr="006F304D">
        <w:t xml:space="preserve">, </w:t>
      </w:r>
      <w:r w:rsidRPr="005B36A4">
        <w:t xml:space="preserve">Horn writes: “already </w:t>
      </w:r>
      <w:r w:rsidRPr="005B36A4">
        <w:lastRenderedPageBreak/>
        <w:t>the law of three</w:t>
      </w:r>
      <w:r w:rsidR="006F304D" w:rsidRPr="006F304D">
        <w:t xml:space="preserve">, </w:t>
      </w:r>
      <w:r w:rsidRPr="005B36A4">
        <w:t>characteristic of Luke</w:t>
      </w:r>
      <w:r w:rsidR="006F304D" w:rsidRPr="006F304D">
        <w:t xml:space="preserve">, </w:t>
      </w:r>
      <w:r w:rsidRPr="005B36A4">
        <w:t>reveals redactional reworking.”</w:t>
      </w:r>
      <w:r w:rsidRPr="005B36A4">
        <w:rPr>
          <w:rStyle w:val="FootnoteReference"/>
        </w:rPr>
        <w:footnoteReference w:id="424"/>
      </w:r>
      <w:r w:rsidRPr="005B36A4">
        <w:t xml:space="preserve"> We have noted before that instances of </w:t>
      </w:r>
      <w:r w:rsidRPr="005B36A4">
        <w:rPr>
          <w:i/>
          <w:iCs/>
        </w:rPr>
        <w:t>Dreier-</w:t>
      </w:r>
      <w:r w:rsidRPr="005B36A4">
        <w:t xml:space="preserve"> or </w:t>
      </w:r>
      <w:proofErr w:type="spellStart"/>
      <w:r w:rsidRPr="005B36A4">
        <w:rPr>
          <w:i/>
          <w:iCs/>
        </w:rPr>
        <w:t>Viererparallelismus</w:t>
      </w:r>
      <w:proofErr w:type="spellEnd"/>
      <w:r w:rsidRPr="005B36A4">
        <w:t xml:space="preserve"> are not necessarily attributable to Luke; to use threefold occurrence as an indication of Lukan redaction is therefore highly suspect. Horn elsewhere com</w:t>
      </w:r>
      <w:r w:rsidRPr="005B36A4">
        <w:softHyphen/>
        <w:t>ments (though on 14:12</w:t>
      </w:r>
      <w:r w:rsidR="006F304D" w:rsidRPr="006F304D">
        <w:t xml:space="preserve">, </w:t>
      </w:r>
      <w:r w:rsidRPr="005B36A4">
        <w:t>“your friends or your brothers or y</w:t>
      </w:r>
      <w:r>
        <w:t>our relatives or rich neighbors</w:t>
      </w:r>
      <w:r w:rsidRPr="005B36A4">
        <w:t>”): “Luke’s preference for groups of four is well known.”</w:t>
      </w:r>
      <w:r w:rsidRPr="005B36A4">
        <w:rPr>
          <w:rStyle w:val="FootnoteReference"/>
        </w:rPr>
        <w:footnoteReference w:id="425"/>
      </w:r>
      <w:r w:rsidRPr="005B36A4">
        <w:t xml:space="preserve"> Yet neither numerical principle is more than marginally applied in Horn’s analyses of Luke’s ethical passages.</w:t>
      </w:r>
    </w:p>
    <w:p w14:paraId="22168364" w14:textId="446018CC" w:rsidR="0018433B" w:rsidRPr="005B36A4" w:rsidRDefault="0018433B" w:rsidP="0018433B">
      <w:r>
        <w:tab/>
      </w:r>
      <w:r w:rsidRPr="005B36A4">
        <w:t>While other scholars</w:t>
      </w:r>
      <w:r w:rsidR="006F304D" w:rsidRPr="006F304D">
        <w:t xml:space="preserve">, </w:t>
      </w:r>
      <w:r w:rsidRPr="005B36A4">
        <w:t>in addition to those we have mentioned</w:t>
      </w:r>
      <w:r w:rsidR="006F304D" w:rsidRPr="006F304D">
        <w:t xml:space="preserve">, </w:t>
      </w:r>
      <w:r w:rsidRPr="005B36A4">
        <w:t>may show the influence of the numerical tradition,</w:t>
      </w:r>
      <w:r w:rsidRPr="005B36A4">
        <w:rPr>
          <w:rStyle w:val="FootnoteReference"/>
        </w:rPr>
        <w:footnoteReference w:id="426"/>
      </w:r>
      <w:r w:rsidRPr="005B36A4">
        <w:t xml:space="preserve"> those we have discussed seem to be the most important for the application of numerical principles to the sermon on the plain. Having concluded our survey</w:t>
      </w:r>
      <w:r w:rsidR="006F304D" w:rsidRPr="006F304D">
        <w:t xml:space="preserve">, </w:t>
      </w:r>
      <w:r w:rsidRPr="005B36A4">
        <w:t>it is time to assemble the results.</w:t>
      </w:r>
    </w:p>
    <w:p w14:paraId="54BB6719" w14:textId="60F004D2" w:rsidR="0018433B" w:rsidRPr="005B36A4" w:rsidRDefault="0018433B" w:rsidP="0018433B">
      <w:r>
        <w:tab/>
      </w:r>
      <w:r w:rsidRPr="005B36A4">
        <w:t xml:space="preserve">1) The chief judgment that results from our examination is a negative one. Neither a law of </w:t>
      </w:r>
      <w:proofErr w:type="spellStart"/>
      <w:r w:rsidRPr="005B36A4">
        <w:t>twofoldness</w:t>
      </w:r>
      <w:proofErr w:type="spellEnd"/>
      <w:r w:rsidRPr="005B36A4">
        <w:t xml:space="preserve"> (</w:t>
      </w:r>
      <w:proofErr w:type="spellStart"/>
      <w:r w:rsidRPr="005B36A4">
        <w:t>Dobschütz</w:t>
      </w:r>
      <w:proofErr w:type="spellEnd"/>
      <w:r w:rsidR="006F304D" w:rsidRPr="006F304D">
        <w:t xml:space="preserve">, </w:t>
      </w:r>
      <w:r w:rsidRPr="005B36A4">
        <w:t>Brun</w:t>
      </w:r>
      <w:r w:rsidR="006F304D" w:rsidRPr="006F304D">
        <w:t xml:space="preserve">, </w:t>
      </w:r>
      <w:r w:rsidRPr="005B36A4">
        <w:t>Morgenthaler</w:t>
      </w:r>
      <w:r w:rsidR="006F304D" w:rsidRPr="006F304D">
        <w:t xml:space="preserve">, </w:t>
      </w:r>
      <w:r w:rsidRPr="005B36A4">
        <w:t>Talbert)</w:t>
      </w:r>
      <w:r w:rsidR="006F304D" w:rsidRPr="006F304D">
        <w:t xml:space="preserve">, </w:t>
      </w:r>
      <w:r w:rsidRPr="005B36A4">
        <w:t xml:space="preserve">nor a law of </w:t>
      </w:r>
      <w:proofErr w:type="spellStart"/>
      <w:r w:rsidRPr="005B36A4">
        <w:t>threefoldness</w:t>
      </w:r>
      <w:proofErr w:type="spellEnd"/>
      <w:r w:rsidRPr="005B36A4">
        <w:t xml:space="preserve"> (</w:t>
      </w:r>
      <w:proofErr w:type="spellStart"/>
      <w:r w:rsidRPr="005B36A4">
        <w:t>Dobschütz</w:t>
      </w:r>
      <w:proofErr w:type="spellEnd"/>
      <w:r w:rsidR="006F304D" w:rsidRPr="006F304D">
        <w:t xml:space="preserve">, </w:t>
      </w:r>
      <w:r w:rsidRPr="005B36A4">
        <w:t>Sparks</w:t>
      </w:r>
      <w:r w:rsidR="006F304D" w:rsidRPr="006F304D">
        <w:t xml:space="preserve">, </w:t>
      </w:r>
      <w:r w:rsidRPr="005B36A4">
        <w:t>Ellis</w:t>
      </w:r>
      <w:r w:rsidR="006F304D" w:rsidRPr="006F304D">
        <w:t xml:space="preserve">, </w:t>
      </w:r>
      <w:proofErr w:type="spellStart"/>
      <w:r w:rsidRPr="005B36A4">
        <w:t>Unnik</w:t>
      </w:r>
      <w:proofErr w:type="spellEnd"/>
      <w:r w:rsidR="006F304D" w:rsidRPr="006F304D">
        <w:t xml:space="preserve">, </w:t>
      </w:r>
      <w:r w:rsidRPr="005B36A4">
        <w:t>Wilkens</w:t>
      </w:r>
      <w:r w:rsidR="006F304D" w:rsidRPr="006F304D">
        <w:t xml:space="preserve">, </w:t>
      </w:r>
      <w:r w:rsidRPr="005B36A4">
        <w:t>Horn)</w:t>
      </w:r>
      <w:r w:rsidR="006F304D" w:rsidRPr="006F304D">
        <w:t xml:space="preserve">, </w:t>
      </w:r>
      <w:r w:rsidRPr="005B36A4">
        <w:t xml:space="preserve">nor a law of </w:t>
      </w:r>
      <w:proofErr w:type="spellStart"/>
      <w:r w:rsidRPr="005B36A4">
        <w:t>fourfoldness</w:t>
      </w:r>
      <w:proofErr w:type="spellEnd"/>
      <w:r w:rsidRPr="005B36A4">
        <w:t xml:space="preserve"> (Grundmann</w:t>
      </w:r>
      <w:r w:rsidR="006F304D" w:rsidRPr="006F304D">
        <w:t xml:space="preserve">, </w:t>
      </w:r>
      <w:r w:rsidRPr="005B36A4">
        <w:t>Ellis</w:t>
      </w:r>
      <w:r w:rsidR="006F304D" w:rsidRPr="006F304D">
        <w:t xml:space="preserve">, </w:t>
      </w:r>
      <w:r w:rsidRPr="005B36A4">
        <w:t>Talbert</w:t>
      </w:r>
      <w:r w:rsidR="006F304D" w:rsidRPr="006F304D">
        <w:t xml:space="preserve">, </w:t>
      </w:r>
      <w:r w:rsidRPr="005B36A4">
        <w:t>Horn) has been established as a</w:t>
      </w:r>
      <w:r>
        <w:t>n</w:t>
      </w:r>
      <w:r w:rsidRPr="005B36A4">
        <w:t xml:space="preserve"> organizational principle used by Luke in his structuring of the sermon.</w:t>
      </w:r>
    </w:p>
    <w:p w14:paraId="346F06C5" w14:textId="5B625EC7" w:rsidR="0018433B" w:rsidRPr="005B36A4" w:rsidRDefault="0018433B" w:rsidP="0018433B">
      <w:r>
        <w:tab/>
      </w:r>
      <w:r w:rsidRPr="005B36A4">
        <w:t>2) A second judgment pertains to the manner in which scholars are inclined to apply numeri</w:t>
      </w:r>
      <w:r w:rsidRPr="005B36A4">
        <w:softHyphen/>
        <w:t xml:space="preserve">cal principles: there is a tendency to see greater numerical rigidity in Luke’s text than the sermon itself warrants. This tendency to adjust Luke’s material to a predetermined pattern is quite obvious in Morgenthaler’s impassioned advocacy of </w:t>
      </w:r>
      <w:proofErr w:type="spellStart"/>
      <w:r w:rsidRPr="005B36A4">
        <w:rPr>
          <w:i/>
          <w:iCs/>
        </w:rPr>
        <w:t>Zweiheitsgesetz</w:t>
      </w:r>
      <w:proofErr w:type="spellEnd"/>
      <w:r w:rsidR="006F304D" w:rsidRPr="006F304D">
        <w:rPr>
          <w:iCs/>
        </w:rPr>
        <w:t xml:space="preserve">, </w:t>
      </w:r>
      <w:r w:rsidRPr="005B36A4">
        <w:t xml:space="preserve">but it is also evident in Talbert’s “four-member units” and (less obtrusively) in Grundmann’s </w:t>
      </w:r>
      <w:r w:rsidRPr="005B36A4">
        <w:rPr>
          <w:i/>
          <w:iCs/>
        </w:rPr>
        <w:t>Viererprinzip</w:t>
      </w:r>
      <w:r w:rsidRPr="005B36A4">
        <w:rPr>
          <w:iCs/>
        </w:rPr>
        <w:t xml:space="preserve">. </w:t>
      </w:r>
      <w:r w:rsidRPr="005B36A4">
        <w:t xml:space="preserve">Though it is all but absent from Ellis’ discussion of “series of fours,” it is quite evident in his application of the principle of </w:t>
      </w:r>
      <w:proofErr w:type="spellStart"/>
      <w:r w:rsidRPr="005B36A4">
        <w:t>three</w:t>
      </w:r>
      <w:r w:rsidRPr="005B36A4">
        <w:softHyphen/>
        <w:t>foldness</w:t>
      </w:r>
      <w:proofErr w:type="spellEnd"/>
      <w:r w:rsidRPr="005B36A4">
        <w:t xml:space="preserve"> to the gospel as a whole.</w:t>
      </w:r>
    </w:p>
    <w:p w14:paraId="2263817E" w14:textId="21074AF3" w:rsidR="0018433B" w:rsidRPr="005B36A4" w:rsidRDefault="0018433B" w:rsidP="0018433B">
      <w:r>
        <w:tab/>
      </w:r>
      <w:r w:rsidRPr="005B36A4">
        <w:t xml:space="preserve">3) A third conclusion has to do specifically with the principle of </w:t>
      </w:r>
      <w:proofErr w:type="spellStart"/>
      <w:r w:rsidRPr="005B36A4">
        <w:t>twofoldness</w:t>
      </w:r>
      <w:proofErr w:type="spellEnd"/>
      <w:r w:rsidRPr="005B36A4">
        <w:t>. So long as primacy is given to the text</w:t>
      </w:r>
      <w:r w:rsidR="006F304D" w:rsidRPr="006F304D">
        <w:t xml:space="preserve">, </w:t>
      </w:r>
      <w:r w:rsidRPr="005B36A4">
        <w:t>and not to the pattern itself</w:t>
      </w:r>
      <w:r w:rsidR="006F304D" w:rsidRPr="006F304D">
        <w:t xml:space="preserve">, </w:t>
      </w:r>
      <w:r w:rsidRPr="005B36A4">
        <w:t>one can grant that Morgenthaler</w:t>
      </w:r>
      <w:r w:rsidR="006F304D" w:rsidRPr="006F304D">
        <w:t xml:space="preserve">, </w:t>
      </w:r>
      <w:r w:rsidRPr="005B36A4">
        <w:t>and the others who concern themselves with this principle</w:t>
      </w:r>
      <w:r w:rsidR="006F304D" w:rsidRPr="006F304D">
        <w:t xml:space="preserve">, </w:t>
      </w:r>
      <w:r w:rsidRPr="005B36A4">
        <w:t xml:space="preserve">have in fact discerned instances of </w:t>
      </w:r>
      <w:proofErr w:type="spellStart"/>
      <w:r w:rsidRPr="005B36A4">
        <w:t>twofoldness</w:t>
      </w:r>
      <w:proofErr w:type="spellEnd"/>
      <w:r w:rsidRPr="005B36A4">
        <w:t xml:space="preserve"> in the sermon (23a</w:t>
      </w:r>
      <w:r w:rsidR="006F304D" w:rsidRPr="006F304D">
        <w:t xml:space="preserve">, </w:t>
      </w:r>
      <w:r w:rsidRPr="005B36A4">
        <w:t>29</w:t>
      </w:r>
      <w:r w:rsidR="006F304D" w:rsidRPr="006F304D">
        <w:t xml:space="preserve">, </w:t>
      </w:r>
      <w:r w:rsidRPr="005B36A4">
        <w:t>41</w:t>
      </w:r>
      <w:r w:rsidR="006F304D" w:rsidRPr="006F304D">
        <w:t xml:space="preserve">, </w:t>
      </w:r>
      <w:r w:rsidRPr="005B36A4">
        <w:t>43ab</w:t>
      </w:r>
      <w:r w:rsidR="006F304D" w:rsidRPr="006F304D">
        <w:t xml:space="preserve">, </w:t>
      </w:r>
      <w:r w:rsidRPr="005B36A4">
        <w:t>44bc</w:t>
      </w:r>
      <w:r w:rsidR="006F304D" w:rsidRPr="006F304D">
        <w:t xml:space="preserve">, </w:t>
      </w:r>
      <w:r w:rsidRPr="005B36A4">
        <w:t>45ab). But</w:t>
      </w:r>
      <w:r w:rsidR="006F304D" w:rsidRPr="006F304D">
        <w:t xml:space="preserve">, </w:t>
      </w:r>
      <w:r w:rsidRPr="005B36A4">
        <w:t>as we noted previously,</w:t>
      </w:r>
      <w:r w:rsidRPr="005B36A4">
        <w:rPr>
          <w:rStyle w:val="FootnoteReference"/>
        </w:rPr>
        <w:footnoteReference w:id="427"/>
      </w:r>
      <w:r w:rsidRPr="005B36A4">
        <w:t xml:space="preserve"> these instances are explicable as Semitic parallelism</w:t>
      </w:r>
      <w:r w:rsidR="006F304D" w:rsidRPr="006F304D">
        <w:t xml:space="preserve">, </w:t>
      </w:r>
      <w:r w:rsidRPr="005B36A4">
        <w:t>which we will be considering in a later chapter;</w:t>
      </w:r>
      <w:r w:rsidRPr="005B36A4">
        <w:rPr>
          <w:rStyle w:val="FootnoteReference"/>
        </w:rPr>
        <w:footnoteReference w:id="428"/>
      </w:r>
      <w:r w:rsidRPr="005B36A4">
        <w:t xml:space="preserve"> there is no need to invoke a special </w:t>
      </w:r>
      <w:proofErr w:type="spellStart"/>
      <w:r w:rsidRPr="005B36A4">
        <w:rPr>
          <w:i/>
          <w:iCs/>
        </w:rPr>
        <w:t>Zweiheitsgesetz</w:t>
      </w:r>
      <w:proofErr w:type="spellEnd"/>
      <w:r w:rsidRPr="005B36A4">
        <w:t xml:space="preserve"> to which Luke felt himself bound.</w:t>
      </w:r>
    </w:p>
    <w:p w14:paraId="5E6B9504" w14:textId="33B5985C" w:rsidR="0018433B" w:rsidRPr="005B36A4" w:rsidRDefault="0018433B" w:rsidP="0018433B">
      <w:r>
        <w:tab/>
      </w:r>
      <w:r w:rsidRPr="005B36A4">
        <w:t xml:space="preserve">4) A similar remark may be made concerning the principle of </w:t>
      </w:r>
      <w:proofErr w:type="spellStart"/>
      <w:r w:rsidRPr="005B36A4">
        <w:t>threefoldness</w:t>
      </w:r>
      <w:proofErr w:type="spellEnd"/>
      <w:r w:rsidR="006F304D" w:rsidRPr="006F304D">
        <w:t xml:space="preserve">, </w:t>
      </w:r>
      <w:r w:rsidRPr="005B36A4">
        <w:t xml:space="preserve">to which in fact more scholars subscribe than do to the principle of </w:t>
      </w:r>
      <w:proofErr w:type="spellStart"/>
      <w:r w:rsidRPr="005B36A4">
        <w:t>twofoldness</w:t>
      </w:r>
      <w:proofErr w:type="spellEnd"/>
      <w:r w:rsidRPr="005B36A4">
        <w:t xml:space="preserve">. There </w:t>
      </w:r>
      <w:r w:rsidRPr="005B36A4">
        <w:rPr>
          <w:i/>
          <w:iCs/>
        </w:rPr>
        <w:t>are</w:t>
      </w:r>
      <w:r w:rsidRPr="005B36A4">
        <w:t xml:space="preserve"> groups of three in the sermon</w:t>
      </w:r>
      <w:r w:rsidR="006F304D" w:rsidRPr="006F304D">
        <w:t xml:space="preserve">, </w:t>
      </w:r>
      <w:r w:rsidRPr="005B36A4">
        <w:t xml:space="preserve">most notably the three groups of three in </w:t>
      </w:r>
      <w:r>
        <w:t>6:</w:t>
      </w:r>
      <w:r w:rsidRPr="005B36A4">
        <w:t>3</w:t>
      </w:r>
      <w:r>
        <w:t>2</w:t>
      </w:r>
      <w:r w:rsidRPr="005B36A4">
        <w:t>-</w:t>
      </w:r>
      <w:r>
        <w:t>3</w:t>
      </w:r>
      <w:r w:rsidRPr="005B36A4">
        <w:t>4</w:t>
      </w:r>
      <w:r>
        <w:t xml:space="preserve"> (“If you love,” “do good,” “lend” etc.)</w:t>
      </w:r>
      <w:r w:rsidRPr="005B36A4">
        <w:t xml:space="preserve">. But there is no need to harden such occurrences into a </w:t>
      </w:r>
      <w:proofErr w:type="spellStart"/>
      <w:r w:rsidRPr="005B36A4">
        <w:rPr>
          <w:i/>
          <w:iCs/>
        </w:rPr>
        <w:t>Dreiheitsgesetz</w:t>
      </w:r>
      <w:proofErr w:type="spellEnd"/>
      <w:r w:rsidRPr="005B36A4">
        <w:t xml:space="preserve"> nor to attempt to discover such instances of three throughout the Lukan gospel</w:t>
      </w:r>
      <w:r w:rsidR="006F304D" w:rsidRPr="006F304D">
        <w:t xml:space="preserve">, </w:t>
      </w:r>
      <w:r w:rsidRPr="005B36A4">
        <w:t>as Sparks</w:t>
      </w:r>
      <w:r w:rsidR="006F304D" w:rsidRPr="006F304D">
        <w:t xml:space="preserve">, </w:t>
      </w:r>
      <w:r w:rsidRPr="005B36A4">
        <w:t>Ellis</w:t>
      </w:r>
      <w:r w:rsidR="006F304D" w:rsidRPr="006F304D">
        <w:t xml:space="preserve">, </w:t>
      </w:r>
      <w:r w:rsidRPr="005B36A4">
        <w:t>and Wilkens have done.</w:t>
      </w:r>
    </w:p>
    <w:p w14:paraId="604096EA" w14:textId="5D6D07B2" w:rsidR="0018433B" w:rsidRPr="005B36A4" w:rsidRDefault="0018433B" w:rsidP="0018433B">
      <w:r>
        <w:tab/>
      </w:r>
      <w:r w:rsidRPr="005B36A4">
        <w:t xml:space="preserve">5) The principle of </w:t>
      </w:r>
      <w:proofErr w:type="spellStart"/>
      <w:r w:rsidRPr="005B36A4">
        <w:t>fourfoldness</w:t>
      </w:r>
      <w:proofErr w:type="spellEnd"/>
      <w:r w:rsidR="006F304D" w:rsidRPr="006F304D">
        <w:t xml:space="preserve">, </w:t>
      </w:r>
      <w:r w:rsidRPr="005B36A4">
        <w:t>too</w:t>
      </w:r>
      <w:r w:rsidR="006F304D" w:rsidRPr="006F304D">
        <w:t xml:space="preserve">, </w:t>
      </w:r>
      <w:r w:rsidRPr="005B36A4">
        <w:t>can be granted some validity</w:t>
      </w:r>
      <w:r w:rsidR="006F304D" w:rsidRPr="006F304D">
        <w:t xml:space="preserve">, </w:t>
      </w:r>
      <w:r w:rsidRPr="005B36A4">
        <w:t>if it is reduced to the simple observation that fourfold units do occur in the sermon (20b-23</w:t>
      </w:r>
      <w:r w:rsidR="006F304D" w:rsidRPr="006F304D">
        <w:t xml:space="preserve">, </w:t>
      </w:r>
      <w:r w:rsidRPr="005B36A4">
        <w:t>24-26</w:t>
      </w:r>
      <w:r w:rsidR="006F304D" w:rsidRPr="006F304D">
        <w:t xml:space="preserve">, </w:t>
      </w:r>
      <w:r w:rsidRPr="005B36A4">
        <w:t>27b-28</w:t>
      </w:r>
      <w:r w:rsidR="006F304D" w:rsidRPr="006F304D">
        <w:t xml:space="preserve">, </w:t>
      </w:r>
      <w:r w:rsidRPr="005B36A4">
        <w:t>29-30</w:t>
      </w:r>
      <w:r w:rsidR="006F304D" w:rsidRPr="006F304D">
        <w:t xml:space="preserve">, </w:t>
      </w:r>
      <w:r w:rsidRPr="005B36A4">
        <w:t>37-38b). But these units are not</w:t>
      </w:r>
      <w:r w:rsidR="006F304D" w:rsidRPr="006F304D">
        <w:t xml:space="preserve">, </w:t>
      </w:r>
      <w:r w:rsidRPr="005B36A4">
        <w:t>as Morgenthaler suggests</w:t>
      </w:r>
      <w:r w:rsidR="006F304D" w:rsidRPr="006F304D">
        <w:t xml:space="preserve">, </w:t>
      </w:r>
      <w:r w:rsidRPr="005B36A4">
        <w:t xml:space="preserve">merely </w:t>
      </w:r>
      <w:proofErr w:type="spellStart"/>
      <w:r w:rsidRPr="005B36A4">
        <w:t>twofoldness</w:t>
      </w:r>
      <w:proofErr w:type="spellEnd"/>
      <w:r w:rsidRPr="005B36A4">
        <w:t xml:space="preserve"> doubly applied; they </w:t>
      </w:r>
      <w:r w:rsidRPr="005B36A4">
        <w:lastRenderedPageBreak/>
        <w:t>are genuinely fourfold units. Whether</w:t>
      </w:r>
      <w:r w:rsidR="006F304D" w:rsidRPr="006F304D">
        <w:t xml:space="preserve">, </w:t>
      </w:r>
      <w:r w:rsidRPr="005B36A4">
        <w:t>like the twofold units noted above</w:t>
      </w:r>
      <w:r w:rsidR="006F304D" w:rsidRPr="006F304D">
        <w:t xml:space="preserve">, </w:t>
      </w:r>
      <w:r w:rsidRPr="005B36A4">
        <w:t>they are explicable in terms of Semitic parallelism is something we will want to consider in our later discussion of parallelism (chapter 10).</w:t>
      </w:r>
    </w:p>
    <w:p w14:paraId="28EA6E65" w14:textId="77777777" w:rsidR="0018433B" w:rsidRPr="005B36A4" w:rsidRDefault="0018433B" w:rsidP="0018433B">
      <w:r>
        <w:tab/>
      </w:r>
      <w:r w:rsidRPr="005B36A4">
        <w:t>6) There remain two special observations. The first concerns Ellis’s claim that extended fourth members in fourfold units indicate climactic structure. For the reasons given above,</w:t>
      </w:r>
      <w:r w:rsidRPr="005B36A4">
        <w:rPr>
          <w:rStyle w:val="FootnoteReference"/>
        </w:rPr>
        <w:footnoteReference w:id="429"/>
      </w:r>
      <w:r w:rsidRPr="005B36A4">
        <w:t xml:space="preserve"> we cannot agree with this assertion.</w:t>
      </w:r>
    </w:p>
    <w:p w14:paraId="4499D4EF" w14:textId="50B63D2A" w:rsidR="0018433B" w:rsidRPr="005B36A4" w:rsidRDefault="0018433B" w:rsidP="0018433B">
      <w:r>
        <w:tab/>
      </w:r>
      <w:r w:rsidRPr="005B36A4">
        <w:t>7) The second concerns Talbert’s attempt to divide the sermon into major sections on the basis of his so-called “formulae of introduction.” This</w:t>
      </w:r>
      <w:r w:rsidR="006F304D" w:rsidRPr="006F304D">
        <w:t xml:space="preserve">, </w:t>
      </w:r>
      <w:r w:rsidRPr="005B36A4">
        <w:t>too</w:t>
      </w:r>
      <w:r w:rsidR="006F304D" w:rsidRPr="006F304D">
        <w:t xml:space="preserve">, </w:t>
      </w:r>
      <w:r w:rsidRPr="005B36A4">
        <w:t>as we have seen,</w:t>
      </w:r>
      <w:r w:rsidRPr="005B36A4">
        <w:rPr>
          <w:rStyle w:val="FootnoteReference"/>
        </w:rPr>
        <w:footnoteReference w:id="430"/>
      </w:r>
      <w:r w:rsidRPr="005B36A4">
        <w:t xml:space="preserve"> cannot be sustained.</w:t>
      </w:r>
    </w:p>
    <w:p w14:paraId="5C8AB029" w14:textId="77B91007" w:rsidR="0018433B" w:rsidRPr="005B36A4" w:rsidRDefault="0018433B" w:rsidP="0018433B">
      <w:pPr>
        <w:contextualSpacing/>
      </w:pPr>
      <w:r>
        <w:tab/>
      </w:r>
      <w:r w:rsidRPr="005B36A4">
        <w:t>In short: while numerical units can be discerned in the sermon on the plain</w:t>
      </w:r>
      <w:r w:rsidR="006F304D" w:rsidRPr="006F304D">
        <w:t xml:space="preserve">, </w:t>
      </w:r>
      <w:r w:rsidRPr="005B36A4">
        <w:t>they are not the result of Lukan adherence to a particular numerical principle</w:t>
      </w:r>
      <w:r w:rsidR="006F304D" w:rsidRPr="006F304D">
        <w:t xml:space="preserve">, </w:t>
      </w:r>
      <w:r w:rsidRPr="005B36A4">
        <w:t xml:space="preserve">be it </w:t>
      </w:r>
      <w:proofErr w:type="spellStart"/>
      <w:r w:rsidRPr="005B36A4">
        <w:t>twofoldness</w:t>
      </w:r>
      <w:proofErr w:type="spellEnd"/>
      <w:r w:rsidR="006F304D" w:rsidRPr="006F304D">
        <w:t xml:space="preserve">, </w:t>
      </w:r>
      <w:proofErr w:type="spellStart"/>
      <w:r w:rsidRPr="005B36A4">
        <w:t>threefoldness</w:t>
      </w:r>
      <w:proofErr w:type="spellEnd"/>
      <w:r w:rsidR="006F304D" w:rsidRPr="006F304D">
        <w:t xml:space="preserve">, </w:t>
      </w:r>
      <w:r w:rsidRPr="005B36A4">
        <w:t xml:space="preserve">or </w:t>
      </w:r>
      <w:proofErr w:type="spellStart"/>
      <w:r w:rsidRPr="005B36A4">
        <w:t>fourfoldness</w:t>
      </w:r>
      <w:proofErr w:type="spellEnd"/>
      <w:r w:rsidRPr="005B36A4">
        <w:t>.</w:t>
      </w:r>
    </w:p>
    <w:p w14:paraId="4F94FED8" w14:textId="77777777" w:rsidR="0018433B" w:rsidRDefault="0018433B">
      <w:r>
        <w:br w:type="page"/>
      </w:r>
    </w:p>
    <w:p w14:paraId="18A420DF" w14:textId="3B61643F" w:rsidR="0018433B" w:rsidRPr="00AA14EA" w:rsidRDefault="00904123" w:rsidP="00904123">
      <w:pPr>
        <w:pStyle w:val="Heading1"/>
      </w:pPr>
      <w:bookmarkStart w:id="45" w:name="_Toc147618626"/>
      <w:r w:rsidRPr="00AA14EA">
        <w:lastRenderedPageBreak/>
        <w:t xml:space="preserve">Chapter </w:t>
      </w:r>
      <w:r w:rsidR="0018433B" w:rsidRPr="00AA14EA">
        <w:t>7</w:t>
      </w:r>
      <w:r>
        <w:t xml:space="preserve">: </w:t>
      </w:r>
      <w:r w:rsidRPr="00AA14EA">
        <w:t>Other Formal Criteria</w:t>
      </w:r>
      <w:r w:rsidR="0018433B" w:rsidRPr="00AA14EA">
        <w:t>:</w:t>
      </w:r>
      <w:bookmarkEnd w:id="45"/>
    </w:p>
    <w:p w14:paraId="6B8DBA84" w14:textId="4FD9C8C7" w:rsidR="0018433B" w:rsidRPr="00AA14EA" w:rsidRDefault="00904123" w:rsidP="00904123">
      <w:pPr>
        <w:pStyle w:val="Heading1"/>
      </w:pPr>
      <w:bookmarkStart w:id="46" w:name="_Toc147618627"/>
      <w:r w:rsidRPr="00AA14EA">
        <w:t>Chiasm</w:t>
      </w:r>
      <w:r w:rsidRPr="006F304D">
        <w:t xml:space="preserve">, </w:t>
      </w:r>
      <w:r w:rsidRPr="00AA14EA">
        <w:t>Inclusion</w:t>
      </w:r>
      <w:r w:rsidRPr="006F304D">
        <w:t xml:space="preserve">, </w:t>
      </w:r>
      <w:r>
        <w:t>a</w:t>
      </w:r>
      <w:r w:rsidRPr="00AA14EA">
        <w:t>nd Rhythm</w:t>
      </w:r>
      <w:bookmarkEnd w:id="46"/>
    </w:p>
    <w:p w14:paraId="373939F0" w14:textId="77777777" w:rsidR="0018433B" w:rsidRPr="00AA14EA" w:rsidRDefault="0018433B" w:rsidP="0018433B">
      <w:pPr>
        <w:rPr>
          <w:szCs w:val="28"/>
        </w:rPr>
      </w:pPr>
    </w:p>
    <w:p w14:paraId="297079E4" w14:textId="77777777" w:rsidR="0018433B" w:rsidRPr="00AA14EA" w:rsidRDefault="0018433B" w:rsidP="0018433B">
      <w:pPr>
        <w:rPr>
          <w:szCs w:val="28"/>
        </w:rPr>
      </w:pPr>
    </w:p>
    <w:p w14:paraId="5B00E12A" w14:textId="6E42B8A0" w:rsidR="0018433B" w:rsidRPr="00AA14EA" w:rsidRDefault="0018433B" w:rsidP="0018433B">
      <w:pPr>
        <w:rPr>
          <w:szCs w:val="28"/>
        </w:rPr>
      </w:pPr>
      <w:r w:rsidRPr="00AA14EA">
        <w:rPr>
          <w:szCs w:val="28"/>
        </w:rPr>
        <w:tab/>
        <w:t>In the preceding chapter we discussed numerical principles</w:t>
      </w:r>
      <w:r w:rsidR="006F304D" w:rsidRPr="006F304D">
        <w:rPr>
          <w:szCs w:val="28"/>
        </w:rPr>
        <w:t xml:space="preserve">, </w:t>
      </w:r>
      <w:r w:rsidRPr="00AA14EA">
        <w:rPr>
          <w:szCs w:val="28"/>
        </w:rPr>
        <w:t>the most pro</w:t>
      </w:r>
      <w:r w:rsidRPr="00AA14EA">
        <w:rPr>
          <w:szCs w:val="28"/>
        </w:rPr>
        <w:softHyphen/>
        <w:t>minent of the formal prin</w:t>
      </w:r>
      <w:r w:rsidRPr="00AA14EA">
        <w:rPr>
          <w:szCs w:val="28"/>
        </w:rPr>
        <w:softHyphen/>
        <w:t>ciples that have been ap</w:t>
      </w:r>
      <w:r w:rsidRPr="00AA14EA">
        <w:rPr>
          <w:szCs w:val="28"/>
        </w:rPr>
        <w:softHyphen/>
        <w:t>plied to the sermon on the plain to determine its structure. We now turn our attention to other formal principles that have been em</w:t>
      </w:r>
      <w:r w:rsidRPr="00AA14EA">
        <w:rPr>
          <w:szCs w:val="28"/>
        </w:rPr>
        <w:softHyphen/>
        <w:t>ployed to ascertain its structure: chiasm</w:t>
      </w:r>
      <w:r w:rsidR="006F304D" w:rsidRPr="006F304D">
        <w:rPr>
          <w:szCs w:val="28"/>
        </w:rPr>
        <w:t xml:space="preserve">, </w:t>
      </w:r>
      <w:r w:rsidRPr="00AA14EA">
        <w:rPr>
          <w:szCs w:val="28"/>
        </w:rPr>
        <w:t>inclu</w:t>
      </w:r>
      <w:r w:rsidRPr="00AA14EA">
        <w:rPr>
          <w:szCs w:val="28"/>
        </w:rPr>
        <w:softHyphen/>
        <w:t>sion</w:t>
      </w:r>
      <w:r w:rsidR="006F304D" w:rsidRPr="006F304D">
        <w:rPr>
          <w:szCs w:val="28"/>
        </w:rPr>
        <w:t xml:space="preserve">, </w:t>
      </w:r>
      <w:r w:rsidRPr="00AA14EA">
        <w:rPr>
          <w:szCs w:val="28"/>
        </w:rPr>
        <w:t>and rhy</w:t>
      </w:r>
      <w:r w:rsidRPr="00AA14EA">
        <w:rPr>
          <w:szCs w:val="28"/>
        </w:rPr>
        <w:softHyphen/>
        <w:t>thm.</w:t>
      </w:r>
    </w:p>
    <w:p w14:paraId="4BCAF115" w14:textId="77777777" w:rsidR="0018433B" w:rsidRPr="00AA14EA" w:rsidRDefault="0018433B" w:rsidP="0018433B">
      <w:pPr>
        <w:rPr>
          <w:szCs w:val="28"/>
        </w:rPr>
      </w:pPr>
    </w:p>
    <w:p w14:paraId="438F90E4" w14:textId="0702496C" w:rsidR="0018433B" w:rsidRPr="00AA14EA" w:rsidRDefault="0018433B" w:rsidP="00904123">
      <w:pPr>
        <w:pStyle w:val="Heading2"/>
      </w:pPr>
      <w:bookmarkStart w:id="47" w:name="chiasm"/>
      <w:bookmarkStart w:id="48" w:name="_Toc147618628"/>
      <w:bookmarkEnd w:id="47"/>
      <w:r w:rsidRPr="00AA14EA">
        <w:t>1.</w:t>
      </w:r>
      <w:r w:rsidR="000151C8" w:rsidRPr="000151C8">
        <w:rPr>
          <w:iCs/>
        </w:rPr>
        <w:t xml:space="preserve"> </w:t>
      </w:r>
      <w:r w:rsidRPr="00AA14EA">
        <w:t>Chiasm</w:t>
      </w:r>
      <w:bookmarkEnd w:id="48"/>
    </w:p>
    <w:p w14:paraId="75B641A2" w14:textId="77777777" w:rsidR="0018433B" w:rsidRPr="00AA14EA" w:rsidRDefault="0018433B" w:rsidP="0018433B">
      <w:pPr>
        <w:rPr>
          <w:szCs w:val="28"/>
        </w:rPr>
      </w:pPr>
    </w:p>
    <w:p w14:paraId="6C00D6A4" w14:textId="3734F111" w:rsidR="0018433B" w:rsidRPr="00AA14EA" w:rsidRDefault="0018433B" w:rsidP="0018433B">
      <w:pPr>
        <w:rPr>
          <w:szCs w:val="28"/>
        </w:rPr>
      </w:pPr>
      <w:r w:rsidRPr="00AA14EA">
        <w:rPr>
          <w:szCs w:val="28"/>
        </w:rPr>
        <w:tab/>
        <w:t>Chiasms have been detected at many places in Luke-Acts. E. Earle Ellis has commented on “the chiastic pattern at Acts 3:13-15</w:t>
      </w:r>
      <w:r w:rsidR="006F304D" w:rsidRPr="006F304D">
        <w:rPr>
          <w:szCs w:val="28"/>
        </w:rPr>
        <w:t xml:space="preserve">, </w:t>
      </w:r>
      <w:r w:rsidRPr="00AA14EA">
        <w:rPr>
          <w:szCs w:val="28"/>
        </w:rPr>
        <w:t>‘glorified/delivered up</w:t>
      </w:r>
      <w:r w:rsidR="006F304D" w:rsidRPr="006F304D">
        <w:rPr>
          <w:szCs w:val="28"/>
        </w:rPr>
        <w:t xml:space="preserve">, </w:t>
      </w:r>
      <w:r w:rsidRPr="00AA14EA">
        <w:rPr>
          <w:szCs w:val="28"/>
        </w:rPr>
        <w:t>killed/</w:t>
      </w:r>
      <w:r w:rsidRPr="00AA14EA">
        <w:rPr>
          <w:szCs w:val="28"/>
        </w:rPr>
        <w:softHyphen/>
        <w:t>raised.’”</w:t>
      </w:r>
      <w:r w:rsidRPr="00AA14EA">
        <w:rPr>
          <w:rStyle w:val="FootnoteReference"/>
          <w:szCs w:val="28"/>
        </w:rPr>
        <w:footnoteReference w:id="431"/>
      </w:r>
      <w:r w:rsidRPr="00AA14EA">
        <w:rPr>
          <w:szCs w:val="28"/>
        </w:rPr>
        <w:t xml:space="preserve"> Soeur Jeanne d’Arc has found chiasm in the Emmaus peri</w:t>
      </w:r>
      <w:r w:rsidRPr="00AA14EA">
        <w:rPr>
          <w:szCs w:val="28"/>
        </w:rPr>
        <w:softHyphen/>
        <w:t>cope (Luke 24:13-41)</w:t>
      </w:r>
      <w:r w:rsidR="006F304D" w:rsidRPr="006F304D">
        <w:rPr>
          <w:szCs w:val="28"/>
        </w:rPr>
        <w:t xml:space="preserve">, </w:t>
      </w:r>
      <w:r w:rsidRPr="00AA14EA">
        <w:rPr>
          <w:szCs w:val="28"/>
        </w:rPr>
        <w:t>and Xavier Léon-Dufour has seen it both there and in the appearance to the ele</w:t>
      </w:r>
      <w:r w:rsidRPr="00AA14EA">
        <w:rPr>
          <w:szCs w:val="28"/>
        </w:rPr>
        <w:softHyphen/>
      </w:r>
      <w:r w:rsidRPr="00AA14EA">
        <w:rPr>
          <w:szCs w:val="28"/>
        </w:rPr>
        <w:softHyphen/>
        <w:t>ven (24:36-53).</w:t>
      </w:r>
      <w:r w:rsidRPr="00AA14EA">
        <w:rPr>
          <w:rStyle w:val="FootnoteReference"/>
          <w:szCs w:val="28"/>
        </w:rPr>
        <w:footnoteReference w:id="432"/>
      </w:r>
      <w:r w:rsidRPr="00AA14EA">
        <w:rPr>
          <w:szCs w:val="28"/>
        </w:rPr>
        <w:t xml:space="preserve"> Ray</w:t>
      </w:r>
      <w:r w:rsidRPr="00AA14EA">
        <w:rPr>
          <w:szCs w:val="28"/>
        </w:rPr>
        <w:softHyphen/>
        <w:t>mond Brown has detected it in the finding in the temple (2:41-52),</w:t>
      </w:r>
      <w:r w:rsidRPr="00AA14EA">
        <w:rPr>
          <w:rStyle w:val="FootnoteReference"/>
          <w:szCs w:val="28"/>
        </w:rPr>
        <w:footnoteReference w:id="433"/>
      </w:r>
      <w:r w:rsidRPr="00AA14EA">
        <w:rPr>
          <w:szCs w:val="28"/>
        </w:rPr>
        <w:t xml:space="preserve"> and M. D. Goulder has analyzed Luke’s travel narra</w:t>
      </w:r>
      <w:r w:rsidRPr="00AA14EA">
        <w:rPr>
          <w:szCs w:val="28"/>
        </w:rPr>
        <w:softHyphen/>
        <w:t>tive (9:51-18:14) as a chiasm.</w:t>
      </w:r>
      <w:r w:rsidRPr="00AA14EA">
        <w:rPr>
          <w:rStyle w:val="FootnoteReference"/>
          <w:szCs w:val="28"/>
        </w:rPr>
        <w:footnoteReference w:id="434"/>
      </w:r>
      <w:r w:rsidRPr="00AA14EA">
        <w:rPr>
          <w:szCs w:val="28"/>
        </w:rPr>
        <w:t xml:space="preserve"> Charles Talbert has examined </w:t>
      </w:r>
      <w:r w:rsidRPr="00AA14EA">
        <w:rPr>
          <w:szCs w:val="28"/>
        </w:rPr>
        <w:softHyphen/>
        <w:t>the chiastic arrange</w:t>
      </w:r>
      <w:r w:rsidRPr="00AA14EA">
        <w:rPr>
          <w:szCs w:val="28"/>
        </w:rPr>
        <w:softHyphen/>
        <w:t>ment of two large sections of Luke-Acts</w:t>
      </w:r>
      <w:r w:rsidR="006F304D" w:rsidRPr="006F304D">
        <w:rPr>
          <w:szCs w:val="28"/>
        </w:rPr>
        <w:t xml:space="preserve">, </w:t>
      </w:r>
      <w:r w:rsidRPr="00AA14EA">
        <w:rPr>
          <w:szCs w:val="28"/>
        </w:rPr>
        <w:t>Luke 10-18 and Acts 15-21.</w:t>
      </w:r>
      <w:r w:rsidRPr="00AA14EA">
        <w:rPr>
          <w:rStyle w:val="FootnoteReference"/>
          <w:szCs w:val="28"/>
        </w:rPr>
        <w:footnoteReference w:id="435"/>
      </w:r>
    </w:p>
    <w:p w14:paraId="773735E7" w14:textId="7AC9F96D" w:rsidR="0018433B" w:rsidRPr="00AA14EA" w:rsidRDefault="0018433B" w:rsidP="0018433B">
      <w:pPr>
        <w:rPr>
          <w:szCs w:val="28"/>
        </w:rPr>
      </w:pPr>
      <w:r w:rsidRPr="00AA14EA">
        <w:rPr>
          <w:szCs w:val="28"/>
        </w:rPr>
        <w:tab/>
        <w:t>One investigator who has discovered numerous chiasms in Luke-Acts is Robert Morgen</w:t>
      </w:r>
      <w:r w:rsidRPr="00AA14EA">
        <w:rPr>
          <w:szCs w:val="28"/>
        </w:rPr>
        <w:softHyphen/>
        <w:t xml:space="preserve">thaler. The principal thesis of the first volume of his </w:t>
      </w:r>
      <w:r w:rsidRPr="00AA14EA">
        <w:rPr>
          <w:i/>
          <w:iCs/>
          <w:szCs w:val="28"/>
        </w:rPr>
        <w:t xml:space="preserve">Die </w:t>
      </w:r>
      <w:proofErr w:type="spellStart"/>
      <w:r w:rsidRPr="00AA14EA">
        <w:rPr>
          <w:i/>
          <w:iCs/>
          <w:szCs w:val="28"/>
        </w:rPr>
        <w:t>lu</w:t>
      </w:r>
      <w:r w:rsidRPr="00AA14EA">
        <w:rPr>
          <w:i/>
          <w:iCs/>
          <w:szCs w:val="28"/>
        </w:rPr>
        <w:softHyphen/>
        <w:t>kanische</w:t>
      </w:r>
      <w:proofErr w:type="spellEnd"/>
      <w:r w:rsidRPr="00AA14EA">
        <w:rPr>
          <w:i/>
          <w:iCs/>
          <w:szCs w:val="28"/>
        </w:rPr>
        <w:t xml:space="preserve"> </w:t>
      </w:r>
      <w:proofErr w:type="spellStart"/>
      <w:r w:rsidRPr="00AA14EA">
        <w:rPr>
          <w:i/>
          <w:iCs/>
          <w:szCs w:val="28"/>
        </w:rPr>
        <w:t>Ge</w:t>
      </w:r>
      <w:r w:rsidRPr="00AA14EA">
        <w:rPr>
          <w:i/>
          <w:iCs/>
          <w:szCs w:val="28"/>
        </w:rPr>
        <w:softHyphen/>
        <w:t>schichts</w:t>
      </w:r>
      <w:r w:rsidRPr="00AA14EA">
        <w:rPr>
          <w:i/>
          <w:iCs/>
          <w:szCs w:val="28"/>
        </w:rPr>
        <w:softHyphen/>
        <w:t>schreibung</w:t>
      </w:r>
      <w:proofErr w:type="spellEnd"/>
      <w:r w:rsidRPr="00AA14EA">
        <w:rPr>
          <w:i/>
          <w:iCs/>
          <w:szCs w:val="28"/>
        </w:rPr>
        <w:t xml:space="preserve"> </w:t>
      </w:r>
      <w:proofErr w:type="spellStart"/>
      <w:r w:rsidRPr="00AA14EA">
        <w:rPr>
          <w:i/>
          <w:iCs/>
          <w:szCs w:val="28"/>
        </w:rPr>
        <w:t>als</w:t>
      </w:r>
      <w:proofErr w:type="spellEnd"/>
      <w:r w:rsidRPr="00AA14EA">
        <w:rPr>
          <w:i/>
          <w:iCs/>
          <w:szCs w:val="28"/>
        </w:rPr>
        <w:t xml:space="preserve"> </w:t>
      </w:r>
      <w:proofErr w:type="spellStart"/>
      <w:r w:rsidRPr="00AA14EA">
        <w:rPr>
          <w:i/>
          <w:iCs/>
          <w:szCs w:val="28"/>
        </w:rPr>
        <w:t>Zeug</w:t>
      </w:r>
      <w:r w:rsidRPr="00AA14EA">
        <w:rPr>
          <w:i/>
          <w:iCs/>
          <w:szCs w:val="28"/>
        </w:rPr>
        <w:softHyphen/>
        <w:t>nis</w:t>
      </w:r>
      <w:proofErr w:type="spellEnd"/>
      <w:r w:rsidR="006F304D" w:rsidRPr="006F304D">
        <w:rPr>
          <w:iCs/>
          <w:szCs w:val="28"/>
        </w:rPr>
        <w:t xml:space="preserve">, </w:t>
      </w:r>
      <w:r w:rsidRPr="00AA14EA">
        <w:rPr>
          <w:szCs w:val="28"/>
        </w:rPr>
        <w:t>it will be recalled</w:t>
      </w:r>
      <w:r w:rsidR="006F304D" w:rsidRPr="006F304D">
        <w:rPr>
          <w:szCs w:val="28"/>
        </w:rPr>
        <w:t xml:space="preserve">, </w:t>
      </w:r>
      <w:r w:rsidRPr="00AA14EA">
        <w:rPr>
          <w:szCs w:val="28"/>
        </w:rPr>
        <w:t>is that Luke struc</w:t>
      </w:r>
      <w:r w:rsidRPr="00AA14EA">
        <w:rPr>
          <w:szCs w:val="28"/>
        </w:rPr>
        <w:softHyphen/>
        <w:t>tured his work accord</w:t>
      </w:r>
      <w:r w:rsidRPr="00AA14EA">
        <w:rPr>
          <w:szCs w:val="28"/>
        </w:rPr>
        <w:softHyphen/>
        <w:t>ing to a prin</w:t>
      </w:r>
      <w:r w:rsidRPr="00AA14EA">
        <w:rPr>
          <w:szCs w:val="28"/>
        </w:rPr>
        <w:softHyphen/>
        <w:t xml:space="preserve">ciple of </w:t>
      </w:r>
      <w:proofErr w:type="spellStart"/>
      <w:r w:rsidRPr="00AA14EA">
        <w:rPr>
          <w:szCs w:val="28"/>
        </w:rPr>
        <w:t>two</w:t>
      </w:r>
      <w:r w:rsidRPr="00AA14EA">
        <w:rPr>
          <w:szCs w:val="28"/>
        </w:rPr>
        <w:softHyphen/>
        <w:t>fold</w:t>
      </w:r>
      <w:r w:rsidRPr="00AA14EA">
        <w:rPr>
          <w:szCs w:val="28"/>
        </w:rPr>
        <w:softHyphen/>
        <w:t>ness</w:t>
      </w:r>
      <w:proofErr w:type="spellEnd"/>
      <w:r w:rsidRPr="00AA14EA">
        <w:rPr>
          <w:szCs w:val="28"/>
        </w:rPr>
        <w:t>. It is only natu</w:t>
      </w:r>
      <w:r w:rsidRPr="00AA14EA">
        <w:rPr>
          <w:szCs w:val="28"/>
        </w:rPr>
        <w:softHyphen/>
        <w:t>ral</w:t>
      </w:r>
      <w:r w:rsidR="006F304D" w:rsidRPr="006F304D">
        <w:rPr>
          <w:szCs w:val="28"/>
        </w:rPr>
        <w:t xml:space="preserve">, </w:t>
      </w:r>
      <w:r w:rsidRPr="00AA14EA">
        <w:rPr>
          <w:szCs w:val="28"/>
        </w:rPr>
        <w:t>then</w:t>
      </w:r>
      <w:r w:rsidR="006F304D" w:rsidRPr="006F304D">
        <w:rPr>
          <w:szCs w:val="28"/>
        </w:rPr>
        <w:t xml:space="preserve">, </w:t>
      </w:r>
      <w:r w:rsidRPr="00AA14EA">
        <w:rPr>
          <w:szCs w:val="28"/>
        </w:rPr>
        <w:t xml:space="preserve">that chiasms—which display </w:t>
      </w:r>
      <w:proofErr w:type="spellStart"/>
      <w:r w:rsidRPr="00AA14EA">
        <w:rPr>
          <w:szCs w:val="28"/>
        </w:rPr>
        <w:t>twofold</w:t>
      </w:r>
      <w:r w:rsidRPr="00AA14EA">
        <w:rPr>
          <w:szCs w:val="28"/>
        </w:rPr>
        <w:softHyphen/>
        <w:t>ness</w:t>
      </w:r>
      <w:proofErr w:type="spellEnd"/>
      <w:r w:rsidRPr="00AA14EA">
        <w:rPr>
          <w:szCs w:val="28"/>
        </w:rPr>
        <w:t xml:space="preserve"> both in their major “slopes” and </w:t>
      </w:r>
      <w:r w:rsidRPr="00AA14EA">
        <w:rPr>
          <w:szCs w:val="28"/>
        </w:rPr>
        <w:lastRenderedPageBreak/>
        <w:t>in their many paired items—would be men</w:t>
      </w:r>
      <w:r w:rsidRPr="00AA14EA">
        <w:rPr>
          <w:szCs w:val="28"/>
        </w:rPr>
        <w:softHyphen/>
        <w:t>tioned by Mor</w:t>
      </w:r>
      <w:r w:rsidRPr="00AA14EA">
        <w:rPr>
          <w:szCs w:val="28"/>
        </w:rPr>
        <w:softHyphen/>
        <w:t>gen</w:t>
      </w:r>
      <w:r w:rsidRPr="00AA14EA">
        <w:rPr>
          <w:szCs w:val="28"/>
        </w:rPr>
        <w:softHyphen/>
        <w:t>thaler on more than one occasion. Morgen</w:t>
      </w:r>
      <w:r w:rsidRPr="00AA14EA">
        <w:rPr>
          <w:szCs w:val="28"/>
        </w:rPr>
        <w:softHyphen/>
        <w:t>thaler</w:t>
      </w:r>
      <w:r w:rsidR="006F304D" w:rsidRPr="006F304D">
        <w:rPr>
          <w:szCs w:val="28"/>
        </w:rPr>
        <w:t xml:space="preserve">, </w:t>
      </w:r>
      <w:r w:rsidRPr="00AA14EA">
        <w:rPr>
          <w:szCs w:val="28"/>
        </w:rPr>
        <w:t>in fact</w:t>
      </w:r>
      <w:r w:rsidR="006F304D" w:rsidRPr="006F304D">
        <w:rPr>
          <w:szCs w:val="28"/>
        </w:rPr>
        <w:t xml:space="preserve">, </w:t>
      </w:r>
      <w:r w:rsidRPr="00AA14EA">
        <w:rPr>
          <w:szCs w:val="28"/>
        </w:rPr>
        <w:t xml:space="preserve">calls chiasm “one of Luke’s fondest figures </w:t>
      </w:r>
      <w:r w:rsidRPr="005F51B1">
        <w:rPr>
          <w:szCs w:val="28"/>
        </w:rPr>
        <w:t>. . .</w:t>
      </w:r>
      <w:r w:rsidRPr="00AA14EA">
        <w:rPr>
          <w:szCs w:val="28"/>
        </w:rPr>
        <w:t>”</w:t>
      </w:r>
      <w:r w:rsidRPr="00AA14EA">
        <w:rPr>
          <w:rStyle w:val="FootnoteReference"/>
          <w:szCs w:val="28"/>
        </w:rPr>
        <w:footnoteReference w:id="436"/>
      </w:r>
    </w:p>
    <w:p w14:paraId="1C1BE784" w14:textId="1C52754B" w:rsidR="0018433B" w:rsidRPr="00AA14EA" w:rsidRDefault="0018433B" w:rsidP="0018433B">
      <w:pPr>
        <w:rPr>
          <w:szCs w:val="28"/>
        </w:rPr>
      </w:pPr>
      <w:r w:rsidRPr="00AA14EA">
        <w:rPr>
          <w:szCs w:val="28"/>
        </w:rPr>
        <w:tab/>
        <w:t>Morgenthaler considers chiasms of words</w:t>
      </w:r>
      <w:r w:rsidR="006F304D" w:rsidRPr="006F304D">
        <w:rPr>
          <w:szCs w:val="28"/>
        </w:rPr>
        <w:t xml:space="preserve">, </w:t>
      </w:r>
      <w:r w:rsidRPr="00AA14EA">
        <w:rPr>
          <w:szCs w:val="28"/>
        </w:rPr>
        <w:t>sentences</w:t>
      </w:r>
      <w:r w:rsidR="006F304D" w:rsidRPr="006F304D">
        <w:rPr>
          <w:szCs w:val="28"/>
        </w:rPr>
        <w:t xml:space="preserve">, </w:t>
      </w:r>
      <w:r w:rsidRPr="00AA14EA">
        <w:rPr>
          <w:szCs w:val="28"/>
        </w:rPr>
        <w:t>and pericopes. He gives sev</w:t>
      </w:r>
      <w:r w:rsidRPr="00AA14EA">
        <w:rPr>
          <w:szCs w:val="28"/>
        </w:rPr>
        <w:softHyphen/>
        <w:t>enteen examples of word chiasms</w:t>
      </w:r>
      <w:r w:rsidR="006F304D" w:rsidRPr="006F304D">
        <w:rPr>
          <w:szCs w:val="28"/>
        </w:rPr>
        <w:t xml:space="preserve">, </w:t>
      </w:r>
      <w:r w:rsidRPr="00AA14EA">
        <w:rPr>
          <w:szCs w:val="28"/>
        </w:rPr>
        <w:t>such as Luke 19:38 (literally</w:t>
      </w:r>
      <w:r w:rsidR="006F304D" w:rsidRPr="006F304D">
        <w:rPr>
          <w:szCs w:val="28"/>
        </w:rPr>
        <w:t xml:space="preserve">, </w:t>
      </w:r>
      <w:r w:rsidRPr="00AA14EA">
        <w:rPr>
          <w:szCs w:val="28"/>
        </w:rPr>
        <w:t>“in heaven peace and glory in the highest,”</w:t>
      </w:r>
      <w:r>
        <w:rPr>
          <w:szCs w:val="28"/>
        </w:rPr>
        <w:t xml:space="preserve"> </w:t>
      </w:r>
      <w:proofErr w:type="spellStart"/>
      <w:r w:rsidRPr="0046708B">
        <w:rPr>
          <w:szCs w:val="28"/>
        </w:rPr>
        <w:t>ἐν</w:t>
      </w:r>
      <w:proofErr w:type="spellEnd"/>
      <w:r w:rsidRPr="0046708B">
        <w:rPr>
          <w:szCs w:val="28"/>
        </w:rPr>
        <w:t xml:space="preserve"> </w:t>
      </w:r>
      <w:proofErr w:type="spellStart"/>
      <w:r w:rsidRPr="0046708B">
        <w:rPr>
          <w:szCs w:val="28"/>
        </w:rPr>
        <w:t>οὐρ</w:t>
      </w:r>
      <w:proofErr w:type="spellEnd"/>
      <w:r w:rsidRPr="0046708B">
        <w:rPr>
          <w:szCs w:val="28"/>
        </w:rPr>
        <w:t xml:space="preserve">ανῷ </w:t>
      </w:r>
      <w:proofErr w:type="spellStart"/>
      <w:r w:rsidRPr="0046708B">
        <w:rPr>
          <w:szCs w:val="28"/>
        </w:rPr>
        <w:t>εἰρήνη</w:t>
      </w:r>
      <w:proofErr w:type="spellEnd"/>
      <w:r w:rsidRPr="0046708B">
        <w:rPr>
          <w:szCs w:val="28"/>
        </w:rPr>
        <w:t xml:space="preserve"> καὶ </w:t>
      </w:r>
      <w:proofErr w:type="spellStart"/>
      <w:r w:rsidRPr="0046708B">
        <w:rPr>
          <w:szCs w:val="28"/>
        </w:rPr>
        <w:t>δόξ</w:t>
      </w:r>
      <w:proofErr w:type="spellEnd"/>
      <w:r w:rsidRPr="0046708B">
        <w:rPr>
          <w:szCs w:val="28"/>
        </w:rPr>
        <w:t xml:space="preserve">α </w:t>
      </w:r>
      <w:proofErr w:type="spellStart"/>
      <w:r w:rsidRPr="0046708B">
        <w:rPr>
          <w:szCs w:val="28"/>
        </w:rPr>
        <w:t>ἐν</w:t>
      </w:r>
      <w:proofErr w:type="spellEnd"/>
      <w:r w:rsidRPr="0046708B">
        <w:rPr>
          <w:szCs w:val="28"/>
        </w:rPr>
        <w:t xml:space="preserve"> </w:t>
      </w:r>
      <w:proofErr w:type="spellStart"/>
      <w:r w:rsidRPr="0046708B">
        <w:rPr>
          <w:szCs w:val="28"/>
        </w:rPr>
        <w:t>ὑψίστοις</w:t>
      </w:r>
      <w:proofErr w:type="spellEnd"/>
      <w:r w:rsidRPr="00AA14EA">
        <w:rPr>
          <w:szCs w:val="28"/>
        </w:rPr>
        <w:t>).</w:t>
      </w:r>
      <w:r w:rsidRPr="00AA14EA">
        <w:rPr>
          <w:rStyle w:val="FootnoteReference"/>
          <w:szCs w:val="28"/>
        </w:rPr>
        <w:footnoteReference w:id="437"/>
      </w:r>
      <w:r w:rsidRPr="00AA14EA">
        <w:rPr>
          <w:szCs w:val="28"/>
        </w:rPr>
        <w:t xml:space="preserve"> He provides eight sentence chiasms</w:t>
      </w:r>
      <w:r w:rsidR="006F304D" w:rsidRPr="006F304D">
        <w:rPr>
          <w:szCs w:val="28"/>
        </w:rPr>
        <w:t xml:space="preserve">, </w:t>
      </w:r>
      <w:r w:rsidRPr="00AA14EA">
        <w:rPr>
          <w:szCs w:val="28"/>
        </w:rPr>
        <w:t>such as the Magni</w:t>
      </w:r>
      <w:r w:rsidRPr="00AA14EA">
        <w:rPr>
          <w:szCs w:val="28"/>
        </w:rPr>
        <w:softHyphen/>
        <w:t>ficat and Benedic</w:t>
      </w:r>
      <w:r w:rsidRPr="00AA14EA">
        <w:rPr>
          <w:szCs w:val="28"/>
        </w:rPr>
        <w:softHyphen/>
        <w:t>tus together (1:46-49 = in</w:t>
      </w:r>
      <w:r w:rsidRPr="00AA14EA">
        <w:rPr>
          <w:szCs w:val="28"/>
        </w:rPr>
        <w:softHyphen/>
        <w:t>di</w:t>
      </w:r>
      <w:r w:rsidRPr="00AA14EA">
        <w:rPr>
          <w:szCs w:val="28"/>
        </w:rPr>
        <w:softHyphen/>
        <w:t>vidual</w:t>
      </w:r>
      <w:r w:rsidR="006F304D" w:rsidRPr="006F304D">
        <w:rPr>
          <w:szCs w:val="28"/>
        </w:rPr>
        <w:t xml:space="preserve">, </w:t>
      </w:r>
      <w:r w:rsidRPr="00AA14EA">
        <w:rPr>
          <w:szCs w:val="28"/>
        </w:rPr>
        <w:t>1:50-55 = com</w:t>
      </w:r>
      <w:r w:rsidRPr="00AA14EA">
        <w:rPr>
          <w:szCs w:val="28"/>
        </w:rPr>
        <w:softHyphen/>
        <w:t>munal; 1:68-75 = communal</w:t>
      </w:r>
      <w:r w:rsidR="006F304D" w:rsidRPr="006F304D">
        <w:rPr>
          <w:szCs w:val="28"/>
        </w:rPr>
        <w:t xml:space="preserve">, </w:t>
      </w:r>
      <w:r w:rsidRPr="00AA14EA">
        <w:rPr>
          <w:szCs w:val="28"/>
        </w:rPr>
        <w:t>1:76-79 = in</w:t>
      </w:r>
      <w:r w:rsidRPr="00AA14EA">
        <w:rPr>
          <w:szCs w:val="28"/>
        </w:rPr>
        <w:softHyphen/>
        <w:t>di</w:t>
      </w:r>
      <w:r w:rsidRPr="00AA14EA">
        <w:rPr>
          <w:szCs w:val="28"/>
        </w:rPr>
        <w:softHyphen/>
        <w:t>vid</w:t>
      </w:r>
      <w:r w:rsidRPr="00AA14EA">
        <w:rPr>
          <w:szCs w:val="28"/>
        </w:rPr>
        <w:softHyphen/>
        <w:t>ual).</w:t>
      </w:r>
      <w:r w:rsidRPr="00AA14EA">
        <w:rPr>
          <w:rStyle w:val="FootnoteReference"/>
          <w:szCs w:val="28"/>
        </w:rPr>
        <w:footnoteReference w:id="438"/>
      </w:r>
      <w:r w:rsidRPr="00AA14EA">
        <w:rPr>
          <w:szCs w:val="28"/>
        </w:rPr>
        <w:t xml:space="preserve"> Though many pericope chiasms could be dis</w:t>
      </w:r>
      <w:r w:rsidRPr="00AA14EA">
        <w:rPr>
          <w:szCs w:val="28"/>
        </w:rPr>
        <w:softHyphen/>
        <w:t>covered (he says)</w:t>
      </w:r>
      <w:r w:rsidR="006F304D" w:rsidRPr="006F304D">
        <w:rPr>
          <w:szCs w:val="28"/>
        </w:rPr>
        <w:t xml:space="preserve">, </w:t>
      </w:r>
      <w:r w:rsidRPr="00AA14EA">
        <w:rPr>
          <w:szCs w:val="28"/>
        </w:rPr>
        <w:t>he offers eleven</w:t>
      </w:r>
      <w:r w:rsidR="006F304D" w:rsidRPr="006F304D">
        <w:rPr>
          <w:szCs w:val="28"/>
        </w:rPr>
        <w:t xml:space="preserve">, </w:t>
      </w:r>
      <w:r w:rsidRPr="00AA14EA">
        <w:rPr>
          <w:szCs w:val="28"/>
        </w:rPr>
        <w:t xml:space="preserve">such as: the </w:t>
      </w:r>
      <w:proofErr w:type="spellStart"/>
      <w:r w:rsidRPr="00AA14EA">
        <w:rPr>
          <w:szCs w:val="28"/>
        </w:rPr>
        <w:t>an</w:t>
      </w:r>
      <w:r w:rsidRPr="00AA14EA">
        <w:rPr>
          <w:szCs w:val="28"/>
        </w:rPr>
        <w:softHyphen/>
        <w:t>nunica</w:t>
      </w:r>
      <w:r w:rsidRPr="00AA14EA">
        <w:rPr>
          <w:szCs w:val="28"/>
        </w:rPr>
        <w:softHyphen/>
        <w:t>tion</w:t>
      </w:r>
      <w:proofErr w:type="spellEnd"/>
      <w:r w:rsidRPr="00AA14EA">
        <w:rPr>
          <w:szCs w:val="28"/>
        </w:rPr>
        <w:t xml:space="preserve"> to Zech</w:t>
      </w:r>
      <w:r w:rsidRPr="00AA14EA">
        <w:rPr>
          <w:szCs w:val="28"/>
        </w:rPr>
        <w:softHyphen/>
        <w:t>ariah (Luke 1:8-23)</w:t>
      </w:r>
      <w:r w:rsidR="006F304D" w:rsidRPr="006F304D">
        <w:rPr>
          <w:szCs w:val="28"/>
        </w:rPr>
        <w:t xml:space="preserve">, </w:t>
      </w:r>
      <w:r w:rsidRPr="00AA14EA">
        <w:rPr>
          <w:szCs w:val="28"/>
        </w:rPr>
        <w:t>the annuncia</w:t>
      </w:r>
      <w:r w:rsidRPr="00AA14EA">
        <w:rPr>
          <w:szCs w:val="28"/>
        </w:rPr>
        <w:softHyphen/>
        <w:t>tion to Mary (1:26-38)</w:t>
      </w:r>
      <w:r w:rsidR="006F304D" w:rsidRPr="006F304D">
        <w:rPr>
          <w:szCs w:val="28"/>
        </w:rPr>
        <w:t xml:space="preserve">, </w:t>
      </w:r>
      <w:r w:rsidRPr="00AA14EA">
        <w:rPr>
          <w:szCs w:val="28"/>
        </w:rPr>
        <w:t>the hymn of Mary (1:46-55)</w:t>
      </w:r>
      <w:r w:rsidR="006F304D" w:rsidRPr="006F304D">
        <w:rPr>
          <w:szCs w:val="28"/>
        </w:rPr>
        <w:t xml:space="preserve">, </w:t>
      </w:r>
      <w:r w:rsidRPr="00AA14EA">
        <w:rPr>
          <w:szCs w:val="28"/>
        </w:rPr>
        <w:t>the hymn of Zechariah (1:68-79).</w:t>
      </w:r>
      <w:r w:rsidRPr="00AA14EA">
        <w:rPr>
          <w:rStyle w:val="FootnoteReference"/>
          <w:szCs w:val="28"/>
        </w:rPr>
        <w:footnoteReference w:id="439"/>
      </w:r>
    </w:p>
    <w:p w14:paraId="758D6B85" w14:textId="2C773E78" w:rsidR="0018433B" w:rsidRPr="00AA14EA" w:rsidRDefault="0018433B" w:rsidP="0018433B">
      <w:pPr>
        <w:rPr>
          <w:szCs w:val="28"/>
        </w:rPr>
      </w:pPr>
      <w:bookmarkStart w:id="49" w:name="chiasm_1__Morgenthaler__41_42"/>
      <w:bookmarkEnd w:id="49"/>
      <w:r w:rsidRPr="00AA14EA">
        <w:rPr>
          <w:szCs w:val="28"/>
        </w:rPr>
        <w:tab/>
        <w:t>Morgenthaler cites two instan</w:t>
      </w:r>
      <w:r w:rsidRPr="00AA14EA">
        <w:rPr>
          <w:szCs w:val="28"/>
        </w:rPr>
        <w:softHyphen/>
        <w:t xml:space="preserve">ces of chiasm in the sermon on the plain. They </w:t>
      </w:r>
      <w:r w:rsidRPr="00AA14EA">
        <w:rPr>
          <w:szCs w:val="28"/>
        </w:rPr>
        <w:softHyphen/>
      </w:r>
      <w:r w:rsidRPr="00AA14EA">
        <w:rPr>
          <w:szCs w:val="28"/>
        </w:rPr>
        <w:softHyphen/>
        <w:t>are: 6:42 (literally</w:t>
      </w:r>
      <w:r w:rsidR="006F304D" w:rsidRPr="006F304D">
        <w:rPr>
          <w:szCs w:val="28"/>
        </w:rPr>
        <w:t xml:space="preserve">, </w:t>
      </w:r>
      <w:r w:rsidRPr="00AA14EA">
        <w:rPr>
          <w:szCs w:val="28"/>
        </w:rPr>
        <w:t xml:space="preserve">“the speck in your eye </w:t>
      </w:r>
      <w:r w:rsidRPr="005F51B1">
        <w:rPr>
          <w:szCs w:val="28"/>
        </w:rPr>
        <w:t>. . .</w:t>
      </w:r>
      <w:r w:rsidRPr="00AA14EA">
        <w:rPr>
          <w:szCs w:val="28"/>
        </w:rPr>
        <w:t xml:space="preserve"> in your own eye the log,”</w:t>
      </w:r>
      <w:r>
        <w:rPr>
          <w:szCs w:val="28"/>
        </w:rPr>
        <w:t xml:space="preserve"> </w:t>
      </w:r>
      <w:proofErr w:type="spellStart"/>
      <w:r w:rsidRPr="0046708B">
        <w:rPr>
          <w:szCs w:val="28"/>
        </w:rPr>
        <w:t>ἐκ</w:t>
      </w:r>
      <w:proofErr w:type="spellEnd"/>
      <w:r w:rsidRPr="0046708B">
        <w:rPr>
          <w:szCs w:val="28"/>
        </w:rPr>
        <w:t xml:space="preserve">βάλω </w:t>
      </w:r>
      <w:proofErr w:type="spellStart"/>
      <w:r w:rsidRPr="0046708B">
        <w:rPr>
          <w:szCs w:val="28"/>
        </w:rPr>
        <w:t>τὸ</w:t>
      </w:r>
      <w:proofErr w:type="spellEnd"/>
      <w:r w:rsidRPr="0046708B">
        <w:rPr>
          <w:szCs w:val="28"/>
        </w:rPr>
        <w:t xml:space="preserve"> </w:t>
      </w:r>
      <w:proofErr w:type="spellStart"/>
      <w:r w:rsidRPr="0046708B">
        <w:rPr>
          <w:szCs w:val="28"/>
        </w:rPr>
        <w:t>κάρφος</w:t>
      </w:r>
      <w:proofErr w:type="spellEnd"/>
      <w:r w:rsidRPr="0046708B">
        <w:rPr>
          <w:szCs w:val="28"/>
        </w:rPr>
        <w:t xml:space="preserve"> </w:t>
      </w:r>
      <w:proofErr w:type="spellStart"/>
      <w:r w:rsidRPr="0046708B">
        <w:rPr>
          <w:szCs w:val="28"/>
        </w:rPr>
        <w:t>τὸ</w:t>
      </w:r>
      <w:proofErr w:type="spellEnd"/>
      <w:r w:rsidRPr="0046708B">
        <w:rPr>
          <w:szCs w:val="28"/>
        </w:rPr>
        <w:t xml:space="preserve"> </w:t>
      </w:r>
      <w:proofErr w:type="spellStart"/>
      <w:r w:rsidRPr="0046708B">
        <w:rPr>
          <w:szCs w:val="28"/>
        </w:rPr>
        <w:t>ἐν</w:t>
      </w:r>
      <w:proofErr w:type="spellEnd"/>
      <w:r w:rsidRPr="0046708B">
        <w:rPr>
          <w:szCs w:val="28"/>
        </w:rPr>
        <w:t xml:space="preserve"> </w:t>
      </w:r>
      <w:proofErr w:type="spellStart"/>
      <w:r w:rsidRPr="0046708B">
        <w:rPr>
          <w:szCs w:val="28"/>
        </w:rPr>
        <w:t>τῷ</w:t>
      </w:r>
      <w:proofErr w:type="spellEnd"/>
      <w:r w:rsidRPr="0046708B">
        <w:rPr>
          <w:szCs w:val="28"/>
        </w:rPr>
        <w:t xml:space="preserve"> </w:t>
      </w:r>
      <w:proofErr w:type="spellStart"/>
      <w:r w:rsidRPr="0046708B">
        <w:rPr>
          <w:szCs w:val="28"/>
        </w:rPr>
        <w:t>ὀφθ</w:t>
      </w:r>
      <w:proofErr w:type="spellEnd"/>
      <w:r w:rsidRPr="0046708B">
        <w:rPr>
          <w:szCs w:val="28"/>
        </w:rPr>
        <w:t xml:space="preserve">αλμῷ </w:t>
      </w:r>
      <w:proofErr w:type="spellStart"/>
      <w:r w:rsidRPr="0046708B">
        <w:rPr>
          <w:szCs w:val="28"/>
        </w:rPr>
        <w:t>σου</w:t>
      </w:r>
      <w:proofErr w:type="spellEnd"/>
      <w:r w:rsidR="006F304D" w:rsidRPr="006F304D">
        <w:rPr>
          <w:szCs w:val="28"/>
        </w:rPr>
        <w:t xml:space="preserve">, </w:t>
      </w:r>
      <w:r w:rsidRPr="0046708B">
        <w:rPr>
          <w:szCs w:val="28"/>
        </w:rPr>
        <w:t>α</w:t>
      </w:r>
      <w:proofErr w:type="spellStart"/>
      <w:r w:rsidRPr="0046708B">
        <w:rPr>
          <w:szCs w:val="28"/>
        </w:rPr>
        <w:t>ὐτὸς</w:t>
      </w:r>
      <w:proofErr w:type="spellEnd"/>
      <w:r w:rsidRPr="0046708B">
        <w:rPr>
          <w:szCs w:val="28"/>
        </w:rPr>
        <w:t xml:space="preserve"> </w:t>
      </w:r>
      <w:proofErr w:type="spellStart"/>
      <w:r w:rsidRPr="0046708B">
        <w:rPr>
          <w:szCs w:val="28"/>
        </w:rPr>
        <w:t>τὴν</w:t>
      </w:r>
      <w:proofErr w:type="spellEnd"/>
      <w:r w:rsidRPr="0046708B">
        <w:rPr>
          <w:szCs w:val="28"/>
        </w:rPr>
        <w:t xml:space="preserve"> </w:t>
      </w:r>
      <w:proofErr w:type="spellStart"/>
      <w:r w:rsidRPr="0046708B">
        <w:rPr>
          <w:szCs w:val="28"/>
        </w:rPr>
        <w:t>ἐν</w:t>
      </w:r>
      <w:proofErr w:type="spellEnd"/>
      <w:r w:rsidRPr="0046708B">
        <w:rPr>
          <w:szCs w:val="28"/>
        </w:rPr>
        <w:t xml:space="preserve"> </w:t>
      </w:r>
      <w:proofErr w:type="spellStart"/>
      <w:r w:rsidRPr="0046708B">
        <w:rPr>
          <w:szCs w:val="28"/>
        </w:rPr>
        <w:t>τῷ</w:t>
      </w:r>
      <w:proofErr w:type="spellEnd"/>
      <w:r w:rsidRPr="0046708B">
        <w:rPr>
          <w:szCs w:val="28"/>
        </w:rPr>
        <w:t xml:space="preserve"> </w:t>
      </w:r>
      <w:proofErr w:type="spellStart"/>
      <w:r w:rsidRPr="0046708B">
        <w:rPr>
          <w:szCs w:val="28"/>
        </w:rPr>
        <w:t>ὀφθ</w:t>
      </w:r>
      <w:proofErr w:type="spellEnd"/>
      <w:r w:rsidRPr="0046708B">
        <w:rPr>
          <w:szCs w:val="28"/>
        </w:rPr>
        <w:t xml:space="preserve">αλμῷ </w:t>
      </w:r>
      <w:proofErr w:type="spellStart"/>
      <w:r w:rsidRPr="0046708B">
        <w:rPr>
          <w:szCs w:val="28"/>
        </w:rPr>
        <w:t>σου</w:t>
      </w:r>
      <w:proofErr w:type="spellEnd"/>
      <w:r w:rsidRPr="0046708B">
        <w:rPr>
          <w:szCs w:val="28"/>
        </w:rPr>
        <w:t xml:space="preserve"> </w:t>
      </w:r>
      <w:proofErr w:type="spellStart"/>
      <w:r w:rsidRPr="0046708B">
        <w:rPr>
          <w:szCs w:val="28"/>
        </w:rPr>
        <w:t>δοκὸν</w:t>
      </w:r>
      <w:proofErr w:type="spellEnd"/>
      <w:r w:rsidRPr="0046708B">
        <w:rPr>
          <w:szCs w:val="28"/>
        </w:rPr>
        <w:t xml:space="preserve"> </w:t>
      </w:r>
      <w:proofErr w:type="spellStart"/>
      <w:r w:rsidRPr="0046708B">
        <w:rPr>
          <w:szCs w:val="28"/>
        </w:rPr>
        <w:t>οὐ</w:t>
      </w:r>
      <w:proofErr w:type="spellEnd"/>
      <w:r w:rsidRPr="0046708B">
        <w:rPr>
          <w:szCs w:val="28"/>
        </w:rPr>
        <w:t xml:space="preserve"> β</w:t>
      </w:r>
      <w:proofErr w:type="spellStart"/>
      <w:r w:rsidRPr="0046708B">
        <w:rPr>
          <w:szCs w:val="28"/>
        </w:rPr>
        <w:t>λέ</w:t>
      </w:r>
      <w:proofErr w:type="spellEnd"/>
      <w:r w:rsidRPr="0046708B">
        <w:rPr>
          <w:szCs w:val="28"/>
        </w:rPr>
        <w:t>πων</w:t>
      </w:r>
      <w:r w:rsidRPr="00AA14EA">
        <w:rPr>
          <w:szCs w:val="28"/>
        </w:rPr>
        <w:t>) and 6:44 (literally</w:t>
      </w:r>
      <w:r w:rsidR="006F304D" w:rsidRPr="006F304D">
        <w:rPr>
          <w:szCs w:val="28"/>
        </w:rPr>
        <w:t xml:space="preserve">, </w:t>
      </w:r>
      <w:r w:rsidRPr="00AA14EA">
        <w:rPr>
          <w:szCs w:val="28"/>
        </w:rPr>
        <w:t>“</w:t>
      </w:r>
      <w:r>
        <w:rPr>
          <w:szCs w:val="28"/>
        </w:rPr>
        <w:t>gather</w:t>
      </w:r>
      <w:r w:rsidRPr="00AA14EA">
        <w:rPr>
          <w:szCs w:val="28"/>
        </w:rPr>
        <w:t xml:space="preserve"> figs </w:t>
      </w:r>
      <w:r w:rsidRPr="005F51B1">
        <w:rPr>
          <w:szCs w:val="28"/>
        </w:rPr>
        <w:t>. . .</w:t>
      </w:r>
      <w:r w:rsidRPr="00AA14EA">
        <w:rPr>
          <w:szCs w:val="28"/>
        </w:rPr>
        <w:t xml:space="preserve"> </w:t>
      </w:r>
      <w:r>
        <w:rPr>
          <w:szCs w:val="28"/>
        </w:rPr>
        <w:t>grapes pick</w:t>
      </w:r>
      <w:r w:rsidRPr="00AA14EA">
        <w:rPr>
          <w:szCs w:val="28"/>
        </w:rPr>
        <w:t xml:space="preserve">,” </w:t>
      </w:r>
      <w:proofErr w:type="spellStart"/>
      <w:r w:rsidRPr="0046708B">
        <w:rPr>
          <w:szCs w:val="28"/>
        </w:rPr>
        <w:t>συλλέγουσιν</w:t>
      </w:r>
      <w:proofErr w:type="spellEnd"/>
      <w:r w:rsidRPr="0046708B">
        <w:rPr>
          <w:szCs w:val="28"/>
        </w:rPr>
        <w:t xml:space="preserve"> </w:t>
      </w:r>
      <w:proofErr w:type="spellStart"/>
      <w:r w:rsidRPr="0046708B">
        <w:rPr>
          <w:szCs w:val="28"/>
        </w:rPr>
        <w:t>σῦκ</w:t>
      </w:r>
      <w:proofErr w:type="spellEnd"/>
      <w:r w:rsidRPr="0046708B">
        <w:rPr>
          <w:szCs w:val="28"/>
        </w:rPr>
        <w:t xml:space="preserve">α </w:t>
      </w:r>
      <w:r>
        <w:rPr>
          <w:szCs w:val="28"/>
        </w:rPr>
        <w:t xml:space="preserve">. . . </w:t>
      </w:r>
      <w:proofErr w:type="spellStart"/>
      <w:r w:rsidRPr="0046708B">
        <w:rPr>
          <w:szCs w:val="28"/>
        </w:rPr>
        <w:t>στ</w:t>
      </w:r>
      <w:proofErr w:type="spellEnd"/>
      <w:r w:rsidRPr="0046708B">
        <w:rPr>
          <w:szCs w:val="28"/>
        </w:rPr>
        <w:t xml:space="preserve">αφυλὴν </w:t>
      </w:r>
      <w:proofErr w:type="spellStart"/>
      <w:r w:rsidRPr="0046708B">
        <w:rPr>
          <w:szCs w:val="28"/>
        </w:rPr>
        <w:t>τρυγῶσιν</w:t>
      </w:r>
      <w:proofErr w:type="spellEnd"/>
      <w:r w:rsidRPr="00AA14EA">
        <w:rPr>
          <w:szCs w:val="28"/>
        </w:rPr>
        <w:t>). Luke</w:t>
      </w:r>
      <w:r w:rsidR="006F304D" w:rsidRPr="006F304D">
        <w:rPr>
          <w:szCs w:val="28"/>
        </w:rPr>
        <w:t xml:space="preserve">, </w:t>
      </w:r>
      <w:r w:rsidRPr="00AA14EA">
        <w:rPr>
          <w:szCs w:val="28"/>
        </w:rPr>
        <w:t>he claims</w:t>
      </w:r>
      <w:r w:rsidR="006F304D" w:rsidRPr="006F304D">
        <w:rPr>
          <w:szCs w:val="28"/>
        </w:rPr>
        <w:t xml:space="preserve">, </w:t>
      </w:r>
      <w:r w:rsidRPr="00AA14EA">
        <w:rPr>
          <w:szCs w:val="28"/>
        </w:rPr>
        <w:t>often varies the or</w:t>
      </w:r>
      <w:r w:rsidRPr="00AA14EA">
        <w:rPr>
          <w:szCs w:val="28"/>
        </w:rPr>
        <w:softHyphen/>
        <w:t>der of words in his sources so that chi</w:t>
      </w:r>
      <w:r w:rsidRPr="00AA14EA">
        <w:rPr>
          <w:szCs w:val="28"/>
        </w:rPr>
        <w:softHyphen/>
        <w:t>asm</w:t>
      </w:r>
      <w:r>
        <w:rPr>
          <w:szCs w:val="28"/>
        </w:rPr>
        <w:t>s re</w:t>
      </w:r>
      <w:r>
        <w:rPr>
          <w:szCs w:val="28"/>
        </w:rPr>
        <w:softHyphen/>
        <w:t>sult</w:t>
      </w:r>
      <w:r w:rsidR="006F304D" w:rsidRPr="006F304D">
        <w:rPr>
          <w:szCs w:val="28"/>
        </w:rPr>
        <w:t xml:space="preserve">, </w:t>
      </w:r>
      <w:r w:rsidRPr="00AA14EA">
        <w:rPr>
          <w:szCs w:val="28"/>
        </w:rPr>
        <w:t>and that is the case with the sermon chiasms: Mat</w:t>
      </w:r>
      <w:r w:rsidRPr="00AA14EA">
        <w:rPr>
          <w:szCs w:val="28"/>
        </w:rPr>
        <w:softHyphen/>
        <w:t>thew lacks chiasm in both verses.</w:t>
      </w:r>
      <w:r w:rsidRPr="00AA14EA">
        <w:rPr>
          <w:rStyle w:val="FootnoteReference"/>
          <w:szCs w:val="28"/>
        </w:rPr>
        <w:footnoteReference w:id="440"/>
      </w:r>
      <w:r w:rsidRPr="00AA14EA">
        <w:rPr>
          <w:szCs w:val="28"/>
        </w:rPr>
        <w:t xml:space="preserve"> At a later point</w:t>
      </w:r>
      <w:r w:rsidR="006F304D" w:rsidRPr="006F304D">
        <w:rPr>
          <w:szCs w:val="28"/>
        </w:rPr>
        <w:t xml:space="preserve">, </w:t>
      </w:r>
      <w:r w:rsidRPr="00AA14EA">
        <w:rPr>
          <w:szCs w:val="28"/>
        </w:rPr>
        <w:t>however</w:t>
      </w:r>
      <w:r w:rsidR="006F304D" w:rsidRPr="006F304D">
        <w:rPr>
          <w:szCs w:val="28"/>
        </w:rPr>
        <w:t xml:space="preserve">, </w:t>
      </w:r>
      <w:r w:rsidRPr="00AA14EA">
        <w:rPr>
          <w:szCs w:val="28"/>
        </w:rPr>
        <w:t>he explains the two sermon chiasms more elaborately and there acknowledges some chiasm in Matthew:</w:t>
      </w:r>
    </w:p>
    <w:p w14:paraId="4D62D2D7" w14:textId="77777777" w:rsidR="0018433B" w:rsidRPr="00AA14EA" w:rsidRDefault="0018433B" w:rsidP="0018433B">
      <w:pPr>
        <w:rPr>
          <w:szCs w:val="28"/>
        </w:rPr>
      </w:pPr>
    </w:p>
    <w:p w14:paraId="633F4FF4" w14:textId="569CA23C" w:rsidR="0018433B" w:rsidRPr="00AA14EA" w:rsidRDefault="0018433B" w:rsidP="0018433B">
      <w:pPr>
        <w:ind w:left="720" w:right="720"/>
        <w:rPr>
          <w:szCs w:val="28"/>
        </w:rPr>
      </w:pPr>
      <w:r w:rsidRPr="00AA14EA">
        <w:rPr>
          <w:szCs w:val="28"/>
        </w:rPr>
        <w:t>in all three senten</w:t>
      </w:r>
      <w:r w:rsidRPr="00AA14EA">
        <w:rPr>
          <w:szCs w:val="28"/>
        </w:rPr>
        <w:softHyphen/>
        <w:t xml:space="preserve">ces [of </w:t>
      </w:r>
      <w:r>
        <w:rPr>
          <w:szCs w:val="28"/>
        </w:rPr>
        <w:t>Luke 6:</w:t>
      </w:r>
      <w:r w:rsidRPr="00AA14EA">
        <w:rPr>
          <w:szCs w:val="28"/>
        </w:rPr>
        <w:t>41-42] the place</w:t>
      </w:r>
      <w:r w:rsidRPr="00AA14EA">
        <w:rPr>
          <w:szCs w:val="28"/>
        </w:rPr>
        <w:softHyphen/>
        <w:t>ment of the words is chiastic</w:t>
      </w:r>
      <w:r w:rsidR="006F304D" w:rsidRPr="006F304D">
        <w:rPr>
          <w:szCs w:val="28"/>
        </w:rPr>
        <w:t xml:space="preserve">, </w:t>
      </w:r>
      <w:r w:rsidRPr="00AA14EA">
        <w:rPr>
          <w:szCs w:val="28"/>
        </w:rPr>
        <w:t>whereas in Matthew only the first is. [By contrast</w:t>
      </w:r>
      <w:r w:rsidR="006F304D" w:rsidRPr="006F304D">
        <w:rPr>
          <w:szCs w:val="28"/>
        </w:rPr>
        <w:t xml:space="preserve">, </w:t>
      </w:r>
      <w:r>
        <w:rPr>
          <w:szCs w:val="28"/>
        </w:rPr>
        <w:t>Luke 6:</w:t>
      </w:r>
      <w:r w:rsidRPr="00AA14EA">
        <w:rPr>
          <w:szCs w:val="28"/>
        </w:rPr>
        <w:t>44-45 are] in the first part indeed chiastic</w:t>
      </w:r>
      <w:r w:rsidR="006F304D" w:rsidRPr="006F304D">
        <w:rPr>
          <w:szCs w:val="28"/>
        </w:rPr>
        <w:t xml:space="preserve">, </w:t>
      </w:r>
      <w:r w:rsidRPr="00AA14EA">
        <w:rPr>
          <w:szCs w:val="28"/>
        </w:rPr>
        <w:t>in the second formal</w:t>
      </w:r>
      <w:r w:rsidR="006F304D" w:rsidRPr="006F304D">
        <w:rPr>
          <w:szCs w:val="28"/>
        </w:rPr>
        <w:t xml:space="preserve">, </w:t>
      </w:r>
      <w:r w:rsidRPr="00AA14EA">
        <w:rPr>
          <w:szCs w:val="28"/>
        </w:rPr>
        <w:t>and in the third a truncated parallelism without change of posi</w:t>
      </w:r>
      <w:r w:rsidRPr="00AA14EA">
        <w:rPr>
          <w:szCs w:val="28"/>
        </w:rPr>
        <w:softHyphen/>
        <w:t>tion.</w:t>
      </w:r>
      <w:r w:rsidRPr="00AA14EA">
        <w:rPr>
          <w:rStyle w:val="FootnoteReference"/>
          <w:szCs w:val="28"/>
        </w:rPr>
        <w:footnoteReference w:id="441"/>
      </w:r>
    </w:p>
    <w:p w14:paraId="0EEB3948" w14:textId="77777777" w:rsidR="0018433B" w:rsidRPr="00AA14EA" w:rsidRDefault="0018433B" w:rsidP="0018433B">
      <w:pPr>
        <w:rPr>
          <w:szCs w:val="28"/>
        </w:rPr>
      </w:pPr>
    </w:p>
    <w:p w14:paraId="7101395F" w14:textId="3231D049" w:rsidR="0018433B" w:rsidRDefault="0018433B" w:rsidP="0018433B">
      <w:pPr>
        <w:rPr>
          <w:szCs w:val="28"/>
        </w:rPr>
      </w:pPr>
      <w:r w:rsidRPr="00AA14EA">
        <w:rPr>
          <w:szCs w:val="28"/>
        </w:rPr>
        <w:tab/>
        <w:t>To assess these proposed chiasms</w:t>
      </w:r>
      <w:r w:rsidR="006F304D" w:rsidRPr="006F304D">
        <w:rPr>
          <w:szCs w:val="28"/>
        </w:rPr>
        <w:t xml:space="preserve">, </w:t>
      </w:r>
      <w:r w:rsidRPr="00AA14EA">
        <w:rPr>
          <w:szCs w:val="28"/>
        </w:rPr>
        <w:t>we must examine the contexts in which they occur. Here is the full text in which Morgenthaler’s first chiasm occurs.</w:t>
      </w:r>
    </w:p>
    <w:p w14:paraId="5702F6E2" w14:textId="77777777" w:rsidR="0018433B" w:rsidRDefault="0018433B" w:rsidP="0018433B">
      <w:pPr>
        <w:rPr>
          <w:szCs w:val="28"/>
        </w:rPr>
      </w:pPr>
    </w:p>
    <w:p w14:paraId="27C6223B" w14:textId="77777777" w:rsidR="0018433B" w:rsidRDefault="0018433B" w:rsidP="0018433B">
      <w:pPr>
        <w:ind w:left="720"/>
        <w:rPr>
          <w:szCs w:val="28"/>
        </w:rPr>
      </w:pPr>
      <w:r w:rsidRPr="00AA14EA">
        <w:rPr>
          <w:szCs w:val="28"/>
        </w:rPr>
        <w:t>41a</w:t>
      </w:r>
      <w:r w:rsidRPr="00AA14EA">
        <w:rPr>
          <w:szCs w:val="28"/>
        </w:rPr>
        <w:tab/>
      </w:r>
      <w:r w:rsidRPr="00CE06CA">
        <w:rPr>
          <w:bCs/>
          <w:szCs w:val="22"/>
          <w:lang w:val="el-GR"/>
        </w:rPr>
        <w:t>Τί δὲ βλέπεις τὸ κάρφος τὸ ἐν τῷ ὀφθαλμῷ τοῦ ἀδελφοῦ σου,</w:t>
      </w:r>
    </w:p>
    <w:p w14:paraId="771BFB03" w14:textId="77777777" w:rsidR="0018433B" w:rsidRDefault="0018433B" w:rsidP="0018433B">
      <w:pPr>
        <w:ind w:left="720"/>
        <w:rPr>
          <w:szCs w:val="28"/>
        </w:rPr>
      </w:pPr>
      <w:r w:rsidRPr="00AA14EA">
        <w:rPr>
          <w:szCs w:val="28"/>
        </w:rPr>
        <w:t>41b</w:t>
      </w:r>
      <w:r w:rsidRPr="00AA14EA">
        <w:rPr>
          <w:szCs w:val="28"/>
        </w:rPr>
        <w:tab/>
      </w:r>
      <w:r w:rsidRPr="00CE06CA">
        <w:rPr>
          <w:bCs/>
          <w:szCs w:val="22"/>
          <w:lang w:val="el-GR"/>
        </w:rPr>
        <w:t>τὴν δὲ δοκὸν τὴν ἐν τῷ ἰδίῳ ὀφθαλμῷ οὐ κατανοεῖς;</w:t>
      </w:r>
    </w:p>
    <w:p w14:paraId="07798A2B" w14:textId="77777777" w:rsidR="0018433B" w:rsidRDefault="0018433B" w:rsidP="0018433B">
      <w:pPr>
        <w:ind w:left="720"/>
        <w:rPr>
          <w:szCs w:val="28"/>
        </w:rPr>
      </w:pPr>
      <w:r>
        <w:rPr>
          <w:szCs w:val="28"/>
        </w:rPr>
        <w:t>42a</w:t>
      </w:r>
      <w:r>
        <w:rPr>
          <w:szCs w:val="28"/>
        </w:rPr>
        <w:tab/>
      </w:r>
      <w:r w:rsidRPr="00CE06CA">
        <w:rPr>
          <w:bCs/>
          <w:szCs w:val="22"/>
          <w:lang w:val="el-GR"/>
        </w:rPr>
        <w:t>πῶς δύνασαι λέγειν τῷ ἀδελφῷ σου·</w:t>
      </w:r>
    </w:p>
    <w:p w14:paraId="5CB652A2" w14:textId="585664E3" w:rsidR="0018433B" w:rsidRDefault="0018433B" w:rsidP="0018433B">
      <w:pPr>
        <w:ind w:left="720"/>
        <w:rPr>
          <w:szCs w:val="28"/>
        </w:rPr>
      </w:pPr>
      <w:r w:rsidRPr="00AA14EA">
        <w:rPr>
          <w:szCs w:val="28"/>
        </w:rPr>
        <w:t>42b</w:t>
      </w:r>
      <w:r w:rsidRPr="00AA14EA">
        <w:rPr>
          <w:szCs w:val="28"/>
        </w:rPr>
        <w:tab/>
      </w:r>
      <w:r w:rsidRPr="00CE06CA">
        <w:rPr>
          <w:bCs/>
          <w:szCs w:val="22"/>
          <w:lang w:val="el-GR"/>
        </w:rPr>
        <w:t>ἀδελφέ</w:t>
      </w:r>
      <w:r w:rsidR="006F304D" w:rsidRPr="006F304D">
        <w:rPr>
          <w:bCs/>
          <w:szCs w:val="22"/>
          <w:lang w:val="el-GR"/>
        </w:rPr>
        <w:t xml:space="preserve">, </w:t>
      </w:r>
      <w:r w:rsidRPr="00CE06CA">
        <w:rPr>
          <w:bCs/>
          <w:szCs w:val="22"/>
          <w:lang w:val="el-GR"/>
        </w:rPr>
        <w:t>ἄφες ἐκβάλω τὸ κάρφος τὸ ἐν τῷ ὀφθαλμῷ σου,</w:t>
      </w:r>
    </w:p>
    <w:p w14:paraId="598D07D6" w14:textId="77777777" w:rsidR="0018433B" w:rsidRDefault="0018433B" w:rsidP="0018433B">
      <w:pPr>
        <w:ind w:left="720"/>
        <w:rPr>
          <w:szCs w:val="28"/>
        </w:rPr>
      </w:pPr>
      <w:r w:rsidRPr="00AA14EA">
        <w:rPr>
          <w:szCs w:val="28"/>
        </w:rPr>
        <w:lastRenderedPageBreak/>
        <w:t>42c</w:t>
      </w:r>
      <w:r w:rsidRPr="00AA14EA">
        <w:rPr>
          <w:szCs w:val="28"/>
        </w:rPr>
        <w:tab/>
      </w:r>
      <w:r w:rsidRPr="00CE06CA">
        <w:rPr>
          <w:bCs/>
          <w:szCs w:val="22"/>
          <w:lang w:val="el-GR"/>
        </w:rPr>
        <w:t>αὐτὸς τὴν ἐν τῷ ὀφθαλμῷ σου δοκὸν οὐ βλέπων;</w:t>
      </w:r>
    </w:p>
    <w:p w14:paraId="127287AB" w14:textId="34113A17" w:rsidR="0018433B" w:rsidRDefault="0018433B" w:rsidP="0018433B">
      <w:pPr>
        <w:ind w:left="720"/>
        <w:rPr>
          <w:szCs w:val="28"/>
        </w:rPr>
      </w:pPr>
      <w:r w:rsidRPr="00AA14EA">
        <w:rPr>
          <w:szCs w:val="28"/>
        </w:rPr>
        <w:t>42d</w:t>
      </w:r>
      <w:r w:rsidRPr="00AA14EA">
        <w:rPr>
          <w:szCs w:val="28"/>
        </w:rPr>
        <w:tab/>
      </w:r>
      <w:r w:rsidRPr="00CE06CA">
        <w:rPr>
          <w:bCs/>
          <w:szCs w:val="22"/>
          <w:lang w:val="el-GR"/>
        </w:rPr>
        <w:t>ὑποκριτά</w:t>
      </w:r>
      <w:r w:rsidR="006F304D" w:rsidRPr="006F304D">
        <w:rPr>
          <w:bCs/>
          <w:szCs w:val="22"/>
          <w:lang w:val="el-GR"/>
        </w:rPr>
        <w:t xml:space="preserve">, </w:t>
      </w:r>
      <w:r w:rsidRPr="00CE06CA">
        <w:rPr>
          <w:bCs/>
          <w:szCs w:val="22"/>
          <w:lang w:val="el-GR"/>
        </w:rPr>
        <w:t>ἔκβαλε πρῶτον τὴν δοκὸν ἐκ τοῦ ὀφθαλμοῦ σου,</w:t>
      </w:r>
    </w:p>
    <w:p w14:paraId="4ECB6650" w14:textId="77777777" w:rsidR="0018433B" w:rsidRDefault="0018433B" w:rsidP="0018433B">
      <w:pPr>
        <w:ind w:left="720"/>
        <w:rPr>
          <w:szCs w:val="28"/>
        </w:rPr>
      </w:pPr>
      <w:r w:rsidRPr="00AA14EA">
        <w:rPr>
          <w:szCs w:val="28"/>
        </w:rPr>
        <w:t>42e</w:t>
      </w:r>
      <w:r w:rsidRPr="00AA14EA">
        <w:rPr>
          <w:szCs w:val="28"/>
        </w:rPr>
        <w:tab/>
      </w:r>
      <w:r w:rsidRPr="00CE06CA">
        <w:rPr>
          <w:bCs/>
          <w:szCs w:val="22"/>
          <w:lang w:val="el-GR"/>
        </w:rPr>
        <w:t>καὶ τότε διαβλέψεις τὸ κάρφος τὸ ἐν τῷ ὀφθαλμῷ τοῦ ἀδελφοῦ σου ἐκβαλεῖν.</w:t>
      </w:r>
    </w:p>
    <w:p w14:paraId="6C20F7EE" w14:textId="77777777" w:rsidR="0018433B" w:rsidRDefault="0018433B" w:rsidP="0018433B">
      <w:pPr>
        <w:rPr>
          <w:szCs w:val="28"/>
        </w:rPr>
      </w:pPr>
    </w:p>
    <w:p w14:paraId="47D462BE" w14:textId="77777777" w:rsidR="0018433B" w:rsidRDefault="0018433B" w:rsidP="0018433B">
      <w:pPr>
        <w:ind w:left="720"/>
        <w:rPr>
          <w:szCs w:val="28"/>
        </w:rPr>
      </w:pPr>
      <w:r w:rsidRPr="00AA14EA">
        <w:rPr>
          <w:szCs w:val="28"/>
        </w:rPr>
        <w:t>41a</w:t>
      </w:r>
      <w:r w:rsidRPr="00AA14EA">
        <w:rPr>
          <w:szCs w:val="28"/>
        </w:rPr>
        <w:tab/>
        <w:t>Why do you see the speck in your neighbor’s eye,</w:t>
      </w:r>
    </w:p>
    <w:p w14:paraId="39DCE179" w14:textId="77777777" w:rsidR="0018433B" w:rsidRPr="00AA14EA" w:rsidRDefault="0018433B" w:rsidP="0018433B">
      <w:pPr>
        <w:ind w:left="720"/>
        <w:rPr>
          <w:szCs w:val="28"/>
        </w:rPr>
      </w:pPr>
      <w:r w:rsidRPr="00AA14EA">
        <w:rPr>
          <w:szCs w:val="28"/>
        </w:rPr>
        <w:t>41b</w:t>
      </w:r>
      <w:r w:rsidRPr="00AA14EA">
        <w:rPr>
          <w:szCs w:val="28"/>
        </w:rPr>
        <w:tab/>
        <w:t>but do not notice the log in your own eye?</w:t>
      </w:r>
    </w:p>
    <w:p w14:paraId="69C2BF9D" w14:textId="77777777" w:rsidR="0018433B" w:rsidRPr="00AA14EA" w:rsidRDefault="0018433B" w:rsidP="0018433B">
      <w:pPr>
        <w:ind w:left="720"/>
        <w:rPr>
          <w:szCs w:val="28"/>
        </w:rPr>
      </w:pPr>
      <w:r w:rsidRPr="00AA14EA">
        <w:rPr>
          <w:szCs w:val="28"/>
        </w:rPr>
        <w:t>42a</w:t>
      </w:r>
      <w:r w:rsidRPr="00AA14EA">
        <w:rPr>
          <w:szCs w:val="28"/>
        </w:rPr>
        <w:tab/>
        <w:t>Or how can you say to your neighbor,</w:t>
      </w:r>
    </w:p>
    <w:p w14:paraId="6F3DD003" w14:textId="37E31564" w:rsidR="0018433B" w:rsidRPr="00AA14EA" w:rsidRDefault="0018433B" w:rsidP="0018433B">
      <w:pPr>
        <w:ind w:left="720"/>
        <w:rPr>
          <w:szCs w:val="28"/>
        </w:rPr>
      </w:pPr>
      <w:r w:rsidRPr="00AA14EA">
        <w:rPr>
          <w:szCs w:val="28"/>
        </w:rPr>
        <w:t>42b</w:t>
      </w:r>
      <w:r w:rsidRPr="00AA14EA">
        <w:rPr>
          <w:szCs w:val="28"/>
        </w:rPr>
        <w:tab/>
        <w:t>‘Friend</w:t>
      </w:r>
      <w:r w:rsidR="006F304D" w:rsidRPr="006F304D">
        <w:rPr>
          <w:szCs w:val="28"/>
        </w:rPr>
        <w:t xml:space="preserve">, </w:t>
      </w:r>
      <w:r w:rsidRPr="00AA14EA">
        <w:rPr>
          <w:szCs w:val="28"/>
        </w:rPr>
        <w:t>let me take out the speck in your eye,’</w:t>
      </w:r>
    </w:p>
    <w:p w14:paraId="3161E519" w14:textId="77777777" w:rsidR="0018433B" w:rsidRPr="00AA14EA" w:rsidRDefault="0018433B" w:rsidP="0018433B">
      <w:pPr>
        <w:ind w:left="720"/>
        <w:rPr>
          <w:szCs w:val="28"/>
        </w:rPr>
      </w:pPr>
      <w:r w:rsidRPr="00AA14EA">
        <w:rPr>
          <w:szCs w:val="28"/>
        </w:rPr>
        <w:t>42c</w:t>
      </w:r>
      <w:r w:rsidRPr="00AA14EA">
        <w:rPr>
          <w:szCs w:val="28"/>
        </w:rPr>
        <w:tab/>
        <w:t>when you yourself do not see the log in your own eye?</w:t>
      </w:r>
    </w:p>
    <w:p w14:paraId="139EBA0A" w14:textId="49E5B11A" w:rsidR="0018433B" w:rsidRDefault="0018433B" w:rsidP="0018433B">
      <w:pPr>
        <w:ind w:left="720"/>
        <w:rPr>
          <w:szCs w:val="28"/>
        </w:rPr>
      </w:pPr>
      <w:r w:rsidRPr="00AA14EA">
        <w:rPr>
          <w:szCs w:val="28"/>
        </w:rPr>
        <w:t>42d</w:t>
      </w:r>
      <w:r w:rsidRPr="00AA14EA">
        <w:rPr>
          <w:szCs w:val="28"/>
        </w:rPr>
        <w:tab/>
        <w:t>You hypocrite</w:t>
      </w:r>
      <w:r w:rsidR="006F304D" w:rsidRPr="006F304D">
        <w:rPr>
          <w:szCs w:val="28"/>
        </w:rPr>
        <w:t xml:space="preserve">, </w:t>
      </w:r>
      <w:r w:rsidRPr="00AA14EA">
        <w:rPr>
          <w:szCs w:val="28"/>
        </w:rPr>
        <w:t>first take the log out of your own eye,</w:t>
      </w:r>
    </w:p>
    <w:p w14:paraId="4B53CFD3" w14:textId="77777777" w:rsidR="0018433B" w:rsidRPr="00AA14EA" w:rsidRDefault="0018433B" w:rsidP="0018433B">
      <w:pPr>
        <w:ind w:left="720"/>
        <w:rPr>
          <w:szCs w:val="28"/>
        </w:rPr>
      </w:pPr>
      <w:r w:rsidRPr="00AA14EA">
        <w:rPr>
          <w:szCs w:val="28"/>
        </w:rPr>
        <w:t>42e</w:t>
      </w:r>
      <w:r w:rsidRPr="00AA14EA">
        <w:rPr>
          <w:szCs w:val="28"/>
        </w:rPr>
        <w:tab/>
        <w:t>and then you will see clearly to take the speck out of your neighbor’s eye.</w:t>
      </w:r>
    </w:p>
    <w:p w14:paraId="6958A259" w14:textId="77777777" w:rsidR="0018433B" w:rsidRPr="00AA14EA" w:rsidRDefault="0018433B" w:rsidP="0018433B">
      <w:pPr>
        <w:rPr>
          <w:szCs w:val="28"/>
        </w:rPr>
      </w:pPr>
    </w:p>
    <w:p w14:paraId="0859223A" w14:textId="14BA1C20" w:rsidR="0018433B" w:rsidRDefault="0018433B" w:rsidP="0018433B">
      <w:pPr>
        <w:rPr>
          <w:szCs w:val="28"/>
        </w:rPr>
      </w:pPr>
      <w:r w:rsidRPr="00AA14EA">
        <w:rPr>
          <w:szCs w:val="28"/>
        </w:rPr>
        <w:tab/>
        <w:t>Though Morgenthaler does not explain his claim that the three sentences here are chiastic</w:t>
      </w:r>
      <w:r w:rsidR="006F304D" w:rsidRPr="006F304D">
        <w:rPr>
          <w:szCs w:val="28"/>
        </w:rPr>
        <w:t xml:space="preserve">, </w:t>
      </w:r>
      <w:r w:rsidRPr="00AA14EA">
        <w:rPr>
          <w:szCs w:val="28"/>
        </w:rPr>
        <w:t>probably his statement is based on considera</w:t>
      </w:r>
      <w:r w:rsidRPr="00AA14EA">
        <w:rPr>
          <w:szCs w:val="28"/>
        </w:rPr>
        <w:softHyphen/>
        <w:t>tions</w:t>
      </w:r>
      <w:r>
        <w:rPr>
          <w:szCs w:val="28"/>
        </w:rPr>
        <w:t xml:space="preserve"> like these.</w:t>
      </w:r>
    </w:p>
    <w:p w14:paraId="5E82C224" w14:textId="77777777" w:rsidR="0018433B" w:rsidRDefault="0018433B" w:rsidP="0018433B">
      <w:pPr>
        <w:rPr>
          <w:szCs w:val="28"/>
        </w:rPr>
      </w:pPr>
    </w:p>
    <w:p w14:paraId="595ECC53" w14:textId="17971F18" w:rsidR="0018433B" w:rsidRDefault="0018433B" w:rsidP="0018433B">
      <w:pPr>
        <w:pStyle w:val="ListParagraph"/>
        <w:ind w:left="360"/>
        <w:jc w:val="both"/>
        <w:rPr>
          <w:szCs w:val="28"/>
        </w:rPr>
      </w:pPr>
      <w:r w:rsidRPr="006D5EC7">
        <w:rPr>
          <w:szCs w:val="28"/>
        </w:rPr>
        <w:t>The first sentence</w:t>
      </w:r>
      <w:r w:rsidR="006F304D" w:rsidRPr="006F304D">
        <w:rPr>
          <w:szCs w:val="28"/>
        </w:rPr>
        <w:t xml:space="preserve">, </w:t>
      </w:r>
      <w:r w:rsidRPr="006D5EC7">
        <w:rPr>
          <w:szCs w:val="28"/>
        </w:rPr>
        <w:t>41</w:t>
      </w:r>
      <w:r w:rsidR="006F304D" w:rsidRPr="006F304D">
        <w:rPr>
          <w:szCs w:val="28"/>
        </w:rPr>
        <w:t xml:space="preserve">, </w:t>
      </w:r>
      <w:r w:rsidRPr="006D5EC7">
        <w:rPr>
          <w:szCs w:val="28"/>
        </w:rPr>
        <w:t>has two clauses.</w:t>
      </w:r>
    </w:p>
    <w:p w14:paraId="24D15F8D" w14:textId="77777777" w:rsidR="0018433B" w:rsidRDefault="0018433B" w:rsidP="0018433B">
      <w:pPr>
        <w:pStyle w:val="ListParagraph"/>
        <w:jc w:val="both"/>
        <w:rPr>
          <w:szCs w:val="28"/>
        </w:rPr>
      </w:pPr>
      <w:r w:rsidRPr="006D5EC7">
        <w:rPr>
          <w:szCs w:val="28"/>
        </w:rPr>
        <w:t>The first clause (41a) has verb of percep</w:t>
      </w:r>
      <w:r w:rsidRPr="006D5EC7">
        <w:rPr>
          <w:szCs w:val="28"/>
        </w:rPr>
        <w:softHyphen/>
        <w:t>tion + locale of the object</w:t>
      </w:r>
      <w:r>
        <w:rPr>
          <w:szCs w:val="28"/>
        </w:rPr>
        <w:t>.</w:t>
      </w:r>
    </w:p>
    <w:p w14:paraId="0F4B5E12" w14:textId="77777777" w:rsidR="0018433B" w:rsidRDefault="0018433B" w:rsidP="0018433B">
      <w:pPr>
        <w:pStyle w:val="ListParagraph"/>
        <w:ind w:left="1440"/>
        <w:jc w:val="both"/>
      </w:pPr>
      <w:r w:rsidRPr="006D5EC7">
        <w:rPr>
          <w:szCs w:val="28"/>
        </w:rPr>
        <w:t>“</w:t>
      </w:r>
      <w:r w:rsidRPr="00CD75A6">
        <w:t>Why do you see the speck in your neigh</w:t>
      </w:r>
      <w:r>
        <w:t>bor’s eye . . .”</w:t>
      </w:r>
    </w:p>
    <w:p w14:paraId="596494B5" w14:textId="77777777" w:rsidR="0018433B" w:rsidRDefault="0018433B" w:rsidP="0018433B">
      <w:pPr>
        <w:pStyle w:val="ListParagraph"/>
        <w:ind w:left="1440"/>
        <w:jc w:val="both"/>
        <w:rPr>
          <w:bCs/>
          <w:szCs w:val="22"/>
        </w:rPr>
      </w:pPr>
      <w:r w:rsidRPr="006D5EC7">
        <w:rPr>
          <w:bCs/>
          <w:szCs w:val="22"/>
          <w:lang w:val="el-GR"/>
        </w:rPr>
        <w:t>Τί δὲ βλέπεις τὸ κάρφος τὸ ἐν τῷ ὀφθαλμῷ τοῦ ἀδελφοῦ σου</w:t>
      </w:r>
      <w:r>
        <w:rPr>
          <w:bCs/>
          <w:szCs w:val="22"/>
        </w:rPr>
        <w:t xml:space="preserve"> . . .</w:t>
      </w:r>
    </w:p>
    <w:p w14:paraId="02A9B821" w14:textId="77777777" w:rsidR="0018433B" w:rsidRDefault="0018433B" w:rsidP="0018433B">
      <w:pPr>
        <w:pStyle w:val="ListParagraph"/>
        <w:jc w:val="both"/>
        <w:rPr>
          <w:szCs w:val="28"/>
        </w:rPr>
      </w:pPr>
      <w:r w:rsidRPr="006D5EC7">
        <w:rPr>
          <w:szCs w:val="28"/>
        </w:rPr>
        <w:t xml:space="preserve">The second clause (41b) has locale </w:t>
      </w:r>
      <w:r>
        <w:rPr>
          <w:szCs w:val="28"/>
        </w:rPr>
        <w:t xml:space="preserve">of the object + </w:t>
      </w:r>
      <w:r w:rsidRPr="006D5EC7">
        <w:rPr>
          <w:szCs w:val="28"/>
        </w:rPr>
        <w:t>verb of percep</w:t>
      </w:r>
      <w:r w:rsidRPr="006D5EC7">
        <w:rPr>
          <w:szCs w:val="28"/>
        </w:rPr>
        <w:softHyphen/>
        <w:t>tion</w:t>
      </w:r>
      <w:r>
        <w:rPr>
          <w:szCs w:val="28"/>
        </w:rPr>
        <w:t>.</w:t>
      </w:r>
    </w:p>
    <w:p w14:paraId="44096B55" w14:textId="77777777" w:rsidR="0018433B" w:rsidRDefault="0018433B" w:rsidP="0018433B">
      <w:pPr>
        <w:pStyle w:val="ListParagraph"/>
        <w:ind w:left="1440"/>
        <w:jc w:val="both"/>
        <w:rPr>
          <w:szCs w:val="28"/>
        </w:rPr>
      </w:pPr>
      <w:r>
        <w:rPr>
          <w:szCs w:val="28"/>
        </w:rPr>
        <w:t xml:space="preserve">Literal order: </w:t>
      </w:r>
      <w:r w:rsidRPr="006D5EC7">
        <w:rPr>
          <w:szCs w:val="28"/>
        </w:rPr>
        <w:t>“</w:t>
      </w:r>
      <w:r w:rsidRPr="00CD75A6">
        <w:t xml:space="preserve">but </w:t>
      </w:r>
      <w:r>
        <w:t xml:space="preserve">the log in your own eye </w:t>
      </w:r>
      <w:r w:rsidRPr="00CD75A6">
        <w:t>not</w:t>
      </w:r>
      <w:r>
        <w:t xml:space="preserve"> notice?</w:t>
      </w:r>
      <w:r>
        <w:rPr>
          <w:szCs w:val="28"/>
        </w:rPr>
        <w:t>”</w:t>
      </w:r>
    </w:p>
    <w:p w14:paraId="38676F34" w14:textId="77777777" w:rsidR="0018433B" w:rsidRPr="006D5EC7" w:rsidRDefault="0018433B" w:rsidP="0018433B">
      <w:pPr>
        <w:pStyle w:val="ListParagraph"/>
        <w:ind w:left="1440"/>
        <w:jc w:val="both"/>
        <w:rPr>
          <w:szCs w:val="28"/>
        </w:rPr>
      </w:pPr>
      <w:r>
        <w:rPr>
          <w:bCs/>
          <w:szCs w:val="22"/>
          <w:lang w:val="el-GR"/>
        </w:rPr>
        <w:t>. . .</w:t>
      </w:r>
      <w:r>
        <w:rPr>
          <w:bCs/>
          <w:szCs w:val="22"/>
        </w:rPr>
        <w:t xml:space="preserve"> </w:t>
      </w:r>
      <w:r w:rsidRPr="00CE06CA">
        <w:rPr>
          <w:bCs/>
          <w:szCs w:val="22"/>
          <w:lang w:val="el-GR"/>
        </w:rPr>
        <w:t>τὴν δὲ δοκὸν τὴν ἐν τῷ ἰδίῳ ὀφθαλμῷ οὐ κατανοεῖ</w:t>
      </w:r>
      <w:r>
        <w:rPr>
          <w:bCs/>
          <w:szCs w:val="22"/>
          <w:lang w:val="el-GR"/>
        </w:rPr>
        <w:t>ς</w:t>
      </w:r>
      <w:r>
        <w:rPr>
          <w:bCs/>
          <w:szCs w:val="22"/>
        </w:rPr>
        <w:t>.</w:t>
      </w:r>
    </w:p>
    <w:p w14:paraId="7321E7C4" w14:textId="7A248A0D" w:rsidR="0018433B" w:rsidRDefault="0018433B" w:rsidP="0018433B">
      <w:pPr>
        <w:pStyle w:val="ListParagraph"/>
        <w:ind w:left="360"/>
        <w:jc w:val="both"/>
        <w:rPr>
          <w:szCs w:val="28"/>
        </w:rPr>
      </w:pPr>
      <w:r w:rsidRPr="001F7F51">
        <w:rPr>
          <w:szCs w:val="28"/>
        </w:rPr>
        <w:t>The second sen</w:t>
      </w:r>
      <w:r w:rsidRPr="001F7F51">
        <w:rPr>
          <w:szCs w:val="28"/>
        </w:rPr>
        <w:softHyphen/>
        <w:t>tence</w:t>
      </w:r>
      <w:r w:rsidR="006F304D" w:rsidRPr="006F304D">
        <w:rPr>
          <w:szCs w:val="28"/>
        </w:rPr>
        <w:t xml:space="preserve">, </w:t>
      </w:r>
      <w:r w:rsidRPr="001F7F51">
        <w:rPr>
          <w:szCs w:val="28"/>
        </w:rPr>
        <w:softHyphen/>
        <w:t>42abc</w:t>
      </w:r>
      <w:r w:rsidR="006F304D" w:rsidRPr="006F304D">
        <w:rPr>
          <w:szCs w:val="28"/>
        </w:rPr>
        <w:t xml:space="preserve">, </w:t>
      </w:r>
      <w:r w:rsidRPr="001F7F51">
        <w:rPr>
          <w:szCs w:val="28"/>
        </w:rPr>
        <w:t>also has inverted order</w:t>
      </w:r>
      <w:r>
        <w:rPr>
          <w:szCs w:val="28"/>
        </w:rPr>
        <w:t xml:space="preserve">. If </w:t>
      </w:r>
      <w:r w:rsidRPr="001F7F51">
        <w:rPr>
          <w:szCs w:val="28"/>
        </w:rPr>
        <w:t>one ig</w:t>
      </w:r>
      <w:r>
        <w:rPr>
          <w:szCs w:val="28"/>
        </w:rPr>
        <w:t>nores</w:t>
      </w:r>
      <w:r w:rsidRPr="001F7F51">
        <w:rPr>
          <w:szCs w:val="28"/>
        </w:rPr>
        <w:t xml:space="preserve"> the intro</w:t>
      </w:r>
      <w:r w:rsidRPr="001F7F51">
        <w:rPr>
          <w:szCs w:val="28"/>
        </w:rPr>
        <w:softHyphen/>
        <w:t>duc</w:t>
      </w:r>
      <w:r w:rsidRPr="001F7F51">
        <w:rPr>
          <w:szCs w:val="28"/>
        </w:rPr>
        <w:softHyphen/>
        <w:t>tory 42a</w:t>
      </w:r>
      <w:r w:rsidR="006F304D" w:rsidRPr="006F304D">
        <w:rPr>
          <w:szCs w:val="28"/>
        </w:rPr>
        <w:t xml:space="preserve">, </w:t>
      </w:r>
      <w:r>
        <w:rPr>
          <w:szCs w:val="28"/>
        </w:rPr>
        <w:t>“</w:t>
      </w:r>
      <w:r w:rsidRPr="001F7F51">
        <w:rPr>
          <w:szCs w:val="28"/>
        </w:rPr>
        <w:t>Or h</w:t>
      </w:r>
      <w:r>
        <w:rPr>
          <w:szCs w:val="28"/>
        </w:rPr>
        <w:t>ow can you say to your neighbor,” then:</w:t>
      </w:r>
    </w:p>
    <w:p w14:paraId="76C54E26" w14:textId="77777777" w:rsidR="0018433B" w:rsidRDefault="0018433B" w:rsidP="0018433B">
      <w:pPr>
        <w:pStyle w:val="ListParagraph"/>
        <w:jc w:val="both"/>
        <w:rPr>
          <w:szCs w:val="28"/>
        </w:rPr>
      </w:pPr>
      <w:r w:rsidRPr="001F7F51">
        <w:rPr>
          <w:szCs w:val="28"/>
        </w:rPr>
        <w:t xml:space="preserve">The first clause </w:t>
      </w:r>
      <w:r>
        <w:rPr>
          <w:szCs w:val="28"/>
        </w:rPr>
        <w:t>(</w:t>
      </w:r>
      <w:r w:rsidRPr="001F7F51">
        <w:rPr>
          <w:szCs w:val="28"/>
        </w:rPr>
        <w:t>42b</w:t>
      </w:r>
      <w:r>
        <w:rPr>
          <w:szCs w:val="28"/>
        </w:rPr>
        <w:t xml:space="preserve">) </w:t>
      </w:r>
      <w:r w:rsidRPr="001F7F51">
        <w:rPr>
          <w:szCs w:val="28"/>
        </w:rPr>
        <w:t xml:space="preserve">has verb </w:t>
      </w:r>
      <w:r>
        <w:rPr>
          <w:szCs w:val="28"/>
        </w:rPr>
        <w:t>+ object + locale.</w:t>
      </w:r>
    </w:p>
    <w:p w14:paraId="0A540311" w14:textId="77777777" w:rsidR="0018433B" w:rsidRDefault="0018433B" w:rsidP="0018433B">
      <w:pPr>
        <w:pStyle w:val="ListParagraph"/>
        <w:ind w:left="1440"/>
        <w:jc w:val="both"/>
        <w:rPr>
          <w:szCs w:val="28"/>
        </w:rPr>
      </w:pPr>
      <w:r w:rsidRPr="001F7F51">
        <w:rPr>
          <w:szCs w:val="28"/>
        </w:rPr>
        <w:t>“</w:t>
      </w:r>
      <w:r>
        <w:rPr>
          <w:szCs w:val="28"/>
        </w:rPr>
        <w:t xml:space="preserve">. . . </w:t>
      </w:r>
      <w:r w:rsidRPr="001F7F51">
        <w:rPr>
          <w:szCs w:val="28"/>
        </w:rPr>
        <w:t>take out</w:t>
      </w:r>
      <w:r>
        <w:rPr>
          <w:szCs w:val="28"/>
        </w:rPr>
        <w:t xml:space="preserve"> the speck </w:t>
      </w:r>
      <w:r w:rsidRPr="001F7F51">
        <w:rPr>
          <w:szCs w:val="28"/>
        </w:rPr>
        <w:t>in your eye</w:t>
      </w:r>
      <w:r>
        <w:rPr>
          <w:szCs w:val="28"/>
        </w:rPr>
        <w:t xml:space="preserve"> . . .”</w:t>
      </w:r>
    </w:p>
    <w:p w14:paraId="54064F02" w14:textId="77777777" w:rsidR="0018433B" w:rsidRDefault="0018433B" w:rsidP="0018433B">
      <w:pPr>
        <w:pStyle w:val="ListParagraph"/>
        <w:ind w:left="1440"/>
        <w:jc w:val="both"/>
        <w:rPr>
          <w:szCs w:val="28"/>
        </w:rPr>
      </w:pPr>
      <w:r>
        <w:rPr>
          <w:szCs w:val="28"/>
        </w:rPr>
        <w:t xml:space="preserve">. . . </w:t>
      </w:r>
      <w:r w:rsidRPr="00CE06CA">
        <w:rPr>
          <w:bCs/>
          <w:szCs w:val="22"/>
          <w:lang w:val="el-GR"/>
        </w:rPr>
        <w:t>ἐκβάλω</w:t>
      </w:r>
      <w:r>
        <w:rPr>
          <w:bCs/>
          <w:szCs w:val="22"/>
        </w:rPr>
        <w:t xml:space="preserve"> </w:t>
      </w:r>
      <w:r w:rsidRPr="00CE06CA">
        <w:rPr>
          <w:bCs/>
          <w:szCs w:val="22"/>
          <w:lang w:val="el-GR"/>
        </w:rPr>
        <w:t>τὸ κάρφος</w:t>
      </w:r>
      <w:r>
        <w:rPr>
          <w:bCs/>
          <w:szCs w:val="22"/>
        </w:rPr>
        <w:t xml:space="preserve"> </w:t>
      </w:r>
      <w:r w:rsidRPr="00CE06CA">
        <w:rPr>
          <w:bCs/>
          <w:szCs w:val="22"/>
          <w:lang w:val="el-GR"/>
        </w:rPr>
        <w:t>τὸ ἐν τῷ ὀφθαλμῷ σου</w:t>
      </w:r>
    </w:p>
    <w:p w14:paraId="1111E389" w14:textId="77777777" w:rsidR="0018433B" w:rsidRDefault="0018433B" w:rsidP="0018433B">
      <w:pPr>
        <w:pStyle w:val="ListParagraph"/>
        <w:jc w:val="both"/>
        <w:rPr>
          <w:szCs w:val="28"/>
        </w:rPr>
      </w:pPr>
      <w:r>
        <w:rPr>
          <w:szCs w:val="28"/>
        </w:rPr>
        <w:t xml:space="preserve">The second clause (42c) has </w:t>
      </w:r>
      <w:r w:rsidRPr="001F7F51">
        <w:rPr>
          <w:szCs w:val="28"/>
        </w:rPr>
        <w:t xml:space="preserve">locale </w:t>
      </w:r>
      <w:r>
        <w:rPr>
          <w:szCs w:val="28"/>
        </w:rPr>
        <w:t>+ object + verb.</w:t>
      </w:r>
    </w:p>
    <w:p w14:paraId="7652B025" w14:textId="77777777" w:rsidR="0018433B" w:rsidRDefault="0018433B" w:rsidP="0018433B">
      <w:pPr>
        <w:pStyle w:val="ListParagraph"/>
        <w:ind w:left="1440"/>
        <w:jc w:val="both"/>
      </w:pPr>
      <w:r>
        <w:rPr>
          <w:szCs w:val="28"/>
        </w:rPr>
        <w:t xml:space="preserve">Literal order: </w:t>
      </w:r>
      <w:r w:rsidRPr="001F7F51">
        <w:rPr>
          <w:szCs w:val="28"/>
        </w:rPr>
        <w:t>“</w:t>
      </w:r>
      <w:r w:rsidRPr="00CD75A6">
        <w:t>in your own eye the log</w:t>
      </w:r>
      <w:r>
        <w:t xml:space="preserve"> </w:t>
      </w:r>
      <w:r w:rsidRPr="00CD75A6">
        <w:t>not see</w:t>
      </w:r>
      <w:r>
        <w:t>?</w:t>
      </w:r>
      <w:r w:rsidRPr="001F7F51">
        <w:rPr>
          <w:szCs w:val="28"/>
        </w:rPr>
        <w:t>”</w:t>
      </w:r>
    </w:p>
    <w:p w14:paraId="5D3C702E" w14:textId="77777777" w:rsidR="0018433B" w:rsidRPr="001F7F51" w:rsidRDefault="0018433B" w:rsidP="0018433B">
      <w:pPr>
        <w:pStyle w:val="ListParagraph"/>
        <w:ind w:left="1440"/>
        <w:jc w:val="both"/>
        <w:rPr>
          <w:szCs w:val="28"/>
        </w:rPr>
      </w:pPr>
      <w:r>
        <w:t xml:space="preserve">. . . </w:t>
      </w:r>
      <w:r w:rsidRPr="00CE06CA">
        <w:rPr>
          <w:bCs/>
          <w:szCs w:val="22"/>
          <w:lang w:val="el-GR"/>
        </w:rPr>
        <w:t>τὴν ἐν τῷ ὀφθαλμῷ σου δοκὸν οὐ βλέπων</w:t>
      </w:r>
      <w:r w:rsidRPr="001F7F51">
        <w:rPr>
          <w:szCs w:val="28"/>
        </w:rPr>
        <w:t>.</w:t>
      </w:r>
    </w:p>
    <w:p w14:paraId="72A86E8C" w14:textId="77777777" w:rsidR="0018433B" w:rsidRDefault="0018433B" w:rsidP="0018433B">
      <w:pPr>
        <w:rPr>
          <w:szCs w:val="28"/>
        </w:rPr>
      </w:pPr>
    </w:p>
    <w:p w14:paraId="42A5E8E5" w14:textId="52B04468" w:rsidR="0018433B" w:rsidRPr="00AA14EA" w:rsidRDefault="0018433B" w:rsidP="0018433B">
      <w:pPr>
        <w:rPr>
          <w:szCs w:val="28"/>
        </w:rPr>
      </w:pPr>
      <w:r w:rsidRPr="00AA14EA">
        <w:rPr>
          <w:szCs w:val="28"/>
        </w:rPr>
        <w:tab/>
        <w:t>Morgenthaler</w:t>
      </w:r>
      <w:r w:rsidR="006F304D" w:rsidRPr="006F304D">
        <w:rPr>
          <w:szCs w:val="28"/>
        </w:rPr>
        <w:t xml:space="preserve">, </w:t>
      </w:r>
      <w:r w:rsidRPr="00AA14EA">
        <w:rPr>
          <w:szCs w:val="28"/>
        </w:rPr>
        <w:t>then</w:t>
      </w:r>
      <w:r w:rsidR="006F304D" w:rsidRPr="006F304D">
        <w:rPr>
          <w:szCs w:val="28"/>
        </w:rPr>
        <w:t xml:space="preserve">, </w:t>
      </w:r>
      <w:r w:rsidRPr="00AA14EA">
        <w:rPr>
          <w:szCs w:val="28"/>
        </w:rPr>
        <w:t>concludes that 41 and 42bc are delib</w:t>
      </w:r>
      <w:r w:rsidRPr="00AA14EA">
        <w:rPr>
          <w:szCs w:val="28"/>
        </w:rPr>
        <w:softHyphen/>
        <w:t>erate chi</w:t>
      </w:r>
      <w:r w:rsidRPr="00AA14EA">
        <w:rPr>
          <w:szCs w:val="28"/>
        </w:rPr>
        <w:softHyphen/>
        <w:t>asms. But an alternate explanation is pos</w:t>
      </w:r>
      <w:r w:rsidRPr="00AA14EA">
        <w:rPr>
          <w:szCs w:val="28"/>
        </w:rPr>
        <w:softHyphen/>
        <w:t>sible: the in</w:t>
      </w:r>
      <w:r w:rsidRPr="00AA14EA">
        <w:rPr>
          <w:szCs w:val="28"/>
        </w:rPr>
        <w:softHyphen/>
        <w:t>verted order may have to do with Greek grammar rather than Greek rhetoric</w:t>
      </w:r>
      <w:r>
        <w:rPr>
          <w:szCs w:val="28"/>
        </w:rPr>
        <w:t>.</w:t>
      </w:r>
      <w:r w:rsidRPr="00AA14EA">
        <w:rPr>
          <w:szCs w:val="28"/>
        </w:rPr>
        <w:t xml:space="preserve"> </w:t>
      </w:r>
      <w:r>
        <w:rPr>
          <w:szCs w:val="28"/>
        </w:rPr>
        <w:t>In other words</w:t>
      </w:r>
      <w:r w:rsidR="006F304D" w:rsidRPr="006F304D">
        <w:rPr>
          <w:szCs w:val="28"/>
        </w:rPr>
        <w:t xml:space="preserve">, </w:t>
      </w:r>
      <w:r w:rsidRPr="00AA14EA">
        <w:rPr>
          <w:szCs w:val="28"/>
        </w:rPr>
        <w:t>the varia</w:t>
      </w:r>
      <w:r w:rsidRPr="00AA14EA">
        <w:rPr>
          <w:szCs w:val="28"/>
        </w:rPr>
        <w:softHyphen/>
        <w:t xml:space="preserve">tions in word order may merely </w:t>
      </w:r>
      <w:r>
        <w:rPr>
          <w:szCs w:val="28"/>
        </w:rPr>
        <w:t xml:space="preserve">reflect </w:t>
      </w:r>
      <w:r w:rsidRPr="00AA14EA">
        <w:rPr>
          <w:szCs w:val="28"/>
        </w:rPr>
        <w:t>the freedom of syntax enjoyed by an in</w:t>
      </w:r>
      <w:r w:rsidRPr="00AA14EA">
        <w:rPr>
          <w:szCs w:val="28"/>
        </w:rPr>
        <w:softHyphen/>
        <w:t>flected language. For example</w:t>
      </w:r>
      <w:r>
        <w:rPr>
          <w:szCs w:val="28"/>
        </w:rPr>
        <w:t>:</w:t>
      </w:r>
      <w:r w:rsidRPr="00AA14EA">
        <w:rPr>
          <w:szCs w:val="28"/>
        </w:rPr>
        <w:t xml:space="preserve"> </w:t>
      </w:r>
      <w:r>
        <w:rPr>
          <w:szCs w:val="28"/>
        </w:rPr>
        <w:t>i</w:t>
      </w:r>
      <w:r w:rsidRPr="00AA14EA">
        <w:rPr>
          <w:szCs w:val="28"/>
        </w:rPr>
        <w:t>n 42b the object precedes the locale because the locale is in predi</w:t>
      </w:r>
      <w:r w:rsidRPr="00AA14EA">
        <w:rPr>
          <w:szCs w:val="28"/>
        </w:rPr>
        <w:softHyphen/>
        <w:t>cate position (</w:t>
      </w:r>
      <w:r w:rsidRPr="00CE06CA">
        <w:rPr>
          <w:bCs/>
          <w:szCs w:val="22"/>
          <w:lang w:val="el-GR"/>
        </w:rPr>
        <w:t>τὸ κάρφος τὸ ἐν τῷ ὀφθαλμῷ σου</w:t>
      </w:r>
      <w:r w:rsidRPr="00AA14EA">
        <w:rPr>
          <w:szCs w:val="28"/>
        </w:rPr>
        <w:t>)</w:t>
      </w:r>
      <w:r w:rsidR="006F304D" w:rsidRPr="006F304D">
        <w:rPr>
          <w:szCs w:val="28"/>
        </w:rPr>
        <w:t xml:space="preserve">, </w:t>
      </w:r>
      <w:r w:rsidRPr="00AA14EA">
        <w:rPr>
          <w:szCs w:val="28"/>
        </w:rPr>
        <w:t xml:space="preserve">whereas in 42c the object </w:t>
      </w:r>
      <w:r>
        <w:rPr>
          <w:szCs w:val="28"/>
        </w:rPr>
        <w:t xml:space="preserve">follows </w:t>
      </w:r>
      <w:r w:rsidRPr="00AA14EA">
        <w:rPr>
          <w:szCs w:val="28"/>
        </w:rPr>
        <w:t>the locale be</w:t>
      </w:r>
      <w:r w:rsidRPr="00AA14EA">
        <w:rPr>
          <w:szCs w:val="28"/>
        </w:rPr>
        <w:softHyphen/>
        <w:t>cause the locale is in attributive position (</w:t>
      </w:r>
      <w:r w:rsidRPr="00CE06CA">
        <w:rPr>
          <w:bCs/>
          <w:szCs w:val="22"/>
          <w:lang w:val="el-GR"/>
        </w:rPr>
        <w:t>τὴν ἐν τῷ ὀφθαλμῷ σου δοκὸν</w:t>
      </w:r>
      <w:r w:rsidRPr="00AA14EA">
        <w:rPr>
          <w:szCs w:val="28"/>
        </w:rPr>
        <w:t>). Neither type of position is more “nat</w:t>
      </w:r>
      <w:r w:rsidRPr="00AA14EA">
        <w:rPr>
          <w:szCs w:val="28"/>
        </w:rPr>
        <w:softHyphen/>
        <w:t>ural” to the one context or the other; and with no nat</w:t>
      </w:r>
      <w:r w:rsidRPr="00AA14EA">
        <w:rPr>
          <w:szCs w:val="28"/>
        </w:rPr>
        <w:softHyphen/>
        <w:t>ural order pre</w:t>
      </w:r>
      <w:r w:rsidRPr="00AA14EA">
        <w:rPr>
          <w:szCs w:val="28"/>
        </w:rPr>
        <w:softHyphen/>
        <w:t>scribed by the grammar of the language</w:t>
      </w:r>
      <w:r w:rsidR="006F304D" w:rsidRPr="006F304D">
        <w:rPr>
          <w:szCs w:val="28"/>
        </w:rPr>
        <w:t xml:space="preserve">, </w:t>
      </w:r>
      <w:r w:rsidRPr="00AA14EA">
        <w:rPr>
          <w:szCs w:val="28"/>
        </w:rPr>
        <w:t>there is no standard by which to determine the pres</w:t>
      </w:r>
      <w:r w:rsidRPr="00AA14EA">
        <w:rPr>
          <w:szCs w:val="28"/>
        </w:rPr>
        <w:softHyphen/>
        <w:t>ence of “ar</w:t>
      </w:r>
      <w:r w:rsidRPr="00AA14EA">
        <w:rPr>
          <w:szCs w:val="28"/>
        </w:rPr>
        <w:softHyphen/>
        <w:t xml:space="preserve">tifice.” To assume that the </w:t>
      </w:r>
      <w:r>
        <w:rPr>
          <w:szCs w:val="28"/>
        </w:rPr>
        <w:t xml:space="preserve">grammatical </w:t>
      </w:r>
      <w:r w:rsidRPr="00AA14EA">
        <w:rPr>
          <w:szCs w:val="28"/>
        </w:rPr>
        <w:t xml:space="preserve">order </w:t>
      </w:r>
      <w:r w:rsidRPr="00AA14EA">
        <w:rPr>
          <w:szCs w:val="28"/>
        </w:rPr>
        <w:softHyphen/>
        <w:t>in 42bc results from striving for effect is equally as gratui</w:t>
      </w:r>
      <w:r w:rsidRPr="00AA14EA">
        <w:rPr>
          <w:szCs w:val="28"/>
        </w:rPr>
        <w:softHyphen/>
        <w:t>tous as assuming that it does not.</w:t>
      </w:r>
    </w:p>
    <w:p w14:paraId="71E472BA" w14:textId="5F18A7E7" w:rsidR="0018433B" w:rsidRPr="00AA14EA" w:rsidRDefault="0018433B" w:rsidP="0018433B">
      <w:pPr>
        <w:rPr>
          <w:szCs w:val="28"/>
        </w:rPr>
      </w:pPr>
      <w:r w:rsidRPr="00AA14EA">
        <w:rPr>
          <w:szCs w:val="28"/>
        </w:rPr>
        <w:tab/>
        <w:t>But</w:t>
      </w:r>
      <w:r>
        <w:rPr>
          <w:szCs w:val="28"/>
        </w:rPr>
        <w:t xml:space="preserve"> in fact</w:t>
      </w:r>
      <w:r w:rsidR="006F304D" w:rsidRPr="006F304D">
        <w:rPr>
          <w:szCs w:val="28"/>
        </w:rPr>
        <w:t xml:space="preserve">, </w:t>
      </w:r>
      <w:r w:rsidRPr="00AA14EA">
        <w:rPr>
          <w:szCs w:val="28"/>
        </w:rPr>
        <w:t>other con</w:t>
      </w:r>
      <w:r w:rsidRPr="00AA14EA">
        <w:rPr>
          <w:szCs w:val="28"/>
        </w:rPr>
        <w:softHyphen/>
        <w:t xml:space="preserve">siderations </w:t>
      </w:r>
      <w:r>
        <w:rPr>
          <w:szCs w:val="28"/>
        </w:rPr>
        <w:t xml:space="preserve">(than </w:t>
      </w:r>
      <w:r w:rsidRPr="00AA14EA">
        <w:rPr>
          <w:szCs w:val="28"/>
        </w:rPr>
        <w:t>grammatical grounds</w:t>
      </w:r>
      <w:r>
        <w:rPr>
          <w:szCs w:val="28"/>
        </w:rPr>
        <w:t>)</w:t>
      </w:r>
      <w:r w:rsidRPr="00AA14EA">
        <w:rPr>
          <w:szCs w:val="28"/>
        </w:rPr>
        <w:t xml:space="preserve"> argue against intentional artifice here. For one thing</w:t>
      </w:r>
      <w:r w:rsidR="006F304D" w:rsidRPr="006F304D">
        <w:rPr>
          <w:szCs w:val="28"/>
        </w:rPr>
        <w:t xml:space="preserve">, </w:t>
      </w:r>
      <w:r w:rsidRPr="00AA14EA">
        <w:rPr>
          <w:szCs w:val="28"/>
        </w:rPr>
        <w:t>if the author were truly intent on chiasm</w:t>
      </w:r>
      <w:r w:rsidR="006F304D" w:rsidRPr="006F304D">
        <w:rPr>
          <w:szCs w:val="28"/>
        </w:rPr>
        <w:t xml:space="preserve">, </w:t>
      </w:r>
      <w:r w:rsidRPr="00AA14EA">
        <w:rPr>
          <w:szCs w:val="28"/>
        </w:rPr>
        <w:t>why would he not put the locale in 41b into attributive posi</w:t>
      </w:r>
      <w:r w:rsidRPr="00AA14EA">
        <w:rPr>
          <w:szCs w:val="28"/>
        </w:rPr>
        <w:softHyphen/>
        <w:t>tion? Verse 41 reads,</w:t>
      </w:r>
    </w:p>
    <w:p w14:paraId="64124C18" w14:textId="77777777" w:rsidR="0018433B" w:rsidRPr="00AA14EA" w:rsidRDefault="0018433B" w:rsidP="0018433B">
      <w:pPr>
        <w:rPr>
          <w:szCs w:val="28"/>
        </w:rPr>
      </w:pPr>
    </w:p>
    <w:p w14:paraId="2CFE1EBE" w14:textId="77777777" w:rsidR="0018433B" w:rsidRPr="00AA14EA" w:rsidRDefault="0018433B" w:rsidP="0018433B">
      <w:pPr>
        <w:ind w:left="720"/>
        <w:rPr>
          <w:szCs w:val="28"/>
        </w:rPr>
      </w:pPr>
      <w:r w:rsidRPr="00AA14EA">
        <w:rPr>
          <w:szCs w:val="28"/>
        </w:rPr>
        <w:t>41a</w:t>
      </w:r>
      <w:r w:rsidRPr="00AA14EA">
        <w:rPr>
          <w:szCs w:val="28"/>
        </w:rPr>
        <w:tab/>
      </w:r>
      <w:r w:rsidRPr="00CD75A6">
        <w:t>Why do you see the speck in your neighbor’s eye,</w:t>
      </w:r>
    </w:p>
    <w:p w14:paraId="2BEE39B0" w14:textId="77777777" w:rsidR="0018433B" w:rsidRPr="00AA14EA" w:rsidRDefault="0018433B" w:rsidP="0018433B">
      <w:pPr>
        <w:ind w:left="720"/>
        <w:rPr>
          <w:szCs w:val="28"/>
        </w:rPr>
      </w:pPr>
      <w:r w:rsidRPr="00AA14EA">
        <w:rPr>
          <w:szCs w:val="28"/>
        </w:rPr>
        <w:lastRenderedPageBreak/>
        <w:t>41b</w:t>
      </w:r>
      <w:r w:rsidRPr="00AA14EA">
        <w:rPr>
          <w:szCs w:val="28"/>
        </w:rPr>
        <w:tab/>
      </w:r>
      <w:r>
        <w:rPr>
          <w:szCs w:val="28"/>
        </w:rPr>
        <w:t xml:space="preserve">(literal word order:) </w:t>
      </w:r>
      <w:r w:rsidRPr="00CD75A6">
        <w:t xml:space="preserve">but </w:t>
      </w:r>
      <w:r>
        <w:t xml:space="preserve">the log in your own eye </w:t>
      </w:r>
      <w:r w:rsidRPr="00CD75A6">
        <w:t>not</w:t>
      </w:r>
      <w:r>
        <w:t xml:space="preserve"> notice?</w:t>
      </w:r>
    </w:p>
    <w:p w14:paraId="6D27E688" w14:textId="77777777" w:rsidR="0018433B" w:rsidRPr="00AA14EA" w:rsidRDefault="0018433B" w:rsidP="0018433B">
      <w:pPr>
        <w:rPr>
          <w:szCs w:val="28"/>
        </w:rPr>
      </w:pPr>
    </w:p>
    <w:p w14:paraId="2EC3E831" w14:textId="012A15CD" w:rsidR="0018433B" w:rsidRPr="00AA14EA" w:rsidRDefault="0018433B" w:rsidP="0018433B">
      <w:pPr>
        <w:rPr>
          <w:szCs w:val="28"/>
        </w:rPr>
      </w:pPr>
      <w:r>
        <w:rPr>
          <w:szCs w:val="28"/>
        </w:rPr>
        <w:t>In 41a</w:t>
      </w:r>
      <w:r w:rsidR="006F304D" w:rsidRPr="006F304D">
        <w:rPr>
          <w:szCs w:val="28"/>
        </w:rPr>
        <w:t xml:space="preserve">, </w:t>
      </w:r>
      <w:r>
        <w:rPr>
          <w:szCs w:val="28"/>
        </w:rPr>
        <w:t>t</w:t>
      </w:r>
      <w:r w:rsidRPr="00AA14EA">
        <w:rPr>
          <w:szCs w:val="28"/>
        </w:rPr>
        <w:t>he order of items is verb + object + locale</w:t>
      </w:r>
      <w:r>
        <w:rPr>
          <w:szCs w:val="28"/>
        </w:rPr>
        <w:t>.</w:t>
      </w:r>
      <w:r w:rsidRPr="00AA14EA">
        <w:rPr>
          <w:szCs w:val="28"/>
        </w:rPr>
        <w:t xml:space="preserve"> </w:t>
      </w:r>
      <w:r>
        <w:rPr>
          <w:szCs w:val="28"/>
        </w:rPr>
        <w:t xml:space="preserve">In </w:t>
      </w:r>
      <w:r w:rsidRPr="00AA14EA">
        <w:rPr>
          <w:szCs w:val="28"/>
        </w:rPr>
        <w:t>41b</w:t>
      </w:r>
      <w:r w:rsidR="006F304D" w:rsidRPr="006F304D">
        <w:rPr>
          <w:szCs w:val="28"/>
        </w:rPr>
        <w:t xml:space="preserve">, </w:t>
      </w:r>
      <w:r>
        <w:rPr>
          <w:szCs w:val="28"/>
        </w:rPr>
        <w:t>t</w:t>
      </w:r>
      <w:r w:rsidRPr="00AA14EA">
        <w:rPr>
          <w:szCs w:val="28"/>
        </w:rPr>
        <w:t>he order of items is object + locale + verb. Thus only the verb and locale par</w:t>
      </w:r>
      <w:r w:rsidRPr="00AA14EA">
        <w:rPr>
          <w:szCs w:val="28"/>
        </w:rPr>
        <w:softHyphen/>
        <w:t>tici</w:t>
      </w:r>
      <w:r w:rsidRPr="00AA14EA">
        <w:rPr>
          <w:szCs w:val="28"/>
        </w:rPr>
        <w:softHyphen/>
        <w:t xml:space="preserve">pate in </w:t>
      </w:r>
      <w:r>
        <w:rPr>
          <w:szCs w:val="28"/>
        </w:rPr>
        <w:t xml:space="preserve">inversion; </w:t>
      </w:r>
      <w:r w:rsidRPr="00AA14EA">
        <w:rPr>
          <w:szCs w:val="28"/>
        </w:rPr>
        <w:t>the ob</w:t>
      </w:r>
      <w:r w:rsidRPr="00AA14EA">
        <w:rPr>
          <w:szCs w:val="28"/>
        </w:rPr>
        <w:softHyphen/>
        <w:t>ject wanders from central to initial posi</w:t>
      </w:r>
      <w:r w:rsidRPr="00AA14EA">
        <w:rPr>
          <w:szCs w:val="28"/>
        </w:rPr>
        <w:softHyphen/>
        <w:t xml:space="preserve">tion. </w:t>
      </w:r>
      <w:r>
        <w:rPr>
          <w:szCs w:val="28"/>
        </w:rPr>
        <w:t>A f</w:t>
      </w:r>
      <w:r w:rsidRPr="00AA14EA">
        <w:rPr>
          <w:szCs w:val="28"/>
        </w:rPr>
        <w:t>uller chiasm would have re</w:t>
      </w:r>
      <w:r w:rsidRPr="00AA14EA">
        <w:rPr>
          <w:szCs w:val="28"/>
        </w:rPr>
        <w:softHyphen/>
        <w:t>sulted had Luke written</w:t>
      </w:r>
      <w:r>
        <w:rPr>
          <w:szCs w:val="28"/>
        </w:rPr>
        <w:t>:</w:t>
      </w:r>
    </w:p>
    <w:p w14:paraId="2CAF7226" w14:textId="77777777" w:rsidR="0018433B" w:rsidRPr="00AA14EA" w:rsidRDefault="0018433B" w:rsidP="0018433B">
      <w:pPr>
        <w:rPr>
          <w:szCs w:val="28"/>
        </w:rPr>
      </w:pPr>
    </w:p>
    <w:p w14:paraId="61BAE72E" w14:textId="77777777" w:rsidR="0018433B" w:rsidRPr="00AA14EA" w:rsidRDefault="0018433B" w:rsidP="0018433B">
      <w:pPr>
        <w:ind w:left="720"/>
        <w:rPr>
          <w:szCs w:val="28"/>
        </w:rPr>
      </w:pPr>
      <w:r w:rsidRPr="00AA14EA">
        <w:rPr>
          <w:szCs w:val="28"/>
        </w:rPr>
        <w:t>41a</w:t>
      </w:r>
      <w:r w:rsidRPr="00AA14EA">
        <w:rPr>
          <w:szCs w:val="28"/>
        </w:rPr>
        <w:tab/>
      </w:r>
      <w:r w:rsidRPr="00CD75A6">
        <w:t>Why do you see the speck in your neighbor’s eye,</w:t>
      </w:r>
    </w:p>
    <w:p w14:paraId="5A43C592" w14:textId="77777777" w:rsidR="0018433B" w:rsidRPr="00AA14EA" w:rsidRDefault="0018433B" w:rsidP="0018433B">
      <w:pPr>
        <w:ind w:left="720"/>
        <w:rPr>
          <w:szCs w:val="28"/>
        </w:rPr>
      </w:pPr>
      <w:r w:rsidRPr="00AA14EA">
        <w:rPr>
          <w:szCs w:val="28"/>
        </w:rPr>
        <w:t>41b</w:t>
      </w:r>
      <w:r w:rsidRPr="00AA14EA">
        <w:rPr>
          <w:szCs w:val="28"/>
        </w:rPr>
        <w:tab/>
      </w:r>
      <w:r>
        <w:rPr>
          <w:szCs w:val="28"/>
        </w:rPr>
        <w:t xml:space="preserve">(hypothetical literal word order:) </w:t>
      </w:r>
      <w:r w:rsidRPr="00CD75A6">
        <w:t xml:space="preserve">but </w:t>
      </w:r>
      <w:r>
        <w:t xml:space="preserve">the in-your-own-eye log </w:t>
      </w:r>
      <w:r w:rsidRPr="00CD75A6">
        <w:t>not</w:t>
      </w:r>
      <w:r>
        <w:t xml:space="preserve"> notice?</w:t>
      </w:r>
    </w:p>
    <w:p w14:paraId="74FF6786" w14:textId="77777777" w:rsidR="0018433B" w:rsidRPr="00AA14EA" w:rsidRDefault="0018433B" w:rsidP="0018433B">
      <w:pPr>
        <w:rPr>
          <w:szCs w:val="28"/>
        </w:rPr>
      </w:pPr>
    </w:p>
    <w:p w14:paraId="053378B1" w14:textId="1BAFAA97" w:rsidR="0018433B" w:rsidRPr="00AA14EA" w:rsidRDefault="0018433B" w:rsidP="0018433B">
      <w:pPr>
        <w:rPr>
          <w:szCs w:val="28"/>
        </w:rPr>
      </w:pPr>
      <w:r w:rsidRPr="00AA14EA">
        <w:rPr>
          <w:szCs w:val="28"/>
        </w:rPr>
        <w:t>Then 41 would be like 42bc: verb + object + locale.</w:t>
      </w:r>
      <w:r w:rsidRPr="00AA14EA">
        <w:rPr>
          <w:rStyle w:val="FootnoteReference"/>
          <w:szCs w:val="28"/>
        </w:rPr>
        <w:footnoteReference w:id="442"/>
      </w:r>
      <w:r w:rsidRPr="00AA14EA">
        <w:rPr>
          <w:szCs w:val="28"/>
        </w:rPr>
        <w:t xml:space="preserve"> Since the chiasm in 42bc</w:t>
      </w:r>
      <w:r w:rsidR="006F304D" w:rsidRPr="006F304D">
        <w:rPr>
          <w:szCs w:val="28"/>
        </w:rPr>
        <w:t xml:space="preserve">, </w:t>
      </w:r>
      <w:r w:rsidRPr="00AA14EA">
        <w:rPr>
          <w:szCs w:val="28"/>
        </w:rPr>
        <w:t>according to Morgenthaler</w:t>
      </w:r>
      <w:r w:rsidR="006F304D" w:rsidRPr="006F304D">
        <w:rPr>
          <w:szCs w:val="28"/>
        </w:rPr>
        <w:t xml:space="preserve">, </w:t>
      </w:r>
      <w:r w:rsidRPr="00AA14EA">
        <w:rPr>
          <w:szCs w:val="28"/>
        </w:rPr>
        <w:t>was deliberately crafted by Luke</w:t>
      </w:r>
      <w:r w:rsidR="006F304D" w:rsidRPr="006F304D">
        <w:rPr>
          <w:szCs w:val="28"/>
        </w:rPr>
        <w:t xml:space="preserve">, </w:t>
      </w:r>
      <w:r>
        <w:rPr>
          <w:szCs w:val="28"/>
        </w:rPr>
        <w:t xml:space="preserve">Luke </w:t>
      </w:r>
      <w:r w:rsidRPr="00AA14EA">
        <w:rPr>
          <w:szCs w:val="28"/>
        </w:rPr>
        <w:t>would have been aware of the possibility of a more complete chiasm in 41</w:t>
      </w:r>
      <w:r>
        <w:rPr>
          <w:szCs w:val="28"/>
        </w:rPr>
        <w:t>.</w:t>
      </w:r>
      <w:r w:rsidRPr="00AA14EA">
        <w:rPr>
          <w:szCs w:val="28"/>
        </w:rPr>
        <w:t xml:space="preserve"> Since he did not create that </w:t>
      </w:r>
      <w:r>
        <w:rPr>
          <w:szCs w:val="28"/>
        </w:rPr>
        <w:t xml:space="preserve">fuller </w:t>
      </w:r>
      <w:r w:rsidRPr="00AA14EA">
        <w:rPr>
          <w:szCs w:val="28"/>
        </w:rPr>
        <w:t>chiasm</w:t>
      </w:r>
      <w:r w:rsidR="006F304D" w:rsidRPr="006F304D">
        <w:rPr>
          <w:szCs w:val="28"/>
        </w:rPr>
        <w:t xml:space="preserve">, </w:t>
      </w:r>
      <w:r w:rsidRPr="00AA14EA">
        <w:rPr>
          <w:szCs w:val="28"/>
        </w:rPr>
        <w:t xml:space="preserve">in 41 he must not have been </w:t>
      </w:r>
      <w:r>
        <w:rPr>
          <w:szCs w:val="28"/>
        </w:rPr>
        <w:t xml:space="preserve">all that intent on </w:t>
      </w:r>
      <w:r w:rsidRPr="00AA14EA">
        <w:rPr>
          <w:szCs w:val="28"/>
        </w:rPr>
        <w:t>chiasm.</w:t>
      </w:r>
    </w:p>
    <w:p w14:paraId="22A9DF44" w14:textId="77777777" w:rsidR="0018433B" w:rsidRPr="00AA14EA" w:rsidRDefault="0018433B" w:rsidP="0018433B">
      <w:pPr>
        <w:rPr>
          <w:szCs w:val="28"/>
        </w:rPr>
      </w:pPr>
      <w:r w:rsidRPr="00AA14EA">
        <w:rPr>
          <w:szCs w:val="28"/>
        </w:rPr>
        <w:tab/>
        <w:t>The question then arises: was he even intent on creating chiasm in 42bc? The sentence reads:</w:t>
      </w:r>
    </w:p>
    <w:p w14:paraId="69E6F9AF" w14:textId="77777777" w:rsidR="0018433B" w:rsidRPr="00AA14EA" w:rsidRDefault="0018433B" w:rsidP="0018433B">
      <w:pPr>
        <w:rPr>
          <w:szCs w:val="28"/>
        </w:rPr>
      </w:pPr>
    </w:p>
    <w:p w14:paraId="5D05A170" w14:textId="77777777" w:rsidR="0018433B" w:rsidRPr="00AA14EA" w:rsidRDefault="0018433B" w:rsidP="0018433B">
      <w:pPr>
        <w:ind w:left="720"/>
        <w:rPr>
          <w:szCs w:val="28"/>
        </w:rPr>
      </w:pPr>
      <w:r w:rsidRPr="00AA14EA">
        <w:rPr>
          <w:szCs w:val="28"/>
        </w:rPr>
        <w:t>42a</w:t>
      </w:r>
      <w:r w:rsidRPr="00AA14EA">
        <w:rPr>
          <w:szCs w:val="28"/>
        </w:rPr>
        <w:tab/>
      </w:r>
      <w:r w:rsidRPr="00CE06CA">
        <w:rPr>
          <w:bCs/>
          <w:szCs w:val="22"/>
          <w:lang w:val="el-GR"/>
        </w:rPr>
        <w:t>πῶς δύνασαι λέγειν τῷ ἀδελφῷ σου·</w:t>
      </w:r>
    </w:p>
    <w:p w14:paraId="3C0F30FC" w14:textId="79C141F1" w:rsidR="0018433B" w:rsidRPr="00AA14EA" w:rsidRDefault="0018433B" w:rsidP="0018433B">
      <w:pPr>
        <w:ind w:left="720"/>
        <w:rPr>
          <w:szCs w:val="28"/>
        </w:rPr>
      </w:pPr>
      <w:r w:rsidRPr="00AA14EA">
        <w:rPr>
          <w:szCs w:val="28"/>
        </w:rPr>
        <w:t>42b</w:t>
      </w:r>
      <w:r w:rsidRPr="00AA14EA">
        <w:rPr>
          <w:szCs w:val="28"/>
        </w:rPr>
        <w:tab/>
      </w:r>
      <w:r w:rsidRPr="00CE06CA">
        <w:rPr>
          <w:bCs/>
          <w:szCs w:val="22"/>
          <w:lang w:val="el-GR"/>
        </w:rPr>
        <w:t>ἀδελφέ</w:t>
      </w:r>
      <w:r w:rsidR="006F304D" w:rsidRPr="006F304D">
        <w:rPr>
          <w:bCs/>
          <w:szCs w:val="22"/>
          <w:lang w:val="el-GR"/>
        </w:rPr>
        <w:t xml:space="preserve">, </w:t>
      </w:r>
      <w:r w:rsidRPr="00CE06CA">
        <w:rPr>
          <w:bCs/>
          <w:szCs w:val="22"/>
          <w:lang w:val="el-GR"/>
        </w:rPr>
        <w:t>ἄφες ἐκβάλω τὸ κάρφος τὸ ἐν τῷ ὀφθαλμῷ σου,</w:t>
      </w:r>
    </w:p>
    <w:p w14:paraId="2DD71195" w14:textId="77777777" w:rsidR="0018433B" w:rsidRPr="00AA14EA" w:rsidRDefault="0018433B" w:rsidP="0018433B">
      <w:pPr>
        <w:ind w:left="720"/>
        <w:rPr>
          <w:szCs w:val="28"/>
        </w:rPr>
      </w:pPr>
      <w:r w:rsidRPr="00AA14EA">
        <w:rPr>
          <w:szCs w:val="28"/>
        </w:rPr>
        <w:t>42c</w:t>
      </w:r>
      <w:r w:rsidRPr="00AA14EA">
        <w:rPr>
          <w:szCs w:val="28"/>
        </w:rPr>
        <w:tab/>
      </w:r>
      <w:r w:rsidRPr="00CE06CA">
        <w:rPr>
          <w:bCs/>
          <w:szCs w:val="22"/>
          <w:lang w:val="el-GR"/>
        </w:rPr>
        <w:t>αὐτὸς τὴν ἐν τῷ ὀφθαλμῷ σου δοκὸν οὐ βλέπων;</w:t>
      </w:r>
    </w:p>
    <w:p w14:paraId="2ECA5965" w14:textId="77777777" w:rsidR="0018433B" w:rsidRPr="00AA14EA" w:rsidRDefault="0018433B" w:rsidP="0018433B">
      <w:pPr>
        <w:rPr>
          <w:szCs w:val="28"/>
        </w:rPr>
      </w:pPr>
    </w:p>
    <w:p w14:paraId="23D4507C" w14:textId="72A21305" w:rsidR="0018433B" w:rsidRPr="00AA14EA" w:rsidRDefault="0018433B" w:rsidP="0018433B">
      <w:pPr>
        <w:rPr>
          <w:szCs w:val="28"/>
        </w:rPr>
      </w:pPr>
      <w:r w:rsidRPr="00AA14EA">
        <w:rPr>
          <w:szCs w:val="28"/>
        </w:rPr>
        <w:t>As delineated by Morgenthaler</w:t>
      </w:r>
      <w:r w:rsidR="006F304D" w:rsidRPr="006F304D">
        <w:rPr>
          <w:szCs w:val="28"/>
        </w:rPr>
        <w:t xml:space="preserve">, </w:t>
      </w:r>
      <w:r w:rsidRPr="00AA14EA">
        <w:rPr>
          <w:szCs w:val="28"/>
        </w:rPr>
        <w:t>the chi</w:t>
      </w:r>
      <w:r w:rsidRPr="00AA14EA">
        <w:rPr>
          <w:szCs w:val="28"/>
        </w:rPr>
        <w:softHyphen/>
        <w:t>asm begins</w:t>
      </w:r>
      <w:r w:rsidR="006F304D" w:rsidRPr="006F304D">
        <w:rPr>
          <w:szCs w:val="28"/>
        </w:rPr>
        <w:t xml:space="preserve">, </w:t>
      </w:r>
      <w:r w:rsidRPr="00AA14EA">
        <w:rPr>
          <w:szCs w:val="28"/>
        </w:rPr>
        <w:t>not at a gram</w:t>
      </w:r>
      <w:r w:rsidRPr="00AA14EA">
        <w:rPr>
          <w:szCs w:val="28"/>
        </w:rPr>
        <w:softHyphen/>
        <w:t>matical juncture (the begin</w:t>
      </w:r>
      <w:r w:rsidRPr="00AA14EA">
        <w:rPr>
          <w:szCs w:val="28"/>
        </w:rPr>
        <w:softHyphen/>
        <w:t>ning of a clause</w:t>
      </w:r>
      <w:r w:rsidR="006F304D" w:rsidRPr="006F304D">
        <w:rPr>
          <w:szCs w:val="28"/>
        </w:rPr>
        <w:t xml:space="preserve">, </w:t>
      </w:r>
      <w:r w:rsidRPr="00AA14EA">
        <w:rPr>
          <w:szCs w:val="28"/>
        </w:rPr>
        <w:t>for ex</w:t>
      </w:r>
      <w:r w:rsidRPr="00AA14EA">
        <w:rPr>
          <w:szCs w:val="28"/>
        </w:rPr>
        <w:softHyphen/>
        <w:t>am</w:t>
      </w:r>
      <w:r w:rsidRPr="00AA14EA">
        <w:rPr>
          <w:szCs w:val="28"/>
        </w:rPr>
        <w:softHyphen/>
        <w:t>ple)</w:t>
      </w:r>
      <w:r w:rsidR="006F304D" w:rsidRPr="006F304D">
        <w:rPr>
          <w:szCs w:val="28"/>
        </w:rPr>
        <w:t xml:space="preserve">, </w:t>
      </w:r>
      <w:r w:rsidRPr="00AA14EA">
        <w:rPr>
          <w:szCs w:val="28"/>
        </w:rPr>
        <w:t>but in the middle of a two-part verb: he says that the chiasm runs from the third word in 42b (</w:t>
      </w:r>
      <w:r w:rsidRPr="00CE06CA">
        <w:rPr>
          <w:bCs/>
          <w:szCs w:val="22"/>
          <w:lang w:val="el-GR"/>
        </w:rPr>
        <w:t>ἐκβάλω</w:t>
      </w:r>
      <w:r w:rsidRPr="00AA14EA">
        <w:rPr>
          <w:szCs w:val="28"/>
        </w:rPr>
        <w:t>) to the final word in 42c (</w:t>
      </w:r>
      <w:r w:rsidRPr="00CE06CA">
        <w:rPr>
          <w:bCs/>
          <w:szCs w:val="22"/>
          <w:lang w:val="el-GR"/>
        </w:rPr>
        <w:t>βλέπων</w:t>
      </w:r>
      <w:r w:rsidRPr="00AA14EA">
        <w:rPr>
          <w:szCs w:val="28"/>
        </w:rPr>
        <w:t xml:space="preserve">); what then is to be done with 42a and the first two words in 42b? </w:t>
      </w:r>
      <w:r>
        <w:rPr>
          <w:szCs w:val="28"/>
        </w:rPr>
        <w:t>(“</w:t>
      </w:r>
      <w:r w:rsidRPr="00CD75A6">
        <w:t>Or how can you say to your neighbor</w:t>
      </w:r>
      <w:r w:rsidR="006F304D" w:rsidRPr="006F304D">
        <w:t xml:space="preserve">, </w:t>
      </w:r>
      <w:r w:rsidRPr="00CD75A6">
        <w:t>‘Friend</w:t>
      </w:r>
      <w:r w:rsidR="006F304D" w:rsidRPr="006F304D">
        <w:t xml:space="preserve">, </w:t>
      </w:r>
      <w:r w:rsidRPr="00CD75A6">
        <w:t>let me</w:t>
      </w:r>
      <w:r>
        <w:t xml:space="preserve"> [</w:t>
      </w:r>
      <w:r>
        <w:rPr>
          <w:bCs/>
          <w:szCs w:val="22"/>
          <w:lang w:val="el-GR"/>
        </w:rPr>
        <w:t>ἄφες</w:t>
      </w:r>
      <w:r>
        <w:t>].</w:t>
      </w:r>
      <w:r w:rsidRPr="00CD75A6">
        <w:t>’</w:t>
      </w:r>
      <w:r>
        <w:t>”</w:t>
      </w:r>
      <w:r>
        <w:rPr>
          <w:szCs w:val="28"/>
        </w:rPr>
        <w:t xml:space="preserve">) </w:t>
      </w:r>
      <w:r w:rsidRPr="00AA14EA">
        <w:rPr>
          <w:szCs w:val="28"/>
        </w:rPr>
        <w:t>The ignoring of</w:t>
      </w:r>
      <w:r>
        <w:rPr>
          <w:szCs w:val="28"/>
        </w:rPr>
        <w:t xml:space="preserve"> </w:t>
      </w:r>
      <w:r w:rsidRPr="00CE06CA">
        <w:rPr>
          <w:bCs/>
          <w:szCs w:val="22"/>
          <w:lang w:val="el-GR"/>
        </w:rPr>
        <w:t>ἄφες</w:t>
      </w:r>
      <w:r w:rsidRPr="00AA14EA">
        <w:rPr>
          <w:szCs w:val="28"/>
        </w:rPr>
        <w:t xml:space="preserve"> </w:t>
      </w:r>
      <w:r>
        <w:rPr>
          <w:szCs w:val="28"/>
        </w:rPr>
        <w:t xml:space="preserve">[imperative aorist of </w:t>
      </w:r>
      <w:r w:rsidRPr="00CE06CA">
        <w:rPr>
          <w:bCs/>
          <w:szCs w:val="22"/>
          <w:lang w:val="el-GR"/>
        </w:rPr>
        <w:t>ἀ</w:t>
      </w:r>
      <w:r>
        <w:rPr>
          <w:bCs/>
          <w:szCs w:val="22"/>
          <w:lang w:val="el-GR"/>
        </w:rPr>
        <w:t>φίημι</w:t>
      </w:r>
      <w:r>
        <w:rPr>
          <w:szCs w:val="28"/>
        </w:rPr>
        <w:t xml:space="preserve">] </w:t>
      </w:r>
      <w:r w:rsidRPr="00AA14EA">
        <w:rPr>
          <w:szCs w:val="28"/>
        </w:rPr>
        <w:t>is particularly mal</w:t>
      </w:r>
      <w:r w:rsidRPr="00AA14EA">
        <w:rPr>
          <w:szCs w:val="28"/>
        </w:rPr>
        <w:softHyphen/>
        <w:t>adroit</w:t>
      </w:r>
      <w:r w:rsidR="006F304D" w:rsidRPr="006F304D">
        <w:rPr>
          <w:szCs w:val="28"/>
        </w:rPr>
        <w:t xml:space="preserve">, </w:t>
      </w:r>
      <w:r w:rsidRPr="00AA14EA">
        <w:rPr>
          <w:szCs w:val="28"/>
        </w:rPr>
        <w:t xml:space="preserve">since </w:t>
      </w:r>
      <w:r w:rsidRPr="00CE06CA">
        <w:rPr>
          <w:bCs/>
          <w:szCs w:val="22"/>
          <w:lang w:val="el-GR"/>
        </w:rPr>
        <w:t>ἀ</w:t>
      </w:r>
      <w:r>
        <w:rPr>
          <w:bCs/>
          <w:szCs w:val="22"/>
          <w:lang w:val="el-GR"/>
        </w:rPr>
        <w:t>φίημι</w:t>
      </w:r>
      <w:r>
        <w:rPr>
          <w:bCs/>
          <w:szCs w:val="22"/>
        </w:rPr>
        <w:t xml:space="preserve"> </w:t>
      </w:r>
      <w:r w:rsidRPr="00AA14EA">
        <w:rPr>
          <w:szCs w:val="28"/>
        </w:rPr>
        <w:t>here has “vir</w:t>
      </w:r>
      <w:r w:rsidRPr="00AA14EA">
        <w:rPr>
          <w:szCs w:val="28"/>
        </w:rPr>
        <w:softHyphen/>
        <w:t>tual</w:t>
      </w:r>
      <w:r w:rsidRPr="00AA14EA">
        <w:rPr>
          <w:szCs w:val="28"/>
        </w:rPr>
        <w:softHyphen/>
        <w:t xml:space="preserve">ly auxiliary force </w:t>
      </w:r>
      <w:r w:rsidRPr="005F51B1">
        <w:rPr>
          <w:szCs w:val="28"/>
        </w:rPr>
        <w:t>. . .</w:t>
      </w:r>
      <w:r w:rsidRPr="00AA14EA">
        <w:rPr>
          <w:szCs w:val="28"/>
        </w:rPr>
        <w:t>”</w:t>
      </w:r>
      <w:r w:rsidRPr="00AA14EA">
        <w:rPr>
          <w:rStyle w:val="FootnoteReference"/>
          <w:szCs w:val="28"/>
        </w:rPr>
        <w:footnoteReference w:id="443"/>
      </w:r>
    </w:p>
    <w:p w14:paraId="232061E4" w14:textId="77777777" w:rsidR="0018433B" w:rsidRDefault="0018433B" w:rsidP="0018433B">
      <w:pPr>
        <w:rPr>
          <w:szCs w:val="28"/>
        </w:rPr>
      </w:pPr>
      <w:r w:rsidRPr="00AA14EA">
        <w:rPr>
          <w:szCs w:val="28"/>
        </w:rPr>
        <w:tab/>
        <w:t>And what about the third of the sentences in 41-42</w:t>
      </w:r>
      <w:r>
        <w:rPr>
          <w:szCs w:val="28"/>
        </w:rPr>
        <w:t>?</w:t>
      </w:r>
    </w:p>
    <w:p w14:paraId="2C582E30" w14:textId="77777777" w:rsidR="0018433B" w:rsidRDefault="0018433B" w:rsidP="0018433B">
      <w:pPr>
        <w:rPr>
          <w:szCs w:val="28"/>
        </w:rPr>
      </w:pPr>
    </w:p>
    <w:p w14:paraId="4DF0B06B" w14:textId="2DBFC8F3" w:rsidR="0018433B" w:rsidRPr="00450CE1" w:rsidRDefault="0018433B" w:rsidP="0018433B">
      <w:pPr>
        <w:ind w:left="1440" w:hanging="720"/>
        <w:rPr>
          <w:szCs w:val="28"/>
        </w:rPr>
      </w:pPr>
      <w:r>
        <w:rPr>
          <w:szCs w:val="28"/>
        </w:rPr>
        <w:t>42d</w:t>
      </w:r>
      <w:r>
        <w:rPr>
          <w:szCs w:val="28"/>
        </w:rPr>
        <w:tab/>
      </w:r>
      <w:r w:rsidRPr="00CE06CA">
        <w:rPr>
          <w:bCs/>
          <w:szCs w:val="22"/>
          <w:lang w:val="el-GR"/>
        </w:rPr>
        <w:t>ὑποκριτά</w:t>
      </w:r>
      <w:r w:rsidR="006F304D" w:rsidRPr="006F304D">
        <w:rPr>
          <w:bCs/>
          <w:szCs w:val="22"/>
          <w:lang w:val="el-GR"/>
        </w:rPr>
        <w:t xml:space="preserve">, </w:t>
      </w:r>
      <w:r w:rsidRPr="00CE06CA">
        <w:rPr>
          <w:bCs/>
          <w:szCs w:val="22"/>
          <w:lang w:val="el-GR"/>
        </w:rPr>
        <w:t>ἔκβαλε πρῶτον τὴν δοκὸν ἐκ τοῦ ὀφθαλμοῦ σου</w:t>
      </w:r>
      <w:r w:rsidR="006F304D" w:rsidRPr="006F304D">
        <w:rPr>
          <w:bCs/>
          <w:szCs w:val="22"/>
          <w:lang w:val="el-GR"/>
        </w:rPr>
        <w:t xml:space="preserve">, </w:t>
      </w:r>
      <w:r w:rsidRPr="00CE06CA">
        <w:rPr>
          <w:bCs/>
          <w:szCs w:val="22"/>
          <w:lang w:val="el-GR"/>
        </w:rPr>
        <w:t>καὶ τότε διαβλέψεις τὸ κάρφος τὸ ἐν τῷ ὀφθαλμῷ τοῦ ἀδελφοῦ σου ἐκβαλεῖν.</w:t>
      </w:r>
    </w:p>
    <w:p w14:paraId="25ACCF91" w14:textId="23FC0C35" w:rsidR="0018433B" w:rsidRDefault="0018433B" w:rsidP="0018433B">
      <w:pPr>
        <w:ind w:left="1440" w:hanging="720"/>
        <w:rPr>
          <w:szCs w:val="28"/>
        </w:rPr>
      </w:pPr>
      <w:r>
        <w:rPr>
          <w:szCs w:val="28"/>
        </w:rPr>
        <w:t>42d</w:t>
      </w:r>
      <w:r>
        <w:rPr>
          <w:szCs w:val="28"/>
        </w:rPr>
        <w:tab/>
      </w:r>
      <w:r w:rsidRPr="00450CE1">
        <w:rPr>
          <w:szCs w:val="28"/>
        </w:rPr>
        <w:t>You hypocrite</w:t>
      </w:r>
      <w:r w:rsidR="006F304D" w:rsidRPr="006F304D">
        <w:rPr>
          <w:szCs w:val="28"/>
        </w:rPr>
        <w:t xml:space="preserve">, </w:t>
      </w:r>
      <w:r w:rsidRPr="00450CE1">
        <w:rPr>
          <w:szCs w:val="28"/>
        </w:rPr>
        <w:t>first take the log out of your own eye</w:t>
      </w:r>
      <w:r w:rsidR="006F304D" w:rsidRPr="006F304D">
        <w:rPr>
          <w:szCs w:val="28"/>
        </w:rPr>
        <w:t xml:space="preserve">, </w:t>
      </w:r>
      <w:r w:rsidRPr="00450CE1">
        <w:rPr>
          <w:szCs w:val="28"/>
        </w:rPr>
        <w:t>and then you will see clearly to take</w:t>
      </w:r>
      <w:r>
        <w:rPr>
          <w:szCs w:val="28"/>
        </w:rPr>
        <w:t xml:space="preserve"> the speck out of your neighbor’</w:t>
      </w:r>
      <w:r w:rsidRPr="00450CE1">
        <w:rPr>
          <w:szCs w:val="28"/>
        </w:rPr>
        <w:t>s eye.</w:t>
      </w:r>
    </w:p>
    <w:p w14:paraId="71A3A738" w14:textId="77777777" w:rsidR="0018433B" w:rsidRDefault="0018433B" w:rsidP="0018433B">
      <w:pPr>
        <w:rPr>
          <w:szCs w:val="28"/>
        </w:rPr>
      </w:pPr>
    </w:p>
    <w:p w14:paraId="2E52FC5E" w14:textId="6108F7E7" w:rsidR="0018433B" w:rsidRPr="00AA14EA" w:rsidRDefault="0018433B" w:rsidP="0018433B">
      <w:pPr>
        <w:rPr>
          <w:szCs w:val="28"/>
        </w:rPr>
      </w:pPr>
      <w:r w:rsidRPr="00AA14EA">
        <w:rPr>
          <w:szCs w:val="28"/>
        </w:rPr>
        <w:t>Despite Morgen</w:t>
      </w:r>
      <w:r w:rsidRPr="00AA14EA">
        <w:rPr>
          <w:szCs w:val="28"/>
        </w:rPr>
        <w:softHyphen/>
        <w:t>thal</w:t>
      </w:r>
      <w:r w:rsidRPr="00AA14EA">
        <w:rPr>
          <w:szCs w:val="28"/>
        </w:rPr>
        <w:softHyphen/>
        <w:t>er’s cla</w:t>
      </w:r>
      <w:r>
        <w:rPr>
          <w:szCs w:val="28"/>
        </w:rPr>
        <w:t xml:space="preserve">im that all three sentences in </w:t>
      </w:r>
      <w:r w:rsidRPr="00AA14EA">
        <w:rPr>
          <w:szCs w:val="28"/>
        </w:rPr>
        <w:t>41-42 are chiastic</w:t>
      </w:r>
      <w:r w:rsidR="006F304D" w:rsidRPr="006F304D">
        <w:rPr>
          <w:szCs w:val="28"/>
        </w:rPr>
        <w:t xml:space="preserve">, </w:t>
      </w:r>
      <w:r w:rsidRPr="00AA14EA">
        <w:rPr>
          <w:szCs w:val="28"/>
        </w:rPr>
        <w:t>this sentence does not dis</w:t>
      </w:r>
      <w:r w:rsidRPr="00AA14EA">
        <w:rPr>
          <w:szCs w:val="28"/>
        </w:rPr>
        <w:softHyphen/>
        <w:t>play in</w:t>
      </w:r>
      <w:r w:rsidRPr="00AA14EA">
        <w:rPr>
          <w:szCs w:val="28"/>
        </w:rPr>
        <w:softHyphen/>
        <w:t>verted order: both clauses have the same arrangement</w:t>
      </w:r>
      <w:r w:rsidR="006F304D" w:rsidRPr="006F304D">
        <w:rPr>
          <w:szCs w:val="28"/>
        </w:rPr>
        <w:t xml:space="preserve">, </w:t>
      </w:r>
      <w:r w:rsidRPr="00AA14EA">
        <w:rPr>
          <w:szCs w:val="28"/>
        </w:rPr>
        <w:t>verb + object + locale.</w:t>
      </w:r>
      <w:r>
        <w:rPr>
          <w:szCs w:val="28"/>
        </w:rPr>
        <w:t xml:space="preserve"> Verse 42dα has “take the log out of your own eye”; and 42dβ has (in literal order) “you will see clearly the speck in your brother’s eye.” (Actually</w:t>
      </w:r>
      <w:r w:rsidR="006F304D" w:rsidRPr="006F304D">
        <w:rPr>
          <w:szCs w:val="28"/>
        </w:rPr>
        <w:t xml:space="preserve">, </w:t>
      </w:r>
      <w:r>
        <w:rPr>
          <w:szCs w:val="28"/>
        </w:rPr>
        <w:t xml:space="preserve">the word order in 42dβ is even more complex: though the first clause has </w:t>
      </w:r>
      <w:r w:rsidRPr="00AA14EA">
        <w:rPr>
          <w:szCs w:val="28"/>
        </w:rPr>
        <w:t>verb + object + locale</w:t>
      </w:r>
      <w:r w:rsidR="006F304D" w:rsidRPr="006F304D">
        <w:rPr>
          <w:szCs w:val="28"/>
        </w:rPr>
        <w:t xml:space="preserve">, </w:t>
      </w:r>
      <w:r>
        <w:rPr>
          <w:szCs w:val="28"/>
        </w:rPr>
        <w:t>the second splits two verbs [“to see . . . to take out”] with the locale [“see the speck in your brother’s eye to take out”].)</w:t>
      </w:r>
    </w:p>
    <w:p w14:paraId="40A860B7" w14:textId="39E00B16" w:rsidR="0018433B" w:rsidRPr="00AA14EA" w:rsidRDefault="0018433B" w:rsidP="0018433B">
      <w:pPr>
        <w:rPr>
          <w:szCs w:val="28"/>
        </w:rPr>
      </w:pPr>
      <w:r w:rsidRPr="00AA14EA">
        <w:rPr>
          <w:szCs w:val="28"/>
        </w:rPr>
        <w:lastRenderedPageBreak/>
        <w:tab/>
        <w:t>To bolster his claim that verses 41-42 con</w:t>
      </w:r>
      <w:r w:rsidRPr="00AA14EA">
        <w:rPr>
          <w:szCs w:val="28"/>
        </w:rPr>
        <w:softHyphen/>
        <w:t>tain chi</w:t>
      </w:r>
      <w:r w:rsidRPr="00AA14EA">
        <w:rPr>
          <w:szCs w:val="28"/>
        </w:rPr>
        <w:softHyphen/>
        <w:t>asms</w:t>
      </w:r>
      <w:r w:rsidR="006F304D" w:rsidRPr="006F304D">
        <w:rPr>
          <w:szCs w:val="28"/>
        </w:rPr>
        <w:t xml:space="preserve">, </w:t>
      </w:r>
      <w:r w:rsidRPr="00AA14EA">
        <w:rPr>
          <w:szCs w:val="28"/>
        </w:rPr>
        <w:t>Morgen</w:t>
      </w:r>
      <w:r w:rsidRPr="00AA14EA">
        <w:rPr>
          <w:szCs w:val="28"/>
        </w:rPr>
        <w:softHyphen/>
        <w:t>thaler points to the absence of chiasm in Matthew’s par</w:t>
      </w:r>
      <w:r w:rsidRPr="00AA14EA">
        <w:rPr>
          <w:szCs w:val="28"/>
        </w:rPr>
        <w:softHyphen/>
        <w:t>allel pas</w:t>
      </w:r>
      <w:r w:rsidRPr="00AA14EA">
        <w:rPr>
          <w:szCs w:val="28"/>
        </w:rPr>
        <w:softHyphen/>
        <w:t>sage. But in fact just the opposite is the position of Lund</w:t>
      </w:r>
      <w:r w:rsidR="006F304D" w:rsidRPr="006F304D">
        <w:rPr>
          <w:szCs w:val="28"/>
        </w:rPr>
        <w:t xml:space="preserve">, </w:t>
      </w:r>
      <w:r w:rsidRPr="00AA14EA">
        <w:rPr>
          <w:szCs w:val="28"/>
        </w:rPr>
        <w:t>who claims that Matthew in 7:3-5 has chiasms that Luke has destroyed.</w:t>
      </w:r>
      <w:r w:rsidRPr="00AA14EA">
        <w:rPr>
          <w:rStyle w:val="FootnoteReference"/>
          <w:szCs w:val="28"/>
        </w:rPr>
        <w:footnoteReference w:id="444"/>
      </w:r>
      <w:r w:rsidRPr="00AA14EA">
        <w:rPr>
          <w:szCs w:val="28"/>
        </w:rPr>
        <w:t xml:space="preserve"> </w:t>
      </w:r>
      <w:r w:rsidRPr="00AA14EA">
        <w:rPr>
          <w:szCs w:val="28"/>
        </w:rPr>
        <w:softHyphen/>
        <w:t>Lund’s anal</w:t>
      </w:r>
      <w:r w:rsidRPr="00AA14EA">
        <w:rPr>
          <w:szCs w:val="28"/>
        </w:rPr>
        <w:softHyphen/>
      </w:r>
      <w:r w:rsidRPr="00AA14EA">
        <w:rPr>
          <w:szCs w:val="28"/>
        </w:rPr>
        <w:softHyphen/>
      </w:r>
      <w:r w:rsidRPr="00AA14EA">
        <w:rPr>
          <w:szCs w:val="28"/>
        </w:rPr>
        <w:softHyphen/>
        <w:t>ysis of Matthew’s verses</w:t>
      </w:r>
      <w:r w:rsidR="006F304D" w:rsidRPr="006F304D">
        <w:rPr>
          <w:szCs w:val="28"/>
        </w:rPr>
        <w:t xml:space="preserve">, </w:t>
      </w:r>
      <w:r w:rsidRPr="00AA14EA">
        <w:rPr>
          <w:szCs w:val="28"/>
        </w:rPr>
        <w:t>therefore</w:t>
      </w:r>
      <w:r w:rsidR="006F304D" w:rsidRPr="006F304D">
        <w:rPr>
          <w:szCs w:val="28"/>
        </w:rPr>
        <w:t xml:space="preserve">, </w:t>
      </w:r>
      <w:r w:rsidRPr="00AA14EA">
        <w:rPr>
          <w:szCs w:val="28"/>
        </w:rPr>
        <w:t>will help us to assess the worth of Morgen</w:t>
      </w:r>
      <w:r w:rsidRPr="00AA14EA">
        <w:rPr>
          <w:szCs w:val="28"/>
        </w:rPr>
        <w:softHyphen/>
        <w:t>thal</w:t>
      </w:r>
      <w:r w:rsidRPr="00AA14EA">
        <w:rPr>
          <w:szCs w:val="28"/>
        </w:rPr>
        <w:softHyphen/>
        <w:t>er’s reliance on Matthew for support.</w:t>
      </w:r>
    </w:p>
    <w:p w14:paraId="169319A9" w14:textId="77777777" w:rsidR="0018433B" w:rsidRPr="00AA14EA" w:rsidRDefault="0018433B" w:rsidP="0018433B">
      <w:pPr>
        <w:rPr>
          <w:szCs w:val="28"/>
        </w:rPr>
      </w:pPr>
      <w:r w:rsidRPr="00AA14EA">
        <w:rPr>
          <w:szCs w:val="28"/>
        </w:rPr>
        <w:tab/>
        <w:t>Lund sets forth the chiastic structure of Matt 7:3-5 as fol</w:t>
      </w:r>
      <w:r w:rsidRPr="00AA14EA">
        <w:rPr>
          <w:szCs w:val="28"/>
        </w:rPr>
        <w:softHyphen/>
        <w:t>lows:</w:t>
      </w:r>
    </w:p>
    <w:p w14:paraId="244C1F52" w14:textId="77777777" w:rsidR="0018433B" w:rsidRPr="00AA14EA" w:rsidRDefault="0018433B" w:rsidP="0018433B">
      <w:pPr>
        <w:rPr>
          <w:szCs w:val="28"/>
        </w:rPr>
      </w:pPr>
    </w:p>
    <w:p w14:paraId="175A45BD" w14:textId="77777777" w:rsidR="0018433B" w:rsidRPr="00AA14EA" w:rsidRDefault="0018433B" w:rsidP="0018433B">
      <w:pPr>
        <w:ind w:firstLine="706"/>
        <w:rPr>
          <w:szCs w:val="28"/>
        </w:rPr>
      </w:pPr>
      <w:r w:rsidRPr="00AA14EA">
        <w:rPr>
          <w:szCs w:val="28"/>
        </w:rPr>
        <w:t>1</w:t>
      </w:r>
      <w:r w:rsidRPr="00AA14EA">
        <w:rPr>
          <w:szCs w:val="28"/>
        </w:rPr>
        <w:tab/>
      </w:r>
      <w:r w:rsidRPr="00AA14EA">
        <w:rPr>
          <w:szCs w:val="28"/>
        </w:rPr>
        <w:tab/>
        <w:t xml:space="preserve">And why </w:t>
      </w:r>
      <w:proofErr w:type="spellStart"/>
      <w:r w:rsidRPr="00AA14EA">
        <w:rPr>
          <w:szCs w:val="28"/>
        </w:rPr>
        <w:t>beholdest</w:t>
      </w:r>
      <w:proofErr w:type="spellEnd"/>
      <w:r w:rsidRPr="00AA14EA">
        <w:rPr>
          <w:szCs w:val="28"/>
        </w:rPr>
        <w:t xml:space="preserve"> thou</w:t>
      </w:r>
    </w:p>
    <w:p w14:paraId="7D3218EE" w14:textId="77777777" w:rsidR="0018433B" w:rsidRPr="00AA14EA" w:rsidRDefault="0018433B" w:rsidP="0018433B">
      <w:pPr>
        <w:ind w:firstLine="706"/>
        <w:rPr>
          <w:szCs w:val="28"/>
        </w:rPr>
      </w:pPr>
      <w:r w:rsidRPr="00AA14EA">
        <w:rPr>
          <w:szCs w:val="28"/>
        </w:rPr>
        <w:t>2</w:t>
      </w:r>
      <w:r w:rsidRPr="00AA14EA">
        <w:rPr>
          <w:szCs w:val="28"/>
        </w:rPr>
        <w:tab/>
      </w:r>
      <w:r w:rsidRPr="00AA14EA">
        <w:rPr>
          <w:szCs w:val="28"/>
        </w:rPr>
        <w:tab/>
      </w:r>
      <w:r w:rsidRPr="00AA14EA">
        <w:rPr>
          <w:szCs w:val="28"/>
        </w:rPr>
        <w:tab/>
        <w:t>The mote</w:t>
      </w:r>
    </w:p>
    <w:p w14:paraId="05F36849" w14:textId="77777777" w:rsidR="0018433B" w:rsidRPr="00AA14EA" w:rsidRDefault="0018433B" w:rsidP="0018433B">
      <w:pPr>
        <w:ind w:firstLine="706"/>
        <w:rPr>
          <w:szCs w:val="28"/>
        </w:rPr>
      </w:pPr>
      <w:r w:rsidRPr="00AA14EA">
        <w:rPr>
          <w:szCs w:val="28"/>
        </w:rPr>
        <w:t>3</w:t>
      </w:r>
      <w:r w:rsidRPr="00AA14EA">
        <w:rPr>
          <w:szCs w:val="28"/>
        </w:rPr>
        <w:tab/>
      </w:r>
      <w:r w:rsidRPr="00AA14EA">
        <w:rPr>
          <w:szCs w:val="28"/>
        </w:rPr>
        <w:tab/>
      </w:r>
      <w:r w:rsidRPr="00AA14EA">
        <w:rPr>
          <w:szCs w:val="28"/>
        </w:rPr>
        <w:tab/>
      </w:r>
      <w:r w:rsidRPr="00AA14EA">
        <w:rPr>
          <w:szCs w:val="28"/>
        </w:rPr>
        <w:tab/>
        <w:t>That is in the eye</w:t>
      </w:r>
    </w:p>
    <w:p w14:paraId="65F47BE1" w14:textId="77777777" w:rsidR="0018433B" w:rsidRPr="00AA14EA" w:rsidRDefault="0018433B" w:rsidP="0018433B">
      <w:pPr>
        <w:ind w:firstLine="706"/>
        <w:rPr>
          <w:szCs w:val="28"/>
        </w:rPr>
      </w:pPr>
      <w:r w:rsidRPr="00AA14EA">
        <w:rPr>
          <w:szCs w:val="28"/>
        </w:rPr>
        <w:t>4</w:t>
      </w:r>
      <w:r w:rsidRPr="00AA14EA">
        <w:rPr>
          <w:szCs w:val="28"/>
        </w:rPr>
        <w:tab/>
      </w:r>
      <w:r w:rsidRPr="00AA14EA">
        <w:rPr>
          <w:szCs w:val="28"/>
        </w:rPr>
        <w:tab/>
      </w:r>
      <w:r w:rsidRPr="00AA14EA">
        <w:rPr>
          <w:szCs w:val="28"/>
        </w:rPr>
        <w:tab/>
      </w:r>
      <w:r w:rsidRPr="00AA14EA">
        <w:rPr>
          <w:szCs w:val="28"/>
        </w:rPr>
        <w:tab/>
      </w:r>
      <w:r w:rsidRPr="00AA14EA">
        <w:rPr>
          <w:szCs w:val="28"/>
        </w:rPr>
        <w:tab/>
        <w:t>Of thy brother;</w:t>
      </w:r>
    </w:p>
    <w:p w14:paraId="6F414BE4" w14:textId="77777777" w:rsidR="0018433B" w:rsidRPr="00AA14EA" w:rsidRDefault="0018433B" w:rsidP="0018433B">
      <w:pPr>
        <w:ind w:firstLine="706"/>
        <w:rPr>
          <w:szCs w:val="28"/>
        </w:rPr>
      </w:pPr>
      <w:r w:rsidRPr="00AA14EA">
        <w:rPr>
          <w:szCs w:val="28"/>
        </w:rPr>
        <w:t>5</w:t>
      </w:r>
      <w:r w:rsidRPr="00AA14EA">
        <w:rPr>
          <w:szCs w:val="28"/>
        </w:rPr>
        <w:tab/>
      </w:r>
      <w:r>
        <w:rPr>
          <w:szCs w:val="28"/>
        </w:rPr>
        <w:tab/>
      </w:r>
      <w:r w:rsidRPr="00AA14EA">
        <w:rPr>
          <w:szCs w:val="28"/>
        </w:rPr>
        <w:tab/>
      </w:r>
      <w:r w:rsidRPr="00AA14EA">
        <w:rPr>
          <w:szCs w:val="28"/>
        </w:rPr>
        <w:tab/>
      </w:r>
      <w:r w:rsidRPr="00AA14EA">
        <w:rPr>
          <w:szCs w:val="28"/>
        </w:rPr>
        <w:tab/>
      </w:r>
      <w:r w:rsidRPr="00AA14EA">
        <w:rPr>
          <w:szCs w:val="28"/>
        </w:rPr>
        <w:tab/>
        <w:t>But in thine own</w:t>
      </w:r>
    </w:p>
    <w:p w14:paraId="37094BE9" w14:textId="77777777" w:rsidR="0018433B" w:rsidRPr="00AA14EA" w:rsidRDefault="0018433B" w:rsidP="0018433B">
      <w:pPr>
        <w:ind w:firstLine="706"/>
        <w:rPr>
          <w:szCs w:val="28"/>
        </w:rPr>
      </w:pPr>
      <w:r w:rsidRPr="00AA14EA">
        <w:rPr>
          <w:szCs w:val="28"/>
        </w:rPr>
        <w:t>6</w:t>
      </w:r>
      <w:r w:rsidRPr="00AA14EA">
        <w:rPr>
          <w:szCs w:val="28"/>
        </w:rPr>
        <w:tab/>
      </w:r>
      <w:r w:rsidRPr="00AA14EA">
        <w:rPr>
          <w:szCs w:val="28"/>
        </w:rPr>
        <w:tab/>
      </w:r>
      <w:r w:rsidRPr="00AA14EA">
        <w:rPr>
          <w:szCs w:val="28"/>
        </w:rPr>
        <w:tab/>
      </w:r>
      <w:r w:rsidRPr="00AA14EA">
        <w:rPr>
          <w:szCs w:val="28"/>
        </w:rPr>
        <w:tab/>
        <w:t>Eye</w:t>
      </w:r>
    </w:p>
    <w:p w14:paraId="7AB1FAA4" w14:textId="77777777" w:rsidR="0018433B" w:rsidRPr="00AA14EA" w:rsidRDefault="0018433B" w:rsidP="0018433B">
      <w:pPr>
        <w:ind w:firstLine="706"/>
        <w:rPr>
          <w:szCs w:val="28"/>
        </w:rPr>
      </w:pPr>
      <w:r>
        <w:rPr>
          <w:szCs w:val="28"/>
        </w:rPr>
        <w:t>7</w:t>
      </w:r>
      <w:r>
        <w:rPr>
          <w:szCs w:val="28"/>
        </w:rPr>
        <w:tab/>
      </w:r>
      <w:r>
        <w:rPr>
          <w:szCs w:val="28"/>
        </w:rPr>
        <w:tab/>
      </w:r>
      <w:r>
        <w:rPr>
          <w:szCs w:val="28"/>
        </w:rPr>
        <w:tab/>
      </w:r>
      <w:r w:rsidRPr="00AA14EA">
        <w:rPr>
          <w:szCs w:val="28"/>
        </w:rPr>
        <w:t>The beam</w:t>
      </w:r>
    </w:p>
    <w:p w14:paraId="18E94CFB" w14:textId="77777777" w:rsidR="0018433B" w:rsidRPr="00AA14EA" w:rsidRDefault="0018433B" w:rsidP="0018433B">
      <w:pPr>
        <w:ind w:firstLine="706"/>
        <w:rPr>
          <w:szCs w:val="28"/>
        </w:rPr>
      </w:pPr>
      <w:r>
        <w:rPr>
          <w:szCs w:val="28"/>
        </w:rPr>
        <w:t>8</w:t>
      </w:r>
      <w:r>
        <w:rPr>
          <w:szCs w:val="28"/>
        </w:rPr>
        <w:tab/>
      </w:r>
      <w:r>
        <w:rPr>
          <w:szCs w:val="28"/>
        </w:rPr>
        <w:tab/>
      </w:r>
      <w:r w:rsidRPr="00AA14EA">
        <w:rPr>
          <w:szCs w:val="28"/>
        </w:rPr>
        <w:t xml:space="preserve">Thou </w:t>
      </w:r>
      <w:proofErr w:type="spellStart"/>
      <w:r w:rsidRPr="00AA14EA">
        <w:rPr>
          <w:szCs w:val="28"/>
        </w:rPr>
        <w:t>considerest</w:t>
      </w:r>
      <w:proofErr w:type="spellEnd"/>
      <w:r w:rsidRPr="00AA14EA">
        <w:rPr>
          <w:szCs w:val="28"/>
        </w:rPr>
        <w:t xml:space="preserve"> not?</w:t>
      </w:r>
    </w:p>
    <w:p w14:paraId="493B0622" w14:textId="77777777" w:rsidR="0018433B" w:rsidRPr="00AA14EA" w:rsidRDefault="0018433B" w:rsidP="0018433B">
      <w:pPr>
        <w:rPr>
          <w:szCs w:val="28"/>
        </w:rPr>
      </w:pPr>
    </w:p>
    <w:p w14:paraId="78673518" w14:textId="77777777" w:rsidR="0018433B" w:rsidRPr="00AA14EA" w:rsidRDefault="0018433B" w:rsidP="0018433B">
      <w:pPr>
        <w:ind w:firstLine="706"/>
        <w:rPr>
          <w:szCs w:val="28"/>
        </w:rPr>
      </w:pPr>
      <w:r w:rsidRPr="00AA14EA">
        <w:rPr>
          <w:szCs w:val="28"/>
        </w:rPr>
        <w:t>9</w:t>
      </w:r>
      <w:r w:rsidRPr="00AA14EA">
        <w:rPr>
          <w:szCs w:val="28"/>
        </w:rPr>
        <w:tab/>
      </w:r>
      <w:r w:rsidRPr="00AA14EA">
        <w:rPr>
          <w:szCs w:val="28"/>
        </w:rPr>
        <w:tab/>
      </w:r>
      <w:r w:rsidRPr="00AA14EA">
        <w:rPr>
          <w:szCs w:val="28"/>
        </w:rPr>
        <w:tab/>
      </w:r>
      <w:r w:rsidRPr="00AA14EA">
        <w:rPr>
          <w:szCs w:val="28"/>
        </w:rPr>
        <w:tab/>
        <w:t>Or how wilt thou say</w:t>
      </w:r>
    </w:p>
    <w:p w14:paraId="2A6CC564" w14:textId="77777777" w:rsidR="0018433B" w:rsidRPr="00AA14EA" w:rsidRDefault="0018433B" w:rsidP="0018433B">
      <w:pPr>
        <w:rPr>
          <w:szCs w:val="28"/>
        </w:rPr>
      </w:pPr>
    </w:p>
    <w:p w14:paraId="29DD67EB" w14:textId="77777777" w:rsidR="0018433B" w:rsidRPr="00AA14EA" w:rsidRDefault="0018433B" w:rsidP="0018433B">
      <w:pPr>
        <w:ind w:firstLine="706"/>
        <w:rPr>
          <w:szCs w:val="28"/>
        </w:rPr>
      </w:pPr>
      <w:r w:rsidRPr="00AA14EA">
        <w:rPr>
          <w:szCs w:val="28"/>
        </w:rPr>
        <w:t>10</w:t>
      </w:r>
      <w:r w:rsidRPr="00AA14EA">
        <w:rPr>
          <w:szCs w:val="28"/>
        </w:rPr>
        <w:tab/>
      </w:r>
      <w:r w:rsidRPr="00AA14EA">
        <w:rPr>
          <w:szCs w:val="28"/>
        </w:rPr>
        <w:tab/>
        <w:t>To thy brother,</w:t>
      </w:r>
    </w:p>
    <w:p w14:paraId="2DE86D00" w14:textId="77777777" w:rsidR="0018433B" w:rsidRPr="00AA14EA" w:rsidRDefault="0018433B" w:rsidP="0018433B">
      <w:pPr>
        <w:ind w:firstLine="706"/>
        <w:rPr>
          <w:szCs w:val="28"/>
        </w:rPr>
      </w:pPr>
      <w:r w:rsidRPr="00AA14EA">
        <w:rPr>
          <w:szCs w:val="28"/>
        </w:rPr>
        <w:t>11</w:t>
      </w:r>
      <w:r w:rsidRPr="00AA14EA">
        <w:rPr>
          <w:szCs w:val="28"/>
        </w:rPr>
        <w:tab/>
      </w:r>
      <w:r w:rsidRPr="00AA14EA">
        <w:rPr>
          <w:szCs w:val="28"/>
        </w:rPr>
        <w:tab/>
      </w:r>
      <w:r w:rsidRPr="00AA14EA">
        <w:rPr>
          <w:szCs w:val="28"/>
        </w:rPr>
        <w:tab/>
        <w:t xml:space="preserve">Let me </w:t>
      </w:r>
      <w:r w:rsidRPr="00AA14EA">
        <w:rPr>
          <w:i/>
          <w:iCs/>
          <w:szCs w:val="28"/>
        </w:rPr>
        <w:t>cast out</w:t>
      </w:r>
      <w:r w:rsidRPr="00AA14EA">
        <w:rPr>
          <w:szCs w:val="28"/>
        </w:rPr>
        <w:t xml:space="preserve"> the mote</w:t>
      </w:r>
    </w:p>
    <w:p w14:paraId="48AA6F8B" w14:textId="77777777" w:rsidR="0018433B" w:rsidRPr="00AA14EA" w:rsidRDefault="0018433B" w:rsidP="0018433B">
      <w:pPr>
        <w:ind w:firstLine="706"/>
        <w:rPr>
          <w:szCs w:val="28"/>
        </w:rPr>
      </w:pPr>
      <w:r w:rsidRPr="00AA14EA">
        <w:rPr>
          <w:szCs w:val="28"/>
        </w:rPr>
        <w:t>12</w:t>
      </w:r>
      <w:r w:rsidRPr="00AA14EA">
        <w:rPr>
          <w:szCs w:val="28"/>
        </w:rPr>
        <w:tab/>
      </w:r>
      <w:r w:rsidRPr="00AA14EA">
        <w:rPr>
          <w:szCs w:val="28"/>
        </w:rPr>
        <w:tab/>
      </w:r>
      <w:r w:rsidRPr="00AA14EA">
        <w:rPr>
          <w:szCs w:val="28"/>
        </w:rPr>
        <w:tab/>
      </w:r>
      <w:r w:rsidRPr="00AA14EA">
        <w:rPr>
          <w:szCs w:val="28"/>
        </w:rPr>
        <w:tab/>
        <w:t>Out of thine eye;</w:t>
      </w:r>
    </w:p>
    <w:p w14:paraId="4D85F978" w14:textId="77777777" w:rsidR="0018433B" w:rsidRPr="00AA14EA" w:rsidRDefault="0018433B" w:rsidP="0018433B">
      <w:pPr>
        <w:ind w:firstLine="706"/>
        <w:rPr>
          <w:szCs w:val="28"/>
        </w:rPr>
      </w:pPr>
      <w:r w:rsidRPr="00AA14EA">
        <w:rPr>
          <w:szCs w:val="28"/>
        </w:rPr>
        <w:t>13</w:t>
      </w:r>
      <w:r w:rsidRPr="00AA14EA">
        <w:rPr>
          <w:szCs w:val="28"/>
        </w:rPr>
        <w:tab/>
      </w:r>
      <w:r w:rsidRPr="00AA14EA">
        <w:rPr>
          <w:szCs w:val="28"/>
        </w:rPr>
        <w:tab/>
      </w:r>
      <w:r w:rsidRPr="00AA14EA">
        <w:rPr>
          <w:szCs w:val="28"/>
        </w:rPr>
        <w:tab/>
      </w:r>
      <w:r w:rsidRPr="00AA14EA">
        <w:rPr>
          <w:szCs w:val="28"/>
        </w:rPr>
        <w:tab/>
      </w:r>
      <w:r w:rsidRPr="00AA14EA">
        <w:rPr>
          <w:szCs w:val="28"/>
        </w:rPr>
        <w:tab/>
        <w:t>And behold,</w:t>
      </w:r>
    </w:p>
    <w:p w14:paraId="27C03F7F" w14:textId="77777777" w:rsidR="0018433B" w:rsidRPr="00AA14EA" w:rsidRDefault="0018433B" w:rsidP="0018433B">
      <w:pPr>
        <w:ind w:firstLine="706"/>
        <w:rPr>
          <w:szCs w:val="28"/>
        </w:rPr>
      </w:pPr>
      <w:r w:rsidRPr="00AA14EA">
        <w:rPr>
          <w:szCs w:val="28"/>
        </w:rPr>
        <w:t>14</w:t>
      </w:r>
      <w:r w:rsidRPr="00AA14EA">
        <w:rPr>
          <w:szCs w:val="28"/>
        </w:rPr>
        <w:tab/>
      </w:r>
      <w:r w:rsidRPr="00AA14EA">
        <w:rPr>
          <w:szCs w:val="28"/>
        </w:rPr>
        <w:tab/>
      </w:r>
      <w:r w:rsidRPr="00AA14EA">
        <w:rPr>
          <w:szCs w:val="28"/>
        </w:rPr>
        <w:tab/>
      </w:r>
      <w:r w:rsidRPr="00AA14EA">
        <w:rPr>
          <w:szCs w:val="28"/>
        </w:rPr>
        <w:tab/>
      </w:r>
      <w:r w:rsidRPr="00AA14EA">
        <w:rPr>
          <w:szCs w:val="28"/>
        </w:rPr>
        <w:tab/>
      </w:r>
      <w:r w:rsidRPr="00AA14EA">
        <w:rPr>
          <w:szCs w:val="28"/>
        </w:rPr>
        <w:tab/>
        <w:t>The beam is</w:t>
      </w:r>
    </w:p>
    <w:p w14:paraId="1550A8E1" w14:textId="77777777" w:rsidR="0018433B" w:rsidRPr="00AA14EA" w:rsidRDefault="0018433B" w:rsidP="0018433B">
      <w:pPr>
        <w:ind w:firstLine="706"/>
        <w:rPr>
          <w:szCs w:val="28"/>
        </w:rPr>
      </w:pPr>
      <w:r w:rsidRPr="00AA14EA">
        <w:rPr>
          <w:szCs w:val="28"/>
        </w:rPr>
        <w:t>15</w:t>
      </w:r>
      <w:r w:rsidRPr="00AA14EA">
        <w:rPr>
          <w:szCs w:val="28"/>
        </w:rPr>
        <w:tab/>
      </w:r>
      <w:r w:rsidRPr="00AA14EA">
        <w:rPr>
          <w:szCs w:val="28"/>
        </w:rPr>
        <w:tab/>
      </w:r>
      <w:r w:rsidRPr="00AA14EA">
        <w:rPr>
          <w:szCs w:val="28"/>
        </w:rPr>
        <w:tab/>
      </w:r>
      <w:r w:rsidRPr="00AA14EA">
        <w:rPr>
          <w:szCs w:val="28"/>
        </w:rPr>
        <w:tab/>
      </w:r>
      <w:r w:rsidRPr="00AA14EA">
        <w:rPr>
          <w:szCs w:val="28"/>
        </w:rPr>
        <w:tab/>
      </w:r>
      <w:r w:rsidRPr="00AA14EA">
        <w:rPr>
          <w:szCs w:val="28"/>
        </w:rPr>
        <w:tab/>
      </w:r>
      <w:r w:rsidRPr="00AA14EA">
        <w:rPr>
          <w:szCs w:val="28"/>
        </w:rPr>
        <w:tab/>
        <w:t>In thine own eye?</w:t>
      </w:r>
    </w:p>
    <w:p w14:paraId="526B8CFD" w14:textId="5FC15CE4" w:rsidR="0018433B" w:rsidRPr="00AA14EA" w:rsidRDefault="0018433B" w:rsidP="0018433B">
      <w:pPr>
        <w:ind w:firstLine="706"/>
        <w:rPr>
          <w:szCs w:val="28"/>
        </w:rPr>
      </w:pPr>
      <w:r w:rsidRPr="00AA14EA">
        <w:rPr>
          <w:szCs w:val="28"/>
        </w:rPr>
        <w:t>16</w:t>
      </w:r>
      <w:r w:rsidRPr="00AA14EA">
        <w:rPr>
          <w:szCs w:val="28"/>
        </w:rPr>
        <w:tab/>
      </w:r>
      <w:r w:rsidRPr="00AA14EA">
        <w:rPr>
          <w:szCs w:val="28"/>
        </w:rPr>
        <w:tab/>
      </w:r>
      <w:r w:rsidRPr="00AA14EA">
        <w:rPr>
          <w:szCs w:val="28"/>
        </w:rPr>
        <w:tab/>
      </w:r>
      <w:r w:rsidRPr="00AA14EA">
        <w:rPr>
          <w:szCs w:val="28"/>
        </w:rPr>
        <w:tab/>
      </w:r>
      <w:r w:rsidRPr="00AA14EA">
        <w:rPr>
          <w:szCs w:val="28"/>
        </w:rPr>
        <w:tab/>
      </w:r>
      <w:r w:rsidRPr="00AA14EA">
        <w:rPr>
          <w:szCs w:val="28"/>
        </w:rPr>
        <w:tab/>
      </w:r>
      <w:r w:rsidRPr="00AA14EA">
        <w:rPr>
          <w:szCs w:val="28"/>
        </w:rPr>
        <w:tab/>
      </w:r>
      <w:r w:rsidRPr="00AA14EA">
        <w:rPr>
          <w:szCs w:val="28"/>
        </w:rPr>
        <w:tab/>
        <w:t>Thou hypocrite</w:t>
      </w:r>
      <w:r w:rsidR="006F304D" w:rsidRPr="006F304D">
        <w:rPr>
          <w:szCs w:val="28"/>
        </w:rPr>
        <w:t xml:space="preserve">, </w:t>
      </w:r>
      <w:r w:rsidRPr="00AA14EA">
        <w:rPr>
          <w:i/>
          <w:iCs/>
          <w:szCs w:val="28"/>
        </w:rPr>
        <w:t>cast out</w:t>
      </w:r>
      <w:r w:rsidRPr="00AA14EA">
        <w:rPr>
          <w:szCs w:val="28"/>
        </w:rPr>
        <w:t xml:space="preserve"> first</w:t>
      </w:r>
    </w:p>
    <w:p w14:paraId="030CAA2B" w14:textId="77777777" w:rsidR="0018433B" w:rsidRPr="00AA14EA" w:rsidRDefault="0018433B" w:rsidP="0018433B">
      <w:pPr>
        <w:ind w:firstLine="706"/>
        <w:rPr>
          <w:szCs w:val="28"/>
        </w:rPr>
      </w:pPr>
      <w:r w:rsidRPr="00AA14EA">
        <w:rPr>
          <w:szCs w:val="28"/>
        </w:rPr>
        <w:lastRenderedPageBreak/>
        <w:t>17</w:t>
      </w:r>
      <w:r w:rsidRPr="00AA14EA">
        <w:rPr>
          <w:szCs w:val="28"/>
        </w:rPr>
        <w:tab/>
      </w:r>
      <w:r w:rsidRPr="00AA14EA">
        <w:rPr>
          <w:szCs w:val="28"/>
        </w:rPr>
        <w:tab/>
      </w:r>
      <w:r w:rsidRPr="00AA14EA">
        <w:rPr>
          <w:szCs w:val="28"/>
        </w:rPr>
        <w:tab/>
      </w:r>
      <w:r w:rsidRPr="00AA14EA">
        <w:rPr>
          <w:szCs w:val="28"/>
        </w:rPr>
        <w:tab/>
      </w:r>
      <w:r w:rsidRPr="00AA14EA">
        <w:rPr>
          <w:szCs w:val="28"/>
        </w:rPr>
        <w:tab/>
      </w:r>
      <w:r w:rsidRPr="00AA14EA">
        <w:rPr>
          <w:szCs w:val="28"/>
        </w:rPr>
        <w:tab/>
      </w:r>
      <w:r w:rsidRPr="00AA14EA">
        <w:rPr>
          <w:szCs w:val="28"/>
        </w:rPr>
        <w:tab/>
        <w:t>Out of thine own eye</w:t>
      </w:r>
    </w:p>
    <w:p w14:paraId="17E8E873" w14:textId="77777777" w:rsidR="0018433B" w:rsidRPr="00AA14EA" w:rsidRDefault="0018433B" w:rsidP="0018433B">
      <w:pPr>
        <w:ind w:firstLine="706"/>
        <w:rPr>
          <w:szCs w:val="28"/>
        </w:rPr>
      </w:pPr>
      <w:r w:rsidRPr="00AA14EA">
        <w:rPr>
          <w:szCs w:val="28"/>
        </w:rPr>
        <w:t>18</w:t>
      </w:r>
      <w:r w:rsidRPr="00AA14EA">
        <w:rPr>
          <w:szCs w:val="28"/>
        </w:rPr>
        <w:tab/>
      </w:r>
      <w:r w:rsidRPr="00AA14EA">
        <w:rPr>
          <w:szCs w:val="28"/>
        </w:rPr>
        <w:tab/>
      </w:r>
      <w:r w:rsidRPr="00AA14EA">
        <w:rPr>
          <w:szCs w:val="28"/>
        </w:rPr>
        <w:tab/>
      </w:r>
      <w:r w:rsidRPr="00AA14EA">
        <w:rPr>
          <w:szCs w:val="28"/>
        </w:rPr>
        <w:tab/>
      </w:r>
      <w:r w:rsidRPr="00AA14EA">
        <w:rPr>
          <w:szCs w:val="28"/>
        </w:rPr>
        <w:tab/>
      </w:r>
      <w:r w:rsidRPr="00AA14EA">
        <w:rPr>
          <w:szCs w:val="28"/>
        </w:rPr>
        <w:tab/>
        <w:t>The beam;</w:t>
      </w:r>
    </w:p>
    <w:p w14:paraId="5D2A396D" w14:textId="77777777" w:rsidR="0018433B" w:rsidRPr="00AA14EA" w:rsidRDefault="0018433B" w:rsidP="0018433B">
      <w:pPr>
        <w:ind w:firstLine="706"/>
        <w:rPr>
          <w:szCs w:val="28"/>
        </w:rPr>
      </w:pPr>
      <w:r w:rsidRPr="00AA14EA">
        <w:rPr>
          <w:szCs w:val="28"/>
        </w:rPr>
        <w:t>19</w:t>
      </w:r>
      <w:r w:rsidRPr="00AA14EA">
        <w:rPr>
          <w:szCs w:val="28"/>
        </w:rPr>
        <w:tab/>
      </w:r>
      <w:r w:rsidRPr="00AA14EA">
        <w:rPr>
          <w:szCs w:val="28"/>
        </w:rPr>
        <w:tab/>
      </w:r>
      <w:r w:rsidRPr="00AA14EA">
        <w:rPr>
          <w:szCs w:val="28"/>
        </w:rPr>
        <w:tab/>
      </w:r>
      <w:r w:rsidRPr="00AA14EA">
        <w:rPr>
          <w:szCs w:val="28"/>
        </w:rPr>
        <w:tab/>
      </w:r>
      <w:r w:rsidRPr="00AA14EA">
        <w:rPr>
          <w:szCs w:val="28"/>
        </w:rPr>
        <w:tab/>
        <w:t>And then shalt thou see clearly</w:t>
      </w:r>
    </w:p>
    <w:p w14:paraId="37E9FD8A" w14:textId="77777777" w:rsidR="0018433B" w:rsidRPr="00AA14EA" w:rsidRDefault="0018433B" w:rsidP="0018433B">
      <w:pPr>
        <w:ind w:firstLine="706"/>
        <w:rPr>
          <w:szCs w:val="28"/>
        </w:rPr>
      </w:pPr>
      <w:r w:rsidRPr="00AA14EA">
        <w:rPr>
          <w:szCs w:val="28"/>
        </w:rPr>
        <w:t>20</w:t>
      </w:r>
      <w:r w:rsidRPr="00AA14EA">
        <w:rPr>
          <w:szCs w:val="28"/>
        </w:rPr>
        <w:tab/>
      </w:r>
      <w:r w:rsidRPr="00AA14EA">
        <w:rPr>
          <w:szCs w:val="28"/>
        </w:rPr>
        <w:tab/>
      </w:r>
      <w:r w:rsidRPr="00AA14EA">
        <w:rPr>
          <w:szCs w:val="28"/>
        </w:rPr>
        <w:tab/>
      </w:r>
      <w:r w:rsidRPr="00AA14EA">
        <w:rPr>
          <w:szCs w:val="28"/>
        </w:rPr>
        <w:tab/>
        <w:t>Out of the eye</w:t>
      </w:r>
    </w:p>
    <w:p w14:paraId="26B06309" w14:textId="77777777" w:rsidR="0018433B" w:rsidRPr="00AA14EA" w:rsidRDefault="0018433B" w:rsidP="0018433B">
      <w:pPr>
        <w:ind w:firstLine="706"/>
        <w:rPr>
          <w:szCs w:val="28"/>
        </w:rPr>
      </w:pPr>
      <w:r w:rsidRPr="00AA14EA">
        <w:rPr>
          <w:szCs w:val="28"/>
        </w:rPr>
        <w:t>21</w:t>
      </w:r>
      <w:r w:rsidRPr="00AA14EA">
        <w:rPr>
          <w:szCs w:val="28"/>
        </w:rPr>
        <w:tab/>
      </w:r>
      <w:r w:rsidRPr="00AA14EA">
        <w:rPr>
          <w:szCs w:val="28"/>
        </w:rPr>
        <w:tab/>
      </w:r>
      <w:r w:rsidRPr="00AA14EA">
        <w:rPr>
          <w:szCs w:val="28"/>
        </w:rPr>
        <w:tab/>
        <w:t xml:space="preserve">To </w:t>
      </w:r>
      <w:r w:rsidRPr="00AA14EA">
        <w:rPr>
          <w:i/>
          <w:iCs/>
          <w:szCs w:val="28"/>
        </w:rPr>
        <w:t>cast out</w:t>
      </w:r>
      <w:r w:rsidRPr="00AA14EA">
        <w:rPr>
          <w:szCs w:val="28"/>
        </w:rPr>
        <w:t xml:space="preserve"> the mote</w:t>
      </w:r>
    </w:p>
    <w:p w14:paraId="57D42A2F" w14:textId="77777777" w:rsidR="0018433B" w:rsidRPr="00AA14EA" w:rsidRDefault="0018433B" w:rsidP="0018433B">
      <w:pPr>
        <w:ind w:firstLine="706"/>
        <w:rPr>
          <w:szCs w:val="28"/>
        </w:rPr>
      </w:pPr>
      <w:r w:rsidRPr="00AA14EA">
        <w:rPr>
          <w:szCs w:val="28"/>
        </w:rPr>
        <w:t>22</w:t>
      </w:r>
      <w:r w:rsidRPr="00AA14EA">
        <w:rPr>
          <w:szCs w:val="28"/>
        </w:rPr>
        <w:tab/>
      </w:r>
      <w:r w:rsidRPr="00AA14EA">
        <w:rPr>
          <w:szCs w:val="28"/>
        </w:rPr>
        <w:tab/>
        <w:t>Of thy brother.</w:t>
      </w:r>
      <w:r w:rsidRPr="00AA14EA">
        <w:rPr>
          <w:rStyle w:val="FootnoteReference"/>
          <w:szCs w:val="28"/>
        </w:rPr>
        <w:footnoteReference w:id="445"/>
      </w:r>
    </w:p>
    <w:p w14:paraId="016325B8" w14:textId="77777777" w:rsidR="0018433B" w:rsidRPr="00AA14EA" w:rsidRDefault="0018433B" w:rsidP="0018433B">
      <w:pPr>
        <w:rPr>
          <w:szCs w:val="28"/>
        </w:rPr>
      </w:pPr>
    </w:p>
    <w:p w14:paraId="53AAB2BF" w14:textId="1A43E0EA" w:rsidR="0018433B" w:rsidRPr="00AA14EA" w:rsidRDefault="0018433B" w:rsidP="0018433B">
      <w:pPr>
        <w:rPr>
          <w:szCs w:val="28"/>
        </w:rPr>
      </w:pPr>
      <w:r w:rsidRPr="00AA14EA">
        <w:rPr>
          <w:szCs w:val="28"/>
        </w:rPr>
        <w:t>The Greek of these verses and the Lukan parallels</w:t>
      </w:r>
      <w:r w:rsidR="006F304D" w:rsidRPr="006F304D">
        <w:rPr>
          <w:szCs w:val="28"/>
        </w:rPr>
        <w:t xml:space="preserve">, </w:t>
      </w:r>
      <w:r w:rsidRPr="00AA14EA">
        <w:rPr>
          <w:szCs w:val="28"/>
        </w:rPr>
        <w:t>though not given by Lund</w:t>
      </w:r>
      <w:r w:rsidR="006F304D" w:rsidRPr="006F304D">
        <w:rPr>
          <w:szCs w:val="28"/>
        </w:rPr>
        <w:t xml:space="preserve">, </w:t>
      </w:r>
      <w:r w:rsidRPr="00AA14EA">
        <w:rPr>
          <w:szCs w:val="28"/>
        </w:rPr>
        <w:t>will be useful for com</w:t>
      </w:r>
      <w:r w:rsidRPr="00AA14EA">
        <w:rPr>
          <w:szCs w:val="28"/>
        </w:rPr>
        <w:softHyphen/>
        <w:t>pari</w:t>
      </w:r>
      <w:r w:rsidRPr="00AA14EA">
        <w:rPr>
          <w:szCs w:val="28"/>
        </w:rPr>
        <w:softHyphen/>
        <w:t>son.</w:t>
      </w:r>
    </w:p>
    <w:p w14:paraId="56983E5A" w14:textId="77777777" w:rsidR="0018433B" w:rsidRPr="00AA14EA" w:rsidRDefault="0018433B" w:rsidP="0018433B">
      <w:pPr>
        <w:rPr>
          <w:szCs w:val="28"/>
        </w:rPr>
      </w:pPr>
    </w:p>
    <w:p w14:paraId="299CD664" w14:textId="77777777" w:rsidR="0018433B" w:rsidRPr="00AA14EA" w:rsidRDefault="0018433B" w:rsidP="0018433B">
      <w:pPr>
        <w:tabs>
          <w:tab w:val="left" w:pos="1440"/>
          <w:tab w:val="left" w:pos="1800"/>
          <w:tab w:val="left" w:pos="2160"/>
          <w:tab w:val="left" w:pos="2520"/>
          <w:tab w:val="left" w:pos="2880"/>
          <w:tab w:val="left" w:pos="3240"/>
          <w:tab w:val="left" w:pos="3600"/>
          <w:tab w:val="left" w:pos="5760"/>
          <w:tab w:val="left" w:pos="6480"/>
        </w:tabs>
        <w:ind w:left="709"/>
      </w:pPr>
      <w:r w:rsidRPr="00AA14EA">
        <w:t>7:3</w:t>
      </w:r>
      <w:r w:rsidRPr="00AA14EA">
        <w:tab/>
      </w:r>
      <w:r w:rsidRPr="0053445E">
        <w:rPr>
          <w:szCs w:val="20"/>
          <w:lang w:val="el-GR"/>
        </w:rPr>
        <w:t>τί δὲ βλέπεις</w:t>
      </w:r>
      <w:r w:rsidRPr="00573D83">
        <w:tab/>
      </w:r>
      <w:r>
        <w:tab/>
      </w:r>
      <w:r>
        <w:tab/>
      </w:r>
      <w:r>
        <w:tab/>
      </w:r>
      <w:r w:rsidRPr="00AA14EA">
        <w:t>6:41</w:t>
      </w:r>
      <w:r w:rsidRPr="00AA14EA">
        <w:tab/>
      </w:r>
      <w:r w:rsidRPr="00CE06CA">
        <w:rPr>
          <w:bCs/>
          <w:szCs w:val="22"/>
          <w:lang w:val="el-GR"/>
        </w:rPr>
        <w:t>Τί δὲ βλέπεις</w:t>
      </w:r>
    </w:p>
    <w:p w14:paraId="00D9900D" w14:textId="77777777" w:rsidR="0018433B" w:rsidRPr="00AA14EA" w:rsidRDefault="0018433B" w:rsidP="0018433B">
      <w:pPr>
        <w:tabs>
          <w:tab w:val="left" w:pos="1440"/>
          <w:tab w:val="left" w:pos="1800"/>
          <w:tab w:val="left" w:pos="2160"/>
          <w:tab w:val="left" w:pos="2520"/>
          <w:tab w:val="left" w:pos="2880"/>
          <w:tab w:val="left" w:pos="3240"/>
          <w:tab w:val="left" w:pos="3600"/>
          <w:tab w:val="left" w:pos="5760"/>
          <w:tab w:val="left" w:pos="6480"/>
        </w:tabs>
        <w:ind w:left="709"/>
      </w:pPr>
      <w:r w:rsidRPr="00AA14EA">
        <w:t xml:space="preserve">2 </w:t>
      </w:r>
      <w:r w:rsidRPr="00573D83">
        <w:tab/>
      </w:r>
      <w:r>
        <w:tab/>
      </w:r>
      <w:r w:rsidRPr="0053445E">
        <w:rPr>
          <w:szCs w:val="20"/>
          <w:lang w:val="el-GR"/>
        </w:rPr>
        <w:t>τὸ κάρφος</w:t>
      </w:r>
      <w:r w:rsidRPr="00573D83">
        <w:tab/>
      </w:r>
      <w:r>
        <w:tab/>
      </w:r>
      <w:r>
        <w:tab/>
      </w:r>
      <w:r>
        <w:tab/>
      </w:r>
      <w:r>
        <w:tab/>
      </w:r>
      <w:r w:rsidRPr="0053445E">
        <w:rPr>
          <w:szCs w:val="20"/>
          <w:lang w:val="el-GR"/>
        </w:rPr>
        <w:t>τὸ κάρφος</w:t>
      </w:r>
    </w:p>
    <w:p w14:paraId="3577EE68" w14:textId="77777777" w:rsidR="0018433B" w:rsidRPr="00AA14EA" w:rsidRDefault="0018433B" w:rsidP="0018433B">
      <w:pPr>
        <w:tabs>
          <w:tab w:val="left" w:pos="1440"/>
          <w:tab w:val="left" w:pos="1800"/>
          <w:tab w:val="left" w:pos="2160"/>
          <w:tab w:val="left" w:pos="2520"/>
          <w:tab w:val="left" w:pos="2880"/>
          <w:tab w:val="left" w:pos="3240"/>
          <w:tab w:val="left" w:pos="3600"/>
          <w:tab w:val="left" w:pos="5760"/>
          <w:tab w:val="left" w:pos="6480"/>
        </w:tabs>
        <w:ind w:left="709"/>
      </w:pPr>
      <w:r w:rsidRPr="00AA14EA">
        <w:t>3</w:t>
      </w:r>
      <w:r w:rsidRPr="00573D83">
        <w:tab/>
      </w:r>
      <w:r>
        <w:tab/>
      </w:r>
      <w:r>
        <w:tab/>
      </w:r>
      <w:r w:rsidRPr="0053445E">
        <w:rPr>
          <w:szCs w:val="20"/>
          <w:lang w:val="el-GR"/>
        </w:rPr>
        <w:t>τὸ ἐν τῷ ὀφθαλμῷ</w:t>
      </w:r>
      <w:r w:rsidRPr="00573D83">
        <w:tab/>
      </w:r>
      <w:r>
        <w:tab/>
      </w:r>
      <w:r w:rsidRPr="00CE06CA">
        <w:rPr>
          <w:bCs/>
          <w:szCs w:val="22"/>
          <w:lang w:val="el-GR"/>
        </w:rPr>
        <w:t>ἐν τῷ ὀφθαλμῷ</w:t>
      </w:r>
    </w:p>
    <w:p w14:paraId="5501E1A6" w14:textId="77777777" w:rsidR="0018433B" w:rsidRPr="00AA14EA" w:rsidRDefault="0018433B" w:rsidP="0018433B">
      <w:pPr>
        <w:tabs>
          <w:tab w:val="left" w:pos="1440"/>
          <w:tab w:val="left" w:pos="1800"/>
          <w:tab w:val="left" w:pos="2160"/>
          <w:tab w:val="left" w:pos="2520"/>
          <w:tab w:val="left" w:pos="2880"/>
          <w:tab w:val="left" w:pos="3240"/>
          <w:tab w:val="left" w:pos="3600"/>
          <w:tab w:val="left" w:pos="5760"/>
          <w:tab w:val="left" w:pos="6480"/>
        </w:tabs>
        <w:ind w:left="709"/>
      </w:pPr>
      <w:r w:rsidRPr="00AA14EA">
        <w:t>4</w:t>
      </w:r>
      <w:r w:rsidRPr="00573D83">
        <w:tab/>
      </w:r>
      <w:r>
        <w:tab/>
      </w:r>
      <w:r>
        <w:tab/>
      </w:r>
      <w:r>
        <w:tab/>
      </w:r>
      <w:r w:rsidRPr="0053445E">
        <w:rPr>
          <w:szCs w:val="20"/>
          <w:lang w:val="el-GR"/>
        </w:rPr>
        <w:t>τοῦ ἀδελφοῦ σου</w:t>
      </w:r>
      <w:r w:rsidRPr="00AA14EA">
        <w:t>,</w:t>
      </w:r>
      <w:r w:rsidRPr="00573D83">
        <w:tab/>
      </w:r>
      <w:r>
        <w:tab/>
      </w:r>
      <w:r w:rsidRPr="00CE06CA">
        <w:rPr>
          <w:bCs/>
          <w:szCs w:val="22"/>
          <w:lang w:val="el-GR"/>
        </w:rPr>
        <w:t>τοῦ ἀδελφοῦ σου</w:t>
      </w:r>
    </w:p>
    <w:p w14:paraId="443A88C0" w14:textId="77777777" w:rsidR="0018433B" w:rsidRPr="00AA14EA" w:rsidRDefault="0018433B" w:rsidP="0018433B">
      <w:pPr>
        <w:tabs>
          <w:tab w:val="left" w:pos="1440"/>
          <w:tab w:val="left" w:pos="1800"/>
          <w:tab w:val="left" w:pos="2160"/>
          <w:tab w:val="left" w:pos="2520"/>
          <w:tab w:val="left" w:pos="2880"/>
          <w:tab w:val="left" w:pos="3240"/>
          <w:tab w:val="left" w:pos="3600"/>
          <w:tab w:val="left" w:pos="5760"/>
          <w:tab w:val="left" w:pos="6480"/>
        </w:tabs>
        <w:ind w:left="709"/>
      </w:pPr>
      <w:r w:rsidRPr="00AA14EA">
        <w:t>5</w:t>
      </w:r>
      <w:r w:rsidRPr="00573D83">
        <w:tab/>
      </w:r>
      <w:r>
        <w:tab/>
      </w:r>
      <w:r>
        <w:tab/>
      </w:r>
      <w:r>
        <w:tab/>
      </w:r>
      <w:r>
        <w:tab/>
      </w:r>
      <w:r w:rsidRPr="0053445E">
        <w:rPr>
          <w:szCs w:val="20"/>
          <w:lang w:val="el-GR"/>
        </w:rPr>
        <w:t>τὴν δὲ ἐν τῷ σῷ</w:t>
      </w:r>
      <w:r w:rsidRPr="00573D83">
        <w:tab/>
      </w:r>
      <w:r>
        <w:tab/>
      </w:r>
      <w:r w:rsidRPr="00CE06CA">
        <w:rPr>
          <w:bCs/>
          <w:szCs w:val="22"/>
          <w:lang w:val="el-GR"/>
        </w:rPr>
        <w:t>τὴν δὲ δοκὸν</w:t>
      </w:r>
    </w:p>
    <w:p w14:paraId="149D19BA" w14:textId="77777777" w:rsidR="0018433B" w:rsidRPr="00AA14EA" w:rsidRDefault="0018433B" w:rsidP="0018433B">
      <w:pPr>
        <w:tabs>
          <w:tab w:val="left" w:pos="1440"/>
          <w:tab w:val="left" w:pos="1800"/>
          <w:tab w:val="left" w:pos="2160"/>
          <w:tab w:val="left" w:pos="2520"/>
          <w:tab w:val="left" w:pos="2880"/>
          <w:tab w:val="left" w:pos="3240"/>
          <w:tab w:val="left" w:pos="3600"/>
          <w:tab w:val="left" w:pos="5760"/>
          <w:tab w:val="left" w:pos="6480"/>
        </w:tabs>
        <w:ind w:left="709"/>
      </w:pPr>
      <w:r w:rsidRPr="00AA14EA">
        <w:t>6</w:t>
      </w:r>
      <w:r w:rsidRPr="00573D83">
        <w:tab/>
      </w:r>
      <w:r>
        <w:tab/>
      </w:r>
      <w:r>
        <w:tab/>
      </w:r>
      <w:r>
        <w:tab/>
      </w:r>
      <w:r w:rsidRPr="0053445E">
        <w:rPr>
          <w:szCs w:val="20"/>
          <w:lang w:val="el-GR"/>
        </w:rPr>
        <w:t>ὀφθαλμῷ</w:t>
      </w:r>
      <w:r w:rsidRPr="00573D83">
        <w:tab/>
      </w:r>
      <w:r>
        <w:tab/>
      </w:r>
      <w:r>
        <w:tab/>
      </w:r>
      <w:r w:rsidRPr="00CE06CA">
        <w:rPr>
          <w:bCs/>
          <w:szCs w:val="22"/>
          <w:lang w:val="el-GR"/>
        </w:rPr>
        <w:t>τὴν ἐν τῷ ἰδίῳ</w:t>
      </w:r>
    </w:p>
    <w:p w14:paraId="69F09E3A" w14:textId="77777777" w:rsidR="0018433B" w:rsidRPr="00AA14EA" w:rsidRDefault="0018433B" w:rsidP="0018433B">
      <w:pPr>
        <w:tabs>
          <w:tab w:val="left" w:pos="1440"/>
          <w:tab w:val="left" w:pos="1800"/>
          <w:tab w:val="left" w:pos="2160"/>
          <w:tab w:val="left" w:pos="2520"/>
          <w:tab w:val="left" w:pos="2880"/>
          <w:tab w:val="left" w:pos="3240"/>
          <w:tab w:val="left" w:pos="3600"/>
          <w:tab w:val="left" w:pos="5760"/>
          <w:tab w:val="left" w:pos="6480"/>
        </w:tabs>
        <w:ind w:left="709"/>
      </w:pPr>
      <w:r w:rsidRPr="00AA14EA">
        <w:t>7</w:t>
      </w:r>
      <w:r w:rsidRPr="00573D83">
        <w:tab/>
      </w:r>
      <w:r>
        <w:tab/>
      </w:r>
      <w:r>
        <w:tab/>
      </w:r>
      <w:r w:rsidRPr="0053445E">
        <w:rPr>
          <w:szCs w:val="20"/>
          <w:lang w:val="el-GR"/>
        </w:rPr>
        <w:t>δοκὸν</w:t>
      </w:r>
      <w:r w:rsidRPr="00573D83">
        <w:tab/>
      </w:r>
      <w:r>
        <w:tab/>
      </w:r>
      <w:r>
        <w:tab/>
      </w:r>
      <w:r>
        <w:tab/>
      </w:r>
      <w:r>
        <w:tab/>
      </w:r>
      <w:r w:rsidRPr="00CE06CA">
        <w:rPr>
          <w:bCs/>
          <w:szCs w:val="22"/>
          <w:lang w:val="el-GR"/>
        </w:rPr>
        <w:t>ὀφθαλμῷ</w:t>
      </w:r>
    </w:p>
    <w:p w14:paraId="4EF316F9" w14:textId="77777777" w:rsidR="0018433B" w:rsidRPr="00AA14EA" w:rsidRDefault="0018433B" w:rsidP="0018433B">
      <w:pPr>
        <w:tabs>
          <w:tab w:val="left" w:pos="1440"/>
          <w:tab w:val="left" w:pos="1800"/>
          <w:tab w:val="left" w:pos="2160"/>
          <w:tab w:val="left" w:pos="2520"/>
          <w:tab w:val="left" w:pos="2880"/>
          <w:tab w:val="left" w:pos="3240"/>
          <w:tab w:val="left" w:pos="3600"/>
          <w:tab w:val="left" w:pos="5760"/>
          <w:tab w:val="left" w:pos="6480"/>
        </w:tabs>
        <w:ind w:left="709"/>
      </w:pPr>
      <w:r w:rsidRPr="00AA14EA">
        <w:t>8</w:t>
      </w:r>
      <w:r w:rsidRPr="00573D83">
        <w:tab/>
      </w:r>
      <w:r>
        <w:tab/>
      </w:r>
      <w:r w:rsidRPr="0053445E">
        <w:rPr>
          <w:szCs w:val="20"/>
          <w:lang w:val="el-GR"/>
        </w:rPr>
        <w:t>οὐ κατανοεῖς</w:t>
      </w:r>
      <w:r w:rsidRPr="00AA14EA">
        <w:t>;</w:t>
      </w:r>
      <w:r w:rsidRPr="00573D83">
        <w:tab/>
      </w:r>
      <w:r>
        <w:tab/>
      </w:r>
      <w:r>
        <w:tab/>
      </w:r>
      <w:r>
        <w:tab/>
      </w:r>
      <w:r w:rsidRPr="00CE06CA">
        <w:rPr>
          <w:bCs/>
          <w:szCs w:val="22"/>
          <w:lang w:val="el-GR"/>
        </w:rPr>
        <w:t>οὐ κατανοεῖς</w:t>
      </w:r>
      <w:r w:rsidRPr="00AA14EA">
        <w:t>;</w:t>
      </w:r>
    </w:p>
    <w:p w14:paraId="5EC52A9E" w14:textId="77777777" w:rsidR="0018433B" w:rsidRPr="00AA14EA" w:rsidRDefault="0018433B" w:rsidP="0018433B">
      <w:pPr>
        <w:tabs>
          <w:tab w:val="left" w:pos="1440"/>
          <w:tab w:val="left" w:pos="1800"/>
          <w:tab w:val="left" w:pos="2160"/>
          <w:tab w:val="left" w:pos="2520"/>
          <w:tab w:val="left" w:pos="2880"/>
          <w:tab w:val="left" w:pos="3240"/>
          <w:tab w:val="left" w:pos="3600"/>
          <w:tab w:val="left" w:pos="5760"/>
          <w:tab w:val="left" w:pos="6480"/>
        </w:tabs>
        <w:ind w:left="709"/>
      </w:pPr>
      <w:r w:rsidRPr="00AA14EA">
        <w:t>7:4</w:t>
      </w:r>
      <w:r w:rsidRPr="00573D83">
        <w:tab/>
      </w:r>
      <w:r>
        <w:tab/>
      </w:r>
      <w:r>
        <w:tab/>
      </w:r>
      <w:r w:rsidRPr="0053445E">
        <w:rPr>
          <w:szCs w:val="20"/>
          <w:lang w:val="el-GR"/>
        </w:rPr>
        <w:t>ἢ πῶς ἐρεῖς</w:t>
      </w:r>
      <w:r w:rsidRPr="00573D83">
        <w:tab/>
      </w:r>
      <w:r>
        <w:tab/>
      </w:r>
      <w:r w:rsidRPr="00AA14EA">
        <w:t xml:space="preserve">6:42 </w:t>
      </w:r>
      <w:r w:rsidRPr="00AA14EA">
        <w:tab/>
      </w:r>
      <w:r w:rsidRPr="00CE06CA">
        <w:rPr>
          <w:bCs/>
          <w:szCs w:val="22"/>
          <w:lang w:val="el-GR"/>
        </w:rPr>
        <w:t>πῶς δύνασαι λέγειν</w:t>
      </w:r>
    </w:p>
    <w:p w14:paraId="4D00D946" w14:textId="77777777" w:rsidR="0018433B" w:rsidRPr="00AA14EA" w:rsidRDefault="0018433B" w:rsidP="0018433B">
      <w:pPr>
        <w:tabs>
          <w:tab w:val="left" w:pos="1440"/>
          <w:tab w:val="left" w:pos="1800"/>
          <w:tab w:val="left" w:pos="2160"/>
          <w:tab w:val="left" w:pos="2520"/>
          <w:tab w:val="left" w:pos="2880"/>
          <w:tab w:val="left" w:pos="3240"/>
          <w:tab w:val="left" w:pos="3600"/>
          <w:tab w:val="left" w:pos="5760"/>
          <w:tab w:val="left" w:pos="6480"/>
        </w:tabs>
        <w:ind w:left="709"/>
      </w:pPr>
      <w:r w:rsidRPr="00AA14EA">
        <w:t>10</w:t>
      </w:r>
      <w:r w:rsidRPr="00AA14EA">
        <w:tab/>
      </w:r>
      <w:r w:rsidRPr="0053445E">
        <w:rPr>
          <w:szCs w:val="20"/>
          <w:lang w:val="el-GR"/>
        </w:rPr>
        <w:t>τῷ ἀδελφῷ σου·</w:t>
      </w:r>
      <w:r w:rsidRPr="00573D83">
        <w:tab/>
      </w:r>
      <w:r>
        <w:tab/>
      </w:r>
      <w:r>
        <w:tab/>
      </w:r>
      <w:r>
        <w:tab/>
      </w:r>
      <w:r w:rsidRPr="00CE06CA">
        <w:rPr>
          <w:bCs/>
          <w:szCs w:val="22"/>
          <w:lang w:val="el-GR"/>
        </w:rPr>
        <w:t>τῷ ἀδελφῷ σου·</w:t>
      </w:r>
      <w:r>
        <w:rPr>
          <w:bCs/>
          <w:szCs w:val="22"/>
        </w:rPr>
        <w:t xml:space="preserve"> </w:t>
      </w:r>
      <w:r w:rsidRPr="00CE06CA">
        <w:rPr>
          <w:bCs/>
          <w:szCs w:val="22"/>
          <w:lang w:val="el-GR"/>
        </w:rPr>
        <w:t>ἀδελφέ</w:t>
      </w:r>
      <w:r w:rsidRPr="00AA14EA">
        <w:t>,</w:t>
      </w:r>
    </w:p>
    <w:p w14:paraId="349C1F28" w14:textId="77777777" w:rsidR="0018433B" w:rsidRPr="00AA14EA" w:rsidRDefault="0018433B" w:rsidP="0018433B">
      <w:pPr>
        <w:tabs>
          <w:tab w:val="left" w:pos="1440"/>
          <w:tab w:val="left" w:pos="1800"/>
          <w:tab w:val="left" w:pos="2160"/>
          <w:tab w:val="left" w:pos="2520"/>
          <w:tab w:val="left" w:pos="2880"/>
          <w:tab w:val="left" w:pos="3240"/>
          <w:tab w:val="left" w:pos="3600"/>
          <w:tab w:val="left" w:pos="5760"/>
          <w:tab w:val="left" w:pos="6480"/>
        </w:tabs>
        <w:ind w:left="709"/>
      </w:pPr>
      <w:r w:rsidRPr="00AA14EA">
        <w:t>11</w:t>
      </w:r>
      <w:r w:rsidRPr="00573D83">
        <w:tab/>
      </w:r>
      <w:r>
        <w:tab/>
      </w:r>
      <w:r w:rsidRPr="0053445E">
        <w:rPr>
          <w:szCs w:val="20"/>
          <w:lang w:val="el-GR"/>
        </w:rPr>
        <w:t>ἄφες ἐκβάλω τὸ κάρφος</w:t>
      </w:r>
      <w:r w:rsidRPr="00573D83">
        <w:tab/>
      </w:r>
      <w:r>
        <w:tab/>
      </w:r>
      <w:r w:rsidRPr="00CE06CA">
        <w:rPr>
          <w:bCs/>
          <w:szCs w:val="22"/>
          <w:lang w:val="el-GR"/>
        </w:rPr>
        <w:t>ἄφες ἐκβάλω τὸ κάρφος</w:t>
      </w:r>
    </w:p>
    <w:p w14:paraId="64641B5E" w14:textId="77777777" w:rsidR="0018433B" w:rsidRPr="00AA14EA" w:rsidRDefault="0018433B" w:rsidP="0018433B">
      <w:pPr>
        <w:tabs>
          <w:tab w:val="left" w:pos="1440"/>
          <w:tab w:val="left" w:pos="1800"/>
          <w:tab w:val="left" w:pos="2160"/>
          <w:tab w:val="left" w:pos="2520"/>
          <w:tab w:val="left" w:pos="2880"/>
          <w:tab w:val="left" w:pos="3240"/>
          <w:tab w:val="left" w:pos="3600"/>
          <w:tab w:val="left" w:pos="5760"/>
          <w:tab w:val="left" w:pos="6480"/>
        </w:tabs>
        <w:ind w:left="709"/>
      </w:pPr>
      <w:r w:rsidRPr="00AA14EA">
        <w:t>12</w:t>
      </w:r>
      <w:r w:rsidRPr="00573D83">
        <w:tab/>
      </w:r>
      <w:r>
        <w:tab/>
      </w:r>
      <w:r>
        <w:tab/>
      </w:r>
      <w:r w:rsidRPr="0053445E">
        <w:rPr>
          <w:szCs w:val="20"/>
          <w:lang w:val="el-GR"/>
        </w:rPr>
        <w:t>ἐκ τοῦ ὀφθαλμοῦ σου</w:t>
      </w:r>
      <w:r w:rsidRPr="00AA14EA">
        <w:t>,</w:t>
      </w:r>
      <w:r w:rsidRPr="00573D83">
        <w:tab/>
      </w:r>
      <w:r>
        <w:tab/>
      </w:r>
      <w:r w:rsidRPr="00CE06CA">
        <w:rPr>
          <w:bCs/>
          <w:szCs w:val="22"/>
          <w:lang w:val="el-GR"/>
        </w:rPr>
        <w:t>τὸ ἐν τῷ ὀφθαλμῷ σου</w:t>
      </w:r>
      <w:r w:rsidRPr="00AA14EA">
        <w:t>,</w:t>
      </w:r>
    </w:p>
    <w:p w14:paraId="6F7ADD2E" w14:textId="77777777" w:rsidR="0018433B" w:rsidRPr="00AA14EA" w:rsidRDefault="0018433B" w:rsidP="0018433B">
      <w:pPr>
        <w:tabs>
          <w:tab w:val="left" w:pos="1440"/>
          <w:tab w:val="left" w:pos="1800"/>
          <w:tab w:val="left" w:pos="2160"/>
          <w:tab w:val="left" w:pos="2520"/>
          <w:tab w:val="left" w:pos="2880"/>
          <w:tab w:val="left" w:pos="3240"/>
          <w:tab w:val="left" w:pos="3600"/>
          <w:tab w:val="left" w:pos="5760"/>
          <w:tab w:val="left" w:pos="6480"/>
        </w:tabs>
        <w:ind w:left="709"/>
      </w:pPr>
      <w:r w:rsidRPr="00AA14EA">
        <w:t>13</w:t>
      </w:r>
      <w:r w:rsidRPr="00573D83">
        <w:tab/>
      </w:r>
      <w:r>
        <w:tab/>
      </w:r>
      <w:r>
        <w:tab/>
      </w:r>
      <w:r>
        <w:tab/>
      </w:r>
      <w:r w:rsidRPr="0053445E">
        <w:rPr>
          <w:szCs w:val="20"/>
          <w:lang w:val="el-GR"/>
        </w:rPr>
        <w:t>καὶ ἰδοὺ</w:t>
      </w:r>
      <w:r w:rsidRPr="00573D83">
        <w:tab/>
      </w:r>
      <w:r>
        <w:tab/>
      </w:r>
      <w:r>
        <w:tab/>
      </w:r>
      <w:r w:rsidRPr="00CE06CA">
        <w:rPr>
          <w:bCs/>
          <w:szCs w:val="22"/>
          <w:lang w:val="el-GR"/>
        </w:rPr>
        <w:t>αὐτὸς</w:t>
      </w:r>
    </w:p>
    <w:p w14:paraId="57842D76" w14:textId="77777777" w:rsidR="0018433B" w:rsidRPr="00AA14EA" w:rsidRDefault="0018433B" w:rsidP="0018433B">
      <w:pPr>
        <w:tabs>
          <w:tab w:val="left" w:pos="1440"/>
          <w:tab w:val="left" w:pos="1800"/>
          <w:tab w:val="left" w:pos="2160"/>
          <w:tab w:val="left" w:pos="2520"/>
          <w:tab w:val="left" w:pos="2880"/>
          <w:tab w:val="left" w:pos="3240"/>
          <w:tab w:val="left" w:pos="3600"/>
          <w:tab w:val="left" w:pos="5760"/>
          <w:tab w:val="left" w:pos="6480"/>
        </w:tabs>
        <w:ind w:left="709"/>
      </w:pPr>
      <w:r w:rsidRPr="00AA14EA">
        <w:t>14</w:t>
      </w:r>
      <w:r w:rsidRPr="00573D83">
        <w:tab/>
      </w:r>
      <w:r>
        <w:tab/>
      </w:r>
      <w:r>
        <w:tab/>
      </w:r>
      <w:r>
        <w:tab/>
      </w:r>
      <w:r>
        <w:tab/>
      </w:r>
      <w:r>
        <w:rPr>
          <w:szCs w:val="20"/>
          <w:lang w:val="el-GR"/>
        </w:rPr>
        <w:t>ἡ δοκὸς</w:t>
      </w:r>
      <w:r w:rsidRPr="00573D83">
        <w:tab/>
      </w:r>
      <w:r>
        <w:tab/>
      </w:r>
      <w:r w:rsidRPr="00CE06CA">
        <w:rPr>
          <w:bCs/>
          <w:szCs w:val="22"/>
          <w:lang w:val="el-GR"/>
        </w:rPr>
        <w:t>τὴν ἐν τῷ ὀφθαλμῷ σου</w:t>
      </w:r>
    </w:p>
    <w:p w14:paraId="04D0FC89" w14:textId="77777777" w:rsidR="0018433B" w:rsidRPr="00AA14EA" w:rsidRDefault="0018433B" w:rsidP="0018433B">
      <w:pPr>
        <w:tabs>
          <w:tab w:val="left" w:pos="1440"/>
          <w:tab w:val="left" w:pos="1800"/>
          <w:tab w:val="left" w:pos="2160"/>
          <w:tab w:val="left" w:pos="2520"/>
          <w:tab w:val="left" w:pos="2880"/>
          <w:tab w:val="left" w:pos="3240"/>
          <w:tab w:val="left" w:pos="3600"/>
          <w:tab w:val="left" w:pos="5760"/>
          <w:tab w:val="left" w:pos="6480"/>
        </w:tabs>
        <w:ind w:left="709"/>
      </w:pPr>
      <w:r w:rsidRPr="00AA14EA">
        <w:t>15</w:t>
      </w:r>
      <w:r w:rsidRPr="00573D83">
        <w:tab/>
      </w:r>
      <w:r>
        <w:tab/>
      </w:r>
      <w:r>
        <w:tab/>
      </w:r>
      <w:r>
        <w:tab/>
      </w:r>
      <w:r>
        <w:tab/>
      </w:r>
      <w:r>
        <w:tab/>
      </w:r>
      <w:r w:rsidRPr="0053445E">
        <w:rPr>
          <w:szCs w:val="20"/>
          <w:lang w:val="el-GR"/>
        </w:rPr>
        <w:t>ἐν τῷ ὀφθαλμῷ σοῦ</w:t>
      </w:r>
      <w:r w:rsidRPr="00AA14EA">
        <w:t>;</w:t>
      </w:r>
      <w:r w:rsidRPr="00573D83">
        <w:tab/>
      </w:r>
      <w:r>
        <w:tab/>
      </w:r>
      <w:r w:rsidRPr="00CE06CA">
        <w:rPr>
          <w:bCs/>
          <w:szCs w:val="22"/>
          <w:lang w:val="el-GR"/>
        </w:rPr>
        <w:t>δοκὸν οὐ βλέπων</w:t>
      </w:r>
      <w:r w:rsidRPr="00AA14EA">
        <w:t>;</w:t>
      </w:r>
    </w:p>
    <w:p w14:paraId="6074C020" w14:textId="5BA40384" w:rsidR="0018433B" w:rsidRPr="00AA14EA" w:rsidRDefault="0018433B" w:rsidP="0018433B">
      <w:pPr>
        <w:tabs>
          <w:tab w:val="left" w:pos="1440"/>
          <w:tab w:val="left" w:pos="1800"/>
          <w:tab w:val="left" w:pos="2160"/>
          <w:tab w:val="left" w:pos="2520"/>
          <w:tab w:val="left" w:pos="2880"/>
          <w:tab w:val="left" w:pos="3240"/>
          <w:tab w:val="left" w:pos="3600"/>
          <w:tab w:val="left" w:pos="5760"/>
          <w:tab w:val="left" w:pos="6480"/>
        </w:tabs>
        <w:ind w:left="709"/>
      </w:pPr>
      <w:r w:rsidRPr="00AA14EA">
        <w:t>7:5</w:t>
      </w:r>
      <w:r w:rsidRPr="00573D83">
        <w:tab/>
      </w:r>
      <w:r>
        <w:tab/>
      </w:r>
      <w:r>
        <w:tab/>
      </w:r>
      <w:r>
        <w:tab/>
      </w:r>
      <w:r>
        <w:tab/>
      </w:r>
      <w:r>
        <w:tab/>
      </w:r>
      <w:r>
        <w:tab/>
      </w:r>
      <w:r w:rsidRPr="0053445E">
        <w:rPr>
          <w:szCs w:val="20"/>
          <w:lang w:val="el-GR"/>
        </w:rPr>
        <w:t>ὑποκριτά</w:t>
      </w:r>
      <w:r w:rsidR="006F304D" w:rsidRPr="006F304D">
        <w:t xml:space="preserve">, </w:t>
      </w:r>
      <w:r w:rsidRPr="0053445E">
        <w:rPr>
          <w:szCs w:val="20"/>
          <w:lang w:val="el-GR"/>
        </w:rPr>
        <w:t>ἔκβαλε πρῶτον</w:t>
      </w:r>
      <w:r w:rsidRPr="00AA14EA">
        <w:tab/>
      </w:r>
      <w:r w:rsidRPr="00CE06CA">
        <w:rPr>
          <w:bCs/>
          <w:szCs w:val="22"/>
          <w:lang w:val="el-GR"/>
        </w:rPr>
        <w:t>ὑποκριτά</w:t>
      </w:r>
      <w:r w:rsidR="006F304D" w:rsidRPr="006F304D">
        <w:t xml:space="preserve">, </w:t>
      </w:r>
      <w:r w:rsidRPr="00CE06CA">
        <w:rPr>
          <w:bCs/>
          <w:szCs w:val="22"/>
          <w:lang w:val="el-GR"/>
        </w:rPr>
        <w:t>ἔκβαλε πρῶτον</w:t>
      </w:r>
    </w:p>
    <w:p w14:paraId="79FB79D7" w14:textId="77777777" w:rsidR="0018433B" w:rsidRPr="001E2F8F" w:rsidRDefault="0018433B" w:rsidP="0018433B">
      <w:pPr>
        <w:tabs>
          <w:tab w:val="left" w:pos="1440"/>
          <w:tab w:val="left" w:pos="1800"/>
          <w:tab w:val="left" w:pos="2160"/>
          <w:tab w:val="left" w:pos="2520"/>
          <w:tab w:val="left" w:pos="2880"/>
          <w:tab w:val="left" w:pos="3240"/>
          <w:tab w:val="left" w:pos="3600"/>
          <w:tab w:val="left" w:pos="5760"/>
          <w:tab w:val="left" w:pos="6480"/>
        </w:tabs>
        <w:ind w:left="709"/>
      </w:pPr>
      <w:r w:rsidRPr="00AA14EA">
        <w:t>17</w:t>
      </w:r>
      <w:r w:rsidRPr="00573D83">
        <w:tab/>
      </w:r>
      <w:r>
        <w:tab/>
      </w:r>
      <w:r>
        <w:tab/>
      </w:r>
      <w:r>
        <w:tab/>
      </w:r>
      <w:r>
        <w:tab/>
      </w:r>
      <w:r>
        <w:tab/>
      </w:r>
      <w:r w:rsidRPr="0053445E">
        <w:rPr>
          <w:szCs w:val="20"/>
          <w:lang w:val="el-GR"/>
        </w:rPr>
        <w:t>ἐκ τοῦ ὀφθαλμοῦ σοῦ</w:t>
      </w:r>
      <w:r w:rsidRPr="00573D83">
        <w:tab/>
      </w:r>
      <w:r>
        <w:tab/>
      </w:r>
      <w:r w:rsidRPr="00CE06CA">
        <w:rPr>
          <w:bCs/>
          <w:szCs w:val="22"/>
          <w:lang w:val="el-GR"/>
        </w:rPr>
        <w:t>τὴν δοκὸ</w:t>
      </w:r>
      <w:r>
        <w:rPr>
          <w:bCs/>
          <w:szCs w:val="22"/>
          <w:lang w:val="el-GR"/>
        </w:rPr>
        <w:t>ν</w:t>
      </w:r>
    </w:p>
    <w:p w14:paraId="3F7E34BA" w14:textId="77777777" w:rsidR="0018433B" w:rsidRPr="00AA14EA" w:rsidRDefault="0018433B" w:rsidP="0018433B">
      <w:pPr>
        <w:tabs>
          <w:tab w:val="left" w:pos="1440"/>
          <w:tab w:val="left" w:pos="1800"/>
          <w:tab w:val="left" w:pos="2160"/>
          <w:tab w:val="left" w:pos="2520"/>
          <w:tab w:val="left" w:pos="2880"/>
          <w:tab w:val="left" w:pos="3240"/>
          <w:tab w:val="left" w:pos="3600"/>
          <w:tab w:val="left" w:pos="5760"/>
          <w:tab w:val="left" w:pos="6480"/>
        </w:tabs>
        <w:ind w:left="709"/>
      </w:pPr>
      <w:r w:rsidRPr="00AA14EA">
        <w:t>18</w:t>
      </w:r>
      <w:r w:rsidRPr="00573D83">
        <w:tab/>
      </w:r>
      <w:r>
        <w:tab/>
      </w:r>
      <w:r>
        <w:tab/>
      </w:r>
      <w:r>
        <w:tab/>
      </w:r>
      <w:r>
        <w:tab/>
      </w:r>
      <w:r w:rsidRPr="0053445E">
        <w:rPr>
          <w:szCs w:val="20"/>
          <w:lang w:val="el-GR"/>
        </w:rPr>
        <w:t>τὴν δοκόν</w:t>
      </w:r>
      <w:r w:rsidRPr="00AA14EA">
        <w:t>,</w:t>
      </w:r>
      <w:r w:rsidRPr="00573D83">
        <w:tab/>
      </w:r>
      <w:r>
        <w:tab/>
      </w:r>
      <w:r w:rsidRPr="00CE06CA">
        <w:rPr>
          <w:bCs/>
          <w:szCs w:val="22"/>
          <w:lang w:val="el-GR"/>
        </w:rPr>
        <w:t>ἐκ τοῦ ὀφθαλμοῦ σου</w:t>
      </w:r>
      <w:r w:rsidRPr="00AA14EA">
        <w:t>,</w:t>
      </w:r>
    </w:p>
    <w:p w14:paraId="67B994B7" w14:textId="77777777" w:rsidR="0018433B" w:rsidRPr="00AA14EA" w:rsidRDefault="0018433B" w:rsidP="0018433B">
      <w:pPr>
        <w:tabs>
          <w:tab w:val="left" w:pos="1440"/>
          <w:tab w:val="left" w:pos="1800"/>
          <w:tab w:val="left" w:pos="2160"/>
          <w:tab w:val="left" w:pos="2520"/>
          <w:tab w:val="left" w:pos="2880"/>
          <w:tab w:val="left" w:pos="3240"/>
          <w:tab w:val="left" w:pos="3600"/>
          <w:tab w:val="left" w:pos="5760"/>
          <w:tab w:val="left" w:pos="6480"/>
        </w:tabs>
        <w:ind w:left="709"/>
      </w:pPr>
      <w:r w:rsidRPr="00AA14EA">
        <w:t>19</w:t>
      </w:r>
      <w:r w:rsidRPr="00573D83">
        <w:tab/>
      </w:r>
      <w:r>
        <w:tab/>
      </w:r>
      <w:r>
        <w:tab/>
      </w:r>
      <w:r>
        <w:tab/>
      </w:r>
      <w:r w:rsidRPr="0053445E">
        <w:rPr>
          <w:szCs w:val="20"/>
          <w:lang w:val="el-GR"/>
        </w:rPr>
        <w:t>καὶ τότε διαβλέψεις</w:t>
      </w:r>
      <w:r w:rsidRPr="00573D83">
        <w:tab/>
      </w:r>
      <w:r>
        <w:tab/>
      </w:r>
      <w:r w:rsidRPr="00CE06CA">
        <w:rPr>
          <w:bCs/>
          <w:szCs w:val="22"/>
          <w:lang w:val="el-GR"/>
        </w:rPr>
        <w:t>καὶ τότε διαβλέψεις</w:t>
      </w:r>
    </w:p>
    <w:p w14:paraId="558B25D1" w14:textId="77777777" w:rsidR="0018433B" w:rsidRPr="00AA14EA" w:rsidRDefault="0018433B" w:rsidP="0018433B">
      <w:pPr>
        <w:tabs>
          <w:tab w:val="left" w:pos="1440"/>
          <w:tab w:val="left" w:pos="1800"/>
          <w:tab w:val="left" w:pos="2160"/>
          <w:tab w:val="left" w:pos="2520"/>
          <w:tab w:val="left" w:pos="2880"/>
          <w:tab w:val="left" w:pos="3240"/>
          <w:tab w:val="left" w:pos="3600"/>
          <w:tab w:val="left" w:pos="5760"/>
          <w:tab w:val="left" w:pos="6480"/>
        </w:tabs>
        <w:ind w:left="709"/>
      </w:pPr>
      <w:r w:rsidRPr="00AA14EA">
        <w:t>20</w:t>
      </w:r>
      <w:r w:rsidRPr="00573D83">
        <w:tab/>
      </w:r>
      <w:r>
        <w:tab/>
      </w:r>
      <w:r>
        <w:tab/>
      </w:r>
      <w:r w:rsidRPr="0053445E">
        <w:rPr>
          <w:szCs w:val="20"/>
          <w:lang w:val="el-GR"/>
        </w:rPr>
        <w:t>ἐκβαλεῖν τὸ κάρφος</w:t>
      </w:r>
      <w:r w:rsidRPr="00573D83">
        <w:tab/>
      </w:r>
      <w:r>
        <w:tab/>
      </w:r>
      <w:r w:rsidRPr="00CE06CA">
        <w:rPr>
          <w:bCs/>
          <w:szCs w:val="22"/>
          <w:lang w:val="el-GR"/>
        </w:rPr>
        <w:t>τὸ κάρφος τὸ ἐν τῷ ὀφθαλμῷ</w:t>
      </w:r>
    </w:p>
    <w:p w14:paraId="5636ADFF" w14:textId="77777777" w:rsidR="0018433B" w:rsidRPr="00AA14EA" w:rsidRDefault="0018433B" w:rsidP="0018433B">
      <w:pPr>
        <w:tabs>
          <w:tab w:val="left" w:pos="1440"/>
          <w:tab w:val="left" w:pos="1800"/>
          <w:tab w:val="left" w:pos="2160"/>
          <w:tab w:val="left" w:pos="2520"/>
          <w:tab w:val="left" w:pos="2880"/>
          <w:tab w:val="left" w:pos="3240"/>
          <w:tab w:val="left" w:pos="3600"/>
          <w:tab w:val="left" w:pos="5760"/>
          <w:tab w:val="left" w:pos="6480"/>
        </w:tabs>
        <w:ind w:left="709"/>
      </w:pPr>
      <w:r w:rsidRPr="00AA14EA">
        <w:t>21</w:t>
      </w:r>
      <w:r w:rsidRPr="00573D83">
        <w:tab/>
      </w:r>
      <w:r>
        <w:tab/>
      </w:r>
      <w:r w:rsidRPr="0053445E">
        <w:rPr>
          <w:szCs w:val="20"/>
          <w:lang w:val="el-GR"/>
        </w:rPr>
        <w:t>ἐκ τοῦ ὀφθαλμοῦ</w:t>
      </w:r>
      <w:r w:rsidRPr="00573D83">
        <w:tab/>
      </w:r>
      <w:r>
        <w:tab/>
      </w:r>
      <w:r>
        <w:tab/>
      </w:r>
      <w:r w:rsidRPr="00CE06CA">
        <w:rPr>
          <w:bCs/>
          <w:szCs w:val="22"/>
          <w:lang w:val="el-GR"/>
        </w:rPr>
        <w:t>τοῦ ἀδελφοῦ σου</w:t>
      </w:r>
    </w:p>
    <w:p w14:paraId="0ABDFF22" w14:textId="77777777" w:rsidR="0018433B" w:rsidRPr="00AA14EA" w:rsidRDefault="0018433B" w:rsidP="0018433B">
      <w:pPr>
        <w:tabs>
          <w:tab w:val="left" w:pos="1440"/>
          <w:tab w:val="left" w:pos="1800"/>
          <w:tab w:val="left" w:pos="2160"/>
          <w:tab w:val="left" w:pos="2520"/>
          <w:tab w:val="left" w:pos="2880"/>
          <w:tab w:val="left" w:pos="3240"/>
          <w:tab w:val="left" w:pos="3600"/>
          <w:tab w:val="left" w:pos="5760"/>
          <w:tab w:val="left" w:pos="6480"/>
        </w:tabs>
        <w:ind w:left="709"/>
      </w:pPr>
      <w:r w:rsidRPr="00AA14EA">
        <w:t>22</w:t>
      </w:r>
      <w:r w:rsidRPr="00AA14EA">
        <w:tab/>
      </w:r>
      <w:r w:rsidRPr="0053445E">
        <w:rPr>
          <w:szCs w:val="20"/>
          <w:lang w:val="el-GR"/>
        </w:rPr>
        <w:t>τοῦ ἀδελφοῦ σου</w:t>
      </w:r>
      <w:r w:rsidRPr="00AA14EA">
        <w:t>.</w:t>
      </w:r>
      <w:r>
        <w:tab/>
      </w:r>
      <w:r>
        <w:tab/>
      </w:r>
      <w:r>
        <w:tab/>
      </w:r>
      <w:r>
        <w:tab/>
      </w:r>
      <w:r w:rsidRPr="00CE06CA">
        <w:rPr>
          <w:bCs/>
          <w:szCs w:val="22"/>
          <w:lang w:val="el-GR"/>
        </w:rPr>
        <w:t>ἐκβαλεῖν</w:t>
      </w:r>
      <w:r w:rsidRPr="00AA14EA">
        <w:t>.</w:t>
      </w:r>
    </w:p>
    <w:p w14:paraId="35F1799E" w14:textId="77777777" w:rsidR="0018433B" w:rsidRPr="00AA14EA" w:rsidRDefault="0018433B" w:rsidP="0018433B">
      <w:pPr>
        <w:rPr>
          <w:szCs w:val="28"/>
        </w:rPr>
      </w:pPr>
    </w:p>
    <w:p w14:paraId="0BD37A11" w14:textId="7D7836F3" w:rsidR="0018433B" w:rsidRPr="00AA14EA" w:rsidRDefault="0018433B" w:rsidP="0018433B">
      <w:pPr>
        <w:rPr>
          <w:szCs w:val="28"/>
        </w:rPr>
      </w:pPr>
      <w:r w:rsidRPr="00AA14EA">
        <w:rPr>
          <w:szCs w:val="28"/>
        </w:rPr>
        <w:tab/>
        <w:t>Several observations may be made concerning Lund’s chi</w:t>
      </w:r>
      <w:r w:rsidRPr="00AA14EA">
        <w:rPr>
          <w:szCs w:val="28"/>
        </w:rPr>
        <w:softHyphen/>
        <w:t>asms. For one thing</w:t>
      </w:r>
      <w:r w:rsidR="006F304D" w:rsidRPr="006F304D">
        <w:rPr>
          <w:szCs w:val="28"/>
        </w:rPr>
        <w:t xml:space="preserve">, </w:t>
      </w:r>
      <w:r w:rsidRPr="00AA14EA">
        <w:rPr>
          <w:szCs w:val="28"/>
        </w:rPr>
        <w:t>the slopes of the first</w:t>
      </w:r>
      <w:r w:rsidR="006F304D" w:rsidRPr="006F304D">
        <w:rPr>
          <w:szCs w:val="28"/>
        </w:rPr>
        <w:t xml:space="preserve">, </w:t>
      </w:r>
      <w:r w:rsidRPr="00AA14EA">
        <w:rPr>
          <w:szCs w:val="28"/>
        </w:rPr>
        <w:t>7:3</w:t>
      </w:r>
      <w:r w:rsidR="006F304D" w:rsidRPr="006F304D">
        <w:rPr>
          <w:szCs w:val="28"/>
        </w:rPr>
        <w:t xml:space="preserve">, </w:t>
      </w:r>
      <w:r w:rsidRPr="00AA14EA">
        <w:rPr>
          <w:szCs w:val="28"/>
        </w:rPr>
        <w:t>are unequal: four lines to three. This imbalance would be remedied if lines 4 and 5 were made paral</w:t>
      </w:r>
      <w:r w:rsidRPr="00AA14EA">
        <w:rPr>
          <w:szCs w:val="28"/>
        </w:rPr>
        <w:softHyphen/>
        <w:t>lel; then each slope would have three lines</w:t>
      </w:r>
      <w:r w:rsidR="006F304D" w:rsidRPr="006F304D">
        <w:rPr>
          <w:szCs w:val="28"/>
        </w:rPr>
        <w:t xml:space="preserve">, </w:t>
      </w:r>
      <w:r w:rsidRPr="00AA14EA">
        <w:rPr>
          <w:szCs w:val="28"/>
        </w:rPr>
        <w:t>and the center would have two:</w:t>
      </w:r>
    </w:p>
    <w:p w14:paraId="4AFEA595" w14:textId="77777777" w:rsidR="0018433B" w:rsidRPr="00AA14EA" w:rsidRDefault="0018433B" w:rsidP="0018433B">
      <w:pPr>
        <w:rPr>
          <w:szCs w:val="28"/>
        </w:rPr>
      </w:pPr>
    </w:p>
    <w:p w14:paraId="262322F1" w14:textId="77777777" w:rsidR="0018433B" w:rsidRPr="00AA14EA" w:rsidRDefault="0018433B" w:rsidP="0018433B">
      <w:pPr>
        <w:ind w:firstLine="2880"/>
        <w:rPr>
          <w:szCs w:val="28"/>
        </w:rPr>
      </w:pPr>
      <w:r w:rsidRPr="00AA14EA">
        <w:rPr>
          <w:szCs w:val="28"/>
        </w:rPr>
        <w:t>4</w:t>
      </w:r>
      <w:r w:rsidRPr="00AA14EA">
        <w:rPr>
          <w:szCs w:val="28"/>
        </w:rPr>
        <w:tab/>
        <w:t>Of thy brother</w:t>
      </w:r>
    </w:p>
    <w:p w14:paraId="2D003AEA" w14:textId="77777777" w:rsidR="0018433B" w:rsidRPr="00AA14EA" w:rsidRDefault="0018433B" w:rsidP="0018433B">
      <w:pPr>
        <w:ind w:firstLine="2880"/>
        <w:rPr>
          <w:szCs w:val="28"/>
        </w:rPr>
      </w:pPr>
      <w:r w:rsidRPr="00AA14EA">
        <w:rPr>
          <w:szCs w:val="28"/>
        </w:rPr>
        <w:t>5</w:t>
      </w:r>
      <w:r w:rsidRPr="00AA14EA">
        <w:rPr>
          <w:szCs w:val="28"/>
        </w:rPr>
        <w:tab/>
        <w:t>But in thine own</w:t>
      </w:r>
    </w:p>
    <w:p w14:paraId="7CE0E1CB" w14:textId="77777777" w:rsidR="0018433B" w:rsidRPr="00AA14EA" w:rsidRDefault="0018433B" w:rsidP="0018433B">
      <w:pPr>
        <w:rPr>
          <w:szCs w:val="28"/>
        </w:rPr>
      </w:pPr>
    </w:p>
    <w:p w14:paraId="5A433130" w14:textId="77777777" w:rsidR="0018433B" w:rsidRPr="00AA14EA" w:rsidRDefault="0018433B" w:rsidP="0018433B">
      <w:pPr>
        <w:rPr>
          <w:szCs w:val="28"/>
        </w:rPr>
      </w:pPr>
      <w:r w:rsidRPr="00AA14EA">
        <w:rPr>
          <w:szCs w:val="28"/>
        </w:rPr>
        <w:lastRenderedPageBreak/>
        <w:t>Perhaps Lund avoids this solution because his “laws” require every chiasm to have a unique center; but he has two-line centers else</w:t>
      </w:r>
      <w:r w:rsidRPr="00AA14EA">
        <w:rPr>
          <w:szCs w:val="28"/>
        </w:rPr>
        <w:softHyphen/>
        <w:t>where.</w:t>
      </w:r>
      <w:r w:rsidRPr="00AA14EA">
        <w:rPr>
          <w:rStyle w:val="FootnoteReference"/>
          <w:szCs w:val="28"/>
        </w:rPr>
        <w:footnoteReference w:id="446"/>
      </w:r>
    </w:p>
    <w:p w14:paraId="5EC2F5CC" w14:textId="2EEA1616" w:rsidR="0018433B" w:rsidRPr="00EC315D" w:rsidRDefault="0018433B" w:rsidP="0018433B">
      <w:pPr>
        <w:rPr>
          <w:sz w:val="20"/>
          <w:szCs w:val="20"/>
          <w:lang w:val="el-GR"/>
        </w:rPr>
      </w:pPr>
      <w:r w:rsidRPr="00AA14EA">
        <w:rPr>
          <w:szCs w:val="28"/>
        </w:rPr>
        <w:tab/>
        <w:t xml:space="preserve">A second problem occurs between the two chiasms: Matt 7:4a (“Or how can you say,” </w:t>
      </w:r>
      <w:r w:rsidRPr="00EC315D">
        <w:rPr>
          <w:szCs w:val="20"/>
          <w:lang w:val="el-GR"/>
        </w:rPr>
        <w:t>ἢ πῶς ἐρεῖς</w:t>
      </w:r>
      <w:r w:rsidRPr="00AA14EA">
        <w:rPr>
          <w:szCs w:val="28"/>
        </w:rPr>
        <w:t>)</w:t>
      </w:r>
      <w:r w:rsidR="006F304D" w:rsidRPr="006F304D">
        <w:rPr>
          <w:szCs w:val="28"/>
        </w:rPr>
        <w:t xml:space="preserve">, </w:t>
      </w:r>
      <w:r w:rsidRPr="00AA14EA">
        <w:rPr>
          <w:szCs w:val="28"/>
        </w:rPr>
        <w:t>does not belong to either chiasm. This might seem unremark</w:t>
      </w:r>
      <w:r w:rsidRPr="00AA14EA">
        <w:rPr>
          <w:szCs w:val="28"/>
        </w:rPr>
        <w:softHyphen/>
        <w:t>able</w:t>
      </w:r>
      <w:r w:rsidR="006F304D" w:rsidRPr="006F304D">
        <w:rPr>
          <w:szCs w:val="28"/>
        </w:rPr>
        <w:t xml:space="preserve">, </w:t>
      </w:r>
      <w:r w:rsidRPr="00AA14EA">
        <w:rPr>
          <w:szCs w:val="28"/>
        </w:rPr>
        <w:t>if it were not Lund’s practice to assign every word of every passage to a chiasm. Morgenthaler</w:t>
      </w:r>
      <w:r w:rsidR="006F304D" w:rsidRPr="006F304D">
        <w:rPr>
          <w:szCs w:val="28"/>
        </w:rPr>
        <w:t xml:space="preserve">, </w:t>
      </w:r>
      <w:r w:rsidRPr="00AA14EA">
        <w:rPr>
          <w:szCs w:val="28"/>
        </w:rPr>
        <w:t>too</w:t>
      </w:r>
      <w:r w:rsidR="006F304D" w:rsidRPr="006F304D">
        <w:rPr>
          <w:szCs w:val="28"/>
        </w:rPr>
        <w:t xml:space="preserve">, </w:t>
      </w:r>
      <w:r w:rsidRPr="00AA14EA">
        <w:rPr>
          <w:szCs w:val="28"/>
        </w:rPr>
        <w:t>ignores this ill-man</w:t>
      </w:r>
      <w:r w:rsidRPr="00AA14EA">
        <w:rPr>
          <w:szCs w:val="28"/>
        </w:rPr>
        <w:softHyphen/>
        <w:t>nered versicle.</w:t>
      </w:r>
    </w:p>
    <w:p w14:paraId="785C7A82" w14:textId="6454FFB6" w:rsidR="0018433B" w:rsidRDefault="0018433B" w:rsidP="0018433B">
      <w:pPr>
        <w:rPr>
          <w:szCs w:val="28"/>
        </w:rPr>
      </w:pPr>
      <w:r w:rsidRPr="00AA14EA">
        <w:rPr>
          <w:szCs w:val="28"/>
        </w:rPr>
        <w:tab/>
        <w:t>Lund himself notes a problem in the second chiasm</w:t>
      </w:r>
      <w:r w:rsidR="006F304D" w:rsidRPr="006F304D">
        <w:rPr>
          <w:szCs w:val="28"/>
        </w:rPr>
        <w:t xml:space="preserve">, </w:t>
      </w:r>
      <w:r w:rsidRPr="00AA14EA">
        <w:rPr>
          <w:szCs w:val="28"/>
        </w:rPr>
        <w:t>7:4-5. To make the chiasm come out correctly</w:t>
      </w:r>
      <w:r w:rsidR="006F304D" w:rsidRPr="006F304D">
        <w:rPr>
          <w:szCs w:val="28"/>
        </w:rPr>
        <w:t xml:space="preserve">, </w:t>
      </w:r>
      <w:r w:rsidRPr="00AA14EA">
        <w:rPr>
          <w:szCs w:val="28"/>
        </w:rPr>
        <w:t>he has rear</w:t>
      </w:r>
      <w:r w:rsidRPr="00AA14EA">
        <w:rPr>
          <w:szCs w:val="28"/>
        </w:rPr>
        <w:softHyphen/>
        <w:t>ranged the Greek: lines 20 and 21 in the Greek text are reversed by Lund in his English version (</w:t>
      </w:r>
      <w:r w:rsidR="00775F9B" w:rsidRPr="00775F9B">
        <w:rPr>
          <w:iCs/>
          <w:szCs w:val="28"/>
        </w:rPr>
        <w:t>i.e.</w:t>
      </w:r>
      <w:r w:rsidR="006F304D" w:rsidRPr="006F304D">
        <w:rPr>
          <w:szCs w:val="28"/>
        </w:rPr>
        <w:t xml:space="preserve">, </w:t>
      </w:r>
      <w:r w:rsidRPr="00AA14EA">
        <w:rPr>
          <w:szCs w:val="28"/>
        </w:rPr>
        <w:t>line 20 of the English reproduces line 21 of the Greek</w:t>
      </w:r>
      <w:r w:rsidR="006F304D" w:rsidRPr="006F304D">
        <w:rPr>
          <w:szCs w:val="28"/>
        </w:rPr>
        <w:t xml:space="preserve">, </w:t>
      </w:r>
      <w:r w:rsidRPr="00AA14EA">
        <w:rPr>
          <w:szCs w:val="28"/>
        </w:rPr>
        <w:t>and vice ver</w:t>
      </w:r>
      <w:r w:rsidRPr="00AA14EA">
        <w:rPr>
          <w:szCs w:val="28"/>
        </w:rPr>
        <w:softHyphen/>
        <w:t>sa</w:t>
      </w:r>
      <w:r>
        <w:rPr>
          <w:szCs w:val="28"/>
        </w:rPr>
        <w:t>).</w:t>
      </w:r>
    </w:p>
    <w:p w14:paraId="0ED4C08B" w14:textId="77777777" w:rsidR="0018433B" w:rsidRDefault="0018433B" w:rsidP="0018433B">
      <w:pPr>
        <w:rPr>
          <w:szCs w:val="28"/>
        </w:rPr>
      </w:pPr>
    </w:p>
    <w:p w14:paraId="12EB5CF4" w14:textId="77777777" w:rsidR="0018433B" w:rsidRPr="00AA14EA" w:rsidRDefault="0018433B" w:rsidP="0018433B">
      <w:pPr>
        <w:ind w:firstLine="706"/>
        <w:rPr>
          <w:szCs w:val="28"/>
        </w:rPr>
      </w:pPr>
      <w:r w:rsidRPr="00AA14EA">
        <w:rPr>
          <w:szCs w:val="28"/>
        </w:rPr>
        <w:t>20</w:t>
      </w:r>
      <w:r w:rsidRPr="00AA14EA">
        <w:rPr>
          <w:szCs w:val="28"/>
        </w:rPr>
        <w:tab/>
        <w:t>Out of the eye</w:t>
      </w:r>
    </w:p>
    <w:p w14:paraId="6A59C8EA" w14:textId="77777777" w:rsidR="0018433B" w:rsidRPr="00AA14EA" w:rsidRDefault="0018433B" w:rsidP="0018433B">
      <w:pPr>
        <w:ind w:firstLine="706"/>
        <w:rPr>
          <w:szCs w:val="28"/>
        </w:rPr>
      </w:pPr>
      <w:r w:rsidRPr="00AA14EA">
        <w:rPr>
          <w:szCs w:val="28"/>
        </w:rPr>
        <w:t>21</w:t>
      </w:r>
      <w:r w:rsidRPr="00AA14EA">
        <w:rPr>
          <w:szCs w:val="28"/>
        </w:rPr>
        <w:tab/>
        <w:t xml:space="preserve">To </w:t>
      </w:r>
      <w:r w:rsidRPr="00EC315D">
        <w:rPr>
          <w:iCs/>
          <w:szCs w:val="28"/>
        </w:rPr>
        <w:t>cast out</w:t>
      </w:r>
      <w:r w:rsidRPr="00AA14EA">
        <w:rPr>
          <w:szCs w:val="28"/>
        </w:rPr>
        <w:t xml:space="preserve"> the mote</w:t>
      </w:r>
    </w:p>
    <w:p w14:paraId="117DB5C4" w14:textId="77777777" w:rsidR="0018433B" w:rsidRDefault="0018433B" w:rsidP="0018433B">
      <w:pPr>
        <w:ind w:left="706"/>
        <w:rPr>
          <w:szCs w:val="28"/>
        </w:rPr>
      </w:pPr>
      <w:r w:rsidRPr="00AA14EA">
        <w:t>20</w:t>
      </w:r>
      <w:r w:rsidRPr="00573D83">
        <w:tab/>
      </w:r>
      <w:r w:rsidRPr="0053445E">
        <w:rPr>
          <w:szCs w:val="20"/>
          <w:lang w:val="el-GR"/>
        </w:rPr>
        <w:t>ἐκβαλεῖν τὸ κάρφος</w:t>
      </w:r>
    </w:p>
    <w:p w14:paraId="1EB2E43E" w14:textId="77777777" w:rsidR="0018433B" w:rsidRDefault="0018433B" w:rsidP="0018433B">
      <w:pPr>
        <w:ind w:left="706"/>
        <w:rPr>
          <w:szCs w:val="20"/>
        </w:rPr>
      </w:pPr>
      <w:r w:rsidRPr="00AA14EA">
        <w:t>21</w:t>
      </w:r>
      <w:r w:rsidRPr="00573D83">
        <w:tab/>
      </w:r>
      <w:r w:rsidRPr="0053445E">
        <w:rPr>
          <w:szCs w:val="20"/>
          <w:lang w:val="el-GR"/>
        </w:rPr>
        <w:t>ἐκ τοῦ ὀφθαλμοῦ</w:t>
      </w:r>
    </w:p>
    <w:p w14:paraId="4FEACF4D" w14:textId="77777777" w:rsidR="0018433B" w:rsidRPr="00EC315D" w:rsidRDefault="0018433B" w:rsidP="0018433B">
      <w:pPr>
        <w:rPr>
          <w:szCs w:val="28"/>
        </w:rPr>
      </w:pPr>
    </w:p>
    <w:p w14:paraId="7E1FA053" w14:textId="77777777" w:rsidR="0018433B" w:rsidRPr="00AA14EA" w:rsidRDefault="0018433B" w:rsidP="0018433B">
      <w:pPr>
        <w:rPr>
          <w:szCs w:val="28"/>
        </w:rPr>
      </w:pPr>
      <w:r w:rsidRPr="00AA14EA">
        <w:rPr>
          <w:szCs w:val="28"/>
        </w:rPr>
        <w:t>He explains the reversal thus:</w:t>
      </w:r>
    </w:p>
    <w:p w14:paraId="1E568AD0" w14:textId="77777777" w:rsidR="0018433B" w:rsidRPr="00AA14EA" w:rsidRDefault="0018433B" w:rsidP="0018433B">
      <w:pPr>
        <w:rPr>
          <w:szCs w:val="28"/>
        </w:rPr>
      </w:pPr>
    </w:p>
    <w:p w14:paraId="79180E5F" w14:textId="0C7EF7B8" w:rsidR="0018433B" w:rsidRPr="00AA14EA" w:rsidRDefault="0018433B" w:rsidP="0018433B">
      <w:pPr>
        <w:ind w:left="720" w:right="720"/>
        <w:rPr>
          <w:szCs w:val="28"/>
        </w:rPr>
      </w:pPr>
      <w:r w:rsidRPr="00AA14EA">
        <w:rPr>
          <w:szCs w:val="28"/>
        </w:rPr>
        <w:t>The fine chiastic structure in 7:4</w:t>
      </w:r>
      <w:r w:rsidR="006F304D" w:rsidRPr="006F304D">
        <w:rPr>
          <w:szCs w:val="28"/>
        </w:rPr>
        <w:t xml:space="preserve">, </w:t>
      </w:r>
      <w:r w:rsidRPr="00AA14EA">
        <w:rPr>
          <w:szCs w:val="28"/>
        </w:rPr>
        <w:t>5 runs smoothly and without flaw till we reach the words</w:t>
      </w:r>
      <w:r w:rsidR="006F304D" w:rsidRPr="006F304D">
        <w:rPr>
          <w:szCs w:val="28"/>
        </w:rPr>
        <w:t xml:space="preserve">, </w:t>
      </w:r>
      <w:r w:rsidRPr="00AA14EA">
        <w:rPr>
          <w:szCs w:val="28"/>
        </w:rPr>
        <w:t xml:space="preserve">“And then shalt thou see clearly </w:t>
      </w:r>
      <w:r w:rsidRPr="00AA14EA">
        <w:rPr>
          <w:i/>
          <w:iCs/>
          <w:szCs w:val="28"/>
        </w:rPr>
        <w:t>to cast out the mote</w:t>
      </w:r>
      <w:r w:rsidRPr="00AA14EA">
        <w:rPr>
          <w:szCs w:val="28"/>
        </w:rPr>
        <w:t xml:space="preserve"> out of the eye of thy brother.” The words in italics have been removed from their present position in the Greek text and trans</w:t>
      </w:r>
      <w:r w:rsidRPr="00AA14EA">
        <w:rPr>
          <w:szCs w:val="28"/>
        </w:rPr>
        <w:softHyphen/>
        <w:t>posed from the third to the second line from the end. With this slight change—only a single line in a manu</w:t>
      </w:r>
      <w:r w:rsidRPr="00AA14EA">
        <w:rPr>
          <w:szCs w:val="28"/>
        </w:rPr>
        <w:softHyphen/>
        <w:t>script like Sinai</w:t>
      </w:r>
      <w:r w:rsidRPr="00AA14EA">
        <w:rPr>
          <w:szCs w:val="28"/>
        </w:rPr>
        <w:softHyphen/>
        <w:t>ticus and easily dislocated in copy</w:t>
      </w:r>
      <w:r w:rsidRPr="00AA14EA">
        <w:rPr>
          <w:szCs w:val="28"/>
        </w:rPr>
        <w:softHyphen/>
        <w:t>ing—a most perfect chiasmus is obtained.</w:t>
      </w:r>
      <w:r w:rsidRPr="00AA14EA">
        <w:rPr>
          <w:rStyle w:val="FootnoteReference"/>
          <w:szCs w:val="28"/>
        </w:rPr>
        <w:footnoteReference w:id="447"/>
      </w:r>
    </w:p>
    <w:p w14:paraId="2AEC5749" w14:textId="77777777" w:rsidR="0018433B" w:rsidRPr="00AA14EA" w:rsidRDefault="0018433B" w:rsidP="0018433B">
      <w:pPr>
        <w:rPr>
          <w:szCs w:val="28"/>
        </w:rPr>
      </w:pPr>
    </w:p>
    <w:p w14:paraId="47DD6043" w14:textId="77777777" w:rsidR="0018433B" w:rsidRDefault="0018433B" w:rsidP="0018433B">
      <w:pPr>
        <w:rPr>
          <w:szCs w:val="28"/>
        </w:rPr>
      </w:pPr>
      <w:r w:rsidRPr="00AA14EA">
        <w:rPr>
          <w:szCs w:val="28"/>
        </w:rPr>
        <w:t>Thus Lund suggests that the order in his English rendition re</w:t>
      </w:r>
      <w:r w:rsidRPr="00AA14EA">
        <w:rPr>
          <w:szCs w:val="28"/>
        </w:rPr>
        <w:softHyphen/>
        <w:t xml:space="preserve">presents a more original reading than the extant Greek text. </w:t>
      </w:r>
      <w:r>
        <w:rPr>
          <w:szCs w:val="28"/>
        </w:rPr>
        <w:t>But t</w:t>
      </w:r>
      <w:r w:rsidRPr="00AA14EA">
        <w:rPr>
          <w:szCs w:val="28"/>
        </w:rPr>
        <w:t>his solution has problems</w:t>
      </w:r>
      <w:r>
        <w:rPr>
          <w:szCs w:val="28"/>
        </w:rPr>
        <w:t>.</w:t>
      </w:r>
    </w:p>
    <w:p w14:paraId="12C2D4E4" w14:textId="090A13D8" w:rsidR="0018433B" w:rsidRDefault="0018433B" w:rsidP="0018433B">
      <w:pPr>
        <w:rPr>
          <w:szCs w:val="28"/>
        </w:rPr>
      </w:pPr>
      <w:r>
        <w:rPr>
          <w:szCs w:val="28"/>
        </w:rPr>
        <w:tab/>
      </w:r>
      <w:r w:rsidRPr="00AA14EA">
        <w:rPr>
          <w:szCs w:val="28"/>
        </w:rPr>
        <w:t>For one thing</w:t>
      </w:r>
      <w:r w:rsidR="006F304D" w:rsidRPr="006F304D">
        <w:rPr>
          <w:szCs w:val="28"/>
        </w:rPr>
        <w:t xml:space="preserve">, </w:t>
      </w:r>
      <w:r w:rsidRPr="00AA14EA">
        <w:rPr>
          <w:szCs w:val="28"/>
        </w:rPr>
        <w:t>it is unlikely that the Greek lines 20 and 21 ever oc</w:t>
      </w:r>
      <w:r w:rsidRPr="00AA14EA">
        <w:rPr>
          <w:szCs w:val="28"/>
        </w:rPr>
        <w:softHyphen/>
        <w:t>curred</w:t>
      </w:r>
      <w:r w:rsidR="006F304D" w:rsidRPr="006F304D">
        <w:rPr>
          <w:szCs w:val="28"/>
        </w:rPr>
        <w:t xml:space="preserve">, </w:t>
      </w:r>
      <w:r w:rsidRPr="00AA14EA">
        <w:rPr>
          <w:szCs w:val="28"/>
        </w:rPr>
        <w:t>as lines</w:t>
      </w:r>
      <w:r w:rsidR="006F304D" w:rsidRPr="006F304D">
        <w:rPr>
          <w:szCs w:val="28"/>
        </w:rPr>
        <w:t xml:space="preserve">, </w:t>
      </w:r>
      <w:r w:rsidRPr="00AA14EA">
        <w:rPr>
          <w:szCs w:val="28"/>
        </w:rPr>
        <w:t>in the same early manuscript. This is because the lines are of unequal length: line 20 has 16 letters and line 21</w:t>
      </w:r>
      <w:r w:rsidR="006F304D" w:rsidRPr="006F304D">
        <w:rPr>
          <w:szCs w:val="28"/>
        </w:rPr>
        <w:t xml:space="preserve">, </w:t>
      </w:r>
      <w:r w:rsidRPr="00AA14EA">
        <w:rPr>
          <w:szCs w:val="28"/>
        </w:rPr>
        <w:t>13.</w:t>
      </w:r>
      <w:r w:rsidRPr="00AA14EA">
        <w:rPr>
          <w:rStyle w:val="FootnoteReference"/>
          <w:szCs w:val="28"/>
        </w:rPr>
        <w:footnoteReference w:id="448"/>
      </w:r>
      <w:r w:rsidRPr="00AA14EA">
        <w:rPr>
          <w:szCs w:val="28"/>
        </w:rPr>
        <w:t xml:space="preserve"> Though Greek manuscripts exist whose columns have lines of 16 or 13 letters (Codex </w:t>
      </w:r>
      <w:proofErr w:type="spellStart"/>
      <w:r w:rsidRPr="00AA14EA">
        <w:rPr>
          <w:szCs w:val="28"/>
        </w:rPr>
        <w:t>Vaticanus</w:t>
      </w:r>
      <w:proofErr w:type="spellEnd"/>
      <w:r w:rsidRPr="00AA14EA">
        <w:rPr>
          <w:szCs w:val="28"/>
        </w:rPr>
        <w:t xml:space="preserve"> averages 16 and Sinaiticus</w:t>
      </w:r>
      <w:r w:rsidR="006F304D" w:rsidRPr="006F304D">
        <w:rPr>
          <w:szCs w:val="28"/>
        </w:rPr>
        <w:t xml:space="preserve">, </w:t>
      </w:r>
      <w:r w:rsidRPr="00AA14EA">
        <w:rPr>
          <w:szCs w:val="28"/>
        </w:rPr>
        <w:t>13),</w:t>
      </w:r>
      <w:r w:rsidRPr="00AA14EA">
        <w:rPr>
          <w:rStyle w:val="FootnoteReference"/>
          <w:szCs w:val="28"/>
        </w:rPr>
        <w:footnoteReference w:id="449"/>
      </w:r>
      <w:r w:rsidRPr="00AA14EA">
        <w:rPr>
          <w:szCs w:val="28"/>
        </w:rPr>
        <w:t xml:space="preserve"> lines in these manu</w:t>
      </w:r>
      <w:r w:rsidRPr="00AA14EA">
        <w:rPr>
          <w:szCs w:val="28"/>
        </w:rPr>
        <w:softHyphen/>
        <w:t>scripts are uniform in length; they rarely vary by more than one</w:t>
      </w:r>
      <w:r w:rsidR="006F304D" w:rsidRPr="006F304D">
        <w:rPr>
          <w:szCs w:val="28"/>
        </w:rPr>
        <w:t xml:space="preserve">, </w:t>
      </w:r>
      <w:r w:rsidRPr="00AA14EA">
        <w:rPr>
          <w:szCs w:val="28"/>
        </w:rPr>
        <w:t>or at most two</w:t>
      </w:r>
      <w:r w:rsidR="006F304D" w:rsidRPr="006F304D">
        <w:rPr>
          <w:szCs w:val="28"/>
        </w:rPr>
        <w:t xml:space="preserve">, </w:t>
      </w:r>
      <w:r w:rsidRPr="00AA14EA">
        <w:rPr>
          <w:szCs w:val="28"/>
        </w:rPr>
        <w:t>letters. Irregular-length lines</w:t>
      </w:r>
      <w:r w:rsidR="006F304D" w:rsidRPr="006F304D">
        <w:rPr>
          <w:szCs w:val="28"/>
        </w:rPr>
        <w:t xml:space="preserve">, </w:t>
      </w:r>
      <w:r w:rsidRPr="00AA14EA">
        <w:rPr>
          <w:szCs w:val="28"/>
        </w:rPr>
        <w:t>di</w:t>
      </w:r>
      <w:r w:rsidRPr="00AA14EA">
        <w:rPr>
          <w:szCs w:val="28"/>
        </w:rPr>
        <w:softHyphen/>
        <w:t>vided accord</w:t>
      </w:r>
      <w:r w:rsidRPr="00AA14EA">
        <w:rPr>
          <w:szCs w:val="28"/>
        </w:rPr>
        <w:softHyphen/>
        <w:t>ing to breaks in the meaning</w:t>
      </w:r>
      <w:r w:rsidR="006F304D" w:rsidRPr="006F304D">
        <w:rPr>
          <w:szCs w:val="28"/>
        </w:rPr>
        <w:t xml:space="preserve">, </w:t>
      </w:r>
      <w:r w:rsidRPr="00AA14EA">
        <w:rPr>
          <w:szCs w:val="28"/>
        </w:rPr>
        <w:t>do not seem to have appeared in bib</w:t>
      </w:r>
      <w:r w:rsidRPr="00AA14EA">
        <w:rPr>
          <w:szCs w:val="28"/>
        </w:rPr>
        <w:softHyphen/>
        <w:t>li</w:t>
      </w:r>
      <w:r w:rsidRPr="00AA14EA">
        <w:rPr>
          <w:szCs w:val="28"/>
        </w:rPr>
        <w:softHyphen/>
        <w:t xml:space="preserve">cal manuscripts much before the sixth century (Codices </w:t>
      </w:r>
      <w:proofErr w:type="spellStart"/>
      <w:r w:rsidRPr="00AA14EA">
        <w:rPr>
          <w:szCs w:val="28"/>
        </w:rPr>
        <w:t>Bezae</w:t>
      </w:r>
      <w:proofErr w:type="spellEnd"/>
      <w:r w:rsidR="006F304D" w:rsidRPr="006F304D">
        <w:rPr>
          <w:szCs w:val="28"/>
        </w:rPr>
        <w:t xml:space="preserve">, </w:t>
      </w:r>
      <w:proofErr w:type="spellStart"/>
      <w:r w:rsidRPr="00AA14EA">
        <w:rPr>
          <w:szCs w:val="28"/>
        </w:rPr>
        <w:t>Claromon</w:t>
      </w:r>
      <w:r w:rsidRPr="00AA14EA">
        <w:rPr>
          <w:szCs w:val="28"/>
        </w:rPr>
        <w:softHyphen/>
        <w:t>tanus</w:t>
      </w:r>
      <w:proofErr w:type="spellEnd"/>
      <w:r w:rsidR="006F304D" w:rsidRPr="006F304D">
        <w:rPr>
          <w:szCs w:val="28"/>
        </w:rPr>
        <w:t xml:space="preserve">, </w:t>
      </w:r>
      <w:r w:rsidRPr="00AA14EA">
        <w:rPr>
          <w:szCs w:val="28"/>
        </w:rPr>
        <w:t xml:space="preserve">and </w:t>
      </w:r>
      <w:proofErr w:type="spellStart"/>
      <w:r w:rsidRPr="00AA14EA">
        <w:rPr>
          <w:szCs w:val="28"/>
        </w:rPr>
        <w:t>Coislini</w:t>
      </w:r>
      <w:r w:rsidRPr="00AA14EA">
        <w:rPr>
          <w:szCs w:val="28"/>
        </w:rPr>
        <w:softHyphen/>
        <w:t>anus</w:t>
      </w:r>
      <w:proofErr w:type="spellEnd"/>
      <w:r w:rsidRPr="00AA14EA">
        <w:rPr>
          <w:szCs w:val="28"/>
        </w:rPr>
        <w:t xml:space="preserve"> are all sixth cen</w:t>
      </w:r>
      <w:r w:rsidRPr="00AA14EA">
        <w:rPr>
          <w:szCs w:val="28"/>
        </w:rPr>
        <w:softHyphen/>
        <w:t>tury).</w:t>
      </w:r>
      <w:r w:rsidRPr="00AA14EA">
        <w:rPr>
          <w:rStyle w:val="FootnoteReference"/>
          <w:szCs w:val="28"/>
        </w:rPr>
        <w:footnoteReference w:id="450"/>
      </w:r>
    </w:p>
    <w:p w14:paraId="576DED8B" w14:textId="70B162C3" w:rsidR="0018433B" w:rsidRPr="00AA14EA" w:rsidRDefault="0018433B" w:rsidP="0018433B">
      <w:pPr>
        <w:rPr>
          <w:szCs w:val="28"/>
        </w:rPr>
      </w:pPr>
      <w:r>
        <w:rPr>
          <w:szCs w:val="28"/>
        </w:rPr>
        <w:tab/>
      </w:r>
      <w:r w:rsidRPr="00AA14EA">
        <w:rPr>
          <w:szCs w:val="28"/>
        </w:rPr>
        <w:t>Even if an early manuscript had contained Lund’s lines</w:t>
      </w:r>
      <w:r w:rsidR="006F304D" w:rsidRPr="006F304D">
        <w:rPr>
          <w:szCs w:val="28"/>
        </w:rPr>
        <w:t xml:space="preserve">, </w:t>
      </w:r>
      <w:r w:rsidRPr="00AA14EA">
        <w:rPr>
          <w:szCs w:val="28"/>
        </w:rPr>
        <w:t>the reversal of them would still be implausible. None of the common types of scribal error is likely to have occurred at this junc</w:t>
      </w:r>
      <w:r w:rsidRPr="00AA14EA">
        <w:rPr>
          <w:szCs w:val="28"/>
        </w:rPr>
        <w:softHyphen/>
        <w:t>ture.</w:t>
      </w:r>
      <w:r w:rsidRPr="00AA14EA">
        <w:rPr>
          <w:rStyle w:val="FootnoteReference"/>
          <w:szCs w:val="28"/>
        </w:rPr>
        <w:footnoteReference w:id="451"/>
      </w:r>
      <w:r w:rsidRPr="00AA14EA">
        <w:rPr>
          <w:szCs w:val="28"/>
        </w:rPr>
        <w:t xml:space="preserve"> </w:t>
      </w:r>
      <w:r w:rsidRPr="00AA14EA">
        <w:rPr>
          <w:szCs w:val="28"/>
        </w:rPr>
        <w:lastRenderedPageBreak/>
        <w:t>Moreover</w:t>
      </w:r>
      <w:r w:rsidR="006F304D" w:rsidRPr="006F304D">
        <w:rPr>
          <w:szCs w:val="28"/>
        </w:rPr>
        <w:t xml:space="preserve">, </w:t>
      </w:r>
      <w:r w:rsidRPr="00AA14EA">
        <w:rPr>
          <w:szCs w:val="28"/>
        </w:rPr>
        <w:t>the two lines really cannot be reversed in Greek</w:t>
      </w:r>
      <w:r w:rsidR="006F304D" w:rsidRPr="006F304D">
        <w:rPr>
          <w:szCs w:val="28"/>
        </w:rPr>
        <w:t xml:space="preserve">, </w:t>
      </w:r>
      <w:r w:rsidRPr="00AA14EA">
        <w:rPr>
          <w:szCs w:val="28"/>
        </w:rPr>
        <w:t xml:space="preserve">because the resulting clause would be </w:t>
      </w:r>
      <w:r w:rsidRPr="00AA14EA">
        <w:rPr>
          <w:szCs w:val="28"/>
        </w:rPr>
        <w:softHyphen/>
        <w:t>grammati</w:t>
      </w:r>
      <w:r w:rsidRPr="00AA14EA">
        <w:rPr>
          <w:szCs w:val="28"/>
        </w:rPr>
        <w:softHyphen/>
        <w:t>cally offensive. The extant clause</w:t>
      </w:r>
      <w:r w:rsidR="006F304D" w:rsidRPr="006F304D">
        <w:rPr>
          <w:szCs w:val="28"/>
        </w:rPr>
        <w:t xml:space="preserve">, </w:t>
      </w:r>
      <w:r w:rsidRPr="0053445E">
        <w:rPr>
          <w:szCs w:val="20"/>
          <w:lang w:val="el-GR"/>
        </w:rPr>
        <w:t>καὶ τότε διαβλέ</w:t>
      </w:r>
      <w:r>
        <w:rPr>
          <w:szCs w:val="20"/>
          <w:lang w:val="el-GR"/>
        </w:rPr>
        <w:t>ψεις</w:t>
      </w:r>
      <w:r>
        <w:rPr>
          <w:szCs w:val="20"/>
        </w:rPr>
        <w:t xml:space="preserve"> </w:t>
      </w:r>
      <w:r w:rsidRPr="00AA14EA">
        <w:rPr>
          <w:szCs w:val="28"/>
        </w:rPr>
        <w:t xml:space="preserve">/ </w:t>
      </w:r>
      <w:r w:rsidRPr="0053445E">
        <w:rPr>
          <w:szCs w:val="20"/>
          <w:lang w:val="el-GR"/>
        </w:rPr>
        <w:t xml:space="preserve">ἐκβαλεῖν τὸ κάρφος </w:t>
      </w:r>
      <w:r w:rsidRPr="00AA14EA">
        <w:rPr>
          <w:szCs w:val="28"/>
        </w:rPr>
        <w:t xml:space="preserve">/ </w:t>
      </w:r>
      <w:r w:rsidRPr="0053445E">
        <w:rPr>
          <w:szCs w:val="20"/>
          <w:lang w:val="el-GR"/>
        </w:rPr>
        <w:t xml:space="preserve">ἐκ τοῦ ὀφθαλμοῦ </w:t>
      </w:r>
      <w:r w:rsidRPr="00AA14EA">
        <w:rPr>
          <w:szCs w:val="28"/>
        </w:rPr>
        <w:t xml:space="preserve">/ </w:t>
      </w:r>
      <w:r w:rsidRPr="0053445E">
        <w:rPr>
          <w:szCs w:val="20"/>
          <w:lang w:val="el-GR"/>
        </w:rPr>
        <w:t>τοῦ ἀδελφοῦ σου</w:t>
      </w:r>
      <w:r w:rsidRPr="00AA14EA">
        <w:rPr>
          <w:szCs w:val="28"/>
        </w:rPr>
        <w:t xml:space="preserve"> (slashes in</w:t>
      </w:r>
      <w:r w:rsidRPr="00AA14EA">
        <w:rPr>
          <w:szCs w:val="28"/>
        </w:rPr>
        <w:softHyphen/>
        <w:t>dicate Lund’s line breaks) has a noun (</w:t>
      </w:r>
      <w:r w:rsidRPr="0053445E">
        <w:rPr>
          <w:szCs w:val="20"/>
          <w:lang w:val="el-GR"/>
        </w:rPr>
        <w:t>ὀφθαλμοῦ</w:t>
      </w:r>
      <w:r w:rsidRPr="00AA14EA">
        <w:rPr>
          <w:szCs w:val="28"/>
        </w:rPr>
        <w:t>) and its modifi</w:t>
      </w:r>
      <w:r w:rsidRPr="00AA14EA">
        <w:rPr>
          <w:szCs w:val="28"/>
        </w:rPr>
        <w:softHyphen/>
        <w:t>er (</w:t>
      </w:r>
      <w:r w:rsidRPr="0053445E">
        <w:rPr>
          <w:szCs w:val="20"/>
          <w:lang w:val="el-GR"/>
        </w:rPr>
        <w:t>ἀδελφοῦ σου</w:t>
      </w:r>
      <w:r w:rsidRPr="00AA14EA">
        <w:rPr>
          <w:szCs w:val="28"/>
        </w:rPr>
        <w:t>) in attribu</w:t>
      </w:r>
      <w:r w:rsidRPr="00AA14EA">
        <w:rPr>
          <w:szCs w:val="28"/>
        </w:rPr>
        <w:softHyphen/>
        <w:t>tive position</w:t>
      </w:r>
      <w:r w:rsidR="006F304D" w:rsidRPr="006F304D">
        <w:rPr>
          <w:szCs w:val="28"/>
        </w:rPr>
        <w:t xml:space="preserve">, </w:t>
      </w:r>
      <w:r w:rsidRPr="00AA14EA">
        <w:rPr>
          <w:szCs w:val="28"/>
        </w:rPr>
        <w:t>and that rel</w:t>
      </w:r>
      <w:r w:rsidRPr="00AA14EA">
        <w:rPr>
          <w:szCs w:val="28"/>
        </w:rPr>
        <w:softHyphen/>
        <w:t>ationship would be stretched beyond toler</w:t>
      </w:r>
      <w:r w:rsidRPr="00AA14EA">
        <w:rPr>
          <w:szCs w:val="28"/>
        </w:rPr>
        <w:softHyphen/>
        <w:t>ance by Lund’s emenda</w:t>
      </w:r>
      <w:r w:rsidRPr="00AA14EA">
        <w:rPr>
          <w:szCs w:val="28"/>
        </w:rPr>
        <w:softHyphen/>
        <w:t>tion (</w:t>
      </w:r>
      <w:r>
        <w:rPr>
          <w:szCs w:val="20"/>
          <w:lang w:val="el-GR"/>
        </w:rPr>
        <w:t xml:space="preserve">καὶ τότε διαβλέψεις </w:t>
      </w:r>
      <w:r w:rsidRPr="00AA14EA">
        <w:rPr>
          <w:szCs w:val="28"/>
        </w:rPr>
        <w:t xml:space="preserve">/ </w:t>
      </w:r>
      <w:r>
        <w:rPr>
          <w:szCs w:val="20"/>
          <w:lang w:val="el-GR"/>
        </w:rPr>
        <w:t xml:space="preserve">ἐκ τοῦ ὀφθαλμοῦ </w:t>
      </w:r>
      <w:r w:rsidRPr="00AA14EA">
        <w:rPr>
          <w:szCs w:val="28"/>
        </w:rPr>
        <w:t xml:space="preserve">/ </w:t>
      </w:r>
      <w:r>
        <w:rPr>
          <w:szCs w:val="20"/>
          <w:lang w:val="el-GR"/>
        </w:rPr>
        <w:t xml:space="preserve">ἐκβαλεῖν τὸ κάρφος </w:t>
      </w:r>
      <w:r w:rsidRPr="00AA14EA">
        <w:rPr>
          <w:szCs w:val="28"/>
        </w:rPr>
        <w:t xml:space="preserve">/ </w:t>
      </w:r>
      <w:r>
        <w:rPr>
          <w:szCs w:val="20"/>
          <w:lang w:val="el-GR"/>
        </w:rPr>
        <w:t>τοῦ ἀδελφοῦ σου</w:t>
      </w:r>
      <w:r w:rsidRPr="00AA14EA">
        <w:rPr>
          <w:szCs w:val="28"/>
        </w:rPr>
        <w:t>).</w:t>
      </w:r>
    </w:p>
    <w:p w14:paraId="2F3EC89C" w14:textId="11A56E64" w:rsidR="0018433B" w:rsidRPr="00AA14EA" w:rsidRDefault="0018433B" w:rsidP="0018433B">
      <w:pPr>
        <w:rPr>
          <w:szCs w:val="28"/>
        </w:rPr>
      </w:pPr>
      <w:r w:rsidRPr="00AA14EA">
        <w:rPr>
          <w:szCs w:val="28"/>
        </w:rPr>
        <w:tab/>
        <w:t>We conclude</w:t>
      </w:r>
      <w:r w:rsidR="006F304D" w:rsidRPr="006F304D">
        <w:rPr>
          <w:szCs w:val="28"/>
        </w:rPr>
        <w:t xml:space="preserve">, </w:t>
      </w:r>
      <w:r w:rsidRPr="00AA14EA">
        <w:rPr>
          <w:szCs w:val="28"/>
        </w:rPr>
        <w:t>then</w:t>
      </w:r>
      <w:r w:rsidR="006F304D" w:rsidRPr="006F304D">
        <w:rPr>
          <w:szCs w:val="28"/>
        </w:rPr>
        <w:t xml:space="preserve">, </w:t>
      </w:r>
      <w:r w:rsidRPr="00AA14EA">
        <w:rPr>
          <w:szCs w:val="28"/>
        </w:rPr>
        <w:t>that Lund is incorrect about his two pro</w:t>
      </w:r>
      <w:r w:rsidRPr="00AA14EA">
        <w:rPr>
          <w:szCs w:val="28"/>
        </w:rPr>
        <w:softHyphen/>
        <w:t>posed chi</w:t>
      </w:r>
      <w:r w:rsidRPr="00AA14EA">
        <w:rPr>
          <w:szCs w:val="28"/>
        </w:rPr>
        <w:softHyphen/>
        <w:t>asms</w:t>
      </w:r>
      <w:r w:rsidR="006F304D" w:rsidRPr="006F304D">
        <w:rPr>
          <w:szCs w:val="28"/>
        </w:rPr>
        <w:t xml:space="preserve">, </w:t>
      </w:r>
      <w:r w:rsidRPr="00AA14EA">
        <w:rPr>
          <w:szCs w:val="28"/>
        </w:rPr>
        <w:t>Matt 7:3 and 4-5: neither is likely to have been in</w:t>
      </w:r>
      <w:r w:rsidRPr="00AA14EA">
        <w:rPr>
          <w:szCs w:val="28"/>
        </w:rPr>
        <w:softHyphen/>
        <w:t>tentional. Thus Morgen</w:t>
      </w:r>
      <w:r w:rsidRPr="00AA14EA">
        <w:rPr>
          <w:szCs w:val="28"/>
        </w:rPr>
        <w:softHyphen/>
        <w:t>thaler’s conten</w:t>
      </w:r>
      <w:r w:rsidRPr="00AA14EA">
        <w:rPr>
          <w:szCs w:val="28"/>
        </w:rPr>
        <w:softHyphen/>
        <w:t>tion</w:t>
      </w:r>
      <w:r w:rsidR="006F304D" w:rsidRPr="006F304D">
        <w:rPr>
          <w:szCs w:val="28"/>
        </w:rPr>
        <w:t xml:space="preserve">, </w:t>
      </w:r>
      <w:r w:rsidRPr="00AA14EA">
        <w:rPr>
          <w:szCs w:val="28"/>
        </w:rPr>
        <w:t>that Mat</w:t>
      </w:r>
      <w:r w:rsidRPr="00AA14EA">
        <w:rPr>
          <w:szCs w:val="28"/>
        </w:rPr>
        <w:softHyphen/>
        <w:t>thew’s par</w:t>
      </w:r>
      <w:r w:rsidRPr="00AA14EA">
        <w:rPr>
          <w:szCs w:val="28"/>
        </w:rPr>
        <w:softHyphen/>
        <w:t>allels to Luke 6:41-42 lack chi</w:t>
      </w:r>
      <w:r w:rsidRPr="00AA14EA">
        <w:rPr>
          <w:szCs w:val="28"/>
        </w:rPr>
        <w:softHyphen/>
        <w:t>asm</w:t>
      </w:r>
      <w:r w:rsidR="006F304D" w:rsidRPr="006F304D">
        <w:rPr>
          <w:szCs w:val="28"/>
        </w:rPr>
        <w:t xml:space="preserve">, </w:t>
      </w:r>
      <w:r w:rsidRPr="00AA14EA">
        <w:rPr>
          <w:szCs w:val="28"/>
        </w:rPr>
        <w:t>is correct. But Mor</w:t>
      </w:r>
      <w:r w:rsidRPr="00AA14EA">
        <w:rPr>
          <w:szCs w:val="28"/>
        </w:rPr>
        <w:softHyphen/>
        <w:t>gen</w:t>
      </w:r>
      <w:r w:rsidRPr="00AA14EA">
        <w:rPr>
          <w:szCs w:val="28"/>
        </w:rPr>
        <w:softHyphen/>
        <w:t>thal</w:t>
      </w:r>
      <w:r w:rsidRPr="00AA14EA">
        <w:rPr>
          <w:szCs w:val="28"/>
        </w:rPr>
        <w:softHyphen/>
        <w:t>er has no grounds for gloating: if Matt 7:3—des</w:t>
      </w:r>
      <w:r w:rsidRPr="00AA14EA">
        <w:rPr>
          <w:szCs w:val="28"/>
        </w:rPr>
        <w:softHyphen/>
        <w:t>pite its having the struc</w:t>
      </w:r>
      <w:r w:rsidRPr="00AA14EA">
        <w:rPr>
          <w:szCs w:val="28"/>
        </w:rPr>
        <w:softHyphen/>
        <w:t>ture</w:t>
      </w:r>
      <w:r w:rsidR="006F304D" w:rsidRPr="006F304D">
        <w:rPr>
          <w:szCs w:val="28"/>
        </w:rPr>
        <w:t xml:space="preserve">, </w:t>
      </w:r>
      <w:r w:rsidRPr="00AA14EA">
        <w:rPr>
          <w:szCs w:val="28"/>
        </w:rPr>
        <w:t>verb + object + locale</w:t>
      </w:r>
      <w:r w:rsidR="006F304D" w:rsidRPr="006F304D">
        <w:rPr>
          <w:szCs w:val="28"/>
        </w:rPr>
        <w:t xml:space="preserve">, </w:t>
      </w:r>
      <w:r w:rsidRPr="00AA14EA">
        <w:rPr>
          <w:szCs w:val="28"/>
        </w:rPr>
        <w:t>locale + object + verb—is not an intentional chiasm</w:t>
      </w:r>
      <w:r w:rsidR="006F304D" w:rsidRPr="006F304D">
        <w:rPr>
          <w:szCs w:val="28"/>
        </w:rPr>
        <w:t xml:space="preserve">, </w:t>
      </w:r>
      <w:r w:rsidRPr="00AA14EA">
        <w:rPr>
          <w:szCs w:val="28"/>
        </w:rPr>
        <w:t>then neith</w:t>
      </w:r>
      <w:r w:rsidRPr="00AA14EA">
        <w:rPr>
          <w:szCs w:val="28"/>
        </w:rPr>
        <w:softHyphen/>
        <w:t>er should Luke 6:42bc be given that title</w:t>
      </w:r>
      <w:r w:rsidR="006F304D" w:rsidRPr="006F304D">
        <w:rPr>
          <w:szCs w:val="28"/>
        </w:rPr>
        <w:t xml:space="preserve">, </w:t>
      </w:r>
      <w:r w:rsidRPr="00AA14EA">
        <w:rPr>
          <w:szCs w:val="28"/>
        </w:rPr>
        <w:t>since 6:42bc has the same struc</w:t>
      </w:r>
      <w:r w:rsidRPr="00AA14EA">
        <w:rPr>
          <w:szCs w:val="28"/>
        </w:rPr>
        <w:softHyphen/>
        <w:t>ture. Since Morgen</w:t>
      </w:r>
      <w:r w:rsidRPr="00AA14EA">
        <w:rPr>
          <w:szCs w:val="28"/>
        </w:rPr>
        <w:softHyphen/>
        <w:t>thaler denies chi</w:t>
      </w:r>
      <w:r w:rsidRPr="00AA14EA">
        <w:rPr>
          <w:szCs w:val="28"/>
        </w:rPr>
        <w:softHyphen/>
        <w:t>asm in the Mat</w:t>
      </w:r>
      <w:r w:rsidRPr="00AA14EA">
        <w:rPr>
          <w:szCs w:val="28"/>
        </w:rPr>
        <w:softHyphen/>
        <w:t>thean verses</w:t>
      </w:r>
      <w:r w:rsidR="006F304D" w:rsidRPr="006F304D">
        <w:rPr>
          <w:szCs w:val="28"/>
        </w:rPr>
        <w:t xml:space="preserve">, </w:t>
      </w:r>
      <w:r w:rsidRPr="00AA14EA">
        <w:rPr>
          <w:szCs w:val="28"/>
        </w:rPr>
        <w:t>he has no ground for proposing it for the Lukan verse. Morgen</w:t>
      </w:r>
      <w:r w:rsidRPr="00AA14EA">
        <w:rPr>
          <w:szCs w:val="28"/>
        </w:rPr>
        <w:softHyphen/>
        <w:t>thaler’s appeal to Mat</w:t>
      </w:r>
      <w:r w:rsidRPr="00AA14EA">
        <w:rPr>
          <w:szCs w:val="28"/>
        </w:rPr>
        <w:softHyphen/>
        <w:t>thew’s lack of chiasm</w:t>
      </w:r>
      <w:r w:rsidR="006F304D" w:rsidRPr="006F304D">
        <w:rPr>
          <w:szCs w:val="28"/>
        </w:rPr>
        <w:t xml:space="preserve">, </w:t>
      </w:r>
      <w:r w:rsidRPr="00AA14EA">
        <w:rPr>
          <w:szCs w:val="28"/>
        </w:rPr>
        <w:t>in order to bol</w:t>
      </w:r>
      <w:r w:rsidRPr="00AA14EA">
        <w:rPr>
          <w:szCs w:val="28"/>
        </w:rPr>
        <w:softHyphen/>
        <w:t>ster his claim that chiasms exist in Luke 6:41-42</w:t>
      </w:r>
      <w:r w:rsidR="006F304D" w:rsidRPr="006F304D">
        <w:rPr>
          <w:szCs w:val="28"/>
        </w:rPr>
        <w:t xml:space="preserve">, </w:t>
      </w:r>
      <w:r w:rsidRPr="00AA14EA">
        <w:rPr>
          <w:szCs w:val="28"/>
        </w:rPr>
        <w:t>ul</w:t>
      </w:r>
      <w:r w:rsidRPr="00AA14EA">
        <w:rPr>
          <w:szCs w:val="28"/>
        </w:rPr>
        <w:softHyphen/>
        <w:t>timately comes to the same end as his attempt to prove the exis</w:t>
      </w:r>
      <w:r w:rsidRPr="00AA14EA">
        <w:rPr>
          <w:szCs w:val="28"/>
        </w:rPr>
        <w:softHyphen/>
        <w:t>tence of chi</w:t>
      </w:r>
      <w:r w:rsidRPr="00AA14EA">
        <w:rPr>
          <w:szCs w:val="28"/>
        </w:rPr>
        <w:softHyphen/>
        <w:t>asms on the basis of the verses’ in</w:t>
      </w:r>
      <w:r w:rsidRPr="00AA14EA">
        <w:rPr>
          <w:szCs w:val="28"/>
        </w:rPr>
        <w:softHyphen/>
        <w:t>ter</w:t>
      </w:r>
      <w:r w:rsidRPr="00AA14EA">
        <w:rPr>
          <w:szCs w:val="28"/>
        </w:rPr>
        <w:softHyphen/>
        <w:t>nal struc</w:t>
      </w:r>
      <w:r w:rsidRPr="00AA14EA">
        <w:rPr>
          <w:szCs w:val="28"/>
        </w:rPr>
        <w:softHyphen/>
        <w:t>ture: neither effort is persuasive.</w:t>
      </w:r>
    </w:p>
    <w:p w14:paraId="16A2DDB8" w14:textId="48A316C1" w:rsidR="0018433B" w:rsidRPr="00AA14EA" w:rsidRDefault="0018433B" w:rsidP="0018433B">
      <w:pPr>
        <w:rPr>
          <w:szCs w:val="28"/>
        </w:rPr>
      </w:pPr>
      <w:r w:rsidRPr="00AA14EA">
        <w:rPr>
          <w:szCs w:val="28"/>
        </w:rPr>
        <w:tab/>
        <w:t>There remains no real reason to assume chiasm in any of the three sen</w:t>
      </w:r>
      <w:r w:rsidRPr="00AA14EA">
        <w:rPr>
          <w:szCs w:val="28"/>
        </w:rPr>
        <w:softHyphen/>
        <w:t>tences in Luke 6:41-42. More probab</w:t>
      </w:r>
      <w:r w:rsidRPr="00AA14EA">
        <w:rPr>
          <w:szCs w:val="28"/>
        </w:rPr>
        <w:softHyphen/>
        <w:t>ly</w:t>
      </w:r>
      <w:r w:rsidR="006F304D" w:rsidRPr="006F304D">
        <w:rPr>
          <w:szCs w:val="28"/>
        </w:rPr>
        <w:t xml:space="preserve">, </w:t>
      </w:r>
      <w:r w:rsidRPr="00AA14EA">
        <w:rPr>
          <w:szCs w:val="28"/>
        </w:rPr>
        <w:t>the necessary recur</w:t>
      </w:r>
      <w:r w:rsidRPr="00AA14EA">
        <w:rPr>
          <w:szCs w:val="28"/>
        </w:rPr>
        <w:softHyphen/>
        <w:t>rence of many of the terms—</w:t>
      </w:r>
      <w:r w:rsidRPr="0053445E">
        <w:rPr>
          <w:szCs w:val="20"/>
          <w:lang w:val="el-GR"/>
        </w:rPr>
        <w:t>ὀ</w:t>
      </w:r>
      <w:proofErr w:type="spellStart"/>
      <w:r w:rsidRPr="00AA14EA">
        <w:rPr>
          <w:szCs w:val="28"/>
        </w:rPr>
        <w:t>φθ</w:t>
      </w:r>
      <w:proofErr w:type="spellEnd"/>
      <w:r w:rsidRPr="00AA14EA">
        <w:rPr>
          <w:szCs w:val="28"/>
        </w:rPr>
        <w:t>αλμός</w:t>
      </w:r>
      <w:r w:rsidR="006F304D" w:rsidRPr="006F304D">
        <w:rPr>
          <w:szCs w:val="28"/>
        </w:rPr>
        <w:t xml:space="preserve">, </w:t>
      </w:r>
      <w:r w:rsidRPr="00AA14EA">
        <w:rPr>
          <w:szCs w:val="28"/>
        </w:rPr>
        <w:t>for example</w:t>
      </w:r>
      <w:r w:rsidR="006F304D" w:rsidRPr="006F304D">
        <w:rPr>
          <w:szCs w:val="28"/>
        </w:rPr>
        <w:t xml:space="preserve">, </w:t>
      </w:r>
      <w:r w:rsidRPr="00AA14EA">
        <w:rPr>
          <w:szCs w:val="28"/>
        </w:rPr>
        <w:t>appears six times in the two verses—has caused some of them to fall into a pattern constru</w:t>
      </w:r>
      <w:r w:rsidRPr="00AA14EA">
        <w:rPr>
          <w:szCs w:val="28"/>
        </w:rPr>
        <w:softHyphen/>
        <w:t>able as chi</w:t>
      </w:r>
      <w:r w:rsidRPr="00AA14EA">
        <w:rPr>
          <w:szCs w:val="28"/>
        </w:rPr>
        <w:softHyphen/>
        <w:t>asm. If this happenstance occurred in Luke 6:41</w:t>
      </w:r>
      <w:r w:rsidR="006F304D" w:rsidRPr="006F304D">
        <w:rPr>
          <w:szCs w:val="28"/>
        </w:rPr>
        <w:t xml:space="preserve">, </w:t>
      </w:r>
      <w:r w:rsidRPr="00AA14EA">
        <w:rPr>
          <w:szCs w:val="28"/>
        </w:rPr>
        <w:t>then 6:42 becomes immediately explic</w:t>
      </w:r>
      <w:r w:rsidRPr="00AA14EA">
        <w:rPr>
          <w:szCs w:val="28"/>
        </w:rPr>
        <w:softHyphen/>
        <w:t>able as well: Luke probably inten</w:t>
      </w:r>
      <w:r w:rsidRPr="00AA14EA">
        <w:rPr>
          <w:szCs w:val="28"/>
        </w:rPr>
        <w:softHyphen/>
        <w:t>ded 42 to form a syn</w:t>
      </w:r>
      <w:r w:rsidRPr="00AA14EA">
        <w:rPr>
          <w:szCs w:val="28"/>
        </w:rPr>
        <w:softHyphen/>
        <w:t>on</w:t>
      </w:r>
      <w:r w:rsidRPr="00AA14EA">
        <w:rPr>
          <w:szCs w:val="28"/>
        </w:rPr>
        <w:softHyphen/>
        <w:t>ymous par</w:t>
      </w:r>
      <w:r w:rsidRPr="00AA14EA">
        <w:rPr>
          <w:szCs w:val="28"/>
        </w:rPr>
        <w:softHyphen/>
        <w:t>allelism with 41</w:t>
      </w:r>
      <w:r w:rsidR="006F304D" w:rsidRPr="006F304D">
        <w:rPr>
          <w:szCs w:val="28"/>
        </w:rPr>
        <w:t xml:space="preserve">, </w:t>
      </w:r>
      <w:r w:rsidRPr="00AA14EA">
        <w:rPr>
          <w:szCs w:val="28"/>
        </w:rPr>
        <w:t>since both have the same form (rhe</w:t>
      </w:r>
      <w:r w:rsidRPr="00AA14EA">
        <w:rPr>
          <w:szCs w:val="28"/>
        </w:rPr>
        <w:softHyphen/>
        <w:t>torical ques</w:t>
      </w:r>
      <w:r w:rsidRPr="00AA14EA">
        <w:rPr>
          <w:szCs w:val="28"/>
        </w:rPr>
        <w:softHyphen/>
        <w:t>tion) and the same content (42 restates</w:t>
      </w:r>
      <w:r w:rsidR="006F304D" w:rsidRPr="006F304D">
        <w:rPr>
          <w:szCs w:val="28"/>
        </w:rPr>
        <w:t xml:space="preserve">, </w:t>
      </w:r>
      <w:r w:rsidRPr="00AA14EA">
        <w:rPr>
          <w:szCs w:val="28"/>
        </w:rPr>
        <w:t>partly in di</w:t>
      </w:r>
      <w:r w:rsidRPr="00AA14EA">
        <w:rPr>
          <w:szCs w:val="28"/>
        </w:rPr>
        <w:softHyphen/>
        <w:t>rect address</w:t>
      </w:r>
      <w:r w:rsidR="006F304D" w:rsidRPr="006F304D">
        <w:rPr>
          <w:szCs w:val="28"/>
        </w:rPr>
        <w:t xml:space="preserve">, </w:t>
      </w:r>
      <w:r w:rsidRPr="00AA14EA">
        <w:rPr>
          <w:szCs w:val="28"/>
        </w:rPr>
        <w:t>the thought of 41).</w:t>
      </w:r>
      <w:r w:rsidRPr="00AA14EA">
        <w:rPr>
          <w:rStyle w:val="FootnoteReference"/>
          <w:szCs w:val="28"/>
        </w:rPr>
        <w:footnoteReference w:id="452"/>
      </w:r>
      <w:r w:rsidRPr="00AA14EA">
        <w:rPr>
          <w:szCs w:val="28"/>
        </w:rPr>
        <w:t xml:space="preserve"> If the former verse fell into a for</w:t>
      </w:r>
      <w:r w:rsidRPr="00AA14EA">
        <w:rPr>
          <w:szCs w:val="28"/>
        </w:rPr>
        <w:softHyphen/>
        <w:t>tui</w:t>
      </w:r>
      <w:r w:rsidRPr="00AA14EA">
        <w:rPr>
          <w:szCs w:val="28"/>
        </w:rPr>
        <w:softHyphen/>
        <w:t>tous inver</w:t>
      </w:r>
      <w:r w:rsidRPr="00AA14EA">
        <w:rPr>
          <w:szCs w:val="28"/>
        </w:rPr>
        <w:softHyphen/>
        <w:t>sion of elements</w:t>
      </w:r>
      <w:r w:rsidR="006F304D" w:rsidRPr="006F304D">
        <w:rPr>
          <w:szCs w:val="28"/>
        </w:rPr>
        <w:t xml:space="preserve">, </w:t>
      </w:r>
      <w:r w:rsidRPr="00AA14EA">
        <w:rPr>
          <w:szCs w:val="28"/>
        </w:rPr>
        <w:t>the latter would fol</w:t>
      </w:r>
      <w:r w:rsidRPr="00AA14EA">
        <w:rPr>
          <w:szCs w:val="28"/>
        </w:rPr>
        <w:softHyphen/>
        <w:t>low the same pat</w:t>
      </w:r>
      <w:r w:rsidRPr="00AA14EA">
        <w:rPr>
          <w:szCs w:val="28"/>
        </w:rPr>
        <w:softHyphen/>
        <w:t>tern.</w:t>
      </w:r>
    </w:p>
    <w:p w14:paraId="0120958B" w14:textId="44D4EAE7" w:rsidR="0018433B" w:rsidRPr="00AA14EA" w:rsidRDefault="0018433B" w:rsidP="0018433B">
      <w:pPr>
        <w:rPr>
          <w:szCs w:val="28"/>
        </w:rPr>
      </w:pPr>
      <w:bookmarkStart w:id="50" w:name="chiasm_2__Morgenthaler__44_45"/>
      <w:bookmarkEnd w:id="50"/>
      <w:r w:rsidRPr="00AA14EA">
        <w:rPr>
          <w:szCs w:val="28"/>
        </w:rPr>
        <w:tab/>
        <w:t>So much for Luke 6:41-42</w:t>
      </w:r>
      <w:r w:rsidR="006F304D" w:rsidRPr="006F304D">
        <w:rPr>
          <w:szCs w:val="28"/>
        </w:rPr>
        <w:t xml:space="preserve">, </w:t>
      </w:r>
      <w:r w:rsidRPr="00AA14EA">
        <w:rPr>
          <w:szCs w:val="28"/>
        </w:rPr>
        <w:t>the first of the passages in the sermon on the plain in which Morgenthaler claims to find chiasms. But there is a second</w:t>
      </w:r>
      <w:r>
        <w:rPr>
          <w:szCs w:val="28"/>
        </w:rPr>
        <w:t xml:space="preserve"> passage</w:t>
      </w:r>
      <w:r w:rsidR="006F304D" w:rsidRPr="006F304D">
        <w:rPr>
          <w:szCs w:val="28"/>
        </w:rPr>
        <w:t xml:space="preserve">, </w:t>
      </w:r>
      <w:r w:rsidRPr="00AA14EA">
        <w:rPr>
          <w:szCs w:val="28"/>
        </w:rPr>
        <w:t>6:44-45</w:t>
      </w:r>
      <w:r w:rsidR="006F304D" w:rsidRPr="006F304D">
        <w:rPr>
          <w:szCs w:val="28"/>
        </w:rPr>
        <w:t xml:space="preserve">, </w:t>
      </w:r>
      <w:r>
        <w:rPr>
          <w:szCs w:val="28"/>
        </w:rPr>
        <w:t xml:space="preserve">in which </w:t>
      </w:r>
      <w:r w:rsidRPr="00AA14EA">
        <w:rPr>
          <w:szCs w:val="28"/>
        </w:rPr>
        <w:t xml:space="preserve">he claims to find </w:t>
      </w:r>
      <w:r>
        <w:rPr>
          <w:szCs w:val="28"/>
        </w:rPr>
        <w:t xml:space="preserve">a </w:t>
      </w:r>
      <w:r w:rsidRPr="00AA14EA">
        <w:rPr>
          <w:szCs w:val="28"/>
        </w:rPr>
        <w:t>sim</w:t>
      </w:r>
      <w:r w:rsidRPr="00AA14EA">
        <w:rPr>
          <w:szCs w:val="28"/>
        </w:rPr>
        <w:softHyphen/>
        <w:t>pler chi</w:t>
      </w:r>
      <w:r w:rsidRPr="00AA14EA">
        <w:rPr>
          <w:szCs w:val="28"/>
        </w:rPr>
        <w:softHyphen/>
        <w:t xml:space="preserve">asm. </w:t>
      </w:r>
      <w:r>
        <w:rPr>
          <w:szCs w:val="28"/>
        </w:rPr>
        <w:t xml:space="preserve">He </w:t>
      </w:r>
      <w:r>
        <w:rPr>
          <w:szCs w:val="28"/>
        </w:rPr>
        <w:softHyphen/>
      </w:r>
      <w:r>
        <w:rPr>
          <w:szCs w:val="28"/>
        </w:rPr>
        <w:softHyphen/>
        <w:t>calls the</w:t>
      </w:r>
      <w:r w:rsidRPr="00AA14EA">
        <w:rPr>
          <w:szCs w:val="28"/>
        </w:rPr>
        <w:t xml:space="preserve"> ver</w:t>
      </w:r>
      <w:r w:rsidRPr="00AA14EA">
        <w:rPr>
          <w:szCs w:val="28"/>
        </w:rPr>
        <w:softHyphen/>
        <w:t>ses a “tris</w:t>
      </w:r>
      <w:r w:rsidRPr="00AA14EA">
        <w:rPr>
          <w:szCs w:val="28"/>
        </w:rPr>
        <w:softHyphen/>
        <w:t>tich.” They read:</w:t>
      </w:r>
    </w:p>
    <w:p w14:paraId="5A15A3BA" w14:textId="77777777" w:rsidR="0018433B" w:rsidRPr="00AA14EA" w:rsidRDefault="0018433B" w:rsidP="0018433B">
      <w:pPr>
        <w:rPr>
          <w:szCs w:val="28"/>
        </w:rPr>
      </w:pPr>
    </w:p>
    <w:p w14:paraId="0B36F330" w14:textId="77777777" w:rsidR="0018433B" w:rsidRPr="00AA14EA" w:rsidRDefault="0018433B" w:rsidP="0018433B">
      <w:pPr>
        <w:ind w:left="720"/>
        <w:rPr>
          <w:szCs w:val="28"/>
        </w:rPr>
      </w:pPr>
      <w:r w:rsidRPr="00AA14EA">
        <w:rPr>
          <w:szCs w:val="28"/>
        </w:rPr>
        <w:t>44a</w:t>
      </w:r>
      <w:r w:rsidRPr="00AA14EA">
        <w:rPr>
          <w:szCs w:val="28"/>
        </w:rPr>
        <w:tab/>
      </w:r>
      <w:r w:rsidRPr="00CE06CA">
        <w:rPr>
          <w:bCs/>
          <w:szCs w:val="22"/>
          <w:lang w:val="el-GR"/>
        </w:rPr>
        <w:t>ἕκαστον γὰρ δένδρον ἐκ τοῦ ἰδίου καρποῦ γινώσκεται·</w:t>
      </w:r>
    </w:p>
    <w:p w14:paraId="561C247F" w14:textId="77777777" w:rsidR="0018433B" w:rsidRPr="00AA14EA" w:rsidRDefault="0018433B" w:rsidP="0018433B">
      <w:pPr>
        <w:ind w:left="720"/>
        <w:rPr>
          <w:szCs w:val="28"/>
        </w:rPr>
      </w:pPr>
      <w:r w:rsidRPr="00AA14EA">
        <w:rPr>
          <w:szCs w:val="28"/>
        </w:rPr>
        <w:t>44b</w:t>
      </w:r>
      <w:r w:rsidRPr="00AA14EA">
        <w:rPr>
          <w:szCs w:val="28"/>
        </w:rPr>
        <w:tab/>
      </w:r>
      <w:r w:rsidRPr="00CE06CA">
        <w:rPr>
          <w:bCs/>
          <w:szCs w:val="22"/>
          <w:lang w:val="el-GR"/>
        </w:rPr>
        <w:t>οὐ γὰρ ἐξ ἀκανθῶν συλλέγουσιν σῦκα</w:t>
      </w:r>
    </w:p>
    <w:p w14:paraId="10B0EE7C" w14:textId="77777777" w:rsidR="0018433B" w:rsidRPr="00AA14EA" w:rsidRDefault="0018433B" w:rsidP="0018433B">
      <w:pPr>
        <w:ind w:left="720"/>
        <w:rPr>
          <w:szCs w:val="28"/>
        </w:rPr>
      </w:pPr>
      <w:r w:rsidRPr="00AA14EA">
        <w:rPr>
          <w:szCs w:val="28"/>
        </w:rPr>
        <w:t>44c</w:t>
      </w:r>
      <w:r w:rsidRPr="00AA14EA">
        <w:rPr>
          <w:szCs w:val="28"/>
        </w:rPr>
        <w:tab/>
      </w:r>
      <w:r w:rsidRPr="00CE06CA">
        <w:rPr>
          <w:bCs/>
          <w:szCs w:val="22"/>
          <w:lang w:val="el-GR"/>
        </w:rPr>
        <w:t>οὐδὲ ἐκ βάτου σταφυλὴν τρυγῶσιν.</w:t>
      </w:r>
    </w:p>
    <w:p w14:paraId="6EB9D66C" w14:textId="77777777" w:rsidR="0018433B" w:rsidRPr="00AA14EA" w:rsidRDefault="0018433B" w:rsidP="0018433B">
      <w:pPr>
        <w:ind w:left="720"/>
        <w:rPr>
          <w:szCs w:val="28"/>
        </w:rPr>
      </w:pPr>
      <w:r w:rsidRPr="00AA14EA">
        <w:rPr>
          <w:szCs w:val="28"/>
        </w:rPr>
        <w:t>45a</w:t>
      </w:r>
      <w:r w:rsidRPr="00AA14EA">
        <w:rPr>
          <w:szCs w:val="28"/>
        </w:rPr>
        <w:tab/>
      </w:r>
      <w:r w:rsidRPr="00CE06CA">
        <w:rPr>
          <w:bCs/>
          <w:szCs w:val="22"/>
          <w:lang w:val="el-GR"/>
        </w:rPr>
        <w:t>ὁ ἀγαθὸς ἄνθρωπος ἐκ τοῦ ἀγαθοῦ θησαυροῦ τῆς καρδίας προφέρει τὸ ἀγαθόν,</w:t>
      </w:r>
    </w:p>
    <w:p w14:paraId="6A63E318" w14:textId="77777777" w:rsidR="0018433B" w:rsidRPr="00AA14EA" w:rsidRDefault="0018433B" w:rsidP="0018433B">
      <w:pPr>
        <w:ind w:left="720"/>
        <w:rPr>
          <w:szCs w:val="28"/>
        </w:rPr>
      </w:pPr>
      <w:r w:rsidRPr="00AA14EA">
        <w:rPr>
          <w:szCs w:val="28"/>
        </w:rPr>
        <w:t>45b</w:t>
      </w:r>
      <w:r w:rsidRPr="00AA14EA">
        <w:rPr>
          <w:szCs w:val="28"/>
        </w:rPr>
        <w:tab/>
      </w:r>
      <w:r w:rsidRPr="00CE06CA">
        <w:rPr>
          <w:bCs/>
          <w:szCs w:val="22"/>
          <w:lang w:val="el-GR"/>
        </w:rPr>
        <w:t>καὶ ὁ πονηρὸς ἐκ τοῦ πονηροῦ προφέρει τὸ πονηρόν·</w:t>
      </w:r>
    </w:p>
    <w:p w14:paraId="150C0549" w14:textId="77777777" w:rsidR="0018433B" w:rsidRPr="00AA14EA" w:rsidRDefault="0018433B" w:rsidP="0018433B">
      <w:pPr>
        <w:ind w:left="720"/>
        <w:rPr>
          <w:szCs w:val="28"/>
        </w:rPr>
      </w:pPr>
      <w:r w:rsidRPr="00AA14EA">
        <w:rPr>
          <w:szCs w:val="28"/>
        </w:rPr>
        <w:t>45c</w:t>
      </w:r>
      <w:r w:rsidRPr="00AA14EA">
        <w:rPr>
          <w:szCs w:val="28"/>
        </w:rPr>
        <w:tab/>
      </w:r>
      <w:r w:rsidRPr="00CE06CA">
        <w:rPr>
          <w:bCs/>
          <w:szCs w:val="22"/>
          <w:lang w:val="el-GR"/>
        </w:rPr>
        <w:t>ἐκ γὰρ περισσεύματος καρδίας λαλεῖ τὸ στόμα αὐτοῦ.</w:t>
      </w:r>
    </w:p>
    <w:p w14:paraId="093374C6" w14:textId="77777777" w:rsidR="0018433B" w:rsidRPr="00AA14EA" w:rsidRDefault="0018433B" w:rsidP="0018433B">
      <w:pPr>
        <w:rPr>
          <w:szCs w:val="28"/>
        </w:rPr>
      </w:pPr>
    </w:p>
    <w:p w14:paraId="16138CB3" w14:textId="77777777" w:rsidR="0018433B" w:rsidRPr="00AA14EA" w:rsidRDefault="0018433B" w:rsidP="0018433B">
      <w:pPr>
        <w:ind w:left="720"/>
        <w:rPr>
          <w:szCs w:val="28"/>
        </w:rPr>
      </w:pPr>
      <w:r w:rsidRPr="00AA14EA">
        <w:rPr>
          <w:szCs w:val="28"/>
        </w:rPr>
        <w:t>44a</w:t>
      </w:r>
      <w:r w:rsidRPr="00AA14EA">
        <w:rPr>
          <w:szCs w:val="28"/>
        </w:rPr>
        <w:tab/>
        <w:t>for each tree is known by its own fruit.</w:t>
      </w:r>
    </w:p>
    <w:p w14:paraId="07096E6C" w14:textId="77777777" w:rsidR="0018433B" w:rsidRPr="00AA14EA" w:rsidRDefault="0018433B" w:rsidP="0018433B">
      <w:pPr>
        <w:ind w:left="720"/>
        <w:rPr>
          <w:szCs w:val="28"/>
        </w:rPr>
      </w:pPr>
      <w:r w:rsidRPr="00AA14EA">
        <w:rPr>
          <w:szCs w:val="28"/>
        </w:rPr>
        <w:t>44b</w:t>
      </w:r>
      <w:r w:rsidRPr="00AA14EA">
        <w:rPr>
          <w:szCs w:val="28"/>
        </w:rPr>
        <w:tab/>
        <w:t>Figs are not gathered from thorns,</w:t>
      </w:r>
    </w:p>
    <w:p w14:paraId="0FDDCBFA" w14:textId="77777777" w:rsidR="0018433B" w:rsidRPr="00AA14EA" w:rsidRDefault="0018433B" w:rsidP="0018433B">
      <w:pPr>
        <w:ind w:left="720"/>
        <w:rPr>
          <w:szCs w:val="28"/>
        </w:rPr>
      </w:pPr>
      <w:r w:rsidRPr="00AA14EA">
        <w:rPr>
          <w:szCs w:val="28"/>
        </w:rPr>
        <w:t>44c</w:t>
      </w:r>
      <w:r w:rsidRPr="00AA14EA">
        <w:rPr>
          <w:szCs w:val="28"/>
        </w:rPr>
        <w:tab/>
        <w:t>nor are grapes picked from a bramble bush.</w:t>
      </w:r>
    </w:p>
    <w:p w14:paraId="4AE6E5C6" w14:textId="77777777" w:rsidR="0018433B" w:rsidRPr="00AA14EA" w:rsidRDefault="0018433B" w:rsidP="0018433B">
      <w:pPr>
        <w:ind w:left="720"/>
        <w:rPr>
          <w:szCs w:val="28"/>
        </w:rPr>
      </w:pPr>
      <w:r w:rsidRPr="00AA14EA">
        <w:rPr>
          <w:szCs w:val="28"/>
        </w:rPr>
        <w:t>45a</w:t>
      </w:r>
      <w:r w:rsidRPr="00AA14EA">
        <w:rPr>
          <w:szCs w:val="28"/>
        </w:rPr>
        <w:tab/>
        <w:t>The good person out of the good treasure of the heart produces good,</w:t>
      </w:r>
    </w:p>
    <w:p w14:paraId="1709C05D" w14:textId="77777777" w:rsidR="0018433B" w:rsidRPr="00AA14EA" w:rsidRDefault="0018433B" w:rsidP="0018433B">
      <w:pPr>
        <w:ind w:left="720"/>
        <w:rPr>
          <w:szCs w:val="28"/>
        </w:rPr>
      </w:pPr>
      <w:r w:rsidRPr="00AA14EA">
        <w:rPr>
          <w:szCs w:val="28"/>
        </w:rPr>
        <w:t>45b</w:t>
      </w:r>
      <w:r w:rsidRPr="00AA14EA">
        <w:rPr>
          <w:szCs w:val="28"/>
        </w:rPr>
        <w:tab/>
        <w:t>and the evil person out of evil treasure produces evil;</w:t>
      </w:r>
    </w:p>
    <w:p w14:paraId="6C2564AF" w14:textId="77777777" w:rsidR="0018433B" w:rsidRPr="00AA14EA" w:rsidRDefault="0018433B" w:rsidP="0018433B">
      <w:pPr>
        <w:ind w:left="720"/>
        <w:rPr>
          <w:szCs w:val="28"/>
        </w:rPr>
      </w:pPr>
      <w:r w:rsidRPr="00AA14EA">
        <w:rPr>
          <w:szCs w:val="28"/>
        </w:rPr>
        <w:t>45c</w:t>
      </w:r>
      <w:r w:rsidRPr="00AA14EA">
        <w:rPr>
          <w:szCs w:val="28"/>
        </w:rPr>
        <w:tab/>
        <w:t>for it is out of the abundance of the heart the mouth speaks.</w:t>
      </w:r>
    </w:p>
    <w:p w14:paraId="7194708D" w14:textId="77777777" w:rsidR="0018433B" w:rsidRPr="00AA14EA" w:rsidRDefault="0018433B" w:rsidP="0018433B">
      <w:pPr>
        <w:rPr>
          <w:szCs w:val="28"/>
        </w:rPr>
      </w:pPr>
    </w:p>
    <w:p w14:paraId="66AECF7A" w14:textId="3E2F73AC" w:rsidR="0018433B" w:rsidRPr="00AA14EA" w:rsidRDefault="0018433B" w:rsidP="0018433B">
      <w:pPr>
        <w:rPr>
          <w:szCs w:val="28"/>
        </w:rPr>
      </w:pPr>
      <w:r w:rsidRPr="00AA14EA">
        <w:rPr>
          <w:szCs w:val="28"/>
        </w:rPr>
        <w:tab/>
        <w:t>It is not clear why Morgen</w:t>
      </w:r>
      <w:r w:rsidRPr="00AA14EA">
        <w:rPr>
          <w:szCs w:val="28"/>
        </w:rPr>
        <w:softHyphen/>
        <w:t>thaler separates 44-45 from 43</w:t>
      </w:r>
      <w:r w:rsidR="006F304D" w:rsidRPr="006F304D">
        <w:rPr>
          <w:szCs w:val="28"/>
        </w:rPr>
        <w:t xml:space="preserve">, </w:t>
      </w:r>
      <w:r w:rsidRPr="00AA14EA">
        <w:rPr>
          <w:szCs w:val="28"/>
        </w:rPr>
        <w:t>which also uses the tree-and-fruit metaphor (</w:t>
      </w:r>
      <w:r>
        <w:rPr>
          <w:szCs w:val="28"/>
        </w:rPr>
        <w:t>43 reads</w:t>
      </w:r>
      <w:r w:rsidR="006F304D" w:rsidRPr="006F304D">
        <w:rPr>
          <w:szCs w:val="28"/>
        </w:rPr>
        <w:t xml:space="preserve">, </w:t>
      </w:r>
      <w:r w:rsidRPr="00AA14EA">
        <w:rPr>
          <w:szCs w:val="28"/>
        </w:rPr>
        <w:t>“No good tree bears bad fruit</w:t>
      </w:r>
      <w:r w:rsidR="006F304D" w:rsidRPr="006F304D">
        <w:rPr>
          <w:szCs w:val="28"/>
        </w:rPr>
        <w:t xml:space="preserve">, </w:t>
      </w:r>
      <w:r w:rsidRPr="00AA14EA">
        <w:rPr>
          <w:szCs w:val="28"/>
        </w:rPr>
        <w:t>nor again does a bad tree bear good fruit</w:t>
      </w:r>
      <w:r>
        <w:rPr>
          <w:szCs w:val="28"/>
        </w:rPr>
        <w:t>”).</w:t>
      </w:r>
      <w:r w:rsidRPr="00AA14EA">
        <w:rPr>
          <w:szCs w:val="28"/>
        </w:rPr>
        <w:t xml:space="preserve"> </w:t>
      </w:r>
      <w:r>
        <w:rPr>
          <w:szCs w:val="28"/>
        </w:rPr>
        <w:lastRenderedPageBreak/>
        <w:t>N</w:t>
      </w:r>
      <w:r w:rsidRPr="00AA14EA">
        <w:rPr>
          <w:szCs w:val="28"/>
        </w:rPr>
        <w:t>or is it entirely clear how 44-45 is divisi</w:t>
      </w:r>
      <w:r w:rsidRPr="00AA14EA">
        <w:rPr>
          <w:szCs w:val="28"/>
        </w:rPr>
        <w:softHyphen/>
        <w:t>ble into a tristich</w:t>
      </w:r>
      <w:r>
        <w:rPr>
          <w:szCs w:val="28"/>
        </w:rPr>
        <w:t>. (</w:t>
      </w:r>
      <w:r w:rsidRPr="00AA14EA">
        <w:rPr>
          <w:szCs w:val="28"/>
        </w:rPr>
        <w:t>Perhaps he means 44b-45</w:t>
      </w:r>
      <w:r w:rsidR="006F304D" w:rsidRPr="006F304D">
        <w:rPr>
          <w:szCs w:val="28"/>
        </w:rPr>
        <w:t xml:space="preserve">, </w:t>
      </w:r>
      <w:r w:rsidRPr="00AA14EA">
        <w:rPr>
          <w:szCs w:val="28"/>
        </w:rPr>
        <w:t>since 44a really belongs with 43</w:t>
      </w:r>
      <w:r>
        <w:rPr>
          <w:szCs w:val="28"/>
        </w:rPr>
        <w:t>;</w:t>
      </w:r>
      <w:r w:rsidRPr="00AA14EA">
        <w:rPr>
          <w:szCs w:val="28"/>
        </w:rPr>
        <w:t xml:space="preserve"> </w:t>
      </w:r>
      <w:r>
        <w:rPr>
          <w:szCs w:val="28"/>
        </w:rPr>
        <w:t xml:space="preserve">but </w:t>
      </w:r>
      <w:r w:rsidRPr="00AA14EA">
        <w:rPr>
          <w:szCs w:val="28"/>
        </w:rPr>
        <w:t xml:space="preserve">44b-45 </w:t>
      </w:r>
      <w:r>
        <w:rPr>
          <w:szCs w:val="28"/>
        </w:rPr>
        <w:t>are still not a tristich</w:t>
      </w:r>
      <w:r w:rsidRPr="00AA14EA">
        <w:rPr>
          <w:szCs w:val="28"/>
        </w:rPr>
        <w:t>.</w:t>
      </w:r>
      <w:r>
        <w:rPr>
          <w:szCs w:val="28"/>
        </w:rPr>
        <w:t>)</w:t>
      </w:r>
      <w:r w:rsidRPr="00AA14EA">
        <w:rPr>
          <w:szCs w:val="28"/>
        </w:rPr>
        <w:t xml:space="preserve"> At any rate</w:t>
      </w:r>
      <w:r w:rsidR="006F304D" w:rsidRPr="006F304D">
        <w:rPr>
          <w:szCs w:val="28"/>
        </w:rPr>
        <w:t xml:space="preserve">, </w:t>
      </w:r>
      <w:r w:rsidRPr="00AA14EA">
        <w:rPr>
          <w:szCs w:val="28"/>
        </w:rPr>
        <w:t>in an earlier refer</w:t>
      </w:r>
      <w:r w:rsidRPr="00AA14EA">
        <w:rPr>
          <w:szCs w:val="28"/>
        </w:rPr>
        <w:softHyphen/>
        <w:t xml:space="preserve">ence to these verses he quotes the exact words which he believes to form the chiasm: </w:t>
      </w:r>
      <w:r w:rsidRPr="00CE06CA">
        <w:rPr>
          <w:bCs/>
          <w:szCs w:val="22"/>
          <w:lang w:val="el-GR"/>
        </w:rPr>
        <w:t>συλλέγουσιν σῦκα</w:t>
      </w:r>
      <w:r w:rsidRPr="00AA14EA">
        <w:rPr>
          <w:szCs w:val="28"/>
        </w:rPr>
        <w:t xml:space="preserve"> </w:t>
      </w:r>
      <w:r w:rsidRPr="005F51B1">
        <w:rPr>
          <w:szCs w:val="28"/>
        </w:rPr>
        <w:t>. . .</w:t>
      </w:r>
      <w:r w:rsidRPr="00AA14EA">
        <w:rPr>
          <w:szCs w:val="28"/>
        </w:rPr>
        <w:t xml:space="preserve"> </w:t>
      </w:r>
      <w:r w:rsidRPr="00CE06CA">
        <w:rPr>
          <w:bCs/>
          <w:szCs w:val="22"/>
          <w:lang w:val="el-GR"/>
        </w:rPr>
        <w:t>σταφυλὴν τρυγῶσιν</w:t>
      </w:r>
      <w:r w:rsidRPr="00AA14EA">
        <w:rPr>
          <w:szCs w:val="28"/>
        </w:rPr>
        <w:t xml:space="preserve"> (literally</w:t>
      </w:r>
      <w:r w:rsidR="006F304D" w:rsidRPr="006F304D">
        <w:rPr>
          <w:szCs w:val="28"/>
        </w:rPr>
        <w:t xml:space="preserve">, </w:t>
      </w:r>
      <w:r w:rsidRPr="00AA14EA">
        <w:rPr>
          <w:szCs w:val="28"/>
        </w:rPr>
        <w:t xml:space="preserve">“gathered figs </w:t>
      </w:r>
      <w:r w:rsidRPr="005F51B1">
        <w:rPr>
          <w:szCs w:val="28"/>
        </w:rPr>
        <w:t>. . .</w:t>
      </w:r>
      <w:r w:rsidRPr="00AA14EA">
        <w:rPr>
          <w:szCs w:val="28"/>
        </w:rPr>
        <w:t xml:space="preserve"> grapes picked”).</w:t>
      </w:r>
      <w:r w:rsidRPr="00AA14EA">
        <w:rPr>
          <w:rStyle w:val="FootnoteReference"/>
          <w:szCs w:val="28"/>
        </w:rPr>
        <w:footnoteReference w:id="453"/>
      </w:r>
      <w:r w:rsidRPr="00AA14EA">
        <w:rPr>
          <w:szCs w:val="28"/>
        </w:rPr>
        <w:t xml:space="preserve"> These words are found in 44b and 44c respectively.</w:t>
      </w:r>
    </w:p>
    <w:p w14:paraId="5B5A57B5" w14:textId="0B36B451" w:rsidR="0018433B" w:rsidRPr="00AA14EA" w:rsidRDefault="0018433B" w:rsidP="0018433B">
      <w:pPr>
        <w:rPr>
          <w:szCs w:val="28"/>
        </w:rPr>
      </w:pPr>
      <w:r w:rsidRPr="00AA14EA">
        <w:rPr>
          <w:szCs w:val="28"/>
        </w:rPr>
        <w:tab/>
        <w:t>It is true that in the first clause</w:t>
      </w:r>
      <w:r w:rsidR="006F304D" w:rsidRPr="006F304D">
        <w:rPr>
          <w:szCs w:val="28"/>
        </w:rPr>
        <w:t xml:space="preserve">, </w:t>
      </w:r>
      <w:r w:rsidRPr="00AA14EA">
        <w:rPr>
          <w:szCs w:val="28"/>
        </w:rPr>
        <w:t>44b</w:t>
      </w:r>
      <w:r w:rsidR="006F304D" w:rsidRPr="006F304D">
        <w:rPr>
          <w:szCs w:val="28"/>
        </w:rPr>
        <w:t xml:space="preserve">, </w:t>
      </w:r>
      <w:r w:rsidRPr="00AA14EA">
        <w:rPr>
          <w:szCs w:val="28"/>
        </w:rPr>
        <w:t>the verb (</w:t>
      </w:r>
      <w:r w:rsidRPr="00CE06CA">
        <w:rPr>
          <w:bCs/>
          <w:szCs w:val="22"/>
          <w:lang w:val="el-GR"/>
        </w:rPr>
        <w:t>συλλέγουσιν</w:t>
      </w:r>
      <w:r w:rsidRPr="00AA14EA">
        <w:rPr>
          <w:szCs w:val="28"/>
        </w:rPr>
        <w:t>) is first and the object (</w:t>
      </w:r>
      <w:r w:rsidRPr="00CE06CA">
        <w:rPr>
          <w:bCs/>
          <w:szCs w:val="22"/>
          <w:lang w:val="el-GR"/>
        </w:rPr>
        <w:t>σῦκα</w:t>
      </w:r>
      <w:r w:rsidRPr="00AA14EA">
        <w:rPr>
          <w:szCs w:val="28"/>
        </w:rPr>
        <w:t>) second</w:t>
      </w:r>
      <w:r w:rsidR="006F304D" w:rsidRPr="006F304D">
        <w:rPr>
          <w:szCs w:val="28"/>
        </w:rPr>
        <w:t xml:space="preserve">, </w:t>
      </w:r>
      <w:r w:rsidRPr="00AA14EA">
        <w:rPr>
          <w:szCs w:val="28"/>
        </w:rPr>
        <w:t>whereas in the sec</w:t>
      </w:r>
      <w:r w:rsidRPr="00AA14EA">
        <w:rPr>
          <w:szCs w:val="28"/>
        </w:rPr>
        <w:softHyphen/>
        <w:t>ond clause the object (</w:t>
      </w:r>
      <w:r w:rsidRPr="00CE06CA">
        <w:rPr>
          <w:bCs/>
          <w:szCs w:val="22"/>
          <w:lang w:val="el-GR"/>
        </w:rPr>
        <w:t>σταφυλὴν</w:t>
      </w:r>
      <w:r w:rsidRPr="00AA14EA">
        <w:rPr>
          <w:szCs w:val="28"/>
        </w:rPr>
        <w:t>) is first and the verb (</w:t>
      </w:r>
      <w:r w:rsidRPr="00CE06CA">
        <w:rPr>
          <w:bCs/>
          <w:szCs w:val="22"/>
          <w:lang w:val="el-GR"/>
        </w:rPr>
        <w:t>τρυγῶσιν</w:t>
      </w:r>
      <w:r w:rsidRPr="00AA14EA">
        <w:rPr>
          <w:szCs w:val="28"/>
        </w:rPr>
        <w:t>) second.</w:t>
      </w:r>
      <w:r w:rsidRPr="00AA14EA">
        <w:rPr>
          <w:rStyle w:val="FootnoteReference"/>
          <w:szCs w:val="28"/>
        </w:rPr>
        <w:footnoteReference w:id="454"/>
      </w:r>
      <w:r w:rsidRPr="00AA14EA">
        <w:rPr>
          <w:szCs w:val="28"/>
        </w:rPr>
        <w:t xml:space="preserve"> Yet this seems a slim base on which to erect a chi</w:t>
      </w:r>
      <w:r w:rsidRPr="00AA14EA">
        <w:rPr>
          <w:szCs w:val="28"/>
        </w:rPr>
        <w:softHyphen/>
        <w:t>asm: four words are selected out of the eleven in 44bc to just</w:t>
      </w:r>
      <w:r w:rsidRPr="00AA14EA">
        <w:rPr>
          <w:szCs w:val="28"/>
        </w:rPr>
        <w:softHyphen/>
        <w:t>ify the chiasm</w:t>
      </w:r>
      <w:r w:rsidR="006F304D" w:rsidRPr="006F304D">
        <w:rPr>
          <w:szCs w:val="28"/>
        </w:rPr>
        <w:t xml:space="preserve">, </w:t>
      </w:r>
      <w:r w:rsidRPr="00AA14EA">
        <w:rPr>
          <w:szCs w:val="28"/>
        </w:rPr>
        <w:t>and the others—</w:t>
      </w:r>
      <w:r>
        <w:rPr>
          <w:szCs w:val="28"/>
        </w:rPr>
        <w:t xml:space="preserve">three </w:t>
      </w:r>
      <w:r w:rsidRPr="00AA14EA">
        <w:rPr>
          <w:szCs w:val="28"/>
        </w:rPr>
        <w:t xml:space="preserve">of which occur between </w:t>
      </w:r>
      <w:r w:rsidRPr="00CE06CA">
        <w:rPr>
          <w:bCs/>
          <w:szCs w:val="22"/>
          <w:lang w:val="el-GR"/>
        </w:rPr>
        <w:t>συλλέγουσιν σῦκα</w:t>
      </w:r>
      <w:r w:rsidRPr="00AA14EA">
        <w:rPr>
          <w:szCs w:val="28"/>
        </w:rPr>
        <w:t xml:space="preserve"> and </w:t>
      </w:r>
      <w:r w:rsidRPr="00CE06CA">
        <w:rPr>
          <w:bCs/>
          <w:szCs w:val="22"/>
          <w:lang w:val="el-GR"/>
        </w:rPr>
        <w:t>σταφυλὴν τρυγῶσιν</w:t>
      </w:r>
      <w:r w:rsidRPr="00AA14EA">
        <w:rPr>
          <w:szCs w:val="28"/>
        </w:rPr>
        <w:t>—are ignored. Moreover</w:t>
      </w:r>
      <w:r w:rsidR="006F304D" w:rsidRPr="006F304D">
        <w:rPr>
          <w:szCs w:val="28"/>
        </w:rPr>
        <w:t xml:space="preserve">, </w:t>
      </w:r>
      <w:r w:rsidRPr="00AA14EA">
        <w:rPr>
          <w:szCs w:val="28"/>
        </w:rPr>
        <w:t>as in 6:41-42</w:t>
      </w:r>
      <w:r w:rsidR="006F304D" w:rsidRPr="006F304D">
        <w:rPr>
          <w:szCs w:val="28"/>
        </w:rPr>
        <w:t xml:space="preserve">, </w:t>
      </w:r>
      <w:r w:rsidRPr="00AA14EA">
        <w:rPr>
          <w:szCs w:val="28"/>
        </w:rPr>
        <w:t>so here</w:t>
      </w:r>
      <w:r w:rsidR="006F304D" w:rsidRPr="006F304D">
        <w:rPr>
          <w:szCs w:val="28"/>
        </w:rPr>
        <w:t xml:space="preserve">, </w:t>
      </w:r>
      <w:r w:rsidRPr="00AA14EA">
        <w:rPr>
          <w:szCs w:val="28"/>
        </w:rPr>
        <w:t>the varia</w:t>
      </w:r>
      <w:r w:rsidRPr="00AA14EA">
        <w:rPr>
          <w:szCs w:val="28"/>
        </w:rPr>
        <w:softHyphen/>
        <w:t>tion may result simply from the freer syntax that Greek</w:t>
      </w:r>
      <w:r w:rsidR="006F304D" w:rsidRPr="006F304D">
        <w:rPr>
          <w:szCs w:val="28"/>
        </w:rPr>
        <w:t xml:space="preserve">, </w:t>
      </w:r>
      <w:r w:rsidRPr="00AA14EA">
        <w:rPr>
          <w:szCs w:val="28"/>
        </w:rPr>
        <w:t>as an inflected language</w:t>
      </w:r>
      <w:r w:rsidR="006F304D" w:rsidRPr="006F304D">
        <w:rPr>
          <w:szCs w:val="28"/>
        </w:rPr>
        <w:t xml:space="preserve">, </w:t>
      </w:r>
      <w:r w:rsidRPr="00AA14EA">
        <w:rPr>
          <w:szCs w:val="28"/>
        </w:rPr>
        <w:t>enjoys over syntactic lan</w:t>
      </w:r>
      <w:r w:rsidRPr="00AA14EA">
        <w:rPr>
          <w:szCs w:val="28"/>
        </w:rPr>
        <w:softHyphen/>
        <w:t>guages like English. Finally</w:t>
      </w:r>
      <w:r w:rsidR="006F304D" w:rsidRPr="006F304D">
        <w:rPr>
          <w:szCs w:val="28"/>
        </w:rPr>
        <w:t xml:space="preserve">, </w:t>
      </w:r>
      <w:r w:rsidRPr="00AA14EA">
        <w:rPr>
          <w:szCs w:val="28"/>
        </w:rPr>
        <w:t>if chiasm were intended here</w:t>
      </w:r>
      <w:r w:rsidR="006F304D" w:rsidRPr="006F304D">
        <w:rPr>
          <w:szCs w:val="28"/>
        </w:rPr>
        <w:t xml:space="preserve">, </w:t>
      </w:r>
      <w:r w:rsidRPr="00AA14EA">
        <w:rPr>
          <w:szCs w:val="28"/>
        </w:rPr>
        <w:t>then the pre</w:t>
      </w:r>
      <w:r w:rsidRPr="00AA14EA">
        <w:rPr>
          <w:szCs w:val="28"/>
        </w:rPr>
        <w:softHyphen/>
        <w:t>positional phras</w:t>
      </w:r>
      <w:r w:rsidRPr="00AA14EA">
        <w:rPr>
          <w:szCs w:val="28"/>
        </w:rPr>
        <w:softHyphen/>
        <w:t>es</w:t>
      </w:r>
      <w:r w:rsidR="006F304D" w:rsidRPr="006F304D">
        <w:rPr>
          <w:szCs w:val="28"/>
        </w:rPr>
        <w:t xml:space="preserve">, </w:t>
      </w:r>
      <w:r w:rsidRPr="00CE06CA">
        <w:rPr>
          <w:bCs/>
          <w:szCs w:val="22"/>
          <w:lang w:val="el-GR"/>
        </w:rPr>
        <w:t>ἐξ ἀκανθῶν</w:t>
      </w:r>
      <w:r w:rsidRPr="00AA14EA">
        <w:rPr>
          <w:szCs w:val="28"/>
        </w:rPr>
        <w:t xml:space="preserve"> (“from thorns”) and </w:t>
      </w:r>
      <w:r w:rsidRPr="00CE06CA">
        <w:rPr>
          <w:bCs/>
          <w:szCs w:val="22"/>
          <w:lang w:val="el-GR"/>
        </w:rPr>
        <w:t>ἐκ βάτου</w:t>
      </w:r>
      <w:r w:rsidRPr="00AA14EA">
        <w:rPr>
          <w:szCs w:val="28"/>
        </w:rPr>
        <w:t xml:space="preserve"> (“from a bramble bush”)</w:t>
      </w:r>
      <w:r w:rsidR="006F304D" w:rsidRPr="006F304D">
        <w:rPr>
          <w:szCs w:val="28"/>
        </w:rPr>
        <w:t xml:space="preserve">, </w:t>
      </w:r>
      <w:r w:rsidRPr="00AA14EA">
        <w:rPr>
          <w:szCs w:val="28"/>
        </w:rPr>
        <w:t>could easily have contributed to the effect</w:t>
      </w:r>
      <w:r w:rsidR="006F304D" w:rsidRPr="006F304D">
        <w:rPr>
          <w:szCs w:val="28"/>
        </w:rPr>
        <w:t xml:space="preserve">, </w:t>
      </w:r>
      <w:r w:rsidRPr="00AA14EA">
        <w:rPr>
          <w:szCs w:val="28"/>
        </w:rPr>
        <w:t xml:space="preserve">had either one </w:t>
      </w:r>
      <w:r>
        <w:rPr>
          <w:szCs w:val="28"/>
        </w:rPr>
        <w:t xml:space="preserve">or the other </w:t>
      </w:r>
      <w:r w:rsidRPr="00AA14EA">
        <w:rPr>
          <w:szCs w:val="28"/>
        </w:rPr>
        <w:t>followed the other ele</w:t>
      </w:r>
      <w:r w:rsidRPr="00AA14EA">
        <w:rPr>
          <w:szCs w:val="28"/>
        </w:rPr>
        <w:softHyphen/>
        <w:t>ments in its clause; but instead the two phrases are parallel. Once again</w:t>
      </w:r>
      <w:r w:rsidR="006F304D" w:rsidRPr="006F304D">
        <w:rPr>
          <w:szCs w:val="28"/>
        </w:rPr>
        <w:t xml:space="preserve">, </w:t>
      </w:r>
      <w:r w:rsidRPr="00AA14EA">
        <w:rPr>
          <w:szCs w:val="28"/>
        </w:rPr>
        <w:t>it seems unnecessary to ap</w:t>
      </w:r>
      <w:r w:rsidRPr="00AA14EA">
        <w:rPr>
          <w:szCs w:val="28"/>
        </w:rPr>
        <w:softHyphen/>
        <w:t>peal to chiasm to explain the structure of the passage.</w:t>
      </w:r>
    </w:p>
    <w:p w14:paraId="33E3932C" w14:textId="737B070C" w:rsidR="0018433B" w:rsidRPr="00AA14EA" w:rsidRDefault="0018433B" w:rsidP="0018433B">
      <w:pPr>
        <w:rPr>
          <w:szCs w:val="28"/>
        </w:rPr>
      </w:pPr>
      <w:r w:rsidRPr="00AA14EA">
        <w:rPr>
          <w:szCs w:val="28"/>
        </w:rPr>
        <w:tab/>
        <w:t>One should not feel hesitant</w:t>
      </w:r>
      <w:r w:rsidR="006F304D" w:rsidRPr="006F304D">
        <w:rPr>
          <w:szCs w:val="28"/>
        </w:rPr>
        <w:t xml:space="preserve">, </w:t>
      </w:r>
      <w:r w:rsidRPr="00AA14EA">
        <w:rPr>
          <w:szCs w:val="28"/>
        </w:rPr>
        <w:t>then</w:t>
      </w:r>
      <w:r w:rsidR="006F304D" w:rsidRPr="006F304D">
        <w:rPr>
          <w:szCs w:val="28"/>
        </w:rPr>
        <w:t xml:space="preserve">, </w:t>
      </w:r>
      <w:r w:rsidRPr="00AA14EA">
        <w:rPr>
          <w:szCs w:val="28"/>
        </w:rPr>
        <w:t>in rejecting Mor</w:t>
      </w:r>
      <w:r w:rsidRPr="00AA14EA">
        <w:rPr>
          <w:szCs w:val="28"/>
        </w:rPr>
        <w:softHyphen/>
        <w:t>gen</w:t>
      </w:r>
      <w:r w:rsidRPr="00AA14EA">
        <w:rPr>
          <w:szCs w:val="28"/>
        </w:rPr>
        <w:softHyphen/>
        <w:t>thaler’s pro</w:t>
      </w:r>
      <w:r w:rsidRPr="00AA14EA">
        <w:rPr>
          <w:szCs w:val="28"/>
        </w:rPr>
        <w:softHyphen/>
        <w:t>posed chiasms in the sermon on the plain—or</w:t>
      </w:r>
      <w:r w:rsidR="006F304D" w:rsidRPr="006F304D">
        <w:rPr>
          <w:szCs w:val="28"/>
        </w:rPr>
        <w:t xml:space="preserve">, </w:t>
      </w:r>
      <w:r w:rsidRPr="00AA14EA">
        <w:rPr>
          <w:szCs w:val="28"/>
        </w:rPr>
        <w:t>for that matter</w:t>
      </w:r>
      <w:r w:rsidR="006F304D" w:rsidRPr="006F304D">
        <w:rPr>
          <w:szCs w:val="28"/>
        </w:rPr>
        <w:t xml:space="preserve">, </w:t>
      </w:r>
      <w:r w:rsidRPr="00AA14EA">
        <w:rPr>
          <w:szCs w:val="28"/>
        </w:rPr>
        <w:t>Lund’s pro</w:t>
      </w:r>
      <w:r w:rsidRPr="00AA14EA">
        <w:rPr>
          <w:szCs w:val="28"/>
        </w:rPr>
        <w:softHyphen/>
        <w:t>posals in the Mat</w:t>
      </w:r>
      <w:r w:rsidRPr="00AA14EA">
        <w:rPr>
          <w:szCs w:val="28"/>
        </w:rPr>
        <w:softHyphen/>
        <w:t>thean parallels.</w:t>
      </w:r>
    </w:p>
    <w:p w14:paraId="3C91BF59" w14:textId="7D7AAB37" w:rsidR="0018433B" w:rsidRPr="00AA14EA" w:rsidRDefault="0018433B" w:rsidP="0018433B">
      <w:pPr>
        <w:rPr>
          <w:szCs w:val="28"/>
        </w:rPr>
      </w:pPr>
      <w:bookmarkStart w:id="51" w:name="chiasm_3__Meynet__20_49"/>
      <w:bookmarkEnd w:id="51"/>
      <w:r w:rsidRPr="00AA14EA">
        <w:rPr>
          <w:szCs w:val="28"/>
        </w:rPr>
        <w:tab/>
        <w:t>The chiasms which Morgenthaler has culled from the sermon are quite brief: the three sentences in 6:41-42 are inde</w:t>
      </w:r>
      <w:r w:rsidRPr="00AA14EA">
        <w:rPr>
          <w:szCs w:val="28"/>
        </w:rPr>
        <w:softHyphen/>
        <w:t>pendent chiasms</w:t>
      </w:r>
      <w:r w:rsidR="006F304D" w:rsidRPr="006F304D">
        <w:rPr>
          <w:szCs w:val="28"/>
        </w:rPr>
        <w:t xml:space="preserve">, </w:t>
      </w:r>
      <w:r w:rsidRPr="00AA14EA">
        <w:rPr>
          <w:szCs w:val="28"/>
        </w:rPr>
        <w:t>unrelated to one another</w:t>
      </w:r>
      <w:r w:rsidR="006F304D" w:rsidRPr="006F304D">
        <w:rPr>
          <w:szCs w:val="28"/>
        </w:rPr>
        <w:t xml:space="preserve">, </w:t>
      </w:r>
      <w:r w:rsidRPr="00AA14EA">
        <w:rPr>
          <w:szCs w:val="28"/>
        </w:rPr>
        <w:t>and the chiasm in 6:44bc does not extend beyond a sentence. Thus Morgenthal</w:t>
      </w:r>
      <w:r w:rsidRPr="00AA14EA">
        <w:rPr>
          <w:szCs w:val="28"/>
        </w:rPr>
        <w:softHyphen/>
        <w:t xml:space="preserve">er’s examples are all instances of what Roland Meynet calls </w:t>
      </w:r>
      <w:r w:rsidRPr="00AA14EA">
        <w:rPr>
          <w:i/>
          <w:iCs/>
          <w:szCs w:val="28"/>
        </w:rPr>
        <w:t xml:space="preserve">le </w:t>
      </w:r>
      <w:proofErr w:type="spellStart"/>
      <w:r w:rsidRPr="00AA14EA">
        <w:rPr>
          <w:i/>
          <w:iCs/>
          <w:szCs w:val="28"/>
        </w:rPr>
        <w:t>chi</w:t>
      </w:r>
      <w:r w:rsidRPr="00AA14EA">
        <w:rPr>
          <w:i/>
          <w:iCs/>
          <w:szCs w:val="28"/>
        </w:rPr>
        <w:softHyphen/>
        <w:t>asme</w:t>
      </w:r>
      <w:proofErr w:type="spellEnd"/>
      <w:r w:rsidRPr="00AA14EA">
        <w:rPr>
          <w:i/>
          <w:iCs/>
          <w:szCs w:val="28"/>
        </w:rPr>
        <w:t xml:space="preserve"> </w:t>
      </w:r>
      <w:proofErr w:type="spellStart"/>
      <w:r w:rsidRPr="00AA14EA">
        <w:rPr>
          <w:i/>
          <w:iCs/>
          <w:szCs w:val="28"/>
        </w:rPr>
        <w:t>stylis</w:t>
      </w:r>
      <w:r w:rsidRPr="00AA14EA">
        <w:rPr>
          <w:i/>
          <w:iCs/>
          <w:szCs w:val="28"/>
        </w:rPr>
        <w:softHyphen/>
        <w:t>tique</w:t>
      </w:r>
      <w:proofErr w:type="spellEnd"/>
      <w:r w:rsidR="006F304D" w:rsidRPr="006F304D">
        <w:rPr>
          <w:iCs/>
          <w:szCs w:val="28"/>
        </w:rPr>
        <w:t xml:space="preserve">, </w:t>
      </w:r>
      <w:r w:rsidRPr="00AA14EA">
        <w:rPr>
          <w:szCs w:val="28"/>
        </w:rPr>
        <w:t xml:space="preserve">the stylistic or sentence-length chiasm. But </w:t>
      </w:r>
      <w:proofErr w:type="spellStart"/>
      <w:r w:rsidRPr="00AA14EA">
        <w:rPr>
          <w:szCs w:val="28"/>
        </w:rPr>
        <w:t>Meynet</w:t>
      </w:r>
      <w:proofErr w:type="spellEnd"/>
      <w:r w:rsidRPr="00AA14EA">
        <w:rPr>
          <w:szCs w:val="28"/>
        </w:rPr>
        <w:t xml:space="preserve"> him</w:t>
      </w:r>
      <w:r w:rsidRPr="00AA14EA">
        <w:rPr>
          <w:szCs w:val="28"/>
        </w:rPr>
        <w:softHyphen/>
        <w:t>self proposes an organization of the ser</w:t>
      </w:r>
      <w:r w:rsidRPr="00AA14EA">
        <w:rPr>
          <w:szCs w:val="28"/>
        </w:rPr>
        <w:softHyphen/>
        <w:t xml:space="preserve">mon </w:t>
      </w:r>
      <w:r w:rsidRPr="00AA14EA">
        <w:rPr>
          <w:i/>
          <w:iCs/>
          <w:szCs w:val="28"/>
        </w:rPr>
        <w:t>as a whole</w:t>
      </w:r>
      <w:r w:rsidRPr="00AA14EA">
        <w:rPr>
          <w:szCs w:val="28"/>
        </w:rPr>
        <w:t xml:space="preserve"> in chiastic form.</w:t>
      </w:r>
      <w:r w:rsidRPr="00AA14EA">
        <w:rPr>
          <w:rStyle w:val="FootnoteReference"/>
          <w:szCs w:val="28"/>
        </w:rPr>
        <w:footnoteReference w:id="455"/>
      </w:r>
    </w:p>
    <w:p w14:paraId="3E66944C" w14:textId="4607A708" w:rsidR="0018433B" w:rsidRPr="00AA14EA" w:rsidRDefault="0018433B" w:rsidP="0018433B">
      <w:pPr>
        <w:rPr>
          <w:szCs w:val="28"/>
        </w:rPr>
      </w:pPr>
      <w:r w:rsidRPr="00AA14EA">
        <w:rPr>
          <w:szCs w:val="28"/>
        </w:rPr>
        <w:tab/>
      </w:r>
      <w:proofErr w:type="spellStart"/>
      <w:r w:rsidRPr="00AA14EA">
        <w:rPr>
          <w:szCs w:val="28"/>
        </w:rPr>
        <w:t>Meynet</w:t>
      </w:r>
      <w:proofErr w:type="spellEnd"/>
      <w:r w:rsidRPr="00AA14EA">
        <w:rPr>
          <w:szCs w:val="28"/>
        </w:rPr>
        <w:t xml:space="preserve"> supplies charts which minutely analyze the sermon’s struc</w:t>
      </w:r>
      <w:r w:rsidRPr="00AA14EA">
        <w:rPr>
          <w:szCs w:val="28"/>
        </w:rPr>
        <w:softHyphen/>
        <w:t>ture</w:t>
      </w:r>
      <w:r>
        <w:rPr>
          <w:szCs w:val="28"/>
        </w:rPr>
        <w:t>.</w:t>
      </w:r>
      <w:r w:rsidRPr="00AA14EA">
        <w:rPr>
          <w:szCs w:val="28"/>
        </w:rPr>
        <w:t xml:space="preserve"> He presents the sermon on the plain in five charts</w:t>
      </w:r>
      <w:r w:rsidR="006F304D" w:rsidRPr="006F304D">
        <w:rPr>
          <w:szCs w:val="28"/>
        </w:rPr>
        <w:t xml:space="preserve">, </w:t>
      </w:r>
      <w:r w:rsidRPr="00AA14EA">
        <w:rPr>
          <w:szCs w:val="28"/>
        </w:rPr>
        <w:t>the first two of which are entitled “B5</w:t>
      </w:r>
      <w:r>
        <w:rPr>
          <w:szCs w:val="28"/>
        </w:rPr>
        <w:t>´</w:t>
      </w:r>
      <w:r w:rsidRPr="00AA14EA">
        <w:rPr>
          <w:szCs w:val="28"/>
        </w:rPr>
        <w:t>.”</w:t>
      </w:r>
      <w:r w:rsidRPr="00AA14EA">
        <w:rPr>
          <w:rStyle w:val="FootnoteReference"/>
          <w:szCs w:val="28"/>
        </w:rPr>
        <w:footnoteReference w:id="456"/>
      </w:r>
      <w:r w:rsidRPr="00AA14EA">
        <w:rPr>
          <w:szCs w:val="28"/>
        </w:rPr>
        <w:t xml:space="preserve"> Though we will be </w:t>
      </w:r>
      <w:r w:rsidRPr="00AA14EA">
        <w:rPr>
          <w:szCs w:val="28"/>
        </w:rPr>
        <w:lastRenderedPageBreak/>
        <w:t>con</w:t>
      </w:r>
      <w:r w:rsidRPr="00AA14EA">
        <w:rPr>
          <w:szCs w:val="28"/>
        </w:rPr>
        <w:softHyphen/>
        <w:t xml:space="preserve">sidering the last four of </w:t>
      </w:r>
      <w:proofErr w:type="spellStart"/>
      <w:r w:rsidRPr="00AA14EA">
        <w:rPr>
          <w:szCs w:val="28"/>
        </w:rPr>
        <w:t>Meynet’s</w:t>
      </w:r>
      <w:proofErr w:type="spellEnd"/>
      <w:r w:rsidRPr="00AA14EA">
        <w:rPr>
          <w:szCs w:val="28"/>
        </w:rPr>
        <w:t xml:space="preserve"> charts in chap</w:t>
      </w:r>
      <w:r w:rsidRPr="00AA14EA">
        <w:rPr>
          <w:szCs w:val="28"/>
        </w:rPr>
        <w:softHyphen/>
        <w:t>ter 10 when we discuss parallelism</w:t>
      </w:r>
      <w:r w:rsidR="006F304D" w:rsidRPr="006F304D">
        <w:rPr>
          <w:szCs w:val="28"/>
        </w:rPr>
        <w:t xml:space="preserve">, </w:t>
      </w:r>
      <w:r w:rsidRPr="00AA14EA">
        <w:rPr>
          <w:szCs w:val="28"/>
        </w:rPr>
        <w:t>at the mo</w:t>
      </w:r>
      <w:r w:rsidRPr="00AA14EA">
        <w:rPr>
          <w:szCs w:val="28"/>
        </w:rPr>
        <w:softHyphen/>
        <w:t>ment our interest is in the first of the</w:t>
      </w:r>
      <w:r>
        <w:rPr>
          <w:szCs w:val="28"/>
        </w:rPr>
        <w:t xml:space="preserve"> </w:t>
      </w:r>
      <w:r w:rsidRPr="00AA14EA">
        <w:rPr>
          <w:szCs w:val="28"/>
        </w:rPr>
        <w:t>B5</w:t>
      </w:r>
      <w:r>
        <w:rPr>
          <w:szCs w:val="28"/>
        </w:rPr>
        <w:t>´</w:t>
      </w:r>
      <w:r w:rsidRPr="00AA14EA">
        <w:rPr>
          <w:szCs w:val="28"/>
        </w:rPr>
        <w:t xml:space="preserve"> charts.</w:t>
      </w:r>
      <w:r w:rsidRPr="00AA14EA">
        <w:rPr>
          <w:rStyle w:val="FootnoteReference"/>
          <w:szCs w:val="28"/>
        </w:rPr>
        <w:footnoteReference w:id="457"/>
      </w:r>
    </w:p>
    <w:p w14:paraId="0053EEB8" w14:textId="54207B78" w:rsidR="0018433B" w:rsidRPr="00AA14EA" w:rsidRDefault="0018433B" w:rsidP="0018433B">
      <w:pPr>
        <w:rPr>
          <w:szCs w:val="28"/>
        </w:rPr>
      </w:pPr>
      <w:r w:rsidRPr="00AA14EA">
        <w:rPr>
          <w:szCs w:val="28"/>
        </w:rPr>
        <w:tab/>
        <w:t>This chart reproduces the text of the sermon in its entirety; it con</w:t>
      </w:r>
      <w:r w:rsidRPr="00AA14EA">
        <w:rPr>
          <w:szCs w:val="28"/>
        </w:rPr>
        <w:softHyphen/>
        <w:t>veys</w:t>
      </w:r>
      <w:r w:rsidR="006F304D" w:rsidRPr="006F304D">
        <w:rPr>
          <w:szCs w:val="28"/>
        </w:rPr>
        <w:t xml:space="preserve">, </w:t>
      </w:r>
      <w:r w:rsidRPr="00AA14EA">
        <w:rPr>
          <w:szCs w:val="28"/>
        </w:rPr>
        <w:t>by means of typography</w:t>
      </w:r>
      <w:r w:rsidR="006F304D" w:rsidRPr="006F304D">
        <w:rPr>
          <w:szCs w:val="28"/>
        </w:rPr>
        <w:t xml:space="preserve">, </w:t>
      </w:r>
      <w:r w:rsidRPr="00AA14EA">
        <w:rPr>
          <w:szCs w:val="28"/>
        </w:rPr>
        <w:t>informa</w:t>
      </w:r>
      <w:r w:rsidRPr="00AA14EA">
        <w:rPr>
          <w:szCs w:val="28"/>
        </w:rPr>
        <w:softHyphen/>
        <w:t xml:space="preserve">tion about </w:t>
      </w:r>
      <w:proofErr w:type="spellStart"/>
      <w:r w:rsidRPr="00AA14EA">
        <w:rPr>
          <w:szCs w:val="28"/>
        </w:rPr>
        <w:t>Meynet’s</w:t>
      </w:r>
      <w:proofErr w:type="spellEnd"/>
      <w:r w:rsidRPr="00AA14EA">
        <w:rPr>
          <w:szCs w:val="28"/>
        </w:rPr>
        <w:t xml:space="preserve"> understanding of the structure of the sermon. The chart shows that </w:t>
      </w:r>
      <w:proofErr w:type="spellStart"/>
      <w:r w:rsidRPr="00AA14EA">
        <w:rPr>
          <w:szCs w:val="28"/>
        </w:rPr>
        <w:t>Meynet</w:t>
      </w:r>
      <w:proofErr w:type="spellEnd"/>
      <w:r w:rsidRPr="00AA14EA">
        <w:rPr>
          <w:szCs w:val="28"/>
        </w:rPr>
        <w:t xml:space="preserve"> divides the sermon into three major divisions</w:t>
      </w:r>
      <w:r w:rsidR="006F304D" w:rsidRPr="006F304D">
        <w:rPr>
          <w:szCs w:val="28"/>
        </w:rPr>
        <w:t xml:space="preserve">, </w:t>
      </w:r>
      <w:r w:rsidRPr="00AA14EA">
        <w:rPr>
          <w:szCs w:val="28"/>
        </w:rPr>
        <w:t>each of which begins with an intro</w:t>
      </w:r>
      <w:r w:rsidRPr="00AA14EA">
        <w:rPr>
          <w:szCs w:val="28"/>
        </w:rPr>
        <w:softHyphen/>
        <w:t>ductory state</w:t>
      </w:r>
      <w:r w:rsidRPr="00AA14EA">
        <w:rPr>
          <w:szCs w:val="28"/>
        </w:rPr>
        <w:softHyphen/>
        <w:t>ment (20a</w:t>
      </w:r>
      <w:r w:rsidR="006F304D" w:rsidRPr="006F304D">
        <w:rPr>
          <w:szCs w:val="28"/>
        </w:rPr>
        <w:t xml:space="preserve">, </w:t>
      </w:r>
      <w:r w:rsidRPr="00AA14EA">
        <w:rPr>
          <w:szCs w:val="28"/>
        </w:rPr>
        <w:t>27a</w:t>
      </w:r>
      <w:r w:rsidR="006F304D" w:rsidRPr="006F304D">
        <w:rPr>
          <w:szCs w:val="28"/>
        </w:rPr>
        <w:t xml:space="preserve">, </w:t>
      </w:r>
      <w:r w:rsidRPr="00AA14EA">
        <w:rPr>
          <w:szCs w:val="28"/>
        </w:rPr>
        <w:t>39a); the central of these divisions (27-38) is further divided into three sections (27-31</w:t>
      </w:r>
      <w:r w:rsidR="006F304D" w:rsidRPr="006F304D">
        <w:rPr>
          <w:szCs w:val="28"/>
        </w:rPr>
        <w:t xml:space="preserve">, </w:t>
      </w:r>
      <w:r w:rsidRPr="00AA14EA">
        <w:rPr>
          <w:szCs w:val="28"/>
        </w:rPr>
        <w:t>32-36</w:t>
      </w:r>
      <w:r w:rsidR="006F304D" w:rsidRPr="006F304D">
        <w:rPr>
          <w:szCs w:val="28"/>
        </w:rPr>
        <w:t xml:space="preserve">, </w:t>
      </w:r>
      <w:r w:rsidRPr="00AA14EA">
        <w:rPr>
          <w:szCs w:val="28"/>
        </w:rPr>
        <w:t>37-38). The typo</w:t>
      </w:r>
      <w:r w:rsidRPr="00AA14EA">
        <w:rPr>
          <w:szCs w:val="28"/>
        </w:rPr>
        <w:softHyphen/>
        <w:t>graphical or</w:t>
      </w:r>
      <w:r w:rsidRPr="00AA14EA">
        <w:rPr>
          <w:szCs w:val="28"/>
        </w:rPr>
        <w:softHyphen/>
        <w:t>gan</w:t>
      </w:r>
      <w:r w:rsidRPr="00AA14EA">
        <w:rPr>
          <w:szCs w:val="28"/>
        </w:rPr>
        <w:softHyphen/>
        <w:t>i</w:t>
      </w:r>
      <w:r w:rsidRPr="00AA14EA">
        <w:rPr>
          <w:szCs w:val="28"/>
        </w:rPr>
        <w:softHyphen/>
        <w:t xml:space="preserve">zation of these five units show that </w:t>
      </w:r>
      <w:proofErr w:type="spellStart"/>
      <w:r w:rsidRPr="00AA14EA">
        <w:rPr>
          <w:szCs w:val="28"/>
        </w:rPr>
        <w:t>Meynet</w:t>
      </w:r>
      <w:proofErr w:type="spellEnd"/>
      <w:r w:rsidRPr="00AA14EA">
        <w:rPr>
          <w:szCs w:val="28"/>
        </w:rPr>
        <w:t xml:space="preserve"> is attempt</w:t>
      </w:r>
      <w:r w:rsidRPr="00AA14EA">
        <w:rPr>
          <w:szCs w:val="28"/>
        </w:rPr>
        <w:softHyphen/>
        <w:t>ing a sym</w:t>
      </w:r>
      <w:r w:rsidRPr="00AA14EA">
        <w:rPr>
          <w:szCs w:val="28"/>
        </w:rPr>
        <w:softHyphen/>
        <w:t>metrical arrangement: the three major sections (20-26</w:t>
      </w:r>
      <w:r w:rsidR="006F304D" w:rsidRPr="006F304D">
        <w:rPr>
          <w:szCs w:val="28"/>
        </w:rPr>
        <w:t xml:space="preserve">, </w:t>
      </w:r>
      <w:r w:rsidRPr="00AA14EA">
        <w:rPr>
          <w:szCs w:val="28"/>
        </w:rPr>
        <w:t>32-36</w:t>
      </w:r>
      <w:r w:rsidR="006F304D" w:rsidRPr="006F304D">
        <w:rPr>
          <w:szCs w:val="28"/>
        </w:rPr>
        <w:t xml:space="preserve">, </w:t>
      </w:r>
      <w:r w:rsidRPr="00AA14EA">
        <w:rPr>
          <w:szCs w:val="28"/>
        </w:rPr>
        <w:t>and 39-49) are in darkly outlined rec</w:t>
      </w:r>
      <w:r w:rsidRPr="00AA14EA">
        <w:rPr>
          <w:szCs w:val="28"/>
        </w:rPr>
        <w:softHyphen/>
        <w:t>tan</w:t>
      </w:r>
      <w:r w:rsidRPr="00AA14EA">
        <w:rPr>
          <w:szCs w:val="28"/>
        </w:rPr>
        <w:softHyphen/>
        <w:t>gles</w:t>
      </w:r>
      <w:r w:rsidR="006F304D" w:rsidRPr="006F304D">
        <w:rPr>
          <w:szCs w:val="28"/>
        </w:rPr>
        <w:t xml:space="preserve">, </w:t>
      </w:r>
      <w:r w:rsidRPr="00AA14EA">
        <w:rPr>
          <w:szCs w:val="28"/>
        </w:rPr>
        <w:t>with the central box slightly darker and indented less far</w:t>
      </w:r>
      <w:r w:rsidR="006F304D" w:rsidRPr="006F304D">
        <w:rPr>
          <w:szCs w:val="28"/>
        </w:rPr>
        <w:t xml:space="preserve">, </w:t>
      </w:r>
      <w:r w:rsidRPr="00AA14EA">
        <w:rPr>
          <w:szCs w:val="28"/>
        </w:rPr>
        <w:t xml:space="preserve">while the two minor sections (27-31 and 37-38) are in lightly outlined rectangles and are indented less </w:t>
      </w:r>
      <w:proofErr w:type="spellStart"/>
      <w:r w:rsidRPr="00AA14EA">
        <w:rPr>
          <w:szCs w:val="28"/>
        </w:rPr>
        <w:t>far</w:t>
      </w:r>
      <w:proofErr w:type="spellEnd"/>
      <w:r w:rsidRPr="00AA14EA">
        <w:rPr>
          <w:szCs w:val="28"/>
        </w:rPr>
        <w:t xml:space="preserve"> than the darker rectan</w:t>
      </w:r>
      <w:r w:rsidRPr="00AA14EA">
        <w:rPr>
          <w:szCs w:val="28"/>
        </w:rPr>
        <w:softHyphen/>
        <w:t>gles. Fur</w:t>
      </w:r>
      <w:r w:rsidRPr="00AA14EA">
        <w:rPr>
          <w:szCs w:val="28"/>
        </w:rPr>
        <w:softHyphen/>
      </w:r>
      <w:r w:rsidRPr="00AA14EA">
        <w:rPr>
          <w:szCs w:val="28"/>
        </w:rPr>
        <w:softHyphen/>
        <w:t>ther</w:t>
      </w:r>
      <w:r w:rsidRPr="00AA14EA">
        <w:rPr>
          <w:szCs w:val="28"/>
        </w:rPr>
        <w:softHyphen/>
        <w:t>more</w:t>
      </w:r>
      <w:r w:rsidR="006F304D" w:rsidRPr="006F304D">
        <w:rPr>
          <w:szCs w:val="28"/>
        </w:rPr>
        <w:t xml:space="preserve">, </w:t>
      </w:r>
      <w:r w:rsidRPr="00AA14EA">
        <w:rPr>
          <w:szCs w:val="28"/>
        </w:rPr>
        <w:t>each of the lighter rectangles is divided into a right and a left half; each left half contains two columns of four items</w:t>
      </w:r>
      <w:r w:rsidR="006F304D" w:rsidRPr="006F304D">
        <w:rPr>
          <w:szCs w:val="28"/>
        </w:rPr>
        <w:t xml:space="preserve">, </w:t>
      </w:r>
      <w:r w:rsidRPr="00AA14EA">
        <w:rPr>
          <w:szCs w:val="28"/>
        </w:rPr>
        <w:t>while the right halves contain either one or two columns of four items. Each lighter rectangle con</w:t>
      </w:r>
      <w:r w:rsidRPr="00AA14EA">
        <w:rPr>
          <w:szCs w:val="28"/>
        </w:rPr>
        <w:softHyphen/>
        <w:t>cludes with a sen</w:t>
      </w:r>
      <w:r w:rsidRPr="00AA14EA">
        <w:rPr>
          <w:szCs w:val="28"/>
        </w:rPr>
        <w:softHyphen/>
        <w:t>tence printed in bold type</w:t>
      </w:r>
      <w:r w:rsidR="006F304D" w:rsidRPr="006F304D">
        <w:rPr>
          <w:szCs w:val="28"/>
        </w:rPr>
        <w:t xml:space="preserve">, </w:t>
      </w:r>
      <w:r w:rsidRPr="00AA14EA">
        <w:rPr>
          <w:szCs w:val="28"/>
        </w:rPr>
        <w:t>as does the central major section.</w:t>
      </w:r>
    </w:p>
    <w:p w14:paraId="2EF9CAC8" w14:textId="3F5113E1" w:rsidR="0018433B" w:rsidRPr="00AA14EA" w:rsidRDefault="0018433B" w:rsidP="0018433B">
      <w:pPr>
        <w:rPr>
          <w:szCs w:val="28"/>
        </w:rPr>
      </w:pPr>
      <w:r w:rsidRPr="00AA14EA">
        <w:rPr>
          <w:szCs w:val="28"/>
        </w:rPr>
        <w:tab/>
      </w:r>
      <w:proofErr w:type="spellStart"/>
      <w:r w:rsidRPr="00AA14EA">
        <w:rPr>
          <w:szCs w:val="28"/>
        </w:rPr>
        <w:t>Meynet</w:t>
      </w:r>
      <w:proofErr w:type="spellEnd"/>
      <w:r w:rsidRPr="00AA14EA">
        <w:rPr>
          <w:szCs w:val="28"/>
        </w:rPr>
        <w:t xml:space="preserve"> does not state explicitly</w:t>
      </w:r>
      <w:r w:rsidR="006F304D" w:rsidRPr="006F304D">
        <w:rPr>
          <w:szCs w:val="28"/>
        </w:rPr>
        <w:t xml:space="preserve">, </w:t>
      </w:r>
      <w:r w:rsidRPr="00AA14EA">
        <w:rPr>
          <w:szCs w:val="28"/>
        </w:rPr>
        <w:t>either in his first-volume discussion or in his second-volume chart</w:t>
      </w:r>
      <w:r w:rsidR="006F304D" w:rsidRPr="006F304D">
        <w:rPr>
          <w:szCs w:val="28"/>
        </w:rPr>
        <w:t xml:space="preserve">, </w:t>
      </w:r>
      <w:r w:rsidRPr="00AA14EA">
        <w:rPr>
          <w:szCs w:val="28"/>
        </w:rPr>
        <w:softHyphen/>
        <w:t>that this arrangement is chiastic. On the other hand</w:t>
      </w:r>
      <w:r w:rsidR="006F304D" w:rsidRPr="006F304D">
        <w:rPr>
          <w:szCs w:val="28"/>
        </w:rPr>
        <w:t xml:space="preserve">, </w:t>
      </w:r>
      <w:r w:rsidRPr="00AA14EA">
        <w:rPr>
          <w:szCs w:val="28"/>
        </w:rPr>
        <w:t>the second half of the arrange</w:t>
      </w:r>
      <w:r w:rsidRPr="00AA14EA">
        <w:rPr>
          <w:szCs w:val="28"/>
        </w:rPr>
        <w:softHyphen/>
        <w:t xml:space="preserve">ment is a “mirror image” of the first half; and </w:t>
      </w:r>
      <w:proofErr w:type="spellStart"/>
      <w:r w:rsidRPr="00AA14EA">
        <w:rPr>
          <w:szCs w:val="28"/>
        </w:rPr>
        <w:t>Meynet</w:t>
      </w:r>
      <w:proofErr w:type="spellEnd"/>
      <w:r w:rsidR="006F304D" w:rsidRPr="006F304D">
        <w:rPr>
          <w:szCs w:val="28"/>
        </w:rPr>
        <w:t xml:space="preserve">, </w:t>
      </w:r>
      <w:r w:rsidRPr="00AA14EA">
        <w:rPr>
          <w:szCs w:val="28"/>
        </w:rPr>
        <w:t>it will be recalled</w:t>
      </w:r>
      <w:r w:rsidR="006F304D" w:rsidRPr="006F304D">
        <w:rPr>
          <w:szCs w:val="28"/>
        </w:rPr>
        <w:t xml:space="preserve">, </w:t>
      </w:r>
      <w:r w:rsidRPr="00AA14EA">
        <w:rPr>
          <w:szCs w:val="28"/>
        </w:rPr>
        <w:t>con</w:t>
      </w:r>
      <w:r w:rsidRPr="00AA14EA">
        <w:rPr>
          <w:szCs w:val="28"/>
        </w:rPr>
        <w:softHyphen/>
        <w:t>siders chiasm to be the key device that “structures each unit.”</w:t>
      </w:r>
      <w:r w:rsidRPr="00AA14EA">
        <w:rPr>
          <w:rStyle w:val="FootnoteReference"/>
          <w:szCs w:val="28"/>
        </w:rPr>
        <w:footnoteReference w:id="458"/>
      </w:r>
      <w:r w:rsidRPr="00AA14EA">
        <w:rPr>
          <w:szCs w:val="28"/>
        </w:rPr>
        <w:t xml:space="preserve"> Granted</w:t>
      </w:r>
      <w:r w:rsidR="006F304D" w:rsidRPr="006F304D">
        <w:rPr>
          <w:szCs w:val="28"/>
        </w:rPr>
        <w:t xml:space="preserve">, </w:t>
      </w:r>
      <w:r w:rsidRPr="00AA14EA">
        <w:rPr>
          <w:szCs w:val="28"/>
        </w:rPr>
        <w:t xml:space="preserve">the sermon on the plain is not a “unit” in </w:t>
      </w:r>
      <w:r w:rsidRPr="00AA14EA">
        <w:rPr>
          <w:szCs w:val="28"/>
        </w:rPr>
        <w:softHyphen/>
      </w:r>
      <w:proofErr w:type="spellStart"/>
      <w:r w:rsidRPr="00AA14EA">
        <w:rPr>
          <w:szCs w:val="28"/>
        </w:rPr>
        <w:t>Meynet’s</w:t>
      </w:r>
      <w:proofErr w:type="spellEnd"/>
      <w:r w:rsidRPr="00AA14EA">
        <w:rPr>
          <w:szCs w:val="28"/>
        </w:rPr>
        <w:t xml:space="preserve"> technical sense: he restricts “</w:t>
      </w:r>
      <w:proofErr w:type="spellStart"/>
      <w:r w:rsidRPr="00AA14EA">
        <w:rPr>
          <w:szCs w:val="28"/>
        </w:rPr>
        <w:t>Un</w:t>
      </w:r>
      <w:r w:rsidRPr="00AA14EA">
        <w:rPr>
          <w:szCs w:val="28"/>
        </w:rPr>
        <w:softHyphen/>
        <w:t>ité</w:t>
      </w:r>
      <w:proofErr w:type="spellEnd"/>
      <w:r w:rsidRPr="00AA14EA">
        <w:rPr>
          <w:szCs w:val="28"/>
        </w:rPr>
        <w:t>” to the twenty-three sections of Luke 1-9</w:t>
      </w:r>
      <w:r w:rsidR="006F304D" w:rsidRPr="006F304D">
        <w:rPr>
          <w:szCs w:val="28"/>
        </w:rPr>
        <w:t xml:space="preserve">, </w:t>
      </w:r>
      <w:r w:rsidRPr="00AA14EA">
        <w:rPr>
          <w:szCs w:val="28"/>
        </w:rPr>
        <w:t>22-24 that he has dis</w:t>
      </w:r>
      <w:r w:rsidRPr="00AA14EA">
        <w:rPr>
          <w:szCs w:val="28"/>
        </w:rPr>
        <w:softHyphen/>
        <w:t>cerned using his three “models,” the paradig</w:t>
      </w:r>
      <w:r w:rsidRPr="00AA14EA">
        <w:rPr>
          <w:szCs w:val="28"/>
        </w:rPr>
        <w:softHyphen/>
        <w:t>mat</w:t>
      </w:r>
      <w:r w:rsidRPr="00AA14EA">
        <w:rPr>
          <w:szCs w:val="28"/>
        </w:rPr>
        <w:softHyphen/>
        <w:t>ic</w:t>
      </w:r>
      <w:r w:rsidR="006F304D" w:rsidRPr="006F304D">
        <w:rPr>
          <w:szCs w:val="28"/>
        </w:rPr>
        <w:t xml:space="preserve">, </w:t>
      </w:r>
      <w:proofErr w:type="spellStart"/>
      <w:r w:rsidRPr="00AA14EA">
        <w:rPr>
          <w:szCs w:val="28"/>
        </w:rPr>
        <w:t>syntagmic</w:t>
      </w:r>
      <w:proofErr w:type="spellEnd"/>
      <w:r w:rsidR="006F304D" w:rsidRPr="006F304D">
        <w:rPr>
          <w:szCs w:val="28"/>
        </w:rPr>
        <w:t xml:space="preserve">, </w:t>
      </w:r>
      <w:r w:rsidRPr="00AA14EA">
        <w:rPr>
          <w:szCs w:val="28"/>
        </w:rPr>
        <w:t>and Old-Tes</w:t>
      </w:r>
      <w:r w:rsidRPr="00AA14EA">
        <w:rPr>
          <w:szCs w:val="28"/>
        </w:rPr>
        <w:softHyphen/>
        <w:t>tament pat</w:t>
      </w:r>
      <w:r w:rsidRPr="00AA14EA">
        <w:rPr>
          <w:szCs w:val="28"/>
        </w:rPr>
        <w:softHyphen/>
        <w:t>terns.</w:t>
      </w:r>
      <w:r w:rsidRPr="00AA14EA">
        <w:rPr>
          <w:rStyle w:val="FootnoteReference"/>
          <w:szCs w:val="28"/>
        </w:rPr>
        <w:footnoteReference w:id="459"/>
      </w:r>
      <w:r w:rsidRPr="00AA14EA">
        <w:rPr>
          <w:szCs w:val="28"/>
        </w:rPr>
        <w:t xml:space="preserve"> Since the sermon is merely a subordin</w:t>
      </w:r>
      <w:r w:rsidRPr="00AA14EA">
        <w:rPr>
          <w:szCs w:val="28"/>
        </w:rPr>
        <w:softHyphen/>
        <w:t>ate part of unit “B5” (6:17-7:17)</w:t>
      </w:r>
      <w:r w:rsidR="006F304D" w:rsidRPr="006F304D">
        <w:rPr>
          <w:szCs w:val="28"/>
        </w:rPr>
        <w:t xml:space="preserve">, </w:t>
      </w:r>
      <w:proofErr w:type="spellStart"/>
      <w:r w:rsidRPr="00AA14EA">
        <w:rPr>
          <w:szCs w:val="28"/>
        </w:rPr>
        <w:t>Mey</w:t>
      </w:r>
      <w:r w:rsidRPr="00AA14EA">
        <w:rPr>
          <w:szCs w:val="28"/>
        </w:rPr>
        <w:softHyphen/>
        <w:t>net’s</w:t>
      </w:r>
      <w:proofErr w:type="spellEnd"/>
      <w:r w:rsidRPr="00AA14EA">
        <w:rPr>
          <w:szCs w:val="28"/>
        </w:rPr>
        <w:t xml:space="preserve"> state</w:t>
      </w:r>
      <w:r w:rsidRPr="00AA14EA">
        <w:rPr>
          <w:szCs w:val="28"/>
        </w:rPr>
        <w:softHyphen/>
        <w:t>ment that chiasm struc</w:t>
      </w:r>
      <w:r w:rsidRPr="00AA14EA">
        <w:rPr>
          <w:szCs w:val="28"/>
        </w:rPr>
        <w:softHyphen/>
        <w:t xml:space="preserve">tures each unit need not apply to the sermon. But </w:t>
      </w:r>
      <w:proofErr w:type="spellStart"/>
      <w:r w:rsidRPr="00AA14EA">
        <w:rPr>
          <w:szCs w:val="28"/>
        </w:rPr>
        <w:t>Meynet’s</w:t>
      </w:r>
      <w:proofErr w:type="spellEnd"/>
      <w:r w:rsidRPr="00AA14EA">
        <w:rPr>
          <w:szCs w:val="28"/>
        </w:rPr>
        <w:t xml:space="preserve"> designation of the sermon as “B5</w:t>
      </w:r>
      <w:r w:rsidRPr="00AA14EA">
        <w:rPr>
          <w:szCs w:val="28"/>
        </w:rPr>
        <w:sym w:font="Symbol" w:char="F05F"/>
      </w:r>
      <w:r w:rsidRPr="00AA14EA">
        <w:rPr>
          <w:szCs w:val="28"/>
        </w:rPr>
        <w:t>“ shows that he views these thirty verses as possess</w:t>
      </w:r>
      <w:r w:rsidRPr="00AA14EA">
        <w:rPr>
          <w:szCs w:val="28"/>
        </w:rPr>
        <w:softHyphen/>
        <w:t>ing integrity; and he con</w:t>
      </w:r>
      <w:r w:rsidRPr="00AA14EA">
        <w:rPr>
          <w:szCs w:val="28"/>
        </w:rPr>
        <w:softHyphen/>
        <w:t>centrates so heavily through</w:t>
      </w:r>
      <w:r w:rsidRPr="00AA14EA">
        <w:rPr>
          <w:szCs w:val="28"/>
        </w:rPr>
        <w:softHyphen/>
        <w:t xml:space="preserve">out his work on the principle of chiasm (it is </w:t>
      </w:r>
      <w:r w:rsidRPr="00AA14EA">
        <w:rPr>
          <w:i/>
          <w:iCs/>
          <w:szCs w:val="28"/>
        </w:rPr>
        <w:t>the</w:t>
      </w:r>
      <w:r w:rsidRPr="00AA14EA">
        <w:rPr>
          <w:szCs w:val="28"/>
        </w:rPr>
        <w:t xml:space="preserve"> model</w:t>
      </w:r>
      <w:r w:rsidR="006F304D" w:rsidRPr="006F304D">
        <w:rPr>
          <w:szCs w:val="28"/>
        </w:rPr>
        <w:t xml:space="preserve">, </w:t>
      </w:r>
      <w:r w:rsidRPr="00AA14EA">
        <w:rPr>
          <w:szCs w:val="28"/>
        </w:rPr>
        <w:t>to which the other two mo</w:t>
      </w:r>
      <w:r w:rsidRPr="00AA14EA">
        <w:rPr>
          <w:szCs w:val="28"/>
        </w:rPr>
        <w:softHyphen/>
        <w:t>dels are supplemen</w:t>
      </w:r>
      <w:r w:rsidRPr="00AA14EA">
        <w:rPr>
          <w:szCs w:val="28"/>
        </w:rPr>
        <w:softHyphen/>
        <w:t>tary)</w:t>
      </w:r>
      <w:r w:rsidRPr="00AA14EA">
        <w:rPr>
          <w:rStyle w:val="FootnoteReference"/>
          <w:szCs w:val="28"/>
        </w:rPr>
        <w:footnoteReference w:id="460"/>
      </w:r>
      <w:r w:rsidRPr="00AA14EA">
        <w:rPr>
          <w:szCs w:val="28"/>
        </w:rPr>
        <w:t xml:space="preserve"> that the sym</w:t>
      </w:r>
      <w:r w:rsidRPr="00AA14EA">
        <w:rPr>
          <w:szCs w:val="28"/>
        </w:rPr>
        <w:softHyphen/>
        <w:t>metri</w:t>
      </w:r>
      <w:r w:rsidRPr="00AA14EA">
        <w:rPr>
          <w:szCs w:val="28"/>
        </w:rPr>
        <w:softHyphen/>
        <w:t>cal arrange</w:t>
      </w:r>
      <w:r w:rsidRPr="00AA14EA">
        <w:rPr>
          <w:szCs w:val="28"/>
        </w:rPr>
        <w:softHyphen/>
        <w:t>ment in the first chart can safely be assumed to be chi</w:t>
      </w:r>
      <w:r w:rsidRPr="00AA14EA">
        <w:rPr>
          <w:szCs w:val="28"/>
        </w:rPr>
        <w:softHyphen/>
        <w:t>asm.</w:t>
      </w:r>
    </w:p>
    <w:p w14:paraId="3FE52E81" w14:textId="3B6256D0" w:rsidR="0018433B" w:rsidRPr="00AA14EA" w:rsidRDefault="0018433B" w:rsidP="0018433B">
      <w:pPr>
        <w:rPr>
          <w:szCs w:val="28"/>
        </w:rPr>
      </w:pPr>
      <w:r w:rsidRPr="00AA14EA">
        <w:rPr>
          <w:szCs w:val="28"/>
        </w:rPr>
        <w:tab/>
        <w:t>A closer examination of the chart</w:t>
      </w:r>
      <w:r w:rsidR="006F304D" w:rsidRPr="006F304D">
        <w:rPr>
          <w:szCs w:val="28"/>
        </w:rPr>
        <w:t xml:space="preserve">, </w:t>
      </w:r>
      <w:r w:rsidRPr="00AA14EA">
        <w:rPr>
          <w:szCs w:val="28"/>
        </w:rPr>
        <w:t>however</w:t>
      </w:r>
      <w:r w:rsidR="006F304D" w:rsidRPr="006F304D">
        <w:rPr>
          <w:szCs w:val="28"/>
        </w:rPr>
        <w:t xml:space="preserve">, </w:t>
      </w:r>
      <w:r w:rsidRPr="00AA14EA">
        <w:rPr>
          <w:szCs w:val="28"/>
        </w:rPr>
        <w:t>suggests problems. We may note first the use of Luke 6:20a</w:t>
      </w:r>
      <w:r w:rsidR="006F304D" w:rsidRPr="006F304D">
        <w:rPr>
          <w:szCs w:val="28"/>
        </w:rPr>
        <w:t xml:space="preserve">, </w:t>
      </w:r>
      <w:r w:rsidRPr="00AA14EA">
        <w:rPr>
          <w:szCs w:val="28"/>
        </w:rPr>
        <w:t>27a</w:t>
      </w:r>
      <w:r w:rsidR="006F304D" w:rsidRPr="006F304D">
        <w:rPr>
          <w:szCs w:val="28"/>
        </w:rPr>
        <w:t xml:space="preserve">, </w:t>
      </w:r>
      <w:r w:rsidRPr="00AA14EA">
        <w:rPr>
          <w:szCs w:val="28"/>
        </w:rPr>
        <w:t>and 39a as signs marking the divisions of the sermon. Each of these sentences is in light ital</w:t>
      </w:r>
      <w:r w:rsidRPr="00AA14EA">
        <w:rPr>
          <w:szCs w:val="28"/>
        </w:rPr>
        <w:softHyphen/>
        <w:t>ics</w:t>
      </w:r>
      <w:r w:rsidR="006F304D" w:rsidRPr="006F304D">
        <w:rPr>
          <w:szCs w:val="28"/>
        </w:rPr>
        <w:t xml:space="preserve">, </w:t>
      </w:r>
      <w:r w:rsidRPr="00AA14EA">
        <w:rPr>
          <w:szCs w:val="28"/>
        </w:rPr>
        <w:t xml:space="preserve">and in each </w:t>
      </w:r>
      <w:proofErr w:type="spellStart"/>
      <w:r w:rsidRPr="00AA14EA">
        <w:rPr>
          <w:szCs w:val="28"/>
        </w:rPr>
        <w:t>Mey</w:t>
      </w:r>
      <w:r w:rsidRPr="00AA14EA">
        <w:rPr>
          <w:szCs w:val="28"/>
        </w:rPr>
        <w:softHyphen/>
        <w:t>net</w:t>
      </w:r>
      <w:proofErr w:type="spellEnd"/>
      <w:r w:rsidRPr="00AA14EA">
        <w:rPr>
          <w:szCs w:val="28"/>
        </w:rPr>
        <w:t xml:space="preserve"> presents a form of </w:t>
      </w:r>
      <w:r w:rsidRPr="00AA14EA">
        <w:rPr>
          <w:i/>
          <w:iCs/>
          <w:szCs w:val="28"/>
        </w:rPr>
        <w:t>dire</w:t>
      </w:r>
      <w:r w:rsidR="006F304D" w:rsidRPr="006F304D">
        <w:rPr>
          <w:iCs/>
          <w:szCs w:val="28"/>
        </w:rPr>
        <w:t xml:space="preserve">, </w:t>
      </w:r>
      <w:r w:rsidRPr="00AA14EA">
        <w:rPr>
          <w:iCs/>
          <w:szCs w:val="28"/>
        </w:rPr>
        <w:t>“</w:t>
      </w:r>
      <w:r w:rsidRPr="00AA14EA">
        <w:rPr>
          <w:szCs w:val="28"/>
        </w:rPr>
        <w:t>to say” (</w:t>
      </w:r>
      <w:proofErr w:type="spellStart"/>
      <w:r w:rsidRPr="00AA14EA">
        <w:rPr>
          <w:i/>
          <w:iCs/>
          <w:szCs w:val="28"/>
        </w:rPr>
        <w:t>dit</w:t>
      </w:r>
      <w:proofErr w:type="spellEnd"/>
      <w:r w:rsidR="006F304D" w:rsidRPr="006F304D">
        <w:rPr>
          <w:iCs/>
          <w:szCs w:val="28"/>
        </w:rPr>
        <w:t xml:space="preserve">, </w:t>
      </w:r>
      <w:r w:rsidRPr="00AA14EA">
        <w:rPr>
          <w:i/>
          <w:iCs/>
          <w:szCs w:val="28"/>
        </w:rPr>
        <w:t>dis</w:t>
      </w:r>
      <w:r w:rsidRPr="00AA14EA">
        <w:rPr>
          <w:szCs w:val="28"/>
        </w:rPr>
        <w:t>)</w:t>
      </w:r>
      <w:r w:rsidR="006F304D" w:rsidRPr="006F304D">
        <w:rPr>
          <w:szCs w:val="28"/>
        </w:rPr>
        <w:t xml:space="preserve">, </w:t>
      </w:r>
      <w:r w:rsidRPr="00AA14EA">
        <w:rPr>
          <w:szCs w:val="28"/>
        </w:rPr>
        <w:t>in capi</w:t>
      </w:r>
      <w:r w:rsidRPr="00AA14EA">
        <w:rPr>
          <w:szCs w:val="28"/>
        </w:rPr>
        <w:softHyphen/>
        <w:t>tals.</w:t>
      </w:r>
      <w:r w:rsidRPr="00AA14EA">
        <w:rPr>
          <w:rStyle w:val="FootnoteReference"/>
          <w:szCs w:val="28"/>
        </w:rPr>
        <w:footnoteReference w:id="461"/>
      </w:r>
      <w:r w:rsidRPr="00AA14EA">
        <w:rPr>
          <w:szCs w:val="28"/>
        </w:rPr>
        <w:t xml:space="preserve"> Thus he suggests that these three ver</w:t>
      </w:r>
      <w:r w:rsidRPr="00AA14EA">
        <w:rPr>
          <w:szCs w:val="28"/>
        </w:rPr>
        <w:softHyphen/>
        <w:t>sicles are specially related; and</w:t>
      </w:r>
      <w:r w:rsidR="006F304D" w:rsidRPr="006F304D">
        <w:rPr>
          <w:szCs w:val="28"/>
        </w:rPr>
        <w:t xml:space="preserve">, </w:t>
      </w:r>
      <w:r w:rsidRPr="00AA14EA">
        <w:rPr>
          <w:szCs w:val="28"/>
        </w:rPr>
        <w:t>since the rest of the sermon is in boxes that follow one versicle or an</w:t>
      </w:r>
      <w:r w:rsidRPr="00AA14EA">
        <w:rPr>
          <w:szCs w:val="28"/>
        </w:rPr>
        <w:softHyphen/>
        <w:t>other</w:t>
      </w:r>
      <w:r w:rsidR="006F304D" w:rsidRPr="006F304D">
        <w:rPr>
          <w:szCs w:val="28"/>
        </w:rPr>
        <w:t xml:space="preserve">, </w:t>
      </w:r>
      <w:r w:rsidRPr="00AA14EA">
        <w:rPr>
          <w:szCs w:val="28"/>
        </w:rPr>
        <w:t>he suggests further that they are markers to divide the ser</w:t>
      </w:r>
      <w:r w:rsidRPr="00AA14EA">
        <w:rPr>
          <w:szCs w:val="28"/>
        </w:rPr>
        <w:softHyphen/>
        <w:t xml:space="preserve">mon. But </w:t>
      </w:r>
      <w:proofErr w:type="spellStart"/>
      <w:r w:rsidRPr="00AA14EA">
        <w:rPr>
          <w:szCs w:val="28"/>
        </w:rPr>
        <w:t>Meynet</w:t>
      </w:r>
      <w:proofErr w:type="spellEnd"/>
      <w:r w:rsidRPr="00AA14EA">
        <w:rPr>
          <w:szCs w:val="28"/>
        </w:rPr>
        <w:t xml:space="preserve"> also relates the </w:t>
      </w:r>
      <w:proofErr w:type="spellStart"/>
      <w:r w:rsidRPr="00AA14EA">
        <w:rPr>
          <w:i/>
          <w:iCs/>
          <w:szCs w:val="28"/>
        </w:rPr>
        <w:t>dit</w:t>
      </w:r>
      <w:proofErr w:type="spellEnd"/>
      <w:r w:rsidRPr="00AA14EA">
        <w:rPr>
          <w:szCs w:val="28"/>
        </w:rPr>
        <w:t xml:space="preserve"> and </w:t>
      </w:r>
      <w:r w:rsidRPr="00AA14EA">
        <w:rPr>
          <w:i/>
          <w:iCs/>
          <w:szCs w:val="28"/>
        </w:rPr>
        <w:t>dis</w:t>
      </w:r>
      <w:r w:rsidRPr="00AA14EA">
        <w:rPr>
          <w:szCs w:val="28"/>
        </w:rPr>
        <w:t xml:space="preserve"> of the versicles to the </w:t>
      </w:r>
      <w:r w:rsidRPr="00AA14EA">
        <w:rPr>
          <w:i/>
          <w:iCs/>
          <w:szCs w:val="28"/>
        </w:rPr>
        <w:t>dis</w:t>
      </w:r>
      <w:r w:rsidRPr="00AA14EA">
        <w:rPr>
          <w:szCs w:val="28"/>
        </w:rPr>
        <w:t xml:space="preserve"> of 46</w:t>
      </w:r>
      <w:r w:rsidR="006F304D" w:rsidRPr="006F304D">
        <w:rPr>
          <w:szCs w:val="28"/>
        </w:rPr>
        <w:t xml:space="preserve">, </w:t>
      </w:r>
      <w:r w:rsidRPr="00AA14EA">
        <w:rPr>
          <w:szCs w:val="28"/>
        </w:rPr>
        <w:t xml:space="preserve">since the </w:t>
      </w:r>
      <w:r w:rsidRPr="00AA14EA">
        <w:rPr>
          <w:i/>
          <w:iCs/>
          <w:szCs w:val="28"/>
        </w:rPr>
        <w:t>dis</w:t>
      </w:r>
      <w:r w:rsidRPr="00AA14EA">
        <w:rPr>
          <w:szCs w:val="28"/>
        </w:rPr>
        <w:t xml:space="preserve"> of 46 is italicized and capital</w:t>
      </w:r>
      <w:r w:rsidRPr="00AA14EA">
        <w:rPr>
          <w:szCs w:val="28"/>
        </w:rPr>
        <w:softHyphen/>
        <w:t>ized and the rest of 46-49 is not. The question thus aris</w:t>
      </w:r>
      <w:r w:rsidRPr="00AA14EA">
        <w:rPr>
          <w:szCs w:val="28"/>
        </w:rPr>
        <w:softHyphen/>
        <w:t xml:space="preserve">es why </w:t>
      </w:r>
      <w:proofErr w:type="spellStart"/>
      <w:r w:rsidRPr="00AA14EA">
        <w:rPr>
          <w:szCs w:val="28"/>
        </w:rPr>
        <w:t>Meynet</w:t>
      </w:r>
      <w:proofErr w:type="spellEnd"/>
      <w:r w:rsidRPr="00AA14EA">
        <w:rPr>
          <w:szCs w:val="28"/>
        </w:rPr>
        <w:t xml:space="preserve"> has not used 46 to demar</w:t>
      </w:r>
      <w:r w:rsidRPr="00AA14EA">
        <w:rPr>
          <w:szCs w:val="28"/>
        </w:rPr>
        <w:softHyphen/>
        <w:t>cate a section of the sermon</w:t>
      </w:r>
      <w:r w:rsidR="006F304D" w:rsidRPr="006F304D">
        <w:rPr>
          <w:szCs w:val="28"/>
        </w:rPr>
        <w:t xml:space="preserve">, </w:t>
      </w:r>
      <w:r w:rsidRPr="00AA14EA">
        <w:rPr>
          <w:szCs w:val="28"/>
        </w:rPr>
        <w:t>a fourth section (47-49</w:t>
      </w:r>
      <w:r w:rsidR="006F304D" w:rsidRPr="006F304D">
        <w:rPr>
          <w:szCs w:val="28"/>
        </w:rPr>
        <w:t xml:space="preserve">, </w:t>
      </w:r>
      <w:r w:rsidRPr="00AA14EA">
        <w:rPr>
          <w:szCs w:val="28"/>
        </w:rPr>
        <w:t>the two houses) dis</w:t>
      </w:r>
      <w:r w:rsidRPr="00AA14EA">
        <w:rPr>
          <w:szCs w:val="28"/>
        </w:rPr>
        <w:softHyphen/>
        <w:t>tin</w:t>
      </w:r>
      <w:r w:rsidRPr="00AA14EA">
        <w:rPr>
          <w:szCs w:val="28"/>
        </w:rPr>
        <w:softHyphen/>
        <w:t>guished by the introduc</w:t>
      </w:r>
      <w:r w:rsidRPr="00AA14EA">
        <w:rPr>
          <w:szCs w:val="28"/>
        </w:rPr>
        <w:softHyphen/>
        <w:t>tion</w:t>
      </w:r>
      <w:r w:rsidR="006F304D" w:rsidRPr="006F304D">
        <w:rPr>
          <w:szCs w:val="28"/>
        </w:rPr>
        <w:t xml:space="preserve">, </w:t>
      </w:r>
      <w:r w:rsidRPr="00AA14EA">
        <w:rPr>
          <w:szCs w:val="28"/>
        </w:rPr>
        <w:t>“Why do you call me ‘Lord</w:t>
      </w:r>
      <w:r w:rsidR="006F304D" w:rsidRPr="006F304D">
        <w:rPr>
          <w:szCs w:val="28"/>
        </w:rPr>
        <w:t xml:space="preserve">, </w:t>
      </w:r>
      <w:r w:rsidRPr="00AA14EA">
        <w:rPr>
          <w:szCs w:val="28"/>
        </w:rPr>
        <w:t xml:space="preserve">Lord,’ and not do what I tell you?” (46). That the </w:t>
      </w:r>
      <w:r w:rsidRPr="00AA14EA">
        <w:rPr>
          <w:i/>
          <w:iCs/>
          <w:szCs w:val="28"/>
        </w:rPr>
        <w:t>dis</w:t>
      </w:r>
      <w:r w:rsidRPr="00AA14EA">
        <w:rPr>
          <w:szCs w:val="28"/>
        </w:rPr>
        <w:t xml:space="preserve"> of 46 is direct address cannot have in</w:t>
      </w:r>
      <w:r w:rsidRPr="00AA14EA">
        <w:rPr>
          <w:szCs w:val="28"/>
        </w:rPr>
        <w:softHyphen/>
        <w:t xml:space="preserve">hibited </w:t>
      </w:r>
      <w:proofErr w:type="spellStart"/>
      <w:r w:rsidRPr="00AA14EA">
        <w:rPr>
          <w:szCs w:val="28"/>
        </w:rPr>
        <w:t>Meynet</w:t>
      </w:r>
      <w:proofErr w:type="spellEnd"/>
      <w:r w:rsidRPr="00AA14EA">
        <w:rPr>
          <w:szCs w:val="28"/>
        </w:rPr>
        <w:t xml:space="preserve"> from using the verse as a </w:t>
      </w:r>
      <w:r w:rsidRPr="00AA14EA">
        <w:rPr>
          <w:szCs w:val="28"/>
        </w:rPr>
        <w:softHyphen/>
      </w:r>
      <w:r w:rsidRPr="00AA14EA">
        <w:rPr>
          <w:szCs w:val="28"/>
        </w:rPr>
        <w:softHyphen/>
        <w:t>mark</w:t>
      </w:r>
      <w:r w:rsidRPr="00AA14EA">
        <w:rPr>
          <w:szCs w:val="28"/>
        </w:rPr>
        <w:softHyphen/>
        <w:t>er</w:t>
      </w:r>
      <w:r w:rsidR="006F304D" w:rsidRPr="006F304D">
        <w:rPr>
          <w:szCs w:val="28"/>
        </w:rPr>
        <w:t xml:space="preserve">, </w:t>
      </w:r>
      <w:r w:rsidRPr="00AA14EA">
        <w:rPr>
          <w:szCs w:val="28"/>
        </w:rPr>
        <w:t xml:space="preserve">since the </w:t>
      </w:r>
      <w:r w:rsidRPr="00AA14EA">
        <w:rPr>
          <w:i/>
          <w:iCs/>
          <w:szCs w:val="28"/>
        </w:rPr>
        <w:t>dis</w:t>
      </w:r>
      <w:r w:rsidRPr="00AA14EA">
        <w:rPr>
          <w:szCs w:val="28"/>
        </w:rPr>
        <w:t xml:space="preserve"> of 27a is also direct address. </w:t>
      </w:r>
      <w:proofErr w:type="spellStart"/>
      <w:r w:rsidRPr="00AA14EA">
        <w:rPr>
          <w:szCs w:val="28"/>
        </w:rPr>
        <w:t>Meynet</w:t>
      </w:r>
      <w:proofErr w:type="spellEnd"/>
      <w:r w:rsidRPr="00AA14EA">
        <w:rPr>
          <w:szCs w:val="28"/>
        </w:rPr>
        <w:t xml:space="preserve"> wants to keep 47-49 as part of the third section </w:t>
      </w:r>
      <w:r w:rsidRPr="00AA14EA">
        <w:rPr>
          <w:szCs w:val="28"/>
        </w:rPr>
        <w:lastRenderedPageBreak/>
        <w:t xml:space="preserve">to maintain the parallelism between </w:t>
      </w:r>
      <w:proofErr w:type="spellStart"/>
      <w:r w:rsidRPr="00AA14EA">
        <w:rPr>
          <w:i/>
          <w:iCs/>
          <w:szCs w:val="28"/>
        </w:rPr>
        <w:t>pourquoi</w:t>
      </w:r>
      <w:proofErr w:type="spellEnd"/>
      <w:r w:rsidRPr="00AA14EA">
        <w:rPr>
          <w:szCs w:val="28"/>
        </w:rPr>
        <w:t xml:space="preserve"> (“why”) in 41 and 46; but whether to sacrifice his marker principle for his parallelism</w:t>
      </w:r>
      <w:r w:rsidR="006F304D" w:rsidRPr="006F304D">
        <w:rPr>
          <w:szCs w:val="28"/>
        </w:rPr>
        <w:t xml:space="preserve">, </w:t>
      </w:r>
      <w:r w:rsidRPr="00AA14EA">
        <w:rPr>
          <w:szCs w:val="28"/>
        </w:rPr>
        <w:t>or vice versa</w:t>
      </w:r>
      <w:r w:rsidR="006F304D" w:rsidRPr="006F304D">
        <w:rPr>
          <w:szCs w:val="28"/>
        </w:rPr>
        <w:t xml:space="preserve">, </w:t>
      </w:r>
      <w:r w:rsidRPr="00AA14EA">
        <w:rPr>
          <w:szCs w:val="28"/>
        </w:rPr>
        <w:t>is a purely subjective decision. Probably the coin</w:t>
      </w:r>
      <w:r w:rsidRPr="00AA14EA">
        <w:rPr>
          <w:szCs w:val="28"/>
        </w:rPr>
        <w:softHyphen/>
        <w:t xml:space="preserve">cidence of </w:t>
      </w:r>
      <w:r w:rsidRPr="00AA14EA">
        <w:rPr>
          <w:i/>
          <w:iCs/>
          <w:szCs w:val="28"/>
        </w:rPr>
        <w:t>dire</w:t>
      </w:r>
      <w:r w:rsidRPr="00AA14EA">
        <w:rPr>
          <w:szCs w:val="28"/>
        </w:rPr>
        <w:t xml:space="preserve"> state</w:t>
      </w:r>
      <w:r w:rsidRPr="00AA14EA">
        <w:rPr>
          <w:szCs w:val="28"/>
        </w:rPr>
        <w:softHyphen/>
        <w:t>ments in 20a</w:t>
      </w:r>
      <w:r w:rsidR="006F304D" w:rsidRPr="006F304D">
        <w:rPr>
          <w:szCs w:val="28"/>
        </w:rPr>
        <w:t xml:space="preserve">, </w:t>
      </w:r>
      <w:r w:rsidRPr="00AA14EA">
        <w:rPr>
          <w:szCs w:val="28"/>
        </w:rPr>
        <w:t>27a</w:t>
      </w:r>
      <w:r w:rsidR="006F304D" w:rsidRPr="006F304D">
        <w:rPr>
          <w:szCs w:val="28"/>
        </w:rPr>
        <w:t xml:space="preserve">, </w:t>
      </w:r>
      <w:r w:rsidRPr="00AA14EA">
        <w:rPr>
          <w:szCs w:val="28"/>
        </w:rPr>
        <w:t>39a</w:t>
      </w:r>
      <w:r w:rsidR="006F304D" w:rsidRPr="006F304D">
        <w:rPr>
          <w:szCs w:val="28"/>
        </w:rPr>
        <w:t xml:space="preserve">, </w:t>
      </w:r>
      <w:r w:rsidRPr="00AA14EA">
        <w:rPr>
          <w:szCs w:val="28"/>
        </w:rPr>
        <w:t>and 46 are more a fortuitous detail than a structurally significant fea</w:t>
      </w:r>
      <w:r w:rsidRPr="00AA14EA">
        <w:rPr>
          <w:szCs w:val="28"/>
        </w:rPr>
        <w:softHyphen/>
        <w:t>ture. The connec</w:t>
      </w:r>
      <w:r w:rsidRPr="00AA14EA">
        <w:rPr>
          <w:szCs w:val="28"/>
        </w:rPr>
        <w:softHyphen/>
        <w:t xml:space="preserve">tion is not much more forceful than the one </w:t>
      </w:r>
      <w:proofErr w:type="spellStart"/>
      <w:r w:rsidRPr="00AA14EA">
        <w:rPr>
          <w:szCs w:val="28"/>
        </w:rPr>
        <w:t>Meynet</w:t>
      </w:r>
      <w:proofErr w:type="spellEnd"/>
      <w:r w:rsidRPr="00AA14EA">
        <w:rPr>
          <w:szCs w:val="28"/>
        </w:rPr>
        <w:t xml:space="preserve"> makes (as his typog</w:t>
      </w:r>
      <w:r w:rsidRPr="00AA14EA">
        <w:rPr>
          <w:szCs w:val="28"/>
        </w:rPr>
        <w:softHyphen/>
        <w:t>raphy indicates) be</w:t>
      </w:r>
      <w:r w:rsidRPr="00AA14EA">
        <w:rPr>
          <w:szCs w:val="28"/>
        </w:rPr>
        <w:softHyphen/>
        <w:t xml:space="preserve">tween </w:t>
      </w:r>
      <w:r w:rsidRPr="00AA14EA">
        <w:rPr>
          <w:i/>
          <w:iCs/>
          <w:szCs w:val="28"/>
        </w:rPr>
        <w:t>creux</w:t>
      </w:r>
      <w:r w:rsidRPr="00AA14EA">
        <w:rPr>
          <w:szCs w:val="28"/>
        </w:rPr>
        <w:t xml:space="preserve"> (“pit”) in 39c (“Will not both fall into a pit?”) and </w:t>
      </w:r>
      <w:proofErr w:type="spellStart"/>
      <w:r w:rsidRPr="00AA14EA">
        <w:rPr>
          <w:i/>
          <w:iCs/>
          <w:szCs w:val="28"/>
        </w:rPr>
        <w:t>creusé</w:t>
      </w:r>
      <w:proofErr w:type="spellEnd"/>
      <w:r w:rsidRPr="00AA14EA">
        <w:rPr>
          <w:szCs w:val="28"/>
        </w:rPr>
        <w:t xml:space="preserve"> (“dig a pit”) in 48b (“That one is like a man </w:t>
      </w:r>
      <w:r w:rsidRPr="005F51B1">
        <w:rPr>
          <w:szCs w:val="28"/>
        </w:rPr>
        <w:t>. . .</w:t>
      </w:r>
      <w:r w:rsidRPr="00AA14EA">
        <w:rPr>
          <w:szCs w:val="28"/>
        </w:rPr>
        <w:t xml:space="preserve"> who dug deeply”)</w:t>
      </w:r>
      <w:r w:rsidR="006F304D" w:rsidRPr="006F304D">
        <w:rPr>
          <w:szCs w:val="28"/>
        </w:rPr>
        <w:t xml:space="preserve">, </w:t>
      </w:r>
      <w:r w:rsidRPr="00AA14EA">
        <w:rPr>
          <w:szCs w:val="28"/>
        </w:rPr>
        <w:t>or the even more fanciful connec</w:t>
      </w:r>
      <w:r w:rsidRPr="00AA14EA">
        <w:rPr>
          <w:szCs w:val="28"/>
        </w:rPr>
        <w:softHyphen/>
        <w:t>tion between the fall (</w:t>
      </w:r>
      <w:proofErr w:type="spellStart"/>
      <w:r w:rsidRPr="00AA14EA">
        <w:rPr>
          <w:i/>
          <w:iCs/>
          <w:szCs w:val="28"/>
        </w:rPr>
        <w:t>tomber</w:t>
      </w:r>
      <w:r w:rsidRPr="00AA14EA">
        <w:rPr>
          <w:i/>
          <w:iCs/>
          <w:szCs w:val="28"/>
        </w:rPr>
        <w:softHyphen/>
        <w:t>ont</w:t>
      </w:r>
      <w:proofErr w:type="spellEnd"/>
      <w:r w:rsidRPr="00AA14EA">
        <w:rPr>
          <w:szCs w:val="28"/>
        </w:rPr>
        <w:t>) of the blind men in 39c (“Will not both fall”) and the fall (</w:t>
      </w:r>
      <w:proofErr w:type="spellStart"/>
      <w:r w:rsidRPr="00AA14EA">
        <w:rPr>
          <w:i/>
          <w:iCs/>
          <w:szCs w:val="28"/>
        </w:rPr>
        <w:t>tombée</w:t>
      </w:r>
      <w:proofErr w:type="spellEnd"/>
      <w:r w:rsidRPr="00AA14EA">
        <w:rPr>
          <w:szCs w:val="28"/>
        </w:rPr>
        <w:t>) of the house in 49c (“im</w:t>
      </w:r>
      <w:r w:rsidRPr="00AA14EA">
        <w:rPr>
          <w:szCs w:val="28"/>
        </w:rPr>
        <w:softHyphen/>
        <w:t>mediately it fell”).</w:t>
      </w:r>
      <w:r w:rsidRPr="00AA14EA">
        <w:rPr>
          <w:rStyle w:val="FootnoteReference"/>
          <w:szCs w:val="28"/>
        </w:rPr>
        <w:footnoteReference w:id="462"/>
      </w:r>
    </w:p>
    <w:p w14:paraId="5635D68A" w14:textId="314E7915" w:rsidR="0018433B" w:rsidRPr="00AA14EA" w:rsidRDefault="0018433B" w:rsidP="0018433B">
      <w:pPr>
        <w:rPr>
          <w:szCs w:val="28"/>
        </w:rPr>
      </w:pPr>
      <w:r w:rsidRPr="00AA14EA">
        <w:rPr>
          <w:szCs w:val="28"/>
        </w:rPr>
        <w:tab/>
        <w:t xml:space="preserve">Other problems are also evident in </w:t>
      </w:r>
      <w:proofErr w:type="spellStart"/>
      <w:r w:rsidRPr="00AA14EA">
        <w:rPr>
          <w:szCs w:val="28"/>
        </w:rPr>
        <w:t>Meynet’s</w:t>
      </w:r>
      <w:proofErr w:type="spellEnd"/>
      <w:r w:rsidRPr="00AA14EA">
        <w:rPr>
          <w:szCs w:val="28"/>
        </w:rPr>
        <w:t xml:space="preserve"> chiastic arrange</w:t>
      </w:r>
      <w:r w:rsidRPr="00AA14EA">
        <w:rPr>
          <w:szCs w:val="28"/>
        </w:rPr>
        <w:softHyphen/>
        <w:t>ment. The chart suggests that the divisions of the chiasm are: A (20b-26)</w:t>
      </w:r>
      <w:r w:rsidR="006F304D" w:rsidRPr="006F304D">
        <w:rPr>
          <w:szCs w:val="28"/>
        </w:rPr>
        <w:t xml:space="preserve">, </w:t>
      </w:r>
      <w:r w:rsidRPr="00AA14EA">
        <w:rPr>
          <w:szCs w:val="28"/>
        </w:rPr>
        <w:t>B (27b-31)</w:t>
      </w:r>
      <w:r w:rsidR="006F304D" w:rsidRPr="006F304D">
        <w:rPr>
          <w:szCs w:val="28"/>
        </w:rPr>
        <w:t xml:space="preserve">, </w:t>
      </w:r>
      <w:r w:rsidRPr="00AA14EA">
        <w:rPr>
          <w:szCs w:val="28"/>
        </w:rPr>
        <w:t>C (32-36)</w:t>
      </w:r>
      <w:r w:rsidR="006F304D" w:rsidRPr="006F304D">
        <w:rPr>
          <w:szCs w:val="28"/>
        </w:rPr>
        <w:t xml:space="preserve">, </w:t>
      </w:r>
      <w:r w:rsidRPr="00AA14EA">
        <w:rPr>
          <w:szCs w:val="28"/>
        </w:rPr>
        <w:t>B</w:t>
      </w:r>
      <w:r>
        <w:rPr>
          <w:szCs w:val="28"/>
        </w:rPr>
        <w:t>´</w:t>
      </w:r>
      <w:r w:rsidRPr="00AA14EA">
        <w:rPr>
          <w:szCs w:val="28"/>
        </w:rPr>
        <w:t xml:space="preserve"> (37-38)</w:t>
      </w:r>
      <w:r w:rsidR="006F304D" w:rsidRPr="006F304D">
        <w:rPr>
          <w:szCs w:val="28"/>
        </w:rPr>
        <w:t xml:space="preserve">, </w:t>
      </w:r>
      <w:r w:rsidRPr="00AA14EA">
        <w:rPr>
          <w:szCs w:val="28"/>
        </w:rPr>
        <w:t>A</w:t>
      </w:r>
      <w:r>
        <w:rPr>
          <w:szCs w:val="28"/>
        </w:rPr>
        <w:t>´</w:t>
      </w:r>
      <w:r w:rsidRPr="00AA14EA">
        <w:rPr>
          <w:szCs w:val="28"/>
        </w:rPr>
        <w:t xml:space="preserve"> (39b-49). Now</w:t>
      </w:r>
      <w:r w:rsidR="006F304D" w:rsidRPr="006F304D">
        <w:rPr>
          <w:szCs w:val="28"/>
        </w:rPr>
        <w:t xml:space="preserve">, </w:t>
      </w:r>
      <w:r w:rsidRPr="00AA14EA">
        <w:rPr>
          <w:szCs w:val="28"/>
        </w:rPr>
        <w:t>ac</w:t>
      </w:r>
      <w:r w:rsidRPr="00AA14EA">
        <w:rPr>
          <w:szCs w:val="28"/>
        </w:rPr>
        <w:softHyphen/>
        <w:t>cord</w:t>
      </w:r>
      <w:r w:rsidRPr="00AA14EA">
        <w:rPr>
          <w:szCs w:val="28"/>
        </w:rPr>
        <w:softHyphen/>
        <w:t>ing to the laws of chiasm</w:t>
      </w:r>
      <w:r w:rsidR="006F304D" w:rsidRPr="006F304D">
        <w:rPr>
          <w:szCs w:val="28"/>
        </w:rPr>
        <w:t xml:space="preserve">, </w:t>
      </w:r>
      <w:r w:rsidRPr="00AA14EA">
        <w:rPr>
          <w:szCs w:val="28"/>
        </w:rPr>
        <w:t>the central element is the most important: it must be unique and is the turning point in the chi</w:t>
      </w:r>
      <w:r w:rsidRPr="00AA14EA">
        <w:rPr>
          <w:szCs w:val="28"/>
        </w:rPr>
        <w:softHyphen/>
        <w:t xml:space="preserve">asm’s meaning. This does not appear to be the case. </w:t>
      </w:r>
      <w:proofErr w:type="spellStart"/>
      <w:r w:rsidRPr="00AA14EA">
        <w:rPr>
          <w:szCs w:val="28"/>
        </w:rPr>
        <w:t>Mey</w:t>
      </w:r>
      <w:r w:rsidRPr="00AA14EA">
        <w:rPr>
          <w:szCs w:val="28"/>
        </w:rPr>
        <w:softHyphen/>
        <w:t>net’s</w:t>
      </w:r>
      <w:proofErr w:type="spellEnd"/>
      <w:r w:rsidRPr="00AA14EA">
        <w:rPr>
          <w:szCs w:val="28"/>
        </w:rPr>
        <w:t xml:space="preserve"> central section</w:t>
      </w:r>
      <w:r w:rsidR="006F304D" w:rsidRPr="006F304D">
        <w:rPr>
          <w:szCs w:val="28"/>
        </w:rPr>
        <w:t xml:space="preserve">, </w:t>
      </w:r>
      <w:r w:rsidRPr="00AA14EA">
        <w:rPr>
          <w:szCs w:val="28"/>
        </w:rPr>
        <w:t>32-36</w:t>
      </w:r>
      <w:r w:rsidR="006F304D" w:rsidRPr="006F304D">
        <w:rPr>
          <w:szCs w:val="28"/>
        </w:rPr>
        <w:t xml:space="preserve">, </w:t>
      </w:r>
      <w:r w:rsidRPr="00AA14EA">
        <w:rPr>
          <w:szCs w:val="28"/>
        </w:rPr>
        <w:t>is not unique: it repeats ideas (“love your enemies,” “do good,” “lend”) already pre</w:t>
      </w:r>
      <w:r w:rsidRPr="00AA14EA">
        <w:rPr>
          <w:szCs w:val="28"/>
        </w:rPr>
        <w:softHyphen/>
        <w:t>sented in 27-29 (“love your enem</w:t>
      </w:r>
      <w:r w:rsidRPr="00AA14EA">
        <w:rPr>
          <w:szCs w:val="28"/>
        </w:rPr>
        <w:softHyphen/>
        <w:t>ies,” “do good,” “do not with</w:t>
      </w:r>
      <w:r w:rsidRPr="00AA14EA">
        <w:rPr>
          <w:szCs w:val="28"/>
        </w:rPr>
        <w:softHyphen/>
        <w:t>hold”). Nor are these verses a turn</w:t>
      </w:r>
      <w:r w:rsidRPr="00AA14EA">
        <w:rPr>
          <w:szCs w:val="28"/>
        </w:rPr>
        <w:softHyphen/>
        <w:t>ing point: the same attitude of regard for one’s neighbor found prior to and in 32-36 is also found after it (</w:t>
      </w:r>
      <w:r w:rsidR="00775F9B" w:rsidRPr="00775F9B">
        <w:rPr>
          <w:iCs/>
          <w:szCs w:val="28"/>
        </w:rPr>
        <w:t>e.g.</w:t>
      </w:r>
      <w:r w:rsidR="006F304D" w:rsidRPr="006F304D">
        <w:rPr>
          <w:szCs w:val="28"/>
        </w:rPr>
        <w:t xml:space="preserve">, </w:t>
      </w:r>
      <w:r w:rsidRPr="00AA14EA">
        <w:rPr>
          <w:szCs w:val="28"/>
        </w:rPr>
        <w:t>37-38: “forgive,” “give”).</w:t>
      </w:r>
    </w:p>
    <w:p w14:paraId="6A745781" w14:textId="13E1FE1F" w:rsidR="0018433B" w:rsidRPr="00AA14EA" w:rsidRDefault="0018433B" w:rsidP="0018433B">
      <w:pPr>
        <w:rPr>
          <w:szCs w:val="28"/>
        </w:rPr>
      </w:pPr>
      <w:r w:rsidRPr="00AA14EA">
        <w:rPr>
          <w:szCs w:val="28"/>
        </w:rPr>
        <w:tab/>
        <w:t>Again</w:t>
      </w:r>
      <w:r w:rsidR="006F304D" w:rsidRPr="006F304D">
        <w:rPr>
          <w:szCs w:val="28"/>
        </w:rPr>
        <w:t xml:space="preserve">, </w:t>
      </w:r>
      <w:r w:rsidRPr="00AA14EA">
        <w:rPr>
          <w:szCs w:val="28"/>
        </w:rPr>
        <w:t>according to the laws of chiasm</w:t>
      </w:r>
      <w:r w:rsidR="006F304D" w:rsidRPr="006F304D">
        <w:rPr>
          <w:szCs w:val="28"/>
        </w:rPr>
        <w:t xml:space="preserve">, </w:t>
      </w:r>
      <w:r w:rsidRPr="00AA14EA">
        <w:rPr>
          <w:szCs w:val="28"/>
        </w:rPr>
        <w:t>one would expect the sections of the first slope to show special correspondence to the sections of the second slope. But this is not the case. Is 27-31 (“love,” “do good,” “bless,” “pray”) more closely related to 37-38 (“do not judge”) than to other sections? Surely its rela</w:t>
      </w:r>
      <w:r w:rsidRPr="00AA14EA">
        <w:rPr>
          <w:szCs w:val="28"/>
        </w:rPr>
        <w:softHyphen/>
        <w:t>tion is closer to 32-36 (“love,” “do good,” “lend”).</w:t>
      </w:r>
    </w:p>
    <w:p w14:paraId="0C4DD4DF" w14:textId="2D0D61E8" w:rsidR="0018433B" w:rsidRPr="00AA14EA" w:rsidRDefault="0018433B" w:rsidP="0018433B">
      <w:pPr>
        <w:rPr>
          <w:szCs w:val="28"/>
        </w:rPr>
      </w:pPr>
      <w:r w:rsidRPr="00AA14EA">
        <w:rPr>
          <w:szCs w:val="28"/>
        </w:rPr>
        <w:tab/>
        <w:t>More complex is the supposed re</w:t>
      </w:r>
      <w:r w:rsidRPr="00AA14EA">
        <w:rPr>
          <w:szCs w:val="28"/>
        </w:rPr>
        <w:softHyphen/>
        <w:t xml:space="preserve">lation between 31 (“Do to others as you would have them do to you”) and 38b (“for the measure you give will be the measure you get back”). </w:t>
      </w:r>
      <w:proofErr w:type="spellStart"/>
      <w:r w:rsidRPr="00AA14EA">
        <w:rPr>
          <w:szCs w:val="28"/>
        </w:rPr>
        <w:t>Meynet</w:t>
      </w:r>
      <w:proofErr w:type="spellEnd"/>
      <w:r w:rsidRPr="00AA14EA">
        <w:rPr>
          <w:szCs w:val="28"/>
        </w:rPr>
        <w:t xml:space="preserve"> implies a special rela</w:t>
      </w:r>
      <w:r w:rsidRPr="00AA14EA">
        <w:rPr>
          <w:szCs w:val="28"/>
        </w:rPr>
        <w:softHyphen/>
        <w:t xml:space="preserve">tion by </w:t>
      </w:r>
      <w:r w:rsidRPr="00AA14EA">
        <w:rPr>
          <w:szCs w:val="28"/>
        </w:rPr>
        <w:softHyphen/>
        <w:t>similar place</w:t>
      </w:r>
      <w:r w:rsidRPr="00AA14EA">
        <w:rPr>
          <w:szCs w:val="28"/>
        </w:rPr>
        <w:softHyphen/>
        <w:t>ment and simi</w:t>
      </w:r>
      <w:r w:rsidRPr="00AA14EA">
        <w:rPr>
          <w:szCs w:val="28"/>
        </w:rPr>
        <w:softHyphen/>
        <w:t>lar typeface: the verses occur at the end of sections two and four respective</w:t>
      </w:r>
      <w:r w:rsidRPr="00AA14EA">
        <w:rPr>
          <w:szCs w:val="28"/>
        </w:rPr>
        <w:softHyphen/>
        <w:t>ly; each is divided into two halves to match the boxes above it; and each is in a small</w:t>
      </w:r>
      <w:r w:rsidR="006F304D" w:rsidRPr="006F304D">
        <w:rPr>
          <w:szCs w:val="28"/>
        </w:rPr>
        <w:t xml:space="preserve">, </w:t>
      </w:r>
      <w:r w:rsidRPr="00AA14EA">
        <w:rPr>
          <w:szCs w:val="28"/>
        </w:rPr>
        <w:t>bold typeface. The two do seem to have content in common: both have to do with one’s actions in relation to the actions of others. But the nature of the relationship in each sentence differs. In 38b</w:t>
      </w:r>
      <w:r w:rsidR="006F304D" w:rsidRPr="006F304D">
        <w:rPr>
          <w:szCs w:val="28"/>
        </w:rPr>
        <w:t xml:space="preserve">, </w:t>
      </w:r>
      <w:r w:rsidRPr="00AA14EA">
        <w:rPr>
          <w:szCs w:val="28"/>
        </w:rPr>
        <w:t>the actions are re</w:t>
      </w:r>
      <w:r w:rsidRPr="00AA14EA">
        <w:rPr>
          <w:szCs w:val="28"/>
        </w:rPr>
        <w:softHyphen/>
        <w:t>lated as cause and effect: one’s treat</w:t>
      </w:r>
      <w:r w:rsidRPr="00AA14EA">
        <w:rPr>
          <w:szCs w:val="28"/>
        </w:rPr>
        <w:softHyphen/>
        <w:t>ment of oth</w:t>
      </w:r>
      <w:r w:rsidRPr="00AA14EA">
        <w:rPr>
          <w:szCs w:val="28"/>
        </w:rPr>
        <w:softHyphen/>
        <w:t>ers will deter</w:t>
      </w:r>
      <w:r w:rsidRPr="00AA14EA">
        <w:rPr>
          <w:szCs w:val="28"/>
        </w:rPr>
        <w:softHyphen/>
        <w:t>mine others’ treatment of oneself; the relation is also one of identical quantity (exactly to the degree [“measure”] that one treats oth</w:t>
      </w:r>
      <w:r w:rsidRPr="00AA14EA">
        <w:rPr>
          <w:szCs w:val="28"/>
        </w:rPr>
        <w:softHyphen/>
        <w:t>ers well</w:t>
      </w:r>
      <w:r w:rsidR="006F304D" w:rsidRPr="006F304D">
        <w:rPr>
          <w:szCs w:val="28"/>
        </w:rPr>
        <w:t xml:space="preserve">, </w:t>
      </w:r>
      <w:r w:rsidRPr="00AA14EA">
        <w:rPr>
          <w:szCs w:val="28"/>
        </w:rPr>
        <w:t>others will treat one well). But in 31</w:t>
      </w:r>
      <w:r w:rsidR="006F304D" w:rsidRPr="006F304D">
        <w:rPr>
          <w:szCs w:val="28"/>
        </w:rPr>
        <w:t xml:space="preserve">, </w:t>
      </w:r>
      <w:r w:rsidRPr="00AA14EA">
        <w:rPr>
          <w:szCs w:val="28"/>
        </w:rPr>
        <w:t>there is no cause and effect: no as</w:t>
      </w:r>
      <w:r w:rsidRPr="00AA14EA">
        <w:rPr>
          <w:szCs w:val="28"/>
        </w:rPr>
        <w:softHyphen/>
        <w:t>surance is made that one’s good treat</w:t>
      </w:r>
      <w:r w:rsidRPr="00AA14EA">
        <w:rPr>
          <w:szCs w:val="28"/>
        </w:rPr>
        <w:softHyphen/>
        <w:t>ment of others will result in good treatment of oneself. Nor is the same quantity of good or bad treatment guaran</w:t>
      </w:r>
      <w:r w:rsidRPr="00AA14EA">
        <w:rPr>
          <w:szCs w:val="28"/>
        </w:rPr>
        <w:softHyphen/>
        <w:t xml:space="preserve">teed. And </w:t>
      </w:r>
      <w:r w:rsidRPr="00AA14EA">
        <w:rPr>
          <w:szCs w:val="28"/>
        </w:rPr>
        <w:softHyphen/>
        <w:t>in 31 the acts of others to</w:t>
      </w:r>
      <w:r w:rsidRPr="00AA14EA">
        <w:rPr>
          <w:szCs w:val="28"/>
        </w:rPr>
        <w:softHyphen/>
        <w:t>ward oneself are ideas rather than extra</w:t>
      </w:r>
      <w:r>
        <w:rPr>
          <w:szCs w:val="28"/>
        </w:rPr>
        <w:t>-</w:t>
      </w:r>
      <w:r w:rsidRPr="00AA14EA">
        <w:rPr>
          <w:szCs w:val="28"/>
        </w:rPr>
        <w:t>mental realities (note the subjunc</w:t>
      </w:r>
      <w:r w:rsidRPr="00AA14EA">
        <w:rPr>
          <w:szCs w:val="28"/>
        </w:rPr>
        <w:softHyphen/>
        <w:t>tive</w:t>
      </w:r>
      <w:r w:rsidR="006F304D" w:rsidRPr="006F304D">
        <w:rPr>
          <w:szCs w:val="28"/>
        </w:rPr>
        <w:t xml:space="preserve">, </w:t>
      </w:r>
      <w:r w:rsidRPr="00AA14EA">
        <w:rPr>
          <w:szCs w:val="28"/>
        </w:rPr>
        <w:t>π</w:t>
      </w:r>
      <w:proofErr w:type="spellStart"/>
      <w:r w:rsidRPr="00AA14EA">
        <w:rPr>
          <w:szCs w:val="28"/>
        </w:rPr>
        <w:t>oι</w:t>
      </w:r>
      <w:r w:rsidRPr="00CB0999">
        <w:rPr>
          <w:szCs w:val="22"/>
          <w:lang w:bidi="he-IL"/>
        </w:rPr>
        <w:t>ῶ</w:t>
      </w:r>
      <w:r w:rsidRPr="00AA14EA">
        <w:rPr>
          <w:szCs w:val="28"/>
        </w:rPr>
        <w:softHyphen/>
        <w:t>σιv</w:t>
      </w:r>
      <w:proofErr w:type="spellEnd"/>
      <w:r w:rsidR="006F304D" w:rsidRPr="006F304D">
        <w:rPr>
          <w:szCs w:val="28"/>
        </w:rPr>
        <w:t xml:space="preserve">, </w:t>
      </w:r>
      <w:r w:rsidRPr="00AA14EA">
        <w:rPr>
          <w:szCs w:val="28"/>
        </w:rPr>
        <w:t>“would have them do”); they are ima</w:t>
      </w:r>
      <w:r w:rsidRPr="00AA14EA">
        <w:rPr>
          <w:szCs w:val="28"/>
        </w:rPr>
        <w:softHyphen/>
        <w:t>gined acts</w:t>
      </w:r>
      <w:r w:rsidR="006F304D" w:rsidRPr="006F304D">
        <w:rPr>
          <w:szCs w:val="28"/>
        </w:rPr>
        <w:t xml:space="preserve">, </w:t>
      </w:r>
      <w:r w:rsidRPr="00AA14EA">
        <w:rPr>
          <w:szCs w:val="28"/>
        </w:rPr>
        <w:t>and remain so. In 6:38b</w:t>
      </w:r>
      <w:r w:rsidR="006F304D" w:rsidRPr="006F304D">
        <w:rPr>
          <w:szCs w:val="28"/>
        </w:rPr>
        <w:t xml:space="preserve">, </w:t>
      </w:r>
      <w:r w:rsidRPr="00AA14EA">
        <w:rPr>
          <w:szCs w:val="28"/>
        </w:rPr>
        <w:t>by contrast</w:t>
      </w:r>
      <w:r w:rsidR="006F304D" w:rsidRPr="006F304D">
        <w:rPr>
          <w:szCs w:val="28"/>
        </w:rPr>
        <w:t xml:space="preserve">, </w:t>
      </w:r>
      <w:r w:rsidRPr="00AA14EA">
        <w:rPr>
          <w:szCs w:val="28"/>
        </w:rPr>
        <w:t>the acts of others are real acts; they have not yet occurred</w:t>
      </w:r>
      <w:r w:rsidR="006F304D" w:rsidRPr="006F304D">
        <w:rPr>
          <w:szCs w:val="28"/>
        </w:rPr>
        <w:t xml:space="preserve">, </w:t>
      </w:r>
      <w:r w:rsidRPr="00AA14EA">
        <w:rPr>
          <w:szCs w:val="28"/>
        </w:rPr>
        <w:t>it is true</w:t>
      </w:r>
      <w:r w:rsidR="006F304D" w:rsidRPr="006F304D">
        <w:rPr>
          <w:szCs w:val="28"/>
        </w:rPr>
        <w:t xml:space="preserve">, </w:t>
      </w:r>
      <w:r w:rsidRPr="00AA14EA">
        <w:rPr>
          <w:szCs w:val="28"/>
        </w:rPr>
        <w:t>but based on one’s own actions</w:t>
      </w:r>
      <w:r w:rsidR="006F304D" w:rsidRPr="006F304D">
        <w:rPr>
          <w:szCs w:val="28"/>
        </w:rPr>
        <w:t xml:space="preserve">, </w:t>
      </w:r>
      <w:r w:rsidRPr="00AA14EA">
        <w:rPr>
          <w:szCs w:val="28"/>
        </w:rPr>
        <w:t>these acts of others will even</w:t>
      </w:r>
      <w:r w:rsidRPr="00AA14EA">
        <w:rPr>
          <w:szCs w:val="28"/>
        </w:rPr>
        <w:softHyphen/>
        <w:t>tuate</w:t>
      </w:r>
      <w:r w:rsidR="006F304D" w:rsidRPr="006F304D">
        <w:rPr>
          <w:szCs w:val="28"/>
        </w:rPr>
        <w:t xml:space="preserve">, </w:t>
      </w:r>
      <w:r w:rsidRPr="00AA14EA">
        <w:rPr>
          <w:szCs w:val="28"/>
        </w:rPr>
        <w:t>in</w:t>
      </w:r>
      <w:r w:rsidRPr="00AA14EA">
        <w:rPr>
          <w:szCs w:val="28"/>
        </w:rPr>
        <w:softHyphen/>
        <w:t>evitably</w:t>
      </w:r>
      <w:r w:rsidR="006F304D" w:rsidRPr="006F304D">
        <w:rPr>
          <w:szCs w:val="28"/>
        </w:rPr>
        <w:t xml:space="preserve">, </w:t>
      </w:r>
      <w:r w:rsidRPr="00AA14EA">
        <w:rPr>
          <w:szCs w:val="28"/>
        </w:rPr>
        <w:t>as real actions. Thus 31 is not e</w:t>
      </w:r>
      <w:r w:rsidRPr="00AA14EA">
        <w:rPr>
          <w:szCs w:val="28"/>
        </w:rPr>
        <w:softHyphen/>
        <w:t>quiv</w:t>
      </w:r>
      <w:r w:rsidRPr="00AA14EA">
        <w:rPr>
          <w:szCs w:val="28"/>
        </w:rPr>
        <w:softHyphen/>
        <w:t>alent to 38b</w:t>
      </w:r>
      <w:r w:rsidR="006F304D" w:rsidRPr="006F304D">
        <w:rPr>
          <w:szCs w:val="28"/>
        </w:rPr>
        <w:t xml:space="preserve">, </w:t>
      </w:r>
      <w:r w:rsidRPr="00AA14EA">
        <w:rPr>
          <w:szCs w:val="28"/>
        </w:rPr>
        <w:t>and their corre</w:t>
      </w:r>
      <w:r w:rsidRPr="00AA14EA">
        <w:rPr>
          <w:szCs w:val="28"/>
        </w:rPr>
        <w:softHyphen/>
        <w:t>spon</w:t>
      </w:r>
      <w:r w:rsidRPr="00AA14EA">
        <w:rPr>
          <w:szCs w:val="28"/>
        </w:rPr>
        <w:softHyphen/>
        <w:t>den</w:t>
      </w:r>
      <w:r w:rsidRPr="00AA14EA">
        <w:rPr>
          <w:szCs w:val="28"/>
        </w:rPr>
        <w:softHyphen/>
        <w:t>ce in the chiasm is superfi</w:t>
      </w:r>
      <w:r w:rsidRPr="00AA14EA">
        <w:rPr>
          <w:szCs w:val="28"/>
        </w:rPr>
        <w:softHyphen/>
        <w:t>cial.</w:t>
      </w:r>
      <w:r w:rsidRPr="00AA14EA">
        <w:rPr>
          <w:rStyle w:val="FootnoteReference"/>
          <w:szCs w:val="28"/>
        </w:rPr>
        <w:footnoteReference w:id="463"/>
      </w:r>
    </w:p>
    <w:p w14:paraId="20EC1CCC" w14:textId="0E8BE958" w:rsidR="0018433B" w:rsidRPr="00AA14EA" w:rsidRDefault="0018433B" w:rsidP="0018433B">
      <w:pPr>
        <w:rPr>
          <w:szCs w:val="28"/>
        </w:rPr>
      </w:pPr>
      <w:r w:rsidRPr="00AA14EA">
        <w:rPr>
          <w:szCs w:val="28"/>
        </w:rPr>
        <w:lastRenderedPageBreak/>
        <w:tab/>
        <w:t xml:space="preserve">A final aspect of </w:t>
      </w:r>
      <w:proofErr w:type="spellStart"/>
      <w:r w:rsidRPr="00AA14EA">
        <w:rPr>
          <w:szCs w:val="28"/>
        </w:rPr>
        <w:t>Meynet’s</w:t>
      </w:r>
      <w:proofErr w:type="spellEnd"/>
      <w:r w:rsidRPr="00AA14EA">
        <w:rPr>
          <w:szCs w:val="28"/>
        </w:rPr>
        <w:t xml:space="preserve"> proposed structure in the first chart is his use of capitalized bold print. This typeface occurs at four points: 23ab (“Rejoice in that day and leap for joy</w:t>
      </w:r>
      <w:r w:rsidR="006F304D" w:rsidRPr="006F304D">
        <w:rPr>
          <w:szCs w:val="28"/>
        </w:rPr>
        <w:t xml:space="preserve">, </w:t>
      </w:r>
      <w:r w:rsidRPr="00AA14EA">
        <w:rPr>
          <w:szCs w:val="28"/>
        </w:rPr>
        <w:t>for surely your reward is great in heav</w:t>
      </w:r>
      <w:r w:rsidRPr="00AA14EA">
        <w:rPr>
          <w:szCs w:val="28"/>
        </w:rPr>
        <w:softHyphen/>
        <w:t>en”)</w:t>
      </w:r>
      <w:r w:rsidR="006F304D" w:rsidRPr="006F304D">
        <w:rPr>
          <w:szCs w:val="28"/>
        </w:rPr>
        <w:t xml:space="preserve">, </w:t>
      </w:r>
      <w:r w:rsidRPr="00AA14EA">
        <w:rPr>
          <w:szCs w:val="28"/>
        </w:rPr>
        <w:t>35d-36b (“Your reward will be great</w:t>
      </w:r>
      <w:r w:rsidR="006F304D" w:rsidRPr="006F304D">
        <w:rPr>
          <w:szCs w:val="28"/>
        </w:rPr>
        <w:t xml:space="preserve">, </w:t>
      </w:r>
      <w:r w:rsidRPr="00AA14EA">
        <w:rPr>
          <w:szCs w:val="28"/>
        </w:rPr>
        <w:t>and you will be children of the Most High; for he is kind to the ungrate</w:t>
      </w:r>
      <w:r w:rsidRPr="00AA14EA">
        <w:rPr>
          <w:szCs w:val="28"/>
        </w:rPr>
        <w:softHyphen/>
        <w:t>ful and the wicked. Be merci</w:t>
      </w:r>
      <w:r w:rsidRPr="00AA14EA">
        <w:rPr>
          <w:szCs w:val="28"/>
        </w:rPr>
        <w:softHyphen/>
        <w:t>ful</w:t>
      </w:r>
      <w:r w:rsidR="006F304D" w:rsidRPr="006F304D">
        <w:rPr>
          <w:szCs w:val="28"/>
        </w:rPr>
        <w:t xml:space="preserve">, </w:t>
      </w:r>
      <w:r w:rsidRPr="00AA14EA">
        <w:rPr>
          <w:szCs w:val="28"/>
        </w:rPr>
        <w:t>just as your Father is merciful”)</w:t>
      </w:r>
      <w:r w:rsidR="006F304D" w:rsidRPr="006F304D">
        <w:rPr>
          <w:szCs w:val="28"/>
        </w:rPr>
        <w:t xml:space="preserve">, </w:t>
      </w:r>
      <w:r w:rsidRPr="00AA14EA">
        <w:rPr>
          <w:szCs w:val="28"/>
        </w:rPr>
        <w:t>44a (“for each tree is known by its own fruit”)</w:t>
      </w:r>
      <w:r w:rsidR="006F304D" w:rsidRPr="006F304D">
        <w:rPr>
          <w:szCs w:val="28"/>
        </w:rPr>
        <w:t xml:space="preserve">, </w:t>
      </w:r>
      <w:r w:rsidRPr="00AA14EA">
        <w:rPr>
          <w:szCs w:val="28"/>
        </w:rPr>
        <w:t>and 45c (“for it is out of the abundance of the heart that the mouth speaks”).</w:t>
      </w:r>
      <w:r w:rsidRPr="00AA14EA">
        <w:rPr>
          <w:rStyle w:val="FootnoteReference"/>
          <w:szCs w:val="28"/>
        </w:rPr>
        <w:footnoteReference w:id="464"/>
      </w:r>
      <w:r w:rsidRPr="00AA14EA">
        <w:rPr>
          <w:szCs w:val="28"/>
        </w:rPr>
        <w:t xml:space="preserve"> In what way are these passages espe</w:t>
      </w:r>
      <w:r w:rsidRPr="00AA14EA">
        <w:rPr>
          <w:szCs w:val="28"/>
        </w:rPr>
        <w:softHyphen/>
        <w:t>cially re</w:t>
      </w:r>
      <w:r w:rsidRPr="00AA14EA">
        <w:rPr>
          <w:szCs w:val="28"/>
        </w:rPr>
        <w:softHyphen/>
        <w:t>lated? Granted</w:t>
      </w:r>
      <w:r w:rsidR="006F304D" w:rsidRPr="006F304D">
        <w:rPr>
          <w:szCs w:val="28"/>
        </w:rPr>
        <w:t xml:space="preserve">, </w:t>
      </w:r>
      <w:r w:rsidRPr="00AA14EA">
        <w:rPr>
          <w:szCs w:val="28"/>
        </w:rPr>
        <w:t xml:space="preserve">both </w:t>
      </w:r>
      <w:r>
        <w:rPr>
          <w:szCs w:val="28"/>
        </w:rPr>
        <w:t>23</w:t>
      </w:r>
      <w:r w:rsidRPr="00AA14EA">
        <w:rPr>
          <w:szCs w:val="28"/>
        </w:rPr>
        <w:t>b and 35d speak of one’s “re</w:t>
      </w:r>
      <w:r w:rsidRPr="00AA14EA">
        <w:rPr>
          <w:szCs w:val="28"/>
        </w:rPr>
        <w:softHyphen/>
        <w:t>ward” being “great”; but what is the connec</w:t>
      </w:r>
      <w:r w:rsidRPr="00AA14EA">
        <w:rPr>
          <w:szCs w:val="28"/>
        </w:rPr>
        <w:softHyphen/>
        <w:t>tion between rejoic</w:t>
      </w:r>
      <w:r w:rsidRPr="00AA14EA">
        <w:rPr>
          <w:szCs w:val="28"/>
        </w:rPr>
        <w:softHyphen/>
        <w:t>ing at persecution on the one hand (23a) and God’s mercy to the selfish on the other (35d-36b)? Simi</w:t>
      </w:r>
      <w:r w:rsidRPr="00AA14EA">
        <w:rPr>
          <w:szCs w:val="28"/>
        </w:rPr>
        <w:softHyphen/>
        <w:t>larly</w:t>
      </w:r>
      <w:r w:rsidR="006F304D" w:rsidRPr="006F304D">
        <w:rPr>
          <w:szCs w:val="28"/>
        </w:rPr>
        <w:t xml:space="preserve">, </w:t>
      </w:r>
      <w:r w:rsidRPr="00AA14EA">
        <w:rPr>
          <w:szCs w:val="28"/>
        </w:rPr>
        <w:t>there is a genuine connection between 44a and 45c in that both move in</w:t>
      </w:r>
      <w:r w:rsidRPr="00AA14EA">
        <w:rPr>
          <w:szCs w:val="28"/>
        </w:rPr>
        <w:softHyphen/>
        <w:t>ferentially from external phe</w:t>
      </w:r>
      <w:r w:rsidRPr="00AA14EA">
        <w:rPr>
          <w:szCs w:val="28"/>
        </w:rPr>
        <w:softHyphen/>
        <w:t>nomenon (fruit in the first</w:t>
      </w:r>
      <w:r w:rsidR="006F304D" w:rsidRPr="006F304D">
        <w:rPr>
          <w:szCs w:val="28"/>
        </w:rPr>
        <w:t xml:space="preserve">, </w:t>
      </w:r>
      <w:r w:rsidRPr="00AA14EA">
        <w:rPr>
          <w:szCs w:val="28"/>
        </w:rPr>
        <w:t>speech in the second) to internal nature (physical in the first</w:t>
      </w:r>
      <w:r w:rsidR="006F304D" w:rsidRPr="006F304D">
        <w:rPr>
          <w:szCs w:val="28"/>
        </w:rPr>
        <w:t xml:space="preserve">, </w:t>
      </w:r>
      <w:r w:rsidRPr="00AA14EA">
        <w:rPr>
          <w:szCs w:val="28"/>
        </w:rPr>
        <w:t>moral in the second); but no obvious connection exists between these two versicles and the earlier instances of capitalized bold type.</w:t>
      </w:r>
    </w:p>
    <w:p w14:paraId="1D1970EA" w14:textId="5EB3CC2C" w:rsidR="0018433B" w:rsidRPr="00AA14EA" w:rsidRDefault="0018433B" w:rsidP="0018433B">
      <w:pPr>
        <w:rPr>
          <w:szCs w:val="28"/>
        </w:rPr>
      </w:pPr>
      <w:r w:rsidRPr="00AA14EA">
        <w:rPr>
          <w:szCs w:val="28"/>
        </w:rPr>
        <w:tab/>
        <w:t>One may ask the further question: are all three instances of capitalized bold type intended to mark the centers of chiasms? That is</w:t>
      </w:r>
      <w:r w:rsidR="006F304D" w:rsidRPr="006F304D">
        <w:rPr>
          <w:szCs w:val="28"/>
        </w:rPr>
        <w:t xml:space="preserve">, </w:t>
      </w:r>
      <w:r w:rsidRPr="00AA14EA">
        <w:rPr>
          <w:szCs w:val="28"/>
        </w:rPr>
        <w:t xml:space="preserve">does </w:t>
      </w:r>
      <w:proofErr w:type="spellStart"/>
      <w:r w:rsidRPr="00AA14EA">
        <w:rPr>
          <w:szCs w:val="28"/>
        </w:rPr>
        <w:t>Meynet</w:t>
      </w:r>
      <w:proofErr w:type="spellEnd"/>
      <w:r w:rsidRPr="00AA14EA">
        <w:rPr>
          <w:szCs w:val="28"/>
        </w:rPr>
        <w:t xml:space="preserve"> intend 35d-36b to serve as the center of the entire</w:t>
      </w:r>
      <w:r w:rsidR="006F304D" w:rsidRPr="006F304D">
        <w:rPr>
          <w:szCs w:val="28"/>
        </w:rPr>
        <w:t xml:space="preserve">, </w:t>
      </w:r>
      <w:r w:rsidRPr="00AA14EA">
        <w:rPr>
          <w:szCs w:val="28"/>
        </w:rPr>
        <w:t>sermon-length chiasm</w:t>
      </w:r>
      <w:r w:rsidR="006F304D" w:rsidRPr="006F304D">
        <w:rPr>
          <w:szCs w:val="28"/>
        </w:rPr>
        <w:t xml:space="preserve">, </w:t>
      </w:r>
      <w:r w:rsidRPr="00AA14EA">
        <w:rPr>
          <w:szCs w:val="28"/>
        </w:rPr>
        <w:t>and does he intend the first section to be a chiasm with 23ab as the center and the final section to be a chiasm with 44a and 45c the center? Hopefully this is not the case. For if this is his aim</w:t>
      </w:r>
      <w:r w:rsidR="006F304D" w:rsidRPr="006F304D">
        <w:rPr>
          <w:szCs w:val="28"/>
        </w:rPr>
        <w:t xml:space="preserve">, </w:t>
      </w:r>
      <w:r w:rsidRPr="00AA14EA">
        <w:rPr>
          <w:szCs w:val="28"/>
        </w:rPr>
        <w:t>then the placement of the center in the first chiasm at 23ab causes both occur</w:t>
      </w:r>
      <w:r w:rsidRPr="00AA14EA">
        <w:rPr>
          <w:szCs w:val="28"/>
        </w:rPr>
        <w:softHyphen/>
        <w:t>rences of “for that is what their ancestors did to the (false) prophets” (23c</w:t>
      </w:r>
      <w:r w:rsidR="006F304D" w:rsidRPr="006F304D">
        <w:rPr>
          <w:szCs w:val="28"/>
        </w:rPr>
        <w:t xml:space="preserve">, </w:t>
      </w:r>
      <w:r w:rsidRPr="00AA14EA">
        <w:rPr>
          <w:szCs w:val="28"/>
        </w:rPr>
        <w:t>26c) to be on the same</w:t>
      </w:r>
      <w:r w:rsidR="006F304D" w:rsidRPr="006F304D">
        <w:rPr>
          <w:szCs w:val="28"/>
        </w:rPr>
        <w:t xml:space="preserve">, </w:t>
      </w:r>
      <w:r w:rsidRPr="00AA14EA">
        <w:rPr>
          <w:szCs w:val="28"/>
        </w:rPr>
        <w:t>second slope of the chiasm. Simi</w:t>
      </w:r>
      <w:r w:rsidRPr="00AA14EA">
        <w:rPr>
          <w:szCs w:val="28"/>
        </w:rPr>
        <w:softHyphen/>
        <w:t>larly</w:t>
      </w:r>
      <w:r w:rsidR="006F304D" w:rsidRPr="006F304D">
        <w:rPr>
          <w:szCs w:val="28"/>
        </w:rPr>
        <w:t xml:space="preserve">, </w:t>
      </w:r>
      <w:r w:rsidRPr="00AA14EA">
        <w:rPr>
          <w:szCs w:val="28"/>
        </w:rPr>
        <w:t>there is no reason why 44a and 45c should be given pride of place as the center of the last chiasm</w:t>
      </w:r>
      <w:r w:rsidR="006F304D" w:rsidRPr="006F304D">
        <w:rPr>
          <w:szCs w:val="28"/>
        </w:rPr>
        <w:t xml:space="preserve">, </w:t>
      </w:r>
      <w:r w:rsidRPr="00AA14EA">
        <w:rPr>
          <w:szCs w:val="28"/>
        </w:rPr>
        <w:t>when 43-45 as a whole (perhaps just 44bc) are more deserving of that honor. And how can 35d-36b be the center of the sermon-length chiasm</w:t>
      </w:r>
      <w:r w:rsidR="006F304D" w:rsidRPr="006F304D">
        <w:rPr>
          <w:szCs w:val="28"/>
        </w:rPr>
        <w:t xml:space="preserve">, </w:t>
      </w:r>
      <w:r w:rsidRPr="00AA14EA">
        <w:rPr>
          <w:szCs w:val="28"/>
        </w:rPr>
        <w:t>any more so than 32-35a?</w:t>
      </w:r>
    </w:p>
    <w:p w14:paraId="740D7A53" w14:textId="4F1A49D9" w:rsidR="0018433B" w:rsidRPr="00AA14EA" w:rsidRDefault="0018433B" w:rsidP="0018433B">
      <w:pPr>
        <w:rPr>
          <w:szCs w:val="28"/>
        </w:rPr>
      </w:pPr>
      <w:r w:rsidRPr="00AA14EA">
        <w:rPr>
          <w:szCs w:val="28"/>
        </w:rPr>
        <w:tab/>
        <w:t>We conclude</w:t>
      </w:r>
      <w:r w:rsidR="006F304D" w:rsidRPr="006F304D">
        <w:rPr>
          <w:szCs w:val="28"/>
        </w:rPr>
        <w:t xml:space="preserve">, </w:t>
      </w:r>
      <w:r w:rsidRPr="00AA14EA">
        <w:rPr>
          <w:szCs w:val="28"/>
        </w:rPr>
        <w:t>then</w:t>
      </w:r>
      <w:r w:rsidR="006F304D" w:rsidRPr="006F304D">
        <w:rPr>
          <w:szCs w:val="28"/>
        </w:rPr>
        <w:t xml:space="preserve">, </w:t>
      </w:r>
      <w:r w:rsidRPr="00AA14EA">
        <w:rPr>
          <w:szCs w:val="28"/>
        </w:rPr>
        <w:t xml:space="preserve">that </w:t>
      </w:r>
      <w:proofErr w:type="spellStart"/>
      <w:r w:rsidRPr="00AA14EA">
        <w:rPr>
          <w:szCs w:val="28"/>
        </w:rPr>
        <w:t>Meynet’s</w:t>
      </w:r>
      <w:proofErr w:type="spellEnd"/>
      <w:r w:rsidRPr="00AA14EA">
        <w:rPr>
          <w:szCs w:val="28"/>
        </w:rPr>
        <w:t xml:space="preserve"> diagram of the sermon</w:t>
      </w:r>
      <w:r w:rsidR="006F304D" w:rsidRPr="006F304D">
        <w:rPr>
          <w:szCs w:val="28"/>
        </w:rPr>
        <w:t xml:space="preserve">, </w:t>
      </w:r>
      <w:r w:rsidRPr="00AA14EA">
        <w:rPr>
          <w:szCs w:val="28"/>
        </w:rPr>
        <w:t>to the extent that it is intended to portray the principle of chiasm</w:t>
      </w:r>
      <w:r w:rsidR="006F304D" w:rsidRPr="006F304D">
        <w:rPr>
          <w:szCs w:val="28"/>
        </w:rPr>
        <w:t xml:space="preserve">, </w:t>
      </w:r>
      <w:r w:rsidRPr="00AA14EA">
        <w:rPr>
          <w:szCs w:val="28"/>
        </w:rPr>
        <w:t>is untenable. This conclu</w:t>
      </w:r>
      <w:r w:rsidRPr="00AA14EA">
        <w:rPr>
          <w:szCs w:val="28"/>
        </w:rPr>
        <w:softHyphen/>
        <w:t>sion only adds a final abjura</w:t>
      </w:r>
      <w:r w:rsidRPr="00AA14EA">
        <w:rPr>
          <w:szCs w:val="28"/>
        </w:rPr>
        <w:softHyphen/>
        <w:t>tion to the two previous disavowals which we were compelled to make</w:t>
      </w:r>
      <w:r w:rsidR="006F304D" w:rsidRPr="006F304D">
        <w:rPr>
          <w:szCs w:val="28"/>
        </w:rPr>
        <w:t xml:space="preserve">, </w:t>
      </w:r>
      <w:r w:rsidRPr="00AA14EA">
        <w:rPr>
          <w:szCs w:val="28"/>
        </w:rPr>
        <w:t>those concerning the two chiasms proposed by Mor</w:t>
      </w:r>
      <w:r w:rsidRPr="00AA14EA">
        <w:rPr>
          <w:szCs w:val="28"/>
        </w:rPr>
        <w:softHyphen/>
        <w:t>genthaler. It seems</w:t>
      </w:r>
      <w:r w:rsidR="006F304D" w:rsidRPr="006F304D">
        <w:rPr>
          <w:szCs w:val="28"/>
        </w:rPr>
        <w:t xml:space="preserve">, </w:t>
      </w:r>
      <w:r w:rsidRPr="00AA14EA">
        <w:rPr>
          <w:szCs w:val="28"/>
        </w:rPr>
        <w:t>then</w:t>
      </w:r>
      <w:r w:rsidR="006F304D" w:rsidRPr="006F304D">
        <w:rPr>
          <w:szCs w:val="28"/>
        </w:rPr>
        <w:t xml:space="preserve">, </w:t>
      </w:r>
      <w:r w:rsidRPr="00AA14EA">
        <w:rPr>
          <w:szCs w:val="28"/>
        </w:rPr>
        <w:t>that this entire enterprise of discovering chiasms is of little help in determining the structure of the ser</w:t>
      </w:r>
      <w:r w:rsidRPr="00AA14EA">
        <w:rPr>
          <w:szCs w:val="28"/>
        </w:rPr>
        <w:softHyphen/>
        <w:t>mon on the plain.</w:t>
      </w:r>
    </w:p>
    <w:p w14:paraId="441AC0A2" w14:textId="77777777" w:rsidR="0018433B" w:rsidRPr="00AA14EA" w:rsidRDefault="0018433B" w:rsidP="0018433B">
      <w:pPr>
        <w:rPr>
          <w:szCs w:val="28"/>
        </w:rPr>
      </w:pPr>
    </w:p>
    <w:p w14:paraId="515CD1B4" w14:textId="684C86FB" w:rsidR="0018433B" w:rsidRPr="00AA14EA" w:rsidRDefault="0018433B" w:rsidP="00904123">
      <w:pPr>
        <w:pStyle w:val="Heading2"/>
      </w:pPr>
      <w:bookmarkStart w:id="52" w:name="inclusion"/>
      <w:bookmarkStart w:id="53" w:name="_Toc147618629"/>
      <w:bookmarkEnd w:id="52"/>
      <w:r w:rsidRPr="00AA14EA">
        <w:t>2.</w:t>
      </w:r>
      <w:r w:rsidR="000151C8" w:rsidRPr="000151C8">
        <w:rPr>
          <w:iCs/>
        </w:rPr>
        <w:t xml:space="preserve"> </w:t>
      </w:r>
      <w:r w:rsidRPr="00AA14EA">
        <w:t>Inclusion</w:t>
      </w:r>
      <w:bookmarkEnd w:id="53"/>
    </w:p>
    <w:p w14:paraId="70E5D1D6" w14:textId="77777777" w:rsidR="0018433B" w:rsidRPr="00AA14EA" w:rsidRDefault="0018433B" w:rsidP="0018433B">
      <w:pPr>
        <w:rPr>
          <w:szCs w:val="28"/>
        </w:rPr>
      </w:pPr>
    </w:p>
    <w:p w14:paraId="3BAFEAB7" w14:textId="70359043" w:rsidR="0018433B" w:rsidRPr="00AA14EA" w:rsidRDefault="0018433B" w:rsidP="0018433B">
      <w:pPr>
        <w:rPr>
          <w:szCs w:val="28"/>
        </w:rPr>
      </w:pPr>
      <w:r w:rsidRPr="00AA14EA">
        <w:rPr>
          <w:szCs w:val="28"/>
        </w:rPr>
        <w:tab/>
        <w:t>Another formal principle of organization that has been applied to the sermon is inclusion. Inclusion could plausibly have been considered prior to chiasm</w:t>
      </w:r>
      <w:r w:rsidR="006F304D" w:rsidRPr="006F304D">
        <w:rPr>
          <w:szCs w:val="28"/>
        </w:rPr>
        <w:t xml:space="preserve">, </w:t>
      </w:r>
      <w:r w:rsidRPr="00AA14EA">
        <w:rPr>
          <w:szCs w:val="28"/>
        </w:rPr>
        <w:t>since inclusion is the principle which</w:t>
      </w:r>
      <w:r w:rsidR="006F304D" w:rsidRPr="006F304D">
        <w:rPr>
          <w:szCs w:val="28"/>
        </w:rPr>
        <w:t xml:space="preserve">, </w:t>
      </w:r>
      <w:r w:rsidRPr="00AA14EA">
        <w:rPr>
          <w:szCs w:val="28"/>
        </w:rPr>
        <w:t>concentrically repeated</w:t>
      </w:r>
      <w:r w:rsidR="006F304D" w:rsidRPr="006F304D">
        <w:rPr>
          <w:szCs w:val="28"/>
        </w:rPr>
        <w:t xml:space="preserve">, </w:t>
      </w:r>
      <w:r w:rsidRPr="00AA14EA">
        <w:rPr>
          <w:szCs w:val="28"/>
        </w:rPr>
        <w:t>re</w:t>
      </w:r>
      <w:r w:rsidRPr="00AA14EA">
        <w:rPr>
          <w:szCs w:val="28"/>
        </w:rPr>
        <w:softHyphen/>
        <w:t>sults in chiasm. But</w:t>
      </w:r>
      <w:r w:rsidR="006F304D" w:rsidRPr="006F304D">
        <w:rPr>
          <w:szCs w:val="28"/>
        </w:rPr>
        <w:t xml:space="preserve">, </w:t>
      </w:r>
      <w:r w:rsidRPr="00AA14EA">
        <w:rPr>
          <w:szCs w:val="28"/>
        </w:rPr>
        <w:t>attempts to find inclusions in biblical literature</w:t>
      </w:r>
      <w:r w:rsidR="006F304D" w:rsidRPr="006F304D">
        <w:rPr>
          <w:szCs w:val="28"/>
        </w:rPr>
        <w:t xml:space="preserve">, </w:t>
      </w:r>
      <w:r w:rsidRPr="00AA14EA">
        <w:rPr>
          <w:szCs w:val="28"/>
        </w:rPr>
        <w:t>and in the sermon in particular</w:t>
      </w:r>
      <w:r w:rsidR="006F304D" w:rsidRPr="006F304D">
        <w:rPr>
          <w:szCs w:val="28"/>
        </w:rPr>
        <w:t xml:space="preserve">, </w:t>
      </w:r>
      <w:r w:rsidRPr="00AA14EA">
        <w:rPr>
          <w:szCs w:val="28"/>
        </w:rPr>
        <w:t>have mercifully been less numer</w:t>
      </w:r>
      <w:r w:rsidRPr="00AA14EA">
        <w:rPr>
          <w:szCs w:val="28"/>
        </w:rPr>
        <w:softHyphen/>
        <w:t>ous than attempts to find chiasms; and so chiasm has been given precedence.</w:t>
      </w:r>
    </w:p>
    <w:p w14:paraId="66CC3E94" w14:textId="19410A74" w:rsidR="0018433B" w:rsidRPr="00AA14EA" w:rsidRDefault="0018433B" w:rsidP="0018433B">
      <w:pPr>
        <w:rPr>
          <w:szCs w:val="28"/>
        </w:rPr>
      </w:pPr>
      <w:r w:rsidRPr="00AA14EA">
        <w:rPr>
          <w:szCs w:val="28"/>
        </w:rPr>
        <w:lastRenderedPageBreak/>
        <w:tab/>
        <w:t>Inclusion has been noted at several places in Luke’s gospel. The be</w:t>
      </w:r>
      <w:r w:rsidRPr="00AA14EA">
        <w:rPr>
          <w:szCs w:val="28"/>
        </w:rPr>
        <w:softHyphen/>
        <w:t>gin</w:t>
      </w:r>
      <w:r w:rsidRPr="00AA14EA">
        <w:rPr>
          <w:szCs w:val="28"/>
        </w:rPr>
        <w:softHyphen/>
        <w:t>ning and ending scenes</w:t>
      </w:r>
      <w:r w:rsidR="006F304D" w:rsidRPr="006F304D">
        <w:rPr>
          <w:szCs w:val="28"/>
        </w:rPr>
        <w:t xml:space="preserve">, </w:t>
      </w:r>
      <w:r w:rsidRPr="00AA14EA">
        <w:rPr>
          <w:szCs w:val="28"/>
        </w:rPr>
        <w:t>which take place in the temple</w:t>
      </w:r>
      <w:r w:rsidR="006F304D" w:rsidRPr="006F304D">
        <w:rPr>
          <w:szCs w:val="28"/>
        </w:rPr>
        <w:t xml:space="preserve">, </w:t>
      </w:r>
      <w:r w:rsidRPr="00AA14EA">
        <w:rPr>
          <w:szCs w:val="28"/>
        </w:rPr>
        <w:t>have been said to cre</w:t>
      </w:r>
      <w:r w:rsidRPr="00AA14EA">
        <w:rPr>
          <w:szCs w:val="28"/>
        </w:rPr>
        <w:softHyphen/>
        <w:t xml:space="preserve">ate an </w:t>
      </w:r>
      <w:proofErr w:type="spellStart"/>
      <w:r w:rsidRPr="00AA14EA">
        <w:rPr>
          <w:i/>
          <w:iCs/>
          <w:szCs w:val="28"/>
        </w:rPr>
        <w:t>inclusio</w:t>
      </w:r>
      <w:proofErr w:type="spellEnd"/>
      <w:r w:rsidRPr="00AA14EA">
        <w:rPr>
          <w:szCs w:val="28"/>
        </w:rPr>
        <w:t>;</w:t>
      </w:r>
      <w:r w:rsidRPr="00AA14EA">
        <w:rPr>
          <w:rStyle w:val="FootnoteReference"/>
          <w:szCs w:val="28"/>
        </w:rPr>
        <w:footnoteReference w:id="465"/>
      </w:r>
      <w:r w:rsidRPr="00AA14EA">
        <w:rPr>
          <w:szCs w:val="28"/>
        </w:rPr>
        <w:t xml:space="preserve"> Brown has seen inclusion at work in Luke’s infancy narra</w:t>
      </w:r>
      <w:r w:rsidRPr="00AA14EA">
        <w:rPr>
          <w:szCs w:val="28"/>
        </w:rPr>
        <w:softHyphen/>
        <w:t>tive;</w:t>
      </w:r>
      <w:r w:rsidRPr="00AA14EA">
        <w:rPr>
          <w:rStyle w:val="FootnoteReference"/>
          <w:szCs w:val="28"/>
        </w:rPr>
        <w:footnoteReference w:id="466"/>
      </w:r>
      <w:r w:rsidRPr="00AA14EA">
        <w:rPr>
          <w:szCs w:val="28"/>
        </w:rPr>
        <w:t xml:space="preserve"> and </w:t>
      </w:r>
      <w:proofErr w:type="spellStart"/>
      <w:r w:rsidRPr="00AA14EA">
        <w:rPr>
          <w:szCs w:val="28"/>
        </w:rPr>
        <w:t>Meynet</w:t>
      </w:r>
      <w:proofErr w:type="spellEnd"/>
      <w:r w:rsidRPr="00AA14EA">
        <w:rPr>
          <w:szCs w:val="28"/>
        </w:rPr>
        <w:t xml:space="preserve"> proposes inclusions at several places in the gos</w:t>
      </w:r>
      <w:r w:rsidRPr="00AA14EA">
        <w:rPr>
          <w:szCs w:val="28"/>
        </w:rPr>
        <w:softHyphen/>
        <w:t>pel.</w:t>
      </w:r>
      <w:r w:rsidRPr="00AA14EA">
        <w:rPr>
          <w:rStyle w:val="FootnoteReference"/>
          <w:szCs w:val="28"/>
        </w:rPr>
        <w:footnoteReference w:id="467"/>
      </w:r>
      <w:r w:rsidRPr="00AA14EA">
        <w:rPr>
          <w:szCs w:val="28"/>
        </w:rPr>
        <w:t xml:space="preserve"> There are</w:t>
      </w:r>
      <w:r w:rsidR="006F304D" w:rsidRPr="006F304D">
        <w:rPr>
          <w:szCs w:val="28"/>
        </w:rPr>
        <w:t xml:space="preserve">, </w:t>
      </w:r>
      <w:r w:rsidRPr="00AA14EA">
        <w:rPr>
          <w:szCs w:val="28"/>
        </w:rPr>
        <w:t>more</w:t>
      </w:r>
      <w:r w:rsidRPr="00AA14EA">
        <w:rPr>
          <w:szCs w:val="28"/>
        </w:rPr>
        <w:softHyphen/>
        <w:t>over</w:t>
      </w:r>
      <w:r w:rsidR="006F304D" w:rsidRPr="006F304D">
        <w:rPr>
          <w:szCs w:val="28"/>
        </w:rPr>
        <w:t xml:space="preserve">, </w:t>
      </w:r>
      <w:r w:rsidRPr="00AA14EA">
        <w:rPr>
          <w:szCs w:val="28"/>
        </w:rPr>
        <w:t>the “intercalations” which Luke has taken over from Mark.</w:t>
      </w:r>
      <w:r w:rsidRPr="00AA14EA">
        <w:rPr>
          <w:rStyle w:val="FootnoteReference"/>
          <w:szCs w:val="28"/>
        </w:rPr>
        <w:footnoteReference w:id="468"/>
      </w:r>
      <w:r w:rsidRPr="00AA14EA">
        <w:rPr>
          <w:szCs w:val="28"/>
        </w:rPr>
        <w:t xml:space="preserve"> Mor</w:t>
      </w:r>
      <w:r w:rsidRPr="00AA14EA">
        <w:rPr>
          <w:szCs w:val="28"/>
        </w:rPr>
        <w:softHyphen/>
        <w:t>genthaler con</w:t>
      </w:r>
      <w:r w:rsidRPr="00AA14EA">
        <w:rPr>
          <w:szCs w:val="28"/>
        </w:rPr>
        <w:softHyphen/>
        <w:t>siders these interca</w:t>
      </w:r>
      <w:r w:rsidRPr="00AA14EA">
        <w:rPr>
          <w:szCs w:val="28"/>
        </w:rPr>
        <w:softHyphen/>
        <w:t>lations to be chi</w:t>
      </w:r>
      <w:r w:rsidRPr="00AA14EA">
        <w:rPr>
          <w:szCs w:val="28"/>
        </w:rPr>
        <w:softHyphen/>
        <w:t>asms,</w:t>
      </w:r>
      <w:r w:rsidRPr="00AA14EA">
        <w:rPr>
          <w:rStyle w:val="FootnoteReference"/>
          <w:szCs w:val="28"/>
        </w:rPr>
        <w:footnoteReference w:id="469"/>
      </w:r>
      <w:r w:rsidRPr="00AA14EA">
        <w:rPr>
          <w:szCs w:val="28"/>
        </w:rPr>
        <w:t xml:space="preserve"> but </w:t>
      </w:r>
      <w:proofErr w:type="spellStart"/>
      <w:r w:rsidRPr="00AA14EA">
        <w:rPr>
          <w:szCs w:val="28"/>
        </w:rPr>
        <w:t>Mey</w:t>
      </w:r>
      <w:r w:rsidRPr="00AA14EA">
        <w:rPr>
          <w:szCs w:val="28"/>
        </w:rPr>
        <w:softHyphen/>
        <w:t>net</w:t>
      </w:r>
      <w:proofErr w:type="spellEnd"/>
      <w:r w:rsidR="006F304D" w:rsidRPr="006F304D">
        <w:rPr>
          <w:szCs w:val="28"/>
        </w:rPr>
        <w:t xml:space="preserve">, </w:t>
      </w:r>
      <w:r w:rsidRPr="00AA14EA">
        <w:rPr>
          <w:szCs w:val="28"/>
        </w:rPr>
        <w:t>while agreeing</w:t>
      </w:r>
      <w:r w:rsidR="006F304D" w:rsidRPr="006F304D">
        <w:rPr>
          <w:szCs w:val="28"/>
        </w:rPr>
        <w:t xml:space="preserve">, </w:t>
      </w:r>
      <w:r w:rsidRPr="00AA14EA">
        <w:rPr>
          <w:szCs w:val="28"/>
        </w:rPr>
        <w:t>calls them “superficial.”</w:t>
      </w:r>
    </w:p>
    <w:p w14:paraId="44899446" w14:textId="77777777" w:rsidR="0018433B" w:rsidRPr="00AA14EA" w:rsidRDefault="0018433B" w:rsidP="0018433B">
      <w:pPr>
        <w:rPr>
          <w:szCs w:val="28"/>
        </w:rPr>
      </w:pPr>
    </w:p>
    <w:p w14:paraId="6D0A1978" w14:textId="6ED65A45" w:rsidR="0018433B" w:rsidRPr="00AA14EA" w:rsidRDefault="0018433B" w:rsidP="0018433B">
      <w:pPr>
        <w:ind w:left="720" w:right="720"/>
        <w:rPr>
          <w:szCs w:val="28"/>
        </w:rPr>
      </w:pPr>
      <w:r w:rsidRPr="00AA14EA">
        <w:rPr>
          <w:szCs w:val="28"/>
        </w:rPr>
        <w:t>Mor</w:t>
      </w:r>
      <w:r w:rsidRPr="00AA14EA">
        <w:rPr>
          <w:szCs w:val="28"/>
        </w:rPr>
        <w:softHyphen/>
        <w:t>genthal</w:t>
      </w:r>
      <w:r w:rsidRPr="00AA14EA">
        <w:rPr>
          <w:szCs w:val="28"/>
        </w:rPr>
        <w:softHyphen/>
        <w:t>er</w:t>
      </w:r>
      <w:r w:rsidR="006F304D" w:rsidRPr="006F304D">
        <w:rPr>
          <w:szCs w:val="28"/>
        </w:rPr>
        <w:t xml:space="preserve">, </w:t>
      </w:r>
      <w:r w:rsidRPr="00AA14EA">
        <w:rPr>
          <w:szCs w:val="28"/>
        </w:rPr>
        <w:t>who points out sev</w:t>
      </w:r>
      <w:r w:rsidRPr="00AA14EA">
        <w:rPr>
          <w:szCs w:val="28"/>
        </w:rPr>
        <w:softHyphen/>
        <w:t>eral sen</w:t>
      </w:r>
      <w:r w:rsidRPr="00AA14EA">
        <w:rPr>
          <w:szCs w:val="28"/>
        </w:rPr>
        <w:softHyphen/>
        <w:t>tence-length chiasms</w:t>
      </w:r>
      <w:r w:rsidR="006F304D" w:rsidRPr="006F304D">
        <w:rPr>
          <w:szCs w:val="28"/>
        </w:rPr>
        <w:t xml:space="preserve">, </w:t>
      </w:r>
      <w:r w:rsidRPr="00AA14EA">
        <w:rPr>
          <w:szCs w:val="28"/>
        </w:rPr>
        <w:t>also pres</w:t>
      </w:r>
      <w:r w:rsidRPr="00AA14EA">
        <w:rPr>
          <w:szCs w:val="28"/>
        </w:rPr>
        <w:softHyphen/>
        <w:t xml:space="preserve">ents </w:t>
      </w:r>
      <w:r w:rsidRPr="005F51B1">
        <w:rPr>
          <w:szCs w:val="28"/>
        </w:rPr>
        <w:t>. . .</w:t>
      </w:r>
      <w:r w:rsidRPr="00AA14EA">
        <w:rPr>
          <w:szCs w:val="28"/>
        </w:rPr>
        <w:t xml:space="preserve"> what we have called passage chiasms; but the exam</w:t>
      </w:r>
      <w:r w:rsidRPr="00AA14EA">
        <w:rPr>
          <w:szCs w:val="28"/>
        </w:rPr>
        <w:softHyphen/>
        <w:t>ples he gives of this latter type remain superficial. For example</w:t>
      </w:r>
      <w:r w:rsidR="006F304D" w:rsidRPr="006F304D">
        <w:rPr>
          <w:szCs w:val="28"/>
        </w:rPr>
        <w:t xml:space="preserve">, </w:t>
      </w:r>
      <w:r w:rsidRPr="00AA14EA">
        <w:rPr>
          <w:szCs w:val="28"/>
        </w:rPr>
        <w:t>he presents the enclos</w:t>
      </w:r>
      <w:r w:rsidRPr="00AA14EA">
        <w:rPr>
          <w:szCs w:val="28"/>
        </w:rPr>
        <w:softHyphen/>
        <w:t>ing of the healing of the woman with a hemor</w:t>
      </w:r>
      <w:r w:rsidRPr="00AA14EA">
        <w:rPr>
          <w:szCs w:val="28"/>
        </w:rPr>
        <w:softHyphen/>
        <w:t xml:space="preserve">rhage (Luke 8:43-48) </w:t>
      </w:r>
      <w:r w:rsidRPr="005F51B1">
        <w:rPr>
          <w:szCs w:val="28"/>
        </w:rPr>
        <w:t>. . .</w:t>
      </w:r>
      <w:r w:rsidRPr="00AA14EA">
        <w:rPr>
          <w:szCs w:val="28"/>
        </w:rPr>
        <w:t xml:space="preserve"> as a chiasm</w:t>
      </w:r>
      <w:r w:rsidR="006F304D" w:rsidRPr="006F304D">
        <w:rPr>
          <w:szCs w:val="28"/>
        </w:rPr>
        <w:t xml:space="preserve">, </w:t>
      </w:r>
      <w:r w:rsidRPr="00AA14EA">
        <w:rPr>
          <w:szCs w:val="28"/>
        </w:rPr>
        <w:t>or the trial be</w:t>
      </w:r>
      <w:r w:rsidRPr="00AA14EA">
        <w:rPr>
          <w:szCs w:val="28"/>
        </w:rPr>
        <w:softHyphen/>
        <w:t>fore Herod at the center of the trial before Pilate (Luke 23:2-25).</w:t>
      </w:r>
      <w:r w:rsidRPr="00AA14EA">
        <w:rPr>
          <w:rStyle w:val="FootnoteReference"/>
          <w:szCs w:val="28"/>
        </w:rPr>
        <w:footnoteReference w:id="470"/>
      </w:r>
    </w:p>
    <w:p w14:paraId="377FFAD8" w14:textId="77777777" w:rsidR="0018433B" w:rsidRPr="00AA14EA" w:rsidRDefault="0018433B" w:rsidP="0018433B">
      <w:pPr>
        <w:rPr>
          <w:szCs w:val="28"/>
        </w:rPr>
      </w:pPr>
    </w:p>
    <w:p w14:paraId="43C6F9D3" w14:textId="4BFC9360" w:rsidR="0018433B" w:rsidRPr="00AA14EA" w:rsidRDefault="0018433B" w:rsidP="0018433B">
      <w:pPr>
        <w:rPr>
          <w:szCs w:val="28"/>
        </w:rPr>
      </w:pPr>
      <w:r w:rsidRPr="00AA14EA">
        <w:rPr>
          <w:szCs w:val="28"/>
        </w:rPr>
        <w:tab/>
        <w:t>Concerning the sermon on the plain in particular</w:t>
      </w:r>
      <w:r w:rsidR="006F304D" w:rsidRPr="006F304D">
        <w:rPr>
          <w:szCs w:val="28"/>
        </w:rPr>
        <w:t xml:space="preserve">, </w:t>
      </w:r>
      <w:r w:rsidRPr="00AA14EA">
        <w:rPr>
          <w:szCs w:val="28"/>
        </w:rPr>
        <w:t>only two instances of inclusion seem to have been proposed</w:t>
      </w:r>
      <w:r w:rsidR="006F304D" w:rsidRPr="006F304D">
        <w:rPr>
          <w:szCs w:val="28"/>
        </w:rPr>
        <w:t xml:space="preserve">, </w:t>
      </w:r>
      <w:r w:rsidRPr="00AA14EA">
        <w:rPr>
          <w:szCs w:val="28"/>
        </w:rPr>
        <w:t>both by Morgenthaler. “We assume,” he says</w:t>
      </w:r>
      <w:r w:rsidR="006F304D" w:rsidRPr="006F304D">
        <w:rPr>
          <w:szCs w:val="28"/>
        </w:rPr>
        <w:t xml:space="preserve">, </w:t>
      </w:r>
      <w:r w:rsidRPr="00AA14EA">
        <w:rPr>
          <w:szCs w:val="28"/>
        </w:rPr>
        <w:t xml:space="preserve">“that Luke 6:36-38 is a framed passage </w:t>
      </w:r>
      <w:r w:rsidRPr="005F51B1">
        <w:rPr>
          <w:szCs w:val="28"/>
        </w:rPr>
        <w:t>. . .</w:t>
      </w:r>
      <w:r w:rsidRPr="00AA14EA">
        <w:rPr>
          <w:szCs w:val="28"/>
        </w:rPr>
        <w:t>”</w:t>
      </w:r>
      <w:r w:rsidRPr="00AA14EA">
        <w:rPr>
          <w:rStyle w:val="FootnoteReference"/>
          <w:szCs w:val="28"/>
        </w:rPr>
        <w:footnoteReference w:id="471"/>
      </w:r>
      <w:r w:rsidRPr="00AA14EA">
        <w:rPr>
          <w:szCs w:val="28"/>
        </w:rPr>
        <w:t xml:space="preserve"> The context makes clear that the frame itself con</w:t>
      </w:r>
      <w:r w:rsidRPr="00AA14EA">
        <w:rPr>
          <w:szCs w:val="28"/>
        </w:rPr>
        <w:softHyphen/>
        <w:t>sists of 36 (“Be merciful</w:t>
      </w:r>
      <w:r w:rsidR="006F304D" w:rsidRPr="006F304D">
        <w:rPr>
          <w:szCs w:val="28"/>
        </w:rPr>
        <w:t xml:space="preserve">, </w:t>
      </w:r>
      <w:r w:rsidRPr="00AA14EA">
        <w:rPr>
          <w:szCs w:val="28"/>
        </w:rPr>
        <w:t>just as your Father is merciful”) and 38d (“for the measure you give will be the measure you get back”). As termini of an inclusion</w:t>
      </w:r>
      <w:r w:rsidR="006F304D" w:rsidRPr="006F304D">
        <w:rPr>
          <w:szCs w:val="28"/>
        </w:rPr>
        <w:t xml:space="preserve">, </w:t>
      </w:r>
      <w:r w:rsidRPr="00AA14EA">
        <w:rPr>
          <w:szCs w:val="28"/>
        </w:rPr>
        <w:t>these verses should have some special connection between them. Yet “Be merciful</w:t>
      </w:r>
      <w:r w:rsidR="006F304D" w:rsidRPr="006F304D">
        <w:rPr>
          <w:szCs w:val="28"/>
        </w:rPr>
        <w:t xml:space="preserve">, </w:t>
      </w:r>
      <w:r w:rsidRPr="00AA14EA">
        <w:rPr>
          <w:szCs w:val="28"/>
        </w:rPr>
        <w:t>just as your Father is merciful” does not</w:t>
      </w:r>
      <w:r w:rsidR="006F304D" w:rsidRPr="006F304D">
        <w:rPr>
          <w:szCs w:val="28"/>
        </w:rPr>
        <w:t xml:space="preserve">, </w:t>
      </w:r>
      <w:r w:rsidRPr="00AA14EA">
        <w:rPr>
          <w:szCs w:val="28"/>
        </w:rPr>
        <w:t>like 38d</w:t>
      </w:r>
      <w:r w:rsidR="006F304D" w:rsidRPr="006F304D">
        <w:rPr>
          <w:szCs w:val="28"/>
        </w:rPr>
        <w:t xml:space="preserve">, </w:t>
      </w:r>
      <w:r w:rsidRPr="00AA14EA">
        <w:rPr>
          <w:szCs w:val="28"/>
        </w:rPr>
        <w:t>contrast two measures; there is no suggestion in the former sentence of ex</w:t>
      </w:r>
      <w:r w:rsidRPr="00AA14EA">
        <w:rPr>
          <w:szCs w:val="28"/>
        </w:rPr>
        <w:softHyphen/>
        <w:t>ac</w:t>
      </w:r>
      <w:r w:rsidRPr="00AA14EA">
        <w:rPr>
          <w:szCs w:val="28"/>
        </w:rPr>
        <w:softHyphen/>
        <w:t>ti</w:t>
      </w:r>
      <w:r w:rsidRPr="00AA14EA">
        <w:rPr>
          <w:szCs w:val="28"/>
        </w:rPr>
        <w:softHyphen/>
        <w:t>tude of retribution. The two sentences also differ in form: the former is a precept—advice which the speaker hopes his hearers will follow but to which no sanction is attached—while the latter is an admonition. The for</w:t>
      </w:r>
      <w:r w:rsidRPr="00AA14EA">
        <w:rPr>
          <w:szCs w:val="28"/>
        </w:rPr>
        <w:softHyphen/>
        <w:t>mer pulls one toward ethical action</w:t>
      </w:r>
      <w:r w:rsidR="006F304D" w:rsidRPr="006F304D">
        <w:rPr>
          <w:szCs w:val="28"/>
        </w:rPr>
        <w:t xml:space="preserve">, </w:t>
      </w:r>
      <w:r w:rsidRPr="00AA14EA">
        <w:rPr>
          <w:szCs w:val="28"/>
        </w:rPr>
        <w:t>so to speak</w:t>
      </w:r>
      <w:r w:rsidR="006F304D" w:rsidRPr="006F304D">
        <w:rPr>
          <w:szCs w:val="28"/>
        </w:rPr>
        <w:t xml:space="preserve">, </w:t>
      </w:r>
      <w:r w:rsidRPr="00AA14EA">
        <w:rPr>
          <w:szCs w:val="28"/>
        </w:rPr>
        <w:t>by the example of the Father’s love of his enemies (the ungrateful and the wicked); the latter motivates from behind</w:t>
      </w:r>
      <w:r w:rsidR="006F304D" w:rsidRPr="006F304D">
        <w:rPr>
          <w:szCs w:val="28"/>
        </w:rPr>
        <w:t xml:space="preserve">, </w:t>
      </w:r>
      <w:r w:rsidRPr="00AA14EA">
        <w:rPr>
          <w:szCs w:val="28"/>
        </w:rPr>
        <w:t>threaten</w:t>
      </w:r>
      <w:r w:rsidRPr="00AA14EA">
        <w:rPr>
          <w:szCs w:val="28"/>
        </w:rPr>
        <w:softHyphen/>
        <w:t>ing with the switch of a parsimonious recompense for one’s own stinginess. Moreover</w:t>
      </w:r>
      <w:r w:rsidR="006F304D" w:rsidRPr="006F304D">
        <w:rPr>
          <w:szCs w:val="28"/>
        </w:rPr>
        <w:t xml:space="preserve">, </w:t>
      </w:r>
      <w:r w:rsidRPr="00AA14EA">
        <w:rPr>
          <w:szCs w:val="28"/>
        </w:rPr>
        <w:t>as we shall see in the next chapter</w:t>
      </w:r>
      <w:r w:rsidR="006F304D" w:rsidRPr="006F304D">
        <w:rPr>
          <w:szCs w:val="28"/>
        </w:rPr>
        <w:t xml:space="preserve">, </w:t>
      </w:r>
      <w:r w:rsidRPr="00AA14EA">
        <w:rPr>
          <w:szCs w:val="28"/>
        </w:rPr>
        <w:t>there is more rea</w:t>
      </w:r>
      <w:r w:rsidRPr="00AA14EA">
        <w:rPr>
          <w:szCs w:val="28"/>
        </w:rPr>
        <w:softHyphen/>
        <w:t xml:space="preserve">son </w:t>
      </w:r>
      <w:r w:rsidRPr="00AA14EA">
        <w:rPr>
          <w:szCs w:val="28"/>
        </w:rPr>
        <w:lastRenderedPageBreak/>
        <w:t>to associate 36 with the verses that precede it than with the verses that follow. Given the lack of connection</w:t>
      </w:r>
      <w:r w:rsidR="006F304D" w:rsidRPr="006F304D">
        <w:rPr>
          <w:szCs w:val="28"/>
        </w:rPr>
        <w:t xml:space="preserve">, </w:t>
      </w:r>
      <w:r w:rsidRPr="00AA14EA">
        <w:rPr>
          <w:szCs w:val="28"/>
        </w:rPr>
        <w:t>why does Morgenthaler couple 36 and 38d as the boundaries of an inclusion? The answer perhaps lies in his un</w:t>
      </w:r>
      <w:r w:rsidRPr="00AA14EA">
        <w:rPr>
          <w:szCs w:val="28"/>
        </w:rPr>
        <w:softHyphen/>
        <w:t>der</w:t>
      </w:r>
      <w:r w:rsidRPr="00AA14EA">
        <w:rPr>
          <w:szCs w:val="28"/>
        </w:rPr>
        <w:softHyphen/>
        <w:t>standing of the intervening verses. Luke 6:37-38c</w:t>
      </w:r>
      <w:r w:rsidR="006F304D" w:rsidRPr="006F304D">
        <w:rPr>
          <w:szCs w:val="28"/>
        </w:rPr>
        <w:t xml:space="preserve">, </w:t>
      </w:r>
      <w:r w:rsidRPr="00AA14EA">
        <w:rPr>
          <w:szCs w:val="28"/>
        </w:rPr>
        <w:t>he declares</w:t>
      </w:r>
      <w:r w:rsidR="006F304D" w:rsidRPr="006F304D">
        <w:rPr>
          <w:szCs w:val="28"/>
        </w:rPr>
        <w:t xml:space="preserve">, </w:t>
      </w:r>
      <w:r w:rsidRPr="00AA14EA">
        <w:rPr>
          <w:szCs w:val="28"/>
        </w:rPr>
        <w:t>are a tetra</w:t>
      </w:r>
      <w:r w:rsidRPr="00AA14EA">
        <w:rPr>
          <w:szCs w:val="28"/>
        </w:rPr>
        <w:softHyphen/>
        <w:t>stich. We have already con</w:t>
      </w:r>
      <w:r w:rsidRPr="00AA14EA">
        <w:rPr>
          <w:szCs w:val="28"/>
        </w:rPr>
        <w:softHyphen/>
        <w:t>sid</w:t>
      </w:r>
      <w:r w:rsidRPr="00AA14EA">
        <w:rPr>
          <w:szCs w:val="28"/>
        </w:rPr>
        <w:softHyphen/>
        <w:t>ered that proposal; its adequacy is not of interest at the mo</w:t>
      </w:r>
      <w:r w:rsidRPr="00AA14EA">
        <w:rPr>
          <w:szCs w:val="28"/>
        </w:rPr>
        <w:softHyphen/>
        <w:t>ment; we only note that Morgenthaler has a prior rea</w:t>
      </w:r>
      <w:r w:rsidRPr="00AA14EA">
        <w:rPr>
          <w:szCs w:val="28"/>
        </w:rPr>
        <w:softHyphen/>
        <w:t xml:space="preserve">son for wanting to isolate the interior verses. Since doing so </w:t>
      </w:r>
      <w:r w:rsidRPr="00AA14EA">
        <w:rPr>
          <w:szCs w:val="28"/>
        </w:rPr>
        <w:softHyphen/>
        <w:t>leaves hanging two threads of text (36 and 38d)</w:t>
      </w:r>
      <w:r w:rsidR="006F304D" w:rsidRPr="006F304D">
        <w:rPr>
          <w:szCs w:val="28"/>
        </w:rPr>
        <w:t xml:space="preserve">, </w:t>
      </w:r>
      <w:r w:rsidRPr="00AA14EA">
        <w:rPr>
          <w:szCs w:val="28"/>
        </w:rPr>
        <w:t>the explanation of these as an inclusion may have its origin in a desire to tie up loose ends.</w:t>
      </w:r>
    </w:p>
    <w:p w14:paraId="436AE6D3" w14:textId="5C2FBF47" w:rsidR="0018433B" w:rsidRPr="00AA14EA" w:rsidRDefault="0018433B" w:rsidP="0018433B">
      <w:pPr>
        <w:rPr>
          <w:szCs w:val="28"/>
        </w:rPr>
      </w:pPr>
      <w:bookmarkStart w:id="54" w:name="inclusion__Morgenthaler__20_49"/>
      <w:bookmarkEnd w:id="54"/>
      <w:r w:rsidRPr="00AA14EA">
        <w:rPr>
          <w:szCs w:val="28"/>
        </w:rPr>
        <w:tab/>
        <w:t>Morgenthaler’s other inclusion is the sermon on the plain as a whole: the beatitudes and woes at the beginning and the parable of the two houses at the end form an inclu</w:t>
      </w:r>
      <w:r w:rsidRPr="00AA14EA">
        <w:rPr>
          <w:szCs w:val="28"/>
        </w:rPr>
        <w:softHyphen/>
        <w:t>sion whose interior is the re</w:t>
      </w:r>
      <w:r w:rsidRPr="00AA14EA">
        <w:rPr>
          <w:szCs w:val="28"/>
        </w:rPr>
        <w:softHyphen/>
        <w:t>mainder of the sermon.</w:t>
      </w:r>
      <w:r w:rsidRPr="00AA14EA">
        <w:rPr>
          <w:rStyle w:val="FootnoteReference"/>
          <w:szCs w:val="28"/>
        </w:rPr>
        <w:footnoteReference w:id="472"/>
      </w:r>
      <w:r w:rsidRPr="00AA14EA">
        <w:rPr>
          <w:szCs w:val="28"/>
        </w:rPr>
        <w:t xml:space="preserve"> Charles Talbert</w:t>
      </w:r>
      <w:r w:rsidR="006F304D" w:rsidRPr="006F304D">
        <w:rPr>
          <w:szCs w:val="28"/>
        </w:rPr>
        <w:t xml:space="preserve">, </w:t>
      </w:r>
      <w:r w:rsidRPr="00AA14EA">
        <w:rPr>
          <w:szCs w:val="28"/>
        </w:rPr>
        <w:t>probably in dependence on Morgen</w:t>
      </w:r>
      <w:r w:rsidRPr="00AA14EA">
        <w:rPr>
          <w:szCs w:val="28"/>
        </w:rPr>
        <w:softHyphen/>
        <w:t>thaler</w:t>
      </w:r>
      <w:r w:rsidR="006F304D" w:rsidRPr="006F304D">
        <w:rPr>
          <w:szCs w:val="28"/>
        </w:rPr>
        <w:t xml:space="preserve">, </w:t>
      </w:r>
      <w:r w:rsidRPr="00AA14EA">
        <w:rPr>
          <w:szCs w:val="28"/>
        </w:rPr>
        <w:t>presents the same suggestion</w:t>
      </w:r>
      <w:r>
        <w:rPr>
          <w:szCs w:val="28"/>
        </w:rPr>
        <w:t>: “</w:t>
      </w:r>
      <w:r w:rsidRPr="00AA14EA">
        <w:rPr>
          <w:szCs w:val="28"/>
        </w:rPr>
        <w:t>The contrast between the two types of people (6:46-49) at the end of the Sermon echoes the contrast (6:20-26) at the beginning. Taken together the opening and closing contrasts serve as an in</w:t>
      </w:r>
      <w:r w:rsidRPr="00AA14EA">
        <w:rPr>
          <w:szCs w:val="28"/>
        </w:rPr>
        <w:softHyphen/>
        <w:t>clusion around the Sermon as a whole.</w:t>
      </w:r>
      <w:r>
        <w:rPr>
          <w:szCs w:val="28"/>
        </w:rPr>
        <w:t>”</w:t>
      </w:r>
      <w:r w:rsidRPr="00AA14EA">
        <w:rPr>
          <w:rStyle w:val="FootnoteReference"/>
          <w:szCs w:val="28"/>
        </w:rPr>
        <w:footnoteReference w:id="473"/>
      </w:r>
    </w:p>
    <w:p w14:paraId="7725F7F4" w14:textId="71029A49" w:rsidR="0018433B" w:rsidRPr="00AA14EA" w:rsidRDefault="0018433B" w:rsidP="0018433B">
      <w:pPr>
        <w:rPr>
          <w:szCs w:val="28"/>
        </w:rPr>
      </w:pPr>
      <w:r w:rsidRPr="00AA14EA">
        <w:rPr>
          <w:szCs w:val="28"/>
        </w:rPr>
        <w:tab/>
        <w:t>This alleged inclusion has much to recommend it. Since the unity of the thirty verses of the sermon is demonstrable on other grounds than inclusion (the use of direct speech in contrast to the surrounding narrative</w:t>
      </w:r>
      <w:r w:rsidR="006F304D" w:rsidRPr="006F304D">
        <w:rPr>
          <w:szCs w:val="28"/>
        </w:rPr>
        <w:t xml:space="preserve">, </w:t>
      </w:r>
      <w:r w:rsidRPr="00AA14EA">
        <w:rPr>
          <w:szCs w:val="28"/>
        </w:rPr>
        <w:t>for ex</w:t>
      </w:r>
      <w:r w:rsidRPr="00AA14EA">
        <w:rPr>
          <w:szCs w:val="28"/>
        </w:rPr>
        <w:softHyphen/>
        <w:t>am</w:t>
      </w:r>
      <w:r w:rsidRPr="00AA14EA">
        <w:rPr>
          <w:szCs w:val="28"/>
        </w:rPr>
        <w:softHyphen/>
        <w:t>ple)</w:t>
      </w:r>
      <w:r w:rsidR="006F304D" w:rsidRPr="006F304D">
        <w:rPr>
          <w:szCs w:val="28"/>
        </w:rPr>
        <w:t xml:space="preserve">, </w:t>
      </w:r>
      <w:r w:rsidRPr="00AA14EA">
        <w:rPr>
          <w:szCs w:val="28"/>
        </w:rPr>
        <w:t>and since the sermon is an address of considerable formality (the majesty of the set</w:t>
      </w:r>
      <w:r w:rsidRPr="00AA14EA">
        <w:rPr>
          <w:szCs w:val="28"/>
        </w:rPr>
        <w:softHyphen/>
        <w:t>ting in 6:17-19</w:t>
      </w:r>
      <w:r w:rsidR="006F304D" w:rsidRPr="006F304D">
        <w:rPr>
          <w:szCs w:val="28"/>
        </w:rPr>
        <w:t xml:space="preserve">, </w:t>
      </w:r>
      <w:r w:rsidRPr="00AA14EA">
        <w:rPr>
          <w:szCs w:val="28"/>
        </w:rPr>
        <w:t>for example)</w:t>
      </w:r>
      <w:r w:rsidR="006F304D" w:rsidRPr="006F304D">
        <w:rPr>
          <w:szCs w:val="28"/>
        </w:rPr>
        <w:t xml:space="preserve">, </w:t>
      </w:r>
      <w:r w:rsidRPr="00AA14EA">
        <w:rPr>
          <w:szCs w:val="28"/>
        </w:rPr>
        <w:t>the suggestion that the speech contains a matching introduction and conclusion seems fit</w:t>
      </w:r>
      <w:r w:rsidRPr="00AA14EA">
        <w:rPr>
          <w:szCs w:val="28"/>
        </w:rPr>
        <w:softHyphen/>
        <w:t>ting. Moreover</w:t>
      </w:r>
      <w:r w:rsidR="006F304D" w:rsidRPr="006F304D">
        <w:rPr>
          <w:szCs w:val="28"/>
        </w:rPr>
        <w:t xml:space="preserve">, </w:t>
      </w:r>
      <w:r w:rsidRPr="00AA14EA">
        <w:rPr>
          <w:szCs w:val="28"/>
        </w:rPr>
        <w:t>not only do both the beatitudes and the woes on the one hand and the parable on the other contrast two groups</w:t>
      </w:r>
      <w:r w:rsidR="006F304D" w:rsidRPr="006F304D">
        <w:rPr>
          <w:szCs w:val="28"/>
        </w:rPr>
        <w:t xml:space="preserve">, </w:t>
      </w:r>
      <w:r w:rsidRPr="00AA14EA">
        <w:rPr>
          <w:szCs w:val="28"/>
        </w:rPr>
        <w:t>the one approved and the other disapproved;</w:t>
      </w:r>
      <w:r w:rsidRPr="00AA14EA">
        <w:rPr>
          <w:rStyle w:val="FootnoteReference"/>
          <w:szCs w:val="28"/>
        </w:rPr>
        <w:footnoteReference w:id="474"/>
      </w:r>
      <w:r w:rsidRPr="00AA14EA">
        <w:rPr>
          <w:szCs w:val="28"/>
        </w:rPr>
        <w:t xml:space="preserve"> but more specifically</w:t>
      </w:r>
      <w:r w:rsidR="006F304D" w:rsidRPr="006F304D">
        <w:rPr>
          <w:szCs w:val="28"/>
        </w:rPr>
        <w:t xml:space="preserve">, </w:t>
      </w:r>
      <w:r w:rsidRPr="00AA14EA">
        <w:rPr>
          <w:szCs w:val="28"/>
        </w:rPr>
        <w:t xml:space="preserve">both passages contrast two groups of </w:t>
      </w:r>
      <w:r w:rsidRPr="00AA14EA">
        <w:rPr>
          <w:i/>
          <w:iCs/>
          <w:szCs w:val="28"/>
        </w:rPr>
        <w:t>disciples</w:t>
      </w:r>
      <w:r w:rsidRPr="00AA14EA">
        <w:rPr>
          <w:iCs/>
          <w:szCs w:val="28"/>
        </w:rPr>
        <w:t xml:space="preserve">: </w:t>
      </w:r>
      <w:r w:rsidRPr="00AA14EA">
        <w:rPr>
          <w:szCs w:val="28"/>
        </w:rPr>
        <w:t>blessed and cen</w:t>
      </w:r>
      <w:r w:rsidRPr="00AA14EA">
        <w:rPr>
          <w:szCs w:val="28"/>
        </w:rPr>
        <w:softHyphen/>
        <w:t>sured disciples on the one hand</w:t>
      </w:r>
      <w:r w:rsidR="006F304D" w:rsidRPr="006F304D">
        <w:rPr>
          <w:szCs w:val="28"/>
        </w:rPr>
        <w:t xml:space="preserve">, </w:t>
      </w:r>
      <w:r w:rsidRPr="00AA14EA">
        <w:rPr>
          <w:szCs w:val="28"/>
        </w:rPr>
        <w:t>obedient and disobedient disciples on the other.</w:t>
      </w:r>
      <w:r w:rsidRPr="00AA14EA">
        <w:rPr>
          <w:rStyle w:val="FootnoteReference"/>
          <w:szCs w:val="28"/>
        </w:rPr>
        <w:footnoteReference w:id="475"/>
      </w:r>
    </w:p>
    <w:p w14:paraId="06A63A8A" w14:textId="260D5EB3" w:rsidR="0018433B" w:rsidRPr="00AA14EA" w:rsidRDefault="0018433B" w:rsidP="0018433B">
      <w:pPr>
        <w:rPr>
          <w:szCs w:val="28"/>
        </w:rPr>
      </w:pPr>
      <w:r w:rsidRPr="00AA14EA">
        <w:rPr>
          <w:szCs w:val="28"/>
        </w:rPr>
        <w:tab/>
        <w:t>Still</w:t>
      </w:r>
      <w:r w:rsidR="006F304D" w:rsidRPr="006F304D">
        <w:rPr>
          <w:szCs w:val="28"/>
        </w:rPr>
        <w:t xml:space="preserve">, </w:t>
      </w:r>
      <w:r w:rsidRPr="00AA14EA">
        <w:rPr>
          <w:szCs w:val="28"/>
        </w:rPr>
        <w:t>the fact that the four groups in the introduction and con</w:t>
      </w:r>
      <w:r w:rsidRPr="00AA14EA">
        <w:rPr>
          <w:szCs w:val="28"/>
        </w:rPr>
        <w:softHyphen/>
        <w:t>clusion are all disciples does not prove inclusion. For one thing</w:t>
      </w:r>
      <w:r w:rsidR="006F304D" w:rsidRPr="006F304D">
        <w:rPr>
          <w:szCs w:val="28"/>
        </w:rPr>
        <w:t xml:space="preserve">, </w:t>
      </w:r>
      <w:r w:rsidRPr="00AA14EA">
        <w:rPr>
          <w:szCs w:val="28"/>
        </w:rPr>
        <w:t>the two groups of disciples in the first unit are not the same two groups in the second unit. The recipients of the beatitudes are true follow</w:t>
      </w:r>
      <w:r w:rsidRPr="00AA14EA">
        <w:rPr>
          <w:szCs w:val="28"/>
        </w:rPr>
        <w:softHyphen/>
        <w:t>ers of Jesus (22c</w:t>
      </w:r>
      <w:r w:rsidR="006F304D" w:rsidRPr="006F304D">
        <w:rPr>
          <w:szCs w:val="28"/>
        </w:rPr>
        <w:t xml:space="preserve">, </w:t>
      </w:r>
      <w:r w:rsidRPr="00AA14EA">
        <w:rPr>
          <w:szCs w:val="28"/>
        </w:rPr>
        <w:t>“on account of the Son of Man”). The recipients of the woes are also disciples</w:t>
      </w:r>
      <w:r w:rsidR="006F304D" w:rsidRPr="006F304D">
        <w:rPr>
          <w:szCs w:val="28"/>
        </w:rPr>
        <w:t xml:space="preserve">, </w:t>
      </w:r>
      <w:r w:rsidRPr="00AA14EA">
        <w:rPr>
          <w:szCs w:val="28"/>
        </w:rPr>
        <w:t>but they are not dis</w:t>
      </w:r>
      <w:r w:rsidRPr="00AA14EA">
        <w:rPr>
          <w:szCs w:val="28"/>
        </w:rPr>
        <w:softHyphen/>
        <w:t>ciples who “hear” (im</w:t>
      </w:r>
      <w:r w:rsidRPr="00AA14EA">
        <w:rPr>
          <w:szCs w:val="28"/>
        </w:rPr>
        <w:softHyphen/>
        <w:t>med</w:t>
      </w:r>
      <w:r w:rsidRPr="00AA14EA">
        <w:rPr>
          <w:szCs w:val="28"/>
        </w:rPr>
        <w:softHyphen/>
        <w:t>i</w:t>
      </w:r>
      <w:r w:rsidRPr="00AA14EA">
        <w:rPr>
          <w:szCs w:val="28"/>
        </w:rPr>
        <w:softHyphen/>
        <w:t>ately after the woes comes 27a</w:t>
      </w:r>
      <w:r w:rsidR="006F304D" w:rsidRPr="006F304D">
        <w:rPr>
          <w:szCs w:val="28"/>
        </w:rPr>
        <w:t xml:space="preserve">, </w:t>
      </w:r>
      <w:r w:rsidRPr="00AA14EA">
        <w:rPr>
          <w:szCs w:val="28"/>
        </w:rPr>
        <w:t>“But I say to you who hear”). Both of the groups in the concluding par</w:t>
      </w:r>
      <w:r w:rsidRPr="00AA14EA">
        <w:rPr>
          <w:szCs w:val="28"/>
        </w:rPr>
        <w:softHyphen/>
        <w:t>able</w:t>
      </w:r>
      <w:r w:rsidR="006F304D" w:rsidRPr="006F304D">
        <w:rPr>
          <w:szCs w:val="28"/>
        </w:rPr>
        <w:t xml:space="preserve">, </w:t>
      </w:r>
      <w:r w:rsidRPr="00AA14EA">
        <w:rPr>
          <w:szCs w:val="28"/>
        </w:rPr>
        <w:t>on the other hand</w:t>
      </w:r>
      <w:r w:rsidR="006F304D" w:rsidRPr="006F304D">
        <w:rPr>
          <w:szCs w:val="28"/>
        </w:rPr>
        <w:t xml:space="preserve">, </w:t>
      </w:r>
      <w:r w:rsidRPr="00AA14EA">
        <w:rPr>
          <w:szCs w:val="28"/>
        </w:rPr>
        <w:t>belong among those who “hear”: “I will show you what someone is like who comes to me</w:t>
      </w:r>
      <w:r w:rsidR="006F304D" w:rsidRPr="006F304D">
        <w:rPr>
          <w:szCs w:val="28"/>
        </w:rPr>
        <w:t xml:space="preserve">, </w:t>
      </w:r>
      <w:r w:rsidRPr="00AA14EA">
        <w:rPr>
          <w:szCs w:val="28"/>
        </w:rPr>
        <w:t>hears my words</w:t>
      </w:r>
      <w:r w:rsidR="006F304D" w:rsidRPr="006F304D">
        <w:rPr>
          <w:szCs w:val="28"/>
        </w:rPr>
        <w:t xml:space="preserve">, </w:t>
      </w:r>
      <w:r w:rsidRPr="00AA14EA">
        <w:rPr>
          <w:szCs w:val="28"/>
        </w:rPr>
        <w:t xml:space="preserve">and acts on them </w:t>
      </w:r>
      <w:r w:rsidRPr="005F51B1">
        <w:rPr>
          <w:szCs w:val="28"/>
        </w:rPr>
        <w:t>. . .</w:t>
      </w:r>
      <w:r w:rsidRPr="00AA14EA">
        <w:rPr>
          <w:szCs w:val="28"/>
        </w:rPr>
        <w:t xml:space="preserve"> But the one who hears and does not act </w:t>
      </w:r>
      <w:r w:rsidRPr="005F51B1">
        <w:rPr>
          <w:szCs w:val="28"/>
        </w:rPr>
        <w:t>. . .</w:t>
      </w:r>
      <w:r w:rsidRPr="00AA14EA">
        <w:rPr>
          <w:szCs w:val="28"/>
        </w:rPr>
        <w:t>” Of course</w:t>
      </w:r>
      <w:r w:rsidR="006F304D" w:rsidRPr="006F304D">
        <w:rPr>
          <w:szCs w:val="28"/>
        </w:rPr>
        <w:t xml:space="preserve">, </w:t>
      </w:r>
      <w:r w:rsidRPr="00AA14EA">
        <w:rPr>
          <w:szCs w:val="28"/>
        </w:rPr>
        <w:t>even if the woes were addressed to out</w:t>
      </w:r>
      <w:r w:rsidRPr="00AA14EA">
        <w:rPr>
          <w:szCs w:val="28"/>
        </w:rPr>
        <w:softHyphen/>
        <w:t>siders (the multitude) rather than disciples</w:t>
      </w:r>
      <w:r w:rsidR="006F304D" w:rsidRPr="006F304D">
        <w:rPr>
          <w:szCs w:val="28"/>
        </w:rPr>
        <w:t xml:space="preserve">, </w:t>
      </w:r>
      <w:r w:rsidRPr="00AA14EA">
        <w:rPr>
          <w:szCs w:val="28"/>
        </w:rPr>
        <w:t>that would only heighten the discrepancy between the opening two groups and the closing two groups. And even if the two groups in the in</w:t>
      </w:r>
      <w:r w:rsidRPr="00AA14EA">
        <w:rPr>
          <w:szCs w:val="28"/>
        </w:rPr>
        <w:softHyphen/>
        <w:t>troduction matched perfectly those in the con</w:t>
      </w:r>
      <w:r w:rsidRPr="00AA14EA">
        <w:rPr>
          <w:szCs w:val="28"/>
        </w:rPr>
        <w:softHyphen/>
        <w:t>clusion</w:t>
      </w:r>
      <w:r w:rsidR="006F304D" w:rsidRPr="006F304D">
        <w:rPr>
          <w:szCs w:val="28"/>
        </w:rPr>
        <w:t xml:space="preserve">, </w:t>
      </w:r>
      <w:r w:rsidRPr="00AA14EA">
        <w:rPr>
          <w:szCs w:val="28"/>
        </w:rPr>
        <w:t>that would still not prove a conscious in</w:t>
      </w:r>
      <w:r w:rsidRPr="00AA14EA">
        <w:rPr>
          <w:szCs w:val="28"/>
        </w:rPr>
        <w:softHyphen/>
        <w:t>clusion</w:t>
      </w:r>
      <w:r w:rsidR="006F304D" w:rsidRPr="006F304D">
        <w:rPr>
          <w:szCs w:val="28"/>
        </w:rPr>
        <w:t xml:space="preserve">, </w:t>
      </w:r>
      <w:r w:rsidRPr="00AA14EA">
        <w:rPr>
          <w:szCs w:val="28"/>
        </w:rPr>
        <w:t>because the use of contrasting groups is common in Jesus’ teaching</w:t>
      </w:r>
      <w:r w:rsidR="006F304D" w:rsidRPr="006F304D">
        <w:rPr>
          <w:szCs w:val="28"/>
        </w:rPr>
        <w:t xml:space="preserve">, </w:t>
      </w:r>
      <w:r w:rsidRPr="00AA14EA">
        <w:rPr>
          <w:szCs w:val="28"/>
        </w:rPr>
        <w:t>and be</w:t>
      </w:r>
      <w:r w:rsidRPr="00AA14EA">
        <w:rPr>
          <w:szCs w:val="28"/>
        </w:rPr>
        <w:softHyphen/>
        <w:t>cause</w:t>
      </w:r>
      <w:r w:rsidR="006F304D" w:rsidRPr="006F304D">
        <w:rPr>
          <w:szCs w:val="28"/>
        </w:rPr>
        <w:t xml:space="preserve">, </w:t>
      </w:r>
      <w:r w:rsidRPr="00AA14EA">
        <w:rPr>
          <w:szCs w:val="28"/>
        </w:rPr>
        <w:t>be</w:t>
      </w:r>
      <w:r w:rsidRPr="00AA14EA">
        <w:rPr>
          <w:szCs w:val="28"/>
        </w:rPr>
        <w:softHyphen/>
        <w:t>ing inherently admonitory</w:t>
      </w:r>
      <w:r w:rsidR="006F304D" w:rsidRPr="006F304D">
        <w:rPr>
          <w:szCs w:val="28"/>
        </w:rPr>
        <w:t xml:space="preserve">, </w:t>
      </w:r>
      <w:r w:rsidRPr="00AA14EA">
        <w:rPr>
          <w:szCs w:val="28"/>
        </w:rPr>
        <w:t>contrasting groups are natural at the be</w:t>
      </w:r>
      <w:r w:rsidRPr="00AA14EA">
        <w:rPr>
          <w:szCs w:val="28"/>
        </w:rPr>
        <w:softHyphen/>
        <w:t>ginning or end of a discourse.</w:t>
      </w:r>
      <w:r w:rsidRPr="00AA14EA">
        <w:rPr>
          <w:rStyle w:val="FootnoteReference"/>
          <w:szCs w:val="28"/>
        </w:rPr>
        <w:footnoteReference w:id="476"/>
      </w:r>
    </w:p>
    <w:p w14:paraId="32206D04" w14:textId="384D16A3" w:rsidR="0018433B" w:rsidRPr="00AA14EA" w:rsidRDefault="0018433B" w:rsidP="0018433B">
      <w:pPr>
        <w:rPr>
          <w:szCs w:val="28"/>
        </w:rPr>
      </w:pPr>
      <w:r w:rsidRPr="00AA14EA">
        <w:rPr>
          <w:szCs w:val="28"/>
        </w:rPr>
        <w:lastRenderedPageBreak/>
        <w:tab/>
        <w:t>Thus we see no need to attribute use of the principle of in</w:t>
      </w:r>
      <w:r w:rsidRPr="00AA14EA">
        <w:rPr>
          <w:szCs w:val="28"/>
        </w:rPr>
        <w:softHyphen/>
        <w:t>clusion to Luke</w:t>
      </w:r>
      <w:r w:rsidR="006F304D" w:rsidRPr="006F304D">
        <w:rPr>
          <w:szCs w:val="28"/>
        </w:rPr>
        <w:t xml:space="preserve">, </w:t>
      </w:r>
      <w:r w:rsidRPr="00AA14EA">
        <w:rPr>
          <w:szCs w:val="28"/>
        </w:rPr>
        <w:t>at least insofar as the sermon on the plain is con</w:t>
      </w:r>
      <w:r w:rsidRPr="00AA14EA">
        <w:rPr>
          <w:szCs w:val="28"/>
        </w:rPr>
        <w:softHyphen/>
        <w:t>cerned. We shall have to look elsewhere to find the principles upon which the structure of the ser</w:t>
      </w:r>
      <w:r w:rsidRPr="00AA14EA">
        <w:rPr>
          <w:szCs w:val="28"/>
        </w:rPr>
        <w:softHyphen/>
        <w:t>mon is based.</w:t>
      </w:r>
    </w:p>
    <w:p w14:paraId="210304BA" w14:textId="77777777" w:rsidR="0018433B" w:rsidRPr="00AA14EA" w:rsidRDefault="0018433B" w:rsidP="0018433B">
      <w:pPr>
        <w:rPr>
          <w:szCs w:val="28"/>
        </w:rPr>
      </w:pPr>
    </w:p>
    <w:p w14:paraId="0BD917FC" w14:textId="5C34AD9E" w:rsidR="0018433B" w:rsidRPr="00AA14EA" w:rsidRDefault="0018433B" w:rsidP="00904123">
      <w:pPr>
        <w:pStyle w:val="Heading2"/>
      </w:pPr>
      <w:bookmarkStart w:id="55" w:name="rhythm"/>
      <w:bookmarkStart w:id="56" w:name="_Toc147618630"/>
      <w:bookmarkEnd w:id="55"/>
      <w:r w:rsidRPr="00AA14EA">
        <w:t>3.</w:t>
      </w:r>
      <w:r w:rsidR="000151C8" w:rsidRPr="000151C8">
        <w:rPr>
          <w:iCs/>
        </w:rPr>
        <w:t xml:space="preserve"> </w:t>
      </w:r>
      <w:r w:rsidRPr="00AA14EA">
        <w:t>Rhythm</w:t>
      </w:r>
      <w:bookmarkEnd w:id="56"/>
    </w:p>
    <w:p w14:paraId="2279CBCE" w14:textId="77777777" w:rsidR="0018433B" w:rsidRPr="00AA14EA" w:rsidRDefault="0018433B" w:rsidP="0018433B">
      <w:pPr>
        <w:rPr>
          <w:szCs w:val="28"/>
        </w:rPr>
      </w:pPr>
    </w:p>
    <w:p w14:paraId="358C6C96" w14:textId="77777777" w:rsidR="0018433B" w:rsidRPr="00AA14EA" w:rsidRDefault="0018433B" w:rsidP="0018433B">
      <w:pPr>
        <w:rPr>
          <w:szCs w:val="28"/>
        </w:rPr>
      </w:pPr>
      <w:r w:rsidRPr="00AA14EA">
        <w:rPr>
          <w:szCs w:val="28"/>
        </w:rPr>
        <w:tab/>
        <w:t>Rhythm as a factor in the structuring of the sermon on the plain has been suggest</w:t>
      </w:r>
      <w:r w:rsidRPr="00AA14EA">
        <w:rPr>
          <w:szCs w:val="28"/>
        </w:rPr>
        <w:softHyphen/>
        <w:t>ed by several authors. We have already quoted Meynet’s descrip</w:t>
      </w:r>
      <w:r w:rsidRPr="00AA14EA">
        <w:rPr>
          <w:szCs w:val="28"/>
        </w:rPr>
        <w:softHyphen/>
        <w:t>tion of the sermon:</w:t>
      </w:r>
    </w:p>
    <w:p w14:paraId="672E8CA8" w14:textId="77777777" w:rsidR="0018433B" w:rsidRPr="00AA14EA" w:rsidRDefault="0018433B" w:rsidP="0018433B">
      <w:pPr>
        <w:rPr>
          <w:szCs w:val="28"/>
        </w:rPr>
      </w:pPr>
    </w:p>
    <w:p w14:paraId="7FD704E2" w14:textId="2CC2C622" w:rsidR="0018433B" w:rsidRPr="00AA14EA" w:rsidRDefault="0018433B" w:rsidP="0018433B">
      <w:pPr>
        <w:ind w:left="720" w:right="720"/>
        <w:rPr>
          <w:szCs w:val="28"/>
        </w:rPr>
      </w:pPr>
      <w:r w:rsidRPr="00AA14EA">
        <w:rPr>
          <w:szCs w:val="28"/>
        </w:rPr>
        <w:t>A very rhythmical text of 2-</w:t>
      </w:r>
      <w:r w:rsidR="006F304D" w:rsidRPr="006F304D">
        <w:rPr>
          <w:szCs w:val="28"/>
        </w:rPr>
        <w:t xml:space="preserve">, </w:t>
      </w:r>
      <w:r w:rsidRPr="00AA14EA">
        <w:rPr>
          <w:szCs w:val="28"/>
        </w:rPr>
        <w:t>3-</w:t>
      </w:r>
      <w:r w:rsidR="006F304D" w:rsidRPr="006F304D">
        <w:rPr>
          <w:szCs w:val="28"/>
        </w:rPr>
        <w:t xml:space="preserve">, </w:t>
      </w:r>
      <w:r w:rsidRPr="00AA14EA">
        <w:rPr>
          <w:szCs w:val="28"/>
        </w:rPr>
        <w:t>and 4-beat meters</w:t>
      </w:r>
      <w:r w:rsidR="006F304D" w:rsidRPr="006F304D">
        <w:rPr>
          <w:szCs w:val="28"/>
        </w:rPr>
        <w:t xml:space="preserve">, </w:t>
      </w:r>
      <w:r w:rsidRPr="00AA14EA">
        <w:rPr>
          <w:szCs w:val="28"/>
        </w:rPr>
        <w:t>which create what may be called “coup</w:t>
      </w:r>
      <w:r w:rsidRPr="00AA14EA">
        <w:rPr>
          <w:szCs w:val="28"/>
        </w:rPr>
        <w:softHyphen/>
        <w:t>lets.” The elements which do not enter into the rhythm of the couplets will be considered as “refrains,” since they are often paral</w:t>
      </w:r>
      <w:r w:rsidRPr="00AA14EA">
        <w:rPr>
          <w:szCs w:val="28"/>
        </w:rPr>
        <w:softHyphen/>
        <w:t>lel to one another.</w:t>
      </w:r>
      <w:r w:rsidRPr="00AA14EA">
        <w:rPr>
          <w:rStyle w:val="FootnoteReference"/>
          <w:szCs w:val="28"/>
        </w:rPr>
        <w:footnoteReference w:id="477"/>
      </w:r>
    </w:p>
    <w:p w14:paraId="76E35BF7" w14:textId="77777777" w:rsidR="0018433B" w:rsidRPr="00AA14EA" w:rsidRDefault="0018433B" w:rsidP="0018433B">
      <w:pPr>
        <w:rPr>
          <w:szCs w:val="28"/>
        </w:rPr>
      </w:pPr>
    </w:p>
    <w:p w14:paraId="0B4C1B54" w14:textId="60FCD418" w:rsidR="0018433B" w:rsidRPr="00AA14EA" w:rsidRDefault="0018433B" w:rsidP="0018433B">
      <w:pPr>
        <w:rPr>
          <w:szCs w:val="28"/>
        </w:rPr>
      </w:pPr>
      <w:r w:rsidRPr="00AA14EA">
        <w:rPr>
          <w:szCs w:val="28"/>
        </w:rPr>
        <w:tab/>
        <w:t xml:space="preserve">The principal investigator of rhythm in the sermon on the plain is </w:t>
      </w:r>
      <w:r w:rsidR="00714629" w:rsidRPr="00714629">
        <w:rPr>
          <w:iCs/>
          <w:szCs w:val="28"/>
        </w:rPr>
        <w:t>C.F.</w:t>
      </w:r>
      <w:r w:rsidRPr="00AA14EA">
        <w:rPr>
          <w:szCs w:val="28"/>
        </w:rPr>
        <w:t xml:space="preserve"> Burney</w:t>
      </w:r>
      <w:r w:rsidR="006F304D" w:rsidRPr="006F304D">
        <w:rPr>
          <w:szCs w:val="28"/>
        </w:rPr>
        <w:t xml:space="preserve">, </w:t>
      </w:r>
      <w:r w:rsidRPr="00AA14EA">
        <w:rPr>
          <w:szCs w:val="28"/>
        </w:rPr>
        <w:t xml:space="preserve">whose </w:t>
      </w:r>
      <w:r w:rsidRPr="00AA14EA">
        <w:rPr>
          <w:i/>
          <w:iCs/>
          <w:szCs w:val="28"/>
        </w:rPr>
        <w:t>The Poetry of Our Lord</w:t>
      </w:r>
      <w:r w:rsidRPr="00AA14EA">
        <w:rPr>
          <w:szCs w:val="28"/>
        </w:rPr>
        <w:t xml:space="preserve"> re</w:t>
      </w:r>
      <w:r w:rsidRPr="00AA14EA">
        <w:rPr>
          <w:szCs w:val="28"/>
        </w:rPr>
        <w:softHyphen/>
        <w:t>mains a classic treatment of rhythm (as of parallelism) in the NT</w:t>
      </w:r>
      <w:r w:rsidRPr="00AA14EA">
        <w:rPr>
          <w:szCs w:val="28"/>
        </w:rPr>
        <w:softHyphen/>
        <w:t>. We have already discussed in our typology of rhetori</w:t>
      </w:r>
      <w:r w:rsidRPr="00AA14EA">
        <w:rPr>
          <w:szCs w:val="28"/>
        </w:rPr>
        <w:softHyphen/>
        <w:t>cal structures how Burney concentrates upon Aramaic rhythm (inferred to be the same as Hebrew rhythm) rather than Greek; we have also considered the “rules” of Hebrew rhythm which he presents and the three common types of Semitic rhythm (three-beat</w:t>
      </w:r>
      <w:r w:rsidR="006F304D" w:rsidRPr="006F304D">
        <w:rPr>
          <w:szCs w:val="28"/>
        </w:rPr>
        <w:t xml:space="preserve">, </w:t>
      </w:r>
      <w:r w:rsidRPr="00AA14EA">
        <w:rPr>
          <w:szCs w:val="28"/>
        </w:rPr>
        <w:t>four-beat</w:t>
      </w:r>
      <w:r w:rsidR="006F304D" w:rsidRPr="006F304D">
        <w:rPr>
          <w:szCs w:val="28"/>
        </w:rPr>
        <w:t xml:space="preserve">, </w:t>
      </w:r>
      <w:r w:rsidRPr="00AA14EA">
        <w:rPr>
          <w:szCs w:val="28"/>
        </w:rPr>
        <w:t xml:space="preserve">and </w:t>
      </w:r>
      <w:r w:rsidRPr="00AA14EA">
        <w:rPr>
          <w:i/>
          <w:iCs/>
          <w:szCs w:val="28"/>
        </w:rPr>
        <w:fldChar w:fldCharType="begin"/>
      </w:r>
      <w:r w:rsidRPr="00AA14EA">
        <w:rPr>
          <w:i/>
          <w:iCs/>
          <w:szCs w:val="28"/>
        </w:rPr>
        <w:instrText>ADVANCE \d2</w:instrText>
      </w:r>
      <w:r w:rsidRPr="00AA14EA">
        <w:rPr>
          <w:i/>
          <w:iCs/>
          <w:szCs w:val="28"/>
        </w:rPr>
        <w:fldChar w:fldCharType="end"/>
      </w:r>
      <w:r w:rsidRPr="00AA14EA">
        <w:rPr>
          <w:i/>
          <w:iCs/>
          <w:szCs w:val="28"/>
        </w:rPr>
        <w:fldChar w:fldCharType="begin"/>
      </w:r>
      <w:r w:rsidRPr="00AA14EA">
        <w:rPr>
          <w:i/>
          <w:iCs/>
          <w:szCs w:val="28"/>
        </w:rPr>
        <w:instrText>ADVANCE \r1</w:instrText>
      </w:r>
      <w:r w:rsidRPr="00AA14EA">
        <w:rPr>
          <w:i/>
          <w:iCs/>
          <w:szCs w:val="28"/>
        </w:rPr>
        <w:fldChar w:fldCharType="end"/>
      </w:r>
      <w:r w:rsidRPr="00AA14EA">
        <w:rPr>
          <w:iCs/>
          <w:szCs w:val="28"/>
        </w:rPr>
        <w:t>.</w:t>
      </w:r>
      <w:r w:rsidRPr="00AA14EA">
        <w:rPr>
          <w:i/>
          <w:iCs/>
          <w:szCs w:val="28"/>
        </w:rPr>
        <w:fldChar w:fldCharType="begin"/>
      </w:r>
      <w:r w:rsidRPr="00AA14EA">
        <w:rPr>
          <w:i/>
          <w:iCs/>
          <w:szCs w:val="28"/>
        </w:rPr>
        <w:instrText>ADVANCE \l4</w:instrText>
      </w:r>
      <w:r w:rsidRPr="00AA14EA">
        <w:rPr>
          <w:i/>
          <w:iCs/>
          <w:szCs w:val="28"/>
        </w:rPr>
        <w:fldChar w:fldCharType="end"/>
      </w:r>
      <w:r w:rsidRPr="00AA14EA">
        <w:rPr>
          <w:i/>
          <w:iCs/>
          <w:szCs w:val="28"/>
        </w:rPr>
        <w:fldChar w:fldCharType="begin"/>
      </w:r>
      <w:r w:rsidRPr="00AA14EA">
        <w:rPr>
          <w:i/>
          <w:iCs/>
          <w:szCs w:val="28"/>
        </w:rPr>
        <w:instrText>ADVANCE \u2</w:instrText>
      </w:r>
      <w:r w:rsidRPr="00AA14EA">
        <w:rPr>
          <w:i/>
          <w:iCs/>
          <w:szCs w:val="28"/>
        </w:rPr>
        <w:fldChar w:fldCharType="end"/>
      </w:r>
      <w:r w:rsidRPr="00AA14EA">
        <w:rPr>
          <w:i/>
          <w:iCs/>
          <w:szCs w:val="28"/>
        </w:rPr>
        <w:t>k</w:t>
      </w:r>
      <w:r w:rsidRPr="00AA14EA">
        <w:rPr>
          <w:i/>
          <w:iCs/>
          <w:szCs w:val="28"/>
        </w:rPr>
        <w:sym w:font="Symbol" w:char="F05F"/>
      </w:r>
      <w:r w:rsidRPr="00AA14EA">
        <w:rPr>
          <w:i/>
          <w:iCs/>
          <w:szCs w:val="28"/>
        </w:rPr>
        <w:t>n</w:t>
      </w:r>
      <w:r w:rsidRPr="00AA14EA">
        <w:rPr>
          <w:i/>
          <w:iCs/>
          <w:szCs w:val="28"/>
        </w:rPr>
        <w:sym w:font="Symbol" w:char="F05F"/>
      </w:r>
      <w:r w:rsidRPr="00AA14EA">
        <w:rPr>
          <w:szCs w:val="28"/>
        </w:rPr>
        <w:t xml:space="preserve"> [3+2] rhythm).</w:t>
      </w:r>
    </w:p>
    <w:p w14:paraId="01C11E17" w14:textId="77777777" w:rsidR="0018433B" w:rsidRPr="00AA14EA" w:rsidRDefault="0018433B" w:rsidP="0018433B">
      <w:pPr>
        <w:rPr>
          <w:szCs w:val="28"/>
        </w:rPr>
      </w:pPr>
      <w:r w:rsidRPr="00AA14EA">
        <w:rPr>
          <w:szCs w:val="28"/>
        </w:rPr>
        <w:tab/>
        <w:t>Burney finds all three of these rhythms in Jesus’ sayings. Three-beat meter</w:t>
      </w:r>
    </w:p>
    <w:p w14:paraId="68AC1126" w14:textId="77777777" w:rsidR="0018433B" w:rsidRPr="00AA14EA" w:rsidRDefault="0018433B" w:rsidP="0018433B">
      <w:pPr>
        <w:rPr>
          <w:szCs w:val="28"/>
        </w:rPr>
      </w:pPr>
    </w:p>
    <w:p w14:paraId="2C1AD2DF" w14:textId="5FFEE454" w:rsidR="0018433B" w:rsidRPr="00AA14EA" w:rsidRDefault="0018433B" w:rsidP="0018433B">
      <w:pPr>
        <w:ind w:left="720" w:right="720"/>
        <w:rPr>
          <w:szCs w:val="28"/>
        </w:rPr>
      </w:pPr>
      <w:r w:rsidRPr="00AA14EA">
        <w:rPr>
          <w:szCs w:val="28"/>
        </w:rPr>
        <w:t>is fairly frequent in the Synoptic Gospels</w:t>
      </w:r>
      <w:r w:rsidR="006F304D" w:rsidRPr="006F304D">
        <w:rPr>
          <w:szCs w:val="28"/>
        </w:rPr>
        <w:t xml:space="preserve">, </w:t>
      </w:r>
      <w:r w:rsidRPr="00AA14EA">
        <w:rPr>
          <w:szCs w:val="28"/>
        </w:rPr>
        <w:t>and seems mainly to charac</w:t>
      </w:r>
      <w:r w:rsidRPr="00AA14EA">
        <w:rPr>
          <w:szCs w:val="28"/>
        </w:rPr>
        <w:softHyphen/>
        <w:t>terize pithy sayings of a gnomic charac</w:t>
      </w:r>
      <w:r w:rsidRPr="00AA14EA">
        <w:rPr>
          <w:szCs w:val="28"/>
        </w:rPr>
        <w:softHyphen/>
        <w:t>ter</w:t>
      </w:r>
      <w:r w:rsidR="006F304D" w:rsidRPr="006F304D">
        <w:rPr>
          <w:szCs w:val="28"/>
        </w:rPr>
        <w:t xml:space="preserve">, </w:t>
      </w:r>
      <w:r w:rsidRPr="00AA14EA">
        <w:rPr>
          <w:szCs w:val="28"/>
        </w:rPr>
        <w:t>akin to the pro</w:t>
      </w:r>
      <w:r w:rsidRPr="00AA14EA">
        <w:rPr>
          <w:szCs w:val="28"/>
        </w:rPr>
        <w:softHyphen/>
        <w:t>verbs of the Old Testament</w:t>
      </w:r>
      <w:r w:rsidR="006F304D" w:rsidRPr="006F304D">
        <w:rPr>
          <w:szCs w:val="28"/>
        </w:rPr>
        <w:t xml:space="preserve">, </w:t>
      </w:r>
      <w:r w:rsidRPr="00AA14EA">
        <w:rPr>
          <w:szCs w:val="28"/>
        </w:rPr>
        <w:t>such as are found in the Sermon on the Mount. Three-beat rhythm is the rhythm of the Beatitudes (Matt. 5</w:t>
      </w:r>
      <w:r w:rsidRPr="00AA14EA">
        <w:rPr>
          <w:szCs w:val="28"/>
          <w:vertAlign w:val="superscript"/>
        </w:rPr>
        <w:t>3ff.</w:t>
      </w:r>
      <w:r w:rsidRPr="00AA14EA">
        <w:rPr>
          <w:szCs w:val="28"/>
        </w:rPr>
        <w:t>).</w:t>
      </w:r>
      <w:r w:rsidRPr="00AA14EA">
        <w:rPr>
          <w:rStyle w:val="FootnoteReference"/>
          <w:szCs w:val="28"/>
        </w:rPr>
        <w:footnoteReference w:id="478"/>
      </w:r>
    </w:p>
    <w:p w14:paraId="1C188D5B" w14:textId="77777777" w:rsidR="0018433B" w:rsidRPr="00AA14EA" w:rsidRDefault="0018433B" w:rsidP="0018433B">
      <w:pPr>
        <w:rPr>
          <w:szCs w:val="28"/>
        </w:rPr>
      </w:pPr>
    </w:p>
    <w:p w14:paraId="74F39573" w14:textId="75798557" w:rsidR="0018433B" w:rsidRPr="00AA14EA" w:rsidRDefault="0018433B" w:rsidP="0018433B">
      <w:pPr>
        <w:rPr>
          <w:szCs w:val="28"/>
        </w:rPr>
      </w:pPr>
      <w:r w:rsidRPr="00AA14EA">
        <w:rPr>
          <w:szCs w:val="28"/>
        </w:rPr>
        <w:t>Four-beat rhythm is also common in Jesus’ sayings: statements with this rhythm “are ad</w:t>
      </w:r>
      <w:r w:rsidRPr="00AA14EA">
        <w:rPr>
          <w:szCs w:val="28"/>
        </w:rPr>
        <w:softHyphen/>
        <w:t>dressed to the inner circle of disciples and convey ethical teaching</w:t>
      </w:r>
      <w:r w:rsidR="006F304D" w:rsidRPr="006F304D">
        <w:rPr>
          <w:szCs w:val="28"/>
        </w:rPr>
        <w:t xml:space="preserve">, </w:t>
      </w:r>
      <w:r w:rsidRPr="00AA14EA">
        <w:rPr>
          <w:szCs w:val="28"/>
        </w:rPr>
        <w:t>and that in a calm and collected manner</w:t>
      </w:r>
      <w:r w:rsidR="006F304D" w:rsidRPr="006F304D">
        <w:rPr>
          <w:szCs w:val="28"/>
        </w:rPr>
        <w:t xml:space="preserve">, </w:t>
      </w:r>
      <w:r w:rsidRPr="00AA14EA">
        <w:rPr>
          <w:szCs w:val="28"/>
        </w:rPr>
        <w:t>un</w:t>
      </w:r>
      <w:r w:rsidRPr="00AA14EA">
        <w:rPr>
          <w:szCs w:val="28"/>
        </w:rPr>
        <w:softHyphen/>
        <w:t>touched by strong emotion.”</w:t>
      </w:r>
      <w:r w:rsidRPr="00AA14EA">
        <w:rPr>
          <w:rStyle w:val="FootnoteReference"/>
          <w:szCs w:val="28"/>
        </w:rPr>
        <w:footnoteReference w:id="479"/>
      </w:r>
      <w:r>
        <w:rPr>
          <w:szCs w:val="28"/>
        </w:rPr>
        <w:t xml:space="preserve"> </w:t>
      </w:r>
      <w:proofErr w:type="spellStart"/>
      <w:r w:rsidRPr="00D934B1">
        <w:rPr>
          <w:i/>
        </w:rPr>
        <w:t>Ḳīnā</w:t>
      </w:r>
      <w:proofErr w:type="spellEnd"/>
      <w:r w:rsidRPr="00AA14EA">
        <w:rPr>
          <w:szCs w:val="28"/>
        </w:rPr>
        <w:t xml:space="preserve"> rhythm</w:t>
      </w:r>
      <w:r w:rsidR="006F304D" w:rsidRPr="006F304D">
        <w:rPr>
          <w:szCs w:val="28"/>
        </w:rPr>
        <w:t xml:space="preserve">, </w:t>
      </w:r>
      <w:r w:rsidRPr="00AA14EA">
        <w:rPr>
          <w:szCs w:val="28"/>
        </w:rPr>
        <w:t>on the other hand</w:t>
      </w:r>
      <w:r w:rsidR="006F304D" w:rsidRPr="006F304D">
        <w:rPr>
          <w:szCs w:val="28"/>
        </w:rPr>
        <w:t xml:space="preserve">, </w:t>
      </w:r>
      <w:r w:rsidRPr="00AA14EA">
        <w:rPr>
          <w:szCs w:val="28"/>
        </w:rPr>
        <w:t>was used by Jesus</w:t>
      </w:r>
      <w:r w:rsidR="006F304D" w:rsidRPr="006F304D">
        <w:rPr>
          <w:szCs w:val="28"/>
        </w:rPr>
        <w:t xml:space="preserve">, </w:t>
      </w:r>
      <w:r w:rsidRPr="00AA14EA">
        <w:rPr>
          <w:szCs w:val="28"/>
        </w:rPr>
        <w:t>says Burney</w:t>
      </w:r>
      <w:r w:rsidR="006F304D" w:rsidRPr="006F304D">
        <w:rPr>
          <w:szCs w:val="28"/>
        </w:rPr>
        <w:t xml:space="preserve">, </w:t>
      </w:r>
      <w:r w:rsidRPr="00AA14EA">
        <w:rPr>
          <w:szCs w:val="28"/>
        </w:rPr>
        <w:t>precisely to express strong emo</w:t>
      </w:r>
      <w:r w:rsidRPr="00AA14EA">
        <w:rPr>
          <w:szCs w:val="28"/>
        </w:rPr>
        <w:softHyphen/>
        <w:t>tion: ex</w:t>
      </w:r>
      <w:r w:rsidRPr="00AA14EA">
        <w:rPr>
          <w:szCs w:val="28"/>
        </w:rPr>
        <w:softHyphen/>
        <w:t>amples are Luke 13:23-27/Matt 7:13</w:t>
      </w:r>
      <w:r w:rsidR="006F304D" w:rsidRPr="006F304D">
        <w:rPr>
          <w:szCs w:val="28"/>
        </w:rPr>
        <w:t xml:space="preserve">, </w:t>
      </w:r>
      <w:r w:rsidRPr="00AA14EA">
        <w:rPr>
          <w:szCs w:val="28"/>
        </w:rPr>
        <w:t>22</w:t>
      </w:r>
      <w:r w:rsidR="006F304D" w:rsidRPr="006F304D">
        <w:rPr>
          <w:szCs w:val="28"/>
        </w:rPr>
        <w:t xml:space="preserve">, </w:t>
      </w:r>
      <w:r w:rsidRPr="00AA14EA">
        <w:rPr>
          <w:szCs w:val="28"/>
        </w:rPr>
        <w:t>23; Mark 2:19-22/Matt 9:15-17/Luke 5:34-39; John 16:20-22.</w:t>
      </w:r>
      <w:r w:rsidRPr="00AA14EA">
        <w:rPr>
          <w:rStyle w:val="FootnoteReference"/>
          <w:szCs w:val="28"/>
        </w:rPr>
        <w:footnoteReference w:id="480"/>
      </w:r>
    </w:p>
    <w:p w14:paraId="3FB9623A" w14:textId="7E6F4D02" w:rsidR="0018433B" w:rsidRPr="00AA14EA" w:rsidRDefault="0018433B" w:rsidP="0018433B">
      <w:pPr>
        <w:rPr>
          <w:szCs w:val="28"/>
        </w:rPr>
      </w:pPr>
      <w:r w:rsidRPr="00AA14EA">
        <w:rPr>
          <w:szCs w:val="28"/>
        </w:rPr>
        <w:tab/>
        <w:t>Concerning the sermon on the plain in particular</w:t>
      </w:r>
      <w:r w:rsidR="006F304D" w:rsidRPr="006F304D">
        <w:rPr>
          <w:szCs w:val="28"/>
        </w:rPr>
        <w:t xml:space="preserve">, </w:t>
      </w:r>
      <w:r w:rsidRPr="00AA14EA">
        <w:rPr>
          <w:szCs w:val="28"/>
        </w:rPr>
        <w:t xml:space="preserve">we have </w:t>
      </w:r>
      <w:r w:rsidRPr="00AA14EA">
        <w:rPr>
          <w:szCs w:val="28"/>
        </w:rPr>
        <w:softHyphen/>
        <w:t>Burney’s recognition of three-beat rhythm in the beati</w:t>
      </w:r>
      <w:r w:rsidRPr="00AA14EA">
        <w:rPr>
          <w:szCs w:val="28"/>
        </w:rPr>
        <w:softHyphen/>
        <w:t>tudes.</w:t>
      </w:r>
      <w:r w:rsidRPr="00AA14EA">
        <w:rPr>
          <w:rStyle w:val="FootnoteReference"/>
          <w:szCs w:val="28"/>
        </w:rPr>
        <w:footnoteReference w:id="481"/>
      </w:r>
    </w:p>
    <w:p w14:paraId="45FA11E1" w14:textId="77777777" w:rsidR="0018433B" w:rsidRPr="00AA14EA" w:rsidRDefault="0018433B" w:rsidP="0018433B">
      <w:pPr>
        <w:rPr>
          <w:szCs w:val="28"/>
        </w:rPr>
      </w:pPr>
    </w:p>
    <w:p w14:paraId="258CB12B" w14:textId="77777777" w:rsidR="0018433B" w:rsidRPr="00AA14EA" w:rsidRDefault="0018433B" w:rsidP="0018433B">
      <w:pPr>
        <w:ind w:left="720" w:right="720"/>
        <w:rPr>
          <w:szCs w:val="28"/>
        </w:rPr>
      </w:pPr>
      <w:proofErr w:type="spellStart"/>
      <w:r>
        <w:rPr>
          <w:i/>
          <w:iCs/>
          <w:szCs w:val="28"/>
        </w:rPr>
        <w:t>ṭū</w:t>
      </w:r>
      <w:r w:rsidRPr="00AA14EA">
        <w:rPr>
          <w:i/>
          <w:iCs/>
          <w:szCs w:val="28"/>
        </w:rPr>
        <w:t>b</w:t>
      </w:r>
      <w:r>
        <w:rPr>
          <w:i/>
          <w:iCs/>
          <w:szCs w:val="28"/>
        </w:rPr>
        <w:t>ē</w:t>
      </w:r>
      <w:r w:rsidRPr="00AA14EA">
        <w:rPr>
          <w:i/>
          <w:iCs/>
          <w:szCs w:val="28"/>
        </w:rPr>
        <w:t>h</w:t>
      </w:r>
      <w:r>
        <w:rPr>
          <w:i/>
          <w:iCs/>
          <w:szCs w:val="28"/>
        </w:rPr>
        <w:t>ō</w:t>
      </w:r>
      <w:r w:rsidRPr="00AA14EA">
        <w:rPr>
          <w:i/>
          <w:iCs/>
          <w:szCs w:val="28"/>
        </w:rPr>
        <w:t>n</w:t>
      </w:r>
      <w:proofErr w:type="spellEnd"/>
      <w:r w:rsidRPr="00AA14EA">
        <w:rPr>
          <w:i/>
          <w:iCs/>
          <w:szCs w:val="28"/>
        </w:rPr>
        <w:t xml:space="preserve"> </w:t>
      </w:r>
      <w:proofErr w:type="spellStart"/>
      <w:r w:rsidRPr="00AA14EA">
        <w:rPr>
          <w:i/>
          <w:iCs/>
          <w:szCs w:val="28"/>
        </w:rPr>
        <w:t>mísk</w:t>
      </w:r>
      <w:r w:rsidRPr="00697288">
        <w:rPr>
          <w:i/>
          <w:iCs/>
          <w:szCs w:val="28"/>
          <w:vertAlign w:val="superscript"/>
        </w:rPr>
        <w:t>e</w:t>
      </w:r>
      <w:r>
        <w:rPr>
          <w:i/>
          <w:iCs/>
          <w:szCs w:val="28"/>
        </w:rPr>
        <w:t>n</w:t>
      </w:r>
      <w:r w:rsidRPr="00AA14EA">
        <w:rPr>
          <w:i/>
          <w:iCs/>
          <w:szCs w:val="28"/>
        </w:rPr>
        <w:t>ayy</w:t>
      </w:r>
      <w:r>
        <w:rPr>
          <w:i/>
          <w:iCs/>
          <w:szCs w:val="28"/>
        </w:rPr>
        <w:t>ā</w:t>
      </w:r>
      <w:proofErr w:type="spellEnd"/>
      <w:r w:rsidRPr="00AA14EA">
        <w:rPr>
          <w:iCs/>
          <w:szCs w:val="28"/>
        </w:rPr>
        <w:t xml:space="preserve"> [</w:t>
      </w:r>
      <w:proofErr w:type="spellStart"/>
      <w:r>
        <w:rPr>
          <w:i/>
          <w:iCs/>
          <w:szCs w:val="28"/>
        </w:rPr>
        <w:t>b</w:t>
      </w:r>
      <w:r w:rsidRPr="00697288">
        <w:rPr>
          <w:i/>
          <w:iCs/>
          <w:szCs w:val="28"/>
          <w:vertAlign w:val="superscript"/>
        </w:rPr>
        <w:t>e</w:t>
      </w:r>
      <w:r w:rsidRPr="00AA14EA">
        <w:rPr>
          <w:i/>
          <w:iCs/>
          <w:szCs w:val="28"/>
        </w:rPr>
        <w:t>r</w:t>
      </w:r>
      <w:r>
        <w:rPr>
          <w:i/>
          <w:iCs/>
          <w:szCs w:val="28"/>
        </w:rPr>
        <w:t>uḥā</w:t>
      </w:r>
      <w:proofErr w:type="spellEnd"/>
      <w:r w:rsidRPr="00AA14EA">
        <w:rPr>
          <w:iCs/>
          <w:szCs w:val="28"/>
        </w:rPr>
        <w:t>]</w:t>
      </w:r>
    </w:p>
    <w:p w14:paraId="21757C97" w14:textId="77777777" w:rsidR="0018433B" w:rsidRDefault="0018433B" w:rsidP="0018433B">
      <w:pPr>
        <w:ind w:left="720" w:right="720"/>
        <w:rPr>
          <w:szCs w:val="28"/>
        </w:rPr>
      </w:pPr>
      <w:r w:rsidRPr="00AA14EA">
        <w:rPr>
          <w:szCs w:val="28"/>
        </w:rPr>
        <w:t>Their happiness the poor (in spirit)</w:t>
      </w:r>
    </w:p>
    <w:p w14:paraId="333968A6" w14:textId="77777777" w:rsidR="0018433B" w:rsidRPr="00697288" w:rsidRDefault="0018433B" w:rsidP="0018433B">
      <w:pPr>
        <w:ind w:left="720" w:right="720"/>
        <w:rPr>
          <w:i/>
          <w:szCs w:val="28"/>
        </w:rPr>
      </w:pPr>
      <w:proofErr w:type="spellStart"/>
      <w:r>
        <w:rPr>
          <w:i/>
          <w:szCs w:val="28"/>
        </w:rPr>
        <w:t>d</w:t>
      </w:r>
      <w:r w:rsidRPr="00074818">
        <w:rPr>
          <w:i/>
          <w:szCs w:val="28"/>
          <w:vertAlign w:val="superscript"/>
        </w:rPr>
        <w:t>e</w:t>
      </w:r>
      <w:r>
        <w:rPr>
          <w:i/>
          <w:szCs w:val="28"/>
        </w:rPr>
        <w:t>dīl</w:t>
      </w:r>
      <w:r w:rsidRPr="00074818">
        <w:rPr>
          <w:i/>
          <w:szCs w:val="28"/>
          <w:vertAlign w:val="superscript"/>
        </w:rPr>
        <w:t>e</w:t>
      </w:r>
      <w:r>
        <w:rPr>
          <w:i/>
          <w:szCs w:val="28"/>
        </w:rPr>
        <w:t>hōn</w:t>
      </w:r>
      <w:proofErr w:type="spellEnd"/>
      <w:r>
        <w:rPr>
          <w:i/>
          <w:szCs w:val="28"/>
        </w:rPr>
        <w:t xml:space="preserve"> </w:t>
      </w:r>
      <w:proofErr w:type="spellStart"/>
      <w:r>
        <w:rPr>
          <w:i/>
          <w:szCs w:val="28"/>
        </w:rPr>
        <w:t>malkūtā</w:t>
      </w:r>
      <w:proofErr w:type="spellEnd"/>
      <w:r>
        <w:rPr>
          <w:i/>
          <w:szCs w:val="28"/>
        </w:rPr>
        <w:t xml:space="preserve"> </w:t>
      </w:r>
      <w:proofErr w:type="spellStart"/>
      <w:r>
        <w:rPr>
          <w:i/>
          <w:szCs w:val="28"/>
        </w:rPr>
        <w:t>dis´mayyā</w:t>
      </w:r>
      <w:proofErr w:type="spellEnd"/>
    </w:p>
    <w:p w14:paraId="3C708032" w14:textId="77777777" w:rsidR="0018433B" w:rsidRDefault="0018433B" w:rsidP="0018433B">
      <w:pPr>
        <w:ind w:left="720" w:right="720"/>
        <w:rPr>
          <w:szCs w:val="28"/>
        </w:rPr>
      </w:pPr>
      <w:r w:rsidRPr="00AA14EA">
        <w:rPr>
          <w:szCs w:val="28"/>
        </w:rPr>
        <w:t>for theirs (is) the kingdom of heaven.</w:t>
      </w:r>
    </w:p>
    <w:p w14:paraId="42F2DA7A" w14:textId="77777777" w:rsidR="0018433B" w:rsidRPr="00074818" w:rsidRDefault="0018433B" w:rsidP="0018433B">
      <w:pPr>
        <w:ind w:left="720" w:right="720"/>
        <w:rPr>
          <w:i/>
          <w:szCs w:val="28"/>
        </w:rPr>
      </w:pPr>
      <w:proofErr w:type="spellStart"/>
      <w:r>
        <w:rPr>
          <w:i/>
          <w:szCs w:val="28"/>
        </w:rPr>
        <w:t>ṭūbēhōn</w:t>
      </w:r>
      <w:proofErr w:type="spellEnd"/>
      <w:r>
        <w:rPr>
          <w:i/>
          <w:szCs w:val="28"/>
        </w:rPr>
        <w:t xml:space="preserve"> </w:t>
      </w:r>
      <w:proofErr w:type="spellStart"/>
      <w:r>
        <w:rPr>
          <w:i/>
          <w:szCs w:val="28"/>
        </w:rPr>
        <w:t>d</w:t>
      </w:r>
      <w:r w:rsidRPr="00074818">
        <w:rPr>
          <w:i/>
          <w:szCs w:val="28"/>
          <w:vertAlign w:val="superscript"/>
        </w:rPr>
        <w:t>e</w:t>
      </w:r>
      <w:r>
        <w:rPr>
          <w:i/>
          <w:szCs w:val="28"/>
        </w:rPr>
        <w:t>mitabb</w:t>
      </w:r>
      <w:r w:rsidRPr="00074818">
        <w:rPr>
          <w:i/>
          <w:szCs w:val="28"/>
          <w:vertAlign w:val="superscript"/>
        </w:rPr>
        <w:t>e</w:t>
      </w:r>
      <w:r>
        <w:rPr>
          <w:i/>
          <w:szCs w:val="28"/>
        </w:rPr>
        <w:t>līn</w:t>
      </w:r>
      <w:proofErr w:type="spellEnd"/>
    </w:p>
    <w:p w14:paraId="79B44BC4" w14:textId="77777777" w:rsidR="0018433B" w:rsidRDefault="0018433B" w:rsidP="0018433B">
      <w:pPr>
        <w:ind w:left="720" w:right="720"/>
        <w:rPr>
          <w:szCs w:val="28"/>
        </w:rPr>
      </w:pPr>
      <w:r w:rsidRPr="00AA14EA">
        <w:rPr>
          <w:szCs w:val="28"/>
        </w:rPr>
        <w:t>Their happiness that (are) mourning,</w:t>
      </w:r>
    </w:p>
    <w:p w14:paraId="14CB890E" w14:textId="77777777" w:rsidR="0018433B" w:rsidRPr="001E0983" w:rsidRDefault="0018433B" w:rsidP="0018433B">
      <w:pPr>
        <w:ind w:left="720" w:right="720"/>
        <w:rPr>
          <w:i/>
          <w:szCs w:val="28"/>
        </w:rPr>
      </w:pPr>
      <w:proofErr w:type="spellStart"/>
      <w:r>
        <w:rPr>
          <w:i/>
          <w:szCs w:val="28"/>
        </w:rPr>
        <w:t>d</w:t>
      </w:r>
      <w:r w:rsidRPr="001E0983">
        <w:rPr>
          <w:i/>
          <w:szCs w:val="28"/>
          <w:vertAlign w:val="superscript"/>
        </w:rPr>
        <w:t>e</w:t>
      </w:r>
      <w:r>
        <w:rPr>
          <w:i/>
          <w:szCs w:val="28"/>
        </w:rPr>
        <w:t>hinūn</w:t>
      </w:r>
      <w:proofErr w:type="spellEnd"/>
      <w:r>
        <w:rPr>
          <w:i/>
          <w:szCs w:val="28"/>
        </w:rPr>
        <w:t xml:space="preserve"> </w:t>
      </w:r>
      <w:proofErr w:type="spellStart"/>
      <w:r>
        <w:rPr>
          <w:i/>
          <w:szCs w:val="28"/>
        </w:rPr>
        <w:t>mitnāh</w:t>
      </w:r>
      <w:r w:rsidRPr="001E0983">
        <w:rPr>
          <w:i/>
          <w:szCs w:val="28"/>
          <w:vertAlign w:val="superscript"/>
        </w:rPr>
        <w:t>a</w:t>
      </w:r>
      <w:r>
        <w:rPr>
          <w:i/>
          <w:szCs w:val="28"/>
        </w:rPr>
        <w:t>mīn</w:t>
      </w:r>
      <w:proofErr w:type="spellEnd"/>
    </w:p>
    <w:p w14:paraId="5F559276" w14:textId="77777777" w:rsidR="0018433B" w:rsidRDefault="0018433B" w:rsidP="0018433B">
      <w:pPr>
        <w:ind w:left="720" w:right="720"/>
        <w:rPr>
          <w:szCs w:val="28"/>
        </w:rPr>
      </w:pPr>
      <w:r w:rsidRPr="00AA14EA">
        <w:rPr>
          <w:szCs w:val="28"/>
        </w:rPr>
        <w:t>for they (shall be) comforted.</w:t>
      </w:r>
    </w:p>
    <w:p w14:paraId="70E0916E" w14:textId="77777777" w:rsidR="0018433B" w:rsidRPr="00B51286" w:rsidRDefault="0018433B" w:rsidP="0018433B">
      <w:pPr>
        <w:ind w:left="720" w:right="720"/>
        <w:rPr>
          <w:i/>
          <w:szCs w:val="28"/>
        </w:rPr>
      </w:pPr>
      <w:proofErr w:type="spellStart"/>
      <w:r>
        <w:rPr>
          <w:i/>
          <w:szCs w:val="28"/>
        </w:rPr>
        <w:t>ṭūbēhōn</w:t>
      </w:r>
      <w:proofErr w:type="spellEnd"/>
      <w:r>
        <w:rPr>
          <w:i/>
          <w:szCs w:val="28"/>
        </w:rPr>
        <w:t xml:space="preserve"> `</w:t>
      </w:r>
      <w:proofErr w:type="spellStart"/>
      <w:r>
        <w:rPr>
          <w:i/>
          <w:szCs w:val="28"/>
        </w:rPr>
        <w:t>inwānayyā</w:t>
      </w:r>
      <w:proofErr w:type="spellEnd"/>
    </w:p>
    <w:p w14:paraId="72381D9F" w14:textId="77777777" w:rsidR="0018433B" w:rsidRDefault="0018433B" w:rsidP="0018433B">
      <w:pPr>
        <w:ind w:left="720" w:right="720"/>
        <w:rPr>
          <w:szCs w:val="28"/>
        </w:rPr>
      </w:pPr>
      <w:r w:rsidRPr="00AA14EA">
        <w:rPr>
          <w:szCs w:val="28"/>
        </w:rPr>
        <w:t>Their happiness the meek,</w:t>
      </w:r>
    </w:p>
    <w:p w14:paraId="6DD555EB" w14:textId="77777777" w:rsidR="0018433B" w:rsidRPr="00AA14EA" w:rsidRDefault="0018433B" w:rsidP="0018433B">
      <w:pPr>
        <w:ind w:left="720" w:right="720"/>
        <w:rPr>
          <w:szCs w:val="28"/>
        </w:rPr>
      </w:pPr>
      <w:proofErr w:type="spellStart"/>
      <w:r>
        <w:rPr>
          <w:i/>
          <w:szCs w:val="28"/>
        </w:rPr>
        <w:t>d</w:t>
      </w:r>
      <w:r w:rsidRPr="001E0983">
        <w:rPr>
          <w:i/>
          <w:szCs w:val="28"/>
          <w:vertAlign w:val="superscript"/>
        </w:rPr>
        <w:t>e</w:t>
      </w:r>
      <w:r>
        <w:rPr>
          <w:i/>
          <w:szCs w:val="28"/>
        </w:rPr>
        <w:t>hinūn</w:t>
      </w:r>
      <w:proofErr w:type="spellEnd"/>
      <w:r>
        <w:rPr>
          <w:i/>
          <w:szCs w:val="28"/>
        </w:rPr>
        <w:t xml:space="preserve"> </w:t>
      </w:r>
      <w:proofErr w:type="spellStart"/>
      <w:r>
        <w:rPr>
          <w:i/>
          <w:szCs w:val="28"/>
        </w:rPr>
        <w:t>yēr</w:t>
      </w:r>
      <w:r w:rsidRPr="00B51286">
        <w:rPr>
          <w:i/>
          <w:szCs w:val="28"/>
          <w:vertAlign w:val="superscript"/>
        </w:rPr>
        <w:t>e</w:t>
      </w:r>
      <w:r>
        <w:rPr>
          <w:i/>
          <w:szCs w:val="28"/>
        </w:rPr>
        <w:t>tūn</w:t>
      </w:r>
      <w:proofErr w:type="spellEnd"/>
      <w:r>
        <w:rPr>
          <w:i/>
          <w:szCs w:val="28"/>
        </w:rPr>
        <w:t xml:space="preserve"> </w:t>
      </w:r>
      <w:proofErr w:type="spellStart"/>
      <w:r>
        <w:rPr>
          <w:i/>
          <w:szCs w:val="28"/>
        </w:rPr>
        <w:t>l</w:t>
      </w:r>
      <w:r w:rsidRPr="00B51286">
        <w:rPr>
          <w:i/>
          <w:szCs w:val="28"/>
          <w:vertAlign w:val="superscript"/>
        </w:rPr>
        <w:t>e</w:t>
      </w:r>
      <w:r>
        <w:rPr>
          <w:i/>
          <w:szCs w:val="28"/>
        </w:rPr>
        <w:t>´ar´ā</w:t>
      </w:r>
      <w:proofErr w:type="spellEnd"/>
    </w:p>
    <w:p w14:paraId="2C4E0DA3" w14:textId="77777777" w:rsidR="0018433B" w:rsidRDefault="0018433B" w:rsidP="0018433B">
      <w:pPr>
        <w:ind w:left="720" w:right="720"/>
        <w:rPr>
          <w:szCs w:val="28"/>
        </w:rPr>
      </w:pPr>
      <w:r w:rsidRPr="00AA14EA">
        <w:rPr>
          <w:szCs w:val="28"/>
        </w:rPr>
        <w:t>for they shall inherit the earth.</w:t>
      </w:r>
    </w:p>
    <w:p w14:paraId="496DE408" w14:textId="77777777" w:rsidR="0018433B" w:rsidRDefault="0018433B" w:rsidP="0018433B">
      <w:pPr>
        <w:ind w:left="720" w:right="720"/>
        <w:rPr>
          <w:iCs/>
        </w:rPr>
      </w:pPr>
      <w:proofErr w:type="spellStart"/>
      <w:r>
        <w:rPr>
          <w:i/>
          <w:szCs w:val="28"/>
        </w:rPr>
        <w:t>ṭūbēhōn</w:t>
      </w:r>
      <w:proofErr w:type="spellEnd"/>
      <w:r>
        <w:rPr>
          <w:i/>
          <w:szCs w:val="28"/>
        </w:rPr>
        <w:t xml:space="preserve"> </w:t>
      </w:r>
      <w:proofErr w:type="spellStart"/>
      <w:r>
        <w:rPr>
          <w:i/>
          <w:szCs w:val="28"/>
        </w:rPr>
        <w:t>d</w:t>
      </w:r>
      <w:r w:rsidRPr="00B51286">
        <w:rPr>
          <w:i/>
          <w:szCs w:val="28"/>
          <w:vertAlign w:val="superscript"/>
        </w:rPr>
        <w:t>e</w:t>
      </w:r>
      <w:r>
        <w:rPr>
          <w:i/>
          <w:szCs w:val="28"/>
        </w:rPr>
        <w:t>kāph</w:t>
      </w:r>
      <w:r w:rsidRPr="00B51286">
        <w:rPr>
          <w:i/>
          <w:szCs w:val="28"/>
          <w:vertAlign w:val="superscript"/>
        </w:rPr>
        <w:t>e</w:t>
      </w:r>
      <w:r>
        <w:rPr>
          <w:i/>
          <w:szCs w:val="28"/>
        </w:rPr>
        <w:t>nīn</w:t>
      </w:r>
      <w:proofErr w:type="spellEnd"/>
      <w:r>
        <w:rPr>
          <w:i/>
          <w:szCs w:val="28"/>
        </w:rPr>
        <w:t xml:space="preserve"> </w:t>
      </w:r>
      <w:proofErr w:type="spellStart"/>
      <w:r>
        <w:rPr>
          <w:i/>
          <w:szCs w:val="28"/>
        </w:rPr>
        <w:t>we</w:t>
      </w:r>
      <w:r w:rsidRPr="00B51286">
        <w:rPr>
          <w:i/>
          <w:iCs/>
        </w:rPr>
        <w:t>ṣ</w:t>
      </w:r>
      <w:r>
        <w:rPr>
          <w:i/>
          <w:szCs w:val="28"/>
        </w:rPr>
        <w:t>a</w:t>
      </w:r>
      <w:r w:rsidRPr="00B51286">
        <w:rPr>
          <w:i/>
          <w:iCs/>
        </w:rPr>
        <w:t>ḥ</w:t>
      </w:r>
      <w:r>
        <w:rPr>
          <w:i/>
          <w:iCs/>
        </w:rPr>
        <w:t>ayin</w:t>
      </w:r>
      <w:proofErr w:type="spellEnd"/>
      <w:r>
        <w:rPr>
          <w:iCs/>
        </w:rPr>
        <w:t xml:space="preserve"> [</w:t>
      </w:r>
      <w:proofErr w:type="spellStart"/>
      <w:r w:rsidRPr="00B51286">
        <w:rPr>
          <w:i/>
          <w:iCs/>
        </w:rPr>
        <w:t>l</w:t>
      </w:r>
      <w:r w:rsidRPr="00B51286">
        <w:rPr>
          <w:i/>
          <w:iCs/>
          <w:vertAlign w:val="superscript"/>
        </w:rPr>
        <w:t>e</w:t>
      </w:r>
      <w:r w:rsidRPr="00B51286">
        <w:rPr>
          <w:i/>
          <w:iCs/>
        </w:rPr>
        <w:t>ṣid</w:t>
      </w:r>
      <w:r w:rsidRPr="00B51286">
        <w:rPr>
          <w:i/>
        </w:rPr>
        <w:t>ḳā</w:t>
      </w:r>
      <w:proofErr w:type="spellEnd"/>
      <w:r>
        <w:rPr>
          <w:iCs/>
        </w:rPr>
        <w:t>]</w:t>
      </w:r>
    </w:p>
    <w:p w14:paraId="17D1DB21" w14:textId="77777777" w:rsidR="0018433B" w:rsidRPr="00AA14EA" w:rsidRDefault="0018433B" w:rsidP="0018433B">
      <w:pPr>
        <w:ind w:left="720" w:right="720"/>
        <w:rPr>
          <w:szCs w:val="28"/>
        </w:rPr>
      </w:pPr>
      <w:r w:rsidRPr="00AA14EA">
        <w:rPr>
          <w:szCs w:val="28"/>
        </w:rPr>
        <w:t>Their happiness that (are) hungering and thirsting (for righteousness),</w:t>
      </w:r>
    </w:p>
    <w:p w14:paraId="68D03AC1" w14:textId="77777777" w:rsidR="0018433B" w:rsidRPr="00AA14EA" w:rsidRDefault="0018433B" w:rsidP="0018433B">
      <w:pPr>
        <w:ind w:left="720" w:right="720"/>
        <w:rPr>
          <w:szCs w:val="28"/>
        </w:rPr>
      </w:pPr>
      <w:proofErr w:type="spellStart"/>
      <w:r>
        <w:rPr>
          <w:i/>
          <w:szCs w:val="28"/>
        </w:rPr>
        <w:lastRenderedPageBreak/>
        <w:t>d</w:t>
      </w:r>
      <w:r w:rsidRPr="001E0983">
        <w:rPr>
          <w:i/>
          <w:szCs w:val="28"/>
          <w:vertAlign w:val="superscript"/>
        </w:rPr>
        <w:t>e</w:t>
      </w:r>
      <w:r>
        <w:rPr>
          <w:i/>
          <w:szCs w:val="28"/>
        </w:rPr>
        <w:t>hinūn</w:t>
      </w:r>
      <w:proofErr w:type="spellEnd"/>
      <w:r>
        <w:rPr>
          <w:i/>
          <w:szCs w:val="28"/>
        </w:rPr>
        <w:t xml:space="preserve"> </w:t>
      </w:r>
      <w:proofErr w:type="spellStart"/>
      <w:r w:rsidRPr="00AA14EA">
        <w:rPr>
          <w:i/>
          <w:iCs/>
          <w:szCs w:val="28"/>
        </w:rPr>
        <w:t>mitm</w:t>
      </w:r>
      <w:r w:rsidRPr="00AA14EA">
        <w:rPr>
          <w:i/>
          <w:iCs/>
          <w:szCs w:val="28"/>
          <w:vertAlign w:val="superscript"/>
        </w:rPr>
        <w:t>e</w:t>
      </w:r>
      <w:r w:rsidRPr="00AA14EA">
        <w:rPr>
          <w:i/>
          <w:iCs/>
          <w:szCs w:val="28"/>
        </w:rPr>
        <w:t>láyin</w:t>
      </w:r>
      <w:proofErr w:type="spellEnd"/>
    </w:p>
    <w:p w14:paraId="176B000B" w14:textId="77777777" w:rsidR="0018433B" w:rsidRDefault="0018433B" w:rsidP="0018433B">
      <w:pPr>
        <w:ind w:left="720" w:right="720"/>
        <w:rPr>
          <w:szCs w:val="28"/>
        </w:rPr>
      </w:pPr>
      <w:r w:rsidRPr="00AA14EA">
        <w:rPr>
          <w:szCs w:val="28"/>
        </w:rPr>
        <w:t>for they (shall be) filled.</w:t>
      </w:r>
    </w:p>
    <w:p w14:paraId="7EED581F" w14:textId="77777777" w:rsidR="0018433B" w:rsidRPr="00AA14EA" w:rsidRDefault="0018433B" w:rsidP="0018433B">
      <w:pPr>
        <w:ind w:left="720" w:right="720"/>
        <w:rPr>
          <w:szCs w:val="28"/>
        </w:rPr>
      </w:pPr>
      <w:proofErr w:type="spellStart"/>
      <w:r>
        <w:rPr>
          <w:i/>
          <w:szCs w:val="28"/>
        </w:rPr>
        <w:t>ṭūbēhōn</w:t>
      </w:r>
      <w:proofErr w:type="spellEnd"/>
      <w:r>
        <w:rPr>
          <w:i/>
          <w:szCs w:val="28"/>
        </w:rPr>
        <w:t xml:space="preserve"> </w:t>
      </w:r>
      <w:proofErr w:type="spellStart"/>
      <w:r>
        <w:rPr>
          <w:i/>
          <w:szCs w:val="28"/>
        </w:rPr>
        <w:t>ra</w:t>
      </w:r>
      <w:r w:rsidRPr="00621D4F">
        <w:rPr>
          <w:i/>
          <w:iCs/>
        </w:rPr>
        <w:t>ḥ</w:t>
      </w:r>
      <w:r>
        <w:rPr>
          <w:i/>
          <w:iCs/>
        </w:rPr>
        <w:t>mānayyā</w:t>
      </w:r>
      <w:proofErr w:type="spellEnd"/>
    </w:p>
    <w:p w14:paraId="725A8AF4" w14:textId="77777777" w:rsidR="0018433B" w:rsidRDefault="0018433B" w:rsidP="0018433B">
      <w:pPr>
        <w:ind w:left="720" w:right="720"/>
        <w:rPr>
          <w:szCs w:val="28"/>
        </w:rPr>
      </w:pPr>
      <w:r w:rsidRPr="00AA14EA">
        <w:rPr>
          <w:szCs w:val="28"/>
        </w:rPr>
        <w:t>Their happiness the merciful,</w:t>
      </w:r>
    </w:p>
    <w:p w14:paraId="1691AFD9" w14:textId="77777777" w:rsidR="0018433B" w:rsidRPr="00621D4F" w:rsidRDefault="0018433B" w:rsidP="0018433B">
      <w:pPr>
        <w:ind w:left="720" w:right="720"/>
        <w:rPr>
          <w:i/>
          <w:szCs w:val="28"/>
        </w:rPr>
      </w:pPr>
      <w:proofErr w:type="spellStart"/>
      <w:r>
        <w:rPr>
          <w:i/>
          <w:szCs w:val="28"/>
        </w:rPr>
        <w:t>da</w:t>
      </w:r>
      <w:r w:rsidRPr="00621D4F">
        <w:rPr>
          <w:szCs w:val="28"/>
        </w:rPr>
        <w:t>´</w:t>
      </w:r>
      <w:r w:rsidRPr="00621D4F">
        <w:rPr>
          <w:i/>
          <w:szCs w:val="28"/>
          <w:vertAlign w:val="superscript"/>
        </w:rPr>
        <w:t>a</w:t>
      </w:r>
      <w:r>
        <w:rPr>
          <w:i/>
          <w:szCs w:val="28"/>
        </w:rPr>
        <w:t>lēhōn</w:t>
      </w:r>
      <w:proofErr w:type="spellEnd"/>
      <w:r>
        <w:rPr>
          <w:i/>
          <w:szCs w:val="28"/>
        </w:rPr>
        <w:t xml:space="preserve"> </w:t>
      </w:r>
      <w:proofErr w:type="spellStart"/>
      <w:r>
        <w:rPr>
          <w:i/>
          <w:szCs w:val="28"/>
        </w:rPr>
        <w:t>hāwayin</w:t>
      </w:r>
      <w:proofErr w:type="spellEnd"/>
      <w:r>
        <w:rPr>
          <w:i/>
          <w:szCs w:val="28"/>
        </w:rPr>
        <w:t xml:space="preserve"> </w:t>
      </w:r>
      <w:proofErr w:type="spellStart"/>
      <w:r>
        <w:rPr>
          <w:i/>
          <w:szCs w:val="28"/>
        </w:rPr>
        <w:t>ra</w:t>
      </w:r>
      <w:r w:rsidRPr="00621D4F">
        <w:rPr>
          <w:i/>
          <w:iCs/>
        </w:rPr>
        <w:t>ḥ</w:t>
      </w:r>
      <w:r>
        <w:rPr>
          <w:i/>
          <w:iCs/>
        </w:rPr>
        <w:t>mayyā</w:t>
      </w:r>
      <w:proofErr w:type="spellEnd"/>
    </w:p>
    <w:p w14:paraId="6E13DF63" w14:textId="77777777" w:rsidR="0018433B" w:rsidRDefault="0018433B" w:rsidP="0018433B">
      <w:pPr>
        <w:ind w:left="720" w:right="720"/>
        <w:rPr>
          <w:szCs w:val="28"/>
        </w:rPr>
      </w:pPr>
      <w:r w:rsidRPr="00AA14EA">
        <w:rPr>
          <w:szCs w:val="28"/>
        </w:rPr>
        <w:t>for upon them being the mercies.</w:t>
      </w:r>
    </w:p>
    <w:p w14:paraId="0B6DC4B7" w14:textId="77777777" w:rsidR="0018433B" w:rsidRPr="00AA14EA" w:rsidRDefault="0018433B" w:rsidP="0018433B">
      <w:pPr>
        <w:ind w:left="720" w:right="720"/>
        <w:rPr>
          <w:szCs w:val="28"/>
        </w:rPr>
      </w:pPr>
      <w:proofErr w:type="spellStart"/>
      <w:r>
        <w:rPr>
          <w:i/>
          <w:szCs w:val="28"/>
        </w:rPr>
        <w:t>ṭūbēhōn</w:t>
      </w:r>
      <w:proofErr w:type="spellEnd"/>
      <w:r>
        <w:rPr>
          <w:i/>
          <w:szCs w:val="28"/>
        </w:rPr>
        <w:t xml:space="preserve"> </w:t>
      </w:r>
      <w:proofErr w:type="spellStart"/>
      <w:r>
        <w:rPr>
          <w:i/>
          <w:szCs w:val="28"/>
        </w:rPr>
        <w:t>didkayin</w:t>
      </w:r>
      <w:proofErr w:type="spellEnd"/>
      <w:r>
        <w:rPr>
          <w:i/>
          <w:szCs w:val="28"/>
        </w:rPr>
        <w:t xml:space="preserve"> </w:t>
      </w:r>
      <w:proofErr w:type="spellStart"/>
      <w:r>
        <w:rPr>
          <w:i/>
          <w:szCs w:val="28"/>
        </w:rPr>
        <w:t>b</w:t>
      </w:r>
      <w:r w:rsidRPr="00621D4F">
        <w:rPr>
          <w:i/>
          <w:szCs w:val="28"/>
          <w:vertAlign w:val="superscript"/>
        </w:rPr>
        <w:t>e</w:t>
      </w:r>
      <w:r>
        <w:rPr>
          <w:i/>
          <w:szCs w:val="28"/>
        </w:rPr>
        <w:t>libbā</w:t>
      </w:r>
      <w:proofErr w:type="spellEnd"/>
    </w:p>
    <w:p w14:paraId="0D205BC1" w14:textId="77777777" w:rsidR="0018433B" w:rsidRDefault="0018433B" w:rsidP="0018433B">
      <w:pPr>
        <w:ind w:left="720" w:right="720"/>
        <w:rPr>
          <w:szCs w:val="28"/>
        </w:rPr>
      </w:pPr>
      <w:r w:rsidRPr="00AA14EA">
        <w:rPr>
          <w:szCs w:val="28"/>
        </w:rPr>
        <w:t>Their happiness that (are) pure in heart,</w:t>
      </w:r>
    </w:p>
    <w:p w14:paraId="2D6CA23A" w14:textId="77777777" w:rsidR="0018433B" w:rsidRDefault="0018433B" w:rsidP="0018433B">
      <w:pPr>
        <w:ind w:left="720" w:right="720"/>
        <w:rPr>
          <w:szCs w:val="28"/>
        </w:rPr>
      </w:pPr>
      <w:proofErr w:type="spellStart"/>
      <w:r>
        <w:rPr>
          <w:i/>
          <w:szCs w:val="28"/>
        </w:rPr>
        <w:t>d</w:t>
      </w:r>
      <w:r w:rsidRPr="001E0983">
        <w:rPr>
          <w:i/>
          <w:szCs w:val="28"/>
          <w:vertAlign w:val="superscript"/>
        </w:rPr>
        <w:t>e</w:t>
      </w:r>
      <w:r>
        <w:rPr>
          <w:i/>
          <w:szCs w:val="28"/>
        </w:rPr>
        <w:t>hinūn</w:t>
      </w:r>
      <w:proofErr w:type="spellEnd"/>
      <w:r>
        <w:rPr>
          <w:i/>
          <w:szCs w:val="28"/>
        </w:rPr>
        <w:t xml:space="preserve"> </w:t>
      </w:r>
      <w:proofErr w:type="spellStart"/>
      <w:r>
        <w:rPr>
          <w:i/>
          <w:szCs w:val="28"/>
        </w:rPr>
        <w:t>hāmayin</w:t>
      </w:r>
      <w:proofErr w:type="spellEnd"/>
      <w:r>
        <w:rPr>
          <w:i/>
          <w:szCs w:val="28"/>
        </w:rPr>
        <w:t xml:space="preserve"> </w:t>
      </w:r>
      <w:proofErr w:type="spellStart"/>
      <w:r>
        <w:rPr>
          <w:i/>
          <w:szCs w:val="28"/>
        </w:rPr>
        <w:t>lēlāhā</w:t>
      </w:r>
      <w:proofErr w:type="spellEnd"/>
    </w:p>
    <w:p w14:paraId="3B985DDE" w14:textId="77777777" w:rsidR="0018433B" w:rsidRDefault="0018433B" w:rsidP="0018433B">
      <w:pPr>
        <w:ind w:left="720" w:right="720"/>
        <w:rPr>
          <w:szCs w:val="28"/>
        </w:rPr>
      </w:pPr>
      <w:r w:rsidRPr="00AA14EA">
        <w:rPr>
          <w:szCs w:val="28"/>
        </w:rPr>
        <w:t>for they (shall be) seeing God.</w:t>
      </w:r>
    </w:p>
    <w:p w14:paraId="5F55DC79" w14:textId="77777777" w:rsidR="0018433B" w:rsidRPr="00AA14EA" w:rsidRDefault="0018433B" w:rsidP="0018433B">
      <w:pPr>
        <w:ind w:left="720" w:right="720"/>
        <w:rPr>
          <w:szCs w:val="28"/>
        </w:rPr>
      </w:pPr>
      <w:proofErr w:type="spellStart"/>
      <w:r>
        <w:rPr>
          <w:i/>
          <w:szCs w:val="28"/>
        </w:rPr>
        <w:t>ṭūbēhōn</w:t>
      </w:r>
      <w:proofErr w:type="spellEnd"/>
      <w:r>
        <w:rPr>
          <w:i/>
          <w:szCs w:val="28"/>
        </w:rPr>
        <w:t xml:space="preserve"> </w:t>
      </w:r>
      <w:proofErr w:type="spellStart"/>
      <w:r>
        <w:rPr>
          <w:i/>
          <w:szCs w:val="28"/>
        </w:rPr>
        <w:t>d</w:t>
      </w:r>
      <w:r w:rsidRPr="00621D4F">
        <w:rPr>
          <w:i/>
          <w:szCs w:val="28"/>
          <w:vertAlign w:val="superscript"/>
        </w:rPr>
        <w:t>e</w:t>
      </w:r>
      <w:r w:rsidRPr="00621D4F">
        <w:rPr>
          <w:szCs w:val="28"/>
        </w:rPr>
        <w:t>´</w:t>
      </w:r>
      <w:r>
        <w:rPr>
          <w:i/>
          <w:szCs w:val="28"/>
        </w:rPr>
        <w:t>ābedīn</w:t>
      </w:r>
      <w:proofErr w:type="spellEnd"/>
      <w:r>
        <w:rPr>
          <w:i/>
          <w:szCs w:val="28"/>
        </w:rPr>
        <w:t xml:space="preserve"> </w:t>
      </w:r>
      <w:proofErr w:type="spellStart"/>
      <w:r w:rsidRPr="00AA14EA">
        <w:rPr>
          <w:i/>
          <w:iCs/>
          <w:szCs w:val="28"/>
        </w:rPr>
        <w:t>š</w:t>
      </w:r>
      <w:r w:rsidRPr="00621D4F">
        <w:rPr>
          <w:i/>
          <w:iCs/>
          <w:szCs w:val="28"/>
          <w:vertAlign w:val="superscript"/>
        </w:rPr>
        <w:t>e</w:t>
      </w:r>
      <w:r>
        <w:rPr>
          <w:i/>
          <w:iCs/>
          <w:szCs w:val="28"/>
        </w:rPr>
        <w:t>lāmā</w:t>
      </w:r>
      <w:proofErr w:type="spellEnd"/>
    </w:p>
    <w:p w14:paraId="7BF7EB17" w14:textId="77777777" w:rsidR="0018433B" w:rsidRDefault="0018433B" w:rsidP="0018433B">
      <w:pPr>
        <w:ind w:left="720" w:right="720"/>
        <w:rPr>
          <w:szCs w:val="28"/>
        </w:rPr>
      </w:pPr>
      <w:r w:rsidRPr="00AA14EA">
        <w:rPr>
          <w:szCs w:val="28"/>
        </w:rPr>
        <w:t>Their happiness that (are) making peace,</w:t>
      </w:r>
    </w:p>
    <w:p w14:paraId="7102C917" w14:textId="77777777" w:rsidR="0018433B" w:rsidRPr="00AA14EA" w:rsidRDefault="0018433B" w:rsidP="0018433B">
      <w:pPr>
        <w:ind w:left="720" w:right="720"/>
        <w:rPr>
          <w:szCs w:val="28"/>
        </w:rPr>
      </w:pPr>
      <w:proofErr w:type="spellStart"/>
      <w:r w:rsidRPr="00AA14EA">
        <w:rPr>
          <w:i/>
          <w:iCs/>
          <w:szCs w:val="28"/>
        </w:rPr>
        <w:t>d</w:t>
      </w:r>
      <w:r w:rsidRPr="00AA14EA">
        <w:rPr>
          <w:i/>
          <w:iCs/>
          <w:szCs w:val="28"/>
          <w:vertAlign w:val="superscript"/>
        </w:rPr>
        <w:t>e</w:t>
      </w:r>
      <w:r w:rsidRPr="00AA14EA">
        <w:rPr>
          <w:i/>
          <w:iCs/>
          <w:szCs w:val="28"/>
        </w:rPr>
        <w:t>yit</w:t>
      </w:r>
      <w:r w:rsidRPr="00AA14EA">
        <w:rPr>
          <w:i/>
          <w:iCs/>
          <w:szCs w:val="28"/>
        </w:rPr>
        <w:fldChar w:fldCharType="begin"/>
      </w:r>
      <w:r w:rsidRPr="00AA14EA">
        <w:rPr>
          <w:i/>
          <w:iCs/>
          <w:szCs w:val="28"/>
        </w:rPr>
        <w:instrText>ADVANCE \d2</w:instrText>
      </w:r>
      <w:r w:rsidRPr="00AA14EA">
        <w:rPr>
          <w:i/>
          <w:iCs/>
          <w:szCs w:val="28"/>
        </w:rPr>
        <w:fldChar w:fldCharType="end"/>
      </w:r>
      <w:r w:rsidRPr="00AA14EA">
        <w:rPr>
          <w:i/>
          <w:iCs/>
          <w:szCs w:val="28"/>
        </w:rPr>
        <w:fldChar w:fldCharType="begin"/>
      </w:r>
      <w:r w:rsidRPr="00AA14EA">
        <w:rPr>
          <w:i/>
          <w:iCs/>
          <w:szCs w:val="28"/>
        </w:rPr>
        <w:instrText>ADVANCE \r1</w:instrText>
      </w:r>
      <w:r w:rsidRPr="00AA14EA">
        <w:rPr>
          <w:i/>
          <w:iCs/>
          <w:szCs w:val="28"/>
        </w:rPr>
        <w:fldChar w:fldCharType="end"/>
      </w:r>
      <w:r w:rsidRPr="00AA14EA">
        <w:rPr>
          <w:iCs/>
          <w:szCs w:val="28"/>
        </w:rPr>
        <w:t>.</w:t>
      </w:r>
      <w:r w:rsidRPr="00AA14EA">
        <w:rPr>
          <w:i/>
          <w:iCs/>
          <w:szCs w:val="28"/>
        </w:rPr>
        <w:fldChar w:fldCharType="begin"/>
      </w:r>
      <w:r w:rsidRPr="00AA14EA">
        <w:rPr>
          <w:i/>
          <w:iCs/>
          <w:szCs w:val="28"/>
        </w:rPr>
        <w:instrText>ADVANCE \l4</w:instrText>
      </w:r>
      <w:r w:rsidRPr="00AA14EA">
        <w:rPr>
          <w:i/>
          <w:iCs/>
          <w:szCs w:val="28"/>
        </w:rPr>
        <w:fldChar w:fldCharType="end"/>
      </w:r>
      <w:r w:rsidRPr="00AA14EA">
        <w:rPr>
          <w:i/>
          <w:iCs/>
          <w:szCs w:val="28"/>
        </w:rPr>
        <w:fldChar w:fldCharType="begin"/>
      </w:r>
      <w:r w:rsidRPr="00AA14EA">
        <w:rPr>
          <w:i/>
          <w:iCs/>
          <w:szCs w:val="28"/>
        </w:rPr>
        <w:instrText>ADVANCE \u2</w:instrText>
      </w:r>
      <w:r w:rsidRPr="00AA14EA">
        <w:rPr>
          <w:i/>
          <w:iCs/>
          <w:szCs w:val="28"/>
        </w:rPr>
        <w:fldChar w:fldCharType="end"/>
      </w:r>
      <w:r w:rsidRPr="00AA14EA">
        <w:rPr>
          <w:i/>
          <w:iCs/>
          <w:szCs w:val="28"/>
        </w:rPr>
        <w:t>k</w:t>
      </w:r>
      <w:r w:rsidRPr="00AA14EA">
        <w:rPr>
          <w:i/>
          <w:iCs/>
          <w:szCs w:val="28"/>
          <w:vertAlign w:val="superscript"/>
        </w:rPr>
        <w:t>e</w:t>
      </w:r>
      <w:r w:rsidRPr="00AA14EA">
        <w:rPr>
          <w:i/>
          <w:iCs/>
          <w:szCs w:val="28"/>
        </w:rPr>
        <w:t>r</w:t>
      </w:r>
      <w:r>
        <w:rPr>
          <w:i/>
          <w:iCs/>
          <w:szCs w:val="28"/>
        </w:rPr>
        <w:t>ō</w:t>
      </w:r>
      <w:r w:rsidRPr="00AA14EA">
        <w:rPr>
          <w:i/>
          <w:iCs/>
          <w:szCs w:val="28"/>
        </w:rPr>
        <w:t>n</w:t>
      </w:r>
      <w:proofErr w:type="spellEnd"/>
      <w:r w:rsidRPr="00AA14EA">
        <w:rPr>
          <w:i/>
          <w:iCs/>
          <w:szCs w:val="28"/>
        </w:rPr>
        <w:t xml:space="preserve"> </w:t>
      </w:r>
      <w:proofErr w:type="spellStart"/>
      <w:r w:rsidRPr="00AA14EA">
        <w:rPr>
          <w:i/>
          <w:iCs/>
          <w:szCs w:val="28"/>
        </w:rPr>
        <w:t>b</w:t>
      </w:r>
      <w:r w:rsidRPr="00AA14EA">
        <w:rPr>
          <w:i/>
          <w:iCs/>
          <w:szCs w:val="28"/>
          <w:vertAlign w:val="superscript"/>
        </w:rPr>
        <w:t>e</w:t>
      </w:r>
      <w:r w:rsidRPr="00AA14EA">
        <w:rPr>
          <w:i/>
          <w:iCs/>
          <w:szCs w:val="28"/>
        </w:rPr>
        <w:t>n</w:t>
      </w:r>
      <w:r>
        <w:rPr>
          <w:i/>
          <w:iCs/>
          <w:szCs w:val="28"/>
        </w:rPr>
        <w:t>ōy</w:t>
      </w:r>
      <w:proofErr w:type="spellEnd"/>
      <w:r>
        <w:rPr>
          <w:i/>
          <w:iCs/>
          <w:szCs w:val="28"/>
        </w:rPr>
        <w:t xml:space="preserve"> </w:t>
      </w:r>
      <w:proofErr w:type="spellStart"/>
      <w:r>
        <w:rPr>
          <w:i/>
          <w:iCs/>
          <w:szCs w:val="28"/>
        </w:rPr>
        <w:t>dēlāhā</w:t>
      </w:r>
      <w:proofErr w:type="spellEnd"/>
    </w:p>
    <w:p w14:paraId="12E95B63" w14:textId="77777777" w:rsidR="0018433B" w:rsidRDefault="0018433B" w:rsidP="0018433B">
      <w:pPr>
        <w:ind w:left="720" w:right="720"/>
        <w:rPr>
          <w:szCs w:val="28"/>
        </w:rPr>
      </w:pPr>
      <w:r w:rsidRPr="00AA14EA">
        <w:rPr>
          <w:szCs w:val="28"/>
        </w:rPr>
        <w:t>for they shall be called His sons of God.</w:t>
      </w:r>
    </w:p>
    <w:p w14:paraId="1D63AB53" w14:textId="77777777" w:rsidR="0018433B" w:rsidRPr="00AA14EA" w:rsidRDefault="0018433B" w:rsidP="0018433B">
      <w:pPr>
        <w:ind w:left="720" w:right="720"/>
        <w:rPr>
          <w:szCs w:val="28"/>
        </w:rPr>
      </w:pPr>
      <w:proofErr w:type="spellStart"/>
      <w:r>
        <w:rPr>
          <w:i/>
          <w:szCs w:val="28"/>
        </w:rPr>
        <w:t>ṭūbēhōn</w:t>
      </w:r>
      <w:proofErr w:type="spellEnd"/>
      <w:r>
        <w:rPr>
          <w:i/>
          <w:szCs w:val="28"/>
        </w:rPr>
        <w:t xml:space="preserve"> </w:t>
      </w:r>
      <w:proofErr w:type="spellStart"/>
      <w:r>
        <w:rPr>
          <w:i/>
          <w:szCs w:val="28"/>
        </w:rPr>
        <w:t>dirdīphīn</w:t>
      </w:r>
      <w:proofErr w:type="spellEnd"/>
      <w:r>
        <w:rPr>
          <w:i/>
          <w:szCs w:val="28"/>
        </w:rPr>
        <w:t xml:space="preserve"> </w:t>
      </w:r>
      <w:proofErr w:type="spellStart"/>
      <w:r>
        <w:rPr>
          <w:i/>
          <w:szCs w:val="28"/>
        </w:rPr>
        <w:t>b</w:t>
      </w:r>
      <w:r w:rsidRPr="00621D4F">
        <w:rPr>
          <w:i/>
          <w:szCs w:val="28"/>
          <w:vertAlign w:val="superscript"/>
        </w:rPr>
        <w:t>e</w:t>
      </w:r>
      <w:r>
        <w:rPr>
          <w:i/>
          <w:szCs w:val="28"/>
        </w:rPr>
        <w:t>gēn</w:t>
      </w:r>
      <w:proofErr w:type="spellEnd"/>
      <w:r>
        <w:rPr>
          <w:i/>
          <w:szCs w:val="28"/>
        </w:rPr>
        <w:t xml:space="preserve"> </w:t>
      </w:r>
      <w:proofErr w:type="spellStart"/>
      <w:r>
        <w:rPr>
          <w:i/>
          <w:szCs w:val="28"/>
        </w:rPr>
        <w:t>de</w:t>
      </w:r>
      <w:r w:rsidRPr="00621D4F">
        <w:rPr>
          <w:i/>
          <w:iCs/>
        </w:rPr>
        <w:t>ṣ</w:t>
      </w:r>
      <w:r>
        <w:rPr>
          <w:i/>
          <w:iCs/>
        </w:rPr>
        <w:t>idkā</w:t>
      </w:r>
      <w:proofErr w:type="spellEnd"/>
    </w:p>
    <w:p w14:paraId="13B05823" w14:textId="77777777" w:rsidR="0018433B" w:rsidRDefault="0018433B" w:rsidP="0018433B">
      <w:pPr>
        <w:ind w:left="720" w:right="720"/>
        <w:rPr>
          <w:szCs w:val="28"/>
        </w:rPr>
      </w:pPr>
      <w:r w:rsidRPr="00AA14EA">
        <w:rPr>
          <w:szCs w:val="28"/>
        </w:rPr>
        <w:t>Their happiness that (are) persecuted because of righteousness,</w:t>
      </w:r>
    </w:p>
    <w:p w14:paraId="6F31E70B" w14:textId="77777777" w:rsidR="0018433B" w:rsidRPr="00621D4F" w:rsidRDefault="0018433B" w:rsidP="0018433B">
      <w:pPr>
        <w:ind w:left="720" w:right="720"/>
        <w:rPr>
          <w:i/>
          <w:szCs w:val="28"/>
        </w:rPr>
      </w:pPr>
      <w:proofErr w:type="spellStart"/>
      <w:r>
        <w:rPr>
          <w:i/>
          <w:szCs w:val="28"/>
        </w:rPr>
        <w:t>d</w:t>
      </w:r>
      <w:r w:rsidRPr="00621D4F">
        <w:rPr>
          <w:i/>
          <w:szCs w:val="28"/>
          <w:vertAlign w:val="superscript"/>
        </w:rPr>
        <w:t>e</w:t>
      </w:r>
      <w:r>
        <w:rPr>
          <w:i/>
          <w:szCs w:val="28"/>
        </w:rPr>
        <w:t>dīl</w:t>
      </w:r>
      <w:r w:rsidRPr="00621D4F">
        <w:rPr>
          <w:i/>
          <w:szCs w:val="28"/>
          <w:vertAlign w:val="superscript"/>
        </w:rPr>
        <w:t>e</w:t>
      </w:r>
      <w:r>
        <w:rPr>
          <w:i/>
          <w:szCs w:val="28"/>
        </w:rPr>
        <w:t>hōn</w:t>
      </w:r>
      <w:proofErr w:type="spellEnd"/>
      <w:r>
        <w:rPr>
          <w:i/>
          <w:szCs w:val="28"/>
        </w:rPr>
        <w:t xml:space="preserve"> </w:t>
      </w:r>
      <w:proofErr w:type="spellStart"/>
      <w:r>
        <w:rPr>
          <w:i/>
          <w:szCs w:val="28"/>
        </w:rPr>
        <w:t>malkūtā</w:t>
      </w:r>
      <w:proofErr w:type="spellEnd"/>
      <w:r>
        <w:rPr>
          <w:i/>
          <w:szCs w:val="28"/>
        </w:rPr>
        <w:t xml:space="preserve"> </w:t>
      </w:r>
      <w:proofErr w:type="spellStart"/>
      <w:r>
        <w:rPr>
          <w:i/>
          <w:szCs w:val="28"/>
        </w:rPr>
        <w:t>di</w:t>
      </w:r>
      <w:r w:rsidRPr="00AA14EA">
        <w:rPr>
          <w:i/>
          <w:iCs/>
          <w:szCs w:val="28"/>
        </w:rPr>
        <w:t>š</w:t>
      </w:r>
      <w:r>
        <w:rPr>
          <w:i/>
          <w:iCs/>
          <w:szCs w:val="28"/>
        </w:rPr>
        <w:t>mayyā</w:t>
      </w:r>
      <w:proofErr w:type="spellEnd"/>
    </w:p>
    <w:p w14:paraId="687970E7" w14:textId="77777777" w:rsidR="0018433B" w:rsidRPr="00AA14EA" w:rsidRDefault="0018433B" w:rsidP="0018433B">
      <w:pPr>
        <w:ind w:left="720" w:right="720"/>
        <w:rPr>
          <w:szCs w:val="28"/>
        </w:rPr>
      </w:pPr>
      <w:r w:rsidRPr="00AA14EA">
        <w:rPr>
          <w:szCs w:val="28"/>
        </w:rPr>
        <w:t>for theirs (is) the kingdom of heaven.</w:t>
      </w:r>
      <w:r w:rsidRPr="00AA14EA">
        <w:rPr>
          <w:rStyle w:val="FootnoteReference"/>
          <w:szCs w:val="28"/>
        </w:rPr>
        <w:footnoteReference w:id="482"/>
      </w:r>
    </w:p>
    <w:p w14:paraId="15ED3AF1" w14:textId="77777777" w:rsidR="0018433B" w:rsidRPr="00AA14EA" w:rsidRDefault="0018433B" w:rsidP="0018433B">
      <w:pPr>
        <w:rPr>
          <w:szCs w:val="28"/>
        </w:rPr>
      </w:pPr>
    </w:p>
    <w:p w14:paraId="48FAEE0A" w14:textId="4B4A7B7D" w:rsidR="0018433B" w:rsidRPr="00AA14EA" w:rsidRDefault="0018433B" w:rsidP="0018433B">
      <w:pPr>
        <w:rPr>
          <w:szCs w:val="28"/>
        </w:rPr>
      </w:pPr>
      <w:r w:rsidRPr="00AA14EA">
        <w:rPr>
          <w:szCs w:val="28"/>
        </w:rPr>
        <w:tab/>
        <w:t>In the remaining passages of the sermon on the plain in which Burney de</w:t>
      </w:r>
      <w:r w:rsidRPr="00AA14EA">
        <w:rPr>
          <w:szCs w:val="28"/>
        </w:rPr>
        <w:softHyphen/>
        <w:t>tects underlying Aramaic rhythm</w:t>
      </w:r>
      <w:r w:rsidR="006F304D" w:rsidRPr="006F304D">
        <w:rPr>
          <w:szCs w:val="28"/>
        </w:rPr>
        <w:t xml:space="preserve">, </w:t>
      </w:r>
      <w:r w:rsidRPr="00AA14EA">
        <w:rPr>
          <w:szCs w:val="28"/>
        </w:rPr>
        <w:t>the cadence is always four-beat. He scans Luke 6:27-29 as follows:</w:t>
      </w:r>
    </w:p>
    <w:p w14:paraId="5D8AE234" w14:textId="77777777" w:rsidR="0018433B" w:rsidRDefault="0018433B" w:rsidP="0018433B">
      <w:pPr>
        <w:rPr>
          <w:szCs w:val="28"/>
        </w:rPr>
      </w:pPr>
    </w:p>
    <w:p w14:paraId="3414C64C" w14:textId="77777777" w:rsidR="0018433B" w:rsidRPr="0081358F" w:rsidRDefault="0018433B" w:rsidP="0018433B">
      <w:pPr>
        <w:ind w:left="720"/>
        <w:rPr>
          <w:i/>
          <w:szCs w:val="28"/>
        </w:rPr>
      </w:pPr>
      <w:proofErr w:type="spellStart"/>
      <w:r>
        <w:rPr>
          <w:i/>
          <w:szCs w:val="28"/>
        </w:rPr>
        <w:t>ra</w:t>
      </w:r>
      <w:r w:rsidRPr="0081358F">
        <w:rPr>
          <w:i/>
          <w:iCs/>
        </w:rPr>
        <w:t>ḥ</w:t>
      </w:r>
      <w:r w:rsidRPr="0081358F">
        <w:rPr>
          <w:i/>
          <w:iCs/>
          <w:vertAlign w:val="superscript"/>
        </w:rPr>
        <w:t>a</w:t>
      </w:r>
      <w:r>
        <w:rPr>
          <w:i/>
          <w:iCs/>
        </w:rPr>
        <w:t>mūn</w:t>
      </w:r>
      <w:proofErr w:type="spellEnd"/>
      <w:r>
        <w:rPr>
          <w:i/>
          <w:iCs/>
        </w:rPr>
        <w:t xml:space="preserve"> </w:t>
      </w:r>
      <w:proofErr w:type="spellStart"/>
      <w:r>
        <w:rPr>
          <w:i/>
          <w:iCs/>
        </w:rPr>
        <w:t>l</w:t>
      </w:r>
      <w:r w:rsidRPr="0081358F">
        <w:rPr>
          <w:i/>
          <w:iCs/>
          <w:vertAlign w:val="superscript"/>
        </w:rPr>
        <w:t>e</w:t>
      </w:r>
      <w:r>
        <w:rPr>
          <w:i/>
          <w:iCs/>
        </w:rPr>
        <w:t>ba</w:t>
      </w:r>
      <w:r w:rsidRPr="0081358F">
        <w:rPr>
          <w:iCs/>
        </w:rPr>
        <w:t>´</w:t>
      </w:r>
      <w:r w:rsidRPr="0081358F">
        <w:rPr>
          <w:i/>
          <w:iCs/>
          <w:vertAlign w:val="superscript"/>
        </w:rPr>
        <w:t>a</w:t>
      </w:r>
      <w:r>
        <w:rPr>
          <w:i/>
          <w:iCs/>
        </w:rPr>
        <w:t>lē</w:t>
      </w:r>
      <w:proofErr w:type="spellEnd"/>
      <w:r>
        <w:rPr>
          <w:i/>
          <w:iCs/>
        </w:rPr>
        <w:t xml:space="preserve"> </w:t>
      </w:r>
      <w:proofErr w:type="spellStart"/>
      <w:r>
        <w:rPr>
          <w:i/>
          <w:iCs/>
        </w:rPr>
        <w:t>d</w:t>
      </w:r>
      <w:r w:rsidRPr="0081358F">
        <w:rPr>
          <w:i/>
          <w:iCs/>
          <w:vertAlign w:val="superscript"/>
        </w:rPr>
        <w:t>e</w:t>
      </w:r>
      <w:r>
        <w:rPr>
          <w:i/>
          <w:iCs/>
        </w:rPr>
        <w:t>bābēkōn</w:t>
      </w:r>
      <w:proofErr w:type="spellEnd"/>
      <w:r>
        <w:rPr>
          <w:iCs/>
        </w:rPr>
        <w:tab/>
      </w:r>
      <w:r>
        <w:rPr>
          <w:iCs/>
        </w:rPr>
        <w:tab/>
      </w:r>
      <w:r>
        <w:rPr>
          <w:iCs/>
        </w:rPr>
        <w:tab/>
      </w:r>
      <w:proofErr w:type="spellStart"/>
      <w:r w:rsidRPr="0081358F">
        <w:rPr>
          <w:i/>
          <w:iCs/>
        </w:rPr>
        <w:t>ṭ</w:t>
      </w:r>
      <w:r>
        <w:rPr>
          <w:i/>
          <w:iCs/>
        </w:rPr>
        <w:t>ayy</w:t>
      </w:r>
      <w:r w:rsidRPr="0081358F">
        <w:rPr>
          <w:i/>
          <w:iCs/>
          <w:vertAlign w:val="superscript"/>
        </w:rPr>
        <w:t>e</w:t>
      </w:r>
      <w:r>
        <w:rPr>
          <w:i/>
          <w:iCs/>
        </w:rPr>
        <w:t>būn</w:t>
      </w:r>
      <w:proofErr w:type="spellEnd"/>
      <w:r>
        <w:rPr>
          <w:i/>
          <w:iCs/>
        </w:rPr>
        <w:t xml:space="preserve"> </w:t>
      </w:r>
      <w:proofErr w:type="spellStart"/>
      <w:r>
        <w:rPr>
          <w:i/>
          <w:iCs/>
        </w:rPr>
        <w:t>l</w:t>
      </w:r>
      <w:r w:rsidRPr="0081358F">
        <w:rPr>
          <w:i/>
          <w:iCs/>
          <w:vertAlign w:val="superscript"/>
        </w:rPr>
        <w:t>e</w:t>
      </w:r>
      <w:r>
        <w:rPr>
          <w:i/>
          <w:iCs/>
        </w:rPr>
        <w:t>sā</w:t>
      </w:r>
      <w:proofErr w:type="spellEnd"/>
      <w:r>
        <w:rPr>
          <w:i/>
          <w:iCs/>
        </w:rPr>
        <w:t xml:space="preserve"> </w:t>
      </w:r>
      <w:proofErr w:type="spellStart"/>
      <w:r>
        <w:rPr>
          <w:i/>
          <w:iCs/>
        </w:rPr>
        <w:t>n</w:t>
      </w:r>
      <w:r w:rsidRPr="0081358F">
        <w:rPr>
          <w:i/>
          <w:iCs/>
          <w:vertAlign w:val="superscript"/>
        </w:rPr>
        <w:t>e</w:t>
      </w:r>
      <w:r w:rsidRPr="0081358F">
        <w:rPr>
          <w:iCs/>
        </w:rPr>
        <w:t>´</w:t>
      </w:r>
      <w:r>
        <w:rPr>
          <w:i/>
          <w:iCs/>
        </w:rPr>
        <w:t>ēkōn</w:t>
      </w:r>
      <w:proofErr w:type="spellEnd"/>
    </w:p>
    <w:p w14:paraId="1C08308C" w14:textId="77777777" w:rsidR="0018433B" w:rsidRDefault="0018433B" w:rsidP="0018433B">
      <w:pPr>
        <w:ind w:left="720" w:right="720"/>
        <w:rPr>
          <w:szCs w:val="28"/>
        </w:rPr>
      </w:pPr>
      <w:r w:rsidRPr="00AA14EA">
        <w:rPr>
          <w:szCs w:val="28"/>
        </w:rPr>
        <w:t>Love your enemies</w:t>
      </w:r>
      <w:r w:rsidRPr="00AA14EA">
        <w:rPr>
          <w:szCs w:val="28"/>
        </w:rPr>
        <w:tab/>
      </w:r>
      <w:r w:rsidRPr="00AA14EA">
        <w:rPr>
          <w:szCs w:val="28"/>
        </w:rPr>
        <w:tab/>
      </w:r>
      <w:r>
        <w:rPr>
          <w:szCs w:val="28"/>
        </w:rPr>
        <w:tab/>
      </w:r>
      <w:r w:rsidRPr="00AA14EA">
        <w:rPr>
          <w:szCs w:val="28"/>
        </w:rPr>
        <w:tab/>
        <w:t>do good to your haters</w:t>
      </w:r>
    </w:p>
    <w:p w14:paraId="013B23A9" w14:textId="77777777" w:rsidR="0018433B" w:rsidRPr="0081358F" w:rsidRDefault="0018433B" w:rsidP="0018433B">
      <w:pPr>
        <w:ind w:left="720" w:right="720"/>
        <w:rPr>
          <w:i/>
          <w:szCs w:val="28"/>
        </w:rPr>
      </w:pPr>
      <w:proofErr w:type="spellStart"/>
      <w:r>
        <w:rPr>
          <w:i/>
          <w:szCs w:val="28"/>
        </w:rPr>
        <w:t>bār</w:t>
      </w:r>
      <w:r w:rsidRPr="0081358F">
        <w:rPr>
          <w:i/>
          <w:szCs w:val="28"/>
          <w:vertAlign w:val="superscript"/>
        </w:rPr>
        <w:t>e</w:t>
      </w:r>
      <w:r>
        <w:rPr>
          <w:i/>
          <w:szCs w:val="28"/>
        </w:rPr>
        <w:t>kūn</w:t>
      </w:r>
      <w:proofErr w:type="spellEnd"/>
      <w:r>
        <w:rPr>
          <w:i/>
          <w:szCs w:val="28"/>
        </w:rPr>
        <w:t xml:space="preserve"> </w:t>
      </w:r>
      <w:proofErr w:type="spellStart"/>
      <w:r>
        <w:rPr>
          <w:i/>
          <w:szCs w:val="28"/>
        </w:rPr>
        <w:t>l</w:t>
      </w:r>
      <w:r w:rsidRPr="0081358F">
        <w:rPr>
          <w:i/>
          <w:szCs w:val="28"/>
          <w:vertAlign w:val="superscript"/>
        </w:rPr>
        <w:t>e</w:t>
      </w:r>
      <w:r>
        <w:rPr>
          <w:i/>
          <w:szCs w:val="28"/>
        </w:rPr>
        <w:t>lā</w:t>
      </w:r>
      <w:r w:rsidRPr="0081358F">
        <w:rPr>
          <w:i/>
          <w:iCs/>
        </w:rPr>
        <w:t>ṭ</w:t>
      </w:r>
      <w:r>
        <w:rPr>
          <w:i/>
          <w:iCs/>
        </w:rPr>
        <w:t>ēkōn</w:t>
      </w:r>
      <w:proofErr w:type="spellEnd"/>
      <w:r>
        <w:rPr>
          <w:iCs/>
        </w:rPr>
        <w:tab/>
      </w:r>
      <w:r>
        <w:rPr>
          <w:iCs/>
        </w:rPr>
        <w:tab/>
      </w:r>
      <w:r>
        <w:rPr>
          <w:iCs/>
        </w:rPr>
        <w:tab/>
      </w:r>
      <w:r>
        <w:rPr>
          <w:iCs/>
        </w:rPr>
        <w:tab/>
      </w:r>
      <w:proofErr w:type="spellStart"/>
      <w:r w:rsidRPr="0081358F">
        <w:rPr>
          <w:i/>
          <w:iCs/>
        </w:rPr>
        <w:t>ṣ</w:t>
      </w:r>
      <w:r>
        <w:rPr>
          <w:i/>
          <w:iCs/>
        </w:rPr>
        <w:t>allōn</w:t>
      </w:r>
      <w:proofErr w:type="spellEnd"/>
      <w:r>
        <w:rPr>
          <w:i/>
          <w:iCs/>
        </w:rPr>
        <w:t xml:space="preserve"> ´al </w:t>
      </w:r>
      <w:proofErr w:type="spellStart"/>
      <w:r>
        <w:rPr>
          <w:i/>
          <w:iCs/>
        </w:rPr>
        <w:t>rād</w:t>
      </w:r>
      <w:r w:rsidRPr="0081358F">
        <w:rPr>
          <w:i/>
          <w:iCs/>
          <w:vertAlign w:val="superscript"/>
        </w:rPr>
        <w:t>e</w:t>
      </w:r>
      <w:r>
        <w:rPr>
          <w:i/>
          <w:iCs/>
        </w:rPr>
        <w:t>phēkōn</w:t>
      </w:r>
      <w:proofErr w:type="spellEnd"/>
    </w:p>
    <w:p w14:paraId="54D3B1BB" w14:textId="77777777" w:rsidR="0018433B" w:rsidRDefault="0018433B" w:rsidP="0018433B">
      <w:pPr>
        <w:ind w:firstLine="720"/>
        <w:rPr>
          <w:szCs w:val="28"/>
        </w:rPr>
      </w:pPr>
      <w:r w:rsidRPr="00AA14EA">
        <w:rPr>
          <w:szCs w:val="28"/>
        </w:rPr>
        <w:t>bless your cursers</w:t>
      </w:r>
      <w:r w:rsidRPr="00AA14EA">
        <w:rPr>
          <w:szCs w:val="28"/>
        </w:rPr>
        <w:tab/>
      </w:r>
      <w:r w:rsidRPr="00AA14EA">
        <w:rPr>
          <w:szCs w:val="28"/>
        </w:rPr>
        <w:tab/>
      </w:r>
      <w:r>
        <w:rPr>
          <w:szCs w:val="28"/>
        </w:rPr>
        <w:tab/>
      </w:r>
      <w:r w:rsidRPr="00AA14EA">
        <w:rPr>
          <w:szCs w:val="28"/>
        </w:rPr>
        <w:tab/>
        <w:t>pray for your persecutors</w:t>
      </w:r>
    </w:p>
    <w:p w14:paraId="58563AA2" w14:textId="77777777" w:rsidR="0018433B" w:rsidRPr="007950B6" w:rsidRDefault="0018433B" w:rsidP="0018433B">
      <w:pPr>
        <w:ind w:firstLine="720"/>
        <w:rPr>
          <w:i/>
          <w:szCs w:val="28"/>
        </w:rPr>
      </w:pPr>
      <w:proofErr w:type="spellStart"/>
      <w:r>
        <w:rPr>
          <w:i/>
          <w:szCs w:val="28"/>
        </w:rPr>
        <w:t>lidmā</w:t>
      </w:r>
      <w:r w:rsidRPr="007950B6">
        <w:rPr>
          <w:i/>
          <w:iCs/>
        </w:rPr>
        <w:t>ḥ</w:t>
      </w:r>
      <w:r w:rsidRPr="007950B6">
        <w:rPr>
          <w:i/>
          <w:iCs/>
          <w:vertAlign w:val="superscript"/>
        </w:rPr>
        <w:t>e</w:t>
      </w:r>
      <w:r>
        <w:rPr>
          <w:i/>
          <w:iCs/>
        </w:rPr>
        <w:t>yāk</w:t>
      </w:r>
      <w:proofErr w:type="spellEnd"/>
      <w:r>
        <w:rPr>
          <w:i/>
          <w:iCs/>
        </w:rPr>
        <w:t xml:space="preserve"> ´al </w:t>
      </w:r>
      <w:proofErr w:type="spellStart"/>
      <w:r>
        <w:rPr>
          <w:i/>
          <w:iCs/>
        </w:rPr>
        <w:t>liss</w:t>
      </w:r>
      <w:r w:rsidRPr="007950B6">
        <w:rPr>
          <w:i/>
          <w:iCs/>
          <w:vertAlign w:val="superscript"/>
        </w:rPr>
        <w:t>e</w:t>
      </w:r>
      <w:r>
        <w:rPr>
          <w:i/>
          <w:iCs/>
        </w:rPr>
        <w:t>tā</w:t>
      </w:r>
      <w:proofErr w:type="spellEnd"/>
      <w:r>
        <w:rPr>
          <w:iCs/>
        </w:rPr>
        <w:tab/>
      </w:r>
      <w:r>
        <w:rPr>
          <w:iCs/>
        </w:rPr>
        <w:tab/>
      </w:r>
      <w:r>
        <w:rPr>
          <w:iCs/>
        </w:rPr>
        <w:tab/>
      </w:r>
      <w:r>
        <w:rPr>
          <w:iCs/>
        </w:rPr>
        <w:tab/>
      </w:r>
      <w:proofErr w:type="spellStart"/>
      <w:r w:rsidRPr="007950B6">
        <w:rPr>
          <w:i/>
        </w:rPr>
        <w:t>ḳ</w:t>
      </w:r>
      <w:r>
        <w:rPr>
          <w:i/>
        </w:rPr>
        <w:t>ār</w:t>
      </w:r>
      <w:r w:rsidRPr="007950B6">
        <w:rPr>
          <w:i/>
          <w:vertAlign w:val="superscript"/>
        </w:rPr>
        <w:t>e</w:t>
      </w:r>
      <w:r>
        <w:rPr>
          <w:i/>
        </w:rPr>
        <w:t>būn</w:t>
      </w:r>
      <w:proofErr w:type="spellEnd"/>
      <w:r>
        <w:rPr>
          <w:i/>
        </w:rPr>
        <w:t xml:space="preserve"> ´</w:t>
      </w:r>
      <w:proofErr w:type="spellStart"/>
      <w:r>
        <w:rPr>
          <w:i/>
        </w:rPr>
        <w:t>ūph</w:t>
      </w:r>
      <w:proofErr w:type="spellEnd"/>
      <w:r>
        <w:rPr>
          <w:i/>
        </w:rPr>
        <w:t xml:space="preserve"> </w:t>
      </w:r>
      <w:proofErr w:type="spellStart"/>
      <w:r w:rsidRPr="007950B6">
        <w:rPr>
          <w:i/>
          <w:iCs/>
        </w:rPr>
        <w:t>ḥ</w:t>
      </w:r>
      <w:r>
        <w:rPr>
          <w:i/>
        </w:rPr>
        <w:t>ūr</w:t>
      </w:r>
      <w:r w:rsidRPr="007950B6">
        <w:rPr>
          <w:i/>
          <w:vertAlign w:val="superscript"/>
        </w:rPr>
        <w:t>e</w:t>
      </w:r>
      <w:r>
        <w:rPr>
          <w:i/>
        </w:rPr>
        <w:t>nā</w:t>
      </w:r>
      <w:proofErr w:type="spellEnd"/>
    </w:p>
    <w:p w14:paraId="7F144D23" w14:textId="77777777" w:rsidR="0018433B" w:rsidRDefault="0018433B" w:rsidP="0018433B">
      <w:pPr>
        <w:ind w:left="720" w:right="720"/>
        <w:rPr>
          <w:szCs w:val="28"/>
        </w:rPr>
      </w:pPr>
      <w:r w:rsidRPr="00AA14EA">
        <w:rPr>
          <w:szCs w:val="28"/>
        </w:rPr>
        <w:t xml:space="preserve">to thy </w:t>
      </w:r>
      <w:proofErr w:type="spellStart"/>
      <w:r w:rsidRPr="00AA14EA">
        <w:rPr>
          <w:szCs w:val="28"/>
        </w:rPr>
        <w:t>smiter</w:t>
      </w:r>
      <w:proofErr w:type="spellEnd"/>
      <w:r w:rsidRPr="00AA14EA">
        <w:rPr>
          <w:szCs w:val="28"/>
        </w:rPr>
        <w:t xml:space="preserve"> on the cheek</w:t>
      </w:r>
      <w:r w:rsidRPr="00AA14EA">
        <w:rPr>
          <w:szCs w:val="28"/>
        </w:rPr>
        <w:tab/>
      </w:r>
      <w:r>
        <w:rPr>
          <w:szCs w:val="28"/>
        </w:rPr>
        <w:tab/>
      </w:r>
      <w:r w:rsidRPr="00AA14EA">
        <w:rPr>
          <w:szCs w:val="28"/>
        </w:rPr>
        <w:tab/>
        <w:t>present also the other</w:t>
      </w:r>
    </w:p>
    <w:p w14:paraId="48E03452" w14:textId="77777777" w:rsidR="0018433B" w:rsidRPr="007950B6" w:rsidRDefault="0018433B" w:rsidP="0018433B">
      <w:pPr>
        <w:ind w:left="720" w:right="720"/>
        <w:rPr>
          <w:i/>
          <w:szCs w:val="28"/>
        </w:rPr>
      </w:pPr>
      <w:proofErr w:type="spellStart"/>
      <w:r>
        <w:rPr>
          <w:i/>
          <w:szCs w:val="28"/>
        </w:rPr>
        <w:t>ūmin</w:t>
      </w:r>
      <w:proofErr w:type="spellEnd"/>
      <w:r>
        <w:rPr>
          <w:i/>
          <w:szCs w:val="28"/>
        </w:rPr>
        <w:t xml:space="preserve"> man </w:t>
      </w:r>
      <w:proofErr w:type="spellStart"/>
      <w:r>
        <w:rPr>
          <w:i/>
          <w:szCs w:val="28"/>
        </w:rPr>
        <w:t>d</w:t>
      </w:r>
      <w:r w:rsidRPr="007950B6">
        <w:rPr>
          <w:i/>
          <w:szCs w:val="28"/>
          <w:vertAlign w:val="superscript"/>
        </w:rPr>
        <w:t>e</w:t>
      </w:r>
      <w:r w:rsidRPr="00AA14EA">
        <w:rPr>
          <w:i/>
          <w:iCs/>
          <w:szCs w:val="28"/>
        </w:rPr>
        <w:t>š</w:t>
      </w:r>
      <w:r>
        <w:rPr>
          <w:i/>
          <w:iCs/>
          <w:szCs w:val="28"/>
        </w:rPr>
        <w:t>ā</w:t>
      </w:r>
      <w:r w:rsidRPr="007950B6">
        <w:rPr>
          <w:i/>
        </w:rPr>
        <w:t>ḳ</w:t>
      </w:r>
      <w:r>
        <w:rPr>
          <w:i/>
        </w:rPr>
        <w:t>ēl</w:t>
      </w:r>
      <w:proofErr w:type="spellEnd"/>
      <w:r>
        <w:rPr>
          <w:i/>
        </w:rPr>
        <w:t xml:space="preserve"> </w:t>
      </w:r>
      <w:proofErr w:type="spellStart"/>
      <w:r>
        <w:rPr>
          <w:i/>
        </w:rPr>
        <w:t>mar</w:t>
      </w:r>
      <w:r w:rsidRPr="007950B6">
        <w:rPr>
          <w:i/>
          <w:iCs/>
        </w:rPr>
        <w:t>ṭ</w:t>
      </w:r>
      <w:r>
        <w:rPr>
          <w:i/>
          <w:iCs/>
        </w:rPr>
        <w:t>ū</w:t>
      </w:r>
      <w:r w:rsidRPr="007950B6">
        <w:rPr>
          <w:i/>
          <w:iCs/>
        </w:rPr>
        <w:t>ṭ</w:t>
      </w:r>
      <w:r>
        <w:rPr>
          <w:i/>
          <w:iCs/>
        </w:rPr>
        <w:t>āk</w:t>
      </w:r>
      <w:proofErr w:type="spellEnd"/>
      <w:r>
        <w:rPr>
          <w:iCs/>
        </w:rPr>
        <w:tab/>
      </w:r>
      <w:r>
        <w:rPr>
          <w:iCs/>
        </w:rPr>
        <w:tab/>
      </w:r>
      <w:r>
        <w:rPr>
          <w:iCs/>
        </w:rPr>
        <w:tab/>
      </w:r>
      <w:proofErr w:type="spellStart"/>
      <w:r>
        <w:rPr>
          <w:i/>
          <w:iCs/>
        </w:rPr>
        <w:t>lā</w:t>
      </w:r>
      <w:proofErr w:type="spellEnd"/>
      <w:r>
        <w:rPr>
          <w:i/>
          <w:iCs/>
        </w:rPr>
        <w:t xml:space="preserve"> </w:t>
      </w:r>
      <w:proofErr w:type="spellStart"/>
      <w:r>
        <w:rPr>
          <w:i/>
          <w:iCs/>
        </w:rPr>
        <w:t>tiklē</w:t>
      </w:r>
      <w:proofErr w:type="spellEnd"/>
      <w:r>
        <w:rPr>
          <w:i/>
          <w:iCs/>
        </w:rPr>
        <w:t xml:space="preserve"> ´</w:t>
      </w:r>
      <w:proofErr w:type="spellStart"/>
      <w:r>
        <w:rPr>
          <w:i/>
          <w:iCs/>
        </w:rPr>
        <w:t>ūph</w:t>
      </w:r>
      <w:proofErr w:type="spellEnd"/>
      <w:r>
        <w:rPr>
          <w:i/>
          <w:iCs/>
        </w:rPr>
        <w:t xml:space="preserve"> </w:t>
      </w:r>
      <w:proofErr w:type="spellStart"/>
      <w:r>
        <w:rPr>
          <w:i/>
          <w:iCs/>
        </w:rPr>
        <w:t>kittūnāk</w:t>
      </w:r>
      <w:proofErr w:type="spellEnd"/>
    </w:p>
    <w:p w14:paraId="5C440A53" w14:textId="77777777" w:rsidR="0018433B" w:rsidRPr="00AA14EA" w:rsidRDefault="0018433B" w:rsidP="0018433B">
      <w:pPr>
        <w:ind w:left="720" w:right="720"/>
        <w:rPr>
          <w:szCs w:val="28"/>
        </w:rPr>
      </w:pPr>
      <w:r w:rsidRPr="00AA14EA">
        <w:rPr>
          <w:szCs w:val="28"/>
        </w:rPr>
        <w:t>and from one that takes thy cloak</w:t>
      </w:r>
      <w:r w:rsidRPr="00AA14EA">
        <w:rPr>
          <w:szCs w:val="28"/>
        </w:rPr>
        <w:tab/>
      </w:r>
      <w:r>
        <w:rPr>
          <w:szCs w:val="28"/>
        </w:rPr>
        <w:tab/>
      </w:r>
      <w:r w:rsidRPr="00AA14EA">
        <w:rPr>
          <w:szCs w:val="28"/>
        </w:rPr>
        <w:t>do not wit</w:t>
      </w:r>
      <w:r>
        <w:rPr>
          <w:szCs w:val="28"/>
        </w:rPr>
        <w:t>h</w:t>
      </w:r>
      <w:r w:rsidRPr="00AA14EA">
        <w:rPr>
          <w:szCs w:val="28"/>
        </w:rPr>
        <w:t>hold also thy coat.</w:t>
      </w:r>
      <w:r w:rsidRPr="00AA14EA">
        <w:rPr>
          <w:rStyle w:val="FootnoteReference"/>
          <w:szCs w:val="28"/>
        </w:rPr>
        <w:footnoteReference w:id="483"/>
      </w:r>
    </w:p>
    <w:p w14:paraId="394CF881" w14:textId="77777777" w:rsidR="0018433B" w:rsidRPr="00AA14EA" w:rsidRDefault="0018433B" w:rsidP="0018433B">
      <w:pPr>
        <w:rPr>
          <w:szCs w:val="28"/>
        </w:rPr>
      </w:pPr>
    </w:p>
    <w:p w14:paraId="58E64B59" w14:textId="0475C2BF" w:rsidR="0018433B" w:rsidRPr="00AA14EA" w:rsidRDefault="0018433B" w:rsidP="0018433B">
      <w:pPr>
        <w:rPr>
          <w:szCs w:val="28"/>
        </w:rPr>
      </w:pPr>
      <w:r w:rsidRPr="00AA14EA">
        <w:rPr>
          <w:szCs w:val="28"/>
        </w:rPr>
        <w:lastRenderedPageBreak/>
        <w:t>Burney does not propose an Aramaic reversion for Luke 6:36-38</w:t>
      </w:r>
      <w:r w:rsidR="006F304D" w:rsidRPr="006F304D">
        <w:rPr>
          <w:szCs w:val="28"/>
        </w:rPr>
        <w:t xml:space="preserve">, </w:t>
      </w:r>
      <w:r w:rsidRPr="00AA14EA">
        <w:rPr>
          <w:szCs w:val="28"/>
        </w:rPr>
        <w:t>but he does scan it in English:</w:t>
      </w:r>
    </w:p>
    <w:p w14:paraId="15E5710C" w14:textId="77777777" w:rsidR="0018433B" w:rsidRPr="00AA14EA" w:rsidRDefault="0018433B" w:rsidP="0018433B">
      <w:pPr>
        <w:rPr>
          <w:szCs w:val="28"/>
        </w:rPr>
      </w:pPr>
    </w:p>
    <w:p w14:paraId="1E2E996D" w14:textId="77777777" w:rsidR="0018433B" w:rsidRPr="00AA14EA" w:rsidRDefault="0018433B" w:rsidP="0018433B">
      <w:pPr>
        <w:ind w:left="720"/>
        <w:rPr>
          <w:szCs w:val="28"/>
        </w:rPr>
      </w:pPr>
      <w:r w:rsidRPr="00AA14EA">
        <w:rPr>
          <w:szCs w:val="28"/>
        </w:rPr>
        <w:t>Be ye merciful,</w:t>
      </w:r>
      <w:r w:rsidRPr="00AA14EA">
        <w:rPr>
          <w:szCs w:val="28"/>
        </w:rPr>
        <w:tab/>
      </w:r>
      <w:r w:rsidRPr="00AA14EA">
        <w:rPr>
          <w:szCs w:val="28"/>
        </w:rPr>
        <w:tab/>
      </w:r>
      <w:r w:rsidRPr="00AA14EA">
        <w:rPr>
          <w:szCs w:val="28"/>
        </w:rPr>
        <w:tab/>
      </w:r>
      <w:r w:rsidRPr="00AA14EA">
        <w:rPr>
          <w:szCs w:val="28"/>
        </w:rPr>
        <w:tab/>
        <w:t>as your Father is merciful.</w:t>
      </w:r>
    </w:p>
    <w:p w14:paraId="7CC0A9AF" w14:textId="67F06176" w:rsidR="0018433B" w:rsidRPr="00AA14EA" w:rsidRDefault="0018433B" w:rsidP="0018433B">
      <w:pPr>
        <w:ind w:firstLine="720"/>
        <w:rPr>
          <w:szCs w:val="28"/>
        </w:rPr>
      </w:pPr>
      <w:r w:rsidRPr="00AA14EA">
        <w:rPr>
          <w:szCs w:val="28"/>
        </w:rPr>
        <w:t>Judge not</w:t>
      </w:r>
      <w:r w:rsidR="006F304D" w:rsidRPr="006F304D">
        <w:rPr>
          <w:szCs w:val="28"/>
        </w:rPr>
        <w:t xml:space="preserve">, </w:t>
      </w:r>
      <w:r w:rsidRPr="00AA14EA">
        <w:rPr>
          <w:szCs w:val="28"/>
        </w:rPr>
        <w:t>that ye be not judged;</w:t>
      </w:r>
      <w:r w:rsidRPr="00AA14EA">
        <w:rPr>
          <w:szCs w:val="28"/>
        </w:rPr>
        <w:tab/>
      </w:r>
      <w:r w:rsidRPr="00AA14EA">
        <w:rPr>
          <w:szCs w:val="28"/>
        </w:rPr>
        <w:tab/>
        <w:t>condemn not</w:t>
      </w:r>
      <w:r w:rsidR="006F304D" w:rsidRPr="006F304D">
        <w:rPr>
          <w:szCs w:val="28"/>
        </w:rPr>
        <w:t xml:space="preserve">, </w:t>
      </w:r>
      <w:r w:rsidRPr="00AA14EA">
        <w:rPr>
          <w:szCs w:val="28"/>
        </w:rPr>
        <w:t>that ye be not condemned;</w:t>
      </w:r>
    </w:p>
    <w:p w14:paraId="063A9C88" w14:textId="1592B6AF" w:rsidR="0018433B" w:rsidRPr="00AA14EA" w:rsidRDefault="0018433B" w:rsidP="0018433B">
      <w:pPr>
        <w:ind w:left="720"/>
        <w:rPr>
          <w:szCs w:val="28"/>
        </w:rPr>
      </w:pPr>
      <w:r w:rsidRPr="00AA14EA">
        <w:rPr>
          <w:szCs w:val="28"/>
        </w:rPr>
        <w:t>Release</w:t>
      </w:r>
      <w:r w:rsidR="006F304D" w:rsidRPr="006F304D">
        <w:rPr>
          <w:szCs w:val="28"/>
        </w:rPr>
        <w:t xml:space="preserve">, </w:t>
      </w:r>
      <w:r w:rsidRPr="00AA14EA">
        <w:rPr>
          <w:szCs w:val="28"/>
        </w:rPr>
        <w:t>and ye shall be released;</w:t>
      </w:r>
      <w:r w:rsidRPr="00AA14EA">
        <w:rPr>
          <w:szCs w:val="28"/>
        </w:rPr>
        <w:tab/>
      </w:r>
      <w:r w:rsidRPr="00AA14EA">
        <w:rPr>
          <w:szCs w:val="28"/>
        </w:rPr>
        <w:tab/>
        <w:t>give</w:t>
      </w:r>
      <w:r w:rsidR="006F304D" w:rsidRPr="006F304D">
        <w:rPr>
          <w:szCs w:val="28"/>
        </w:rPr>
        <w:t xml:space="preserve">, </w:t>
      </w:r>
      <w:r w:rsidRPr="00AA14EA">
        <w:rPr>
          <w:szCs w:val="28"/>
        </w:rPr>
        <w:t>and it shall be given you;</w:t>
      </w:r>
    </w:p>
    <w:p w14:paraId="1193CDEC" w14:textId="4D9BD01B" w:rsidR="0018433B" w:rsidRPr="00AA14EA" w:rsidRDefault="0018433B" w:rsidP="0018433B">
      <w:pPr>
        <w:ind w:firstLine="720"/>
        <w:rPr>
          <w:szCs w:val="28"/>
        </w:rPr>
      </w:pPr>
      <w:r w:rsidRPr="00AA14EA">
        <w:rPr>
          <w:szCs w:val="28"/>
        </w:rPr>
        <w:t>Goodly measure,</w:t>
      </w:r>
      <w:r w:rsidRPr="00AA14EA">
        <w:rPr>
          <w:szCs w:val="28"/>
        </w:rPr>
        <w:tab/>
      </w:r>
      <w:r w:rsidRPr="00AA14EA">
        <w:rPr>
          <w:szCs w:val="28"/>
        </w:rPr>
        <w:tab/>
      </w:r>
      <w:r w:rsidRPr="00AA14EA">
        <w:rPr>
          <w:szCs w:val="28"/>
        </w:rPr>
        <w:tab/>
      </w:r>
      <w:r w:rsidRPr="00AA14EA">
        <w:rPr>
          <w:szCs w:val="28"/>
        </w:rPr>
        <w:tab/>
        <w:t>pressed</w:t>
      </w:r>
      <w:r w:rsidR="006F304D" w:rsidRPr="006F304D">
        <w:rPr>
          <w:szCs w:val="28"/>
        </w:rPr>
        <w:t xml:space="preserve">, </w:t>
      </w:r>
      <w:r w:rsidRPr="00AA14EA">
        <w:rPr>
          <w:szCs w:val="28"/>
        </w:rPr>
        <w:t>shaken,</w:t>
      </w:r>
    </w:p>
    <w:p w14:paraId="6E4F9945" w14:textId="77777777" w:rsidR="0018433B" w:rsidRPr="00AA14EA" w:rsidRDefault="0018433B" w:rsidP="0018433B">
      <w:pPr>
        <w:ind w:firstLine="720"/>
        <w:rPr>
          <w:szCs w:val="28"/>
        </w:rPr>
      </w:pPr>
      <w:r w:rsidRPr="00AA14EA">
        <w:rPr>
          <w:szCs w:val="28"/>
        </w:rPr>
        <w:t>Overflowing &lt;</w:t>
      </w:r>
      <w:r w:rsidRPr="005F51B1">
        <w:rPr>
          <w:szCs w:val="28"/>
        </w:rPr>
        <w:t>. . .</w:t>
      </w:r>
      <w:r w:rsidRPr="00AA14EA">
        <w:rPr>
          <w:szCs w:val="28"/>
        </w:rPr>
        <w:t>&gt;</w:t>
      </w:r>
      <w:r w:rsidRPr="00AA14EA">
        <w:rPr>
          <w:szCs w:val="28"/>
        </w:rPr>
        <w:tab/>
      </w:r>
      <w:r w:rsidRPr="00AA14EA">
        <w:rPr>
          <w:szCs w:val="28"/>
        </w:rPr>
        <w:tab/>
        <w:t xml:space="preserve"> </w:t>
      </w:r>
      <w:r w:rsidRPr="00AA14EA">
        <w:rPr>
          <w:szCs w:val="28"/>
        </w:rPr>
        <w:tab/>
      </w:r>
      <w:r w:rsidRPr="00AA14EA">
        <w:rPr>
          <w:szCs w:val="28"/>
        </w:rPr>
        <w:tab/>
        <w:t>shall they give into your bosom.</w:t>
      </w:r>
    </w:p>
    <w:p w14:paraId="7EB7D14B" w14:textId="77777777" w:rsidR="0018433B" w:rsidRPr="00AA14EA" w:rsidRDefault="0018433B" w:rsidP="0018433B">
      <w:pPr>
        <w:ind w:firstLine="720"/>
        <w:rPr>
          <w:szCs w:val="28"/>
        </w:rPr>
      </w:pPr>
      <w:r w:rsidRPr="00AA14EA">
        <w:rPr>
          <w:szCs w:val="28"/>
        </w:rPr>
        <w:t>For with what measure ye mete</w:t>
      </w:r>
      <w:r w:rsidRPr="00AA14EA">
        <w:rPr>
          <w:szCs w:val="28"/>
        </w:rPr>
        <w:tab/>
      </w:r>
      <w:r w:rsidRPr="00AA14EA">
        <w:rPr>
          <w:szCs w:val="28"/>
        </w:rPr>
        <w:tab/>
        <w:t>it shall be measured to you.</w:t>
      </w:r>
      <w:r w:rsidRPr="00AA14EA">
        <w:rPr>
          <w:rStyle w:val="FootnoteReference"/>
          <w:szCs w:val="28"/>
        </w:rPr>
        <w:footnoteReference w:id="484"/>
      </w:r>
    </w:p>
    <w:p w14:paraId="6CE5135E" w14:textId="77777777" w:rsidR="0018433B" w:rsidRPr="00AA14EA" w:rsidRDefault="0018433B" w:rsidP="0018433B">
      <w:pPr>
        <w:rPr>
          <w:szCs w:val="28"/>
        </w:rPr>
      </w:pPr>
    </w:p>
    <w:p w14:paraId="2B24F75C" w14:textId="4D0C3878" w:rsidR="0018433B" w:rsidRPr="00AA14EA" w:rsidRDefault="0018433B" w:rsidP="0018433B">
      <w:pPr>
        <w:rPr>
          <w:szCs w:val="28"/>
        </w:rPr>
      </w:pPr>
      <w:r w:rsidRPr="00AA14EA">
        <w:rPr>
          <w:szCs w:val="28"/>
        </w:rPr>
        <w:t>The next verse</w:t>
      </w:r>
      <w:r w:rsidR="006F304D" w:rsidRPr="006F304D">
        <w:rPr>
          <w:szCs w:val="28"/>
        </w:rPr>
        <w:t xml:space="preserve">, </w:t>
      </w:r>
      <w:r w:rsidRPr="00AA14EA">
        <w:rPr>
          <w:szCs w:val="28"/>
        </w:rPr>
        <w:t>6:39</w:t>
      </w:r>
      <w:r w:rsidR="006F304D" w:rsidRPr="006F304D">
        <w:rPr>
          <w:szCs w:val="28"/>
        </w:rPr>
        <w:t xml:space="preserve">, </w:t>
      </w:r>
      <w:r w:rsidRPr="00AA14EA">
        <w:rPr>
          <w:szCs w:val="28"/>
        </w:rPr>
        <w:t>reads:</w:t>
      </w:r>
    </w:p>
    <w:p w14:paraId="443241CA" w14:textId="77777777" w:rsidR="0018433B" w:rsidRPr="00AA14EA" w:rsidRDefault="0018433B" w:rsidP="0018433B">
      <w:pPr>
        <w:rPr>
          <w:szCs w:val="28"/>
        </w:rPr>
      </w:pPr>
    </w:p>
    <w:p w14:paraId="5712B328" w14:textId="77777777" w:rsidR="0018433B" w:rsidRPr="0064724E" w:rsidRDefault="0018433B" w:rsidP="0018433B">
      <w:pPr>
        <w:ind w:left="720" w:right="720"/>
        <w:rPr>
          <w:i/>
          <w:iCs/>
          <w:szCs w:val="28"/>
        </w:rPr>
      </w:pPr>
      <w:r>
        <w:rPr>
          <w:iCs/>
          <w:szCs w:val="28"/>
        </w:rPr>
        <w:t>´</w:t>
      </w:r>
      <w:proofErr w:type="spellStart"/>
      <w:r>
        <w:rPr>
          <w:i/>
          <w:iCs/>
          <w:szCs w:val="28"/>
        </w:rPr>
        <w:t>īn</w:t>
      </w:r>
      <w:proofErr w:type="spellEnd"/>
      <w:r>
        <w:rPr>
          <w:i/>
          <w:iCs/>
          <w:szCs w:val="28"/>
        </w:rPr>
        <w:t xml:space="preserve"> </w:t>
      </w:r>
      <w:proofErr w:type="spellStart"/>
      <w:r>
        <w:rPr>
          <w:i/>
          <w:iCs/>
          <w:szCs w:val="28"/>
        </w:rPr>
        <w:t>yidbar</w:t>
      </w:r>
      <w:proofErr w:type="spellEnd"/>
      <w:r>
        <w:rPr>
          <w:i/>
          <w:iCs/>
          <w:szCs w:val="28"/>
        </w:rPr>
        <w:t xml:space="preserve"> </w:t>
      </w:r>
      <w:proofErr w:type="spellStart"/>
      <w:r>
        <w:rPr>
          <w:i/>
          <w:iCs/>
          <w:szCs w:val="28"/>
        </w:rPr>
        <w:t>samyā</w:t>
      </w:r>
      <w:proofErr w:type="spellEnd"/>
      <w:r>
        <w:rPr>
          <w:i/>
          <w:iCs/>
          <w:szCs w:val="28"/>
        </w:rPr>
        <w:t xml:space="preserve"> </w:t>
      </w:r>
      <w:proofErr w:type="spellStart"/>
      <w:r>
        <w:rPr>
          <w:i/>
          <w:iCs/>
          <w:szCs w:val="28"/>
        </w:rPr>
        <w:t>l</w:t>
      </w:r>
      <w:r w:rsidRPr="0064724E">
        <w:rPr>
          <w:i/>
          <w:iCs/>
          <w:szCs w:val="28"/>
          <w:vertAlign w:val="superscript"/>
        </w:rPr>
        <w:t>e</w:t>
      </w:r>
      <w:r>
        <w:rPr>
          <w:i/>
          <w:iCs/>
          <w:szCs w:val="28"/>
        </w:rPr>
        <w:t>samyā</w:t>
      </w:r>
      <w:proofErr w:type="spellEnd"/>
    </w:p>
    <w:p w14:paraId="036FD808" w14:textId="77777777" w:rsidR="0018433B" w:rsidRDefault="0018433B" w:rsidP="0018433B">
      <w:pPr>
        <w:ind w:left="720"/>
        <w:rPr>
          <w:szCs w:val="28"/>
        </w:rPr>
      </w:pPr>
      <w:r w:rsidRPr="00AA14EA">
        <w:rPr>
          <w:szCs w:val="28"/>
        </w:rPr>
        <w:t>If shall lead the blind the blind</w:t>
      </w:r>
    </w:p>
    <w:p w14:paraId="74BF5DDB" w14:textId="77777777" w:rsidR="0018433B" w:rsidRPr="0064724E" w:rsidRDefault="0018433B" w:rsidP="0018433B">
      <w:pPr>
        <w:ind w:left="720"/>
        <w:rPr>
          <w:i/>
          <w:szCs w:val="28"/>
        </w:rPr>
      </w:pPr>
      <w:proofErr w:type="spellStart"/>
      <w:r>
        <w:rPr>
          <w:i/>
          <w:szCs w:val="28"/>
        </w:rPr>
        <w:t>t</w:t>
      </w:r>
      <w:r w:rsidRPr="0064724E">
        <w:rPr>
          <w:i/>
          <w:szCs w:val="28"/>
          <w:vertAlign w:val="superscript"/>
        </w:rPr>
        <w:t>e</w:t>
      </w:r>
      <w:r>
        <w:rPr>
          <w:i/>
          <w:szCs w:val="28"/>
        </w:rPr>
        <w:t>rēhōn</w:t>
      </w:r>
      <w:proofErr w:type="spellEnd"/>
      <w:r>
        <w:rPr>
          <w:i/>
          <w:szCs w:val="28"/>
        </w:rPr>
        <w:t xml:space="preserve"> </w:t>
      </w:r>
      <w:proofErr w:type="spellStart"/>
      <w:r>
        <w:rPr>
          <w:i/>
          <w:szCs w:val="28"/>
        </w:rPr>
        <w:t>nāph</w:t>
      </w:r>
      <w:r w:rsidRPr="0064724E">
        <w:rPr>
          <w:i/>
          <w:szCs w:val="28"/>
          <w:vertAlign w:val="superscript"/>
        </w:rPr>
        <w:t>e</w:t>
      </w:r>
      <w:r>
        <w:rPr>
          <w:i/>
          <w:szCs w:val="28"/>
        </w:rPr>
        <w:t>līn</w:t>
      </w:r>
      <w:proofErr w:type="spellEnd"/>
      <w:r>
        <w:rPr>
          <w:i/>
          <w:szCs w:val="28"/>
        </w:rPr>
        <w:t xml:space="preserve"> </w:t>
      </w:r>
      <w:proofErr w:type="spellStart"/>
      <w:r>
        <w:rPr>
          <w:i/>
          <w:szCs w:val="28"/>
        </w:rPr>
        <w:t>b</w:t>
      </w:r>
      <w:r w:rsidRPr="0064724E">
        <w:rPr>
          <w:i/>
          <w:szCs w:val="28"/>
          <w:vertAlign w:val="superscript"/>
        </w:rPr>
        <w:t>e</w:t>
      </w:r>
      <w:r>
        <w:rPr>
          <w:i/>
          <w:szCs w:val="28"/>
        </w:rPr>
        <w:t>gum</w:t>
      </w:r>
      <w:r w:rsidRPr="0064724E">
        <w:rPr>
          <w:i/>
          <w:iCs/>
        </w:rPr>
        <w:t>ṣ</w:t>
      </w:r>
      <w:r>
        <w:rPr>
          <w:i/>
          <w:iCs/>
        </w:rPr>
        <w:t>ā</w:t>
      </w:r>
      <w:proofErr w:type="spellEnd"/>
    </w:p>
    <w:p w14:paraId="6C80882D" w14:textId="77777777" w:rsidR="0018433B" w:rsidRPr="00AA14EA" w:rsidRDefault="0018433B" w:rsidP="0018433B">
      <w:pPr>
        <w:ind w:left="720"/>
        <w:rPr>
          <w:szCs w:val="28"/>
        </w:rPr>
      </w:pPr>
      <w:r w:rsidRPr="00AA14EA">
        <w:rPr>
          <w:szCs w:val="28"/>
        </w:rPr>
        <w:t>both of them (shall be) falling into the ditch.</w:t>
      </w:r>
      <w:r w:rsidRPr="00AA14EA">
        <w:rPr>
          <w:rStyle w:val="FootnoteReference"/>
          <w:szCs w:val="28"/>
        </w:rPr>
        <w:footnoteReference w:id="485"/>
      </w:r>
    </w:p>
    <w:p w14:paraId="19F51CA9" w14:textId="77777777" w:rsidR="0018433B" w:rsidRPr="00AA14EA" w:rsidRDefault="0018433B" w:rsidP="0018433B">
      <w:pPr>
        <w:rPr>
          <w:szCs w:val="28"/>
        </w:rPr>
      </w:pPr>
    </w:p>
    <w:p w14:paraId="6B59520A" w14:textId="22980874" w:rsidR="0018433B" w:rsidRPr="00AA14EA" w:rsidRDefault="0018433B" w:rsidP="0018433B">
      <w:pPr>
        <w:rPr>
          <w:szCs w:val="28"/>
        </w:rPr>
      </w:pPr>
      <w:r w:rsidRPr="00AA14EA">
        <w:rPr>
          <w:szCs w:val="28"/>
        </w:rPr>
        <w:t>Though Burney does not provide a scansion of the verse that fol</w:t>
      </w:r>
      <w:r w:rsidRPr="00AA14EA">
        <w:rPr>
          <w:szCs w:val="28"/>
        </w:rPr>
        <w:softHyphen/>
        <w:t>lows</w:t>
      </w:r>
      <w:r w:rsidR="006F304D" w:rsidRPr="006F304D">
        <w:rPr>
          <w:szCs w:val="28"/>
        </w:rPr>
        <w:t xml:space="preserve">, </w:t>
      </w:r>
      <w:r w:rsidRPr="00AA14EA">
        <w:rPr>
          <w:szCs w:val="28"/>
        </w:rPr>
        <w:t>6:40</w:t>
      </w:r>
      <w:r w:rsidR="006F304D" w:rsidRPr="006F304D">
        <w:rPr>
          <w:szCs w:val="28"/>
        </w:rPr>
        <w:t xml:space="preserve">, </w:t>
      </w:r>
      <w:r w:rsidRPr="00AA14EA">
        <w:rPr>
          <w:szCs w:val="28"/>
        </w:rPr>
        <w:t>he does give the Matthean parallel (Matt 10:24-27) in metrical form</w:t>
      </w:r>
      <w:r w:rsidR="006F304D" w:rsidRPr="006F304D">
        <w:rPr>
          <w:szCs w:val="28"/>
        </w:rPr>
        <w:t xml:space="preserve">, </w:t>
      </w:r>
      <w:r w:rsidRPr="00AA14EA">
        <w:rPr>
          <w:szCs w:val="28"/>
        </w:rPr>
        <w:t>though in En</w:t>
      </w:r>
      <w:r w:rsidRPr="00AA14EA">
        <w:rPr>
          <w:szCs w:val="28"/>
        </w:rPr>
        <w:softHyphen/>
        <w:t>glish only:</w:t>
      </w:r>
    </w:p>
    <w:p w14:paraId="5CAD30E2" w14:textId="77777777" w:rsidR="0018433B" w:rsidRPr="00AA14EA" w:rsidRDefault="0018433B" w:rsidP="0018433B">
      <w:pPr>
        <w:rPr>
          <w:szCs w:val="28"/>
        </w:rPr>
      </w:pPr>
    </w:p>
    <w:p w14:paraId="7B3933A0" w14:textId="77777777" w:rsidR="0018433B" w:rsidRPr="00AA14EA" w:rsidRDefault="0018433B" w:rsidP="0018433B">
      <w:pPr>
        <w:ind w:left="720"/>
        <w:rPr>
          <w:szCs w:val="28"/>
        </w:rPr>
      </w:pPr>
      <w:r w:rsidRPr="00AA14EA">
        <w:rPr>
          <w:szCs w:val="28"/>
        </w:rPr>
        <w:t>The disciple is not</w:t>
      </w:r>
      <w:r w:rsidRPr="00AA14EA">
        <w:rPr>
          <w:szCs w:val="28"/>
        </w:rPr>
        <w:tab/>
      </w:r>
      <w:r w:rsidRPr="00AA14EA">
        <w:rPr>
          <w:szCs w:val="28"/>
        </w:rPr>
        <w:tab/>
      </w:r>
      <w:r w:rsidRPr="00AA14EA">
        <w:rPr>
          <w:szCs w:val="28"/>
        </w:rPr>
        <w:tab/>
      </w:r>
      <w:r>
        <w:rPr>
          <w:szCs w:val="28"/>
        </w:rPr>
        <w:tab/>
      </w:r>
      <w:r w:rsidRPr="00AA14EA">
        <w:rPr>
          <w:szCs w:val="28"/>
        </w:rPr>
        <w:t>above the master,</w:t>
      </w:r>
    </w:p>
    <w:p w14:paraId="5C7E860C" w14:textId="77777777" w:rsidR="0018433B" w:rsidRPr="00AA14EA" w:rsidRDefault="0018433B" w:rsidP="0018433B">
      <w:pPr>
        <w:ind w:left="720"/>
        <w:rPr>
          <w:szCs w:val="28"/>
        </w:rPr>
      </w:pPr>
      <w:r w:rsidRPr="00AA14EA">
        <w:rPr>
          <w:szCs w:val="28"/>
        </w:rPr>
        <w:t>And the slave is not</w:t>
      </w:r>
      <w:r w:rsidRPr="00AA14EA">
        <w:rPr>
          <w:szCs w:val="28"/>
        </w:rPr>
        <w:tab/>
      </w:r>
      <w:r w:rsidRPr="00AA14EA">
        <w:rPr>
          <w:szCs w:val="28"/>
        </w:rPr>
        <w:tab/>
      </w:r>
      <w:r w:rsidRPr="00AA14EA">
        <w:rPr>
          <w:szCs w:val="28"/>
        </w:rPr>
        <w:tab/>
      </w:r>
      <w:r>
        <w:rPr>
          <w:szCs w:val="28"/>
        </w:rPr>
        <w:tab/>
      </w:r>
      <w:r w:rsidRPr="00AA14EA">
        <w:rPr>
          <w:szCs w:val="28"/>
        </w:rPr>
        <w:t>above his lord.</w:t>
      </w:r>
    </w:p>
    <w:p w14:paraId="7CE95D30" w14:textId="77777777" w:rsidR="0018433B" w:rsidRPr="00AA14EA" w:rsidRDefault="0018433B" w:rsidP="0018433B">
      <w:pPr>
        <w:ind w:left="720"/>
        <w:rPr>
          <w:szCs w:val="28"/>
        </w:rPr>
      </w:pPr>
      <w:r w:rsidRPr="00AA14EA">
        <w:rPr>
          <w:szCs w:val="28"/>
        </w:rPr>
        <w:t>Enough to the disciple</w:t>
      </w:r>
      <w:r w:rsidRPr="00AA14EA">
        <w:rPr>
          <w:szCs w:val="28"/>
        </w:rPr>
        <w:tab/>
      </w:r>
      <w:r w:rsidRPr="00AA14EA">
        <w:rPr>
          <w:szCs w:val="28"/>
        </w:rPr>
        <w:tab/>
      </w:r>
      <w:r w:rsidRPr="00AA14EA">
        <w:rPr>
          <w:szCs w:val="28"/>
        </w:rPr>
        <w:tab/>
      </w:r>
      <w:r>
        <w:rPr>
          <w:szCs w:val="28"/>
        </w:rPr>
        <w:tab/>
      </w:r>
      <w:r w:rsidRPr="00AA14EA">
        <w:rPr>
          <w:szCs w:val="28"/>
        </w:rPr>
        <w:t>that he be as the master,</w:t>
      </w:r>
    </w:p>
    <w:p w14:paraId="1FA8EAAF" w14:textId="77777777" w:rsidR="0018433B" w:rsidRPr="00AA14EA" w:rsidRDefault="0018433B" w:rsidP="0018433B">
      <w:pPr>
        <w:ind w:left="720"/>
        <w:rPr>
          <w:szCs w:val="28"/>
        </w:rPr>
      </w:pPr>
      <w:r w:rsidRPr="00AA14EA">
        <w:rPr>
          <w:szCs w:val="28"/>
        </w:rPr>
        <w:t>And (enough) to the slave</w:t>
      </w:r>
      <w:r w:rsidRPr="00AA14EA">
        <w:rPr>
          <w:szCs w:val="28"/>
        </w:rPr>
        <w:tab/>
      </w:r>
      <w:r w:rsidRPr="00AA14EA">
        <w:rPr>
          <w:szCs w:val="28"/>
        </w:rPr>
        <w:tab/>
      </w:r>
      <w:r>
        <w:rPr>
          <w:szCs w:val="28"/>
        </w:rPr>
        <w:tab/>
      </w:r>
      <w:r w:rsidRPr="00AA14EA">
        <w:rPr>
          <w:szCs w:val="28"/>
        </w:rPr>
        <w:t>(that he be) as his lord.</w:t>
      </w:r>
      <w:r w:rsidRPr="00AA14EA">
        <w:rPr>
          <w:rStyle w:val="FootnoteReference"/>
          <w:szCs w:val="28"/>
        </w:rPr>
        <w:footnoteReference w:id="486"/>
      </w:r>
    </w:p>
    <w:p w14:paraId="2E3FF2F3" w14:textId="77777777" w:rsidR="0018433B" w:rsidRPr="00AA14EA" w:rsidRDefault="0018433B" w:rsidP="0018433B">
      <w:pPr>
        <w:rPr>
          <w:szCs w:val="28"/>
        </w:rPr>
      </w:pPr>
    </w:p>
    <w:p w14:paraId="665810AB" w14:textId="6FC58D48" w:rsidR="0018433B" w:rsidRPr="00AA14EA" w:rsidRDefault="0018433B" w:rsidP="0018433B">
      <w:pPr>
        <w:rPr>
          <w:szCs w:val="28"/>
        </w:rPr>
      </w:pPr>
      <w:r w:rsidRPr="00AA14EA">
        <w:rPr>
          <w:szCs w:val="28"/>
        </w:rPr>
        <w:tab/>
        <w:t xml:space="preserve">Lacking </w:t>
      </w:r>
      <w:r>
        <w:rPr>
          <w:szCs w:val="28"/>
        </w:rPr>
        <w:t>knowledge of</w:t>
      </w:r>
      <w:r w:rsidRPr="00AA14EA">
        <w:rPr>
          <w:szCs w:val="28"/>
        </w:rPr>
        <w:t xml:space="preserve"> Aramaic</w:t>
      </w:r>
      <w:r w:rsidR="006F304D" w:rsidRPr="006F304D">
        <w:rPr>
          <w:szCs w:val="28"/>
        </w:rPr>
        <w:t xml:space="preserve">, </w:t>
      </w:r>
      <w:r w:rsidRPr="00AA14EA">
        <w:rPr>
          <w:szCs w:val="28"/>
        </w:rPr>
        <w:t xml:space="preserve">I cannot quibble with Burney’s </w:t>
      </w:r>
      <w:r w:rsidRPr="00AA14EA">
        <w:rPr>
          <w:szCs w:val="28"/>
        </w:rPr>
        <w:softHyphen/>
      </w:r>
      <w:r w:rsidRPr="00AA14EA">
        <w:rPr>
          <w:szCs w:val="28"/>
        </w:rPr>
        <w:softHyphen/>
        <w:t>Ar</w:t>
      </w:r>
      <w:r w:rsidRPr="00AA14EA">
        <w:rPr>
          <w:szCs w:val="28"/>
        </w:rPr>
        <w:softHyphen/>
        <w:t>am</w:t>
      </w:r>
      <w:r w:rsidRPr="00AA14EA">
        <w:rPr>
          <w:szCs w:val="28"/>
        </w:rPr>
        <w:softHyphen/>
        <w:t>aic recon</w:t>
      </w:r>
      <w:r w:rsidRPr="00AA14EA">
        <w:rPr>
          <w:szCs w:val="28"/>
        </w:rPr>
        <w:softHyphen/>
        <w:t>structions. But it can be said that his material does not seem overly helpful in deter</w:t>
      </w:r>
      <w:r w:rsidRPr="00AA14EA">
        <w:rPr>
          <w:szCs w:val="28"/>
        </w:rPr>
        <w:softHyphen/>
        <w:t>mining the structure of the sermon on the plain. First</w:t>
      </w:r>
      <w:r w:rsidR="006F304D" w:rsidRPr="006F304D">
        <w:rPr>
          <w:szCs w:val="28"/>
        </w:rPr>
        <w:t xml:space="preserve">, </w:t>
      </w:r>
      <w:r w:rsidRPr="00AA14EA">
        <w:rPr>
          <w:szCs w:val="28"/>
        </w:rPr>
        <w:t>it must be remembered how tenuous this sort of work is. A scholar</w:t>
      </w:r>
      <w:r w:rsidR="006F304D" w:rsidRPr="006F304D">
        <w:rPr>
          <w:szCs w:val="28"/>
        </w:rPr>
        <w:t xml:space="preserve">, </w:t>
      </w:r>
      <w:r w:rsidRPr="00AA14EA">
        <w:rPr>
          <w:szCs w:val="28"/>
        </w:rPr>
        <w:t>using lan</w:t>
      </w:r>
      <w:r w:rsidRPr="00AA14EA">
        <w:rPr>
          <w:szCs w:val="28"/>
        </w:rPr>
        <w:softHyphen/>
        <w:t>guages for which the greatest among us can never develop in all of them a tru</w:t>
      </w:r>
      <w:r w:rsidRPr="00AA14EA">
        <w:rPr>
          <w:szCs w:val="28"/>
        </w:rPr>
        <w:softHyphen/>
        <w:t>ly native feel</w:t>
      </w:r>
      <w:r w:rsidRPr="00AA14EA">
        <w:rPr>
          <w:szCs w:val="28"/>
        </w:rPr>
        <w:softHyphen/>
        <w:t>ing</w:t>
      </w:r>
      <w:r w:rsidR="006F304D" w:rsidRPr="006F304D">
        <w:rPr>
          <w:szCs w:val="28"/>
        </w:rPr>
        <w:t xml:space="preserve">, </w:t>
      </w:r>
      <w:r w:rsidRPr="00AA14EA">
        <w:rPr>
          <w:szCs w:val="28"/>
        </w:rPr>
        <w:t>infers from a slender base of mater</w:t>
      </w:r>
      <w:r w:rsidRPr="00AA14EA">
        <w:rPr>
          <w:szCs w:val="28"/>
        </w:rPr>
        <w:softHyphen/>
        <w:t>ials a set of met</w:t>
      </w:r>
      <w:r w:rsidRPr="00AA14EA">
        <w:rPr>
          <w:szCs w:val="28"/>
        </w:rPr>
        <w:softHyphen/>
        <w:t>ri</w:t>
      </w:r>
      <w:r w:rsidRPr="00AA14EA">
        <w:rPr>
          <w:szCs w:val="28"/>
        </w:rPr>
        <w:softHyphen/>
        <w:t>cal prin</w:t>
      </w:r>
      <w:r w:rsidRPr="00AA14EA">
        <w:rPr>
          <w:szCs w:val="28"/>
        </w:rPr>
        <w:softHyphen/>
        <w:t>ci</w:t>
      </w:r>
      <w:r w:rsidRPr="00AA14EA">
        <w:rPr>
          <w:szCs w:val="28"/>
        </w:rPr>
        <w:softHyphen/>
        <w:t>ples; he then creates—</w:t>
      </w:r>
      <w:r w:rsidRPr="00AA14EA">
        <w:rPr>
          <w:i/>
          <w:iCs/>
          <w:szCs w:val="28"/>
        </w:rPr>
        <w:t>in conformity with these princi</w:t>
      </w:r>
      <w:r w:rsidRPr="00AA14EA">
        <w:rPr>
          <w:i/>
          <w:iCs/>
          <w:szCs w:val="28"/>
        </w:rPr>
        <w:softHyphen/>
        <w:t>ples</w:t>
      </w:r>
      <w:r w:rsidRPr="00AA14EA">
        <w:rPr>
          <w:szCs w:val="28"/>
        </w:rPr>
        <w:t>—texts no longer ex</w:t>
      </w:r>
      <w:r w:rsidRPr="00AA14EA">
        <w:rPr>
          <w:szCs w:val="28"/>
        </w:rPr>
        <w:softHyphen/>
        <w:t>tant; in effect</w:t>
      </w:r>
      <w:r w:rsidR="006F304D" w:rsidRPr="006F304D">
        <w:rPr>
          <w:szCs w:val="28"/>
        </w:rPr>
        <w:t xml:space="preserve">, </w:t>
      </w:r>
      <w:r w:rsidRPr="00AA14EA">
        <w:rPr>
          <w:szCs w:val="28"/>
        </w:rPr>
        <w:t>the metrical measure given is the metrical measure re</w:t>
      </w:r>
      <w:r w:rsidRPr="00AA14EA">
        <w:rPr>
          <w:szCs w:val="28"/>
        </w:rPr>
        <w:softHyphen/>
        <w:t xml:space="preserve">ceived. </w:t>
      </w:r>
      <w:r w:rsidRPr="00AA14EA">
        <w:rPr>
          <w:szCs w:val="28"/>
        </w:rPr>
        <w:softHyphen/>
        <w:t>Cadbury has well ex</w:t>
      </w:r>
      <w:r w:rsidRPr="00AA14EA">
        <w:rPr>
          <w:szCs w:val="28"/>
        </w:rPr>
        <w:softHyphen/>
        <w:t>pres</w:t>
      </w:r>
      <w:r w:rsidRPr="00AA14EA">
        <w:rPr>
          <w:szCs w:val="28"/>
        </w:rPr>
        <w:softHyphen/>
        <w:t>sed some of the dif</w:t>
      </w:r>
      <w:r w:rsidRPr="00AA14EA">
        <w:rPr>
          <w:szCs w:val="28"/>
        </w:rPr>
        <w:softHyphen/>
        <w:t>ficulties involved.</w:t>
      </w:r>
    </w:p>
    <w:p w14:paraId="5B845965" w14:textId="77777777" w:rsidR="0018433B" w:rsidRPr="00AA14EA" w:rsidRDefault="0018433B" w:rsidP="0018433B">
      <w:pPr>
        <w:rPr>
          <w:szCs w:val="28"/>
        </w:rPr>
      </w:pPr>
    </w:p>
    <w:p w14:paraId="7F665965" w14:textId="25EBE401" w:rsidR="0018433B" w:rsidRPr="00AA14EA" w:rsidRDefault="0018433B" w:rsidP="0018433B">
      <w:pPr>
        <w:ind w:left="720" w:right="720"/>
        <w:rPr>
          <w:szCs w:val="28"/>
        </w:rPr>
      </w:pPr>
      <w:r w:rsidRPr="00AA14EA">
        <w:rPr>
          <w:szCs w:val="28"/>
        </w:rPr>
        <w:t>It has recently been urged for all the gospels and for at least the first half of Acts that they are literal translations of con</w:t>
      </w:r>
      <w:r w:rsidRPr="00AA14EA">
        <w:rPr>
          <w:szCs w:val="28"/>
        </w:rPr>
        <w:softHyphen/>
        <w:t>tinuous writings in the Aramaic tongue. The novelty of this sug</w:t>
      </w:r>
      <w:r w:rsidRPr="00AA14EA">
        <w:rPr>
          <w:szCs w:val="28"/>
        </w:rPr>
        <w:softHyphen/>
        <w:t>ges</w:t>
      </w:r>
      <w:r w:rsidRPr="00AA14EA">
        <w:rPr>
          <w:szCs w:val="28"/>
        </w:rPr>
        <w:softHyphen/>
        <w:t xml:space="preserve">tion </w:t>
      </w:r>
      <w:r w:rsidRPr="005F51B1">
        <w:rPr>
          <w:szCs w:val="28"/>
        </w:rPr>
        <w:t>. . .</w:t>
      </w:r>
      <w:r w:rsidR="006F304D" w:rsidRPr="006F304D">
        <w:rPr>
          <w:szCs w:val="28"/>
        </w:rPr>
        <w:t xml:space="preserve">, </w:t>
      </w:r>
      <w:r w:rsidRPr="00AA14EA">
        <w:rPr>
          <w:szCs w:val="28"/>
        </w:rPr>
        <w:t>its implica</w:t>
      </w:r>
      <w:r w:rsidRPr="00AA14EA">
        <w:rPr>
          <w:szCs w:val="28"/>
        </w:rPr>
        <w:softHyphen/>
        <w:t>tion of primitiveness and the clever</w:t>
      </w:r>
      <w:r w:rsidRPr="00AA14EA">
        <w:rPr>
          <w:szCs w:val="28"/>
        </w:rPr>
        <w:softHyphen/>
        <w:t xml:space="preserve">ness </w:t>
      </w:r>
      <w:r w:rsidRPr="00AA14EA">
        <w:rPr>
          <w:szCs w:val="28"/>
        </w:rPr>
        <w:lastRenderedPageBreak/>
        <w:t>and assurance with which it is sup</w:t>
      </w:r>
      <w:r w:rsidRPr="00AA14EA">
        <w:rPr>
          <w:szCs w:val="28"/>
        </w:rPr>
        <w:softHyphen/>
        <w:t>ported</w:t>
      </w:r>
      <w:r w:rsidR="006F304D" w:rsidRPr="006F304D">
        <w:rPr>
          <w:szCs w:val="28"/>
        </w:rPr>
        <w:t xml:space="preserve">, </w:t>
      </w:r>
      <w:r w:rsidRPr="00AA14EA">
        <w:rPr>
          <w:szCs w:val="28"/>
        </w:rPr>
        <w:t>give it an attrac</w:t>
      </w:r>
      <w:r w:rsidRPr="00AA14EA">
        <w:rPr>
          <w:szCs w:val="28"/>
        </w:rPr>
        <w:softHyphen/>
        <w:t>tive</w:t>
      </w:r>
      <w:r w:rsidRPr="00AA14EA">
        <w:rPr>
          <w:szCs w:val="28"/>
        </w:rPr>
        <w:softHyphen/>
        <w:t>ness quite in ex</w:t>
      </w:r>
      <w:r w:rsidRPr="00AA14EA">
        <w:rPr>
          <w:szCs w:val="28"/>
        </w:rPr>
        <w:softHyphen/>
        <w:t>cess of its own inherent probability</w:t>
      </w:r>
      <w:r w:rsidRPr="005F51B1">
        <w:rPr>
          <w:szCs w:val="28"/>
        </w:rPr>
        <w:t>. . . .</w:t>
      </w:r>
      <w:r w:rsidRPr="00AA14EA">
        <w:rPr>
          <w:szCs w:val="28"/>
        </w:rPr>
        <w:t xml:space="preserve"> The lin</w:t>
      </w:r>
      <w:r w:rsidRPr="00AA14EA">
        <w:rPr>
          <w:szCs w:val="28"/>
        </w:rPr>
        <w:softHyphen/>
        <w:t xml:space="preserve">guistic evidence to which it appeals requires great delicacy of judgment and a balance of expert knowledge concerning the idioms of two languages </w:t>
      </w:r>
      <w:r w:rsidRPr="005F51B1">
        <w:rPr>
          <w:szCs w:val="28"/>
        </w:rPr>
        <w:t>. . .</w:t>
      </w:r>
      <w:r w:rsidRPr="00AA14EA">
        <w:rPr>
          <w:rStyle w:val="FootnoteReference"/>
          <w:szCs w:val="28"/>
        </w:rPr>
        <w:footnoteReference w:id="487"/>
      </w:r>
    </w:p>
    <w:p w14:paraId="14807280" w14:textId="77777777" w:rsidR="0018433B" w:rsidRPr="00AA14EA" w:rsidRDefault="0018433B" w:rsidP="0018433B">
      <w:pPr>
        <w:rPr>
          <w:szCs w:val="28"/>
        </w:rPr>
      </w:pPr>
    </w:p>
    <w:p w14:paraId="1EB56741" w14:textId="48A0DEBE" w:rsidR="0018433B" w:rsidRPr="00AA14EA" w:rsidRDefault="0018433B" w:rsidP="0018433B">
      <w:pPr>
        <w:rPr>
          <w:szCs w:val="28"/>
        </w:rPr>
      </w:pPr>
      <w:r w:rsidRPr="00AA14EA">
        <w:rPr>
          <w:szCs w:val="28"/>
        </w:rPr>
        <w:t>Second</w:t>
      </w:r>
      <w:r w:rsidR="006F304D" w:rsidRPr="006F304D">
        <w:rPr>
          <w:szCs w:val="28"/>
        </w:rPr>
        <w:t xml:space="preserve">, </w:t>
      </w:r>
      <w:r w:rsidRPr="00AA14EA">
        <w:rPr>
          <w:szCs w:val="28"/>
        </w:rPr>
        <w:t>of the thirty verses in Luke’s sermon on the plain</w:t>
      </w:r>
      <w:r w:rsidR="006F304D" w:rsidRPr="006F304D">
        <w:rPr>
          <w:szCs w:val="28"/>
        </w:rPr>
        <w:t xml:space="preserve">, </w:t>
      </w:r>
      <w:r w:rsidRPr="00AA14EA">
        <w:rPr>
          <w:szCs w:val="28"/>
        </w:rPr>
        <w:t>Burney considers only half; and for eight of these fifteen verses</w:t>
      </w:r>
      <w:r w:rsidR="006F304D" w:rsidRPr="006F304D">
        <w:rPr>
          <w:szCs w:val="28"/>
        </w:rPr>
        <w:t xml:space="preserve">, </w:t>
      </w:r>
      <w:r w:rsidRPr="00AA14EA">
        <w:rPr>
          <w:szCs w:val="28"/>
        </w:rPr>
        <w:t>the Mat</w:t>
      </w:r>
      <w:r w:rsidRPr="00AA14EA">
        <w:rPr>
          <w:szCs w:val="28"/>
        </w:rPr>
        <w:softHyphen/>
        <w:t>thean parallel</w:t>
      </w:r>
      <w:r w:rsidR="006F304D" w:rsidRPr="006F304D">
        <w:rPr>
          <w:szCs w:val="28"/>
        </w:rPr>
        <w:t xml:space="preserve">, </w:t>
      </w:r>
      <w:r w:rsidRPr="00AA14EA">
        <w:rPr>
          <w:szCs w:val="28"/>
        </w:rPr>
        <w:t>not Luke’s version</w:t>
      </w:r>
      <w:r w:rsidR="006F304D" w:rsidRPr="006F304D">
        <w:rPr>
          <w:szCs w:val="28"/>
        </w:rPr>
        <w:t xml:space="preserve">, </w:t>
      </w:r>
      <w:r w:rsidRPr="00AA14EA">
        <w:rPr>
          <w:szCs w:val="28"/>
        </w:rPr>
        <w:t>is used (Matt 5:3-12 = Luke 6:20-26; Matt 10:24-27 = Luke 6:40). For three other verses (Luke 6:36-38)</w:t>
      </w:r>
      <w:r w:rsidR="006F304D" w:rsidRPr="006F304D">
        <w:rPr>
          <w:szCs w:val="28"/>
        </w:rPr>
        <w:t xml:space="preserve">, </w:t>
      </w:r>
      <w:r w:rsidRPr="00AA14EA">
        <w:rPr>
          <w:szCs w:val="28"/>
        </w:rPr>
        <w:t>only the English is given</w:t>
      </w:r>
      <w:r w:rsidR="006F304D" w:rsidRPr="006F304D">
        <w:rPr>
          <w:szCs w:val="28"/>
        </w:rPr>
        <w:t xml:space="preserve">, </w:t>
      </w:r>
      <w:r w:rsidRPr="00AA14EA">
        <w:rPr>
          <w:szCs w:val="28"/>
        </w:rPr>
        <w:t>and even these re</w:t>
      </w:r>
      <w:r w:rsidRPr="00AA14EA">
        <w:rPr>
          <w:szCs w:val="28"/>
        </w:rPr>
        <w:softHyphen/>
        <w:t>quire emenda</w:t>
      </w:r>
      <w:r w:rsidRPr="00AA14EA">
        <w:rPr>
          <w:szCs w:val="28"/>
        </w:rPr>
        <w:softHyphen/>
        <w:t>tion to make the rhythm come out right. This leaves four verses (27-29</w:t>
      </w:r>
      <w:r w:rsidR="006F304D" w:rsidRPr="006F304D">
        <w:rPr>
          <w:szCs w:val="28"/>
        </w:rPr>
        <w:t xml:space="preserve">, </w:t>
      </w:r>
      <w:r w:rsidRPr="00AA14EA">
        <w:rPr>
          <w:szCs w:val="28"/>
        </w:rPr>
        <w:t>39) whose treatment by Burney is fully ade</w:t>
      </w:r>
      <w:r w:rsidRPr="00AA14EA">
        <w:rPr>
          <w:szCs w:val="28"/>
        </w:rPr>
        <w:softHyphen/>
        <w:t>quate for the purpose of determining the ser</w:t>
      </w:r>
      <w:r w:rsidRPr="00AA14EA">
        <w:rPr>
          <w:szCs w:val="28"/>
        </w:rPr>
        <w:softHyphen/>
        <w:t>mon’s struc</w:t>
      </w:r>
      <w:r w:rsidRPr="00AA14EA">
        <w:rPr>
          <w:szCs w:val="28"/>
        </w:rPr>
        <w:softHyphen/>
        <w:t>ture. These verses may very well possess the underlying Aramaic rhythms that Burney at</w:t>
      </w:r>
      <w:r w:rsidRPr="00AA14EA">
        <w:rPr>
          <w:szCs w:val="28"/>
        </w:rPr>
        <w:softHyphen/>
        <w:t>tributes to them; but then the unity of 27-29 on the one hand and of 39 on the other—and the unity of these verses is pretty much all that is es</w:t>
      </w:r>
      <w:r w:rsidRPr="00AA14EA">
        <w:rPr>
          <w:szCs w:val="28"/>
        </w:rPr>
        <w:softHyphen/>
        <w:t>tab</w:t>
      </w:r>
      <w:r w:rsidRPr="00AA14EA">
        <w:rPr>
          <w:szCs w:val="28"/>
        </w:rPr>
        <w:softHyphen/>
        <w:t>lished by this evi</w:t>
      </w:r>
      <w:r w:rsidRPr="00AA14EA">
        <w:rPr>
          <w:szCs w:val="28"/>
        </w:rPr>
        <w:softHyphen/>
        <w:t>dence—is easily ap</w:t>
      </w:r>
      <w:r w:rsidRPr="00AA14EA">
        <w:rPr>
          <w:szCs w:val="28"/>
        </w:rPr>
        <w:softHyphen/>
        <w:t>par</w:t>
      </w:r>
      <w:r w:rsidRPr="00AA14EA">
        <w:rPr>
          <w:szCs w:val="28"/>
        </w:rPr>
        <w:softHyphen/>
        <w:t>ent on other grounds.</w:t>
      </w:r>
      <w:r w:rsidRPr="00AA14EA">
        <w:rPr>
          <w:rStyle w:val="FootnoteReference"/>
          <w:szCs w:val="28"/>
        </w:rPr>
        <w:footnoteReference w:id="488"/>
      </w:r>
    </w:p>
    <w:p w14:paraId="3046D86B" w14:textId="2B6861E9" w:rsidR="0018433B" w:rsidRPr="00AA14EA" w:rsidRDefault="0018433B" w:rsidP="0018433B">
      <w:pPr>
        <w:rPr>
          <w:szCs w:val="28"/>
        </w:rPr>
      </w:pPr>
      <w:r w:rsidRPr="00AA14EA">
        <w:rPr>
          <w:szCs w:val="28"/>
        </w:rPr>
        <w:tab/>
        <w:t>One cannot criticize Burney for failing to treat all of the sermon on the plain</w:t>
      </w:r>
      <w:r w:rsidR="006F304D" w:rsidRPr="006F304D">
        <w:rPr>
          <w:szCs w:val="28"/>
        </w:rPr>
        <w:t xml:space="preserve">, </w:t>
      </w:r>
      <w:r w:rsidRPr="00AA14EA">
        <w:rPr>
          <w:szCs w:val="28"/>
        </w:rPr>
        <w:t>or for failing to treat his selections from it in an equally full manner</w:t>
      </w:r>
      <w:r w:rsidR="006F304D" w:rsidRPr="006F304D">
        <w:rPr>
          <w:szCs w:val="28"/>
        </w:rPr>
        <w:t xml:space="preserve">, </w:t>
      </w:r>
      <w:r w:rsidRPr="00AA14EA">
        <w:rPr>
          <w:szCs w:val="28"/>
        </w:rPr>
        <w:t>since these were not his intentions. But his inves</w:t>
      </w:r>
      <w:r w:rsidRPr="00AA14EA">
        <w:rPr>
          <w:szCs w:val="28"/>
        </w:rPr>
        <w:softHyphen/>
        <w:t>tigation into Aramaic rhy</w:t>
      </w:r>
      <w:r w:rsidRPr="00AA14EA">
        <w:rPr>
          <w:szCs w:val="28"/>
        </w:rPr>
        <w:softHyphen/>
        <w:t>thms in the NT does yield meager results for determining the sermon’s struc</w:t>
      </w:r>
      <w:r w:rsidRPr="00AA14EA">
        <w:rPr>
          <w:szCs w:val="28"/>
        </w:rPr>
        <w:softHyphen/>
        <w:t>ture.</w:t>
      </w:r>
    </w:p>
    <w:p w14:paraId="28E9565E" w14:textId="5B6F7F67" w:rsidR="0018433B" w:rsidRPr="00AA14EA" w:rsidRDefault="0018433B" w:rsidP="0018433B">
      <w:pPr>
        <w:rPr>
          <w:szCs w:val="28"/>
        </w:rPr>
      </w:pPr>
      <w:bookmarkStart w:id="57" w:name="rhythm__Ernst"/>
      <w:bookmarkEnd w:id="57"/>
      <w:r w:rsidRPr="00AA14EA">
        <w:rPr>
          <w:szCs w:val="28"/>
        </w:rPr>
        <w:tab/>
        <w:t>Has any more recent investigator of Luke’s sermon followed up Burney’s lead? We have already mentioned more than once Joachim Jeremias’ discussion of rhy</w:t>
      </w:r>
      <w:r w:rsidRPr="00AA14EA">
        <w:rPr>
          <w:szCs w:val="28"/>
        </w:rPr>
        <w:softHyphen/>
        <w:t xml:space="preserve">thm in </w:t>
      </w:r>
      <w:r w:rsidRPr="00AA14EA">
        <w:rPr>
          <w:i/>
          <w:iCs/>
          <w:szCs w:val="28"/>
        </w:rPr>
        <w:t>NT Theology</w:t>
      </w:r>
      <w:r w:rsidRPr="00AA14EA">
        <w:rPr>
          <w:iCs/>
          <w:szCs w:val="28"/>
        </w:rPr>
        <w:t>,</w:t>
      </w:r>
      <w:r w:rsidRPr="00AA14EA">
        <w:rPr>
          <w:rStyle w:val="FootnoteReference"/>
          <w:szCs w:val="28"/>
        </w:rPr>
        <w:footnoteReference w:id="489"/>
      </w:r>
      <w:r w:rsidRPr="00AA14EA">
        <w:rPr>
          <w:szCs w:val="28"/>
        </w:rPr>
        <w:t xml:space="preserve"> but that treatment is largely a re-pres</w:t>
      </w:r>
      <w:r w:rsidRPr="00AA14EA">
        <w:rPr>
          <w:szCs w:val="28"/>
        </w:rPr>
        <w:softHyphen/>
        <w:t>entation of Burney’s work. One contemporary scholar</w:t>
      </w:r>
      <w:r w:rsidR="006F304D" w:rsidRPr="006F304D">
        <w:rPr>
          <w:szCs w:val="28"/>
        </w:rPr>
        <w:t xml:space="preserve">, </w:t>
      </w:r>
      <w:r w:rsidRPr="00AA14EA">
        <w:rPr>
          <w:szCs w:val="28"/>
        </w:rPr>
        <w:t>L. John To</w:t>
      </w:r>
      <w:r w:rsidRPr="00AA14EA">
        <w:rPr>
          <w:szCs w:val="28"/>
        </w:rPr>
        <w:softHyphen/>
        <w:t>pel</w:t>
      </w:r>
      <w:r w:rsidR="006F304D" w:rsidRPr="006F304D">
        <w:rPr>
          <w:szCs w:val="28"/>
        </w:rPr>
        <w:t xml:space="preserve">, </w:t>
      </w:r>
      <w:r w:rsidRPr="00AA14EA">
        <w:rPr>
          <w:szCs w:val="28"/>
        </w:rPr>
        <w:t>has claimed that the German exegete</w:t>
      </w:r>
      <w:r w:rsidR="006F304D" w:rsidRPr="006F304D">
        <w:rPr>
          <w:szCs w:val="28"/>
        </w:rPr>
        <w:t xml:space="preserve">, </w:t>
      </w:r>
      <w:r w:rsidRPr="00AA14EA">
        <w:rPr>
          <w:szCs w:val="28"/>
        </w:rPr>
        <w:t>Josef Ernst—</w:t>
      </w:r>
      <w:r w:rsidRPr="00AA14EA">
        <w:rPr>
          <w:szCs w:val="28"/>
        </w:rPr>
        <w:softHyphen/>
        <w:t>whose 1977 commen</w:t>
      </w:r>
      <w:r w:rsidRPr="00AA14EA">
        <w:rPr>
          <w:szCs w:val="28"/>
        </w:rPr>
        <w:softHyphen/>
        <w:t>tary</w:t>
      </w:r>
      <w:r w:rsidR="006F304D" w:rsidRPr="006F304D">
        <w:rPr>
          <w:szCs w:val="28"/>
        </w:rPr>
        <w:t xml:space="preserve">, </w:t>
      </w:r>
      <w:r w:rsidRPr="00AA14EA">
        <w:rPr>
          <w:i/>
          <w:iCs/>
          <w:szCs w:val="28"/>
        </w:rPr>
        <w:t>Das Evan</w:t>
      </w:r>
      <w:r w:rsidRPr="00AA14EA">
        <w:rPr>
          <w:i/>
          <w:iCs/>
          <w:szCs w:val="28"/>
        </w:rPr>
        <w:softHyphen/>
        <w:t xml:space="preserve">gelium </w:t>
      </w:r>
      <w:proofErr w:type="spellStart"/>
      <w:r w:rsidRPr="00AA14EA">
        <w:rPr>
          <w:i/>
          <w:iCs/>
          <w:szCs w:val="28"/>
        </w:rPr>
        <w:t>nach</w:t>
      </w:r>
      <w:proofErr w:type="spellEnd"/>
      <w:r w:rsidRPr="00AA14EA">
        <w:rPr>
          <w:i/>
          <w:iCs/>
          <w:szCs w:val="28"/>
        </w:rPr>
        <w:t xml:space="preserve"> Lukas </w:t>
      </w:r>
      <w:proofErr w:type="spellStart"/>
      <w:r w:rsidRPr="00AA14EA">
        <w:rPr>
          <w:i/>
          <w:iCs/>
          <w:szCs w:val="28"/>
        </w:rPr>
        <w:t>über</w:t>
      </w:r>
      <w:r w:rsidRPr="00AA14EA">
        <w:rPr>
          <w:i/>
          <w:iCs/>
          <w:szCs w:val="28"/>
        </w:rPr>
        <w:softHyphen/>
        <w:t>setzt</w:t>
      </w:r>
      <w:proofErr w:type="spellEnd"/>
      <w:r w:rsidRPr="00AA14EA">
        <w:rPr>
          <w:i/>
          <w:iCs/>
          <w:szCs w:val="28"/>
        </w:rPr>
        <w:t xml:space="preserve"> und </w:t>
      </w:r>
      <w:proofErr w:type="spellStart"/>
      <w:r w:rsidRPr="00AA14EA">
        <w:rPr>
          <w:i/>
          <w:iCs/>
          <w:szCs w:val="28"/>
        </w:rPr>
        <w:t>erklärt</w:t>
      </w:r>
      <w:proofErr w:type="spellEnd"/>
      <w:r w:rsidR="006F304D" w:rsidRPr="006F304D">
        <w:rPr>
          <w:iCs/>
          <w:szCs w:val="28"/>
        </w:rPr>
        <w:t xml:space="preserve">, </w:t>
      </w:r>
      <w:r w:rsidRPr="00AA14EA">
        <w:rPr>
          <w:szCs w:val="28"/>
        </w:rPr>
        <w:t>replaced Josef Schmid’s volume in the Regens</w:t>
      </w:r>
      <w:r w:rsidRPr="00AA14EA">
        <w:rPr>
          <w:szCs w:val="28"/>
        </w:rPr>
        <w:softHyphen/>
        <w:t>burger Neues Tes</w:t>
      </w:r>
      <w:r w:rsidRPr="00AA14EA">
        <w:rPr>
          <w:szCs w:val="28"/>
        </w:rPr>
        <w:softHyphen/>
        <w:t>tament—shows Burney’s influ</w:t>
      </w:r>
      <w:r w:rsidRPr="00AA14EA">
        <w:rPr>
          <w:szCs w:val="28"/>
        </w:rPr>
        <w:softHyphen/>
        <w:t>ence in Ernst’s treat</w:t>
      </w:r>
      <w:r w:rsidRPr="00AA14EA">
        <w:rPr>
          <w:szCs w:val="28"/>
        </w:rPr>
        <w:softHyphen/>
        <w:t>ment of the structure of the sermon. Concerning Luke 6:27-38</w:t>
      </w:r>
      <w:r w:rsidR="006F304D" w:rsidRPr="006F304D">
        <w:rPr>
          <w:szCs w:val="28"/>
        </w:rPr>
        <w:t xml:space="preserve">, </w:t>
      </w:r>
      <w:r w:rsidRPr="00AA14EA">
        <w:rPr>
          <w:szCs w:val="28"/>
        </w:rPr>
        <w:t xml:space="preserve">Topel writes that “Ernst divides this section into </w:t>
      </w:r>
      <w:r w:rsidRPr="00AA14EA">
        <w:rPr>
          <w:i/>
          <w:iCs/>
          <w:szCs w:val="28"/>
        </w:rPr>
        <w:t>three stro</w:t>
      </w:r>
      <w:r w:rsidRPr="00AA14EA">
        <w:rPr>
          <w:i/>
          <w:iCs/>
          <w:szCs w:val="28"/>
        </w:rPr>
        <w:softHyphen/>
        <w:t>phes</w:t>
      </w:r>
      <w:r w:rsidRPr="00AA14EA">
        <w:rPr>
          <w:szCs w:val="28"/>
        </w:rPr>
        <w:t>: a double rhythmed (6:27-31)</w:t>
      </w:r>
      <w:r w:rsidR="006F304D" w:rsidRPr="006F304D">
        <w:rPr>
          <w:szCs w:val="28"/>
        </w:rPr>
        <w:t xml:space="preserve">, </w:t>
      </w:r>
      <w:r w:rsidRPr="00AA14EA">
        <w:rPr>
          <w:szCs w:val="28"/>
        </w:rPr>
        <w:t>a triple rhythmed (6:32-35b)</w:t>
      </w:r>
      <w:r w:rsidR="006F304D" w:rsidRPr="006F304D">
        <w:rPr>
          <w:szCs w:val="28"/>
        </w:rPr>
        <w:t xml:space="preserve">, </w:t>
      </w:r>
      <w:r w:rsidRPr="00AA14EA">
        <w:rPr>
          <w:szCs w:val="28"/>
        </w:rPr>
        <w:t>and a final double rhyth</w:t>
      </w:r>
      <w:r w:rsidRPr="00AA14EA">
        <w:rPr>
          <w:szCs w:val="28"/>
        </w:rPr>
        <w:softHyphen/>
        <w:t>med (6:35c-38c).”</w:t>
      </w:r>
      <w:r w:rsidRPr="00AA14EA">
        <w:rPr>
          <w:rStyle w:val="FootnoteReference"/>
          <w:szCs w:val="28"/>
        </w:rPr>
        <w:footnoteReference w:id="490"/>
      </w:r>
    </w:p>
    <w:p w14:paraId="1AA3114B" w14:textId="07EC1A44" w:rsidR="0018433B" w:rsidRPr="00AA14EA" w:rsidRDefault="0018433B" w:rsidP="0018433B">
      <w:pPr>
        <w:rPr>
          <w:szCs w:val="28"/>
        </w:rPr>
      </w:pPr>
      <w:r w:rsidRPr="00AA14EA">
        <w:rPr>
          <w:szCs w:val="28"/>
        </w:rPr>
        <w:lastRenderedPageBreak/>
        <w:tab/>
        <w:t>While direct dependence on Burney may or may not have oc</w:t>
      </w:r>
      <w:r w:rsidRPr="00AA14EA">
        <w:rPr>
          <w:szCs w:val="28"/>
        </w:rPr>
        <w:softHyphen/>
        <w:t>curred</w:t>
      </w:r>
      <w:r w:rsidR="006F304D" w:rsidRPr="006F304D">
        <w:rPr>
          <w:szCs w:val="28"/>
        </w:rPr>
        <w:t xml:space="preserve">, </w:t>
      </w:r>
      <w:r w:rsidRPr="00AA14EA">
        <w:rPr>
          <w:szCs w:val="28"/>
        </w:rPr>
        <w:t>Ernst does discuss the poetic nature of the sermon. Here is his primary statement.</w:t>
      </w:r>
    </w:p>
    <w:p w14:paraId="7CDB261C" w14:textId="77777777" w:rsidR="0018433B" w:rsidRPr="00AA14EA" w:rsidRDefault="0018433B" w:rsidP="0018433B">
      <w:pPr>
        <w:rPr>
          <w:szCs w:val="28"/>
        </w:rPr>
      </w:pPr>
    </w:p>
    <w:p w14:paraId="7E520564" w14:textId="0BE8A0EF" w:rsidR="0018433B" w:rsidRPr="00AA14EA" w:rsidRDefault="0018433B" w:rsidP="0018433B">
      <w:pPr>
        <w:ind w:left="720" w:right="720"/>
        <w:rPr>
          <w:szCs w:val="28"/>
        </w:rPr>
      </w:pPr>
      <w:r w:rsidRPr="00AA14EA">
        <w:rPr>
          <w:szCs w:val="28"/>
        </w:rPr>
        <w:t>The so-called parenetic section of the sermon on the plain con</w:t>
      </w:r>
      <w:r w:rsidRPr="00AA14EA">
        <w:rPr>
          <w:szCs w:val="28"/>
        </w:rPr>
        <w:softHyphen/>
        <w:t>tains (1) a collection of sayings on the theme</w:t>
      </w:r>
      <w:r w:rsidR="006F304D" w:rsidRPr="006F304D">
        <w:rPr>
          <w:szCs w:val="28"/>
        </w:rPr>
        <w:t xml:space="preserve">, </w:t>
      </w:r>
      <w:r w:rsidRPr="00AA14EA">
        <w:rPr>
          <w:szCs w:val="28"/>
        </w:rPr>
        <w:t>“love of enemies” (6:27-35) and (2) logia of various origins and coinage</w:t>
      </w:r>
      <w:r w:rsidR="006F304D" w:rsidRPr="006F304D">
        <w:rPr>
          <w:szCs w:val="28"/>
        </w:rPr>
        <w:t xml:space="preserve">, </w:t>
      </w:r>
      <w:r w:rsidRPr="00AA14EA">
        <w:rPr>
          <w:szCs w:val="28"/>
        </w:rPr>
        <w:t>which make the mes</w:t>
      </w:r>
      <w:r w:rsidRPr="00AA14EA">
        <w:rPr>
          <w:szCs w:val="28"/>
        </w:rPr>
        <w:softHyphen/>
        <w:t>sage of love con</w:t>
      </w:r>
      <w:r w:rsidRPr="00AA14EA">
        <w:rPr>
          <w:szCs w:val="28"/>
        </w:rPr>
        <w:softHyphen/>
        <w:t>crete in practical relationships (6:37-38). The call to be merciful according to the example of God (36) binds the two sections together.</w:t>
      </w:r>
    </w:p>
    <w:p w14:paraId="2BA5CC09" w14:textId="7116B6DD" w:rsidR="0018433B" w:rsidRPr="00AA14EA" w:rsidRDefault="0018433B" w:rsidP="0018433B">
      <w:pPr>
        <w:ind w:left="720" w:right="720"/>
        <w:rPr>
          <w:szCs w:val="28"/>
        </w:rPr>
      </w:pPr>
      <w:r w:rsidRPr="00AA14EA">
        <w:rPr>
          <w:szCs w:val="28"/>
        </w:rPr>
        <w:t>The poetic character shows itself in the apportioning of the whole pericope into strophes and lines: after a first set of four lines</w:t>
      </w:r>
      <w:r w:rsidR="006F304D" w:rsidRPr="006F304D">
        <w:rPr>
          <w:szCs w:val="28"/>
        </w:rPr>
        <w:t xml:space="preserve">, </w:t>
      </w:r>
      <w:r w:rsidRPr="00AA14EA">
        <w:rPr>
          <w:szCs w:val="28"/>
        </w:rPr>
        <w:t>which contain the key message</w:t>
      </w:r>
      <w:r w:rsidR="006F304D" w:rsidRPr="006F304D">
        <w:rPr>
          <w:szCs w:val="28"/>
        </w:rPr>
        <w:t xml:space="preserve">, </w:t>
      </w:r>
      <w:r w:rsidRPr="00AA14EA">
        <w:rPr>
          <w:szCs w:val="28"/>
        </w:rPr>
        <w:t>“love your enemies” (27-28)</w:t>
      </w:r>
      <w:r w:rsidR="006F304D" w:rsidRPr="006F304D">
        <w:rPr>
          <w:szCs w:val="28"/>
        </w:rPr>
        <w:t xml:space="preserve">, </w:t>
      </w:r>
      <w:r w:rsidRPr="00AA14EA">
        <w:rPr>
          <w:szCs w:val="28"/>
        </w:rPr>
        <w:t>come two coup</w:t>
      </w:r>
      <w:r w:rsidRPr="00AA14EA">
        <w:rPr>
          <w:szCs w:val="28"/>
        </w:rPr>
        <w:softHyphen/>
        <w:t>lets in particip</w:t>
      </w:r>
      <w:r w:rsidRPr="00AA14EA">
        <w:rPr>
          <w:szCs w:val="28"/>
        </w:rPr>
        <w:softHyphen/>
        <w:t>ial form</w:t>
      </w:r>
      <w:r w:rsidR="006F304D" w:rsidRPr="006F304D">
        <w:rPr>
          <w:szCs w:val="28"/>
        </w:rPr>
        <w:t xml:space="preserve">, </w:t>
      </w:r>
      <w:r w:rsidRPr="00AA14EA">
        <w:rPr>
          <w:szCs w:val="28"/>
        </w:rPr>
        <w:t>which explain by graphic examples the demand for renunciation (29) and for unreserved self-surrender (30). The golden rule (31) encap</w:t>
      </w:r>
      <w:r w:rsidRPr="00AA14EA">
        <w:rPr>
          <w:szCs w:val="28"/>
        </w:rPr>
        <w:softHyphen/>
        <w:t>sulates the prophetic radicalism of the foregoing in</w:t>
      </w:r>
      <w:r w:rsidRPr="00AA14EA">
        <w:rPr>
          <w:szCs w:val="28"/>
        </w:rPr>
        <w:softHyphen/>
        <w:t>struc</w:t>
      </w:r>
      <w:r w:rsidRPr="00AA14EA">
        <w:rPr>
          <w:szCs w:val="28"/>
        </w:rPr>
        <w:softHyphen/>
        <w:t>tions in a saying widespread in Juda</w:t>
      </w:r>
      <w:r w:rsidRPr="00AA14EA">
        <w:rPr>
          <w:szCs w:val="28"/>
        </w:rPr>
        <w:softHyphen/>
        <w:t>ism.</w:t>
      </w:r>
    </w:p>
    <w:p w14:paraId="12912EBE" w14:textId="0D65608E" w:rsidR="0018433B" w:rsidRPr="00AA14EA" w:rsidRDefault="0018433B" w:rsidP="0018433B">
      <w:pPr>
        <w:ind w:left="720" w:right="720"/>
        <w:rPr>
          <w:szCs w:val="28"/>
        </w:rPr>
      </w:pPr>
      <w:r w:rsidRPr="00AA14EA">
        <w:rPr>
          <w:szCs w:val="28"/>
        </w:rPr>
        <w:t>The second strophe exemplifies</w:t>
      </w:r>
      <w:r w:rsidR="006F304D" w:rsidRPr="006F304D">
        <w:rPr>
          <w:szCs w:val="28"/>
        </w:rPr>
        <w:t xml:space="preserve">, </w:t>
      </w:r>
      <w:r w:rsidRPr="00AA14EA">
        <w:rPr>
          <w:szCs w:val="28"/>
        </w:rPr>
        <w:t>in three examples having the same formal</w:t>
      </w:r>
      <w:r w:rsidR="006F304D" w:rsidRPr="006F304D">
        <w:rPr>
          <w:szCs w:val="28"/>
        </w:rPr>
        <w:t xml:space="preserve">, </w:t>
      </w:r>
      <w:r w:rsidRPr="00AA14EA">
        <w:rPr>
          <w:szCs w:val="28"/>
        </w:rPr>
        <w:t>rhetorical structure</w:t>
      </w:r>
      <w:r w:rsidR="006F304D" w:rsidRPr="006F304D">
        <w:rPr>
          <w:szCs w:val="28"/>
        </w:rPr>
        <w:t xml:space="preserve">, </w:t>
      </w:r>
      <w:r w:rsidRPr="005F51B1">
        <w:rPr>
          <w:szCs w:val="28"/>
        </w:rPr>
        <w:t>. . .</w:t>
      </w:r>
      <w:r w:rsidRPr="00AA14EA">
        <w:rPr>
          <w:szCs w:val="28"/>
        </w:rPr>
        <w:t xml:space="preserve"> the problem of “normal” relation</w:t>
      </w:r>
      <w:r w:rsidRPr="00AA14EA">
        <w:rPr>
          <w:szCs w:val="28"/>
        </w:rPr>
        <w:softHyphen/>
        <w:t>ships (32-34)</w:t>
      </w:r>
      <w:r w:rsidR="006F304D" w:rsidRPr="006F304D">
        <w:rPr>
          <w:szCs w:val="28"/>
        </w:rPr>
        <w:t xml:space="preserve">, </w:t>
      </w:r>
      <w:r w:rsidRPr="00AA14EA">
        <w:rPr>
          <w:szCs w:val="28"/>
        </w:rPr>
        <w:t>in order to take up anew the central message of love of enemies</w:t>
      </w:r>
      <w:r w:rsidR="006F304D" w:rsidRPr="006F304D">
        <w:rPr>
          <w:szCs w:val="28"/>
        </w:rPr>
        <w:t xml:space="preserve">, </w:t>
      </w:r>
      <w:r w:rsidRPr="00AA14EA">
        <w:rPr>
          <w:szCs w:val="28"/>
        </w:rPr>
        <w:t>by means of keywords taken from the foregoing ad</w:t>
      </w:r>
      <w:r w:rsidRPr="00AA14EA">
        <w:rPr>
          <w:szCs w:val="28"/>
        </w:rPr>
        <w:softHyphen/>
        <w:t>mon</w:t>
      </w:r>
      <w:r w:rsidRPr="00AA14EA">
        <w:rPr>
          <w:szCs w:val="28"/>
        </w:rPr>
        <w:softHyphen/>
        <w:t>i</w:t>
      </w:r>
      <w:r w:rsidRPr="00AA14EA">
        <w:rPr>
          <w:szCs w:val="28"/>
        </w:rPr>
        <w:softHyphen/>
        <w:t>tion. “An act of love is first brought to perfec</w:t>
      </w:r>
      <w:r w:rsidRPr="00AA14EA">
        <w:rPr>
          <w:szCs w:val="28"/>
        </w:rPr>
        <w:softHyphen/>
        <w:t>tion when it is done without hope of reward” (F. Hauck</w:t>
      </w:r>
      <w:r w:rsidR="006F304D" w:rsidRPr="006F304D">
        <w:rPr>
          <w:szCs w:val="28"/>
        </w:rPr>
        <w:t xml:space="preserve">, </w:t>
      </w:r>
      <w:r w:rsidRPr="00AA14EA">
        <w:rPr>
          <w:i/>
          <w:iCs/>
          <w:szCs w:val="28"/>
        </w:rPr>
        <w:t>Lukas</w:t>
      </w:r>
      <w:r w:rsidR="006F304D" w:rsidRPr="006F304D">
        <w:rPr>
          <w:iCs/>
          <w:szCs w:val="28"/>
        </w:rPr>
        <w:t xml:space="preserve">, </w:t>
      </w:r>
      <w:r w:rsidRPr="00AA14EA">
        <w:rPr>
          <w:szCs w:val="28"/>
        </w:rPr>
        <w:t>87). While the first strophe is summed up in a general remark on con</w:t>
      </w:r>
      <w:r w:rsidRPr="00AA14EA">
        <w:rPr>
          <w:szCs w:val="28"/>
        </w:rPr>
        <w:softHyphen/>
        <w:t>duct between persons [verse 31]</w:t>
      </w:r>
      <w:r w:rsidR="006F304D" w:rsidRPr="006F304D">
        <w:rPr>
          <w:szCs w:val="28"/>
        </w:rPr>
        <w:t xml:space="preserve">, </w:t>
      </w:r>
      <w:r w:rsidRPr="00AA14EA">
        <w:rPr>
          <w:szCs w:val="28"/>
        </w:rPr>
        <w:t>the second ends with a reference to the be</w:t>
      </w:r>
      <w:r w:rsidRPr="00AA14EA">
        <w:rPr>
          <w:szCs w:val="28"/>
        </w:rPr>
        <w:softHyphen/>
        <w:t>havior of God</w:t>
      </w:r>
      <w:r w:rsidR="006F304D" w:rsidRPr="006F304D">
        <w:rPr>
          <w:szCs w:val="28"/>
        </w:rPr>
        <w:t xml:space="preserve">, </w:t>
      </w:r>
      <w:r w:rsidRPr="00AA14EA">
        <w:rPr>
          <w:szCs w:val="28"/>
        </w:rPr>
        <w:t>to which the dis</w:t>
      </w:r>
      <w:r w:rsidRPr="00AA14EA">
        <w:rPr>
          <w:szCs w:val="28"/>
        </w:rPr>
        <w:softHyphen/>
        <w:t>ciples of Jesus must themselves be oriented (35b)</w:t>
      </w:r>
      <w:r w:rsidRPr="005F51B1">
        <w:rPr>
          <w:szCs w:val="28"/>
        </w:rPr>
        <w:t>. . . .</w:t>
      </w:r>
    </w:p>
    <w:p w14:paraId="66BAEEB6" w14:textId="4C8C746B" w:rsidR="0018433B" w:rsidRPr="00AA14EA" w:rsidRDefault="0018433B" w:rsidP="0018433B">
      <w:pPr>
        <w:ind w:left="720" w:right="720"/>
        <w:rPr>
          <w:szCs w:val="28"/>
        </w:rPr>
      </w:pPr>
      <w:r w:rsidRPr="00AA14EA">
        <w:rPr>
          <w:szCs w:val="28"/>
        </w:rPr>
        <w:t>In the middle of the third strophe (36-38</w:t>
      </w:r>
      <w:r w:rsidR="006F304D" w:rsidRPr="006F304D">
        <w:rPr>
          <w:szCs w:val="28"/>
        </w:rPr>
        <w:t xml:space="preserve">, </w:t>
      </w:r>
      <w:r w:rsidRPr="00AA14EA">
        <w:rPr>
          <w:szCs w:val="28"/>
        </w:rPr>
        <w:t>the second part of the parenetic section) stand four short instructions</w:t>
      </w:r>
      <w:r w:rsidR="006F304D" w:rsidRPr="006F304D">
        <w:rPr>
          <w:szCs w:val="28"/>
        </w:rPr>
        <w:t xml:space="preserve">, </w:t>
      </w:r>
      <w:r w:rsidRPr="00AA14EA">
        <w:rPr>
          <w:szCs w:val="28"/>
        </w:rPr>
        <w:t>which</w:t>
      </w:r>
      <w:r w:rsidR="006F304D" w:rsidRPr="006F304D">
        <w:rPr>
          <w:szCs w:val="28"/>
        </w:rPr>
        <w:t xml:space="preserve">, </w:t>
      </w:r>
      <w:r w:rsidRPr="00AA14EA">
        <w:rPr>
          <w:szCs w:val="28"/>
        </w:rPr>
        <w:t>by negative prohibitions (a + b) and positive exhorta</w:t>
      </w:r>
      <w:r w:rsidRPr="00AA14EA">
        <w:rPr>
          <w:szCs w:val="28"/>
        </w:rPr>
        <w:softHyphen/>
        <w:t>tions (c + d)</w:t>
      </w:r>
      <w:r w:rsidR="006F304D" w:rsidRPr="006F304D">
        <w:rPr>
          <w:szCs w:val="28"/>
        </w:rPr>
        <w:t xml:space="preserve">, </w:t>
      </w:r>
      <w:r w:rsidRPr="00AA14EA">
        <w:rPr>
          <w:szCs w:val="28"/>
        </w:rPr>
        <w:t>place the con</w:t>
      </w:r>
      <w:r w:rsidRPr="00AA14EA">
        <w:rPr>
          <w:szCs w:val="28"/>
        </w:rPr>
        <w:softHyphen/>
        <w:t>duct of men under the judgment of God (as condemna</w:t>
      </w:r>
      <w:r w:rsidRPr="00AA14EA">
        <w:rPr>
          <w:szCs w:val="28"/>
        </w:rPr>
        <w:softHyphen/>
        <w:t>tion or ac</w:t>
      </w:r>
      <w:r w:rsidRPr="00AA14EA">
        <w:rPr>
          <w:szCs w:val="28"/>
        </w:rPr>
        <w:softHyphen/>
        <w:t>quit</w:t>
      </w:r>
      <w:r w:rsidRPr="00AA14EA">
        <w:rPr>
          <w:szCs w:val="28"/>
        </w:rPr>
        <w:softHyphen/>
        <w:t>tal). The introductory sentence (36)</w:t>
      </w:r>
      <w:r w:rsidR="006F304D" w:rsidRPr="006F304D">
        <w:rPr>
          <w:szCs w:val="28"/>
        </w:rPr>
        <w:t xml:space="preserve">, </w:t>
      </w:r>
      <w:r w:rsidRPr="00AA14EA">
        <w:rPr>
          <w:szCs w:val="28"/>
        </w:rPr>
        <w:t>which speaks of mercy</w:t>
      </w:r>
      <w:r w:rsidR="006F304D" w:rsidRPr="006F304D">
        <w:rPr>
          <w:szCs w:val="28"/>
        </w:rPr>
        <w:t xml:space="preserve">, </w:t>
      </w:r>
      <w:r w:rsidRPr="00AA14EA">
        <w:rPr>
          <w:szCs w:val="28"/>
        </w:rPr>
        <w:t>must be understood as a general head</w:t>
      </w:r>
      <w:r w:rsidRPr="00AA14EA">
        <w:rPr>
          <w:szCs w:val="28"/>
        </w:rPr>
        <w:softHyphen/>
        <w:t>ing that links back to the overrid</w:t>
      </w:r>
      <w:r w:rsidRPr="00AA14EA">
        <w:rPr>
          <w:szCs w:val="28"/>
        </w:rPr>
        <w:softHyphen/>
        <w:t>ing theme. The state</w:t>
      </w:r>
      <w:r w:rsidRPr="00AA14EA">
        <w:rPr>
          <w:szCs w:val="28"/>
        </w:rPr>
        <w:softHyphen/>
        <w:t>ment con</w:t>
      </w:r>
      <w:r w:rsidRPr="00AA14EA">
        <w:rPr>
          <w:szCs w:val="28"/>
        </w:rPr>
        <w:softHyphen/>
        <w:t>cerning giving (38a) is as</w:t>
      </w:r>
      <w:r w:rsidRPr="00AA14EA">
        <w:rPr>
          <w:szCs w:val="28"/>
        </w:rPr>
        <w:softHyphen/>
        <w:t>sociated by means of the logion con</w:t>
      </w:r>
      <w:r w:rsidRPr="00AA14EA">
        <w:rPr>
          <w:szCs w:val="28"/>
        </w:rPr>
        <w:softHyphen/>
        <w:t>cerning measure</w:t>
      </w:r>
      <w:r w:rsidR="006F304D" w:rsidRPr="006F304D">
        <w:rPr>
          <w:szCs w:val="28"/>
        </w:rPr>
        <w:t xml:space="preserve">, </w:t>
      </w:r>
      <w:r w:rsidRPr="00AA14EA">
        <w:rPr>
          <w:szCs w:val="28"/>
        </w:rPr>
        <w:t>according to which the mea</w:t>
      </w:r>
      <w:r w:rsidRPr="00AA14EA">
        <w:rPr>
          <w:szCs w:val="28"/>
        </w:rPr>
        <w:softHyphen/>
        <w:t>sure received is the measure given.</w:t>
      </w:r>
      <w:r w:rsidRPr="00AA14EA">
        <w:rPr>
          <w:rStyle w:val="FootnoteReference"/>
          <w:szCs w:val="28"/>
        </w:rPr>
        <w:footnoteReference w:id="491"/>
      </w:r>
    </w:p>
    <w:p w14:paraId="2C64A518" w14:textId="77777777" w:rsidR="0018433B" w:rsidRPr="00AA14EA" w:rsidRDefault="0018433B" w:rsidP="0018433B">
      <w:pPr>
        <w:rPr>
          <w:szCs w:val="28"/>
        </w:rPr>
      </w:pPr>
    </w:p>
    <w:p w14:paraId="2C1E4F8E" w14:textId="6A4AEB01" w:rsidR="0018433B" w:rsidRPr="00AA14EA" w:rsidRDefault="0018433B" w:rsidP="0018433B">
      <w:pPr>
        <w:rPr>
          <w:szCs w:val="28"/>
        </w:rPr>
      </w:pPr>
      <w:r w:rsidRPr="00AA14EA">
        <w:rPr>
          <w:szCs w:val="28"/>
        </w:rPr>
        <w:tab/>
        <w:t>Ernst suggests that 6:27-38 are struc</w:t>
      </w:r>
      <w:r w:rsidRPr="00AA14EA">
        <w:rPr>
          <w:szCs w:val="28"/>
        </w:rPr>
        <w:softHyphen/>
      </w:r>
      <w:r w:rsidRPr="00AA14EA">
        <w:rPr>
          <w:szCs w:val="28"/>
        </w:rPr>
        <w:softHyphen/>
        <w:t>tured according to rhythm (“stro</w:t>
      </w:r>
      <w:r w:rsidRPr="00AA14EA">
        <w:rPr>
          <w:szCs w:val="28"/>
        </w:rPr>
        <w:softHyphen/>
        <w:t>phes and lines”)</w:t>
      </w:r>
      <w:r w:rsidR="006F304D" w:rsidRPr="006F304D">
        <w:rPr>
          <w:szCs w:val="28"/>
        </w:rPr>
        <w:t xml:space="preserve">, </w:t>
      </w:r>
      <w:r w:rsidRPr="00AA14EA">
        <w:rPr>
          <w:szCs w:val="28"/>
        </w:rPr>
        <w:t>but he does not follow through with a rhythmi</w:t>
      </w:r>
      <w:r w:rsidRPr="00AA14EA">
        <w:rPr>
          <w:szCs w:val="28"/>
        </w:rPr>
        <w:softHyphen/>
        <w:t>cal analysis. Though he says that “The poetic charac</w:t>
      </w:r>
      <w:r w:rsidRPr="00AA14EA">
        <w:rPr>
          <w:szCs w:val="28"/>
        </w:rPr>
        <w:softHyphen/>
        <w:t xml:space="preserve">ter shows itself in the apportioning of </w:t>
      </w:r>
      <w:r w:rsidRPr="00AA14EA">
        <w:rPr>
          <w:i/>
          <w:iCs/>
          <w:szCs w:val="28"/>
        </w:rPr>
        <w:t>the whole pericope</w:t>
      </w:r>
      <w:r w:rsidRPr="00AA14EA">
        <w:rPr>
          <w:szCs w:val="28"/>
        </w:rPr>
        <w:t xml:space="preserve"> into stro</w:t>
      </w:r>
      <w:r w:rsidRPr="00AA14EA">
        <w:rPr>
          <w:szCs w:val="28"/>
        </w:rPr>
        <w:softHyphen/>
        <w:t>phes and lines,” the only poetic details he sup</w:t>
      </w:r>
      <w:r w:rsidRPr="00AA14EA">
        <w:rPr>
          <w:szCs w:val="28"/>
        </w:rPr>
        <w:softHyphen/>
        <w:t>plies are the divi</w:t>
      </w:r>
      <w:r w:rsidRPr="00AA14EA">
        <w:rPr>
          <w:szCs w:val="28"/>
        </w:rPr>
        <w:softHyphen/>
        <w:t>sion into three strophes (27-31</w:t>
      </w:r>
      <w:r w:rsidR="006F304D" w:rsidRPr="006F304D">
        <w:rPr>
          <w:szCs w:val="28"/>
        </w:rPr>
        <w:t xml:space="preserve">, </w:t>
      </w:r>
      <w:r w:rsidRPr="00AA14EA">
        <w:rPr>
          <w:szCs w:val="28"/>
        </w:rPr>
        <w:t>32-35</w:t>
      </w:r>
      <w:r w:rsidR="006F304D" w:rsidRPr="006F304D">
        <w:rPr>
          <w:szCs w:val="28"/>
        </w:rPr>
        <w:t xml:space="preserve">, </w:t>
      </w:r>
      <w:r w:rsidRPr="00AA14EA">
        <w:rPr>
          <w:szCs w:val="28"/>
        </w:rPr>
        <w:t>36-38)</w:t>
      </w:r>
      <w:r w:rsidR="006F304D" w:rsidRPr="006F304D">
        <w:rPr>
          <w:szCs w:val="28"/>
        </w:rPr>
        <w:t xml:space="preserve">, </w:t>
      </w:r>
      <w:r w:rsidRPr="00AA14EA">
        <w:rPr>
          <w:szCs w:val="28"/>
        </w:rPr>
        <w:t>a re</w:t>
      </w:r>
      <w:r w:rsidRPr="00AA14EA">
        <w:rPr>
          <w:szCs w:val="28"/>
        </w:rPr>
        <w:softHyphen/>
        <w:t>fer</w:t>
      </w:r>
      <w:r w:rsidRPr="00AA14EA">
        <w:rPr>
          <w:szCs w:val="28"/>
        </w:rPr>
        <w:softHyphen/>
        <w:t>en</w:t>
      </w:r>
      <w:r w:rsidRPr="00AA14EA">
        <w:rPr>
          <w:szCs w:val="28"/>
        </w:rPr>
        <w:softHyphen/>
        <w:t>ce to the four lines of 27-28</w:t>
      </w:r>
      <w:r w:rsidR="006F304D" w:rsidRPr="006F304D">
        <w:rPr>
          <w:szCs w:val="28"/>
        </w:rPr>
        <w:t xml:space="preserve">, </w:t>
      </w:r>
      <w:r w:rsidRPr="00AA14EA">
        <w:rPr>
          <w:szCs w:val="28"/>
        </w:rPr>
        <w:t>and a mention of the two coup</w:t>
      </w:r>
      <w:r w:rsidRPr="00AA14EA">
        <w:rPr>
          <w:szCs w:val="28"/>
        </w:rPr>
        <w:softHyphen/>
        <w:t>lets (</w:t>
      </w:r>
      <w:proofErr w:type="spellStart"/>
      <w:r w:rsidRPr="00AA14EA">
        <w:rPr>
          <w:i/>
          <w:iCs/>
          <w:szCs w:val="28"/>
        </w:rPr>
        <w:t>Dop</w:t>
      </w:r>
      <w:r w:rsidRPr="00AA14EA">
        <w:rPr>
          <w:i/>
          <w:iCs/>
          <w:szCs w:val="28"/>
        </w:rPr>
        <w:softHyphen/>
        <w:t>pelzeil</w:t>
      </w:r>
      <w:r w:rsidRPr="00AA14EA">
        <w:rPr>
          <w:i/>
          <w:iCs/>
          <w:szCs w:val="28"/>
        </w:rPr>
        <w:softHyphen/>
        <w:t>er</w:t>
      </w:r>
      <w:proofErr w:type="spellEnd"/>
      <w:r w:rsidR="006F304D" w:rsidRPr="006F304D">
        <w:rPr>
          <w:iCs/>
          <w:szCs w:val="28"/>
        </w:rPr>
        <w:t xml:space="preserve">, </w:t>
      </w:r>
      <w:r w:rsidRPr="00AA14EA">
        <w:rPr>
          <w:iCs/>
          <w:szCs w:val="28"/>
        </w:rPr>
        <w:t>“</w:t>
      </w:r>
      <w:r w:rsidRPr="00AA14EA">
        <w:rPr>
          <w:szCs w:val="28"/>
        </w:rPr>
        <w:t>double lines”) of 29-30. Other</w:t>
      </w:r>
      <w:r w:rsidRPr="00AA14EA">
        <w:rPr>
          <w:szCs w:val="28"/>
        </w:rPr>
        <w:softHyphen/>
      </w:r>
      <w:r w:rsidRPr="00AA14EA">
        <w:rPr>
          <w:szCs w:val="28"/>
        </w:rPr>
        <w:lastRenderedPageBreak/>
        <w:t>wise</w:t>
      </w:r>
      <w:r w:rsidR="006F304D" w:rsidRPr="006F304D">
        <w:rPr>
          <w:szCs w:val="28"/>
        </w:rPr>
        <w:t xml:space="preserve">, </w:t>
      </w:r>
      <w:r w:rsidRPr="00AA14EA">
        <w:rPr>
          <w:szCs w:val="28"/>
        </w:rPr>
        <w:t>the sec</w:t>
      </w:r>
      <w:r w:rsidRPr="00AA14EA">
        <w:rPr>
          <w:szCs w:val="28"/>
        </w:rPr>
        <w:softHyphen/>
        <w:t>tion is discussed more in terms of them</w:t>
      </w:r>
      <w:r w:rsidRPr="00AA14EA">
        <w:rPr>
          <w:szCs w:val="28"/>
        </w:rPr>
        <w:softHyphen/>
        <w:t xml:space="preserve">atic and </w:t>
      </w:r>
      <w:r>
        <w:rPr>
          <w:szCs w:val="28"/>
        </w:rPr>
        <w:t xml:space="preserve">other </w:t>
      </w:r>
      <w:r w:rsidRPr="00AA14EA">
        <w:rPr>
          <w:szCs w:val="28"/>
        </w:rPr>
        <w:t>rhetori</w:t>
      </w:r>
      <w:r w:rsidRPr="00AA14EA">
        <w:rPr>
          <w:szCs w:val="28"/>
        </w:rPr>
        <w:softHyphen/>
        <w:t>cal</w:t>
      </w:r>
      <w:r>
        <w:rPr>
          <w:szCs w:val="28"/>
        </w:rPr>
        <w:t xml:space="preserve"> prin</w:t>
      </w:r>
      <w:r>
        <w:rPr>
          <w:szCs w:val="28"/>
        </w:rPr>
        <w:softHyphen/>
        <w:t>ciples than of rhyth</w:t>
      </w:r>
      <w:r>
        <w:rPr>
          <w:szCs w:val="28"/>
        </w:rPr>
        <w:softHyphen/>
        <w:t>mic</w:t>
      </w:r>
      <w:r w:rsidRPr="00AA14EA">
        <w:rPr>
          <w:szCs w:val="28"/>
        </w:rPr>
        <w:t>.</w:t>
      </w:r>
      <w:r w:rsidRPr="00AA14EA">
        <w:rPr>
          <w:rStyle w:val="FootnoteReference"/>
          <w:szCs w:val="28"/>
        </w:rPr>
        <w:footnoteReference w:id="492"/>
      </w:r>
    </w:p>
    <w:p w14:paraId="21DEB927" w14:textId="01D23B78" w:rsidR="0018433B" w:rsidRPr="00AA14EA" w:rsidRDefault="0018433B" w:rsidP="0018433B">
      <w:pPr>
        <w:rPr>
          <w:szCs w:val="28"/>
        </w:rPr>
      </w:pPr>
      <w:r w:rsidRPr="00AA14EA">
        <w:rPr>
          <w:szCs w:val="28"/>
        </w:rPr>
        <w:tab/>
        <w:t>Nevertheless</w:t>
      </w:r>
      <w:r w:rsidR="006F304D" w:rsidRPr="006F304D">
        <w:rPr>
          <w:szCs w:val="28"/>
        </w:rPr>
        <w:t xml:space="preserve">, </w:t>
      </w:r>
      <w:r w:rsidRPr="00AA14EA">
        <w:rPr>
          <w:szCs w:val="28"/>
        </w:rPr>
        <w:t>Topel says that “Ernst di</w:t>
      </w:r>
      <w:r w:rsidRPr="00AA14EA">
        <w:rPr>
          <w:szCs w:val="28"/>
        </w:rPr>
        <w:softHyphen/>
        <w:t xml:space="preserve">vides this section into </w:t>
      </w:r>
      <w:r w:rsidRPr="00AA14EA">
        <w:rPr>
          <w:i/>
          <w:iCs/>
          <w:szCs w:val="28"/>
        </w:rPr>
        <w:t>three stro</w:t>
      </w:r>
      <w:r w:rsidRPr="00AA14EA">
        <w:rPr>
          <w:i/>
          <w:iCs/>
          <w:szCs w:val="28"/>
        </w:rPr>
        <w:softHyphen/>
        <w:t>phes</w:t>
      </w:r>
      <w:r w:rsidRPr="00AA14EA">
        <w:rPr>
          <w:iCs/>
          <w:szCs w:val="28"/>
        </w:rPr>
        <w:t xml:space="preserve">: </w:t>
      </w:r>
      <w:r w:rsidRPr="00AA14EA">
        <w:rPr>
          <w:szCs w:val="28"/>
        </w:rPr>
        <w:t>a double rhythmed (6:27-31)</w:t>
      </w:r>
      <w:r w:rsidR="006F304D" w:rsidRPr="006F304D">
        <w:rPr>
          <w:szCs w:val="28"/>
        </w:rPr>
        <w:t xml:space="preserve">, </w:t>
      </w:r>
      <w:r w:rsidRPr="00AA14EA">
        <w:rPr>
          <w:szCs w:val="28"/>
        </w:rPr>
        <w:t>a triple rhythmed (6:32-35b)</w:t>
      </w:r>
      <w:r w:rsidR="006F304D" w:rsidRPr="006F304D">
        <w:rPr>
          <w:szCs w:val="28"/>
        </w:rPr>
        <w:t xml:space="preserve">, </w:t>
      </w:r>
      <w:r w:rsidRPr="00AA14EA">
        <w:rPr>
          <w:szCs w:val="28"/>
        </w:rPr>
        <w:t>and a final double rhyth</w:t>
      </w:r>
      <w:r w:rsidRPr="00AA14EA">
        <w:rPr>
          <w:szCs w:val="28"/>
        </w:rPr>
        <w:softHyphen/>
        <w:t>med (6:35c-38c).”</w:t>
      </w:r>
      <w:r w:rsidRPr="00AA14EA">
        <w:rPr>
          <w:rStyle w:val="FootnoteReference"/>
          <w:szCs w:val="28"/>
        </w:rPr>
        <w:footnoteReference w:id="493"/>
      </w:r>
      <w:r w:rsidRPr="00AA14EA">
        <w:rPr>
          <w:szCs w:val="28"/>
        </w:rPr>
        <w:t xml:space="preserve"> Ernst says that the first strophe (27-31) has two four-line sections (27-28</w:t>
      </w:r>
      <w:r w:rsidR="006F304D" w:rsidRPr="006F304D">
        <w:rPr>
          <w:szCs w:val="28"/>
        </w:rPr>
        <w:t xml:space="preserve">, </w:t>
      </w:r>
      <w:r w:rsidRPr="00AA14EA">
        <w:rPr>
          <w:szCs w:val="28"/>
        </w:rPr>
        <w:t>29-30)</w:t>
      </w:r>
      <w:r w:rsidR="006F304D" w:rsidRPr="006F304D">
        <w:rPr>
          <w:szCs w:val="28"/>
        </w:rPr>
        <w:t xml:space="preserve">, </w:t>
      </w:r>
      <w:r w:rsidRPr="00AA14EA">
        <w:rPr>
          <w:szCs w:val="28"/>
        </w:rPr>
        <w:t xml:space="preserve">but he does not say the lines </w:t>
      </w:r>
      <w:r w:rsidRPr="00AA14EA">
        <w:rPr>
          <w:szCs w:val="28"/>
        </w:rPr>
        <w:softHyphen/>
        <w:t>are double-rhythmed. Nor does he say that the “four short instruc</w:t>
      </w:r>
      <w:r w:rsidRPr="00AA14EA">
        <w:rPr>
          <w:szCs w:val="28"/>
        </w:rPr>
        <w:softHyphen/>
        <w:t>tions” in the third strophe (37-38b) are double-rhythmed; nor that the first strophe’s conclusion (31</w:t>
      </w:r>
      <w:r w:rsidR="006F304D" w:rsidRPr="006F304D">
        <w:rPr>
          <w:szCs w:val="28"/>
        </w:rPr>
        <w:t xml:space="preserve">, </w:t>
      </w:r>
      <w:r w:rsidRPr="00AA14EA">
        <w:rPr>
          <w:szCs w:val="28"/>
        </w:rPr>
        <w:t xml:space="preserve">golden rule) has </w:t>
      </w:r>
      <w:r w:rsidRPr="00AA14EA">
        <w:rPr>
          <w:szCs w:val="28"/>
        </w:rPr>
        <w:softHyphen/>
        <w:t>the rhy</w:t>
      </w:r>
      <w:r w:rsidRPr="00AA14EA">
        <w:rPr>
          <w:szCs w:val="28"/>
        </w:rPr>
        <w:softHyphen/>
        <w:t>thm of the first strophe; nor that the third strophe’s intro</w:t>
      </w:r>
      <w:r w:rsidRPr="00AA14EA">
        <w:rPr>
          <w:szCs w:val="28"/>
        </w:rPr>
        <w:softHyphen/>
        <w:t>duction (36) and conclusion (38) have the rhythm of the four instruc</w:t>
      </w:r>
      <w:r w:rsidRPr="00AA14EA">
        <w:rPr>
          <w:szCs w:val="28"/>
        </w:rPr>
        <w:softHyphen/>
        <w:t>tions in between. Final</w:t>
      </w:r>
      <w:r w:rsidRPr="00AA14EA">
        <w:rPr>
          <w:szCs w:val="28"/>
        </w:rPr>
        <w:softHyphen/>
        <w:t>ly</w:t>
      </w:r>
      <w:r w:rsidR="006F304D" w:rsidRPr="006F304D">
        <w:rPr>
          <w:szCs w:val="28"/>
        </w:rPr>
        <w:t xml:space="preserve">, </w:t>
      </w:r>
      <w:r w:rsidRPr="00AA14EA">
        <w:rPr>
          <w:szCs w:val="28"/>
        </w:rPr>
        <w:t>Ernst does not say that the mid</w:t>
      </w:r>
      <w:r w:rsidRPr="00AA14EA">
        <w:rPr>
          <w:szCs w:val="28"/>
        </w:rPr>
        <w:softHyphen/>
        <w:t>dle strophe (32-35) is three-rhythmed; he merely says that it con</w:t>
      </w:r>
      <w:r w:rsidRPr="00AA14EA">
        <w:rPr>
          <w:szCs w:val="28"/>
        </w:rPr>
        <w:softHyphen/>
        <w:t>sists of “three exam</w:t>
      </w:r>
      <w:r w:rsidRPr="00AA14EA">
        <w:rPr>
          <w:szCs w:val="28"/>
        </w:rPr>
        <w:softHyphen/>
        <w:t>ples having the same formal rhetorical struc</w:t>
      </w:r>
      <w:r w:rsidRPr="00AA14EA">
        <w:rPr>
          <w:szCs w:val="28"/>
        </w:rPr>
        <w:softHyphen/>
        <w:t xml:space="preserve">ture </w:t>
      </w:r>
      <w:r w:rsidRPr="005F51B1">
        <w:rPr>
          <w:szCs w:val="28"/>
        </w:rPr>
        <w:t>. . .</w:t>
      </w:r>
      <w:r w:rsidRPr="00AA14EA">
        <w:rPr>
          <w:szCs w:val="28"/>
        </w:rPr>
        <w:t>”</w:t>
      </w:r>
      <w:r w:rsidRPr="00AA14EA">
        <w:rPr>
          <w:rStyle w:val="FootnoteReference"/>
          <w:szCs w:val="28"/>
        </w:rPr>
        <w:footnoteReference w:id="494"/>
      </w:r>
    </w:p>
    <w:p w14:paraId="7871DA57" w14:textId="1C103FAF" w:rsidR="0018433B" w:rsidRPr="00AA14EA" w:rsidRDefault="0018433B" w:rsidP="0018433B">
      <w:pPr>
        <w:rPr>
          <w:szCs w:val="28"/>
        </w:rPr>
      </w:pPr>
      <w:bookmarkStart w:id="58" w:name="rhythm__Topel"/>
      <w:bookmarkEnd w:id="58"/>
      <w:r w:rsidRPr="00AA14EA">
        <w:rPr>
          <w:szCs w:val="28"/>
        </w:rPr>
        <w:tab/>
        <w:t>Topel con</w:t>
      </w:r>
      <w:r w:rsidRPr="00AA14EA">
        <w:rPr>
          <w:szCs w:val="28"/>
        </w:rPr>
        <w:softHyphen/>
        <w:t>tinues with his own anal</w:t>
      </w:r>
      <w:r w:rsidRPr="00AA14EA">
        <w:rPr>
          <w:szCs w:val="28"/>
        </w:rPr>
        <w:softHyphen/>
        <w:t>ysis of the section. Unlike Ernst</w:t>
      </w:r>
      <w:r w:rsidR="006F304D" w:rsidRPr="006F304D">
        <w:rPr>
          <w:szCs w:val="28"/>
        </w:rPr>
        <w:t xml:space="preserve">, </w:t>
      </w:r>
      <w:r w:rsidRPr="00AA14EA">
        <w:rPr>
          <w:szCs w:val="28"/>
        </w:rPr>
        <w:t>to whom he attributes three strophes with two-</w:t>
      </w:r>
      <w:r w:rsidR="006F304D" w:rsidRPr="006F304D">
        <w:rPr>
          <w:szCs w:val="28"/>
        </w:rPr>
        <w:t xml:space="preserve">, </w:t>
      </w:r>
      <w:r w:rsidRPr="00AA14EA">
        <w:rPr>
          <w:szCs w:val="28"/>
        </w:rPr>
        <w:t>three-</w:t>
      </w:r>
      <w:r w:rsidR="006F304D" w:rsidRPr="006F304D">
        <w:rPr>
          <w:szCs w:val="28"/>
        </w:rPr>
        <w:t xml:space="preserve">, </w:t>
      </w:r>
      <w:r w:rsidRPr="00AA14EA">
        <w:rPr>
          <w:szCs w:val="28"/>
        </w:rPr>
        <w:t>and two-beat patterns</w:t>
      </w:r>
      <w:r w:rsidR="006F304D" w:rsidRPr="006F304D">
        <w:rPr>
          <w:szCs w:val="28"/>
        </w:rPr>
        <w:t xml:space="preserve">, </w:t>
      </w:r>
      <w:r w:rsidRPr="00AA14EA">
        <w:rPr>
          <w:szCs w:val="28"/>
        </w:rPr>
        <w:t>Topel discerns three strophes with four-</w:t>
      </w:r>
      <w:r w:rsidR="006F304D" w:rsidRPr="006F304D">
        <w:rPr>
          <w:szCs w:val="28"/>
        </w:rPr>
        <w:t xml:space="preserve">, </w:t>
      </w:r>
      <w:r w:rsidRPr="00AA14EA">
        <w:rPr>
          <w:szCs w:val="28"/>
        </w:rPr>
        <w:t>three-</w:t>
      </w:r>
      <w:r w:rsidR="006F304D" w:rsidRPr="006F304D">
        <w:rPr>
          <w:szCs w:val="28"/>
        </w:rPr>
        <w:t xml:space="preserve">, </w:t>
      </w:r>
      <w:r w:rsidRPr="00AA14EA">
        <w:rPr>
          <w:szCs w:val="28"/>
        </w:rPr>
        <w:t>and three-beat patterns.</w:t>
      </w:r>
    </w:p>
    <w:p w14:paraId="42D23F41" w14:textId="77777777" w:rsidR="0018433B" w:rsidRPr="00AA14EA" w:rsidRDefault="0018433B" w:rsidP="0018433B">
      <w:pPr>
        <w:rPr>
          <w:szCs w:val="28"/>
        </w:rPr>
      </w:pPr>
    </w:p>
    <w:p w14:paraId="16D18000" w14:textId="478E556E" w:rsidR="0018433B" w:rsidRPr="00AA14EA" w:rsidRDefault="0018433B" w:rsidP="0018433B">
      <w:pPr>
        <w:ind w:left="720" w:right="720"/>
        <w:rPr>
          <w:szCs w:val="28"/>
        </w:rPr>
      </w:pPr>
      <w:r w:rsidRPr="00AA14EA">
        <w:rPr>
          <w:szCs w:val="28"/>
        </w:rPr>
        <w:t xml:space="preserve">Staying somewhat closer to the </w:t>
      </w:r>
      <w:r w:rsidRPr="00AA14EA">
        <w:rPr>
          <w:i/>
          <w:iCs/>
          <w:szCs w:val="28"/>
        </w:rPr>
        <w:t>rhetorical</w:t>
      </w:r>
      <w:r w:rsidRPr="00AA14EA">
        <w:rPr>
          <w:szCs w:val="28"/>
        </w:rPr>
        <w:t xml:space="preserve"> (not poetic!) patterns</w:t>
      </w:r>
      <w:r w:rsidR="006F304D" w:rsidRPr="006F304D">
        <w:rPr>
          <w:szCs w:val="28"/>
        </w:rPr>
        <w:t xml:space="preserve">, </w:t>
      </w:r>
      <w:r w:rsidRPr="00AA14EA">
        <w:rPr>
          <w:szCs w:val="28"/>
        </w:rPr>
        <w:t xml:space="preserve">I believe that I can discover </w:t>
      </w:r>
      <w:r w:rsidRPr="00AA14EA">
        <w:rPr>
          <w:i/>
          <w:iCs/>
          <w:szCs w:val="28"/>
        </w:rPr>
        <w:t>three movements</w:t>
      </w:r>
      <w:r w:rsidRPr="00AA14EA">
        <w:rPr>
          <w:szCs w:val="28"/>
        </w:rPr>
        <w:t>:</w:t>
      </w:r>
    </w:p>
    <w:p w14:paraId="7E283C3D" w14:textId="6AE505DC" w:rsidR="0018433B" w:rsidRPr="00AA14EA" w:rsidRDefault="0018433B" w:rsidP="0018433B">
      <w:pPr>
        <w:ind w:left="1118" w:right="720" w:hanging="398"/>
        <w:rPr>
          <w:szCs w:val="28"/>
        </w:rPr>
      </w:pPr>
      <w:r w:rsidRPr="00AA14EA">
        <w:rPr>
          <w:szCs w:val="28"/>
        </w:rPr>
        <w:lastRenderedPageBreak/>
        <w:t>a.</w:t>
      </w:r>
      <w:r w:rsidRPr="00AA14EA">
        <w:rPr>
          <w:szCs w:val="28"/>
        </w:rPr>
        <w:tab/>
        <w:t>a four-beat pattern (6:27b-28</w:t>
      </w:r>
      <w:r w:rsidR="006F304D" w:rsidRPr="006F304D">
        <w:rPr>
          <w:szCs w:val="28"/>
        </w:rPr>
        <w:t xml:space="preserve">, </w:t>
      </w:r>
      <w:r w:rsidRPr="00AA14EA">
        <w:rPr>
          <w:szCs w:val="28"/>
        </w:rPr>
        <w:t>29f)</w:t>
      </w:r>
      <w:r w:rsidR="006F304D" w:rsidRPr="006F304D">
        <w:rPr>
          <w:szCs w:val="28"/>
        </w:rPr>
        <w:t xml:space="preserve">, </w:t>
      </w:r>
      <w:r w:rsidRPr="00AA14EA">
        <w:rPr>
          <w:szCs w:val="28"/>
        </w:rPr>
        <w:t xml:space="preserve">with a summary rule (6:31) </w:t>
      </w:r>
      <w:r w:rsidRPr="00AA14EA">
        <w:rPr>
          <w:i/>
          <w:iCs/>
          <w:szCs w:val="28"/>
        </w:rPr>
        <w:t>not</w:t>
      </w:r>
      <w:r w:rsidRPr="00AA14EA">
        <w:rPr>
          <w:szCs w:val="28"/>
        </w:rPr>
        <w:t xml:space="preserve"> in rhythmic form;</w:t>
      </w:r>
    </w:p>
    <w:p w14:paraId="689BF1DC" w14:textId="0AF14422" w:rsidR="0018433B" w:rsidRPr="00AA14EA" w:rsidRDefault="0018433B" w:rsidP="0018433B">
      <w:pPr>
        <w:ind w:left="1118" w:right="720" w:hanging="398"/>
        <w:rPr>
          <w:szCs w:val="28"/>
        </w:rPr>
      </w:pPr>
      <w:r w:rsidRPr="00AA14EA">
        <w:rPr>
          <w:szCs w:val="28"/>
        </w:rPr>
        <w:t>b.</w:t>
      </w:r>
      <w:r w:rsidRPr="00AA14EA">
        <w:rPr>
          <w:szCs w:val="28"/>
        </w:rPr>
        <w:tab/>
        <w:t>a three-beat pattern (6:32-34</w:t>
      </w:r>
      <w:r w:rsidR="006F304D" w:rsidRPr="006F304D">
        <w:rPr>
          <w:szCs w:val="28"/>
        </w:rPr>
        <w:t xml:space="preserve">, </w:t>
      </w:r>
      <w:r w:rsidRPr="00AA14EA">
        <w:rPr>
          <w:szCs w:val="28"/>
        </w:rPr>
        <w:t>containing three rhe</w:t>
      </w:r>
      <w:r w:rsidRPr="00AA14EA">
        <w:rPr>
          <w:szCs w:val="28"/>
        </w:rPr>
        <w:softHyphen/>
        <w:t>tor</w:t>
      </w:r>
      <w:r w:rsidRPr="00AA14EA">
        <w:rPr>
          <w:szCs w:val="28"/>
        </w:rPr>
        <w:softHyphen/>
        <w:t>i</w:t>
      </w:r>
      <w:r w:rsidRPr="00AA14EA">
        <w:rPr>
          <w:szCs w:val="28"/>
        </w:rPr>
        <w:softHyphen/>
        <w:t>cally nearly identical sentences);</w:t>
      </w:r>
    </w:p>
    <w:p w14:paraId="419A6EF2" w14:textId="7D919FA3" w:rsidR="0018433B" w:rsidRPr="00AA14EA" w:rsidRDefault="0018433B" w:rsidP="0018433B">
      <w:pPr>
        <w:ind w:left="1118" w:right="720" w:hanging="398"/>
        <w:rPr>
          <w:szCs w:val="28"/>
        </w:rPr>
      </w:pPr>
      <w:r w:rsidRPr="00AA14EA">
        <w:rPr>
          <w:szCs w:val="28"/>
        </w:rPr>
        <w:t>c.</w:t>
      </w:r>
      <w:r w:rsidRPr="00AA14EA">
        <w:rPr>
          <w:szCs w:val="28"/>
        </w:rPr>
        <w:tab/>
        <w:t>a three-beat pattern (6:35abc</w:t>
      </w:r>
      <w:r w:rsidR="006F304D" w:rsidRPr="006F304D">
        <w:rPr>
          <w:szCs w:val="28"/>
        </w:rPr>
        <w:t xml:space="preserve">, </w:t>
      </w:r>
      <w:r w:rsidRPr="00AA14EA">
        <w:rPr>
          <w:szCs w:val="28"/>
        </w:rPr>
        <w:t>containing three imperatives</w:t>
      </w:r>
      <w:r w:rsidR="006F304D" w:rsidRPr="006F304D">
        <w:rPr>
          <w:szCs w:val="28"/>
        </w:rPr>
        <w:t xml:space="preserve">, </w:t>
      </w:r>
      <w:r w:rsidRPr="00AA14EA">
        <w:rPr>
          <w:szCs w:val="28"/>
        </w:rPr>
        <w:t>and 35def</w:t>
      </w:r>
      <w:r w:rsidR="006F304D" w:rsidRPr="006F304D">
        <w:rPr>
          <w:szCs w:val="28"/>
        </w:rPr>
        <w:t xml:space="preserve">, </w:t>
      </w:r>
      <w:r w:rsidRPr="00AA14EA">
        <w:rPr>
          <w:szCs w:val="28"/>
        </w:rPr>
        <w:t>an explanatory expansion in three clauses) with a summary statement (6:36)</w:t>
      </w:r>
      <w:r w:rsidR="006F304D" w:rsidRPr="006F304D">
        <w:rPr>
          <w:szCs w:val="28"/>
        </w:rPr>
        <w:t xml:space="preserve">, </w:t>
      </w:r>
      <w:r w:rsidRPr="00AA14EA">
        <w:rPr>
          <w:i/>
          <w:iCs/>
          <w:szCs w:val="28"/>
        </w:rPr>
        <w:t>not</w:t>
      </w:r>
      <w:r w:rsidRPr="00AA14EA">
        <w:rPr>
          <w:szCs w:val="28"/>
        </w:rPr>
        <w:t xml:space="preserve"> in rhythmic form.</w:t>
      </w:r>
    </w:p>
    <w:p w14:paraId="5C9F1493" w14:textId="1ED3A17D" w:rsidR="0018433B" w:rsidRPr="00AA14EA" w:rsidRDefault="0018433B" w:rsidP="0018433B">
      <w:pPr>
        <w:ind w:left="720" w:right="720"/>
        <w:rPr>
          <w:szCs w:val="28"/>
        </w:rPr>
      </w:pPr>
      <w:r w:rsidRPr="00AA14EA">
        <w:rPr>
          <w:szCs w:val="28"/>
        </w:rPr>
        <w:t>In this scheme</w:t>
      </w:r>
      <w:r w:rsidR="006F304D" w:rsidRPr="006F304D">
        <w:rPr>
          <w:szCs w:val="28"/>
        </w:rPr>
        <w:t xml:space="preserve">, </w:t>
      </w:r>
      <w:r w:rsidRPr="00AA14EA">
        <w:rPr>
          <w:szCs w:val="28"/>
        </w:rPr>
        <w:t>then</w:t>
      </w:r>
      <w:r w:rsidR="006F304D" w:rsidRPr="006F304D">
        <w:rPr>
          <w:szCs w:val="28"/>
        </w:rPr>
        <w:t xml:space="preserve">, </w:t>
      </w:r>
      <w:r w:rsidRPr="00AA14EA">
        <w:rPr>
          <w:szCs w:val="28"/>
        </w:rPr>
        <w:t>6:36 is added to conclude the third “stro</w:t>
      </w:r>
      <w:r w:rsidRPr="00AA14EA">
        <w:rPr>
          <w:szCs w:val="28"/>
        </w:rPr>
        <w:softHyphen/>
        <w:t>phe” just as v. 31 had been added to conclude the first. More</w:t>
      </w:r>
      <w:r w:rsidRPr="00AA14EA">
        <w:rPr>
          <w:szCs w:val="28"/>
        </w:rPr>
        <w:softHyphen/>
        <w:t>over</w:t>
      </w:r>
      <w:r w:rsidR="006F304D" w:rsidRPr="006F304D">
        <w:rPr>
          <w:szCs w:val="28"/>
        </w:rPr>
        <w:t xml:space="preserve">, </w:t>
      </w:r>
      <w:r w:rsidRPr="00AA14EA">
        <w:rPr>
          <w:szCs w:val="28"/>
        </w:rPr>
        <w:t>6:36 serves as a summary statement not only for 6:35</w:t>
      </w:r>
      <w:r w:rsidR="006F304D" w:rsidRPr="006F304D">
        <w:rPr>
          <w:szCs w:val="28"/>
        </w:rPr>
        <w:t xml:space="preserve">, </w:t>
      </w:r>
      <w:r w:rsidRPr="00AA14EA">
        <w:rPr>
          <w:szCs w:val="28"/>
        </w:rPr>
        <w:t xml:space="preserve">but also for all three preceding “strophes” (6:27-35) </w:t>
      </w:r>
      <w:r w:rsidRPr="005F51B1">
        <w:rPr>
          <w:szCs w:val="28"/>
        </w:rPr>
        <w:t>. . .</w:t>
      </w:r>
      <w:r w:rsidRPr="00AA14EA">
        <w:rPr>
          <w:rStyle w:val="FootnoteReference"/>
          <w:szCs w:val="28"/>
        </w:rPr>
        <w:footnoteReference w:id="495"/>
      </w:r>
    </w:p>
    <w:p w14:paraId="5DE5435C" w14:textId="77777777" w:rsidR="0018433B" w:rsidRPr="00AA14EA" w:rsidRDefault="0018433B" w:rsidP="0018433B">
      <w:pPr>
        <w:rPr>
          <w:szCs w:val="28"/>
        </w:rPr>
      </w:pPr>
    </w:p>
    <w:p w14:paraId="3F561935" w14:textId="50722906" w:rsidR="0018433B" w:rsidRPr="00AA14EA" w:rsidRDefault="0018433B" w:rsidP="0018433B">
      <w:pPr>
        <w:rPr>
          <w:szCs w:val="28"/>
        </w:rPr>
      </w:pPr>
      <w:r w:rsidRPr="00AA14EA">
        <w:rPr>
          <w:szCs w:val="28"/>
        </w:rPr>
        <w:tab/>
        <w:t>This passage has the appearance of being a rhythmical anal</w:t>
      </w:r>
      <w:r w:rsidRPr="00AA14EA">
        <w:rPr>
          <w:szCs w:val="28"/>
        </w:rPr>
        <w:softHyphen/>
        <w:t>ysis. It refers to “beats” and “strophes,” and by emphasizing that 31 and 36 are “</w:t>
      </w:r>
      <w:r w:rsidRPr="00AA14EA">
        <w:rPr>
          <w:i/>
          <w:iCs/>
          <w:szCs w:val="28"/>
        </w:rPr>
        <w:t>not</w:t>
      </w:r>
      <w:r w:rsidRPr="00AA14EA">
        <w:rPr>
          <w:szCs w:val="28"/>
        </w:rPr>
        <w:t xml:space="preserve"> in rhyth</w:t>
      </w:r>
      <w:r w:rsidRPr="00AA14EA">
        <w:rPr>
          <w:szCs w:val="28"/>
        </w:rPr>
        <w:softHyphen/>
        <w:t>mic form,” it implies that the other verses are. But what about the opening statement that the analysis is “</w:t>
      </w:r>
      <w:r w:rsidRPr="00AA14EA">
        <w:rPr>
          <w:i/>
          <w:iCs/>
          <w:szCs w:val="28"/>
        </w:rPr>
        <w:t>rhetori</w:t>
      </w:r>
      <w:r w:rsidRPr="00AA14EA">
        <w:rPr>
          <w:i/>
          <w:iCs/>
          <w:szCs w:val="28"/>
        </w:rPr>
        <w:softHyphen/>
        <w:t>cal</w:t>
      </w:r>
      <w:r w:rsidRPr="00AA14EA">
        <w:rPr>
          <w:szCs w:val="28"/>
        </w:rPr>
        <w:t xml:space="preserve"> (not poetic!)”? In fact</w:t>
      </w:r>
      <w:r w:rsidR="006F304D" w:rsidRPr="006F304D">
        <w:rPr>
          <w:szCs w:val="28"/>
        </w:rPr>
        <w:t xml:space="preserve">, </w:t>
      </w:r>
      <w:r w:rsidRPr="00AA14EA">
        <w:rPr>
          <w:szCs w:val="28"/>
        </w:rPr>
        <w:t>“four-beat” and “three-beat” do not refer to rhythms</w:t>
      </w:r>
      <w:r w:rsidR="006F304D" w:rsidRPr="006F304D">
        <w:rPr>
          <w:szCs w:val="28"/>
        </w:rPr>
        <w:t xml:space="preserve">, </w:t>
      </w:r>
      <w:r w:rsidRPr="00AA14EA">
        <w:rPr>
          <w:szCs w:val="28"/>
        </w:rPr>
        <w:t>but to rhe</w:t>
      </w:r>
      <w:r w:rsidRPr="00AA14EA">
        <w:rPr>
          <w:szCs w:val="28"/>
        </w:rPr>
        <w:softHyphen/>
        <w:t>torical units. The first section</w:t>
      </w:r>
      <w:r w:rsidR="006F304D" w:rsidRPr="006F304D">
        <w:rPr>
          <w:szCs w:val="28"/>
        </w:rPr>
        <w:t xml:space="preserve">, </w:t>
      </w:r>
      <w:r w:rsidRPr="00AA14EA">
        <w:rPr>
          <w:szCs w:val="28"/>
        </w:rPr>
        <w:t>purportedly “four-beat,” has two subunits (27b-28 and 29-30)</w:t>
      </w:r>
      <w:r w:rsidR="006F304D" w:rsidRPr="006F304D">
        <w:rPr>
          <w:szCs w:val="28"/>
        </w:rPr>
        <w:t xml:space="preserve">, </w:t>
      </w:r>
      <w:r w:rsidRPr="00AA14EA">
        <w:rPr>
          <w:szCs w:val="28"/>
        </w:rPr>
        <w:t xml:space="preserve">each with four </w:t>
      </w:r>
      <w:r w:rsidRPr="00AA14EA">
        <w:rPr>
          <w:i/>
          <w:iCs/>
          <w:szCs w:val="28"/>
        </w:rPr>
        <w:t>lines</w:t>
      </w:r>
      <w:r w:rsidRPr="00AA14EA">
        <w:rPr>
          <w:iCs/>
          <w:szCs w:val="28"/>
        </w:rPr>
        <w:t xml:space="preserve">. </w:t>
      </w:r>
      <w:r w:rsidRPr="00AA14EA">
        <w:rPr>
          <w:szCs w:val="28"/>
        </w:rPr>
        <w:t>In the second section’s “three-beat pattern” (32-34)</w:t>
      </w:r>
      <w:r w:rsidR="006F304D" w:rsidRPr="006F304D">
        <w:rPr>
          <w:szCs w:val="28"/>
        </w:rPr>
        <w:t xml:space="preserve">, </w:t>
      </w:r>
      <w:r w:rsidRPr="00AA14EA">
        <w:rPr>
          <w:szCs w:val="28"/>
        </w:rPr>
        <w:t xml:space="preserve">the “beats” are the “three </w:t>
      </w:r>
      <w:r w:rsidRPr="005F51B1">
        <w:rPr>
          <w:szCs w:val="28"/>
        </w:rPr>
        <w:t>. . .</w:t>
      </w:r>
      <w:r w:rsidRPr="00AA14EA">
        <w:rPr>
          <w:szCs w:val="28"/>
        </w:rPr>
        <w:t xml:space="preserve"> </w:t>
      </w:r>
      <w:r w:rsidRPr="00AA14EA">
        <w:rPr>
          <w:szCs w:val="28"/>
        </w:rPr>
        <w:softHyphen/>
        <w:t>sen</w:t>
      </w:r>
      <w:r w:rsidRPr="00AA14EA">
        <w:rPr>
          <w:szCs w:val="28"/>
        </w:rPr>
        <w:softHyphen/>
        <w:t>tences” (or perhaps the three clauses that comprise each sentence</w:t>
      </w:r>
      <w:r>
        <w:rPr>
          <w:szCs w:val="28"/>
        </w:rPr>
        <w:t>)</w:t>
      </w:r>
      <w:r w:rsidRPr="00AA14EA">
        <w:rPr>
          <w:szCs w:val="28"/>
        </w:rPr>
        <w:t>. And the “three-beat pattern” in the third unit apparently refers to the three imperatives and the three explanatory clauses; again</w:t>
      </w:r>
      <w:r w:rsidR="006F304D" w:rsidRPr="006F304D">
        <w:rPr>
          <w:szCs w:val="28"/>
        </w:rPr>
        <w:t xml:space="preserve">, </w:t>
      </w:r>
      <w:r w:rsidRPr="00AA14EA">
        <w:rPr>
          <w:szCs w:val="28"/>
        </w:rPr>
        <w:t>the units are rhetorical rather than metrical.</w:t>
      </w:r>
    </w:p>
    <w:p w14:paraId="6511D899" w14:textId="18852098" w:rsidR="0018433B" w:rsidRPr="00AA14EA" w:rsidRDefault="0018433B" w:rsidP="0018433B">
      <w:pPr>
        <w:rPr>
          <w:szCs w:val="28"/>
        </w:rPr>
      </w:pPr>
      <w:bookmarkStart w:id="59" w:name="QuickMark"/>
      <w:bookmarkEnd w:id="59"/>
      <w:r w:rsidRPr="00AA14EA">
        <w:rPr>
          <w:szCs w:val="28"/>
        </w:rPr>
        <w:tab/>
        <w:t>Topel’s analysis</w:t>
      </w:r>
      <w:r w:rsidR="006F304D" w:rsidRPr="006F304D">
        <w:rPr>
          <w:szCs w:val="28"/>
        </w:rPr>
        <w:t xml:space="preserve">, </w:t>
      </w:r>
      <w:r w:rsidRPr="00AA14EA">
        <w:rPr>
          <w:szCs w:val="28"/>
        </w:rPr>
        <w:t>then</w:t>
      </w:r>
      <w:r w:rsidR="006F304D" w:rsidRPr="006F304D">
        <w:rPr>
          <w:szCs w:val="28"/>
        </w:rPr>
        <w:t xml:space="preserve">, </w:t>
      </w:r>
      <w:r w:rsidRPr="00AA14EA">
        <w:rPr>
          <w:szCs w:val="28"/>
        </w:rPr>
        <w:t>like Ernst’s</w:t>
      </w:r>
      <w:r w:rsidR="006F304D" w:rsidRPr="006F304D">
        <w:rPr>
          <w:szCs w:val="28"/>
        </w:rPr>
        <w:t xml:space="preserve">, </w:t>
      </w:r>
      <w:r w:rsidRPr="00AA14EA">
        <w:rPr>
          <w:szCs w:val="28"/>
        </w:rPr>
        <w:t>has the appearance of being a dis</w:t>
      </w:r>
      <w:r w:rsidRPr="00AA14EA">
        <w:rPr>
          <w:szCs w:val="28"/>
        </w:rPr>
        <w:softHyphen/>
        <w:t>cussion of the structure of the sermon in rhythmical terms</w:t>
      </w:r>
      <w:r w:rsidR="006F304D" w:rsidRPr="006F304D">
        <w:rPr>
          <w:szCs w:val="28"/>
        </w:rPr>
        <w:t xml:space="preserve">, </w:t>
      </w:r>
      <w:r w:rsidRPr="00AA14EA">
        <w:rPr>
          <w:szCs w:val="28"/>
        </w:rPr>
        <w:t>but in fact adds very little to our know</w:t>
      </w:r>
      <w:r w:rsidRPr="00AA14EA">
        <w:rPr>
          <w:szCs w:val="28"/>
        </w:rPr>
        <w:softHyphen/>
        <w:t>ledge of its rhythmical structure. Perhaps the problem is largely a semantic one: instead of referring to “beats” and “rhythms” and “strophes,” these authors should refer to “rhe</w:t>
      </w:r>
      <w:r w:rsidRPr="00AA14EA">
        <w:rPr>
          <w:szCs w:val="28"/>
        </w:rPr>
        <w:softHyphen/>
        <w:t>tori</w:t>
      </w:r>
      <w:r w:rsidRPr="00AA14EA">
        <w:rPr>
          <w:szCs w:val="28"/>
        </w:rPr>
        <w:softHyphen/>
        <w:t>cal effects,” “thematic motifs,” and so on. Though Topel does call his analysis “rhetorical” rather than “poetic,” his meaning would be clearer if he were to use the language of rhetoric rather than poetic terms.</w:t>
      </w:r>
    </w:p>
    <w:p w14:paraId="78AF5752" w14:textId="028FF79E" w:rsidR="0018433B" w:rsidRPr="00AA14EA" w:rsidRDefault="0018433B" w:rsidP="0018433B">
      <w:pPr>
        <w:rPr>
          <w:szCs w:val="28"/>
        </w:rPr>
      </w:pPr>
      <w:r w:rsidRPr="00AA14EA">
        <w:rPr>
          <w:szCs w:val="28"/>
        </w:rPr>
        <w:tab/>
        <w:t>Our analysis of the structure of the sermon according to rhythmical can</w:t>
      </w:r>
      <w:r w:rsidRPr="00AA14EA">
        <w:rPr>
          <w:szCs w:val="28"/>
        </w:rPr>
        <w:softHyphen/>
        <w:t>ons has been nearly as fruitless as our attempts to understand it according to the principles of chiasm and in</w:t>
      </w:r>
      <w:r w:rsidRPr="00AA14EA">
        <w:rPr>
          <w:szCs w:val="28"/>
        </w:rPr>
        <w:softHyphen/>
        <w:t>clusion. But despite our largely negative results in this chap</w:t>
      </w:r>
      <w:r w:rsidRPr="00AA14EA">
        <w:rPr>
          <w:szCs w:val="28"/>
        </w:rPr>
        <w:softHyphen/>
        <w:t>ter</w:t>
      </w:r>
      <w:r w:rsidR="006F304D" w:rsidRPr="006F304D">
        <w:rPr>
          <w:szCs w:val="28"/>
        </w:rPr>
        <w:t xml:space="preserve">, </w:t>
      </w:r>
      <w:r w:rsidRPr="00AA14EA">
        <w:rPr>
          <w:szCs w:val="28"/>
        </w:rPr>
        <w:t xml:space="preserve">we should </w:t>
      </w:r>
      <w:r>
        <w:rPr>
          <w:szCs w:val="28"/>
        </w:rPr>
        <w:t xml:space="preserve">remember </w:t>
      </w:r>
      <w:r w:rsidRPr="00AA14EA">
        <w:rPr>
          <w:szCs w:val="28"/>
        </w:rPr>
        <w:t>that even the elimination of a structural principle brings us closer to our goal. For if the sermon is not structured according to numerical prin</w:t>
      </w:r>
      <w:r w:rsidRPr="00AA14EA">
        <w:rPr>
          <w:szCs w:val="28"/>
        </w:rPr>
        <w:softHyphen/>
        <w:t>ciples</w:t>
      </w:r>
      <w:r w:rsidR="006F304D" w:rsidRPr="006F304D">
        <w:rPr>
          <w:szCs w:val="28"/>
        </w:rPr>
        <w:t xml:space="preserve">, </w:t>
      </w:r>
      <w:r w:rsidRPr="00AA14EA">
        <w:rPr>
          <w:szCs w:val="28"/>
        </w:rPr>
        <w:t>chiasms</w:t>
      </w:r>
      <w:r w:rsidR="006F304D" w:rsidRPr="006F304D">
        <w:rPr>
          <w:szCs w:val="28"/>
        </w:rPr>
        <w:t xml:space="preserve">, </w:t>
      </w:r>
      <w:r w:rsidRPr="00AA14EA">
        <w:rPr>
          <w:szCs w:val="28"/>
        </w:rPr>
        <w:t>inclusions</w:t>
      </w:r>
      <w:r w:rsidR="006F304D" w:rsidRPr="006F304D">
        <w:rPr>
          <w:szCs w:val="28"/>
        </w:rPr>
        <w:t xml:space="preserve">, </w:t>
      </w:r>
      <w:r w:rsidRPr="00AA14EA">
        <w:rPr>
          <w:szCs w:val="28"/>
        </w:rPr>
        <w:t>or rhythm</w:t>
      </w:r>
      <w:r w:rsidR="006F304D" w:rsidRPr="006F304D">
        <w:rPr>
          <w:szCs w:val="28"/>
        </w:rPr>
        <w:t xml:space="preserve">, </w:t>
      </w:r>
      <w:r w:rsidRPr="00AA14EA">
        <w:rPr>
          <w:szCs w:val="28"/>
        </w:rPr>
        <w:t>then it very likely is structured ac</w:t>
      </w:r>
      <w:r w:rsidRPr="00AA14EA">
        <w:rPr>
          <w:szCs w:val="28"/>
        </w:rPr>
        <w:softHyphen/>
        <w:t xml:space="preserve">cording to </w:t>
      </w:r>
      <w:proofErr w:type="spellStart"/>
      <w:r w:rsidRPr="00AA14EA">
        <w:rPr>
          <w:szCs w:val="28"/>
        </w:rPr>
        <w:t>contentual</w:t>
      </w:r>
      <w:proofErr w:type="spellEnd"/>
      <w:r w:rsidRPr="00AA14EA">
        <w:rPr>
          <w:szCs w:val="28"/>
        </w:rPr>
        <w:t xml:space="preserve"> prin</w:t>
      </w:r>
      <w:r w:rsidRPr="00AA14EA">
        <w:rPr>
          <w:szCs w:val="28"/>
        </w:rPr>
        <w:softHyphen/>
        <w:t>ciples. It is to the application of these principles to the sermon that we now turn.</w:t>
      </w:r>
    </w:p>
    <w:p w14:paraId="79B5DAA6" w14:textId="77777777" w:rsidR="0018433B" w:rsidRDefault="0018433B">
      <w:r>
        <w:br w:type="page"/>
      </w:r>
    </w:p>
    <w:p w14:paraId="1E213258" w14:textId="33365C77" w:rsidR="0018433B" w:rsidRPr="00B51852" w:rsidRDefault="00904123" w:rsidP="00904123">
      <w:pPr>
        <w:pStyle w:val="Heading1"/>
      </w:pPr>
      <w:bookmarkStart w:id="60" w:name="_Toc147618631"/>
      <w:r w:rsidRPr="00B51852">
        <w:lastRenderedPageBreak/>
        <w:t xml:space="preserve">Chapter </w:t>
      </w:r>
      <w:r w:rsidR="0018433B" w:rsidRPr="00B51852">
        <w:t>8</w:t>
      </w:r>
      <w:r>
        <w:t xml:space="preserve">: </w:t>
      </w:r>
      <w:r w:rsidRPr="00B51852">
        <w:t>Contentual Criteria</w:t>
      </w:r>
      <w:r w:rsidR="0018433B" w:rsidRPr="00B51852">
        <w:t>:</w:t>
      </w:r>
      <w:bookmarkEnd w:id="60"/>
    </w:p>
    <w:p w14:paraId="7A95153C" w14:textId="7E12F920" w:rsidR="0018433B" w:rsidRPr="00B51852" w:rsidRDefault="00904123" w:rsidP="00904123">
      <w:pPr>
        <w:pStyle w:val="Heading1"/>
      </w:pPr>
      <w:bookmarkStart w:id="61" w:name="_Toc147618632"/>
      <w:r w:rsidRPr="00B51852">
        <w:t>Logical Outlines: Subsections</w:t>
      </w:r>
      <w:bookmarkEnd w:id="61"/>
    </w:p>
    <w:p w14:paraId="445C92A3" w14:textId="77777777" w:rsidR="0018433B" w:rsidRDefault="0018433B" w:rsidP="0018433B">
      <w:pPr>
        <w:pStyle w:val="Style"/>
        <w:widowControl/>
        <w:jc w:val="both"/>
        <w:textAlignment w:val="baseline"/>
        <w:rPr>
          <w:szCs w:val="25"/>
        </w:rPr>
      </w:pPr>
    </w:p>
    <w:p w14:paraId="2E724A29" w14:textId="77777777" w:rsidR="0018433B" w:rsidRDefault="0018433B" w:rsidP="0018433B">
      <w:pPr>
        <w:pStyle w:val="Style"/>
        <w:widowControl/>
        <w:jc w:val="both"/>
        <w:textAlignment w:val="baseline"/>
        <w:rPr>
          <w:szCs w:val="25"/>
        </w:rPr>
      </w:pPr>
    </w:p>
    <w:p w14:paraId="7193E3A7" w14:textId="2E5382FC" w:rsidR="0018433B" w:rsidRPr="009F64E8" w:rsidRDefault="0018433B" w:rsidP="0018433B">
      <w:pPr>
        <w:pStyle w:val="Style"/>
        <w:widowControl/>
        <w:jc w:val="both"/>
        <w:textAlignment w:val="baseline"/>
        <w:rPr>
          <w:szCs w:val="25"/>
        </w:rPr>
      </w:pPr>
      <w:r>
        <w:rPr>
          <w:szCs w:val="25"/>
        </w:rPr>
        <w:tab/>
      </w:r>
      <w:r w:rsidRPr="00B51852">
        <w:rPr>
          <w:szCs w:val="25"/>
        </w:rPr>
        <w:t xml:space="preserve">To discern a logical outline in Luke’s sermon on the plain is not easy; as </w:t>
      </w:r>
      <w:r w:rsidR="00F806E0" w:rsidRPr="00F806E0">
        <w:rPr>
          <w:iCs/>
          <w:szCs w:val="25"/>
        </w:rPr>
        <w:t>I.H.</w:t>
      </w:r>
      <w:r w:rsidRPr="00B51852">
        <w:rPr>
          <w:szCs w:val="25"/>
        </w:rPr>
        <w:t xml:space="preserve"> Marshall has said</w:t>
      </w:r>
      <w:r w:rsidR="006F304D" w:rsidRPr="006F304D">
        <w:rPr>
          <w:szCs w:val="25"/>
        </w:rPr>
        <w:t xml:space="preserve">, </w:t>
      </w:r>
      <w:r w:rsidRPr="00B51852">
        <w:rPr>
          <w:szCs w:val="25"/>
        </w:rPr>
        <w:t>“Commentators are far from unanimous about the structure of the Sermon owing to the lack of clear breaks</w:t>
      </w:r>
      <w:r>
        <w:rPr>
          <w:szCs w:val="25"/>
        </w:rPr>
        <w:t xml:space="preserve"> and to the variety of themes.”</w:t>
      </w:r>
      <w:r>
        <w:rPr>
          <w:rStyle w:val="FootnoteReference"/>
          <w:szCs w:val="25"/>
        </w:rPr>
        <w:footnoteReference w:id="496"/>
      </w:r>
      <w:r w:rsidRPr="00B51852">
        <w:rPr>
          <w:szCs w:val="25"/>
        </w:rPr>
        <w:t xml:space="preserve"> In fact</w:t>
      </w:r>
      <w:r w:rsidR="006F304D" w:rsidRPr="006F304D">
        <w:rPr>
          <w:szCs w:val="25"/>
        </w:rPr>
        <w:t xml:space="preserve">, </w:t>
      </w:r>
      <w:r w:rsidRPr="00B51852">
        <w:rPr>
          <w:szCs w:val="25"/>
        </w:rPr>
        <w:t xml:space="preserve">most of the commentators that are referred to in this and the following chapter have proposed outlines for the sermon with which none of the other commentators agree </w:t>
      </w:r>
      <w:r w:rsidRPr="00B51852">
        <w:rPr>
          <w:i/>
          <w:iCs/>
          <w:szCs w:val="25"/>
        </w:rPr>
        <w:t>in toto</w:t>
      </w:r>
      <w:r w:rsidRPr="00B51852">
        <w:rPr>
          <w:iCs/>
          <w:szCs w:val="25"/>
        </w:rPr>
        <w:t>.</w:t>
      </w:r>
      <w:r>
        <w:rPr>
          <w:rStyle w:val="FootnoteReference"/>
          <w:iCs/>
          <w:szCs w:val="25"/>
        </w:rPr>
        <w:footnoteReference w:id="497"/>
      </w:r>
    </w:p>
    <w:p w14:paraId="519178ED" w14:textId="7AAB0C22" w:rsidR="0018433B" w:rsidRPr="00B51852" w:rsidRDefault="0018433B" w:rsidP="0018433B">
      <w:pPr>
        <w:pStyle w:val="Style"/>
        <w:widowControl/>
        <w:jc w:val="both"/>
        <w:textAlignment w:val="baseline"/>
        <w:rPr>
          <w:szCs w:val="25"/>
        </w:rPr>
      </w:pPr>
      <w:r>
        <w:rPr>
          <w:szCs w:val="25"/>
        </w:rPr>
        <w:tab/>
      </w:r>
      <w:r w:rsidRPr="00B51852">
        <w:rPr>
          <w:szCs w:val="25"/>
        </w:rPr>
        <w:t>The commentaries in the bibliography</w:t>
      </w:r>
      <w:r w:rsidR="006F304D" w:rsidRPr="006F304D">
        <w:rPr>
          <w:szCs w:val="25"/>
        </w:rPr>
        <w:t xml:space="preserve">, </w:t>
      </w:r>
      <w:r w:rsidRPr="00B51852">
        <w:rPr>
          <w:szCs w:val="25"/>
        </w:rPr>
        <w:t>of course</w:t>
      </w:r>
      <w:r w:rsidR="006F304D" w:rsidRPr="006F304D">
        <w:rPr>
          <w:szCs w:val="25"/>
        </w:rPr>
        <w:t xml:space="preserve">, </w:t>
      </w:r>
      <w:r w:rsidRPr="00B51852">
        <w:rPr>
          <w:szCs w:val="25"/>
        </w:rPr>
        <w:t>do not include all of the</w:t>
      </w:r>
      <w:r>
        <w:rPr>
          <w:szCs w:val="25"/>
        </w:rPr>
        <w:t xml:space="preserve"> </w:t>
      </w:r>
      <w:r w:rsidRPr="00B51852">
        <w:rPr>
          <w:szCs w:val="25"/>
        </w:rPr>
        <w:t>analyses that have been written on Luke’s gospel; but those in the bibliography</w:t>
      </w:r>
      <w:r>
        <w:rPr>
          <w:szCs w:val="25"/>
        </w:rPr>
        <w:t xml:space="preserve"> </w:t>
      </w:r>
      <w:r w:rsidRPr="00B51852">
        <w:rPr>
          <w:szCs w:val="25"/>
        </w:rPr>
        <w:t>represent a sample size of sufficient magnitude to make it unlikely that any significant way of logically outlining the sermon on the plain will be overlooked. We will use the commentaries in part as an heuristic means to aid in our exploration of Luke’s sermon</w:t>
      </w:r>
      <w:r w:rsidR="006F304D" w:rsidRPr="006F304D">
        <w:rPr>
          <w:szCs w:val="25"/>
        </w:rPr>
        <w:t xml:space="preserve">, </w:t>
      </w:r>
      <w:r w:rsidRPr="00B51852">
        <w:rPr>
          <w:szCs w:val="25"/>
        </w:rPr>
        <w:t>and in part as an opportunity to explain why I have rejected ways of structuring the text which I consider to be incorrect.</w:t>
      </w:r>
    </w:p>
    <w:p w14:paraId="54D8EE4B" w14:textId="452B30AA" w:rsidR="0018433B" w:rsidRPr="00B51852" w:rsidRDefault="0018433B" w:rsidP="0018433B">
      <w:pPr>
        <w:pStyle w:val="Style"/>
        <w:widowControl/>
        <w:jc w:val="both"/>
        <w:textAlignment w:val="baseline"/>
        <w:rPr>
          <w:szCs w:val="25"/>
        </w:rPr>
      </w:pPr>
      <w:r>
        <w:rPr>
          <w:szCs w:val="25"/>
        </w:rPr>
        <w:tab/>
      </w:r>
      <w:r w:rsidRPr="00B51852">
        <w:rPr>
          <w:szCs w:val="25"/>
        </w:rPr>
        <w:t>Commentators are agreed that Luke 6:20-26 (beatitudes and woes) is a dis</w:t>
      </w:r>
      <w:r w:rsidRPr="00B51852">
        <w:rPr>
          <w:szCs w:val="25"/>
        </w:rPr>
        <w:softHyphen/>
        <w:t>tinct unit</w:t>
      </w:r>
      <w:r w:rsidR="006F304D" w:rsidRPr="006F304D">
        <w:rPr>
          <w:szCs w:val="25"/>
        </w:rPr>
        <w:t xml:space="preserve">, </w:t>
      </w:r>
      <w:r w:rsidRPr="00B51852">
        <w:rPr>
          <w:szCs w:val="25"/>
        </w:rPr>
        <w:t>and a major one; and so we shall begin by considering the whole of this major division. About the remainder of the sermon</w:t>
      </w:r>
      <w:r w:rsidR="006F304D" w:rsidRPr="006F304D">
        <w:rPr>
          <w:szCs w:val="25"/>
        </w:rPr>
        <w:t xml:space="preserve">, </w:t>
      </w:r>
      <w:r w:rsidRPr="00B51852">
        <w:rPr>
          <w:szCs w:val="25"/>
        </w:rPr>
        <w:t>however</w:t>
      </w:r>
      <w:r w:rsidR="006F304D" w:rsidRPr="006F304D">
        <w:rPr>
          <w:szCs w:val="25"/>
        </w:rPr>
        <w:t xml:space="preserve">, </w:t>
      </w:r>
      <w:r w:rsidRPr="00B51852">
        <w:rPr>
          <w:szCs w:val="25"/>
        </w:rPr>
        <w:t>disagreements are numerous; and so we shall begin our treatment of verses 27-49 by considering only those divisions upon which all commentaries agree. None of the commentators denies the unity of verses 27-28</w:t>
      </w:r>
      <w:r w:rsidR="006F304D" w:rsidRPr="006F304D">
        <w:rPr>
          <w:szCs w:val="25"/>
        </w:rPr>
        <w:t xml:space="preserve">, </w:t>
      </w:r>
      <w:r w:rsidRPr="00B51852">
        <w:rPr>
          <w:szCs w:val="25"/>
        </w:rPr>
        <w:t>29-30</w:t>
      </w:r>
      <w:r w:rsidR="006F304D" w:rsidRPr="006F304D">
        <w:rPr>
          <w:szCs w:val="25"/>
        </w:rPr>
        <w:t xml:space="preserve">, </w:t>
      </w:r>
      <w:r w:rsidRPr="00B51852">
        <w:rPr>
          <w:szCs w:val="25"/>
        </w:rPr>
        <w:t>32-34 (with one exception)</w:t>
      </w:r>
      <w:r w:rsidR="006F304D" w:rsidRPr="006F304D">
        <w:rPr>
          <w:szCs w:val="25"/>
        </w:rPr>
        <w:t xml:space="preserve">, </w:t>
      </w:r>
      <w:r w:rsidRPr="00B51852">
        <w:rPr>
          <w:szCs w:val="25"/>
        </w:rPr>
        <w:t>37-38a</w:t>
      </w:r>
      <w:r w:rsidR="006F304D" w:rsidRPr="006F304D">
        <w:rPr>
          <w:szCs w:val="25"/>
        </w:rPr>
        <w:t xml:space="preserve">, </w:t>
      </w:r>
      <w:r w:rsidRPr="00B51852">
        <w:rPr>
          <w:szCs w:val="25"/>
        </w:rPr>
        <w:t>39b-40 (with one exception)</w:t>
      </w:r>
      <w:r w:rsidR="006F304D" w:rsidRPr="006F304D">
        <w:rPr>
          <w:szCs w:val="25"/>
        </w:rPr>
        <w:t xml:space="preserve">, </w:t>
      </w:r>
      <w:r w:rsidRPr="00B51852">
        <w:rPr>
          <w:szCs w:val="25"/>
        </w:rPr>
        <w:t>41-42</w:t>
      </w:r>
      <w:r w:rsidR="006F304D" w:rsidRPr="006F304D">
        <w:rPr>
          <w:szCs w:val="25"/>
        </w:rPr>
        <w:t xml:space="preserve">, </w:t>
      </w:r>
      <w:r w:rsidRPr="00B51852">
        <w:rPr>
          <w:szCs w:val="25"/>
        </w:rPr>
        <w:t>43-44</w:t>
      </w:r>
      <w:r w:rsidR="006F304D" w:rsidRPr="006F304D">
        <w:rPr>
          <w:szCs w:val="25"/>
        </w:rPr>
        <w:t xml:space="preserve">, </w:t>
      </w:r>
      <w:r w:rsidRPr="00B51852">
        <w:rPr>
          <w:szCs w:val="25"/>
        </w:rPr>
        <w:t>or 47-49. These sections are</w:t>
      </w:r>
      <w:r w:rsidR="006F304D" w:rsidRPr="006F304D">
        <w:rPr>
          <w:szCs w:val="25"/>
        </w:rPr>
        <w:t xml:space="preserve">, </w:t>
      </w:r>
      <w:r w:rsidRPr="00B51852">
        <w:rPr>
          <w:szCs w:val="25"/>
        </w:rPr>
        <w:t>then</w:t>
      </w:r>
      <w:r w:rsidR="006F304D" w:rsidRPr="006F304D">
        <w:rPr>
          <w:szCs w:val="25"/>
        </w:rPr>
        <w:t xml:space="preserve">, </w:t>
      </w:r>
      <w:r w:rsidRPr="00B51852">
        <w:rPr>
          <w:szCs w:val="25"/>
        </w:rPr>
        <w:t>a priori likely to possess unity. Since</w:t>
      </w:r>
      <w:r w:rsidR="006F304D" w:rsidRPr="006F304D">
        <w:rPr>
          <w:szCs w:val="25"/>
        </w:rPr>
        <w:t xml:space="preserve">, </w:t>
      </w:r>
      <w:r w:rsidRPr="00B51852">
        <w:rPr>
          <w:szCs w:val="25"/>
        </w:rPr>
        <w:t>however</w:t>
      </w:r>
      <w:r w:rsidR="006F304D" w:rsidRPr="006F304D">
        <w:rPr>
          <w:szCs w:val="25"/>
        </w:rPr>
        <w:t xml:space="preserve">, </w:t>
      </w:r>
      <w:r w:rsidRPr="00B51852">
        <w:rPr>
          <w:szCs w:val="25"/>
        </w:rPr>
        <w:t>some commentators divide the text both before and after each of these small units</w:t>
      </w:r>
      <w:r w:rsidR="006F304D" w:rsidRPr="006F304D">
        <w:rPr>
          <w:szCs w:val="25"/>
        </w:rPr>
        <w:t xml:space="preserve">, </w:t>
      </w:r>
      <w:r w:rsidRPr="00B51852">
        <w:rPr>
          <w:szCs w:val="25"/>
        </w:rPr>
        <w:t>establishing larger units will entail more controversy. These smallest sections</w:t>
      </w:r>
      <w:r w:rsidR="006F304D" w:rsidRPr="006F304D">
        <w:rPr>
          <w:szCs w:val="25"/>
        </w:rPr>
        <w:t xml:space="preserve">, </w:t>
      </w:r>
      <w:r w:rsidRPr="00B51852">
        <w:rPr>
          <w:szCs w:val="25"/>
        </w:rPr>
        <w:t>whose unity is acknowledged by all</w:t>
      </w:r>
      <w:r w:rsidR="006F304D" w:rsidRPr="006F304D">
        <w:rPr>
          <w:szCs w:val="25"/>
        </w:rPr>
        <w:t xml:space="preserve">, </w:t>
      </w:r>
      <w:r w:rsidRPr="00B51852">
        <w:rPr>
          <w:szCs w:val="25"/>
        </w:rPr>
        <w:t>are thus the best place</w:t>
      </w:r>
      <w:r w:rsidR="006F304D" w:rsidRPr="006F304D">
        <w:rPr>
          <w:szCs w:val="25"/>
        </w:rPr>
        <w:t xml:space="preserve">, </w:t>
      </w:r>
      <w:r w:rsidRPr="00B51852">
        <w:rPr>
          <w:szCs w:val="25"/>
        </w:rPr>
        <w:t>after the beatitudes and woes</w:t>
      </w:r>
      <w:r w:rsidR="006F304D" w:rsidRPr="006F304D">
        <w:rPr>
          <w:szCs w:val="25"/>
        </w:rPr>
        <w:t xml:space="preserve">, </w:t>
      </w:r>
      <w:r w:rsidRPr="00B51852">
        <w:rPr>
          <w:szCs w:val="25"/>
        </w:rPr>
        <w:t>to begin our considerat</w:t>
      </w:r>
      <w:r>
        <w:rPr>
          <w:szCs w:val="25"/>
        </w:rPr>
        <w:t>ion of logical units in the ser</w:t>
      </w:r>
      <w:r w:rsidRPr="00B51852">
        <w:rPr>
          <w:szCs w:val="25"/>
        </w:rPr>
        <w:t>mon.</w:t>
      </w:r>
    </w:p>
    <w:p w14:paraId="213A970E" w14:textId="2FB6B644" w:rsidR="0018433B" w:rsidRPr="00B51852" w:rsidRDefault="0018433B" w:rsidP="0018433B">
      <w:pPr>
        <w:pStyle w:val="Style"/>
        <w:widowControl/>
        <w:jc w:val="both"/>
        <w:textAlignment w:val="baseline"/>
        <w:rPr>
          <w:szCs w:val="25"/>
        </w:rPr>
      </w:pPr>
      <w:r>
        <w:rPr>
          <w:szCs w:val="25"/>
        </w:rPr>
        <w:tab/>
      </w:r>
      <w:r w:rsidRPr="00B51852">
        <w:rPr>
          <w:szCs w:val="25"/>
        </w:rPr>
        <w:t>Before we begin</w:t>
      </w:r>
      <w:r w:rsidR="006F304D" w:rsidRPr="006F304D">
        <w:rPr>
          <w:szCs w:val="25"/>
        </w:rPr>
        <w:t xml:space="preserve">, </w:t>
      </w:r>
      <w:r w:rsidRPr="00B51852">
        <w:rPr>
          <w:szCs w:val="25"/>
        </w:rPr>
        <w:t>a brief summary of the principles of lo</w:t>
      </w:r>
      <w:r>
        <w:rPr>
          <w:szCs w:val="25"/>
        </w:rPr>
        <w:t>gical outlining may be helpful.</w:t>
      </w:r>
      <w:r>
        <w:rPr>
          <w:rStyle w:val="FootnoteReference"/>
          <w:szCs w:val="25"/>
        </w:rPr>
        <w:footnoteReference w:id="498"/>
      </w:r>
      <w:r w:rsidRPr="00B51852">
        <w:rPr>
          <w:szCs w:val="25"/>
        </w:rPr>
        <w:t xml:space="preserve"> Division based on similarities and differences (whether of form or of content) is the basic structural act. A further act of the mind</w:t>
      </w:r>
      <w:r w:rsidR="006F304D" w:rsidRPr="006F304D">
        <w:rPr>
          <w:szCs w:val="25"/>
        </w:rPr>
        <w:t xml:space="preserve">, </w:t>
      </w:r>
      <w:r w:rsidRPr="00B51852">
        <w:rPr>
          <w:szCs w:val="25"/>
        </w:rPr>
        <w:t>necessary to recognize</w:t>
      </w:r>
      <w:r>
        <w:rPr>
          <w:szCs w:val="25"/>
        </w:rPr>
        <w:t xml:space="preserve"> </w:t>
      </w:r>
      <w:r w:rsidRPr="00B51852">
        <w:rPr>
          <w:szCs w:val="25"/>
        </w:rPr>
        <w:t>complex (hierarchical) structure</w:t>
      </w:r>
      <w:r w:rsidR="006F304D" w:rsidRPr="006F304D">
        <w:rPr>
          <w:szCs w:val="25"/>
        </w:rPr>
        <w:t xml:space="preserve">, </w:t>
      </w:r>
      <w:r w:rsidRPr="00B51852">
        <w:rPr>
          <w:szCs w:val="25"/>
        </w:rPr>
        <w:t>is the observation that some things are coordinate</w:t>
      </w:r>
      <w:r>
        <w:rPr>
          <w:szCs w:val="25"/>
        </w:rPr>
        <w:t xml:space="preserve"> </w:t>
      </w:r>
      <w:r w:rsidRPr="00B51852">
        <w:rPr>
          <w:szCs w:val="25"/>
        </w:rPr>
        <w:t>(parts in relation to each other)</w:t>
      </w:r>
      <w:r w:rsidR="006F304D" w:rsidRPr="006F304D">
        <w:rPr>
          <w:szCs w:val="25"/>
        </w:rPr>
        <w:t xml:space="preserve">, </w:t>
      </w:r>
      <w:r w:rsidRPr="00B51852">
        <w:rPr>
          <w:szCs w:val="25"/>
        </w:rPr>
        <w:t>and some things are subordinate (parts in relation to a larger whole). The two crucial principles of logical outlining</w:t>
      </w:r>
      <w:r w:rsidR="006F304D" w:rsidRPr="006F304D">
        <w:rPr>
          <w:szCs w:val="25"/>
        </w:rPr>
        <w:t xml:space="preserve">, </w:t>
      </w:r>
      <w:r w:rsidRPr="00B51852">
        <w:rPr>
          <w:szCs w:val="25"/>
        </w:rPr>
        <w:t>then</w:t>
      </w:r>
      <w:r w:rsidR="006F304D" w:rsidRPr="006F304D">
        <w:rPr>
          <w:szCs w:val="25"/>
        </w:rPr>
        <w:t xml:space="preserve">, </w:t>
      </w:r>
      <w:r w:rsidRPr="00B51852">
        <w:rPr>
          <w:szCs w:val="25"/>
        </w:rPr>
        <w:t>are coordination and subordination. Thus an exegete uses two characteristics</w:t>
      </w:r>
      <w:r w:rsidR="006F304D" w:rsidRPr="006F304D">
        <w:rPr>
          <w:szCs w:val="25"/>
        </w:rPr>
        <w:t xml:space="preserve">, </w:t>
      </w:r>
      <w:r w:rsidRPr="00B51852">
        <w:rPr>
          <w:szCs w:val="25"/>
        </w:rPr>
        <w:t xml:space="preserve">sameness and </w:t>
      </w:r>
      <w:r w:rsidRPr="00B51852">
        <w:rPr>
          <w:szCs w:val="25"/>
        </w:rPr>
        <w:lastRenderedPageBreak/>
        <w:t>difference</w:t>
      </w:r>
      <w:r w:rsidR="006F304D" w:rsidRPr="006F304D">
        <w:rPr>
          <w:szCs w:val="25"/>
        </w:rPr>
        <w:t xml:space="preserve">, </w:t>
      </w:r>
      <w:r w:rsidRPr="00B51852">
        <w:rPr>
          <w:szCs w:val="25"/>
        </w:rPr>
        <w:t>to divide a text into parts</w:t>
      </w:r>
      <w:r w:rsidR="006F304D" w:rsidRPr="006F304D">
        <w:rPr>
          <w:szCs w:val="25"/>
        </w:rPr>
        <w:t xml:space="preserve">, </w:t>
      </w:r>
      <w:r w:rsidRPr="00B51852">
        <w:rPr>
          <w:szCs w:val="25"/>
        </w:rPr>
        <w:t>and two relations</w:t>
      </w:r>
      <w:r w:rsidR="006F304D" w:rsidRPr="006F304D">
        <w:rPr>
          <w:szCs w:val="25"/>
        </w:rPr>
        <w:t xml:space="preserve">, </w:t>
      </w:r>
      <w:r w:rsidRPr="00B51852">
        <w:rPr>
          <w:szCs w:val="25"/>
        </w:rPr>
        <w:t>coordination and subordination</w:t>
      </w:r>
      <w:r w:rsidR="006F304D" w:rsidRPr="006F304D">
        <w:rPr>
          <w:szCs w:val="25"/>
        </w:rPr>
        <w:t xml:space="preserve">, </w:t>
      </w:r>
      <w:r w:rsidRPr="00B51852">
        <w:rPr>
          <w:szCs w:val="25"/>
        </w:rPr>
        <w:t>to determine the parts’ hierarchi</w:t>
      </w:r>
      <w:r>
        <w:rPr>
          <w:szCs w:val="25"/>
        </w:rPr>
        <w:t>c</w:t>
      </w:r>
      <w:r w:rsidRPr="00B51852">
        <w:rPr>
          <w:szCs w:val="25"/>
        </w:rPr>
        <w:t>al connections.</w:t>
      </w:r>
    </w:p>
    <w:p w14:paraId="5FC1A576" w14:textId="718241A1" w:rsidR="0018433B" w:rsidRPr="00B51852" w:rsidRDefault="0018433B" w:rsidP="0018433B">
      <w:pPr>
        <w:pStyle w:val="Style"/>
        <w:widowControl/>
        <w:jc w:val="both"/>
        <w:textAlignment w:val="baseline"/>
        <w:rPr>
          <w:szCs w:val="25"/>
        </w:rPr>
      </w:pPr>
      <w:r>
        <w:rPr>
          <w:szCs w:val="25"/>
        </w:rPr>
        <w:tab/>
      </w:r>
      <w:r w:rsidRPr="00B51852">
        <w:rPr>
          <w:szCs w:val="25"/>
        </w:rPr>
        <w:t>Two other principles should also be recalled. First</w:t>
      </w:r>
      <w:r w:rsidR="006F304D" w:rsidRPr="006F304D">
        <w:rPr>
          <w:szCs w:val="25"/>
        </w:rPr>
        <w:t xml:space="preserve">, </w:t>
      </w:r>
      <w:r w:rsidRPr="00B51852">
        <w:rPr>
          <w:szCs w:val="25"/>
        </w:rPr>
        <w:t>though logical outlining demarcates a text’s structure according to content rather than form</w:t>
      </w:r>
      <w:r w:rsidR="006F304D" w:rsidRPr="006F304D">
        <w:rPr>
          <w:szCs w:val="25"/>
        </w:rPr>
        <w:t xml:space="preserve">, </w:t>
      </w:r>
      <w:r w:rsidRPr="00B51852">
        <w:rPr>
          <w:szCs w:val="25"/>
        </w:rPr>
        <w:t>formal indications of similarity and difference are useful in determining similarity and difference in content. Secondly</w:t>
      </w:r>
      <w:r w:rsidR="006F304D" w:rsidRPr="006F304D">
        <w:rPr>
          <w:szCs w:val="25"/>
        </w:rPr>
        <w:t xml:space="preserve">, </w:t>
      </w:r>
      <w:r w:rsidRPr="00B51852">
        <w:rPr>
          <w:szCs w:val="25"/>
        </w:rPr>
        <w:t>one must decide how deeply to outline a text. We will be analyzing the structure of the sermon on the plain much more deeply than have most commentators. For them</w:t>
      </w:r>
      <w:r w:rsidR="006F304D" w:rsidRPr="006F304D">
        <w:rPr>
          <w:szCs w:val="25"/>
        </w:rPr>
        <w:t xml:space="preserve">, </w:t>
      </w:r>
      <w:r w:rsidRPr="00B51852">
        <w:rPr>
          <w:szCs w:val="25"/>
        </w:rPr>
        <w:t>the structure of the sermon is an introductory matter; for us</w:t>
      </w:r>
      <w:r w:rsidR="006F304D" w:rsidRPr="006F304D">
        <w:rPr>
          <w:szCs w:val="25"/>
        </w:rPr>
        <w:t xml:space="preserve">, </w:t>
      </w:r>
      <w:r w:rsidRPr="00B51852">
        <w:rPr>
          <w:szCs w:val="25"/>
        </w:rPr>
        <w:t>the structure is the direct object of study.</w:t>
      </w:r>
    </w:p>
    <w:p w14:paraId="22F5949C" w14:textId="77777777" w:rsidR="0018433B" w:rsidRDefault="0018433B" w:rsidP="0018433B">
      <w:pPr>
        <w:pStyle w:val="Style"/>
        <w:widowControl/>
        <w:jc w:val="both"/>
        <w:textAlignment w:val="baseline"/>
        <w:rPr>
          <w:szCs w:val="25"/>
        </w:rPr>
      </w:pPr>
    </w:p>
    <w:p w14:paraId="4252D7FF" w14:textId="77777777" w:rsidR="0018433B" w:rsidRPr="00B51852" w:rsidRDefault="0018433B" w:rsidP="00904123">
      <w:pPr>
        <w:pStyle w:val="Heading2"/>
      </w:pPr>
      <w:bookmarkStart w:id="62" w:name="_Toc147618633"/>
      <w:r w:rsidRPr="00B51852">
        <w:t>1. Agreed-Upon Units</w:t>
      </w:r>
      <w:bookmarkEnd w:id="62"/>
    </w:p>
    <w:p w14:paraId="7F353BBB" w14:textId="77777777" w:rsidR="0018433B" w:rsidRDefault="0018433B" w:rsidP="0018433B">
      <w:pPr>
        <w:pStyle w:val="Style"/>
        <w:widowControl/>
        <w:jc w:val="both"/>
        <w:textAlignment w:val="baseline"/>
        <w:rPr>
          <w:szCs w:val="23"/>
        </w:rPr>
      </w:pPr>
    </w:p>
    <w:p w14:paraId="38417CEE" w14:textId="77777777" w:rsidR="0018433B" w:rsidRPr="002E0FF6" w:rsidRDefault="0018433B" w:rsidP="0018433B">
      <w:pPr>
        <w:pStyle w:val="Style"/>
        <w:widowControl/>
        <w:jc w:val="both"/>
        <w:textAlignment w:val="baseline"/>
        <w:rPr>
          <w:szCs w:val="23"/>
        </w:rPr>
      </w:pPr>
      <w:r>
        <w:rPr>
          <w:szCs w:val="23"/>
        </w:rPr>
        <w:tab/>
      </w:r>
      <w:r w:rsidRPr="002F33F6">
        <w:rPr>
          <w:b/>
          <w:szCs w:val="23"/>
        </w:rPr>
        <w:t>Luke 6</w:t>
      </w:r>
      <w:r w:rsidRPr="00B51852">
        <w:rPr>
          <w:szCs w:val="23"/>
        </w:rPr>
        <w:t>:</w:t>
      </w:r>
      <w:r w:rsidRPr="002F33F6">
        <w:rPr>
          <w:b/>
          <w:szCs w:val="23"/>
        </w:rPr>
        <w:t>20-26</w:t>
      </w:r>
      <w:r w:rsidRPr="00B51852">
        <w:rPr>
          <w:szCs w:val="23"/>
        </w:rPr>
        <w:t xml:space="preserve">. </w:t>
      </w:r>
      <w:r w:rsidRPr="00B51852">
        <w:rPr>
          <w:szCs w:val="25"/>
        </w:rPr>
        <w:t>The sermon begin</w:t>
      </w:r>
      <w:r>
        <w:rPr>
          <w:szCs w:val="25"/>
        </w:rPr>
        <w:t>s with the beatitudes and woes.</w:t>
      </w:r>
    </w:p>
    <w:p w14:paraId="43628403" w14:textId="77777777" w:rsidR="0018433B" w:rsidRDefault="0018433B" w:rsidP="0018433B">
      <w:pPr>
        <w:pStyle w:val="Style"/>
        <w:widowControl/>
        <w:jc w:val="both"/>
        <w:textAlignment w:val="baseline"/>
        <w:rPr>
          <w:szCs w:val="25"/>
        </w:rPr>
      </w:pPr>
    </w:p>
    <w:p w14:paraId="356F40DB" w14:textId="77777777" w:rsidR="0018433B" w:rsidRDefault="0018433B" w:rsidP="0018433B">
      <w:pPr>
        <w:pStyle w:val="Style"/>
        <w:widowControl/>
        <w:ind w:left="720"/>
        <w:jc w:val="both"/>
        <w:textAlignment w:val="baseline"/>
        <w:rPr>
          <w:rFonts w:eastAsia="Arial"/>
          <w:szCs w:val="23"/>
        </w:rPr>
      </w:pPr>
      <w:r w:rsidRPr="00B51852">
        <w:rPr>
          <w:rFonts w:eastAsia="Arial"/>
          <w:szCs w:val="23"/>
        </w:rPr>
        <w:t>2</w:t>
      </w:r>
      <w:r>
        <w:rPr>
          <w:rFonts w:eastAsia="Arial"/>
          <w:szCs w:val="23"/>
        </w:rPr>
        <w:t>0a</w:t>
      </w:r>
      <w:r>
        <w:rPr>
          <w:rFonts w:eastAsia="Arial"/>
          <w:szCs w:val="23"/>
        </w:rPr>
        <w:tab/>
      </w:r>
      <w:r w:rsidRPr="00CE06CA">
        <w:rPr>
          <w:bCs/>
          <w:szCs w:val="22"/>
          <w:lang w:val="el-GR"/>
        </w:rPr>
        <w:t>Καὶ αὐτὸς ἐπάρας τοὺς ὀφθαλμοὺς αὐτοῦ εἰς τοὺς μαθητὰς αὐτοῦ ἔλεγεν·</w:t>
      </w:r>
    </w:p>
    <w:p w14:paraId="0817DC44" w14:textId="77777777" w:rsidR="0018433B" w:rsidRPr="00B51852" w:rsidRDefault="0018433B" w:rsidP="0018433B">
      <w:pPr>
        <w:pStyle w:val="Style"/>
        <w:widowControl/>
        <w:ind w:left="720"/>
        <w:jc w:val="both"/>
        <w:textAlignment w:val="baseline"/>
        <w:rPr>
          <w:rFonts w:eastAsia="Arial"/>
          <w:szCs w:val="23"/>
        </w:rPr>
      </w:pPr>
      <w:r>
        <w:rPr>
          <w:rFonts w:eastAsia="Arial"/>
          <w:szCs w:val="23"/>
        </w:rPr>
        <w:t>20b</w:t>
      </w:r>
      <w:r>
        <w:rPr>
          <w:rFonts w:eastAsia="Arial"/>
          <w:szCs w:val="23"/>
        </w:rPr>
        <w:tab/>
      </w:r>
      <w:r w:rsidRPr="00CE06CA">
        <w:rPr>
          <w:bCs/>
          <w:szCs w:val="22"/>
          <w:lang w:val="el-GR"/>
        </w:rPr>
        <w:t>Μακάριοι οἱ πτωχοί,</w:t>
      </w:r>
    </w:p>
    <w:p w14:paraId="1669D3DA" w14:textId="77777777" w:rsidR="0018433B" w:rsidRPr="00B51852" w:rsidRDefault="0018433B" w:rsidP="0018433B">
      <w:pPr>
        <w:pStyle w:val="Style"/>
        <w:widowControl/>
        <w:ind w:left="720"/>
        <w:jc w:val="both"/>
        <w:textAlignment w:val="baseline"/>
        <w:rPr>
          <w:rFonts w:eastAsia="Arial"/>
          <w:szCs w:val="23"/>
        </w:rPr>
      </w:pPr>
      <w:r>
        <w:rPr>
          <w:rFonts w:eastAsia="Arial"/>
          <w:szCs w:val="23"/>
        </w:rPr>
        <w:t>20c</w:t>
      </w:r>
      <w:r>
        <w:rPr>
          <w:rFonts w:eastAsia="Arial"/>
          <w:szCs w:val="23"/>
        </w:rPr>
        <w:tab/>
      </w:r>
      <w:r w:rsidRPr="00CE06CA">
        <w:rPr>
          <w:bCs/>
          <w:szCs w:val="22"/>
          <w:lang w:val="el-GR"/>
        </w:rPr>
        <w:t>ὅτι ὑμετέρα ἐστὶν ἡ βασιλεία τοῦ θεοῦ.</w:t>
      </w:r>
    </w:p>
    <w:p w14:paraId="74F1200B" w14:textId="77777777" w:rsidR="0018433B" w:rsidRPr="00B51852" w:rsidRDefault="0018433B" w:rsidP="0018433B">
      <w:pPr>
        <w:pStyle w:val="Style"/>
        <w:widowControl/>
        <w:ind w:left="720"/>
        <w:jc w:val="both"/>
        <w:textAlignment w:val="baseline"/>
        <w:rPr>
          <w:rFonts w:eastAsia="Arial"/>
          <w:szCs w:val="23"/>
        </w:rPr>
      </w:pPr>
      <w:r w:rsidRPr="00B51852">
        <w:rPr>
          <w:rFonts w:eastAsia="Arial"/>
          <w:szCs w:val="23"/>
        </w:rPr>
        <w:t>21a</w:t>
      </w:r>
      <w:r>
        <w:rPr>
          <w:rFonts w:eastAsia="Arial"/>
          <w:szCs w:val="23"/>
        </w:rPr>
        <w:tab/>
      </w:r>
      <w:r w:rsidRPr="00CE06CA">
        <w:rPr>
          <w:bCs/>
          <w:szCs w:val="22"/>
          <w:lang w:val="el-GR"/>
        </w:rPr>
        <w:t>μακάριοι οἱ πεινῶντες νῦν,</w:t>
      </w:r>
    </w:p>
    <w:p w14:paraId="61673BA2" w14:textId="77777777" w:rsidR="0018433B" w:rsidRPr="00B51852" w:rsidRDefault="0018433B" w:rsidP="0018433B">
      <w:pPr>
        <w:pStyle w:val="Style"/>
        <w:widowControl/>
        <w:ind w:left="720"/>
        <w:jc w:val="both"/>
        <w:textAlignment w:val="baseline"/>
        <w:rPr>
          <w:rFonts w:eastAsia="Arial"/>
          <w:szCs w:val="23"/>
        </w:rPr>
      </w:pPr>
      <w:r>
        <w:rPr>
          <w:rFonts w:eastAsia="Arial"/>
          <w:szCs w:val="23"/>
        </w:rPr>
        <w:t>21b</w:t>
      </w:r>
      <w:r>
        <w:rPr>
          <w:rFonts w:eastAsia="Arial"/>
          <w:szCs w:val="23"/>
        </w:rPr>
        <w:tab/>
      </w:r>
      <w:r w:rsidRPr="00CE06CA">
        <w:rPr>
          <w:bCs/>
          <w:szCs w:val="22"/>
          <w:lang w:val="el-GR"/>
        </w:rPr>
        <w:t>ὅτι χορτασθήσεσθε.</w:t>
      </w:r>
    </w:p>
    <w:p w14:paraId="50679695" w14:textId="77777777" w:rsidR="0018433B" w:rsidRDefault="0018433B" w:rsidP="0018433B">
      <w:pPr>
        <w:pStyle w:val="Style"/>
        <w:widowControl/>
        <w:ind w:left="720"/>
        <w:jc w:val="both"/>
        <w:textAlignment w:val="baseline"/>
        <w:rPr>
          <w:rFonts w:eastAsia="Arial"/>
          <w:szCs w:val="23"/>
        </w:rPr>
      </w:pPr>
      <w:r>
        <w:rPr>
          <w:rFonts w:eastAsia="Arial"/>
          <w:szCs w:val="23"/>
        </w:rPr>
        <w:t>21c</w:t>
      </w:r>
      <w:r>
        <w:rPr>
          <w:rFonts w:eastAsia="Arial"/>
          <w:szCs w:val="23"/>
        </w:rPr>
        <w:tab/>
      </w:r>
      <w:r w:rsidRPr="00CE06CA">
        <w:rPr>
          <w:bCs/>
          <w:szCs w:val="22"/>
          <w:lang w:val="el-GR"/>
        </w:rPr>
        <w:t>μακάριοι οἱ κλαίοντες νῦν,</w:t>
      </w:r>
    </w:p>
    <w:p w14:paraId="3108BF13" w14:textId="77777777" w:rsidR="0018433B" w:rsidRPr="00B51852" w:rsidRDefault="0018433B" w:rsidP="0018433B">
      <w:pPr>
        <w:pStyle w:val="Style"/>
        <w:widowControl/>
        <w:ind w:left="720"/>
        <w:jc w:val="both"/>
        <w:textAlignment w:val="baseline"/>
        <w:rPr>
          <w:rFonts w:eastAsia="Arial"/>
          <w:szCs w:val="23"/>
        </w:rPr>
      </w:pPr>
      <w:r>
        <w:rPr>
          <w:rFonts w:eastAsia="Arial"/>
          <w:szCs w:val="23"/>
        </w:rPr>
        <w:t>21d</w:t>
      </w:r>
      <w:r>
        <w:rPr>
          <w:rFonts w:eastAsia="Arial"/>
          <w:szCs w:val="23"/>
        </w:rPr>
        <w:tab/>
      </w:r>
      <w:r w:rsidRPr="00CE06CA">
        <w:rPr>
          <w:bCs/>
          <w:szCs w:val="22"/>
          <w:lang w:val="el-GR"/>
        </w:rPr>
        <w:t>ὅτι γελάσετε.</w:t>
      </w:r>
    </w:p>
    <w:p w14:paraId="379719CA" w14:textId="77777777" w:rsidR="0018433B" w:rsidRPr="00B51852" w:rsidRDefault="0018433B" w:rsidP="0018433B">
      <w:pPr>
        <w:pStyle w:val="Style"/>
        <w:widowControl/>
        <w:ind w:left="720"/>
        <w:jc w:val="both"/>
        <w:textAlignment w:val="baseline"/>
        <w:rPr>
          <w:rFonts w:eastAsia="Arial"/>
          <w:iCs/>
          <w:szCs w:val="23"/>
        </w:rPr>
      </w:pPr>
      <w:r w:rsidRPr="00B51852">
        <w:rPr>
          <w:rFonts w:eastAsia="Arial"/>
          <w:szCs w:val="23"/>
        </w:rPr>
        <w:t>22a</w:t>
      </w:r>
      <w:r>
        <w:rPr>
          <w:rFonts w:eastAsia="Arial"/>
          <w:szCs w:val="23"/>
        </w:rPr>
        <w:tab/>
      </w:r>
      <w:r w:rsidRPr="00CE06CA">
        <w:rPr>
          <w:bCs/>
          <w:szCs w:val="22"/>
          <w:lang w:val="el-GR"/>
        </w:rPr>
        <w:t>μακάριοί ἐστε</w:t>
      </w:r>
    </w:p>
    <w:p w14:paraId="3AC524B6" w14:textId="77777777" w:rsidR="0018433B" w:rsidRPr="00B51852" w:rsidRDefault="0018433B" w:rsidP="0018433B">
      <w:pPr>
        <w:pStyle w:val="Style"/>
        <w:widowControl/>
        <w:ind w:left="720"/>
        <w:jc w:val="both"/>
        <w:textAlignment w:val="baseline"/>
        <w:rPr>
          <w:rFonts w:eastAsia="Arial"/>
          <w:szCs w:val="23"/>
        </w:rPr>
      </w:pPr>
      <w:r>
        <w:rPr>
          <w:rFonts w:eastAsia="Arial"/>
          <w:szCs w:val="23"/>
        </w:rPr>
        <w:t>22b</w:t>
      </w:r>
      <w:r>
        <w:rPr>
          <w:rFonts w:eastAsia="Arial"/>
          <w:szCs w:val="23"/>
        </w:rPr>
        <w:tab/>
      </w:r>
      <w:r w:rsidRPr="00CE06CA">
        <w:rPr>
          <w:bCs/>
          <w:szCs w:val="22"/>
          <w:lang w:val="el-GR"/>
        </w:rPr>
        <w:t>ὅταν μισήσωσιν ὑμᾶς οἱ ἄνθρωποι</w:t>
      </w:r>
    </w:p>
    <w:p w14:paraId="381E3B26" w14:textId="77777777" w:rsidR="0018433B" w:rsidRDefault="0018433B" w:rsidP="0018433B">
      <w:pPr>
        <w:pStyle w:val="Style"/>
        <w:widowControl/>
        <w:ind w:left="720"/>
        <w:jc w:val="both"/>
        <w:rPr>
          <w:bCs/>
          <w:szCs w:val="22"/>
        </w:rPr>
      </w:pPr>
      <w:r>
        <w:t>22cα</w:t>
      </w:r>
      <w:r>
        <w:tab/>
      </w:r>
      <w:r w:rsidRPr="00CE06CA">
        <w:rPr>
          <w:bCs/>
          <w:szCs w:val="22"/>
          <w:lang w:val="el-GR"/>
        </w:rPr>
        <w:t>καὶ ὅταν ἀφορίσωσιν ὑμᾶς</w:t>
      </w:r>
    </w:p>
    <w:p w14:paraId="7AD00342" w14:textId="77777777" w:rsidR="0018433B" w:rsidRPr="007059B9" w:rsidRDefault="0018433B" w:rsidP="0018433B">
      <w:pPr>
        <w:pStyle w:val="Style"/>
        <w:widowControl/>
        <w:ind w:left="720"/>
        <w:jc w:val="both"/>
        <w:rPr>
          <w:bCs/>
          <w:szCs w:val="22"/>
        </w:rPr>
      </w:pPr>
      <w:r>
        <w:rPr>
          <w:bCs/>
          <w:szCs w:val="22"/>
        </w:rPr>
        <w:t>22cβ</w:t>
      </w:r>
      <w:r>
        <w:rPr>
          <w:bCs/>
          <w:szCs w:val="22"/>
        </w:rPr>
        <w:tab/>
      </w:r>
      <w:r w:rsidRPr="00CE06CA">
        <w:rPr>
          <w:bCs/>
          <w:szCs w:val="22"/>
          <w:lang w:val="el-GR"/>
        </w:rPr>
        <w:t>καὶ ὀνειδί</w:t>
      </w:r>
      <w:r>
        <w:rPr>
          <w:bCs/>
          <w:szCs w:val="22"/>
          <w:lang w:val="el-GR"/>
        </w:rPr>
        <w:t>σωσιν</w:t>
      </w:r>
    </w:p>
    <w:p w14:paraId="1919EEBE" w14:textId="77777777" w:rsidR="0018433B" w:rsidRDefault="0018433B" w:rsidP="0018433B">
      <w:pPr>
        <w:pStyle w:val="Style"/>
        <w:widowControl/>
        <w:ind w:left="720"/>
        <w:jc w:val="both"/>
        <w:rPr>
          <w:bCs/>
          <w:szCs w:val="22"/>
        </w:rPr>
      </w:pPr>
      <w:r>
        <w:rPr>
          <w:bCs/>
          <w:szCs w:val="22"/>
        </w:rPr>
        <w:t>22cγ</w:t>
      </w:r>
      <w:r>
        <w:rPr>
          <w:bCs/>
          <w:szCs w:val="22"/>
        </w:rPr>
        <w:tab/>
      </w:r>
      <w:r w:rsidRPr="00CE06CA">
        <w:rPr>
          <w:bCs/>
          <w:szCs w:val="22"/>
          <w:lang w:val="el-GR"/>
        </w:rPr>
        <w:t>καὶ ἐκβάλωσιν τὸ ὄνομα ὑμῶν ὡς πονηρὸ</w:t>
      </w:r>
      <w:r>
        <w:rPr>
          <w:bCs/>
          <w:szCs w:val="22"/>
          <w:lang w:val="el-GR"/>
        </w:rPr>
        <w:t>ν</w:t>
      </w:r>
    </w:p>
    <w:p w14:paraId="12E8BAEE" w14:textId="77777777" w:rsidR="0018433B" w:rsidRPr="00B926EA" w:rsidRDefault="0018433B" w:rsidP="0018433B">
      <w:pPr>
        <w:pStyle w:val="Style"/>
        <w:widowControl/>
        <w:ind w:left="720"/>
        <w:jc w:val="both"/>
        <w:rPr>
          <w:bCs/>
          <w:szCs w:val="22"/>
        </w:rPr>
      </w:pPr>
      <w:r>
        <w:rPr>
          <w:bCs/>
          <w:szCs w:val="22"/>
        </w:rPr>
        <w:t>22cδ</w:t>
      </w:r>
      <w:r>
        <w:rPr>
          <w:bCs/>
          <w:szCs w:val="22"/>
        </w:rPr>
        <w:tab/>
      </w:r>
      <w:r w:rsidRPr="00CE06CA">
        <w:rPr>
          <w:bCs/>
          <w:szCs w:val="22"/>
          <w:lang w:val="el-GR"/>
        </w:rPr>
        <w:t>ἕνεκα τοῦ υἱοῦ τοῦ ἀνθρώπου·</w:t>
      </w:r>
    </w:p>
    <w:p w14:paraId="0557F004" w14:textId="77777777" w:rsidR="0018433B" w:rsidRPr="00B926EA" w:rsidRDefault="0018433B" w:rsidP="0018433B">
      <w:pPr>
        <w:pStyle w:val="Style"/>
        <w:ind w:left="720"/>
        <w:textAlignment w:val="baseline"/>
        <w:rPr>
          <w:szCs w:val="25"/>
        </w:rPr>
      </w:pPr>
      <w:r w:rsidRPr="00B926EA">
        <w:rPr>
          <w:szCs w:val="25"/>
        </w:rPr>
        <w:t>23aα</w:t>
      </w:r>
      <w:r w:rsidRPr="00B926EA">
        <w:rPr>
          <w:szCs w:val="25"/>
        </w:rPr>
        <w:tab/>
      </w:r>
      <w:proofErr w:type="spellStart"/>
      <w:r w:rsidRPr="00B926EA">
        <w:rPr>
          <w:szCs w:val="25"/>
        </w:rPr>
        <w:t>χάρητε</w:t>
      </w:r>
      <w:proofErr w:type="spellEnd"/>
      <w:r w:rsidRPr="00B926EA">
        <w:rPr>
          <w:szCs w:val="25"/>
        </w:rPr>
        <w:t xml:space="preserve"> </w:t>
      </w:r>
      <w:proofErr w:type="spellStart"/>
      <w:r w:rsidRPr="00B926EA">
        <w:rPr>
          <w:szCs w:val="25"/>
        </w:rPr>
        <w:t>ἐν</w:t>
      </w:r>
      <w:proofErr w:type="spellEnd"/>
      <w:r w:rsidRPr="00B926EA">
        <w:rPr>
          <w:szCs w:val="25"/>
        </w:rPr>
        <w:t xml:space="preserve"> </w:t>
      </w:r>
      <w:proofErr w:type="spellStart"/>
      <w:r w:rsidRPr="00B926EA">
        <w:rPr>
          <w:szCs w:val="25"/>
        </w:rPr>
        <w:t>ἐκείνῃ</w:t>
      </w:r>
      <w:proofErr w:type="spellEnd"/>
      <w:r w:rsidRPr="00B926EA">
        <w:rPr>
          <w:szCs w:val="25"/>
        </w:rPr>
        <w:t xml:space="preserve"> </w:t>
      </w:r>
      <w:proofErr w:type="spellStart"/>
      <w:r w:rsidRPr="00B926EA">
        <w:rPr>
          <w:szCs w:val="25"/>
        </w:rPr>
        <w:t>τῇ</w:t>
      </w:r>
      <w:proofErr w:type="spellEnd"/>
      <w:r w:rsidRPr="00B926EA">
        <w:rPr>
          <w:szCs w:val="25"/>
        </w:rPr>
        <w:t xml:space="preserve"> </w:t>
      </w:r>
      <w:proofErr w:type="spellStart"/>
      <w:r w:rsidRPr="00B926EA">
        <w:rPr>
          <w:szCs w:val="25"/>
        </w:rPr>
        <w:t>ἡμέρᾳ</w:t>
      </w:r>
      <w:proofErr w:type="spellEnd"/>
    </w:p>
    <w:p w14:paraId="199F7BBC" w14:textId="77777777" w:rsidR="0018433B" w:rsidRPr="00B926EA" w:rsidRDefault="0018433B" w:rsidP="0018433B">
      <w:pPr>
        <w:pStyle w:val="Style"/>
        <w:ind w:left="720"/>
        <w:textAlignment w:val="baseline"/>
        <w:rPr>
          <w:szCs w:val="25"/>
        </w:rPr>
      </w:pPr>
      <w:r w:rsidRPr="00B926EA">
        <w:rPr>
          <w:szCs w:val="25"/>
        </w:rPr>
        <w:t>23aβ</w:t>
      </w:r>
      <w:r w:rsidRPr="00B926EA">
        <w:rPr>
          <w:szCs w:val="25"/>
        </w:rPr>
        <w:tab/>
        <w:t xml:space="preserve">καὶ </w:t>
      </w:r>
      <w:proofErr w:type="spellStart"/>
      <w:r w:rsidRPr="00B926EA">
        <w:rPr>
          <w:szCs w:val="25"/>
        </w:rPr>
        <w:t>σκιρτήσ</w:t>
      </w:r>
      <w:proofErr w:type="spellEnd"/>
      <w:r w:rsidRPr="00B926EA">
        <w:rPr>
          <w:szCs w:val="25"/>
        </w:rPr>
        <w:t>ατε,</w:t>
      </w:r>
    </w:p>
    <w:p w14:paraId="165A8A34" w14:textId="77777777" w:rsidR="0018433B" w:rsidRPr="00B926EA" w:rsidRDefault="0018433B" w:rsidP="0018433B">
      <w:pPr>
        <w:pStyle w:val="Style"/>
        <w:ind w:left="720"/>
        <w:textAlignment w:val="baseline"/>
        <w:rPr>
          <w:szCs w:val="25"/>
        </w:rPr>
      </w:pPr>
      <w:r w:rsidRPr="00B926EA">
        <w:rPr>
          <w:szCs w:val="25"/>
        </w:rPr>
        <w:t>23b</w:t>
      </w:r>
      <w:r w:rsidRPr="00B926EA">
        <w:rPr>
          <w:szCs w:val="25"/>
        </w:rPr>
        <w:tab/>
      </w:r>
      <w:proofErr w:type="spellStart"/>
      <w:r w:rsidRPr="00B926EA">
        <w:rPr>
          <w:szCs w:val="25"/>
        </w:rPr>
        <w:t>ἰδοὺ</w:t>
      </w:r>
      <w:proofErr w:type="spellEnd"/>
      <w:r w:rsidRPr="00B926EA">
        <w:rPr>
          <w:szCs w:val="25"/>
        </w:rPr>
        <w:t xml:space="preserve"> </w:t>
      </w:r>
      <w:proofErr w:type="spellStart"/>
      <w:r w:rsidRPr="00B926EA">
        <w:rPr>
          <w:szCs w:val="25"/>
        </w:rPr>
        <w:t>γὰρ</w:t>
      </w:r>
      <w:proofErr w:type="spellEnd"/>
      <w:r w:rsidRPr="00B926EA">
        <w:rPr>
          <w:szCs w:val="25"/>
        </w:rPr>
        <w:t xml:space="preserve"> ὁ </w:t>
      </w:r>
      <w:proofErr w:type="spellStart"/>
      <w:r w:rsidRPr="00B926EA">
        <w:rPr>
          <w:szCs w:val="25"/>
        </w:rPr>
        <w:t>μισθὸς</w:t>
      </w:r>
      <w:proofErr w:type="spellEnd"/>
      <w:r w:rsidRPr="00B926EA">
        <w:rPr>
          <w:szCs w:val="25"/>
        </w:rPr>
        <w:t xml:space="preserve"> </w:t>
      </w:r>
      <w:proofErr w:type="spellStart"/>
      <w:r w:rsidRPr="00B926EA">
        <w:rPr>
          <w:szCs w:val="25"/>
        </w:rPr>
        <w:t>ὑμῶν</w:t>
      </w:r>
      <w:proofErr w:type="spellEnd"/>
      <w:r w:rsidRPr="00B926EA">
        <w:rPr>
          <w:szCs w:val="25"/>
        </w:rPr>
        <w:t xml:space="preserve"> π</w:t>
      </w:r>
      <w:proofErr w:type="spellStart"/>
      <w:r w:rsidRPr="00B926EA">
        <w:rPr>
          <w:szCs w:val="25"/>
        </w:rPr>
        <w:t>ολὺς</w:t>
      </w:r>
      <w:proofErr w:type="spellEnd"/>
      <w:r w:rsidRPr="00B926EA">
        <w:rPr>
          <w:szCs w:val="25"/>
        </w:rPr>
        <w:t xml:space="preserve"> </w:t>
      </w:r>
      <w:proofErr w:type="spellStart"/>
      <w:r w:rsidRPr="00B926EA">
        <w:rPr>
          <w:szCs w:val="25"/>
        </w:rPr>
        <w:t>ἐν</w:t>
      </w:r>
      <w:proofErr w:type="spellEnd"/>
      <w:r w:rsidRPr="00B926EA">
        <w:rPr>
          <w:szCs w:val="25"/>
        </w:rPr>
        <w:t xml:space="preserve"> </w:t>
      </w:r>
      <w:proofErr w:type="spellStart"/>
      <w:r w:rsidRPr="00B926EA">
        <w:rPr>
          <w:szCs w:val="25"/>
        </w:rPr>
        <w:t>τῷ</w:t>
      </w:r>
      <w:proofErr w:type="spellEnd"/>
      <w:r w:rsidRPr="00B926EA">
        <w:rPr>
          <w:szCs w:val="25"/>
        </w:rPr>
        <w:t xml:space="preserve"> </w:t>
      </w:r>
      <w:proofErr w:type="spellStart"/>
      <w:r w:rsidRPr="00B926EA">
        <w:rPr>
          <w:szCs w:val="25"/>
        </w:rPr>
        <w:t>οὐρ</w:t>
      </w:r>
      <w:proofErr w:type="spellEnd"/>
      <w:r w:rsidRPr="00B926EA">
        <w:rPr>
          <w:szCs w:val="25"/>
        </w:rPr>
        <w:t>ανῷ·</w:t>
      </w:r>
    </w:p>
    <w:p w14:paraId="2A74BB7E" w14:textId="77777777" w:rsidR="0018433B" w:rsidRPr="00B926EA" w:rsidRDefault="0018433B" w:rsidP="0018433B">
      <w:pPr>
        <w:pStyle w:val="Style"/>
        <w:ind w:left="720"/>
        <w:textAlignment w:val="baseline"/>
        <w:rPr>
          <w:szCs w:val="25"/>
        </w:rPr>
      </w:pPr>
      <w:r w:rsidRPr="00B926EA">
        <w:rPr>
          <w:szCs w:val="25"/>
        </w:rPr>
        <w:t>23c</w:t>
      </w:r>
      <w:r w:rsidRPr="00B926EA">
        <w:rPr>
          <w:szCs w:val="25"/>
        </w:rPr>
        <w:tab/>
        <w:t>κα</w:t>
      </w:r>
      <w:proofErr w:type="spellStart"/>
      <w:r w:rsidRPr="00B926EA">
        <w:rPr>
          <w:szCs w:val="25"/>
        </w:rPr>
        <w:t>τὰ</w:t>
      </w:r>
      <w:proofErr w:type="spellEnd"/>
      <w:r w:rsidRPr="00B926EA">
        <w:rPr>
          <w:szCs w:val="25"/>
        </w:rPr>
        <w:t xml:space="preserve"> </w:t>
      </w:r>
      <w:proofErr w:type="spellStart"/>
      <w:r w:rsidRPr="00B926EA">
        <w:rPr>
          <w:szCs w:val="25"/>
        </w:rPr>
        <w:t>τὰ</w:t>
      </w:r>
      <w:proofErr w:type="spellEnd"/>
      <w:r w:rsidRPr="00B926EA">
        <w:rPr>
          <w:szCs w:val="25"/>
        </w:rPr>
        <w:t xml:space="preserve"> α</w:t>
      </w:r>
      <w:proofErr w:type="spellStart"/>
      <w:r w:rsidRPr="00B926EA">
        <w:rPr>
          <w:szCs w:val="25"/>
        </w:rPr>
        <w:t>ὐτὰ</w:t>
      </w:r>
      <w:proofErr w:type="spellEnd"/>
      <w:r w:rsidRPr="00B926EA">
        <w:rPr>
          <w:szCs w:val="25"/>
        </w:rPr>
        <w:t xml:space="preserve"> </w:t>
      </w:r>
      <w:proofErr w:type="spellStart"/>
      <w:r w:rsidRPr="00B926EA">
        <w:rPr>
          <w:szCs w:val="25"/>
        </w:rPr>
        <w:t>γὰρ</w:t>
      </w:r>
      <w:proofErr w:type="spellEnd"/>
      <w:r w:rsidRPr="00B926EA">
        <w:rPr>
          <w:szCs w:val="25"/>
        </w:rPr>
        <w:t xml:space="preserve"> ἐπ</w:t>
      </w:r>
      <w:proofErr w:type="spellStart"/>
      <w:r w:rsidRPr="00B926EA">
        <w:rPr>
          <w:szCs w:val="25"/>
        </w:rPr>
        <w:t>οίουν</w:t>
      </w:r>
      <w:proofErr w:type="spellEnd"/>
      <w:r w:rsidRPr="00B926EA">
        <w:rPr>
          <w:szCs w:val="25"/>
        </w:rPr>
        <w:t xml:space="preserve"> </w:t>
      </w:r>
      <w:proofErr w:type="spellStart"/>
      <w:r w:rsidRPr="00B926EA">
        <w:rPr>
          <w:szCs w:val="25"/>
        </w:rPr>
        <w:t>τοῖς</w:t>
      </w:r>
      <w:proofErr w:type="spellEnd"/>
      <w:r w:rsidRPr="00B926EA">
        <w:rPr>
          <w:szCs w:val="25"/>
        </w:rPr>
        <w:t xml:space="preserve"> π</w:t>
      </w:r>
      <w:proofErr w:type="spellStart"/>
      <w:r w:rsidRPr="00B926EA">
        <w:rPr>
          <w:szCs w:val="25"/>
        </w:rPr>
        <w:t>ροφήτ</w:t>
      </w:r>
      <w:proofErr w:type="spellEnd"/>
      <w:r w:rsidRPr="00B926EA">
        <w:rPr>
          <w:szCs w:val="25"/>
        </w:rPr>
        <w:t xml:space="preserve">αις </w:t>
      </w:r>
      <w:proofErr w:type="spellStart"/>
      <w:r w:rsidRPr="00B926EA">
        <w:rPr>
          <w:szCs w:val="25"/>
        </w:rPr>
        <w:t>οἱ</w:t>
      </w:r>
      <w:proofErr w:type="spellEnd"/>
      <w:r w:rsidRPr="00B926EA">
        <w:rPr>
          <w:szCs w:val="25"/>
        </w:rPr>
        <w:t xml:space="preserve"> πα</w:t>
      </w:r>
      <w:proofErr w:type="spellStart"/>
      <w:r w:rsidRPr="00B926EA">
        <w:rPr>
          <w:szCs w:val="25"/>
        </w:rPr>
        <w:t>τέρες</w:t>
      </w:r>
      <w:proofErr w:type="spellEnd"/>
      <w:r w:rsidRPr="00B926EA">
        <w:rPr>
          <w:szCs w:val="25"/>
        </w:rPr>
        <w:t xml:space="preserve"> α</w:t>
      </w:r>
      <w:proofErr w:type="spellStart"/>
      <w:r w:rsidRPr="00B926EA">
        <w:rPr>
          <w:szCs w:val="25"/>
        </w:rPr>
        <w:t>ὐτῶν</w:t>
      </w:r>
      <w:proofErr w:type="spellEnd"/>
      <w:r w:rsidRPr="00B926EA">
        <w:rPr>
          <w:szCs w:val="25"/>
        </w:rPr>
        <w:t>.</w:t>
      </w:r>
    </w:p>
    <w:p w14:paraId="5B499901" w14:textId="77777777" w:rsidR="0018433B" w:rsidRPr="00B926EA" w:rsidRDefault="0018433B" w:rsidP="0018433B">
      <w:pPr>
        <w:pStyle w:val="Style"/>
        <w:ind w:left="720"/>
        <w:textAlignment w:val="baseline"/>
        <w:rPr>
          <w:szCs w:val="25"/>
        </w:rPr>
      </w:pPr>
      <w:r w:rsidRPr="00B926EA">
        <w:rPr>
          <w:szCs w:val="25"/>
        </w:rPr>
        <w:t>24a</w:t>
      </w:r>
      <w:r w:rsidRPr="00B926EA">
        <w:rPr>
          <w:szCs w:val="25"/>
        </w:rPr>
        <w:tab/>
      </w:r>
      <w:proofErr w:type="spellStart"/>
      <w:r w:rsidRPr="00B926EA">
        <w:rPr>
          <w:szCs w:val="25"/>
        </w:rPr>
        <w:t>Πλὴν</w:t>
      </w:r>
      <w:proofErr w:type="spellEnd"/>
      <w:r w:rsidRPr="00B926EA">
        <w:rPr>
          <w:szCs w:val="25"/>
        </w:rPr>
        <w:t xml:space="preserve"> </w:t>
      </w:r>
      <w:proofErr w:type="spellStart"/>
      <w:r w:rsidRPr="00B926EA">
        <w:rPr>
          <w:szCs w:val="25"/>
        </w:rPr>
        <w:t>οὐ</w:t>
      </w:r>
      <w:proofErr w:type="spellEnd"/>
      <w:r w:rsidRPr="00B926EA">
        <w:rPr>
          <w:szCs w:val="25"/>
        </w:rPr>
        <w:t xml:space="preserve">αὶ </w:t>
      </w:r>
      <w:proofErr w:type="spellStart"/>
      <w:r w:rsidRPr="00B926EA">
        <w:rPr>
          <w:szCs w:val="25"/>
        </w:rPr>
        <w:t>ὑμῖν</w:t>
      </w:r>
      <w:proofErr w:type="spellEnd"/>
      <w:r w:rsidRPr="00B926EA">
        <w:rPr>
          <w:szCs w:val="25"/>
        </w:rPr>
        <w:t xml:space="preserve"> </w:t>
      </w:r>
      <w:proofErr w:type="spellStart"/>
      <w:r w:rsidRPr="00B926EA">
        <w:rPr>
          <w:szCs w:val="25"/>
        </w:rPr>
        <w:t>τοῖς</w:t>
      </w:r>
      <w:proofErr w:type="spellEnd"/>
      <w:r w:rsidRPr="00B926EA">
        <w:rPr>
          <w:szCs w:val="25"/>
        </w:rPr>
        <w:t xml:space="preserve"> π</w:t>
      </w:r>
      <w:proofErr w:type="spellStart"/>
      <w:r w:rsidRPr="00B926EA">
        <w:rPr>
          <w:szCs w:val="25"/>
        </w:rPr>
        <w:t>λουσίοις</w:t>
      </w:r>
      <w:proofErr w:type="spellEnd"/>
      <w:r w:rsidRPr="00B926EA">
        <w:rPr>
          <w:szCs w:val="25"/>
        </w:rPr>
        <w:t>,</w:t>
      </w:r>
    </w:p>
    <w:p w14:paraId="317F991A" w14:textId="77777777" w:rsidR="0018433B" w:rsidRPr="00B926EA" w:rsidRDefault="0018433B" w:rsidP="0018433B">
      <w:pPr>
        <w:pStyle w:val="Style"/>
        <w:ind w:left="720"/>
        <w:textAlignment w:val="baseline"/>
        <w:rPr>
          <w:szCs w:val="25"/>
        </w:rPr>
      </w:pPr>
      <w:r w:rsidRPr="00B926EA">
        <w:rPr>
          <w:szCs w:val="25"/>
        </w:rPr>
        <w:t>24b</w:t>
      </w:r>
      <w:r w:rsidRPr="00B926EA">
        <w:rPr>
          <w:szCs w:val="25"/>
        </w:rPr>
        <w:tab/>
      </w:r>
      <w:proofErr w:type="spellStart"/>
      <w:r w:rsidRPr="00B926EA">
        <w:rPr>
          <w:szCs w:val="25"/>
        </w:rPr>
        <w:t>ὅτι</w:t>
      </w:r>
      <w:proofErr w:type="spellEnd"/>
      <w:r w:rsidRPr="00B926EA">
        <w:rPr>
          <w:szCs w:val="25"/>
        </w:rPr>
        <w:t xml:space="preserve"> ἀπ</w:t>
      </w:r>
      <w:proofErr w:type="spellStart"/>
      <w:r w:rsidRPr="00B926EA">
        <w:rPr>
          <w:szCs w:val="25"/>
        </w:rPr>
        <w:t>έχετε</w:t>
      </w:r>
      <w:proofErr w:type="spellEnd"/>
      <w:r w:rsidRPr="00B926EA">
        <w:rPr>
          <w:szCs w:val="25"/>
        </w:rPr>
        <w:t xml:space="preserve"> </w:t>
      </w:r>
      <w:proofErr w:type="spellStart"/>
      <w:r w:rsidRPr="00B926EA">
        <w:rPr>
          <w:szCs w:val="25"/>
        </w:rPr>
        <w:t>τὴν</w:t>
      </w:r>
      <w:proofErr w:type="spellEnd"/>
      <w:r w:rsidRPr="00B926EA">
        <w:rPr>
          <w:szCs w:val="25"/>
        </w:rPr>
        <w:t xml:space="preserve"> πα</w:t>
      </w:r>
      <w:proofErr w:type="spellStart"/>
      <w:r w:rsidRPr="00B926EA">
        <w:rPr>
          <w:szCs w:val="25"/>
        </w:rPr>
        <w:t>ράκλησιν</w:t>
      </w:r>
      <w:proofErr w:type="spellEnd"/>
      <w:r w:rsidRPr="00B926EA">
        <w:rPr>
          <w:szCs w:val="25"/>
        </w:rPr>
        <w:t xml:space="preserve"> </w:t>
      </w:r>
      <w:proofErr w:type="spellStart"/>
      <w:r w:rsidRPr="00B926EA">
        <w:rPr>
          <w:szCs w:val="25"/>
        </w:rPr>
        <w:t>ὑμῶν</w:t>
      </w:r>
      <w:proofErr w:type="spellEnd"/>
      <w:r w:rsidRPr="00B926EA">
        <w:rPr>
          <w:szCs w:val="25"/>
        </w:rPr>
        <w:t>.</w:t>
      </w:r>
    </w:p>
    <w:p w14:paraId="072136D7" w14:textId="42F67D6D" w:rsidR="0018433B" w:rsidRPr="00B926EA" w:rsidRDefault="0018433B" w:rsidP="0018433B">
      <w:pPr>
        <w:pStyle w:val="Style"/>
        <w:ind w:left="720"/>
        <w:textAlignment w:val="baseline"/>
        <w:rPr>
          <w:szCs w:val="25"/>
        </w:rPr>
      </w:pPr>
      <w:r w:rsidRPr="00B926EA">
        <w:rPr>
          <w:szCs w:val="25"/>
        </w:rPr>
        <w:t>25a</w:t>
      </w:r>
      <w:r w:rsidRPr="00B926EA">
        <w:rPr>
          <w:szCs w:val="25"/>
        </w:rPr>
        <w:tab/>
      </w:r>
      <w:proofErr w:type="spellStart"/>
      <w:r w:rsidRPr="00B926EA">
        <w:rPr>
          <w:szCs w:val="25"/>
        </w:rPr>
        <w:t>οὐ</w:t>
      </w:r>
      <w:proofErr w:type="spellEnd"/>
      <w:r w:rsidRPr="00B926EA">
        <w:rPr>
          <w:szCs w:val="25"/>
        </w:rPr>
        <w:t xml:space="preserve">αὶ </w:t>
      </w:r>
      <w:proofErr w:type="spellStart"/>
      <w:r w:rsidRPr="00B926EA">
        <w:rPr>
          <w:szCs w:val="25"/>
        </w:rPr>
        <w:t>ὑμῖν</w:t>
      </w:r>
      <w:proofErr w:type="spellEnd"/>
      <w:r w:rsidR="006F304D" w:rsidRPr="006F304D">
        <w:rPr>
          <w:szCs w:val="25"/>
        </w:rPr>
        <w:t xml:space="preserve">, </w:t>
      </w:r>
      <w:proofErr w:type="spellStart"/>
      <w:r w:rsidRPr="00B926EA">
        <w:rPr>
          <w:szCs w:val="25"/>
        </w:rPr>
        <w:t>οἱ</w:t>
      </w:r>
      <w:proofErr w:type="spellEnd"/>
      <w:r w:rsidRPr="00B926EA">
        <w:rPr>
          <w:szCs w:val="25"/>
        </w:rPr>
        <w:t xml:space="preserve"> </w:t>
      </w:r>
      <w:proofErr w:type="spellStart"/>
      <w:r w:rsidRPr="00B926EA">
        <w:rPr>
          <w:szCs w:val="25"/>
        </w:rPr>
        <w:t>ἐμ</w:t>
      </w:r>
      <w:proofErr w:type="spellEnd"/>
      <w:r w:rsidRPr="00B926EA">
        <w:rPr>
          <w:szCs w:val="25"/>
        </w:rPr>
        <w:t xml:space="preserve">πεπλησμένοι </w:t>
      </w:r>
      <w:proofErr w:type="spellStart"/>
      <w:r w:rsidRPr="00B926EA">
        <w:rPr>
          <w:szCs w:val="25"/>
        </w:rPr>
        <w:t>νῦν</w:t>
      </w:r>
      <w:proofErr w:type="spellEnd"/>
      <w:r w:rsidRPr="00B926EA">
        <w:rPr>
          <w:szCs w:val="25"/>
        </w:rPr>
        <w:t>,</w:t>
      </w:r>
    </w:p>
    <w:p w14:paraId="20419905" w14:textId="77777777" w:rsidR="0018433B" w:rsidRPr="00B926EA" w:rsidRDefault="0018433B" w:rsidP="0018433B">
      <w:pPr>
        <w:pStyle w:val="Style"/>
        <w:ind w:left="720"/>
        <w:textAlignment w:val="baseline"/>
        <w:rPr>
          <w:szCs w:val="25"/>
        </w:rPr>
      </w:pPr>
      <w:r w:rsidRPr="00B926EA">
        <w:rPr>
          <w:szCs w:val="25"/>
        </w:rPr>
        <w:t>25b</w:t>
      </w:r>
      <w:r w:rsidRPr="00B926EA">
        <w:rPr>
          <w:szCs w:val="25"/>
        </w:rPr>
        <w:tab/>
      </w:r>
      <w:proofErr w:type="spellStart"/>
      <w:r w:rsidRPr="00B926EA">
        <w:rPr>
          <w:szCs w:val="25"/>
        </w:rPr>
        <w:t>ὅτι</w:t>
      </w:r>
      <w:proofErr w:type="spellEnd"/>
      <w:r w:rsidRPr="00B926EA">
        <w:rPr>
          <w:szCs w:val="25"/>
        </w:rPr>
        <w:t xml:space="preserve"> π</w:t>
      </w:r>
      <w:proofErr w:type="spellStart"/>
      <w:r w:rsidRPr="00B926EA">
        <w:rPr>
          <w:szCs w:val="25"/>
        </w:rPr>
        <w:t>εινάσετε</w:t>
      </w:r>
      <w:proofErr w:type="spellEnd"/>
      <w:r w:rsidRPr="00B926EA">
        <w:rPr>
          <w:szCs w:val="25"/>
        </w:rPr>
        <w:t>.</w:t>
      </w:r>
    </w:p>
    <w:p w14:paraId="0F98102A" w14:textId="1B7167A1" w:rsidR="0018433B" w:rsidRPr="00B926EA" w:rsidRDefault="0018433B" w:rsidP="0018433B">
      <w:pPr>
        <w:pStyle w:val="Style"/>
        <w:ind w:left="720"/>
        <w:textAlignment w:val="baseline"/>
        <w:rPr>
          <w:szCs w:val="25"/>
        </w:rPr>
      </w:pPr>
      <w:r w:rsidRPr="00B926EA">
        <w:rPr>
          <w:szCs w:val="25"/>
        </w:rPr>
        <w:t>25c</w:t>
      </w:r>
      <w:r w:rsidRPr="00B926EA">
        <w:rPr>
          <w:szCs w:val="25"/>
        </w:rPr>
        <w:tab/>
      </w:r>
      <w:proofErr w:type="spellStart"/>
      <w:r w:rsidRPr="00B926EA">
        <w:rPr>
          <w:szCs w:val="25"/>
        </w:rPr>
        <w:t>οὐ</w:t>
      </w:r>
      <w:proofErr w:type="spellEnd"/>
      <w:r w:rsidRPr="00B926EA">
        <w:rPr>
          <w:szCs w:val="25"/>
        </w:rPr>
        <w:t>αί</w:t>
      </w:r>
      <w:r w:rsidR="006F304D" w:rsidRPr="006F304D">
        <w:rPr>
          <w:szCs w:val="25"/>
        </w:rPr>
        <w:t xml:space="preserve">, </w:t>
      </w:r>
      <w:proofErr w:type="spellStart"/>
      <w:r w:rsidRPr="00B926EA">
        <w:rPr>
          <w:szCs w:val="25"/>
        </w:rPr>
        <w:t>οἱ</w:t>
      </w:r>
      <w:proofErr w:type="spellEnd"/>
      <w:r w:rsidRPr="00B926EA">
        <w:rPr>
          <w:szCs w:val="25"/>
        </w:rPr>
        <w:t xml:space="preserve"> </w:t>
      </w:r>
      <w:proofErr w:type="spellStart"/>
      <w:r w:rsidRPr="00B926EA">
        <w:rPr>
          <w:szCs w:val="25"/>
        </w:rPr>
        <w:t>γελῶντες</w:t>
      </w:r>
      <w:proofErr w:type="spellEnd"/>
      <w:r w:rsidRPr="00B926EA">
        <w:rPr>
          <w:szCs w:val="25"/>
        </w:rPr>
        <w:t xml:space="preserve"> </w:t>
      </w:r>
      <w:proofErr w:type="spellStart"/>
      <w:r w:rsidRPr="00B926EA">
        <w:rPr>
          <w:szCs w:val="25"/>
        </w:rPr>
        <w:t>νῦν</w:t>
      </w:r>
      <w:proofErr w:type="spellEnd"/>
      <w:r w:rsidRPr="00B926EA">
        <w:rPr>
          <w:szCs w:val="25"/>
        </w:rPr>
        <w:t>,</w:t>
      </w:r>
    </w:p>
    <w:p w14:paraId="57B0C956" w14:textId="77777777" w:rsidR="0018433B" w:rsidRPr="00B926EA" w:rsidRDefault="0018433B" w:rsidP="0018433B">
      <w:pPr>
        <w:pStyle w:val="Style"/>
        <w:ind w:left="720"/>
        <w:textAlignment w:val="baseline"/>
        <w:rPr>
          <w:szCs w:val="25"/>
        </w:rPr>
      </w:pPr>
      <w:r w:rsidRPr="00B926EA">
        <w:rPr>
          <w:szCs w:val="25"/>
        </w:rPr>
        <w:t>25d</w:t>
      </w:r>
      <w:r w:rsidRPr="00B926EA">
        <w:rPr>
          <w:szCs w:val="25"/>
        </w:rPr>
        <w:tab/>
      </w:r>
      <w:proofErr w:type="spellStart"/>
      <w:r w:rsidRPr="00B926EA">
        <w:rPr>
          <w:szCs w:val="25"/>
        </w:rPr>
        <w:t>ὅτι</w:t>
      </w:r>
      <w:proofErr w:type="spellEnd"/>
      <w:r w:rsidRPr="00B926EA">
        <w:rPr>
          <w:szCs w:val="25"/>
        </w:rPr>
        <w:t xml:space="preserve"> π</w:t>
      </w:r>
      <w:proofErr w:type="spellStart"/>
      <w:r w:rsidRPr="00B926EA">
        <w:rPr>
          <w:szCs w:val="25"/>
        </w:rPr>
        <w:t>ενθήσετε</w:t>
      </w:r>
      <w:proofErr w:type="spellEnd"/>
      <w:r w:rsidRPr="00B926EA">
        <w:rPr>
          <w:szCs w:val="25"/>
        </w:rPr>
        <w:t xml:space="preserve"> καὶ </w:t>
      </w:r>
      <w:proofErr w:type="spellStart"/>
      <w:r w:rsidRPr="00B926EA">
        <w:rPr>
          <w:szCs w:val="25"/>
        </w:rPr>
        <w:t>κλ</w:t>
      </w:r>
      <w:proofErr w:type="spellEnd"/>
      <w:r w:rsidRPr="00B926EA">
        <w:rPr>
          <w:szCs w:val="25"/>
        </w:rPr>
        <w:t>αύσετε.</w:t>
      </w:r>
    </w:p>
    <w:p w14:paraId="3428DD48" w14:textId="77777777" w:rsidR="0018433B" w:rsidRPr="00B926EA" w:rsidRDefault="0018433B" w:rsidP="0018433B">
      <w:pPr>
        <w:pStyle w:val="Style"/>
        <w:ind w:left="720"/>
        <w:textAlignment w:val="baseline"/>
        <w:rPr>
          <w:szCs w:val="25"/>
        </w:rPr>
      </w:pPr>
      <w:r w:rsidRPr="00B926EA">
        <w:rPr>
          <w:szCs w:val="25"/>
        </w:rPr>
        <w:t>26a</w:t>
      </w:r>
      <w:r w:rsidRPr="00B926EA">
        <w:rPr>
          <w:szCs w:val="25"/>
        </w:rPr>
        <w:tab/>
      </w:r>
      <w:proofErr w:type="spellStart"/>
      <w:r w:rsidRPr="00B926EA">
        <w:rPr>
          <w:szCs w:val="25"/>
        </w:rPr>
        <w:t>οὐ</w:t>
      </w:r>
      <w:proofErr w:type="spellEnd"/>
      <w:r w:rsidRPr="00B926EA">
        <w:rPr>
          <w:szCs w:val="25"/>
        </w:rPr>
        <w:t>αὶ</w:t>
      </w:r>
    </w:p>
    <w:p w14:paraId="1EBDE25C" w14:textId="77777777" w:rsidR="0018433B" w:rsidRPr="00B926EA" w:rsidRDefault="0018433B" w:rsidP="0018433B">
      <w:pPr>
        <w:pStyle w:val="Style"/>
        <w:ind w:left="720"/>
        <w:textAlignment w:val="baseline"/>
        <w:rPr>
          <w:szCs w:val="25"/>
        </w:rPr>
      </w:pPr>
      <w:r w:rsidRPr="00B926EA">
        <w:rPr>
          <w:szCs w:val="25"/>
        </w:rPr>
        <w:t>26b</w:t>
      </w:r>
      <w:r w:rsidRPr="00B926EA">
        <w:rPr>
          <w:szCs w:val="25"/>
        </w:rPr>
        <w:tab/>
      </w:r>
      <w:proofErr w:type="spellStart"/>
      <w:r w:rsidRPr="00B926EA">
        <w:rPr>
          <w:szCs w:val="25"/>
        </w:rPr>
        <w:t>ὅτ</w:t>
      </w:r>
      <w:proofErr w:type="spellEnd"/>
      <w:r w:rsidRPr="00B926EA">
        <w:rPr>
          <w:szCs w:val="25"/>
        </w:rPr>
        <w:t xml:space="preserve">αν </w:t>
      </w:r>
      <w:proofErr w:type="spellStart"/>
      <w:r w:rsidRPr="00B926EA">
        <w:rPr>
          <w:szCs w:val="25"/>
        </w:rPr>
        <w:t>ὑμᾶς</w:t>
      </w:r>
      <w:proofErr w:type="spellEnd"/>
      <w:r w:rsidRPr="00B926EA">
        <w:rPr>
          <w:szCs w:val="25"/>
        </w:rPr>
        <w:t xml:space="preserve"> κα</w:t>
      </w:r>
      <w:proofErr w:type="spellStart"/>
      <w:r w:rsidRPr="00B926EA">
        <w:rPr>
          <w:szCs w:val="25"/>
        </w:rPr>
        <w:t>λῶς</w:t>
      </w:r>
      <w:proofErr w:type="spellEnd"/>
      <w:r w:rsidRPr="00B926EA">
        <w:rPr>
          <w:szCs w:val="25"/>
        </w:rPr>
        <w:t xml:space="preserve"> </w:t>
      </w:r>
      <w:proofErr w:type="spellStart"/>
      <w:r w:rsidRPr="00B926EA">
        <w:rPr>
          <w:szCs w:val="25"/>
        </w:rPr>
        <w:t>εἴ</w:t>
      </w:r>
      <w:proofErr w:type="spellEnd"/>
      <w:r w:rsidRPr="00B926EA">
        <w:rPr>
          <w:szCs w:val="25"/>
        </w:rPr>
        <w:t>πωσιν π</w:t>
      </w:r>
      <w:proofErr w:type="spellStart"/>
      <w:r w:rsidRPr="00B926EA">
        <w:rPr>
          <w:szCs w:val="25"/>
        </w:rPr>
        <w:t>άντες</w:t>
      </w:r>
      <w:proofErr w:type="spellEnd"/>
      <w:r w:rsidRPr="00B926EA">
        <w:rPr>
          <w:szCs w:val="25"/>
        </w:rPr>
        <w:t xml:space="preserve"> </w:t>
      </w:r>
      <w:proofErr w:type="spellStart"/>
      <w:r w:rsidRPr="00B926EA">
        <w:rPr>
          <w:szCs w:val="25"/>
        </w:rPr>
        <w:t>οἱ</w:t>
      </w:r>
      <w:proofErr w:type="spellEnd"/>
      <w:r w:rsidRPr="00B926EA">
        <w:rPr>
          <w:szCs w:val="25"/>
        </w:rPr>
        <w:t xml:space="preserve"> </w:t>
      </w:r>
      <w:proofErr w:type="spellStart"/>
      <w:r w:rsidRPr="00B926EA">
        <w:rPr>
          <w:szCs w:val="25"/>
        </w:rPr>
        <w:t>ἄνθρω</w:t>
      </w:r>
      <w:proofErr w:type="spellEnd"/>
      <w:r w:rsidRPr="00B926EA">
        <w:rPr>
          <w:szCs w:val="25"/>
        </w:rPr>
        <w:t>ποι·</w:t>
      </w:r>
    </w:p>
    <w:p w14:paraId="75A196AB" w14:textId="77777777" w:rsidR="0018433B" w:rsidRDefault="0018433B" w:rsidP="0018433B">
      <w:pPr>
        <w:pStyle w:val="Style"/>
        <w:widowControl/>
        <w:ind w:left="720"/>
        <w:jc w:val="both"/>
        <w:textAlignment w:val="baseline"/>
        <w:rPr>
          <w:szCs w:val="25"/>
        </w:rPr>
      </w:pPr>
      <w:r w:rsidRPr="00B926EA">
        <w:rPr>
          <w:szCs w:val="25"/>
        </w:rPr>
        <w:t>26c</w:t>
      </w:r>
      <w:r w:rsidRPr="00B926EA">
        <w:rPr>
          <w:szCs w:val="25"/>
        </w:rPr>
        <w:tab/>
        <w:t>κα</w:t>
      </w:r>
      <w:proofErr w:type="spellStart"/>
      <w:r w:rsidRPr="00B926EA">
        <w:rPr>
          <w:szCs w:val="25"/>
        </w:rPr>
        <w:t>τὰ</w:t>
      </w:r>
      <w:proofErr w:type="spellEnd"/>
      <w:r w:rsidRPr="00B926EA">
        <w:rPr>
          <w:szCs w:val="25"/>
        </w:rPr>
        <w:t xml:space="preserve"> </w:t>
      </w:r>
      <w:proofErr w:type="spellStart"/>
      <w:r w:rsidRPr="00B926EA">
        <w:rPr>
          <w:szCs w:val="25"/>
        </w:rPr>
        <w:t>τὰ</w:t>
      </w:r>
      <w:proofErr w:type="spellEnd"/>
      <w:r w:rsidRPr="00B926EA">
        <w:rPr>
          <w:szCs w:val="25"/>
        </w:rPr>
        <w:t xml:space="preserve"> α</w:t>
      </w:r>
      <w:proofErr w:type="spellStart"/>
      <w:r w:rsidRPr="00B926EA">
        <w:rPr>
          <w:szCs w:val="25"/>
        </w:rPr>
        <w:t>ὐτὰ</w:t>
      </w:r>
      <w:proofErr w:type="spellEnd"/>
      <w:r w:rsidRPr="00B926EA">
        <w:rPr>
          <w:szCs w:val="25"/>
        </w:rPr>
        <w:t xml:space="preserve"> </w:t>
      </w:r>
      <w:proofErr w:type="spellStart"/>
      <w:r w:rsidRPr="00B926EA">
        <w:rPr>
          <w:szCs w:val="25"/>
        </w:rPr>
        <w:t>γὰρ</w:t>
      </w:r>
      <w:proofErr w:type="spellEnd"/>
      <w:r w:rsidRPr="00B926EA">
        <w:rPr>
          <w:szCs w:val="25"/>
        </w:rPr>
        <w:t xml:space="preserve"> ἐπ</w:t>
      </w:r>
      <w:proofErr w:type="spellStart"/>
      <w:r w:rsidRPr="00B926EA">
        <w:rPr>
          <w:szCs w:val="25"/>
        </w:rPr>
        <w:t>οίουν</w:t>
      </w:r>
      <w:proofErr w:type="spellEnd"/>
      <w:r w:rsidRPr="00B926EA">
        <w:rPr>
          <w:szCs w:val="25"/>
        </w:rPr>
        <w:t xml:space="preserve"> </w:t>
      </w:r>
      <w:proofErr w:type="spellStart"/>
      <w:r w:rsidRPr="00B926EA">
        <w:rPr>
          <w:szCs w:val="25"/>
        </w:rPr>
        <w:t>τοῖς</w:t>
      </w:r>
      <w:proofErr w:type="spellEnd"/>
      <w:r w:rsidRPr="00B926EA">
        <w:rPr>
          <w:szCs w:val="25"/>
        </w:rPr>
        <w:t xml:space="preserve"> </w:t>
      </w:r>
      <w:proofErr w:type="spellStart"/>
      <w:r w:rsidRPr="00B926EA">
        <w:rPr>
          <w:szCs w:val="25"/>
        </w:rPr>
        <w:t>ψευδο</w:t>
      </w:r>
      <w:proofErr w:type="spellEnd"/>
      <w:r w:rsidRPr="00B926EA">
        <w:rPr>
          <w:szCs w:val="25"/>
        </w:rPr>
        <w:t xml:space="preserve">προφήταις </w:t>
      </w:r>
      <w:proofErr w:type="spellStart"/>
      <w:r w:rsidRPr="00B926EA">
        <w:rPr>
          <w:szCs w:val="25"/>
        </w:rPr>
        <w:t>οἱ</w:t>
      </w:r>
      <w:proofErr w:type="spellEnd"/>
      <w:r w:rsidRPr="00B926EA">
        <w:rPr>
          <w:szCs w:val="25"/>
        </w:rPr>
        <w:t xml:space="preserve"> πα</w:t>
      </w:r>
      <w:proofErr w:type="spellStart"/>
      <w:r w:rsidRPr="00B926EA">
        <w:rPr>
          <w:szCs w:val="25"/>
        </w:rPr>
        <w:t>τέρες</w:t>
      </w:r>
      <w:proofErr w:type="spellEnd"/>
      <w:r w:rsidRPr="00B926EA">
        <w:rPr>
          <w:szCs w:val="25"/>
        </w:rPr>
        <w:t xml:space="preserve"> α</w:t>
      </w:r>
      <w:proofErr w:type="spellStart"/>
      <w:r w:rsidRPr="00B926EA">
        <w:rPr>
          <w:szCs w:val="25"/>
        </w:rPr>
        <w:t>ὐτῶν</w:t>
      </w:r>
      <w:proofErr w:type="spellEnd"/>
      <w:r w:rsidRPr="00B926EA">
        <w:rPr>
          <w:szCs w:val="25"/>
        </w:rPr>
        <w:t>.</w:t>
      </w:r>
    </w:p>
    <w:p w14:paraId="531E279D" w14:textId="77777777" w:rsidR="0018433B" w:rsidRDefault="0018433B" w:rsidP="0018433B">
      <w:pPr>
        <w:pStyle w:val="Style"/>
        <w:widowControl/>
        <w:jc w:val="both"/>
        <w:textAlignment w:val="baseline"/>
        <w:rPr>
          <w:rFonts w:eastAsia="Arial"/>
          <w:szCs w:val="23"/>
        </w:rPr>
      </w:pPr>
    </w:p>
    <w:p w14:paraId="46E297DD" w14:textId="77777777" w:rsidR="0018433B" w:rsidRPr="007059B9" w:rsidRDefault="0018433B" w:rsidP="0018433B">
      <w:pPr>
        <w:pStyle w:val="Style"/>
        <w:ind w:left="720"/>
        <w:textAlignment w:val="baseline"/>
        <w:rPr>
          <w:rFonts w:eastAsia="Arial"/>
          <w:szCs w:val="23"/>
        </w:rPr>
      </w:pPr>
      <w:r w:rsidRPr="007059B9">
        <w:rPr>
          <w:rFonts w:eastAsia="Arial"/>
          <w:szCs w:val="23"/>
        </w:rPr>
        <w:t>20a</w:t>
      </w:r>
      <w:r w:rsidRPr="007059B9">
        <w:rPr>
          <w:rFonts w:eastAsia="Arial"/>
          <w:szCs w:val="23"/>
        </w:rPr>
        <w:tab/>
        <w:t>Then he looked up at his disciples and said:</w:t>
      </w:r>
    </w:p>
    <w:p w14:paraId="7DE8CD5A" w14:textId="77777777" w:rsidR="0018433B" w:rsidRPr="007059B9" w:rsidRDefault="0018433B" w:rsidP="0018433B">
      <w:pPr>
        <w:pStyle w:val="Style"/>
        <w:ind w:left="720"/>
        <w:textAlignment w:val="baseline"/>
        <w:rPr>
          <w:rFonts w:eastAsia="Arial"/>
          <w:szCs w:val="23"/>
        </w:rPr>
      </w:pPr>
      <w:r w:rsidRPr="007059B9">
        <w:rPr>
          <w:rFonts w:eastAsia="Arial"/>
          <w:szCs w:val="23"/>
        </w:rPr>
        <w:t>20b</w:t>
      </w:r>
      <w:r w:rsidRPr="007059B9">
        <w:rPr>
          <w:rFonts w:eastAsia="Arial"/>
          <w:szCs w:val="23"/>
        </w:rPr>
        <w:tab/>
        <w:t>“Blessed are you who are poor,</w:t>
      </w:r>
    </w:p>
    <w:p w14:paraId="671AEE41" w14:textId="77777777" w:rsidR="0018433B" w:rsidRPr="007059B9" w:rsidRDefault="0018433B" w:rsidP="0018433B">
      <w:pPr>
        <w:pStyle w:val="Style"/>
        <w:ind w:left="720"/>
        <w:textAlignment w:val="baseline"/>
        <w:rPr>
          <w:rFonts w:eastAsia="Arial"/>
          <w:szCs w:val="23"/>
        </w:rPr>
      </w:pPr>
      <w:r w:rsidRPr="007059B9">
        <w:rPr>
          <w:rFonts w:eastAsia="Arial"/>
          <w:szCs w:val="23"/>
        </w:rPr>
        <w:t>20c</w:t>
      </w:r>
      <w:r w:rsidRPr="007059B9">
        <w:rPr>
          <w:rFonts w:eastAsia="Arial"/>
          <w:szCs w:val="23"/>
        </w:rPr>
        <w:tab/>
        <w:t>for yours is the kingdom of God.</w:t>
      </w:r>
    </w:p>
    <w:p w14:paraId="0F33177F" w14:textId="77777777" w:rsidR="0018433B" w:rsidRPr="007059B9" w:rsidRDefault="0018433B" w:rsidP="0018433B">
      <w:pPr>
        <w:pStyle w:val="Style"/>
        <w:ind w:left="720"/>
        <w:textAlignment w:val="baseline"/>
        <w:rPr>
          <w:rFonts w:eastAsia="Arial"/>
          <w:szCs w:val="23"/>
        </w:rPr>
      </w:pPr>
      <w:r w:rsidRPr="007059B9">
        <w:rPr>
          <w:rFonts w:eastAsia="Arial"/>
          <w:szCs w:val="23"/>
        </w:rPr>
        <w:t>21a</w:t>
      </w:r>
      <w:r w:rsidRPr="007059B9">
        <w:rPr>
          <w:rFonts w:eastAsia="Arial"/>
          <w:szCs w:val="23"/>
        </w:rPr>
        <w:tab/>
        <w:t>Blessed are you who are hungry now,</w:t>
      </w:r>
    </w:p>
    <w:p w14:paraId="36191B7C" w14:textId="77777777" w:rsidR="0018433B" w:rsidRPr="007059B9" w:rsidRDefault="0018433B" w:rsidP="0018433B">
      <w:pPr>
        <w:pStyle w:val="Style"/>
        <w:ind w:left="720"/>
        <w:textAlignment w:val="baseline"/>
        <w:rPr>
          <w:rFonts w:eastAsia="Arial"/>
          <w:szCs w:val="23"/>
        </w:rPr>
      </w:pPr>
      <w:r w:rsidRPr="007059B9">
        <w:rPr>
          <w:rFonts w:eastAsia="Arial"/>
          <w:szCs w:val="23"/>
        </w:rPr>
        <w:t>21b</w:t>
      </w:r>
      <w:r w:rsidRPr="007059B9">
        <w:rPr>
          <w:rFonts w:eastAsia="Arial"/>
          <w:szCs w:val="23"/>
        </w:rPr>
        <w:tab/>
        <w:t>for you will be filled.</w:t>
      </w:r>
    </w:p>
    <w:p w14:paraId="7C402E4C" w14:textId="77777777" w:rsidR="0018433B" w:rsidRPr="007059B9" w:rsidRDefault="0018433B" w:rsidP="0018433B">
      <w:pPr>
        <w:pStyle w:val="Style"/>
        <w:ind w:left="720"/>
        <w:textAlignment w:val="baseline"/>
        <w:rPr>
          <w:rFonts w:eastAsia="Arial"/>
          <w:szCs w:val="23"/>
        </w:rPr>
      </w:pPr>
      <w:r w:rsidRPr="007059B9">
        <w:rPr>
          <w:rFonts w:eastAsia="Arial"/>
          <w:szCs w:val="23"/>
        </w:rPr>
        <w:t>21c</w:t>
      </w:r>
      <w:r w:rsidRPr="007059B9">
        <w:rPr>
          <w:rFonts w:eastAsia="Arial"/>
          <w:szCs w:val="23"/>
        </w:rPr>
        <w:tab/>
        <w:t>Blessed are you who weep now,</w:t>
      </w:r>
    </w:p>
    <w:p w14:paraId="453D1A09" w14:textId="77777777" w:rsidR="0018433B" w:rsidRPr="007059B9" w:rsidRDefault="0018433B" w:rsidP="0018433B">
      <w:pPr>
        <w:pStyle w:val="Style"/>
        <w:ind w:left="720"/>
        <w:textAlignment w:val="baseline"/>
        <w:rPr>
          <w:rFonts w:eastAsia="Arial"/>
          <w:szCs w:val="23"/>
        </w:rPr>
      </w:pPr>
      <w:r w:rsidRPr="007059B9">
        <w:rPr>
          <w:rFonts w:eastAsia="Arial"/>
          <w:szCs w:val="23"/>
        </w:rPr>
        <w:lastRenderedPageBreak/>
        <w:t>21d</w:t>
      </w:r>
      <w:r w:rsidRPr="007059B9">
        <w:rPr>
          <w:rFonts w:eastAsia="Arial"/>
          <w:szCs w:val="23"/>
        </w:rPr>
        <w:tab/>
        <w:t>for you will laugh.</w:t>
      </w:r>
    </w:p>
    <w:p w14:paraId="541CB1FF" w14:textId="77777777" w:rsidR="0018433B" w:rsidRPr="007059B9" w:rsidRDefault="0018433B" w:rsidP="0018433B">
      <w:pPr>
        <w:pStyle w:val="Style"/>
        <w:ind w:left="720"/>
        <w:textAlignment w:val="baseline"/>
        <w:rPr>
          <w:rFonts w:eastAsia="Arial"/>
          <w:szCs w:val="23"/>
        </w:rPr>
      </w:pPr>
      <w:r w:rsidRPr="007059B9">
        <w:rPr>
          <w:rFonts w:eastAsia="Arial"/>
          <w:szCs w:val="23"/>
        </w:rPr>
        <w:t>22a</w:t>
      </w:r>
      <w:r w:rsidRPr="007059B9">
        <w:rPr>
          <w:rFonts w:eastAsia="Arial"/>
          <w:szCs w:val="23"/>
        </w:rPr>
        <w:tab/>
        <w:t>Blessed are you</w:t>
      </w:r>
    </w:p>
    <w:p w14:paraId="6BE55E99" w14:textId="77777777" w:rsidR="0018433B" w:rsidRPr="007059B9" w:rsidRDefault="0018433B" w:rsidP="0018433B">
      <w:pPr>
        <w:pStyle w:val="Style"/>
        <w:ind w:left="720"/>
        <w:textAlignment w:val="baseline"/>
        <w:rPr>
          <w:rFonts w:eastAsia="Arial"/>
          <w:szCs w:val="23"/>
        </w:rPr>
      </w:pPr>
      <w:r w:rsidRPr="007059B9">
        <w:rPr>
          <w:rFonts w:eastAsia="Arial"/>
          <w:szCs w:val="23"/>
        </w:rPr>
        <w:t>22b</w:t>
      </w:r>
      <w:r w:rsidRPr="007059B9">
        <w:rPr>
          <w:rFonts w:eastAsia="Arial"/>
          <w:szCs w:val="23"/>
        </w:rPr>
        <w:tab/>
        <w:t>when people hate you,</w:t>
      </w:r>
    </w:p>
    <w:p w14:paraId="596B010D" w14:textId="77777777" w:rsidR="0018433B" w:rsidRPr="007059B9" w:rsidRDefault="0018433B" w:rsidP="0018433B">
      <w:pPr>
        <w:pStyle w:val="Style"/>
        <w:ind w:left="720"/>
        <w:textAlignment w:val="baseline"/>
        <w:rPr>
          <w:rFonts w:eastAsia="Arial"/>
          <w:szCs w:val="23"/>
        </w:rPr>
      </w:pPr>
      <w:r w:rsidRPr="007059B9">
        <w:rPr>
          <w:rFonts w:eastAsia="Arial"/>
          <w:szCs w:val="23"/>
        </w:rPr>
        <w:t>22cα</w:t>
      </w:r>
      <w:r w:rsidRPr="007059B9">
        <w:rPr>
          <w:rFonts w:eastAsia="Arial"/>
          <w:szCs w:val="23"/>
        </w:rPr>
        <w:tab/>
        <w:t>and when they exclude you,</w:t>
      </w:r>
    </w:p>
    <w:p w14:paraId="79143818" w14:textId="77777777" w:rsidR="0018433B" w:rsidRPr="007059B9" w:rsidRDefault="0018433B" w:rsidP="0018433B">
      <w:pPr>
        <w:pStyle w:val="Style"/>
        <w:ind w:left="720"/>
        <w:textAlignment w:val="baseline"/>
        <w:rPr>
          <w:rFonts w:eastAsia="Arial"/>
          <w:szCs w:val="23"/>
        </w:rPr>
      </w:pPr>
      <w:r w:rsidRPr="007059B9">
        <w:rPr>
          <w:rFonts w:eastAsia="Arial"/>
          <w:szCs w:val="23"/>
        </w:rPr>
        <w:t>22cβ</w:t>
      </w:r>
      <w:r w:rsidRPr="007059B9">
        <w:rPr>
          <w:rFonts w:eastAsia="Arial"/>
          <w:szCs w:val="23"/>
        </w:rPr>
        <w:tab/>
        <w:t>revile you,</w:t>
      </w:r>
    </w:p>
    <w:p w14:paraId="17B8F1E6" w14:textId="77777777" w:rsidR="0018433B" w:rsidRPr="007059B9" w:rsidRDefault="0018433B" w:rsidP="0018433B">
      <w:pPr>
        <w:pStyle w:val="Style"/>
        <w:ind w:left="720"/>
        <w:textAlignment w:val="baseline"/>
        <w:rPr>
          <w:rFonts w:eastAsia="Arial"/>
          <w:szCs w:val="23"/>
        </w:rPr>
      </w:pPr>
      <w:r w:rsidRPr="007059B9">
        <w:rPr>
          <w:rFonts w:eastAsia="Arial"/>
          <w:szCs w:val="23"/>
        </w:rPr>
        <w:t>22cγ</w:t>
      </w:r>
      <w:r w:rsidRPr="007059B9">
        <w:rPr>
          <w:rFonts w:eastAsia="Arial"/>
          <w:szCs w:val="23"/>
        </w:rPr>
        <w:tab/>
        <w:t>and defame you</w:t>
      </w:r>
    </w:p>
    <w:p w14:paraId="2D24BDBA" w14:textId="77777777" w:rsidR="0018433B" w:rsidRPr="007059B9" w:rsidRDefault="0018433B" w:rsidP="0018433B">
      <w:pPr>
        <w:pStyle w:val="Style"/>
        <w:ind w:left="720"/>
        <w:textAlignment w:val="baseline"/>
        <w:rPr>
          <w:rFonts w:eastAsia="Arial"/>
          <w:szCs w:val="23"/>
        </w:rPr>
      </w:pPr>
      <w:r w:rsidRPr="007059B9">
        <w:rPr>
          <w:rFonts w:eastAsia="Arial"/>
          <w:szCs w:val="23"/>
        </w:rPr>
        <w:t>22cδ</w:t>
      </w:r>
      <w:r w:rsidRPr="007059B9">
        <w:rPr>
          <w:rFonts w:eastAsia="Arial"/>
          <w:szCs w:val="23"/>
        </w:rPr>
        <w:tab/>
        <w:t>on account of the Son of Man.</w:t>
      </w:r>
    </w:p>
    <w:p w14:paraId="758F52BF" w14:textId="77777777" w:rsidR="0018433B" w:rsidRPr="007059B9" w:rsidRDefault="0018433B" w:rsidP="0018433B">
      <w:pPr>
        <w:pStyle w:val="Style"/>
        <w:ind w:left="720"/>
        <w:textAlignment w:val="baseline"/>
        <w:rPr>
          <w:rFonts w:eastAsia="Arial"/>
          <w:szCs w:val="23"/>
        </w:rPr>
      </w:pPr>
      <w:r w:rsidRPr="007059B9">
        <w:rPr>
          <w:rFonts w:eastAsia="Arial"/>
          <w:szCs w:val="23"/>
        </w:rPr>
        <w:t>23aα</w:t>
      </w:r>
      <w:r w:rsidRPr="007059B9">
        <w:rPr>
          <w:rFonts w:eastAsia="Arial"/>
          <w:szCs w:val="23"/>
        </w:rPr>
        <w:tab/>
        <w:t>Rejoice in that day</w:t>
      </w:r>
    </w:p>
    <w:p w14:paraId="166662D9" w14:textId="77777777" w:rsidR="0018433B" w:rsidRPr="007059B9" w:rsidRDefault="0018433B" w:rsidP="0018433B">
      <w:pPr>
        <w:pStyle w:val="Style"/>
        <w:ind w:left="720"/>
        <w:textAlignment w:val="baseline"/>
        <w:rPr>
          <w:rFonts w:eastAsia="Arial"/>
          <w:szCs w:val="23"/>
        </w:rPr>
      </w:pPr>
      <w:r w:rsidRPr="007059B9">
        <w:rPr>
          <w:rFonts w:eastAsia="Arial"/>
          <w:szCs w:val="23"/>
        </w:rPr>
        <w:t>23aβ</w:t>
      </w:r>
      <w:r w:rsidRPr="007059B9">
        <w:rPr>
          <w:rFonts w:eastAsia="Arial"/>
          <w:szCs w:val="23"/>
        </w:rPr>
        <w:tab/>
        <w:t>and leap for joy,</w:t>
      </w:r>
    </w:p>
    <w:p w14:paraId="70EAE33D" w14:textId="77777777" w:rsidR="0018433B" w:rsidRPr="007059B9" w:rsidRDefault="0018433B" w:rsidP="0018433B">
      <w:pPr>
        <w:pStyle w:val="Style"/>
        <w:ind w:left="720"/>
        <w:textAlignment w:val="baseline"/>
        <w:rPr>
          <w:rFonts w:eastAsia="Arial"/>
          <w:szCs w:val="23"/>
        </w:rPr>
      </w:pPr>
      <w:r w:rsidRPr="007059B9">
        <w:rPr>
          <w:rFonts w:eastAsia="Arial"/>
          <w:szCs w:val="23"/>
        </w:rPr>
        <w:t>23b</w:t>
      </w:r>
      <w:r w:rsidRPr="007059B9">
        <w:rPr>
          <w:rFonts w:eastAsia="Arial"/>
          <w:szCs w:val="23"/>
        </w:rPr>
        <w:tab/>
        <w:t>for surely your reward is great in heaven;</w:t>
      </w:r>
    </w:p>
    <w:p w14:paraId="7E1C9524" w14:textId="77777777" w:rsidR="0018433B" w:rsidRPr="007059B9" w:rsidRDefault="0018433B" w:rsidP="0018433B">
      <w:pPr>
        <w:pStyle w:val="Style"/>
        <w:ind w:left="720"/>
        <w:textAlignment w:val="baseline"/>
        <w:rPr>
          <w:rFonts w:eastAsia="Arial"/>
          <w:szCs w:val="23"/>
        </w:rPr>
      </w:pPr>
      <w:r w:rsidRPr="007059B9">
        <w:rPr>
          <w:rFonts w:eastAsia="Arial"/>
          <w:szCs w:val="23"/>
        </w:rPr>
        <w:t>23c</w:t>
      </w:r>
      <w:r w:rsidRPr="007059B9">
        <w:rPr>
          <w:rFonts w:eastAsia="Arial"/>
          <w:szCs w:val="23"/>
        </w:rPr>
        <w:tab/>
        <w:t>for that is what their ancestors did to the prophets.</w:t>
      </w:r>
    </w:p>
    <w:p w14:paraId="29927B31" w14:textId="77777777" w:rsidR="0018433B" w:rsidRPr="007059B9" w:rsidRDefault="0018433B" w:rsidP="0018433B">
      <w:pPr>
        <w:pStyle w:val="Style"/>
        <w:ind w:left="720"/>
        <w:textAlignment w:val="baseline"/>
        <w:rPr>
          <w:rFonts w:eastAsia="Arial"/>
          <w:szCs w:val="23"/>
        </w:rPr>
      </w:pPr>
      <w:r w:rsidRPr="007059B9">
        <w:rPr>
          <w:rFonts w:eastAsia="Arial"/>
          <w:szCs w:val="23"/>
        </w:rPr>
        <w:t>24a</w:t>
      </w:r>
      <w:r w:rsidRPr="007059B9">
        <w:rPr>
          <w:rFonts w:eastAsia="Arial"/>
          <w:szCs w:val="23"/>
        </w:rPr>
        <w:tab/>
        <w:t>But woe to you who are rich,</w:t>
      </w:r>
    </w:p>
    <w:p w14:paraId="738CDD0A" w14:textId="77777777" w:rsidR="0018433B" w:rsidRPr="007059B9" w:rsidRDefault="0018433B" w:rsidP="0018433B">
      <w:pPr>
        <w:pStyle w:val="Style"/>
        <w:ind w:left="720"/>
        <w:textAlignment w:val="baseline"/>
        <w:rPr>
          <w:rFonts w:eastAsia="Arial"/>
          <w:szCs w:val="23"/>
        </w:rPr>
      </w:pPr>
      <w:r w:rsidRPr="007059B9">
        <w:rPr>
          <w:rFonts w:eastAsia="Arial"/>
          <w:szCs w:val="23"/>
        </w:rPr>
        <w:t>24b</w:t>
      </w:r>
      <w:r w:rsidRPr="007059B9">
        <w:rPr>
          <w:rFonts w:eastAsia="Arial"/>
          <w:szCs w:val="23"/>
        </w:rPr>
        <w:tab/>
        <w:t>for you have received your consolation.</w:t>
      </w:r>
    </w:p>
    <w:p w14:paraId="7E08CB74" w14:textId="77777777" w:rsidR="0018433B" w:rsidRPr="007059B9" w:rsidRDefault="0018433B" w:rsidP="0018433B">
      <w:pPr>
        <w:pStyle w:val="Style"/>
        <w:ind w:left="720"/>
        <w:textAlignment w:val="baseline"/>
        <w:rPr>
          <w:rFonts w:eastAsia="Arial"/>
          <w:szCs w:val="23"/>
        </w:rPr>
      </w:pPr>
      <w:r w:rsidRPr="007059B9">
        <w:rPr>
          <w:rFonts w:eastAsia="Arial"/>
          <w:szCs w:val="23"/>
        </w:rPr>
        <w:t>25a</w:t>
      </w:r>
      <w:r w:rsidRPr="007059B9">
        <w:rPr>
          <w:rFonts w:eastAsia="Arial"/>
          <w:szCs w:val="23"/>
        </w:rPr>
        <w:tab/>
        <w:t>Woe to you who are full now,</w:t>
      </w:r>
    </w:p>
    <w:p w14:paraId="3272270A" w14:textId="77777777" w:rsidR="0018433B" w:rsidRPr="007059B9" w:rsidRDefault="0018433B" w:rsidP="0018433B">
      <w:pPr>
        <w:pStyle w:val="Style"/>
        <w:ind w:left="720"/>
        <w:textAlignment w:val="baseline"/>
        <w:rPr>
          <w:rFonts w:eastAsia="Arial"/>
          <w:szCs w:val="23"/>
        </w:rPr>
      </w:pPr>
      <w:r w:rsidRPr="007059B9">
        <w:rPr>
          <w:rFonts w:eastAsia="Arial"/>
          <w:szCs w:val="23"/>
        </w:rPr>
        <w:t>25b</w:t>
      </w:r>
      <w:r w:rsidRPr="007059B9">
        <w:rPr>
          <w:rFonts w:eastAsia="Arial"/>
          <w:szCs w:val="23"/>
        </w:rPr>
        <w:tab/>
        <w:t>for you will be hungry.</w:t>
      </w:r>
    </w:p>
    <w:p w14:paraId="605074E3" w14:textId="77777777" w:rsidR="0018433B" w:rsidRPr="007059B9" w:rsidRDefault="0018433B" w:rsidP="0018433B">
      <w:pPr>
        <w:pStyle w:val="Style"/>
        <w:ind w:left="720"/>
        <w:textAlignment w:val="baseline"/>
        <w:rPr>
          <w:rFonts w:eastAsia="Arial"/>
          <w:szCs w:val="23"/>
        </w:rPr>
      </w:pPr>
      <w:r w:rsidRPr="007059B9">
        <w:rPr>
          <w:rFonts w:eastAsia="Arial"/>
          <w:szCs w:val="23"/>
        </w:rPr>
        <w:t>25c</w:t>
      </w:r>
      <w:r w:rsidRPr="007059B9">
        <w:rPr>
          <w:rFonts w:eastAsia="Arial"/>
          <w:szCs w:val="23"/>
        </w:rPr>
        <w:tab/>
        <w:t>Woe to you who are laughing now,</w:t>
      </w:r>
    </w:p>
    <w:p w14:paraId="09A10288" w14:textId="77777777" w:rsidR="0018433B" w:rsidRPr="007059B9" w:rsidRDefault="0018433B" w:rsidP="0018433B">
      <w:pPr>
        <w:pStyle w:val="Style"/>
        <w:ind w:left="720"/>
        <w:textAlignment w:val="baseline"/>
        <w:rPr>
          <w:rFonts w:eastAsia="Arial"/>
          <w:szCs w:val="23"/>
        </w:rPr>
      </w:pPr>
      <w:r w:rsidRPr="007059B9">
        <w:rPr>
          <w:rFonts w:eastAsia="Arial"/>
          <w:szCs w:val="23"/>
        </w:rPr>
        <w:t>25d</w:t>
      </w:r>
      <w:r w:rsidRPr="007059B9">
        <w:rPr>
          <w:rFonts w:eastAsia="Arial"/>
          <w:szCs w:val="23"/>
        </w:rPr>
        <w:tab/>
        <w:t>for you will mourn and weep.</w:t>
      </w:r>
    </w:p>
    <w:p w14:paraId="00EADBA0" w14:textId="77777777" w:rsidR="0018433B" w:rsidRPr="007059B9" w:rsidRDefault="0018433B" w:rsidP="0018433B">
      <w:pPr>
        <w:pStyle w:val="Style"/>
        <w:ind w:left="720"/>
        <w:textAlignment w:val="baseline"/>
        <w:rPr>
          <w:rFonts w:eastAsia="Arial"/>
          <w:szCs w:val="23"/>
        </w:rPr>
      </w:pPr>
      <w:r w:rsidRPr="007059B9">
        <w:rPr>
          <w:rFonts w:eastAsia="Arial"/>
          <w:szCs w:val="23"/>
        </w:rPr>
        <w:t>26a</w:t>
      </w:r>
      <w:r w:rsidRPr="007059B9">
        <w:rPr>
          <w:rFonts w:eastAsia="Arial"/>
          <w:szCs w:val="23"/>
        </w:rPr>
        <w:tab/>
        <w:t>Woe to you</w:t>
      </w:r>
    </w:p>
    <w:p w14:paraId="4CF82FCA" w14:textId="77777777" w:rsidR="0018433B" w:rsidRPr="007059B9" w:rsidRDefault="0018433B" w:rsidP="0018433B">
      <w:pPr>
        <w:pStyle w:val="Style"/>
        <w:ind w:left="720"/>
        <w:textAlignment w:val="baseline"/>
        <w:rPr>
          <w:rFonts w:eastAsia="Arial"/>
          <w:szCs w:val="23"/>
        </w:rPr>
      </w:pPr>
      <w:r w:rsidRPr="007059B9">
        <w:rPr>
          <w:rFonts w:eastAsia="Arial"/>
          <w:szCs w:val="23"/>
        </w:rPr>
        <w:t>26b</w:t>
      </w:r>
      <w:r w:rsidRPr="007059B9">
        <w:rPr>
          <w:rFonts w:eastAsia="Arial"/>
          <w:szCs w:val="23"/>
        </w:rPr>
        <w:tab/>
        <w:t>when all speak well of you,</w:t>
      </w:r>
    </w:p>
    <w:p w14:paraId="684E27BB" w14:textId="77777777" w:rsidR="0018433B" w:rsidRDefault="0018433B" w:rsidP="0018433B">
      <w:pPr>
        <w:pStyle w:val="Style"/>
        <w:widowControl/>
        <w:ind w:left="720"/>
        <w:jc w:val="both"/>
        <w:textAlignment w:val="baseline"/>
        <w:rPr>
          <w:rFonts w:eastAsia="Arial"/>
          <w:szCs w:val="23"/>
        </w:rPr>
      </w:pPr>
      <w:r w:rsidRPr="007059B9">
        <w:rPr>
          <w:rFonts w:eastAsia="Arial"/>
          <w:szCs w:val="23"/>
        </w:rPr>
        <w:t>26c</w:t>
      </w:r>
      <w:r w:rsidRPr="007059B9">
        <w:rPr>
          <w:rFonts w:eastAsia="Arial"/>
          <w:szCs w:val="23"/>
        </w:rPr>
        <w:tab/>
        <w:t>for that is what their ancestors did to the false prophets.</w:t>
      </w:r>
    </w:p>
    <w:p w14:paraId="195723F4" w14:textId="77777777" w:rsidR="0018433B" w:rsidRDefault="0018433B" w:rsidP="0018433B">
      <w:pPr>
        <w:pStyle w:val="Style"/>
        <w:widowControl/>
        <w:jc w:val="both"/>
        <w:textAlignment w:val="baseline"/>
        <w:rPr>
          <w:rFonts w:eastAsia="Arial"/>
          <w:szCs w:val="23"/>
        </w:rPr>
      </w:pPr>
    </w:p>
    <w:p w14:paraId="3F0AF426" w14:textId="7AAE965C" w:rsidR="0018433B" w:rsidRPr="00B51852" w:rsidRDefault="0018433B" w:rsidP="0018433B">
      <w:pPr>
        <w:pStyle w:val="Style"/>
        <w:widowControl/>
        <w:jc w:val="both"/>
        <w:textAlignment w:val="baseline"/>
        <w:rPr>
          <w:szCs w:val="25"/>
        </w:rPr>
      </w:pPr>
      <w:r>
        <w:rPr>
          <w:szCs w:val="25"/>
        </w:rPr>
        <w:tab/>
      </w:r>
      <w:r w:rsidRPr="00B51852">
        <w:rPr>
          <w:szCs w:val="25"/>
        </w:rPr>
        <w:t>A principal distinction to be made in this material is that between verse 20a and verses 20b-26. Verse 20a is neither blessing nor woe; nor is it a statement by Jesus</w:t>
      </w:r>
      <w:r w:rsidR="006F304D" w:rsidRPr="006F304D">
        <w:rPr>
          <w:szCs w:val="25"/>
        </w:rPr>
        <w:t xml:space="preserve">, </w:t>
      </w:r>
      <w:r w:rsidRPr="00B51852">
        <w:rPr>
          <w:szCs w:val="25"/>
        </w:rPr>
        <w:t>but a comment by the narrator. Conceivably</w:t>
      </w:r>
      <w:r w:rsidR="006F304D" w:rsidRPr="006F304D">
        <w:rPr>
          <w:szCs w:val="25"/>
        </w:rPr>
        <w:t xml:space="preserve">, </w:t>
      </w:r>
      <w:r w:rsidRPr="00B51852">
        <w:rPr>
          <w:szCs w:val="25"/>
        </w:rPr>
        <w:t>20a could be associated with Luke 6:17-19</w:t>
      </w:r>
      <w:r w:rsidR="006F304D" w:rsidRPr="006F304D">
        <w:rPr>
          <w:szCs w:val="25"/>
        </w:rPr>
        <w:t xml:space="preserve">, </w:t>
      </w:r>
      <w:r w:rsidRPr="00B51852">
        <w:rPr>
          <w:szCs w:val="25"/>
        </w:rPr>
        <w:t>since it is the narrator who also speaks in these earlier verses</w:t>
      </w:r>
      <w:r w:rsidR="006F304D" w:rsidRPr="006F304D">
        <w:rPr>
          <w:szCs w:val="25"/>
        </w:rPr>
        <w:t xml:space="preserve">, </w:t>
      </w:r>
      <w:r w:rsidRPr="00B51852">
        <w:rPr>
          <w:szCs w:val="25"/>
        </w:rPr>
        <w:t>relating</w:t>
      </w:r>
      <w:r>
        <w:rPr>
          <w:szCs w:val="25"/>
        </w:rPr>
        <w:t xml:space="preserve"> </w:t>
      </w:r>
      <w:r w:rsidRPr="00B51852">
        <w:rPr>
          <w:szCs w:val="25"/>
        </w:rPr>
        <w:t xml:space="preserve">the circumstances in which the sermon is to occur </w:t>
      </w:r>
      <w:r w:rsidRPr="004C516D">
        <w:rPr>
          <w:szCs w:val="25"/>
        </w:rPr>
        <w:t>(</w:t>
      </w:r>
      <w:r w:rsidRPr="00B51852">
        <w:rPr>
          <w:szCs w:val="25"/>
        </w:rPr>
        <w:t>the descending of the mountain</w:t>
      </w:r>
      <w:r w:rsidR="006F304D" w:rsidRPr="006F304D">
        <w:rPr>
          <w:szCs w:val="25"/>
        </w:rPr>
        <w:t xml:space="preserve">, </w:t>
      </w:r>
      <w:r w:rsidRPr="00B51852">
        <w:rPr>
          <w:szCs w:val="25"/>
        </w:rPr>
        <w:t>the multitude</w:t>
      </w:r>
      <w:r w:rsidR="006F304D" w:rsidRPr="006F304D">
        <w:rPr>
          <w:szCs w:val="25"/>
        </w:rPr>
        <w:t xml:space="preserve">, </w:t>
      </w:r>
      <w:r w:rsidRPr="00B51852">
        <w:rPr>
          <w:szCs w:val="25"/>
        </w:rPr>
        <w:t>the healings). But 20a</w:t>
      </w:r>
      <w:r w:rsidR="006F304D" w:rsidRPr="006F304D">
        <w:rPr>
          <w:szCs w:val="25"/>
        </w:rPr>
        <w:t xml:space="preserve">, </w:t>
      </w:r>
      <w:r w:rsidRPr="00B51852">
        <w:rPr>
          <w:szCs w:val="25"/>
        </w:rPr>
        <w:t>though narration</w:t>
      </w:r>
      <w:r w:rsidR="006F304D" w:rsidRPr="006F304D">
        <w:rPr>
          <w:szCs w:val="25"/>
        </w:rPr>
        <w:t xml:space="preserve">, </w:t>
      </w:r>
      <w:r w:rsidRPr="00B51852">
        <w:rPr>
          <w:szCs w:val="25"/>
        </w:rPr>
        <w:t>is too different from verses 17-19 to be united with them. Unlike 17-19</w:t>
      </w:r>
      <w:r w:rsidR="006F304D" w:rsidRPr="006F304D">
        <w:rPr>
          <w:szCs w:val="25"/>
        </w:rPr>
        <w:t xml:space="preserve">, </w:t>
      </w:r>
      <w:r w:rsidRPr="00B51852">
        <w:rPr>
          <w:szCs w:val="25"/>
        </w:rPr>
        <w:t xml:space="preserve">20a </w:t>
      </w:r>
      <w:r w:rsidRPr="00B51852">
        <w:rPr>
          <w:szCs w:val="23"/>
        </w:rPr>
        <w:t xml:space="preserve">is </w:t>
      </w:r>
      <w:r w:rsidRPr="00B51852">
        <w:rPr>
          <w:szCs w:val="25"/>
        </w:rPr>
        <w:t>not a summary</w:t>
      </w:r>
      <w:r w:rsidR="006F304D" w:rsidRPr="006F304D">
        <w:rPr>
          <w:szCs w:val="25"/>
        </w:rPr>
        <w:t xml:space="preserve">, </w:t>
      </w:r>
      <w:r w:rsidRPr="00B51852">
        <w:rPr>
          <w:szCs w:val="25"/>
        </w:rPr>
        <w:t>collapsing a number of events into a brief comment; rather</w:t>
      </w:r>
      <w:r w:rsidR="006F304D" w:rsidRPr="006F304D">
        <w:rPr>
          <w:szCs w:val="25"/>
        </w:rPr>
        <w:t xml:space="preserve">, </w:t>
      </w:r>
      <w:r w:rsidRPr="00B51852">
        <w:rPr>
          <w:szCs w:val="25"/>
        </w:rPr>
        <w:t>it is a statement of a specific event (the raising of Jesus’ eyes)</w:t>
      </w:r>
      <w:r w:rsidR="006F304D" w:rsidRPr="006F304D">
        <w:rPr>
          <w:szCs w:val="25"/>
        </w:rPr>
        <w:t xml:space="preserve">, </w:t>
      </w:r>
      <w:r w:rsidRPr="00B51852">
        <w:rPr>
          <w:szCs w:val="25"/>
        </w:rPr>
        <w:t>an event which occurs in approximately the same amount of time as the statement relating it requires. It refers</w:t>
      </w:r>
      <w:r w:rsidR="006F304D" w:rsidRPr="006F304D">
        <w:rPr>
          <w:szCs w:val="25"/>
        </w:rPr>
        <w:t xml:space="preserve">, </w:t>
      </w:r>
      <w:r w:rsidRPr="00B51852">
        <w:rPr>
          <w:szCs w:val="25"/>
        </w:rPr>
        <w:t>not to events meaningful in themselves</w:t>
      </w:r>
      <w:r w:rsidR="006F304D" w:rsidRPr="006F304D">
        <w:rPr>
          <w:szCs w:val="25"/>
        </w:rPr>
        <w:t xml:space="preserve">, </w:t>
      </w:r>
      <w:r w:rsidRPr="00B51852">
        <w:rPr>
          <w:szCs w:val="25"/>
        </w:rPr>
        <w:t>but to an act of Jesus preparatory to parting his lips. In cinematic terms</w:t>
      </w:r>
      <w:r w:rsidR="006F304D" w:rsidRPr="006F304D">
        <w:rPr>
          <w:szCs w:val="25"/>
        </w:rPr>
        <w:t xml:space="preserve">, </w:t>
      </w:r>
      <w:r w:rsidRPr="00B51852">
        <w:rPr>
          <w:szCs w:val="25"/>
        </w:rPr>
        <w:t>the camera has ceased to pan the landscape and has zoomed in for a close-up. Hence it seems best to retain 20a as in fact part of the sermon; but clearly it is distinct from the beatitudes and woes.</w:t>
      </w:r>
    </w:p>
    <w:p w14:paraId="22452B9A" w14:textId="504C2732" w:rsidR="0018433B" w:rsidRPr="00B51852" w:rsidRDefault="0018433B" w:rsidP="0018433B">
      <w:pPr>
        <w:pStyle w:val="Style"/>
        <w:widowControl/>
        <w:jc w:val="both"/>
        <w:textAlignment w:val="baseline"/>
        <w:rPr>
          <w:szCs w:val="25"/>
        </w:rPr>
      </w:pPr>
      <w:r>
        <w:rPr>
          <w:szCs w:val="25"/>
        </w:rPr>
        <w:tab/>
      </w:r>
      <w:r w:rsidRPr="00B51852">
        <w:rPr>
          <w:szCs w:val="25"/>
        </w:rPr>
        <w:t>A question that remains concerning 20a is whether it is introductory only to the beatitudes</w:t>
      </w:r>
      <w:r w:rsidR="006F304D" w:rsidRPr="006F304D">
        <w:rPr>
          <w:szCs w:val="25"/>
        </w:rPr>
        <w:t xml:space="preserve">, </w:t>
      </w:r>
      <w:r w:rsidRPr="00B51852">
        <w:rPr>
          <w:szCs w:val="25"/>
        </w:rPr>
        <w:t>only to the beatitudes and woes</w:t>
      </w:r>
      <w:r w:rsidR="006F304D" w:rsidRPr="006F304D">
        <w:rPr>
          <w:szCs w:val="25"/>
        </w:rPr>
        <w:t xml:space="preserve">, </w:t>
      </w:r>
      <w:r w:rsidRPr="00B51852">
        <w:rPr>
          <w:szCs w:val="25"/>
        </w:rPr>
        <w:t>or to the entire sermon. Since there is no change of addressees in the sermon (Jesus addresses the ‘disciples” of 20a throughout),</w:t>
      </w:r>
      <w:r>
        <w:rPr>
          <w:rStyle w:val="FootnoteReference"/>
          <w:szCs w:val="25"/>
        </w:rPr>
        <w:footnoteReference w:id="499"/>
      </w:r>
      <w:r>
        <w:rPr>
          <w:szCs w:val="25"/>
        </w:rPr>
        <w:t xml:space="preserve"> </w:t>
      </w:r>
      <w:r w:rsidRPr="00B51852">
        <w:rPr>
          <w:szCs w:val="25"/>
        </w:rPr>
        <w:t>and since there is nothing in 20a to indicate that it relates to the beatitudes and woes more especially than to the rest of the sermon</w:t>
      </w:r>
      <w:r w:rsidR="006F304D" w:rsidRPr="006F304D">
        <w:rPr>
          <w:szCs w:val="25"/>
        </w:rPr>
        <w:t xml:space="preserve">, </w:t>
      </w:r>
      <w:r w:rsidRPr="00B51852">
        <w:rPr>
          <w:szCs w:val="25"/>
        </w:rPr>
        <w:t>20a should be considered an introductory comment to the whole sermon. (This decision</w:t>
      </w:r>
      <w:r w:rsidR="006F304D" w:rsidRPr="006F304D">
        <w:rPr>
          <w:szCs w:val="25"/>
        </w:rPr>
        <w:t xml:space="preserve">, </w:t>
      </w:r>
      <w:r w:rsidRPr="00B51852">
        <w:rPr>
          <w:szCs w:val="25"/>
        </w:rPr>
        <w:t>as we shall see below</w:t>
      </w:r>
      <w:r w:rsidR="006F304D" w:rsidRPr="006F304D">
        <w:rPr>
          <w:szCs w:val="25"/>
        </w:rPr>
        <w:t xml:space="preserve">, </w:t>
      </w:r>
      <w:r w:rsidRPr="00B51852">
        <w:rPr>
          <w:szCs w:val="25"/>
        </w:rPr>
        <w:t>will be important in fixing the major divisions of the sermon.) Thus</w:t>
      </w:r>
      <w:r w:rsidR="006F304D" w:rsidRPr="006F304D">
        <w:rPr>
          <w:szCs w:val="25"/>
        </w:rPr>
        <w:t xml:space="preserve">, </w:t>
      </w:r>
      <w:r w:rsidRPr="00B51852">
        <w:rPr>
          <w:szCs w:val="25"/>
        </w:rPr>
        <w:t>contrary to the rather careless practice of the commentators</w:t>
      </w:r>
      <w:r w:rsidR="006F304D" w:rsidRPr="006F304D">
        <w:rPr>
          <w:szCs w:val="25"/>
        </w:rPr>
        <w:t xml:space="preserve">, </w:t>
      </w:r>
      <w:r w:rsidRPr="00B51852">
        <w:rPr>
          <w:szCs w:val="25"/>
        </w:rPr>
        <w:t xml:space="preserve">who often refer to the beatitudes and woes as </w:t>
      </w:r>
      <w:r>
        <w:rPr>
          <w:szCs w:val="25"/>
        </w:rPr>
        <w:t>“</w:t>
      </w:r>
      <w:r w:rsidRPr="00B51852">
        <w:rPr>
          <w:szCs w:val="25"/>
        </w:rPr>
        <w:t>20-26,” we will distinguish 20a as a unit coordinate with the remainder of the sermon.</w:t>
      </w:r>
    </w:p>
    <w:p w14:paraId="52A66599" w14:textId="44B2C557" w:rsidR="0018433B" w:rsidRDefault="0018433B" w:rsidP="0018433B">
      <w:pPr>
        <w:pStyle w:val="Style"/>
        <w:widowControl/>
        <w:jc w:val="both"/>
        <w:textAlignment w:val="baseline"/>
        <w:rPr>
          <w:szCs w:val="25"/>
        </w:rPr>
      </w:pPr>
      <w:r>
        <w:rPr>
          <w:szCs w:val="25"/>
        </w:rPr>
        <w:tab/>
      </w:r>
      <w:r w:rsidRPr="00B51852">
        <w:rPr>
          <w:szCs w:val="25"/>
        </w:rPr>
        <w:t>We are justified in treating the beatitudes and woes as one unit rather than</w:t>
      </w:r>
      <w:r>
        <w:rPr>
          <w:szCs w:val="25"/>
        </w:rPr>
        <w:t xml:space="preserve"> </w:t>
      </w:r>
      <w:r w:rsidRPr="00B51852">
        <w:rPr>
          <w:szCs w:val="25"/>
        </w:rPr>
        <w:t>two</w:t>
      </w:r>
      <w:r>
        <w:rPr>
          <w:szCs w:val="25"/>
        </w:rPr>
        <w:t>:</w:t>
      </w:r>
      <w:r w:rsidRPr="00B51852">
        <w:rPr>
          <w:szCs w:val="25"/>
        </w:rPr>
        <w:t xml:space="preserve"> because both the blessings and the woes</w:t>
      </w:r>
      <w:r>
        <w:rPr>
          <w:szCs w:val="25"/>
        </w:rPr>
        <w:t xml:space="preserve"> are pronouncements of judgment;</w:t>
      </w:r>
      <w:r w:rsidRPr="00B51852">
        <w:rPr>
          <w:szCs w:val="25"/>
        </w:rPr>
        <w:t xml:space="preserve"> because the grammatical structure is the same in most of the sayings (</w:t>
      </w:r>
      <w:r>
        <w:rPr>
          <w:bCs/>
          <w:szCs w:val="22"/>
          <w:lang w:val="el-GR"/>
        </w:rPr>
        <w:t>μ</w:t>
      </w:r>
      <w:r w:rsidRPr="00CE06CA">
        <w:rPr>
          <w:bCs/>
          <w:szCs w:val="22"/>
          <w:lang w:val="el-GR"/>
        </w:rPr>
        <w:t>ακάριο</w:t>
      </w:r>
      <w:r>
        <w:rPr>
          <w:bCs/>
          <w:szCs w:val="22"/>
          <w:lang w:val="el-GR"/>
        </w:rPr>
        <w:t>ς</w:t>
      </w:r>
      <w:r>
        <w:rPr>
          <w:rFonts w:eastAsia="Arial"/>
          <w:szCs w:val="22"/>
        </w:rPr>
        <w:t xml:space="preserve"> </w:t>
      </w:r>
      <w:r w:rsidRPr="00B51852">
        <w:rPr>
          <w:szCs w:val="25"/>
        </w:rPr>
        <w:t>or</w:t>
      </w:r>
      <w:r>
        <w:rPr>
          <w:szCs w:val="25"/>
        </w:rPr>
        <w:t xml:space="preserve"> </w:t>
      </w:r>
      <w:r w:rsidRPr="00CE06CA">
        <w:rPr>
          <w:bCs/>
          <w:szCs w:val="22"/>
          <w:lang w:val="el-GR"/>
        </w:rPr>
        <w:t>οὐα</w:t>
      </w:r>
      <w:r>
        <w:rPr>
          <w:bCs/>
          <w:szCs w:val="22"/>
          <w:lang w:val="el-GR"/>
        </w:rPr>
        <w:t>ί</w:t>
      </w:r>
      <w:r w:rsidR="006F304D" w:rsidRPr="006F304D">
        <w:rPr>
          <w:szCs w:val="25"/>
        </w:rPr>
        <w:t xml:space="preserve">, </w:t>
      </w:r>
      <w:r w:rsidRPr="00B51852">
        <w:rPr>
          <w:szCs w:val="25"/>
        </w:rPr>
        <w:t xml:space="preserve">then the object of the pronouncement in </w:t>
      </w:r>
      <w:r w:rsidRPr="00B51852">
        <w:rPr>
          <w:szCs w:val="25"/>
        </w:rPr>
        <w:lastRenderedPageBreak/>
        <w:t>the no</w:t>
      </w:r>
      <w:r>
        <w:rPr>
          <w:szCs w:val="25"/>
        </w:rPr>
        <w:t>minative</w:t>
      </w:r>
      <w:r w:rsidR="006F304D" w:rsidRPr="006F304D">
        <w:rPr>
          <w:szCs w:val="25"/>
        </w:rPr>
        <w:t xml:space="preserve">, </w:t>
      </w:r>
      <w:r>
        <w:rPr>
          <w:szCs w:val="25"/>
        </w:rPr>
        <w:t>then a result clause);</w:t>
      </w:r>
      <w:r w:rsidRPr="00B51852">
        <w:rPr>
          <w:szCs w:val="25"/>
        </w:rPr>
        <w:t xml:space="preserve"> because </w:t>
      </w:r>
      <w:r>
        <w:rPr>
          <w:szCs w:val="25"/>
        </w:rPr>
        <w:t>“now”</w:t>
      </w:r>
      <w:r w:rsidRPr="00B51852">
        <w:rPr>
          <w:szCs w:val="25"/>
        </w:rPr>
        <w:t xml:space="preserve"> is repeated in the middle pronouncements of both sets (21a</w:t>
      </w:r>
      <w:r w:rsidR="006F304D" w:rsidRPr="006F304D">
        <w:rPr>
          <w:szCs w:val="25"/>
        </w:rPr>
        <w:t xml:space="preserve">, </w:t>
      </w:r>
      <w:r w:rsidRPr="00B51852">
        <w:rPr>
          <w:szCs w:val="25"/>
        </w:rPr>
        <w:t>b; 25a</w:t>
      </w:r>
      <w:r w:rsidR="006F304D" w:rsidRPr="006F304D">
        <w:rPr>
          <w:szCs w:val="25"/>
        </w:rPr>
        <w:t xml:space="preserve">, </w:t>
      </w:r>
      <w:r w:rsidRPr="00B51852">
        <w:rPr>
          <w:szCs w:val="25"/>
        </w:rPr>
        <w:t>b</w:t>
      </w:r>
      <w:r w:rsidRPr="004C516D">
        <w:rPr>
          <w:szCs w:val="25"/>
        </w:rPr>
        <w:t>)</w:t>
      </w:r>
      <w:r>
        <w:rPr>
          <w:szCs w:val="25"/>
        </w:rPr>
        <w:t>;</w:t>
      </w:r>
      <w:r w:rsidRPr="00B51852">
        <w:rPr>
          <w:szCs w:val="25"/>
        </w:rPr>
        <w:t xml:space="preserve"> and because the su</w:t>
      </w:r>
      <w:r>
        <w:rPr>
          <w:szCs w:val="25"/>
        </w:rPr>
        <w:t>bjects are similar and are even</w:t>
      </w:r>
      <w:r w:rsidRPr="00B51852">
        <w:rPr>
          <w:szCs w:val="25"/>
        </w:rPr>
        <w:t xml:space="preserve"> </w:t>
      </w:r>
      <w:r>
        <w:rPr>
          <w:szCs w:val="25"/>
        </w:rPr>
        <w:t>(for the most part)</w:t>
      </w:r>
      <w:r w:rsidRPr="00B51852">
        <w:rPr>
          <w:szCs w:val="25"/>
        </w:rPr>
        <w:t xml:space="preserve"> reversed.</w:t>
      </w:r>
    </w:p>
    <w:p w14:paraId="54947054" w14:textId="77777777" w:rsidR="0018433B" w:rsidRDefault="0018433B" w:rsidP="0018433B">
      <w:pPr>
        <w:pStyle w:val="Style"/>
        <w:widowControl/>
        <w:jc w:val="both"/>
        <w:textAlignment w:val="baseline"/>
        <w:rPr>
          <w:szCs w:val="25"/>
        </w:rPr>
      </w:pPr>
    </w:p>
    <w:p w14:paraId="5DA626DF" w14:textId="77777777" w:rsidR="0018433B" w:rsidRPr="008A67EA" w:rsidRDefault="0018433B" w:rsidP="0018433B">
      <w:pPr>
        <w:pStyle w:val="Style"/>
        <w:widowControl/>
        <w:tabs>
          <w:tab w:val="left" w:pos="720"/>
          <w:tab w:val="right" w:pos="8370"/>
          <w:tab w:val="left" w:pos="8820"/>
        </w:tabs>
        <w:jc w:val="both"/>
        <w:textAlignment w:val="baseline"/>
        <w:rPr>
          <w:szCs w:val="25"/>
        </w:rPr>
      </w:pPr>
      <w:r w:rsidRPr="008A67EA">
        <w:rPr>
          <w:szCs w:val="25"/>
        </w:rPr>
        <w:t>20b</w:t>
      </w:r>
      <w:r w:rsidRPr="008A67EA">
        <w:rPr>
          <w:szCs w:val="25"/>
        </w:rPr>
        <w:tab/>
        <w:t>“poor,” “kingdom”</w:t>
      </w:r>
      <w:r w:rsidRPr="008A67EA">
        <w:rPr>
          <w:szCs w:val="25"/>
        </w:rPr>
        <w:tab/>
        <w:t>“rich,” “consolation”</w:t>
      </w:r>
      <w:r w:rsidRPr="008A67EA">
        <w:rPr>
          <w:szCs w:val="25"/>
        </w:rPr>
        <w:tab/>
        <w:t>24</w:t>
      </w:r>
    </w:p>
    <w:p w14:paraId="4A2E297B" w14:textId="77777777" w:rsidR="0018433B" w:rsidRPr="008A67EA" w:rsidRDefault="0018433B" w:rsidP="0018433B">
      <w:pPr>
        <w:pStyle w:val="Style"/>
        <w:widowControl/>
        <w:tabs>
          <w:tab w:val="left" w:pos="720"/>
          <w:tab w:val="right" w:pos="8370"/>
          <w:tab w:val="left" w:pos="8820"/>
        </w:tabs>
        <w:jc w:val="both"/>
        <w:textAlignment w:val="baseline"/>
        <w:rPr>
          <w:szCs w:val="25"/>
        </w:rPr>
      </w:pPr>
      <w:r w:rsidRPr="008A67EA">
        <w:rPr>
          <w:szCs w:val="25"/>
        </w:rPr>
        <w:t>21a</w:t>
      </w:r>
      <w:r w:rsidRPr="008A67EA">
        <w:rPr>
          <w:szCs w:val="25"/>
        </w:rPr>
        <w:tab/>
        <w:t>“</w:t>
      </w:r>
      <w:r>
        <w:rPr>
          <w:szCs w:val="25"/>
        </w:rPr>
        <w:t>hungry</w:t>
      </w:r>
      <w:r w:rsidRPr="008A67EA">
        <w:rPr>
          <w:szCs w:val="25"/>
        </w:rPr>
        <w:t>,” “</w:t>
      </w:r>
      <w:r>
        <w:rPr>
          <w:szCs w:val="25"/>
        </w:rPr>
        <w:t>filled</w:t>
      </w:r>
      <w:r w:rsidRPr="008A67EA">
        <w:rPr>
          <w:szCs w:val="25"/>
        </w:rPr>
        <w:t>”</w:t>
      </w:r>
      <w:r w:rsidRPr="008A67EA">
        <w:rPr>
          <w:szCs w:val="25"/>
        </w:rPr>
        <w:tab/>
        <w:t>“full,” “hunger”</w:t>
      </w:r>
      <w:r w:rsidRPr="008A67EA">
        <w:rPr>
          <w:szCs w:val="25"/>
        </w:rPr>
        <w:tab/>
        <w:t>25a</w:t>
      </w:r>
    </w:p>
    <w:p w14:paraId="67FA1FCF" w14:textId="77777777" w:rsidR="0018433B" w:rsidRPr="008A67EA" w:rsidRDefault="0018433B" w:rsidP="0018433B">
      <w:pPr>
        <w:pStyle w:val="Style"/>
        <w:widowControl/>
        <w:tabs>
          <w:tab w:val="left" w:pos="720"/>
          <w:tab w:val="right" w:pos="8370"/>
          <w:tab w:val="left" w:pos="8820"/>
        </w:tabs>
        <w:jc w:val="both"/>
        <w:textAlignment w:val="baseline"/>
        <w:rPr>
          <w:szCs w:val="25"/>
        </w:rPr>
      </w:pPr>
      <w:r w:rsidRPr="008A67EA">
        <w:rPr>
          <w:szCs w:val="25"/>
        </w:rPr>
        <w:t>21b</w:t>
      </w:r>
      <w:r w:rsidRPr="008A67EA">
        <w:rPr>
          <w:szCs w:val="25"/>
        </w:rPr>
        <w:tab/>
        <w:t>“weep,” “laugh”</w:t>
      </w:r>
      <w:r w:rsidRPr="008A67EA">
        <w:rPr>
          <w:szCs w:val="25"/>
        </w:rPr>
        <w:tab/>
        <w:t>“laugh,” “mourn and weep”</w:t>
      </w:r>
      <w:r w:rsidRPr="008A67EA">
        <w:rPr>
          <w:szCs w:val="25"/>
        </w:rPr>
        <w:tab/>
        <w:t>25b</w:t>
      </w:r>
    </w:p>
    <w:p w14:paraId="01A33706" w14:textId="77777777" w:rsidR="0018433B" w:rsidRPr="008A67EA" w:rsidRDefault="0018433B" w:rsidP="0018433B">
      <w:pPr>
        <w:pStyle w:val="Style"/>
        <w:widowControl/>
        <w:tabs>
          <w:tab w:val="left" w:pos="720"/>
          <w:tab w:val="right" w:pos="8370"/>
          <w:tab w:val="left" w:pos="8820"/>
        </w:tabs>
        <w:jc w:val="both"/>
        <w:textAlignment w:val="baseline"/>
        <w:rPr>
          <w:szCs w:val="25"/>
        </w:rPr>
      </w:pPr>
      <w:r w:rsidRPr="008A67EA">
        <w:rPr>
          <w:szCs w:val="25"/>
        </w:rPr>
        <w:t>22a</w:t>
      </w:r>
      <w:r w:rsidRPr="008A67EA">
        <w:rPr>
          <w:szCs w:val="25"/>
        </w:rPr>
        <w:tab/>
        <w:t>“</w:t>
      </w:r>
      <w:r>
        <w:rPr>
          <w:szCs w:val="25"/>
        </w:rPr>
        <w:t>defame</w:t>
      </w:r>
      <w:r w:rsidRPr="008A67EA">
        <w:rPr>
          <w:szCs w:val="25"/>
        </w:rPr>
        <w:t>”</w:t>
      </w:r>
      <w:r w:rsidRPr="008A67EA">
        <w:rPr>
          <w:szCs w:val="25"/>
        </w:rPr>
        <w:tab/>
        <w:t>“speak well of”</w:t>
      </w:r>
      <w:r w:rsidRPr="008A67EA">
        <w:rPr>
          <w:szCs w:val="25"/>
        </w:rPr>
        <w:tab/>
        <w:t>26a</w:t>
      </w:r>
    </w:p>
    <w:p w14:paraId="6D828717" w14:textId="77777777" w:rsidR="0018433B" w:rsidRPr="008A67EA" w:rsidRDefault="0018433B" w:rsidP="0018433B">
      <w:pPr>
        <w:pStyle w:val="Style"/>
        <w:widowControl/>
        <w:tabs>
          <w:tab w:val="left" w:pos="720"/>
          <w:tab w:val="right" w:pos="8370"/>
          <w:tab w:val="left" w:pos="8820"/>
        </w:tabs>
        <w:jc w:val="both"/>
        <w:textAlignment w:val="baseline"/>
        <w:rPr>
          <w:szCs w:val="25"/>
        </w:rPr>
      </w:pPr>
      <w:r w:rsidRPr="008A67EA">
        <w:rPr>
          <w:szCs w:val="25"/>
        </w:rPr>
        <w:t>22b</w:t>
      </w:r>
      <w:r w:rsidRPr="008A67EA">
        <w:rPr>
          <w:szCs w:val="25"/>
        </w:rPr>
        <w:tab/>
        <w:t xml:space="preserve">“their </w:t>
      </w:r>
      <w:r w:rsidRPr="00CD75A6">
        <w:t xml:space="preserve">ancestors </w:t>
      </w:r>
      <w:r w:rsidRPr="008A67EA">
        <w:rPr>
          <w:szCs w:val="25"/>
        </w:rPr>
        <w:t>did to the prophets”</w:t>
      </w:r>
      <w:r w:rsidRPr="008A67EA">
        <w:rPr>
          <w:szCs w:val="25"/>
        </w:rPr>
        <w:tab/>
        <w:t xml:space="preserve">“their </w:t>
      </w:r>
      <w:r w:rsidRPr="00CD75A6">
        <w:t xml:space="preserve">ancestors </w:t>
      </w:r>
      <w:r w:rsidRPr="008A67EA">
        <w:rPr>
          <w:szCs w:val="25"/>
        </w:rPr>
        <w:t>did to the false prophets”</w:t>
      </w:r>
      <w:r w:rsidRPr="008A67EA">
        <w:rPr>
          <w:szCs w:val="25"/>
        </w:rPr>
        <w:tab/>
        <w:t>26b</w:t>
      </w:r>
    </w:p>
    <w:p w14:paraId="43857A1D" w14:textId="77777777" w:rsidR="0018433B" w:rsidRDefault="0018433B" w:rsidP="0018433B">
      <w:pPr>
        <w:pStyle w:val="Style"/>
        <w:widowControl/>
        <w:jc w:val="both"/>
        <w:textAlignment w:val="baseline"/>
        <w:rPr>
          <w:szCs w:val="25"/>
        </w:rPr>
      </w:pPr>
    </w:p>
    <w:p w14:paraId="72AA7A2E" w14:textId="162686CE" w:rsidR="0018433B" w:rsidRPr="00B51852" w:rsidRDefault="0018433B" w:rsidP="0018433B">
      <w:pPr>
        <w:pStyle w:val="Style"/>
        <w:widowControl/>
        <w:jc w:val="both"/>
        <w:textAlignment w:val="baseline"/>
        <w:rPr>
          <w:szCs w:val="25"/>
        </w:rPr>
      </w:pPr>
      <w:r w:rsidRPr="00B51852">
        <w:rPr>
          <w:szCs w:val="25"/>
        </w:rPr>
        <w:t>At the same time</w:t>
      </w:r>
      <w:r w:rsidR="006F304D" w:rsidRPr="006F304D">
        <w:rPr>
          <w:szCs w:val="25"/>
        </w:rPr>
        <w:t xml:space="preserve">, </w:t>
      </w:r>
      <w:r w:rsidRPr="00B51852">
        <w:rPr>
          <w:szCs w:val="25"/>
        </w:rPr>
        <w:t>the beatitudes and the woes are distinct subunits</w:t>
      </w:r>
      <w:r w:rsidR="006F304D" w:rsidRPr="006F304D">
        <w:rPr>
          <w:szCs w:val="25"/>
        </w:rPr>
        <w:t xml:space="preserve">, </w:t>
      </w:r>
      <w:r w:rsidRPr="00B51852">
        <w:rPr>
          <w:szCs w:val="25"/>
        </w:rPr>
        <w:t xml:space="preserve">not only because of the contrast between </w:t>
      </w:r>
      <w:r>
        <w:rPr>
          <w:bCs/>
          <w:szCs w:val="22"/>
          <w:lang w:val="el-GR"/>
        </w:rPr>
        <w:t>μ</w:t>
      </w:r>
      <w:r w:rsidRPr="00CE06CA">
        <w:rPr>
          <w:bCs/>
          <w:szCs w:val="22"/>
          <w:lang w:val="el-GR"/>
        </w:rPr>
        <w:t>ακάριο</w:t>
      </w:r>
      <w:r>
        <w:rPr>
          <w:bCs/>
          <w:szCs w:val="22"/>
          <w:lang w:val="el-GR"/>
        </w:rPr>
        <w:t>ς</w:t>
      </w:r>
      <w:r>
        <w:rPr>
          <w:rFonts w:eastAsia="Arial"/>
          <w:szCs w:val="22"/>
        </w:rPr>
        <w:t xml:space="preserve"> and </w:t>
      </w:r>
      <w:r w:rsidRPr="00CE06CA">
        <w:rPr>
          <w:bCs/>
          <w:szCs w:val="22"/>
          <w:lang w:val="el-GR"/>
        </w:rPr>
        <w:t>οὐα</w:t>
      </w:r>
      <w:r>
        <w:rPr>
          <w:bCs/>
          <w:szCs w:val="22"/>
          <w:lang w:val="el-GR"/>
        </w:rPr>
        <w:t>ί</w:t>
      </w:r>
      <w:r w:rsidRPr="00B51852">
        <w:rPr>
          <w:szCs w:val="25"/>
        </w:rPr>
        <w:t xml:space="preserve"> and the reversal of subjects</w:t>
      </w:r>
      <w:r w:rsidR="006F304D" w:rsidRPr="006F304D">
        <w:rPr>
          <w:szCs w:val="25"/>
        </w:rPr>
        <w:t xml:space="preserve">, </w:t>
      </w:r>
      <w:r w:rsidRPr="00B51852">
        <w:rPr>
          <w:szCs w:val="25"/>
        </w:rPr>
        <w:t xml:space="preserve">but also because of the conjunction in verse </w:t>
      </w:r>
      <w:r>
        <w:rPr>
          <w:szCs w:val="25"/>
        </w:rPr>
        <w:t xml:space="preserve">24: </w:t>
      </w:r>
      <w:r w:rsidRPr="00CE06CA">
        <w:rPr>
          <w:bCs/>
          <w:szCs w:val="22"/>
          <w:lang w:val="el-GR"/>
        </w:rPr>
        <w:t>Πλὴν</w:t>
      </w:r>
      <w:r>
        <w:rPr>
          <w:bCs/>
          <w:szCs w:val="22"/>
        </w:rPr>
        <w:t xml:space="preserve"> (“</w:t>
      </w:r>
      <w:r w:rsidRPr="00CD75A6">
        <w:t>But</w:t>
      </w:r>
      <w:r>
        <w:t>”)</w:t>
      </w:r>
      <w:r w:rsidRPr="00B51852">
        <w:rPr>
          <w:szCs w:val="26"/>
        </w:rPr>
        <w:t xml:space="preserve">. </w:t>
      </w:r>
      <w:r w:rsidRPr="00B51852">
        <w:rPr>
          <w:szCs w:val="25"/>
        </w:rPr>
        <w:t>Hence the subunits</w:t>
      </w:r>
      <w:r w:rsidR="006F304D" w:rsidRPr="006F304D">
        <w:rPr>
          <w:szCs w:val="25"/>
        </w:rPr>
        <w:t xml:space="preserve">, </w:t>
      </w:r>
      <w:r w:rsidRPr="00B51852">
        <w:rPr>
          <w:szCs w:val="25"/>
        </w:rPr>
        <w:t>20b-23 (beatitudes) and 24-26 (woes)</w:t>
      </w:r>
      <w:r w:rsidR="006F304D" w:rsidRPr="006F304D">
        <w:rPr>
          <w:szCs w:val="25"/>
        </w:rPr>
        <w:t xml:space="preserve">, </w:t>
      </w:r>
      <w:r w:rsidRPr="00B51852">
        <w:rPr>
          <w:szCs w:val="25"/>
        </w:rPr>
        <w:t>are coordinate to one another and subordinate to the whole</w:t>
      </w:r>
      <w:r w:rsidR="006F304D" w:rsidRPr="006F304D">
        <w:rPr>
          <w:szCs w:val="25"/>
        </w:rPr>
        <w:t xml:space="preserve">, </w:t>
      </w:r>
      <w:r w:rsidRPr="00B51852">
        <w:rPr>
          <w:szCs w:val="25"/>
        </w:rPr>
        <w:t>20b-26.</w:t>
      </w:r>
    </w:p>
    <w:p w14:paraId="111E3A23" w14:textId="26E36547" w:rsidR="0018433B" w:rsidRPr="00B51852" w:rsidRDefault="0018433B" w:rsidP="0018433B">
      <w:pPr>
        <w:pStyle w:val="Style"/>
        <w:widowControl/>
        <w:jc w:val="both"/>
        <w:textAlignment w:val="baseline"/>
        <w:rPr>
          <w:szCs w:val="25"/>
        </w:rPr>
      </w:pPr>
      <w:r>
        <w:rPr>
          <w:szCs w:val="25"/>
        </w:rPr>
        <w:tab/>
      </w:r>
      <w:r w:rsidRPr="00B51852">
        <w:rPr>
          <w:szCs w:val="25"/>
        </w:rPr>
        <w:t>In each of these subunits</w:t>
      </w:r>
      <w:r w:rsidR="006F304D" w:rsidRPr="006F304D">
        <w:rPr>
          <w:szCs w:val="25"/>
        </w:rPr>
        <w:t xml:space="preserve">, </w:t>
      </w:r>
      <w:r w:rsidRPr="00B51852">
        <w:rPr>
          <w:szCs w:val="25"/>
        </w:rPr>
        <w:t>however</w:t>
      </w:r>
      <w:r w:rsidR="006F304D" w:rsidRPr="006F304D">
        <w:rPr>
          <w:szCs w:val="25"/>
        </w:rPr>
        <w:t xml:space="preserve">, </w:t>
      </w:r>
      <w:r w:rsidRPr="00B51852">
        <w:rPr>
          <w:szCs w:val="25"/>
        </w:rPr>
        <w:t xml:space="preserve">the final beatitude or woe does not follow the grammatical form of the earlier ones: both the </w:t>
      </w:r>
      <w:proofErr w:type="spellStart"/>
      <w:r w:rsidRPr="00B51852">
        <w:rPr>
          <w:szCs w:val="25"/>
        </w:rPr>
        <w:t>macarism</w:t>
      </w:r>
      <w:proofErr w:type="spellEnd"/>
      <w:r w:rsidRPr="00B51852">
        <w:rPr>
          <w:szCs w:val="25"/>
        </w:rPr>
        <w:t xml:space="preserve"> of verses 22-23 and the woe of verse 26 have temporal rather than result clauses</w:t>
      </w:r>
      <w:r w:rsidR="006F304D" w:rsidRPr="006F304D">
        <w:rPr>
          <w:szCs w:val="25"/>
        </w:rPr>
        <w:t xml:space="preserve">, </w:t>
      </w:r>
      <w:r w:rsidRPr="00B51852">
        <w:rPr>
          <w:szCs w:val="25"/>
        </w:rPr>
        <w:t xml:space="preserve">and both end with a reference to the fathers’ treatment of prophets or of false prophets. Quite possibly 22-23 underwent redactional disruption because the verses were especially meaningful to those experiencing </w:t>
      </w:r>
      <w:r>
        <w:rPr>
          <w:szCs w:val="25"/>
        </w:rPr>
        <w:t>persecution</w:t>
      </w:r>
      <w:r w:rsidR="006F304D" w:rsidRPr="006F304D">
        <w:rPr>
          <w:szCs w:val="25"/>
        </w:rPr>
        <w:t xml:space="preserve">, </w:t>
      </w:r>
      <w:r w:rsidRPr="00B51852">
        <w:rPr>
          <w:szCs w:val="25"/>
        </w:rPr>
        <w:t>so that the redactor or</w:t>
      </w:r>
      <w:r>
        <w:rPr>
          <w:szCs w:val="25"/>
        </w:rPr>
        <w:t xml:space="preserve"> </w:t>
      </w:r>
      <w:r w:rsidRPr="00B51852">
        <w:rPr>
          <w:szCs w:val="25"/>
        </w:rPr>
        <w:t>redactors expanded the verses to make them refer</w:t>
      </w:r>
      <w:r w:rsidR="006F304D" w:rsidRPr="006F304D">
        <w:rPr>
          <w:szCs w:val="25"/>
        </w:rPr>
        <w:t xml:space="preserve">, </w:t>
      </w:r>
      <w:r w:rsidRPr="00B51852">
        <w:rPr>
          <w:szCs w:val="25"/>
        </w:rPr>
        <w:t>no longer to individual</w:t>
      </w:r>
      <w:r w:rsidR="006F304D" w:rsidRPr="006F304D">
        <w:rPr>
          <w:szCs w:val="25"/>
        </w:rPr>
        <w:t xml:space="preserve">, </w:t>
      </w:r>
      <w:r w:rsidRPr="00B51852">
        <w:rPr>
          <w:szCs w:val="25"/>
        </w:rPr>
        <w:t>oppressed members of society</w:t>
      </w:r>
      <w:r w:rsidR="006F304D" w:rsidRPr="006F304D">
        <w:rPr>
          <w:szCs w:val="25"/>
        </w:rPr>
        <w:t xml:space="preserve">, </w:t>
      </w:r>
      <w:r w:rsidRPr="00B51852">
        <w:rPr>
          <w:szCs w:val="25"/>
        </w:rPr>
        <w:t xml:space="preserve">but to persecuted followers of Jesus; and </w:t>
      </w:r>
      <w:r>
        <w:rPr>
          <w:szCs w:val="25"/>
        </w:rPr>
        <w:t xml:space="preserve">perhaps </w:t>
      </w:r>
      <w:r w:rsidRPr="00B51852">
        <w:rPr>
          <w:szCs w:val="25"/>
        </w:rPr>
        <w:t>26 was then altered to conform to the new version of the parallel beatitude.</w:t>
      </w:r>
      <w:r>
        <w:rPr>
          <w:rStyle w:val="FootnoteReference"/>
          <w:szCs w:val="25"/>
        </w:rPr>
        <w:footnoteReference w:id="500"/>
      </w:r>
      <w:r>
        <w:rPr>
          <w:szCs w:val="25"/>
        </w:rPr>
        <w:t xml:space="preserve"> </w:t>
      </w:r>
      <w:r w:rsidRPr="00B51852">
        <w:rPr>
          <w:szCs w:val="25"/>
        </w:rPr>
        <w:t>But what is important for logical outlining is primarily the final form of verses 22-23 and 26</w:t>
      </w:r>
      <w:r w:rsidR="006F304D" w:rsidRPr="006F304D">
        <w:rPr>
          <w:szCs w:val="25"/>
        </w:rPr>
        <w:t xml:space="preserve">, </w:t>
      </w:r>
      <w:r w:rsidRPr="00B51852">
        <w:rPr>
          <w:szCs w:val="25"/>
        </w:rPr>
        <w:t>which makes them distinct from the other beatitudes and woes; they are therefore subunits coordinate with verses 20b-21 and 24-25.</w:t>
      </w:r>
    </w:p>
    <w:p w14:paraId="4FA91B45" w14:textId="5B0E0085" w:rsidR="0018433B" w:rsidRPr="00B51852" w:rsidRDefault="0018433B" w:rsidP="0018433B">
      <w:pPr>
        <w:pStyle w:val="Style"/>
        <w:widowControl/>
        <w:jc w:val="both"/>
        <w:textAlignment w:val="baseline"/>
        <w:rPr>
          <w:szCs w:val="25"/>
        </w:rPr>
      </w:pPr>
      <w:r>
        <w:rPr>
          <w:szCs w:val="25"/>
        </w:rPr>
        <w:tab/>
      </w:r>
      <w:r w:rsidRPr="00B51852">
        <w:rPr>
          <w:szCs w:val="25"/>
        </w:rPr>
        <w:t xml:space="preserve">It might be appropriate at this point to consider the meaning of the beatitudes and woes as a whole section. Are they concerned with </w:t>
      </w:r>
      <w:r>
        <w:rPr>
          <w:szCs w:val="25"/>
        </w:rPr>
        <w:t>“</w:t>
      </w:r>
      <w:r w:rsidRPr="00B51852">
        <w:rPr>
          <w:szCs w:val="25"/>
        </w:rPr>
        <w:t>the reversal of fortunes in the kingdom”?</w:t>
      </w:r>
      <w:r>
        <w:rPr>
          <w:rStyle w:val="FootnoteReference"/>
          <w:szCs w:val="25"/>
        </w:rPr>
        <w:footnoteReference w:id="501"/>
      </w:r>
      <w:r>
        <w:rPr>
          <w:szCs w:val="25"/>
        </w:rPr>
        <w:t xml:space="preserve"> </w:t>
      </w:r>
      <w:r w:rsidRPr="00B51852">
        <w:rPr>
          <w:szCs w:val="25"/>
        </w:rPr>
        <w:t>Or do they contrast the love of God to the love of one’s neighbor</w:t>
      </w:r>
      <w:r w:rsidR="006F304D" w:rsidRPr="006F304D">
        <w:rPr>
          <w:szCs w:val="25"/>
        </w:rPr>
        <w:t xml:space="preserve">, </w:t>
      </w:r>
      <w:r w:rsidRPr="00B51852">
        <w:rPr>
          <w:szCs w:val="25"/>
        </w:rPr>
        <w:t>which is treated in verse 27-49?</w:t>
      </w:r>
      <w:r>
        <w:rPr>
          <w:rStyle w:val="FootnoteReference"/>
          <w:szCs w:val="25"/>
        </w:rPr>
        <w:footnoteReference w:id="502"/>
      </w:r>
      <w:r>
        <w:rPr>
          <w:szCs w:val="25"/>
        </w:rPr>
        <w:t xml:space="preserve"> </w:t>
      </w:r>
      <w:r w:rsidRPr="00B51852">
        <w:rPr>
          <w:szCs w:val="25"/>
        </w:rPr>
        <w:t>Might they serve as an introduction to the remainder of the sermon?</w:t>
      </w:r>
      <w:r>
        <w:rPr>
          <w:rStyle w:val="FootnoteReference"/>
          <w:szCs w:val="25"/>
        </w:rPr>
        <w:footnoteReference w:id="503"/>
      </w:r>
      <w:r w:rsidR="00775F9B" w:rsidRPr="00775F9B">
        <w:rPr>
          <w:rFonts w:eastAsia="Arial"/>
          <w:iCs/>
        </w:rPr>
        <w:t xml:space="preserve"> </w:t>
      </w:r>
      <w:r w:rsidRPr="002E0FF6">
        <w:rPr>
          <w:iCs/>
        </w:rPr>
        <w:t xml:space="preserve">As </w:t>
      </w:r>
      <w:r w:rsidRPr="002E0FF6">
        <w:rPr>
          <w:szCs w:val="25"/>
        </w:rPr>
        <w:t>t</w:t>
      </w:r>
      <w:r w:rsidRPr="00B51852">
        <w:rPr>
          <w:szCs w:val="25"/>
        </w:rPr>
        <w:t>hese examples indicate</w:t>
      </w:r>
      <w:r w:rsidR="006F304D" w:rsidRPr="006F304D">
        <w:rPr>
          <w:szCs w:val="25"/>
        </w:rPr>
        <w:t xml:space="preserve">, </w:t>
      </w:r>
      <w:r w:rsidRPr="00B51852">
        <w:rPr>
          <w:szCs w:val="25"/>
        </w:rPr>
        <w:t>it is best to postpone a discussion of the section as a whole until more has been decided concerning the meaning and purpose of the other major sections.</w:t>
      </w:r>
    </w:p>
    <w:p w14:paraId="2587F5A4" w14:textId="77777777" w:rsidR="0018433B" w:rsidRDefault="0018433B" w:rsidP="0018433B">
      <w:pPr>
        <w:pStyle w:val="Style"/>
        <w:widowControl/>
        <w:jc w:val="both"/>
        <w:textAlignment w:val="baseline"/>
        <w:rPr>
          <w:szCs w:val="25"/>
        </w:rPr>
      </w:pPr>
      <w:r>
        <w:rPr>
          <w:szCs w:val="25"/>
        </w:rPr>
        <w:tab/>
      </w:r>
      <w:r w:rsidRPr="00B51852">
        <w:rPr>
          <w:szCs w:val="25"/>
        </w:rPr>
        <w:t>We may now summarize our discussion of Luke 6:20-26 by presenting our con</w:t>
      </w:r>
      <w:r w:rsidRPr="00B51852">
        <w:rPr>
          <w:szCs w:val="25"/>
        </w:rPr>
        <w:softHyphen/>
        <w:t>clusions in outline form:</w:t>
      </w:r>
    </w:p>
    <w:p w14:paraId="6BE76AAB" w14:textId="77777777" w:rsidR="0018433B" w:rsidRPr="00B51852" w:rsidRDefault="0018433B" w:rsidP="0018433B">
      <w:pPr>
        <w:pStyle w:val="Style"/>
        <w:widowControl/>
        <w:jc w:val="both"/>
        <w:textAlignment w:val="baseline"/>
        <w:rPr>
          <w:szCs w:val="25"/>
        </w:rPr>
      </w:pPr>
    </w:p>
    <w:p w14:paraId="27F41703" w14:textId="77777777" w:rsidR="0018433B" w:rsidRPr="00B51852" w:rsidRDefault="0018433B" w:rsidP="0018433B">
      <w:pPr>
        <w:pStyle w:val="Style"/>
        <w:widowControl/>
        <w:tabs>
          <w:tab w:val="left" w:pos="3600"/>
          <w:tab w:val="left" w:pos="3960"/>
          <w:tab w:val="left" w:pos="4320"/>
          <w:tab w:val="left" w:pos="4680"/>
          <w:tab w:val="left" w:pos="5040"/>
        </w:tabs>
        <w:jc w:val="both"/>
        <w:textAlignment w:val="baseline"/>
        <w:rPr>
          <w:szCs w:val="25"/>
        </w:rPr>
      </w:pPr>
      <w:r>
        <w:rPr>
          <w:szCs w:val="25"/>
        </w:rPr>
        <w:tab/>
        <w:t>1.</w:t>
      </w:r>
      <w:r>
        <w:rPr>
          <w:szCs w:val="25"/>
        </w:rPr>
        <w:tab/>
      </w:r>
      <w:r w:rsidRPr="00B51852">
        <w:rPr>
          <w:szCs w:val="25"/>
        </w:rPr>
        <w:t>20a</w:t>
      </w:r>
    </w:p>
    <w:p w14:paraId="5A238F5A" w14:textId="77777777" w:rsidR="0018433B" w:rsidRPr="00B51852" w:rsidRDefault="0018433B" w:rsidP="0018433B">
      <w:pPr>
        <w:pStyle w:val="Style"/>
        <w:widowControl/>
        <w:tabs>
          <w:tab w:val="left" w:pos="3600"/>
          <w:tab w:val="left" w:pos="3960"/>
          <w:tab w:val="left" w:pos="4320"/>
          <w:tab w:val="left" w:pos="4680"/>
          <w:tab w:val="left" w:pos="5040"/>
        </w:tabs>
        <w:jc w:val="both"/>
        <w:textAlignment w:val="baseline"/>
        <w:rPr>
          <w:szCs w:val="25"/>
        </w:rPr>
      </w:pPr>
      <w:r>
        <w:rPr>
          <w:szCs w:val="25"/>
        </w:rPr>
        <w:tab/>
        <w:t>2.</w:t>
      </w:r>
      <w:r>
        <w:rPr>
          <w:szCs w:val="25"/>
        </w:rPr>
        <w:tab/>
      </w:r>
      <w:r w:rsidRPr="00B51852">
        <w:rPr>
          <w:szCs w:val="25"/>
        </w:rPr>
        <w:t>20</w:t>
      </w:r>
      <w:r>
        <w:rPr>
          <w:szCs w:val="25"/>
        </w:rPr>
        <w:t>b</w:t>
      </w:r>
      <w:r w:rsidRPr="00B51852">
        <w:rPr>
          <w:szCs w:val="25"/>
        </w:rPr>
        <w:t>-26</w:t>
      </w:r>
    </w:p>
    <w:p w14:paraId="213F518E" w14:textId="77777777" w:rsidR="0018433B" w:rsidRPr="00B51852" w:rsidRDefault="0018433B" w:rsidP="0018433B">
      <w:pPr>
        <w:pStyle w:val="Style"/>
        <w:widowControl/>
        <w:tabs>
          <w:tab w:val="left" w:pos="3600"/>
          <w:tab w:val="left" w:pos="3960"/>
          <w:tab w:val="left" w:pos="4320"/>
          <w:tab w:val="left" w:pos="4680"/>
          <w:tab w:val="left" w:pos="5040"/>
        </w:tabs>
        <w:jc w:val="both"/>
        <w:textAlignment w:val="baseline"/>
        <w:rPr>
          <w:szCs w:val="25"/>
        </w:rPr>
      </w:pPr>
      <w:r>
        <w:rPr>
          <w:szCs w:val="25"/>
        </w:rPr>
        <w:tab/>
      </w:r>
      <w:r>
        <w:rPr>
          <w:szCs w:val="25"/>
        </w:rPr>
        <w:tab/>
        <w:t>a.</w:t>
      </w:r>
      <w:r>
        <w:rPr>
          <w:szCs w:val="25"/>
        </w:rPr>
        <w:tab/>
      </w:r>
      <w:r w:rsidRPr="00B51852">
        <w:rPr>
          <w:szCs w:val="25"/>
        </w:rPr>
        <w:t>20b-23</w:t>
      </w:r>
    </w:p>
    <w:p w14:paraId="1528709B" w14:textId="77777777" w:rsidR="0018433B" w:rsidRPr="00B51852" w:rsidRDefault="0018433B" w:rsidP="0018433B">
      <w:pPr>
        <w:pStyle w:val="Style"/>
        <w:widowControl/>
        <w:tabs>
          <w:tab w:val="left" w:pos="3600"/>
          <w:tab w:val="left" w:pos="3960"/>
          <w:tab w:val="left" w:pos="4320"/>
          <w:tab w:val="left" w:pos="4680"/>
          <w:tab w:val="left" w:pos="5040"/>
        </w:tabs>
        <w:jc w:val="both"/>
        <w:textAlignment w:val="baseline"/>
        <w:rPr>
          <w:szCs w:val="25"/>
        </w:rPr>
      </w:pPr>
      <w:r>
        <w:rPr>
          <w:szCs w:val="25"/>
        </w:rPr>
        <w:tab/>
      </w:r>
      <w:r>
        <w:rPr>
          <w:szCs w:val="25"/>
        </w:rPr>
        <w:tab/>
      </w:r>
      <w:r>
        <w:rPr>
          <w:szCs w:val="25"/>
        </w:rPr>
        <w:tab/>
        <w:t>1)</w:t>
      </w:r>
      <w:r>
        <w:rPr>
          <w:szCs w:val="25"/>
        </w:rPr>
        <w:tab/>
      </w:r>
      <w:r w:rsidRPr="00B51852">
        <w:rPr>
          <w:szCs w:val="25"/>
        </w:rPr>
        <w:t>20b-21</w:t>
      </w:r>
    </w:p>
    <w:p w14:paraId="4B74B0BE" w14:textId="77777777" w:rsidR="0018433B" w:rsidRDefault="0018433B" w:rsidP="0018433B">
      <w:pPr>
        <w:pStyle w:val="Style"/>
        <w:widowControl/>
        <w:tabs>
          <w:tab w:val="left" w:pos="3600"/>
          <w:tab w:val="left" w:pos="3960"/>
          <w:tab w:val="left" w:pos="4320"/>
          <w:tab w:val="left" w:pos="4680"/>
          <w:tab w:val="left" w:pos="5040"/>
        </w:tabs>
        <w:jc w:val="both"/>
        <w:textAlignment w:val="baseline"/>
        <w:rPr>
          <w:szCs w:val="25"/>
        </w:rPr>
      </w:pPr>
      <w:r>
        <w:rPr>
          <w:szCs w:val="25"/>
        </w:rPr>
        <w:tab/>
      </w:r>
      <w:r>
        <w:rPr>
          <w:szCs w:val="25"/>
        </w:rPr>
        <w:tab/>
      </w:r>
      <w:r>
        <w:rPr>
          <w:szCs w:val="25"/>
        </w:rPr>
        <w:tab/>
      </w:r>
      <w:r>
        <w:rPr>
          <w:szCs w:val="25"/>
        </w:rPr>
        <w:tab/>
        <w:t>a)</w:t>
      </w:r>
      <w:r>
        <w:rPr>
          <w:szCs w:val="25"/>
        </w:rPr>
        <w:tab/>
        <w:t>20b</w:t>
      </w:r>
    </w:p>
    <w:p w14:paraId="56AD38F9" w14:textId="77777777" w:rsidR="0018433B" w:rsidRDefault="0018433B" w:rsidP="0018433B">
      <w:pPr>
        <w:pStyle w:val="Style"/>
        <w:widowControl/>
        <w:tabs>
          <w:tab w:val="left" w:pos="3600"/>
          <w:tab w:val="left" w:pos="3960"/>
          <w:tab w:val="left" w:pos="4320"/>
          <w:tab w:val="left" w:pos="4680"/>
          <w:tab w:val="left" w:pos="5040"/>
        </w:tabs>
        <w:jc w:val="both"/>
        <w:textAlignment w:val="baseline"/>
        <w:rPr>
          <w:szCs w:val="25"/>
        </w:rPr>
      </w:pPr>
      <w:r>
        <w:rPr>
          <w:szCs w:val="25"/>
        </w:rPr>
        <w:tab/>
      </w:r>
      <w:r>
        <w:rPr>
          <w:szCs w:val="25"/>
        </w:rPr>
        <w:tab/>
      </w:r>
      <w:r>
        <w:rPr>
          <w:szCs w:val="25"/>
        </w:rPr>
        <w:tab/>
      </w:r>
      <w:r>
        <w:rPr>
          <w:szCs w:val="25"/>
        </w:rPr>
        <w:tab/>
        <w:t>b</w:t>
      </w:r>
      <w:r w:rsidRPr="00B51852">
        <w:rPr>
          <w:szCs w:val="25"/>
        </w:rPr>
        <w:t>)</w:t>
      </w:r>
      <w:r>
        <w:rPr>
          <w:szCs w:val="25"/>
        </w:rPr>
        <w:tab/>
        <w:t>21</w:t>
      </w:r>
    </w:p>
    <w:p w14:paraId="4E6F7B07" w14:textId="77777777" w:rsidR="0018433B" w:rsidRPr="00B51852" w:rsidRDefault="0018433B" w:rsidP="0018433B">
      <w:pPr>
        <w:pStyle w:val="Style"/>
        <w:widowControl/>
        <w:tabs>
          <w:tab w:val="left" w:pos="3600"/>
          <w:tab w:val="left" w:pos="3960"/>
          <w:tab w:val="left" w:pos="4320"/>
          <w:tab w:val="left" w:pos="4680"/>
          <w:tab w:val="left" w:pos="5040"/>
        </w:tabs>
        <w:jc w:val="both"/>
        <w:textAlignment w:val="baseline"/>
        <w:rPr>
          <w:szCs w:val="25"/>
        </w:rPr>
      </w:pPr>
      <w:r>
        <w:rPr>
          <w:szCs w:val="25"/>
        </w:rPr>
        <w:tab/>
      </w:r>
      <w:r>
        <w:rPr>
          <w:szCs w:val="25"/>
        </w:rPr>
        <w:tab/>
      </w:r>
      <w:r>
        <w:rPr>
          <w:szCs w:val="25"/>
        </w:rPr>
        <w:tab/>
        <w:t>2)</w:t>
      </w:r>
      <w:r>
        <w:rPr>
          <w:szCs w:val="25"/>
        </w:rPr>
        <w:tab/>
      </w:r>
      <w:r w:rsidRPr="00B51852">
        <w:rPr>
          <w:szCs w:val="25"/>
        </w:rPr>
        <w:t>22-23</w:t>
      </w:r>
    </w:p>
    <w:p w14:paraId="25CF9BD4" w14:textId="77777777" w:rsidR="0018433B" w:rsidRPr="00B51852" w:rsidRDefault="0018433B" w:rsidP="0018433B">
      <w:pPr>
        <w:pStyle w:val="Style"/>
        <w:widowControl/>
        <w:tabs>
          <w:tab w:val="left" w:pos="3600"/>
          <w:tab w:val="left" w:pos="3960"/>
          <w:tab w:val="left" w:pos="4320"/>
          <w:tab w:val="left" w:pos="4680"/>
          <w:tab w:val="left" w:pos="5040"/>
        </w:tabs>
        <w:jc w:val="both"/>
        <w:textAlignment w:val="baseline"/>
        <w:rPr>
          <w:szCs w:val="25"/>
        </w:rPr>
      </w:pPr>
      <w:r>
        <w:rPr>
          <w:szCs w:val="25"/>
        </w:rPr>
        <w:lastRenderedPageBreak/>
        <w:tab/>
      </w:r>
      <w:r>
        <w:rPr>
          <w:szCs w:val="25"/>
        </w:rPr>
        <w:tab/>
        <w:t>b.</w:t>
      </w:r>
      <w:r>
        <w:rPr>
          <w:szCs w:val="25"/>
        </w:rPr>
        <w:tab/>
      </w:r>
      <w:r w:rsidRPr="00B51852">
        <w:rPr>
          <w:szCs w:val="25"/>
        </w:rPr>
        <w:t>24-26</w:t>
      </w:r>
    </w:p>
    <w:p w14:paraId="2899D727" w14:textId="77777777" w:rsidR="0018433B" w:rsidRPr="00B51852" w:rsidRDefault="0018433B" w:rsidP="0018433B">
      <w:pPr>
        <w:pStyle w:val="Style"/>
        <w:widowControl/>
        <w:tabs>
          <w:tab w:val="left" w:pos="3600"/>
          <w:tab w:val="left" w:pos="3960"/>
          <w:tab w:val="left" w:pos="4320"/>
          <w:tab w:val="left" w:pos="4680"/>
          <w:tab w:val="left" w:pos="5040"/>
        </w:tabs>
        <w:jc w:val="both"/>
        <w:textAlignment w:val="baseline"/>
        <w:rPr>
          <w:szCs w:val="25"/>
        </w:rPr>
      </w:pPr>
      <w:r>
        <w:rPr>
          <w:szCs w:val="25"/>
        </w:rPr>
        <w:tab/>
      </w:r>
      <w:r>
        <w:rPr>
          <w:szCs w:val="25"/>
        </w:rPr>
        <w:tab/>
      </w:r>
      <w:r>
        <w:rPr>
          <w:szCs w:val="25"/>
        </w:rPr>
        <w:tab/>
        <w:t>1)</w:t>
      </w:r>
      <w:r>
        <w:rPr>
          <w:szCs w:val="25"/>
        </w:rPr>
        <w:tab/>
      </w:r>
      <w:r w:rsidRPr="00B51852">
        <w:rPr>
          <w:szCs w:val="25"/>
        </w:rPr>
        <w:t>24-25</w:t>
      </w:r>
    </w:p>
    <w:p w14:paraId="30DFC36B" w14:textId="77777777" w:rsidR="0018433B" w:rsidRDefault="0018433B" w:rsidP="0018433B">
      <w:pPr>
        <w:pStyle w:val="Style"/>
        <w:widowControl/>
        <w:tabs>
          <w:tab w:val="left" w:pos="3600"/>
          <w:tab w:val="left" w:pos="3960"/>
          <w:tab w:val="left" w:pos="4320"/>
          <w:tab w:val="left" w:pos="4680"/>
          <w:tab w:val="left" w:pos="5040"/>
        </w:tabs>
        <w:jc w:val="both"/>
        <w:textAlignment w:val="baseline"/>
        <w:rPr>
          <w:szCs w:val="25"/>
        </w:rPr>
      </w:pPr>
      <w:r>
        <w:rPr>
          <w:szCs w:val="25"/>
        </w:rPr>
        <w:tab/>
      </w:r>
      <w:r>
        <w:rPr>
          <w:szCs w:val="25"/>
        </w:rPr>
        <w:tab/>
      </w:r>
      <w:r>
        <w:rPr>
          <w:szCs w:val="25"/>
        </w:rPr>
        <w:tab/>
      </w:r>
      <w:r>
        <w:rPr>
          <w:szCs w:val="25"/>
        </w:rPr>
        <w:tab/>
        <w:t>a)</w:t>
      </w:r>
      <w:r>
        <w:rPr>
          <w:szCs w:val="25"/>
        </w:rPr>
        <w:tab/>
        <w:t>24</w:t>
      </w:r>
    </w:p>
    <w:p w14:paraId="1358A7F5" w14:textId="77777777" w:rsidR="0018433B" w:rsidRDefault="0018433B" w:rsidP="0018433B">
      <w:pPr>
        <w:pStyle w:val="Style"/>
        <w:widowControl/>
        <w:tabs>
          <w:tab w:val="left" w:pos="3600"/>
          <w:tab w:val="left" w:pos="3960"/>
          <w:tab w:val="left" w:pos="4320"/>
          <w:tab w:val="left" w:pos="4680"/>
          <w:tab w:val="left" w:pos="5040"/>
        </w:tabs>
        <w:jc w:val="both"/>
        <w:textAlignment w:val="baseline"/>
        <w:rPr>
          <w:szCs w:val="25"/>
        </w:rPr>
      </w:pPr>
      <w:r>
        <w:rPr>
          <w:szCs w:val="25"/>
        </w:rPr>
        <w:tab/>
      </w:r>
      <w:r>
        <w:rPr>
          <w:szCs w:val="25"/>
        </w:rPr>
        <w:tab/>
      </w:r>
      <w:r>
        <w:rPr>
          <w:szCs w:val="25"/>
        </w:rPr>
        <w:tab/>
      </w:r>
      <w:r>
        <w:rPr>
          <w:szCs w:val="25"/>
        </w:rPr>
        <w:tab/>
        <w:t>b)</w:t>
      </w:r>
      <w:r>
        <w:rPr>
          <w:szCs w:val="25"/>
        </w:rPr>
        <w:tab/>
        <w:t>25</w:t>
      </w:r>
    </w:p>
    <w:p w14:paraId="4B300B70" w14:textId="77777777" w:rsidR="0018433B" w:rsidRPr="00B51852" w:rsidRDefault="0018433B" w:rsidP="0018433B">
      <w:pPr>
        <w:pStyle w:val="Style"/>
        <w:widowControl/>
        <w:tabs>
          <w:tab w:val="left" w:pos="3600"/>
          <w:tab w:val="left" w:pos="3960"/>
          <w:tab w:val="left" w:pos="4320"/>
          <w:tab w:val="left" w:pos="4680"/>
          <w:tab w:val="left" w:pos="5040"/>
        </w:tabs>
        <w:jc w:val="both"/>
        <w:textAlignment w:val="baseline"/>
        <w:rPr>
          <w:szCs w:val="25"/>
        </w:rPr>
      </w:pPr>
      <w:r>
        <w:rPr>
          <w:szCs w:val="25"/>
        </w:rPr>
        <w:tab/>
      </w:r>
      <w:r>
        <w:rPr>
          <w:szCs w:val="25"/>
        </w:rPr>
        <w:tab/>
      </w:r>
      <w:r>
        <w:rPr>
          <w:szCs w:val="25"/>
        </w:rPr>
        <w:tab/>
        <w:t>2)</w:t>
      </w:r>
      <w:r>
        <w:rPr>
          <w:szCs w:val="25"/>
        </w:rPr>
        <w:tab/>
      </w:r>
      <w:r w:rsidRPr="00B51852">
        <w:rPr>
          <w:szCs w:val="25"/>
        </w:rPr>
        <w:t>26</w:t>
      </w:r>
    </w:p>
    <w:p w14:paraId="0D33B2B0" w14:textId="77777777" w:rsidR="0018433B" w:rsidRDefault="0018433B" w:rsidP="0018433B">
      <w:pPr>
        <w:pStyle w:val="Style"/>
        <w:widowControl/>
        <w:jc w:val="both"/>
        <w:textAlignment w:val="baseline"/>
        <w:rPr>
          <w:szCs w:val="23"/>
        </w:rPr>
      </w:pPr>
    </w:p>
    <w:p w14:paraId="135ACC1A" w14:textId="77777777" w:rsidR="0018433B" w:rsidRDefault="0018433B" w:rsidP="0018433B">
      <w:pPr>
        <w:pStyle w:val="Style"/>
        <w:widowControl/>
        <w:jc w:val="center"/>
        <w:textAlignment w:val="baseline"/>
        <w:rPr>
          <w:szCs w:val="23"/>
        </w:rPr>
      </w:pPr>
      <w:r>
        <w:rPr>
          <w:szCs w:val="23"/>
        </w:rPr>
        <w:t>—————</w:t>
      </w:r>
    </w:p>
    <w:p w14:paraId="1D54C3D6" w14:textId="77777777" w:rsidR="0018433B" w:rsidRDefault="0018433B" w:rsidP="0018433B">
      <w:pPr>
        <w:pStyle w:val="Style"/>
        <w:widowControl/>
        <w:jc w:val="both"/>
        <w:textAlignment w:val="baseline"/>
        <w:rPr>
          <w:szCs w:val="23"/>
        </w:rPr>
      </w:pPr>
    </w:p>
    <w:p w14:paraId="57E999AB" w14:textId="2A7C617D" w:rsidR="0018433B" w:rsidRPr="002E0FF6" w:rsidRDefault="0018433B" w:rsidP="0018433B">
      <w:pPr>
        <w:pStyle w:val="Style"/>
        <w:widowControl/>
        <w:jc w:val="both"/>
        <w:textAlignment w:val="baseline"/>
        <w:rPr>
          <w:szCs w:val="23"/>
        </w:rPr>
      </w:pPr>
      <w:r>
        <w:rPr>
          <w:szCs w:val="23"/>
        </w:rPr>
        <w:tab/>
      </w:r>
      <w:r w:rsidRPr="00B51852">
        <w:rPr>
          <w:szCs w:val="25"/>
        </w:rPr>
        <w:t>We now begin our consideration of other verses in the sermon on the plain whose unity is accepted by all</w:t>
      </w:r>
      <w:r w:rsidR="006F304D" w:rsidRPr="006F304D">
        <w:rPr>
          <w:szCs w:val="25"/>
        </w:rPr>
        <w:t xml:space="preserve">, </w:t>
      </w:r>
      <w:r w:rsidRPr="00B51852">
        <w:rPr>
          <w:szCs w:val="25"/>
        </w:rPr>
        <w:t>or almost all</w:t>
      </w:r>
      <w:r w:rsidR="006F304D" w:rsidRPr="006F304D">
        <w:rPr>
          <w:szCs w:val="25"/>
        </w:rPr>
        <w:t xml:space="preserve">, </w:t>
      </w:r>
      <w:r w:rsidRPr="00B51852">
        <w:rPr>
          <w:szCs w:val="25"/>
        </w:rPr>
        <w:t>com</w:t>
      </w:r>
      <w:r>
        <w:rPr>
          <w:szCs w:val="25"/>
        </w:rPr>
        <w:t>mentators. Unlike verses 20b-26</w:t>
      </w:r>
      <w:r w:rsidRPr="00B51852">
        <w:rPr>
          <w:szCs w:val="25"/>
        </w:rPr>
        <w:t xml:space="preserve"> </w:t>
      </w:r>
      <w:r>
        <w:rPr>
          <w:szCs w:val="25"/>
        </w:rPr>
        <w:t>(</w:t>
      </w:r>
      <w:r w:rsidRPr="00B51852">
        <w:rPr>
          <w:szCs w:val="25"/>
        </w:rPr>
        <w:t>beatitudes and woes</w:t>
      </w:r>
      <w:r>
        <w:rPr>
          <w:szCs w:val="25"/>
        </w:rPr>
        <w:t>)</w:t>
      </w:r>
      <w:r w:rsidR="006F304D" w:rsidRPr="006F304D">
        <w:rPr>
          <w:szCs w:val="25"/>
        </w:rPr>
        <w:t xml:space="preserve">, </w:t>
      </w:r>
      <w:r w:rsidRPr="00B51852">
        <w:rPr>
          <w:szCs w:val="25"/>
        </w:rPr>
        <w:t>the remaining instances of unity affirmed by commentators do not form major sections in themselves. Rather</w:t>
      </w:r>
      <w:r w:rsidR="006F304D" w:rsidRPr="006F304D">
        <w:rPr>
          <w:szCs w:val="25"/>
        </w:rPr>
        <w:t xml:space="preserve">, </w:t>
      </w:r>
      <w:r w:rsidRPr="00B51852">
        <w:rPr>
          <w:szCs w:val="25"/>
        </w:rPr>
        <w:t>they are small units</w:t>
      </w:r>
      <w:r w:rsidR="006F304D" w:rsidRPr="006F304D">
        <w:rPr>
          <w:szCs w:val="25"/>
        </w:rPr>
        <w:t xml:space="preserve">, </w:t>
      </w:r>
      <w:r w:rsidRPr="00B51852">
        <w:rPr>
          <w:szCs w:val="25"/>
        </w:rPr>
        <w:t xml:space="preserve">of </w:t>
      </w:r>
      <w:r>
        <w:rPr>
          <w:szCs w:val="25"/>
        </w:rPr>
        <w:t xml:space="preserve">about </w:t>
      </w:r>
      <w:r w:rsidRPr="00B51852">
        <w:rPr>
          <w:szCs w:val="25"/>
        </w:rPr>
        <w:t xml:space="preserve">two </w:t>
      </w:r>
      <w:r>
        <w:rPr>
          <w:szCs w:val="25"/>
        </w:rPr>
        <w:t xml:space="preserve">or three </w:t>
      </w:r>
      <w:r w:rsidRPr="00B51852">
        <w:rPr>
          <w:szCs w:val="25"/>
        </w:rPr>
        <w:t>verses: 27-28</w:t>
      </w:r>
      <w:r w:rsidR="006F304D" w:rsidRPr="006F304D">
        <w:rPr>
          <w:szCs w:val="25"/>
        </w:rPr>
        <w:t xml:space="preserve">, </w:t>
      </w:r>
      <w:r w:rsidRPr="00B51852">
        <w:rPr>
          <w:szCs w:val="25"/>
        </w:rPr>
        <w:t>29-30</w:t>
      </w:r>
      <w:r w:rsidR="006F304D" w:rsidRPr="006F304D">
        <w:rPr>
          <w:szCs w:val="25"/>
        </w:rPr>
        <w:t xml:space="preserve">, </w:t>
      </w:r>
      <w:r w:rsidRPr="00B51852">
        <w:rPr>
          <w:szCs w:val="25"/>
        </w:rPr>
        <w:t>32-34</w:t>
      </w:r>
      <w:r w:rsidR="006F304D" w:rsidRPr="006F304D">
        <w:rPr>
          <w:szCs w:val="25"/>
        </w:rPr>
        <w:t xml:space="preserve">, </w:t>
      </w:r>
      <w:r w:rsidRPr="00B51852">
        <w:rPr>
          <w:szCs w:val="25"/>
        </w:rPr>
        <w:t>37-38a</w:t>
      </w:r>
      <w:r w:rsidR="006F304D" w:rsidRPr="006F304D">
        <w:rPr>
          <w:szCs w:val="25"/>
        </w:rPr>
        <w:t xml:space="preserve">, </w:t>
      </w:r>
      <w:r w:rsidRPr="00B51852">
        <w:rPr>
          <w:szCs w:val="25"/>
        </w:rPr>
        <w:t>39b-40</w:t>
      </w:r>
      <w:r w:rsidR="006F304D" w:rsidRPr="006F304D">
        <w:rPr>
          <w:szCs w:val="25"/>
        </w:rPr>
        <w:t xml:space="preserve">, </w:t>
      </w:r>
      <w:r w:rsidRPr="00B51852">
        <w:rPr>
          <w:szCs w:val="25"/>
        </w:rPr>
        <w:t>41-42</w:t>
      </w:r>
      <w:r w:rsidR="006F304D" w:rsidRPr="006F304D">
        <w:rPr>
          <w:szCs w:val="25"/>
        </w:rPr>
        <w:t xml:space="preserve">, </w:t>
      </w:r>
      <w:r w:rsidRPr="00B51852">
        <w:rPr>
          <w:szCs w:val="25"/>
        </w:rPr>
        <w:t>43-44</w:t>
      </w:r>
      <w:r w:rsidR="006F304D" w:rsidRPr="006F304D">
        <w:rPr>
          <w:szCs w:val="25"/>
        </w:rPr>
        <w:t xml:space="preserve">, </w:t>
      </w:r>
      <w:r w:rsidRPr="00B51852">
        <w:rPr>
          <w:szCs w:val="25"/>
        </w:rPr>
        <w:t>and 47-49.</w:t>
      </w:r>
    </w:p>
    <w:p w14:paraId="37B9266A" w14:textId="77777777" w:rsidR="0018433B" w:rsidRDefault="0018433B" w:rsidP="0018433B">
      <w:pPr>
        <w:pStyle w:val="Style"/>
        <w:widowControl/>
        <w:jc w:val="both"/>
        <w:textAlignment w:val="baseline"/>
        <w:rPr>
          <w:szCs w:val="25"/>
        </w:rPr>
      </w:pPr>
    </w:p>
    <w:p w14:paraId="55037C8F" w14:textId="77777777" w:rsidR="0018433B" w:rsidRPr="00B51852" w:rsidRDefault="0018433B" w:rsidP="0018433B">
      <w:pPr>
        <w:pStyle w:val="Style"/>
        <w:widowControl/>
        <w:jc w:val="both"/>
        <w:textAlignment w:val="baseline"/>
        <w:rPr>
          <w:szCs w:val="25"/>
        </w:rPr>
      </w:pPr>
      <w:r>
        <w:rPr>
          <w:szCs w:val="25"/>
        </w:rPr>
        <w:tab/>
      </w:r>
      <w:r w:rsidRPr="002E0FF6">
        <w:rPr>
          <w:b/>
          <w:szCs w:val="23"/>
        </w:rPr>
        <w:t>Luke 6</w:t>
      </w:r>
      <w:r w:rsidRPr="00B51852">
        <w:rPr>
          <w:szCs w:val="23"/>
        </w:rPr>
        <w:t>:</w:t>
      </w:r>
      <w:r w:rsidRPr="002E0FF6">
        <w:rPr>
          <w:b/>
          <w:szCs w:val="23"/>
        </w:rPr>
        <w:t>27-28</w:t>
      </w:r>
      <w:r w:rsidRPr="00B51852">
        <w:rPr>
          <w:szCs w:val="23"/>
        </w:rPr>
        <w:t xml:space="preserve">. </w:t>
      </w:r>
      <w:r>
        <w:rPr>
          <w:szCs w:val="25"/>
        </w:rPr>
        <w:t>These v</w:t>
      </w:r>
      <w:r w:rsidRPr="00B51852">
        <w:rPr>
          <w:szCs w:val="25"/>
        </w:rPr>
        <w:t>erses read:</w:t>
      </w:r>
    </w:p>
    <w:p w14:paraId="01CE61CE" w14:textId="77777777" w:rsidR="0018433B" w:rsidRDefault="0018433B" w:rsidP="0018433B">
      <w:pPr>
        <w:pStyle w:val="Style"/>
        <w:widowControl/>
        <w:jc w:val="both"/>
        <w:textAlignment w:val="baseline"/>
        <w:rPr>
          <w:szCs w:val="25"/>
        </w:rPr>
      </w:pPr>
    </w:p>
    <w:p w14:paraId="658AC5DE" w14:textId="77777777" w:rsidR="0018433B" w:rsidRPr="00B51852" w:rsidRDefault="0018433B" w:rsidP="0018433B">
      <w:pPr>
        <w:pStyle w:val="Style"/>
        <w:widowControl/>
        <w:ind w:left="720"/>
        <w:jc w:val="both"/>
        <w:textAlignment w:val="baseline"/>
        <w:rPr>
          <w:szCs w:val="25"/>
        </w:rPr>
      </w:pPr>
      <w:r w:rsidRPr="00B51852">
        <w:rPr>
          <w:szCs w:val="25"/>
        </w:rPr>
        <w:t>27a</w:t>
      </w:r>
      <w:r>
        <w:rPr>
          <w:szCs w:val="25"/>
        </w:rPr>
        <w:tab/>
      </w:r>
      <w:r w:rsidRPr="00CE06CA">
        <w:rPr>
          <w:bCs/>
          <w:szCs w:val="22"/>
          <w:lang w:val="el-GR"/>
        </w:rPr>
        <w:t>Ἀλλὰ ὑμῖν λέγω τοῖς ἀκούουσιν·</w:t>
      </w:r>
    </w:p>
    <w:p w14:paraId="17D5D209" w14:textId="77777777" w:rsidR="0018433B" w:rsidRPr="00B51852" w:rsidRDefault="0018433B" w:rsidP="0018433B">
      <w:pPr>
        <w:pStyle w:val="Style"/>
        <w:widowControl/>
        <w:ind w:left="720"/>
        <w:jc w:val="both"/>
        <w:textAlignment w:val="baseline"/>
        <w:rPr>
          <w:szCs w:val="25"/>
        </w:rPr>
      </w:pPr>
      <w:r w:rsidRPr="00B51852">
        <w:rPr>
          <w:szCs w:val="25"/>
        </w:rPr>
        <w:t>27b</w:t>
      </w:r>
      <w:r>
        <w:rPr>
          <w:szCs w:val="25"/>
        </w:rPr>
        <w:tab/>
      </w:r>
      <w:r w:rsidRPr="00CE06CA">
        <w:rPr>
          <w:bCs/>
          <w:szCs w:val="22"/>
          <w:lang w:val="el-GR"/>
        </w:rPr>
        <w:t>ἀγαπᾶτε τοὺς ἐχθροὺς ὑμῶν,</w:t>
      </w:r>
    </w:p>
    <w:p w14:paraId="00E75B78" w14:textId="77777777" w:rsidR="0018433B" w:rsidRPr="00B51852" w:rsidRDefault="0018433B" w:rsidP="0018433B">
      <w:pPr>
        <w:pStyle w:val="Style"/>
        <w:widowControl/>
        <w:ind w:left="720"/>
        <w:jc w:val="both"/>
        <w:textAlignment w:val="baseline"/>
        <w:rPr>
          <w:iCs/>
          <w:szCs w:val="25"/>
        </w:rPr>
      </w:pPr>
      <w:r w:rsidRPr="00B51852">
        <w:rPr>
          <w:szCs w:val="25"/>
        </w:rPr>
        <w:t>27c</w:t>
      </w:r>
      <w:r>
        <w:rPr>
          <w:szCs w:val="25"/>
        </w:rPr>
        <w:tab/>
      </w:r>
      <w:r w:rsidRPr="00CE06CA">
        <w:rPr>
          <w:bCs/>
          <w:szCs w:val="22"/>
          <w:lang w:val="el-GR"/>
        </w:rPr>
        <w:t>καλῶς ποιεῖτε τοῖς μισοῦσιν ὑμᾶς,</w:t>
      </w:r>
    </w:p>
    <w:p w14:paraId="46ACC6E9" w14:textId="77777777" w:rsidR="0018433B" w:rsidRPr="00B51852" w:rsidRDefault="0018433B" w:rsidP="0018433B">
      <w:pPr>
        <w:pStyle w:val="Style"/>
        <w:widowControl/>
        <w:ind w:left="720"/>
        <w:jc w:val="both"/>
        <w:textAlignment w:val="baseline"/>
        <w:rPr>
          <w:iCs/>
          <w:szCs w:val="25"/>
        </w:rPr>
      </w:pPr>
      <w:r w:rsidRPr="00B51852">
        <w:t>28a</w:t>
      </w:r>
      <w:r>
        <w:rPr>
          <w:szCs w:val="25"/>
        </w:rPr>
        <w:tab/>
      </w:r>
      <w:r w:rsidRPr="00CE06CA">
        <w:rPr>
          <w:bCs/>
          <w:szCs w:val="22"/>
          <w:lang w:val="el-GR"/>
        </w:rPr>
        <w:t>εὐλογεῖτε τοὺς καταρωμένους ὑμᾶς,</w:t>
      </w:r>
    </w:p>
    <w:p w14:paraId="6D57BAF3" w14:textId="77777777" w:rsidR="0018433B" w:rsidRPr="00B51852" w:rsidRDefault="0018433B" w:rsidP="0018433B">
      <w:pPr>
        <w:pStyle w:val="Style"/>
        <w:widowControl/>
        <w:ind w:left="720"/>
        <w:jc w:val="both"/>
        <w:textAlignment w:val="baseline"/>
        <w:rPr>
          <w:iCs/>
          <w:szCs w:val="25"/>
        </w:rPr>
      </w:pPr>
      <w:r w:rsidRPr="00B51852">
        <w:rPr>
          <w:szCs w:val="25"/>
        </w:rPr>
        <w:t>28b</w:t>
      </w:r>
      <w:r>
        <w:rPr>
          <w:szCs w:val="25"/>
        </w:rPr>
        <w:tab/>
      </w:r>
      <w:r w:rsidRPr="00CE06CA">
        <w:rPr>
          <w:bCs/>
          <w:szCs w:val="22"/>
          <w:lang w:val="el-GR"/>
        </w:rPr>
        <w:t>προσεύχεσθε περὶ τῶν ἐπηρεαζόντων ὑμᾶς.</w:t>
      </w:r>
    </w:p>
    <w:p w14:paraId="59ABED91" w14:textId="77777777" w:rsidR="0018433B" w:rsidRDefault="0018433B" w:rsidP="0018433B">
      <w:pPr>
        <w:pStyle w:val="Style"/>
        <w:widowControl/>
        <w:jc w:val="both"/>
        <w:textAlignment w:val="baseline"/>
        <w:rPr>
          <w:szCs w:val="37"/>
        </w:rPr>
      </w:pPr>
    </w:p>
    <w:p w14:paraId="33C5C618" w14:textId="77777777" w:rsidR="0018433B" w:rsidRPr="00B51852" w:rsidRDefault="0018433B" w:rsidP="0018433B">
      <w:pPr>
        <w:pStyle w:val="Style"/>
        <w:widowControl/>
        <w:ind w:left="720"/>
        <w:jc w:val="both"/>
        <w:textAlignment w:val="baseline"/>
        <w:rPr>
          <w:szCs w:val="25"/>
        </w:rPr>
      </w:pPr>
      <w:r w:rsidRPr="00B51852">
        <w:rPr>
          <w:szCs w:val="25"/>
        </w:rPr>
        <w:t>27a</w:t>
      </w:r>
      <w:r>
        <w:rPr>
          <w:szCs w:val="25"/>
        </w:rPr>
        <w:tab/>
      </w:r>
      <w:r w:rsidRPr="00CD75A6">
        <w:t>But I say to you that listen,</w:t>
      </w:r>
    </w:p>
    <w:p w14:paraId="454D4835" w14:textId="77777777" w:rsidR="0018433B" w:rsidRPr="00B51852" w:rsidRDefault="0018433B" w:rsidP="0018433B">
      <w:pPr>
        <w:pStyle w:val="Style"/>
        <w:widowControl/>
        <w:ind w:left="720"/>
        <w:jc w:val="both"/>
        <w:textAlignment w:val="baseline"/>
        <w:rPr>
          <w:szCs w:val="25"/>
        </w:rPr>
      </w:pPr>
      <w:r w:rsidRPr="00B51852">
        <w:rPr>
          <w:szCs w:val="25"/>
        </w:rPr>
        <w:t>27b</w:t>
      </w:r>
      <w:r>
        <w:rPr>
          <w:szCs w:val="25"/>
        </w:rPr>
        <w:tab/>
      </w:r>
      <w:r w:rsidRPr="00CD75A6">
        <w:t>Love your enemies,</w:t>
      </w:r>
    </w:p>
    <w:p w14:paraId="40D7E9A7" w14:textId="77777777" w:rsidR="0018433B" w:rsidRPr="00B51852" w:rsidRDefault="0018433B" w:rsidP="0018433B">
      <w:pPr>
        <w:pStyle w:val="Style"/>
        <w:widowControl/>
        <w:ind w:left="720"/>
        <w:jc w:val="both"/>
        <w:textAlignment w:val="baseline"/>
        <w:rPr>
          <w:iCs/>
          <w:szCs w:val="25"/>
        </w:rPr>
      </w:pPr>
      <w:r w:rsidRPr="00B51852">
        <w:rPr>
          <w:szCs w:val="25"/>
        </w:rPr>
        <w:t>27c</w:t>
      </w:r>
      <w:r>
        <w:rPr>
          <w:szCs w:val="25"/>
        </w:rPr>
        <w:tab/>
      </w:r>
      <w:r w:rsidRPr="00CD75A6">
        <w:t>do good to those who hate you,</w:t>
      </w:r>
    </w:p>
    <w:p w14:paraId="362B81B0" w14:textId="77777777" w:rsidR="0018433B" w:rsidRPr="00B51852" w:rsidRDefault="0018433B" w:rsidP="0018433B">
      <w:pPr>
        <w:pStyle w:val="Style"/>
        <w:widowControl/>
        <w:ind w:left="720"/>
        <w:jc w:val="both"/>
        <w:textAlignment w:val="baseline"/>
        <w:rPr>
          <w:iCs/>
          <w:szCs w:val="25"/>
        </w:rPr>
      </w:pPr>
      <w:r w:rsidRPr="00B51852">
        <w:t>28a</w:t>
      </w:r>
      <w:r>
        <w:rPr>
          <w:szCs w:val="25"/>
        </w:rPr>
        <w:tab/>
      </w:r>
      <w:r w:rsidRPr="00CD75A6">
        <w:t>bless those who curse you,</w:t>
      </w:r>
    </w:p>
    <w:p w14:paraId="3E1B047F" w14:textId="77777777" w:rsidR="0018433B" w:rsidRPr="00B51852" w:rsidRDefault="0018433B" w:rsidP="0018433B">
      <w:pPr>
        <w:pStyle w:val="Style"/>
        <w:widowControl/>
        <w:ind w:left="720"/>
        <w:jc w:val="both"/>
        <w:textAlignment w:val="baseline"/>
        <w:rPr>
          <w:iCs/>
          <w:szCs w:val="25"/>
        </w:rPr>
      </w:pPr>
      <w:r w:rsidRPr="00B51852">
        <w:rPr>
          <w:szCs w:val="25"/>
        </w:rPr>
        <w:t>28b</w:t>
      </w:r>
      <w:r>
        <w:rPr>
          <w:szCs w:val="25"/>
        </w:rPr>
        <w:tab/>
      </w:r>
      <w:r w:rsidRPr="00CD75A6">
        <w:t>pray for those who abuse you.</w:t>
      </w:r>
    </w:p>
    <w:p w14:paraId="2D884186" w14:textId="77777777" w:rsidR="0018433B" w:rsidRDefault="0018433B" w:rsidP="0018433B">
      <w:pPr>
        <w:pStyle w:val="Style"/>
        <w:widowControl/>
        <w:jc w:val="both"/>
        <w:textAlignment w:val="baseline"/>
        <w:rPr>
          <w:szCs w:val="37"/>
        </w:rPr>
      </w:pPr>
    </w:p>
    <w:p w14:paraId="5F466CCC" w14:textId="3E6AC0D9" w:rsidR="0018433B" w:rsidRPr="00B51852" w:rsidRDefault="0018433B" w:rsidP="0018433B">
      <w:pPr>
        <w:pStyle w:val="Style"/>
        <w:widowControl/>
        <w:jc w:val="both"/>
        <w:textAlignment w:val="baseline"/>
        <w:rPr>
          <w:szCs w:val="25"/>
        </w:rPr>
      </w:pPr>
      <w:r>
        <w:rPr>
          <w:szCs w:val="25"/>
        </w:rPr>
        <w:tab/>
      </w:r>
      <w:r w:rsidRPr="00B51852">
        <w:rPr>
          <w:szCs w:val="25"/>
        </w:rPr>
        <w:t>Once again we may distinguish between an introductory comment</w:t>
      </w:r>
      <w:r w:rsidR="006F304D" w:rsidRPr="006F304D">
        <w:rPr>
          <w:szCs w:val="25"/>
        </w:rPr>
        <w:t xml:space="preserve">, </w:t>
      </w:r>
      <w:r w:rsidRPr="00B51852">
        <w:rPr>
          <w:szCs w:val="25"/>
        </w:rPr>
        <w:t>verse 27a</w:t>
      </w:r>
      <w:r w:rsidR="006F304D" w:rsidRPr="006F304D">
        <w:rPr>
          <w:szCs w:val="25"/>
        </w:rPr>
        <w:t xml:space="preserve">, </w:t>
      </w:r>
      <w:r w:rsidRPr="00B51852">
        <w:rPr>
          <w:szCs w:val="25"/>
        </w:rPr>
        <w:t>and the following clauses</w:t>
      </w:r>
      <w:r w:rsidR="006F304D" w:rsidRPr="006F304D">
        <w:rPr>
          <w:szCs w:val="25"/>
        </w:rPr>
        <w:t xml:space="preserve">, </w:t>
      </w:r>
      <w:r w:rsidRPr="00B51852">
        <w:rPr>
          <w:szCs w:val="25"/>
        </w:rPr>
        <w:t>verses 27b-28. It seems unlikely that 27a is an introduction only to 27b-28</w:t>
      </w:r>
      <w:r w:rsidR="006F304D" w:rsidRPr="006F304D">
        <w:rPr>
          <w:szCs w:val="25"/>
        </w:rPr>
        <w:t xml:space="preserve">, </w:t>
      </w:r>
      <w:r w:rsidRPr="00B51852">
        <w:rPr>
          <w:szCs w:val="25"/>
        </w:rPr>
        <w:t>since it indicates a change from the pronouncing of woes to the presentation of love of enemies</w:t>
      </w:r>
      <w:r w:rsidR="006F304D" w:rsidRPr="006F304D">
        <w:rPr>
          <w:szCs w:val="25"/>
        </w:rPr>
        <w:t xml:space="preserve">, </w:t>
      </w:r>
      <w:r w:rsidRPr="00B51852">
        <w:rPr>
          <w:szCs w:val="25"/>
        </w:rPr>
        <w:t>and this new subject extends beyond 27b-28. Exactly where the section on love of enemies ends is</w:t>
      </w:r>
      <w:r w:rsidR="006F304D" w:rsidRPr="006F304D">
        <w:rPr>
          <w:szCs w:val="25"/>
        </w:rPr>
        <w:t xml:space="preserve">, </w:t>
      </w:r>
      <w:r w:rsidRPr="00B51852">
        <w:rPr>
          <w:szCs w:val="25"/>
        </w:rPr>
        <w:t>as we shall see</w:t>
      </w:r>
      <w:r w:rsidR="006F304D" w:rsidRPr="006F304D">
        <w:rPr>
          <w:szCs w:val="25"/>
        </w:rPr>
        <w:t xml:space="preserve">, </w:t>
      </w:r>
      <w:r w:rsidRPr="00B51852">
        <w:rPr>
          <w:szCs w:val="25"/>
        </w:rPr>
        <w:t>debatable; but wherever it ends</w:t>
      </w:r>
      <w:r w:rsidR="006F304D" w:rsidRPr="006F304D">
        <w:rPr>
          <w:szCs w:val="25"/>
        </w:rPr>
        <w:t xml:space="preserve">, </w:t>
      </w:r>
      <w:r w:rsidRPr="00B51852">
        <w:rPr>
          <w:szCs w:val="25"/>
        </w:rPr>
        <w:t>27a should be considered introductory to that unit. Unlike 20a</w:t>
      </w:r>
      <w:r w:rsidR="006F304D" w:rsidRPr="006F304D">
        <w:rPr>
          <w:szCs w:val="25"/>
        </w:rPr>
        <w:t xml:space="preserve">, </w:t>
      </w:r>
      <w:r w:rsidRPr="00B51852">
        <w:rPr>
          <w:szCs w:val="25"/>
        </w:rPr>
        <w:t>however</w:t>
      </w:r>
      <w:r w:rsidR="006F304D" w:rsidRPr="006F304D">
        <w:rPr>
          <w:szCs w:val="25"/>
        </w:rPr>
        <w:t xml:space="preserve">, </w:t>
      </w:r>
      <w:r w:rsidRPr="00B51852">
        <w:rPr>
          <w:szCs w:val="25"/>
        </w:rPr>
        <w:t>27a has less the nature of an introductory comment which governs equally all that follows</w:t>
      </w:r>
      <w:r w:rsidR="006F304D" w:rsidRPr="006F304D">
        <w:rPr>
          <w:szCs w:val="25"/>
        </w:rPr>
        <w:t xml:space="preserve">, </w:t>
      </w:r>
      <w:r w:rsidRPr="00B51852">
        <w:rPr>
          <w:szCs w:val="25"/>
        </w:rPr>
        <w:t>than it has the nature of a transition</w:t>
      </w:r>
      <w:r w:rsidR="006F304D" w:rsidRPr="006F304D">
        <w:rPr>
          <w:szCs w:val="25"/>
        </w:rPr>
        <w:t xml:space="preserve">, </w:t>
      </w:r>
      <w:r w:rsidRPr="00B51852">
        <w:rPr>
          <w:szCs w:val="25"/>
        </w:rPr>
        <w:t>a mere hinge swinging the auditors’ attention from one subject to the next. Whereas 20a is still important when considering</w:t>
      </w:r>
      <w:r w:rsidR="006F304D" w:rsidRPr="006F304D">
        <w:rPr>
          <w:szCs w:val="25"/>
        </w:rPr>
        <w:t xml:space="preserve">, </w:t>
      </w:r>
      <w:r w:rsidRPr="00B51852">
        <w:rPr>
          <w:szCs w:val="25"/>
        </w:rPr>
        <w:t>say</w:t>
      </w:r>
      <w:r w:rsidR="006F304D" w:rsidRPr="006F304D">
        <w:rPr>
          <w:szCs w:val="25"/>
        </w:rPr>
        <w:t xml:space="preserve">, </w:t>
      </w:r>
      <w:r w:rsidRPr="00B51852">
        <w:rPr>
          <w:szCs w:val="25"/>
        </w:rPr>
        <w:t>39-40 (for it is important throughout to recall that Jesus is addressing his disciples)</w:t>
      </w:r>
      <w:r w:rsidR="006F304D" w:rsidRPr="006F304D">
        <w:rPr>
          <w:szCs w:val="25"/>
        </w:rPr>
        <w:t xml:space="preserve">, </w:t>
      </w:r>
      <w:r w:rsidRPr="00B51852">
        <w:rPr>
          <w:szCs w:val="25"/>
        </w:rPr>
        <w:t>the transition in 27a is immediately unimportant once th</w:t>
      </w:r>
      <w:r>
        <w:rPr>
          <w:szCs w:val="25"/>
        </w:rPr>
        <w:t>e transition is accomplished.</w:t>
      </w:r>
      <w:r>
        <w:rPr>
          <w:rStyle w:val="FootnoteReference"/>
          <w:szCs w:val="25"/>
        </w:rPr>
        <w:footnoteReference w:id="504"/>
      </w:r>
    </w:p>
    <w:p w14:paraId="2BC8B403" w14:textId="3294DA7F" w:rsidR="0018433B" w:rsidRPr="00B51852" w:rsidRDefault="0018433B" w:rsidP="0018433B">
      <w:pPr>
        <w:pStyle w:val="Style"/>
        <w:widowControl/>
        <w:jc w:val="both"/>
        <w:textAlignment w:val="baseline"/>
        <w:rPr>
          <w:szCs w:val="25"/>
        </w:rPr>
      </w:pPr>
      <w:r>
        <w:rPr>
          <w:szCs w:val="25"/>
        </w:rPr>
        <w:tab/>
      </w:r>
      <w:r w:rsidRPr="00B51852">
        <w:rPr>
          <w:szCs w:val="25"/>
        </w:rPr>
        <w:t>The four parallel clauses in 27-28 are justifiably a unit both on the basis of form and of content. Formally</w:t>
      </w:r>
      <w:r w:rsidR="006F304D" w:rsidRPr="006F304D">
        <w:rPr>
          <w:szCs w:val="25"/>
        </w:rPr>
        <w:t xml:space="preserve">, </w:t>
      </w:r>
      <w:r w:rsidRPr="00B51852">
        <w:rPr>
          <w:szCs w:val="25"/>
        </w:rPr>
        <w:t>each versicle (27b</w:t>
      </w:r>
      <w:r w:rsidR="006F304D" w:rsidRPr="006F304D">
        <w:rPr>
          <w:szCs w:val="25"/>
        </w:rPr>
        <w:t xml:space="preserve">, </w:t>
      </w:r>
      <w:r w:rsidRPr="00B51852">
        <w:rPr>
          <w:szCs w:val="25"/>
        </w:rPr>
        <w:t>27c</w:t>
      </w:r>
      <w:r w:rsidR="006F304D" w:rsidRPr="006F304D">
        <w:rPr>
          <w:szCs w:val="25"/>
        </w:rPr>
        <w:t xml:space="preserve">, </w:t>
      </w:r>
      <w:r w:rsidRPr="00B51852">
        <w:rPr>
          <w:szCs w:val="25"/>
        </w:rPr>
        <w:t>28a</w:t>
      </w:r>
      <w:r w:rsidR="006F304D" w:rsidRPr="006F304D">
        <w:rPr>
          <w:szCs w:val="25"/>
        </w:rPr>
        <w:t xml:space="preserve">, </w:t>
      </w:r>
      <w:r w:rsidRPr="00B51852">
        <w:rPr>
          <w:szCs w:val="25"/>
        </w:rPr>
        <w:t>28b) begins with an imperative verb</w:t>
      </w:r>
      <w:r w:rsidR="006F304D" w:rsidRPr="006F304D">
        <w:rPr>
          <w:szCs w:val="25"/>
        </w:rPr>
        <w:t xml:space="preserve">, </w:t>
      </w:r>
      <w:r w:rsidRPr="00B51852">
        <w:rPr>
          <w:szCs w:val="25"/>
        </w:rPr>
        <w:t xml:space="preserve">followed by a personal and plural object; </w:t>
      </w:r>
      <w:proofErr w:type="spellStart"/>
      <w:r w:rsidRPr="00B51852">
        <w:rPr>
          <w:szCs w:val="25"/>
        </w:rPr>
        <w:t>contentually</w:t>
      </w:r>
      <w:proofErr w:type="spellEnd"/>
      <w:r w:rsidR="006F304D" w:rsidRPr="006F304D">
        <w:rPr>
          <w:szCs w:val="25"/>
        </w:rPr>
        <w:t xml:space="preserve">, </w:t>
      </w:r>
      <w:r w:rsidRPr="00B51852">
        <w:rPr>
          <w:szCs w:val="25"/>
        </w:rPr>
        <w:t>each verb refers to an action benefitting those who are its object. We concur</w:t>
      </w:r>
      <w:r w:rsidR="006F304D" w:rsidRPr="006F304D">
        <w:rPr>
          <w:szCs w:val="25"/>
        </w:rPr>
        <w:t xml:space="preserve">, </w:t>
      </w:r>
      <w:r w:rsidRPr="00B51852">
        <w:rPr>
          <w:szCs w:val="25"/>
        </w:rPr>
        <w:t>then</w:t>
      </w:r>
      <w:r w:rsidR="006F304D" w:rsidRPr="006F304D">
        <w:rPr>
          <w:szCs w:val="25"/>
        </w:rPr>
        <w:t xml:space="preserve">, </w:t>
      </w:r>
      <w:r w:rsidRPr="00B51852">
        <w:rPr>
          <w:szCs w:val="25"/>
        </w:rPr>
        <w:t>with the commentators in considering these four clauses a unit unto themselves.</w:t>
      </w:r>
    </w:p>
    <w:p w14:paraId="4DAEB221" w14:textId="3FEFE0DB" w:rsidR="0018433B" w:rsidRPr="00B51852" w:rsidRDefault="0018433B" w:rsidP="0018433B">
      <w:pPr>
        <w:pStyle w:val="Style"/>
        <w:widowControl/>
        <w:jc w:val="both"/>
        <w:textAlignment w:val="baseline"/>
        <w:rPr>
          <w:szCs w:val="25"/>
        </w:rPr>
      </w:pPr>
      <w:r>
        <w:rPr>
          <w:szCs w:val="25"/>
        </w:rPr>
        <w:lastRenderedPageBreak/>
        <w:tab/>
      </w:r>
      <w:r w:rsidRPr="00B51852">
        <w:rPr>
          <w:szCs w:val="25"/>
        </w:rPr>
        <w:t>Nevertheless</w:t>
      </w:r>
      <w:r w:rsidR="006F304D" w:rsidRPr="006F304D">
        <w:rPr>
          <w:szCs w:val="25"/>
        </w:rPr>
        <w:t xml:space="preserve">, </w:t>
      </w:r>
      <w:r w:rsidRPr="00B51852">
        <w:rPr>
          <w:szCs w:val="25"/>
        </w:rPr>
        <w:t>it is possible to go further. Verse 27b is distinguishable from the following three versicles</w:t>
      </w:r>
      <w:r w:rsidR="006F304D" w:rsidRPr="006F304D">
        <w:rPr>
          <w:szCs w:val="25"/>
        </w:rPr>
        <w:t xml:space="preserve">, </w:t>
      </w:r>
      <w:r w:rsidRPr="00B51852">
        <w:rPr>
          <w:szCs w:val="25"/>
        </w:rPr>
        <w:t>because 27b is a gene</w:t>
      </w:r>
      <w:r>
        <w:rPr>
          <w:szCs w:val="25"/>
        </w:rPr>
        <w:t>ralization: “Love your enemies”</w:t>
      </w:r>
      <w:r w:rsidRPr="00B51852">
        <w:rPr>
          <w:szCs w:val="25"/>
        </w:rPr>
        <w:t>; 27c</w:t>
      </w:r>
      <w:r w:rsidR="006F304D" w:rsidRPr="006F304D">
        <w:rPr>
          <w:szCs w:val="25"/>
        </w:rPr>
        <w:t xml:space="preserve">, </w:t>
      </w:r>
      <w:r w:rsidRPr="00B51852">
        <w:rPr>
          <w:szCs w:val="25"/>
        </w:rPr>
        <w:t>28a</w:t>
      </w:r>
      <w:r w:rsidR="006F304D" w:rsidRPr="006F304D">
        <w:rPr>
          <w:szCs w:val="25"/>
        </w:rPr>
        <w:t xml:space="preserve">, </w:t>
      </w:r>
      <w:r w:rsidRPr="00B51852">
        <w:rPr>
          <w:szCs w:val="25"/>
        </w:rPr>
        <w:t>and 28b</w:t>
      </w:r>
      <w:r w:rsidR="006F304D" w:rsidRPr="006F304D">
        <w:rPr>
          <w:szCs w:val="25"/>
        </w:rPr>
        <w:t xml:space="preserve">, </w:t>
      </w:r>
      <w:r w:rsidRPr="00B51852">
        <w:rPr>
          <w:szCs w:val="25"/>
        </w:rPr>
        <w:t>on the other hand</w:t>
      </w:r>
      <w:r w:rsidR="006F304D" w:rsidRPr="006F304D">
        <w:rPr>
          <w:szCs w:val="25"/>
        </w:rPr>
        <w:t xml:space="preserve">, </w:t>
      </w:r>
      <w:r w:rsidRPr="00B51852">
        <w:rPr>
          <w:szCs w:val="25"/>
        </w:rPr>
        <w:t>are specifications of it: “do good to those who hate you,” “bless those who curse you,” “pray for those who abuse you.”</w:t>
      </w:r>
      <w:r>
        <w:rPr>
          <w:rStyle w:val="FootnoteReference"/>
          <w:szCs w:val="25"/>
        </w:rPr>
        <w:footnoteReference w:id="505"/>
      </w:r>
      <w:r w:rsidRPr="00B51852">
        <w:rPr>
          <w:szCs w:val="25"/>
        </w:rPr>
        <w:t xml:space="preserve"> Moreover</w:t>
      </w:r>
      <w:r w:rsidR="006F304D" w:rsidRPr="006F304D">
        <w:rPr>
          <w:szCs w:val="25"/>
        </w:rPr>
        <w:t xml:space="preserve">, </w:t>
      </w:r>
      <w:r w:rsidRPr="00B51852">
        <w:rPr>
          <w:szCs w:val="25"/>
        </w:rPr>
        <w:t>this difference is reinforced by the use of a noun in 27b (</w:t>
      </w:r>
      <w:r>
        <w:rPr>
          <w:szCs w:val="25"/>
        </w:rPr>
        <w:t>“</w:t>
      </w:r>
      <w:r w:rsidRPr="00B51852">
        <w:rPr>
          <w:szCs w:val="25"/>
        </w:rPr>
        <w:t>your enemies”),</w:t>
      </w:r>
      <w:r>
        <w:rPr>
          <w:rStyle w:val="FootnoteReference"/>
          <w:szCs w:val="25"/>
        </w:rPr>
        <w:footnoteReference w:id="506"/>
      </w:r>
      <w:r w:rsidRPr="00B51852">
        <w:rPr>
          <w:szCs w:val="25"/>
        </w:rPr>
        <w:t xml:space="preserve"> but of</w:t>
      </w:r>
      <w:r>
        <w:rPr>
          <w:szCs w:val="25"/>
        </w:rPr>
        <w:t xml:space="preserve"> </w:t>
      </w:r>
      <w:r w:rsidRPr="00B51852">
        <w:rPr>
          <w:szCs w:val="25"/>
        </w:rPr>
        <w:t>participles in 27c-28 (t</w:t>
      </w:r>
      <w:r>
        <w:rPr>
          <w:szCs w:val="25"/>
        </w:rPr>
        <w:t>hose who . . .</w:t>
      </w:r>
      <w:r w:rsidRPr="00B51852">
        <w:rPr>
          <w:szCs w:val="25"/>
        </w:rPr>
        <w:t>”).</w:t>
      </w:r>
    </w:p>
    <w:p w14:paraId="41F46A10" w14:textId="06A56DE6" w:rsidR="0018433B" w:rsidRDefault="0018433B" w:rsidP="0018433B">
      <w:pPr>
        <w:pStyle w:val="Style"/>
        <w:widowControl/>
        <w:jc w:val="both"/>
        <w:textAlignment w:val="baseline"/>
        <w:rPr>
          <w:szCs w:val="25"/>
        </w:rPr>
      </w:pPr>
      <w:r>
        <w:rPr>
          <w:szCs w:val="25"/>
        </w:rPr>
        <w:tab/>
      </w:r>
      <w:r w:rsidRPr="00B51852">
        <w:rPr>
          <w:szCs w:val="25"/>
        </w:rPr>
        <w:t>This unit</w:t>
      </w:r>
      <w:r w:rsidR="006F304D" w:rsidRPr="006F304D">
        <w:rPr>
          <w:szCs w:val="25"/>
        </w:rPr>
        <w:t xml:space="preserve">, </w:t>
      </w:r>
      <w:r w:rsidRPr="00B51852">
        <w:rPr>
          <w:szCs w:val="25"/>
        </w:rPr>
        <w:t>therefore</w:t>
      </w:r>
      <w:r w:rsidR="006F304D" w:rsidRPr="006F304D">
        <w:rPr>
          <w:szCs w:val="25"/>
        </w:rPr>
        <w:t xml:space="preserve">, </w:t>
      </w:r>
      <w:r w:rsidRPr="00B51852">
        <w:rPr>
          <w:szCs w:val="25"/>
        </w:rPr>
        <w:t>may be outlined as follows:</w:t>
      </w:r>
    </w:p>
    <w:p w14:paraId="5895CBFE" w14:textId="77777777" w:rsidR="0018433B" w:rsidRPr="00B51852" w:rsidRDefault="0018433B" w:rsidP="0018433B">
      <w:pPr>
        <w:pStyle w:val="Style"/>
        <w:widowControl/>
        <w:jc w:val="both"/>
        <w:textAlignment w:val="baseline"/>
        <w:rPr>
          <w:szCs w:val="25"/>
        </w:rPr>
      </w:pPr>
    </w:p>
    <w:p w14:paraId="05BFA37F" w14:textId="77777777" w:rsidR="0018433B" w:rsidRPr="00B51852" w:rsidRDefault="0018433B" w:rsidP="0018433B">
      <w:pPr>
        <w:pStyle w:val="Style"/>
        <w:widowControl/>
        <w:tabs>
          <w:tab w:val="left" w:pos="3600"/>
          <w:tab w:val="left" w:pos="3960"/>
          <w:tab w:val="left" w:pos="4320"/>
          <w:tab w:val="left" w:pos="4680"/>
        </w:tabs>
        <w:jc w:val="both"/>
        <w:textAlignment w:val="baseline"/>
        <w:rPr>
          <w:szCs w:val="25"/>
        </w:rPr>
      </w:pPr>
      <w:r>
        <w:rPr>
          <w:szCs w:val="25"/>
        </w:rPr>
        <w:tab/>
        <w:t>1.</w:t>
      </w:r>
      <w:r>
        <w:rPr>
          <w:szCs w:val="25"/>
        </w:rPr>
        <w:tab/>
      </w:r>
      <w:r w:rsidRPr="00B51852">
        <w:rPr>
          <w:szCs w:val="25"/>
        </w:rPr>
        <w:t>27-28</w:t>
      </w:r>
    </w:p>
    <w:p w14:paraId="23EFF8E9" w14:textId="77777777" w:rsidR="0018433B" w:rsidRPr="00B51852" w:rsidRDefault="0018433B" w:rsidP="0018433B">
      <w:pPr>
        <w:pStyle w:val="Style"/>
        <w:widowControl/>
        <w:tabs>
          <w:tab w:val="left" w:pos="3600"/>
          <w:tab w:val="left" w:pos="3960"/>
          <w:tab w:val="left" w:pos="4320"/>
          <w:tab w:val="left" w:pos="4680"/>
        </w:tabs>
        <w:jc w:val="both"/>
        <w:textAlignment w:val="baseline"/>
        <w:rPr>
          <w:szCs w:val="25"/>
        </w:rPr>
      </w:pPr>
      <w:r>
        <w:rPr>
          <w:szCs w:val="25"/>
        </w:rPr>
        <w:tab/>
      </w:r>
      <w:r>
        <w:rPr>
          <w:szCs w:val="25"/>
        </w:rPr>
        <w:tab/>
        <w:t>a.</w:t>
      </w:r>
      <w:r>
        <w:rPr>
          <w:szCs w:val="25"/>
        </w:rPr>
        <w:tab/>
      </w:r>
      <w:r w:rsidRPr="00B51852">
        <w:rPr>
          <w:szCs w:val="25"/>
        </w:rPr>
        <w:t>27a</w:t>
      </w:r>
    </w:p>
    <w:p w14:paraId="482CB7D8" w14:textId="77777777" w:rsidR="0018433B" w:rsidRPr="00B51852" w:rsidRDefault="0018433B" w:rsidP="0018433B">
      <w:pPr>
        <w:pStyle w:val="Style"/>
        <w:widowControl/>
        <w:tabs>
          <w:tab w:val="left" w:pos="3600"/>
          <w:tab w:val="left" w:pos="3960"/>
          <w:tab w:val="left" w:pos="4320"/>
          <w:tab w:val="left" w:pos="4680"/>
        </w:tabs>
        <w:jc w:val="both"/>
        <w:textAlignment w:val="baseline"/>
        <w:rPr>
          <w:szCs w:val="25"/>
        </w:rPr>
      </w:pPr>
      <w:r>
        <w:rPr>
          <w:szCs w:val="25"/>
        </w:rPr>
        <w:tab/>
      </w:r>
      <w:r>
        <w:rPr>
          <w:szCs w:val="25"/>
        </w:rPr>
        <w:tab/>
        <w:t>b.</w:t>
      </w:r>
      <w:r>
        <w:rPr>
          <w:szCs w:val="25"/>
        </w:rPr>
        <w:tab/>
      </w:r>
      <w:r w:rsidRPr="00B51852">
        <w:rPr>
          <w:szCs w:val="25"/>
        </w:rPr>
        <w:t>27-28</w:t>
      </w:r>
    </w:p>
    <w:p w14:paraId="7695B1F5" w14:textId="77777777" w:rsidR="0018433B" w:rsidRPr="00B51852" w:rsidRDefault="0018433B" w:rsidP="0018433B">
      <w:pPr>
        <w:pStyle w:val="Style"/>
        <w:widowControl/>
        <w:tabs>
          <w:tab w:val="left" w:pos="3600"/>
          <w:tab w:val="left" w:pos="3960"/>
          <w:tab w:val="left" w:pos="4320"/>
          <w:tab w:val="left" w:pos="4680"/>
        </w:tabs>
        <w:jc w:val="both"/>
        <w:textAlignment w:val="baseline"/>
        <w:rPr>
          <w:szCs w:val="25"/>
        </w:rPr>
      </w:pPr>
      <w:r>
        <w:rPr>
          <w:szCs w:val="25"/>
        </w:rPr>
        <w:tab/>
      </w:r>
      <w:r>
        <w:rPr>
          <w:szCs w:val="25"/>
        </w:rPr>
        <w:tab/>
      </w:r>
      <w:r>
        <w:rPr>
          <w:szCs w:val="25"/>
        </w:rPr>
        <w:tab/>
        <w:t>1)</w:t>
      </w:r>
      <w:r>
        <w:rPr>
          <w:szCs w:val="25"/>
        </w:rPr>
        <w:tab/>
      </w:r>
      <w:r w:rsidRPr="00B51852">
        <w:rPr>
          <w:szCs w:val="25"/>
        </w:rPr>
        <w:t>27</w:t>
      </w:r>
      <w:r>
        <w:rPr>
          <w:szCs w:val="25"/>
        </w:rPr>
        <w:t>b</w:t>
      </w:r>
    </w:p>
    <w:p w14:paraId="67D8F1B2" w14:textId="77777777" w:rsidR="0018433B" w:rsidRPr="00B51852" w:rsidRDefault="0018433B" w:rsidP="0018433B">
      <w:pPr>
        <w:pStyle w:val="Style"/>
        <w:widowControl/>
        <w:tabs>
          <w:tab w:val="left" w:pos="3600"/>
          <w:tab w:val="left" w:pos="3960"/>
          <w:tab w:val="left" w:pos="4320"/>
          <w:tab w:val="left" w:pos="4680"/>
        </w:tabs>
        <w:jc w:val="both"/>
        <w:textAlignment w:val="baseline"/>
        <w:rPr>
          <w:szCs w:val="25"/>
        </w:rPr>
      </w:pPr>
      <w:r>
        <w:rPr>
          <w:szCs w:val="25"/>
        </w:rPr>
        <w:tab/>
      </w:r>
      <w:r>
        <w:rPr>
          <w:szCs w:val="25"/>
        </w:rPr>
        <w:tab/>
      </w:r>
      <w:r>
        <w:rPr>
          <w:szCs w:val="25"/>
        </w:rPr>
        <w:tab/>
        <w:t>2)</w:t>
      </w:r>
      <w:r>
        <w:rPr>
          <w:szCs w:val="25"/>
        </w:rPr>
        <w:tab/>
      </w:r>
      <w:r w:rsidRPr="00B51852">
        <w:rPr>
          <w:szCs w:val="25"/>
        </w:rPr>
        <w:t>27c-28</w:t>
      </w:r>
    </w:p>
    <w:p w14:paraId="08BD36DF" w14:textId="77777777" w:rsidR="0018433B" w:rsidRDefault="0018433B" w:rsidP="0018433B">
      <w:pPr>
        <w:pStyle w:val="Style"/>
        <w:widowControl/>
        <w:jc w:val="both"/>
        <w:textAlignment w:val="baseline"/>
        <w:rPr>
          <w:szCs w:val="25"/>
        </w:rPr>
      </w:pPr>
    </w:p>
    <w:p w14:paraId="5DEED07E" w14:textId="77777777" w:rsidR="0018433B" w:rsidRPr="00B51852" w:rsidRDefault="0018433B" w:rsidP="0018433B">
      <w:pPr>
        <w:pStyle w:val="Style"/>
        <w:widowControl/>
        <w:jc w:val="both"/>
        <w:textAlignment w:val="baseline"/>
        <w:rPr>
          <w:szCs w:val="25"/>
        </w:rPr>
      </w:pPr>
      <w:r>
        <w:rPr>
          <w:szCs w:val="25"/>
        </w:rPr>
        <w:tab/>
      </w:r>
      <w:r w:rsidRPr="00CF4CFD">
        <w:rPr>
          <w:b/>
          <w:szCs w:val="25"/>
        </w:rPr>
        <w:t>Luke 6</w:t>
      </w:r>
      <w:r w:rsidRPr="00B51852">
        <w:rPr>
          <w:szCs w:val="25"/>
        </w:rPr>
        <w:t>:</w:t>
      </w:r>
      <w:r w:rsidRPr="00CF4CFD">
        <w:rPr>
          <w:b/>
          <w:szCs w:val="25"/>
        </w:rPr>
        <w:t>29-30</w:t>
      </w:r>
      <w:r w:rsidRPr="00B51852">
        <w:rPr>
          <w:szCs w:val="25"/>
        </w:rPr>
        <w:t>. These verses read:</w:t>
      </w:r>
    </w:p>
    <w:p w14:paraId="2DC1568E" w14:textId="77777777" w:rsidR="0018433B" w:rsidRDefault="0018433B" w:rsidP="0018433B">
      <w:pPr>
        <w:pStyle w:val="Style"/>
        <w:widowControl/>
        <w:jc w:val="both"/>
        <w:textAlignment w:val="baseline"/>
        <w:rPr>
          <w:szCs w:val="25"/>
        </w:rPr>
      </w:pPr>
    </w:p>
    <w:p w14:paraId="6D2244D3" w14:textId="77777777" w:rsidR="0018433B" w:rsidRPr="00B51852" w:rsidRDefault="0018433B" w:rsidP="0018433B">
      <w:pPr>
        <w:pStyle w:val="Style"/>
        <w:widowControl/>
        <w:ind w:left="720"/>
        <w:jc w:val="both"/>
        <w:textAlignment w:val="baseline"/>
        <w:rPr>
          <w:szCs w:val="25"/>
        </w:rPr>
      </w:pPr>
      <w:r w:rsidRPr="00B51852">
        <w:rPr>
          <w:szCs w:val="25"/>
        </w:rPr>
        <w:t>29a</w:t>
      </w:r>
      <w:r>
        <w:rPr>
          <w:rFonts w:eastAsia="Arial"/>
          <w:szCs w:val="29"/>
        </w:rPr>
        <w:tab/>
      </w:r>
      <w:r w:rsidRPr="00CE06CA">
        <w:rPr>
          <w:bCs/>
          <w:szCs w:val="22"/>
          <w:lang w:val="el-GR"/>
        </w:rPr>
        <w:t>τῷ τύπτοντί σε ἐπὶ τὴν σιαγόνα πάρεχε καὶ τὴν ἄλλην,</w:t>
      </w:r>
    </w:p>
    <w:p w14:paraId="56B7382E" w14:textId="77777777" w:rsidR="0018433B" w:rsidRPr="00B51852" w:rsidRDefault="0018433B" w:rsidP="0018433B">
      <w:pPr>
        <w:pStyle w:val="Style"/>
        <w:widowControl/>
        <w:ind w:left="720"/>
        <w:jc w:val="both"/>
        <w:textAlignment w:val="baseline"/>
        <w:rPr>
          <w:iCs/>
          <w:szCs w:val="25"/>
        </w:rPr>
      </w:pPr>
      <w:r w:rsidRPr="00B51852">
        <w:rPr>
          <w:szCs w:val="25"/>
        </w:rPr>
        <w:t>29b</w:t>
      </w:r>
      <w:r>
        <w:rPr>
          <w:szCs w:val="25"/>
        </w:rPr>
        <w:tab/>
      </w:r>
      <w:r w:rsidRPr="00CE06CA">
        <w:rPr>
          <w:bCs/>
          <w:szCs w:val="22"/>
          <w:lang w:val="el-GR"/>
        </w:rPr>
        <w:t>καὶ ἀπὸ τοῦ αἴροντός σου τὸ ἱμάτιον καὶ τὸν χιτῶνα μὴ κωλύσῃς.</w:t>
      </w:r>
    </w:p>
    <w:p w14:paraId="4DF31B58" w14:textId="77777777" w:rsidR="0018433B" w:rsidRPr="00B51852" w:rsidRDefault="0018433B" w:rsidP="0018433B">
      <w:pPr>
        <w:pStyle w:val="Style"/>
        <w:widowControl/>
        <w:ind w:left="720"/>
        <w:jc w:val="both"/>
        <w:textAlignment w:val="baseline"/>
        <w:rPr>
          <w:szCs w:val="25"/>
        </w:rPr>
      </w:pPr>
      <w:r w:rsidRPr="00B51852">
        <w:rPr>
          <w:szCs w:val="25"/>
        </w:rPr>
        <w:t>30a</w:t>
      </w:r>
      <w:r>
        <w:rPr>
          <w:szCs w:val="25"/>
        </w:rPr>
        <w:tab/>
      </w:r>
      <w:r w:rsidRPr="00CE06CA">
        <w:rPr>
          <w:bCs/>
          <w:szCs w:val="22"/>
          <w:lang w:val="el-GR"/>
        </w:rPr>
        <w:t>παντὶ αἰτοῦντί σε δίδου,</w:t>
      </w:r>
    </w:p>
    <w:p w14:paraId="026CE89F" w14:textId="77777777" w:rsidR="0018433B" w:rsidRPr="00B51852" w:rsidRDefault="0018433B" w:rsidP="0018433B">
      <w:pPr>
        <w:pStyle w:val="Style"/>
        <w:widowControl/>
        <w:ind w:left="720"/>
        <w:jc w:val="both"/>
        <w:textAlignment w:val="baseline"/>
        <w:rPr>
          <w:szCs w:val="25"/>
        </w:rPr>
      </w:pPr>
      <w:r w:rsidRPr="00B51852">
        <w:rPr>
          <w:szCs w:val="25"/>
        </w:rPr>
        <w:t>30b</w:t>
      </w:r>
      <w:r>
        <w:rPr>
          <w:szCs w:val="25"/>
        </w:rPr>
        <w:tab/>
      </w:r>
      <w:r w:rsidRPr="00CE06CA">
        <w:rPr>
          <w:bCs/>
          <w:szCs w:val="22"/>
          <w:lang w:val="el-GR"/>
        </w:rPr>
        <w:t>καὶ ἀπὸ τοῦ αἴροντος τὰ σὰ μὴ ἀπαίτει.</w:t>
      </w:r>
    </w:p>
    <w:p w14:paraId="2724D396" w14:textId="77777777" w:rsidR="0018433B" w:rsidRDefault="0018433B" w:rsidP="0018433B">
      <w:pPr>
        <w:pStyle w:val="Style"/>
        <w:widowControl/>
        <w:jc w:val="both"/>
        <w:textAlignment w:val="baseline"/>
        <w:rPr>
          <w:szCs w:val="33"/>
        </w:rPr>
      </w:pPr>
    </w:p>
    <w:p w14:paraId="4AD5E155" w14:textId="2A77DB5A" w:rsidR="0018433B" w:rsidRPr="00B51852" w:rsidRDefault="0018433B" w:rsidP="0018433B">
      <w:pPr>
        <w:pStyle w:val="Style"/>
        <w:widowControl/>
        <w:ind w:left="720"/>
        <w:jc w:val="both"/>
        <w:textAlignment w:val="baseline"/>
        <w:rPr>
          <w:szCs w:val="25"/>
        </w:rPr>
      </w:pPr>
      <w:r w:rsidRPr="00B51852">
        <w:rPr>
          <w:szCs w:val="25"/>
        </w:rPr>
        <w:t>29a</w:t>
      </w:r>
      <w:r>
        <w:rPr>
          <w:rFonts w:eastAsia="Arial"/>
          <w:szCs w:val="29"/>
        </w:rPr>
        <w:tab/>
      </w:r>
      <w:r w:rsidRPr="00CD75A6">
        <w:t>If anyone strikes you on the cheek</w:t>
      </w:r>
      <w:r w:rsidR="006F304D" w:rsidRPr="006F304D">
        <w:t xml:space="preserve">, </w:t>
      </w:r>
      <w:r w:rsidRPr="00CD75A6">
        <w:t>offer the other also;</w:t>
      </w:r>
    </w:p>
    <w:p w14:paraId="0A32616F" w14:textId="77777777" w:rsidR="0018433B" w:rsidRPr="00B51852" w:rsidRDefault="0018433B" w:rsidP="0018433B">
      <w:pPr>
        <w:pStyle w:val="Style"/>
        <w:widowControl/>
        <w:ind w:left="720"/>
        <w:jc w:val="both"/>
        <w:textAlignment w:val="baseline"/>
        <w:rPr>
          <w:iCs/>
          <w:szCs w:val="25"/>
        </w:rPr>
      </w:pPr>
      <w:r w:rsidRPr="00B51852">
        <w:rPr>
          <w:szCs w:val="25"/>
        </w:rPr>
        <w:t>29b</w:t>
      </w:r>
      <w:r>
        <w:rPr>
          <w:szCs w:val="25"/>
        </w:rPr>
        <w:tab/>
      </w:r>
      <w:r w:rsidRPr="00CD75A6">
        <w:t>and from anyone who takes away your coat do not</w:t>
      </w:r>
      <w:r>
        <w:t xml:space="preserve"> </w:t>
      </w:r>
      <w:r w:rsidRPr="00CD75A6">
        <w:t>withhold even your shirt.</w:t>
      </w:r>
    </w:p>
    <w:p w14:paraId="49D093D9" w14:textId="77777777" w:rsidR="0018433B" w:rsidRPr="00B51852" w:rsidRDefault="0018433B" w:rsidP="0018433B">
      <w:pPr>
        <w:pStyle w:val="Style"/>
        <w:widowControl/>
        <w:ind w:left="720"/>
        <w:jc w:val="both"/>
        <w:textAlignment w:val="baseline"/>
        <w:rPr>
          <w:szCs w:val="25"/>
        </w:rPr>
      </w:pPr>
      <w:r w:rsidRPr="00B51852">
        <w:rPr>
          <w:szCs w:val="25"/>
        </w:rPr>
        <w:t>30a</w:t>
      </w:r>
      <w:r>
        <w:rPr>
          <w:szCs w:val="25"/>
        </w:rPr>
        <w:tab/>
      </w:r>
      <w:r w:rsidRPr="00CD75A6">
        <w:t>Give to everyone who begs from you;</w:t>
      </w:r>
    </w:p>
    <w:p w14:paraId="61C4D255" w14:textId="14971D96" w:rsidR="0018433B" w:rsidRPr="00B51852" w:rsidRDefault="0018433B" w:rsidP="0018433B">
      <w:pPr>
        <w:pStyle w:val="Style"/>
        <w:widowControl/>
        <w:ind w:left="720"/>
        <w:jc w:val="both"/>
        <w:textAlignment w:val="baseline"/>
        <w:rPr>
          <w:szCs w:val="25"/>
        </w:rPr>
      </w:pPr>
      <w:r w:rsidRPr="00B51852">
        <w:rPr>
          <w:szCs w:val="25"/>
        </w:rPr>
        <w:t>30b</w:t>
      </w:r>
      <w:r>
        <w:rPr>
          <w:szCs w:val="25"/>
        </w:rPr>
        <w:tab/>
      </w:r>
      <w:r w:rsidRPr="00CD75A6">
        <w:t>and if anyone takes away your goods</w:t>
      </w:r>
      <w:r w:rsidR="006F304D" w:rsidRPr="006F304D">
        <w:t xml:space="preserve">, </w:t>
      </w:r>
      <w:r w:rsidRPr="00CD75A6">
        <w:t>do not ask for them again.</w:t>
      </w:r>
    </w:p>
    <w:p w14:paraId="56C5F34D" w14:textId="77777777" w:rsidR="0018433B" w:rsidRDefault="0018433B" w:rsidP="0018433B">
      <w:pPr>
        <w:pStyle w:val="Style"/>
        <w:widowControl/>
        <w:jc w:val="both"/>
        <w:textAlignment w:val="baseline"/>
        <w:rPr>
          <w:szCs w:val="33"/>
        </w:rPr>
      </w:pPr>
    </w:p>
    <w:p w14:paraId="0313A472" w14:textId="0D0F6145" w:rsidR="0018433B" w:rsidRDefault="0018433B" w:rsidP="0018433B">
      <w:pPr>
        <w:pStyle w:val="Style"/>
        <w:widowControl/>
        <w:jc w:val="both"/>
        <w:textAlignment w:val="baseline"/>
        <w:rPr>
          <w:szCs w:val="25"/>
        </w:rPr>
      </w:pPr>
      <w:r>
        <w:rPr>
          <w:szCs w:val="25"/>
        </w:rPr>
        <w:tab/>
      </w:r>
      <w:r w:rsidRPr="00B51852">
        <w:rPr>
          <w:szCs w:val="25"/>
        </w:rPr>
        <w:t>The commentators are justified in treati</w:t>
      </w:r>
      <w:r>
        <w:rPr>
          <w:szCs w:val="25"/>
        </w:rPr>
        <w:t>ng these four clauses as a unit.</w:t>
      </w:r>
      <w:r w:rsidRPr="00B51852">
        <w:rPr>
          <w:szCs w:val="25"/>
        </w:rPr>
        <w:t xml:space="preserve"> </w:t>
      </w:r>
      <w:r>
        <w:rPr>
          <w:szCs w:val="25"/>
        </w:rPr>
        <w:t>Each has a participle</w:t>
      </w:r>
      <w:r w:rsidR="006F304D" w:rsidRPr="006F304D">
        <w:rPr>
          <w:szCs w:val="25"/>
        </w:rPr>
        <w:t xml:space="preserve">, </w:t>
      </w:r>
      <w:r>
        <w:rPr>
          <w:szCs w:val="25"/>
        </w:rPr>
        <w:t>indicating someone who harms:</w:t>
      </w:r>
    </w:p>
    <w:p w14:paraId="23986A3B" w14:textId="77777777" w:rsidR="0018433B" w:rsidRDefault="0018433B" w:rsidP="0018433B">
      <w:pPr>
        <w:pStyle w:val="Style"/>
        <w:widowControl/>
        <w:jc w:val="both"/>
        <w:textAlignment w:val="baseline"/>
        <w:rPr>
          <w:szCs w:val="25"/>
        </w:rPr>
      </w:pPr>
    </w:p>
    <w:p w14:paraId="2930117C" w14:textId="77777777" w:rsidR="0018433B" w:rsidRPr="002D326B" w:rsidRDefault="0018433B" w:rsidP="0018433B">
      <w:pPr>
        <w:pStyle w:val="Style"/>
        <w:widowControl/>
        <w:tabs>
          <w:tab w:val="left" w:pos="720"/>
          <w:tab w:val="left" w:pos="3420"/>
          <w:tab w:val="left" w:pos="6840"/>
        </w:tabs>
        <w:jc w:val="both"/>
        <w:textAlignment w:val="baseline"/>
        <w:rPr>
          <w:szCs w:val="25"/>
        </w:rPr>
      </w:pPr>
      <w:r w:rsidRPr="00B51852">
        <w:rPr>
          <w:szCs w:val="25"/>
        </w:rPr>
        <w:t>29a</w:t>
      </w:r>
      <w:r>
        <w:rPr>
          <w:rFonts w:eastAsia="Arial"/>
          <w:szCs w:val="29"/>
        </w:rPr>
        <w:tab/>
      </w:r>
      <w:r w:rsidRPr="00CE06CA">
        <w:rPr>
          <w:bCs/>
          <w:szCs w:val="22"/>
          <w:lang w:val="el-GR"/>
        </w:rPr>
        <w:t>τῷ τύπτοντί σε</w:t>
      </w:r>
      <w:r>
        <w:rPr>
          <w:bCs/>
          <w:szCs w:val="22"/>
        </w:rPr>
        <w:tab/>
        <w:t>lit. “to the smiting of you”</w:t>
      </w:r>
      <w:r>
        <w:rPr>
          <w:bCs/>
          <w:szCs w:val="22"/>
        </w:rPr>
        <w:tab/>
        <w:t>(</w:t>
      </w:r>
      <w:r w:rsidRPr="000A69F8">
        <w:rPr>
          <w:bCs/>
          <w:szCs w:val="22"/>
        </w:rPr>
        <w:t>pres.</w:t>
      </w:r>
      <w:r>
        <w:rPr>
          <w:bCs/>
          <w:szCs w:val="22"/>
        </w:rPr>
        <w:t xml:space="preserve"> dative masc. sg.)</w:t>
      </w:r>
    </w:p>
    <w:p w14:paraId="341B876E" w14:textId="77777777" w:rsidR="0018433B" w:rsidRPr="002D326B" w:rsidRDefault="0018433B" w:rsidP="0018433B">
      <w:pPr>
        <w:pStyle w:val="Style"/>
        <w:widowControl/>
        <w:tabs>
          <w:tab w:val="left" w:pos="720"/>
          <w:tab w:val="left" w:pos="3420"/>
          <w:tab w:val="left" w:pos="6840"/>
        </w:tabs>
        <w:jc w:val="both"/>
        <w:textAlignment w:val="baseline"/>
        <w:rPr>
          <w:iCs/>
          <w:szCs w:val="25"/>
        </w:rPr>
      </w:pPr>
      <w:r w:rsidRPr="00B51852">
        <w:rPr>
          <w:szCs w:val="25"/>
        </w:rPr>
        <w:t>29b</w:t>
      </w:r>
      <w:r>
        <w:rPr>
          <w:szCs w:val="25"/>
        </w:rPr>
        <w:tab/>
      </w:r>
      <w:r w:rsidRPr="00CE06CA">
        <w:rPr>
          <w:bCs/>
          <w:szCs w:val="22"/>
          <w:lang w:val="el-GR"/>
        </w:rPr>
        <w:t>ἀπὸ τοῦ αἴροντός σου</w:t>
      </w:r>
      <w:r>
        <w:rPr>
          <w:bCs/>
          <w:szCs w:val="22"/>
        </w:rPr>
        <w:tab/>
        <w:t>lit. “from the taking from you”</w:t>
      </w:r>
      <w:r>
        <w:rPr>
          <w:bCs/>
          <w:szCs w:val="22"/>
        </w:rPr>
        <w:tab/>
        <w:t>(</w:t>
      </w:r>
      <w:r w:rsidRPr="000A69F8">
        <w:rPr>
          <w:bCs/>
          <w:szCs w:val="22"/>
        </w:rPr>
        <w:t>pres.</w:t>
      </w:r>
      <w:r>
        <w:rPr>
          <w:bCs/>
          <w:szCs w:val="22"/>
        </w:rPr>
        <w:t xml:space="preserve"> genitive masc. sg.)</w:t>
      </w:r>
    </w:p>
    <w:p w14:paraId="1F276872" w14:textId="77777777" w:rsidR="0018433B" w:rsidRPr="002D326B" w:rsidRDefault="0018433B" w:rsidP="0018433B">
      <w:pPr>
        <w:pStyle w:val="Style"/>
        <w:widowControl/>
        <w:tabs>
          <w:tab w:val="left" w:pos="720"/>
          <w:tab w:val="left" w:pos="3420"/>
          <w:tab w:val="left" w:pos="6840"/>
        </w:tabs>
        <w:jc w:val="both"/>
        <w:textAlignment w:val="baseline"/>
        <w:rPr>
          <w:szCs w:val="25"/>
        </w:rPr>
      </w:pPr>
      <w:r w:rsidRPr="00B51852">
        <w:rPr>
          <w:szCs w:val="25"/>
        </w:rPr>
        <w:t>30a</w:t>
      </w:r>
      <w:r>
        <w:rPr>
          <w:szCs w:val="25"/>
        </w:rPr>
        <w:tab/>
      </w:r>
      <w:r w:rsidRPr="00CE06CA">
        <w:rPr>
          <w:bCs/>
          <w:szCs w:val="22"/>
          <w:lang w:val="el-GR"/>
        </w:rPr>
        <w:t>παντὶ αἰτοῦντί σε</w:t>
      </w:r>
      <w:r>
        <w:rPr>
          <w:bCs/>
          <w:szCs w:val="22"/>
        </w:rPr>
        <w:tab/>
        <w:t>lit. “to all asking of you”</w:t>
      </w:r>
      <w:r>
        <w:rPr>
          <w:bCs/>
          <w:szCs w:val="22"/>
        </w:rPr>
        <w:tab/>
        <w:t>(</w:t>
      </w:r>
      <w:r w:rsidRPr="000A69F8">
        <w:rPr>
          <w:bCs/>
          <w:szCs w:val="22"/>
        </w:rPr>
        <w:t>pres.</w:t>
      </w:r>
      <w:r>
        <w:rPr>
          <w:bCs/>
          <w:szCs w:val="22"/>
        </w:rPr>
        <w:t xml:space="preserve"> dative masc. sg.)</w:t>
      </w:r>
    </w:p>
    <w:p w14:paraId="45DE9CF4" w14:textId="77777777" w:rsidR="0018433B" w:rsidRPr="002D326B" w:rsidRDefault="0018433B" w:rsidP="0018433B">
      <w:pPr>
        <w:pStyle w:val="Style"/>
        <w:widowControl/>
        <w:tabs>
          <w:tab w:val="left" w:pos="720"/>
          <w:tab w:val="left" w:pos="3420"/>
          <w:tab w:val="left" w:pos="6840"/>
        </w:tabs>
        <w:jc w:val="both"/>
        <w:textAlignment w:val="baseline"/>
        <w:rPr>
          <w:szCs w:val="25"/>
        </w:rPr>
      </w:pPr>
      <w:r w:rsidRPr="00B51852">
        <w:rPr>
          <w:szCs w:val="25"/>
        </w:rPr>
        <w:t>30b</w:t>
      </w:r>
      <w:r>
        <w:rPr>
          <w:szCs w:val="25"/>
        </w:rPr>
        <w:tab/>
      </w:r>
      <w:r w:rsidRPr="00CE06CA">
        <w:rPr>
          <w:bCs/>
          <w:szCs w:val="22"/>
          <w:lang w:val="el-GR"/>
        </w:rPr>
        <w:t>ἀπὸ τοῦ αἴροντος</w:t>
      </w:r>
      <w:r>
        <w:rPr>
          <w:bCs/>
          <w:szCs w:val="22"/>
        </w:rPr>
        <w:t xml:space="preserve"> </w:t>
      </w:r>
      <w:proofErr w:type="spellStart"/>
      <w:r w:rsidRPr="00630BEC">
        <w:rPr>
          <w:bCs/>
          <w:szCs w:val="22"/>
        </w:rPr>
        <w:t>τὰ</w:t>
      </w:r>
      <w:proofErr w:type="spellEnd"/>
      <w:r w:rsidRPr="00630BEC">
        <w:rPr>
          <w:bCs/>
          <w:szCs w:val="22"/>
        </w:rPr>
        <w:t xml:space="preserve"> </w:t>
      </w:r>
      <w:proofErr w:type="spellStart"/>
      <w:r w:rsidRPr="00630BEC">
        <w:rPr>
          <w:bCs/>
          <w:szCs w:val="22"/>
        </w:rPr>
        <w:t>σὰ</w:t>
      </w:r>
      <w:proofErr w:type="spellEnd"/>
      <w:r>
        <w:rPr>
          <w:bCs/>
          <w:szCs w:val="22"/>
        </w:rPr>
        <w:tab/>
        <w:t>lit. “from the taking your things”</w:t>
      </w:r>
      <w:r w:rsidRPr="000A69F8">
        <w:rPr>
          <w:bCs/>
          <w:szCs w:val="22"/>
        </w:rPr>
        <w:t xml:space="preserve"> </w:t>
      </w:r>
      <w:r>
        <w:rPr>
          <w:bCs/>
          <w:szCs w:val="22"/>
        </w:rPr>
        <w:tab/>
        <w:t>(</w:t>
      </w:r>
      <w:r w:rsidRPr="000A69F8">
        <w:rPr>
          <w:bCs/>
          <w:szCs w:val="22"/>
        </w:rPr>
        <w:t>pres.</w:t>
      </w:r>
      <w:r>
        <w:rPr>
          <w:bCs/>
          <w:szCs w:val="22"/>
        </w:rPr>
        <w:t xml:space="preserve"> genitive masc. sg.)</w:t>
      </w:r>
    </w:p>
    <w:p w14:paraId="083817AF" w14:textId="77777777" w:rsidR="0018433B" w:rsidRDefault="0018433B" w:rsidP="0018433B">
      <w:pPr>
        <w:pStyle w:val="Style"/>
        <w:widowControl/>
        <w:jc w:val="both"/>
        <w:textAlignment w:val="baseline"/>
        <w:rPr>
          <w:szCs w:val="25"/>
        </w:rPr>
      </w:pPr>
    </w:p>
    <w:p w14:paraId="6AF13C49" w14:textId="59EE62AF" w:rsidR="0018433B" w:rsidRDefault="0018433B" w:rsidP="0018433B">
      <w:pPr>
        <w:pStyle w:val="Style"/>
        <w:widowControl/>
        <w:jc w:val="both"/>
        <w:textAlignment w:val="baseline"/>
        <w:rPr>
          <w:szCs w:val="25"/>
        </w:rPr>
      </w:pPr>
      <w:r>
        <w:rPr>
          <w:szCs w:val="25"/>
        </w:rPr>
        <w:t>(</w:t>
      </w:r>
      <w:r w:rsidRPr="00B51852">
        <w:rPr>
          <w:szCs w:val="25"/>
        </w:rPr>
        <w:t>The alternation of dative and genitive case</w:t>
      </w:r>
      <w:r>
        <w:rPr>
          <w:szCs w:val="25"/>
        </w:rPr>
        <w:t>—</w:t>
      </w:r>
      <w:r w:rsidRPr="00B51852">
        <w:rPr>
          <w:szCs w:val="25"/>
        </w:rPr>
        <w:t>creating the movement</w:t>
      </w:r>
      <w:r w:rsidR="006F304D" w:rsidRPr="006F304D">
        <w:rPr>
          <w:szCs w:val="25"/>
        </w:rPr>
        <w:t xml:space="preserve">, </w:t>
      </w:r>
      <w:r w:rsidRPr="00B51852">
        <w:rPr>
          <w:szCs w:val="25"/>
        </w:rPr>
        <w:t xml:space="preserve">“to,” from,” “to,” </w:t>
      </w:r>
      <w:r>
        <w:rPr>
          <w:szCs w:val="25"/>
        </w:rPr>
        <w:t xml:space="preserve">“from”—also binds the clauses.) </w:t>
      </w:r>
      <w:r w:rsidRPr="00B51852">
        <w:rPr>
          <w:szCs w:val="25"/>
        </w:rPr>
        <w:t xml:space="preserve">Each </w:t>
      </w:r>
      <w:r>
        <w:rPr>
          <w:szCs w:val="25"/>
        </w:rPr>
        <w:t xml:space="preserve">clause also refers to or implies one or more </w:t>
      </w:r>
      <w:r w:rsidRPr="00B51852">
        <w:rPr>
          <w:szCs w:val="25"/>
        </w:rPr>
        <w:t xml:space="preserve">personal </w:t>
      </w:r>
      <w:r>
        <w:rPr>
          <w:szCs w:val="25"/>
        </w:rPr>
        <w:t>possessions as objects of possible contention:</w:t>
      </w:r>
    </w:p>
    <w:p w14:paraId="43A2A0B3" w14:textId="77777777" w:rsidR="0018433B" w:rsidRDefault="0018433B" w:rsidP="0018433B">
      <w:pPr>
        <w:pStyle w:val="Style"/>
        <w:widowControl/>
        <w:jc w:val="both"/>
        <w:textAlignment w:val="baseline"/>
        <w:rPr>
          <w:szCs w:val="25"/>
        </w:rPr>
      </w:pPr>
    </w:p>
    <w:p w14:paraId="50FBC752" w14:textId="77777777" w:rsidR="0018433B" w:rsidRPr="008E0766" w:rsidRDefault="0018433B" w:rsidP="0018433B">
      <w:pPr>
        <w:pStyle w:val="Style"/>
        <w:widowControl/>
        <w:tabs>
          <w:tab w:val="left" w:pos="720"/>
          <w:tab w:val="left" w:pos="3600"/>
          <w:tab w:val="left" w:pos="6840"/>
        </w:tabs>
        <w:jc w:val="both"/>
        <w:textAlignment w:val="baseline"/>
        <w:rPr>
          <w:szCs w:val="25"/>
        </w:rPr>
      </w:pPr>
      <w:r w:rsidRPr="00B51852">
        <w:rPr>
          <w:szCs w:val="25"/>
        </w:rPr>
        <w:lastRenderedPageBreak/>
        <w:t>29a</w:t>
      </w:r>
      <w:r>
        <w:rPr>
          <w:rFonts w:eastAsia="Arial"/>
          <w:szCs w:val="29"/>
        </w:rPr>
        <w:tab/>
      </w:r>
      <w:r w:rsidRPr="00CE06CA">
        <w:rPr>
          <w:bCs/>
          <w:szCs w:val="22"/>
          <w:lang w:val="el-GR"/>
        </w:rPr>
        <w:t>τὴν σιαγόνα</w:t>
      </w:r>
      <w:r>
        <w:rPr>
          <w:bCs/>
          <w:szCs w:val="22"/>
        </w:rPr>
        <w:t xml:space="preserve"> . . . </w:t>
      </w:r>
      <w:r w:rsidRPr="00CE06CA">
        <w:rPr>
          <w:bCs/>
          <w:szCs w:val="22"/>
          <w:lang w:val="el-GR"/>
        </w:rPr>
        <w:t>τὴν ἄλλην</w:t>
      </w:r>
      <w:r>
        <w:rPr>
          <w:bCs/>
          <w:szCs w:val="22"/>
        </w:rPr>
        <w:tab/>
        <w:t>lit. “the cheek . . . the other”</w:t>
      </w:r>
      <w:r>
        <w:rPr>
          <w:bCs/>
          <w:szCs w:val="22"/>
        </w:rPr>
        <w:tab/>
        <w:t>(accusative fem. sg.)</w:t>
      </w:r>
    </w:p>
    <w:p w14:paraId="661A7BE3" w14:textId="77777777" w:rsidR="0018433B" w:rsidRPr="008E0766" w:rsidRDefault="0018433B" w:rsidP="0018433B">
      <w:pPr>
        <w:pStyle w:val="Style"/>
        <w:widowControl/>
        <w:tabs>
          <w:tab w:val="left" w:pos="720"/>
          <w:tab w:val="left" w:pos="3600"/>
          <w:tab w:val="left" w:pos="6840"/>
        </w:tabs>
        <w:jc w:val="both"/>
        <w:textAlignment w:val="baseline"/>
        <w:rPr>
          <w:iCs/>
          <w:szCs w:val="25"/>
        </w:rPr>
      </w:pPr>
      <w:r w:rsidRPr="00B51852">
        <w:rPr>
          <w:szCs w:val="25"/>
        </w:rPr>
        <w:t>29b</w:t>
      </w:r>
      <w:r>
        <w:rPr>
          <w:szCs w:val="25"/>
        </w:rPr>
        <w:tab/>
      </w:r>
      <w:r w:rsidRPr="00CE06CA">
        <w:rPr>
          <w:bCs/>
          <w:szCs w:val="22"/>
          <w:lang w:val="el-GR"/>
        </w:rPr>
        <w:t>τὸ ἱμάτιον καὶ τὸν χιτῶνα</w:t>
      </w:r>
      <w:r>
        <w:rPr>
          <w:bCs/>
          <w:szCs w:val="22"/>
        </w:rPr>
        <w:tab/>
        <w:t>lit. “the coat and the shirt”</w:t>
      </w:r>
      <w:r>
        <w:rPr>
          <w:bCs/>
          <w:szCs w:val="22"/>
        </w:rPr>
        <w:tab/>
        <w:t>(accus. neut./masc. sg.)</w:t>
      </w:r>
    </w:p>
    <w:p w14:paraId="210FB146" w14:textId="77777777" w:rsidR="0018433B" w:rsidRPr="008E0766" w:rsidRDefault="0018433B" w:rsidP="0018433B">
      <w:pPr>
        <w:pStyle w:val="Style"/>
        <w:widowControl/>
        <w:tabs>
          <w:tab w:val="left" w:pos="720"/>
          <w:tab w:val="left" w:pos="3600"/>
          <w:tab w:val="left" w:pos="6840"/>
        </w:tabs>
        <w:jc w:val="both"/>
        <w:textAlignment w:val="baseline"/>
        <w:rPr>
          <w:szCs w:val="25"/>
        </w:rPr>
      </w:pPr>
      <w:r w:rsidRPr="00B51852">
        <w:rPr>
          <w:szCs w:val="25"/>
        </w:rPr>
        <w:t>30a</w:t>
      </w:r>
      <w:r>
        <w:rPr>
          <w:szCs w:val="25"/>
        </w:rPr>
        <w:tab/>
      </w:r>
      <w:r w:rsidRPr="00CE06CA">
        <w:rPr>
          <w:bCs/>
          <w:szCs w:val="22"/>
          <w:lang w:val="el-GR"/>
        </w:rPr>
        <w:t>παντὶ αἰτοῦντί σε δίδου</w:t>
      </w:r>
      <w:r>
        <w:rPr>
          <w:bCs/>
          <w:szCs w:val="22"/>
        </w:rPr>
        <w:tab/>
        <w:t>lit. “to all asking you give”</w:t>
      </w:r>
      <w:r>
        <w:rPr>
          <w:bCs/>
          <w:szCs w:val="22"/>
        </w:rPr>
        <w:tab/>
        <w:t>(a possession is implied)</w:t>
      </w:r>
    </w:p>
    <w:p w14:paraId="72107CEE" w14:textId="77777777" w:rsidR="0018433B" w:rsidRPr="008E0766" w:rsidRDefault="0018433B" w:rsidP="0018433B">
      <w:pPr>
        <w:pStyle w:val="Style"/>
        <w:widowControl/>
        <w:tabs>
          <w:tab w:val="left" w:pos="720"/>
          <w:tab w:val="left" w:pos="3600"/>
          <w:tab w:val="left" w:pos="6840"/>
        </w:tabs>
        <w:jc w:val="both"/>
        <w:textAlignment w:val="baseline"/>
        <w:rPr>
          <w:szCs w:val="25"/>
        </w:rPr>
      </w:pPr>
      <w:r w:rsidRPr="00B51852">
        <w:rPr>
          <w:szCs w:val="25"/>
        </w:rPr>
        <w:t>30b</w:t>
      </w:r>
      <w:r>
        <w:rPr>
          <w:szCs w:val="25"/>
        </w:rPr>
        <w:tab/>
      </w:r>
      <w:r w:rsidRPr="00CE06CA">
        <w:rPr>
          <w:bCs/>
          <w:szCs w:val="22"/>
          <w:lang w:val="el-GR"/>
        </w:rPr>
        <w:t>τὰ σὰ</w:t>
      </w:r>
      <w:r>
        <w:rPr>
          <w:bCs/>
          <w:szCs w:val="22"/>
        </w:rPr>
        <w:tab/>
        <w:t>lit. “</w:t>
      </w:r>
      <w:proofErr w:type="spellStart"/>
      <w:r>
        <w:rPr>
          <w:bCs/>
          <w:szCs w:val="22"/>
        </w:rPr>
        <w:t>the</w:t>
      </w:r>
      <w:proofErr w:type="spellEnd"/>
      <w:r>
        <w:rPr>
          <w:bCs/>
          <w:szCs w:val="22"/>
        </w:rPr>
        <w:t xml:space="preserve"> your [</w:t>
      </w:r>
      <w:r>
        <w:rPr>
          <w:szCs w:val="25"/>
        </w:rPr>
        <w:t>belongings</w:t>
      </w:r>
      <w:r>
        <w:rPr>
          <w:bCs/>
          <w:szCs w:val="22"/>
        </w:rPr>
        <w:t>]”</w:t>
      </w:r>
      <w:r>
        <w:rPr>
          <w:bCs/>
          <w:szCs w:val="22"/>
        </w:rPr>
        <w:tab/>
        <w:t>(accusative neut. pl.)</w:t>
      </w:r>
    </w:p>
    <w:p w14:paraId="7D95A0A2" w14:textId="77777777" w:rsidR="0018433B" w:rsidRDefault="0018433B" w:rsidP="0018433B">
      <w:pPr>
        <w:pStyle w:val="Style"/>
        <w:widowControl/>
        <w:jc w:val="both"/>
        <w:textAlignment w:val="baseline"/>
        <w:rPr>
          <w:szCs w:val="25"/>
        </w:rPr>
      </w:pPr>
    </w:p>
    <w:p w14:paraId="70404F86" w14:textId="77777777" w:rsidR="0018433B" w:rsidRDefault="0018433B" w:rsidP="0018433B">
      <w:pPr>
        <w:pStyle w:val="Style"/>
        <w:widowControl/>
        <w:jc w:val="both"/>
        <w:textAlignment w:val="baseline"/>
        <w:rPr>
          <w:szCs w:val="25"/>
        </w:rPr>
      </w:pPr>
      <w:r w:rsidRPr="00B51852">
        <w:rPr>
          <w:szCs w:val="25"/>
        </w:rPr>
        <w:t>Each adds a verb in im</w:t>
      </w:r>
      <w:r>
        <w:rPr>
          <w:szCs w:val="25"/>
        </w:rPr>
        <w:t>perative mood:</w:t>
      </w:r>
    </w:p>
    <w:p w14:paraId="6E37BE70" w14:textId="77777777" w:rsidR="0018433B" w:rsidRDefault="0018433B" w:rsidP="0018433B">
      <w:pPr>
        <w:pStyle w:val="Style"/>
        <w:widowControl/>
        <w:jc w:val="both"/>
        <w:textAlignment w:val="baseline"/>
        <w:rPr>
          <w:szCs w:val="25"/>
        </w:rPr>
      </w:pPr>
    </w:p>
    <w:p w14:paraId="6B91CB24" w14:textId="77777777" w:rsidR="0018433B" w:rsidRPr="007C06F0" w:rsidRDefault="0018433B" w:rsidP="0018433B">
      <w:pPr>
        <w:pStyle w:val="Style"/>
        <w:widowControl/>
        <w:tabs>
          <w:tab w:val="left" w:pos="720"/>
          <w:tab w:val="left" w:pos="3600"/>
          <w:tab w:val="left" w:pos="6840"/>
        </w:tabs>
        <w:jc w:val="both"/>
        <w:textAlignment w:val="baseline"/>
        <w:rPr>
          <w:bCs/>
          <w:szCs w:val="22"/>
        </w:rPr>
      </w:pPr>
      <w:r>
        <w:rPr>
          <w:szCs w:val="25"/>
        </w:rPr>
        <w:t>29a</w:t>
      </w:r>
      <w:r>
        <w:rPr>
          <w:szCs w:val="25"/>
        </w:rPr>
        <w:tab/>
      </w:r>
      <w:r w:rsidRPr="00CE06CA">
        <w:rPr>
          <w:bCs/>
          <w:szCs w:val="22"/>
          <w:lang w:val="el-GR"/>
        </w:rPr>
        <w:t>πάρεχε</w:t>
      </w:r>
      <w:r>
        <w:rPr>
          <w:bCs/>
          <w:szCs w:val="22"/>
        </w:rPr>
        <w:tab/>
        <w:t>“</w:t>
      </w:r>
      <w:r w:rsidRPr="00CD75A6">
        <w:t>offer</w:t>
      </w:r>
      <w:r>
        <w:t>”</w:t>
      </w:r>
    </w:p>
    <w:p w14:paraId="532B190A" w14:textId="77777777" w:rsidR="0018433B" w:rsidRDefault="0018433B" w:rsidP="0018433B">
      <w:pPr>
        <w:pStyle w:val="Style"/>
        <w:widowControl/>
        <w:tabs>
          <w:tab w:val="left" w:pos="720"/>
          <w:tab w:val="left" w:pos="3600"/>
          <w:tab w:val="left" w:pos="6840"/>
        </w:tabs>
        <w:jc w:val="both"/>
        <w:textAlignment w:val="baseline"/>
        <w:rPr>
          <w:bCs/>
          <w:szCs w:val="22"/>
        </w:rPr>
      </w:pPr>
      <w:r>
        <w:rPr>
          <w:bCs/>
          <w:szCs w:val="22"/>
        </w:rPr>
        <w:t>29b</w:t>
      </w:r>
      <w:r>
        <w:rPr>
          <w:bCs/>
          <w:szCs w:val="22"/>
        </w:rPr>
        <w:tab/>
      </w:r>
      <w:r w:rsidRPr="00CE06CA">
        <w:rPr>
          <w:bCs/>
          <w:szCs w:val="22"/>
          <w:lang w:val="el-GR"/>
        </w:rPr>
        <w:t>μὴ κωλύσῃς</w:t>
      </w:r>
      <w:r>
        <w:rPr>
          <w:bCs/>
          <w:szCs w:val="22"/>
        </w:rPr>
        <w:tab/>
        <w:t>“</w:t>
      </w:r>
      <w:r w:rsidRPr="00CD75A6">
        <w:t>withhold</w:t>
      </w:r>
      <w:r>
        <w:t>” (</w:t>
      </w:r>
      <w:r>
        <w:rPr>
          <w:bCs/>
          <w:szCs w:val="22"/>
        </w:rPr>
        <w:t>lit. “not forbid”)</w:t>
      </w:r>
    </w:p>
    <w:p w14:paraId="376C834E" w14:textId="77777777" w:rsidR="0018433B" w:rsidRDefault="0018433B" w:rsidP="0018433B">
      <w:pPr>
        <w:pStyle w:val="Style"/>
        <w:widowControl/>
        <w:tabs>
          <w:tab w:val="left" w:pos="720"/>
          <w:tab w:val="left" w:pos="3600"/>
          <w:tab w:val="left" w:pos="6840"/>
        </w:tabs>
        <w:jc w:val="both"/>
        <w:textAlignment w:val="baseline"/>
        <w:rPr>
          <w:bCs/>
          <w:szCs w:val="22"/>
        </w:rPr>
      </w:pPr>
      <w:r>
        <w:rPr>
          <w:bCs/>
          <w:szCs w:val="22"/>
        </w:rPr>
        <w:t>30a</w:t>
      </w:r>
      <w:r>
        <w:rPr>
          <w:bCs/>
          <w:szCs w:val="22"/>
        </w:rPr>
        <w:tab/>
      </w:r>
      <w:r w:rsidRPr="00CE06CA">
        <w:rPr>
          <w:bCs/>
          <w:szCs w:val="22"/>
          <w:lang w:val="el-GR"/>
        </w:rPr>
        <w:t>δίδου</w:t>
      </w:r>
      <w:r>
        <w:rPr>
          <w:bCs/>
          <w:szCs w:val="22"/>
        </w:rPr>
        <w:tab/>
        <w:t>“</w:t>
      </w:r>
      <w:r w:rsidRPr="00CD75A6">
        <w:t>give</w:t>
      </w:r>
      <w:r>
        <w:t>”</w:t>
      </w:r>
    </w:p>
    <w:p w14:paraId="58F605AD" w14:textId="77777777" w:rsidR="0018433B" w:rsidRPr="007C06F0" w:rsidRDefault="0018433B" w:rsidP="0018433B">
      <w:pPr>
        <w:pStyle w:val="Style"/>
        <w:widowControl/>
        <w:tabs>
          <w:tab w:val="left" w:pos="720"/>
          <w:tab w:val="left" w:pos="3600"/>
          <w:tab w:val="left" w:pos="6840"/>
        </w:tabs>
        <w:jc w:val="both"/>
        <w:textAlignment w:val="baseline"/>
        <w:rPr>
          <w:szCs w:val="25"/>
        </w:rPr>
      </w:pPr>
      <w:r>
        <w:rPr>
          <w:bCs/>
          <w:szCs w:val="22"/>
        </w:rPr>
        <w:t>30b</w:t>
      </w:r>
      <w:r>
        <w:rPr>
          <w:bCs/>
          <w:szCs w:val="22"/>
        </w:rPr>
        <w:tab/>
      </w:r>
      <w:r w:rsidRPr="00CE06CA">
        <w:rPr>
          <w:bCs/>
          <w:szCs w:val="22"/>
          <w:lang w:val="el-GR"/>
        </w:rPr>
        <w:t>μὴ ἀπαίτει</w:t>
      </w:r>
      <w:r>
        <w:rPr>
          <w:bCs/>
          <w:szCs w:val="22"/>
        </w:rPr>
        <w:tab/>
        <w:t xml:space="preserve">not </w:t>
      </w:r>
      <w:r>
        <w:t>“</w:t>
      </w:r>
      <w:r w:rsidRPr="009836E0">
        <w:t>ask for or demand something back</w:t>
      </w:r>
      <w:r>
        <w:t xml:space="preserve">” (thus </w:t>
      </w:r>
      <w:r w:rsidRPr="009B6DAC">
        <w:rPr>
          <w:bCs/>
          <w:szCs w:val="22"/>
        </w:rPr>
        <w:t>BDAG</w:t>
      </w:r>
      <w:r>
        <w:t>)</w:t>
      </w:r>
      <w:r>
        <w:rPr>
          <w:rStyle w:val="FootnoteReference"/>
        </w:rPr>
        <w:footnoteReference w:id="507"/>
      </w:r>
    </w:p>
    <w:p w14:paraId="71449C7B" w14:textId="77777777" w:rsidR="0018433B" w:rsidRDefault="0018433B" w:rsidP="0018433B">
      <w:pPr>
        <w:pStyle w:val="Style"/>
        <w:widowControl/>
        <w:jc w:val="both"/>
        <w:textAlignment w:val="baseline"/>
        <w:rPr>
          <w:szCs w:val="25"/>
        </w:rPr>
      </w:pPr>
    </w:p>
    <w:p w14:paraId="70340454" w14:textId="7D665005" w:rsidR="0018433B" w:rsidRPr="00B51852" w:rsidRDefault="0018433B" w:rsidP="0018433B">
      <w:pPr>
        <w:pStyle w:val="Style"/>
        <w:widowControl/>
        <w:jc w:val="both"/>
        <w:textAlignment w:val="baseline"/>
        <w:rPr>
          <w:szCs w:val="25"/>
        </w:rPr>
      </w:pPr>
      <w:r>
        <w:rPr>
          <w:szCs w:val="25"/>
        </w:rPr>
        <w:t xml:space="preserve">Also making the clauses a unity is that each </w:t>
      </w:r>
      <w:r w:rsidRPr="00B51852">
        <w:rPr>
          <w:szCs w:val="25"/>
        </w:rPr>
        <w:t>further exemplifies the command</w:t>
      </w:r>
      <w:r w:rsidR="006F304D" w:rsidRPr="006F304D">
        <w:rPr>
          <w:szCs w:val="25"/>
        </w:rPr>
        <w:t xml:space="preserve">, </w:t>
      </w:r>
      <w:r w:rsidRPr="00B51852">
        <w:rPr>
          <w:szCs w:val="25"/>
        </w:rPr>
        <w:t>“Love your enemies.” These parallels also indicate that the four should be taken as coordinate with one another.</w:t>
      </w:r>
    </w:p>
    <w:p w14:paraId="16970F37" w14:textId="23EF0F59" w:rsidR="0018433B" w:rsidRPr="00B51852" w:rsidRDefault="0018433B" w:rsidP="0018433B">
      <w:pPr>
        <w:pStyle w:val="Style"/>
        <w:widowControl/>
        <w:jc w:val="both"/>
        <w:textAlignment w:val="baseline"/>
        <w:rPr>
          <w:szCs w:val="25"/>
        </w:rPr>
      </w:pPr>
      <w:r>
        <w:rPr>
          <w:szCs w:val="25"/>
        </w:rPr>
        <w:tab/>
      </w:r>
      <w:r w:rsidRPr="00B51852">
        <w:rPr>
          <w:szCs w:val="25"/>
        </w:rPr>
        <w:t>Yet there is also disunity here</w:t>
      </w:r>
      <w:r w:rsidR="006F304D" w:rsidRPr="006F304D">
        <w:rPr>
          <w:szCs w:val="25"/>
        </w:rPr>
        <w:t xml:space="preserve">, </w:t>
      </w:r>
      <w:r w:rsidRPr="00B51852">
        <w:rPr>
          <w:szCs w:val="25"/>
        </w:rPr>
        <w:t>because the first two clauses</w:t>
      </w:r>
      <w:r w:rsidR="006F304D" w:rsidRPr="006F304D">
        <w:rPr>
          <w:szCs w:val="25"/>
        </w:rPr>
        <w:t xml:space="preserve">, </w:t>
      </w:r>
      <w:r w:rsidRPr="00B51852">
        <w:rPr>
          <w:szCs w:val="25"/>
        </w:rPr>
        <w:t>29a and 29b</w:t>
      </w:r>
      <w:r w:rsidR="006F304D" w:rsidRPr="006F304D">
        <w:rPr>
          <w:szCs w:val="25"/>
        </w:rPr>
        <w:t xml:space="preserve">, </w:t>
      </w:r>
      <w:r w:rsidRPr="00B51852">
        <w:rPr>
          <w:szCs w:val="25"/>
        </w:rPr>
        <w:t>are tightly bound</w:t>
      </w:r>
      <w:r>
        <w:rPr>
          <w:szCs w:val="25"/>
        </w:rPr>
        <w:t xml:space="preserve"> (turn the other cheek</w:t>
      </w:r>
      <w:r w:rsidR="006F304D" w:rsidRPr="006F304D">
        <w:rPr>
          <w:szCs w:val="25"/>
        </w:rPr>
        <w:t xml:space="preserve">, </w:t>
      </w:r>
      <w:r>
        <w:rPr>
          <w:szCs w:val="25"/>
        </w:rPr>
        <w:t>give the shirt also);</w:t>
      </w:r>
      <w:r w:rsidRPr="00B51852">
        <w:rPr>
          <w:szCs w:val="25"/>
        </w:rPr>
        <w:t xml:space="preserve"> 30a and 30b</w:t>
      </w:r>
      <w:r w:rsidR="006F304D" w:rsidRPr="006F304D">
        <w:rPr>
          <w:szCs w:val="25"/>
        </w:rPr>
        <w:t xml:space="preserve">, </w:t>
      </w:r>
      <w:r>
        <w:rPr>
          <w:szCs w:val="25"/>
        </w:rPr>
        <w:t>however</w:t>
      </w:r>
      <w:r w:rsidR="006F304D" w:rsidRPr="006F304D">
        <w:rPr>
          <w:szCs w:val="25"/>
        </w:rPr>
        <w:t xml:space="preserve">, </w:t>
      </w:r>
      <w:r w:rsidRPr="00B51852">
        <w:rPr>
          <w:szCs w:val="25"/>
        </w:rPr>
        <w:t>seem extraneous</w:t>
      </w:r>
      <w:r>
        <w:rPr>
          <w:szCs w:val="25"/>
        </w:rPr>
        <w:t xml:space="preserve"> (give to beggars</w:t>
      </w:r>
      <w:r w:rsidR="006F304D" w:rsidRPr="006F304D">
        <w:rPr>
          <w:szCs w:val="25"/>
        </w:rPr>
        <w:t xml:space="preserve">, </w:t>
      </w:r>
      <w:r>
        <w:rPr>
          <w:szCs w:val="25"/>
        </w:rPr>
        <w:t>forego your belongings)</w:t>
      </w:r>
      <w:r w:rsidRPr="00B51852">
        <w:rPr>
          <w:szCs w:val="25"/>
        </w:rPr>
        <w:t>. Verses 29a and 29b are formally similar</w:t>
      </w:r>
      <w:r w:rsidR="006F304D" w:rsidRPr="006F304D">
        <w:rPr>
          <w:szCs w:val="25"/>
        </w:rPr>
        <w:t xml:space="preserve">, </w:t>
      </w:r>
      <w:r w:rsidRPr="00B51852">
        <w:rPr>
          <w:szCs w:val="25"/>
        </w:rPr>
        <w:t>in that the first halves of the two clauses parallel one another: “To him who strikes,” from him who takes away.” (The second halves</w:t>
      </w:r>
      <w:r w:rsidR="006F304D" w:rsidRPr="006F304D">
        <w:rPr>
          <w:szCs w:val="25"/>
        </w:rPr>
        <w:t xml:space="preserve">, </w:t>
      </w:r>
      <w:r w:rsidRPr="00B51852">
        <w:rPr>
          <w:szCs w:val="25"/>
        </w:rPr>
        <w:t>it is true</w:t>
      </w:r>
      <w:r w:rsidR="006F304D" w:rsidRPr="006F304D">
        <w:rPr>
          <w:szCs w:val="25"/>
        </w:rPr>
        <w:t xml:space="preserve">, </w:t>
      </w:r>
      <w:r w:rsidRPr="00B51852">
        <w:rPr>
          <w:szCs w:val="25"/>
        </w:rPr>
        <w:t>are</w:t>
      </w:r>
      <w:r>
        <w:rPr>
          <w:szCs w:val="25"/>
        </w:rPr>
        <w:t xml:space="preserve"> </w:t>
      </w:r>
      <w:r w:rsidRPr="00B51852">
        <w:rPr>
          <w:szCs w:val="25"/>
        </w:rPr>
        <w:t xml:space="preserve">not </w:t>
      </w:r>
      <w:r>
        <w:rPr>
          <w:szCs w:val="25"/>
        </w:rPr>
        <w:t xml:space="preserve">completely parallel: 29a has </w:t>
      </w:r>
      <w:r w:rsidRPr="00B51852">
        <w:rPr>
          <w:szCs w:val="25"/>
        </w:rPr>
        <w:t xml:space="preserve">verb </w:t>
      </w:r>
      <w:r w:rsidRPr="00B51852">
        <w:rPr>
          <w:szCs w:val="27"/>
        </w:rPr>
        <w:t xml:space="preserve">+ </w:t>
      </w:r>
      <w:r w:rsidRPr="00CE06CA">
        <w:rPr>
          <w:bCs/>
          <w:szCs w:val="22"/>
          <w:lang w:val="el-GR"/>
        </w:rPr>
        <w:t>κα</w:t>
      </w:r>
      <w:r>
        <w:rPr>
          <w:bCs/>
          <w:szCs w:val="22"/>
          <w:lang w:val="el-GR"/>
        </w:rPr>
        <w:t>ί</w:t>
      </w:r>
      <w:r w:rsidRPr="00B51852">
        <w:rPr>
          <w:szCs w:val="25"/>
        </w:rPr>
        <w:t xml:space="preserve"> </w:t>
      </w:r>
      <w:r w:rsidRPr="00B51852">
        <w:rPr>
          <w:szCs w:val="27"/>
        </w:rPr>
        <w:t xml:space="preserve">+ </w:t>
      </w:r>
      <w:r w:rsidRPr="00B51852">
        <w:rPr>
          <w:szCs w:val="25"/>
        </w:rPr>
        <w:t>dir</w:t>
      </w:r>
      <w:r>
        <w:rPr>
          <w:szCs w:val="25"/>
        </w:rPr>
        <w:t>ect object</w:t>
      </w:r>
      <w:r w:rsidR="006F304D" w:rsidRPr="006F304D">
        <w:rPr>
          <w:szCs w:val="25"/>
        </w:rPr>
        <w:t xml:space="preserve">, </w:t>
      </w:r>
      <w:r>
        <w:rPr>
          <w:szCs w:val="25"/>
        </w:rPr>
        <w:t xml:space="preserve">whereas 29b has </w:t>
      </w:r>
      <w:r w:rsidRPr="00CE06CA">
        <w:rPr>
          <w:bCs/>
          <w:szCs w:val="22"/>
          <w:lang w:val="el-GR"/>
        </w:rPr>
        <w:t>κα</w:t>
      </w:r>
      <w:r>
        <w:rPr>
          <w:bCs/>
          <w:szCs w:val="22"/>
          <w:lang w:val="el-GR"/>
        </w:rPr>
        <w:t>ί</w:t>
      </w:r>
      <w:r w:rsidRPr="00B51852">
        <w:rPr>
          <w:szCs w:val="25"/>
        </w:rPr>
        <w:t xml:space="preserve"> </w:t>
      </w:r>
      <w:r w:rsidRPr="00B51852">
        <w:rPr>
          <w:szCs w:val="27"/>
        </w:rPr>
        <w:t xml:space="preserve">+ </w:t>
      </w:r>
      <w:r w:rsidRPr="00B51852">
        <w:rPr>
          <w:szCs w:val="25"/>
        </w:rPr>
        <w:t>direct</w:t>
      </w:r>
      <w:r>
        <w:rPr>
          <w:szCs w:val="25"/>
        </w:rPr>
        <w:t xml:space="preserve"> </w:t>
      </w:r>
      <w:r w:rsidRPr="00B51852">
        <w:rPr>
          <w:szCs w:val="25"/>
        </w:rPr>
        <w:t xml:space="preserve">object </w:t>
      </w:r>
      <w:r w:rsidRPr="00B51852">
        <w:rPr>
          <w:szCs w:val="27"/>
        </w:rPr>
        <w:t xml:space="preserve">+ </w:t>
      </w:r>
      <w:r>
        <w:rPr>
          <w:szCs w:val="25"/>
        </w:rPr>
        <w:t>verb. But this</w:t>
      </w:r>
      <w:r w:rsidRPr="00B51852">
        <w:rPr>
          <w:szCs w:val="25"/>
        </w:rPr>
        <w:t xml:space="preserve"> order of 29b </w:t>
      </w:r>
      <w:r>
        <w:rPr>
          <w:szCs w:val="25"/>
        </w:rPr>
        <w:t>allows it to juxtapose</w:t>
      </w:r>
      <w:r w:rsidRPr="00B51852">
        <w:rPr>
          <w:szCs w:val="25"/>
        </w:rPr>
        <w:t xml:space="preserve"> the two garments</w:t>
      </w:r>
      <w:r w:rsidR="006F304D" w:rsidRPr="006F304D">
        <w:rPr>
          <w:szCs w:val="25"/>
        </w:rPr>
        <w:t xml:space="preserve">, </w:t>
      </w:r>
      <w:r>
        <w:rPr>
          <w:szCs w:val="25"/>
        </w:rPr>
        <w:t>[“coat</w:t>
      </w:r>
      <w:r w:rsidRPr="00B51852">
        <w:rPr>
          <w:szCs w:val="25"/>
        </w:rPr>
        <w:t xml:space="preserve"> and </w:t>
      </w:r>
      <w:r>
        <w:rPr>
          <w:szCs w:val="25"/>
        </w:rPr>
        <w:t>shirt</w:t>
      </w:r>
      <w:r w:rsidRPr="00B51852">
        <w:rPr>
          <w:szCs w:val="25"/>
        </w:rPr>
        <w:t>”</w:t>
      </w:r>
      <w:r>
        <w:rPr>
          <w:szCs w:val="25"/>
        </w:rPr>
        <w:t>]</w:t>
      </w:r>
      <w:r w:rsidRPr="00B51852">
        <w:rPr>
          <w:szCs w:val="25"/>
        </w:rPr>
        <w:t xml:space="preserve"> for greater emphasis.) Not only are 29a and 29b formally similar: they are also a complete whole by their content. Each describes an act of violence. Each uses concrete language to make the description vivid and dramatic.</w:t>
      </w:r>
      <w:r>
        <w:rPr>
          <w:rStyle w:val="FootnoteReference"/>
          <w:szCs w:val="25"/>
        </w:rPr>
        <w:footnoteReference w:id="508"/>
      </w:r>
      <w:r>
        <w:rPr>
          <w:szCs w:val="25"/>
        </w:rPr>
        <w:t xml:space="preserve"> </w:t>
      </w:r>
      <w:r w:rsidRPr="00B51852">
        <w:rPr>
          <w:szCs w:val="25"/>
        </w:rPr>
        <w:t>Each advo</w:t>
      </w:r>
      <w:r w:rsidRPr="00B51852">
        <w:rPr>
          <w:szCs w:val="25"/>
        </w:rPr>
        <w:softHyphen/>
        <w:t>cates responding to ill-treatment</w:t>
      </w:r>
      <w:r w:rsidR="006F304D" w:rsidRPr="006F304D">
        <w:rPr>
          <w:szCs w:val="25"/>
        </w:rPr>
        <w:t xml:space="preserve">, </w:t>
      </w:r>
      <w:r w:rsidRPr="00B51852">
        <w:rPr>
          <w:szCs w:val="25"/>
        </w:rPr>
        <w:t>not merely with pas</w:t>
      </w:r>
      <w:r>
        <w:rPr>
          <w:szCs w:val="25"/>
        </w:rPr>
        <w:t>sive non</w:t>
      </w:r>
      <w:r w:rsidRPr="00B51852">
        <w:rPr>
          <w:szCs w:val="25"/>
        </w:rPr>
        <w:t>resistance</w:t>
      </w:r>
      <w:r w:rsidR="006F304D" w:rsidRPr="006F304D">
        <w:rPr>
          <w:szCs w:val="25"/>
        </w:rPr>
        <w:t xml:space="preserve">, </w:t>
      </w:r>
      <w:r w:rsidRPr="00B51852">
        <w:rPr>
          <w:szCs w:val="25"/>
        </w:rPr>
        <w:t>but with a positive act that</w:t>
      </w:r>
      <w:r w:rsidR="006F304D" w:rsidRPr="006F304D">
        <w:rPr>
          <w:szCs w:val="25"/>
        </w:rPr>
        <w:t xml:space="preserve">, </w:t>
      </w:r>
      <w:r w:rsidRPr="00B51852">
        <w:rPr>
          <w:szCs w:val="25"/>
        </w:rPr>
        <w:t>on the surface at least</w:t>
      </w:r>
      <w:r w:rsidR="006F304D" w:rsidRPr="006F304D">
        <w:rPr>
          <w:szCs w:val="25"/>
        </w:rPr>
        <w:t xml:space="preserve">, </w:t>
      </w:r>
      <w:r w:rsidRPr="00B51852">
        <w:rPr>
          <w:szCs w:val="25"/>
        </w:rPr>
        <w:t>assists the perpetrator in repeating the crime.</w:t>
      </w:r>
    </w:p>
    <w:p w14:paraId="3C2F7ED5" w14:textId="259386BF" w:rsidR="0018433B" w:rsidRPr="00B51852" w:rsidRDefault="0018433B" w:rsidP="0018433B">
      <w:pPr>
        <w:pStyle w:val="Style"/>
        <w:widowControl/>
        <w:jc w:val="both"/>
        <w:textAlignment w:val="baseline"/>
        <w:rPr>
          <w:szCs w:val="25"/>
        </w:rPr>
      </w:pPr>
      <w:r>
        <w:rPr>
          <w:szCs w:val="25"/>
        </w:rPr>
        <w:tab/>
      </w:r>
      <w:r w:rsidRPr="00B51852">
        <w:rPr>
          <w:szCs w:val="25"/>
        </w:rPr>
        <w:t>Verses 30a and 30b</w:t>
      </w:r>
      <w:r w:rsidR="006F304D" w:rsidRPr="006F304D">
        <w:rPr>
          <w:szCs w:val="25"/>
        </w:rPr>
        <w:t xml:space="preserve">, </w:t>
      </w:r>
      <w:r w:rsidRPr="00B51852">
        <w:rPr>
          <w:szCs w:val="25"/>
        </w:rPr>
        <w:t>on the other hand</w:t>
      </w:r>
      <w:r w:rsidR="006F304D" w:rsidRPr="006F304D">
        <w:rPr>
          <w:szCs w:val="25"/>
        </w:rPr>
        <w:t xml:space="preserve">, </w:t>
      </w:r>
      <w:r w:rsidRPr="00B51852">
        <w:rPr>
          <w:szCs w:val="25"/>
        </w:rPr>
        <w:t>are quite different. Verse 30a has to do with almsgiving</w:t>
      </w:r>
      <w:r w:rsidR="006F304D" w:rsidRPr="006F304D">
        <w:rPr>
          <w:szCs w:val="25"/>
        </w:rPr>
        <w:t xml:space="preserve">, </w:t>
      </w:r>
      <w:r w:rsidRPr="00B51852">
        <w:rPr>
          <w:szCs w:val="25"/>
        </w:rPr>
        <w:t>not violence; it lacks vivid detail</w:t>
      </w:r>
      <w:r w:rsidR="006F304D" w:rsidRPr="006F304D">
        <w:rPr>
          <w:szCs w:val="25"/>
        </w:rPr>
        <w:t xml:space="preserve">, </w:t>
      </w:r>
      <w:r w:rsidRPr="00B51852">
        <w:rPr>
          <w:szCs w:val="25"/>
        </w:rPr>
        <w:t>and it does not maintain the paradoxical response of 29a and 29b. Verse 30b is even stranger: it is a mere repeti</w:t>
      </w:r>
      <w:r w:rsidRPr="00B51852">
        <w:rPr>
          <w:szCs w:val="25"/>
        </w:rPr>
        <w:softHyphen/>
        <w:t>tion of 29b</w:t>
      </w:r>
      <w:r w:rsidR="006F304D" w:rsidRPr="006F304D">
        <w:rPr>
          <w:szCs w:val="25"/>
        </w:rPr>
        <w:t xml:space="preserve">, </w:t>
      </w:r>
      <w:r w:rsidRPr="00B51852">
        <w:rPr>
          <w:szCs w:val="25"/>
        </w:rPr>
        <w:t>and one which is colorless and which advocates passivity rather than a positive reaction.</w:t>
      </w:r>
    </w:p>
    <w:p w14:paraId="052180A8" w14:textId="630050BE" w:rsidR="0018433B" w:rsidRDefault="0018433B" w:rsidP="0018433B">
      <w:pPr>
        <w:pStyle w:val="Style"/>
        <w:widowControl/>
        <w:jc w:val="both"/>
        <w:textAlignment w:val="baseline"/>
        <w:rPr>
          <w:szCs w:val="25"/>
        </w:rPr>
      </w:pPr>
      <w:r>
        <w:rPr>
          <w:szCs w:val="25"/>
        </w:rPr>
        <w:tab/>
      </w:r>
      <w:r w:rsidRPr="00B51852">
        <w:rPr>
          <w:szCs w:val="25"/>
        </w:rPr>
        <w:t>Should we</w:t>
      </w:r>
      <w:r w:rsidR="006F304D" w:rsidRPr="006F304D">
        <w:rPr>
          <w:szCs w:val="25"/>
        </w:rPr>
        <w:t xml:space="preserve">, </w:t>
      </w:r>
      <w:r w:rsidRPr="00B51852">
        <w:rPr>
          <w:szCs w:val="25"/>
        </w:rPr>
        <w:t>then</w:t>
      </w:r>
      <w:r w:rsidR="006F304D" w:rsidRPr="006F304D">
        <w:rPr>
          <w:szCs w:val="25"/>
        </w:rPr>
        <w:t xml:space="preserve">, </w:t>
      </w:r>
      <w:r w:rsidRPr="00B51852">
        <w:rPr>
          <w:szCs w:val="25"/>
        </w:rPr>
        <w:t>distinguish three co</w:t>
      </w:r>
      <w:r>
        <w:rPr>
          <w:szCs w:val="25"/>
        </w:rPr>
        <w:t>ordinate subdivisions for 20-30—</w:t>
      </w:r>
      <w:r w:rsidRPr="00B51852">
        <w:rPr>
          <w:szCs w:val="25"/>
        </w:rPr>
        <w:t>29ab</w:t>
      </w:r>
      <w:r w:rsidR="006F304D" w:rsidRPr="006F304D">
        <w:rPr>
          <w:szCs w:val="25"/>
        </w:rPr>
        <w:t xml:space="preserve">, </w:t>
      </w:r>
      <w:r w:rsidRPr="00B51852">
        <w:rPr>
          <w:szCs w:val="25"/>
        </w:rPr>
        <w:t>30a</w:t>
      </w:r>
      <w:r w:rsidR="006F304D" w:rsidRPr="006F304D">
        <w:rPr>
          <w:szCs w:val="25"/>
        </w:rPr>
        <w:t xml:space="preserve">, </w:t>
      </w:r>
      <w:r w:rsidRPr="00B51852">
        <w:rPr>
          <w:szCs w:val="25"/>
        </w:rPr>
        <w:t>and 30b? While the differences between 29ab and 30ab warrant a division between the two verses</w:t>
      </w:r>
      <w:r w:rsidR="006F304D" w:rsidRPr="006F304D">
        <w:rPr>
          <w:szCs w:val="25"/>
        </w:rPr>
        <w:t xml:space="preserve">, </w:t>
      </w:r>
      <w:r w:rsidRPr="00B51852">
        <w:rPr>
          <w:szCs w:val="25"/>
        </w:rPr>
        <w:t>it seems best not to subdivide 30 further</w:t>
      </w:r>
      <w:r w:rsidR="006F304D" w:rsidRPr="006F304D">
        <w:rPr>
          <w:szCs w:val="25"/>
        </w:rPr>
        <w:t xml:space="preserve">, </w:t>
      </w:r>
      <w:r w:rsidRPr="00B51852">
        <w:rPr>
          <w:szCs w:val="25"/>
        </w:rPr>
        <w:t>into 30a and 30b. But why do the differences between 30a and 30b not warrant a division</w:t>
      </w:r>
      <w:r w:rsidR="006F304D" w:rsidRPr="006F304D">
        <w:rPr>
          <w:szCs w:val="25"/>
        </w:rPr>
        <w:t xml:space="preserve">, </w:t>
      </w:r>
      <w:r w:rsidRPr="00B51852">
        <w:rPr>
          <w:szCs w:val="25"/>
        </w:rPr>
        <w:t>as the differences between 29ab and 30ab do? Comparing a previous passage will help explain.</w:t>
      </w:r>
    </w:p>
    <w:p w14:paraId="7151673F" w14:textId="483B41B5" w:rsidR="0018433B" w:rsidRPr="00B51852" w:rsidRDefault="0018433B" w:rsidP="0018433B">
      <w:pPr>
        <w:pStyle w:val="Style"/>
        <w:widowControl/>
        <w:jc w:val="both"/>
        <w:textAlignment w:val="baseline"/>
        <w:rPr>
          <w:szCs w:val="25"/>
        </w:rPr>
      </w:pPr>
      <w:r>
        <w:rPr>
          <w:szCs w:val="25"/>
        </w:rPr>
        <w:lastRenderedPageBreak/>
        <w:tab/>
      </w:r>
      <w:r w:rsidRPr="00B51852">
        <w:rPr>
          <w:szCs w:val="25"/>
        </w:rPr>
        <w:t>In treating the beatitudes and woes</w:t>
      </w:r>
      <w:r w:rsidR="006F304D" w:rsidRPr="006F304D">
        <w:rPr>
          <w:szCs w:val="25"/>
        </w:rPr>
        <w:t xml:space="preserve">, </w:t>
      </w:r>
      <w:r w:rsidRPr="00B51852">
        <w:rPr>
          <w:szCs w:val="25"/>
        </w:rPr>
        <w:t>we were justified</w:t>
      </w:r>
      <w:r w:rsidR="006F304D" w:rsidRPr="006F304D">
        <w:rPr>
          <w:szCs w:val="25"/>
        </w:rPr>
        <w:t xml:space="preserve">, </w:t>
      </w:r>
      <w:r w:rsidRPr="00B51852">
        <w:rPr>
          <w:szCs w:val="25"/>
        </w:rPr>
        <w:t>I believe</w:t>
      </w:r>
      <w:r w:rsidR="006F304D" w:rsidRPr="006F304D">
        <w:rPr>
          <w:szCs w:val="25"/>
        </w:rPr>
        <w:t xml:space="preserve">, </w:t>
      </w:r>
      <w:r w:rsidRPr="00B51852">
        <w:rPr>
          <w:szCs w:val="25"/>
        </w:rPr>
        <w:t>in separating the final beatitude and the final woe from those preceding them</w:t>
      </w:r>
      <w:r w:rsidR="006F304D" w:rsidRPr="006F304D">
        <w:rPr>
          <w:szCs w:val="25"/>
        </w:rPr>
        <w:t xml:space="preserve">, </w:t>
      </w:r>
      <w:r w:rsidRPr="00B51852">
        <w:rPr>
          <w:szCs w:val="25"/>
        </w:rPr>
        <w:t>since the redactor of those verses had so totally altered their content</w:t>
      </w:r>
      <w:r w:rsidR="006F304D" w:rsidRPr="006F304D">
        <w:rPr>
          <w:szCs w:val="25"/>
        </w:rPr>
        <w:t xml:space="preserve">, </w:t>
      </w:r>
      <w:r w:rsidRPr="00B51852">
        <w:rPr>
          <w:szCs w:val="25"/>
        </w:rPr>
        <w:t>grammatical structure</w:t>
      </w:r>
      <w:r w:rsidR="006F304D" w:rsidRPr="006F304D">
        <w:rPr>
          <w:szCs w:val="25"/>
        </w:rPr>
        <w:t xml:space="preserve">, </w:t>
      </w:r>
      <w:r w:rsidRPr="00B51852">
        <w:rPr>
          <w:szCs w:val="25"/>
        </w:rPr>
        <w:t xml:space="preserve">and length that apparently he intended them to be set apart. But in verses 29-30 the situation </w:t>
      </w:r>
      <w:r w:rsidRPr="00B51852">
        <w:rPr>
          <w:szCs w:val="23"/>
        </w:rPr>
        <w:t xml:space="preserve">is </w:t>
      </w:r>
      <w:r w:rsidRPr="00B51852">
        <w:rPr>
          <w:szCs w:val="25"/>
        </w:rPr>
        <w:t xml:space="preserve">different. The addition in 30a concerning almsgiving </w:t>
      </w:r>
      <w:r w:rsidRPr="004C516D">
        <w:rPr>
          <w:szCs w:val="25"/>
        </w:rPr>
        <w:t>(</w:t>
      </w:r>
      <w:r w:rsidRPr="00B51852">
        <w:rPr>
          <w:szCs w:val="25"/>
        </w:rPr>
        <w:t>a frequent redactional interest in Luke: see 9:36; 11:41; 12:33; Acts 2:44-45; 4:35</w:t>
      </w:r>
      <w:r w:rsidR="006F304D" w:rsidRPr="006F304D">
        <w:rPr>
          <w:szCs w:val="25"/>
        </w:rPr>
        <w:t xml:space="preserve">, </w:t>
      </w:r>
      <w:r w:rsidRPr="00B51852">
        <w:rPr>
          <w:szCs w:val="25"/>
        </w:rPr>
        <w:t>37; 10:2</w:t>
      </w:r>
      <w:r w:rsidR="006F304D" w:rsidRPr="006F304D">
        <w:rPr>
          <w:szCs w:val="25"/>
        </w:rPr>
        <w:t xml:space="preserve">, </w:t>
      </w:r>
      <w:r w:rsidRPr="00B51852">
        <w:rPr>
          <w:szCs w:val="25"/>
        </w:rPr>
        <w:t>4</w:t>
      </w:r>
      <w:r w:rsidR="006F304D" w:rsidRPr="006F304D">
        <w:rPr>
          <w:szCs w:val="25"/>
        </w:rPr>
        <w:t xml:space="preserve">, </w:t>
      </w:r>
      <w:r w:rsidRPr="00B51852">
        <w:rPr>
          <w:szCs w:val="25"/>
        </w:rPr>
        <w:t>31; 20:35) differs from 29a and 29b only insofar as its content requires it to do so. Perhaps 30b</w:t>
      </w:r>
      <w:r w:rsidR="006F304D" w:rsidRPr="006F304D">
        <w:rPr>
          <w:szCs w:val="25"/>
        </w:rPr>
        <w:t xml:space="preserve">, </w:t>
      </w:r>
      <w:r w:rsidRPr="00B51852">
        <w:rPr>
          <w:szCs w:val="25"/>
        </w:rPr>
        <w:t>the bland repetition of 29b</w:t>
      </w:r>
      <w:r w:rsidR="006F304D" w:rsidRPr="006F304D">
        <w:rPr>
          <w:szCs w:val="25"/>
        </w:rPr>
        <w:t xml:space="preserve">, </w:t>
      </w:r>
      <w:r w:rsidRPr="00B51852">
        <w:rPr>
          <w:szCs w:val="25"/>
        </w:rPr>
        <w:t xml:space="preserve">was added at the same time to provide 30a with the partner it needed to maintain the balance of clauses </w:t>
      </w:r>
      <w:r w:rsidRPr="004C516D">
        <w:rPr>
          <w:szCs w:val="25"/>
        </w:rPr>
        <w:t>(</w:t>
      </w:r>
      <w:r w:rsidRPr="00B51852">
        <w:rPr>
          <w:szCs w:val="25"/>
        </w:rPr>
        <w:t>though 30b may have been added for its own sake</w:t>
      </w:r>
      <w:r w:rsidR="006F304D" w:rsidRPr="006F304D">
        <w:rPr>
          <w:szCs w:val="25"/>
        </w:rPr>
        <w:t xml:space="preserve">, </w:t>
      </w:r>
      <w:r w:rsidRPr="00B51852">
        <w:rPr>
          <w:szCs w:val="25"/>
        </w:rPr>
        <w:t>as a demand for disinterest in material possessions). At any rate</w:t>
      </w:r>
      <w:r w:rsidR="006F304D" w:rsidRPr="006F304D">
        <w:rPr>
          <w:szCs w:val="25"/>
        </w:rPr>
        <w:t xml:space="preserve">, </w:t>
      </w:r>
      <w:r w:rsidRPr="00B51852">
        <w:rPr>
          <w:szCs w:val="25"/>
        </w:rPr>
        <w:t>the intention here does not seem to have been the creation of contrast</w:t>
      </w:r>
      <w:r>
        <w:rPr>
          <w:szCs w:val="25"/>
        </w:rPr>
        <w:t xml:space="preserve"> but a desire </w:t>
      </w:r>
      <w:r w:rsidRPr="00B51852">
        <w:rPr>
          <w:szCs w:val="25"/>
        </w:rPr>
        <w:t>to tuck away the teachings on posses</w:t>
      </w:r>
      <w:r w:rsidRPr="00B51852">
        <w:rPr>
          <w:szCs w:val="25"/>
        </w:rPr>
        <w:softHyphen/>
        <w:t>sions in 30a and 30b within the context of response to violence. Again</w:t>
      </w:r>
      <w:r w:rsidR="006F304D" w:rsidRPr="006F304D">
        <w:rPr>
          <w:szCs w:val="25"/>
        </w:rPr>
        <w:t xml:space="preserve">, </w:t>
      </w:r>
      <w:r w:rsidRPr="00B51852">
        <w:rPr>
          <w:szCs w:val="25"/>
        </w:rPr>
        <w:t xml:space="preserve">the parallels in form and content among the four clauses indicate that the author intended them to be taken as coordinate with one another; but the differences between 30a and 30b are too insignificant to indicate that the author intended them to be taken as </w:t>
      </w:r>
      <w:r>
        <w:rPr>
          <w:szCs w:val="25"/>
        </w:rPr>
        <w:t>distinct from</w:t>
      </w:r>
      <w:r w:rsidRPr="00B51852">
        <w:rPr>
          <w:szCs w:val="25"/>
        </w:rPr>
        <w:t xml:space="preserve"> 29ab.</w:t>
      </w:r>
    </w:p>
    <w:p w14:paraId="5AF2E142" w14:textId="77777777" w:rsidR="0018433B" w:rsidRDefault="0018433B" w:rsidP="0018433B">
      <w:pPr>
        <w:pStyle w:val="Style"/>
        <w:widowControl/>
        <w:jc w:val="both"/>
        <w:textAlignment w:val="baseline"/>
        <w:rPr>
          <w:szCs w:val="25"/>
        </w:rPr>
      </w:pPr>
      <w:r>
        <w:rPr>
          <w:szCs w:val="25"/>
        </w:rPr>
        <w:tab/>
        <w:t>We therefore arrive at this</w:t>
      </w:r>
      <w:r w:rsidRPr="00B51852">
        <w:rPr>
          <w:szCs w:val="25"/>
        </w:rPr>
        <w:t xml:space="preserve"> outline:</w:t>
      </w:r>
    </w:p>
    <w:p w14:paraId="32B8871B" w14:textId="77777777" w:rsidR="0018433B" w:rsidRPr="00B51852" w:rsidRDefault="0018433B" w:rsidP="0018433B">
      <w:pPr>
        <w:pStyle w:val="Style"/>
        <w:widowControl/>
        <w:jc w:val="both"/>
        <w:textAlignment w:val="baseline"/>
        <w:rPr>
          <w:szCs w:val="25"/>
        </w:rPr>
      </w:pPr>
    </w:p>
    <w:p w14:paraId="6C23E063" w14:textId="77777777" w:rsidR="0018433B" w:rsidRPr="00B51852" w:rsidRDefault="0018433B" w:rsidP="0018433B">
      <w:pPr>
        <w:pStyle w:val="Style"/>
        <w:widowControl/>
        <w:tabs>
          <w:tab w:val="left" w:pos="3600"/>
          <w:tab w:val="left" w:pos="3960"/>
          <w:tab w:val="left" w:pos="4320"/>
          <w:tab w:val="left" w:pos="4680"/>
        </w:tabs>
        <w:jc w:val="both"/>
        <w:textAlignment w:val="baseline"/>
        <w:rPr>
          <w:szCs w:val="25"/>
        </w:rPr>
      </w:pPr>
      <w:r>
        <w:rPr>
          <w:szCs w:val="25"/>
        </w:rPr>
        <w:tab/>
        <w:t>1.</w:t>
      </w:r>
      <w:r>
        <w:rPr>
          <w:szCs w:val="25"/>
        </w:rPr>
        <w:tab/>
      </w:r>
      <w:r w:rsidRPr="00B51852">
        <w:rPr>
          <w:szCs w:val="25"/>
        </w:rPr>
        <w:t>29-30</w:t>
      </w:r>
    </w:p>
    <w:p w14:paraId="37641E0B" w14:textId="77777777" w:rsidR="0018433B" w:rsidRPr="00B51852" w:rsidRDefault="0018433B" w:rsidP="0018433B">
      <w:pPr>
        <w:pStyle w:val="Style"/>
        <w:widowControl/>
        <w:tabs>
          <w:tab w:val="left" w:pos="3600"/>
          <w:tab w:val="left" w:pos="3960"/>
          <w:tab w:val="left" w:pos="4320"/>
          <w:tab w:val="left" w:pos="4680"/>
        </w:tabs>
        <w:jc w:val="both"/>
        <w:textAlignment w:val="baseline"/>
        <w:rPr>
          <w:szCs w:val="25"/>
        </w:rPr>
      </w:pPr>
      <w:r>
        <w:rPr>
          <w:szCs w:val="25"/>
        </w:rPr>
        <w:tab/>
      </w:r>
      <w:r>
        <w:rPr>
          <w:szCs w:val="25"/>
        </w:rPr>
        <w:tab/>
        <w:t>a.</w:t>
      </w:r>
      <w:r>
        <w:rPr>
          <w:szCs w:val="25"/>
        </w:rPr>
        <w:tab/>
      </w:r>
      <w:r w:rsidRPr="00B51852">
        <w:rPr>
          <w:szCs w:val="25"/>
        </w:rPr>
        <w:t>29</w:t>
      </w:r>
    </w:p>
    <w:p w14:paraId="16E14B03" w14:textId="77777777" w:rsidR="0018433B" w:rsidRPr="00B51852" w:rsidRDefault="0018433B" w:rsidP="0018433B">
      <w:pPr>
        <w:pStyle w:val="Style"/>
        <w:widowControl/>
        <w:tabs>
          <w:tab w:val="left" w:pos="3600"/>
          <w:tab w:val="left" w:pos="3960"/>
          <w:tab w:val="left" w:pos="4320"/>
          <w:tab w:val="left" w:pos="4680"/>
        </w:tabs>
        <w:jc w:val="both"/>
        <w:textAlignment w:val="baseline"/>
        <w:rPr>
          <w:szCs w:val="25"/>
        </w:rPr>
      </w:pPr>
      <w:r>
        <w:rPr>
          <w:szCs w:val="25"/>
        </w:rPr>
        <w:tab/>
      </w:r>
      <w:r>
        <w:rPr>
          <w:szCs w:val="25"/>
        </w:rPr>
        <w:tab/>
      </w:r>
      <w:r>
        <w:rPr>
          <w:szCs w:val="25"/>
        </w:rPr>
        <w:tab/>
        <w:t>1)</w:t>
      </w:r>
      <w:r>
        <w:rPr>
          <w:szCs w:val="25"/>
        </w:rPr>
        <w:tab/>
      </w:r>
      <w:r w:rsidRPr="00B51852">
        <w:rPr>
          <w:szCs w:val="25"/>
        </w:rPr>
        <w:t>29a</w:t>
      </w:r>
    </w:p>
    <w:p w14:paraId="5C0782B6" w14:textId="77777777" w:rsidR="0018433B" w:rsidRDefault="0018433B" w:rsidP="0018433B">
      <w:pPr>
        <w:pStyle w:val="Style"/>
        <w:widowControl/>
        <w:tabs>
          <w:tab w:val="left" w:pos="3600"/>
          <w:tab w:val="left" w:pos="3960"/>
          <w:tab w:val="left" w:pos="4320"/>
          <w:tab w:val="left" w:pos="4680"/>
        </w:tabs>
        <w:jc w:val="both"/>
        <w:textAlignment w:val="baseline"/>
        <w:rPr>
          <w:szCs w:val="25"/>
        </w:rPr>
      </w:pPr>
      <w:r>
        <w:rPr>
          <w:szCs w:val="25"/>
        </w:rPr>
        <w:tab/>
      </w:r>
      <w:r>
        <w:rPr>
          <w:szCs w:val="25"/>
        </w:rPr>
        <w:tab/>
      </w:r>
      <w:r>
        <w:rPr>
          <w:szCs w:val="25"/>
        </w:rPr>
        <w:tab/>
        <w:t>2)</w:t>
      </w:r>
      <w:r>
        <w:rPr>
          <w:szCs w:val="25"/>
        </w:rPr>
        <w:tab/>
        <w:t>29b</w:t>
      </w:r>
    </w:p>
    <w:p w14:paraId="272E6B0B" w14:textId="77777777" w:rsidR="0018433B" w:rsidRPr="00B51852" w:rsidRDefault="0018433B" w:rsidP="0018433B">
      <w:pPr>
        <w:pStyle w:val="Style"/>
        <w:widowControl/>
        <w:tabs>
          <w:tab w:val="left" w:pos="3600"/>
          <w:tab w:val="left" w:pos="3960"/>
          <w:tab w:val="left" w:pos="4320"/>
          <w:tab w:val="left" w:pos="4680"/>
        </w:tabs>
        <w:jc w:val="both"/>
        <w:textAlignment w:val="baseline"/>
        <w:rPr>
          <w:szCs w:val="25"/>
        </w:rPr>
      </w:pPr>
      <w:r>
        <w:rPr>
          <w:szCs w:val="25"/>
        </w:rPr>
        <w:tab/>
      </w:r>
      <w:r>
        <w:rPr>
          <w:szCs w:val="25"/>
        </w:rPr>
        <w:tab/>
      </w:r>
      <w:r w:rsidRPr="00B51852">
        <w:rPr>
          <w:szCs w:val="25"/>
        </w:rPr>
        <w:t>b.</w:t>
      </w:r>
      <w:r>
        <w:rPr>
          <w:szCs w:val="25"/>
        </w:rPr>
        <w:tab/>
      </w:r>
      <w:r w:rsidRPr="00B51852">
        <w:rPr>
          <w:szCs w:val="25"/>
        </w:rPr>
        <w:t>30</w:t>
      </w:r>
    </w:p>
    <w:p w14:paraId="3ACD4031" w14:textId="77777777" w:rsidR="0018433B" w:rsidRPr="00B51852" w:rsidRDefault="0018433B" w:rsidP="0018433B">
      <w:pPr>
        <w:pStyle w:val="Style"/>
        <w:widowControl/>
        <w:tabs>
          <w:tab w:val="left" w:pos="3600"/>
          <w:tab w:val="left" w:pos="3960"/>
          <w:tab w:val="left" w:pos="4320"/>
          <w:tab w:val="left" w:pos="4680"/>
        </w:tabs>
        <w:jc w:val="both"/>
        <w:textAlignment w:val="baseline"/>
        <w:rPr>
          <w:szCs w:val="25"/>
        </w:rPr>
      </w:pPr>
      <w:r>
        <w:rPr>
          <w:szCs w:val="25"/>
        </w:rPr>
        <w:tab/>
      </w:r>
      <w:r>
        <w:rPr>
          <w:szCs w:val="25"/>
        </w:rPr>
        <w:tab/>
      </w:r>
      <w:r>
        <w:rPr>
          <w:szCs w:val="25"/>
        </w:rPr>
        <w:tab/>
        <w:t>1)</w:t>
      </w:r>
      <w:r>
        <w:rPr>
          <w:szCs w:val="25"/>
        </w:rPr>
        <w:tab/>
      </w:r>
      <w:r w:rsidRPr="00B51852">
        <w:rPr>
          <w:szCs w:val="25"/>
        </w:rPr>
        <w:t>30a</w:t>
      </w:r>
    </w:p>
    <w:p w14:paraId="6F245E4E" w14:textId="77777777" w:rsidR="0018433B" w:rsidRPr="00B51852" w:rsidRDefault="0018433B" w:rsidP="0018433B">
      <w:pPr>
        <w:pStyle w:val="Style"/>
        <w:widowControl/>
        <w:tabs>
          <w:tab w:val="left" w:pos="3600"/>
          <w:tab w:val="left" w:pos="3960"/>
          <w:tab w:val="left" w:pos="4320"/>
          <w:tab w:val="left" w:pos="4680"/>
        </w:tabs>
        <w:jc w:val="both"/>
        <w:textAlignment w:val="baseline"/>
        <w:rPr>
          <w:szCs w:val="25"/>
        </w:rPr>
      </w:pPr>
      <w:r>
        <w:rPr>
          <w:szCs w:val="25"/>
        </w:rPr>
        <w:tab/>
      </w:r>
      <w:r>
        <w:rPr>
          <w:szCs w:val="25"/>
        </w:rPr>
        <w:tab/>
      </w:r>
      <w:r>
        <w:rPr>
          <w:szCs w:val="25"/>
        </w:rPr>
        <w:tab/>
        <w:t>2)</w:t>
      </w:r>
      <w:r>
        <w:rPr>
          <w:szCs w:val="25"/>
        </w:rPr>
        <w:tab/>
      </w:r>
      <w:r w:rsidRPr="00B51852">
        <w:rPr>
          <w:szCs w:val="25"/>
        </w:rPr>
        <w:t>30b</w:t>
      </w:r>
    </w:p>
    <w:p w14:paraId="6142D39D" w14:textId="77777777" w:rsidR="0018433B" w:rsidRDefault="0018433B" w:rsidP="0018433B">
      <w:pPr>
        <w:pStyle w:val="Style"/>
        <w:widowControl/>
        <w:jc w:val="both"/>
      </w:pPr>
    </w:p>
    <w:p w14:paraId="5BBD22D9" w14:textId="77777777" w:rsidR="0018433B" w:rsidRDefault="0018433B" w:rsidP="0018433B">
      <w:pPr>
        <w:pStyle w:val="Style"/>
        <w:widowControl/>
        <w:jc w:val="both"/>
        <w:textAlignment w:val="baseline"/>
        <w:rPr>
          <w:szCs w:val="25"/>
        </w:rPr>
      </w:pPr>
      <w:r>
        <w:rPr>
          <w:szCs w:val="25"/>
        </w:rPr>
        <w:tab/>
      </w:r>
      <w:r w:rsidRPr="00B13F9A">
        <w:rPr>
          <w:b/>
          <w:szCs w:val="25"/>
        </w:rPr>
        <w:t>Luke 6</w:t>
      </w:r>
      <w:r w:rsidRPr="00B51852">
        <w:rPr>
          <w:szCs w:val="25"/>
        </w:rPr>
        <w:t>:</w:t>
      </w:r>
      <w:r w:rsidRPr="00B13F9A">
        <w:rPr>
          <w:b/>
          <w:szCs w:val="25"/>
        </w:rPr>
        <w:t>32-34</w:t>
      </w:r>
      <w:r w:rsidRPr="00B51852">
        <w:rPr>
          <w:szCs w:val="25"/>
        </w:rPr>
        <w:t>. The verses read:</w:t>
      </w:r>
    </w:p>
    <w:p w14:paraId="01EEBF7E" w14:textId="77777777" w:rsidR="0018433B" w:rsidRPr="00B51852" w:rsidRDefault="0018433B" w:rsidP="0018433B">
      <w:pPr>
        <w:pStyle w:val="Style"/>
        <w:widowControl/>
        <w:jc w:val="both"/>
        <w:textAlignment w:val="baseline"/>
        <w:rPr>
          <w:szCs w:val="25"/>
        </w:rPr>
      </w:pPr>
    </w:p>
    <w:p w14:paraId="3F350463" w14:textId="77777777" w:rsidR="0018433B" w:rsidRDefault="0018433B" w:rsidP="0018433B">
      <w:pPr>
        <w:pStyle w:val="Style"/>
        <w:widowControl/>
        <w:ind w:left="720"/>
        <w:jc w:val="both"/>
        <w:textAlignment w:val="baseline"/>
        <w:rPr>
          <w:szCs w:val="25"/>
        </w:rPr>
      </w:pPr>
      <w:r w:rsidRPr="00B51852">
        <w:rPr>
          <w:szCs w:val="25"/>
        </w:rPr>
        <w:t>32a</w:t>
      </w:r>
      <w:r>
        <w:rPr>
          <w:szCs w:val="25"/>
        </w:rPr>
        <w:tab/>
      </w:r>
      <w:r>
        <w:rPr>
          <w:bCs/>
          <w:szCs w:val="22"/>
          <w:lang w:val="el-GR"/>
        </w:rPr>
        <w:t>καὶ εἰ ἀγαπᾶτε τοὺς ἀγαπῶντας ὑμᾶς,</w:t>
      </w:r>
    </w:p>
    <w:p w14:paraId="6FF62BF9" w14:textId="77777777" w:rsidR="0018433B" w:rsidRPr="00B51852" w:rsidRDefault="0018433B" w:rsidP="0018433B">
      <w:pPr>
        <w:pStyle w:val="Style"/>
        <w:widowControl/>
        <w:ind w:left="720"/>
        <w:jc w:val="both"/>
        <w:textAlignment w:val="baseline"/>
        <w:rPr>
          <w:szCs w:val="25"/>
        </w:rPr>
      </w:pPr>
      <w:r w:rsidRPr="00B51852">
        <w:rPr>
          <w:szCs w:val="25"/>
        </w:rPr>
        <w:t>32b</w:t>
      </w:r>
      <w:r>
        <w:rPr>
          <w:szCs w:val="25"/>
        </w:rPr>
        <w:tab/>
      </w:r>
      <w:r w:rsidRPr="00CE06CA">
        <w:rPr>
          <w:bCs/>
          <w:szCs w:val="22"/>
          <w:lang w:val="el-GR"/>
        </w:rPr>
        <w:t>ποία ὑμῖν χάρις ἐστίν;</w:t>
      </w:r>
    </w:p>
    <w:p w14:paraId="5201D06A" w14:textId="77777777" w:rsidR="0018433B" w:rsidRDefault="0018433B" w:rsidP="0018433B">
      <w:pPr>
        <w:pStyle w:val="Style"/>
        <w:widowControl/>
        <w:ind w:left="720"/>
        <w:jc w:val="both"/>
        <w:textAlignment w:val="baseline"/>
        <w:rPr>
          <w:szCs w:val="25"/>
        </w:rPr>
      </w:pPr>
      <w:r w:rsidRPr="00B51852">
        <w:rPr>
          <w:szCs w:val="25"/>
        </w:rPr>
        <w:t>32c</w:t>
      </w:r>
      <w:r>
        <w:rPr>
          <w:szCs w:val="25"/>
        </w:rPr>
        <w:tab/>
      </w:r>
      <w:r w:rsidRPr="00CE06CA">
        <w:rPr>
          <w:bCs/>
          <w:szCs w:val="22"/>
          <w:lang w:val="el-GR"/>
        </w:rPr>
        <w:t>καὶ γὰρ οἱ ἁμαρτωλοὶ τοὺς ἀγαπῶντας αὐτοὺς ἀγαπῶσιν.</w:t>
      </w:r>
    </w:p>
    <w:p w14:paraId="2AA54E26" w14:textId="77777777" w:rsidR="0018433B" w:rsidRPr="00B51852" w:rsidRDefault="0018433B" w:rsidP="0018433B">
      <w:pPr>
        <w:pStyle w:val="Style"/>
        <w:widowControl/>
        <w:ind w:left="720"/>
        <w:jc w:val="both"/>
        <w:textAlignment w:val="baseline"/>
        <w:rPr>
          <w:szCs w:val="30"/>
        </w:rPr>
      </w:pPr>
      <w:r w:rsidRPr="00B51852">
        <w:rPr>
          <w:szCs w:val="25"/>
        </w:rPr>
        <w:t>33a</w:t>
      </w:r>
      <w:r>
        <w:rPr>
          <w:szCs w:val="25"/>
        </w:rPr>
        <w:tab/>
      </w:r>
      <w:r w:rsidRPr="00CE06CA">
        <w:rPr>
          <w:bCs/>
          <w:szCs w:val="22"/>
          <w:lang w:val="el-GR"/>
        </w:rPr>
        <w:t>καὶ [γὰρ] ἐὰν ἀγαθοποιῆτε τοὺς ἀγαθοποιοῦντας ὑμᾶς,</w:t>
      </w:r>
    </w:p>
    <w:p w14:paraId="22B3C0E7" w14:textId="77777777" w:rsidR="0018433B" w:rsidRPr="00B51852" w:rsidRDefault="0018433B" w:rsidP="0018433B">
      <w:pPr>
        <w:pStyle w:val="Style"/>
        <w:widowControl/>
        <w:ind w:left="720"/>
        <w:jc w:val="both"/>
        <w:textAlignment w:val="baseline"/>
        <w:rPr>
          <w:szCs w:val="25"/>
        </w:rPr>
      </w:pPr>
      <w:r w:rsidRPr="00B51852">
        <w:rPr>
          <w:szCs w:val="25"/>
        </w:rPr>
        <w:t>33b</w:t>
      </w:r>
      <w:r>
        <w:rPr>
          <w:szCs w:val="25"/>
        </w:rPr>
        <w:tab/>
      </w:r>
      <w:r w:rsidRPr="00CE06CA">
        <w:rPr>
          <w:bCs/>
          <w:szCs w:val="22"/>
          <w:lang w:val="el-GR"/>
        </w:rPr>
        <w:t>ποία ὑμῖν χάρις ἐστίν;</w:t>
      </w:r>
    </w:p>
    <w:p w14:paraId="64FC2120" w14:textId="77777777" w:rsidR="0018433B" w:rsidRPr="00B51852" w:rsidRDefault="0018433B" w:rsidP="0018433B">
      <w:pPr>
        <w:pStyle w:val="Style"/>
        <w:widowControl/>
        <w:ind w:left="720"/>
        <w:jc w:val="both"/>
        <w:textAlignment w:val="baseline"/>
        <w:rPr>
          <w:szCs w:val="25"/>
        </w:rPr>
      </w:pPr>
      <w:r w:rsidRPr="00B51852">
        <w:rPr>
          <w:szCs w:val="25"/>
        </w:rPr>
        <w:t>33c</w:t>
      </w:r>
      <w:r>
        <w:rPr>
          <w:rFonts w:eastAsia="Arial"/>
          <w:szCs w:val="23"/>
        </w:rPr>
        <w:tab/>
      </w:r>
      <w:r w:rsidRPr="00CE06CA">
        <w:rPr>
          <w:bCs/>
          <w:szCs w:val="22"/>
          <w:lang w:val="el-GR"/>
        </w:rPr>
        <w:t>καὶ οἱ ἁμαρτωλοὶ τὸ αὐτὸ ποιοῦσιν.</w:t>
      </w:r>
    </w:p>
    <w:p w14:paraId="378FC635" w14:textId="77777777" w:rsidR="0018433B" w:rsidRDefault="0018433B" w:rsidP="0018433B">
      <w:pPr>
        <w:pStyle w:val="Style"/>
        <w:widowControl/>
        <w:ind w:left="720"/>
        <w:jc w:val="both"/>
        <w:textAlignment w:val="baseline"/>
        <w:rPr>
          <w:szCs w:val="25"/>
        </w:rPr>
      </w:pPr>
      <w:r w:rsidRPr="00B51852">
        <w:rPr>
          <w:szCs w:val="25"/>
        </w:rPr>
        <w:t>34a</w:t>
      </w:r>
      <w:r>
        <w:rPr>
          <w:szCs w:val="25"/>
        </w:rPr>
        <w:tab/>
      </w:r>
      <w:r w:rsidRPr="00CE06CA">
        <w:rPr>
          <w:bCs/>
          <w:szCs w:val="22"/>
          <w:lang w:val="el-GR"/>
        </w:rPr>
        <w:t>καὶ ἐὰν δανίσητε παρ᾽ ὧν ἐλπίζετε λαβεῖν,</w:t>
      </w:r>
    </w:p>
    <w:p w14:paraId="21B3A337" w14:textId="77777777" w:rsidR="0018433B" w:rsidRPr="00B51852" w:rsidRDefault="0018433B" w:rsidP="0018433B">
      <w:pPr>
        <w:pStyle w:val="Style"/>
        <w:widowControl/>
        <w:ind w:left="720"/>
        <w:jc w:val="both"/>
        <w:textAlignment w:val="baseline"/>
        <w:rPr>
          <w:szCs w:val="25"/>
        </w:rPr>
      </w:pPr>
      <w:r w:rsidRPr="00B51852">
        <w:rPr>
          <w:szCs w:val="25"/>
        </w:rPr>
        <w:t>34b</w:t>
      </w:r>
      <w:r>
        <w:rPr>
          <w:szCs w:val="25"/>
        </w:rPr>
        <w:tab/>
      </w:r>
      <w:r w:rsidRPr="00CE06CA">
        <w:rPr>
          <w:bCs/>
          <w:szCs w:val="22"/>
          <w:lang w:val="el-GR"/>
        </w:rPr>
        <w:t>ποία ὑμῖν χάρις [ἐστίν];</w:t>
      </w:r>
    </w:p>
    <w:p w14:paraId="03894528" w14:textId="77777777" w:rsidR="0018433B" w:rsidRPr="00B51852" w:rsidRDefault="0018433B" w:rsidP="0018433B">
      <w:pPr>
        <w:pStyle w:val="Style"/>
        <w:widowControl/>
        <w:ind w:left="720"/>
        <w:jc w:val="both"/>
        <w:textAlignment w:val="baseline"/>
        <w:rPr>
          <w:szCs w:val="25"/>
        </w:rPr>
      </w:pPr>
      <w:r w:rsidRPr="00B51852">
        <w:rPr>
          <w:szCs w:val="25"/>
        </w:rPr>
        <w:t>34c</w:t>
      </w:r>
      <w:r>
        <w:rPr>
          <w:szCs w:val="25"/>
        </w:rPr>
        <w:tab/>
      </w:r>
      <w:r w:rsidRPr="00CE06CA">
        <w:rPr>
          <w:bCs/>
          <w:szCs w:val="22"/>
          <w:lang w:val="el-GR"/>
        </w:rPr>
        <w:t>καὶ ἁμαρτωλοὶ ἁμαρτωλοῖς δανίζουσιν ἵνα ἀπολάβωσιν τὰ ἴσα.</w:t>
      </w:r>
    </w:p>
    <w:p w14:paraId="442ED0A5" w14:textId="77777777" w:rsidR="0018433B" w:rsidRDefault="0018433B" w:rsidP="0018433B">
      <w:pPr>
        <w:pStyle w:val="Style"/>
        <w:widowControl/>
        <w:jc w:val="both"/>
        <w:textAlignment w:val="baseline"/>
        <w:rPr>
          <w:szCs w:val="32"/>
        </w:rPr>
      </w:pPr>
    </w:p>
    <w:p w14:paraId="53071DDC" w14:textId="77777777" w:rsidR="0018433B" w:rsidRDefault="0018433B" w:rsidP="0018433B">
      <w:pPr>
        <w:pStyle w:val="Style"/>
        <w:widowControl/>
        <w:ind w:left="720"/>
        <w:jc w:val="both"/>
        <w:textAlignment w:val="baseline"/>
        <w:rPr>
          <w:szCs w:val="25"/>
        </w:rPr>
      </w:pPr>
      <w:r w:rsidRPr="00B51852">
        <w:rPr>
          <w:szCs w:val="25"/>
        </w:rPr>
        <w:t>32a</w:t>
      </w:r>
      <w:r>
        <w:rPr>
          <w:szCs w:val="25"/>
        </w:rPr>
        <w:tab/>
      </w:r>
      <w:r w:rsidRPr="00CD75A6">
        <w:t>If you love those who love you,</w:t>
      </w:r>
    </w:p>
    <w:p w14:paraId="53116B8B" w14:textId="77777777" w:rsidR="0018433B" w:rsidRPr="00B51852" w:rsidRDefault="0018433B" w:rsidP="0018433B">
      <w:pPr>
        <w:pStyle w:val="Style"/>
        <w:widowControl/>
        <w:ind w:left="720"/>
        <w:jc w:val="both"/>
        <w:textAlignment w:val="baseline"/>
        <w:rPr>
          <w:szCs w:val="25"/>
        </w:rPr>
      </w:pPr>
      <w:r w:rsidRPr="00B51852">
        <w:rPr>
          <w:szCs w:val="25"/>
        </w:rPr>
        <w:t>32b</w:t>
      </w:r>
      <w:r>
        <w:rPr>
          <w:szCs w:val="25"/>
        </w:rPr>
        <w:tab/>
      </w:r>
      <w:r w:rsidRPr="00CD75A6">
        <w:t>what credit is that to you?</w:t>
      </w:r>
    </w:p>
    <w:p w14:paraId="5E579F8B" w14:textId="77777777" w:rsidR="0018433B" w:rsidRDefault="0018433B" w:rsidP="0018433B">
      <w:pPr>
        <w:pStyle w:val="Style"/>
        <w:widowControl/>
        <w:ind w:left="720"/>
        <w:jc w:val="both"/>
        <w:textAlignment w:val="baseline"/>
        <w:rPr>
          <w:szCs w:val="25"/>
        </w:rPr>
      </w:pPr>
      <w:r w:rsidRPr="00B51852">
        <w:rPr>
          <w:szCs w:val="25"/>
        </w:rPr>
        <w:t>32c</w:t>
      </w:r>
      <w:r>
        <w:rPr>
          <w:szCs w:val="25"/>
        </w:rPr>
        <w:tab/>
      </w:r>
      <w:r w:rsidRPr="00CD75A6">
        <w:t>For even sinners love those who love them.</w:t>
      </w:r>
    </w:p>
    <w:p w14:paraId="62906E7C" w14:textId="77777777" w:rsidR="0018433B" w:rsidRPr="00B51852" w:rsidRDefault="0018433B" w:rsidP="0018433B">
      <w:pPr>
        <w:pStyle w:val="Style"/>
        <w:widowControl/>
        <w:ind w:left="720"/>
        <w:jc w:val="both"/>
        <w:textAlignment w:val="baseline"/>
        <w:rPr>
          <w:szCs w:val="30"/>
        </w:rPr>
      </w:pPr>
      <w:r w:rsidRPr="00B51852">
        <w:rPr>
          <w:szCs w:val="25"/>
        </w:rPr>
        <w:t>33a</w:t>
      </w:r>
      <w:r>
        <w:rPr>
          <w:szCs w:val="25"/>
        </w:rPr>
        <w:tab/>
      </w:r>
      <w:r w:rsidRPr="00CD75A6">
        <w:t>And if you do good to those who do good to you,</w:t>
      </w:r>
    </w:p>
    <w:p w14:paraId="59EB86D4" w14:textId="77777777" w:rsidR="0018433B" w:rsidRPr="00B51852" w:rsidRDefault="0018433B" w:rsidP="0018433B">
      <w:pPr>
        <w:pStyle w:val="Style"/>
        <w:widowControl/>
        <w:ind w:left="720"/>
        <w:jc w:val="both"/>
        <w:textAlignment w:val="baseline"/>
        <w:rPr>
          <w:szCs w:val="25"/>
        </w:rPr>
      </w:pPr>
      <w:r w:rsidRPr="00B51852">
        <w:rPr>
          <w:szCs w:val="25"/>
        </w:rPr>
        <w:t>33b</w:t>
      </w:r>
      <w:r>
        <w:rPr>
          <w:szCs w:val="25"/>
        </w:rPr>
        <w:tab/>
      </w:r>
      <w:r w:rsidRPr="00CD75A6">
        <w:t>what credit is that to you?</w:t>
      </w:r>
    </w:p>
    <w:p w14:paraId="3BA04F8D" w14:textId="77777777" w:rsidR="0018433B" w:rsidRPr="00B51852" w:rsidRDefault="0018433B" w:rsidP="0018433B">
      <w:pPr>
        <w:pStyle w:val="Style"/>
        <w:widowControl/>
        <w:ind w:left="720"/>
        <w:jc w:val="both"/>
        <w:textAlignment w:val="baseline"/>
        <w:rPr>
          <w:szCs w:val="25"/>
        </w:rPr>
      </w:pPr>
      <w:r w:rsidRPr="00B51852">
        <w:rPr>
          <w:szCs w:val="25"/>
        </w:rPr>
        <w:t>33c</w:t>
      </w:r>
      <w:r>
        <w:rPr>
          <w:rFonts w:eastAsia="Arial"/>
          <w:szCs w:val="23"/>
        </w:rPr>
        <w:tab/>
      </w:r>
      <w:r w:rsidRPr="00CD75A6">
        <w:t>For even sinners do the same.</w:t>
      </w:r>
    </w:p>
    <w:p w14:paraId="1018BA94" w14:textId="77777777" w:rsidR="0018433B" w:rsidRDefault="0018433B" w:rsidP="0018433B">
      <w:pPr>
        <w:pStyle w:val="Style"/>
        <w:widowControl/>
        <w:ind w:left="720"/>
        <w:jc w:val="both"/>
        <w:textAlignment w:val="baseline"/>
        <w:rPr>
          <w:szCs w:val="25"/>
        </w:rPr>
      </w:pPr>
      <w:r w:rsidRPr="00B51852">
        <w:rPr>
          <w:szCs w:val="25"/>
        </w:rPr>
        <w:t>34a</w:t>
      </w:r>
      <w:r>
        <w:rPr>
          <w:szCs w:val="25"/>
        </w:rPr>
        <w:tab/>
      </w:r>
      <w:r w:rsidRPr="00CD75A6">
        <w:t>If you lend to those from whom you hope to receive,</w:t>
      </w:r>
    </w:p>
    <w:p w14:paraId="1FBA77E4" w14:textId="77777777" w:rsidR="0018433B" w:rsidRPr="00B51852" w:rsidRDefault="0018433B" w:rsidP="0018433B">
      <w:pPr>
        <w:pStyle w:val="Style"/>
        <w:widowControl/>
        <w:ind w:left="720"/>
        <w:jc w:val="both"/>
        <w:textAlignment w:val="baseline"/>
        <w:rPr>
          <w:szCs w:val="25"/>
        </w:rPr>
      </w:pPr>
      <w:r w:rsidRPr="00B51852">
        <w:rPr>
          <w:szCs w:val="25"/>
        </w:rPr>
        <w:t>34b</w:t>
      </w:r>
      <w:r>
        <w:rPr>
          <w:szCs w:val="25"/>
        </w:rPr>
        <w:tab/>
      </w:r>
      <w:r w:rsidRPr="00CD75A6">
        <w:t>what credit is that to you?</w:t>
      </w:r>
    </w:p>
    <w:p w14:paraId="4F961B2D" w14:textId="5D024CCD" w:rsidR="0018433B" w:rsidRPr="00B51852" w:rsidRDefault="0018433B" w:rsidP="0018433B">
      <w:pPr>
        <w:pStyle w:val="Style"/>
        <w:widowControl/>
        <w:ind w:left="720"/>
        <w:jc w:val="both"/>
        <w:textAlignment w:val="baseline"/>
        <w:rPr>
          <w:szCs w:val="25"/>
        </w:rPr>
      </w:pPr>
      <w:r w:rsidRPr="00B51852">
        <w:rPr>
          <w:szCs w:val="25"/>
        </w:rPr>
        <w:t>34c</w:t>
      </w:r>
      <w:r>
        <w:rPr>
          <w:szCs w:val="25"/>
        </w:rPr>
        <w:tab/>
      </w:r>
      <w:r w:rsidRPr="00CD75A6">
        <w:t>Even sinners lend to sinners</w:t>
      </w:r>
      <w:r w:rsidR="006F304D" w:rsidRPr="006F304D">
        <w:t xml:space="preserve">, </w:t>
      </w:r>
      <w:r w:rsidRPr="00CD75A6">
        <w:t>to receive as much again.</w:t>
      </w:r>
    </w:p>
    <w:p w14:paraId="4C9D73C6" w14:textId="77777777" w:rsidR="0018433B" w:rsidRDefault="0018433B" w:rsidP="0018433B">
      <w:pPr>
        <w:pStyle w:val="Style"/>
        <w:widowControl/>
        <w:jc w:val="both"/>
        <w:textAlignment w:val="baseline"/>
        <w:rPr>
          <w:szCs w:val="25"/>
        </w:rPr>
      </w:pPr>
    </w:p>
    <w:p w14:paraId="4F6F5862" w14:textId="44032196" w:rsidR="0018433B" w:rsidRPr="00B13F9A" w:rsidRDefault="0018433B" w:rsidP="0018433B">
      <w:pPr>
        <w:pStyle w:val="Style"/>
        <w:widowControl/>
        <w:jc w:val="both"/>
        <w:textAlignment w:val="baseline"/>
        <w:rPr>
          <w:szCs w:val="25"/>
        </w:rPr>
      </w:pPr>
      <w:r>
        <w:rPr>
          <w:szCs w:val="25"/>
        </w:rPr>
        <w:lastRenderedPageBreak/>
        <w:tab/>
      </w:r>
      <w:r w:rsidRPr="00B51852">
        <w:rPr>
          <w:szCs w:val="25"/>
        </w:rPr>
        <w:t>These verses obviously belong together; each has three parts which are grammatically very similar. Between the first and second verses</w:t>
      </w:r>
      <w:r w:rsidR="006F304D" w:rsidRPr="006F304D">
        <w:rPr>
          <w:szCs w:val="25"/>
        </w:rPr>
        <w:t xml:space="preserve">, </w:t>
      </w:r>
      <w:r w:rsidRPr="00B51852">
        <w:rPr>
          <w:szCs w:val="25"/>
        </w:rPr>
        <w:t>in fact</w:t>
      </w:r>
      <w:r w:rsidR="006F304D" w:rsidRPr="006F304D">
        <w:rPr>
          <w:szCs w:val="25"/>
        </w:rPr>
        <w:t xml:space="preserve">, </w:t>
      </w:r>
      <w:r w:rsidRPr="00B51852">
        <w:rPr>
          <w:szCs w:val="25"/>
        </w:rPr>
        <w:t xml:space="preserve">the differences are so minimal as to be insignificant: (1) the absence of </w:t>
      </w:r>
      <w:r w:rsidRPr="00CE06CA">
        <w:rPr>
          <w:bCs/>
          <w:szCs w:val="22"/>
          <w:lang w:val="el-GR"/>
        </w:rPr>
        <w:t>γ</w:t>
      </w:r>
      <w:r>
        <w:rPr>
          <w:bCs/>
          <w:szCs w:val="22"/>
          <w:lang w:val="el-GR"/>
        </w:rPr>
        <w:t>ά</w:t>
      </w:r>
      <w:r w:rsidRPr="00CE06CA">
        <w:rPr>
          <w:bCs/>
          <w:szCs w:val="22"/>
          <w:lang w:val="el-GR"/>
        </w:rPr>
        <w:t>ρ</w:t>
      </w:r>
      <w:r>
        <w:rPr>
          <w:szCs w:val="25"/>
        </w:rPr>
        <w:t xml:space="preserve"> </w:t>
      </w:r>
      <w:r w:rsidRPr="00B51852">
        <w:rPr>
          <w:szCs w:val="25"/>
        </w:rPr>
        <w:t xml:space="preserve">in 32a and its absence in 33a; (2) the presence of </w:t>
      </w:r>
      <w:r w:rsidRPr="00CE06CA">
        <w:rPr>
          <w:bCs/>
          <w:szCs w:val="22"/>
          <w:lang w:val="el-GR"/>
        </w:rPr>
        <w:t>γ</w:t>
      </w:r>
      <w:r>
        <w:rPr>
          <w:bCs/>
          <w:szCs w:val="22"/>
          <w:lang w:val="el-GR"/>
        </w:rPr>
        <w:t>ά</w:t>
      </w:r>
      <w:r w:rsidRPr="00CE06CA">
        <w:rPr>
          <w:bCs/>
          <w:szCs w:val="22"/>
          <w:lang w:val="el-GR"/>
        </w:rPr>
        <w:t>ρ</w:t>
      </w:r>
      <w:r>
        <w:rPr>
          <w:szCs w:val="25"/>
        </w:rPr>
        <w:t xml:space="preserve"> </w:t>
      </w:r>
      <w:r w:rsidRPr="00B51852">
        <w:rPr>
          <w:szCs w:val="25"/>
        </w:rPr>
        <w:t>in 32c and its absence in 33c; (3) t</w:t>
      </w:r>
      <w:r>
        <w:rPr>
          <w:szCs w:val="25"/>
        </w:rPr>
        <w:t xml:space="preserve">he change from indicative mood in </w:t>
      </w:r>
      <w:r w:rsidRPr="00B51852">
        <w:rPr>
          <w:szCs w:val="25"/>
        </w:rPr>
        <w:t>32</w:t>
      </w:r>
      <w:r>
        <w:rPr>
          <w:szCs w:val="25"/>
        </w:rPr>
        <w:t xml:space="preserve"> to subjunctive</w:t>
      </w:r>
      <w:r w:rsidR="000151C8" w:rsidRPr="000151C8">
        <w:rPr>
          <w:iCs/>
          <w:szCs w:val="25"/>
        </w:rPr>
        <w:t xml:space="preserve"> </w:t>
      </w:r>
      <w:r>
        <w:rPr>
          <w:szCs w:val="25"/>
        </w:rPr>
        <w:t xml:space="preserve">in </w:t>
      </w:r>
      <w:r w:rsidRPr="00B51852">
        <w:rPr>
          <w:szCs w:val="25"/>
        </w:rPr>
        <w:t>33</w:t>
      </w:r>
      <w:r w:rsidR="006F304D" w:rsidRPr="006F304D">
        <w:rPr>
          <w:szCs w:val="25"/>
        </w:rPr>
        <w:t xml:space="preserve">, </w:t>
      </w:r>
      <w:r w:rsidRPr="00B51852">
        <w:rPr>
          <w:szCs w:val="25"/>
        </w:rPr>
        <w:t>with the corresponding change in subordinating conjunction (32</w:t>
      </w:r>
      <w:r w:rsidR="006F304D" w:rsidRPr="006F304D">
        <w:rPr>
          <w:szCs w:val="25"/>
        </w:rPr>
        <w:t xml:space="preserve">, </w:t>
      </w:r>
      <w:r>
        <w:rPr>
          <w:bCs/>
          <w:szCs w:val="22"/>
          <w:lang w:val="el-GR"/>
        </w:rPr>
        <w:t>εἰ</w:t>
      </w:r>
      <w:r w:rsidR="006F304D" w:rsidRPr="006F304D">
        <w:rPr>
          <w:szCs w:val="25"/>
        </w:rPr>
        <w:t xml:space="preserve">, </w:t>
      </w:r>
      <w:r w:rsidRPr="00B51852">
        <w:rPr>
          <w:szCs w:val="25"/>
        </w:rPr>
        <w:t>33</w:t>
      </w:r>
      <w:r w:rsidR="006F304D" w:rsidRPr="006F304D">
        <w:rPr>
          <w:szCs w:val="25"/>
        </w:rPr>
        <w:t xml:space="preserve">, </w:t>
      </w:r>
      <w:r>
        <w:rPr>
          <w:bCs/>
          <w:szCs w:val="22"/>
          <w:lang w:val="el-GR"/>
        </w:rPr>
        <w:t>ἐά</w:t>
      </w:r>
      <w:r w:rsidRPr="00CE06CA">
        <w:rPr>
          <w:bCs/>
          <w:szCs w:val="22"/>
          <w:lang w:val="el-GR"/>
        </w:rPr>
        <w:t>ν</w:t>
      </w:r>
      <w:r w:rsidRPr="004C516D">
        <w:rPr>
          <w:szCs w:val="25"/>
        </w:rPr>
        <w:t>)</w:t>
      </w:r>
      <w:r w:rsidRPr="00B51852">
        <w:rPr>
          <w:szCs w:val="25"/>
        </w:rPr>
        <w:t xml:space="preserve">; the repetition at the end of verse 32 of the specific act mentioned at the beginning of the verse </w:t>
      </w:r>
      <w:r w:rsidRPr="004C516D">
        <w:rPr>
          <w:szCs w:val="25"/>
        </w:rPr>
        <w:t>(</w:t>
      </w:r>
      <w:r w:rsidRPr="00CE06CA">
        <w:rPr>
          <w:bCs/>
          <w:szCs w:val="22"/>
          <w:lang w:val="el-GR"/>
        </w:rPr>
        <w:t>ἀγαπ</w:t>
      </w:r>
      <w:r>
        <w:rPr>
          <w:bCs/>
          <w:szCs w:val="22"/>
          <w:lang w:val="el-GR"/>
        </w:rPr>
        <w:t>άω</w:t>
      </w:r>
      <w:r w:rsidRPr="00230C90">
        <w:rPr>
          <w:szCs w:val="25"/>
        </w:rPr>
        <w:t>)</w:t>
      </w:r>
      <w:r w:rsidR="006F304D" w:rsidRPr="006F304D">
        <w:rPr>
          <w:szCs w:val="25"/>
        </w:rPr>
        <w:t xml:space="preserve">, </w:t>
      </w:r>
      <w:r w:rsidRPr="00230C90">
        <w:rPr>
          <w:szCs w:val="25"/>
        </w:rPr>
        <w:t xml:space="preserve">versus the general </w:t>
      </w:r>
      <w:r w:rsidRPr="00CE06CA">
        <w:rPr>
          <w:bCs/>
          <w:szCs w:val="22"/>
          <w:lang w:val="el-GR"/>
        </w:rPr>
        <w:t>τὸ αὐτὸ ποιοῦσιν</w:t>
      </w:r>
      <w:r w:rsidRPr="00B51852">
        <w:rPr>
          <w:szCs w:val="25"/>
        </w:rPr>
        <w:t xml:space="preserve"> at the end of verse 33.</w:t>
      </w:r>
      <w:r>
        <w:rPr>
          <w:rStyle w:val="FootnoteReference"/>
          <w:szCs w:val="25"/>
        </w:rPr>
        <w:footnoteReference w:id="509"/>
      </w:r>
    </w:p>
    <w:p w14:paraId="7D9E7F30" w14:textId="7E26854F" w:rsidR="0018433B" w:rsidRPr="00B51852" w:rsidRDefault="0018433B" w:rsidP="0018433B">
      <w:pPr>
        <w:pStyle w:val="Style"/>
        <w:widowControl/>
        <w:jc w:val="both"/>
        <w:textAlignment w:val="baseline"/>
        <w:rPr>
          <w:szCs w:val="25"/>
        </w:rPr>
      </w:pPr>
      <w:r>
        <w:rPr>
          <w:szCs w:val="25"/>
        </w:rPr>
        <w:tab/>
      </w:r>
      <w:r w:rsidRPr="00B51852">
        <w:rPr>
          <w:szCs w:val="25"/>
        </w:rPr>
        <w:t>Verse 34</w:t>
      </w:r>
      <w:r w:rsidR="006F304D" w:rsidRPr="006F304D">
        <w:rPr>
          <w:szCs w:val="25"/>
        </w:rPr>
        <w:t xml:space="preserve">, </w:t>
      </w:r>
      <w:r w:rsidRPr="00B51852">
        <w:rPr>
          <w:szCs w:val="25"/>
        </w:rPr>
        <w:t>on the other hand</w:t>
      </w:r>
      <w:r w:rsidR="006F304D" w:rsidRPr="006F304D">
        <w:rPr>
          <w:szCs w:val="25"/>
        </w:rPr>
        <w:t xml:space="preserve">, </w:t>
      </w:r>
      <w:r w:rsidRPr="00B51852">
        <w:rPr>
          <w:szCs w:val="25"/>
        </w:rPr>
        <w:t>differs from 32 and 33 significantly. Instead of a participial phrase in 34a</w:t>
      </w:r>
      <w:r w:rsidR="006F304D" w:rsidRPr="006F304D">
        <w:rPr>
          <w:szCs w:val="25"/>
        </w:rPr>
        <w:t xml:space="preserve">, </w:t>
      </w:r>
      <w:r w:rsidRPr="00B51852">
        <w:rPr>
          <w:szCs w:val="25"/>
        </w:rPr>
        <w:t>one finds a relative clause with dependent infinitive; the middle clause</w:t>
      </w:r>
      <w:r w:rsidR="006F304D" w:rsidRPr="006F304D">
        <w:rPr>
          <w:szCs w:val="25"/>
        </w:rPr>
        <w:t xml:space="preserve">, </w:t>
      </w:r>
      <w:r w:rsidRPr="00CE06CA">
        <w:rPr>
          <w:bCs/>
          <w:szCs w:val="22"/>
          <w:lang w:val="el-GR"/>
        </w:rPr>
        <w:t>ποία ὑμῖν χάρις</w:t>
      </w:r>
      <w:r w:rsidR="006F304D" w:rsidRPr="006F304D">
        <w:rPr>
          <w:szCs w:val="30"/>
        </w:rPr>
        <w:t xml:space="preserve">, </w:t>
      </w:r>
      <w:r>
        <w:rPr>
          <w:szCs w:val="25"/>
        </w:rPr>
        <w:t>drops the copula</w:t>
      </w:r>
      <w:r>
        <w:rPr>
          <w:rStyle w:val="FootnoteReference"/>
          <w:szCs w:val="25"/>
        </w:rPr>
        <w:footnoteReference w:id="510"/>
      </w:r>
      <w:r w:rsidRPr="00B51852">
        <w:rPr>
          <w:szCs w:val="25"/>
        </w:rPr>
        <w:t>; and the last versicle</w:t>
      </w:r>
      <w:r w:rsidR="006F304D" w:rsidRPr="006F304D">
        <w:rPr>
          <w:szCs w:val="25"/>
        </w:rPr>
        <w:t xml:space="preserve">, </w:t>
      </w:r>
      <w:r w:rsidRPr="00B51852">
        <w:rPr>
          <w:szCs w:val="25"/>
        </w:rPr>
        <w:t>34c</w:t>
      </w:r>
      <w:r w:rsidR="006F304D" w:rsidRPr="006F304D">
        <w:rPr>
          <w:szCs w:val="25"/>
        </w:rPr>
        <w:t xml:space="preserve">, </w:t>
      </w:r>
      <w:r w:rsidRPr="00B51852">
        <w:rPr>
          <w:szCs w:val="25"/>
        </w:rPr>
        <w:t>appends a purpose clause. Once again one finds evidence of redactional disruption</w:t>
      </w:r>
      <w:r>
        <w:rPr>
          <w:szCs w:val="25"/>
        </w:rPr>
        <w:t xml:space="preserve"> </w:t>
      </w:r>
      <w:r w:rsidRPr="00B51852">
        <w:rPr>
          <w:szCs w:val="25"/>
        </w:rPr>
        <w:t>at the end of a unit (see verses 22-23; 26; 30).</w:t>
      </w:r>
      <w:r>
        <w:rPr>
          <w:rStyle w:val="FootnoteReference"/>
          <w:szCs w:val="25"/>
        </w:rPr>
        <w:footnoteReference w:id="511"/>
      </w:r>
      <w:r>
        <w:rPr>
          <w:szCs w:val="25"/>
        </w:rPr>
        <w:t xml:space="preserve"> </w:t>
      </w:r>
      <w:r w:rsidRPr="00B51852">
        <w:rPr>
          <w:szCs w:val="25"/>
        </w:rPr>
        <w:t>Despite the differences</w:t>
      </w:r>
      <w:r w:rsidR="006F304D" w:rsidRPr="006F304D">
        <w:rPr>
          <w:szCs w:val="25"/>
        </w:rPr>
        <w:t xml:space="preserve">, </w:t>
      </w:r>
      <w:r w:rsidRPr="00B51852">
        <w:rPr>
          <w:szCs w:val="25"/>
        </w:rPr>
        <w:t>however</w:t>
      </w:r>
      <w:r w:rsidR="006F304D" w:rsidRPr="006F304D">
        <w:rPr>
          <w:szCs w:val="25"/>
        </w:rPr>
        <w:t xml:space="preserve">, </w:t>
      </w:r>
      <w:r w:rsidRPr="00B51852">
        <w:rPr>
          <w:szCs w:val="25"/>
        </w:rPr>
        <w:t>the redactor’s intention seems to have been here</w:t>
      </w:r>
      <w:r w:rsidR="006F304D" w:rsidRPr="006F304D">
        <w:rPr>
          <w:szCs w:val="25"/>
        </w:rPr>
        <w:t xml:space="preserve">, </w:t>
      </w:r>
      <w:r w:rsidRPr="00B51852">
        <w:rPr>
          <w:szCs w:val="25"/>
        </w:rPr>
        <w:t>as in verse 30</w:t>
      </w:r>
      <w:r w:rsidR="006F304D" w:rsidRPr="006F304D">
        <w:rPr>
          <w:szCs w:val="25"/>
        </w:rPr>
        <w:t xml:space="preserve">, </w:t>
      </w:r>
      <w:r w:rsidRPr="00B51852">
        <w:rPr>
          <w:szCs w:val="25"/>
        </w:rPr>
        <w:t>not to create contrast</w:t>
      </w:r>
      <w:r w:rsidR="006F304D" w:rsidRPr="006F304D">
        <w:rPr>
          <w:szCs w:val="25"/>
        </w:rPr>
        <w:t xml:space="preserve">, </w:t>
      </w:r>
      <w:r w:rsidRPr="00B51852">
        <w:rPr>
          <w:szCs w:val="25"/>
        </w:rPr>
        <w:t>but to create identity: 34 has the same basic triad of clauses as 32 and 33</w:t>
      </w:r>
      <w:r w:rsidR="006F304D" w:rsidRPr="006F304D">
        <w:rPr>
          <w:szCs w:val="25"/>
        </w:rPr>
        <w:t xml:space="preserve">, </w:t>
      </w:r>
      <w:r w:rsidRPr="00B51852">
        <w:rPr>
          <w:szCs w:val="25"/>
        </w:rPr>
        <w:t>and each clause in 34 maintains the same word order as its parallels in 32 and 33. Thus we will consider 32-34 a unit</w:t>
      </w:r>
      <w:r w:rsidR="006F304D" w:rsidRPr="006F304D">
        <w:rPr>
          <w:szCs w:val="25"/>
        </w:rPr>
        <w:t xml:space="preserve">, </w:t>
      </w:r>
      <w:r w:rsidRPr="00B51852">
        <w:rPr>
          <w:szCs w:val="25"/>
        </w:rPr>
        <w:t>subdivided into three subunits</w:t>
      </w:r>
      <w:r w:rsidR="006F304D" w:rsidRPr="006F304D">
        <w:rPr>
          <w:szCs w:val="25"/>
        </w:rPr>
        <w:t xml:space="preserve">, </w:t>
      </w:r>
      <w:r w:rsidRPr="00B51852">
        <w:rPr>
          <w:szCs w:val="25"/>
        </w:rPr>
        <w:t>each with three parallel parts; but we will not subdivide between 32-33 on the one hand</w:t>
      </w:r>
      <w:r w:rsidR="006F304D" w:rsidRPr="006F304D">
        <w:rPr>
          <w:szCs w:val="25"/>
        </w:rPr>
        <w:t xml:space="preserve">, </w:t>
      </w:r>
      <w:r w:rsidRPr="00B51852">
        <w:rPr>
          <w:szCs w:val="25"/>
        </w:rPr>
        <w:t>and 34 on the other.</w:t>
      </w:r>
    </w:p>
    <w:p w14:paraId="4482619A" w14:textId="77777777" w:rsidR="0018433B" w:rsidRDefault="0018433B" w:rsidP="0018433B">
      <w:pPr>
        <w:pStyle w:val="Style"/>
        <w:widowControl/>
        <w:jc w:val="both"/>
        <w:textAlignment w:val="baseline"/>
        <w:rPr>
          <w:szCs w:val="25"/>
        </w:rPr>
      </w:pPr>
    </w:p>
    <w:p w14:paraId="58E732E0" w14:textId="77777777" w:rsidR="0018433B" w:rsidRDefault="0018433B" w:rsidP="0018433B">
      <w:pPr>
        <w:tabs>
          <w:tab w:val="left" w:pos="3600"/>
          <w:tab w:val="left" w:pos="3960"/>
          <w:tab w:val="left" w:pos="4320"/>
          <w:tab w:val="left" w:pos="4680"/>
        </w:tabs>
        <w:contextualSpacing/>
      </w:pPr>
      <w:r>
        <w:tab/>
        <w:t>1.</w:t>
      </w:r>
      <w:r>
        <w:tab/>
        <w:t>32-34</w:t>
      </w:r>
    </w:p>
    <w:p w14:paraId="3897A4BA" w14:textId="77777777" w:rsidR="0018433B" w:rsidRDefault="0018433B" w:rsidP="0018433B">
      <w:pPr>
        <w:tabs>
          <w:tab w:val="left" w:pos="3600"/>
          <w:tab w:val="left" w:pos="3960"/>
          <w:tab w:val="left" w:pos="4320"/>
          <w:tab w:val="left" w:pos="4680"/>
        </w:tabs>
        <w:contextualSpacing/>
      </w:pPr>
      <w:r>
        <w:tab/>
      </w:r>
      <w:r>
        <w:tab/>
        <w:t>a.</w:t>
      </w:r>
      <w:r>
        <w:tab/>
        <w:t>32</w:t>
      </w:r>
    </w:p>
    <w:p w14:paraId="2C9735E2" w14:textId="77777777" w:rsidR="0018433B" w:rsidRDefault="0018433B" w:rsidP="0018433B">
      <w:pPr>
        <w:tabs>
          <w:tab w:val="left" w:pos="3600"/>
          <w:tab w:val="left" w:pos="3960"/>
          <w:tab w:val="left" w:pos="4320"/>
          <w:tab w:val="left" w:pos="4680"/>
        </w:tabs>
        <w:contextualSpacing/>
      </w:pPr>
      <w:r>
        <w:tab/>
      </w:r>
      <w:r>
        <w:tab/>
      </w:r>
      <w:r>
        <w:tab/>
        <w:t>1)</w:t>
      </w:r>
      <w:r>
        <w:tab/>
        <w:t>32a</w:t>
      </w:r>
    </w:p>
    <w:p w14:paraId="3FFAEF6D" w14:textId="77777777" w:rsidR="0018433B" w:rsidRDefault="0018433B" w:rsidP="0018433B">
      <w:pPr>
        <w:tabs>
          <w:tab w:val="left" w:pos="3600"/>
          <w:tab w:val="left" w:pos="3960"/>
          <w:tab w:val="left" w:pos="4320"/>
          <w:tab w:val="left" w:pos="4680"/>
        </w:tabs>
        <w:contextualSpacing/>
      </w:pPr>
      <w:r>
        <w:tab/>
      </w:r>
      <w:r>
        <w:tab/>
      </w:r>
      <w:r>
        <w:tab/>
        <w:t>2)</w:t>
      </w:r>
      <w:r>
        <w:tab/>
        <w:t>32b</w:t>
      </w:r>
    </w:p>
    <w:p w14:paraId="18BFF7A6" w14:textId="77777777" w:rsidR="0018433B" w:rsidRDefault="0018433B" w:rsidP="0018433B">
      <w:pPr>
        <w:tabs>
          <w:tab w:val="left" w:pos="3600"/>
          <w:tab w:val="left" w:pos="3960"/>
          <w:tab w:val="left" w:pos="4320"/>
          <w:tab w:val="left" w:pos="4680"/>
        </w:tabs>
        <w:contextualSpacing/>
      </w:pPr>
      <w:r>
        <w:tab/>
      </w:r>
      <w:r>
        <w:tab/>
      </w:r>
      <w:r>
        <w:tab/>
        <w:t>3)</w:t>
      </w:r>
      <w:r>
        <w:tab/>
        <w:t>32c</w:t>
      </w:r>
    </w:p>
    <w:p w14:paraId="178C66FC" w14:textId="77777777" w:rsidR="0018433B" w:rsidRDefault="0018433B" w:rsidP="0018433B">
      <w:pPr>
        <w:tabs>
          <w:tab w:val="left" w:pos="3600"/>
          <w:tab w:val="left" w:pos="3960"/>
          <w:tab w:val="left" w:pos="4320"/>
          <w:tab w:val="left" w:pos="4680"/>
        </w:tabs>
        <w:contextualSpacing/>
      </w:pPr>
      <w:r>
        <w:lastRenderedPageBreak/>
        <w:tab/>
      </w:r>
      <w:r>
        <w:tab/>
        <w:t>b. 33</w:t>
      </w:r>
    </w:p>
    <w:p w14:paraId="0057968F" w14:textId="77777777" w:rsidR="0018433B" w:rsidRDefault="0018433B" w:rsidP="0018433B">
      <w:pPr>
        <w:tabs>
          <w:tab w:val="left" w:pos="3600"/>
          <w:tab w:val="left" w:pos="3960"/>
          <w:tab w:val="left" w:pos="4320"/>
          <w:tab w:val="left" w:pos="4680"/>
        </w:tabs>
        <w:contextualSpacing/>
      </w:pPr>
      <w:r>
        <w:tab/>
      </w:r>
      <w:r>
        <w:tab/>
      </w:r>
      <w:r>
        <w:tab/>
        <w:t>1)</w:t>
      </w:r>
      <w:r>
        <w:tab/>
        <w:t>33a</w:t>
      </w:r>
    </w:p>
    <w:p w14:paraId="3B37AA97" w14:textId="77777777" w:rsidR="0018433B" w:rsidRDefault="0018433B" w:rsidP="0018433B">
      <w:pPr>
        <w:tabs>
          <w:tab w:val="left" w:pos="3600"/>
          <w:tab w:val="left" w:pos="3960"/>
          <w:tab w:val="left" w:pos="4320"/>
          <w:tab w:val="left" w:pos="4680"/>
        </w:tabs>
        <w:contextualSpacing/>
      </w:pPr>
      <w:r>
        <w:tab/>
      </w:r>
      <w:r>
        <w:tab/>
      </w:r>
      <w:r>
        <w:tab/>
        <w:t>2)</w:t>
      </w:r>
      <w:r>
        <w:tab/>
        <w:t>33b</w:t>
      </w:r>
    </w:p>
    <w:p w14:paraId="61983700" w14:textId="77777777" w:rsidR="0018433B" w:rsidRDefault="0018433B" w:rsidP="0018433B">
      <w:pPr>
        <w:tabs>
          <w:tab w:val="left" w:pos="3600"/>
          <w:tab w:val="left" w:pos="3960"/>
          <w:tab w:val="left" w:pos="4320"/>
          <w:tab w:val="left" w:pos="4680"/>
        </w:tabs>
        <w:contextualSpacing/>
      </w:pPr>
      <w:r>
        <w:tab/>
      </w:r>
      <w:r>
        <w:tab/>
      </w:r>
      <w:r>
        <w:tab/>
        <w:t>3)</w:t>
      </w:r>
      <w:r>
        <w:tab/>
        <w:t>33c</w:t>
      </w:r>
    </w:p>
    <w:p w14:paraId="2782E28D" w14:textId="77777777" w:rsidR="0018433B" w:rsidRDefault="0018433B" w:rsidP="0018433B">
      <w:pPr>
        <w:tabs>
          <w:tab w:val="left" w:pos="3600"/>
          <w:tab w:val="left" w:pos="3960"/>
          <w:tab w:val="left" w:pos="4320"/>
          <w:tab w:val="left" w:pos="4680"/>
        </w:tabs>
        <w:contextualSpacing/>
      </w:pPr>
      <w:r>
        <w:tab/>
      </w:r>
      <w:r>
        <w:tab/>
        <w:t>c. 34</w:t>
      </w:r>
    </w:p>
    <w:p w14:paraId="633A161C" w14:textId="77777777" w:rsidR="0018433B" w:rsidRDefault="0018433B" w:rsidP="0018433B">
      <w:pPr>
        <w:tabs>
          <w:tab w:val="left" w:pos="3600"/>
          <w:tab w:val="left" w:pos="3960"/>
          <w:tab w:val="left" w:pos="4320"/>
          <w:tab w:val="left" w:pos="4680"/>
        </w:tabs>
        <w:contextualSpacing/>
      </w:pPr>
      <w:r>
        <w:tab/>
      </w:r>
      <w:r>
        <w:tab/>
      </w:r>
      <w:r>
        <w:tab/>
        <w:t>1)</w:t>
      </w:r>
      <w:r>
        <w:tab/>
        <w:t>34a</w:t>
      </w:r>
    </w:p>
    <w:p w14:paraId="466F16AC" w14:textId="77777777" w:rsidR="0018433B" w:rsidRDefault="0018433B" w:rsidP="0018433B">
      <w:pPr>
        <w:tabs>
          <w:tab w:val="left" w:pos="3600"/>
          <w:tab w:val="left" w:pos="3960"/>
          <w:tab w:val="left" w:pos="4320"/>
          <w:tab w:val="left" w:pos="4680"/>
        </w:tabs>
        <w:contextualSpacing/>
      </w:pPr>
      <w:r>
        <w:tab/>
      </w:r>
      <w:r>
        <w:tab/>
      </w:r>
      <w:r>
        <w:tab/>
        <w:t>2)</w:t>
      </w:r>
      <w:r>
        <w:tab/>
        <w:t>34b</w:t>
      </w:r>
    </w:p>
    <w:p w14:paraId="2EC5B0E8" w14:textId="77777777" w:rsidR="0018433B" w:rsidRDefault="0018433B" w:rsidP="0018433B">
      <w:pPr>
        <w:tabs>
          <w:tab w:val="left" w:pos="3600"/>
          <w:tab w:val="left" w:pos="3960"/>
          <w:tab w:val="left" w:pos="4320"/>
          <w:tab w:val="left" w:pos="4680"/>
        </w:tabs>
        <w:contextualSpacing/>
      </w:pPr>
      <w:r>
        <w:tab/>
      </w:r>
      <w:r>
        <w:tab/>
      </w:r>
      <w:r>
        <w:tab/>
        <w:t>3)</w:t>
      </w:r>
      <w:r>
        <w:tab/>
        <w:t>34c</w:t>
      </w:r>
    </w:p>
    <w:p w14:paraId="712087C0" w14:textId="77777777" w:rsidR="0018433B" w:rsidRDefault="0018433B" w:rsidP="0018433B">
      <w:pPr>
        <w:pStyle w:val="Style"/>
        <w:widowControl/>
        <w:jc w:val="both"/>
        <w:textAlignment w:val="baseline"/>
        <w:rPr>
          <w:szCs w:val="25"/>
        </w:rPr>
      </w:pPr>
    </w:p>
    <w:p w14:paraId="0804B7EE" w14:textId="77777777" w:rsidR="0018433B" w:rsidRDefault="0018433B" w:rsidP="0018433B">
      <w:pPr>
        <w:pStyle w:val="Style"/>
        <w:widowControl/>
        <w:jc w:val="both"/>
        <w:textAlignment w:val="baseline"/>
        <w:rPr>
          <w:szCs w:val="25"/>
        </w:rPr>
      </w:pPr>
      <w:r>
        <w:rPr>
          <w:szCs w:val="25"/>
        </w:rPr>
        <w:tab/>
      </w:r>
      <w:r w:rsidRPr="002E0C53">
        <w:rPr>
          <w:b/>
          <w:szCs w:val="25"/>
        </w:rPr>
        <w:t>Luke 6</w:t>
      </w:r>
      <w:r w:rsidRPr="00B51852">
        <w:rPr>
          <w:szCs w:val="25"/>
        </w:rPr>
        <w:t>:</w:t>
      </w:r>
      <w:r w:rsidRPr="002E0C53">
        <w:rPr>
          <w:b/>
          <w:szCs w:val="25"/>
        </w:rPr>
        <w:t>37-38</w:t>
      </w:r>
      <w:r>
        <w:rPr>
          <w:szCs w:val="25"/>
        </w:rPr>
        <w:t>. Here is the text:</w:t>
      </w:r>
    </w:p>
    <w:p w14:paraId="3810DD95" w14:textId="77777777" w:rsidR="0018433B" w:rsidRDefault="0018433B" w:rsidP="0018433B">
      <w:pPr>
        <w:pStyle w:val="Style"/>
        <w:widowControl/>
        <w:jc w:val="both"/>
        <w:textAlignment w:val="baseline"/>
        <w:rPr>
          <w:szCs w:val="25"/>
        </w:rPr>
      </w:pPr>
    </w:p>
    <w:p w14:paraId="7A1178D7" w14:textId="77777777" w:rsidR="0018433B" w:rsidRDefault="0018433B" w:rsidP="0018433B">
      <w:pPr>
        <w:pStyle w:val="Style"/>
        <w:widowControl/>
        <w:ind w:left="720"/>
        <w:jc w:val="both"/>
        <w:textAlignment w:val="baseline"/>
        <w:rPr>
          <w:szCs w:val="25"/>
        </w:rPr>
      </w:pPr>
      <w:r>
        <w:rPr>
          <w:szCs w:val="25"/>
        </w:rPr>
        <w:t>37a</w:t>
      </w:r>
      <w:r>
        <w:rPr>
          <w:szCs w:val="25"/>
        </w:rPr>
        <w:tab/>
      </w:r>
      <w:r w:rsidRPr="00CE06CA">
        <w:rPr>
          <w:bCs/>
          <w:szCs w:val="22"/>
          <w:lang w:val="el-GR"/>
        </w:rPr>
        <w:t>Καὶ μὴ κρίνετε,</w:t>
      </w:r>
    </w:p>
    <w:p w14:paraId="0B55B689" w14:textId="77777777" w:rsidR="0018433B" w:rsidRDefault="0018433B" w:rsidP="0018433B">
      <w:pPr>
        <w:pStyle w:val="Style"/>
        <w:widowControl/>
        <w:ind w:left="720"/>
        <w:jc w:val="both"/>
        <w:textAlignment w:val="baseline"/>
        <w:rPr>
          <w:szCs w:val="25"/>
        </w:rPr>
      </w:pPr>
      <w:r>
        <w:rPr>
          <w:szCs w:val="25"/>
        </w:rPr>
        <w:t>37b</w:t>
      </w:r>
      <w:r>
        <w:rPr>
          <w:szCs w:val="25"/>
        </w:rPr>
        <w:tab/>
      </w:r>
      <w:r w:rsidRPr="00CE06CA">
        <w:rPr>
          <w:bCs/>
          <w:szCs w:val="22"/>
          <w:lang w:val="el-GR"/>
        </w:rPr>
        <w:t>καὶ οὐ μὴ κριθῆτε·</w:t>
      </w:r>
    </w:p>
    <w:p w14:paraId="724864EE" w14:textId="77777777" w:rsidR="0018433B" w:rsidRDefault="0018433B" w:rsidP="0018433B">
      <w:pPr>
        <w:pStyle w:val="Style"/>
        <w:widowControl/>
        <w:ind w:left="720"/>
        <w:jc w:val="both"/>
        <w:textAlignment w:val="baseline"/>
        <w:rPr>
          <w:szCs w:val="25"/>
        </w:rPr>
      </w:pPr>
      <w:r>
        <w:rPr>
          <w:szCs w:val="25"/>
        </w:rPr>
        <w:t>37c</w:t>
      </w:r>
      <w:r>
        <w:rPr>
          <w:szCs w:val="25"/>
        </w:rPr>
        <w:tab/>
      </w:r>
      <w:r w:rsidRPr="00CE06CA">
        <w:rPr>
          <w:bCs/>
          <w:szCs w:val="22"/>
          <w:lang w:val="el-GR"/>
        </w:rPr>
        <w:t>καὶ μὴ καταδικάζετε,</w:t>
      </w:r>
    </w:p>
    <w:p w14:paraId="5E550362" w14:textId="77777777" w:rsidR="0018433B" w:rsidRDefault="0018433B" w:rsidP="0018433B">
      <w:pPr>
        <w:pStyle w:val="Style"/>
        <w:widowControl/>
        <w:ind w:left="720"/>
        <w:jc w:val="both"/>
        <w:textAlignment w:val="baseline"/>
        <w:rPr>
          <w:szCs w:val="25"/>
        </w:rPr>
      </w:pPr>
      <w:r>
        <w:rPr>
          <w:szCs w:val="25"/>
        </w:rPr>
        <w:t>37d</w:t>
      </w:r>
      <w:r>
        <w:rPr>
          <w:szCs w:val="25"/>
        </w:rPr>
        <w:tab/>
      </w:r>
      <w:r w:rsidRPr="00CE06CA">
        <w:rPr>
          <w:bCs/>
          <w:szCs w:val="22"/>
          <w:lang w:val="el-GR"/>
        </w:rPr>
        <w:t>καὶ οὐ μὴ καταδικασθῆτε.</w:t>
      </w:r>
    </w:p>
    <w:p w14:paraId="7E6FA96E" w14:textId="77777777" w:rsidR="0018433B" w:rsidRDefault="0018433B" w:rsidP="0018433B">
      <w:pPr>
        <w:pStyle w:val="Style"/>
        <w:widowControl/>
        <w:ind w:left="720"/>
        <w:jc w:val="both"/>
        <w:textAlignment w:val="baseline"/>
        <w:rPr>
          <w:szCs w:val="25"/>
        </w:rPr>
      </w:pPr>
      <w:r>
        <w:rPr>
          <w:szCs w:val="25"/>
        </w:rPr>
        <w:t>37e</w:t>
      </w:r>
      <w:r>
        <w:rPr>
          <w:szCs w:val="25"/>
        </w:rPr>
        <w:tab/>
      </w:r>
      <w:r w:rsidRPr="00CE06CA">
        <w:rPr>
          <w:bCs/>
          <w:szCs w:val="22"/>
          <w:lang w:val="el-GR"/>
        </w:rPr>
        <w:t>ἀπολύετε,</w:t>
      </w:r>
    </w:p>
    <w:p w14:paraId="1CC3D135" w14:textId="77777777" w:rsidR="0018433B" w:rsidRDefault="0018433B" w:rsidP="0018433B">
      <w:pPr>
        <w:pStyle w:val="Style"/>
        <w:widowControl/>
        <w:ind w:left="720"/>
        <w:jc w:val="both"/>
        <w:textAlignment w:val="baseline"/>
        <w:rPr>
          <w:szCs w:val="25"/>
        </w:rPr>
      </w:pPr>
      <w:r>
        <w:rPr>
          <w:szCs w:val="25"/>
        </w:rPr>
        <w:t>37f</w:t>
      </w:r>
      <w:r>
        <w:rPr>
          <w:szCs w:val="25"/>
        </w:rPr>
        <w:tab/>
      </w:r>
      <w:r w:rsidRPr="00CE06CA">
        <w:rPr>
          <w:bCs/>
          <w:szCs w:val="22"/>
          <w:lang w:val="el-GR"/>
        </w:rPr>
        <w:t>καὶ ἀπολυθήσεσθε·</w:t>
      </w:r>
    </w:p>
    <w:p w14:paraId="1F3D95A1" w14:textId="77777777" w:rsidR="0018433B" w:rsidRDefault="0018433B" w:rsidP="0018433B">
      <w:pPr>
        <w:pStyle w:val="Style"/>
        <w:widowControl/>
        <w:ind w:left="720"/>
        <w:jc w:val="both"/>
        <w:textAlignment w:val="baseline"/>
        <w:rPr>
          <w:szCs w:val="25"/>
        </w:rPr>
      </w:pPr>
      <w:r>
        <w:rPr>
          <w:szCs w:val="25"/>
        </w:rPr>
        <w:t>38a</w:t>
      </w:r>
      <w:r>
        <w:rPr>
          <w:szCs w:val="25"/>
        </w:rPr>
        <w:tab/>
      </w:r>
      <w:r w:rsidRPr="00CE06CA">
        <w:rPr>
          <w:bCs/>
          <w:szCs w:val="22"/>
          <w:lang w:val="el-GR"/>
        </w:rPr>
        <w:t>δίδοτε,</w:t>
      </w:r>
    </w:p>
    <w:p w14:paraId="18A1FDE2" w14:textId="77777777" w:rsidR="0018433B" w:rsidRDefault="0018433B" w:rsidP="0018433B">
      <w:pPr>
        <w:pStyle w:val="Style"/>
        <w:widowControl/>
        <w:ind w:left="720"/>
        <w:jc w:val="both"/>
        <w:textAlignment w:val="baseline"/>
        <w:rPr>
          <w:szCs w:val="25"/>
        </w:rPr>
      </w:pPr>
      <w:r>
        <w:rPr>
          <w:szCs w:val="25"/>
        </w:rPr>
        <w:t>38b</w:t>
      </w:r>
      <w:r>
        <w:rPr>
          <w:szCs w:val="25"/>
        </w:rPr>
        <w:tab/>
      </w:r>
      <w:r w:rsidRPr="00CE06CA">
        <w:rPr>
          <w:bCs/>
          <w:szCs w:val="22"/>
          <w:lang w:val="el-GR"/>
        </w:rPr>
        <w:t>καὶ δοθήσεται ὑμῖν·</w:t>
      </w:r>
    </w:p>
    <w:p w14:paraId="19958A04" w14:textId="77777777" w:rsidR="0018433B" w:rsidRDefault="0018433B" w:rsidP="0018433B">
      <w:pPr>
        <w:pStyle w:val="Style"/>
        <w:widowControl/>
        <w:ind w:left="1440" w:hanging="720"/>
        <w:jc w:val="both"/>
        <w:textAlignment w:val="baseline"/>
        <w:rPr>
          <w:szCs w:val="25"/>
        </w:rPr>
      </w:pPr>
      <w:r>
        <w:rPr>
          <w:szCs w:val="25"/>
        </w:rPr>
        <w:t>38c</w:t>
      </w:r>
      <w:r>
        <w:rPr>
          <w:szCs w:val="25"/>
        </w:rPr>
        <w:tab/>
      </w:r>
      <w:r w:rsidRPr="00CE06CA">
        <w:rPr>
          <w:bCs/>
          <w:szCs w:val="22"/>
          <w:lang w:val="el-GR"/>
        </w:rPr>
        <w:t>μέτρον καλὸν πεπιεσμένον σεσαλευμένον ὑπερεκχυννόμενον δώσουσιν εἰς τὸν κόλπον ὑμῶν·</w:t>
      </w:r>
    </w:p>
    <w:p w14:paraId="18DC76CD" w14:textId="77777777" w:rsidR="0018433B" w:rsidRDefault="0018433B" w:rsidP="0018433B">
      <w:pPr>
        <w:pStyle w:val="Style"/>
        <w:widowControl/>
        <w:ind w:left="720"/>
        <w:jc w:val="both"/>
        <w:textAlignment w:val="baseline"/>
        <w:rPr>
          <w:szCs w:val="25"/>
        </w:rPr>
      </w:pPr>
      <w:r>
        <w:rPr>
          <w:szCs w:val="25"/>
        </w:rPr>
        <w:t>38d</w:t>
      </w:r>
      <w:r>
        <w:rPr>
          <w:szCs w:val="25"/>
        </w:rPr>
        <w:tab/>
      </w:r>
      <w:r w:rsidRPr="00CE06CA">
        <w:rPr>
          <w:bCs/>
          <w:szCs w:val="22"/>
          <w:lang w:val="el-GR"/>
        </w:rPr>
        <w:t>ᾧ γὰρ μέτρῳ μετρεῖτε ἀντιμετρηθήσεται ὑμῖν.</w:t>
      </w:r>
    </w:p>
    <w:p w14:paraId="5CC6448D" w14:textId="77777777" w:rsidR="0018433B" w:rsidRDefault="0018433B" w:rsidP="0018433B">
      <w:pPr>
        <w:pStyle w:val="Style"/>
        <w:widowControl/>
        <w:jc w:val="both"/>
        <w:textAlignment w:val="baseline"/>
        <w:rPr>
          <w:szCs w:val="25"/>
        </w:rPr>
      </w:pPr>
    </w:p>
    <w:p w14:paraId="3D40CA43" w14:textId="77777777" w:rsidR="0018433B" w:rsidRDefault="0018433B" w:rsidP="0018433B">
      <w:pPr>
        <w:pStyle w:val="Style"/>
        <w:widowControl/>
        <w:ind w:left="720"/>
        <w:jc w:val="both"/>
        <w:textAlignment w:val="baseline"/>
        <w:rPr>
          <w:szCs w:val="25"/>
        </w:rPr>
      </w:pPr>
      <w:r>
        <w:rPr>
          <w:szCs w:val="25"/>
        </w:rPr>
        <w:t>37a</w:t>
      </w:r>
      <w:r>
        <w:rPr>
          <w:szCs w:val="25"/>
        </w:rPr>
        <w:tab/>
      </w:r>
      <w:r w:rsidRPr="00CD75A6">
        <w:t>Do not judge,</w:t>
      </w:r>
    </w:p>
    <w:p w14:paraId="799C3B89" w14:textId="77777777" w:rsidR="0018433B" w:rsidRDefault="0018433B" w:rsidP="0018433B">
      <w:pPr>
        <w:pStyle w:val="Style"/>
        <w:widowControl/>
        <w:ind w:left="720"/>
        <w:jc w:val="both"/>
        <w:textAlignment w:val="baseline"/>
        <w:rPr>
          <w:szCs w:val="25"/>
        </w:rPr>
      </w:pPr>
      <w:r>
        <w:rPr>
          <w:szCs w:val="25"/>
        </w:rPr>
        <w:t>37b</w:t>
      </w:r>
      <w:r>
        <w:rPr>
          <w:szCs w:val="25"/>
        </w:rPr>
        <w:tab/>
      </w:r>
      <w:r w:rsidRPr="00CD75A6">
        <w:t>and you will not be judged;</w:t>
      </w:r>
    </w:p>
    <w:p w14:paraId="79A4F6BE" w14:textId="77777777" w:rsidR="0018433B" w:rsidRDefault="0018433B" w:rsidP="0018433B">
      <w:pPr>
        <w:pStyle w:val="Style"/>
        <w:widowControl/>
        <w:ind w:left="720"/>
        <w:jc w:val="both"/>
        <w:textAlignment w:val="baseline"/>
        <w:rPr>
          <w:szCs w:val="25"/>
        </w:rPr>
      </w:pPr>
      <w:r>
        <w:rPr>
          <w:szCs w:val="25"/>
        </w:rPr>
        <w:t>37c</w:t>
      </w:r>
      <w:r>
        <w:rPr>
          <w:szCs w:val="25"/>
        </w:rPr>
        <w:tab/>
      </w:r>
      <w:r w:rsidRPr="00CD75A6">
        <w:t>do not condemn,</w:t>
      </w:r>
    </w:p>
    <w:p w14:paraId="489AE084" w14:textId="77777777" w:rsidR="0018433B" w:rsidRDefault="0018433B" w:rsidP="0018433B">
      <w:pPr>
        <w:pStyle w:val="Style"/>
        <w:widowControl/>
        <w:ind w:left="720"/>
        <w:jc w:val="both"/>
        <w:textAlignment w:val="baseline"/>
        <w:rPr>
          <w:szCs w:val="25"/>
        </w:rPr>
      </w:pPr>
      <w:r>
        <w:rPr>
          <w:szCs w:val="25"/>
        </w:rPr>
        <w:t>37d</w:t>
      </w:r>
      <w:r>
        <w:rPr>
          <w:szCs w:val="25"/>
        </w:rPr>
        <w:tab/>
      </w:r>
      <w:r w:rsidRPr="00CD75A6">
        <w:t>and you will not be condemned.</w:t>
      </w:r>
    </w:p>
    <w:p w14:paraId="78A40DC7" w14:textId="77777777" w:rsidR="0018433B" w:rsidRDefault="0018433B" w:rsidP="0018433B">
      <w:pPr>
        <w:pStyle w:val="Style"/>
        <w:widowControl/>
        <w:ind w:left="720"/>
        <w:jc w:val="both"/>
        <w:textAlignment w:val="baseline"/>
        <w:rPr>
          <w:szCs w:val="25"/>
        </w:rPr>
      </w:pPr>
      <w:r>
        <w:rPr>
          <w:szCs w:val="25"/>
        </w:rPr>
        <w:t>37e</w:t>
      </w:r>
      <w:r>
        <w:rPr>
          <w:szCs w:val="25"/>
        </w:rPr>
        <w:tab/>
      </w:r>
      <w:r w:rsidRPr="00CD75A6">
        <w:t>Forgive,</w:t>
      </w:r>
    </w:p>
    <w:p w14:paraId="48B185BA" w14:textId="77777777" w:rsidR="0018433B" w:rsidRDefault="0018433B" w:rsidP="0018433B">
      <w:pPr>
        <w:pStyle w:val="Style"/>
        <w:widowControl/>
        <w:ind w:left="720"/>
        <w:jc w:val="both"/>
        <w:textAlignment w:val="baseline"/>
        <w:rPr>
          <w:szCs w:val="25"/>
        </w:rPr>
      </w:pPr>
      <w:r>
        <w:rPr>
          <w:szCs w:val="25"/>
        </w:rPr>
        <w:t>37f</w:t>
      </w:r>
      <w:r>
        <w:rPr>
          <w:szCs w:val="25"/>
        </w:rPr>
        <w:tab/>
      </w:r>
      <w:r w:rsidRPr="00CD75A6">
        <w:t>and you will be forgiven;</w:t>
      </w:r>
    </w:p>
    <w:p w14:paraId="5D6402EA" w14:textId="77777777" w:rsidR="0018433B" w:rsidRDefault="0018433B" w:rsidP="0018433B">
      <w:pPr>
        <w:pStyle w:val="Style"/>
        <w:widowControl/>
        <w:ind w:left="720"/>
        <w:jc w:val="both"/>
        <w:textAlignment w:val="baseline"/>
        <w:rPr>
          <w:szCs w:val="25"/>
        </w:rPr>
      </w:pPr>
      <w:r>
        <w:rPr>
          <w:szCs w:val="25"/>
        </w:rPr>
        <w:t>38a</w:t>
      </w:r>
      <w:r>
        <w:rPr>
          <w:szCs w:val="25"/>
        </w:rPr>
        <w:tab/>
      </w:r>
      <w:r w:rsidRPr="00CD75A6">
        <w:t>give,</w:t>
      </w:r>
    </w:p>
    <w:p w14:paraId="60D0BCBF" w14:textId="77777777" w:rsidR="0018433B" w:rsidRDefault="0018433B" w:rsidP="0018433B">
      <w:pPr>
        <w:pStyle w:val="Style"/>
        <w:widowControl/>
        <w:ind w:left="720"/>
        <w:jc w:val="both"/>
        <w:textAlignment w:val="baseline"/>
        <w:rPr>
          <w:szCs w:val="25"/>
        </w:rPr>
      </w:pPr>
      <w:r>
        <w:rPr>
          <w:szCs w:val="25"/>
        </w:rPr>
        <w:t>38b</w:t>
      </w:r>
      <w:r>
        <w:rPr>
          <w:szCs w:val="25"/>
        </w:rPr>
        <w:tab/>
      </w:r>
      <w:r w:rsidRPr="00CD75A6">
        <w:t>and it will be given to you.</w:t>
      </w:r>
    </w:p>
    <w:p w14:paraId="42E5E140" w14:textId="7F956C4A" w:rsidR="0018433B" w:rsidRDefault="0018433B" w:rsidP="0018433B">
      <w:pPr>
        <w:pStyle w:val="Style"/>
        <w:widowControl/>
        <w:ind w:left="1440" w:hanging="720"/>
        <w:jc w:val="both"/>
        <w:textAlignment w:val="baseline"/>
        <w:rPr>
          <w:szCs w:val="25"/>
        </w:rPr>
      </w:pPr>
      <w:r>
        <w:rPr>
          <w:szCs w:val="25"/>
        </w:rPr>
        <w:t>38c</w:t>
      </w:r>
      <w:r>
        <w:rPr>
          <w:szCs w:val="25"/>
        </w:rPr>
        <w:tab/>
      </w:r>
      <w:r w:rsidRPr="00CD75A6">
        <w:t>A good measure</w:t>
      </w:r>
      <w:r w:rsidR="006F304D" w:rsidRPr="006F304D">
        <w:t xml:space="preserve">, </w:t>
      </w:r>
      <w:r w:rsidRPr="00CD75A6">
        <w:t>pressed down</w:t>
      </w:r>
      <w:r w:rsidR="006F304D" w:rsidRPr="006F304D">
        <w:t xml:space="preserve">, </w:t>
      </w:r>
      <w:r w:rsidRPr="00CD75A6">
        <w:t>shaken together</w:t>
      </w:r>
      <w:r w:rsidR="006F304D" w:rsidRPr="006F304D">
        <w:t xml:space="preserve">, </w:t>
      </w:r>
      <w:r w:rsidRPr="00CD75A6">
        <w:t>running over</w:t>
      </w:r>
      <w:r w:rsidR="006F304D" w:rsidRPr="006F304D">
        <w:t xml:space="preserve">, </w:t>
      </w:r>
      <w:r w:rsidRPr="00CD75A6">
        <w:t>will be put into your lap;</w:t>
      </w:r>
    </w:p>
    <w:p w14:paraId="07FF2361" w14:textId="77777777" w:rsidR="0018433B" w:rsidRDefault="0018433B" w:rsidP="0018433B">
      <w:pPr>
        <w:pStyle w:val="Style"/>
        <w:widowControl/>
        <w:ind w:left="720"/>
        <w:jc w:val="both"/>
        <w:textAlignment w:val="baseline"/>
        <w:rPr>
          <w:szCs w:val="25"/>
        </w:rPr>
      </w:pPr>
      <w:r>
        <w:rPr>
          <w:szCs w:val="25"/>
        </w:rPr>
        <w:t>38d</w:t>
      </w:r>
      <w:r>
        <w:rPr>
          <w:szCs w:val="25"/>
        </w:rPr>
        <w:tab/>
      </w:r>
      <w:r w:rsidRPr="00CD75A6">
        <w:t>for the measure you give will be the meas</w:t>
      </w:r>
      <w:r>
        <w:t>ure you get back.</w:t>
      </w:r>
    </w:p>
    <w:p w14:paraId="61FCEC85" w14:textId="77777777" w:rsidR="0018433B" w:rsidRDefault="0018433B" w:rsidP="0018433B">
      <w:pPr>
        <w:pStyle w:val="Style"/>
        <w:widowControl/>
        <w:jc w:val="both"/>
        <w:textAlignment w:val="baseline"/>
        <w:rPr>
          <w:szCs w:val="25"/>
        </w:rPr>
      </w:pPr>
    </w:p>
    <w:p w14:paraId="3F0A9191" w14:textId="459EE659" w:rsidR="0018433B" w:rsidRPr="00B51852" w:rsidRDefault="0018433B" w:rsidP="0018433B">
      <w:pPr>
        <w:pStyle w:val="Style"/>
        <w:widowControl/>
        <w:jc w:val="both"/>
        <w:textAlignment w:val="baseline"/>
        <w:rPr>
          <w:szCs w:val="25"/>
        </w:rPr>
      </w:pPr>
      <w:r>
        <w:rPr>
          <w:szCs w:val="25"/>
        </w:rPr>
        <w:tab/>
      </w:r>
      <w:r w:rsidRPr="00B51852">
        <w:rPr>
          <w:szCs w:val="25"/>
        </w:rPr>
        <w:t>The first four pairs of clauses (37ab</w:t>
      </w:r>
      <w:r w:rsidR="006F304D" w:rsidRPr="006F304D">
        <w:rPr>
          <w:szCs w:val="25"/>
        </w:rPr>
        <w:t xml:space="preserve">, </w:t>
      </w:r>
      <w:r w:rsidRPr="00B51852">
        <w:rPr>
          <w:szCs w:val="25"/>
        </w:rPr>
        <w:t>37cd</w:t>
      </w:r>
      <w:r w:rsidR="006F304D" w:rsidRPr="006F304D">
        <w:rPr>
          <w:szCs w:val="25"/>
        </w:rPr>
        <w:t xml:space="preserve">, </w:t>
      </w:r>
      <w:r w:rsidRPr="00B51852">
        <w:rPr>
          <w:szCs w:val="25"/>
        </w:rPr>
        <w:t>37ef</w:t>
      </w:r>
      <w:r w:rsidR="006F304D" w:rsidRPr="006F304D">
        <w:rPr>
          <w:szCs w:val="25"/>
        </w:rPr>
        <w:t xml:space="preserve">, </w:t>
      </w:r>
      <w:r w:rsidRPr="00B51852">
        <w:rPr>
          <w:szCs w:val="25"/>
        </w:rPr>
        <w:t>38ab) exhibit similar structure: each has an imperative verb</w:t>
      </w:r>
      <w:r w:rsidR="006F304D" w:rsidRPr="006F304D">
        <w:rPr>
          <w:szCs w:val="25"/>
        </w:rPr>
        <w:t xml:space="preserve">, </w:t>
      </w:r>
      <w:r w:rsidRPr="00B51852">
        <w:rPr>
          <w:szCs w:val="25"/>
        </w:rPr>
        <w:t xml:space="preserve">followed by the coordinating conjunction </w:t>
      </w:r>
      <w:r>
        <w:rPr>
          <w:szCs w:val="25"/>
        </w:rPr>
        <w:t xml:space="preserve">καί </w:t>
      </w:r>
      <w:r w:rsidRPr="00B51852">
        <w:rPr>
          <w:szCs w:val="25"/>
        </w:rPr>
        <w:t>and a second clause in theological passive that applies the verb of the first clause to the audience. The change from subjunctive mood (37abcd) to indicative (37ef-38ab</w:t>
      </w:r>
      <w:r>
        <w:rPr>
          <w:szCs w:val="25"/>
        </w:rPr>
        <w:t>)</w:t>
      </w:r>
      <w:r w:rsidRPr="00B51852">
        <w:rPr>
          <w:szCs w:val="25"/>
        </w:rPr>
        <w:t xml:space="preserve"> is unimportant</w:t>
      </w:r>
      <w:r w:rsidR="006F304D" w:rsidRPr="006F304D">
        <w:rPr>
          <w:szCs w:val="25"/>
        </w:rPr>
        <w:t xml:space="preserve">, </w:t>
      </w:r>
      <w:r w:rsidRPr="00B51852">
        <w:rPr>
          <w:szCs w:val="25"/>
        </w:rPr>
        <w:t>since it is necessitated by the change from negative to positive utterance</w:t>
      </w:r>
      <w:r>
        <w:rPr>
          <w:szCs w:val="25"/>
        </w:rPr>
        <w:t xml:space="preserve"> </w:t>
      </w:r>
      <w:r w:rsidRPr="00B51852">
        <w:rPr>
          <w:szCs w:val="23"/>
        </w:rPr>
        <w:t>(</w:t>
      </w:r>
      <w:r w:rsidRPr="00B51852">
        <w:rPr>
          <w:szCs w:val="25"/>
        </w:rPr>
        <w:t xml:space="preserve">future negation in </w:t>
      </w:r>
      <w:r>
        <w:rPr>
          <w:szCs w:val="25"/>
        </w:rPr>
        <w:t>Greek requires the subjunctive</w:t>
      </w:r>
      <w:r>
        <w:rPr>
          <w:rStyle w:val="FootnoteReference"/>
          <w:szCs w:val="25"/>
        </w:rPr>
        <w:footnoteReference w:id="512"/>
      </w:r>
      <w:r w:rsidRPr="00B51852">
        <w:rPr>
          <w:szCs w:val="25"/>
        </w:rPr>
        <w:t>). The change from negation</w:t>
      </w:r>
      <w:r>
        <w:rPr>
          <w:szCs w:val="25"/>
        </w:rPr>
        <w:t xml:space="preserve"> </w:t>
      </w:r>
      <w:r w:rsidRPr="00B51852">
        <w:rPr>
          <w:szCs w:val="25"/>
        </w:rPr>
        <w:t>to affirmation itself balances the second pair of clauses against the first pair.</w:t>
      </w:r>
    </w:p>
    <w:p w14:paraId="137F4D0F" w14:textId="4F0466DB" w:rsidR="0018433B" w:rsidRPr="00B51852" w:rsidRDefault="0018433B" w:rsidP="0018433B">
      <w:pPr>
        <w:pStyle w:val="Style"/>
        <w:widowControl/>
        <w:jc w:val="both"/>
        <w:textAlignment w:val="baseline"/>
        <w:rPr>
          <w:szCs w:val="2"/>
          <w:vertAlign w:val="superscript"/>
        </w:rPr>
      </w:pPr>
      <w:r>
        <w:rPr>
          <w:szCs w:val="25"/>
        </w:rPr>
        <w:lastRenderedPageBreak/>
        <w:tab/>
      </w:r>
      <w:r w:rsidRPr="00B51852">
        <w:rPr>
          <w:szCs w:val="25"/>
        </w:rPr>
        <w:t>But all is not harmonious in these two verses. For one thing</w:t>
      </w:r>
      <w:r w:rsidR="006F304D" w:rsidRPr="006F304D">
        <w:rPr>
          <w:szCs w:val="25"/>
        </w:rPr>
        <w:t xml:space="preserve">, </w:t>
      </w:r>
      <w:r w:rsidRPr="00B51852">
        <w:rPr>
          <w:szCs w:val="25"/>
        </w:rPr>
        <w:t>it is hard to see what is gained by adding “condemn not” to judge not,” other than synonymous par</w:t>
      </w:r>
      <w:r w:rsidRPr="00B51852">
        <w:rPr>
          <w:szCs w:val="25"/>
        </w:rPr>
        <w:softHyphen/>
        <w:t>allelism.</w:t>
      </w:r>
      <w:r>
        <w:rPr>
          <w:rStyle w:val="FootnoteReference"/>
          <w:szCs w:val="25"/>
        </w:rPr>
        <w:footnoteReference w:id="513"/>
      </w:r>
      <w:r>
        <w:rPr>
          <w:szCs w:val="25"/>
        </w:rPr>
        <w:t xml:space="preserve"> </w:t>
      </w:r>
      <w:r w:rsidRPr="00B51852">
        <w:rPr>
          <w:szCs w:val="25"/>
        </w:rPr>
        <w:t>More importantly</w:t>
      </w:r>
      <w:r w:rsidR="006F304D" w:rsidRPr="006F304D">
        <w:rPr>
          <w:szCs w:val="25"/>
        </w:rPr>
        <w:t xml:space="preserve">, </w:t>
      </w:r>
      <w:r w:rsidRPr="00B51852">
        <w:rPr>
          <w:szCs w:val="25"/>
        </w:rPr>
        <w:t>the positive command to “forgive” really belongs to a different realm of thought. “Judge not” involves a metaphor</w:t>
      </w:r>
      <w:r w:rsidR="006F304D" w:rsidRPr="006F304D">
        <w:rPr>
          <w:szCs w:val="25"/>
        </w:rPr>
        <w:t xml:space="preserve">, </w:t>
      </w:r>
      <w:r w:rsidRPr="00B51852">
        <w:rPr>
          <w:szCs w:val="25"/>
        </w:rPr>
        <w:t>the comparison of an individual in day-to-day relationships to a judge in a law court.</w:t>
      </w:r>
      <w:r>
        <w:rPr>
          <w:rStyle w:val="FootnoteReference"/>
          <w:szCs w:val="25"/>
        </w:rPr>
        <w:footnoteReference w:id="514"/>
      </w:r>
      <w:r>
        <w:rPr>
          <w:szCs w:val="25"/>
        </w:rPr>
        <w:t xml:space="preserve"> </w:t>
      </w:r>
      <w:r w:rsidRPr="00B51852">
        <w:rPr>
          <w:szCs w:val="25"/>
        </w:rPr>
        <w:t>The daily activity of an individual to which juridical “judging” corresponds is “critical</w:t>
      </w:r>
      <w:r>
        <w:rPr>
          <w:szCs w:val="25"/>
        </w:rPr>
        <w:t>-</w:t>
      </w:r>
      <w:r w:rsidRPr="00B51852">
        <w:rPr>
          <w:szCs w:val="25"/>
        </w:rPr>
        <w:t>mindedness”; it is that nasty state of mind in which one is always poised to think derogatory thoughts of others. With the addition of “forgive,” however</w:t>
      </w:r>
      <w:r w:rsidR="006F304D" w:rsidRPr="006F304D">
        <w:rPr>
          <w:szCs w:val="25"/>
        </w:rPr>
        <w:t xml:space="preserve">, </w:t>
      </w:r>
      <w:r w:rsidRPr="00B51852">
        <w:rPr>
          <w:szCs w:val="25"/>
        </w:rPr>
        <w:t>the</w:t>
      </w:r>
      <w:r>
        <w:rPr>
          <w:szCs w:val="25"/>
        </w:rPr>
        <w:t xml:space="preserve"> </w:t>
      </w:r>
      <w:r w:rsidRPr="00B51852">
        <w:rPr>
          <w:szCs w:val="25"/>
        </w:rPr>
        <w:t xml:space="preserve">metaphor breaks down. </w:t>
      </w:r>
      <w:r>
        <w:rPr>
          <w:szCs w:val="25"/>
        </w:rPr>
        <w:t>“</w:t>
      </w:r>
      <w:r w:rsidRPr="00B51852">
        <w:rPr>
          <w:szCs w:val="25"/>
        </w:rPr>
        <w:t>Forgive,” as an individual’s daily activity</w:t>
      </w:r>
      <w:r w:rsidR="006F304D" w:rsidRPr="006F304D">
        <w:rPr>
          <w:szCs w:val="25"/>
        </w:rPr>
        <w:t xml:space="preserve">, </w:t>
      </w:r>
      <w:r w:rsidRPr="00B51852">
        <w:rPr>
          <w:szCs w:val="25"/>
        </w:rPr>
        <w:t>is not equivalent</w:t>
      </w:r>
      <w:r>
        <w:rPr>
          <w:szCs w:val="25"/>
        </w:rPr>
        <w:t xml:space="preserve"> </w:t>
      </w:r>
      <w:r w:rsidRPr="00B51852">
        <w:rPr>
          <w:szCs w:val="25"/>
        </w:rPr>
        <w:t xml:space="preserve">to something done by a judge; </w:t>
      </w:r>
      <w:r>
        <w:rPr>
          <w:szCs w:val="25"/>
        </w:rPr>
        <w:t>“</w:t>
      </w:r>
      <w:r w:rsidRPr="00B51852">
        <w:rPr>
          <w:szCs w:val="25"/>
        </w:rPr>
        <w:t>forgive</w:t>
      </w:r>
      <w:r>
        <w:rPr>
          <w:szCs w:val="25"/>
        </w:rPr>
        <w:t>”</w:t>
      </w:r>
      <w:r w:rsidRPr="00B51852">
        <w:rPr>
          <w:szCs w:val="25"/>
        </w:rPr>
        <w:t xml:space="preserve"> is not equivalent to </w:t>
      </w:r>
      <w:r>
        <w:rPr>
          <w:szCs w:val="25"/>
        </w:rPr>
        <w:t>“</w:t>
      </w:r>
      <w:r w:rsidRPr="00B51852">
        <w:rPr>
          <w:szCs w:val="25"/>
        </w:rPr>
        <w:t xml:space="preserve">acquit,” the positive converse of </w:t>
      </w:r>
      <w:r>
        <w:rPr>
          <w:szCs w:val="25"/>
        </w:rPr>
        <w:t>“</w:t>
      </w:r>
      <w:r w:rsidRPr="00B51852">
        <w:rPr>
          <w:szCs w:val="25"/>
        </w:rPr>
        <w:t>judge” or “condemn.” Moreover</w:t>
      </w:r>
      <w:r w:rsidR="006F304D" w:rsidRPr="006F304D">
        <w:rPr>
          <w:szCs w:val="25"/>
        </w:rPr>
        <w:t xml:space="preserve">, </w:t>
      </w:r>
      <w:r w:rsidRPr="00B51852">
        <w:rPr>
          <w:szCs w:val="25"/>
        </w:rPr>
        <w:t>“judging” is only done to someone else; it does not include the idea that someone else has already done something to oneself personally. “Forgiving,” on the other hand</w:t>
      </w:r>
      <w:r w:rsidR="006F304D" w:rsidRPr="006F304D">
        <w:rPr>
          <w:szCs w:val="25"/>
        </w:rPr>
        <w:t xml:space="preserve">, </w:t>
      </w:r>
      <w:r w:rsidRPr="00B51852">
        <w:rPr>
          <w:szCs w:val="25"/>
        </w:rPr>
        <w:t>requ</w:t>
      </w:r>
      <w:r>
        <w:rPr>
          <w:szCs w:val="25"/>
        </w:rPr>
        <w:t>ir</w:t>
      </w:r>
      <w:r w:rsidRPr="00B51852">
        <w:rPr>
          <w:szCs w:val="25"/>
        </w:rPr>
        <w:t xml:space="preserve">es that the person being forgiven has already wronged one. With the addition of </w:t>
      </w:r>
      <w:r w:rsidRPr="00FF03AB">
        <w:rPr>
          <w:szCs w:val="25"/>
        </w:rPr>
        <w:t>“</w:t>
      </w:r>
      <w:r w:rsidRPr="00B51852">
        <w:rPr>
          <w:szCs w:val="25"/>
        </w:rPr>
        <w:t>forgive,</w:t>
      </w:r>
      <w:r w:rsidRPr="00FF03AB">
        <w:rPr>
          <w:szCs w:val="25"/>
        </w:rPr>
        <w:t>”</w:t>
      </w:r>
      <w:r w:rsidRPr="00B51852">
        <w:rPr>
          <w:szCs w:val="25"/>
        </w:rPr>
        <w:t xml:space="preserve"> then</w:t>
      </w:r>
      <w:r w:rsidR="006F304D" w:rsidRPr="006F304D">
        <w:rPr>
          <w:szCs w:val="25"/>
        </w:rPr>
        <w:t xml:space="preserve">, </w:t>
      </w:r>
      <w:r w:rsidRPr="00B51852">
        <w:rPr>
          <w:szCs w:val="25"/>
        </w:rPr>
        <w:t>the author abandons the implicit metaphor of 37abcd</w:t>
      </w:r>
      <w:r w:rsidR="006F304D" w:rsidRPr="006F304D">
        <w:rPr>
          <w:szCs w:val="25"/>
        </w:rPr>
        <w:t xml:space="preserve">, </w:t>
      </w:r>
      <w:r w:rsidRPr="00B51852">
        <w:rPr>
          <w:szCs w:val="25"/>
        </w:rPr>
        <w:t>and a new and different ethical claim is introduced in its stead.</w:t>
      </w:r>
      <w:r>
        <w:rPr>
          <w:rStyle w:val="FootnoteReference"/>
          <w:szCs w:val="25"/>
        </w:rPr>
        <w:footnoteReference w:id="515"/>
      </w:r>
    </w:p>
    <w:p w14:paraId="15BBE2B6" w14:textId="59B1C5A2" w:rsidR="0018433B" w:rsidRPr="00FF03AB" w:rsidRDefault="0018433B" w:rsidP="0018433B">
      <w:pPr>
        <w:pStyle w:val="Style"/>
        <w:widowControl/>
        <w:jc w:val="both"/>
        <w:textAlignment w:val="baseline"/>
        <w:rPr>
          <w:szCs w:val="25"/>
        </w:rPr>
      </w:pPr>
      <w:r>
        <w:rPr>
          <w:szCs w:val="25"/>
        </w:rPr>
        <w:tab/>
      </w:r>
      <w:r w:rsidRPr="00B51852">
        <w:rPr>
          <w:szCs w:val="25"/>
        </w:rPr>
        <w:t>Verse 38ab</w:t>
      </w:r>
      <w:r w:rsidR="006F304D" w:rsidRPr="006F304D">
        <w:rPr>
          <w:szCs w:val="25"/>
        </w:rPr>
        <w:t xml:space="preserve">, </w:t>
      </w:r>
      <w:r w:rsidRPr="00B51852">
        <w:rPr>
          <w:szCs w:val="25"/>
        </w:rPr>
        <w:t>too</w:t>
      </w:r>
      <w:r w:rsidR="006F304D" w:rsidRPr="006F304D">
        <w:rPr>
          <w:szCs w:val="25"/>
        </w:rPr>
        <w:t xml:space="preserve">, </w:t>
      </w:r>
      <w:r w:rsidRPr="00B51852">
        <w:rPr>
          <w:szCs w:val="25"/>
        </w:rPr>
        <w:t>is peculiar in the present context. Once again we find that the ethics of material possessions (“give”) intrudes itself into an alien context</w:t>
      </w:r>
      <w:r w:rsidR="006F304D" w:rsidRPr="006F304D">
        <w:rPr>
          <w:szCs w:val="25"/>
        </w:rPr>
        <w:t xml:space="preserve">, </w:t>
      </w:r>
      <w:r w:rsidRPr="00B51852">
        <w:rPr>
          <w:szCs w:val="25"/>
        </w:rPr>
        <w:t>that of judging</w:t>
      </w:r>
      <w:r w:rsidR="006F304D" w:rsidRPr="006F304D">
        <w:rPr>
          <w:szCs w:val="25"/>
        </w:rPr>
        <w:t xml:space="preserve">, </w:t>
      </w:r>
      <w:r w:rsidRPr="00B51852">
        <w:rPr>
          <w:szCs w:val="25"/>
        </w:rPr>
        <w:t>condemning</w:t>
      </w:r>
      <w:r w:rsidR="006F304D" w:rsidRPr="006F304D">
        <w:rPr>
          <w:szCs w:val="25"/>
        </w:rPr>
        <w:t xml:space="preserve">, </w:t>
      </w:r>
      <w:r w:rsidRPr="00B51852">
        <w:rPr>
          <w:szCs w:val="25"/>
        </w:rPr>
        <w:t>and forgiving.</w:t>
      </w:r>
      <w:r>
        <w:rPr>
          <w:rStyle w:val="FootnoteReference"/>
          <w:szCs w:val="25"/>
        </w:rPr>
        <w:footnoteReference w:id="516"/>
      </w:r>
    </w:p>
    <w:p w14:paraId="63F524AD" w14:textId="66A18168" w:rsidR="0018433B" w:rsidRPr="00B51852" w:rsidRDefault="0018433B" w:rsidP="0018433B">
      <w:pPr>
        <w:pStyle w:val="Style"/>
        <w:widowControl/>
        <w:jc w:val="both"/>
        <w:textAlignment w:val="baseline"/>
        <w:rPr>
          <w:szCs w:val="25"/>
        </w:rPr>
      </w:pPr>
      <w:r>
        <w:rPr>
          <w:szCs w:val="25"/>
        </w:rPr>
        <w:lastRenderedPageBreak/>
        <w:tab/>
      </w:r>
      <w:r w:rsidRPr="00B51852">
        <w:rPr>
          <w:szCs w:val="25"/>
        </w:rPr>
        <w:t>One could treat these three ethical ideas</w:t>
      </w:r>
      <w:r w:rsidRPr="00230C90">
        <w:rPr>
          <w:szCs w:val="25"/>
        </w:rPr>
        <w:t>—</w:t>
      </w:r>
      <w:r>
        <w:rPr>
          <w:szCs w:val="25"/>
        </w:rPr>
        <w:t>“</w:t>
      </w:r>
      <w:r w:rsidRPr="00B51852">
        <w:rPr>
          <w:szCs w:val="25"/>
        </w:rPr>
        <w:t xml:space="preserve">judge” or </w:t>
      </w:r>
      <w:r>
        <w:rPr>
          <w:szCs w:val="25"/>
        </w:rPr>
        <w:t>“condemn,”</w:t>
      </w:r>
      <w:r w:rsidRPr="00B51852">
        <w:rPr>
          <w:szCs w:val="25"/>
        </w:rPr>
        <w:t xml:space="preserve"> “forgive,” and “give”</w:t>
      </w:r>
      <w:r w:rsidRPr="00230C90">
        <w:rPr>
          <w:szCs w:val="25"/>
        </w:rPr>
        <w:t>—</w:t>
      </w:r>
      <w:r w:rsidRPr="00B51852">
        <w:rPr>
          <w:szCs w:val="25"/>
        </w:rPr>
        <w:t>as three coordinate subunits: 37abcd</w:t>
      </w:r>
      <w:r w:rsidR="006F304D" w:rsidRPr="006F304D">
        <w:rPr>
          <w:szCs w:val="25"/>
        </w:rPr>
        <w:t xml:space="preserve">, </w:t>
      </w:r>
      <w:r w:rsidRPr="00B51852">
        <w:rPr>
          <w:szCs w:val="25"/>
        </w:rPr>
        <w:t>37ef</w:t>
      </w:r>
      <w:r w:rsidR="006F304D" w:rsidRPr="006F304D">
        <w:rPr>
          <w:szCs w:val="25"/>
        </w:rPr>
        <w:t xml:space="preserve">, </w:t>
      </w:r>
      <w:r w:rsidRPr="00B51852">
        <w:rPr>
          <w:szCs w:val="25"/>
        </w:rPr>
        <w:t xml:space="preserve">and 38ab. But the identical structure of the four clause pairs (imperative verb </w:t>
      </w:r>
      <w:r w:rsidRPr="00B51852">
        <w:rPr>
          <w:szCs w:val="27"/>
        </w:rPr>
        <w:t xml:space="preserve">+ </w:t>
      </w:r>
      <w:r>
        <w:rPr>
          <w:szCs w:val="27"/>
        </w:rPr>
        <w:t>καί</w:t>
      </w:r>
      <w:r>
        <w:rPr>
          <w:szCs w:val="25"/>
        </w:rPr>
        <w:t xml:space="preserve"> </w:t>
      </w:r>
      <w:r w:rsidRPr="00B51852">
        <w:rPr>
          <w:szCs w:val="27"/>
        </w:rPr>
        <w:t xml:space="preserve">+ </w:t>
      </w:r>
      <w:r w:rsidRPr="00B51852">
        <w:rPr>
          <w:szCs w:val="25"/>
        </w:rPr>
        <w:t xml:space="preserve">a second clause with the same verb in future passive) suggests that </w:t>
      </w:r>
      <w:r>
        <w:rPr>
          <w:szCs w:val="25"/>
        </w:rPr>
        <w:t>we are intended</w:t>
      </w:r>
      <w:r w:rsidRPr="00B51852">
        <w:rPr>
          <w:szCs w:val="25"/>
        </w:rPr>
        <w:t xml:space="preserve"> </w:t>
      </w:r>
      <w:r>
        <w:rPr>
          <w:szCs w:val="25"/>
        </w:rPr>
        <w:t xml:space="preserve">to </w:t>
      </w:r>
      <w:r w:rsidRPr="00B51852">
        <w:rPr>
          <w:szCs w:val="25"/>
        </w:rPr>
        <w:t>take the four as coordinate units. Therefore</w:t>
      </w:r>
      <w:r w:rsidR="006F304D" w:rsidRPr="006F304D">
        <w:rPr>
          <w:szCs w:val="25"/>
        </w:rPr>
        <w:t xml:space="preserve">, </w:t>
      </w:r>
      <w:r w:rsidRPr="00B51852">
        <w:rPr>
          <w:szCs w:val="25"/>
        </w:rPr>
        <w:t>I will subdivide 37-38b as four pairs of clauses</w:t>
      </w:r>
      <w:r w:rsidR="006F304D" w:rsidRPr="006F304D">
        <w:rPr>
          <w:szCs w:val="25"/>
        </w:rPr>
        <w:t xml:space="preserve">, </w:t>
      </w:r>
      <w:r w:rsidRPr="00B51852">
        <w:rPr>
          <w:szCs w:val="25"/>
        </w:rPr>
        <w:t>divided into two negative pairs (37ab</w:t>
      </w:r>
      <w:r w:rsidR="006F304D" w:rsidRPr="006F304D">
        <w:rPr>
          <w:szCs w:val="25"/>
        </w:rPr>
        <w:t xml:space="preserve">, </w:t>
      </w:r>
      <w:r w:rsidRPr="00B51852">
        <w:rPr>
          <w:szCs w:val="25"/>
        </w:rPr>
        <w:t>37cd) and two positive pairs (37ef</w:t>
      </w:r>
      <w:r w:rsidR="006F304D" w:rsidRPr="006F304D">
        <w:rPr>
          <w:szCs w:val="25"/>
        </w:rPr>
        <w:t xml:space="preserve">, </w:t>
      </w:r>
      <w:r w:rsidRPr="00B51852">
        <w:rPr>
          <w:szCs w:val="25"/>
        </w:rPr>
        <w:t>38ab). Only the versicles 38c and 38d remain to be considered.</w:t>
      </w:r>
    </w:p>
    <w:p w14:paraId="4E8CE267" w14:textId="50656E2B" w:rsidR="0018433B" w:rsidRPr="00B51852" w:rsidRDefault="0018433B" w:rsidP="0018433B">
      <w:pPr>
        <w:pStyle w:val="Style"/>
        <w:widowControl/>
        <w:jc w:val="both"/>
        <w:textAlignment w:val="baseline"/>
        <w:rPr>
          <w:szCs w:val="25"/>
        </w:rPr>
      </w:pPr>
      <w:r>
        <w:rPr>
          <w:szCs w:val="25"/>
        </w:rPr>
        <w:tab/>
      </w:r>
      <w:r w:rsidRPr="00B51852">
        <w:rPr>
          <w:szCs w:val="25"/>
        </w:rPr>
        <w:t>The “good measure” poured into one’s pocket</w:t>
      </w:r>
      <w:r>
        <w:rPr>
          <w:rStyle w:val="FootnoteReference"/>
          <w:szCs w:val="25"/>
        </w:rPr>
        <w:footnoteReference w:id="517"/>
      </w:r>
      <w:r>
        <w:rPr>
          <w:szCs w:val="25"/>
        </w:rPr>
        <w:t xml:space="preserve"> in 38c seems to be connec</w:t>
      </w:r>
      <w:r w:rsidRPr="00B51852">
        <w:rPr>
          <w:szCs w:val="25"/>
        </w:rPr>
        <w:t>ted to the preceding command to “give.” Placement of “good measure” at the beginn</w:t>
      </w:r>
      <w:r>
        <w:rPr>
          <w:szCs w:val="25"/>
        </w:rPr>
        <w:t>i</w:t>
      </w:r>
      <w:r w:rsidRPr="00B51852">
        <w:rPr>
          <w:szCs w:val="25"/>
        </w:rPr>
        <w:t xml:space="preserve">ng of 38c </w:t>
      </w:r>
      <w:r w:rsidRPr="004C516D">
        <w:rPr>
          <w:szCs w:val="25"/>
        </w:rPr>
        <w:t>(</w:t>
      </w:r>
      <w:r w:rsidRPr="00B51852">
        <w:rPr>
          <w:szCs w:val="25"/>
        </w:rPr>
        <w:t>even if that placement is an inadvertent result of the passive construction</w:t>
      </w:r>
      <w:r w:rsidR="006F304D" w:rsidRPr="006F304D">
        <w:rPr>
          <w:szCs w:val="25"/>
        </w:rPr>
        <w:t xml:space="preserve">, </w:t>
      </w:r>
      <w:r w:rsidRPr="00B51852">
        <w:rPr>
          <w:szCs w:val="25"/>
        </w:rPr>
        <w:t xml:space="preserve">which parallelism demanded) seems to make </w:t>
      </w:r>
      <w:r>
        <w:rPr>
          <w:szCs w:val="25"/>
        </w:rPr>
        <w:t>“</w:t>
      </w:r>
      <w:r w:rsidRPr="00B51852">
        <w:rPr>
          <w:szCs w:val="25"/>
        </w:rPr>
        <w:t xml:space="preserve">good measure” an explanatory appositive for the impersonal </w:t>
      </w:r>
      <w:r w:rsidRPr="00FF03AB">
        <w:rPr>
          <w:szCs w:val="25"/>
        </w:rPr>
        <w:t>“</w:t>
      </w:r>
      <w:r w:rsidRPr="00B51852">
        <w:rPr>
          <w:szCs w:val="25"/>
        </w:rPr>
        <w:t>it</w:t>
      </w:r>
      <w:r w:rsidRPr="00FF03AB">
        <w:rPr>
          <w:szCs w:val="25"/>
        </w:rPr>
        <w:t>”</w:t>
      </w:r>
      <w:r w:rsidRPr="00B51852">
        <w:rPr>
          <w:szCs w:val="25"/>
        </w:rPr>
        <w:t xml:space="preserve"> of the preceding clause</w:t>
      </w:r>
      <w:r w:rsidR="006F304D" w:rsidRPr="006F304D">
        <w:rPr>
          <w:szCs w:val="25"/>
        </w:rPr>
        <w:t xml:space="preserve">, </w:t>
      </w:r>
      <w:r w:rsidRPr="00FF03AB">
        <w:rPr>
          <w:szCs w:val="25"/>
        </w:rPr>
        <w:t>“</w:t>
      </w:r>
      <w:r w:rsidRPr="00B51852">
        <w:rPr>
          <w:szCs w:val="25"/>
        </w:rPr>
        <w:t>it will be given to you.</w:t>
      </w:r>
      <w:r>
        <w:rPr>
          <w:szCs w:val="25"/>
        </w:rPr>
        <w:t>”</w:t>
      </w:r>
      <w:r>
        <w:rPr>
          <w:rStyle w:val="FootnoteReference"/>
          <w:szCs w:val="25"/>
        </w:rPr>
        <w:footnoteReference w:id="518"/>
      </w:r>
      <w:r w:rsidRPr="00B51852">
        <w:rPr>
          <w:szCs w:val="25"/>
        </w:rPr>
        <w:t xml:space="preserve"> The meaning seems to be</w:t>
      </w:r>
      <w:r w:rsidR="006F304D" w:rsidRPr="006F304D">
        <w:rPr>
          <w:szCs w:val="25"/>
        </w:rPr>
        <w:t xml:space="preserve">, </w:t>
      </w:r>
      <w:r w:rsidRPr="00FF03AB">
        <w:rPr>
          <w:szCs w:val="25"/>
        </w:rPr>
        <w:t>“</w:t>
      </w:r>
      <w:r w:rsidRPr="00B51852">
        <w:rPr>
          <w:szCs w:val="25"/>
        </w:rPr>
        <w:t>Gi</w:t>
      </w:r>
      <w:r>
        <w:rPr>
          <w:szCs w:val="25"/>
        </w:rPr>
        <w:t>ve</w:t>
      </w:r>
      <w:r w:rsidR="006F304D" w:rsidRPr="006F304D">
        <w:rPr>
          <w:szCs w:val="25"/>
        </w:rPr>
        <w:t xml:space="preserve">, </w:t>
      </w:r>
      <w:r>
        <w:rPr>
          <w:szCs w:val="25"/>
        </w:rPr>
        <w:t>and it will be given to you—</w:t>
      </w:r>
      <w:r w:rsidRPr="00B51852">
        <w:rPr>
          <w:szCs w:val="25"/>
        </w:rPr>
        <w:softHyphen/>
        <w:t xml:space="preserve">and by </w:t>
      </w:r>
      <w:r>
        <w:rPr>
          <w:szCs w:val="25"/>
        </w:rPr>
        <w:t>‘it’</w:t>
      </w:r>
      <w:r w:rsidRPr="00B51852">
        <w:rPr>
          <w:szCs w:val="25"/>
        </w:rPr>
        <w:t xml:space="preserve"> I mean a really good measure</w:t>
      </w:r>
      <w:r w:rsidR="006F304D" w:rsidRPr="006F304D">
        <w:rPr>
          <w:szCs w:val="25"/>
        </w:rPr>
        <w:t xml:space="preserve">, </w:t>
      </w:r>
      <w:r w:rsidRPr="00B51852">
        <w:rPr>
          <w:szCs w:val="25"/>
        </w:rPr>
        <w:t xml:space="preserve">pressed down,” etc. The connection of </w:t>
      </w:r>
      <w:r>
        <w:rPr>
          <w:szCs w:val="25"/>
        </w:rPr>
        <w:t>“it”</w:t>
      </w:r>
      <w:r w:rsidRPr="00B51852">
        <w:rPr>
          <w:szCs w:val="25"/>
        </w:rPr>
        <w:t xml:space="preserve"> and “good measure” is possible because the clause</w:t>
      </w:r>
      <w:r w:rsidR="006F304D" w:rsidRPr="006F304D">
        <w:rPr>
          <w:szCs w:val="25"/>
        </w:rPr>
        <w:t xml:space="preserve">, </w:t>
      </w:r>
      <w:r>
        <w:rPr>
          <w:szCs w:val="25"/>
        </w:rPr>
        <w:t>“</w:t>
      </w:r>
      <w:r w:rsidRPr="00B51852">
        <w:rPr>
          <w:szCs w:val="25"/>
        </w:rPr>
        <w:t xml:space="preserve">it will be given to you,” does not specify whether the </w:t>
      </w:r>
      <w:r w:rsidRPr="00FF03AB">
        <w:rPr>
          <w:szCs w:val="25"/>
        </w:rPr>
        <w:t>“</w:t>
      </w:r>
      <w:r w:rsidRPr="00B51852">
        <w:rPr>
          <w:szCs w:val="25"/>
        </w:rPr>
        <w:t>it</w:t>
      </w:r>
      <w:r w:rsidRPr="00FF03AB">
        <w:rPr>
          <w:szCs w:val="25"/>
        </w:rPr>
        <w:t>”</w:t>
      </w:r>
      <w:r w:rsidRPr="00B51852">
        <w:rPr>
          <w:szCs w:val="25"/>
        </w:rPr>
        <w:t xml:space="preserve"> to be </w:t>
      </w:r>
      <w:r w:rsidRPr="00B51852">
        <w:rPr>
          <w:szCs w:val="25"/>
        </w:rPr>
        <w:lastRenderedPageBreak/>
        <w:t>received is equivalent to or greater than the amount given. This indetermination in 38b allows 38c to settle the matter: in 38c</w:t>
      </w:r>
      <w:r w:rsidR="006F304D" w:rsidRPr="006F304D">
        <w:rPr>
          <w:szCs w:val="25"/>
        </w:rPr>
        <w:t xml:space="preserve">, </w:t>
      </w:r>
      <w:r w:rsidRPr="00B51852">
        <w:rPr>
          <w:szCs w:val="25"/>
        </w:rPr>
        <w:t>the return is clearly much greater.</w:t>
      </w:r>
    </w:p>
    <w:p w14:paraId="0DD6764B" w14:textId="3662A32A" w:rsidR="0018433B" w:rsidRPr="00B51852" w:rsidRDefault="0018433B" w:rsidP="0018433B">
      <w:pPr>
        <w:pStyle w:val="Style"/>
        <w:widowControl/>
        <w:jc w:val="both"/>
        <w:textAlignment w:val="baseline"/>
        <w:rPr>
          <w:szCs w:val="2"/>
          <w:vertAlign w:val="superscript"/>
        </w:rPr>
      </w:pPr>
      <w:r>
        <w:rPr>
          <w:szCs w:val="25"/>
        </w:rPr>
        <w:tab/>
      </w:r>
      <w:r w:rsidRPr="00B51852">
        <w:rPr>
          <w:szCs w:val="25"/>
        </w:rPr>
        <w:t>A greater return</w:t>
      </w:r>
      <w:r w:rsidR="006F304D" w:rsidRPr="006F304D">
        <w:rPr>
          <w:szCs w:val="25"/>
        </w:rPr>
        <w:t xml:space="preserve">, </w:t>
      </w:r>
      <w:r w:rsidRPr="00B51852">
        <w:rPr>
          <w:szCs w:val="25"/>
        </w:rPr>
        <w:t>however</w:t>
      </w:r>
      <w:r w:rsidR="006F304D" w:rsidRPr="006F304D">
        <w:rPr>
          <w:szCs w:val="25"/>
        </w:rPr>
        <w:t xml:space="preserve">, </w:t>
      </w:r>
      <w:r w:rsidRPr="00B51852">
        <w:rPr>
          <w:szCs w:val="25"/>
        </w:rPr>
        <w:t>is a new idea. All three clause pairs in verse 37 suggest an equivalent return: “</w:t>
      </w:r>
      <w:r>
        <w:t>Do not judge</w:t>
      </w:r>
      <w:r w:rsidR="006F304D" w:rsidRPr="006F304D">
        <w:rPr>
          <w:szCs w:val="25"/>
        </w:rPr>
        <w:t xml:space="preserve">, </w:t>
      </w:r>
      <w:r w:rsidRPr="00B51852">
        <w:rPr>
          <w:szCs w:val="25"/>
        </w:rPr>
        <w:t xml:space="preserve">and you will not be judged; </w:t>
      </w:r>
      <w:r w:rsidRPr="00CD75A6">
        <w:t xml:space="preserve">do </w:t>
      </w:r>
      <w:r>
        <w:t>not condemn</w:t>
      </w:r>
      <w:r w:rsidR="006F304D" w:rsidRPr="006F304D">
        <w:rPr>
          <w:szCs w:val="25"/>
        </w:rPr>
        <w:t xml:space="preserve">, </w:t>
      </w:r>
      <w:r w:rsidRPr="00B51852">
        <w:rPr>
          <w:szCs w:val="25"/>
        </w:rPr>
        <w:t>and you will not be con</w:t>
      </w:r>
      <w:r>
        <w:rPr>
          <w:szCs w:val="25"/>
        </w:rPr>
        <w:t>demned.</w:t>
      </w:r>
      <w:r w:rsidRPr="00B51852">
        <w:rPr>
          <w:szCs w:val="25"/>
        </w:rPr>
        <w:t xml:space="preserve"> </w:t>
      </w:r>
      <w:r>
        <w:rPr>
          <w:szCs w:val="25"/>
        </w:rPr>
        <w:t>F</w:t>
      </w:r>
      <w:r w:rsidRPr="00B51852">
        <w:rPr>
          <w:szCs w:val="25"/>
        </w:rPr>
        <w:t>orgive</w:t>
      </w:r>
      <w:r w:rsidR="006F304D" w:rsidRPr="006F304D">
        <w:rPr>
          <w:szCs w:val="25"/>
        </w:rPr>
        <w:t xml:space="preserve">, </w:t>
      </w:r>
      <w:r w:rsidRPr="00B51852">
        <w:rPr>
          <w:szCs w:val="25"/>
        </w:rPr>
        <w:t xml:space="preserve">and you will be forgiven.” The principle of equivalent return is in fact explicitly stated in 38d: </w:t>
      </w:r>
      <w:r>
        <w:rPr>
          <w:szCs w:val="25"/>
        </w:rPr>
        <w:t>“</w:t>
      </w:r>
      <w:r w:rsidRPr="00CD75A6">
        <w:t>for the measure you give will be the measure you get back.”</w:t>
      </w:r>
      <w:r>
        <w:rPr>
          <w:szCs w:val="25"/>
        </w:rPr>
        <w:t xml:space="preserve"> </w:t>
      </w:r>
      <w:r w:rsidRPr="00B51852">
        <w:rPr>
          <w:szCs w:val="25"/>
        </w:rPr>
        <w:t>There is a contradiction between 38c and 38d: in 38c one receives a</w:t>
      </w:r>
      <w:r>
        <w:rPr>
          <w:szCs w:val="25"/>
        </w:rPr>
        <w:t xml:space="preserve"> </w:t>
      </w:r>
      <w:r w:rsidRPr="00B51852">
        <w:rPr>
          <w:szCs w:val="25"/>
        </w:rPr>
        <w:t>superabundant measure</w:t>
      </w:r>
      <w:r w:rsidR="006F304D" w:rsidRPr="006F304D">
        <w:rPr>
          <w:szCs w:val="25"/>
        </w:rPr>
        <w:t xml:space="preserve">, </w:t>
      </w:r>
      <w:r w:rsidRPr="00B51852">
        <w:rPr>
          <w:szCs w:val="25"/>
        </w:rPr>
        <w:t>in 38d one receives an equivalent measure.</w:t>
      </w:r>
      <w:r>
        <w:rPr>
          <w:rStyle w:val="FootnoteReference"/>
          <w:szCs w:val="25"/>
        </w:rPr>
        <w:footnoteReference w:id="519"/>
      </w:r>
      <w:r w:rsidRPr="00B51852">
        <w:rPr>
          <w:szCs w:val="25"/>
        </w:rPr>
        <w:t xml:space="preserve"> </w:t>
      </w:r>
      <w:r>
        <w:rPr>
          <w:szCs w:val="25"/>
        </w:rPr>
        <w:t xml:space="preserve">The </w:t>
      </w:r>
      <w:r w:rsidRPr="00B51852">
        <w:rPr>
          <w:szCs w:val="25"/>
        </w:rPr>
        <w:t>superabundant</w:t>
      </w:r>
      <w:r>
        <w:rPr>
          <w:szCs w:val="25"/>
        </w:rPr>
        <w:t xml:space="preserve"> </w:t>
      </w:r>
      <w:r w:rsidRPr="00B51852">
        <w:rPr>
          <w:szCs w:val="25"/>
        </w:rPr>
        <w:t xml:space="preserve">measure </w:t>
      </w:r>
      <w:r>
        <w:rPr>
          <w:szCs w:val="25"/>
        </w:rPr>
        <w:t xml:space="preserve">of </w:t>
      </w:r>
      <w:r w:rsidRPr="00B51852">
        <w:rPr>
          <w:szCs w:val="25"/>
        </w:rPr>
        <w:t>38c is best viewed</w:t>
      </w:r>
      <w:r w:rsidR="006F304D" w:rsidRPr="006F304D">
        <w:rPr>
          <w:szCs w:val="25"/>
        </w:rPr>
        <w:t xml:space="preserve">, </w:t>
      </w:r>
      <w:r w:rsidRPr="00B51852">
        <w:rPr>
          <w:szCs w:val="25"/>
        </w:rPr>
        <w:t>then</w:t>
      </w:r>
      <w:r w:rsidR="006F304D" w:rsidRPr="006F304D">
        <w:rPr>
          <w:szCs w:val="25"/>
        </w:rPr>
        <w:t xml:space="preserve">, </w:t>
      </w:r>
      <w:r w:rsidRPr="00B51852">
        <w:rPr>
          <w:szCs w:val="25"/>
        </w:rPr>
        <w:t>as a conclu</w:t>
      </w:r>
      <w:r>
        <w:rPr>
          <w:szCs w:val="25"/>
        </w:rPr>
        <w:t>sion only for 38ab</w:t>
      </w:r>
      <w:r w:rsidRPr="00B51852">
        <w:rPr>
          <w:szCs w:val="25"/>
        </w:rPr>
        <w:t xml:space="preserve"> </w:t>
      </w:r>
      <w:r>
        <w:rPr>
          <w:szCs w:val="25"/>
        </w:rPr>
        <w:t>(“</w:t>
      </w:r>
      <w:r w:rsidRPr="00B51852">
        <w:rPr>
          <w:szCs w:val="25"/>
        </w:rPr>
        <w:t>Gi</w:t>
      </w:r>
      <w:r>
        <w:rPr>
          <w:szCs w:val="25"/>
        </w:rPr>
        <w:t>ve</w:t>
      </w:r>
      <w:r w:rsidR="006F304D" w:rsidRPr="006F304D">
        <w:rPr>
          <w:szCs w:val="25"/>
        </w:rPr>
        <w:t xml:space="preserve">, </w:t>
      </w:r>
      <w:r>
        <w:rPr>
          <w:szCs w:val="25"/>
        </w:rPr>
        <w:t>and it will be given to you”)</w:t>
      </w:r>
      <w:r w:rsidR="006F304D" w:rsidRPr="006F304D">
        <w:rPr>
          <w:szCs w:val="25"/>
        </w:rPr>
        <w:t xml:space="preserve">, </w:t>
      </w:r>
      <w:r>
        <w:rPr>
          <w:szCs w:val="25"/>
        </w:rPr>
        <w:t>not for 38a-f (judge not</w:t>
      </w:r>
      <w:r w:rsidR="006F304D" w:rsidRPr="006F304D">
        <w:rPr>
          <w:szCs w:val="25"/>
        </w:rPr>
        <w:t xml:space="preserve">, </w:t>
      </w:r>
      <w:r>
        <w:rPr>
          <w:szCs w:val="25"/>
        </w:rPr>
        <w:t>condemn not</w:t>
      </w:r>
      <w:r w:rsidR="006F304D" w:rsidRPr="006F304D">
        <w:rPr>
          <w:szCs w:val="25"/>
        </w:rPr>
        <w:t xml:space="preserve">, </w:t>
      </w:r>
      <w:r>
        <w:rPr>
          <w:szCs w:val="25"/>
        </w:rPr>
        <w:t>forgive) as well.</w:t>
      </w:r>
      <w:r>
        <w:rPr>
          <w:rStyle w:val="FootnoteReference"/>
          <w:szCs w:val="25"/>
        </w:rPr>
        <w:footnoteReference w:id="520"/>
      </w:r>
    </w:p>
    <w:p w14:paraId="7784CBCC" w14:textId="056F6AC3" w:rsidR="0018433B" w:rsidRDefault="0018433B" w:rsidP="0018433B">
      <w:pPr>
        <w:pStyle w:val="Style"/>
        <w:widowControl/>
        <w:jc w:val="both"/>
        <w:textAlignment w:val="baseline"/>
        <w:rPr>
          <w:szCs w:val="25"/>
        </w:rPr>
      </w:pPr>
      <w:r>
        <w:rPr>
          <w:szCs w:val="25"/>
        </w:rPr>
        <w:tab/>
      </w:r>
      <w:r w:rsidRPr="00B51852">
        <w:rPr>
          <w:szCs w:val="25"/>
        </w:rPr>
        <w:t>It seems to me that one can</w:t>
      </w:r>
      <w:r w:rsidR="006F304D" w:rsidRPr="006F304D">
        <w:rPr>
          <w:szCs w:val="25"/>
        </w:rPr>
        <w:t xml:space="preserve">, </w:t>
      </w:r>
      <w:r w:rsidRPr="00B51852">
        <w:rPr>
          <w:szCs w:val="25"/>
        </w:rPr>
        <w:t>on the basis of the distinctions we have made</w:t>
      </w:r>
      <w:r w:rsidR="006F304D" w:rsidRPr="006F304D">
        <w:rPr>
          <w:szCs w:val="25"/>
        </w:rPr>
        <w:t xml:space="preserve">, </w:t>
      </w:r>
      <w:r w:rsidRPr="00B51852">
        <w:rPr>
          <w:szCs w:val="25"/>
        </w:rPr>
        <w:t xml:space="preserve">reconstruct with </w:t>
      </w:r>
      <w:r>
        <w:rPr>
          <w:szCs w:val="25"/>
        </w:rPr>
        <w:t xml:space="preserve">some </w:t>
      </w:r>
      <w:r w:rsidRPr="00B51852">
        <w:rPr>
          <w:szCs w:val="25"/>
        </w:rPr>
        <w:t>prob</w:t>
      </w:r>
      <w:r>
        <w:rPr>
          <w:szCs w:val="25"/>
        </w:rPr>
        <w:t>ability</w:t>
      </w:r>
      <w:r w:rsidRPr="00B51852">
        <w:rPr>
          <w:szCs w:val="25"/>
        </w:rPr>
        <w:t xml:space="preserve"> the redac</w:t>
      </w:r>
      <w:r>
        <w:rPr>
          <w:szCs w:val="25"/>
        </w:rPr>
        <w:t>tional history behind verses 37-</w:t>
      </w:r>
      <w:r w:rsidRPr="00B51852">
        <w:rPr>
          <w:szCs w:val="25"/>
        </w:rPr>
        <w:t>3</w:t>
      </w:r>
      <w:r>
        <w:rPr>
          <w:szCs w:val="25"/>
        </w:rPr>
        <w:t>8</w:t>
      </w:r>
      <w:r>
        <w:rPr>
          <w:rStyle w:val="FootnoteReference"/>
          <w:szCs w:val="25"/>
        </w:rPr>
        <w:footnoteReference w:id="521"/>
      </w:r>
      <w:r>
        <w:rPr>
          <w:szCs w:val="25"/>
        </w:rPr>
        <w:t>;</w:t>
      </w:r>
      <w:r w:rsidRPr="00B51852">
        <w:rPr>
          <w:szCs w:val="25"/>
        </w:rPr>
        <w:t xml:space="preserve"> but that is not our concern. In their final pattern</w:t>
      </w:r>
      <w:r w:rsidR="006F304D" w:rsidRPr="006F304D">
        <w:rPr>
          <w:szCs w:val="25"/>
        </w:rPr>
        <w:t xml:space="preserve">, </w:t>
      </w:r>
      <w:r w:rsidRPr="00B51852">
        <w:rPr>
          <w:szCs w:val="25"/>
        </w:rPr>
        <w:t>all four clause pairs</w:t>
      </w:r>
      <w:r w:rsidR="006F304D" w:rsidRPr="006F304D">
        <w:rPr>
          <w:szCs w:val="25"/>
        </w:rPr>
        <w:t xml:space="preserve">, </w:t>
      </w:r>
      <w:r w:rsidRPr="00B51852">
        <w:rPr>
          <w:szCs w:val="25"/>
        </w:rPr>
        <w:t>37-38b</w:t>
      </w:r>
      <w:r w:rsidR="006F304D" w:rsidRPr="006F304D">
        <w:rPr>
          <w:szCs w:val="25"/>
        </w:rPr>
        <w:t xml:space="preserve">, </w:t>
      </w:r>
      <w:r w:rsidRPr="00B51852">
        <w:rPr>
          <w:szCs w:val="25"/>
        </w:rPr>
        <w:t xml:space="preserve">have the same form; but 38c (“good measure”) and 38d </w:t>
      </w:r>
      <w:r w:rsidRPr="004C516D">
        <w:rPr>
          <w:szCs w:val="25"/>
        </w:rPr>
        <w:t>(</w:t>
      </w:r>
      <w:r w:rsidRPr="00B51852">
        <w:rPr>
          <w:szCs w:val="25"/>
        </w:rPr>
        <w:t>equivalent measure) differ from the clause pairs bo</w:t>
      </w:r>
      <w:r>
        <w:rPr>
          <w:szCs w:val="25"/>
        </w:rPr>
        <w:t>th in form and in content. Versicle</w:t>
      </w:r>
      <w:r w:rsidRPr="00B51852">
        <w:rPr>
          <w:szCs w:val="25"/>
        </w:rPr>
        <w:t xml:space="preserve"> 38c</w:t>
      </w:r>
      <w:r w:rsidR="006F304D" w:rsidRPr="006F304D">
        <w:rPr>
          <w:szCs w:val="25"/>
        </w:rPr>
        <w:t xml:space="preserve">, </w:t>
      </w:r>
      <w:r w:rsidRPr="00B51852">
        <w:rPr>
          <w:szCs w:val="25"/>
        </w:rPr>
        <w:t>we have just observed</w:t>
      </w:r>
      <w:r w:rsidR="006F304D" w:rsidRPr="006F304D">
        <w:rPr>
          <w:szCs w:val="25"/>
        </w:rPr>
        <w:t xml:space="preserve">, </w:t>
      </w:r>
      <w:r w:rsidRPr="00B51852">
        <w:rPr>
          <w:szCs w:val="25"/>
        </w:rPr>
        <w:t xml:space="preserve">is probably a conclusion only to 38ab. </w:t>
      </w:r>
      <w:r w:rsidRPr="00B51852">
        <w:rPr>
          <w:szCs w:val="22"/>
        </w:rPr>
        <w:t xml:space="preserve">If </w:t>
      </w:r>
      <w:r w:rsidRPr="00B51852">
        <w:rPr>
          <w:szCs w:val="25"/>
        </w:rPr>
        <w:t>38d followed directly upon the clause pairs</w:t>
      </w:r>
      <w:r w:rsidR="006F304D" w:rsidRPr="006F304D">
        <w:rPr>
          <w:szCs w:val="25"/>
        </w:rPr>
        <w:t xml:space="preserve">, </w:t>
      </w:r>
      <w:r w:rsidRPr="00B51852">
        <w:rPr>
          <w:szCs w:val="25"/>
        </w:rPr>
        <w:t>it might have been a conclusion for all four: “Judge not</w:t>
      </w:r>
      <w:r w:rsidR="006F304D" w:rsidRPr="006F304D">
        <w:rPr>
          <w:szCs w:val="25"/>
        </w:rPr>
        <w:t xml:space="preserve">, </w:t>
      </w:r>
      <w:r w:rsidRPr="00B51852">
        <w:rPr>
          <w:szCs w:val="25"/>
        </w:rPr>
        <w:t>condemn not</w:t>
      </w:r>
      <w:r w:rsidR="006F304D" w:rsidRPr="006F304D">
        <w:rPr>
          <w:szCs w:val="25"/>
        </w:rPr>
        <w:t xml:space="preserve">, </w:t>
      </w:r>
      <w:r w:rsidRPr="00B51852">
        <w:rPr>
          <w:szCs w:val="25"/>
        </w:rPr>
        <w:t>forgive</w:t>
      </w:r>
      <w:r w:rsidR="006F304D" w:rsidRPr="006F304D">
        <w:rPr>
          <w:szCs w:val="25"/>
        </w:rPr>
        <w:t xml:space="preserve">, </w:t>
      </w:r>
      <w:r w:rsidRPr="00B51852">
        <w:rPr>
          <w:szCs w:val="25"/>
        </w:rPr>
        <w:t>give;</w:t>
      </w:r>
      <w:r>
        <w:rPr>
          <w:szCs w:val="25"/>
        </w:rPr>
        <w:t xml:space="preserve"> </w:t>
      </w:r>
      <w:r w:rsidRPr="00B51852">
        <w:rPr>
          <w:szCs w:val="25"/>
        </w:rPr>
        <w:t>and as a result</w:t>
      </w:r>
      <w:r w:rsidR="006F304D" w:rsidRPr="006F304D">
        <w:rPr>
          <w:szCs w:val="25"/>
        </w:rPr>
        <w:t xml:space="preserve">, </w:t>
      </w:r>
      <w:r w:rsidRPr="00B51852">
        <w:rPr>
          <w:szCs w:val="25"/>
        </w:rPr>
        <w:t>you will receive the same good treatment.</w:t>
      </w:r>
      <w:r>
        <w:rPr>
          <w:szCs w:val="25"/>
        </w:rPr>
        <w:t>”</w:t>
      </w:r>
      <w:r>
        <w:rPr>
          <w:rStyle w:val="FootnoteReference"/>
          <w:szCs w:val="25"/>
        </w:rPr>
        <w:footnoteReference w:id="522"/>
      </w:r>
      <w:r>
        <w:rPr>
          <w:szCs w:val="25"/>
        </w:rPr>
        <w:t xml:space="preserve"> </w:t>
      </w:r>
      <w:r w:rsidRPr="00B51852">
        <w:rPr>
          <w:szCs w:val="25"/>
        </w:rPr>
        <w:t>But with the</w:t>
      </w:r>
      <w:r>
        <w:rPr>
          <w:szCs w:val="25"/>
        </w:rPr>
        <w:t xml:space="preserve"> </w:t>
      </w:r>
      <w:r w:rsidRPr="00B51852">
        <w:rPr>
          <w:szCs w:val="25"/>
        </w:rPr>
        <w:t>principle of superabundant return in between</w:t>
      </w:r>
      <w:r w:rsidR="006F304D" w:rsidRPr="006F304D">
        <w:rPr>
          <w:szCs w:val="25"/>
        </w:rPr>
        <w:t xml:space="preserve">, </w:t>
      </w:r>
      <w:r w:rsidRPr="00B51852">
        <w:rPr>
          <w:szCs w:val="25"/>
        </w:rPr>
        <w:t>38d is less a conclusion than it is a mere statement of the principle of equivalent return</w:t>
      </w:r>
      <w:r w:rsidR="006F304D" w:rsidRPr="006F304D">
        <w:rPr>
          <w:szCs w:val="25"/>
        </w:rPr>
        <w:t xml:space="preserve">, </w:t>
      </w:r>
      <w:r w:rsidRPr="00B51852">
        <w:rPr>
          <w:szCs w:val="25"/>
        </w:rPr>
        <w:t>implicit in the first three clause pairs.</w:t>
      </w:r>
      <w:r>
        <w:rPr>
          <w:rStyle w:val="FootnoteReference"/>
          <w:szCs w:val="25"/>
        </w:rPr>
        <w:footnoteReference w:id="523"/>
      </w:r>
      <w:r>
        <w:rPr>
          <w:szCs w:val="25"/>
        </w:rPr>
        <w:t xml:space="preserve"> </w:t>
      </w:r>
      <w:r w:rsidRPr="00B51852">
        <w:rPr>
          <w:szCs w:val="25"/>
        </w:rPr>
        <w:t>It seems necessary</w:t>
      </w:r>
      <w:r w:rsidR="006F304D" w:rsidRPr="006F304D">
        <w:rPr>
          <w:szCs w:val="25"/>
        </w:rPr>
        <w:t xml:space="preserve">, </w:t>
      </w:r>
      <w:r w:rsidRPr="00B51852">
        <w:rPr>
          <w:szCs w:val="25"/>
        </w:rPr>
        <w:t>then</w:t>
      </w:r>
      <w:r w:rsidR="006F304D" w:rsidRPr="006F304D">
        <w:rPr>
          <w:szCs w:val="25"/>
        </w:rPr>
        <w:t xml:space="preserve">, </w:t>
      </w:r>
      <w:r w:rsidRPr="00B51852">
        <w:rPr>
          <w:szCs w:val="25"/>
        </w:rPr>
        <w:t>given the present isolation of 38d</w:t>
      </w:r>
      <w:r w:rsidR="006F304D" w:rsidRPr="006F304D">
        <w:rPr>
          <w:szCs w:val="25"/>
        </w:rPr>
        <w:t xml:space="preserve">, </w:t>
      </w:r>
      <w:r w:rsidRPr="00B51852">
        <w:rPr>
          <w:szCs w:val="25"/>
        </w:rPr>
        <w:t>to segregate it from the preceding clauses. Our outline of verses 37-38 is thus as follows.</w:t>
      </w:r>
    </w:p>
    <w:p w14:paraId="3C8B45EC" w14:textId="77777777" w:rsidR="0018433B" w:rsidRDefault="0018433B" w:rsidP="0018433B">
      <w:pPr>
        <w:pStyle w:val="Style"/>
        <w:widowControl/>
        <w:jc w:val="both"/>
        <w:textAlignment w:val="baseline"/>
        <w:rPr>
          <w:szCs w:val="25"/>
        </w:rPr>
      </w:pPr>
    </w:p>
    <w:p w14:paraId="46064F77" w14:textId="77777777" w:rsidR="0018433B" w:rsidRPr="0056020E" w:rsidRDefault="0018433B" w:rsidP="0018433B">
      <w:pPr>
        <w:pStyle w:val="Style"/>
        <w:tabs>
          <w:tab w:val="left" w:pos="3600"/>
          <w:tab w:val="left" w:pos="3960"/>
          <w:tab w:val="left" w:pos="4320"/>
          <w:tab w:val="left" w:pos="4680"/>
          <w:tab w:val="left" w:pos="5040"/>
          <w:tab w:val="left" w:pos="5400"/>
        </w:tabs>
        <w:textAlignment w:val="baseline"/>
        <w:rPr>
          <w:szCs w:val="25"/>
        </w:rPr>
      </w:pPr>
      <w:r>
        <w:rPr>
          <w:szCs w:val="25"/>
        </w:rPr>
        <w:tab/>
      </w:r>
      <w:r w:rsidRPr="0056020E">
        <w:rPr>
          <w:szCs w:val="25"/>
        </w:rPr>
        <w:t>1.</w:t>
      </w:r>
      <w:r w:rsidRPr="0056020E">
        <w:rPr>
          <w:szCs w:val="25"/>
        </w:rPr>
        <w:tab/>
        <w:t>37-38</w:t>
      </w:r>
    </w:p>
    <w:p w14:paraId="7B23752C" w14:textId="77777777" w:rsidR="0018433B" w:rsidRPr="0056020E" w:rsidRDefault="0018433B" w:rsidP="0018433B">
      <w:pPr>
        <w:pStyle w:val="Style"/>
        <w:tabs>
          <w:tab w:val="left" w:pos="3600"/>
          <w:tab w:val="left" w:pos="3960"/>
          <w:tab w:val="left" w:pos="4320"/>
          <w:tab w:val="left" w:pos="4680"/>
          <w:tab w:val="left" w:pos="5040"/>
          <w:tab w:val="left" w:pos="5400"/>
        </w:tabs>
        <w:textAlignment w:val="baseline"/>
        <w:rPr>
          <w:szCs w:val="25"/>
        </w:rPr>
      </w:pPr>
      <w:r>
        <w:rPr>
          <w:szCs w:val="25"/>
        </w:rPr>
        <w:tab/>
      </w:r>
      <w:r>
        <w:rPr>
          <w:szCs w:val="25"/>
        </w:rPr>
        <w:tab/>
        <w:t>a.</w:t>
      </w:r>
      <w:r>
        <w:rPr>
          <w:szCs w:val="25"/>
        </w:rPr>
        <w:tab/>
      </w:r>
      <w:r w:rsidRPr="0056020E">
        <w:rPr>
          <w:szCs w:val="25"/>
        </w:rPr>
        <w:t>37-38c</w:t>
      </w:r>
    </w:p>
    <w:p w14:paraId="1A531D3C" w14:textId="77777777" w:rsidR="0018433B" w:rsidRPr="0056020E" w:rsidRDefault="0018433B" w:rsidP="0018433B">
      <w:pPr>
        <w:pStyle w:val="Style"/>
        <w:tabs>
          <w:tab w:val="left" w:pos="3600"/>
          <w:tab w:val="left" w:pos="3960"/>
          <w:tab w:val="left" w:pos="4320"/>
          <w:tab w:val="left" w:pos="4680"/>
          <w:tab w:val="left" w:pos="5040"/>
          <w:tab w:val="left" w:pos="5400"/>
        </w:tabs>
        <w:textAlignment w:val="baseline"/>
        <w:rPr>
          <w:szCs w:val="25"/>
        </w:rPr>
      </w:pPr>
      <w:r>
        <w:rPr>
          <w:szCs w:val="25"/>
        </w:rPr>
        <w:tab/>
      </w:r>
      <w:r>
        <w:rPr>
          <w:szCs w:val="25"/>
        </w:rPr>
        <w:tab/>
      </w:r>
      <w:r>
        <w:rPr>
          <w:szCs w:val="25"/>
        </w:rPr>
        <w:tab/>
      </w:r>
      <w:r w:rsidRPr="0056020E">
        <w:rPr>
          <w:szCs w:val="25"/>
        </w:rPr>
        <w:t>1)</w:t>
      </w:r>
      <w:r w:rsidRPr="0056020E">
        <w:rPr>
          <w:szCs w:val="25"/>
        </w:rPr>
        <w:tab/>
        <w:t>37abcd</w:t>
      </w:r>
    </w:p>
    <w:p w14:paraId="01955134" w14:textId="77777777" w:rsidR="0018433B" w:rsidRPr="00E5413C" w:rsidRDefault="0018433B" w:rsidP="0018433B">
      <w:pPr>
        <w:pStyle w:val="Style"/>
        <w:tabs>
          <w:tab w:val="left" w:pos="3600"/>
          <w:tab w:val="left" w:pos="3960"/>
          <w:tab w:val="left" w:pos="4320"/>
          <w:tab w:val="left" w:pos="4680"/>
          <w:tab w:val="left" w:pos="5040"/>
          <w:tab w:val="left" w:pos="5400"/>
        </w:tabs>
        <w:textAlignment w:val="baseline"/>
        <w:rPr>
          <w:szCs w:val="25"/>
          <w:lang w:val="es-ES"/>
        </w:rPr>
      </w:pPr>
      <w:r>
        <w:rPr>
          <w:szCs w:val="25"/>
        </w:rPr>
        <w:lastRenderedPageBreak/>
        <w:tab/>
      </w:r>
      <w:r>
        <w:rPr>
          <w:szCs w:val="25"/>
        </w:rPr>
        <w:tab/>
      </w:r>
      <w:r>
        <w:rPr>
          <w:szCs w:val="25"/>
        </w:rPr>
        <w:tab/>
      </w:r>
      <w:r>
        <w:rPr>
          <w:szCs w:val="25"/>
        </w:rPr>
        <w:tab/>
      </w:r>
      <w:r w:rsidRPr="00E5413C">
        <w:rPr>
          <w:szCs w:val="25"/>
          <w:lang w:val="es-ES"/>
        </w:rPr>
        <w:t>a)</w:t>
      </w:r>
      <w:r w:rsidRPr="00E5413C">
        <w:rPr>
          <w:szCs w:val="25"/>
          <w:lang w:val="es-ES"/>
        </w:rPr>
        <w:tab/>
        <w:t>37ab</w:t>
      </w:r>
    </w:p>
    <w:p w14:paraId="5858F987" w14:textId="77777777" w:rsidR="0018433B" w:rsidRPr="00E5413C" w:rsidRDefault="0018433B" w:rsidP="0018433B">
      <w:pPr>
        <w:pStyle w:val="Style"/>
        <w:tabs>
          <w:tab w:val="left" w:pos="3600"/>
          <w:tab w:val="left" w:pos="3960"/>
          <w:tab w:val="left" w:pos="4320"/>
          <w:tab w:val="left" w:pos="4680"/>
          <w:tab w:val="left" w:pos="5040"/>
          <w:tab w:val="left" w:pos="5400"/>
        </w:tabs>
        <w:textAlignment w:val="baseline"/>
        <w:rPr>
          <w:szCs w:val="25"/>
          <w:lang w:val="es-ES"/>
        </w:rPr>
      </w:pPr>
      <w:r w:rsidRPr="00E5413C">
        <w:rPr>
          <w:szCs w:val="25"/>
          <w:lang w:val="es-ES"/>
        </w:rPr>
        <w:tab/>
      </w:r>
      <w:r w:rsidRPr="00E5413C">
        <w:rPr>
          <w:szCs w:val="25"/>
          <w:lang w:val="es-ES"/>
        </w:rPr>
        <w:tab/>
      </w:r>
      <w:r w:rsidRPr="00E5413C">
        <w:rPr>
          <w:szCs w:val="25"/>
          <w:lang w:val="es-ES"/>
        </w:rPr>
        <w:tab/>
      </w:r>
      <w:r w:rsidRPr="00E5413C">
        <w:rPr>
          <w:szCs w:val="25"/>
          <w:lang w:val="es-ES"/>
        </w:rPr>
        <w:tab/>
        <w:t>b)</w:t>
      </w:r>
      <w:r w:rsidRPr="00E5413C">
        <w:rPr>
          <w:szCs w:val="25"/>
          <w:lang w:val="es-ES"/>
        </w:rPr>
        <w:tab/>
        <w:t>37cd</w:t>
      </w:r>
    </w:p>
    <w:p w14:paraId="68698E60" w14:textId="77777777" w:rsidR="0018433B" w:rsidRPr="00E5413C" w:rsidRDefault="0018433B" w:rsidP="0018433B">
      <w:pPr>
        <w:pStyle w:val="Style"/>
        <w:tabs>
          <w:tab w:val="left" w:pos="3600"/>
          <w:tab w:val="left" w:pos="3960"/>
          <w:tab w:val="left" w:pos="4320"/>
          <w:tab w:val="left" w:pos="4680"/>
          <w:tab w:val="left" w:pos="5040"/>
          <w:tab w:val="left" w:pos="5400"/>
        </w:tabs>
        <w:textAlignment w:val="baseline"/>
        <w:rPr>
          <w:szCs w:val="25"/>
          <w:lang w:val="es-ES"/>
        </w:rPr>
      </w:pPr>
      <w:r w:rsidRPr="00E5413C">
        <w:rPr>
          <w:szCs w:val="25"/>
          <w:lang w:val="es-ES"/>
        </w:rPr>
        <w:tab/>
      </w:r>
      <w:r w:rsidRPr="00E5413C">
        <w:rPr>
          <w:szCs w:val="25"/>
          <w:lang w:val="es-ES"/>
        </w:rPr>
        <w:tab/>
      </w:r>
      <w:r w:rsidRPr="00E5413C">
        <w:rPr>
          <w:szCs w:val="25"/>
          <w:lang w:val="es-ES"/>
        </w:rPr>
        <w:tab/>
        <w:t>2)</w:t>
      </w:r>
      <w:r w:rsidRPr="00E5413C">
        <w:rPr>
          <w:szCs w:val="25"/>
          <w:lang w:val="es-ES"/>
        </w:rPr>
        <w:tab/>
        <w:t>37e-38c</w:t>
      </w:r>
    </w:p>
    <w:p w14:paraId="3487F87B" w14:textId="77777777" w:rsidR="0018433B" w:rsidRPr="00E5413C" w:rsidRDefault="0018433B" w:rsidP="0018433B">
      <w:pPr>
        <w:pStyle w:val="Style"/>
        <w:tabs>
          <w:tab w:val="left" w:pos="3600"/>
          <w:tab w:val="left" w:pos="3960"/>
          <w:tab w:val="left" w:pos="4320"/>
          <w:tab w:val="left" w:pos="4680"/>
          <w:tab w:val="left" w:pos="5040"/>
          <w:tab w:val="left" w:pos="5400"/>
        </w:tabs>
        <w:textAlignment w:val="baseline"/>
        <w:rPr>
          <w:szCs w:val="25"/>
          <w:lang w:val="es-ES"/>
        </w:rPr>
      </w:pPr>
      <w:r w:rsidRPr="00E5413C">
        <w:rPr>
          <w:szCs w:val="25"/>
          <w:lang w:val="es-ES"/>
        </w:rPr>
        <w:tab/>
      </w:r>
      <w:r w:rsidRPr="00E5413C">
        <w:rPr>
          <w:szCs w:val="25"/>
          <w:lang w:val="es-ES"/>
        </w:rPr>
        <w:tab/>
      </w:r>
      <w:r w:rsidRPr="00E5413C">
        <w:rPr>
          <w:szCs w:val="25"/>
          <w:lang w:val="es-ES"/>
        </w:rPr>
        <w:tab/>
      </w:r>
      <w:r w:rsidRPr="00E5413C">
        <w:rPr>
          <w:szCs w:val="25"/>
          <w:lang w:val="es-ES"/>
        </w:rPr>
        <w:tab/>
        <w:t>a)</w:t>
      </w:r>
      <w:r w:rsidRPr="00E5413C">
        <w:rPr>
          <w:szCs w:val="25"/>
          <w:lang w:val="es-ES"/>
        </w:rPr>
        <w:tab/>
        <w:t>37ef</w:t>
      </w:r>
    </w:p>
    <w:p w14:paraId="5F5446F8" w14:textId="77777777" w:rsidR="0018433B" w:rsidRPr="0056020E" w:rsidRDefault="0018433B" w:rsidP="0018433B">
      <w:pPr>
        <w:pStyle w:val="Style"/>
        <w:tabs>
          <w:tab w:val="left" w:pos="3600"/>
          <w:tab w:val="left" w:pos="3960"/>
          <w:tab w:val="left" w:pos="4320"/>
          <w:tab w:val="left" w:pos="4680"/>
          <w:tab w:val="left" w:pos="5040"/>
          <w:tab w:val="left" w:pos="5400"/>
        </w:tabs>
        <w:textAlignment w:val="baseline"/>
        <w:rPr>
          <w:szCs w:val="25"/>
        </w:rPr>
      </w:pPr>
      <w:r w:rsidRPr="00E5413C">
        <w:rPr>
          <w:szCs w:val="25"/>
          <w:lang w:val="es-ES"/>
        </w:rPr>
        <w:tab/>
      </w:r>
      <w:r w:rsidRPr="00E5413C">
        <w:rPr>
          <w:szCs w:val="25"/>
          <w:lang w:val="es-ES"/>
        </w:rPr>
        <w:tab/>
      </w:r>
      <w:r w:rsidRPr="00E5413C">
        <w:rPr>
          <w:szCs w:val="25"/>
          <w:lang w:val="es-ES"/>
        </w:rPr>
        <w:tab/>
      </w:r>
      <w:r w:rsidRPr="00E5413C">
        <w:rPr>
          <w:szCs w:val="25"/>
          <w:lang w:val="es-ES"/>
        </w:rPr>
        <w:tab/>
      </w:r>
      <w:r w:rsidRPr="0056020E">
        <w:rPr>
          <w:szCs w:val="25"/>
        </w:rPr>
        <w:t>b)</w:t>
      </w:r>
      <w:r w:rsidRPr="0056020E">
        <w:rPr>
          <w:szCs w:val="25"/>
        </w:rPr>
        <w:tab/>
        <w:t>38abc</w:t>
      </w:r>
    </w:p>
    <w:p w14:paraId="3F339274" w14:textId="77777777" w:rsidR="0018433B" w:rsidRDefault="0018433B" w:rsidP="0018433B">
      <w:pPr>
        <w:pStyle w:val="Style"/>
        <w:widowControl/>
        <w:tabs>
          <w:tab w:val="left" w:pos="3600"/>
          <w:tab w:val="left" w:pos="3960"/>
          <w:tab w:val="left" w:pos="4320"/>
          <w:tab w:val="left" w:pos="4680"/>
          <w:tab w:val="left" w:pos="5040"/>
          <w:tab w:val="left" w:pos="5400"/>
        </w:tabs>
        <w:jc w:val="both"/>
        <w:textAlignment w:val="baseline"/>
        <w:rPr>
          <w:szCs w:val="25"/>
        </w:rPr>
      </w:pPr>
      <w:r>
        <w:rPr>
          <w:szCs w:val="25"/>
        </w:rPr>
        <w:tab/>
      </w:r>
      <w:r>
        <w:rPr>
          <w:szCs w:val="25"/>
        </w:rPr>
        <w:tab/>
      </w:r>
      <w:r>
        <w:rPr>
          <w:szCs w:val="25"/>
        </w:rPr>
        <w:tab/>
      </w:r>
      <w:r>
        <w:rPr>
          <w:szCs w:val="25"/>
        </w:rPr>
        <w:tab/>
      </w:r>
      <w:r>
        <w:rPr>
          <w:szCs w:val="25"/>
        </w:rPr>
        <w:tab/>
        <w:t>(1)</w:t>
      </w:r>
      <w:r>
        <w:rPr>
          <w:szCs w:val="25"/>
        </w:rPr>
        <w:tab/>
        <w:t>38ab</w:t>
      </w:r>
    </w:p>
    <w:p w14:paraId="3886375F" w14:textId="77777777" w:rsidR="0018433B" w:rsidRDefault="0018433B" w:rsidP="0018433B">
      <w:pPr>
        <w:pStyle w:val="Style"/>
        <w:widowControl/>
        <w:tabs>
          <w:tab w:val="left" w:pos="3600"/>
          <w:tab w:val="left" w:pos="3960"/>
          <w:tab w:val="left" w:pos="4320"/>
          <w:tab w:val="left" w:pos="4680"/>
          <w:tab w:val="left" w:pos="5040"/>
          <w:tab w:val="left" w:pos="5400"/>
        </w:tabs>
        <w:jc w:val="both"/>
        <w:textAlignment w:val="baseline"/>
        <w:rPr>
          <w:szCs w:val="25"/>
        </w:rPr>
      </w:pPr>
      <w:r>
        <w:rPr>
          <w:szCs w:val="25"/>
        </w:rPr>
        <w:tab/>
      </w:r>
      <w:r>
        <w:rPr>
          <w:szCs w:val="25"/>
        </w:rPr>
        <w:tab/>
      </w:r>
      <w:r>
        <w:rPr>
          <w:szCs w:val="25"/>
        </w:rPr>
        <w:tab/>
      </w:r>
      <w:r>
        <w:rPr>
          <w:szCs w:val="25"/>
        </w:rPr>
        <w:tab/>
      </w:r>
      <w:r>
        <w:rPr>
          <w:szCs w:val="25"/>
        </w:rPr>
        <w:tab/>
        <w:t>(2)</w:t>
      </w:r>
      <w:r>
        <w:rPr>
          <w:szCs w:val="25"/>
        </w:rPr>
        <w:tab/>
        <w:t>38c</w:t>
      </w:r>
    </w:p>
    <w:p w14:paraId="1006F914" w14:textId="77777777" w:rsidR="0018433B" w:rsidRPr="00B51852" w:rsidRDefault="0018433B" w:rsidP="0018433B">
      <w:pPr>
        <w:pStyle w:val="Style"/>
        <w:widowControl/>
        <w:tabs>
          <w:tab w:val="left" w:pos="3600"/>
          <w:tab w:val="left" w:pos="3960"/>
          <w:tab w:val="left" w:pos="4320"/>
          <w:tab w:val="left" w:pos="4680"/>
          <w:tab w:val="left" w:pos="5040"/>
          <w:tab w:val="left" w:pos="5400"/>
        </w:tabs>
        <w:jc w:val="both"/>
        <w:textAlignment w:val="baseline"/>
        <w:rPr>
          <w:szCs w:val="25"/>
        </w:rPr>
      </w:pPr>
      <w:r>
        <w:rPr>
          <w:szCs w:val="25"/>
        </w:rPr>
        <w:tab/>
      </w:r>
      <w:r>
        <w:rPr>
          <w:szCs w:val="25"/>
        </w:rPr>
        <w:tab/>
      </w:r>
      <w:r w:rsidRPr="0056020E">
        <w:rPr>
          <w:szCs w:val="25"/>
        </w:rPr>
        <w:t>b.</w:t>
      </w:r>
      <w:r>
        <w:rPr>
          <w:szCs w:val="25"/>
        </w:rPr>
        <w:tab/>
      </w:r>
      <w:r w:rsidRPr="0056020E">
        <w:rPr>
          <w:szCs w:val="25"/>
        </w:rPr>
        <w:t>38d</w:t>
      </w:r>
    </w:p>
    <w:p w14:paraId="768E2544" w14:textId="77777777" w:rsidR="0018433B" w:rsidRDefault="0018433B" w:rsidP="0018433B">
      <w:pPr>
        <w:pStyle w:val="Style"/>
        <w:widowControl/>
        <w:jc w:val="both"/>
        <w:textAlignment w:val="baseline"/>
        <w:rPr>
          <w:szCs w:val="25"/>
        </w:rPr>
      </w:pPr>
    </w:p>
    <w:p w14:paraId="463899F7" w14:textId="38E9334B" w:rsidR="0018433B" w:rsidRDefault="0018433B" w:rsidP="0018433B">
      <w:pPr>
        <w:pStyle w:val="Style"/>
        <w:widowControl/>
        <w:jc w:val="both"/>
        <w:textAlignment w:val="baseline"/>
        <w:rPr>
          <w:szCs w:val="25"/>
        </w:rPr>
      </w:pPr>
      <w:r>
        <w:rPr>
          <w:szCs w:val="25"/>
        </w:rPr>
        <w:tab/>
      </w:r>
      <w:r w:rsidRPr="0056020E">
        <w:rPr>
          <w:b/>
          <w:szCs w:val="25"/>
        </w:rPr>
        <w:t>Luke 6</w:t>
      </w:r>
      <w:r w:rsidRPr="00B51852">
        <w:rPr>
          <w:szCs w:val="25"/>
        </w:rPr>
        <w:t>:</w:t>
      </w:r>
      <w:r w:rsidRPr="0056020E">
        <w:rPr>
          <w:b/>
          <w:szCs w:val="25"/>
        </w:rPr>
        <w:t>39b-40</w:t>
      </w:r>
      <w:r w:rsidRPr="00B51852">
        <w:rPr>
          <w:szCs w:val="25"/>
        </w:rPr>
        <w:t xml:space="preserve">. </w:t>
      </w:r>
      <w:r>
        <w:rPr>
          <w:szCs w:val="25"/>
        </w:rPr>
        <w:t>Though the next clause is the transitional “</w:t>
      </w:r>
      <w:r w:rsidRPr="00CD75A6">
        <w:t>He also told them a parable</w:t>
      </w:r>
      <w:r>
        <w:t>” (</w:t>
      </w:r>
      <w:r w:rsidRPr="00CE06CA">
        <w:rPr>
          <w:bCs/>
          <w:szCs w:val="22"/>
          <w:lang w:val="el-GR"/>
        </w:rPr>
        <w:t>Εἶπεν δὲ καὶ παραβολὴν αὐτοῖς</w:t>
      </w:r>
      <w:r w:rsidR="006F304D" w:rsidRPr="006F304D">
        <w:rPr>
          <w:bCs/>
          <w:szCs w:val="22"/>
        </w:rPr>
        <w:t xml:space="preserve">, </w:t>
      </w:r>
      <w:r>
        <w:rPr>
          <w:bCs/>
          <w:szCs w:val="22"/>
        </w:rPr>
        <w:t>39a)</w:t>
      </w:r>
      <w:r w:rsidR="006F304D" w:rsidRPr="006F304D">
        <w:rPr>
          <w:bCs/>
          <w:szCs w:val="22"/>
        </w:rPr>
        <w:t xml:space="preserve">, </w:t>
      </w:r>
      <w:r>
        <w:rPr>
          <w:szCs w:val="25"/>
        </w:rPr>
        <w:t>t</w:t>
      </w:r>
      <w:r w:rsidRPr="00B51852">
        <w:rPr>
          <w:szCs w:val="25"/>
        </w:rPr>
        <w:t>he next small unit which most commentators distinguish is 39b-40.</w:t>
      </w:r>
    </w:p>
    <w:p w14:paraId="047760BE" w14:textId="77777777" w:rsidR="0018433B" w:rsidRPr="00B51852" w:rsidRDefault="0018433B" w:rsidP="0018433B">
      <w:pPr>
        <w:pStyle w:val="Style"/>
        <w:widowControl/>
        <w:jc w:val="both"/>
        <w:textAlignment w:val="baseline"/>
        <w:rPr>
          <w:szCs w:val="25"/>
        </w:rPr>
      </w:pPr>
    </w:p>
    <w:p w14:paraId="72C6FB7D" w14:textId="77777777" w:rsidR="0018433B" w:rsidRPr="00B51852" w:rsidRDefault="0018433B" w:rsidP="0018433B">
      <w:pPr>
        <w:pStyle w:val="Style"/>
        <w:widowControl/>
        <w:ind w:left="720"/>
        <w:jc w:val="both"/>
        <w:textAlignment w:val="baseline"/>
        <w:rPr>
          <w:szCs w:val="25"/>
        </w:rPr>
      </w:pPr>
      <w:r w:rsidRPr="00B51852">
        <w:rPr>
          <w:szCs w:val="25"/>
        </w:rPr>
        <w:t>39b</w:t>
      </w:r>
      <w:r>
        <w:rPr>
          <w:szCs w:val="25"/>
        </w:rPr>
        <w:tab/>
      </w:r>
      <w:r w:rsidRPr="00CE06CA">
        <w:rPr>
          <w:bCs/>
          <w:szCs w:val="22"/>
          <w:lang w:val="el-GR"/>
        </w:rPr>
        <w:t>μήτι δύναται τυφλὸς τυφλὸν ὁδηγεῖν;</w:t>
      </w:r>
    </w:p>
    <w:p w14:paraId="56AAD987" w14:textId="77777777" w:rsidR="0018433B" w:rsidRDefault="0018433B" w:rsidP="0018433B">
      <w:pPr>
        <w:pStyle w:val="Style"/>
        <w:widowControl/>
        <w:ind w:left="720"/>
        <w:jc w:val="both"/>
        <w:textAlignment w:val="baseline"/>
        <w:rPr>
          <w:szCs w:val="31"/>
        </w:rPr>
      </w:pPr>
      <w:r w:rsidRPr="00B51852">
        <w:rPr>
          <w:szCs w:val="25"/>
        </w:rPr>
        <w:t>39c</w:t>
      </w:r>
      <w:r>
        <w:rPr>
          <w:szCs w:val="25"/>
        </w:rPr>
        <w:tab/>
      </w:r>
      <w:r w:rsidRPr="00CE06CA">
        <w:rPr>
          <w:bCs/>
          <w:szCs w:val="22"/>
          <w:lang w:val="el-GR"/>
        </w:rPr>
        <w:t>οὐχὶ ἀμφότεροι εἰς βόθυνον ἐμπεσοῦνται;</w:t>
      </w:r>
    </w:p>
    <w:p w14:paraId="7367F844" w14:textId="77777777" w:rsidR="0018433B" w:rsidRPr="00B51852" w:rsidRDefault="0018433B" w:rsidP="0018433B">
      <w:pPr>
        <w:pStyle w:val="Style"/>
        <w:widowControl/>
        <w:ind w:left="720"/>
        <w:jc w:val="both"/>
        <w:textAlignment w:val="baseline"/>
        <w:rPr>
          <w:szCs w:val="25"/>
        </w:rPr>
      </w:pPr>
      <w:r w:rsidRPr="00B51852">
        <w:rPr>
          <w:szCs w:val="25"/>
        </w:rPr>
        <w:t>40a</w:t>
      </w:r>
      <w:r>
        <w:rPr>
          <w:szCs w:val="25"/>
        </w:rPr>
        <w:tab/>
      </w:r>
      <w:r w:rsidRPr="00CE06CA">
        <w:rPr>
          <w:bCs/>
          <w:szCs w:val="22"/>
          <w:lang w:val="el-GR"/>
        </w:rPr>
        <w:t>οὐκ ἔστιν μαθητὴς ὑπὲρ τὸν διδάσκαλον·</w:t>
      </w:r>
    </w:p>
    <w:p w14:paraId="76AC3BF1" w14:textId="77777777" w:rsidR="0018433B" w:rsidRPr="00B51852" w:rsidRDefault="0018433B" w:rsidP="0018433B">
      <w:pPr>
        <w:pStyle w:val="Style"/>
        <w:widowControl/>
        <w:ind w:left="720"/>
        <w:jc w:val="both"/>
        <w:textAlignment w:val="baseline"/>
        <w:rPr>
          <w:szCs w:val="25"/>
        </w:rPr>
      </w:pPr>
      <w:r w:rsidRPr="00B51852">
        <w:rPr>
          <w:szCs w:val="25"/>
        </w:rPr>
        <w:t>40b</w:t>
      </w:r>
      <w:r>
        <w:rPr>
          <w:szCs w:val="25"/>
        </w:rPr>
        <w:tab/>
      </w:r>
      <w:r w:rsidRPr="00CE06CA">
        <w:rPr>
          <w:bCs/>
          <w:szCs w:val="22"/>
          <w:lang w:val="el-GR"/>
        </w:rPr>
        <w:t>κατηρτισμένος δὲ πᾶς ἔσται ὡς ὁ διδάσκαλος αὐτοῦ.</w:t>
      </w:r>
    </w:p>
    <w:p w14:paraId="4884747A" w14:textId="77777777" w:rsidR="0018433B" w:rsidRDefault="0018433B" w:rsidP="0018433B">
      <w:pPr>
        <w:pStyle w:val="Style"/>
        <w:widowControl/>
        <w:jc w:val="both"/>
        <w:textAlignment w:val="baseline"/>
        <w:rPr>
          <w:szCs w:val="25"/>
        </w:rPr>
      </w:pPr>
    </w:p>
    <w:p w14:paraId="1C7543C4" w14:textId="77777777" w:rsidR="0018433B" w:rsidRPr="00B51852" w:rsidRDefault="0018433B" w:rsidP="0018433B">
      <w:pPr>
        <w:pStyle w:val="Style"/>
        <w:widowControl/>
        <w:ind w:left="720"/>
        <w:jc w:val="both"/>
        <w:textAlignment w:val="baseline"/>
        <w:rPr>
          <w:szCs w:val="25"/>
        </w:rPr>
      </w:pPr>
      <w:r>
        <w:rPr>
          <w:szCs w:val="25"/>
        </w:rPr>
        <w:t>39b</w:t>
      </w:r>
      <w:r>
        <w:rPr>
          <w:szCs w:val="25"/>
        </w:rPr>
        <w:tab/>
      </w:r>
      <w:r w:rsidRPr="00CD75A6">
        <w:t>Can a blind person guide a blind person?</w:t>
      </w:r>
    </w:p>
    <w:p w14:paraId="59B568B4" w14:textId="77777777" w:rsidR="0018433B" w:rsidRDefault="0018433B" w:rsidP="0018433B">
      <w:pPr>
        <w:pStyle w:val="Style"/>
        <w:widowControl/>
        <w:ind w:left="720"/>
        <w:jc w:val="both"/>
        <w:textAlignment w:val="baseline"/>
        <w:rPr>
          <w:szCs w:val="25"/>
        </w:rPr>
      </w:pPr>
      <w:r>
        <w:rPr>
          <w:szCs w:val="25"/>
        </w:rPr>
        <w:t>39c</w:t>
      </w:r>
      <w:r>
        <w:rPr>
          <w:szCs w:val="25"/>
        </w:rPr>
        <w:tab/>
      </w:r>
      <w:r w:rsidRPr="00CD75A6">
        <w:t>Will not both fall into a pit?</w:t>
      </w:r>
    </w:p>
    <w:p w14:paraId="1F7EAB91" w14:textId="77777777" w:rsidR="0018433B" w:rsidRPr="00B51852" w:rsidRDefault="0018433B" w:rsidP="0018433B">
      <w:pPr>
        <w:pStyle w:val="Style"/>
        <w:widowControl/>
        <w:ind w:left="720"/>
        <w:jc w:val="both"/>
        <w:rPr>
          <w:szCs w:val="25"/>
        </w:rPr>
      </w:pPr>
      <w:r>
        <w:rPr>
          <w:szCs w:val="25"/>
        </w:rPr>
        <w:t>40a</w:t>
      </w:r>
      <w:r>
        <w:rPr>
          <w:szCs w:val="25"/>
        </w:rPr>
        <w:tab/>
      </w:r>
      <w:r w:rsidRPr="00B51852">
        <w:rPr>
          <w:szCs w:val="25"/>
        </w:rPr>
        <w:t xml:space="preserve">A disciple is not above </w:t>
      </w:r>
      <w:r>
        <w:rPr>
          <w:szCs w:val="25"/>
        </w:rPr>
        <w:t xml:space="preserve">the </w:t>
      </w:r>
      <w:r w:rsidRPr="00B51852">
        <w:rPr>
          <w:szCs w:val="25"/>
        </w:rPr>
        <w:t>teacher,</w:t>
      </w:r>
    </w:p>
    <w:p w14:paraId="59889BE9" w14:textId="77777777" w:rsidR="0018433B" w:rsidRPr="00B51852" w:rsidRDefault="0018433B" w:rsidP="0018433B">
      <w:pPr>
        <w:pStyle w:val="Style"/>
        <w:widowControl/>
        <w:ind w:left="720"/>
        <w:jc w:val="both"/>
        <w:textAlignment w:val="baseline"/>
        <w:rPr>
          <w:szCs w:val="25"/>
        </w:rPr>
      </w:pPr>
      <w:r>
        <w:rPr>
          <w:szCs w:val="25"/>
        </w:rPr>
        <w:t>40b</w:t>
      </w:r>
      <w:r>
        <w:rPr>
          <w:szCs w:val="25"/>
        </w:rPr>
        <w:tab/>
      </w:r>
      <w:r w:rsidRPr="00CD75A6">
        <w:t>but everyone who is fully qualified will be like</w:t>
      </w:r>
      <w:r>
        <w:t xml:space="preserve"> </w:t>
      </w:r>
      <w:r w:rsidRPr="00CD75A6">
        <w:t>the teacher.</w:t>
      </w:r>
    </w:p>
    <w:p w14:paraId="68D2295C" w14:textId="77777777" w:rsidR="0018433B" w:rsidRDefault="0018433B" w:rsidP="0018433B">
      <w:pPr>
        <w:pStyle w:val="Style"/>
        <w:widowControl/>
        <w:jc w:val="both"/>
        <w:textAlignment w:val="baseline"/>
        <w:rPr>
          <w:szCs w:val="25"/>
        </w:rPr>
      </w:pPr>
    </w:p>
    <w:p w14:paraId="6189A7F4" w14:textId="759ECEDB" w:rsidR="0018433B" w:rsidRDefault="0018433B" w:rsidP="0018433B">
      <w:pPr>
        <w:pStyle w:val="Style"/>
        <w:widowControl/>
        <w:jc w:val="both"/>
        <w:textAlignment w:val="baseline"/>
        <w:rPr>
          <w:szCs w:val="25"/>
        </w:rPr>
      </w:pPr>
      <w:r>
        <w:rPr>
          <w:szCs w:val="25"/>
        </w:rPr>
        <w:tab/>
      </w:r>
      <w:r w:rsidRPr="00B51852">
        <w:rPr>
          <w:szCs w:val="25"/>
        </w:rPr>
        <w:t>The connection between verses 39 and 40 is far from obvious. We will discuss</w:t>
      </w:r>
      <w:r>
        <w:rPr>
          <w:szCs w:val="25"/>
        </w:rPr>
        <w:t xml:space="preserve"> </w:t>
      </w:r>
      <w:r w:rsidRPr="00B51852">
        <w:rPr>
          <w:szCs w:val="25"/>
        </w:rPr>
        <w:t>their connection later</w:t>
      </w:r>
      <w:r w:rsidR="006F304D" w:rsidRPr="006F304D">
        <w:rPr>
          <w:szCs w:val="25"/>
        </w:rPr>
        <w:t xml:space="preserve">, </w:t>
      </w:r>
      <w:r w:rsidRPr="00B51852">
        <w:rPr>
          <w:szCs w:val="25"/>
        </w:rPr>
        <w:t>when we treat these verses in relation to the major sections of the sermon; for these two verses</w:t>
      </w:r>
      <w:r w:rsidR="006F304D" w:rsidRPr="006F304D">
        <w:rPr>
          <w:szCs w:val="25"/>
        </w:rPr>
        <w:t xml:space="preserve">, </w:t>
      </w:r>
      <w:r w:rsidRPr="00B51852">
        <w:rPr>
          <w:szCs w:val="25"/>
        </w:rPr>
        <w:t>more than any others in the sermon</w:t>
      </w:r>
      <w:r w:rsidR="006F304D" w:rsidRPr="006F304D">
        <w:rPr>
          <w:szCs w:val="25"/>
        </w:rPr>
        <w:t xml:space="preserve">, </w:t>
      </w:r>
      <w:r w:rsidRPr="00B51852">
        <w:rPr>
          <w:szCs w:val="25"/>
        </w:rPr>
        <w:t>are the root cause of the plethora of proposals for th</w:t>
      </w:r>
      <w:r>
        <w:rPr>
          <w:szCs w:val="25"/>
        </w:rPr>
        <w:t>e major sections of the sermon.</w:t>
      </w:r>
      <w:r>
        <w:rPr>
          <w:rStyle w:val="FootnoteReference"/>
          <w:szCs w:val="25"/>
        </w:rPr>
        <w:footnoteReference w:id="524"/>
      </w:r>
      <w:r w:rsidRPr="00B51852">
        <w:rPr>
          <w:szCs w:val="25"/>
        </w:rPr>
        <w:t xml:space="preserve"> But within the two-verse unit</w:t>
      </w:r>
      <w:r w:rsidR="006F304D" w:rsidRPr="006F304D">
        <w:rPr>
          <w:szCs w:val="25"/>
        </w:rPr>
        <w:t xml:space="preserve">, </w:t>
      </w:r>
      <w:r w:rsidRPr="00B51852">
        <w:rPr>
          <w:szCs w:val="25"/>
        </w:rPr>
        <w:t>the structure seems plain enough: 39b and 39c are distinct from 40a and 40b. The first two have the same form (interrogation</w:t>
      </w:r>
      <w:r>
        <w:rPr>
          <w:rStyle w:val="FootnoteReference"/>
          <w:szCs w:val="25"/>
        </w:rPr>
        <w:footnoteReference w:id="525"/>
      </w:r>
      <w:r w:rsidRPr="00B51852">
        <w:rPr>
          <w:szCs w:val="25"/>
        </w:rPr>
        <w:t>)</w:t>
      </w:r>
      <w:r w:rsidR="006F304D" w:rsidRPr="006F304D">
        <w:rPr>
          <w:szCs w:val="25"/>
        </w:rPr>
        <w:t xml:space="preserve">, </w:t>
      </w:r>
      <w:r w:rsidRPr="00B51852">
        <w:rPr>
          <w:szCs w:val="25"/>
        </w:rPr>
        <w:t>and their subject matter is the same. The second two</w:t>
      </w:r>
      <w:r w:rsidR="006F304D" w:rsidRPr="006F304D">
        <w:rPr>
          <w:szCs w:val="25"/>
        </w:rPr>
        <w:t xml:space="preserve">, </w:t>
      </w:r>
      <w:r w:rsidRPr="00B51852">
        <w:rPr>
          <w:szCs w:val="25"/>
        </w:rPr>
        <w:t>though the meaning is puzzling</w:t>
      </w:r>
      <w:r w:rsidR="006F304D" w:rsidRPr="006F304D">
        <w:rPr>
          <w:szCs w:val="25"/>
        </w:rPr>
        <w:t xml:space="preserve">, </w:t>
      </w:r>
      <w:r w:rsidRPr="00B51852">
        <w:rPr>
          <w:szCs w:val="25"/>
        </w:rPr>
        <w:t>are bound by their vocabulary (“disciple,” “teacher; “fully taught,” “teacher”)</w:t>
      </w:r>
      <w:r w:rsidR="006F304D" w:rsidRPr="006F304D">
        <w:rPr>
          <w:szCs w:val="25"/>
        </w:rPr>
        <w:t xml:space="preserve">, </w:t>
      </w:r>
      <w:r w:rsidRPr="00B51852">
        <w:rPr>
          <w:szCs w:val="25"/>
        </w:rPr>
        <w:t>and the second seems to be an explanation or clarification of the first</w:t>
      </w:r>
      <w:r>
        <w:rPr>
          <w:szCs w:val="25"/>
        </w:rPr>
        <w:t>.</w:t>
      </w:r>
      <w:r>
        <w:rPr>
          <w:rStyle w:val="FootnoteReference"/>
          <w:szCs w:val="25"/>
        </w:rPr>
        <w:footnoteReference w:id="526"/>
      </w:r>
      <w:r w:rsidRPr="00B51852">
        <w:rPr>
          <w:szCs w:val="25"/>
        </w:rPr>
        <w:t xml:space="preserve"> Thus</w:t>
      </w:r>
      <w:r w:rsidR="006F304D" w:rsidRPr="006F304D">
        <w:rPr>
          <w:szCs w:val="25"/>
        </w:rPr>
        <w:t xml:space="preserve">, </w:t>
      </w:r>
      <w:r w:rsidRPr="00B51852">
        <w:rPr>
          <w:szCs w:val="25"/>
        </w:rPr>
        <w:t>deferring further discussion of the sense of these verses till later</w:t>
      </w:r>
      <w:r w:rsidR="006F304D" w:rsidRPr="006F304D">
        <w:rPr>
          <w:szCs w:val="25"/>
        </w:rPr>
        <w:t xml:space="preserve">, </w:t>
      </w:r>
      <w:r w:rsidRPr="00B51852">
        <w:rPr>
          <w:szCs w:val="25"/>
        </w:rPr>
        <w:t>we simply divide them as fol</w:t>
      </w:r>
      <w:r w:rsidRPr="00B51852">
        <w:rPr>
          <w:szCs w:val="25"/>
        </w:rPr>
        <w:softHyphen/>
        <w:t>lows.</w:t>
      </w:r>
    </w:p>
    <w:p w14:paraId="78FD2D4E" w14:textId="77777777" w:rsidR="0018433B" w:rsidRPr="00B51852" w:rsidRDefault="0018433B" w:rsidP="0018433B">
      <w:pPr>
        <w:pStyle w:val="Style"/>
        <w:widowControl/>
        <w:jc w:val="both"/>
        <w:textAlignment w:val="baseline"/>
        <w:rPr>
          <w:szCs w:val="25"/>
        </w:rPr>
      </w:pPr>
    </w:p>
    <w:p w14:paraId="23BFF83B" w14:textId="77777777" w:rsidR="0018433B" w:rsidRPr="00B51852" w:rsidRDefault="0018433B" w:rsidP="0018433B">
      <w:pPr>
        <w:pStyle w:val="Style"/>
        <w:widowControl/>
        <w:tabs>
          <w:tab w:val="left" w:pos="3600"/>
          <w:tab w:val="left" w:pos="3960"/>
          <w:tab w:val="left" w:pos="4320"/>
        </w:tabs>
        <w:jc w:val="both"/>
        <w:textAlignment w:val="baseline"/>
        <w:rPr>
          <w:szCs w:val="25"/>
        </w:rPr>
      </w:pPr>
      <w:r>
        <w:rPr>
          <w:szCs w:val="25"/>
        </w:rPr>
        <w:tab/>
        <w:t>1.</w:t>
      </w:r>
      <w:r>
        <w:rPr>
          <w:szCs w:val="25"/>
        </w:rPr>
        <w:tab/>
      </w:r>
      <w:r w:rsidRPr="00B51852">
        <w:rPr>
          <w:szCs w:val="25"/>
        </w:rPr>
        <w:t>39b-40</w:t>
      </w:r>
    </w:p>
    <w:p w14:paraId="16A2C2AF" w14:textId="77777777" w:rsidR="0018433B" w:rsidRPr="00B51852" w:rsidRDefault="0018433B" w:rsidP="0018433B">
      <w:pPr>
        <w:pStyle w:val="Style"/>
        <w:widowControl/>
        <w:tabs>
          <w:tab w:val="left" w:pos="3600"/>
          <w:tab w:val="left" w:pos="3960"/>
          <w:tab w:val="left" w:pos="4320"/>
        </w:tabs>
        <w:jc w:val="both"/>
        <w:textAlignment w:val="baseline"/>
        <w:rPr>
          <w:szCs w:val="25"/>
        </w:rPr>
      </w:pPr>
      <w:r>
        <w:rPr>
          <w:szCs w:val="25"/>
        </w:rPr>
        <w:tab/>
      </w:r>
      <w:r>
        <w:rPr>
          <w:szCs w:val="25"/>
        </w:rPr>
        <w:tab/>
        <w:t>a.</w:t>
      </w:r>
      <w:r>
        <w:rPr>
          <w:szCs w:val="25"/>
        </w:rPr>
        <w:tab/>
      </w:r>
      <w:r w:rsidRPr="00B51852">
        <w:rPr>
          <w:szCs w:val="25"/>
        </w:rPr>
        <w:t>39bc</w:t>
      </w:r>
    </w:p>
    <w:p w14:paraId="7D135F7B" w14:textId="77777777" w:rsidR="0018433B" w:rsidRPr="00B51852" w:rsidRDefault="0018433B" w:rsidP="0018433B">
      <w:pPr>
        <w:pStyle w:val="Style"/>
        <w:widowControl/>
        <w:tabs>
          <w:tab w:val="left" w:pos="3600"/>
          <w:tab w:val="left" w:pos="3960"/>
          <w:tab w:val="left" w:pos="4320"/>
        </w:tabs>
        <w:jc w:val="both"/>
        <w:textAlignment w:val="baseline"/>
        <w:rPr>
          <w:szCs w:val="25"/>
        </w:rPr>
      </w:pPr>
      <w:r>
        <w:rPr>
          <w:szCs w:val="25"/>
        </w:rPr>
        <w:tab/>
      </w:r>
      <w:r>
        <w:rPr>
          <w:szCs w:val="25"/>
        </w:rPr>
        <w:tab/>
        <w:t>b.</w:t>
      </w:r>
      <w:r>
        <w:rPr>
          <w:szCs w:val="25"/>
        </w:rPr>
        <w:tab/>
      </w:r>
      <w:r w:rsidRPr="00B51852">
        <w:rPr>
          <w:szCs w:val="25"/>
        </w:rPr>
        <w:t>40</w:t>
      </w:r>
    </w:p>
    <w:p w14:paraId="6B42DC74" w14:textId="77777777" w:rsidR="0018433B" w:rsidRDefault="0018433B" w:rsidP="0018433B">
      <w:pPr>
        <w:pStyle w:val="Style"/>
        <w:widowControl/>
        <w:jc w:val="both"/>
        <w:textAlignment w:val="baseline"/>
        <w:rPr>
          <w:szCs w:val="23"/>
        </w:rPr>
      </w:pPr>
    </w:p>
    <w:p w14:paraId="7F104832" w14:textId="77777777" w:rsidR="0018433B" w:rsidRPr="004B6AC7" w:rsidRDefault="0018433B" w:rsidP="0018433B">
      <w:pPr>
        <w:pStyle w:val="Style"/>
        <w:widowControl/>
        <w:jc w:val="both"/>
        <w:textAlignment w:val="baseline"/>
        <w:rPr>
          <w:szCs w:val="23"/>
        </w:rPr>
      </w:pPr>
      <w:r>
        <w:rPr>
          <w:szCs w:val="23"/>
        </w:rPr>
        <w:tab/>
      </w:r>
      <w:r w:rsidRPr="004B6AC7">
        <w:rPr>
          <w:b/>
          <w:szCs w:val="23"/>
        </w:rPr>
        <w:t>Luke 6</w:t>
      </w:r>
      <w:r w:rsidRPr="00B51852">
        <w:rPr>
          <w:szCs w:val="23"/>
        </w:rPr>
        <w:t>:</w:t>
      </w:r>
      <w:r w:rsidRPr="004B6AC7">
        <w:rPr>
          <w:b/>
          <w:szCs w:val="23"/>
        </w:rPr>
        <w:t>41-42</w:t>
      </w:r>
      <w:r w:rsidRPr="00B51852">
        <w:rPr>
          <w:szCs w:val="23"/>
        </w:rPr>
        <w:t xml:space="preserve">. </w:t>
      </w:r>
      <w:r w:rsidRPr="00B51852">
        <w:rPr>
          <w:szCs w:val="25"/>
        </w:rPr>
        <w:t>These sentences are unquestionably a unit:</w:t>
      </w:r>
    </w:p>
    <w:p w14:paraId="2EAEA252" w14:textId="77777777" w:rsidR="0018433B" w:rsidRDefault="0018433B" w:rsidP="0018433B">
      <w:pPr>
        <w:pStyle w:val="Style"/>
        <w:widowControl/>
        <w:jc w:val="both"/>
        <w:textAlignment w:val="baseline"/>
        <w:rPr>
          <w:szCs w:val="25"/>
        </w:rPr>
      </w:pPr>
    </w:p>
    <w:p w14:paraId="7C95FCE0" w14:textId="77777777" w:rsidR="0018433B" w:rsidRDefault="0018433B" w:rsidP="0018433B">
      <w:pPr>
        <w:pStyle w:val="Style"/>
        <w:widowControl/>
        <w:ind w:left="720"/>
        <w:jc w:val="both"/>
        <w:textAlignment w:val="baseline"/>
        <w:rPr>
          <w:szCs w:val="25"/>
        </w:rPr>
      </w:pPr>
      <w:r w:rsidRPr="00B51852">
        <w:rPr>
          <w:szCs w:val="25"/>
        </w:rPr>
        <w:lastRenderedPageBreak/>
        <w:t>41a</w:t>
      </w:r>
      <w:r>
        <w:rPr>
          <w:szCs w:val="25"/>
        </w:rPr>
        <w:tab/>
      </w:r>
      <w:r w:rsidRPr="00CE06CA">
        <w:rPr>
          <w:bCs/>
          <w:szCs w:val="22"/>
          <w:lang w:val="el-GR"/>
        </w:rPr>
        <w:t>Τί δὲ βλέπεις τὸ κάρφος τὸ ἐν τῷ ὀφθαλμῷ τοῦ ἀδελφοῦ σου,</w:t>
      </w:r>
    </w:p>
    <w:p w14:paraId="21131C75" w14:textId="77777777" w:rsidR="0018433B" w:rsidRPr="00B51852" w:rsidRDefault="0018433B" w:rsidP="0018433B">
      <w:pPr>
        <w:pStyle w:val="Style"/>
        <w:widowControl/>
        <w:ind w:left="720"/>
        <w:jc w:val="both"/>
        <w:textAlignment w:val="baseline"/>
        <w:rPr>
          <w:szCs w:val="25"/>
        </w:rPr>
      </w:pPr>
      <w:r>
        <w:rPr>
          <w:szCs w:val="25"/>
        </w:rPr>
        <w:t>41b</w:t>
      </w:r>
      <w:r>
        <w:rPr>
          <w:szCs w:val="25"/>
        </w:rPr>
        <w:tab/>
      </w:r>
      <w:r w:rsidRPr="00CE06CA">
        <w:rPr>
          <w:bCs/>
          <w:szCs w:val="22"/>
          <w:lang w:val="el-GR"/>
        </w:rPr>
        <w:t>τὴν δὲ δοκὸν τὴν ἐν τῷ ἰδίῳ ὀφθαλμῷ οὐ κατανοεῖς;</w:t>
      </w:r>
    </w:p>
    <w:p w14:paraId="75376A60" w14:textId="77777777" w:rsidR="0018433B" w:rsidRPr="00B51852" w:rsidRDefault="0018433B" w:rsidP="0018433B">
      <w:pPr>
        <w:pStyle w:val="Style"/>
        <w:widowControl/>
        <w:ind w:left="720"/>
        <w:jc w:val="both"/>
        <w:textAlignment w:val="baseline"/>
        <w:rPr>
          <w:szCs w:val="25"/>
        </w:rPr>
      </w:pPr>
      <w:r w:rsidRPr="00B51852">
        <w:rPr>
          <w:szCs w:val="25"/>
        </w:rPr>
        <w:t>42a</w:t>
      </w:r>
      <w:r>
        <w:rPr>
          <w:szCs w:val="25"/>
        </w:rPr>
        <w:tab/>
      </w:r>
      <w:r w:rsidRPr="00CE06CA">
        <w:rPr>
          <w:bCs/>
          <w:szCs w:val="22"/>
          <w:lang w:val="el-GR"/>
        </w:rPr>
        <w:t>πῶς δύνασαι λέγειν τῷ ἀδελφῷ σου·</w:t>
      </w:r>
    </w:p>
    <w:p w14:paraId="69F8D5B7" w14:textId="1224AF62" w:rsidR="0018433B" w:rsidRPr="00B51852" w:rsidRDefault="0018433B" w:rsidP="0018433B">
      <w:pPr>
        <w:pStyle w:val="Style"/>
        <w:widowControl/>
        <w:ind w:left="720"/>
        <w:jc w:val="both"/>
        <w:rPr>
          <w:szCs w:val="25"/>
        </w:rPr>
      </w:pPr>
      <w:r w:rsidRPr="00B51852">
        <w:rPr>
          <w:szCs w:val="25"/>
        </w:rPr>
        <w:t>42b</w:t>
      </w:r>
      <w:r>
        <w:rPr>
          <w:szCs w:val="25"/>
        </w:rPr>
        <w:tab/>
      </w:r>
      <w:r w:rsidRPr="00CE06CA">
        <w:rPr>
          <w:bCs/>
          <w:szCs w:val="22"/>
          <w:lang w:val="el-GR"/>
        </w:rPr>
        <w:t>ἀδελφέ</w:t>
      </w:r>
      <w:r w:rsidR="006F304D" w:rsidRPr="006F304D">
        <w:rPr>
          <w:bCs/>
          <w:szCs w:val="22"/>
          <w:lang w:val="el-GR"/>
        </w:rPr>
        <w:t xml:space="preserve">, </w:t>
      </w:r>
      <w:r w:rsidRPr="00CE06CA">
        <w:rPr>
          <w:bCs/>
          <w:szCs w:val="22"/>
          <w:lang w:val="el-GR"/>
        </w:rPr>
        <w:t>ἄφες ἐκβάλω τὸ κάρφος τὸ ἐν τῷ ὀφθαλμῷ σου,</w:t>
      </w:r>
    </w:p>
    <w:p w14:paraId="0A2BBC9A" w14:textId="77777777" w:rsidR="0018433B" w:rsidRPr="00B51852" w:rsidRDefault="0018433B" w:rsidP="0018433B">
      <w:pPr>
        <w:pStyle w:val="Style"/>
        <w:widowControl/>
        <w:ind w:left="720"/>
        <w:jc w:val="both"/>
        <w:textAlignment w:val="baseline"/>
        <w:rPr>
          <w:szCs w:val="25"/>
        </w:rPr>
      </w:pPr>
      <w:r>
        <w:rPr>
          <w:szCs w:val="25"/>
        </w:rPr>
        <w:t>42c</w:t>
      </w:r>
      <w:r>
        <w:rPr>
          <w:szCs w:val="25"/>
        </w:rPr>
        <w:tab/>
      </w:r>
      <w:r w:rsidRPr="00CE06CA">
        <w:rPr>
          <w:bCs/>
          <w:szCs w:val="22"/>
          <w:lang w:val="el-GR"/>
        </w:rPr>
        <w:t>αὐτὸς τὴν ἐν τῷ ὀφθαλμῷ σου δοκὸν οὐ βλέπων;</w:t>
      </w:r>
    </w:p>
    <w:p w14:paraId="4AEF21BB" w14:textId="69C94E08" w:rsidR="0018433B" w:rsidRPr="00B51852" w:rsidRDefault="0018433B" w:rsidP="0018433B">
      <w:pPr>
        <w:pStyle w:val="Style"/>
        <w:widowControl/>
        <w:ind w:left="720"/>
        <w:jc w:val="both"/>
        <w:textAlignment w:val="baseline"/>
        <w:rPr>
          <w:szCs w:val="25"/>
        </w:rPr>
      </w:pPr>
      <w:r>
        <w:rPr>
          <w:szCs w:val="25"/>
        </w:rPr>
        <w:t>42d</w:t>
      </w:r>
      <w:r>
        <w:rPr>
          <w:szCs w:val="25"/>
        </w:rPr>
        <w:tab/>
      </w:r>
      <w:r w:rsidRPr="00CE06CA">
        <w:rPr>
          <w:bCs/>
          <w:szCs w:val="22"/>
          <w:lang w:val="el-GR"/>
        </w:rPr>
        <w:t>ὑποκριτά</w:t>
      </w:r>
      <w:r w:rsidR="006F304D" w:rsidRPr="006F304D">
        <w:rPr>
          <w:bCs/>
          <w:szCs w:val="22"/>
          <w:lang w:val="el-GR"/>
        </w:rPr>
        <w:t xml:space="preserve">, </w:t>
      </w:r>
      <w:r w:rsidRPr="00CE06CA">
        <w:rPr>
          <w:bCs/>
          <w:szCs w:val="22"/>
          <w:lang w:val="el-GR"/>
        </w:rPr>
        <w:t>ἔκβαλε πρῶτον τὴν δοκὸν ἐκ τοῦ ὀφθαλμοῦ σου,</w:t>
      </w:r>
    </w:p>
    <w:p w14:paraId="52EDEF34" w14:textId="77777777" w:rsidR="0018433B" w:rsidRPr="00B51852" w:rsidRDefault="0018433B" w:rsidP="0018433B">
      <w:pPr>
        <w:pStyle w:val="Style"/>
        <w:widowControl/>
        <w:ind w:left="720"/>
        <w:jc w:val="both"/>
        <w:textAlignment w:val="baseline"/>
        <w:rPr>
          <w:szCs w:val="25"/>
        </w:rPr>
      </w:pPr>
      <w:r w:rsidRPr="00B51852">
        <w:rPr>
          <w:szCs w:val="25"/>
        </w:rPr>
        <w:t>42e</w:t>
      </w:r>
      <w:r>
        <w:rPr>
          <w:szCs w:val="25"/>
        </w:rPr>
        <w:tab/>
      </w:r>
      <w:r w:rsidRPr="00CE06CA">
        <w:rPr>
          <w:bCs/>
          <w:szCs w:val="22"/>
          <w:lang w:val="el-GR"/>
        </w:rPr>
        <w:t>καὶ τότε διαβλέψεις τὸ κάρφος τὸ ἐν τῷ ὀφθαλμῷ τοῦ ἀδελφοῦ σου ἐκβαλεῖν.</w:t>
      </w:r>
    </w:p>
    <w:p w14:paraId="0CFE89CA" w14:textId="77777777" w:rsidR="0018433B" w:rsidRDefault="0018433B" w:rsidP="0018433B">
      <w:pPr>
        <w:pStyle w:val="Style"/>
        <w:widowControl/>
        <w:jc w:val="both"/>
        <w:textAlignment w:val="baseline"/>
        <w:rPr>
          <w:szCs w:val="25"/>
        </w:rPr>
      </w:pPr>
    </w:p>
    <w:p w14:paraId="1BF8D371" w14:textId="77777777" w:rsidR="0018433B" w:rsidRDefault="0018433B" w:rsidP="0018433B">
      <w:pPr>
        <w:pStyle w:val="Style"/>
        <w:widowControl/>
        <w:ind w:left="720"/>
        <w:jc w:val="both"/>
        <w:textAlignment w:val="baseline"/>
        <w:rPr>
          <w:szCs w:val="25"/>
        </w:rPr>
      </w:pPr>
      <w:r w:rsidRPr="00B51852">
        <w:rPr>
          <w:szCs w:val="25"/>
        </w:rPr>
        <w:t>41a</w:t>
      </w:r>
      <w:r>
        <w:rPr>
          <w:szCs w:val="25"/>
        </w:rPr>
        <w:tab/>
      </w:r>
      <w:r w:rsidRPr="00CD75A6">
        <w:t>Why do you see the speck in your neighbor’s eye,</w:t>
      </w:r>
    </w:p>
    <w:p w14:paraId="33D44D59" w14:textId="77777777" w:rsidR="0018433B" w:rsidRPr="00B51852" w:rsidRDefault="0018433B" w:rsidP="0018433B">
      <w:pPr>
        <w:pStyle w:val="Style"/>
        <w:widowControl/>
        <w:ind w:left="720"/>
        <w:jc w:val="both"/>
        <w:textAlignment w:val="baseline"/>
        <w:rPr>
          <w:szCs w:val="25"/>
        </w:rPr>
      </w:pPr>
      <w:r>
        <w:rPr>
          <w:szCs w:val="25"/>
        </w:rPr>
        <w:t>41b</w:t>
      </w:r>
      <w:r>
        <w:rPr>
          <w:szCs w:val="25"/>
        </w:rPr>
        <w:tab/>
      </w:r>
      <w:r w:rsidRPr="00CD75A6">
        <w:t>but do not notice the log in your own eye?</w:t>
      </w:r>
    </w:p>
    <w:p w14:paraId="72A82B1E" w14:textId="77777777" w:rsidR="0018433B" w:rsidRPr="00B51852" w:rsidRDefault="0018433B" w:rsidP="0018433B">
      <w:pPr>
        <w:pStyle w:val="Style"/>
        <w:widowControl/>
        <w:ind w:left="720"/>
        <w:jc w:val="both"/>
        <w:textAlignment w:val="baseline"/>
        <w:rPr>
          <w:szCs w:val="25"/>
        </w:rPr>
      </w:pPr>
      <w:r w:rsidRPr="00B51852">
        <w:rPr>
          <w:szCs w:val="25"/>
        </w:rPr>
        <w:t>42a</w:t>
      </w:r>
      <w:r>
        <w:rPr>
          <w:szCs w:val="25"/>
        </w:rPr>
        <w:tab/>
      </w:r>
      <w:r w:rsidRPr="00CD75A6">
        <w:t>Or how can you say to your neighbor,</w:t>
      </w:r>
    </w:p>
    <w:p w14:paraId="388B0B4B" w14:textId="660BDB68" w:rsidR="0018433B" w:rsidRPr="00B51852" w:rsidRDefault="0018433B" w:rsidP="0018433B">
      <w:pPr>
        <w:pStyle w:val="Style"/>
        <w:widowControl/>
        <w:ind w:left="720"/>
        <w:jc w:val="both"/>
        <w:rPr>
          <w:szCs w:val="25"/>
        </w:rPr>
      </w:pPr>
      <w:r w:rsidRPr="00B51852">
        <w:rPr>
          <w:szCs w:val="25"/>
        </w:rPr>
        <w:t>42b</w:t>
      </w:r>
      <w:r>
        <w:rPr>
          <w:szCs w:val="25"/>
        </w:rPr>
        <w:tab/>
      </w:r>
      <w:r w:rsidRPr="00CD75A6">
        <w:t>‘Friend</w:t>
      </w:r>
      <w:r w:rsidR="006F304D" w:rsidRPr="006F304D">
        <w:t xml:space="preserve">, </w:t>
      </w:r>
      <w:r w:rsidRPr="00CD75A6">
        <w:t>let me take out the speck in your eye,’</w:t>
      </w:r>
    </w:p>
    <w:p w14:paraId="493D1D94" w14:textId="77777777" w:rsidR="0018433B" w:rsidRPr="00B51852" w:rsidRDefault="0018433B" w:rsidP="0018433B">
      <w:pPr>
        <w:pStyle w:val="Style"/>
        <w:widowControl/>
        <w:ind w:left="720"/>
        <w:jc w:val="both"/>
        <w:textAlignment w:val="baseline"/>
        <w:rPr>
          <w:szCs w:val="25"/>
        </w:rPr>
      </w:pPr>
      <w:r>
        <w:rPr>
          <w:szCs w:val="25"/>
        </w:rPr>
        <w:t>42c</w:t>
      </w:r>
      <w:r>
        <w:rPr>
          <w:szCs w:val="25"/>
        </w:rPr>
        <w:tab/>
      </w:r>
      <w:r w:rsidRPr="00CD75A6">
        <w:t>when you yourself do not see the log in your own eye?</w:t>
      </w:r>
    </w:p>
    <w:p w14:paraId="48A48EBB" w14:textId="77A249DD" w:rsidR="0018433B" w:rsidRPr="00B51852" w:rsidRDefault="0018433B" w:rsidP="0018433B">
      <w:pPr>
        <w:pStyle w:val="Style"/>
        <w:widowControl/>
        <w:ind w:left="720"/>
        <w:jc w:val="both"/>
        <w:textAlignment w:val="baseline"/>
        <w:rPr>
          <w:szCs w:val="25"/>
        </w:rPr>
      </w:pPr>
      <w:r>
        <w:rPr>
          <w:szCs w:val="25"/>
        </w:rPr>
        <w:t>42d</w:t>
      </w:r>
      <w:r>
        <w:rPr>
          <w:szCs w:val="25"/>
        </w:rPr>
        <w:tab/>
      </w:r>
      <w:r w:rsidRPr="00CD75A6">
        <w:t>You hypocrite</w:t>
      </w:r>
      <w:r w:rsidR="006F304D" w:rsidRPr="006F304D">
        <w:t xml:space="preserve">, </w:t>
      </w:r>
      <w:r w:rsidRPr="00CD75A6">
        <w:t>first take the log out of your own eye,</w:t>
      </w:r>
    </w:p>
    <w:p w14:paraId="6C047F36" w14:textId="77777777" w:rsidR="0018433B" w:rsidRPr="00B51852" w:rsidRDefault="0018433B" w:rsidP="0018433B">
      <w:pPr>
        <w:pStyle w:val="Style"/>
        <w:widowControl/>
        <w:ind w:left="720"/>
        <w:jc w:val="both"/>
        <w:textAlignment w:val="baseline"/>
        <w:rPr>
          <w:szCs w:val="25"/>
        </w:rPr>
      </w:pPr>
      <w:r w:rsidRPr="00B51852">
        <w:rPr>
          <w:szCs w:val="25"/>
        </w:rPr>
        <w:t>42e</w:t>
      </w:r>
      <w:r>
        <w:rPr>
          <w:szCs w:val="25"/>
        </w:rPr>
        <w:tab/>
      </w:r>
      <w:r w:rsidRPr="00CD75A6">
        <w:t>and then you will see clearly to take the speck out of</w:t>
      </w:r>
      <w:r>
        <w:t xml:space="preserve"> </w:t>
      </w:r>
      <w:r w:rsidRPr="00CD75A6">
        <w:t>your neighbor’s eye.</w:t>
      </w:r>
    </w:p>
    <w:p w14:paraId="03912E4F" w14:textId="77777777" w:rsidR="0018433B" w:rsidRPr="00B51852" w:rsidRDefault="0018433B" w:rsidP="0018433B">
      <w:pPr>
        <w:pStyle w:val="Style"/>
        <w:widowControl/>
        <w:jc w:val="both"/>
        <w:textAlignment w:val="baseline"/>
        <w:rPr>
          <w:szCs w:val="25"/>
        </w:rPr>
      </w:pPr>
    </w:p>
    <w:p w14:paraId="73AA518E" w14:textId="6889939B" w:rsidR="0018433B" w:rsidRPr="004B6AC7" w:rsidRDefault="0018433B" w:rsidP="0018433B">
      <w:pPr>
        <w:pStyle w:val="Style"/>
        <w:widowControl/>
        <w:jc w:val="both"/>
        <w:textAlignment w:val="baseline"/>
        <w:rPr>
          <w:szCs w:val="21"/>
        </w:rPr>
      </w:pPr>
      <w:r>
        <w:rPr>
          <w:szCs w:val="21"/>
        </w:rPr>
        <w:tab/>
      </w:r>
      <w:r w:rsidRPr="00B51852">
        <w:rPr>
          <w:szCs w:val="25"/>
        </w:rPr>
        <w:t>The two verses contain three sentences</w:t>
      </w:r>
      <w:r w:rsidR="006F304D" w:rsidRPr="006F304D">
        <w:rPr>
          <w:szCs w:val="25"/>
        </w:rPr>
        <w:t xml:space="preserve">, </w:t>
      </w:r>
      <w:r w:rsidRPr="00B51852">
        <w:rPr>
          <w:szCs w:val="25"/>
        </w:rPr>
        <w:t>the first two interrogative</w:t>
      </w:r>
      <w:r w:rsidR="006F304D" w:rsidRPr="006F304D">
        <w:rPr>
          <w:szCs w:val="25"/>
        </w:rPr>
        <w:t xml:space="preserve">, </w:t>
      </w:r>
      <w:r w:rsidRPr="00B51852">
        <w:rPr>
          <w:szCs w:val="25"/>
        </w:rPr>
        <w:t xml:space="preserve">the third declarative. Each sentence contains two clauses </w:t>
      </w:r>
      <w:r w:rsidRPr="004C516D">
        <w:rPr>
          <w:szCs w:val="25"/>
        </w:rPr>
        <w:t>(</w:t>
      </w:r>
      <w:r w:rsidRPr="00B51852">
        <w:rPr>
          <w:szCs w:val="25"/>
        </w:rPr>
        <w:t>excepting the introductory 42a</w:t>
      </w:r>
      <w:r w:rsidRPr="004C516D">
        <w:rPr>
          <w:szCs w:val="25"/>
        </w:rPr>
        <w:t>)</w:t>
      </w:r>
      <w:r w:rsidRPr="00B51852">
        <w:rPr>
          <w:szCs w:val="25"/>
        </w:rPr>
        <w:t>. The first two sentences have their contents in the same order (first clause: speck in brother’s eye; second clause: log in one’s own eye) and are in fact synonymous parallelism; the last sentence reverses the order</w:t>
      </w:r>
      <w:r w:rsidR="006F304D" w:rsidRPr="006F304D">
        <w:rPr>
          <w:szCs w:val="25"/>
        </w:rPr>
        <w:t xml:space="preserve">, </w:t>
      </w:r>
      <w:r w:rsidRPr="00B51852">
        <w:rPr>
          <w:szCs w:val="25"/>
        </w:rPr>
        <w:t>but that is not so much an attempt at chiasm as the natural reversal required by the pointing of the moral.</w:t>
      </w:r>
    </w:p>
    <w:p w14:paraId="6807B204" w14:textId="5E95EFD3" w:rsidR="0018433B" w:rsidRDefault="0018433B" w:rsidP="0018433B">
      <w:pPr>
        <w:pStyle w:val="Style"/>
        <w:widowControl/>
        <w:jc w:val="both"/>
        <w:textAlignment w:val="baseline"/>
        <w:rPr>
          <w:szCs w:val="25"/>
        </w:rPr>
      </w:pPr>
      <w:r>
        <w:rPr>
          <w:szCs w:val="25"/>
        </w:rPr>
        <w:tab/>
      </w:r>
      <w:r w:rsidRPr="00B51852">
        <w:rPr>
          <w:szCs w:val="25"/>
        </w:rPr>
        <w:t>The second and third sentences add very little to the initial one. The second sentence is a restatement of the first in direct address; besides the direct address</w:t>
      </w:r>
      <w:r w:rsidR="006F304D" w:rsidRPr="006F304D">
        <w:rPr>
          <w:szCs w:val="25"/>
        </w:rPr>
        <w:t xml:space="preserve">, </w:t>
      </w:r>
      <w:r w:rsidRPr="00B51852">
        <w:rPr>
          <w:szCs w:val="25"/>
        </w:rPr>
        <w:t xml:space="preserve">the only difference is the one between seeing another’s speck </w:t>
      </w:r>
      <w:r w:rsidRPr="004C516D">
        <w:rPr>
          <w:szCs w:val="25"/>
        </w:rPr>
        <w:t>(</w:t>
      </w:r>
      <w:r w:rsidRPr="00B51852">
        <w:rPr>
          <w:szCs w:val="25"/>
        </w:rPr>
        <w:t>41) and mentioning it (42bc).</w:t>
      </w:r>
      <w:r>
        <w:rPr>
          <w:rStyle w:val="FootnoteReference"/>
          <w:szCs w:val="25"/>
        </w:rPr>
        <w:footnoteReference w:id="527"/>
      </w:r>
      <w:r>
        <w:rPr>
          <w:szCs w:val="25"/>
        </w:rPr>
        <w:t xml:space="preserve"> </w:t>
      </w:r>
      <w:r w:rsidRPr="00B51852">
        <w:rPr>
          <w:szCs w:val="25"/>
        </w:rPr>
        <w:t>The third sentence</w:t>
      </w:r>
      <w:r w:rsidR="006F304D" w:rsidRPr="006F304D">
        <w:rPr>
          <w:szCs w:val="25"/>
        </w:rPr>
        <w:t xml:space="preserve">, </w:t>
      </w:r>
      <w:r w:rsidRPr="00B51852">
        <w:rPr>
          <w:szCs w:val="25"/>
        </w:rPr>
        <w:t>too</w:t>
      </w:r>
      <w:r w:rsidR="006F304D" w:rsidRPr="006F304D">
        <w:rPr>
          <w:szCs w:val="25"/>
        </w:rPr>
        <w:t xml:space="preserve">, </w:t>
      </w:r>
      <w:r w:rsidRPr="00B51852">
        <w:rPr>
          <w:szCs w:val="25"/>
        </w:rPr>
        <w:t>merely switches from interrogative to declarative form; it does not make the proverb literal by stating to what the speck and log refer (presumably moral faults)</w:t>
      </w:r>
      <w:r w:rsidR="006F304D" w:rsidRPr="006F304D">
        <w:rPr>
          <w:szCs w:val="25"/>
        </w:rPr>
        <w:t xml:space="preserve">, </w:t>
      </w:r>
      <w:r w:rsidRPr="00B51852">
        <w:rPr>
          <w:szCs w:val="25"/>
        </w:rPr>
        <w:t xml:space="preserve">except indirectly by the vocative </w:t>
      </w:r>
      <w:r w:rsidRPr="00CE06CA">
        <w:rPr>
          <w:bCs/>
          <w:szCs w:val="22"/>
          <w:lang w:val="el-GR"/>
        </w:rPr>
        <w:t>ὑποκριτά</w:t>
      </w:r>
      <w:r w:rsidRPr="00B51852">
        <w:rPr>
          <w:szCs w:val="25"/>
        </w:rPr>
        <w:t>.</w:t>
      </w:r>
      <w:r>
        <w:rPr>
          <w:rStyle w:val="FootnoteReference"/>
          <w:szCs w:val="25"/>
        </w:rPr>
        <w:footnoteReference w:id="528"/>
      </w:r>
      <w:r>
        <w:rPr>
          <w:szCs w:val="25"/>
        </w:rPr>
        <w:t xml:space="preserve"> </w:t>
      </w:r>
      <w:r w:rsidRPr="00B51852">
        <w:rPr>
          <w:szCs w:val="25"/>
        </w:rPr>
        <w:t>And</w:t>
      </w:r>
      <w:r w:rsidR="006F304D" w:rsidRPr="006F304D">
        <w:rPr>
          <w:szCs w:val="25"/>
        </w:rPr>
        <w:t xml:space="preserve">, </w:t>
      </w:r>
      <w:r w:rsidRPr="00B51852">
        <w:rPr>
          <w:szCs w:val="25"/>
        </w:rPr>
        <w:t>though it does proclaim</w:t>
      </w:r>
      <w:r>
        <w:rPr>
          <w:szCs w:val="25"/>
        </w:rPr>
        <w:t xml:space="preserve"> clearly the irony of seeking a tiny</w:t>
      </w:r>
      <w:r w:rsidRPr="00B51852">
        <w:rPr>
          <w:szCs w:val="25"/>
        </w:rPr>
        <w:t xml:space="preserve"> object when</w:t>
      </w:r>
      <w:r>
        <w:rPr>
          <w:szCs w:val="25"/>
        </w:rPr>
        <w:t xml:space="preserve"> obstructed by a large</w:t>
      </w:r>
      <w:r w:rsidRPr="00B51852">
        <w:rPr>
          <w:szCs w:val="25"/>
        </w:rPr>
        <w:t xml:space="preserve"> object (</w:t>
      </w:r>
      <w:r w:rsidRPr="00FF03AB">
        <w:rPr>
          <w:szCs w:val="25"/>
        </w:rPr>
        <w:t>“</w:t>
      </w:r>
      <w:r w:rsidRPr="00B51852">
        <w:rPr>
          <w:szCs w:val="25"/>
        </w:rPr>
        <w:t xml:space="preserve">take out the log </w:t>
      </w:r>
      <w:r w:rsidRPr="002E0FF6">
        <w:rPr>
          <w:szCs w:val="25"/>
        </w:rPr>
        <w:t>. . .</w:t>
      </w:r>
      <w:r w:rsidRPr="00B51852">
        <w:rPr>
          <w:szCs w:val="25"/>
        </w:rPr>
        <w:t xml:space="preserve"> then you will see clearly</w:t>
      </w:r>
      <w:r w:rsidRPr="00FF03AB">
        <w:rPr>
          <w:szCs w:val="25"/>
        </w:rPr>
        <w:t>”</w:t>
      </w:r>
      <w:r w:rsidRPr="00B51852">
        <w:rPr>
          <w:szCs w:val="25"/>
        </w:rPr>
        <w:t>),</w:t>
      </w:r>
      <w:r>
        <w:rPr>
          <w:rStyle w:val="FootnoteReference"/>
          <w:szCs w:val="25"/>
        </w:rPr>
        <w:footnoteReference w:id="529"/>
      </w:r>
      <w:r>
        <w:rPr>
          <w:szCs w:val="25"/>
        </w:rPr>
        <w:t xml:space="preserve"> </w:t>
      </w:r>
      <w:r w:rsidRPr="00B51852">
        <w:rPr>
          <w:szCs w:val="25"/>
        </w:rPr>
        <w:t>that irony needed no proclamation. It is hard not to suspect that the second and third sentences are mere redactional elaborations of the first</w:t>
      </w:r>
      <w:r w:rsidR="006F304D" w:rsidRPr="006F304D">
        <w:rPr>
          <w:szCs w:val="25"/>
        </w:rPr>
        <w:t xml:space="preserve">, </w:t>
      </w:r>
      <w:r w:rsidRPr="00B51852">
        <w:rPr>
          <w:szCs w:val="25"/>
        </w:rPr>
        <w:t>original sentence. Nevertheless</w:t>
      </w:r>
      <w:r w:rsidR="006F304D" w:rsidRPr="006F304D">
        <w:rPr>
          <w:szCs w:val="25"/>
        </w:rPr>
        <w:t xml:space="preserve">, </w:t>
      </w:r>
      <w:r w:rsidRPr="00B51852">
        <w:rPr>
          <w:szCs w:val="25"/>
        </w:rPr>
        <w:t>the simi</w:t>
      </w:r>
      <w:r>
        <w:rPr>
          <w:szCs w:val="25"/>
        </w:rPr>
        <w:t>lar</w:t>
      </w:r>
      <w:r w:rsidRPr="00B51852">
        <w:rPr>
          <w:szCs w:val="25"/>
        </w:rPr>
        <w:t>ities of the three sentences preponderate over their differences</w:t>
      </w:r>
      <w:r w:rsidR="006F304D" w:rsidRPr="006F304D">
        <w:rPr>
          <w:szCs w:val="25"/>
        </w:rPr>
        <w:t xml:space="preserve">, </w:t>
      </w:r>
      <w:r w:rsidRPr="00B51852">
        <w:rPr>
          <w:szCs w:val="25"/>
        </w:rPr>
        <w:t>and so we will refrain from segregating the latter sentences from the first.</w:t>
      </w:r>
    </w:p>
    <w:p w14:paraId="0A451FFE" w14:textId="77777777" w:rsidR="0018433B" w:rsidRPr="00B51852" w:rsidRDefault="0018433B" w:rsidP="0018433B">
      <w:pPr>
        <w:pStyle w:val="Style"/>
        <w:widowControl/>
        <w:jc w:val="both"/>
        <w:textAlignment w:val="baseline"/>
        <w:rPr>
          <w:szCs w:val="25"/>
        </w:rPr>
      </w:pPr>
    </w:p>
    <w:p w14:paraId="18E91344" w14:textId="77777777" w:rsidR="0018433B" w:rsidRPr="00B51852" w:rsidRDefault="0018433B" w:rsidP="0018433B">
      <w:pPr>
        <w:pStyle w:val="Style"/>
        <w:widowControl/>
        <w:tabs>
          <w:tab w:val="left" w:pos="3600"/>
          <w:tab w:val="left" w:pos="3960"/>
          <w:tab w:val="left" w:pos="4320"/>
        </w:tabs>
        <w:jc w:val="both"/>
        <w:textAlignment w:val="baseline"/>
        <w:rPr>
          <w:szCs w:val="25"/>
        </w:rPr>
      </w:pPr>
      <w:r>
        <w:rPr>
          <w:szCs w:val="25"/>
        </w:rPr>
        <w:tab/>
        <w:t>1.</w:t>
      </w:r>
      <w:r>
        <w:rPr>
          <w:szCs w:val="25"/>
        </w:rPr>
        <w:tab/>
      </w:r>
      <w:r w:rsidRPr="00B51852">
        <w:rPr>
          <w:szCs w:val="25"/>
        </w:rPr>
        <w:t>41-42</w:t>
      </w:r>
    </w:p>
    <w:p w14:paraId="4094CFD3" w14:textId="77777777" w:rsidR="0018433B" w:rsidRPr="00B51852" w:rsidRDefault="0018433B" w:rsidP="0018433B">
      <w:pPr>
        <w:pStyle w:val="Style"/>
        <w:widowControl/>
        <w:tabs>
          <w:tab w:val="left" w:pos="3600"/>
          <w:tab w:val="left" w:pos="3960"/>
          <w:tab w:val="left" w:pos="4320"/>
        </w:tabs>
        <w:jc w:val="both"/>
        <w:textAlignment w:val="baseline"/>
        <w:rPr>
          <w:szCs w:val="25"/>
        </w:rPr>
      </w:pPr>
      <w:r>
        <w:rPr>
          <w:szCs w:val="25"/>
        </w:rPr>
        <w:tab/>
      </w:r>
      <w:r>
        <w:rPr>
          <w:szCs w:val="25"/>
        </w:rPr>
        <w:tab/>
        <w:t>a.</w:t>
      </w:r>
      <w:r>
        <w:rPr>
          <w:szCs w:val="25"/>
        </w:rPr>
        <w:tab/>
      </w:r>
      <w:r w:rsidRPr="00B51852">
        <w:rPr>
          <w:szCs w:val="25"/>
        </w:rPr>
        <w:t>41</w:t>
      </w:r>
    </w:p>
    <w:p w14:paraId="27F5AD5E" w14:textId="77777777" w:rsidR="0018433B" w:rsidRPr="00B51852" w:rsidRDefault="0018433B" w:rsidP="0018433B">
      <w:pPr>
        <w:pStyle w:val="Style"/>
        <w:widowControl/>
        <w:tabs>
          <w:tab w:val="left" w:pos="3600"/>
          <w:tab w:val="left" w:pos="3960"/>
          <w:tab w:val="left" w:pos="4320"/>
        </w:tabs>
        <w:jc w:val="both"/>
        <w:textAlignment w:val="baseline"/>
        <w:rPr>
          <w:szCs w:val="25"/>
        </w:rPr>
      </w:pPr>
      <w:r>
        <w:rPr>
          <w:szCs w:val="25"/>
        </w:rPr>
        <w:tab/>
      </w:r>
      <w:r>
        <w:rPr>
          <w:szCs w:val="25"/>
        </w:rPr>
        <w:tab/>
        <w:t>b.</w:t>
      </w:r>
      <w:r>
        <w:rPr>
          <w:szCs w:val="25"/>
        </w:rPr>
        <w:tab/>
      </w:r>
      <w:r w:rsidRPr="00B51852">
        <w:rPr>
          <w:szCs w:val="25"/>
        </w:rPr>
        <w:t>42ab</w:t>
      </w:r>
    </w:p>
    <w:p w14:paraId="1708AF37" w14:textId="77777777" w:rsidR="0018433B" w:rsidRPr="00B51852" w:rsidRDefault="0018433B" w:rsidP="0018433B">
      <w:pPr>
        <w:pStyle w:val="Style"/>
        <w:widowControl/>
        <w:tabs>
          <w:tab w:val="left" w:pos="3600"/>
          <w:tab w:val="left" w:pos="3960"/>
          <w:tab w:val="left" w:pos="4320"/>
        </w:tabs>
        <w:jc w:val="both"/>
        <w:textAlignment w:val="baseline"/>
        <w:rPr>
          <w:szCs w:val="25"/>
        </w:rPr>
      </w:pPr>
      <w:r>
        <w:rPr>
          <w:szCs w:val="25"/>
        </w:rPr>
        <w:tab/>
      </w:r>
      <w:r>
        <w:rPr>
          <w:szCs w:val="25"/>
        </w:rPr>
        <w:tab/>
        <w:t>c.</w:t>
      </w:r>
      <w:r>
        <w:rPr>
          <w:szCs w:val="25"/>
        </w:rPr>
        <w:tab/>
      </w:r>
      <w:r w:rsidRPr="00B51852">
        <w:rPr>
          <w:szCs w:val="25"/>
        </w:rPr>
        <w:t>42cd</w:t>
      </w:r>
    </w:p>
    <w:p w14:paraId="43369012" w14:textId="77777777" w:rsidR="0018433B" w:rsidRDefault="0018433B" w:rsidP="0018433B">
      <w:pPr>
        <w:pStyle w:val="Style"/>
        <w:widowControl/>
        <w:jc w:val="both"/>
        <w:textAlignment w:val="baseline"/>
        <w:rPr>
          <w:szCs w:val="25"/>
        </w:rPr>
      </w:pPr>
    </w:p>
    <w:p w14:paraId="1F41DA22" w14:textId="77777777" w:rsidR="0018433B" w:rsidRDefault="0018433B" w:rsidP="0018433B">
      <w:pPr>
        <w:pStyle w:val="Style"/>
        <w:widowControl/>
        <w:jc w:val="both"/>
        <w:textAlignment w:val="baseline"/>
        <w:rPr>
          <w:szCs w:val="25"/>
        </w:rPr>
      </w:pPr>
      <w:r>
        <w:rPr>
          <w:szCs w:val="25"/>
        </w:rPr>
        <w:tab/>
      </w:r>
      <w:r w:rsidRPr="005B6B48">
        <w:rPr>
          <w:b/>
          <w:szCs w:val="25"/>
        </w:rPr>
        <w:t>Luke 6</w:t>
      </w:r>
      <w:r w:rsidRPr="00B51852">
        <w:rPr>
          <w:szCs w:val="25"/>
        </w:rPr>
        <w:t>:</w:t>
      </w:r>
      <w:r w:rsidRPr="005B6B48">
        <w:rPr>
          <w:b/>
          <w:szCs w:val="25"/>
        </w:rPr>
        <w:t>43-44</w:t>
      </w:r>
      <w:r w:rsidRPr="00B51852">
        <w:rPr>
          <w:szCs w:val="25"/>
        </w:rPr>
        <w:t>. The text reads:</w:t>
      </w:r>
    </w:p>
    <w:p w14:paraId="3C5A0ACA" w14:textId="77777777" w:rsidR="0018433B" w:rsidRPr="00B51852" w:rsidRDefault="0018433B" w:rsidP="0018433B">
      <w:pPr>
        <w:pStyle w:val="Style"/>
        <w:widowControl/>
        <w:jc w:val="both"/>
        <w:textAlignment w:val="baseline"/>
        <w:rPr>
          <w:szCs w:val="25"/>
        </w:rPr>
      </w:pPr>
    </w:p>
    <w:p w14:paraId="655CC950" w14:textId="77777777" w:rsidR="0018433B" w:rsidRDefault="0018433B" w:rsidP="0018433B">
      <w:pPr>
        <w:pStyle w:val="Style"/>
        <w:widowControl/>
        <w:ind w:left="720"/>
        <w:jc w:val="both"/>
        <w:textAlignment w:val="baseline"/>
        <w:rPr>
          <w:szCs w:val="25"/>
        </w:rPr>
      </w:pPr>
      <w:r w:rsidRPr="00B51852">
        <w:rPr>
          <w:szCs w:val="25"/>
        </w:rPr>
        <w:t>43a</w:t>
      </w:r>
      <w:r>
        <w:rPr>
          <w:szCs w:val="25"/>
        </w:rPr>
        <w:tab/>
      </w:r>
      <w:r w:rsidRPr="00CE06CA">
        <w:rPr>
          <w:bCs/>
          <w:szCs w:val="22"/>
          <w:lang w:val="el-GR"/>
        </w:rPr>
        <w:t>Οὐ γάρ ἐστιν δένδρον καλὸν ποιοῦν καρπὸν σαπρόν,</w:t>
      </w:r>
    </w:p>
    <w:p w14:paraId="33A3EB6A" w14:textId="77777777" w:rsidR="0018433B" w:rsidRPr="00B51852" w:rsidRDefault="0018433B" w:rsidP="0018433B">
      <w:pPr>
        <w:pStyle w:val="Style"/>
        <w:widowControl/>
        <w:ind w:left="720"/>
        <w:jc w:val="both"/>
        <w:textAlignment w:val="baseline"/>
        <w:rPr>
          <w:szCs w:val="25"/>
        </w:rPr>
      </w:pPr>
      <w:r w:rsidRPr="00B51852">
        <w:rPr>
          <w:szCs w:val="25"/>
        </w:rPr>
        <w:t>43b</w:t>
      </w:r>
      <w:r>
        <w:rPr>
          <w:szCs w:val="25"/>
        </w:rPr>
        <w:tab/>
      </w:r>
      <w:r w:rsidRPr="00CE06CA">
        <w:rPr>
          <w:bCs/>
          <w:szCs w:val="22"/>
          <w:lang w:val="el-GR"/>
        </w:rPr>
        <w:t>οὐδὲ πάλιν δένδρον σαπρὸν ποιοῦν καρπὸν καλόν.</w:t>
      </w:r>
    </w:p>
    <w:p w14:paraId="328B03D2" w14:textId="77777777" w:rsidR="0018433B" w:rsidRPr="00B51852" w:rsidRDefault="0018433B" w:rsidP="0018433B">
      <w:pPr>
        <w:pStyle w:val="Style"/>
        <w:widowControl/>
        <w:ind w:left="720"/>
        <w:jc w:val="both"/>
        <w:textAlignment w:val="baseline"/>
        <w:rPr>
          <w:szCs w:val="25"/>
        </w:rPr>
      </w:pPr>
      <w:r w:rsidRPr="00B51852">
        <w:rPr>
          <w:szCs w:val="25"/>
        </w:rPr>
        <w:t>44a</w:t>
      </w:r>
      <w:r>
        <w:rPr>
          <w:szCs w:val="25"/>
        </w:rPr>
        <w:tab/>
      </w:r>
      <w:r w:rsidRPr="00CE06CA">
        <w:rPr>
          <w:bCs/>
          <w:szCs w:val="22"/>
          <w:lang w:val="el-GR"/>
        </w:rPr>
        <w:t>ἕκαστον γὰρ δένδρον ἐκ τοῦ ἰδίου καρποῦ γινώσκεται·</w:t>
      </w:r>
    </w:p>
    <w:p w14:paraId="1A1E5F9D" w14:textId="77777777" w:rsidR="0018433B" w:rsidRPr="00B51852" w:rsidRDefault="0018433B" w:rsidP="0018433B">
      <w:pPr>
        <w:pStyle w:val="Style"/>
        <w:widowControl/>
        <w:ind w:left="720"/>
        <w:jc w:val="both"/>
        <w:textAlignment w:val="baseline"/>
        <w:rPr>
          <w:szCs w:val="25"/>
        </w:rPr>
      </w:pPr>
      <w:r w:rsidRPr="00B51852">
        <w:rPr>
          <w:szCs w:val="25"/>
        </w:rPr>
        <w:t>44b</w:t>
      </w:r>
      <w:r>
        <w:rPr>
          <w:szCs w:val="35"/>
        </w:rPr>
        <w:tab/>
      </w:r>
      <w:r w:rsidRPr="00CE06CA">
        <w:rPr>
          <w:bCs/>
          <w:szCs w:val="22"/>
          <w:lang w:val="el-GR"/>
        </w:rPr>
        <w:t>οὐ γὰρ ἐξ ἀκανθῶν συλλέγουσιν σῦκα</w:t>
      </w:r>
    </w:p>
    <w:p w14:paraId="1A46D916" w14:textId="77777777" w:rsidR="0018433B" w:rsidRDefault="0018433B" w:rsidP="0018433B">
      <w:pPr>
        <w:pStyle w:val="Style"/>
        <w:widowControl/>
        <w:ind w:left="720"/>
        <w:jc w:val="both"/>
        <w:textAlignment w:val="baseline"/>
        <w:rPr>
          <w:rFonts w:eastAsia="Arial"/>
          <w:szCs w:val="31"/>
        </w:rPr>
      </w:pPr>
      <w:r w:rsidRPr="00B51852">
        <w:rPr>
          <w:szCs w:val="25"/>
        </w:rPr>
        <w:t>44c</w:t>
      </w:r>
      <w:r>
        <w:rPr>
          <w:rFonts w:eastAsia="Arial"/>
          <w:szCs w:val="31"/>
        </w:rPr>
        <w:tab/>
      </w:r>
      <w:r w:rsidRPr="00CE06CA">
        <w:rPr>
          <w:bCs/>
          <w:szCs w:val="22"/>
          <w:lang w:val="el-GR"/>
        </w:rPr>
        <w:t>οὐδὲ ἐκ βάτου σταφυλὴν τρυγῶσιν.</w:t>
      </w:r>
    </w:p>
    <w:p w14:paraId="2B02ECAC" w14:textId="77777777" w:rsidR="0018433B" w:rsidRDefault="0018433B" w:rsidP="0018433B">
      <w:pPr>
        <w:pStyle w:val="Style"/>
        <w:widowControl/>
        <w:jc w:val="both"/>
        <w:textAlignment w:val="baseline"/>
        <w:rPr>
          <w:szCs w:val="25"/>
        </w:rPr>
      </w:pPr>
    </w:p>
    <w:p w14:paraId="2A3E477F" w14:textId="77777777" w:rsidR="0018433B" w:rsidRDefault="0018433B" w:rsidP="0018433B">
      <w:pPr>
        <w:pStyle w:val="Style"/>
        <w:widowControl/>
        <w:ind w:left="720"/>
        <w:jc w:val="both"/>
        <w:textAlignment w:val="baseline"/>
        <w:rPr>
          <w:szCs w:val="25"/>
        </w:rPr>
      </w:pPr>
      <w:r w:rsidRPr="00B51852">
        <w:rPr>
          <w:szCs w:val="25"/>
        </w:rPr>
        <w:t>43a</w:t>
      </w:r>
      <w:r>
        <w:rPr>
          <w:szCs w:val="25"/>
        </w:rPr>
        <w:tab/>
      </w:r>
      <w:r w:rsidRPr="00CD75A6">
        <w:t>No good tree bears bad fruit,</w:t>
      </w:r>
    </w:p>
    <w:p w14:paraId="324991C7" w14:textId="77777777" w:rsidR="0018433B" w:rsidRPr="00B51852" w:rsidRDefault="0018433B" w:rsidP="0018433B">
      <w:pPr>
        <w:pStyle w:val="Style"/>
        <w:widowControl/>
        <w:ind w:left="720"/>
        <w:jc w:val="both"/>
        <w:textAlignment w:val="baseline"/>
        <w:rPr>
          <w:szCs w:val="25"/>
        </w:rPr>
      </w:pPr>
      <w:r w:rsidRPr="00B51852">
        <w:rPr>
          <w:szCs w:val="25"/>
        </w:rPr>
        <w:t>43b</w:t>
      </w:r>
      <w:r>
        <w:rPr>
          <w:szCs w:val="25"/>
        </w:rPr>
        <w:tab/>
      </w:r>
      <w:r w:rsidRPr="00CD75A6">
        <w:t>nor again does a bad tree bear good fruit;</w:t>
      </w:r>
    </w:p>
    <w:p w14:paraId="4B6A5370" w14:textId="77777777" w:rsidR="0018433B" w:rsidRPr="00B51852" w:rsidRDefault="0018433B" w:rsidP="0018433B">
      <w:pPr>
        <w:pStyle w:val="Style"/>
        <w:widowControl/>
        <w:ind w:left="720"/>
        <w:jc w:val="both"/>
        <w:textAlignment w:val="baseline"/>
        <w:rPr>
          <w:szCs w:val="25"/>
        </w:rPr>
      </w:pPr>
      <w:r w:rsidRPr="00B51852">
        <w:rPr>
          <w:szCs w:val="25"/>
        </w:rPr>
        <w:t>44a</w:t>
      </w:r>
      <w:r>
        <w:rPr>
          <w:szCs w:val="25"/>
        </w:rPr>
        <w:tab/>
      </w:r>
      <w:r w:rsidRPr="00CD75A6">
        <w:t>for each tree is known by its own fruit.</w:t>
      </w:r>
    </w:p>
    <w:p w14:paraId="490FC8DA" w14:textId="77777777" w:rsidR="0018433B" w:rsidRPr="00B51852" w:rsidRDefault="0018433B" w:rsidP="0018433B">
      <w:pPr>
        <w:pStyle w:val="Style"/>
        <w:widowControl/>
        <w:ind w:left="720"/>
        <w:jc w:val="both"/>
        <w:textAlignment w:val="baseline"/>
        <w:rPr>
          <w:szCs w:val="25"/>
        </w:rPr>
      </w:pPr>
      <w:r w:rsidRPr="00B51852">
        <w:rPr>
          <w:szCs w:val="25"/>
        </w:rPr>
        <w:t>44b</w:t>
      </w:r>
      <w:r>
        <w:rPr>
          <w:szCs w:val="35"/>
        </w:rPr>
        <w:tab/>
      </w:r>
      <w:r w:rsidRPr="00CD75A6">
        <w:t>Figs are not gathered from thorns,</w:t>
      </w:r>
    </w:p>
    <w:p w14:paraId="7D9932E0" w14:textId="77777777" w:rsidR="0018433B" w:rsidRDefault="0018433B" w:rsidP="0018433B">
      <w:pPr>
        <w:pStyle w:val="Style"/>
        <w:widowControl/>
        <w:ind w:left="720"/>
        <w:jc w:val="both"/>
        <w:textAlignment w:val="baseline"/>
        <w:rPr>
          <w:rFonts w:eastAsia="Arial"/>
          <w:szCs w:val="31"/>
        </w:rPr>
      </w:pPr>
      <w:r w:rsidRPr="00B51852">
        <w:rPr>
          <w:szCs w:val="25"/>
        </w:rPr>
        <w:t>44c</w:t>
      </w:r>
      <w:r>
        <w:rPr>
          <w:rFonts w:eastAsia="Arial"/>
          <w:szCs w:val="31"/>
        </w:rPr>
        <w:tab/>
      </w:r>
      <w:r w:rsidRPr="00CD75A6">
        <w:t>nor are grapes picked from a bramble bush.</w:t>
      </w:r>
    </w:p>
    <w:p w14:paraId="7941B9DA" w14:textId="77777777" w:rsidR="0018433B" w:rsidRPr="00B51852" w:rsidRDefault="0018433B" w:rsidP="0018433B">
      <w:pPr>
        <w:pStyle w:val="Style"/>
        <w:widowControl/>
        <w:jc w:val="both"/>
        <w:textAlignment w:val="baseline"/>
        <w:rPr>
          <w:szCs w:val="25"/>
        </w:rPr>
      </w:pPr>
    </w:p>
    <w:p w14:paraId="6983D169" w14:textId="26BC0C24" w:rsidR="0018433B" w:rsidRPr="005B6B48" w:rsidRDefault="0018433B" w:rsidP="0018433B">
      <w:pPr>
        <w:pStyle w:val="Style"/>
        <w:widowControl/>
        <w:jc w:val="both"/>
        <w:textAlignment w:val="baseline"/>
        <w:rPr>
          <w:szCs w:val="21"/>
        </w:rPr>
      </w:pPr>
      <w:r>
        <w:rPr>
          <w:szCs w:val="21"/>
        </w:rPr>
        <w:tab/>
      </w:r>
      <w:r w:rsidRPr="00B51852">
        <w:rPr>
          <w:szCs w:val="25"/>
        </w:rPr>
        <w:t>All of these clauses are united in content</w:t>
      </w:r>
      <w:r w:rsidR="006F304D" w:rsidRPr="006F304D">
        <w:rPr>
          <w:szCs w:val="25"/>
        </w:rPr>
        <w:t xml:space="preserve">, </w:t>
      </w:r>
      <w:r w:rsidRPr="00B51852">
        <w:rPr>
          <w:szCs w:val="25"/>
        </w:rPr>
        <w:t>in that all refer to the production of fruit. But there is also diversity of content here: 43 is only moderately concrete; 44a</w:t>
      </w:r>
      <w:r w:rsidR="006F304D" w:rsidRPr="006F304D">
        <w:rPr>
          <w:szCs w:val="25"/>
        </w:rPr>
        <w:t xml:space="preserve">, </w:t>
      </w:r>
      <w:r w:rsidRPr="00B51852">
        <w:rPr>
          <w:szCs w:val="25"/>
        </w:rPr>
        <w:t>while not abstract</w:t>
      </w:r>
      <w:r w:rsidR="006F304D" w:rsidRPr="006F304D">
        <w:rPr>
          <w:szCs w:val="25"/>
        </w:rPr>
        <w:t xml:space="preserve">, </w:t>
      </w:r>
      <w:r w:rsidRPr="00B51852">
        <w:rPr>
          <w:szCs w:val="25"/>
        </w:rPr>
        <w:t>is</w:t>
      </w:r>
      <w:r>
        <w:rPr>
          <w:szCs w:val="25"/>
        </w:rPr>
        <w:t xml:space="preserve"> the least concrete; yet 44bc are</w:t>
      </w:r>
      <w:r w:rsidRPr="00B51852">
        <w:rPr>
          <w:szCs w:val="25"/>
        </w:rPr>
        <w:t xml:space="preserve"> very concrete. Verse 44a is an explanatory summary of 43ab; it is explanatory because it is more abstract</w:t>
      </w:r>
      <w:r w:rsidR="006F304D" w:rsidRPr="006F304D">
        <w:rPr>
          <w:szCs w:val="25"/>
        </w:rPr>
        <w:t xml:space="preserve">, </w:t>
      </w:r>
      <w:r w:rsidRPr="00B51852">
        <w:rPr>
          <w:szCs w:val="25"/>
        </w:rPr>
        <w:t>and it is a summary because it immediately follows 43ab and because it states in one general clause the two situations in 43a and 43b. But 43</w:t>
      </w:r>
      <w:r w:rsidR="006F304D" w:rsidRPr="006F304D">
        <w:rPr>
          <w:szCs w:val="25"/>
        </w:rPr>
        <w:t xml:space="preserve">, </w:t>
      </w:r>
      <w:r w:rsidRPr="00B51852">
        <w:rPr>
          <w:szCs w:val="25"/>
        </w:rPr>
        <w:t>though more abstract than 44bc</w:t>
      </w:r>
      <w:r w:rsidR="006F304D" w:rsidRPr="006F304D">
        <w:rPr>
          <w:szCs w:val="25"/>
        </w:rPr>
        <w:t xml:space="preserve">, </w:t>
      </w:r>
      <w:r w:rsidRPr="00B51852">
        <w:rPr>
          <w:szCs w:val="25"/>
        </w:rPr>
        <w:t>cannot be an explanatory summary of 44bc: 43ab does not follow 44bc</w:t>
      </w:r>
      <w:r w:rsidR="006F304D" w:rsidRPr="006F304D">
        <w:rPr>
          <w:szCs w:val="25"/>
        </w:rPr>
        <w:t xml:space="preserve">, </w:t>
      </w:r>
      <w:r w:rsidRPr="00B51852">
        <w:rPr>
          <w:szCs w:val="25"/>
        </w:rPr>
        <w:t>and 44bc is concerned only with the situation of good fruit produced by bad trees</w:t>
      </w:r>
      <w:r w:rsidR="006F304D" w:rsidRPr="006F304D">
        <w:rPr>
          <w:szCs w:val="25"/>
        </w:rPr>
        <w:t xml:space="preserve">, </w:t>
      </w:r>
      <w:r w:rsidRPr="00B51852">
        <w:rPr>
          <w:szCs w:val="25"/>
        </w:rPr>
        <w:t>a situation that only 43b fits.</w:t>
      </w:r>
    </w:p>
    <w:p w14:paraId="010594AC" w14:textId="2D69AA68" w:rsidR="0018433B" w:rsidRDefault="0018433B" w:rsidP="0018433B">
      <w:pPr>
        <w:pStyle w:val="Style"/>
        <w:widowControl/>
        <w:jc w:val="both"/>
        <w:textAlignment w:val="baseline"/>
        <w:rPr>
          <w:szCs w:val="25"/>
        </w:rPr>
      </w:pPr>
      <w:r>
        <w:rPr>
          <w:szCs w:val="25"/>
        </w:rPr>
        <w:tab/>
      </w:r>
      <w:r w:rsidRPr="00B51852">
        <w:rPr>
          <w:szCs w:val="25"/>
        </w:rPr>
        <w:t>The verses would have been neater and more meaningful if the redactor had put the versicles in the order</w:t>
      </w:r>
      <w:r w:rsidR="006F304D" w:rsidRPr="006F304D">
        <w:rPr>
          <w:szCs w:val="25"/>
        </w:rPr>
        <w:t xml:space="preserve">, </w:t>
      </w:r>
      <w:r w:rsidRPr="00B51852">
        <w:rPr>
          <w:szCs w:val="25"/>
        </w:rPr>
        <w:t>44bc</w:t>
      </w:r>
      <w:r w:rsidR="006F304D" w:rsidRPr="006F304D">
        <w:rPr>
          <w:szCs w:val="25"/>
        </w:rPr>
        <w:t xml:space="preserve">, </w:t>
      </w:r>
      <w:r w:rsidRPr="00B51852">
        <w:rPr>
          <w:szCs w:val="25"/>
        </w:rPr>
        <w:t>43</w:t>
      </w:r>
      <w:r w:rsidR="006F304D" w:rsidRPr="006F304D">
        <w:rPr>
          <w:szCs w:val="25"/>
        </w:rPr>
        <w:t xml:space="preserve">, </w:t>
      </w:r>
      <w:r w:rsidRPr="00B51852">
        <w:rPr>
          <w:szCs w:val="25"/>
        </w:rPr>
        <w:t>44a; that way</w:t>
      </w:r>
      <w:r w:rsidR="006F304D" w:rsidRPr="006F304D">
        <w:rPr>
          <w:szCs w:val="25"/>
        </w:rPr>
        <w:t xml:space="preserve">, </w:t>
      </w:r>
      <w:r w:rsidRPr="00B51852">
        <w:rPr>
          <w:szCs w:val="25"/>
        </w:rPr>
        <w:t>each succeeding saying would be an increasingly general summary of the statement or statements that precede it. Nevertheless</w:t>
      </w:r>
      <w:r w:rsidR="006F304D" w:rsidRPr="006F304D">
        <w:rPr>
          <w:szCs w:val="25"/>
        </w:rPr>
        <w:t xml:space="preserve">, </w:t>
      </w:r>
      <w:r w:rsidRPr="00B51852">
        <w:rPr>
          <w:szCs w:val="25"/>
        </w:rPr>
        <w:t>the redactor’s intention no doubt was that readers take the three versicles as coordinate units within the whole unit. We therefore outline 43-44 accordingly.</w:t>
      </w:r>
    </w:p>
    <w:p w14:paraId="4E2530B3" w14:textId="77777777" w:rsidR="0018433B" w:rsidRPr="00B51852" w:rsidRDefault="0018433B" w:rsidP="0018433B">
      <w:pPr>
        <w:pStyle w:val="Style"/>
        <w:widowControl/>
        <w:jc w:val="both"/>
        <w:textAlignment w:val="baseline"/>
        <w:rPr>
          <w:szCs w:val="25"/>
        </w:rPr>
      </w:pPr>
    </w:p>
    <w:p w14:paraId="03CA0EEF" w14:textId="77777777" w:rsidR="0018433B" w:rsidRPr="00B51852" w:rsidRDefault="0018433B" w:rsidP="0018433B">
      <w:pPr>
        <w:pStyle w:val="Style"/>
        <w:widowControl/>
        <w:tabs>
          <w:tab w:val="left" w:pos="3600"/>
          <w:tab w:val="left" w:pos="3960"/>
          <w:tab w:val="left" w:pos="4320"/>
        </w:tabs>
        <w:jc w:val="both"/>
        <w:textAlignment w:val="baseline"/>
        <w:rPr>
          <w:szCs w:val="25"/>
        </w:rPr>
      </w:pPr>
      <w:r>
        <w:rPr>
          <w:szCs w:val="25"/>
        </w:rPr>
        <w:tab/>
        <w:t>1.</w:t>
      </w:r>
      <w:r>
        <w:rPr>
          <w:szCs w:val="25"/>
        </w:rPr>
        <w:tab/>
      </w:r>
      <w:r w:rsidRPr="00B51852">
        <w:rPr>
          <w:szCs w:val="25"/>
        </w:rPr>
        <w:t>43-44</w:t>
      </w:r>
    </w:p>
    <w:p w14:paraId="79ABA5D6" w14:textId="77777777" w:rsidR="0018433B" w:rsidRPr="00B51852" w:rsidRDefault="0018433B" w:rsidP="0018433B">
      <w:pPr>
        <w:pStyle w:val="Style"/>
        <w:widowControl/>
        <w:tabs>
          <w:tab w:val="left" w:pos="3600"/>
          <w:tab w:val="left" w:pos="3960"/>
          <w:tab w:val="left" w:pos="4320"/>
        </w:tabs>
        <w:jc w:val="both"/>
        <w:textAlignment w:val="baseline"/>
        <w:rPr>
          <w:szCs w:val="25"/>
        </w:rPr>
      </w:pPr>
      <w:r>
        <w:rPr>
          <w:szCs w:val="25"/>
        </w:rPr>
        <w:tab/>
      </w:r>
      <w:r>
        <w:rPr>
          <w:szCs w:val="25"/>
        </w:rPr>
        <w:tab/>
        <w:t>a.</w:t>
      </w:r>
      <w:r>
        <w:rPr>
          <w:szCs w:val="25"/>
        </w:rPr>
        <w:tab/>
      </w:r>
      <w:r w:rsidRPr="00B51852">
        <w:rPr>
          <w:szCs w:val="25"/>
        </w:rPr>
        <w:t>43</w:t>
      </w:r>
    </w:p>
    <w:p w14:paraId="4905F9BA" w14:textId="77777777" w:rsidR="0018433B" w:rsidRPr="00B51852" w:rsidRDefault="0018433B" w:rsidP="0018433B">
      <w:pPr>
        <w:pStyle w:val="Style"/>
        <w:widowControl/>
        <w:tabs>
          <w:tab w:val="left" w:pos="3600"/>
          <w:tab w:val="left" w:pos="3960"/>
          <w:tab w:val="left" w:pos="4320"/>
        </w:tabs>
        <w:jc w:val="both"/>
        <w:textAlignment w:val="baseline"/>
        <w:rPr>
          <w:szCs w:val="25"/>
        </w:rPr>
      </w:pPr>
      <w:r>
        <w:rPr>
          <w:szCs w:val="25"/>
        </w:rPr>
        <w:tab/>
      </w:r>
      <w:r>
        <w:rPr>
          <w:szCs w:val="25"/>
        </w:rPr>
        <w:tab/>
        <w:t>b.</w:t>
      </w:r>
      <w:r>
        <w:rPr>
          <w:szCs w:val="25"/>
        </w:rPr>
        <w:tab/>
      </w:r>
      <w:r w:rsidRPr="00B51852">
        <w:rPr>
          <w:szCs w:val="25"/>
        </w:rPr>
        <w:t>44a</w:t>
      </w:r>
    </w:p>
    <w:p w14:paraId="054A3F7F" w14:textId="77777777" w:rsidR="0018433B" w:rsidRPr="00B51852" w:rsidRDefault="0018433B" w:rsidP="0018433B">
      <w:pPr>
        <w:pStyle w:val="Style"/>
        <w:widowControl/>
        <w:tabs>
          <w:tab w:val="left" w:pos="3600"/>
          <w:tab w:val="left" w:pos="3960"/>
          <w:tab w:val="left" w:pos="4320"/>
        </w:tabs>
        <w:jc w:val="both"/>
        <w:textAlignment w:val="baseline"/>
        <w:rPr>
          <w:szCs w:val="25"/>
        </w:rPr>
      </w:pPr>
      <w:r>
        <w:rPr>
          <w:szCs w:val="25"/>
        </w:rPr>
        <w:tab/>
      </w:r>
      <w:r>
        <w:rPr>
          <w:szCs w:val="25"/>
        </w:rPr>
        <w:tab/>
        <w:t>c.</w:t>
      </w:r>
      <w:r>
        <w:rPr>
          <w:szCs w:val="25"/>
        </w:rPr>
        <w:tab/>
      </w:r>
      <w:r w:rsidRPr="00B51852">
        <w:rPr>
          <w:szCs w:val="25"/>
        </w:rPr>
        <w:t>44bc</w:t>
      </w:r>
    </w:p>
    <w:p w14:paraId="0C72A655" w14:textId="77777777" w:rsidR="0018433B" w:rsidRDefault="0018433B" w:rsidP="0018433B">
      <w:pPr>
        <w:pStyle w:val="Style"/>
        <w:widowControl/>
        <w:jc w:val="both"/>
        <w:textAlignment w:val="baseline"/>
        <w:rPr>
          <w:szCs w:val="25"/>
        </w:rPr>
      </w:pPr>
    </w:p>
    <w:p w14:paraId="2563D163" w14:textId="77777777" w:rsidR="0018433B" w:rsidRDefault="0018433B" w:rsidP="0018433B">
      <w:pPr>
        <w:pStyle w:val="Style"/>
        <w:widowControl/>
        <w:jc w:val="both"/>
        <w:textAlignment w:val="baseline"/>
        <w:rPr>
          <w:szCs w:val="25"/>
        </w:rPr>
      </w:pPr>
      <w:r>
        <w:rPr>
          <w:szCs w:val="25"/>
        </w:rPr>
        <w:tab/>
      </w:r>
      <w:r w:rsidRPr="008C46F4">
        <w:rPr>
          <w:b/>
          <w:szCs w:val="25"/>
        </w:rPr>
        <w:t>Luke 6</w:t>
      </w:r>
      <w:r w:rsidRPr="00B51852">
        <w:rPr>
          <w:szCs w:val="25"/>
        </w:rPr>
        <w:t>:</w:t>
      </w:r>
      <w:r w:rsidRPr="008C46F4">
        <w:rPr>
          <w:b/>
          <w:szCs w:val="25"/>
        </w:rPr>
        <w:t>47-49</w:t>
      </w:r>
      <w:r w:rsidRPr="00B51852">
        <w:rPr>
          <w:szCs w:val="25"/>
        </w:rPr>
        <w:t>. The concluding parable reads:</w:t>
      </w:r>
    </w:p>
    <w:p w14:paraId="016499E3" w14:textId="77777777" w:rsidR="0018433B" w:rsidRPr="00B51852" w:rsidRDefault="0018433B" w:rsidP="0018433B">
      <w:pPr>
        <w:pStyle w:val="Style"/>
        <w:widowControl/>
        <w:jc w:val="both"/>
        <w:textAlignment w:val="baseline"/>
        <w:rPr>
          <w:szCs w:val="25"/>
        </w:rPr>
      </w:pPr>
    </w:p>
    <w:p w14:paraId="0B70418E" w14:textId="77777777" w:rsidR="0018433B" w:rsidRPr="00B51852" w:rsidRDefault="0018433B" w:rsidP="0018433B">
      <w:pPr>
        <w:pStyle w:val="Style"/>
        <w:widowControl/>
        <w:ind w:left="720"/>
        <w:jc w:val="both"/>
        <w:textAlignment w:val="baseline"/>
        <w:rPr>
          <w:szCs w:val="25"/>
        </w:rPr>
      </w:pPr>
      <w:r>
        <w:rPr>
          <w:szCs w:val="25"/>
        </w:rPr>
        <w:t>47a</w:t>
      </w:r>
      <w:r>
        <w:rPr>
          <w:szCs w:val="25"/>
        </w:rPr>
        <w:tab/>
      </w:r>
      <w:r w:rsidRPr="00CE06CA">
        <w:rPr>
          <w:bCs/>
          <w:szCs w:val="22"/>
          <w:lang w:val="el-GR"/>
        </w:rPr>
        <w:t>Πᾶς ὁ ἐρχόμενος πρός με καὶ ἀκούων μου τῶν λόγων καὶ ποιῶν αὐτούς,</w:t>
      </w:r>
    </w:p>
    <w:p w14:paraId="6C8F9EE1" w14:textId="77777777" w:rsidR="0018433B" w:rsidRPr="00B51852" w:rsidRDefault="0018433B" w:rsidP="0018433B">
      <w:pPr>
        <w:pStyle w:val="Style"/>
        <w:widowControl/>
        <w:ind w:left="720"/>
        <w:jc w:val="both"/>
        <w:textAlignment w:val="baseline"/>
        <w:rPr>
          <w:szCs w:val="25"/>
        </w:rPr>
      </w:pPr>
      <w:r w:rsidRPr="00B51852">
        <w:rPr>
          <w:szCs w:val="25"/>
        </w:rPr>
        <w:t>47b</w:t>
      </w:r>
      <w:r>
        <w:rPr>
          <w:szCs w:val="25"/>
        </w:rPr>
        <w:tab/>
      </w:r>
      <w:r w:rsidRPr="00CE06CA">
        <w:rPr>
          <w:bCs/>
          <w:szCs w:val="22"/>
          <w:lang w:val="el-GR"/>
        </w:rPr>
        <w:t>ὑποδείξω ὑμῖν τίνι ἐστὶν ὅμοιος·</w:t>
      </w:r>
    </w:p>
    <w:p w14:paraId="5CCF0F37" w14:textId="77777777" w:rsidR="0018433B" w:rsidRPr="00B51852" w:rsidRDefault="0018433B" w:rsidP="0018433B">
      <w:pPr>
        <w:pStyle w:val="Style"/>
        <w:widowControl/>
        <w:ind w:left="720"/>
        <w:jc w:val="both"/>
        <w:textAlignment w:val="baseline"/>
        <w:rPr>
          <w:szCs w:val="25"/>
        </w:rPr>
      </w:pPr>
      <w:r w:rsidRPr="00B51852">
        <w:rPr>
          <w:szCs w:val="25"/>
        </w:rPr>
        <w:t>48a</w:t>
      </w:r>
      <w:r>
        <w:rPr>
          <w:szCs w:val="25"/>
        </w:rPr>
        <w:tab/>
      </w:r>
      <w:r w:rsidRPr="00CE06CA">
        <w:rPr>
          <w:bCs/>
          <w:szCs w:val="22"/>
          <w:lang w:val="el-GR"/>
        </w:rPr>
        <w:t>ὅμοιός ἐστιν ἀνθρώπῳ οἰκοδομοῦντι οἰκίαν</w:t>
      </w:r>
    </w:p>
    <w:p w14:paraId="0E87A1C0" w14:textId="77777777" w:rsidR="0018433B" w:rsidRPr="00B51852" w:rsidRDefault="0018433B" w:rsidP="0018433B">
      <w:pPr>
        <w:pStyle w:val="Style"/>
        <w:widowControl/>
        <w:ind w:left="720"/>
        <w:jc w:val="both"/>
        <w:textAlignment w:val="baseline"/>
        <w:rPr>
          <w:iCs/>
          <w:szCs w:val="23"/>
        </w:rPr>
      </w:pPr>
      <w:r w:rsidRPr="00B51852">
        <w:rPr>
          <w:szCs w:val="25"/>
        </w:rPr>
        <w:t>48b</w:t>
      </w:r>
      <w:r>
        <w:rPr>
          <w:rFonts w:eastAsia="Arial"/>
          <w:szCs w:val="37"/>
        </w:rPr>
        <w:tab/>
      </w:r>
      <w:r w:rsidRPr="00CE06CA">
        <w:rPr>
          <w:bCs/>
          <w:szCs w:val="22"/>
          <w:lang w:val="el-GR"/>
        </w:rPr>
        <w:t>ὃς ἔσκαψεν καὶ ἐβάθυνεν καὶ ἔθηκεν θεμέλιον ἐπὶ τὴν πέτραν·</w:t>
      </w:r>
    </w:p>
    <w:p w14:paraId="04550464" w14:textId="77777777" w:rsidR="0018433B" w:rsidRPr="00B51852" w:rsidRDefault="0018433B" w:rsidP="0018433B">
      <w:pPr>
        <w:pStyle w:val="Style"/>
        <w:widowControl/>
        <w:ind w:left="720"/>
        <w:jc w:val="both"/>
        <w:textAlignment w:val="baseline"/>
        <w:rPr>
          <w:szCs w:val="25"/>
        </w:rPr>
      </w:pPr>
      <w:r w:rsidRPr="00B51852">
        <w:rPr>
          <w:szCs w:val="25"/>
        </w:rPr>
        <w:t>48c</w:t>
      </w:r>
      <w:r>
        <w:rPr>
          <w:szCs w:val="25"/>
        </w:rPr>
        <w:tab/>
      </w:r>
      <w:r w:rsidRPr="00CE06CA">
        <w:rPr>
          <w:bCs/>
          <w:szCs w:val="22"/>
          <w:lang w:val="el-GR"/>
        </w:rPr>
        <w:t>πλημμύρης δὲ γενομένης προσέρηξεν ὁ ποταμὸς τῇ οἰκίᾳ ἐκείνῃ,</w:t>
      </w:r>
    </w:p>
    <w:p w14:paraId="4C96284D" w14:textId="77777777" w:rsidR="0018433B" w:rsidRPr="00B51852" w:rsidRDefault="0018433B" w:rsidP="0018433B">
      <w:pPr>
        <w:pStyle w:val="Style"/>
        <w:widowControl/>
        <w:ind w:left="720"/>
        <w:jc w:val="both"/>
        <w:textAlignment w:val="baseline"/>
        <w:rPr>
          <w:rFonts w:eastAsia="Arial"/>
          <w:szCs w:val="22"/>
        </w:rPr>
      </w:pPr>
      <w:r w:rsidRPr="00B51852">
        <w:rPr>
          <w:szCs w:val="25"/>
        </w:rPr>
        <w:t>48d</w:t>
      </w:r>
      <w:r>
        <w:rPr>
          <w:szCs w:val="25"/>
        </w:rPr>
        <w:tab/>
      </w:r>
      <w:r w:rsidRPr="00CE06CA">
        <w:rPr>
          <w:bCs/>
          <w:szCs w:val="22"/>
          <w:lang w:val="el-GR"/>
        </w:rPr>
        <w:t>καὶ οὐκ ἴσχυσεν σαλεῦσαι αὐτὴν διὰ τὸ καλῶς οἰκοδομῆσθαι αὐτήν.</w:t>
      </w:r>
    </w:p>
    <w:p w14:paraId="3794DFC0" w14:textId="77777777" w:rsidR="0018433B" w:rsidRPr="00B51852" w:rsidRDefault="0018433B" w:rsidP="0018433B">
      <w:pPr>
        <w:pStyle w:val="Style"/>
        <w:widowControl/>
        <w:ind w:left="720"/>
        <w:jc w:val="both"/>
        <w:textAlignment w:val="baseline"/>
        <w:rPr>
          <w:szCs w:val="25"/>
        </w:rPr>
      </w:pPr>
      <w:r w:rsidRPr="00B51852">
        <w:rPr>
          <w:szCs w:val="25"/>
        </w:rPr>
        <w:t>49a</w:t>
      </w:r>
      <w:r>
        <w:rPr>
          <w:szCs w:val="36"/>
        </w:rPr>
        <w:tab/>
      </w:r>
      <w:r w:rsidRPr="00CE06CA">
        <w:rPr>
          <w:bCs/>
          <w:szCs w:val="22"/>
          <w:lang w:val="el-GR"/>
        </w:rPr>
        <w:t>ὁ δὲ ἀκούσας καὶ μὴ ποιήσας ὅμοιός ἐστιν ἀνθρώπῳ</w:t>
      </w:r>
    </w:p>
    <w:p w14:paraId="6558910E" w14:textId="77777777" w:rsidR="0018433B" w:rsidRPr="00B51852" w:rsidRDefault="0018433B" w:rsidP="0018433B">
      <w:pPr>
        <w:pStyle w:val="Style"/>
        <w:widowControl/>
        <w:ind w:left="720"/>
        <w:jc w:val="both"/>
        <w:textAlignment w:val="baseline"/>
        <w:rPr>
          <w:iCs/>
          <w:szCs w:val="26"/>
        </w:rPr>
      </w:pPr>
      <w:r w:rsidRPr="00B51852">
        <w:rPr>
          <w:szCs w:val="25"/>
        </w:rPr>
        <w:t>49b</w:t>
      </w:r>
      <w:r>
        <w:rPr>
          <w:rFonts w:eastAsia="Arial"/>
          <w:szCs w:val="33"/>
        </w:rPr>
        <w:tab/>
      </w:r>
      <w:r w:rsidRPr="00CE06CA">
        <w:rPr>
          <w:bCs/>
          <w:szCs w:val="22"/>
          <w:lang w:val="el-GR"/>
        </w:rPr>
        <w:t>οἰκοδομήσαντι οἰκίαν ἐπὶ τὴν γῆν χωρὶς θεμελίου,</w:t>
      </w:r>
    </w:p>
    <w:p w14:paraId="11C1AACB" w14:textId="77777777" w:rsidR="0018433B" w:rsidRPr="00B51852" w:rsidRDefault="0018433B" w:rsidP="0018433B">
      <w:pPr>
        <w:pStyle w:val="Style"/>
        <w:widowControl/>
        <w:ind w:left="720"/>
        <w:jc w:val="both"/>
        <w:textAlignment w:val="baseline"/>
        <w:rPr>
          <w:szCs w:val="25"/>
        </w:rPr>
      </w:pPr>
      <w:r w:rsidRPr="00B51852">
        <w:rPr>
          <w:szCs w:val="25"/>
        </w:rPr>
        <w:t>49c</w:t>
      </w:r>
      <w:r>
        <w:rPr>
          <w:szCs w:val="25"/>
        </w:rPr>
        <w:tab/>
      </w:r>
      <w:r w:rsidRPr="00CE06CA">
        <w:rPr>
          <w:bCs/>
          <w:szCs w:val="22"/>
          <w:lang w:val="el-GR"/>
        </w:rPr>
        <w:t>ᾗ προσέρηξεν ὁ ποταμός,</w:t>
      </w:r>
    </w:p>
    <w:p w14:paraId="4DC1E604" w14:textId="77777777" w:rsidR="0018433B" w:rsidRDefault="0018433B" w:rsidP="0018433B">
      <w:pPr>
        <w:pStyle w:val="Style"/>
        <w:widowControl/>
        <w:ind w:left="720"/>
        <w:jc w:val="both"/>
        <w:textAlignment w:val="baseline"/>
        <w:rPr>
          <w:bCs/>
          <w:szCs w:val="22"/>
        </w:rPr>
      </w:pPr>
      <w:r w:rsidRPr="00B51852">
        <w:rPr>
          <w:szCs w:val="25"/>
        </w:rPr>
        <w:t>49d</w:t>
      </w:r>
      <w:r>
        <w:rPr>
          <w:szCs w:val="25"/>
        </w:rPr>
        <w:tab/>
      </w:r>
      <w:r w:rsidRPr="00CE06CA">
        <w:rPr>
          <w:bCs/>
          <w:szCs w:val="22"/>
          <w:lang w:val="el-GR"/>
        </w:rPr>
        <w:t>καὶ εὐθὺς συνέπεσεν</w:t>
      </w:r>
    </w:p>
    <w:p w14:paraId="22A2111B" w14:textId="77777777" w:rsidR="0018433B" w:rsidRPr="008C46F4" w:rsidRDefault="0018433B" w:rsidP="0018433B">
      <w:pPr>
        <w:pStyle w:val="Style"/>
        <w:widowControl/>
        <w:ind w:left="720"/>
        <w:jc w:val="both"/>
        <w:textAlignment w:val="baseline"/>
        <w:rPr>
          <w:iCs/>
          <w:szCs w:val="26"/>
        </w:rPr>
      </w:pPr>
      <w:r>
        <w:rPr>
          <w:bCs/>
          <w:szCs w:val="22"/>
        </w:rPr>
        <w:lastRenderedPageBreak/>
        <w:t>49e</w:t>
      </w:r>
      <w:r>
        <w:rPr>
          <w:bCs/>
          <w:szCs w:val="22"/>
        </w:rPr>
        <w:tab/>
      </w:r>
      <w:r w:rsidRPr="00CE06CA">
        <w:rPr>
          <w:bCs/>
          <w:szCs w:val="22"/>
          <w:lang w:val="el-GR"/>
        </w:rPr>
        <w:t>καὶ ἐγένετο τὸ ῥῆγμα τῆς οἰκίας ἐκείνης μέγα.</w:t>
      </w:r>
    </w:p>
    <w:p w14:paraId="3E76F0A1" w14:textId="77777777" w:rsidR="0018433B" w:rsidRDefault="0018433B" w:rsidP="0018433B">
      <w:pPr>
        <w:pStyle w:val="Style"/>
        <w:widowControl/>
        <w:jc w:val="both"/>
        <w:textAlignment w:val="baseline"/>
        <w:rPr>
          <w:szCs w:val="25"/>
        </w:rPr>
      </w:pPr>
    </w:p>
    <w:p w14:paraId="73FA36B0" w14:textId="77777777" w:rsidR="0018433B" w:rsidRPr="00B51852" w:rsidRDefault="0018433B" w:rsidP="0018433B">
      <w:pPr>
        <w:pStyle w:val="Style"/>
        <w:widowControl/>
        <w:ind w:left="720"/>
        <w:jc w:val="both"/>
        <w:textAlignment w:val="baseline"/>
        <w:rPr>
          <w:szCs w:val="25"/>
        </w:rPr>
      </w:pPr>
      <w:r>
        <w:rPr>
          <w:szCs w:val="25"/>
        </w:rPr>
        <w:t>47a</w:t>
      </w:r>
      <w:r>
        <w:rPr>
          <w:szCs w:val="25"/>
        </w:rPr>
        <w:tab/>
      </w:r>
      <w:r w:rsidRPr="00CD75A6">
        <w:t>I will show you what someone is like</w:t>
      </w:r>
    </w:p>
    <w:p w14:paraId="6110F4D9" w14:textId="4D4832F8" w:rsidR="0018433B" w:rsidRPr="00B51852" w:rsidRDefault="0018433B" w:rsidP="0018433B">
      <w:pPr>
        <w:pStyle w:val="Style"/>
        <w:widowControl/>
        <w:ind w:left="720"/>
        <w:jc w:val="both"/>
        <w:textAlignment w:val="baseline"/>
        <w:rPr>
          <w:szCs w:val="25"/>
        </w:rPr>
      </w:pPr>
      <w:r w:rsidRPr="00B51852">
        <w:rPr>
          <w:szCs w:val="25"/>
        </w:rPr>
        <w:t>47b</w:t>
      </w:r>
      <w:r>
        <w:rPr>
          <w:szCs w:val="25"/>
        </w:rPr>
        <w:tab/>
      </w:r>
      <w:r w:rsidRPr="00CD75A6">
        <w:t>who comes to me</w:t>
      </w:r>
      <w:r w:rsidR="006F304D" w:rsidRPr="006F304D">
        <w:t xml:space="preserve">, </w:t>
      </w:r>
      <w:r w:rsidRPr="00CD75A6">
        <w:t>hears my words</w:t>
      </w:r>
      <w:r w:rsidR="006F304D" w:rsidRPr="006F304D">
        <w:t xml:space="preserve">, </w:t>
      </w:r>
      <w:r w:rsidRPr="00CD75A6">
        <w:t>and acts on them.</w:t>
      </w:r>
    </w:p>
    <w:p w14:paraId="628E0CDC" w14:textId="77777777" w:rsidR="0018433B" w:rsidRPr="00B51852" w:rsidRDefault="0018433B" w:rsidP="0018433B">
      <w:pPr>
        <w:pStyle w:val="Style"/>
        <w:widowControl/>
        <w:ind w:left="720"/>
        <w:jc w:val="both"/>
        <w:textAlignment w:val="baseline"/>
        <w:rPr>
          <w:szCs w:val="25"/>
        </w:rPr>
      </w:pPr>
      <w:r w:rsidRPr="00B51852">
        <w:rPr>
          <w:szCs w:val="25"/>
        </w:rPr>
        <w:t>48a</w:t>
      </w:r>
      <w:r>
        <w:rPr>
          <w:szCs w:val="25"/>
        </w:rPr>
        <w:tab/>
      </w:r>
      <w:r w:rsidRPr="00CD75A6">
        <w:t>That one is like a man building a house,</w:t>
      </w:r>
    </w:p>
    <w:p w14:paraId="7E904090" w14:textId="77777777" w:rsidR="0018433B" w:rsidRPr="00B51852" w:rsidRDefault="0018433B" w:rsidP="0018433B">
      <w:pPr>
        <w:pStyle w:val="Style"/>
        <w:widowControl/>
        <w:ind w:left="720"/>
        <w:jc w:val="both"/>
        <w:textAlignment w:val="baseline"/>
        <w:rPr>
          <w:iCs/>
          <w:szCs w:val="23"/>
        </w:rPr>
      </w:pPr>
      <w:r w:rsidRPr="00B51852">
        <w:rPr>
          <w:szCs w:val="25"/>
        </w:rPr>
        <w:t>48b</w:t>
      </w:r>
      <w:r>
        <w:rPr>
          <w:rFonts w:eastAsia="Arial"/>
          <w:szCs w:val="37"/>
        </w:rPr>
        <w:tab/>
      </w:r>
      <w:r w:rsidRPr="00CD75A6">
        <w:t>who dug deeply and laid the foundation on rock;</w:t>
      </w:r>
    </w:p>
    <w:p w14:paraId="7F09E30C" w14:textId="306FD215" w:rsidR="0018433B" w:rsidRPr="00B51852" w:rsidRDefault="0018433B" w:rsidP="0018433B">
      <w:pPr>
        <w:pStyle w:val="Style"/>
        <w:widowControl/>
        <w:ind w:left="720"/>
        <w:jc w:val="both"/>
        <w:textAlignment w:val="baseline"/>
        <w:rPr>
          <w:szCs w:val="25"/>
        </w:rPr>
      </w:pPr>
      <w:r w:rsidRPr="00B51852">
        <w:rPr>
          <w:szCs w:val="25"/>
        </w:rPr>
        <w:t>48c</w:t>
      </w:r>
      <w:r>
        <w:rPr>
          <w:szCs w:val="25"/>
        </w:rPr>
        <w:tab/>
      </w:r>
      <w:r w:rsidRPr="00CD75A6">
        <w:t>when a flood arose</w:t>
      </w:r>
      <w:r w:rsidR="006F304D" w:rsidRPr="006F304D">
        <w:t xml:space="preserve">, </w:t>
      </w:r>
      <w:r w:rsidRPr="00CD75A6">
        <w:t>the river burst against that house</w:t>
      </w:r>
    </w:p>
    <w:p w14:paraId="3958449D" w14:textId="13B8311B" w:rsidR="0018433B" w:rsidRPr="00B51852" w:rsidRDefault="0018433B" w:rsidP="0018433B">
      <w:pPr>
        <w:pStyle w:val="Style"/>
        <w:widowControl/>
        <w:ind w:left="720"/>
        <w:jc w:val="both"/>
        <w:textAlignment w:val="baseline"/>
        <w:rPr>
          <w:rFonts w:eastAsia="Arial"/>
          <w:szCs w:val="22"/>
        </w:rPr>
      </w:pPr>
      <w:r w:rsidRPr="00B51852">
        <w:rPr>
          <w:szCs w:val="25"/>
        </w:rPr>
        <w:t>48d</w:t>
      </w:r>
      <w:r>
        <w:rPr>
          <w:szCs w:val="25"/>
        </w:rPr>
        <w:tab/>
      </w:r>
      <w:r w:rsidRPr="00CD75A6">
        <w:t>but could not shake it</w:t>
      </w:r>
      <w:r w:rsidR="006F304D" w:rsidRPr="006F304D">
        <w:t xml:space="preserve">, </w:t>
      </w:r>
      <w:r w:rsidRPr="00CD75A6">
        <w:t>because it had been well built.</w:t>
      </w:r>
    </w:p>
    <w:p w14:paraId="0A4CFB41" w14:textId="77777777" w:rsidR="0018433B" w:rsidRPr="00B51852" w:rsidRDefault="0018433B" w:rsidP="0018433B">
      <w:pPr>
        <w:pStyle w:val="Style"/>
        <w:widowControl/>
        <w:ind w:left="720"/>
        <w:jc w:val="both"/>
        <w:textAlignment w:val="baseline"/>
        <w:rPr>
          <w:szCs w:val="25"/>
        </w:rPr>
      </w:pPr>
      <w:r w:rsidRPr="00B51852">
        <w:rPr>
          <w:szCs w:val="25"/>
        </w:rPr>
        <w:t>49a</w:t>
      </w:r>
      <w:r>
        <w:rPr>
          <w:szCs w:val="36"/>
        </w:rPr>
        <w:tab/>
      </w:r>
      <w:r w:rsidRPr="00CD75A6">
        <w:t>But the one who hears and does not act is like a man</w:t>
      </w:r>
    </w:p>
    <w:p w14:paraId="464F9347" w14:textId="77777777" w:rsidR="0018433B" w:rsidRPr="00B51852" w:rsidRDefault="0018433B" w:rsidP="0018433B">
      <w:pPr>
        <w:pStyle w:val="Style"/>
        <w:widowControl/>
        <w:ind w:left="720"/>
        <w:jc w:val="both"/>
        <w:textAlignment w:val="baseline"/>
        <w:rPr>
          <w:iCs/>
          <w:szCs w:val="26"/>
        </w:rPr>
      </w:pPr>
      <w:r w:rsidRPr="00B51852">
        <w:rPr>
          <w:szCs w:val="25"/>
        </w:rPr>
        <w:t>49b</w:t>
      </w:r>
      <w:r>
        <w:rPr>
          <w:rFonts w:eastAsia="Arial"/>
          <w:szCs w:val="33"/>
        </w:rPr>
        <w:tab/>
      </w:r>
      <w:r w:rsidRPr="00CD75A6">
        <w:t>who built a house on the ground without a foundation.</w:t>
      </w:r>
    </w:p>
    <w:p w14:paraId="75D1DA24" w14:textId="77777777" w:rsidR="0018433B" w:rsidRPr="00B51852" w:rsidRDefault="0018433B" w:rsidP="0018433B">
      <w:pPr>
        <w:pStyle w:val="Style"/>
        <w:widowControl/>
        <w:ind w:left="720"/>
        <w:jc w:val="both"/>
        <w:textAlignment w:val="baseline"/>
        <w:rPr>
          <w:szCs w:val="25"/>
        </w:rPr>
      </w:pPr>
      <w:r w:rsidRPr="00B51852">
        <w:rPr>
          <w:szCs w:val="25"/>
        </w:rPr>
        <w:t>49c</w:t>
      </w:r>
      <w:r>
        <w:rPr>
          <w:szCs w:val="25"/>
        </w:rPr>
        <w:tab/>
      </w:r>
      <w:r w:rsidRPr="00CD75A6">
        <w:t>When the river burst against it,</w:t>
      </w:r>
    </w:p>
    <w:p w14:paraId="0EAA7EA2" w14:textId="77777777" w:rsidR="0018433B" w:rsidRDefault="0018433B" w:rsidP="0018433B">
      <w:pPr>
        <w:pStyle w:val="Style"/>
        <w:widowControl/>
        <w:ind w:left="720"/>
        <w:jc w:val="both"/>
        <w:textAlignment w:val="baseline"/>
        <w:rPr>
          <w:szCs w:val="25"/>
        </w:rPr>
      </w:pPr>
      <w:r w:rsidRPr="00B51852">
        <w:rPr>
          <w:szCs w:val="25"/>
        </w:rPr>
        <w:t>49d</w:t>
      </w:r>
      <w:r>
        <w:rPr>
          <w:szCs w:val="25"/>
        </w:rPr>
        <w:tab/>
      </w:r>
      <w:r w:rsidRPr="00CD75A6">
        <w:t>immediately it fell,</w:t>
      </w:r>
    </w:p>
    <w:p w14:paraId="3DC8C187" w14:textId="77777777" w:rsidR="0018433B" w:rsidRPr="00B51852" w:rsidRDefault="0018433B" w:rsidP="0018433B">
      <w:pPr>
        <w:pStyle w:val="Style"/>
        <w:widowControl/>
        <w:ind w:left="720"/>
        <w:jc w:val="both"/>
        <w:textAlignment w:val="baseline"/>
        <w:rPr>
          <w:iCs/>
          <w:szCs w:val="26"/>
        </w:rPr>
      </w:pPr>
      <w:r>
        <w:rPr>
          <w:szCs w:val="25"/>
        </w:rPr>
        <w:t>49e</w:t>
      </w:r>
      <w:r>
        <w:rPr>
          <w:szCs w:val="25"/>
        </w:rPr>
        <w:tab/>
      </w:r>
      <w:r w:rsidRPr="00CD75A6">
        <w:t>and gr</w:t>
      </w:r>
      <w:r>
        <w:t>eat was the ruin of that house.</w:t>
      </w:r>
    </w:p>
    <w:p w14:paraId="59B5261E" w14:textId="77777777" w:rsidR="0018433B" w:rsidRPr="00B51852" w:rsidRDefault="0018433B" w:rsidP="0018433B">
      <w:pPr>
        <w:pStyle w:val="Style"/>
        <w:widowControl/>
        <w:jc w:val="both"/>
        <w:textAlignment w:val="baseline"/>
        <w:rPr>
          <w:szCs w:val="25"/>
        </w:rPr>
      </w:pPr>
    </w:p>
    <w:p w14:paraId="15843115" w14:textId="73723CC4" w:rsidR="0018433B" w:rsidRPr="00B51852" w:rsidRDefault="0018433B" w:rsidP="0018433B">
      <w:pPr>
        <w:pStyle w:val="Style"/>
        <w:widowControl/>
        <w:jc w:val="both"/>
        <w:textAlignment w:val="baseline"/>
        <w:rPr>
          <w:szCs w:val="25"/>
        </w:rPr>
      </w:pPr>
      <w:r>
        <w:rPr>
          <w:szCs w:val="25"/>
        </w:rPr>
        <w:tab/>
      </w:r>
      <w:r w:rsidRPr="00B51852">
        <w:rPr>
          <w:szCs w:val="25"/>
        </w:rPr>
        <w:t>The parable divides easily into two halves</w:t>
      </w:r>
      <w:r w:rsidR="006F304D" w:rsidRPr="006F304D">
        <w:rPr>
          <w:szCs w:val="25"/>
        </w:rPr>
        <w:t xml:space="preserve">, </w:t>
      </w:r>
      <w:r w:rsidRPr="00B51852">
        <w:rPr>
          <w:szCs w:val="25"/>
        </w:rPr>
        <w:t>each referring to approximately the same ac</w:t>
      </w:r>
      <w:r w:rsidRPr="008C46F4">
        <w:rPr>
          <w:szCs w:val="25"/>
        </w:rPr>
        <w:t xml:space="preserve">tions in the same sequence: ‘hear” and </w:t>
      </w:r>
      <w:r w:rsidRPr="008C46F4">
        <w:rPr>
          <w:iCs/>
        </w:rPr>
        <w:t>do,” “</w:t>
      </w:r>
      <w:r w:rsidRPr="008C46F4">
        <w:rPr>
          <w:szCs w:val="25"/>
        </w:rPr>
        <w:t xml:space="preserve">building a house,” “the stream broke,” the survival </w:t>
      </w:r>
      <w:r w:rsidRPr="00B51852">
        <w:rPr>
          <w:szCs w:val="25"/>
        </w:rPr>
        <w:t>or fall of the house.</w:t>
      </w:r>
    </w:p>
    <w:p w14:paraId="0B5BA07D" w14:textId="667FD98F" w:rsidR="0018433B" w:rsidRPr="00B51852" w:rsidRDefault="0018433B" w:rsidP="0018433B">
      <w:pPr>
        <w:pStyle w:val="Style"/>
        <w:widowControl/>
        <w:jc w:val="both"/>
        <w:textAlignment w:val="baseline"/>
        <w:rPr>
          <w:rFonts w:eastAsia="Arial"/>
          <w:szCs w:val="21"/>
        </w:rPr>
      </w:pPr>
      <w:r>
        <w:rPr>
          <w:szCs w:val="25"/>
        </w:rPr>
        <w:tab/>
      </w:r>
      <w:r w:rsidRPr="00B51852">
        <w:rPr>
          <w:szCs w:val="25"/>
        </w:rPr>
        <w:t xml:space="preserve">There are differences between the two halves as well. (1) The first half </w:t>
      </w:r>
      <w:r w:rsidRPr="004C516D">
        <w:rPr>
          <w:szCs w:val="25"/>
        </w:rPr>
        <w:t>(</w:t>
      </w:r>
      <w:r>
        <w:rPr>
          <w:szCs w:val="25"/>
        </w:rPr>
        <w:t xml:space="preserve">47a) </w:t>
      </w:r>
      <w:r w:rsidRPr="00B51852">
        <w:rPr>
          <w:szCs w:val="25"/>
        </w:rPr>
        <w:t xml:space="preserve">begins </w:t>
      </w:r>
      <w:r>
        <w:rPr>
          <w:szCs w:val="25"/>
        </w:rPr>
        <w:t>with a reference to</w:t>
      </w:r>
      <w:r w:rsidRPr="00B51852">
        <w:rPr>
          <w:szCs w:val="25"/>
        </w:rPr>
        <w:t xml:space="preserve"> </w:t>
      </w:r>
      <w:r w:rsidRPr="00FF03AB">
        <w:rPr>
          <w:szCs w:val="25"/>
        </w:rPr>
        <w:t>“</w:t>
      </w:r>
      <w:r>
        <w:rPr>
          <w:szCs w:val="25"/>
        </w:rPr>
        <w:t xml:space="preserve">someone . . . </w:t>
      </w:r>
      <w:r w:rsidRPr="00CD75A6">
        <w:t>who comes to me</w:t>
      </w:r>
      <w:r w:rsidR="006F304D" w:rsidRPr="006F304D">
        <w:t xml:space="preserve">, </w:t>
      </w:r>
      <w:r w:rsidRPr="00CD75A6">
        <w:t xml:space="preserve">hears my </w:t>
      </w:r>
      <w:r>
        <w:t>words</w:t>
      </w:r>
      <w:r w:rsidR="006F304D" w:rsidRPr="006F304D">
        <w:t xml:space="preserve">, </w:t>
      </w:r>
      <w:r>
        <w:t>and acts on them</w:t>
      </w:r>
      <w:r w:rsidRPr="00B51852">
        <w:rPr>
          <w:szCs w:val="25"/>
        </w:rPr>
        <w:t xml:space="preserve">”; the second half begins </w:t>
      </w:r>
      <w:r w:rsidRPr="004C516D">
        <w:rPr>
          <w:szCs w:val="25"/>
        </w:rPr>
        <w:t>(</w:t>
      </w:r>
      <w:r w:rsidRPr="00B51852">
        <w:rPr>
          <w:szCs w:val="25"/>
        </w:rPr>
        <w:t>49a</w:t>
      </w:r>
      <w:r w:rsidRPr="004C516D">
        <w:rPr>
          <w:szCs w:val="25"/>
        </w:rPr>
        <w:t>)</w:t>
      </w:r>
      <w:r>
        <w:rPr>
          <w:szCs w:val="25"/>
        </w:rPr>
        <w:t xml:space="preserve"> begins with a reference to</w:t>
      </w:r>
      <w:r w:rsidRPr="00B51852">
        <w:rPr>
          <w:szCs w:val="25"/>
        </w:rPr>
        <w:t xml:space="preserve"> “</w:t>
      </w:r>
      <w:r w:rsidRPr="00CD75A6">
        <w:t>the one who hears and does not act</w:t>
      </w:r>
      <w:r>
        <w:t xml:space="preserve"> . . .” </w:t>
      </w:r>
      <w:r w:rsidRPr="00FF03AB">
        <w:rPr>
          <w:szCs w:val="25"/>
        </w:rPr>
        <w:t>“</w:t>
      </w:r>
      <w:r w:rsidRPr="00B51852">
        <w:rPr>
          <w:szCs w:val="25"/>
        </w:rPr>
        <w:t>Comes to me</w:t>
      </w:r>
      <w:r w:rsidRPr="00FF03AB">
        <w:rPr>
          <w:szCs w:val="25"/>
        </w:rPr>
        <w:t>”</w:t>
      </w:r>
      <w:r w:rsidRPr="00B51852">
        <w:rPr>
          <w:szCs w:val="25"/>
        </w:rPr>
        <w:t xml:space="preserve"> in 47a suggests </w:t>
      </w:r>
      <w:r>
        <w:rPr>
          <w:szCs w:val="25"/>
        </w:rPr>
        <w:t xml:space="preserve">an </w:t>
      </w:r>
      <w:r w:rsidRPr="00B51852">
        <w:rPr>
          <w:szCs w:val="25"/>
        </w:rPr>
        <w:t>addition directed at potential converts.</w:t>
      </w:r>
      <w:r>
        <w:rPr>
          <w:rStyle w:val="FootnoteReference"/>
          <w:szCs w:val="25"/>
        </w:rPr>
        <w:footnoteReference w:id="530"/>
      </w:r>
      <w:r>
        <w:rPr>
          <w:szCs w:val="25"/>
        </w:rPr>
        <w:t xml:space="preserve"> (</w:t>
      </w:r>
      <w:r w:rsidRPr="00B51852">
        <w:rPr>
          <w:szCs w:val="25"/>
        </w:rPr>
        <w:t>2) Construction of the well-built house is more detailed than construction of the ill-built house</w:t>
      </w:r>
      <w:r w:rsidR="006F304D" w:rsidRPr="006F304D">
        <w:rPr>
          <w:szCs w:val="25"/>
        </w:rPr>
        <w:t xml:space="preserve">, </w:t>
      </w:r>
      <w:r w:rsidRPr="00B51852">
        <w:rPr>
          <w:szCs w:val="25"/>
        </w:rPr>
        <w:t xml:space="preserve">the chief difference being the addition of </w:t>
      </w:r>
      <w:proofErr w:type="spellStart"/>
      <w:r>
        <w:rPr>
          <w:szCs w:val="25"/>
        </w:rPr>
        <w:t>σκά</w:t>
      </w:r>
      <w:proofErr w:type="spellEnd"/>
      <w:r>
        <w:rPr>
          <w:szCs w:val="25"/>
        </w:rPr>
        <w:t>πω</w:t>
      </w:r>
      <w:r>
        <w:rPr>
          <w:rFonts w:eastAsia="Arial"/>
          <w:szCs w:val="22"/>
        </w:rPr>
        <w:t xml:space="preserve"> </w:t>
      </w:r>
      <w:r w:rsidRPr="00B51852">
        <w:rPr>
          <w:rFonts w:eastAsia="Arial"/>
          <w:szCs w:val="22"/>
        </w:rPr>
        <w:t>(</w:t>
      </w:r>
      <w:r w:rsidRPr="00B51852">
        <w:rPr>
          <w:szCs w:val="25"/>
        </w:rPr>
        <w:t xml:space="preserve">“dig”) and </w:t>
      </w:r>
      <w:r>
        <w:rPr>
          <w:szCs w:val="25"/>
        </w:rPr>
        <w:t>βα</w:t>
      </w:r>
      <w:proofErr w:type="spellStart"/>
      <w:r>
        <w:rPr>
          <w:szCs w:val="25"/>
        </w:rPr>
        <w:t>θύω</w:t>
      </w:r>
      <w:proofErr w:type="spellEnd"/>
      <w:r>
        <w:rPr>
          <w:szCs w:val="25"/>
        </w:rPr>
        <w:t xml:space="preserve"> (“</w:t>
      </w:r>
      <w:r w:rsidRPr="00B51852">
        <w:rPr>
          <w:szCs w:val="25"/>
        </w:rPr>
        <w:t>deepen</w:t>
      </w:r>
      <w:r w:rsidRPr="00FF03AB">
        <w:rPr>
          <w:szCs w:val="25"/>
        </w:rPr>
        <w:t>”</w:t>
      </w:r>
      <w:r w:rsidRPr="00B51852">
        <w:rPr>
          <w:szCs w:val="25"/>
        </w:rPr>
        <w:t>) in 48b.</w:t>
      </w:r>
      <w:r>
        <w:rPr>
          <w:rStyle w:val="FootnoteReference"/>
          <w:szCs w:val="25"/>
        </w:rPr>
        <w:footnoteReference w:id="531"/>
      </w:r>
      <w:r>
        <w:rPr>
          <w:szCs w:val="25"/>
        </w:rPr>
        <w:t xml:space="preserve"> (</w:t>
      </w:r>
      <w:r w:rsidRPr="00B51852">
        <w:rPr>
          <w:szCs w:val="25"/>
        </w:rPr>
        <w:t>3) The description of the water’s arrival in 48c is fuller</w:t>
      </w:r>
      <w:r>
        <w:rPr>
          <w:szCs w:val="25"/>
        </w:rPr>
        <w:t xml:space="preserve"> </w:t>
      </w:r>
      <w:r w:rsidRPr="00B51852">
        <w:rPr>
          <w:szCs w:val="25"/>
        </w:rPr>
        <w:t>than the description in 49b</w:t>
      </w:r>
      <w:r w:rsidR="006F304D" w:rsidRPr="006F304D">
        <w:rPr>
          <w:szCs w:val="25"/>
        </w:rPr>
        <w:t xml:space="preserve">, </w:t>
      </w:r>
      <w:r w:rsidRPr="00B51852">
        <w:rPr>
          <w:szCs w:val="25"/>
        </w:rPr>
        <w:t>primarily because 48c adds the phrase</w:t>
      </w:r>
      <w:r w:rsidR="006F304D" w:rsidRPr="006F304D">
        <w:rPr>
          <w:szCs w:val="25"/>
        </w:rPr>
        <w:t xml:space="preserve">, </w:t>
      </w:r>
      <w:r w:rsidRPr="00873AEB">
        <w:rPr>
          <w:szCs w:val="25"/>
        </w:rPr>
        <w:t>π</w:t>
      </w:r>
      <w:proofErr w:type="spellStart"/>
      <w:r w:rsidRPr="00873AEB">
        <w:rPr>
          <w:szCs w:val="25"/>
        </w:rPr>
        <w:t>λημμύρης</w:t>
      </w:r>
      <w:proofErr w:type="spellEnd"/>
      <w:r w:rsidRPr="00873AEB">
        <w:rPr>
          <w:szCs w:val="25"/>
        </w:rPr>
        <w:t xml:space="preserve"> </w:t>
      </w:r>
      <w:proofErr w:type="spellStart"/>
      <w:r w:rsidRPr="00873AEB">
        <w:rPr>
          <w:szCs w:val="25"/>
        </w:rPr>
        <w:t>δὲ</w:t>
      </w:r>
      <w:proofErr w:type="spellEnd"/>
      <w:r w:rsidRPr="00873AEB">
        <w:rPr>
          <w:szCs w:val="25"/>
        </w:rPr>
        <w:t xml:space="preserve"> </w:t>
      </w:r>
      <w:proofErr w:type="spellStart"/>
      <w:r w:rsidRPr="00873AEB">
        <w:rPr>
          <w:szCs w:val="25"/>
        </w:rPr>
        <w:t>γενομένης</w:t>
      </w:r>
      <w:proofErr w:type="spellEnd"/>
      <w:r w:rsidRPr="00873AEB">
        <w:rPr>
          <w:szCs w:val="25"/>
        </w:rPr>
        <w:t xml:space="preserve"> π</w:t>
      </w:r>
      <w:proofErr w:type="spellStart"/>
      <w:r w:rsidRPr="00873AEB">
        <w:rPr>
          <w:szCs w:val="25"/>
        </w:rPr>
        <w:t>ροσέρηξεν</w:t>
      </w:r>
      <w:proofErr w:type="spellEnd"/>
      <w:r w:rsidRPr="00873AEB">
        <w:rPr>
          <w:szCs w:val="25"/>
        </w:rPr>
        <w:t xml:space="preserve"> ὁ π</w:t>
      </w:r>
      <w:proofErr w:type="spellStart"/>
      <w:r w:rsidRPr="00873AEB">
        <w:rPr>
          <w:szCs w:val="25"/>
        </w:rPr>
        <w:t>οτ</w:t>
      </w:r>
      <w:proofErr w:type="spellEnd"/>
      <w:r w:rsidRPr="00873AEB">
        <w:rPr>
          <w:szCs w:val="25"/>
        </w:rPr>
        <w:t>αμὸς</w:t>
      </w:r>
      <w:r>
        <w:rPr>
          <w:szCs w:val="25"/>
        </w:rPr>
        <w:t xml:space="preserve"> </w:t>
      </w:r>
      <w:r w:rsidRPr="00B51852">
        <w:rPr>
          <w:szCs w:val="25"/>
        </w:rPr>
        <w:t>(</w:t>
      </w:r>
      <w:r>
        <w:rPr>
          <w:szCs w:val="25"/>
        </w:rPr>
        <w:t>“</w:t>
      </w:r>
      <w:r w:rsidRPr="00B51852">
        <w:rPr>
          <w:szCs w:val="25"/>
        </w:rPr>
        <w:t>when a flood arose</w:t>
      </w:r>
      <w:r>
        <w:rPr>
          <w:szCs w:val="25"/>
        </w:rPr>
        <w:t>”</w:t>
      </w:r>
      <w:r w:rsidRPr="00B51852">
        <w:rPr>
          <w:szCs w:val="25"/>
        </w:rPr>
        <w:t>)</w:t>
      </w:r>
      <w:r>
        <w:rPr>
          <w:szCs w:val="25"/>
        </w:rPr>
        <w:t>.</w:t>
      </w:r>
      <w:r>
        <w:rPr>
          <w:rStyle w:val="FootnoteReference"/>
          <w:szCs w:val="25"/>
        </w:rPr>
        <w:footnoteReference w:id="532"/>
      </w:r>
      <w:r>
        <w:rPr>
          <w:szCs w:val="25"/>
        </w:rPr>
        <w:t xml:space="preserve"> </w:t>
      </w:r>
      <w:r w:rsidRPr="00B51852">
        <w:rPr>
          <w:szCs w:val="25"/>
        </w:rPr>
        <w:t xml:space="preserve">(4) Verse 48 ends with the rather </w:t>
      </w:r>
      <w:r w:rsidRPr="00B51852">
        <w:rPr>
          <w:szCs w:val="25"/>
        </w:rPr>
        <w:lastRenderedPageBreak/>
        <w:t>redundant phrase</w:t>
      </w:r>
      <w:r w:rsidR="006F304D" w:rsidRPr="006F304D">
        <w:rPr>
          <w:szCs w:val="25"/>
        </w:rPr>
        <w:t xml:space="preserve">, </w:t>
      </w:r>
      <w:r w:rsidRPr="00B51852">
        <w:rPr>
          <w:szCs w:val="25"/>
        </w:rPr>
        <w:t>“because it had been well built</w:t>
      </w:r>
      <w:r>
        <w:rPr>
          <w:szCs w:val="25"/>
        </w:rPr>
        <w:t>.</w:t>
      </w:r>
      <w:r w:rsidRPr="00FF03AB">
        <w:rPr>
          <w:szCs w:val="11"/>
        </w:rPr>
        <w:t>”</w:t>
      </w:r>
      <w:r>
        <w:rPr>
          <w:rStyle w:val="FootnoteReference"/>
          <w:szCs w:val="11"/>
        </w:rPr>
        <w:footnoteReference w:id="533"/>
      </w:r>
      <w:r w:rsidRPr="00B51852">
        <w:rPr>
          <w:szCs w:val="11"/>
        </w:rPr>
        <w:t xml:space="preserve"> </w:t>
      </w:r>
      <w:r w:rsidRPr="00B51852">
        <w:rPr>
          <w:szCs w:val="25"/>
        </w:rPr>
        <w:t>Verse 49</w:t>
      </w:r>
      <w:r w:rsidR="006F304D" w:rsidRPr="006F304D">
        <w:rPr>
          <w:szCs w:val="25"/>
        </w:rPr>
        <w:t xml:space="preserve">, </w:t>
      </w:r>
      <w:r w:rsidRPr="00B51852">
        <w:rPr>
          <w:szCs w:val="25"/>
        </w:rPr>
        <w:t>on the other hand</w:t>
      </w:r>
      <w:r w:rsidR="006F304D" w:rsidRPr="006F304D">
        <w:rPr>
          <w:szCs w:val="25"/>
        </w:rPr>
        <w:t xml:space="preserve">, </w:t>
      </w:r>
      <w:r w:rsidRPr="00B51852">
        <w:rPr>
          <w:szCs w:val="25"/>
        </w:rPr>
        <w:t xml:space="preserve">ends rather skillfully on the emphatic </w:t>
      </w:r>
      <w:r w:rsidRPr="00CE06CA">
        <w:rPr>
          <w:bCs/>
          <w:szCs w:val="22"/>
          <w:lang w:val="el-GR"/>
        </w:rPr>
        <w:t>μέγα</w:t>
      </w:r>
      <w:r w:rsidRPr="00B51852">
        <w:rPr>
          <w:rFonts w:eastAsia="Arial"/>
          <w:szCs w:val="21"/>
        </w:rPr>
        <w:t>.</w:t>
      </w:r>
      <w:r>
        <w:rPr>
          <w:rStyle w:val="FootnoteReference"/>
          <w:rFonts w:eastAsia="Arial"/>
          <w:szCs w:val="21"/>
        </w:rPr>
        <w:footnoteReference w:id="534"/>
      </w:r>
    </w:p>
    <w:p w14:paraId="5528952E" w14:textId="52ED1579" w:rsidR="0018433B" w:rsidRDefault="0018433B" w:rsidP="0018433B">
      <w:pPr>
        <w:pStyle w:val="Style"/>
        <w:widowControl/>
        <w:jc w:val="both"/>
        <w:textAlignment w:val="baseline"/>
        <w:rPr>
          <w:szCs w:val="25"/>
        </w:rPr>
      </w:pPr>
      <w:r>
        <w:rPr>
          <w:szCs w:val="25"/>
        </w:rPr>
        <w:tab/>
      </w:r>
      <w:r w:rsidRPr="00B51852">
        <w:rPr>
          <w:szCs w:val="25"/>
        </w:rPr>
        <w:t>None of these differences is structurally significant. Aside from the contrast of the well-founded and ill-founded houses</w:t>
      </w:r>
      <w:r w:rsidR="006F304D" w:rsidRPr="006F304D">
        <w:rPr>
          <w:szCs w:val="25"/>
        </w:rPr>
        <w:t xml:space="preserve">, </w:t>
      </w:r>
      <w:r w:rsidRPr="00B51852">
        <w:rPr>
          <w:szCs w:val="25"/>
        </w:rPr>
        <w:t>there is no need to subdivide 47-49 further.</w:t>
      </w:r>
    </w:p>
    <w:p w14:paraId="10EFE147" w14:textId="77777777" w:rsidR="0018433B" w:rsidRPr="00B51852" w:rsidRDefault="0018433B" w:rsidP="0018433B">
      <w:pPr>
        <w:pStyle w:val="Style"/>
        <w:widowControl/>
        <w:jc w:val="both"/>
        <w:textAlignment w:val="baseline"/>
        <w:rPr>
          <w:szCs w:val="25"/>
        </w:rPr>
      </w:pPr>
    </w:p>
    <w:p w14:paraId="5DA212EB" w14:textId="77777777" w:rsidR="0018433B" w:rsidRPr="00B51852" w:rsidRDefault="0018433B" w:rsidP="0018433B">
      <w:pPr>
        <w:pStyle w:val="Style"/>
        <w:widowControl/>
        <w:tabs>
          <w:tab w:val="left" w:pos="3600"/>
          <w:tab w:val="left" w:pos="3960"/>
          <w:tab w:val="left" w:pos="4320"/>
        </w:tabs>
        <w:jc w:val="both"/>
        <w:textAlignment w:val="baseline"/>
        <w:rPr>
          <w:szCs w:val="25"/>
        </w:rPr>
      </w:pPr>
      <w:r>
        <w:rPr>
          <w:szCs w:val="25"/>
        </w:rPr>
        <w:tab/>
        <w:t>1.</w:t>
      </w:r>
      <w:r>
        <w:rPr>
          <w:szCs w:val="25"/>
        </w:rPr>
        <w:tab/>
      </w:r>
      <w:r w:rsidRPr="00B51852">
        <w:rPr>
          <w:szCs w:val="25"/>
        </w:rPr>
        <w:t>47-49</w:t>
      </w:r>
    </w:p>
    <w:p w14:paraId="2DBCAF11" w14:textId="77777777" w:rsidR="0018433B" w:rsidRPr="00B51852" w:rsidRDefault="0018433B" w:rsidP="0018433B">
      <w:pPr>
        <w:pStyle w:val="Style"/>
        <w:widowControl/>
        <w:tabs>
          <w:tab w:val="left" w:pos="3600"/>
          <w:tab w:val="left" w:pos="3960"/>
          <w:tab w:val="left" w:pos="4320"/>
        </w:tabs>
        <w:jc w:val="both"/>
        <w:textAlignment w:val="baseline"/>
        <w:rPr>
          <w:szCs w:val="25"/>
        </w:rPr>
      </w:pPr>
      <w:r>
        <w:rPr>
          <w:szCs w:val="25"/>
        </w:rPr>
        <w:tab/>
      </w:r>
      <w:r>
        <w:rPr>
          <w:szCs w:val="25"/>
        </w:rPr>
        <w:tab/>
        <w:t>a.</w:t>
      </w:r>
      <w:r>
        <w:rPr>
          <w:szCs w:val="25"/>
        </w:rPr>
        <w:tab/>
      </w:r>
      <w:r w:rsidRPr="00B51852">
        <w:rPr>
          <w:szCs w:val="25"/>
        </w:rPr>
        <w:t>47-48</w:t>
      </w:r>
    </w:p>
    <w:p w14:paraId="3A94F605" w14:textId="77777777" w:rsidR="0018433B" w:rsidRPr="00B51852" w:rsidRDefault="0018433B" w:rsidP="0018433B">
      <w:pPr>
        <w:pStyle w:val="Style"/>
        <w:widowControl/>
        <w:tabs>
          <w:tab w:val="left" w:pos="3600"/>
          <w:tab w:val="left" w:pos="3960"/>
          <w:tab w:val="left" w:pos="4320"/>
        </w:tabs>
        <w:jc w:val="both"/>
        <w:textAlignment w:val="baseline"/>
        <w:rPr>
          <w:szCs w:val="25"/>
        </w:rPr>
      </w:pPr>
      <w:r>
        <w:rPr>
          <w:szCs w:val="25"/>
        </w:rPr>
        <w:tab/>
      </w:r>
      <w:r>
        <w:rPr>
          <w:szCs w:val="25"/>
        </w:rPr>
        <w:tab/>
        <w:t>b.</w:t>
      </w:r>
      <w:r>
        <w:rPr>
          <w:szCs w:val="25"/>
        </w:rPr>
        <w:tab/>
      </w:r>
      <w:r w:rsidRPr="00B51852">
        <w:rPr>
          <w:szCs w:val="25"/>
        </w:rPr>
        <w:t>49</w:t>
      </w:r>
    </w:p>
    <w:p w14:paraId="7FAEE54B" w14:textId="77777777" w:rsidR="0018433B" w:rsidRPr="00B51852" w:rsidRDefault="0018433B" w:rsidP="0018433B">
      <w:pPr>
        <w:pStyle w:val="Style"/>
        <w:widowControl/>
        <w:jc w:val="both"/>
        <w:rPr>
          <w:szCs w:val="25"/>
        </w:rPr>
      </w:pPr>
    </w:p>
    <w:p w14:paraId="739F7963" w14:textId="0FDD4510" w:rsidR="0018433B" w:rsidRDefault="0018433B" w:rsidP="0018433B">
      <w:pPr>
        <w:pStyle w:val="Style"/>
        <w:widowControl/>
        <w:jc w:val="both"/>
        <w:textAlignment w:val="baseline"/>
        <w:rPr>
          <w:szCs w:val="25"/>
        </w:rPr>
      </w:pPr>
      <w:r>
        <w:rPr>
          <w:szCs w:val="25"/>
        </w:rPr>
        <w:tab/>
      </w:r>
      <w:r w:rsidRPr="00B51852">
        <w:rPr>
          <w:szCs w:val="25"/>
        </w:rPr>
        <w:t>We can now summarize our treatment of the units upon which all commentators agree</w:t>
      </w:r>
      <w:r w:rsidR="006F304D" w:rsidRPr="006F304D">
        <w:rPr>
          <w:szCs w:val="25"/>
        </w:rPr>
        <w:t xml:space="preserve">, </w:t>
      </w:r>
      <w:r w:rsidRPr="00B51852">
        <w:rPr>
          <w:szCs w:val="25"/>
        </w:rPr>
        <w:t>by listing together the conclusions we have reached. Putting in brackets the intervening verses that we have not yet considered</w:t>
      </w:r>
      <w:r w:rsidR="006F304D" w:rsidRPr="006F304D">
        <w:rPr>
          <w:szCs w:val="25"/>
        </w:rPr>
        <w:t xml:space="preserve">, </w:t>
      </w:r>
      <w:r w:rsidRPr="00B51852">
        <w:rPr>
          <w:szCs w:val="25"/>
        </w:rPr>
        <w:t>we obtain the following listin</w:t>
      </w:r>
      <w:r>
        <w:rPr>
          <w:szCs w:val="25"/>
        </w:rPr>
        <w:t>g (Figure 9.1).</w:t>
      </w:r>
    </w:p>
    <w:p w14:paraId="4800B0A4" w14:textId="77777777" w:rsidR="0018433B" w:rsidRDefault="0018433B" w:rsidP="0018433B">
      <w:pPr>
        <w:contextualSpacing/>
      </w:pPr>
    </w:p>
    <w:tbl>
      <w:tblPr>
        <w:tblStyle w:val="TableGrid"/>
        <w:tblW w:w="0" w:type="auto"/>
        <w:tblLayout w:type="fixed"/>
        <w:tblCellMar>
          <w:left w:w="115" w:type="dxa"/>
          <w:right w:w="115" w:type="dxa"/>
        </w:tblCellMar>
        <w:tblLook w:val="04A0" w:firstRow="1" w:lastRow="0" w:firstColumn="1" w:lastColumn="0" w:noHBand="0" w:noVBand="1"/>
      </w:tblPr>
      <w:tblGrid>
        <w:gridCol w:w="2394"/>
        <w:gridCol w:w="2394"/>
        <w:gridCol w:w="2394"/>
        <w:gridCol w:w="2394"/>
      </w:tblGrid>
      <w:tr w:rsidR="0018433B" w14:paraId="57F8BD09" w14:textId="77777777" w:rsidTr="00A44C2E">
        <w:tc>
          <w:tcPr>
            <w:tcW w:w="2394" w:type="dxa"/>
          </w:tcPr>
          <w:p w14:paraId="5D857026"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1.</w:t>
            </w:r>
            <w:r>
              <w:rPr>
                <w:szCs w:val="25"/>
              </w:rPr>
              <w:tab/>
            </w:r>
            <w:r w:rsidRPr="00B51852">
              <w:rPr>
                <w:szCs w:val="25"/>
              </w:rPr>
              <w:t>20a</w:t>
            </w:r>
          </w:p>
          <w:p w14:paraId="632C4336"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2.</w:t>
            </w:r>
            <w:r>
              <w:rPr>
                <w:szCs w:val="25"/>
              </w:rPr>
              <w:tab/>
            </w:r>
            <w:r w:rsidRPr="00B51852">
              <w:rPr>
                <w:szCs w:val="25"/>
              </w:rPr>
              <w:t>20</w:t>
            </w:r>
            <w:r>
              <w:rPr>
                <w:szCs w:val="25"/>
              </w:rPr>
              <w:t>b</w:t>
            </w:r>
            <w:r w:rsidRPr="00B51852">
              <w:rPr>
                <w:szCs w:val="25"/>
              </w:rPr>
              <w:t>-26</w:t>
            </w:r>
          </w:p>
          <w:p w14:paraId="341B4D8D"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t>1)</w:t>
            </w:r>
            <w:r>
              <w:rPr>
                <w:szCs w:val="25"/>
              </w:rPr>
              <w:tab/>
            </w:r>
            <w:r w:rsidRPr="00B51852">
              <w:rPr>
                <w:szCs w:val="25"/>
              </w:rPr>
              <w:t>20b-23</w:t>
            </w:r>
          </w:p>
          <w:p w14:paraId="167AF962"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t>a)</w:t>
            </w:r>
            <w:r>
              <w:rPr>
                <w:szCs w:val="25"/>
              </w:rPr>
              <w:tab/>
            </w:r>
            <w:r w:rsidRPr="00B51852">
              <w:rPr>
                <w:szCs w:val="25"/>
              </w:rPr>
              <w:t>20b-21</w:t>
            </w:r>
          </w:p>
          <w:p w14:paraId="06BDF24E" w14:textId="77777777" w:rsidR="0018433B"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t>(1)</w:t>
            </w:r>
            <w:r>
              <w:rPr>
                <w:szCs w:val="25"/>
              </w:rPr>
              <w:tab/>
              <w:t>20b</w:t>
            </w:r>
          </w:p>
          <w:p w14:paraId="40055BAC" w14:textId="77777777" w:rsidR="0018433B"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r>
            <w:r w:rsidRPr="00B51852">
              <w:rPr>
                <w:szCs w:val="25"/>
              </w:rPr>
              <w:t>(2)</w:t>
            </w:r>
            <w:r>
              <w:rPr>
                <w:szCs w:val="25"/>
              </w:rPr>
              <w:tab/>
              <w:t>21</w:t>
            </w:r>
          </w:p>
          <w:p w14:paraId="289ABE50"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t>b)</w:t>
            </w:r>
            <w:r>
              <w:rPr>
                <w:szCs w:val="25"/>
              </w:rPr>
              <w:tab/>
            </w:r>
            <w:r w:rsidRPr="00B51852">
              <w:rPr>
                <w:szCs w:val="25"/>
              </w:rPr>
              <w:t>22-23</w:t>
            </w:r>
          </w:p>
          <w:p w14:paraId="5383BAF5"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t>2)</w:t>
            </w:r>
            <w:r>
              <w:rPr>
                <w:szCs w:val="25"/>
              </w:rPr>
              <w:tab/>
            </w:r>
            <w:r w:rsidRPr="00B51852">
              <w:rPr>
                <w:szCs w:val="25"/>
              </w:rPr>
              <w:t>24-26</w:t>
            </w:r>
          </w:p>
          <w:p w14:paraId="7FA8362C"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t>a)</w:t>
            </w:r>
            <w:r>
              <w:rPr>
                <w:szCs w:val="25"/>
              </w:rPr>
              <w:tab/>
            </w:r>
            <w:r w:rsidRPr="00B51852">
              <w:rPr>
                <w:szCs w:val="25"/>
              </w:rPr>
              <w:t>24-25</w:t>
            </w:r>
          </w:p>
          <w:p w14:paraId="733328C6" w14:textId="77777777" w:rsidR="0018433B"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t>(1)</w:t>
            </w:r>
            <w:r>
              <w:rPr>
                <w:szCs w:val="25"/>
              </w:rPr>
              <w:tab/>
              <w:t>24</w:t>
            </w:r>
          </w:p>
          <w:p w14:paraId="0CB01843" w14:textId="77777777" w:rsidR="0018433B"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t>(2)</w:t>
            </w:r>
            <w:r>
              <w:rPr>
                <w:szCs w:val="25"/>
              </w:rPr>
              <w:tab/>
              <w:t>25</w:t>
            </w:r>
          </w:p>
          <w:p w14:paraId="5A9F7E35"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t>b)</w:t>
            </w:r>
            <w:r>
              <w:rPr>
                <w:szCs w:val="25"/>
              </w:rPr>
              <w:tab/>
            </w:r>
            <w:r w:rsidRPr="00B51852">
              <w:rPr>
                <w:szCs w:val="25"/>
              </w:rPr>
              <w:t>26</w:t>
            </w:r>
          </w:p>
          <w:p w14:paraId="33B9961D" w14:textId="77777777" w:rsidR="0018433B" w:rsidRDefault="0018433B" w:rsidP="00A44C2E">
            <w:pPr>
              <w:tabs>
                <w:tab w:val="left" w:pos="360"/>
                <w:tab w:val="left" w:pos="720"/>
                <w:tab w:val="left" w:pos="1080"/>
                <w:tab w:val="left" w:pos="1440"/>
                <w:tab w:val="left" w:pos="1800"/>
              </w:tabs>
              <w:contextualSpacing/>
            </w:pPr>
          </w:p>
          <w:p w14:paraId="71C0AEB9"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1.</w:t>
            </w:r>
            <w:r>
              <w:rPr>
                <w:szCs w:val="25"/>
              </w:rPr>
              <w:tab/>
            </w:r>
            <w:r w:rsidRPr="00B51852">
              <w:rPr>
                <w:szCs w:val="25"/>
              </w:rPr>
              <w:t>27-28</w:t>
            </w:r>
          </w:p>
          <w:p w14:paraId="07FBE765"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t>a.</w:t>
            </w:r>
            <w:r>
              <w:rPr>
                <w:szCs w:val="25"/>
              </w:rPr>
              <w:tab/>
            </w:r>
            <w:r w:rsidRPr="00B51852">
              <w:rPr>
                <w:szCs w:val="25"/>
              </w:rPr>
              <w:t>27a</w:t>
            </w:r>
          </w:p>
          <w:p w14:paraId="65E8CEA7"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t>b.</w:t>
            </w:r>
            <w:r>
              <w:rPr>
                <w:szCs w:val="25"/>
              </w:rPr>
              <w:tab/>
            </w:r>
            <w:r w:rsidRPr="00B51852">
              <w:rPr>
                <w:szCs w:val="25"/>
              </w:rPr>
              <w:t>27</w:t>
            </w:r>
            <w:r>
              <w:rPr>
                <w:szCs w:val="25"/>
              </w:rPr>
              <w:t>b</w:t>
            </w:r>
            <w:r w:rsidRPr="00B51852">
              <w:rPr>
                <w:szCs w:val="25"/>
              </w:rPr>
              <w:t>-28</w:t>
            </w:r>
          </w:p>
          <w:p w14:paraId="2F4CC904"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t>1)</w:t>
            </w:r>
            <w:r>
              <w:rPr>
                <w:szCs w:val="25"/>
              </w:rPr>
              <w:tab/>
            </w:r>
            <w:r w:rsidRPr="00B51852">
              <w:rPr>
                <w:szCs w:val="25"/>
              </w:rPr>
              <w:t>27</w:t>
            </w:r>
            <w:r>
              <w:rPr>
                <w:szCs w:val="25"/>
              </w:rPr>
              <w:t>b</w:t>
            </w:r>
          </w:p>
          <w:p w14:paraId="2FC86AF5" w14:textId="77777777" w:rsidR="0018433B" w:rsidRPr="00557ED9"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t>2)</w:t>
            </w:r>
            <w:r>
              <w:rPr>
                <w:szCs w:val="25"/>
              </w:rPr>
              <w:tab/>
            </w:r>
            <w:r w:rsidRPr="00B51852">
              <w:rPr>
                <w:szCs w:val="25"/>
              </w:rPr>
              <w:t>27c-28</w:t>
            </w:r>
          </w:p>
        </w:tc>
        <w:tc>
          <w:tcPr>
            <w:tcW w:w="2394" w:type="dxa"/>
          </w:tcPr>
          <w:p w14:paraId="36BBFDF0"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1.</w:t>
            </w:r>
            <w:r>
              <w:rPr>
                <w:szCs w:val="25"/>
              </w:rPr>
              <w:tab/>
            </w:r>
            <w:r w:rsidRPr="00B51852">
              <w:rPr>
                <w:szCs w:val="25"/>
              </w:rPr>
              <w:t>29-30</w:t>
            </w:r>
          </w:p>
          <w:p w14:paraId="6509BE38"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t>a.</w:t>
            </w:r>
            <w:r>
              <w:rPr>
                <w:szCs w:val="25"/>
              </w:rPr>
              <w:tab/>
            </w:r>
            <w:r w:rsidRPr="00B51852">
              <w:rPr>
                <w:szCs w:val="25"/>
              </w:rPr>
              <w:t>29</w:t>
            </w:r>
          </w:p>
          <w:p w14:paraId="41D368F9"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t>1)</w:t>
            </w:r>
            <w:r>
              <w:rPr>
                <w:szCs w:val="25"/>
              </w:rPr>
              <w:tab/>
            </w:r>
            <w:r w:rsidRPr="00B51852">
              <w:rPr>
                <w:szCs w:val="25"/>
              </w:rPr>
              <w:t>29a</w:t>
            </w:r>
          </w:p>
          <w:p w14:paraId="666EF13F" w14:textId="77777777" w:rsidR="0018433B"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t>2)</w:t>
            </w:r>
            <w:r>
              <w:rPr>
                <w:szCs w:val="25"/>
              </w:rPr>
              <w:tab/>
              <w:t>29b</w:t>
            </w:r>
          </w:p>
          <w:p w14:paraId="4929E117"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r>
            <w:r w:rsidRPr="00B51852">
              <w:rPr>
                <w:szCs w:val="25"/>
              </w:rPr>
              <w:t>b.</w:t>
            </w:r>
            <w:r>
              <w:rPr>
                <w:szCs w:val="25"/>
              </w:rPr>
              <w:tab/>
            </w:r>
            <w:r w:rsidRPr="00B51852">
              <w:rPr>
                <w:szCs w:val="25"/>
              </w:rPr>
              <w:t>30</w:t>
            </w:r>
          </w:p>
          <w:p w14:paraId="66AD1C13"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t>1)</w:t>
            </w:r>
            <w:r>
              <w:rPr>
                <w:szCs w:val="25"/>
              </w:rPr>
              <w:tab/>
            </w:r>
            <w:r w:rsidRPr="00B51852">
              <w:rPr>
                <w:szCs w:val="25"/>
              </w:rPr>
              <w:t>30a</w:t>
            </w:r>
          </w:p>
          <w:p w14:paraId="1A1AF440"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t>2)</w:t>
            </w:r>
            <w:r>
              <w:rPr>
                <w:szCs w:val="25"/>
              </w:rPr>
              <w:tab/>
            </w:r>
            <w:r w:rsidRPr="00B51852">
              <w:rPr>
                <w:szCs w:val="25"/>
              </w:rPr>
              <w:t>30b</w:t>
            </w:r>
          </w:p>
          <w:p w14:paraId="1718EB95" w14:textId="77777777" w:rsidR="0018433B" w:rsidRDefault="0018433B" w:rsidP="00A44C2E">
            <w:pPr>
              <w:tabs>
                <w:tab w:val="left" w:pos="360"/>
                <w:tab w:val="left" w:pos="720"/>
                <w:tab w:val="left" w:pos="1080"/>
                <w:tab w:val="left" w:pos="1440"/>
                <w:tab w:val="left" w:pos="1800"/>
              </w:tabs>
              <w:contextualSpacing/>
            </w:pPr>
          </w:p>
          <w:p w14:paraId="32126CAD" w14:textId="77777777" w:rsidR="0018433B" w:rsidRDefault="0018433B" w:rsidP="00A44C2E">
            <w:pPr>
              <w:tabs>
                <w:tab w:val="left" w:pos="360"/>
                <w:tab w:val="left" w:pos="720"/>
                <w:tab w:val="left" w:pos="1080"/>
                <w:tab w:val="left" w:pos="1440"/>
                <w:tab w:val="left" w:pos="1800"/>
              </w:tabs>
              <w:contextualSpacing/>
            </w:pPr>
            <w:r>
              <w:t>1.</w:t>
            </w:r>
            <w:r>
              <w:tab/>
              <w:t>32-34</w:t>
            </w:r>
          </w:p>
          <w:p w14:paraId="07DFEF82" w14:textId="77777777" w:rsidR="0018433B" w:rsidRDefault="0018433B" w:rsidP="00A44C2E">
            <w:pPr>
              <w:tabs>
                <w:tab w:val="left" w:pos="360"/>
                <w:tab w:val="left" w:pos="720"/>
                <w:tab w:val="left" w:pos="1080"/>
                <w:tab w:val="left" w:pos="1440"/>
                <w:tab w:val="left" w:pos="1800"/>
              </w:tabs>
              <w:contextualSpacing/>
            </w:pPr>
            <w:r>
              <w:tab/>
              <w:t>a.</w:t>
            </w:r>
            <w:r>
              <w:tab/>
              <w:t>32</w:t>
            </w:r>
          </w:p>
          <w:p w14:paraId="34F40CB8" w14:textId="77777777" w:rsidR="0018433B" w:rsidRDefault="0018433B" w:rsidP="00A44C2E">
            <w:pPr>
              <w:tabs>
                <w:tab w:val="left" w:pos="360"/>
                <w:tab w:val="left" w:pos="720"/>
                <w:tab w:val="left" w:pos="1080"/>
                <w:tab w:val="left" w:pos="1440"/>
                <w:tab w:val="left" w:pos="1800"/>
              </w:tabs>
              <w:contextualSpacing/>
            </w:pPr>
            <w:r>
              <w:tab/>
            </w:r>
            <w:r>
              <w:tab/>
              <w:t>1)</w:t>
            </w:r>
            <w:r>
              <w:tab/>
              <w:t>32a</w:t>
            </w:r>
          </w:p>
          <w:p w14:paraId="1198B50E" w14:textId="77777777" w:rsidR="0018433B" w:rsidRDefault="0018433B" w:rsidP="00A44C2E">
            <w:pPr>
              <w:tabs>
                <w:tab w:val="left" w:pos="360"/>
                <w:tab w:val="left" w:pos="720"/>
                <w:tab w:val="left" w:pos="1080"/>
                <w:tab w:val="left" w:pos="1440"/>
                <w:tab w:val="left" w:pos="1800"/>
              </w:tabs>
              <w:contextualSpacing/>
            </w:pPr>
            <w:r>
              <w:tab/>
            </w:r>
            <w:r>
              <w:tab/>
              <w:t>2)</w:t>
            </w:r>
            <w:r>
              <w:tab/>
              <w:t>32b</w:t>
            </w:r>
          </w:p>
          <w:p w14:paraId="2A669522" w14:textId="77777777" w:rsidR="0018433B" w:rsidRDefault="0018433B" w:rsidP="00A44C2E">
            <w:pPr>
              <w:tabs>
                <w:tab w:val="left" w:pos="360"/>
                <w:tab w:val="left" w:pos="720"/>
                <w:tab w:val="left" w:pos="1080"/>
                <w:tab w:val="left" w:pos="1440"/>
                <w:tab w:val="left" w:pos="1800"/>
              </w:tabs>
              <w:contextualSpacing/>
            </w:pPr>
            <w:r>
              <w:tab/>
            </w:r>
            <w:r>
              <w:tab/>
              <w:t>3)</w:t>
            </w:r>
            <w:r>
              <w:tab/>
              <w:t>32c</w:t>
            </w:r>
          </w:p>
          <w:p w14:paraId="3C73F1EC" w14:textId="77777777" w:rsidR="0018433B" w:rsidRDefault="0018433B" w:rsidP="00A44C2E">
            <w:pPr>
              <w:tabs>
                <w:tab w:val="left" w:pos="360"/>
                <w:tab w:val="left" w:pos="720"/>
                <w:tab w:val="left" w:pos="1080"/>
                <w:tab w:val="left" w:pos="1440"/>
                <w:tab w:val="left" w:pos="1800"/>
              </w:tabs>
              <w:contextualSpacing/>
            </w:pPr>
            <w:r>
              <w:tab/>
              <w:t>b.</w:t>
            </w:r>
            <w:r>
              <w:tab/>
              <w:t>33</w:t>
            </w:r>
          </w:p>
          <w:p w14:paraId="4714C9E5" w14:textId="77777777" w:rsidR="0018433B" w:rsidRDefault="0018433B" w:rsidP="00A44C2E">
            <w:pPr>
              <w:tabs>
                <w:tab w:val="left" w:pos="360"/>
                <w:tab w:val="left" w:pos="720"/>
                <w:tab w:val="left" w:pos="1080"/>
                <w:tab w:val="left" w:pos="1440"/>
                <w:tab w:val="left" w:pos="1800"/>
              </w:tabs>
              <w:contextualSpacing/>
            </w:pPr>
            <w:r>
              <w:tab/>
            </w:r>
            <w:r>
              <w:tab/>
              <w:t>1)</w:t>
            </w:r>
            <w:r>
              <w:tab/>
              <w:t>33a</w:t>
            </w:r>
          </w:p>
          <w:p w14:paraId="039223E5" w14:textId="77777777" w:rsidR="0018433B" w:rsidRDefault="0018433B" w:rsidP="00A44C2E">
            <w:pPr>
              <w:tabs>
                <w:tab w:val="left" w:pos="360"/>
                <w:tab w:val="left" w:pos="720"/>
                <w:tab w:val="left" w:pos="1080"/>
                <w:tab w:val="left" w:pos="1440"/>
                <w:tab w:val="left" w:pos="1800"/>
              </w:tabs>
              <w:contextualSpacing/>
            </w:pPr>
            <w:r>
              <w:tab/>
            </w:r>
            <w:r>
              <w:tab/>
              <w:t>2)</w:t>
            </w:r>
            <w:r>
              <w:tab/>
              <w:t>33b</w:t>
            </w:r>
          </w:p>
          <w:p w14:paraId="1877C988" w14:textId="77777777" w:rsidR="0018433B" w:rsidRDefault="0018433B" w:rsidP="00A44C2E">
            <w:pPr>
              <w:tabs>
                <w:tab w:val="left" w:pos="360"/>
                <w:tab w:val="left" w:pos="720"/>
                <w:tab w:val="left" w:pos="1080"/>
                <w:tab w:val="left" w:pos="1440"/>
                <w:tab w:val="left" w:pos="1800"/>
              </w:tabs>
              <w:contextualSpacing/>
            </w:pPr>
            <w:r>
              <w:tab/>
            </w:r>
            <w:r>
              <w:tab/>
              <w:t>3)</w:t>
            </w:r>
            <w:r>
              <w:tab/>
              <w:t>33c</w:t>
            </w:r>
          </w:p>
          <w:p w14:paraId="467B28DE" w14:textId="77777777" w:rsidR="0018433B" w:rsidRDefault="0018433B" w:rsidP="00A44C2E">
            <w:pPr>
              <w:tabs>
                <w:tab w:val="left" w:pos="360"/>
                <w:tab w:val="left" w:pos="720"/>
                <w:tab w:val="left" w:pos="1080"/>
                <w:tab w:val="left" w:pos="1440"/>
                <w:tab w:val="left" w:pos="1800"/>
              </w:tabs>
              <w:contextualSpacing/>
            </w:pPr>
            <w:r>
              <w:tab/>
              <w:t>c.</w:t>
            </w:r>
            <w:r>
              <w:tab/>
              <w:t>34</w:t>
            </w:r>
          </w:p>
          <w:p w14:paraId="7DDBAAE8" w14:textId="77777777" w:rsidR="0018433B" w:rsidRDefault="0018433B" w:rsidP="00A44C2E">
            <w:pPr>
              <w:tabs>
                <w:tab w:val="left" w:pos="360"/>
                <w:tab w:val="left" w:pos="720"/>
                <w:tab w:val="left" w:pos="1080"/>
                <w:tab w:val="left" w:pos="1440"/>
                <w:tab w:val="left" w:pos="1800"/>
              </w:tabs>
              <w:contextualSpacing/>
            </w:pPr>
            <w:r>
              <w:tab/>
            </w:r>
            <w:r>
              <w:tab/>
              <w:t>1)</w:t>
            </w:r>
            <w:r>
              <w:tab/>
              <w:t>34a</w:t>
            </w:r>
          </w:p>
          <w:p w14:paraId="6F387373" w14:textId="77777777" w:rsidR="0018433B" w:rsidRDefault="0018433B" w:rsidP="00A44C2E">
            <w:pPr>
              <w:tabs>
                <w:tab w:val="left" w:pos="360"/>
                <w:tab w:val="left" w:pos="720"/>
                <w:tab w:val="left" w:pos="1080"/>
                <w:tab w:val="left" w:pos="1440"/>
                <w:tab w:val="left" w:pos="1800"/>
              </w:tabs>
              <w:contextualSpacing/>
            </w:pPr>
            <w:r>
              <w:tab/>
            </w:r>
            <w:r>
              <w:tab/>
              <w:t>2)</w:t>
            </w:r>
            <w:r>
              <w:tab/>
              <w:t>34b</w:t>
            </w:r>
          </w:p>
          <w:p w14:paraId="63B1F5A4" w14:textId="77777777" w:rsidR="0018433B" w:rsidRDefault="0018433B" w:rsidP="00A44C2E">
            <w:pPr>
              <w:tabs>
                <w:tab w:val="left" w:pos="360"/>
                <w:tab w:val="left" w:pos="720"/>
                <w:tab w:val="left" w:pos="1080"/>
                <w:tab w:val="left" w:pos="1440"/>
                <w:tab w:val="left" w:pos="1800"/>
              </w:tabs>
              <w:contextualSpacing/>
            </w:pPr>
            <w:r>
              <w:tab/>
            </w:r>
            <w:r>
              <w:tab/>
              <w:t>3)</w:t>
            </w:r>
            <w:r>
              <w:tab/>
              <w:t>34c</w:t>
            </w:r>
          </w:p>
        </w:tc>
        <w:tc>
          <w:tcPr>
            <w:tcW w:w="2394" w:type="dxa"/>
          </w:tcPr>
          <w:p w14:paraId="3D297FF3" w14:textId="77777777" w:rsidR="0018433B" w:rsidRPr="00E5413C" w:rsidRDefault="0018433B" w:rsidP="00A44C2E">
            <w:pPr>
              <w:pStyle w:val="Style"/>
              <w:tabs>
                <w:tab w:val="left" w:pos="360"/>
                <w:tab w:val="left" w:pos="720"/>
                <w:tab w:val="left" w:pos="1080"/>
                <w:tab w:val="left" w:pos="1440"/>
                <w:tab w:val="left" w:pos="1800"/>
              </w:tabs>
              <w:textAlignment w:val="baseline"/>
              <w:rPr>
                <w:szCs w:val="25"/>
                <w:lang w:val="es-ES"/>
              </w:rPr>
            </w:pPr>
            <w:r w:rsidRPr="00E5413C">
              <w:rPr>
                <w:szCs w:val="25"/>
                <w:lang w:val="es-ES"/>
              </w:rPr>
              <w:t>1.</w:t>
            </w:r>
            <w:r w:rsidRPr="00E5413C">
              <w:rPr>
                <w:szCs w:val="25"/>
                <w:lang w:val="es-ES"/>
              </w:rPr>
              <w:tab/>
              <w:t>37-38</w:t>
            </w:r>
          </w:p>
          <w:p w14:paraId="7C1E7247" w14:textId="77777777" w:rsidR="0018433B" w:rsidRPr="00E5413C" w:rsidRDefault="0018433B" w:rsidP="00A44C2E">
            <w:pPr>
              <w:pStyle w:val="Style"/>
              <w:tabs>
                <w:tab w:val="left" w:pos="360"/>
                <w:tab w:val="left" w:pos="720"/>
                <w:tab w:val="left" w:pos="1080"/>
                <w:tab w:val="left" w:pos="1440"/>
                <w:tab w:val="left" w:pos="1800"/>
              </w:tabs>
              <w:textAlignment w:val="baseline"/>
              <w:rPr>
                <w:szCs w:val="25"/>
                <w:lang w:val="es-ES"/>
              </w:rPr>
            </w:pPr>
            <w:r w:rsidRPr="00E5413C">
              <w:rPr>
                <w:szCs w:val="25"/>
                <w:lang w:val="es-ES"/>
              </w:rPr>
              <w:tab/>
              <w:t>a.</w:t>
            </w:r>
            <w:r w:rsidRPr="00E5413C">
              <w:rPr>
                <w:szCs w:val="25"/>
                <w:lang w:val="es-ES"/>
              </w:rPr>
              <w:tab/>
              <w:t>37-38c</w:t>
            </w:r>
          </w:p>
          <w:p w14:paraId="3713084D" w14:textId="77777777" w:rsidR="0018433B" w:rsidRPr="00E5413C" w:rsidRDefault="0018433B" w:rsidP="00A44C2E">
            <w:pPr>
              <w:pStyle w:val="Style"/>
              <w:tabs>
                <w:tab w:val="left" w:pos="360"/>
                <w:tab w:val="left" w:pos="720"/>
                <w:tab w:val="left" w:pos="1080"/>
                <w:tab w:val="left" w:pos="1440"/>
                <w:tab w:val="left" w:pos="1800"/>
              </w:tabs>
              <w:textAlignment w:val="baseline"/>
              <w:rPr>
                <w:szCs w:val="25"/>
                <w:lang w:val="es-ES"/>
              </w:rPr>
            </w:pPr>
            <w:r w:rsidRPr="00E5413C">
              <w:rPr>
                <w:szCs w:val="25"/>
                <w:lang w:val="es-ES"/>
              </w:rPr>
              <w:tab/>
            </w:r>
            <w:r w:rsidRPr="00E5413C">
              <w:rPr>
                <w:szCs w:val="25"/>
                <w:lang w:val="es-ES"/>
              </w:rPr>
              <w:tab/>
              <w:t>1)</w:t>
            </w:r>
            <w:r w:rsidRPr="00E5413C">
              <w:rPr>
                <w:szCs w:val="25"/>
                <w:lang w:val="es-ES"/>
              </w:rPr>
              <w:tab/>
              <w:t>37abcd</w:t>
            </w:r>
          </w:p>
          <w:p w14:paraId="70324B36" w14:textId="77777777" w:rsidR="0018433B" w:rsidRPr="00E5413C" w:rsidRDefault="0018433B" w:rsidP="00A44C2E">
            <w:pPr>
              <w:pStyle w:val="Style"/>
              <w:tabs>
                <w:tab w:val="left" w:pos="360"/>
                <w:tab w:val="left" w:pos="720"/>
                <w:tab w:val="left" w:pos="1080"/>
                <w:tab w:val="left" w:pos="1440"/>
                <w:tab w:val="left" w:pos="1800"/>
              </w:tabs>
              <w:textAlignment w:val="baseline"/>
              <w:rPr>
                <w:szCs w:val="25"/>
                <w:lang w:val="es-ES"/>
              </w:rPr>
            </w:pPr>
            <w:r w:rsidRPr="00E5413C">
              <w:rPr>
                <w:szCs w:val="25"/>
                <w:lang w:val="es-ES"/>
              </w:rPr>
              <w:tab/>
            </w:r>
            <w:r w:rsidRPr="00E5413C">
              <w:rPr>
                <w:szCs w:val="25"/>
                <w:lang w:val="es-ES"/>
              </w:rPr>
              <w:tab/>
            </w:r>
            <w:r w:rsidRPr="00E5413C">
              <w:rPr>
                <w:szCs w:val="25"/>
                <w:lang w:val="es-ES"/>
              </w:rPr>
              <w:tab/>
              <w:t>a)</w:t>
            </w:r>
            <w:r w:rsidRPr="00E5413C">
              <w:rPr>
                <w:szCs w:val="25"/>
                <w:lang w:val="es-ES"/>
              </w:rPr>
              <w:tab/>
              <w:t>37ab</w:t>
            </w:r>
          </w:p>
          <w:p w14:paraId="547C3D45" w14:textId="77777777" w:rsidR="0018433B" w:rsidRPr="00E5413C" w:rsidRDefault="0018433B" w:rsidP="00A44C2E">
            <w:pPr>
              <w:pStyle w:val="Style"/>
              <w:tabs>
                <w:tab w:val="left" w:pos="360"/>
                <w:tab w:val="left" w:pos="720"/>
                <w:tab w:val="left" w:pos="1080"/>
                <w:tab w:val="left" w:pos="1440"/>
                <w:tab w:val="left" w:pos="1800"/>
              </w:tabs>
              <w:textAlignment w:val="baseline"/>
              <w:rPr>
                <w:szCs w:val="25"/>
                <w:lang w:val="es-ES"/>
              </w:rPr>
            </w:pPr>
            <w:r w:rsidRPr="00E5413C">
              <w:rPr>
                <w:szCs w:val="25"/>
                <w:lang w:val="es-ES"/>
              </w:rPr>
              <w:tab/>
            </w:r>
            <w:r w:rsidRPr="00E5413C">
              <w:rPr>
                <w:szCs w:val="25"/>
                <w:lang w:val="es-ES"/>
              </w:rPr>
              <w:tab/>
            </w:r>
            <w:r w:rsidRPr="00E5413C">
              <w:rPr>
                <w:szCs w:val="25"/>
                <w:lang w:val="es-ES"/>
              </w:rPr>
              <w:tab/>
              <w:t>b)</w:t>
            </w:r>
            <w:r w:rsidRPr="00E5413C">
              <w:rPr>
                <w:szCs w:val="25"/>
                <w:lang w:val="es-ES"/>
              </w:rPr>
              <w:tab/>
              <w:t>37cd</w:t>
            </w:r>
          </w:p>
          <w:p w14:paraId="3D475436" w14:textId="77777777" w:rsidR="0018433B" w:rsidRPr="00E5413C" w:rsidRDefault="0018433B" w:rsidP="00A44C2E">
            <w:pPr>
              <w:pStyle w:val="Style"/>
              <w:tabs>
                <w:tab w:val="left" w:pos="360"/>
                <w:tab w:val="left" w:pos="720"/>
                <w:tab w:val="left" w:pos="1080"/>
                <w:tab w:val="left" w:pos="1440"/>
                <w:tab w:val="left" w:pos="1800"/>
              </w:tabs>
              <w:textAlignment w:val="baseline"/>
              <w:rPr>
                <w:szCs w:val="25"/>
                <w:lang w:val="es-ES"/>
              </w:rPr>
            </w:pPr>
            <w:r w:rsidRPr="00E5413C">
              <w:rPr>
                <w:szCs w:val="25"/>
                <w:lang w:val="es-ES"/>
              </w:rPr>
              <w:tab/>
            </w:r>
            <w:r w:rsidRPr="00E5413C">
              <w:rPr>
                <w:szCs w:val="25"/>
                <w:lang w:val="es-ES"/>
              </w:rPr>
              <w:tab/>
              <w:t>2)</w:t>
            </w:r>
            <w:r w:rsidRPr="00E5413C">
              <w:rPr>
                <w:szCs w:val="25"/>
                <w:lang w:val="es-ES"/>
              </w:rPr>
              <w:tab/>
              <w:t>37e-38c</w:t>
            </w:r>
          </w:p>
          <w:p w14:paraId="747674C7" w14:textId="77777777" w:rsidR="0018433B" w:rsidRPr="0056020E" w:rsidRDefault="0018433B" w:rsidP="00A44C2E">
            <w:pPr>
              <w:pStyle w:val="Style"/>
              <w:tabs>
                <w:tab w:val="left" w:pos="360"/>
                <w:tab w:val="left" w:pos="720"/>
                <w:tab w:val="left" w:pos="1080"/>
                <w:tab w:val="left" w:pos="1440"/>
                <w:tab w:val="left" w:pos="1800"/>
              </w:tabs>
              <w:textAlignment w:val="baseline"/>
              <w:rPr>
                <w:szCs w:val="25"/>
              </w:rPr>
            </w:pPr>
            <w:r w:rsidRPr="00E5413C">
              <w:rPr>
                <w:szCs w:val="25"/>
                <w:lang w:val="es-ES"/>
              </w:rPr>
              <w:tab/>
            </w:r>
            <w:r w:rsidRPr="00E5413C">
              <w:rPr>
                <w:szCs w:val="25"/>
                <w:lang w:val="es-ES"/>
              </w:rPr>
              <w:tab/>
            </w:r>
            <w:r w:rsidRPr="00E5413C">
              <w:rPr>
                <w:szCs w:val="25"/>
                <w:lang w:val="es-ES"/>
              </w:rPr>
              <w:tab/>
            </w:r>
            <w:r w:rsidRPr="0056020E">
              <w:rPr>
                <w:szCs w:val="25"/>
              </w:rPr>
              <w:t>a)</w:t>
            </w:r>
            <w:r w:rsidRPr="0056020E">
              <w:rPr>
                <w:szCs w:val="25"/>
              </w:rPr>
              <w:tab/>
              <w:t>37ef</w:t>
            </w:r>
          </w:p>
          <w:p w14:paraId="7F6AFC56" w14:textId="77777777" w:rsidR="0018433B" w:rsidRPr="0056020E" w:rsidRDefault="0018433B" w:rsidP="00A44C2E">
            <w:pPr>
              <w:pStyle w:val="Style"/>
              <w:tabs>
                <w:tab w:val="left" w:pos="360"/>
                <w:tab w:val="left" w:pos="720"/>
                <w:tab w:val="left" w:pos="1080"/>
                <w:tab w:val="left" w:pos="1440"/>
                <w:tab w:val="left" w:pos="1800"/>
              </w:tabs>
              <w:textAlignment w:val="baseline"/>
              <w:rPr>
                <w:szCs w:val="25"/>
              </w:rPr>
            </w:pPr>
            <w:r>
              <w:rPr>
                <w:szCs w:val="25"/>
              </w:rPr>
              <w:tab/>
            </w:r>
            <w:r>
              <w:rPr>
                <w:szCs w:val="25"/>
              </w:rPr>
              <w:tab/>
            </w:r>
            <w:r>
              <w:rPr>
                <w:szCs w:val="25"/>
              </w:rPr>
              <w:tab/>
            </w:r>
            <w:r w:rsidRPr="0056020E">
              <w:rPr>
                <w:szCs w:val="25"/>
              </w:rPr>
              <w:t>b)</w:t>
            </w:r>
            <w:r w:rsidRPr="0056020E">
              <w:rPr>
                <w:szCs w:val="25"/>
              </w:rPr>
              <w:tab/>
              <w:t>38abc</w:t>
            </w:r>
          </w:p>
          <w:p w14:paraId="465F6DCC" w14:textId="07E31674" w:rsidR="0018433B"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r>
            <w:r w:rsidR="000151C8" w:rsidRPr="000151C8">
              <w:rPr>
                <w:iCs/>
                <w:szCs w:val="25"/>
              </w:rPr>
              <w:t xml:space="preserve"> </w:t>
            </w:r>
            <w:r>
              <w:rPr>
                <w:szCs w:val="25"/>
              </w:rPr>
              <w:t xml:space="preserve"> (1) 38ab</w:t>
            </w:r>
          </w:p>
          <w:p w14:paraId="5603FD01" w14:textId="30A31016" w:rsidR="0018433B"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r>
            <w:r w:rsidR="000151C8" w:rsidRPr="000151C8">
              <w:rPr>
                <w:iCs/>
                <w:szCs w:val="25"/>
              </w:rPr>
              <w:t xml:space="preserve"> </w:t>
            </w:r>
            <w:r>
              <w:rPr>
                <w:szCs w:val="25"/>
              </w:rPr>
              <w:t xml:space="preserve"> (2) 38c</w:t>
            </w:r>
          </w:p>
          <w:p w14:paraId="720DFDA8"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r>
            <w:r w:rsidRPr="0056020E">
              <w:rPr>
                <w:szCs w:val="25"/>
              </w:rPr>
              <w:t>b.</w:t>
            </w:r>
            <w:r>
              <w:rPr>
                <w:szCs w:val="25"/>
              </w:rPr>
              <w:tab/>
            </w:r>
            <w:r w:rsidRPr="0056020E">
              <w:rPr>
                <w:szCs w:val="25"/>
              </w:rPr>
              <w:t>38d</w:t>
            </w:r>
          </w:p>
          <w:p w14:paraId="1DC8FE42" w14:textId="77777777" w:rsidR="0018433B" w:rsidRDefault="0018433B" w:rsidP="00A44C2E">
            <w:pPr>
              <w:tabs>
                <w:tab w:val="left" w:pos="360"/>
                <w:tab w:val="left" w:pos="720"/>
                <w:tab w:val="left" w:pos="1080"/>
                <w:tab w:val="left" w:pos="1440"/>
                <w:tab w:val="left" w:pos="1800"/>
              </w:tabs>
              <w:contextualSpacing/>
            </w:pPr>
          </w:p>
          <w:p w14:paraId="42CEF6EE"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1.</w:t>
            </w:r>
            <w:r>
              <w:rPr>
                <w:szCs w:val="25"/>
              </w:rPr>
              <w:tab/>
            </w:r>
            <w:r w:rsidRPr="00B51852">
              <w:rPr>
                <w:szCs w:val="25"/>
              </w:rPr>
              <w:t>39b-40</w:t>
            </w:r>
          </w:p>
          <w:p w14:paraId="18E3D0D8"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t>a.</w:t>
            </w:r>
            <w:r>
              <w:rPr>
                <w:szCs w:val="25"/>
              </w:rPr>
              <w:tab/>
            </w:r>
            <w:r w:rsidRPr="00B51852">
              <w:rPr>
                <w:szCs w:val="25"/>
              </w:rPr>
              <w:t>39bc</w:t>
            </w:r>
          </w:p>
          <w:p w14:paraId="76CFB3C6" w14:textId="77777777" w:rsidR="0018433B" w:rsidRPr="00557ED9"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t>b.</w:t>
            </w:r>
            <w:r>
              <w:rPr>
                <w:szCs w:val="25"/>
              </w:rPr>
              <w:tab/>
            </w:r>
            <w:r w:rsidRPr="00B51852">
              <w:rPr>
                <w:szCs w:val="25"/>
              </w:rPr>
              <w:t>40</w:t>
            </w:r>
          </w:p>
        </w:tc>
        <w:tc>
          <w:tcPr>
            <w:tcW w:w="2394" w:type="dxa"/>
          </w:tcPr>
          <w:p w14:paraId="1930B3CF"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1.</w:t>
            </w:r>
            <w:r>
              <w:rPr>
                <w:szCs w:val="25"/>
              </w:rPr>
              <w:tab/>
            </w:r>
            <w:r w:rsidRPr="00B51852">
              <w:rPr>
                <w:szCs w:val="25"/>
              </w:rPr>
              <w:t>41-42</w:t>
            </w:r>
          </w:p>
          <w:p w14:paraId="7C6ECFDB"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t>a.</w:t>
            </w:r>
            <w:r>
              <w:rPr>
                <w:szCs w:val="25"/>
              </w:rPr>
              <w:tab/>
            </w:r>
            <w:r w:rsidRPr="00B51852">
              <w:rPr>
                <w:szCs w:val="25"/>
              </w:rPr>
              <w:t>41</w:t>
            </w:r>
          </w:p>
          <w:p w14:paraId="42290596"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t>b.</w:t>
            </w:r>
            <w:r>
              <w:rPr>
                <w:szCs w:val="25"/>
              </w:rPr>
              <w:tab/>
            </w:r>
            <w:r w:rsidRPr="00B51852">
              <w:rPr>
                <w:szCs w:val="25"/>
              </w:rPr>
              <w:t>42ab</w:t>
            </w:r>
          </w:p>
          <w:p w14:paraId="3AC81D3D"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t>c.</w:t>
            </w:r>
            <w:r>
              <w:rPr>
                <w:szCs w:val="25"/>
              </w:rPr>
              <w:tab/>
            </w:r>
            <w:r w:rsidRPr="00B51852">
              <w:rPr>
                <w:szCs w:val="25"/>
              </w:rPr>
              <w:t>42cd</w:t>
            </w:r>
          </w:p>
          <w:p w14:paraId="2A168D85" w14:textId="77777777" w:rsidR="0018433B" w:rsidRDefault="0018433B" w:rsidP="00A44C2E">
            <w:pPr>
              <w:tabs>
                <w:tab w:val="left" w:pos="360"/>
                <w:tab w:val="left" w:pos="720"/>
                <w:tab w:val="left" w:pos="1080"/>
                <w:tab w:val="left" w:pos="1440"/>
                <w:tab w:val="left" w:pos="1800"/>
              </w:tabs>
              <w:contextualSpacing/>
            </w:pPr>
          </w:p>
          <w:p w14:paraId="3E3FF16C"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1.</w:t>
            </w:r>
            <w:r>
              <w:rPr>
                <w:szCs w:val="25"/>
              </w:rPr>
              <w:tab/>
            </w:r>
            <w:r w:rsidRPr="00B51852">
              <w:rPr>
                <w:szCs w:val="25"/>
              </w:rPr>
              <w:t>43-44</w:t>
            </w:r>
          </w:p>
          <w:p w14:paraId="361D885D"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t>a.</w:t>
            </w:r>
            <w:r>
              <w:rPr>
                <w:szCs w:val="25"/>
              </w:rPr>
              <w:tab/>
            </w:r>
            <w:r w:rsidRPr="00B51852">
              <w:rPr>
                <w:szCs w:val="25"/>
              </w:rPr>
              <w:t>43</w:t>
            </w:r>
          </w:p>
          <w:p w14:paraId="2605203E"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t>b.</w:t>
            </w:r>
            <w:r>
              <w:rPr>
                <w:szCs w:val="25"/>
              </w:rPr>
              <w:tab/>
            </w:r>
            <w:r w:rsidRPr="00B51852">
              <w:rPr>
                <w:szCs w:val="25"/>
              </w:rPr>
              <w:t>44a</w:t>
            </w:r>
          </w:p>
          <w:p w14:paraId="2DB2B6CD"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t>c.</w:t>
            </w:r>
            <w:r>
              <w:rPr>
                <w:szCs w:val="25"/>
              </w:rPr>
              <w:tab/>
            </w:r>
            <w:r w:rsidRPr="00B51852">
              <w:rPr>
                <w:szCs w:val="25"/>
              </w:rPr>
              <w:t>44bc</w:t>
            </w:r>
          </w:p>
          <w:p w14:paraId="3C1BACDE" w14:textId="77777777" w:rsidR="0018433B" w:rsidRDefault="0018433B" w:rsidP="00A44C2E">
            <w:pPr>
              <w:tabs>
                <w:tab w:val="left" w:pos="360"/>
                <w:tab w:val="left" w:pos="720"/>
                <w:tab w:val="left" w:pos="1080"/>
                <w:tab w:val="left" w:pos="1440"/>
                <w:tab w:val="left" w:pos="1800"/>
              </w:tabs>
              <w:contextualSpacing/>
            </w:pPr>
          </w:p>
          <w:p w14:paraId="0CC384B0"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1.</w:t>
            </w:r>
            <w:r>
              <w:rPr>
                <w:szCs w:val="25"/>
              </w:rPr>
              <w:tab/>
            </w:r>
            <w:r w:rsidRPr="00B51852">
              <w:rPr>
                <w:szCs w:val="25"/>
              </w:rPr>
              <w:t>47-49</w:t>
            </w:r>
          </w:p>
          <w:p w14:paraId="43C604B7"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t>a.</w:t>
            </w:r>
            <w:r>
              <w:rPr>
                <w:szCs w:val="25"/>
              </w:rPr>
              <w:tab/>
            </w:r>
            <w:r w:rsidRPr="00B51852">
              <w:rPr>
                <w:szCs w:val="25"/>
              </w:rPr>
              <w:t>47-48</w:t>
            </w:r>
          </w:p>
          <w:p w14:paraId="1EAFC3D6" w14:textId="77777777" w:rsidR="0018433B" w:rsidRPr="00557ED9"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t>b.</w:t>
            </w:r>
            <w:r>
              <w:rPr>
                <w:szCs w:val="25"/>
              </w:rPr>
              <w:tab/>
            </w:r>
            <w:r w:rsidRPr="00B51852">
              <w:rPr>
                <w:szCs w:val="25"/>
              </w:rPr>
              <w:t>49</w:t>
            </w:r>
          </w:p>
        </w:tc>
      </w:tr>
    </w:tbl>
    <w:p w14:paraId="7C78E95E" w14:textId="77777777" w:rsidR="0018433B" w:rsidRDefault="0018433B" w:rsidP="0018433B">
      <w:pPr>
        <w:contextualSpacing/>
        <w:jc w:val="center"/>
      </w:pPr>
      <w:r>
        <w:t>Figure 9.1</w:t>
      </w:r>
    </w:p>
    <w:p w14:paraId="459DB8F4" w14:textId="77777777" w:rsidR="0018433B" w:rsidRDefault="0018433B" w:rsidP="0018433B">
      <w:pPr>
        <w:pStyle w:val="Style"/>
        <w:widowControl/>
        <w:jc w:val="both"/>
        <w:textAlignment w:val="baseline"/>
        <w:rPr>
          <w:szCs w:val="25"/>
        </w:rPr>
      </w:pPr>
    </w:p>
    <w:p w14:paraId="4ECD4194" w14:textId="7387889E" w:rsidR="0018433B" w:rsidRPr="00B51852" w:rsidRDefault="0018433B" w:rsidP="0018433B">
      <w:pPr>
        <w:pStyle w:val="Style"/>
        <w:widowControl/>
        <w:jc w:val="both"/>
        <w:textAlignment w:val="baseline"/>
        <w:rPr>
          <w:szCs w:val="25"/>
        </w:rPr>
      </w:pPr>
      <w:r>
        <w:rPr>
          <w:szCs w:val="25"/>
        </w:rPr>
        <w:lastRenderedPageBreak/>
        <w:tab/>
      </w:r>
      <w:r w:rsidRPr="00B51852">
        <w:rPr>
          <w:szCs w:val="25"/>
        </w:rPr>
        <w:t>This listing serves as no more than a temporary outline</w:t>
      </w:r>
      <w:r w:rsidR="006F304D" w:rsidRPr="006F304D">
        <w:rPr>
          <w:szCs w:val="25"/>
        </w:rPr>
        <w:t xml:space="preserve">, </w:t>
      </w:r>
      <w:r w:rsidRPr="00B51852">
        <w:rPr>
          <w:szCs w:val="25"/>
        </w:rPr>
        <w:t>which we will need to rev</w:t>
      </w:r>
      <w:r>
        <w:rPr>
          <w:szCs w:val="25"/>
        </w:rPr>
        <w:t>ise twice in the future: first</w:t>
      </w:r>
      <w:r w:rsidR="006F304D" w:rsidRPr="006F304D">
        <w:rPr>
          <w:szCs w:val="25"/>
        </w:rPr>
        <w:t xml:space="preserve">, </w:t>
      </w:r>
      <w:r w:rsidRPr="00B51852">
        <w:rPr>
          <w:szCs w:val="25"/>
        </w:rPr>
        <w:t>in the next section</w:t>
      </w:r>
      <w:r w:rsidR="006F304D" w:rsidRPr="006F304D">
        <w:rPr>
          <w:szCs w:val="25"/>
        </w:rPr>
        <w:t xml:space="preserve">, </w:t>
      </w:r>
      <w:r w:rsidRPr="00B51852">
        <w:rPr>
          <w:szCs w:val="25"/>
        </w:rPr>
        <w:t xml:space="preserve">after we assign all intervening verses to their preceding or following units; </w:t>
      </w:r>
      <w:r>
        <w:rPr>
          <w:szCs w:val="25"/>
        </w:rPr>
        <w:t>second</w:t>
      </w:r>
      <w:r w:rsidR="006F304D" w:rsidRPr="006F304D">
        <w:rPr>
          <w:szCs w:val="25"/>
        </w:rPr>
        <w:t xml:space="preserve">, </w:t>
      </w:r>
      <w:r w:rsidRPr="00B51852">
        <w:rPr>
          <w:szCs w:val="25"/>
        </w:rPr>
        <w:t>in the final section</w:t>
      </w:r>
      <w:r w:rsidR="006F304D" w:rsidRPr="006F304D">
        <w:rPr>
          <w:szCs w:val="25"/>
        </w:rPr>
        <w:t xml:space="preserve">, </w:t>
      </w:r>
      <w:r w:rsidRPr="00B51852">
        <w:rPr>
          <w:szCs w:val="25"/>
        </w:rPr>
        <w:t>after we have determined the relationships of all of the individual units to one another.</w:t>
      </w:r>
    </w:p>
    <w:p w14:paraId="3359BBE9" w14:textId="77777777" w:rsidR="0018433B" w:rsidRDefault="0018433B" w:rsidP="0018433B">
      <w:pPr>
        <w:pStyle w:val="Style"/>
        <w:widowControl/>
        <w:jc w:val="both"/>
      </w:pPr>
    </w:p>
    <w:p w14:paraId="148A97C3" w14:textId="77777777" w:rsidR="0018433B" w:rsidRPr="00B51852" w:rsidRDefault="0018433B" w:rsidP="00904123">
      <w:pPr>
        <w:pStyle w:val="Heading2"/>
      </w:pPr>
      <w:bookmarkStart w:id="63" w:name="_Toc147618634"/>
      <w:r w:rsidRPr="00B51852">
        <w:t>2. Six Intervening Verses</w:t>
      </w:r>
      <w:bookmarkEnd w:id="63"/>
    </w:p>
    <w:p w14:paraId="23ECDD92" w14:textId="77777777" w:rsidR="0018433B" w:rsidRDefault="0018433B" w:rsidP="0018433B">
      <w:pPr>
        <w:pStyle w:val="Style"/>
        <w:widowControl/>
        <w:jc w:val="both"/>
        <w:textAlignment w:val="baseline"/>
        <w:rPr>
          <w:szCs w:val="25"/>
        </w:rPr>
      </w:pPr>
    </w:p>
    <w:p w14:paraId="50FCF9B0" w14:textId="7B6470A7" w:rsidR="0018433B" w:rsidRPr="00B51852" w:rsidRDefault="0018433B" w:rsidP="0018433B">
      <w:pPr>
        <w:pStyle w:val="Style"/>
        <w:widowControl/>
        <w:jc w:val="both"/>
        <w:textAlignment w:val="baseline"/>
        <w:rPr>
          <w:szCs w:val="25"/>
        </w:rPr>
      </w:pPr>
      <w:r>
        <w:rPr>
          <w:szCs w:val="25"/>
        </w:rPr>
        <w:tab/>
      </w:r>
      <w:r w:rsidRPr="00B51852">
        <w:rPr>
          <w:szCs w:val="25"/>
        </w:rPr>
        <w:t>There are only six verses of the sermon on the plain which have not yet been treated: verses 31</w:t>
      </w:r>
      <w:r w:rsidR="006F304D" w:rsidRPr="006F304D">
        <w:rPr>
          <w:szCs w:val="25"/>
        </w:rPr>
        <w:t xml:space="preserve">, </w:t>
      </w:r>
      <w:r w:rsidRPr="00B51852">
        <w:rPr>
          <w:szCs w:val="25"/>
        </w:rPr>
        <w:t>35</w:t>
      </w:r>
      <w:r w:rsidR="006F304D" w:rsidRPr="006F304D">
        <w:rPr>
          <w:szCs w:val="25"/>
        </w:rPr>
        <w:t xml:space="preserve">, </w:t>
      </w:r>
      <w:r w:rsidRPr="00B51852">
        <w:rPr>
          <w:szCs w:val="25"/>
        </w:rPr>
        <w:t>36</w:t>
      </w:r>
      <w:r w:rsidR="006F304D" w:rsidRPr="006F304D">
        <w:rPr>
          <w:szCs w:val="25"/>
        </w:rPr>
        <w:t xml:space="preserve">, </w:t>
      </w:r>
      <w:r w:rsidRPr="00B51852">
        <w:rPr>
          <w:szCs w:val="25"/>
        </w:rPr>
        <w:t>39a</w:t>
      </w:r>
      <w:r w:rsidR="006F304D" w:rsidRPr="006F304D">
        <w:rPr>
          <w:szCs w:val="25"/>
        </w:rPr>
        <w:t xml:space="preserve">, </w:t>
      </w:r>
      <w:r w:rsidRPr="00B51852">
        <w:rPr>
          <w:szCs w:val="25"/>
        </w:rPr>
        <w:t>45</w:t>
      </w:r>
      <w:r w:rsidR="006F304D" w:rsidRPr="006F304D">
        <w:rPr>
          <w:szCs w:val="25"/>
        </w:rPr>
        <w:t xml:space="preserve">, </w:t>
      </w:r>
      <w:r w:rsidRPr="00B51852">
        <w:rPr>
          <w:szCs w:val="25"/>
        </w:rPr>
        <w:t>and 46. These are verses about which commenta</w:t>
      </w:r>
      <w:r w:rsidRPr="00B51852">
        <w:rPr>
          <w:szCs w:val="25"/>
        </w:rPr>
        <w:softHyphen/>
        <w:t>tors disagree in their structuring of Luke’s sermon. We will treat each verse in tum.</w:t>
      </w:r>
    </w:p>
    <w:p w14:paraId="1403B200" w14:textId="77777777" w:rsidR="0018433B" w:rsidRDefault="0018433B" w:rsidP="0018433B">
      <w:pPr>
        <w:pStyle w:val="Style"/>
        <w:widowControl/>
        <w:jc w:val="both"/>
        <w:textAlignment w:val="baseline"/>
        <w:rPr>
          <w:szCs w:val="23"/>
        </w:rPr>
      </w:pPr>
    </w:p>
    <w:p w14:paraId="6CD07467" w14:textId="77777777" w:rsidR="0018433B" w:rsidRDefault="0018433B" w:rsidP="0018433B">
      <w:pPr>
        <w:pStyle w:val="Style"/>
        <w:widowControl/>
        <w:jc w:val="both"/>
        <w:textAlignment w:val="baseline"/>
        <w:rPr>
          <w:szCs w:val="25"/>
        </w:rPr>
      </w:pPr>
      <w:r>
        <w:rPr>
          <w:szCs w:val="23"/>
        </w:rPr>
        <w:tab/>
      </w:r>
      <w:r w:rsidRPr="006B2056">
        <w:rPr>
          <w:b/>
          <w:szCs w:val="23"/>
        </w:rPr>
        <w:t>Luke 6</w:t>
      </w:r>
      <w:r w:rsidRPr="00B51852">
        <w:rPr>
          <w:szCs w:val="23"/>
        </w:rPr>
        <w:t>:</w:t>
      </w:r>
      <w:r w:rsidRPr="006B2056">
        <w:rPr>
          <w:b/>
          <w:szCs w:val="23"/>
        </w:rPr>
        <w:t>31</w:t>
      </w:r>
      <w:r w:rsidRPr="00B51852">
        <w:rPr>
          <w:szCs w:val="23"/>
        </w:rPr>
        <w:t xml:space="preserve">. </w:t>
      </w:r>
      <w:r w:rsidRPr="00B51852">
        <w:rPr>
          <w:szCs w:val="25"/>
        </w:rPr>
        <w:t>The text of verse 31 reads:</w:t>
      </w:r>
    </w:p>
    <w:p w14:paraId="140E7B6C" w14:textId="77777777" w:rsidR="0018433B" w:rsidRPr="006B2056" w:rsidRDefault="0018433B" w:rsidP="0018433B">
      <w:pPr>
        <w:pStyle w:val="Style"/>
        <w:widowControl/>
        <w:jc w:val="both"/>
        <w:textAlignment w:val="baseline"/>
        <w:rPr>
          <w:szCs w:val="23"/>
        </w:rPr>
      </w:pPr>
    </w:p>
    <w:p w14:paraId="0AA19636" w14:textId="77777777" w:rsidR="0018433B" w:rsidRDefault="0018433B" w:rsidP="0018433B">
      <w:pPr>
        <w:pStyle w:val="Style"/>
        <w:widowControl/>
        <w:ind w:left="720"/>
        <w:jc w:val="both"/>
        <w:textAlignment w:val="baseline"/>
        <w:rPr>
          <w:bCs/>
          <w:szCs w:val="22"/>
        </w:rPr>
      </w:pPr>
      <w:r w:rsidRPr="00B51852">
        <w:rPr>
          <w:szCs w:val="25"/>
        </w:rPr>
        <w:t>31</w:t>
      </w:r>
      <w:r>
        <w:rPr>
          <w:szCs w:val="25"/>
        </w:rPr>
        <w:t>a</w:t>
      </w:r>
      <w:r>
        <w:rPr>
          <w:szCs w:val="25"/>
        </w:rPr>
        <w:tab/>
      </w:r>
      <w:r w:rsidRPr="00CE06CA">
        <w:rPr>
          <w:bCs/>
          <w:szCs w:val="22"/>
          <w:lang w:val="el-GR"/>
        </w:rPr>
        <w:t>Καὶ καθὼς θέλετε</w:t>
      </w:r>
    </w:p>
    <w:p w14:paraId="740C3D07" w14:textId="77777777" w:rsidR="0018433B" w:rsidRDefault="0018433B" w:rsidP="0018433B">
      <w:pPr>
        <w:pStyle w:val="Style"/>
        <w:widowControl/>
        <w:ind w:left="720"/>
        <w:jc w:val="both"/>
        <w:textAlignment w:val="baseline"/>
        <w:rPr>
          <w:bCs/>
          <w:szCs w:val="22"/>
        </w:rPr>
      </w:pPr>
      <w:r>
        <w:rPr>
          <w:bCs/>
          <w:szCs w:val="22"/>
        </w:rPr>
        <w:t>31b</w:t>
      </w:r>
      <w:r>
        <w:rPr>
          <w:bCs/>
          <w:szCs w:val="22"/>
        </w:rPr>
        <w:tab/>
      </w:r>
      <w:r w:rsidRPr="00CE06CA">
        <w:rPr>
          <w:bCs/>
          <w:szCs w:val="22"/>
          <w:lang w:val="el-GR"/>
        </w:rPr>
        <w:t>ἵνα ποιῶσιν ὑμῖν οἱ ἄνθρωποι ποιεῖτε αὐτοῖς ὁμοίως.</w:t>
      </w:r>
    </w:p>
    <w:p w14:paraId="148E2437" w14:textId="77777777" w:rsidR="0018433B" w:rsidRDefault="0018433B" w:rsidP="0018433B">
      <w:pPr>
        <w:pStyle w:val="Style"/>
        <w:widowControl/>
        <w:jc w:val="both"/>
        <w:textAlignment w:val="baseline"/>
        <w:rPr>
          <w:bCs/>
          <w:szCs w:val="22"/>
        </w:rPr>
      </w:pPr>
    </w:p>
    <w:p w14:paraId="2C101066" w14:textId="77777777" w:rsidR="0018433B" w:rsidRDefault="0018433B" w:rsidP="0018433B">
      <w:pPr>
        <w:pStyle w:val="Style"/>
        <w:widowControl/>
        <w:ind w:left="720"/>
        <w:jc w:val="both"/>
        <w:textAlignment w:val="baseline"/>
        <w:rPr>
          <w:bCs/>
          <w:szCs w:val="22"/>
        </w:rPr>
      </w:pPr>
      <w:r>
        <w:rPr>
          <w:bCs/>
          <w:szCs w:val="22"/>
        </w:rPr>
        <w:t>31a</w:t>
      </w:r>
      <w:r>
        <w:rPr>
          <w:bCs/>
          <w:szCs w:val="22"/>
        </w:rPr>
        <w:tab/>
      </w:r>
      <w:r w:rsidRPr="00CD75A6">
        <w:t>Do to others</w:t>
      </w:r>
    </w:p>
    <w:p w14:paraId="7F51D84A" w14:textId="77777777" w:rsidR="0018433B" w:rsidRPr="006B2056" w:rsidRDefault="0018433B" w:rsidP="0018433B">
      <w:pPr>
        <w:pStyle w:val="Style"/>
        <w:widowControl/>
        <w:ind w:left="720"/>
        <w:jc w:val="both"/>
        <w:textAlignment w:val="baseline"/>
        <w:rPr>
          <w:szCs w:val="25"/>
        </w:rPr>
      </w:pPr>
      <w:r>
        <w:rPr>
          <w:bCs/>
          <w:szCs w:val="22"/>
        </w:rPr>
        <w:t>31b</w:t>
      </w:r>
      <w:r>
        <w:rPr>
          <w:bCs/>
          <w:szCs w:val="22"/>
        </w:rPr>
        <w:tab/>
      </w:r>
      <w:r w:rsidRPr="00CD75A6">
        <w:t>as you would have them do to you.</w:t>
      </w:r>
    </w:p>
    <w:p w14:paraId="01E39AC7" w14:textId="77777777" w:rsidR="0018433B" w:rsidRDefault="0018433B" w:rsidP="0018433B">
      <w:pPr>
        <w:pStyle w:val="Style"/>
        <w:widowControl/>
        <w:jc w:val="both"/>
        <w:textAlignment w:val="baseline"/>
        <w:rPr>
          <w:szCs w:val="25"/>
        </w:rPr>
      </w:pPr>
    </w:p>
    <w:p w14:paraId="13B57C91" w14:textId="777FC668" w:rsidR="0018433B" w:rsidRPr="00B51852" w:rsidRDefault="0018433B" w:rsidP="0018433B">
      <w:pPr>
        <w:pStyle w:val="Style"/>
        <w:widowControl/>
        <w:jc w:val="both"/>
        <w:textAlignment w:val="baseline"/>
        <w:rPr>
          <w:szCs w:val="25"/>
        </w:rPr>
      </w:pPr>
      <w:r>
        <w:rPr>
          <w:szCs w:val="25"/>
        </w:rPr>
        <w:tab/>
      </w:r>
      <w:r w:rsidRPr="00B51852">
        <w:rPr>
          <w:szCs w:val="25"/>
        </w:rPr>
        <w:t>We have already considered the ver</w:t>
      </w:r>
      <w:r>
        <w:rPr>
          <w:szCs w:val="25"/>
        </w:rPr>
        <w:t>ses which precede verse 31 (27-28</w:t>
      </w:r>
      <w:r w:rsidR="006F304D" w:rsidRPr="006F304D">
        <w:rPr>
          <w:szCs w:val="25"/>
        </w:rPr>
        <w:t xml:space="preserve">, </w:t>
      </w:r>
      <w:r>
        <w:rPr>
          <w:szCs w:val="25"/>
        </w:rPr>
        <w:t>love your enemies</w:t>
      </w:r>
      <w:r w:rsidR="006F304D" w:rsidRPr="006F304D">
        <w:rPr>
          <w:szCs w:val="25"/>
        </w:rPr>
        <w:t xml:space="preserve">, </w:t>
      </w:r>
      <w:r>
        <w:rPr>
          <w:szCs w:val="25"/>
        </w:rPr>
        <w:t>and 29-30</w:t>
      </w:r>
      <w:r w:rsidR="006F304D" w:rsidRPr="006F304D">
        <w:rPr>
          <w:szCs w:val="25"/>
        </w:rPr>
        <w:t xml:space="preserve">, </w:t>
      </w:r>
      <w:r>
        <w:rPr>
          <w:szCs w:val="25"/>
        </w:rPr>
        <w:t>turn the other cheek</w:t>
      </w:r>
      <w:r w:rsidRPr="00B51852">
        <w:rPr>
          <w:szCs w:val="25"/>
        </w:rPr>
        <w:t>) and those which follow it (32-34</w:t>
      </w:r>
      <w:r w:rsidR="006F304D" w:rsidRPr="006F304D">
        <w:rPr>
          <w:szCs w:val="25"/>
        </w:rPr>
        <w:t xml:space="preserve">, </w:t>
      </w:r>
      <w:r>
        <w:rPr>
          <w:szCs w:val="25"/>
        </w:rPr>
        <w:t>if you love/do good/lend</w:t>
      </w:r>
      <w:r w:rsidRPr="00B51852">
        <w:rPr>
          <w:szCs w:val="21"/>
        </w:rPr>
        <w:t>).</w:t>
      </w:r>
      <w:r>
        <w:rPr>
          <w:szCs w:val="21"/>
        </w:rPr>
        <w:t xml:space="preserve"> </w:t>
      </w:r>
      <w:r w:rsidRPr="00B51852">
        <w:rPr>
          <w:szCs w:val="25"/>
        </w:rPr>
        <w:t>Should verse 31 be attached to the section that precedes it? Should it be a free</w:t>
      </w:r>
      <w:r w:rsidRPr="00B51852">
        <w:rPr>
          <w:szCs w:val="25"/>
        </w:rPr>
        <w:softHyphen/>
        <w:t>standing unit of its own</w:t>
      </w:r>
      <w:r w:rsidR="006F304D" w:rsidRPr="006F304D">
        <w:rPr>
          <w:szCs w:val="25"/>
        </w:rPr>
        <w:t xml:space="preserve">, </w:t>
      </w:r>
      <w:r w:rsidRPr="00B51852">
        <w:rPr>
          <w:szCs w:val="25"/>
        </w:rPr>
        <w:t>distinct from and equal in stature to the units that precede and follow? Or should it be attached to the section that comes after it?</w:t>
      </w:r>
    </w:p>
    <w:p w14:paraId="347889F7" w14:textId="77777777" w:rsidR="0018433B" w:rsidRDefault="0018433B" w:rsidP="0018433B">
      <w:pPr>
        <w:pStyle w:val="Style"/>
        <w:widowControl/>
        <w:jc w:val="both"/>
        <w:textAlignment w:val="baseline"/>
        <w:rPr>
          <w:szCs w:val="25"/>
        </w:rPr>
      </w:pPr>
      <w:r>
        <w:rPr>
          <w:szCs w:val="25"/>
        </w:rPr>
        <w:tab/>
      </w:r>
      <w:r w:rsidRPr="00B51852">
        <w:rPr>
          <w:szCs w:val="25"/>
        </w:rPr>
        <w:t>Only a few authors prefer to add 31 to wha</w:t>
      </w:r>
      <w:r>
        <w:rPr>
          <w:szCs w:val="25"/>
        </w:rPr>
        <w:t>t follows it. One is H.K. Luce.</w:t>
      </w:r>
    </w:p>
    <w:p w14:paraId="0F51978F" w14:textId="77777777" w:rsidR="0018433B" w:rsidRDefault="0018433B" w:rsidP="0018433B">
      <w:pPr>
        <w:pStyle w:val="Style"/>
        <w:widowControl/>
        <w:jc w:val="both"/>
        <w:textAlignment w:val="baseline"/>
        <w:rPr>
          <w:szCs w:val="25"/>
        </w:rPr>
      </w:pPr>
    </w:p>
    <w:p w14:paraId="482FFFB9" w14:textId="69ACD94F" w:rsidR="0018433B" w:rsidRPr="006B2056" w:rsidRDefault="0018433B" w:rsidP="0018433B">
      <w:pPr>
        <w:pStyle w:val="Style"/>
        <w:widowControl/>
        <w:ind w:left="720" w:right="720"/>
        <w:jc w:val="both"/>
        <w:textAlignment w:val="baseline"/>
        <w:rPr>
          <w:szCs w:val="25"/>
        </w:rPr>
      </w:pPr>
      <w:r w:rsidRPr="00B51852">
        <w:rPr>
          <w:szCs w:val="25"/>
        </w:rPr>
        <w:t xml:space="preserve">This verse [31] </w:t>
      </w:r>
      <w:r>
        <w:rPr>
          <w:szCs w:val="25"/>
        </w:rPr>
        <w:t xml:space="preserve">. . . </w:t>
      </w:r>
      <w:r w:rsidRPr="00B51852">
        <w:rPr>
          <w:szCs w:val="25"/>
        </w:rPr>
        <w:t>may be taken with what precedes</w:t>
      </w:r>
      <w:r w:rsidR="006F304D" w:rsidRPr="006F304D">
        <w:rPr>
          <w:szCs w:val="25"/>
        </w:rPr>
        <w:t xml:space="preserve">, </w:t>
      </w:r>
      <w:r w:rsidRPr="00B51852">
        <w:rPr>
          <w:szCs w:val="25"/>
        </w:rPr>
        <w:t>‘Treat your aggres</w:t>
      </w:r>
      <w:r w:rsidRPr="00B51852">
        <w:rPr>
          <w:szCs w:val="25"/>
        </w:rPr>
        <w:softHyphen/>
        <w:t>sors as you would wish to be treated yourselves if you were aggressors’: or</w:t>
      </w:r>
      <w:r w:rsidR="006F304D" w:rsidRPr="006F304D">
        <w:rPr>
          <w:szCs w:val="25"/>
        </w:rPr>
        <w:t xml:space="preserve">, </w:t>
      </w:r>
      <w:r w:rsidRPr="00B51852">
        <w:rPr>
          <w:szCs w:val="25"/>
        </w:rPr>
        <w:t>better</w:t>
      </w:r>
      <w:r w:rsidR="006F304D" w:rsidRPr="006F304D">
        <w:rPr>
          <w:szCs w:val="25"/>
        </w:rPr>
        <w:t xml:space="preserve">, </w:t>
      </w:r>
      <w:r w:rsidRPr="00B51852">
        <w:rPr>
          <w:szCs w:val="25"/>
        </w:rPr>
        <w:t>as a general principle of disinterested love</w:t>
      </w:r>
      <w:r w:rsidR="006F304D" w:rsidRPr="006F304D">
        <w:rPr>
          <w:szCs w:val="25"/>
        </w:rPr>
        <w:t xml:space="preserve">, </w:t>
      </w:r>
      <w:r w:rsidRPr="00B51852">
        <w:rPr>
          <w:szCs w:val="25"/>
        </w:rPr>
        <w:t>of which illustrations fol</w:t>
      </w:r>
      <w:r w:rsidRPr="00B51852">
        <w:rPr>
          <w:szCs w:val="25"/>
        </w:rPr>
        <w:softHyphen/>
        <w:t>low.</w:t>
      </w:r>
      <w:r>
        <w:rPr>
          <w:rStyle w:val="FootnoteReference"/>
          <w:szCs w:val="25"/>
        </w:rPr>
        <w:footnoteReference w:id="535"/>
      </w:r>
    </w:p>
    <w:p w14:paraId="74722D94" w14:textId="77777777" w:rsidR="0018433B" w:rsidRDefault="0018433B" w:rsidP="0018433B">
      <w:pPr>
        <w:pStyle w:val="Style"/>
        <w:widowControl/>
        <w:jc w:val="both"/>
        <w:rPr>
          <w:szCs w:val="25"/>
        </w:rPr>
      </w:pPr>
    </w:p>
    <w:p w14:paraId="5B4B6AA5" w14:textId="657C42F2" w:rsidR="0018433B" w:rsidRPr="00B51852" w:rsidRDefault="0018433B" w:rsidP="0018433B">
      <w:pPr>
        <w:pStyle w:val="Style"/>
        <w:widowControl/>
        <w:jc w:val="both"/>
        <w:rPr>
          <w:szCs w:val="25"/>
        </w:rPr>
      </w:pPr>
      <w:r w:rsidRPr="00B51852">
        <w:rPr>
          <w:szCs w:val="25"/>
        </w:rPr>
        <w:t>Luce misconstrues the meaning of verse 31 in both halves of this sentence. The</w:t>
      </w:r>
      <w:r>
        <w:rPr>
          <w:szCs w:val="25"/>
        </w:rPr>
        <w:t xml:space="preserve"> </w:t>
      </w:r>
      <w:r w:rsidRPr="00B51852">
        <w:rPr>
          <w:szCs w:val="25"/>
        </w:rPr>
        <w:t>golden rule does not require imagining oneself an aggressor before using oneself as a norm of behavior toward others.</w:t>
      </w:r>
      <w:r>
        <w:rPr>
          <w:rStyle w:val="FootnoteReference"/>
          <w:szCs w:val="25"/>
        </w:rPr>
        <w:footnoteReference w:id="536"/>
      </w:r>
      <w:r>
        <w:rPr>
          <w:szCs w:val="25"/>
        </w:rPr>
        <w:t xml:space="preserve"> </w:t>
      </w:r>
      <w:r w:rsidRPr="00B51852">
        <w:rPr>
          <w:szCs w:val="25"/>
        </w:rPr>
        <w:t>More importantly</w:t>
      </w:r>
      <w:r w:rsidR="006F304D" w:rsidRPr="006F304D">
        <w:rPr>
          <w:szCs w:val="25"/>
        </w:rPr>
        <w:t xml:space="preserve">, </w:t>
      </w:r>
      <w:r w:rsidRPr="00B51852">
        <w:rPr>
          <w:szCs w:val="25"/>
        </w:rPr>
        <w:t xml:space="preserve">Luce evidently maintains that 31 is an introduction to 32-34 because 32-34 are </w:t>
      </w:r>
      <w:r>
        <w:rPr>
          <w:szCs w:val="25"/>
        </w:rPr>
        <w:t>“</w:t>
      </w:r>
      <w:r w:rsidRPr="00B51852">
        <w:rPr>
          <w:szCs w:val="25"/>
        </w:rPr>
        <w:t xml:space="preserve">illustrations” of 31; but 32-34 are not really </w:t>
      </w:r>
      <w:r>
        <w:rPr>
          <w:szCs w:val="25"/>
        </w:rPr>
        <w:t>“</w:t>
      </w:r>
      <w:r w:rsidRPr="00B51852">
        <w:rPr>
          <w:szCs w:val="25"/>
        </w:rPr>
        <w:t>illustrations” of 31</w:t>
      </w:r>
      <w:r w:rsidR="006F304D" w:rsidRPr="006F304D">
        <w:rPr>
          <w:szCs w:val="25"/>
        </w:rPr>
        <w:t xml:space="preserve">, </w:t>
      </w:r>
      <w:r w:rsidRPr="00B51852">
        <w:rPr>
          <w:szCs w:val="25"/>
        </w:rPr>
        <w:t>as we shall see in a moment.</w:t>
      </w:r>
    </w:p>
    <w:p w14:paraId="77471AB9" w14:textId="50408A3D" w:rsidR="0018433B" w:rsidRPr="00B51852" w:rsidRDefault="0018433B" w:rsidP="0018433B">
      <w:pPr>
        <w:pStyle w:val="Style"/>
        <w:widowControl/>
        <w:jc w:val="both"/>
        <w:textAlignment w:val="baseline"/>
        <w:rPr>
          <w:szCs w:val="25"/>
        </w:rPr>
      </w:pPr>
      <w:r>
        <w:rPr>
          <w:szCs w:val="25"/>
        </w:rPr>
        <w:tab/>
      </w:r>
      <w:r w:rsidRPr="00B51852">
        <w:rPr>
          <w:szCs w:val="25"/>
        </w:rPr>
        <w:t>Another author who believes that 31 is an introduction to 32-34 is Reinhold Merkelbach. Though he too contends that 32-34 are “examples,” in his view they are not</w:t>
      </w:r>
      <w:r w:rsidR="006F304D" w:rsidRPr="006F304D">
        <w:rPr>
          <w:szCs w:val="25"/>
        </w:rPr>
        <w:t xml:space="preserve">, </w:t>
      </w:r>
      <w:r w:rsidRPr="00B51852">
        <w:rPr>
          <w:i/>
          <w:iCs/>
          <w:szCs w:val="25"/>
        </w:rPr>
        <w:t xml:space="preserve">pace </w:t>
      </w:r>
      <w:r w:rsidRPr="00B51852">
        <w:rPr>
          <w:szCs w:val="25"/>
        </w:rPr>
        <w:t>Luce</w:t>
      </w:r>
      <w:r w:rsidR="006F304D" w:rsidRPr="006F304D">
        <w:rPr>
          <w:szCs w:val="25"/>
        </w:rPr>
        <w:t xml:space="preserve">, </w:t>
      </w:r>
      <w:r w:rsidRPr="00B51852">
        <w:rPr>
          <w:szCs w:val="25"/>
        </w:rPr>
        <w:t>examples of love of enemies</w:t>
      </w:r>
      <w:r w:rsidR="006F304D" w:rsidRPr="006F304D">
        <w:rPr>
          <w:szCs w:val="25"/>
        </w:rPr>
        <w:t xml:space="preserve">, </w:t>
      </w:r>
      <w:r w:rsidRPr="00B51852">
        <w:rPr>
          <w:szCs w:val="25"/>
        </w:rPr>
        <w:t>but examples of the principle of mutual recompense.</w:t>
      </w:r>
    </w:p>
    <w:p w14:paraId="7DD922CA" w14:textId="77777777" w:rsidR="0018433B" w:rsidRDefault="0018433B" w:rsidP="0018433B">
      <w:pPr>
        <w:pStyle w:val="Style"/>
        <w:widowControl/>
        <w:jc w:val="both"/>
        <w:textAlignment w:val="baseline"/>
        <w:rPr>
          <w:szCs w:val="25"/>
        </w:rPr>
      </w:pPr>
    </w:p>
    <w:p w14:paraId="0E189BB1" w14:textId="4724C2B5" w:rsidR="0018433B" w:rsidRPr="00B51852" w:rsidRDefault="0018433B" w:rsidP="0018433B">
      <w:pPr>
        <w:pStyle w:val="Style"/>
        <w:widowControl/>
        <w:ind w:left="720" w:right="720"/>
        <w:jc w:val="both"/>
        <w:textAlignment w:val="baseline"/>
        <w:rPr>
          <w:szCs w:val="25"/>
        </w:rPr>
      </w:pPr>
      <w:r w:rsidRPr="00B51852">
        <w:rPr>
          <w:szCs w:val="25"/>
        </w:rPr>
        <w:t>Upon the positive regulations of the new ethic (27-30) follow three examples (31-34) which describe the relationship of persons according to the old ethic. Its summation was the golden rule</w:t>
      </w:r>
      <w:r w:rsidR="006F304D" w:rsidRPr="006F304D">
        <w:rPr>
          <w:szCs w:val="25"/>
        </w:rPr>
        <w:t xml:space="preserve">, </w:t>
      </w:r>
      <w:r w:rsidRPr="00B51852">
        <w:rPr>
          <w:szCs w:val="25"/>
        </w:rPr>
        <w:t>which therefore is set</w:t>
      </w:r>
      <w:r w:rsidR="006F304D" w:rsidRPr="006F304D">
        <w:rPr>
          <w:szCs w:val="25"/>
        </w:rPr>
        <w:t xml:space="preserve">, </w:t>
      </w:r>
      <w:r w:rsidRPr="00B51852">
        <w:rPr>
          <w:szCs w:val="25"/>
        </w:rPr>
        <w:t>so to speak</w:t>
      </w:r>
      <w:r w:rsidR="006F304D" w:rsidRPr="006F304D">
        <w:rPr>
          <w:szCs w:val="25"/>
        </w:rPr>
        <w:t xml:space="preserve">, </w:t>
      </w:r>
      <w:r w:rsidRPr="00B51852">
        <w:rPr>
          <w:szCs w:val="25"/>
        </w:rPr>
        <w:t xml:space="preserve">as a </w:t>
      </w:r>
      <w:r>
        <w:rPr>
          <w:szCs w:val="25"/>
        </w:rPr>
        <w:t>thesis over the three examples.</w:t>
      </w:r>
      <w:r>
        <w:rPr>
          <w:rStyle w:val="FootnoteReference"/>
          <w:szCs w:val="25"/>
        </w:rPr>
        <w:footnoteReference w:id="537"/>
      </w:r>
    </w:p>
    <w:p w14:paraId="611995F6" w14:textId="77777777" w:rsidR="0018433B" w:rsidRDefault="0018433B" w:rsidP="0018433B">
      <w:pPr>
        <w:pStyle w:val="Style"/>
        <w:widowControl/>
        <w:jc w:val="both"/>
        <w:textAlignment w:val="baseline"/>
        <w:rPr>
          <w:szCs w:val="25"/>
        </w:rPr>
      </w:pPr>
    </w:p>
    <w:p w14:paraId="2D9AF534" w14:textId="29AC010E" w:rsidR="0018433B" w:rsidRPr="006A51BA" w:rsidRDefault="0018433B" w:rsidP="0018433B">
      <w:pPr>
        <w:pStyle w:val="Style"/>
        <w:widowControl/>
        <w:jc w:val="both"/>
        <w:textAlignment w:val="baseline"/>
        <w:rPr>
          <w:szCs w:val="25"/>
        </w:rPr>
      </w:pPr>
      <w:r>
        <w:rPr>
          <w:szCs w:val="25"/>
        </w:rPr>
        <w:tab/>
      </w:r>
      <w:r w:rsidRPr="006A51BA">
        <w:rPr>
          <w:szCs w:val="25"/>
        </w:rPr>
        <w:t>Both authors are wrong when</w:t>
      </w:r>
      <w:r>
        <w:rPr>
          <w:szCs w:val="25"/>
        </w:rPr>
        <w:t xml:space="preserve"> they refer to verses 32-34 as “</w:t>
      </w:r>
      <w:r w:rsidRPr="006A51BA">
        <w:rPr>
          <w:szCs w:val="25"/>
        </w:rPr>
        <w:t>illustrations” or</w:t>
      </w:r>
      <w:r>
        <w:rPr>
          <w:szCs w:val="25"/>
        </w:rPr>
        <w:t xml:space="preserve"> “</w:t>
      </w:r>
      <w:r w:rsidRPr="006A51BA">
        <w:rPr>
          <w:szCs w:val="25"/>
        </w:rPr>
        <w:t>examples.</w:t>
      </w:r>
      <w:r>
        <w:rPr>
          <w:szCs w:val="25"/>
        </w:rPr>
        <w:t>”</w:t>
      </w:r>
      <w:r>
        <w:rPr>
          <w:rStyle w:val="FootnoteReference"/>
          <w:szCs w:val="25"/>
        </w:rPr>
        <w:footnoteReference w:id="538"/>
      </w:r>
      <w:r w:rsidR="00775F9B" w:rsidRPr="00775F9B">
        <w:rPr>
          <w:iCs/>
          <w:szCs w:val="25"/>
        </w:rPr>
        <w:t xml:space="preserve"> </w:t>
      </w:r>
      <w:r>
        <w:rPr>
          <w:szCs w:val="25"/>
        </w:rPr>
        <w:t>These verses largely restate</w:t>
      </w:r>
      <w:r w:rsidRPr="006A51BA">
        <w:rPr>
          <w:szCs w:val="25"/>
        </w:rPr>
        <w:t xml:space="preserve"> </w:t>
      </w:r>
      <w:r>
        <w:rPr>
          <w:szCs w:val="25"/>
        </w:rPr>
        <w:t xml:space="preserve">27-30: the </w:t>
      </w:r>
      <w:r w:rsidRPr="006A51BA">
        <w:rPr>
          <w:szCs w:val="25"/>
        </w:rPr>
        <w:t>“love</w:t>
      </w:r>
      <w:r>
        <w:rPr>
          <w:szCs w:val="25"/>
        </w:rPr>
        <w:t xml:space="preserve">” and </w:t>
      </w:r>
      <w:r w:rsidRPr="006A51BA">
        <w:rPr>
          <w:szCs w:val="25"/>
        </w:rPr>
        <w:t>“do good</w:t>
      </w:r>
      <w:r>
        <w:rPr>
          <w:szCs w:val="25"/>
        </w:rPr>
        <w:t xml:space="preserve">” of 27b and 27c reappear as the </w:t>
      </w:r>
      <w:r w:rsidRPr="006A51BA">
        <w:rPr>
          <w:szCs w:val="25"/>
        </w:rPr>
        <w:t>“love</w:t>
      </w:r>
      <w:r>
        <w:rPr>
          <w:szCs w:val="25"/>
        </w:rPr>
        <w:t>” and “do good” of 32a and 33a.</w:t>
      </w:r>
      <w:r w:rsidRPr="006A51BA">
        <w:rPr>
          <w:szCs w:val="25"/>
        </w:rPr>
        <w:t xml:space="preserve"> </w:t>
      </w:r>
      <w:r>
        <w:rPr>
          <w:szCs w:val="25"/>
        </w:rPr>
        <w:t>(“Lend” in 34a</w:t>
      </w:r>
      <w:r w:rsidRPr="006A51BA">
        <w:rPr>
          <w:szCs w:val="25"/>
        </w:rPr>
        <w:t xml:space="preserve"> is new</w:t>
      </w:r>
      <w:r w:rsidR="006F304D" w:rsidRPr="006F304D">
        <w:rPr>
          <w:szCs w:val="25"/>
        </w:rPr>
        <w:t xml:space="preserve">, </w:t>
      </w:r>
      <w:r>
        <w:rPr>
          <w:szCs w:val="25"/>
        </w:rPr>
        <w:t>but is not unrelat</w:t>
      </w:r>
      <w:r>
        <w:rPr>
          <w:szCs w:val="25"/>
        </w:rPr>
        <w:softHyphen/>
        <w:t>ed to foregoing your coat and shirt in 29b</w:t>
      </w:r>
      <w:r w:rsidR="006F304D" w:rsidRPr="006F304D">
        <w:rPr>
          <w:szCs w:val="25"/>
        </w:rPr>
        <w:t xml:space="preserve">, </w:t>
      </w:r>
      <w:r>
        <w:rPr>
          <w:szCs w:val="25"/>
        </w:rPr>
        <w:t>giving</w:t>
      </w:r>
      <w:r w:rsidRPr="006A51BA">
        <w:rPr>
          <w:szCs w:val="25"/>
        </w:rPr>
        <w:t xml:space="preserve"> in 30a</w:t>
      </w:r>
      <w:r w:rsidR="006F304D" w:rsidRPr="006F304D">
        <w:rPr>
          <w:szCs w:val="25"/>
        </w:rPr>
        <w:t xml:space="preserve">, </w:t>
      </w:r>
      <w:r>
        <w:rPr>
          <w:szCs w:val="25"/>
        </w:rPr>
        <w:t>and foregoing your things in 30b.</w:t>
      </w:r>
      <w:r w:rsidRPr="006A51BA">
        <w:rPr>
          <w:szCs w:val="25"/>
        </w:rPr>
        <w:t>)</w:t>
      </w:r>
      <w:r>
        <w:rPr>
          <w:rStyle w:val="FootnoteReference"/>
          <w:szCs w:val="25"/>
        </w:rPr>
        <w:footnoteReference w:id="539"/>
      </w:r>
      <w:r w:rsidRPr="006A51BA">
        <w:rPr>
          <w:szCs w:val="25"/>
        </w:rPr>
        <w:t xml:space="preserve"> Thus</w:t>
      </w:r>
      <w:r w:rsidR="006F304D" w:rsidRPr="006F304D">
        <w:rPr>
          <w:szCs w:val="25"/>
        </w:rPr>
        <w:t xml:space="preserve">, </w:t>
      </w:r>
      <w:r w:rsidRPr="006A51BA">
        <w:rPr>
          <w:szCs w:val="25"/>
        </w:rPr>
        <w:t xml:space="preserve">these </w:t>
      </w:r>
      <w:r>
        <w:rPr>
          <w:szCs w:val="25"/>
        </w:rPr>
        <w:t xml:space="preserve">actions </w:t>
      </w:r>
      <w:r w:rsidRPr="006A51BA">
        <w:rPr>
          <w:szCs w:val="25"/>
        </w:rPr>
        <w:t>have already served</w:t>
      </w:r>
      <w:r w:rsidR="006F304D" w:rsidRPr="006F304D">
        <w:rPr>
          <w:szCs w:val="25"/>
        </w:rPr>
        <w:t xml:space="preserve">, </w:t>
      </w:r>
      <w:r w:rsidRPr="006A51BA">
        <w:rPr>
          <w:szCs w:val="25"/>
        </w:rPr>
        <w:t>prior to verse 31</w:t>
      </w:r>
      <w:r w:rsidR="006F304D" w:rsidRPr="006F304D">
        <w:rPr>
          <w:szCs w:val="25"/>
        </w:rPr>
        <w:t xml:space="preserve">, </w:t>
      </w:r>
      <w:r w:rsidRPr="006A51BA">
        <w:rPr>
          <w:szCs w:val="25"/>
        </w:rPr>
        <w:t xml:space="preserve">as </w:t>
      </w:r>
      <w:r>
        <w:rPr>
          <w:szCs w:val="25"/>
        </w:rPr>
        <w:t xml:space="preserve">specifications </w:t>
      </w:r>
      <w:r w:rsidRPr="006A51BA">
        <w:rPr>
          <w:szCs w:val="25"/>
        </w:rPr>
        <w:t>of 27b</w:t>
      </w:r>
      <w:r w:rsidR="006F304D" w:rsidRPr="006F304D">
        <w:rPr>
          <w:szCs w:val="25"/>
        </w:rPr>
        <w:t xml:space="preserve">, </w:t>
      </w:r>
      <w:r w:rsidRPr="006A51BA">
        <w:rPr>
          <w:szCs w:val="25"/>
        </w:rPr>
        <w:t>“Love your enemies.” Moreover</w:t>
      </w:r>
      <w:r w:rsidR="006F304D" w:rsidRPr="006F304D">
        <w:rPr>
          <w:szCs w:val="25"/>
        </w:rPr>
        <w:t xml:space="preserve">, </w:t>
      </w:r>
      <w:r w:rsidRPr="006A51BA">
        <w:rPr>
          <w:szCs w:val="25"/>
        </w:rPr>
        <w:t xml:space="preserve">the form of 32-34 indicates that the attitude toward these actions </w:t>
      </w:r>
      <w:r>
        <w:rPr>
          <w:szCs w:val="25"/>
        </w:rPr>
        <w:t xml:space="preserve">when done to friends (“those who love you”) </w:t>
      </w:r>
      <w:r w:rsidRPr="006A51BA">
        <w:rPr>
          <w:szCs w:val="25"/>
        </w:rPr>
        <w:t xml:space="preserve">is negative: there is first a rhetorical question implying a negative answer </w:t>
      </w:r>
      <w:r>
        <w:rPr>
          <w:szCs w:val="25"/>
        </w:rPr>
        <w:t>(“if you love/do good/lend . . .</w:t>
      </w:r>
      <w:r w:rsidR="006F304D" w:rsidRPr="006F304D">
        <w:rPr>
          <w:szCs w:val="25"/>
        </w:rPr>
        <w:t xml:space="preserve">, </w:t>
      </w:r>
      <w:r w:rsidRPr="006A51BA">
        <w:rPr>
          <w:szCs w:val="25"/>
        </w:rPr>
        <w:t>what credit is that to you?”)</w:t>
      </w:r>
      <w:r w:rsidR="006F304D" w:rsidRPr="006F304D">
        <w:rPr>
          <w:szCs w:val="25"/>
        </w:rPr>
        <w:t xml:space="preserve">, </w:t>
      </w:r>
      <w:r w:rsidRPr="006A51BA">
        <w:rPr>
          <w:szCs w:val="25"/>
        </w:rPr>
        <w:t>then a statement that even sinners do likewise. Yet no signs of censure accompany the preceding pronounce</w:t>
      </w:r>
      <w:r>
        <w:rPr>
          <w:szCs w:val="25"/>
        </w:rPr>
        <w:t>ment of the golden rule in 31; so 31 seems unlikely to be an introduction to 32-34.</w:t>
      </w:r>
      <w:r>
        <w:rPr>
          <w:rStyle w:val="FootnoteReference"/>
          <w:szCs w:val="25"/>
        </w:rPr>
        <w:footnoteReference w:id="540"/>
      </w:r>
    </w:p>
    <w:p w14:paraId="2CBDA8E1" w14:textId="378277B1" w:rsidR="0018433B" w:rsidRPr="006A51BA" w:rsidRDefault="0018433B" w:rsidP="0018433B">
      <w:pPr>
        <w:pStyle w:val="Style"/>
        <w:widowControl/>
        <w:jc w:val="both"/>
        <w:textAlignment w:val="baseline"/>
        <w:rPr>
          <w:szCs w:val="25"/>
        </w:rPr>
      </w:pPr>
      <w:r>
        <w:rPr>
          <w:szCs w:val="25"/>
        </w:rPr>
        <w:tab/>
      </w:r>
      <w:r w:rsidRPr="006A51BA">
        <w:rPr>
          <w:szCs w:val="25"/>
        </w:rPr>
        <w:t>Since it is doubtful that Luke intended verse 31 to introduce what follows it</w:t>
      </w:r>
      <w:r w:rsidR="006F304D" w:rsidRPr="006F304D">
        <w:rPr>
          <w:szCs w:val="25"/>
        </w:rPr>
        <w:t xml:space="preserve">, </w:t>
      </w:r>
      <w:r w:rsidRPr="006A51BA">
        <w:rPr>
          <w:szCs w:val="25"/>
        </w:rPr>
        <w:t>either he intended 31 to conclude the preceding verses,</w:t>
      </w:r>
      <w:r>
        <w:rPr>
          <w:rStyle w:val="FootnoteReference"/>
          <w:szCs w:val="25"/>
        </w:rPr>
        <w:footnoteReference w:id="541"/>
      </w:r>
      <w:r w:rsidRPr="006A51BA">
        <w:rPr>
          <w:szCs w:val="25"/>
        </w:rPr>
        <w:t xml:space="preserve"> or he intended the verse to stand by itself. </w:t>
      </w:r>
      <w:r>
        <w:rPr>
          <w:szCs w:val="25"/>
        </w:rPr>
        <w:t>Which is the case?</w:t>
      </w:r>
    </w:p>
    <w:p w14:paraId="0304832E" w14:textId="0F7C7DAB" w:rsidR="0018433B" w:rsidRDefault="0018433B" w:rsidP="0018433B">
      <w:pPr>
        <w:pStyle w:val="Style"/>
        <w:widowControl/>
        <w:jc w:val="both"/>
        <w:textAlignment w:val="baseline"/>
        <w:rPr>
          <w:szCs w:val="25"/>
        </w:rPr>
      </w:pPr>
      <w:r>
        <w:rPr>
          <w:szCs w:val="25"/>
        </w:rPr>
        <w:tab/>
      </w:r>
      <w:r w:rsidRPr="006A51BA">
        <w:rPr>
          <w:szCs w:val="25"/>
        </w:rPr>
        <w:t>Let us begin by asking whether the golden rule is in fact</w:t>
      </w:r>
      <w:r w:rsidR="006F304D" w:rsidRPr="006F304D">
        <w:rPr>
          <w:szCs w:val="25"/>
        </w:rPr>
        <w:t xml:space="preserve">, </w:t>
      </w:r>
      <w:r w:rsidRPr="006A51BA">
        <w:rPr>
          <w:szCs w:val="25"/>
        </w:rPr>
        <w:t>as Luce describes it</w:t>
      </w:r>
      <w:r>
        <w:rPr>
          <w:szCs w:val="25"/>
        </w:rPr>
        <w:t xml:space="preserve"> </w:t>
      </w:r>
      <w:r w:rsidRPr="006A51BA">
        <w:rPr>
          <w:szCs w:val="25"/>
        </w:rPr>
        <w:t>and as most commentators regard it</w:t>
      </w:r>
      <w:r w:rsidR="006F304D" w:rsidRPr="006F304D">
        <w:rPr>
          <w:szCs w:val="25"/>
        </w:rPr>
        <w:t xml:space="preserve">, </w:t>
      </w:r>
      <w:r>
        <w:rPr>
          <w:szCs w:val="25"/>
        </w:rPr>
        <w:t>“</w:t>
      </w:r>
      <w:r w:rsidRPr="006A51BA">
        <w:rPr>
          <w:rFonts w:eastAsia="Arial"/>
          <w:szCs w:val="31"/>
        </w:rPr>
        <w:t xml:space="preserve">a </w:t>
      </w:r>
      <w:r w:rsidRPr="006A51BA">
        <w:rPr>
          <w:szCs w:val="25"/>
        </w:rPr>
        <w:t>general principle of disinterested love.” Certainly</w:t>
      </w:r>
      <w:r w:rsidR="006F304D" w:rsidRPr="006F304D">
        <w:rPr>
          <w:szCs w:val="25"/>
        </w:rPr>
        <w:t xml:space="preserve">, </w:t>
      </w:r>
      <w:r w:rsidRPr="006A51BA">
        <w:rPr>
          <w:szCs w:val="25"/>
        </w:rPr>
        <w:t>the context of the golden rule in Luke has to do with disinterested love. Prior to the golden rule</w:t>
      </w:r>
      <w:r w:rsidR="006F304D" w:rsidRPr="006F304D">
        <w:rPr>
          <w:szCs w:val="25"/>
        </w:rPr>
        <w:t xml:space="preserve">, </w:t>
      </w:r>
      <w:r w:rsidRPr="006A51BA">
        <w:rPr>
          <w:szCs w:val="25"/>
        </w:rPr>
        <w:t>the disciples are told to love their enemies (27-28); and they are instructed</w:t>
      </w:r>
      <w:r w:rsidR="006F304D" w:rsidRPr="006F304D">
        <w:rPr>
          <w:szCs w:val="25"/>
        </w:rPr>
        <w:t xml:space="preserve">, </w:t>
      </w:r>
      <w:r w:rsidRPr="006A51BA">
        <w:rPr>
          <w:szCs w:val="25"/>
        </w:rPr>
        <w:t>by specific examples</w:t>
      </w:r>
      <w:r w:rsidR="006F304D" w:rsidRPr="006F304D">
        <w:rPr>
          <w:szCs w:val="25"/>
        </w:rPr>
        <w:t xml:space="preserve">, </w:t>
      </w:r>
      <w:r w:rsidRPr="006A51BA">
        <w:rPr>
          <w:szCs w:val="25"/>
        </w:rPr>
        <w:t>to respond to the violence of their enemies</w:t>
      </w:r>
      <w:r w:rsidR="006F304D" w:rsidRPr="006F304D">
        <w:rPr>
          <w:szCs w:val="25"/>
        </w:rPr>
        <w:t xml:space="preserve">, </w:t>
      </w:r>
      <w:r w:rsidRPr="006A51BA">
        <w:rPr>
          <w:szCs w:val="25"/>
        </w:rPr>
        <w:t>not in kind</w:t>
      </w:r>
      <w:r w:rsidR="006F304D" w:rsidRPr="006F304D">
        <w:rPr>
          <w:szCs w:val="25"/>
        </w:rPr>
        <w:t xml:space="preserve">, </w:t>
      </w:r>
      <w:r>
        <w:rPr>
          <w:szCs w:val="25"/>
        </w:rPr>
        <w:t>nor with passive resistance</w:t>
      </w:r>
      <w:r w:rsidR="006F304D" w:rsidRPr="006F304D">
        <w:rPr>
          <w:szCs w:val="25"/>
        </w:rPr>
        <w:t xml:space="preserve">, </w:t>
      </w:r>
      <w:r w:rsidRPr="006A51BA">
        <w:rPr>
          <w:szCs w:val="25"/>
        </w:rPr>
        <w:t xml:space="preserve">nor even with passive </w:t>
      </w:r>
      <w:r w:rsidRPr="006A51BA">
        <w:rPr>
          <w:szCs w:val="25"/>
        </w:rPr>
        <w:lastRenderedPageBreak/>
        <w:t>endurance</w:t>
      </w:r>
      <w:r w:rsidR="006F304D" w:rsidRPr="006F304D">
        <w:rPr>
          <w:szCs w:val="25"/>
        </w:rPr>
        <w:t xml:space="preserve">, </w:t>
      </w:r>
      <w:r w:rsidRPr="006A51BA">
        <w:rPr>
          <w:szCs w:val="25"/>
        </w:rPr>
        <w:t>but positivel</w:t>
      </w:r>
      <w:r>
        <w:rPr>
          <w:szCs w:val="25"/>
        </w:rPr>
        <w:t>y (29-30). Thus the love in 27-</w:t>
      </w:r>
      <w:r w:rsidRPr="006A51BA">
        <w:rPr>
          <w:szCs w:val="25"/>
        </w:rPr>
        <w:t>30 is disinterested</w:t>
      </w:r>
      <w:r w:rsidR="006F304D" w:rsidRPr="006F304D">
        <w:rPr>
          <w:szCs w:val="25"/>
        </w:rPr>
        <w:t xml:space="preserve">, </w:t>
      </w:r>
      <w:r w:rsidRPr="006A51BA">
        <w:rPr>
          <w:szCs w:val="25"/>
        </w:rPr>
        <w:t>both because no motive of gain is proposed</w:t>
      </w:r>
      <w:r w:rsidR="006F304D" w:rsidRPr="006F304D">
        <w:rPr>
          <w:szCs w:val="25"/>
        </w:rPr>
        <w:t xml:space="preserve">, </w:t>
      </w:r>
      <w:r w:rsidRPr="006A51BA">
        <w:rPr>
          <w:szCs w:val="25"/>
        </w:rPr>
        <w:t xml:space="preserve">and because the </w:t>
      </w:r>
      <w:r>
        <w:rPr>
          <w:szCs w:val="25"/>
        </w:rPr>
        <w:t xml:space="preserve">love </w:t>
      </w:r>
      <w:r w:rsidRPr="006A51BA">
        <w:rPr>
          <w:szCs w:val="25"/>
        </w:rPr>
        <w:t xml:space="preserve">is expressly of </w:t>
      </w:r>
      <w:r w:rsidRPr="006A51BA">
        <w:rPr>
          <w:i/>
          <w:iCs/>
        </w:rPr>
        <w:t>enemies</w:t>
      </w:r>
      <w:r w:rsidR="006F304D" w:rsidRPr="006F304D">
        <w:rPr>
          <w:iCs/>
        </w:rPr>
        <w:t xml:space="preserve">, </w:t>
      </w:r>
      <w:r w:rsidRPr="006A51BA">
        <w:rPr>
          <w:szCs w:val="25"/>
        </w:rPr>
        <w:t>from whom gain is at any rate implausible. The verses that follow the golden rule likewise have as their subject disinterested love</w:t>
      </w:r>
      <w:r w:rsidR="006F304D" w:rsidRPr="006F304D">
        <w:rPr>
          <w:szCs w:val="25"/>
        </w:rPr>
        <w:t xml:space="preserve">, </w:t>
      </w:r>
      <w:r w:rsidRPr="006A51BA">
        <w:rPr>
          <w:szCs w:val="25"/>
        </w:rPr>
        <w:t>love out of proportion to the response one can expect: ‘If you love those who love you</w:t>
      </w:r>
      <w:r w:rsidR="006F304D" w:rsidRPr="006F304D">
        <w:rPr>
          <w:szCs w:val="25"/>
        </w:rPr>
        <w:t xml:space="preserve">, </w:t>
      </w:r>
      <w:r w:rsidRPr="006A51BA">
        <w:rPr>
          <w:szCs w:val="25"/>
        </w:rPr>
        <w:t>what credit is that to you?” The rhetorical question implies that more is required</w:t>
      </w:r>
      <w:r w:rsidR="006F304D" w:rsidRPr="006F304D">
        <w:rPr>
          <w:szCs w:val="25"/>
        </w:rPr>
        <w:t xml:space="preserve">, </w:t>
      </w:r>
      <w:r w:rsidRPr="006A51BA">
        <w:rPr>
          <w:szCs w:val="25"/>
        </w:rPr>
        <w:t>namely</w:t>
      </w:r>
      <w:r w:rsidR="006F304D" w:rsidRPr="006F304D">
        <w:rPr>
          <w:szCs w:val="25"/>
        </w:rPr>
        <w:t xml:space="preserve">, </w:t>
      </w:r>
      <w:r w:rsidRPr="006A51BA">
        <w:rPr>
          <w:szCs w:val="25"/>
        </w:rPr>
        <w:t>love of those who do not love you; the subject</w:t>
      </w:r>
      <w:r w:rsidR="006F304D" w:rsidRPr="006F304D">
        <w:rPr>
          <w:szCs w:val="25"/>
        </w:rPr>
        <w:t xml:space="preserve">, </w:t>
      </w:r>
      <w:r w:rsidRPr="006A51BA">
        <w:rPr>
          <w:szCs w:val="25"/>
        </w:rPr>
        <w:t>then</w:t>
      </w:r>
      <w:r w:rsidR="006F304D" w:rsidRPr="006F304D">
        <w:rPr>
          <w:szCs w:val="25"/>
        </w:rPr>
        <w:t xml:space="preserve">, </w:t>
      </w:r>
      <w:r w:rsidRPr="006A51BA">
        <w:rPr>
          <w:szCs w:val="25"/>
        </w:rPr>
        <w:t xml:space="preserve">is still love of enemies. It is true that the idea of recompense for </w:t>
      </w:r>
      <w:r>
        <w:rPr>
          <w:szCs w:val="25"/>
        </w:rPr>
        <w:t>one’s actions is present in 32-</w:t>
      </w:r>
      <w:r w:rsidRPr="006A51BA">
        <w:rPr>
          <w:szCs w:val="25"/>
        </w:rPr>
        <w:t xml:space="preserve">34: </w:t>
      </w:r>
      <w:r>
        <w:rPr>
          <w:szCs w:val="25"/>
        </w:rPr>
        <w:t>“</w:t>
      </w:r>
      <w:r w:rsidRPr="006A51BA">
        <w:rPr>
          <w:szCs w:val="25"/>
        </w:rPr>
        <w:t>what credit [</w:t>
      </w:r>
      <w:r w:rsidRPr="00CE06CA">
        <w:rPr>
          <w:bCs/>
          <w:szCs w:val="22"/>
          <w:lang w:val="el-GR"/>
        </w:rPr>
        <w:t>χάρις</w:t>
      </w:r>
      <w:r w:rsidRPr="006A51BA">
        <w:rPr>
          <w:rFonts w:eastAsia="Arial"/>
        </w:rPr>
        <w:t xml:space="preserve">] </w:t>
      </w:r>
      <w:r w:rsidRPr="006A51BA">
        <w:rPr>
          <w:szCs w:val="25"/>
        </w:rPr>
        <w:t>is that to you?” (32b</w:t>
      </w:r>
      <w:r w:rsidR="006F304D" w:rsidRPr="006F304D">
        <w:rPr>
          <w:szCs w:val="25"/>
        </w:rPr>
        <w:t xml:space="preserve">, </w:t>
      </w:r>
      <w:r w:rsidRPr="006A51BA">
        <w:rPr>
          <w:szCs w:val="25"/>
        </w:rPr>
        <w:t>33b</w:t>
      </w:r>
      <w:r w:rsidR="006F304D" w:rsidRPr="006F304D">
        <w:rPr>
          <w:szCs w:val="25"/>
        </w:rPr>
        <w:t xml:space="preserve">, </w:t>
      </w:r>
      <w:r w:rsidRPr="006A51BA">
        <w:rPr>
          <w:szCs w:val="25"/>
        </w:rPr>
        <w:t>34b). But the return here is primarily from God</w:t>
      </w:r>
      <w:r w:rsidR="006F304D" w:rsidRPr="006F304D">
        <w:rPr>
          <w:szCs w:val="25"/>
        </w:rPr>
        <w:t xml:space="preserve">, </w:t>
      </w:r>
      <w:r w:rsidRPr="006A51BA">
        <w:rPr>
          <w:szCs w:val="25"/>
        </w:rPr>
        <w:t>not men.</w:t>
      </w:r>
      <w:r>
        <w:rPr>
          <w:rStyle w:val="FootnoteReference"/>
          <w:szCs w:val="25"/>
        </w:rPr>
        <w:footnoteReference w:id="542"/>
      </w:r>
      <w:r>
        <w:rPr>
          <w:szCs w:val="25"/>
        </w:rPr>
        <w:t xml:space="preserve"> Moreover</w:t>
      </w:r>
      <w:r w:rsidR="006F304D" w:rsidRPr="006F304D">
        <w:rPr>
          <w:szCs w:val="25"/>
        </w:rPr>
        <w:t xml:space="preserve">, </w:t>
      </w:r>
      <w:r>
        <w:rPr>
          <w:szCs w:val="25"/>
        </w:rPr>
        <w:t>the question “</w:t>
      </w:r>
      <w:r w:rsidRPr="006A51BA">
        <w:rPr>
          <w:szCs w:val="25"/>
        </w:rPr>
        <w:t>what credit is that to you?</w:t>
      </w:r>
      <w:r>
        <w:rPr>
          <w:szCs w:val="25"/>
        </w:rPr>
        <w:t>”</w:t>
      </w:r>
      <w:r w:rsidRPr="006A51BA">
        <w:rPr>
          <w:szCs w:val="25"/>
        </w:rPr>
        <w:t xml:space="preserve"> does not necessarily con</w:t>
      </w:r>
      <w:r>
        <w:rPr>
          <w:szCs w:val="25"/>
        </w:rPr>
        <w:t>done self-interested calculation (as if the one acting chooses to love/do good/lend to those who do not love him or her to be rewarded).</w:t>
      </w:r>
    </w:p>
    <w:p w14:paraId="5F291B1B" w14:textId="77777777" w:rsidR="0018433B" w:rsidRDefault="0018433B" w:rsidP="0018433B">
      <w:pPr>
        <w:pStyle w:val="Style"/>
        <w:widowControl/>
        <w:jc w:val="both"/>
        <w:textAlignment w:val="baseline"/>
        <w:rPr>
          <w:szCs w:val="25"/>
        </w:rPr>
      </w:pPr>
    </w:p>
    <w:p w14:paraId="4701B8C5" w14:textId="77777777" w:rsidR="0018433B" w:rsidRPr="00CD4AF2" w:rsidRDefault="0018433B" w:rsidP="0018433B">
      <w:pPr>
        <w:pStyle w:val="Style"/>
        <w:widowControl/>
        <w:jc w:val="both"/>
        <w:textAlignment w:val="baseline"/>
        <w:rPr>
          <w:szCs w:val="25"/>
        </w:rPr>
      </w:pPr>
      <w:r>
        <w:rPr>
          <w:szCs w:val="25"/>
        </w:rPr>
        <w:tab/>
      </w:r>
      <w:r w:rsidRPr="00CD4AF2">
        <w:rPr>
          <w:i/>
          <w:szCs w:val="25"/>
        </w:rPr>
        <w:t>Excursus</w:t>
      </w:r>
      <w:r>
        <w:rPr>
          <w:szCs w:val="25"/>
        </w:rPr>
        <w:t xml:space="preserve">: why </w:t>
      </w:r>
      <w:r>
        <w:rPr>
          <w:bCs/>
          <w:szCs w:val="22"/>
          <w:lang w:val="el-GR"/>
        </w:rPr>
        <w:t>χάρις</w:t>
      </w:r>
      <w:r>
        <w:rPr>
          <w:bCs/>
          <w:szCs w:val="22"/>
        </w:rPr>
        <w:t xml:space="preserve"> (“credit”) need not entail </w:t>
      </w:r>
      <w:r>
        <w:rPr>
          <w:szCs w:val="25"/>
        </w:rPr>
        <w:t>self-interested calculation:</w:t>
      </w:r>
    </w:p>
    <w:p w14:paraId="281A45DE" w14:textId="7B101AC5" w:rsidR="0018433B" w:rsidRPr="00CF175D" w:rsidRDefault="0018433B" w:rsidP="0018433B">
      <w:pPr>
        <w:pStyle w:val="Style"/>
        <w:widowControl/>
        <w:ind w:left="720"/>
        <w:jc w:val="both"/>
        <w:textAlignment w:val="baseline"/>
        <w:rPr>
          <w:bCs/>
          <w:szCs w:val="22"/>
          <w:lang w:val="el-GR"/>
        </w:rPr>
      </w:pPr>
      <w:r>
        <w:rPr>
          <w:bCs/>
          <w:szCs w:val="22"/>
          <w:lang w:val="el-GR"/>
        </w:rPr>
        <w:tab/>
      </w:r>
      <w:r>
        <w:rPr>
          <w:bCs/>
          <w:szCs w:val="22"/>
        </w:rPr>
        <w:t>In the New Testament</w:t>
      </w:r>
      <w:r w:rsidR="006F304D" w:rsidRPr="006F304D">
        <w:rPr>
          <w:bCs/>
          <w:szCs w:val="22"/>
        </w:rPr>
        <w:t xml:space="preserve">, </w:t>
      </w:r>
      <w:r>
        <w:rPr>
          <w:bCs/>
          <w:szCs w:val="22"/>
          <w:lang w:val="el-GR"/>
        </w:rPr>
        <w:t>χάρις</w:t>
      </w:r>
      <w:r>
        <w:rPr>
          <w:bCs/>
          <w:szCs w:val="22"/>
        </w:rPr>
        <w:t xml:space="preserve"> </w:t>
      </w:r>
      <w:r w:rsidRPr="006A51BA">
        <w:t xml:space="preserve">is </w:t>
      </w:r>
      <w:r w:rsidRPr="006A51BA">
        <w:rPr>
          <w:szCs w:val="25"/>
        </w:rPr>
        <w:t xml:space="preserve">usually translated by English “grace.” </w:t>
      </w:r>
      <w:r>
        <w:rPr>
          <w:bCs/>
          <w:szCs w:val="22"/>
          <w:lang w:val="el-GR"/>
        </w:rPr>
        <w:t>Χάρις</w:t>
      </w:r>
      <w:r>
        <w:rPr>
          <w:bCs/>
          <w:szCs w:val="22"/>
        </w:rPr>
        <w:t xml:space="preserve"> </w:t>
      </w:r>
      <w:r w:rsidRPr="006A51BA">
        <w:rPr>
          <w:szCs w:val="25"/>
        </w:rPr>
        <w:t>may have either an objective or a subjective meaning.</w:t>
      </w:r>
    </w:p>
    <w:p w14:paraId="12F7297F" w14:textId="3CEFA857" w:rsidR="0018433B" w:rsidRPr="006A51BA" w:rsidRDefault="0018433B" w:rsidP="0018433B">
      <w:pPr>
        <w:pStyle w:val="Style"/>
        <w:widowControl/>
        <w:ind w:left="720"/>
        <w:jc w:val="both"/>
        <w:textAlignment w:val="baseline"/>
        <w:rPr>
          <w:szCs w:val="25"/>
        </w:rPr>
      </w:pPr>
      <w:r>
        <w:rPr>
          <w:szCs w:val="25"/>
        </w:rPr>
        <w:tab/>
      </w:r>
      <w:r w:rsidRPr="006A51BA">
        <w:rPr>
          <w:szCs w:val="25"/>
        </w:rPr>
        <w:t xml:space="preserve">(1) </w:t>
      </w:r>
      <w:r w:rsidRPr="006A51BA">
        <w:t xml:space="preserve">As </w:t>
      </w:r>
      <w:r w:rsidRPr="006A51BA">
        <w:rPr>
          <w:szCs w:val="25"/>
        </w:rPr>
        <w:t>an object</w:t>
      </w:r>
      <w:r w:rsidR="006F304D" w:rsidRPr="006F304D">
        <w:rPr>
          <w:szCs w:val="25"/>
        </w:rPr>
        <w:t xml:space="preserve">, </w:t>
      </w:r>
      <w:r>
        <w:rPr>
          <w:bCs/>
          <w:szCs w:val="22"/>
          <w:lang w:val="el-GR"/>
        </w:rPr>
        <w:t>χάρις</w:t>
      </w:r>
      <w:r>
        <w:rPr>
          <w:bCs/>
          <w:szCs w:val="22"/>
        </w:rPr>
        <w:t xml:space="preserve"> </w:t>
      </w:r>
      <w:r w:rsidRPr="006A51BA">
        <w:rPr>
          <w:szCs w:val="25"/>
        </w:rPr>
        <w:t xml:space="preserve">refers to something received from God. </w:t>
      </w:r>
      <w:r w:rsidRPr="006A51BA">
        <w:rPr>
          <w:szCs w:val="27"/>
        </w:rPr>
        <w:t xml:space="preserve">In </w:t>
      </w:r>
      <w:r w:rsidRPr="006A51BA">
        <w:rPr>
          <w:szCs w:val="25"/>
        </w:rPr>
        <w:t>this under</w:t>
      </w:r>
      <w:r w:rsidRPr="006A51BA">
        <w:rPr>
          <w:szCs w:val="25"/>
        </w:rPr>
        <w:softHyphen/>
        <w:t>standing</w:t>
      </w:r>
      <w:r w:rsidR="006F304D" w:rsidRPr="006F304D">
        <w:rPr>
          <w:szCs w:val="25"/>
        </w:rPr>
        <w:t xml:space="preserve">, </w:t>
      </w:r>
      <w:r w:rsidRPr="006A51BA">
        <w:rPr>
          <w:szCs w:val="25"/>
        </w:rPr>
        <w:t>32b</w:t>
      </w:r>
      <w:r w:rsidR="006F304D" w:rsidRPr="006F304D">
        <w:rPr>
          <w:szCs w:val="25"/>
        </w:rPr>
        <w:t xml:space="preserve">, </w:t>
      </w:r>
      <w:r w:rsidRPr="006A51BA">
        <w:rPr>
          <w:szCs w:val="25"/>
        </w:rPr>
        <w:t>33b</w:t>
      </w:r>
      <w:r w:rsidR="006F304D" w:rsidRPr="006F304D">
        <w:rPr>
          <w:szCs w:val="25"/>
        </w:rPr>
        <w:t xml:space="preserve">, </w:t>
      </w:r>
      <w:r w:rsidRPr="006A51BA">
        <w:rPr>
          <w:szCs w:val="25"/>
        </w:rPr>
        <w:t>34b would be translated</w:t>
      </w:r>
      <w:r w:rsidR="006F304D" w:rsidRPr="006F304D">
        <w:rPr>
          <w:szCs w:val="25"/>
        </w:rPr>
        <w:t xml:space="preserve">, </w:t>
      </w:r>
      <w:r w:rsidRPr="006A51BA">
        <w:rPr>
          <w:szCs w:val="25"/>
        </w:rPr>
        <w:t>“what gift will you have?</w:t>
      </w:r>
      <w:r>
        <w:rPr>
          <w:szCs w:val="25"/>
        </w:rPr>
        <w:t>”</w:t>
      </w:r>
      <w:r w:rsidRPr="006A51BA">
        <w:rPr>
          <w:szCs w:val="25"/>
        </w:rPr>
        <w:t xml:space="preserve"> Most commentators accept this ob</w:t>
      </w:r>
      <w:r>
        <w:rPr>
          <w:szCs w:val="25"/>
        </w:rPr>
        <w:t>jective</w:t>
      </w:r>
      <w:r w:rsidRPr="006A51BA">
        <w:rPr>
          <w:szCs w:val="25"/>
        </w:rPr>
        <w:t xml:space="preserve"> meaning of </w:t>
      </w:r>
      <w:r>
        <w:rPr>
          <w:bCs/>
          <w:szCs w:val="22"/>
          <w:lang w:val="el-GR"/>
        </w:rPr>
        <w:t>χάρις</w:t>
      </w:r>
      <w:r>
        <w:rPr>
          <w:rFonts w:eastAsia="Arial"/>
        </w:rPr>
        <w:t xml:space="preserve"> </w:t>
      </w:r>
      <w:r w:rsidRPr="006A51BA">
        <w:rPr>
          <w:szCs w:val="25"/>
        </w:rPr>
        <w:t>in</w:t>
      </w:r>
      <w:r>
        <w:rPr>
          <w:szCs w:val="25"/>
        </w:rPr>
        <w:t xml:space="preserve"> these versicles</w:t>
      </w:r>
      <w:r w:rsidRPr="006A51BA">
        <w:rPr>
          <w:szCs w:val="25"/>
        </w:rPr>
        <w:t>.</w:t>
      </w:r>
    </w:p>
    <w:p w14:paraId="2EFFAA6E" w14:textId="7792CB80" w:rsidR="0018433B" w:rsidRPr="006A51BA" w:rsidRDefault="0018433B" w:rsidP="0018433B">
      <w:pPr>
        <w:pStyle w:val="Style"/>
        <w:widowControl/>
        <w:ind w:left="720"/>
        <w:jc w:val="both"/>
        <w:textAlignment w:val="baseline"/>
        <w:rPr>
          <w:szCs w:val="25"/>
        </w:rPr>
      </w:pPr>
      <w:r>
        <w:rPr>
          <w:szCs w:val="25"/>
        </w:rPr>
        <w:tab/>
      </w:r>
      <w:r w:rsidRPr="006A51BA">
        <w:rPr>
          <w:szCs w:val="25"/>
        </w:rPr>
        <w:t xml:space="preserve">(2) But </w:t>
      </w:r>
      <w:r>
        <w:rPr>
          <w:bCs/>
          <w:szCs w:val="22"/>
          <w:lang w:val="el-GR"/>
        </w:rPr>
        <w:t>χάρις</w:t>
      </w:r>
      <w:r>
        <w:rPr>
          <w:rFonts w:eastAsia="Arial"/>
        </w:rPr>
        <w:t xml:space="preserve"> </w:t>
      </w:r>
      <w:r w:rsidRPr="006A51BA">
        <w:rPr>
          <w:szCs w:val="25"/>
        </w:rPr>
        <w:t>may also have a subjective sense: it may refer to a person (a subjectivity) as the locus in whom graciousness (kindness</w:t>
      </w:r>
      <w:r w:rsidR="006F304D" w:rsidRPr="006F304D">
        <w:rPr>
          <w:szCs w:val="25"/>
        </w:rPr>
        <w:t xml:space="preserve">, </w:t>
      </w:r>
      <w:r w:rsidRPr="006A51BA">
        <w:rPr>
          <w:szCs w:val="25"/>
        </w:rPr>
        <w:t>benevolence) dwells. Two</w:t>
      </w:r>
      <w:r>
        <w:rPr>
          <w:szCs w:val="25"/>
        </w:rPr>
        <w:t xml:space="preserve"> </w:t>
      </w:r>
      <w:r w:rsidRPr="006A51BA">
        <w:rPr>
          <w:szCs w:val="25"/>
        </w:rPr>
        <w:t>subjectivities in 32b</w:t>
      </w:r>
      <w:r w:rsidR="006F304D" w:rsidRPr="006F304D">
        <w:rPr>
          <w:szCs w:val="25"/>
        </w:rPr>
        <w:t xml:space="preserve">, </w:t>
      </w:r>
      <w:r w:rsidRPr="006A51BA">
        <w:rPr>
          <w:szCs w:val="25"/>
        </w:rPr>
        <w:t>33b</w:t>
      </w:r>
      <w:r w:rsidR="006F304D" w:rsidRPr="006F304D">
        <w:rPr>
          <w:szCs w:val="25"/>
        </w:rPr>
        <w:t xml:space="preserve">, </w:t>
      </w:r>
      <w:r w:rsidRPr="006A51BA">
        <w:rPr>
          <w:szCs w:val="25"/>
        </w:rPr>
        <w:t xml:space="preserve">34b are the possible individuals in whom </w:t>
      </w:r>
      <w:r w:rsidRPr="00FF03AB">
        <w:rPr>
          <w:szCs w:val="25"/>
        </w:rPr>
        <w:t>“</w:t>
      </w:r>
      <w:r w:rsidRPr="006A51BA">
        <w:rPr>
          <w:szCs w:val="25"/>
        </w:rPr>
        <w:t>graciousness</w:t>
      </w:r>
      <w:r w:rsidRPr="00FF03AB">
        <w:rPr>
          <w:szCs w:val="25"/>
        </w:rPr>
        <w:t>”</w:t>
      </w:r>
      <w:r w:rsidRPr="006A51BA">
        <w:rPr>
          <w:szCs w:val="25"/>
        </w:rPr>
        <w:t xml:space="preserve"> may be thought to reside.</w:t>
      </w:r>
    </w:p>
    <w:p w14:paraId="213A07C4" w14:textId="44152F33" w:rsidR="0018433B" w:rsidRPr="006A51BA" w:rsidRDefault="0018433B" w:rsidP="0018433B">
      <w:pPr>
        <w:pStyle w:val="Style"/>
        <w:widowControl/>
        <w:ind w:left="720"/>
        <w:jc w:val="both"/>
        <w:textAlignment w:val="baseline"/>
        <w:rPr>
          <w:szCs w:val="25"/>
        </w:rPr>
      </w:pPr>
      <w:r>
        <w:rPr>
          <w:szCs w:val="25"/>
        </w:rPr>
        <w:tab/>
      </w:r>
      <w:r w:rsidRPr="006A51BA">
        <w:rPr>
          <w:szCs w:val="25"/>
        </w:rPr>
        <w:t xml:space="preserve">(a) Graciousness may exist in God. Graciousness as an attitude within God refers to the “logical subject” of </w:t>
      </w:r>
      <w:r>
        <w:rPr>
          <w:bCs/>
          <w:szCs w:val="22"/>
          <w:lang w:val="el-GR"/>
        </w:rPr>
        <w:t>χάρις</w:t>
      </w:r>
      <w:r w:rsidR="006F304D" w:rsidRPr="006F304D">
        <w:rPr>
          <w:szCs w:val="30"/>
        </w:rPr>
        <w:t xml:space="preserve">, </w:t>
      </w:r>
      <w:r w:rsidRPr="006A51BA">
        <w:rPr>
          <w:szCs w:val="25"/>
        </w:rPr>
        <w:t>that is</w:t>
      </w:r>
      <w:r w:rsidR="006F304D" w:rsidRPr="006F304D">
        <w:rPr>
          <w:szCs w:val="25"/>
        </w:rPr>
        <w:t xml:space="preserve">, </w:t>
      </w:r>
      <w:r w:rsidRPr="006A51BA">
        <w:rPr>
          <w:szCs w:val="25"/>
        </w:rPr>
        <w:t xml:space="preserve">to the giver of the </w:t>
      </w:r>
      <w:r w:rsidRPr="006A51BA">
        <w:rPr>
          <w:szCs w:val="23"/>
        </w:rPr>
        <w:t>gift</w:t>
      </w:r>
      <w:r w:rsidR="006F304D" w:rsidRPr="006F304D">
        <w:rPr>
          <w:szCs w:val="23"/>
        </w:rPr>
        <w:t xml:space="preserve">, </w:t>
      </w:r>
      <w:r w:rsidRPr="006A51BA">
        <w:rPr>
          <w:szCs w:val="25"/>
        </w:rPr>
        <w:t xml:space="preserve">the one who performs the implicit action of “gracing.” This sense of </w:t>
      </w:r>
      <w:r>
        <w:rPr>
          <w:bCs/>
          <w:szCs w:val="22"/>
          <w:lang w:val="el-GR"/>
        </w:rPr>
        <w:t>χάρις</w:t>
      </w:r>
      <w:r>
        <w:rPr>
          <w:rFonts w:eastAsia="Arial"/>
        </w:rPr>
        <w:t xml:space="preserve"> </w:t>
      </w:r>
      <w:r w:rsidRPr="006A51BA">
        <w:rPr>
          <w:rFonts w:eastAsia="Arial"/>
        </w:rPr>
        <w:t xml:space="preserve">is </w:t>
      </w:r>
      <w:r>
        <w:rPr>
          <w:szCs w:val="25"/>
        </w:rPr>
        <w:t>preeminent in s</w:t>
      </w:r>
      <w:r w:rsidRPr="006A51BA">
        <w:rPr>
          <w:szCs w:val="25"/>
        </w:rPr>
        <w:t>cripture</w:t>
      </w:r>
      <w:r w:rsidRPr="00230C90">
        <w:rPr>
          <w:szCs w:val="25"/>
        </w:rPr>
        <w:t>—</w:t>
      </w:r>
      <w:r w:rsidRPr="006A51BA">
        <w:rPr>
          <w:szCs w:val="25"/>
        </w:rPr>
        <w:t>if not in frequency</w:t>
      </w:r>
      <w:r w:rsidR="006F304D" w:rsidRPr="006F304D">
        <w:rPr>
          <w:szCs w:val="25"/>
        </w:rPr>
        <w:t xml:space="preserve">, </w:t>
      </w:r>
      <w:r w:rsidRPr="006A51BA">
        <w:rPr>
          <w:szCs w:val="25"/>
        </w:rPr>
        <w:t>then in logic</w:t>
      </w:r>
      <w:r w:rsidR="006F304D" w:rsidRPr="006F304D">
        <w:rPr>
          <w:szCs w:val="25"/>
        </w:rPr>
        <w:t xml:space="preserve">, </w:t>
      </w:r>
      <w:r w:rsidRPr="006A51BA">
        <w:rPr>
          <w:szCs w:val="25"/>
        </w:rPr>
        <w:t xml:space="preserve">for </w:t>
      </w:r>
      <w:r>
        <w:rPr>
          <w:bCs/>
          <w:szCs w:val="22"/>
          <w:lang w:val="el-GR"/>
        </w:rPr>
        <w:t>χάρις</w:t>
      </w:r>
      <w:r>
        <w:rPr>
          <w:rFonts w:eastAsia="Arial"/>
        </w:rPr>
        <w:t xml:space="preserve"> </w:t>
      </w:r>
      <w:r w:rsidRPr="006A51BA">
        <w:rPr>
          <w:szCs w:val="25"/>
        </w:rPr>
        <w:t>as “</w:t>
      </w:r>
      <w:r w:rsidRPr="006A51BA">
        <w:rPr>
          <w:szCs w:val="23"/>
        </w:rPr>
        <w:t>gift” (</w:t>
      </w:r>
      <w:r w:rsidRPr="006A51BA">
        <w:rPr>
          <w:szCs w:val="25"/>
        </w:rPr>
        <w:t xml:space="preserve">objective sense) only exists as a result of God’s attitude of </w:t>
      </w:r>
      <w:r>
        <w:rPr>
          <w:bCs/>
          <w:szCs w:val="22"/>
          <w:lang w:val="el-GR"/>
        </w:rPr>
        <w:t>χάρις</w:t>
      </w:r>
      <w:r>
        <w:rPr>
          <w:rFonts w:eastAsia="Arial"/>
        </w:rPr>
        <w:t xml:space="preserve"> </w:t>
      </w:r>
      <w:r w:rsidRPr="006A51BA">
        <w:rPr>
          <w:szCs w:val="25"/>
        </w:rPr>
        <w:t>(first subjective</w:t>
      </w:r>
      <w:r>
        <w:rPr>
          <w:szCs w:val="25"/>
        </w:rPr>
        <w:t xml:space="preserve"> sense).</w:t>
      </w:r>
      <w:r>
        <w:rPr>
          <w:rStyle w:val="FootnoteReference"/>
          <w:szCs w:val="25"/>
        </w:rPr>
        <w:footnoteReference w:id="543"/>
      </w:r>
      <w:r w:rsidRPr="006A51BA">
        <w:rPr>
          <w:szCs w:val="25"/>
        </w:rPr>
        <w:t xml:space="preserve"> Fitzmyer</w:t>
      </w:r>
      <w:r w:rsidR="006F304D" w:rsidRPr="006F304D">
        <w:rPr>
          <w:szCs w:val="25"/>
        </w:rPr>
        <w:t xml:space="preserve">, </w:t>
      </w:r>
      <w:r w:rsidRPr="006A51BA">
        <w:rPr>
          <w:szCs w:val="25"/>
        </w:rPr>
        <w:t>in the previous note</w:t>
      </w:r>
      <w:r w:rsidR="006F304D" w:rsidRPr="006F304D">
        <w:rPr>
          <w:szCs w:val="25"/>
        </w:rPr>
        <w:t xml:space="preserve">, </w:t>
      </w:r>
      <w:r w:rsidRPr="006A51BA">
        <w:rPr>
          <w:szCs w:val="25"/>
        </w:rPr>
        <w:t>manifests this understanding of the term whe</w:t>
      </w:r>
      <w:r>
        <w:rPr>
          <w:szCs w:val="25"/>
        </w:rPr>
        <w:t>n he translates 32b</w:t>
      </w:r>
      <w:r w:rsidR="006F304D" w:rsidRPr="006F304D">
        <w:rPr>
          <w:szCs w:val="25"/>
        </w:rPr>
        <w:t xml:space="preserve">, </w:t>
      </w:r>
      <w:r>
        <w:rPr>
          <w:szCs w:val="25"/>
        </w:rPr>
        <w:t>33b</w:t>
      </w:r>
      <w:r w:rsidR="006F304D" w:rsidRPr="006F304D">
        <w:rPr>
          <w:szCs w:val="25"/>
        </w:rPr>
        <w:t xml:space="preserve">, </w:t>
      </w:r>
      <w:r>
        <w:rPr>
          <w:szCs w:val="25"/>
        </w:rPr>
        <w:t>34b</w:t>
      </w:r>
      <w:r w:rsidR="006F304D" w:rsidRPr="006F304D">
        <w:rPr>
          <w:szCs w:val="25"/>
        </w:rPr>
        <w:t xml:space="preserve">, </w:t>
      </w:r>
      <w:r>
        <w:rPr>
          <w:szCs w:val="25"/>
        </w:rPr>
        <w:t>“</w:t>
      </w:r>
      <w:r w:rsidRPr="006A51BA">
        <w:rPr>
          <w:szCs w:val="25"/>
        </w:rPr>
        <w:t xml:space="preserve">What </w:t>
      </w:r>
      <w:r w:rsidRPr="006A51BA">
        <w:rPr>
          <w:i/>
          <w:iCs/>
          <w:szCs w:val="25"/>
        </w:rPr>
        <w:t>favor</w:t>
      </w:r>
      <w:r w:rsidRPr="006A51BA">
        <w:rPr>
          <w:iCs/>
          <w:szCs w:val="25"/>
        </w:rPr>
        <w:t xml:space="preserve"> [</w:t>
      </w:r>
      <w:r w:rsidRPr="006A51BA">
        <w:rPr>
          <w:szCs w:val="25"/>
        </w:rPr>
        <w:t>in the sight of God] do you have?</w:t>
      </w:r>
      <w:r>
        <w:rPr>
          <w:szCs w:val="25"/>
        </w:rPr>
        <w:t>”</w:t>
      </w:r>
    </w:p>
    <w:p w14:paraId="4A48C0D2" w14:textId="618163C5" w:rsidR="0018433B" w:rsidRPr="006A51BA" w:rsidRDefault="0018433B" w:rsidP="0018433B">
      <w:pPr>
        <w:pStyle w:val="Style"/>
        <w:widowControl/>
        <w:ind w:left="720"/>
        <w:jc w:val="both"/>
        <w:textAlignment w:val="baseline"/>
        <w:rPr>
          <w:szCs w:val="25"/>
        </w:rPr>
      </w:pPr>
      <w:r>
        <w:rPr>
          <w:szCs w:val="25"/>
        </w:rPr>
        <w:tab/>
      </w:r>
      <w:r w:rsidRPr="006A51BA">
        <w:rPr>
          <w:szCs w:val="25"/>
        </w:rPr>
        <w:t>(b) But another subjectivity is present in 32-34</w:t>
      </w:r>
      <w:r w:rsidR="006F304D" w:rsidRPr="006F304D">
        <w:rPr>
          <w:szCs w:val="25"/>
        </w:rPr>
        <w:t xml:space="preserve">, </w:t>
      </w:r>
      <w:r w:rsidRPr="006A51BA">
        <w:rPr>
          <w:szCs w:val="25"/>
        </w:rPr>
        <w:t>namely</w:t>
      </w:r>
      <w:r w:rsidR="006F304D" w:rsidRPr="006F304D">
        <w:rPr>
          <w:szCs w:val="25"/>
        </w:rPr>
        <w:t xml:space="preserve">, </w:t>
      </w:r>
      <w:r w:rsidRPr="006A51BA">
        <w:rPr>
          <w:szCs w:val="25"/>
        </w:rPr>
        <w:t>the disciple who is being addressed. In this second subjective sense</w:t>
      </w:r>
      <w:r w:rsidR="006F304D" w:rsidRPr="006F304D">
        <w:rPr>
          <w:szCs w:val="25"/>
        </w:rPr>
        <w:t xml:space="preserve">, </w:t>
      </w:r>
      <w:r w:rsidRPr="006A51BA">
        <w:rPr>
          <w:szCs w:val="25"/>
        </w:rPr>
        <w:t>graciousness is an attitude within</w:t>
      </w:r>
      <w:r w:rsidR="006F304D" w:rsidRPr="006F304D">
        <w:rPr>
          <w:szCs w:val="25"/>
        </w:rPr>
        <w:t xml:space="preserve">, </w:t>
      </w:r>
      <w:r w:rsidRPr="006A51BA">
        <w:rPr>
          <w:szCs w:val="25"/>
        </w:rPr>
        <w:t>so to speak</w:t>
      </w:r>
      <w:r w:rsidR="006F304D" w:rsidRPr="006F304D">
        <w:rPr>
          <w:szCs w:val="25"/>
        </w:rPr>
        <w:t xml:space="preserve">, </w:t>
      </w:r>
      <w:r w:rsidRPr="006A51BA">
        <w:rPr>
          <w:szCs w:val="25"/>
        </w:rPr>
        <w:t xml:space="preserve">the </w:t>
      </w:r>
      <w:r w:rsidRPr="00FF03AB">
        <w:rPr>
          <w:szCs w:val="25"/>
        </w:rPr>
        <w:t>“</w:t>
      </w:r>
      <w:r w:rsidRPr="006A51BA">
        <w:rPr>
          <w:szCs w:val="25"/>
        </w:rPr>
        <w:t>indirect object</w:t>
      </w:r>
      <w:r w:rsidRPr="00FF03AB">
        <w:rPr>
          <w:szCs w:val="25"/>
        </w:rPr>
        <w:t>”</w:t>
      </w:r>
      <w:r w:rsidRPr="006A51BA">
        <w:rPr>
          <w:szCs w:val="25"/>
        </w:rPr>
        <w:t xml:space="preserve"> of the implicit action</w:t>
      </w:r>
      <w:r w:rsidR="006F304D" w:rsidRPr="006F304D">
        <w:rPr>
          <w:szCs w:val="25"/>
        </w:rPr>
        <w:t xml:space="preserve">, </w:t>
      </w:r>
      <w:r w:rsidRPr="006A51BA">
        <w:rPr>
          <w:szCs w:val="25"/>
        </w:rPr>
        <w:t xml:space="preserve">the recipient of the action of </w:t>
      </w:r>
      <w:r w:rsidRPr="00FF03AB">
        <w:rPr>
          <w:szCs w:val="25"/>
        </w:rPr>
        <w:t>“</w:t>
      </w:r>
      <w:r w:rsidRPr="006A51BA">
        <w:rPr>
          <w:szCs w:val="25"/>
        </w:rPr>
        <w:t>gracing.</w:t>
      </w:r>
      <w:r w:rsidRPr="00FF03AB">
        <w:rPr>
          <w:szCs w:val="25"/>
        </w:rPr>
        <w:t>”</w:t>
      </w:r>
      <w:r w:rsidRPr="006A51BA">
        <w:rPr>
          <w:szCs w:val="25"/>
        </w:rPr>
        <w:t xml:space="preserve"> Verses 32b</w:t>
      </w:r>
      <w:r w:rsidR="006F304D" w:rsidRPr="006F304D">
        <w:rPr>
          <w:szCs w:val="25"/>
        </w:rPr>
        <w:t xml:space="preserve">, </w:t>
      </w:r>
      <w:r w:rsidRPr="006A51BA">
        <w:rPr>
          <w:szCs w:val="25"/>
        </w:rPr>
        <w:t>33b</w:t>
      </w:r>
      <w:r w:rsidR="006F304D" w:rsidRPr="006F304D">
        <w:rPr>
          <w:szCs w:val="25"/>
        </w:rPr>
        <w:t xml:space="preserve">, </w:t>
      </w:r>
      <w:r w:rsidRPr="006A51BA">
        <w:rPr>
          <w:szCs w:val="25"/>
        </w:rPr>
        <w:t>34b</w:t>
      </w:r>
      <w:r w:rsidR="006F304D" w:rsidRPr="006F304D">
        <w:rPr>
          <w:szCs w:val="25"/>
        </w:rPr>
        <w:t xml:space="preserve">, </w:t>
      </w:r>
      <w:r w:rsidRPr="006A51BA">
        <w:rPr>
          <w:szCs w:val="25"/>
        </w:rPr>
        <w:t>in this under</w:t>
      </w:r>
      <w:r w:rsidRPr="006A51BA">
        <w:rPr>
          <w:szCs w:val="25"/>
        </w:rPr>
        <w:softHyphen/>
        <w:t>standing</w:t>
      </w:r>
      <w:r w:rsidR="006F304D" w:rsidRPr="006F304D">
        <w:rPr>
          <w:szCs w:val="25"/>
        </w:rPr>
        <w:t xml:space="preserve">, </w:t>
      </w:r>
      <w:r w:rsidRPr="006A51BA">
        <w:rPr>
          <w:szCs w:val="25"/>
        </w:rPr>
        <w:t>would be translated</w:t>
      </w:r>
      <w:r w:rsidR="006F304D" w:rsidRPr="006F304D">
        <w:rPr>
          <w:szCs w:val="25"/>
        </w:rPr>
        <w:t xml:space="preserve">, </w:t>
      </w:r>
      <w:r>
        <w:rPr>
          <w:szCs w:val="25"/>
        </w:rPr>
        <w:t>“</w:t>
      </w:r>
      <w:r w:rsidRPr="006A51BA">
        <w:rPr>
          <w:szCs w:val="25"/>
        </w:rPr>
        <w:t>what graciousness [within yourself] do you have?</w:t>
      </w:r>
      <w:r>
        <w:rPr>
          <w:szCs w:val="25"/>
        </w:rPr>
        <w:t>”</w:t>
      </w:r>
      <w:r w:rsidRPr="006A51BA">
        <w:rPr>
          <w:szCs w:val="25"/>
        </w:rPr>
        <w:t xml:space="preserve"> (i.e.</w:t>
      </w:r>
      <w:r w:rsidR="006F304D" w:rsidRPr="006F304D">
        <w:rPr>
          <w:szCs w:val="25"/>
        </w:rPr>
        <w:t xml:space="preserve">, </w:t>
      </w:r>
      <w:r w:rsidRPr="006A51BA">
        <w:rPr>
          <w:szCs w:val="25"/>
        </w:rPr>
        <w:t>what graciousness have you demonstrated</w:t>
      </w:r>
      <w:r w:rsidR="006F304D" w:rsidRPr="006F304D">
        <w:rPr>
          <w:szCs w:val="25"/>
        </w:rPr>
        <w:t xml:space="preserve">, </w:t>
      </w:r>
      <w:r w:rsidRPr="006A51BA">
        <w:rPr>
          <w:szCs w:val="25"/>
        </w:rPr>
        <w:t>if all you have done is love those who love you?).</w:t>
      </w:r>
    </w:p>
    <w:p w14:paraId="641A113A" w14:textId="7C3990D6" w:rsidR="0018433B" w:rsidRPr="006A51BA" w:rsidRDefault="0018433B" w:rsidP="0018433B">
      <w:pPr>
        <w:pStyle w:val="Style"/>
        <w:widowControl/>
        <w:ind w:left="720"/>
        <w:jc w:val="both"/>
        <w:textAlignment w:val="baseline"/>
        <w:rPr>
          <w:szCs w:val="25"/>
        </w:rPr>
      </w:pPr>
      <w:r>
        <w:rPr>
          <w:szCs w:val="25"/>
        </w:rPr>
        <w:tab/>
      </w:r>
      <w:r w:rsidRPr="006A51BA">
        <w:rPr>
          <w:szCs w:val="25"/>
        </w:rPr>
        <w:t>Which of these three meanings</w:t>
      </w:r>
      <w:r w:rsidRPr="00230C90">
        <w:rPr>
          <w:szCs w:val="25"/>
        </w:rPr>
        <w:t>—</w:t>
      </w:r>
      <w:r w:rsidRPr="006A51BA">
        <w:rPr>
          <w:szCs w:val="25"/>
        </w:rPr>
        <w:t>objective (grace as gift)</w:t>
      </w:r>
      <w:r w:rsidR="006F304D" w:rsidRPr="006F304D">
        <w:rPr>
          <w:szCs w:val="25"/>
        </w:rPr>
        <w:t xml:space="preserve">, </w:t>
      </w:r>
      <w:r w:rsidRPr="006A51BA">
        <w:rPr>
          <w:szCs w:val="25"/>
        </w:rPr>
        <w:t>first subjective (grace as God’s graciousness)</w:t>
      </w:r>
      <w:r w:rsidR="006F304D" w:rsidRPr="006F304D">
        <w:rPr>
          <w:szCs w:val="25"/>
        </w:rPr>
        <w:t xml:space="preserve">, </w:t>
      </w:r>
      <w:r w:rsidRPr="006A51BA">
        <w:rPr>
          <w:szCs w:val="25"/>
        </w:rPr>
        <w:t>or second subjective (grace as the disciple’s graciousness)</w:t>
      </w:r>
      <w:r w:rsidRPr="00230C90">
        <w:rPr>
          <w:szCs w:val="25"/>
        </w:rPr>
        <w:t>—</w:t>
      </w:r>
      <w:r w:rsidRPr="006A51BA">
        <w:rPr>
          <w:szCs w:val="25"/>
        </w:rPr>
        <w:t>did Luke intend in 32b</w:t>
      </w:r>
      <w:r w:rsidR="006F304D" w:rsidRPr="006F304D">
        <w:rPr>
          <w:szCs w:val="25"/>
        </w:rPr>
        <w:t xml:space="preserve">, </w:t>
      </w:r>
      <w:r w:rsidRPr="006A51BA">
        <w:rPr>
          <w:szCs w:val="25"/>
        </w:rPr>
        <w:t>33b</w:t>
      </w:r>
      <w:r w:rsidR="006F304D" w:rsidRPr="006F304D">
        <w:rPr>
          <w:szCs w:val="25"/>
        </w:rPr>
        <w:t xml:space="preserve">, </w:t>
      </w:r>
      <w:r w:rsidRPr="006A51BA">
        <w:rPr>
          <w:szCs w:val="25"/>
        </w:rPr>
        <w:t xml:space="preserve">34b? </w:t>
      </w:r>
      <w:r>
        <w:rPr>
          <w:bCs/>
          <w:szCs w:val="22"/>
          <w:lang w:val="el-GR"/>
        </w:rPr>
        <w:t>Χάρις</w:t>
      </w:r>
      <w:r w:rsidR="006F304D" w:rsidRPr="006F304D">
        <w:rPr>
          <w:rFonts w:eastAsia="Arial"/>
        </w:rPr>
        <w:t xml:space="preserve">, </w:t>
      </w:r>
      <w:r w:rsidRPr="006A51BA">
        <w:rPr>
          <w:szCs w:val="25"/>
        </w:rPr>
        <w:t>I think</w:t>
      </w:r>
      <w:r w:rsidR="006F304D" w:rsidRPr="006F304D">
        <w:rPr>
          <w:szCs w:val="25"/>
        </w:rPr>
        <w:t xml:space="preserve">, </w:t>
      </w:r>
      <w:r w:rsidRPr="006A51BA">
        <w:rPr>
          <w:szCs w:val="25"/>
        </w:rPr>
        <w:t>can have the first subjective meaning only in an attenuated sense: God is not directly mentioned in these versicles</w:t>
      </w:r>
      <w:r w:rsidR="006F304D" w:rsidRPr="006F304D">
        <w:rPr>
          <w:szCs w:val="25"/>
        </w:rPr>
        <w:t xml:space="preserve">, </w:t>
      </w:r>
      <w:r w:rsidRPr="006A51BA">
        <w:rPr>
          <w:szCs w:val="25"/>
        </w:rPr>
        <w:t xml:space="preserve">and thus God’s attitude of graciousness </w:t>
      </w:r>
      <w:r w:rsidRPr="006A51BA">
        <w:rPr>
          <w:szCs w:val="23"/>
        </w:rPr>
        <w:t xml:space="preserve">is </w:t>
      </w:r>
      <w:r w:rsidRPr="006A51BA">
        <w:rPr>
          <w:szCs w:val="25"/>
        </w:rPr>
        <w:t>less explicitly in view. The first subjective sense is therefore unlikely. What of the second subjective sense? A sound support for it is the tense of the verb:</w:t>
      </w:r>
      <w:r>
        <w:rPr>
          <w:szCs w:val="25"/>
        </w:rPr>
        <w:t xml:space="preserve"> </w:t>
      </w:r>
      <w:r w:rsidRPr="00CE06CA">
        <w:rPr>
          <w:bCs/>
          <w:szCs w:val="22"/>
          <w:lang w:val="el-GR"/>
        </w:rPr>
        <w:t>ποία ὑμῖν χάρις ἐστίν;</w:t>
      </w:r>
      <w:r>
        <w:rPr>
          <w:bCs/>
          <w:szCs w:val="22"/>
        </w:rPr>
        <w:t xml:space="preserve"> (“</w:t>
      </w:r>
      <w:r w:rsidRPr="00CD75A6">
        <w:t>what credit is that to you?</w:t>
      </w:r>
      <w:r>
        <w:rPr>
          <w:bCs/>
          <w:szCs w:val="22"/>
        </w:rPr>
        <w:t>”).</w:t>
      </w:r>
      <w:r w:rsidRPr="006A51BA">
        <w:rPr>
          <w:szCs w:val="25"/>
        </w:rPr>
        <w:t xml:space="preserve"> If the sense were objective</w:t>
      </w:r>
      <w:r w:rsidR="006F304D" w:rsidRPr="006F304D">
        <w:rPr>
          <w:szCs w:val="25"/>
        </w:rPr>
        <w:t xml:space="preserve">, </w:t>
      </w:r>
      <w:r w:rsidRPr="006A51BA">
        <w:rPr>
          <w:szCs w:val="25"/>
        </w:rPr>
        <w:t xml:space="preserve">one would expect the reward to be referred to as future: </w:t>
      </w:r>
      <w:r w:rsidRPr="00FF03AB">
        <w:rPr>
          <w:szCs w:val="25"/>
        </w:rPr>
        <w:t>“</w:t>
      </w:r>
      <w:r w:rsidRPr="006A51BA">
        <w:rPr>
          <w:szCs w:val="25"/>
        </w:rPr>
        <w:t xml:space="preserve">What </w:t>
      </w:r>
      <w:r w:rsidRPr="006A51BA">
        <w:rPr>
          <w:szCs w:val="23"/>
        </w:rPr>
        <w:t xml:space="preserve">gift </w:t>
      </w:r>
      <w:r w:rsidRPr="006A51BA">
        <w:rPr>
          <w:i/>
          <w:iCs/>
          <w:szCs w:val="25"/>
        </w:rPr>
        <w:t>will</w:t>
      </w:r>
      <w:r w:rsidRPr="00CF175D">
        <w:rPr>
          <w:iCs/>
          <w:szCs w:val="25"/>
        </w:rPr>
        <w:t xml:space="preserve"> </w:t>
      </w:r>
      <w:r w:rsidRPr="006A51BA">
        <w:rPr>
          <w:szCs w:val="25"/>
        </w:rPr>
        <w:t>you have?</w:t>
      </w:r>
      <w:r>
        <w:rPr>
          <w:szCs w:val="25"/>
        </w:rPr>
        <w:t xml:space="preserve">” </w:t>
      </w:r>
      <w:r w:rsidRPr="006A51BA">
        <w:rPr>
          <w:szCs w:val="25"/>
        </w:rPr>
        <w:t xml:space="preserve">If the sense were </w:t>
      </w:r>
      <w:r w:rsidRPr="006A51BA">
        <w:rPr>
          <w:szCs w:val="25"/>
        </w:rPr>
        <w:lastRenderedPageBreak/>
        <w:t>objective</w:t>
      </w:r>
      <w:r w:rsidR="006F304D" w:rsidRPr="006F304D">
        <w:rPr>
          <w:szCs w:val="25"/>
        </w:rPr>
        <w:t xml:space="preserve">, </w:t>
      </w:r>
      <w:r>
        <w:rPr>
          <w:szCs w:val="25"/>
        </w:rPr>
        <w:t>t</w:t>
      </w:r>
      <w:r w:rsidRPr="006A51BA">
        <w:rPr>
          <w:szCs w:val="25"/>
        </w:rPr>
        <w:t>he present tense seem</w:t>
      </w:r>
      <w:r>
        <w:rPr>
          <w:szCs w:val="25"/>
        </w:rPr>
        <w:t>s</w:t>
      </w:r>
      <w:r w:rsidRPr="006A51BA">
        <w:rPr>
          <w:szCs w:val="25"/>
        </w:rPr>
        <w:t xml:space="preserve"> to require that the reward be given </w:t>
      </w:r>
      <w:r>
        <w:rPr>
          <w:szCs w:val="25"/>
        </w:rPr>
        <w:t>at the time of</w:t>
      </w:r>
      <w:r w:rsidRPr="006A51BA">
        <w:rPr>
          <w:szCs w:val="25"/>
        </w:rPr>
        <w:t xml:space="preserve"> one’s loving</w:t>
      </w:r>
      <w:r w:rsidR="006F304D" w:rsidRPr="006F304D">
        <w:rPr>
          <w:szCs w:val="25"/>
        </w:rPr>
        <w:t xml:space="preserve">, </w:t>
      </w:r>
      <w:r w:rsidRPr="006A51BA">
        <w:rPr>
          <w:szCs w:val="25"/>
        </w:rPr>
        <w:t>doing good</w:t>
      </w:r>
      <w:r w:rsidR="006F304D" w:rsidRPr="006F304D">
        <w:rPr>
          <w:szCs w:val="25"/>
        </w:rPr>
        <w:t xml:space="preserve">, </w:t>
      </w:r>
      <w:r w:rsidRPr="006A51BA">
        <w:rPr>
          <w:szCs w:val="25"/>
        </w:rPr>
        <w:t>or lending; that is not impossible</w:t>
      </w:r>
      <w:r w:rsidR="006F304D" w:rsidRPr="006F304D">
        <w:rPr>
          <w:szCs w:val="25"/>
        </w:rPr>
        <w:t xml:space="preserve">, </w:t>
      </w:r>
      <w:r w:rsidRPr="006A51BA">
        <w:rPr>
          <w:szCs w:val="25"/>
        </w:rPr>
        <w:t xml:space="preserve">but it is rather odd. </w:t>
      </w:r>
      <w:r>
        <w:rPr>
          <w:szCs w:val="25"/>
        </w:rPr>
        <w:t>(One does not receive an Olympic medal while still swimming</w:t>
      </w:r>
      <w:r w:rsidR="006F304D" w:rsidRPr="006F304D">
        <w:rPr>
          <w:szCs w:val="25"/>
        </w:rPr>
        <w:t xml:space="preserve">, </w:t>
      </w:r>
      <w:r>
        <w:rPr>
          <w:szCs w:val="25"/>
        </w:rPr>
        <w:t xml:space="preserve">for example.) </w:t>
      </w:r>
      <w:r w:rsidRPr="006A51BA">
        <w:rPr>
          <w:szCs w:val="25"/>
        </w:rPr>
        <w:t>The second subjective sense removes this problem</w:t>
      </w:r>
      <w:r w:rsidR="006F304D" w:rsidRPr="006F304D">
        <w:rPr>
          <w:szCs w:val="25"/>
        </w:rPr>
        <w:t xml:space="preserve">, </w:t>
      </w:r>
      <w:r w:rsidRPr="006A51BA">
        <w:rPr>
          <w:szCs w:val="25"/>
        </w:rPr>
        <w:t xml:space="preserve">because it positively demands the present tense: </w:t>
      </w:r>
      <w:r w:rsidRPr="00FF03AB">
        <w:rPr>
          <w:szCs w:val="25"/>
        </w:rPr>
        <w:t>“</w:t>
      </w:r>
      <w:r w:rsidRPr="006A51BA">
        <w:rPr>
          <w:szCs w:val="25"/>
        </w:rPr>
        <w:t xml:space="preserve">If you love/do good/lend </w:t>
      </w:r>
      <w:r>
        <w:rPr>
          <w:szCs w:val="25"/>
        </w:rPr>
        <w:t xml:space="preserve">to </w:t>
      </w:r>
      <w:r w:rsidRPr="006A51BA">
        <w:rPr>
          <w:szCs w:val="25"/>
        </w:rPr>
        <w:t>only those who love you</w:t>
      </w:r>
      <w:r w:rsidR="006F304D" w:rsidRPr="006F304D">
        <w:rPr>
          <w:szCs w:val="25"/>
        </w:rPr>
        <w:t xml:space="preserve">, </w:t>
      </w:r>
      <w:r w:rsidRPr="006A51BA">
        <w:rPr>
          <w:szCs w:val="25"/>
        </w:rPr>
        <w:t>what graciousness exists within you?</w:t>
      </w:r>
      <w:r>
        <w:rPr>
          <w:szCs w:val="25"/>
        </w:rPr>
        <w:t>”</w:t>
      </w:r>
      <w:r w:rsidRPr="006A51BA">
        <w:rPr>
          <w:szCs w:val="25"/>
        </w:rPr>
        <w:t xml:space="preserve"> The rhetorical question’s implicit answer</w:t>
      </w:r>
      <w:r w:rsidR="006F304D" w:rsidRPr="006F304D">
        <w:rPr>
          <w:szCs w:val="25"/>
        </w:rPr>
        <w:t xml:space="preserve">, </w:t>
      </w:r>
      <w:r w:rsidRPr="006A51BA">
        <w:rPr>
          <w:szCs w:val="25"/>
        </w:rPr>
        <w:t>in this second subjective sense</w:t>
      </w:r>
      <w:r w:rsidR="006F304D" w:rsidRPr="006F304D">
        <w:rPr>
          <w:szCs w:val="25"/>
        </w:rPr>
        <w:t xml:space="preserve">, </w:t>
      </w:r>
      <w:r>
        <w:rPr>
          <w:szCs w:val="25"/>
        </w:rPr>
        <w:t>is</w:t>
      </w:r>
      <w:r w:rsidRPr="006A51BA">
        <w:rPr>
          <w:szCs w:val="25"/>
        </w:rPr>
        <w:t xml:space="preserve"> ‘None”: you obviously have none</w:t>
      </w:r>
      <w:r w:rsidR="006F304D" w:rsidRPr="006F304D">
        <w:rPr>
          <w:szCs w:val="25"/>
        </w:rPr>
        <w:t xml:space="preserve">, </w:t>
      </w:r>
      <w:r w:rsidRPr="006A51BA">
        <w:rPr>
          <w:szCs w:val="25"/>
        </w:rPr>
        <w:t>since you have shown none.</w:t>
      </w:r>
    </w:p>
    <w:p w14:paraId="5713CF36" w14:textId="5C3389DA" w:rsidR="0018433B" w:rsidRPr="006A51BA" w:rsidRDefault="0018433B" w:rsidP="0018433B">
      <w:pPr>
        <w:pStyle w:val="Style"/>
        <w:widowControl/>
        <w:ind w:left="720"/>
        <w:jc w:val="both"/>
        <w:textAlignment w:val="baseline"/>
        <w:rPr>
          <w:szCs w:val="25"/>
        </w:rPr>
      </w:pPr>
      <w:r>
        <w:rPr>
          <w:szCs w:val="25"/>
        </w:rPr>
        <w:tab/>
      </w:r>
      <w:r w:rsidRPr="006A51BA">
        <w:rPr>
          <w:szCs w:val="25"/>
        </w:rPr>
        <w:t>Still</w:t>
      </w:r>
      <w:r w:rsidR="006F304D" w:rsidRPr="006F304D">
        <w:rPr>
          <w:szCs w:val="25"/>
        </w:rPr>
        <w:t xml:space="preserve">, </w:t>
      </w:r>
      <w:r w:rsidRPr="006A51BA">
        <w:rPr>
          <w:szCs w:val="25"/>
        </w:rPr>
        <w:t>I think the objective sense is most likely. It is strongly supported by verse 35</w:t>
      </w:r>
      <w:r w:rsidR="006F304D" w:rsidRPr="006F304D">
        <w:rPr>
          <w:szCs w:val="25"/>
        </w:rPr>
        <w:t xml:space="preserve">, </w:t>
      </w:r>
      <w:r w:rsidRPr="006A51BA">
        <w:rPr>
          <w:szCs w:val="25"/>
        </w:rPr>
        <w:t>in which</w:t>
      </w:r>
      <w:r>
        <w:rPr>
          <w:szCs w:val="28"/>
        </w:rPr>
        <w:t xml:space="preserve"> </w:t>
      </w:r>
      <w:proofErr w:type="spellStart"/>
      <w:r>
        <w:rPr>
          <w:szCs w:val="28"/>
        </w:rPr>
        <w:t>μισθός</w:t>
      </w:r>
      <w:proofErr w:type="spellEnd"/>
      <w:r w:rsidR="006F304D" w:rsidRPr="006F304D">
        <w:rPr>
          <w:szCs w:val="28"/>
        </w:rPr>
        <w:t xml:space="preserve">, </w:t>
      </w:r>
      <w:r w:rsidRPr="006A51BA">
        <w:rPr>
          <w:szCs w:val="25"/>
        </w:rPr>
        <w:t xml:space="preserve">reward,” fills a position rather parallel to </w:t>
      </w:r>
      <w:r>
        <w:rPr>
          <w:bCs/>
          <w:szCs w:val="22"/>
          <w:lang w:val="el-GR"/>
        </w:rPr>
        <w:t>χάρις</w:t>
      </w:r>
      <w:r>
        <w:rPr>
          <w:rFonts w:eastAsia="Arial"/>
        </w:rPr>
        <w:t xml:space="preserve"> </w:t>
      </w:r>
      <w:r>
        <w:rPr>
          <w:szCs w:val="25"/>
        </w:rPr>
        <w:t>in 32-34.</w:t>
      </w:r>
      <w:r w:rsidRPr="006A51BA">
        <w:rPr>
          <w:szCs w:val="25"/>
        </w:rPr>
        <w:t xml:space="preserve"> </w:t>
      </w:r>
      <w:r>
        <w:rPr>
          <w:szCs w:val="25"/>
        </w:rPr>
        <w:t>(</w:t>
      </w:r>
      <w:r w:rsidRPr="006A51BA">
        <w:rPr>
          <w:szCs w:val="25"/>
        </w:rPr>
        <w:t>Verse 35</w:t>
      </w:r>
      <w:r>
        <w:rPr>
          <w:szCs w:val="25"/>
        </w:rPr>
        <w:t>abcd</w:t>
      </w:r>
      <w:r w:rsidRPr="006A51BA">
        <w:rPr>
          <w:szCs w:val="25"/>
        </w:rPr>
        <w:t xml:space="preserve"> reads: </w:t>
      </w:r>
      <w:r>
        <w:rPr>
          <w:szCs w:val="25"/>
        </w:rPr>
        <w:t>“</w:t>
      </w:r>
      <w:r w:rsidRPr="006A51BA">
        <w:rPr>
          <w:szCs w:val="25"/>
        </w:rPr>
        <w:t>But love your enemies</w:t>
      </w:r>
      <w:r w:rsidR="006F304D" w:rsidRPr="006F304D">
        <w:rPr>
          <w:szCs w:val="25"/>
        </w:rPr>
        <w:t xml:space="preserve">, </w:t>
      </w:r>
      <w:r w:rsidRPr="006A51BA">
        <w:rPr>
          <w:szCs w:val="25"/>
        </w:rPr>
        <w:t>and do good</w:t>
      </w:r>
      <w:r w:rsidR="006F304D" w:rsidRPr="006F304D">
        <w:rPr>
          <w:szCs w:val="25"/>
        </w:rPr>
        <w:t xml:space="preserve">, </w:t>
      </w:r>
      <w:r w:rsidRPr="006A51BA">
        <w:rPr>
          <w:szCs w:val="25"/>
        </w:rPr>
        <w:t>and lend</w:t>
      </w:r>
      <w:r w:rsidR="006F304D" w:rsidRPr="006F304D">
        <w:rPr>
          <w:szCs w:val="25"/>
        </w:rPr>
        <w:t xml:space="preserve">, </w:t>
      </w:r>
      <w:r w:rsidRPr="006A51BA">
        <w:rPr>
          <w:szCs w:val="25"/>
        </w:rPr>
        <w:t>expecting nothing in return; and your reward will be great”</w:t>
      </w:r>
      <w:r>
        <w:rPr>
          <w:szCs w:val="25"/>
        </w:rPr>
        <w:t>)</w:t>
      </w:r>
      <w:r w:rsidRPr="006A51BA">
        <w:rPr>
          <w:szCs w:val="26"/>
        </w:rPr>
        <w:t xml:space="preserve">. </w:t>
      </w:r>
      <w:r w:rsidRPr="006A51BA">
        <w:rPr>
          <w:szCs w:val="25"/>
        </w:rPr>
        <w:t>Even more decisive</w:t>
      </w:r>
      <w:r w:rsidR="006F304D" w:rsidRPr="006F304D">
        <w:rPr>
          <w:szCs w:val="25"/>
        </w:rPr>
        <w:t xml:space="preserve">, </w:t>
      </w:r>
      <w:r w:rsidRPr="006A51BA">
        <w:rPr>
          <w:szCs w:val="25"/>
        </w:rPr>
        <w:t>perhaps</w:t>
      </w:r>
      <w:r w:rsidR="006F304D" w:rsidRPr="006F304D">
        <w:rPr>
          <w:szCs w:val="25"/>
        </w:rPr>
        <w:t xml:space="preserve">, </w:t>
      </w:r>
      <w:r w:rsidRPr="006A51BA">
        <w:rPr>
          <w:szCs w:val="25"/>
        </w:rPr>
        <w:t xml:space="preserve">is the grammatical case </w:t>
      </w:r>
      <w:r>
        <w:rPr>
          <w:szCs w:val="25"/>
        </w:rPr>
        <w:t xml:space="preserve">in </w:t>
      </w:r>
      <w:r w:rsidRPr="00CE06CA">
        <w:rPr>
          <w:bCs/>
          <w:szCs w:val="22"/>
          <w:lang w:val="el-GR"/>
        </w:rPr>
        <w:t>ποία ὑμῖν χάρις ἐστί</w:t>
      </w:r>
      <w:r>
        <w:rPr>
          <w:bCs/>
          <w:szCs w:val="22"/>
          <w:lang w:val="el-GR"/>
        </w:rPr>
        <w:t>ν</w:t>
      </w:r>
      <w:r>
        <w:rPr>
          <w:bCs/>
          <w:szCs w:val="22"/>
        </w:rPr>
        <w:t xml:space="preserve">: the </w:t>
      </w:r>
      <w:r w:rsidRPr="006A51BA">
        <w:rPr>
          <w:szCs w:val="25"/>
        </w:rPr>
        <w:t>case of</w:t>
      </w:r>
      <w:r>
        <w:rPr>
          <w:szCs w:val="25"/>
        </w:rPr>
        <w:t xml:space="preserve"> “you” in </w:t>
      </w:r>
      <w:r>
        <w:rPr>
          <w:bCs/>
          <w:szCs w:val="22"/>
        </w:rPr>
        <w:t>“what credit is that to you?” is dative.</w:t>
      </w:r>
      <w:r w:rsidRPr="006A51BA">
        <w:rPr>
          <w:szCs w:val="25"/>
        </w:rPr>
        <w:t xml:space="preserve"> The dative case is </w:t>
      </w:r>
      <w:r>
        <w:rPr>
          <w:szCs w:val="25"/>
        </w:rPr>
        <w:t xml:space="preserve">clearest </w:t>
      </w:r>
      <w:r w:rsidRPr="006A51BA">
        <w:rPr>
          <w:szCs w:val="25"/>
        </w:rPr>
        <w:t>in a literal translation</w:t>
      </w:r>
      <w:r w:rsidR="006F304D" w:rsidRPr="006F304D">
        <w:rPr>
          <w:szCs w:val="25"/>
        </w:rPr>
        <w:t xml:space="preserve">, </w:t>
      </w:r>
      <w:r>
        <w:rPr>
          <w:szCs w:val="25"/>
        </w:rPr>
        <w:t>“w</w:t>
      </w:r>
      <w:r w:rsidRPr="006A51BA">
        <w:rPr>
          <w:szCs w:val="25"/>
        </w:rPr>
        <w:t xml:space="preserve">hat </w:t>
      </w:r>
      <w:proofErr w:type="spellStart"/>
      <w:r w:rsidRPr="006A51BA">
        <w:rPr>
          <w:szCs w:val="25"/>
        </w:rPr>
        <w:t>to</w:t>
      </w:r>
      <w:proofErr w:type="spellEnd"/>
      <w:r w:rsidRPr="006A51BA">
        <w:rPr>
          <w:szCs w:val="25"/>
        </w:rPr>
        <w:t xml:space="preserve"> you </w:t>
      </w:r>
      <w:r>
        <w:rPr>
          <w:bCs/>
          <w:szCs w:val="22"/>
          <w:lang w:val="el-GR"/>
        </w:rPr>
        <w:t>χάρις</w:t>
      </w:r>
      <w:r>
        <w:rPr>
          <w:rFonts w:eastAsia="Arial"/>
        </w:rPr>
        <w:t xml:space="preserve"> </w:t>
      </w:r>
      <w:r w:rsidRPr="006A51BA">
        <w:rPr>
          <w:szCs w:val="25"/>
        </w:rPr>
        <w:t>is?” If the sense were second subjective (grace as graciousness within the disciple)</w:t>
      </w:r>
      <w:r w:rsidR="006F304D" w:rsidRPr="006F304D">
        <w:rPr>
          <w:szCs w:val="25"/>
        </w:rPr>
        <w:t xml:space="preserve">, </w:t>
      </w:r>
      <w:r w:rsidRPr="006A51BA">
        <w:rPr>
          <w:szCs w:val="25"/>
        </w:rPr>
        <w:t>one</w:t>
      </w:r>
      <w:r>
        <w:rPr>
          <w:szCs w:val="25"/>
        </w:rPr>
        <w:t xml:space="preserve"> </w:t>
      </w:r>
      <w:r w:rsidRPr="006A51BA">
        <w:rPr>
          <w:szCs w:val="25"/>
        </w:rPr>
        <w:t xml:space="preserve">would be the recipient of something </w:t>
      </w:r>
      <w:r w:rsidRPr="004C516D">
        <w:rPr>
          <w:szCs w:val="25"/>
        </w:rPr>
        <w:t>(</w:t>
      </w:r>
      <w:r w:rsidRPr="006A51BA">
        <w:rPr>
          <w:szCs w:val="25"/>
        </w:rPr>
        <w:t>as the dative case requires) that is already conceived as inherent in one (or</w:t>
      </w:r>
      <w:r w:rsidR="006F304D" w:rsidRPr="006F304D">
        <w:rPr>
          <w:szCs w:val="25"/>
        </w:rPr>
        <w:t xml:space="preserve">, </w:t>
      </w:r>
      <w:r w:rsidRPr="006A51BA">
        <w:rPr>
          <w:szCs w:val="25"/>
        </w:rPr>
        <w:t>in this case</w:t>
      </w:r>
      <w:r w:rsidR="006F304D" w:rsidRPr="006F304D">
        <w:rPr>
          <w:szCs w:val="25"/>
        </w:rPr>
        <w:t xml:space="preserve">, </w:t>
      </w:r>
      <w:r w:rsidRPr="006A51BA">
        <w:rPr>
          <w:szCs w:val="25"/>
        </w:rPr>
        <w:t>not inherent). What then shall be said of the present tense</w:t>
      </w:r>
      <w:r w:rsidR="006F304D" w:rsidRPr="006F304D">
        <w:rPr>
          <w:szCs w:val="25"/>
        </w:rPr>
        <w:t xml:space="preserve">, </w:t>
      </w:r>
      <w:r w:rsidRPr="006A51BA">
        <w:rPr>
          <w:szCs w:val="25"/>
        </w:rPr>
        <w:t xml:space="preserve">which is an argument for the second subjective sense? </w:t>
      </w:r>
      <w:r w:rsidRPr="006A51BA">
        <w:rPr>
          <w:szCs w:val="23"/>
        </w:rPr>
        <w:t xml:space="preserve">If </w:t>
      </w:r>
      <w:r w:rsidRPr="006A51BA">
        <w:rPr>
          <w:szCs w:val="25"/>
        </w:rPr>
        <w:t>the sense is objective</w:t>
      </w:r>
      <w:r w:rsidR="006F304D" w:rsidRPr="006F304D">
        <w:rPr>
          <w:szCs w:val="25"/>
        </w:rPr>
        <w:t xml:space="preserve">, </w:t>
      </w:r>
      <w:r w:rsidRPr="006A51BA">
        <w:rPr>
          <w:szCs w:val="25"/>
        </w:rPr>
        <w:t xml:space="preserve">then the present tense becomes unseemly. But the </w:t>
      </w:r>
      <w:r>
        <w:rPr>
          <w:szCs w:val="25"/>
        </w:rPr>
        <w:t>verb</w:t>
      </w:r>
      <w:r w:rsidRPr="006A51BA">
        <w:rPr>
          <w:szCs w:val="25"/>
        </w:rPr>
        <w:t xml:space="preserve"> is unseemly even if the sense were second subjective: since the entire sentence is conditional (</w:t>
      </w:r>
      <w:r w:rsidRPr="006A51BA">
        <w:rPr>
          <w:szCs w:val="23"/>
        </w:rPr>
        <w:t>“If [</w:t>
      </w:r>
      <w:r w:rsidRPr="00CE06CA">
        <w:rPr>
          <w:bCs/>
          <w:szCs w:val="22"/>
          <w:lang w:val="el-GR"/>
        </w:rPr>
        <w:t>εἰ</w:t>
      </w:r>
      <w:r>
        <w:rPr>
          <w:szCs w:val="25"/>
        </w:rPr>
        <w:t>] you love those”</w:t>
      </w:r>
      <w:r w:rsidRPr="006A51BA">
        <w:rPr>
          <w:szCs w:val="25"/>
        </w:rPr>
        <w:t>)</w:t>
      </w:r>
      <w:r w:rsidR="006F304D" w:rsidRPr="006F304D">
        <w:rPr>
          <w:szCs w:val="25"/>
        </w:rPr>
        <w:t xml:space="preserve">, </w:t>
      </w:r>
      <w:r w:rsidRPr="006A51BA">
        <w:rPr>
          <w:szCs w:val="25"/>
        </w:rPr>
        <w:t>the verb in the apo</w:t>
      </w:r>
      <w:r>
        <w:rPr>
          <w:szCs w:val="25"/>
        </w:rPr>
        <w:t>do</w:t>
      </w:r>
      <w:r w:rsidRPr="006A51BA">
        <w:rPr>
          <w:szCs w:val="25"/>
        </w:rPr>
        <w:t xml:space="preserve">sis </w:t>
      </w:r>
      <w:r>
        <w:rPr>
          <w:szCs w:val="25"/>
        </w:rPr>
        <w:t xml:space="preserve">(independent clause) </w:t>
      </w:r>
      <w:r w:rsidRPr="006A51BA">
        <w:rPr>
          <w:szCs w:val="25"/>
        </w:rPr>
        <w:t xml:space="preserve">should </w:t>
      </w:r>
      <w:r>
        <w:rPr>
          <w:szCs w:val="25"/>
        </w:rPr>
        <w:t xml:space="preserve">be in </w:t>
      </w:r>
      <w:r w:rsidRPr="006A51BA">
        <w:rPr>
          <w:szCs w:val="25"/>
        </w:rPr>
        <w:t>subjunctive</w:t>
      </w:r>
      <w:r>
        <w:rPr>
          <w:szCs w:val="25"/>
        </w:rPr>
        <w:t xml:space="preserve"> mood</w:t>
      </w:r>
      <w:r w:rsidRPr="006A51BA">
        <w:rPr>
          <w:szCs w:val="25"/>
        </w:rPr>
        <w:t xml:space="preserve">: </w:t>
      </w:r>
      <w:r w:rsidRPr="00CE06CA">
        <w:rPr>
          <w:bCs/>
          <w:szCs w:val="22"/>
          <w:lang w:val="el-GR"/>
        </w:rPr>
        <w:t>ποία ὑμῖν χάρις</w:t>
      </w:r>
      <w:r>
        <w:rPr>
          <w:bCs/>
          <w:szCs w:val="22"/>
        </w:rPr>
        <w:t xml:space="preserve"> </w:t>
      </w:r>
      <w:r w:rsidRPr="00CB0999">
        <w:rPr>
          <w:szCs w:val="22"/>
          <w:lang w:bidi="he-IL"/>
        </w:rPr>
        <w:t>ᾖ</w:t>
      </w:r>
      <w:r>
        <w:rPr>
          <w:bCs/>
          <w:szCs w:val="22"/>
        </w:rPr>
        <w:t>;</w:t>
      </w:r>
      <w:r w:rsidRPr="006A51BA">
        <w:rPr>
          <w:szCs w:val="25"/>
        </w:rPr>
        <w:t xml:space="preserve"> Thus</w:t>
      </w:r>
      <w:r w:rsidR="006F304D" w:rsidRPr="006F304D">
        <w:rPr>
          <w:szCs w:val="25"/>
        </w:rPr>
        <w:t xml:space="preserve">, </w:t>
      </w:r>
      <w:r w:rsidRPr="006A51BA">
        <w:rPr>
          <w:szCs w:val="25"/>
        </w:rPr>
        <w:t>the tense of the verb in 32b</w:t>
      </w:r>
      <w:r w:rsidR="006F304D" w:rsidRPr="006F304D">
        <w:rPr>
          <w:szCs w:val="25"/>
        </w:rPr>
        <w:t xml:space="preserve">, </w:t>
      </w:r>
      <w:r w:rsidRPr="006A51BA">
        <w:rPr>
          <w:szCs w:val="25"/>
        </w:rPr>
        <w:t>33b</w:t>
      </w:r>
      <w:r w:rsidR="006F304D" w:rsidRPr="006F304D">
        <w:rPr>
          <w:szCs w:val="25"/>
        </w:rPr>
        <w:t xml:space="preserve">, </w:t>
      </w:r>
      <w:r w:rsidRPr="006A51BA">
        <w:rPr>
          <w:szCs w:val="25"/>
        </w:rPr>
        <w:t xml:space="preserve">34b is not </w:t>
      </w:r>
      <w:r>
        <w:rPr>
          <w:szCs w:val="25"/>
        </w:rPr>
        <w:t xml:space="preserve">a strong </w:t>
      </w:r>
      <w:r w:rsidRPr="006A51BA">
        <w:rPr>
          <w:szCs w:val="25"/>
        </w:rPr>
        <w:t>argument against the objective sense.</w:t>
      </w:r>
    </w:p>
    <w:p w14:paraId="2E012F19" w14:textId="46393F42" w:rsidR="0018433B" w:rsidRPr="006A51BA" w:rsidRDefault="0018433B" w:rsidP="0018433B">
      <w:pPr>
        <w:pStyle w:val="Style"/>
        <w:widowControl/>
        <w:ind w:left="720"/>
        <w:jc w:val="both"/>
        <w:textAlignment w:val="baseline"/>
        <w:rPr>
          <w:szCs w:val="25"/>
        </w:rPr>
      </w:pPr>
      <w:r>
        <w:rPr>
          <w:szCs w:val="25"/>
        </w:rPr>
        <w:tab/>
      </w:r>
      <w:r w:rsidRPr="006A51BA">
        <w:rPr>
          <w:szCs w:val="25"/>
        </w:rPr>
        <w:t xml:space="preserve">But is it necessary to choose among the three meanings? Do they mutually exclude? Though </w:t>
      </w:r>
      <w:r w:rsidRPr="00CE06CA">
        <w:rPr>
          <w:bCs/>
          <w:szCs w:val="22"/>
          <w:lang w:val="el-GR"/>
        </w:rPr>
        <w:t>χάρις</w:t>
      </w:r>
      <w:r>
        <w:rPr>
          <w:bCs/>
          <w:szCs w:val="22"/>
        </w:rPr>
        <w:t xml:space="preserve"> </w:t>
      </w:r>
      <w:r w:rsidRPr="006A51BA">
        <w:rPr>
          <w:szCs w:val="25"/>
        </w:rPr>
        <w:t>in 32-34 seems primarily to signify a reward (the objective sense)</w:t>
      </w:r>
      <w:r w:rsidR="006F304D" w:rsidRPr="006F304D">
        <w:rPr>
          <w:szCs w:val="25"/>
        </w:rPr>
        <w:t xml:space="preserve">, </w:t>
      </w:r>
      <w:r w:rsidRPr="006A51BA">
        <w:rPr>
          <w:szCs w:val="25"/>
        </w:rPr>
        <w:t>the two subjective senses can coexist with the objective sense. In fact</w:t>
      </w:r>
      <w:r w:rsidR="006F304D" w:rsidRPr="006F304D">
        <w:rPr>
          <w:szCs w:val="25"/>
        </w:rPr>
        <w:t xml:space="preserve">, </w:t>
      </w:r>
      <w:r w:rsidRPr="006A51BA">
        <w:rPr>
          <w:szCs w:val="25"/>
        </w:rPr>
        <w:t>they must remain</w:t>
      </w:r>
      <w:r w:rsidR="006F304D" w:rsidRPr="006F304D">
        <w:rPr>
          <w:szCs w:val="25"/>
        </w:rPr>
        <w:t xml:space="preserve">, </w:t>
      </w:r>
      <w:r w:rsidRPr="006A51BA">
        <w:rPr>
          <w:szCs w:val="25"/>
        </w:rPr>
        <w:t xml:space="preserve">albeit implicitly: for </w:t>
      </w:r>
      <w:r w:rsidRPr="00CE06CA">
        <w:rPr>
          <w:bCs/>
          <w:szCs w:val="22"/>
          <w:lang w:val="el-GR"/>
        </w:rPr>
        <w:t>χάρις</w:t>
      </w:r>
      <w:r>
        <w:rPr>
          <w:bCs/>
          <w:szCs w:val="22"/>
        </w:rPr>
        <w:t xml:space="preserve"> </w:t>
      </w:r>
      <w:r w:rsidRPr="006A51BA">
        <w:rPr>
          <w:szCs w:val="25"/>
        </w:rPr>
        <w:t xml:space="preserve">as gift implies </w:t>
      </w:r>
      <w:r w:rsidRPr="00CE06CA">
        <w:rPr>
          <w:bCs/>
          <w:szCs w:val="22"/>
          <w:lang w:val="el-GR"/>
        </w:rPr>
        <w:t>χάρις</w:t>
      </w:r>
      <w:r>
        <w:rPr>
          <w:bCs/>
          <w:szCs w:val="22"/>
        </w:rPr>
        <w:t xml:space="preserve"> </w:t>
      </w:r>
      <w:r w:rsidRPr="006A51BA">
        <w:rPr>
          <w:szCs w:val="25"/>
        </w:rPr>
        <w:t>as bene</w:t>
      </w:r>
      <w:r w:rsidRPr="006A51BA">
        <w:rPr>
          <w:szCs w:val="25"/>
        </w:rPr>
        <w:softHyphen/>
        <w:t xml:space="preserve">volence in the giver and </w:t>
      </w:r>
      <w:r w:rsidRPr="00CE06CA">
        <w:rPr>
          <w:bCs/>
          <w:szCs w:val="22"/>
          <w:lang w:val="el-GR"/>
        </w:rPr>
        <w:t>χάρις</w:t>
      </w:r>
      <w:r>
        <w:rPr>
          <w:bCs/>
          <w:szCs w:val="22"/>
        </w:rPr>
        <w:t xml:space="preserve"> </w:t>
      </w:r>
      <w:r w:rsidRPr="006A51BA">
        <w:rPr>
          <w:szCs w:val="25"/>
        </w:rPr>
        <w:t xml:space="preserve">as response in the recipient. (Perhaps it is also implied that the response </w:t>
      </w:r>
      <w:r w:rsidRPr="006A51BA">
        <w:rPr>
          <w:rFonts w:eastAsia="Arial"/>
          <w:i/>
          <w:iCs/>
        </w:rPr>
        <w:t>is</w:t>
      </w:r>
      <w:r w:rsidRPr="00CD4AF2">
        <w:rPr>
          <w:rFonts w:eastAsia="Arial"/>
          <w:iCs/>
        </w:rPr>
        <w:t xml:space="preserve"> </w:t>
      </w:r>
      <w:r w:rsidRPr="006A51BA">
        <w:rPr>
          <w:szCs w:val="25"/>
        </w:rPr>
        <w:t xml:space="preserve">the gift. </w:t>
      </w:r>
      <w:r w:rsidRPr="006A51BA">
        <w:rPr>
          <w:szCs w:val="23"/>
        </w:rPr>
        <w:t xml:space="preserve">If </w:t>
      </w:r>
      <w:r w:rsidRPr="006A51BA">
        <w:rPr>
          <w:szCs w:val="25"/>
        </w:rPr>
        <w:t>so</w:t>
      </w:r>
      <w:r w:rsidR="006F304D" w:rsidRPr="006F304D">
        <w:rPr>
          <w:szCs w:val="25"/>
        </w:rPr>
        <w:t xml:space="preserve">, </w:t>
      </w:r>
      <w:r w:rsidRPr="006A51BA">
        <w:rPr>
          <w:szCs w:val="25"/>
        </w:rPr>
        <w:t xml:space="preserve">then </w:t>
      </w:r>
      <w:r w:rsidRPr="00CE06CA">
        <w:rPr>
          <w:bCs/>
          <w:szCs w:val="22"/>
          <w:lang w:val="el-GR"/>
        </w:rPr>
        <w:t>χάρις</w:t>
      </w:r>
      <w:r>
        <w:rPr>
          <w:bCs/>
          <w:szCs w:val="22"/>
        </w:rPr>
        <w:t xml:space="preserve"> </w:t>
      </w:r>
      <w:r w:rsidRPr="006A51BA">
        <w:rPr>
          <w:szCs w:val="25"/>
        </w:rPr>
        <w:t xml:space="preserve">in this versicle contains in germ </w:t>
      </w:r>
      <w:r>
        <w:rPr>
          <w:szCs w:val="25"/>
        </w:rPr>
        <w:t xml:space="preserve">much of the </w:t>
      </w:r>
      <w:r w:rsidRPr="006A51BA">
        <w:rPr>
          <w:szCs w:val="25"/>
        </w:rPr>
        <w:t>traditional treatise on grace</w:t>
      </w:r>
      <w:r w:rsidRPr="00230C90">
        <w:rPr>
          <w:szCs w:val="25"/>
        </w:rPr>
        <w:t>—</w:t>
      </w:r>
      <w:r w:rsidRPr="006A51BA">
        <w:rPr>
          <w:szCs w:val="25"/>
        </w:rPr>
        <w:t>even the idea that the gift is merit</w:t>
      </w:r>
      <w:r w:rsidR="006F304D" w:rsidRPr="006F304D">
        <w:rPr>
          <w:szCs w:val="25"/>
        </w:rPr>
        <w:t xml:space="preserve">, </w:t>
      </w:r>
      <w:r w:rsidRPr="006A51BA">
        <w:rPr>
          <w:szCs w:val="25"/>
        </w:rPr>
        <w:t xml:space="preserve">if </w:t>
      </w:r>
      <w:r w:rsidRPr="00FF03AB">
        <w:rPr>
          <w:szCs w:val="25"/>
        </w:rPr>
        <w:t>“</w:t>
      </w:r>
      <w:r w:rsidRPr="006A51BA">
        <w:rPr>
          <w:szCs w:val="25"/>
        </w:rPr>
        <w:t>merit” be an acceptable synonym for “credit.”)</w:t>
      </w:r>
    </w:p>
    <w:p w14:paraId="7E789BCF" w14:textId="7DF12ACF" w:rsidR="0018433B" w:rsidRPr="006A51BA" w:rsidRDefault="0018433B" w:rsidP="0018433B">
      <w:pPr>
        <w:pStyle w:val="Style"/>
        <w:widowControl/>
        <w:ind w:left="720"/>
        <w:jc w:val="both"/>
        <w:textAlignment w:val="baseline"/>
        <w:rPr>
          <w:szCs w:val="25"/>
        </w:rPr>
      </w:pPr>
      <w:r>
        <w:rPr>
          <w:szCs w:val="25"/>
        </w:rPr>
        <w:tab/>
      </w:r>
      <w:r w:rsidRPr="006A51BA">
        <w:rPr>
          <w:szCs w:val="25"/>
        </w:rPr>
        <w:t>At any rate</w:t>
      </w:r>
      <w:r w:rsidR="006F304D" w:rsidRPr="006F304D">
        <w:rPr>
          <w:szCs w:val="25"/>
        </w:rPr>
        <w:t xml:space="preserve">, </w:t>
      </w:r>
      <w:r w:rsidRPr="006A51BA">
        <w:rPr>
          <w:szCs w:val="25"/>
        </w:rPr>
        <w:t>though 32b</w:t>
      </w:r>
      <w:r w:rsidR="006F304D" w:rsidRPr="006F304D">
        <w:rPr>
          <w:szCs w:val="25"/>
        </w:rPr>
        <w:t xml:space="preserve">, </w:t>
      </w:r>
      <w:r w:rsidRPr="006A51BA">
        <w:rPr>
          <w:szCs w:val="25"/>
        </w:rPr>
        <w:t>33b</w:t>
      </w:r>
      <w:r w:rsidR="006F304D" w:rsidRPr="006F304D">
        <w:rPr>
          <w:szCs w:val="25"/>
        </w:rPr>
        <w:t xml:space="preserve">, </w:t>
      </w:r>
      <w:r w:rsidRPr="006A51BA">
        <w:rPr>
          <w:szCs w:val="25"/>
        </w:rPr>
        <w:t>and 34b do refer to reward</w:t>
      </w:r>
      <w:r w:rsidR="006F304D" w:rsidRPr="006F304D">
        <w:rPr>
          <w:szCs w:val="25"/>
        </w:rPr>
        <w:t xml:space="preserve">, </w:t>
      </w:r>
      <w:r w:rsidRPr="006A51BA">
        <w:rPr>
          <w:szCs w:val="25"/>
        </w:rPr>
        <w:t>any tendency to under</w:t>
      </w:r>
      <w:r w:rsidRPr="006A51BA">
        <w:rPr>
          <w:szCs w:val="25"/>
        </w:rPr>
        <w:softHyphen/>
        <w:t>stand the clause as suggesting a premeditated reckoning of results should be tem</w:t>
      </w:r>
      <w:r w:rsidRPr="006A51BA">
        <w:rPr>
          <w:szCs w:val="25"/>
        </w:rPr>
        <w:softHyphen/>
        <w:t>pered by the implicit subjective meanings of</w:t>
      </w:r>
      <w:r>
        <w:rPr>
          <w:szCs w:val="25"/>
        </w:rPr>
        <w:t xml:space="preserve"> </w:t>
      </w:r>
      <w:r w:rsidRPr="00CE06CA">
        <w:rPr>
          <w:bCs/>
          <w:szCs w:val="22"/>
          <w:lang w:val="el-GR"/>
        </w:rPr>
        <w:t>χάρις</w:t>
      </w:r>
      <w:r w:rsidRPr="006A51BA">
        <w:rPr>
          <w:szCs w:val="25"/>
        </w:rPr>
        <w:t>. Thus</w:t>
      </w:r>
      <w:r w:rsidR="006F304D" w:rsidRPr="006F304D">
        <w:rPr>
          <w:szCs w:val="25"/>
        </w:rPr>
        <w:t xml:space="preserve">, </w:t>
      </w:r>
      <w:r w:rsidRPr="006A51BA">
        <w:rPr>
          <w:szCs w:val="25"/>
        </w:rPr>
        <w:t>32-34 need not refer to cold-blooded calculation.</w:t>
      </w:r>
    </w:p>
    <w:p w14:paraId="73FE4A35" w14:textId="77777777" w:rsidR="0018433B" w:rsidRPr="006A51BA" w:rsidRDefault="0018433B" w:rsidP="0018433B">
      <w:pPr>
        <w:pStyle w:val="Style"/>
        <w:widowControl/>
        <w:jc w:val="both"/>
        <w:textAlignment w:val="baseline"/>
        <w:rPr>
          <w:szCs w:val="23"/>
        </w:rPr>
      </w:pPr>
    </w:p>
    <w:p w14:paraId="7D71D6C0" w14:textId="7198C7B2" w:rsidR="0018433B" w:rsidRPr="006A51BA" w:rsidRDefault="0018433B" w:rsidP="0018433B">
      <w:pPr>
        <w:pStyle w:val="Style"/>
        <w:widowControl/>
        <w:jc w:val="both"/>
        <w:textAlignment w:val="baseline"/>
        <w:rPr>
          <w:szCs w:val="25"/>
        </w:rPr>
      </w:pPr>
      <w:r>
        <w:rPr>
          <w:szCs w:val="25"/>
        </w:rPr>
        <w:tab/>
      </w:r>
      <w:r w:rsidRPr="006A51BA">
        <w:rPr>
          <w:szCs w:val="25"/>
        </w:rPr>
        <w:t>Between these two sections on disinterested love (27-30 and 32-34) falls verse</w:t>
      </w:r>
      <w:r>
        <w:rPr>
          <w:szCs w:val="25"/>
        </w:rPr>
        <w:t xml:space="preserve"> 31. </w:t>
      </w:r>
      <w:r w:rsidRPr="006A51BA">
        <w:rPr>
          <w:szCs w:val="25"/>
        </w:rPr>
        <w:t>Given the context</w:t>
      </w:r>
      <w:r w:rsidR="006F304D" w:rsidRPr="006F304D">
        <w:rPr>
          <w:szCs w:val="25"/>
        </w:rPr>
        <w:t xml:space="preserve">, </w:t>
      </w:r>
      <w:r w:rsidRPr="006A51BA">
        <w:rPr>
          <w:szCs w:val="25"/>
        </w:rPr>
        <w:t xml:space="preserve">one naturally assumes that the subject of verse 31 must also be disinterested love. But therein lies the dilemma: the context </w:t>
      </w:r>
      <w:r>
        <w:rPr>
          <w:szCs w:val="25"/>
        </w:rPr>
        <w:t xml:space="preserve">pressures </w:t>
      </w:r>
      <w:r w:rsidRPr="006A51BA">
        <w:rPr>
          <w:szCs w:val="25"/>
        </w:rPr>
        <w:t>the verse to refer to disinterested love</w:t>
      </w:r>
      <w:r w:rsidR="006F304D" w:rsidRPr="006F304D">
        <w:rPr>
          <w:szCs w:val="25"/>
        </w:rPr>
        <w:t xml:space="preserve">, </w:t>
      </w:r>
      <w:r w:rsidRPr="006A51BA">
        <w:rPr>
          <w:szCs w:val="25"/>
        </w:rPr>
        <w:t>but the verse itself</w:t>
      </w:r>
      <w:r w:rsidR="006F304D" w:rsidRPr="006F304D">
        <w:rPr>
          <w:szCs w:val="25"/>
        </w:rPr>
        <w:t xml:space="preserve">, </w:t>
      </w:r>
      <w:r w:rsidRPr="006A51BA">
        <w:rPr>
          <w:szCs w:val="25"/>
        </w:rPr>
        <w:t>on its face at least</w:t>
      </w:r>
      <w:r w:rsidR="006F304D" w:rsidRPr="006F304D">
        <w:rPr>
          <w:szCs w:val="25"/>
        </w:rPr>
        <w:t xml:space="preserve">, </w:t>
      </w:r>
      <w:r w:rsidRPr="006A51BA">
        <w:rPr>
          <w:szCs w:val="25"/>
        </w:rPr>
        <w:t>refers to interested love.</w:t>
      </w:r>
    </w:p>
    <w:p w14:paraId="13487B90" w14:textId="7E43E42C" w:rsidR="0018433B" w:rsidRPr="006A51BA" w:rsidRDefault="0018433B" w:rsidP="0018433B">
      <w:pPr>
        <w:pStyle w:val="Style"/>
        <w:widowControl/>
        <w:jc w:val="both"/>
        <w:textAlignment w:val="baseline"/>
        <w:rPr>
          <w:iCs/>
          <w:szCs w:val="25"/>
        </w:rPr>
      </w:pPr>
      <w:r>
        <w:rPr>
          <w:szCs w:val="25"/>
        </w:rPr>
        <w:tab/>
      </w:r>
      <w:r w:rsidRPr="006A51BA">
        <w:rPr>
          <w:szCs w:val="25"/>
        </w:rPr>
        <w:t>For</w:t>
      </w:r>
      <w:r w:rsidR="006F304D" w:rsidRPr="006F304D">
        <w:rPr>
          <w:szCs w:val="25"/>
        </w:rPr>
        <w:t xml:space="preserve">, </w:t>
      </w:r>
      <w:r w:rsidRPr="006A51BA">
        <w:rPr>
          <w:szCs w:val="25"/>
        </w:rPr>
        <w:t>unlike the preceding verses</w:t>
      </w:r>
      <w:r w:rsidR="006F304D" w:rsidRPr="006F304D">
        <w:rPr>
          <w:szCs w:val="25"/>
        </w:rPr>
        <w:t xml:space="preserve">, </w:t>
      </w:r>
      <w:r w:rsidRPr="006A51BA">
        <w:rPr>
          <w:szCs w:val="25"/>
        </w:rPr>
        <w:t xml:space="preserve">31 </w:t>
      </w:r>
      <w:r>
        <w:rPr>
          <w:szCs w:val="25"/>
        </w:rPr>
        <w:t>seems to propose</w:t>
      </w:r>
      <w:r w:rsidRPr="006A51BA">
        <w:rPr>
          <w:szCs w:val="25"/>
        </w:rPr>
        <w:t xml:space="preserve"> a motive for acting favorably toward others: </w:t>
      </w:r>
      <w:r w:rsidRPr="00FF03AB">
        <w:rPr>
          <w:szCs w:val="25"/>
        </w:rPr>
        <w:t>“</w:t>
      </w:r>
      <w:r w:rsidRPr="00CD75A6">
        <w:t>as you would have them do to you</w:t>
      </w:r>
      <w:r>
        <w:t>.</w:t>
      </w:r>
      <w:r>
        <w:rPr>
          <w:szCs w:val="25"/>
        </w:rPr>
        <w:t xml:space="preserve">” </w:t>
      </w:r>
      <w:r w:rsidRPr="006A51BA">
        <w:rPr>
          <w:szCs w:val="25"/>
        </w:rPr>
        <w:t>This can be interpreted to mean: because there is a connection between one’s actions and others’ reactions to them</w:t>
      </w:r>
      <w:r w:rsidR="006F304D" w:rsidRPr="006F304D">
        <w:rPr>
          <w:szCs w:val="25"/>
        </w:rPr>
        <w:t xml:space="preserve">, </w:t>
      </w:r>
      <w:r w:rsidRPr="006A51BA">
        <w:rPr>
          <w:szCs w:val="25"/>
        </w:rPr>
        <w:t xml:space="preserve">one had better treat others well. The equivalence of the reaction to the action even </w:t>
      </w:r>
      <w:r>
        <w:rPr>
          <w:szCs w:val="25"/>
        </w:rPr>
        <w:t xml:space="preserve">seems to be </w:t>
      </w:r>
      <w:r w:rsidRPr="006A51BA">
        <w:rPr>
          <w:szCs w:val="25"/>
        </w:rPr>
        <w:t>emphasized</w:t>
      </w:r>
      <w:r w:rsidR="006F304D" w:rsidRPr="006F304D">
        <w:rPr>
          <w:szCs w:val="25"/>
        </w:rPr>
        <w:t xml:space="preserve">, </w:t>
      </w:r>
      <w:r w:rsidRPr="006A51BA">
        <w:rPr>
          <w:szCs w:val="25"/>
        </w:rPr>
        <w:t xml:space="preserve">for the subordinate conjunction is not merely </w:t>
      </w:r>
      <w:proofErr w:type="spellStart"/>
      <w:r w:rsidRPr="00CB0999">
        <w:rPr>
          <w:szCs w:val="22"/>
          <w:lang w:bidi="he-IL"/>
        </w:rPr>
        <w:t>ὡ</w:t>
      </w:r>
      <w:r>
        <w:rPr>
          <w:szCs w:val="22"/>
          <w:lang w:bidi="he-IL"/>
        </w:rPr>
        <w:t>ς</w:t>
      </w:r>
      <w:proofErr w:type="spellEnd"/>
      <w:r w:rsidR="006F304D" w:rsidRPr="006F304D">
        <w:rPr>
          <w:rFonts w:eastAsia="Arial"/>
          <w:szCs w:val="26"/>
        </w:rPr>
        <w:t xml:space="preserve">, </w:t>
      </w:r>
      <w:r w:rsidRPr="006A51BA">
        <w:rPr>
          <w:rFonts w:eastAsia="Arial"/>
          <w:szCs w:val="26"/>
        </w:rPr>
        <w:t>“</w:t>
      </w:r>
      <w:r w:rsidRPr="006A51BA">
        <w:rPr>
          <w:szCs w:val="25"/>
        </w:rPr>
        <w:t>as,”</w:t>
      </w:r>
      <w:r>
        <w:rPr>
          <w:szCs w:val="25"/>
        </w:rPr>
        <w:t xml:space="preserve"> but κα</w:t>
      </w:r>
      <w:proofErr w:type="spellStart"/>
      <w:r>
        <w:rPr>
          <w:szCs w:val="25"/>
        </w:rPr>
        <w:t>θώς</w:t>
      </w:r>
      <w:proofErr w:type="spellEnd"/>
      <w:r w:rsidR="006F304D" w:rsidRPr="006F304D">
        <w:rPr>
          <w:szCs w:val="25"/>
        </w:rPr>
        <w:t xml:space="preserve">, </w:t>
      </w:r>
      <w:r>
        <w:rPr>
          <w:szCs w:val="25"/>
        </w:rPr>
        <w:t>“</w:t>
      </w:r>
      <w:r w:rsidRPr="006A51BA">
        <w:rPr>
          <w:szCs w:val="25"/>
        </w:rPr>
        <w:t>just as,” “to the same degree that.”</w:t>
      </w:r>
      <w:r>
        <w:rPr>
          <w:rStyle w:val="FootnoteReference"/>
          <w:szCs w:val="25"/>
        </w:rPr>
        <w:footnoteReference w:id="544"/>
      </w:r>
      <w:r w:rsidRPr="006A51BA">
        <w:rPr>
          <w:szCs w:val="25"/>
        </w:rPr>
        <w:t xml:space="preserve"> Verse 31</w:t>
      </w:r>
      <w:r w:rsidR="006F304D" w:rsidRPr="006F304D">
        <w:rPr>
          <w:szCs w:val="25"/>
        </w:rPr>
        <w:t xml:space="preserve">, </w:t>
      </w:r>
      <w:r w:rsidRPr="006A51BA">
        <w:rPr>
          <w:szCs w:val="25"/>
        </w:rPr>
        <w:t>then</w:t>
      </w:r>
      <w:r w:rsidR="006F304D" w:rsidRPr="006F304D">
        <w:rPr>
          <w:szCs w:val="25"/>
        </w:rPr>
        <w:t xml:space="preserve">, </w:t>
      </w:r>
      <w:r w:rsidRPr="006A51BA">
        <w:rPr>
          <w:szCs w:val="25"/>
        </w:rPr>
        <w:t>appears to be</w:t>
      </w:r>
      <w:r w:rsidR="006F304D" w:rsidRPr="006F304D">
        <w:rPr>
          <w:szCs w:val="25"/>
        </w:rPr>
        <w:t xml:space="preserve">, </w:t>
      </w:r>
      <w:r w:rsidRPr="006A51BA">
        <w:rPr>
          <w:szCs w:val="25"/>
        </w:rPr>
        <w:t>not a statement of Jesus’ love-of-enemies ethic</w:t>
      </w:r>
      <w:r w:rsidR="006F304D" w:rsidRPr="006F304D">
        <w:rPr>
          <w:szCs w:val="25"/>
        </w:rPr>
        <w:t xml:space="preserve">, </w:t>
      </w:r>
      <w:r w:rsidRPr="006A51BA">
        <w:rPr>
          <w:szCs w:val="25"/>
        </w:rPr>
        <w:t>but a statement of the older</w:t>
      </w:r>
      <w:r w:rsidR="006F304D" w:rsidRPr="006F304D">
        <w:rPr>
          <w:szCs w:val="25"/>
        </w:rPr>
        <w:t xml:space="preserve">, </w:t>
      </w:r>
      <w:r w:rsidRPr="006A51BA">
        <w:rPr>
          <w:szCs w:val="25"/>
        </w:rPr>
        <w:lastRenderedPageBreak/>
        <w:t>mutual</w:t>
      </w:r>
      <w:r>
        <w:rPr>
          <w:szCs w:val="25"/>
        </w:rPr>
        <w:t>-</w:t>
      </w:r>
      <w:r w:rsidRPr="006A51BA">
        <w:rPr>
          <w:szCs w:val="25"/>
        </w:rPr>
        <w:t xml:space="preserve">recompense ethic. </w:t>
      </w:r>
      <w:proofErr w:type="spellStart"/>
      <w:r w:rsidRPr="006A51BA">
        <w:rPr>
          <w:szCs w:val="25"/>
        </w:rPr>
        <w:t>Merkelbach</w:t>
      </w:r>
      <w:proofErr w:type="spellEnd"/>
      <w:r w:rsidRPr="006A51BA">
        <w:rPr>
          <w:szCs w:val="25"/>
        </w:rPr>
        <w:t xml:space="preserve"> </w:t>
      </w:r>
      <w:r>
        <w:rPr>
          <w:szCs w:val="25"/>
        </w:rPr>
        <w:t xml:space="preserve">even </w:t>
      </w:r>
      <w:r w:rsidRPr="006A51BA">
        <w:rPr>
          <w:szCs w:val="25"/>
        </w:rPr>
        <w:t xml:space="preserve">concludes that verse 31 is nothing but a restatement of the </w:t>
      </w:r>
      <w:r w:rsidRPr="006A51BA">
        <w:rPr>
          <w:i/>
          <w:iCs/>
          <w:szCs w:val="25"/>
        </w:rPr>
        <w:t>lex talionis</w:t>
      </w:r>
      <w:r>
        <w:rPr>
          <w:iCs/>
          <w:szCs w:val="25"/>
        </w:rPr>
        <w:t xml:space="preserve"> (an eye for an eye).</w:t>
      </w:r>
    </w:p>
    <w:p w14:paraId="5EB907DF" w14:textId="77777777" w:rsidR="0018433B" w:rsidRDefault="0018433B" w:rsidP="0018433B">
      <w:pPr>
        <w:pStyle w:val="Style"/>
        <w:widowControl/>
        <w:jc w:val="both"/>
        <w:textAlignment w:val="baseline"/>
        <w:rPr>
          <w:szCs w:val="25"/>
        </w:rPr>
      </w:pPr>
    </w:p>
    <w:p w14:paraId="7B6FD791" w14:textId="329E54BE" w:rsidR="0018433B" w:rsidRPr="006A51BA" w:rsidRDefault="0018433B" w:rsidP="0018433B">
      <w:pPr>
        <w:pStyle w:val="Style"/>
        <w:widowControl/>
        <w:ind w:left="720" w:right="720"/>
        <w:jc w:val="both"/>
        <w:textAlignment w:val="baseline"/>
        <w:rPr>
          <w:szCs w:val="2"/>
          <w:vertAlign w:val="superscript"/>
        </w:rPr>
      </w:pPr>
      <w:r w:rsidRPr="006A51BA">
        <w:rPr>
          <w:szCs w:val="25"/>
        </w:rPr>
        <w:t>In the golden rule is the message to do evil to enemies</w:t>
      </w:r>
      <w:r w:rsidR="006F304D" w:rsidRPr="006F304D">
        <w:rPr>
          <w:szCs w:val="25"/>
        </w:rPr>
        <w:t xml:space="preserve">, </w:t>
      </w:r>
      <w:r w:rsidRPr="006A51BA">
        <w:rPr>
          <w:szCs w:val="25"/>
        </w:rPr>
        <w:t xml:space="preserve">to omit them; it is still based on the principle of reciprocity </w:t>
      </w:r>
      <w:r>
        <w:rPr>
          <w:szCs w:val="25"/>
        </w:rPr>
        <w:t xml:space="preserve">. . . </w:t>
      </w:r>
      <w:r w:rsidRPr="006A51BA">
        <w:rPr>
          <w:szCs w:val="25"/>
        </w:rPr>
        <w:t xml:space="preserve">Because Jesus rejected every </w:t>
      </w:r>
      <w:r>
        <w:rPr>
          <w:szCs w:val="25"/>
        </w:rPr>
        <w:t>“</w:t>
      </w:r>
      <w:r w:rsidRPr="006A51BA">
        <w:rPr>
          <w:szCs w:val="25"/>
        </w:rPr>
        <w:t>as</w:t>
      </w:r>
      <w:r>
        <w:rPr>
          <w:szCs w:val="25"/>
        </w:rPr>
        <w:t xml:space="preserve"> </w:t>
      </w:r>
      <w:r w:rsidRPr="006A51BA">
        <w:rPr>
          <w:szCs w:val="25"/>
        </w:rPr>
        <w:t>you</w:t>
      </w:r>
      <w:r>
        <w:rPr>
          <w:szCs w:val="25"/>
        </w:rPr>
        <w:t xml:space="preserve"> </w:t>
      </w:r>
      <w:r w:rsidRPr="006A51BA">
        <w:rPr>
          <w:szCs w:val="25"/>
        </w:rPr>
        <w:t>do</w:t>
      </w:r>
      <w:r>
        <w:rPr>
          <w:szCs w:val="25"/>
        </w:rPr>
        <w:t xml:space="preserve"> </w:t>
      </w:r>
      <w:r w:rsidRPr="006A51BA">
        <w:rPr>
          <w:szCs w:val="25"/>
        </w:rPr>
        <w:t>to</w:t>
      </w:r>
      <w:r>
        <w:rPr>
          <w:szCs w:val="25"/>
        </w:rPr>
        <w:t xml:space="preserve"> </w:t>
      </w:r>
      <w:r w:rsidRPr="006A51BA">
        <w:rPr>
          <w:szCs w:val="25"/>
        </w:rPr>
        <w:t>me</w:t>
      </w:r>
      <w:r w:rsidR="006F304D" w:rsidRPr="006F304D">
        <w:rPr>
          <w:szCs w:val="25"/>
        </w:rPr>
        <w:t xml:space="preserve">, </w:t>
      </w:r>
      <w:r w:rsidRPr="006A51BA">
        <w:rPr>
          <w:szCs w:val="25"/>
        </w:rPr>
        <w:t>so</w:t>
      </w:r>
      <w:r>
        <w:rPr>
          <w:szCs w:val="25"/>
        </w:rPr>
        <w:t xml:space="preserve"> </w:t>
      </w:r>
      <w:r w:rsidRPr="006A51BA">
        <w:rPr>
          <w:szCs w:val="25"/>
        </w:rPr>
        <w:t>I</w:t>
      </w:r>
      <w:r>
        <w:rPr>
          <w:szCs w:val="25"/>
        </w:rPr>
        <w:t xml:space="preserve"> </w:t>
      </w:r>
      <w:r w:rsidRPr="006A51BA">
        <w:rPr>
          <w:szCs w:val="25"/>
        </w:rPr>
        <w:t>do</w:t>
      </w:r>
      <w:r>
        <w:rPr>
          <w:szCs w:val="25"/>
        </w:rPr>
        <w:t xml:space="preserve"> </w:t>
      </w:r>
      <w:r w:rsidRPr="006A51BA">
        <w:rPr>
          <w:szCs w:val="25"/>
        </w:rPr>
        <w:t>to</w:t>
      </w:r>
      <w:r>
        <w:rPr>
          <w:szCs w:val="25"/>
        </w:rPr>
        <w:t xml:space="preserve"> </w:t>
      </w:r>
      <w:r w:rsidRPr="006A51BA">
        <w:rPr>
          <w:szCs w:val="25"/>
        </w:rPr>
        <w:t xml:space="preserve">you,” so he excluded also its most sublimated </w:t>
      </w:r>
      <w:r>
        <w:rPr>
          <w:szCs w:val="25"/>
        </w:rPr>
        <w:t>[</w:t>
      </w:r>
      <w:proofErr w:type="spellStart"/>
      <w:r w:rsidRPr="006A2286">
        <w:rPr>
          <w:i/>
          <w:szCs w:val="25"/>
        </w:rPr>
        <w:t>sublimierteste</w:t>
      </w:r>
      <w:proofErr w:type="spellEnd"/>
      <w:r>
        <w:rPr>
          <w:szCs w:val="25"/>
        </w:rPr>
        <w:t xml:space="preserve">] </w:t>
      </w:r>
      <w:r w:rsidRPr="006A51BA">
        <w:rPr>
          <w:szCs w:val="25"/>
        </w:rPr>
        <w:t>form</w:t>
      </w:r>
      <w:r w:rsidR="006F304D" w:rsidRPr="006F304D">
        <w:rPr>
          <w:szCs w:val="25"/>
        </w:rPr>
        <w:t xml:space="preserve">, </w:t>
      </w:r>
      <w:r w:rsidRPr="006A51BA">
        <w:rPr>
          <w:szCs w:val="25"/>
        </w:rPr>
        <w:t>the golden rule.</w:t>
      </w:r>
      <w:r>
        <w:rPr>
          <w:rStyle w:val="FootnoteReference"/>
          <w:szCs w:val="25"/>
        </w:rPr>
        <w:footnoteReference w:id="545"/>
      </w:r>
    </w:p>
    <w:p w14:paraId="0CADC28D" w14:textId="77777777" w:rsidR="0018433B" w:rsidRPr="006A51BA" w:rsidRDefault="0018433B" w:rsidP="0018433B">
      <w:pPr>
        <w:pStyle w:val="Style"/>
        <w:widowControl/>
        <w:jc w:val="both"/>
        <w:textAlignment w:val="baseline"/>
        <w:rPr>
          <w:szCs w:val="25"/>
        </w:rPr>
      </w:pPr>
    </w:p>
    <w:p w14:paraId="010D4BDB" w14:textId="7211EB9A" w:rsidR="0018433B" w:rsidRPr="006A51BA" w:rsidRDefault="0018433B" w:rsidP="0018433B">
      <w:pPr>
        <w:pStyle w:val="Style"/>
        <w:widowControl/>
        <w:jc w:val="both"/>
        <w:textAlignment w:val="baseline"/>
        <w:rPr>
          <w:szCs w:val="25"/>
        </w:rPr>
      </w:pPr>
      <w:r>
        <w:rPr>
          <w:szCs w:val="25"/>
        </w:rPr>
        <w:tab/>
      </w:r>
      <w:r w:rsidRPr="006A51BA">
        <w:rPr>
          <w:szCs w:val="25"/>
        </w:rPr>
        <w:t xml:space="preserve">But this leaves verse 31 in complete contradiction to 27-30 and 32-34. </w:t>
      </w:r>
      <w:r>
        <w:rPr>
          <w:szCs w:val="25"/>
        </w:rPr>
        <w:t>In this understanding</w:t>
      </w:r>
      <w:r w:rsidR="006F304D" w:rsidRPr="006F304D">
        <w:rPr>
          <w:szCs w:val="25"/>
        </w:rPr>
        <w:t xml:space="preserve">, </w:t>
      </w:r>
      <w:r w:rsidRPr="006A51BA">
        <w:rPr>
          <w:szCs w:val="25"/>
        </w:rPr>
        <w:t>31 restricts love to one’s friends</w:t>
      </w:r>
      <w:r w:rsidR="006F304D" w:rsidRPr="006F304D">
        <w:rPr>
          <w:szCs w:val="25"/>
        </w:rPr>
        <w:t xml:space="preserve">, </w:t>
      </w:r>
      <w:r w:rsidRPr="006A51BA">
        <w:rPr>
          <w:szCs w:val="25"/>
        </w:rPr>
        <w:t>whereas the other verses extend love to one’s enemies. Contradiction here is not impossible; in fact</w:t>
      </w:r>
      <w:r w:rsidR="006F304D" w:rsidRPr="006F304D">
        <w:rPr>
          <w:szCs w:val="25"/>
        </w:rPr>
        <w:t xml:space="preserve">, </w:t>
      </w:r>
      <w:r w:rsidRPr="006A51BA">
        <w:rPr>
          <w:szCs w:val="25"/>
        </w:rPr>
        <w:t>it is chiefly by means of contradictions</w:t>
      </w:r>
      <w:r>
        <w:rPr>
          <w:szCs w:val="25"/>
        </w:rPr>
        <w:t xml:space="preserve"> (and doublets)</w:t>
      </w:r>
      <w:r w:rsidRPr="006A51BA">
        <w:rPr>
          <w:szCs w:val="25"/>
        </w:rPr>
        <w:t xml:space="preserve"> throughout </w:t>
      </w:r>
      <w:r>
        <w:rPr>
          <w:szCs w:val="25"/>
        </w:rPr>
        <w:t xml:space="preserve">scripture </w:t>
      </w:r>
      <w:r w:rsidRPr="006A51BA">
        <w:rPr>
          <w:szCs w:val="25"/>
        </w:rPr>
        <w:t xml:space="preserve">that we are able to reconstruct </w:t>
      </w:r>
      <w:r>
        <w:rPr>
          <w:szCs w:val="25"/>
        </w:rPr>
        <w:t>probable tradition histories</w:t>
      </w:r>
      <w:r w:rsidRPr="006A51BA">
        <w:rPr>
          <w:szCs w:val="25"/>
        </w:rPr>
        <w:t>.</w:t>
      </w:r>
      <w:r>
        <w:rPr>
          <w:rStyle w:val="FootnoteReference"/>
          <w:szCs w:val="25"/>
        </w:rPr>
        <w:footnoteReference w:id="546"/>
      </w:r>
      <w:r w:rsidRPr="006A51BA">
        <w:rPr>
          <w:szCs w:val="25"/>
        </w:rPr>
        <w:t xml:space="preserve"> Some redactional incident which resulted in the placement of verse 31 in a context alien to it may very well underlie the present form of the text. Nevertheless</w:t>
      </w:r>
      <w:r w:rsidR="006F304D" w:rsidRPr="006F304D">
        <w:rPr>
          <w:szCs w:val="25"/>
        </w:rPr>
        <w:t xml:space="preserve">, </w:t>
      </w:r>
      <w:r w:rsidRPr="006A51BA">
        <w:rPr>
          <w:szCs w:val="25"/>
        </w:rPr>
        <w:t xml:space="preserve">it </w:t>
      </w:r>
      <w:r w:rsidRPr="006A51BA">
        <w:t xml:space="preserve">is </w:t>
      </w:r>
      <w:r w:rsidRPr="006A51BA">
        <w:rPr>
          <w:szCs w:val="25"/>
        </w:rPr>
        <w:t xml:space="preserve">a sound principle of exegesis that one should not assume flaws in a text unless the text cannot be interpreted in such a way as to resolve the apparent </w:t>
      </w:r>
      <w:r>
        <w:rPr>
          <w:szCs w:val="25"/>
        </w:rPr>
        <w:t>problem</w:t>
      </w:r>
      <w:r w:rsidRPr="006A51BA">
        <w:rPr>
          <w:szCs w:val="25"/>
        </w:rPr>
        <w:t>. It seems to me that verse 31 in Luke’s sermon can be so interpreted.</w:t>
      </w:r>
    </w:p>
    <w:p w14:paraId="7623BF9C" w14:textId="724BE249" w:rsidR="0018433B" w:rsidRPr="006A51BA" w:rsidRDefault="0018433B" w:rsidP="0018433B">
      <w:pPr>
        <w:pStyle w:val="Style"/>
        <w:widowControl/>
        <w:jc w:val="both"/>
        <w:textAlignment w:val="baseline"/>
        <w:rPr>
          <w:szCs w:val="25"/>
        </w:rPr>
      </w:pPr>
      <w:r>
        <w:rPr>
          <w:szCs w:val="25"/>
        </w:rPr>
        <w:tab/>
      </w:r>
      <w:r w:rsidRPr="006A51BA">
        <w:rPr>
          <w:szCs w:val="25"/>
        </w:rPr>
        <w:t>For one thing</w:t>
      </w:r>
      <w:r w:rsidR="006F304D" w:rsidRPr="006F304D">
        <w:rPr>
          <w:szCs w:val="25"/>
        </w:rPr>
        <w:t xml:space="preserve">, </w:t>
      </w:r>
      <w:r w:rsidRPr="006A51BA">
        <w:rPr>
          <w:szCs w:val="25"/>
        </w:rPr>
        <w:t xml:space="preserve">if verse 31 were a restatement of the </w:t>
      </w:r>
      <w:r w:rsidRPr="006A51BA">
        <w:rPr>
          <w:i/>
          <w:iCs/>
          <w:szCs w:val="25"/>
        </w:rPr>
        <w:t>lex talionis</w:t>
      </w:r>
      <w:r w:rsidR="006F304D" w:rsidRPr="006F304D">
        <w:rPr>
          <w:iCs/>
          <w:szCs w:val="25"/>
        </w:rPr>
        <w:t xml:space="preserve">, </w:t>
      </w:r>
      <w:r w:rsidRPr="006A51BA">
        <w:rPr>
          <w:szCs w:val="25"/>
        </w:rPr>
        <w:t xml:space="preserve">one would expect Jesus to repudiate it. But </w:t>
      </w:r>
      <w:r>
        <w:rPr>
          <w:szCs w:val="25"/>
        </w:rPr>
        <w:t>t</w:t>
      </w:r>
      <w:r w:rsidRPr="006A51BA">
        <w:rPr>
          <w:szCs w:val="25"/>
        </w:rPr>
        <w:t>he rule appear</w:t>
      </w:r>
      <w:r>
        <w:rPr>
          <w:szCs w:val="25"/>
        </w:rPr>
        <w:t>s</w:t>
      </w:r>
      <w:r w:rsidRPr="006A51BA">
        <w:rPr>
          <w:szCs w:val="25"/>
        </w:rPr>
        <w:t xml:space="preserve"> in 6</w:t>
      </w:r>
      <w:r>
        <w:rPr>
          <w:szCs w:val="25"/>
        </w:rPr>
        <w:t>:31 with no hint of disapproval.</w:t>
      </w:r>
      <w:r w:rsidRPr="006A51BA">
        <w:rPr>
          <w:szCs w:val="25"/>
        </w:rPr>
        <w:t xml:space="preserve"> </w:t>
      </w:r>
      <w:r>
        <w:rPr>
          <w:szCs w:val="25"/>
        </w:rPr>
        <w:t>Also</w:t>
      </w:r>
      <w:r w:rsidR="006F304D" w:rsidRPr="006F304D">
        <w:rPr>
          <w:szCs w:val="25"/>
        </w:rPr>
        <w:t xml:space="preserve">, </w:t>
      </w:r>
      <w:r w:rsidRPr="006A51BA">
        <w:rPr>
          <w:szCs w:val="25"/>
        </w:rPr>
        <w:t xml:space="preserve">the Lukan Jesus explicitly </w:t>
      </w:r>
      <w:r>
        <w:rPr>
          <w:szCs w:val="25"/>
        </w:rPr>
        <w:t xml:space="preserve">approves </w:t>
      </w:r>
      <w:r w:rsidRPr="006A51BA">
        <w:rPr>
          <w:szCs w:val="25"/>
        </w:rPr>
        <w:t>a similar p</w:t>
      </w:r>
      <w:r>
        <w:rPr>
          <w:szCs w:val="25"/>
        </w:rPr>
        <w:t>rinciple later in the narrative</w:t>
      </w:r>
      <w:r w:rsidR="006F304D" w:rsidRPr="006F304D">
        <w:rPr>
          <w:szCs w:val="25"/>
        </w:rPr>
        <w:t xml:space="preserve">, </w:t>
      </w:r>
      <w:r>
        <w:rPr>
          <w:szCs w:val="25"/>
        </w:rPr>
        <w:t xml:space="preserve">at </w:t>
      </w:r>
      <w:r w:rsidRPr="006A51BA">
        <w:rPr>
          <w:szCs w:val="25"/>
        </w:rPr>
        <w:t>10:25-28</w:t>
      </w:r>
      <w:r>
        <w:rPr>
          <w:szCs w:val="25"/>
        </w:rPr>
        <w:t xml:space="preserve"> (//Matt 22:34-40; Mark 12:28-34):</w:t>
      </w:r>
    </w:p>
    <w:p w14:paraId="547AC692" w14:textId="77777777" w:rsidR="0018433B" w:rsidRDefault="0018433B" w:rsidP="0018433B">
      <w:pPr>
        <w:pStyle w:val="Style"/>
        <w:widowControl/>
        <w:jc w:val="both"/>
        <w:textAlignment w:val="baseline"/>
        <w:rPr>
          <w:szCs w:val="25"/>
        </w:rPr>
      </w:pPr>
    </w:p>
    <w:p w14:paraId="0520C102" w14:textId="0E9EE9C6" w:rsidR="0018433B" w:rsidRPr="006A51BA" w:rsidRDefault="0018433B" w:rsidP="0018433B">
      <w:pPr>
        <w:pStyle w:val="Style"/>
        <w:widowControl/>
        <w:ind w:left="720" w:right="720"/>
        <w:jc w:val="both"/>
        <w:textAlignment w:val="baseline"/>
        <w:rPr>
          <w:szCs w:val="25"/>
        </w:rPr>
      </w:pPr>
      <w:r w:rsidRPr="0067523A">
        <w:rPr>
          <w:szCs w:val="20"/>
        </w:rPr>
        <w:t>Just then a lawyer stood up to test Jesus. “Teacher,” he said</w:t>
      </w:r>
      <w:r w:rsidR="006F304D" w:rsidRPr="006F304D">
        <w:rPr>
          <w:szCs w:val="20"/>
        </w:rPr>
        <w:t xml:space="preserve">, </w:t>
      </w:r>
      <w:r w:rsidRPr="0067523A">
        <w:rPr>
          <w:szCs w:val="20"/>
        </w:rPr>
        <w:t xml:space="preserve">“what must I do to inherit eternal life?” </w:t>
      </w:r>
      <w:r w:rsidRPr="0067523A">
        <w:rPr>
          <w:szCs w:val="20"/>
          <w:vertAlign w:val="superscript"/>
        </w:rPr>
        <w:t>26</w:t>
      </w:r>
      <w:r w:rsidRPr="0067523A">
        <w:rPr>
          <w:szCs w:val="20"/>
        </w:rPr>
        <w:t xml:space="preserve"> He said to him</w:t>
      </w:r>
      <w:r w:rsidR="006F304D" w:rsidRPr="006F304D">
        <w:rPr>
          <w:szCs w:val="20"/>
        </w:rPr>
        <w:t xml:space="preserve">, </w:t>
      </w:r>
      <w:r w:rsidRPr="0067523A">
        <w:rPr>
          <w:szCs w:val="20"/>
        </w:rPr>
        <w:t xml:space="preserve">“What is written in the law? What do you read there?” </w:t>
      </w:r>
      <w:r w:rsidRPr="0067523A">
        <w:rPr>
          <w:szCs w:val="20"/>
          <w:vertAlign w:val="superscript"/>
        </w:rPr>
        <w:t>27</w:t>
      </w:r>
      <w:r w:rsidRPr="0067523A">
        <w:rPr>
          <w:szCs w:val="20"/>
        </w:rPr>
        <w:t xml:space="preserve"> He answered</w:t>
      </w:r>
      <w:r w:rsidR="006F304D" w:rsidRPr="006F304D">
        <w:rPr>
          <w:szCs w:val="20"/>
        </w:rPr>
        <w:t xml:space="preserve">, </w:t>
      </w:r>
      <w:r w:rsidRPr="0067523A">
        <w:rPr>
          <w:szCs w:val="20"/>
        </w:rPr>
        <w:t>“You shall love the Lord your God with all your heart</w:t>
      </w:r>
      <w:r w:rsidR="006F304D" w:rsidRPr="006F304D">
        <w:rPr>
          <w:szCs w:val="20"/>
        </w:rPr>
        <w:t xml:space="preserve">, </w:t>
      </w:r>
      <w:r w:rsidRPr="0067523A">
        <w:rPr>
          <w:szCs w:val="20"/>
        </w:rPr>
        <w:t>and with all your soul</w:t>
      </w:r>
      <w:r w:rsidR="006F304D" w:rsidRPr="006F304D">
        <w:rPr>
          <w:szCs w:val="20"/>
        </w:rPr>
        <w:t xml:space="preserve">, </w:t>
      </w:r>
      <w:r w:rsidRPr="0067523A">
        <w:rPr>
          <w:szCs w:val="20"/>
        </w:rPr>
        <w:t>and with all your strength</w:t>
      </w:r>
      <w:r w:rsidR="006F304D" w:rsidRPr="006F304D">
        <w:rPr>
          <w:szCs w:val="20"/>
        </w:rPr>
        <w:t xml:space="preserve">, </w:t>
      </w:r>
      <w:r w:rsidRPr="0067523A">
        <w:rPr>
          <w:szCs w:val="20"/>
        </w:rPr>
        <w:t xml:space="preserve">and with all your mind; and your </w:t>
      </w:r>
      <w:r w:rsidRPr="0067523A">
        <w:rPr>
          <w:szCs w:val="20"/>
        </w:rPr>
        <w:lastRenderedPageBreak/>
        <w:t xml:space="preserve">neighbor as yourself.” </w:t>
      </w:r>
      <w:r w:rsidRPr="0067523A">
        <w:rPr>
          <w:szCs w:val="20"/>
          <w:vertAlign w:val="superscript"/>
        </w:rPr>
        <w:t>28</w:t>
      </w:r>
      <w:r w:rsidRPr="0067523A">
        <w:rPr>
          <w:szCs w:val="20"/>
        </w:rPr>
        <w:t xml:space="preserve"> And he said to him</w:t>
      </w:r>
      <w:r w:rsidR="006F304D" w:rsidRPr="006F304D">
        <w:rPr>
          <w:szCs w:val="20"/>
        </w:rPr>
        <w:t xml:space="preserve">, </w:t>
      </w:r>
      <w:r w:rsidRPr="0067523A">
        <w:rPr>
          <w:szCs w:val="20"/>
        </w:rPr>
        <w:t>“You have given the right answer; do this</w:t>
      </w:r>
      <w:r w:rsidR="006F304D" w:rsidRPr="006F304D">
        <w:rPr>
          <w:szCs w:val="20"/>
        </w:rPr>
        <w:t xml:space="preserve">, </w:t>
      </w:r>
      <w:r w:rsidRPr="0067523A">
        <w:rPr>
          <w:szCs w:val="20"/>
        </w:rPr>
        <w:t>and you will live.”</w:t>
      </w:r>
      <w:r>
        <w:rPr>
          <w:rStyle w:val="FootnoteReference"/>
          <w:szCs w:val="20"/>
        </w:rPr>
        <w:footnoteReference w:id="547"/>
      </w:r>
    </w:p>
    <w:p w14:paraId="549927C4" w14:textId="77777777" w:rsidR="0018433B" w:rsidRDefault="0018433B" w:rsidP="0018433B">
      <w:pPr>
        <w:pStyle w:val="Style"/>
        <w:widowControl/>
        <w:jc w:val="both"/>
        <w:textAlignment w:val="baseline"/>
        <w:rPr>
          <w:szCs w:val="22"/>
        </w:rPr>
      </w:pPr>
    </w:p>
    <w:p w14:paraId="12977355" w14:textId="5AD0922B" w:rsidR="0018433B" w:rsidRPr="006A51BA" w:rsidRDefault="0018433B" w:rsidP="0018433B">
      <w:pPr>
        <w:pStyle w:val="Style"/>
        <w:widowControl/>
        <w:jc w:val="both"/>
        <w:textAlignment w:val="baseline"/>
        <w:rPr>
          <w:szCs w:val="25"/>
        </w:rPr>
      </w:pPr>
      <w:r w:rsidRPr="006A51BA">
        <w:rPr>
          <w:szCs w:val="25"/>
        </w:rPr>
        <w:t>For another thing</w:t>
      </w:r>
      <w:r w:rsidR="006F304D" w:rsidRPr="006F304D">
        <w:rPr>
          <w:szCs w:val="25"/>
        </w:rPr>
        <w:t xml:space="preserve">, </w:t>
      </w:r>
      <w:r w:rsidRPr="006A51BA">
        <w:rPr>
          <w:szCs w:val="25"/>
        </w:rPr>
        <w:t xml:space="preserve">verse 31 </w:t>
      </w:r>
      <w:r w:rsidRPr="006A51BA">
        <w:rPr>
          <w:i/>
          <w:iCs/>
          <w:szCs w:val="25"/>
        </w:rPr>
        <w:t xml:space="preserve">can </w:t>
      </w:r>
      <w:r w:rsidRPr="006A51BA">
        <w:rPr>
          <w:szCs w:val="25"/>
        </w:rPr>
        <w:t>be construed in a more charitable sense than as a restatement of an ethic of shared back-scratching. The golden rule is asking us to reverse positions</w:t>
      </w:r>
      <w:r w:rsidR="006F304D" w:rsidRPr="006F304D">
        <w:rPr>
          <w:szCs w:val="25"/>
        </w:rPr>
        <w:t xml:space="preserve">, </w:t>
      </w:r>
      <w:r w:rsidRPr="006A51BA">
        <w:rPr>
          <w:szCs w:val="25"/>
        </w:rPr>
        <w:t>imaginatively</w:t>
      </w:r>
      <w:r w:rsidR="006F304D" w:rsidRPr="006F304D">
        <w:rPr>
          <w:szCs w:val="25"/>
        </w:rPr>
        <w:t xml:space="preserve">, </w:t>
      </w:r>
      <w:r w:rsidRPr="006A51BA">
        <w:rPr>
          <w:szCs w:val="25"/>
        </w:rPr>
        <w:t xml:space="preserve">with </w:t>
      </w:r>
      <w:r>
        <w:rPr>
          <w:szCs w:val="25"/>
        </w:rPr>
        <w:t xml:space="preserve">the person </w:t>
      </w:r>
      <w:r w:rsidRPr="006A51BA">
        <w:rPr>
          <w:szCs w:val="25"/>
        </w:rPr>
        <w:t xml:space="preserve">toward whom we </w:t>
      </w:r>
      <w:r>
        <w:rPr>
          <w:szCs w:val="25"/>
        </w:rPr>
        <w:t xml:space="preserve">are considering </w:t>
      </w:r>
      <w:r w:rsidRPr="006A51BA">
        <w:rPr>
          <w:szCs w:val="25"/>
        </w:rPr>
        <w:t>act</w:t>
      </w:r>
      <w:r>
        <w:rPr>
          <w:szCs w:val="25"/>
        </w:rPr>
        <w:t>ing.</w:t>
      </w:r>
      <w:r w:rsidRPr="006A51BA">
        <w:rPr>
          <w:szCs w:val="25"/>
        </w:rPr>
        <w:t xml:space="preserve"> </w:t>
      </w:r>
      <w:r>
        <w:rPr>
          <w:szCs w:val="25"/>
        </w:rPr>
        <w:t>Extensively paraphrased</w:t>
      </w:r>
      <w:r w:rsidR="006F304D" w:rsidRPr="006F304D">
        <w:rPr>
          <w:szCs w:val="25"/>
        </w:rPr>
        <w:t xml:space="preserve">, </w:t>
      </w:r>
      <w:r w:rsidRPr="00FF03AB">
        <w:rPr>
          <w:szCs w:val="25"/>
        </w:rPr>
        <w:t>“</w:t>
      </w:r>
      <w:r>
        <w:t>d</w:t>
      </w:r>
      <w:r w:rsidRPr="00CD75A6">
        <w:t>o to others</w:t>
      </w:r>
      <w:r>
        <w:t xml:space="preserve"> </w:t>
      </w:r>
      <w:r w:rsidRPr="00CD75A6">
        <w:t>a</w:t>
      </w:r>
      <w:r>
        <w:t>s you would have them do to you</w:t>
      </w:r>
      <w:r>
        <w:rPr>
          <w:szCs w:val="25"/>
        </w:rPr>
        <w:t xml:space="preserve">” </w:t>
      </w:r>
      <w:r w:rsidRPr="006A51BA">
        <w:rPr>
          <w:szCs w:val="25"/>
        </w:rPr>
        <w:t xml:space="preserve">seems to mean: ‘You are now </w:t>
      </w:r>
      <w:r>
        <w:rPr>
          <w:szCs w:val="25"/>
        </w:rPr>
        <w:t xml:space="preserve">considering an </w:t>
      </w:r>
      <w:r w:rsidRPr="006A51BA">
        <w:rPr>
          <w:szCs w:val="25"/>
        </w:rPr>
        <w:t>act toward another. Imagine that your position (</w:t>
      </w:r>
      <w:r>
        <w:rPr>
          <w:szCs w:val="25"/>
        </w:rPr>
        <w:t xml:space="preserve">the </w:t>
      </w:r>
      <w:r w:rsidRPr="006A51BA">
        <w:rPr>
          <w:szCs w:val="25"/>
        </w:rPr>
        <w:t>actor) and the position of the person opposite you (</w:t>
      </w:r>
      <w:r>
        <w:rPr>
          <w:szCs w:val="25"/>
        </w:rPr>
        <w:t xml:space="preserve">the </w:t>
      </w:r>
      <w:r w:rsidRPr="006A51BA">
        <w:rPr>
          <w:szCs w:val="25"/>
        </w:rPr>
        <w:t>recipient of the action) were reversed. If he were the doer and you the recipient</w:t>
      </w:r>
      <w:r w:rsidR="006F304D" w:rsidRPr="006F304D">
        <w:rPr>
          <w:szCs w:val="25"/>
        </w:rPr>
        <w:t xml:space="preserve">, </w:t>
      </w:r>
      <w:r w:rsidRPr="006A51BA">
        <w:rPr>
          <w:szCs w:val="25"/>
        </w:rPr>
        <w:t>what action would you wish to occur? Well then</w:t>
      </w:r>
      <w:r w:rsidR="006F304D" w:rsidRPr="006F304D">
        <w:rPr>
          <w:szCs w:val="25"/>
        </w:rPr>
        <w:t xml:space="preserve">, </w:t>
      </w:r>
      <w:r w:rsidRPr="006A51BA">
        <w:rPr>
          <w:szCs w:val="25"/>
        </w:rPr>
        <w:t xml:space="preserve">do the same in </w:t>
      </w:r>
      <w:r>
        <w:rPr>
          <w:szCs w:val="25"/>
        </w:rPr>
        <w:t>reality</w:t>
      </w:r>
      <w:r w:rsidR="006F304D" w:rsidRPr="006F304D">
        <w:rPr>
          <w:szCs w:val="25"/>
        </w:rPr>
        <w:t xml:space="preserve">, </w:t>
      </w:r>
      <w:r w:rsidRPr="006A51BA">
        <w:rPr>
          <w:szCs w:val="25"/>
        </w:rPr>
        <w:t xml:space="preserve">where you are the actor and </w:t>
      </w:r>
      <w:r>
        <w:rPr>
          <w:szCs w:val="25"/>
        </w:rPr>
        <w:t xml:space="preserve">that person </w:t>
      </w:r>
      <w:r w:rsidRPr="006A51BA">
        <w:rPr>
          <w:szCs w:val="25"/>
        </w:rPr>
        <w:t>the recipient.”</w:t>
      </w:r>
    </w:p>
    <w:p w14:paraId="57303149" w14:textId="22667543" w:rsidR="0018433B" w:rsidRDefault="0018433B" w:rsidP="0018433B">
      <w:pPr>
        <w:pStyle w:val="Style"/>
        <w:widowControl/>
        <w:jc w:val="both"/>
        <w:textAlignment w:val="baseline"/>
        <w:rPr>
          <w:szCs w:val="25"/>
        </w:rPr>
      </w:pPr>
      <w:r>
        <w:rPr>
          <w:szCs w:val="25"/>
        </w:rPr>
        <w:tab/>
      </w:r>
      <w:r w:rsidRPr="006A51BA">
        <w:rPr>
          <w:szCs w:val="25"/>
        </w:rPr>
        <w:t>It can be argued that t</w:t>
      </w:r>
      <w:r>
        <w:rPr>
          <w:szCs w:val="25"/>
        </w:rPr>
        <w:t>his “kinder</w:t>
      </w:r>
      <w:r w:rsidR="006F304D" w:rsidRPr="006F304D">
        <w:rPr>
          <w:szCs w:val="25"/>
        </w:rPr>
        <w:t xml:space="preserve">, </w:t>
      </w:r>
      <w:r>
        <w:rPr>
          <w:szCs w:val="25"/>
        </w:rPr>
        <w:t>gentler”</w:t>
      </w:r>
      <w:r w:rsidRPr="006A51BA">
        <w:rPr>
          <w:szCs w:val="25"/>
        </w:rPr>
        <w:t xml:space="preserve"> reading of verse 31 is less probable than the mutual-recompense interpretation</w:t>
      </w:r>
      <w:r w:rsidR="006F304D" w:rsidRPr="006F304D">
        <w:rPr>
          <w:szCs w:val="25"/>
        </w:rPr>
        <w:t xml:space="preserve">, </w:t>
      </w:r>
      <w:r w:rsidRPr="006A51BA">
        <w:rPr>
          <w:szCs w:val="25"/>
        </w:rPr>
        <w:t xml:space="preserve">which would have Jesus advising that we do well to others </w:t>
      </w:r>
      <w:r w:rsidRPr="006A51BA">
        <w:rPr>
          <w:i/>
          <w:iCs/>
          <w:szCs w:val="25"/>
        </w:rPr>
        <w:t>so that</w:t>
      </w:r>
      <w:r w:rsidRPr="00865202">
        <w:rPr>
          <w:iCs/>
          <w:szCs w:val="25"/>
        </w:rPr>
        <w:t xml:space="preserve"> </w:t>
      </w:r>
      <w:r w:rsidRPr="006A51BA">
        <w:rPr>
          <w:szCs w:val="25"/>
        </w:rPr>
        <w:t xml:space="preserve">they will do well toward </w:t>
      </w:r>
      <w:r>
        <w:rPr>
          <w:szCs w:val="25"/>
        </w:rPr>
        <w:t>us</w:t>
      </w:r>
      <w:r w:rsidRPr="006A51BA">
        <w:rPr>
          <w:szCs w:val="25"/>
        </w:rPr>
        <w:t xml:space="preserve">. </w:t>
      </w:r>
      <w:r>
        <w:rPr>
          <w:szCs w:val="25"/>
        </w:rPr>
        <w:t xml:space="preserve">But </w:t>
      </w:r>
      <w:r w:rsidRPr="006A51BA">
        <w:rPr>
          <w:szCs w:val="25"/>
        </w:rPr>
        <w:t>the charitable interpretation is well within the realm of reasonable explanations of the verse</w:t>
      </w:r>
      <w:r w:rsidR="006F304D" w:rsidRPr="006F304D">
        <w:rPr>
          <w:szCs w:val="25"/>
        </w:rPr>
        <w:t xml:space="preserve">, </w:t>
      </w:r>
      <w:r w:rsidRPr="006A51BA">
        <w:rPr>
          <w:szCs w:val="25"/>
        </w:rPr>
        <w:t>and it avoids the difficulty of contradicting its con</w:t>
      </w:r>
      <w:r>
        <w:rPr>
          <w:szCs w:val="25"/>
        </w:rPr>
        <w:t>text.</w:t>
      </w:r>
    </w:p>
    <w:p w14:paraId="6EDF9A34" w14:textId="77777777" w:rsidR="0018433B" w:rsidRPr="006A51BA" w:rsidRDefault="0018433B" w:rsidP="0018433B">
      <w:pPr>
        <w:pStyle w:val="Style"/>
        <w:widowControl/>
        <w:jc w:val="both"/>
        <w:textAlignment w:val="baseline"/>
        <w:rPr>
          <w:szCs w:val="25"/>
        </w:rPr>
      </w:pPr>
      <w:r>
        <w:rPr>
          <w:szCs w:val="25"/>
        </w:rPr>
        <w:tab/>
      </w:r>
      <w:r w:rsidRPr="006A51BA">
        <w:rPr>
          <w:szCs w:val="25"/>
        </w:rPr>
        <w:t>Four supplementary considerations also argue in favor of the charitable interpretation.</w:t>
      </w:r>
    </w:p>
    <w:p w14:paraId="132BB12F" w14:textId="1A5D9387" w:rsidR="0018433B" w:rsidRPr="006A51BA" w:rsidRDefault="0018433B" w:rsidP="0018433B">
      <w:pPr>
        <w:pStyle w:val="Style"/>
        <w:widowControl/>
        <w:jc w:val="both"/>
        <w:textAlignment w:val="baseline"/>
        <w:rPr>
          <w:szCs w:val="25"/>
        </w:rPr>
      </w:pPr>
      <w:r>
        <w:rPr>
          <w:szCs w:val="25"/>
        </w:rPr>
        <w:tab/>
      </w:r>
      <w:r w:rsidRPr="006A51BA">
        <w:rPr>
          <w:szCs w:val="25"/>
        </w:rPr>
        <w:t>First</w:t>
      </w:r>
      <w:r w:rsidR="006F304D" w:rsidRPr="006F304D">
        <w:rPr>
          <w:szCs w:val="25"/>
        </w:rPr>
        <w:t xml:space="preserve">, </w:t>
      </w:r>
      <w:r w:rsidRPr="006A51BA">
        <w:rPr>
          <w:szCs w:val="25"/>
        </w:rPr>
        <w:t>there is the conjunction</w:t>
      </w:r>
      <w:r>
        <w:t xml:space="preserve"> καί</w:t>
      </w:r>
      <w:r w:rsidR="006F304D" w:rsidRPr="006F304D">
        <w:t xml:space="preserve">, </w:t>
      </w:r>
      <w:r w:rsidRPr="006A51BA">
        <w:rPr>
          <w:szCs w:val="25"/>
        </w:rPr>
        <w:t>which links verse 31 with what precedes it.</w:t>
      </w:r>
      <w:r>
        <w:rPr>
          <w:szCs w:val="25"/>
        </w:rPr>
        <w:t xml:space="preserve"> </w:t>
      </w:r>
      <w:r w:rsidRPr="006A51BA">
        <w:rPr>
          <w:szCs w:val="25"/>
        </w:rPr>
        <w:t>Verses 32</w:t>
      </w:r>
      <w:r w:rsidR="006F304D" w:rsidRPr="006F304D">
        <w:rPr>
          <w:szCs w:val="25"/>
        </w:rPr>
        <w:t xml:space="preserve">, </w:t>
      </w:r>
      <w:r w:rsidRPr="006A51BA">
        <w:rPr>
          <w:szCs w:val="25"/>
        </w:rPr>
        <w:t>33</w:t>
      </w:r>
      <w:r w:rsidR="006F304D" w:rsidRPr="006F304D">
        <w:rPr>
          <w:szCs w:val="25"/>
        </w:rPr>
        <w:t xml:space="preserve">, </w:t>
      </w:r>
      <w:r w:rsidRPr="006A51BA">
        <w:rPr>
          <w:szCs w:val="25"/>
        </w:rPr>
        <w:t>and 34</w:t>
      </w:r>
      <w:r w:rsidR="006F304D" w:rsidRPr="006F304D">
        <w:rPr>
          <w:szCs w:val="25"/>
        </w:rPr>
        <w:t xml:space="preserve">, </w:t>
      </w:r>
      <w:r w:rsidRPr="006A51BA">
        <w:rPr>
          <w:szCs w:val="25"/>
        </w:rPr>
        <w:t>it is true</w:t>
      </w:r>
      <w:r w:rsidR="006F304D" w:rsidRPr="006F304D">
        <w:rPr>
          <w:szCs w:val="25"/>
        </w:rPr>
        <w:t xml:space="preserve">, </w:t>
      </w:r>
      <w:r w:rsidRPr="006A51BA">
        <w:rPr>
          <w:szCs w:val="25"/>
        </w:rPr>
        <w:t xml:space="preserve">also begin with </w:t>
      </w:r>
      <w:r>
        <w:t>καί</w:t>
      </w:r>
      <w:r w:rsidR="006F304D" w:rsidRPr="006F304D">
        <w:t xml:space="preserve">, </w:t>
      </w:r>
      <w:r w:rsidRPr="006A51BA">
        <w:rPr>
          <w:szCs w:val="25"/>
        </w:rPr>
        <w:t>so that one could argue that 32-34 have as much reason to be linked with verse 31 as have 29-30. But we have already seen that verses 32-34 are a tightly bonded unit. Also</w:t>
      </w:r>
      <w:r w:rsidR="006F304D" w:rsidRPr="006F304D">
        <w:rPr>
          <w:szCs w:val="25"/>
        </w:rPr>
        <w:t xml:space="preserve">, </w:t>
      </w:r>
      <w:r w:rsidRPr="006A51BA">
        <w:rPr>
          <w:szCs w:val="25"/>
        </w:rPr>
        <w:t xml:space="preserve">the </w:t>
      </w:r>
      <w:r>
        <w:t>καί</w:t>
      </w:r>
      <w:r w:rsidRPr="006A51BA">
        <w:rPr>
          <w:szCs w:val="25"/>
        </w:rPr>
        <w:t xml:space="preserve"> which begins 32 may be linking the entire following unit (32-34) with a preceding unit</w:t>
      </w:r>
      <w:r w:rsidR="006F304D" w:rsidRPr="006F304D">
        <w:rPr>
          <w:szCs w:val="25"/>
        </w:rPr>
        <w:t xml:space="preserve">, </w:t>
      </w:r>
      <w:r w:rsidRPr="006A51BA">
        <w:rPr>
          <w:szCs w:val="25"/>
        </w:rPr>
        <w:t>and it seems more likely that that preceding unit is 27-31 or 29-31</w:t>
      </w:r>
      <w:r w:rsidR="006F304D" w:rsidRPr="006F304D">
        <w:rPr>
          <w:szCs w:val="25"/>
        </w:rPr>
        <w:t xml:space="preserve">, </w:t>
      </w:r>
      <w:r w:rsidRPr="006A51BA">
        <w:rPr>
          <w:szCs w:val="25"/>
        </w:rPr>
        <w:t>and not just 31.</w:t>
      </w:r>
    </w:p>
    <w:p w14:paraId="0E3907F5" w14:textId="4923CB31" w:rsidR="0018433B" w:rsidRPr="006A51BA" w:rsidRDefault="0018433B" w:rsidP="0018433B">
      <w:pPr>
        <w:pStyle w:val="Style"/>
        <w:widowControl/>
        <w:jc w:val="both"/>
        <w:textAlignment w:val="baseline"/>
        <w:rPr>
          <w:szCs w:val="25"/>
        </w:rPr>
      </w:pPr>
      <w:r>
        <w:rPr>
          <w:szCs w:val="25"/>
        </w:rPr>
        <w:tab/>
        <w:t>Second</w:t>
      </w:r>
      <w:r w:rsidR="006F304D" w:rsidRPr="006F304D">
        <w:rPr>
          <w:szCs w:val="25"/>
        </w:rPr>
        <w:t xml:space="preserve">, </w:t>
      </w:r>
      <w:r w:rsidRPr="006A51BA">
        <w:rPr>
          <w:szCs w:val="25"/>
        </w:rPr>
        <w:t>we shall see</w:t>
      </w:r>
      <w:r w:rsidR="006F304D" w:rsidRPr="006F304D">
        <w:rPr>
          <w:szCs w:val="25"/>
        </w:rPr>
        <w:t xml:space="preserve">, </w:t>
      </w:r>
      <w:r w:rsidRPr="006A51BA">
        <w:rPr>
          <w:szCs w:val="25"/>
        </w:rPr>
        <w:t>when considering the major sections of the sermon</w:t>
      </w:r>
      <w:r w:rsidR="006F304D" w:rsidRPr="006F304D">
        <w:rPr>
          <w:szCs w:val="25"/>
        </w:rPr>
        <w:t xml:space="preserve">, </w:t>
      </w:r>
      <w:r w:rsidRPr="006A51BA">
        <w:rPr>
          <w:szCs w:val="25"/>
        </w:rPr>
        <w:t>that verses 27-30 belong together</w:t>
      </w:r>
      <w:r w:rsidR="006F304D" w:rsidRPr="006F304D">
        <w:rPr>
          <w:szCs w:val="25"/>
        </w:rPr>
        <w:t xml:space="preserve">, </w:t>
      </w:r>
      <w:r w:rsidRPr="006A51BA">
        <w:rPr>
          <w:szCs w:val="25"/>
        </w:rPr>
        <w:t>and that verses 32-36 belong together. If verse 31 were a unit coordinate with these</w:t>
      </w:r>
      <w:r w:rsidR="006F304D" w:rsidRPr="006F304D">
        <w:rPr>
          <w:szCs w:val="25"/>
        </w:rPr>
        <w:t xml:space="preserve">, </w:t>
      </w:r>
      <w:r w:rsidRPr="006A51BA">
        <w:rPr>
          <w:szCs w:val="25"/>
        </w:rPr>
        <w:t>it would be woefully out of proportion with them.</w:t>
      </w:r>
    </w:p>
    <w:p w14:paraId="3CF2F81A" w14:textId="28B94EFF" w:rsidR="0018433B" w:rsidRPr="006A51BA" w:rsidRDefault="0018433B" w:rsidP="0018433B">
      <w:pPr>
        <w:pStyle w:val="Style"/>
        <w:widowControl/>
        <w:jc w:val="both"/>
        <w:textAlignment w:val="baseline"/>
        <w:rPr>
          <w:szCs w:val="25"/>
        </w:rPr>
      </w:pPr>
      <w:r>
        <w:rPr>
          <w:szCs w:val="25"/>
        </w:rPr>
        <w:tab/>
      </w:r>
      <w:r w:rsidRPr="006A51BA">
        <w:rPr>
          <w:szCs w:val="25"/>
        </w:rPr>
        <w:t>Third</w:t>
      </w:r>
      <w:r w:rsidR="006F304D" w:rsidRPr="006F304D">
        <w:rPr>
          <w:szCs w:val="25"/>
        </w:rPr>
        <w:t xml:space="preserve">, </w:t>
      </w:r>
      <w:r w:rsidRPr="006A51BA">
        <w:rPr>
          <w:szCs w:val="25"/>
        </w:rPr>
        <w:t>there is the sense of finality which both the form and the content of verse 31 impart. By placing the longer subordinate clause first</w:t>
      </w:r>
      <w:r w:rsidR="006F304D" w:rsidRPr="006F304D">
        <w:rPr>
          <w:szCs w:val="25"/>
        </w:rPr>
        <w:t xml:space="preserve">, </w:t>
      </w:r>
      <w:r w:rsidRPr="006A51BA">
        <w:rPr>
          <w:szCs w:val="25"/>
        </w:rPr>
        <w:t>an emphasis is made to fall on the succinct main clause when it is reached.</w:t>
      </w:r>
      <w:r>
        <w:rPr>
          <w:rStyle w:val="FootnoteReference"/>
          <w:szCs w:val="25"/>
        </w:rPr>
        <w:footnoteReference w:id="548"/>
      </w:r>
      <w:r w:rsidRPr="006A51BA">
        <w:rPr>
          <w:szCs w:val="25"/>
        </w:rPr>
        <w:t xml:space="preserve"> Also</w:t>
      </w:r>
      <w:r w:rsidR="006F304D" w:rsidRPr="006F304D">
        <w:rPr>
          <w:szCs w:val="25"/>
        </w:rPr>
        <w:t xml:space="preserve">, </w:t>
      </w:r>
      <w:r w:rsidRPr="006A51BA">
        <w:rPr>
          <w:szCs w:val="25"/>
        </w:rPr>
        <w:t>verse 31 is in content a very abstract generalization; while an abstraction can serve</w:t>
      </w:r>
      <w:r w:rsidR="006F304D" w:rsidRPr="006F304D">
        <w:rPr>
          <w:szCs w:val="25"/>
        </w:rPr>
        <w:t xml:space="preserve">, </w:t>
      </w:r>
      <w:r w:rsidRPr="006A51BA">
        <w:rPr>
          <w:szCs w:val="25"/>
        </w:rPr>
        <w:t>in Greek as in English</w:t>
      </w:r>
      <w:r w:rsidR="006F304D" w:rsidRPr="006F304D">
        <w:rPr>
          <w:szCs w:val="25"/>
        </w:rPr>
        <w:t xml:space="preserve">, </w:t>
      </w:r>
      <w:r w:rsidRPr="006A51BA">
        <w:rPr>
          <w:szCs w:val="25"/>
        </w:rPr>
        <w:t>to begin or to conclude a series of more concrete items</w:t>
      </w:r>
      <w:r w:rsidR="006F304D" w:rsidRPr="006F304D">
        <w:rPr>
          <w:szCs w:val="25"/>
        </w:rPr>
        <w:t xml:space="preserve">, </w:t>
      </w:r>
      <w:r>
        <w:rPr>
          <w:szCs w:val="25"/>
        </w:rPr>
        <w:t xml:space="preserve">it </w:t>
      </w:r>
      <w:r w:rsidRPr="006A51BA">
        <w:rPr>
          <w:szCs w:val="25"/>
        </w:rPr>
        <w:t xml:space="preserve">is more likely </w:t>
      </w:r>
      <w:r>
        <w:rPr>
          <w:szCs w:val="25"/>
        </w:rPr>
        <w:t xml:space="preserve">that </w:t>
      </w:r>
      <w:r w:rsidRPr="006A51BA">
        <w:rPr>
          <w:szCs w:val="25"/>
        </w:rPr>
        <w:t xml:space="preserve">verse 31 </w:t>
      </w:r>
      <w:r>
        <w:rPr>
          <w:szCs w:val="25"/>
        </w:rPr>
        <w:t xml:space="preserve">is </w:t>
      </w:r>
      <w:r w:rsidRPr="006A51BA">
        <w:rPr>
          <w:szCs w:val="25"/>
        </w:rPr>
        <w:t xml:space="preserve">a summary. This is because the items in verses 27c-28 (“do </w:t>
      </w:r>
      <w:r w:rsidRPr="006A51BA">
        <w:rPr>
          <w:szCs w:val="25"/>
        </w:rPr>
        <w:lastRenderedPageBreak/>
        <w:t>good,” “bless,” “pray</w:t>
      </w:r>
      <w:r>
        <w:rPr>
          <w:szCs w:val="25"/>
        </w:rPr>
        <w:t>”</w:t>
      </w:r>
      <w:r w:rsidRPr="006A51BA">
        <w:rPr>
          <w:szCs w:val="25"/>
        </w:rPr>
        <w:t>) find their abstract principle already in verse 27b (“Love your en</w:t>
      </w:r>
      <w:r>
        <w:rPr>
          <w:szCs w:val="25"/>
        </w:rPr>
        <w:t>emies”);</w:t>
      </w:r>
      <w:r w:rsidRPr="006A51BA">
        <w:rPr>
          <w:szCs w:val="25"/>
        </w:rPr>
        <w:t xml:space="preserve"> and verses 32-34 (</w:t>
      </w:r>
      <w:r>
        <w:rPr>
          <w:szCs w:val="25"/>
        </w:rPr>
        <w:t>“</w:t>
      </w:r>
      <w:r w:rsidRPr="006A51BA">
        <w:rPr>
          <w:szCs w:val="25"/>
        </w:rPr>
        <w:t>love</w:t>
      </w:r>
      <w:r>
        <w:rPr>
          <w:szCs w:val="25"/>
        </w:rPr>
        <w:t>,” “</w:t>
      </w:r>
      <w:r w:rsidRPr="006A51BA">
        <w:rPr>
          <w:szCs w:val="25"/>
        </w:rPr>
        <w:t>do good</w:t>
      </w:r>
      <w:r>
        <w:rPr>
          <w:szCs w:val="25"/>
        </w:rPr>
        <w:t>,” “</w:t>
      </w:r>
      <w:r w:rsidRPr="006A51BA">
        <w:rPr>
          <w:szCs w:val="25"/>
        </w:rPr>
        <w:t xml:space="preserve">lend”) find their </w:t>
      </w:r>
      <w:r>
        <w:rPr>
          <w:szCs w:val="25"/>
        </w:rPr>
        <w:t xml:space="preserve">summation </w:t>
      </w:r>
      <w:r w:rsidRPr="006A51BA">
        <w:rPr>
          <w:szCs w:val="25"/>
        </w:rPr>
        <w:t>in verse 35 (</w:t>
      </w:r>
      <w:r>
        <w:rPr>
          <w:szCs w:val="25"/>
        </w:rPr>
        <w:t>“</w:t>
      </w:r>
      <w:r w:rsidRPr="006A51BA">
        <w:rPr>
          <w:szCs w:val="25"/>
        </w:rPr>
        <w:t>love your enemies</w:t>
      </w:r>
      <w:r w:rsidR="006F304D" w:rsidRPr="006F304D">
        <w:rPr>
          <w:szCs w:val="25"/>
        </w:rPr>
        <w:t xml:space="preserve">, </w:t>
      </w:r>
      <w:r w:rsidRPr="006A51BA">
        <w:rPr>
          <w:szCs w:val="25"/>
        </w:rPr>
        <w:t>and do good</w:t>
      </w:r>
      <w:r w:rsidR="006F304D" w:rsidRPr="006F304D">
        <w:rPr>
          <w:szCs w:val="25"/>
        </w:rPr>
        <w:t xml:space="preserve">, </w:t>
      </w:r>
      <w:r w:rsidRPr="006A51BA">
        <w:rPr>
          <w:szCs w:val="25"/>
        </w:rPr>
        <w:t>and lend”). Thus verse 31 is most probably intended to serve as the conclusion to verses 29-30</w:t>
      </w:r>
      <w:r>
        <w:rPr>
          <w:szCs w:val="25"/>
        </w:rPr>
        <w:t xml:space="preserve"> (</w:t>
      </w:r>
      <w:r w:rsidRPr="009B6200">
        <w:rPr>
          <w:szCs w:val="25"/>
        </w:rPr>
        <w:t>turn the other cheek</w:t>
      </w:r>
      <w:r w:rsidR="006F304D" w:rsidRPr="006F304D">
        <w:rPr>
          <w:szCs w:val="25"/>
        </w:rPr>
        <w:t xml:space="preserve">, </w:t>
      </w:r>
      <w:r w:rsidRPr="009B6200">
        <w:rPr>
          <w:szCs w:val="25"/>
        </w:rPr>
        <w:t>give your shirt as well</w:t>
      </w:r>
      <w:r w:rsidR="006F304D" w:rsidRPr="006F304D">
        <w:rPr>
          <w:szCs w:val="25"/>
        </w:rPr>
        <w:t xml:space="preserve">, </w:t>
      </w:r>
      <w:r w:rsidRPr="009B6200">
        <w:rPr>
          <w:szCs w:val="25"/>
        </w:rPr>
        <w:t>give to all who beg</w:t>
      </w:r>
      <w:r w:rsidR="006F304D" w:rsidRPr="006F304D">
        <w:rPr>
          <w:szCs w:val="25"/>
        </w:rPr>
        <w:t xml:space="preserve">, </w:t>
      </w:r>
      <w:r w:rsidRPr="009B6200">
        <w:rPr>
          <w:szCs w:val="25"/>
        </w:rPr>
        <w:t>give without expecting</w:t>
      </w:r>
      <w:r>
        <w:rPr>
          <w:szCs w:val="25"/>
        </w:rPr>
        <w:t>)</w:t>
      </w:r>
      <w:r w:rsidRPr="006A51BA">
        <w:rPr>
          <w:szCs w:val="25"/>
        </w:rPr>
        <w:t>.</w:t>
      </w:r>
    </w:p>
    <w:p w14:paraId="5024DCD4" w14:textId="07F58C77" w:rsidR="0018433B" w:rsidRPr="006A51BA" w:rsidRDefault="0018433B" w:rsidP="0018433B">
      <w:pPr>
        <w:pStyle w:val="Style"/>
        <w:widowControl/>
        <w:jc w:val="both"/>
        <w:textAlignment w:val="baseline"/>
        <w:rPr>
          <w:szCs w:val="25"/>
        </w:rPr>
      </w:pPr>
      <w:r>
        <w:rPr>
          <w:szCs w:val="25"/>
        </w:rPr>
        <w:tab/>
      </w:r>
      <w:r w:rsidRPr="006A51BA">
        <w:rPr>
          <w:szCs w:val="25"/>
        </w:rPr>
        <w:t>Fourth</w:t>
      </w:r>
      <w:r w:rsidR="006F304D" w:rsidRPr="006F304D">
        <w:rPr>
          <w:szCs w:val="25"/>
        </w:rPr>
        <w:t xml:space="preserve">, </w:t>
      </w:r>
      <w:r w:rsidRPr="006A51BA">
        <w:rPr>
          <w:szCs w:val="25"/>
        </w:rPr>
        <w:t xml:space="preserve">verses 32-33 begin anew the same sequence of commands found in verse 27: </w:t>
      </w:r>
      <w:r>
        <w:rPr>
          <w:szCs w:val="25"/>
        </w:rPr>
        <w:t>“</w:t>
      </w:r>
      <w:r w:rsidRPr="006A51BA">
        <w:rPr>
          <w:szCs w:val="25"/>
        </w:rPr>
        <w:t>love,” do good.” Verse 32 therefore marks a new beginning; and thus verse 31 belongs not to it but to what has gone before.</w:t>
      </w:r>
    </w:p>
    <w:p w14:paraId="3138939F" w14:textId="7B3432CD" w:rsidR="0018433B" w:rsidRDefault="0018433B" w:rsidP="0018433B">
      <w:pPr>
        <w:pStyle w:val="Style"/>
        <w:widowControl/>
        <w:jc w:val="both"/>
        <w:textAlignment w:val="baseline"/>
        <w:rPr>
          <w:szCs w:val="25"/>
        </w:rPr>
      </w:pPr>
      <w:r>
        <w:rPr>
          <w:szCs w:val="25"/>
        </w:rPr>
        <w:tab/>
      </w:r>
      <w:r w:rsidRPr="006A51BA">
        <w:rPr>
          <w:szCs w:val="25"/>
        </w:rPr>
        <w:t xml:space="preserve">If verse 31 </w:t>
      </w:r>
      <w:r>
        <w:rPr>
          <w:szCs w:val="25"/>
        </w:rPr>
        <w:t xml:space="preserve">can be construed as </w:t>
      </w:r>
      <w:r w:rsidRPr="006A51BA">
        <w:rPr>
          <w:szCs w:val="25"/>
        </w:rPr>
        <w:t xml:space="preserve">a statement of the love-of-enemies ethic (the </w:t>
      </w:r>
      <w:r>
        <w:rPr>
          <w:szCs w:val="25"/>
        </w:rPr>
        <w:t>“</w:t>
      </w:r>
      <w:r w:rsidRPr="006A51BA">
        <w:rPr>
          <w:szCs w:val="25"/>
        </w:rPr>
        <w:t>charitable”</w:t>
      </w:r>
      <w:r>
        <w:rPr>
          <w:szCs w:val="25"/>
        </w:rPr>
        <w:t xml:space="preserve"> </w:t>
      </w:r>
      <w:r w:rsidRPr="006A51BA">
        <w:rPr>
          <w:szCs w:val="25"/>
        </w:rPr>
        <w:t>interpretation)</w:t>
      </w:r>
      <w:r w:rsidR="006F304D" w:rsidRPr="006F304D">
        <w:rPr>
          <w:szCs w:val="25"/>
        </w:rPr>
        <w:t xml:space="preserve">, </w:t>
      </w:r>
      <w:r w:rsidRPr="006A51BA">
        <w:rPr>
          <w:szCs w:val="25"/>
        </w:rPr>
        <w:t xml:space="preserve">then it </w:t>
      </w:r>
      <w:r>
        <w:rPr>
          <w:szCs w:val="25"/>
        </w:rPr>
        <w:t xml:space="preserve">does not contradict its context (27-30 and 32-34). </w:t>
      </w:r>
    </w:p>
    <w:p w14:paraId="62841619" w14:textId="3A94F220" w:rsidR="0018433B" w:rsidRDefault="0018433B" w:rsidP="0018433B">
      <w:pPr>
        <w:pStyle w:val="Style"/>
        <w:widowControl/>
        <w:jc w:val="both"/>
        <w:textAlignment w:val="baseline"/>
        <w:rPr>
          <w:szCs w:val="25"/>
        </w:rPr>
      </w:pPr>
      <w:r>
        <w:rPr>
          <w:szCs w:val="25"/>
        </w:rPr>
        <w:tab/>
        <w:t>It remains to be decided whether verse 31 is a conclusion to what precedes it</w:t>
      </w:r>
      <w:r w:rsidR="006F304D" w:rsidRPr="006F304D">
        <w:rPr>
          <w:szCs w:val="25"/>
        </w:rPr>
        <w:t xml:space="preserve">, </w:t>
      </w:r>
      <w:r>
        <w:rPr>
          <w:szCs w:val="25"/>
        </w:rPr>
        <w:t>an free-standing logion</w:t>
      </w:r>
      <w:r w:rsidR="006F304D" w:rsidRPr="006F304D">
        <w:rPr>
          <w:szCs w:val="25"/>
        </w:rPr>
        <w:t xml:space="preserve">, </w:t>
      </w:r>
      <w:r>
        <w:rPr>
          <w:szCs w:val="25"/>
        </w:rPr>
        <w:t>or an introduction to what follows it. To determine that</w:t>
      </w:r>
      <w:r w:rsidR="006F304D" w:rsidRPr="006F304D">
        <w:rPr>
          <w:szCs w:val="25"/>
        </w:rPr>
        <w:t xml:space="preserve">, </w:t>
      </w:r>
      <w:r>
        <w:rPr>
          <w:szCs w:val="25"/>
        </w:rPr>
        <w:t>however</w:t>
      </w:r>
      <w:r w:rsidR="006F304D" w:rsidRPr="006F304D">
        <w:rPr>
          <w:szCs w:val="25"/>
        </w:rPr>
        <w:t xml:space="preserve">, </w:t>
      </w:r>
      <w:r>
        <w:rPr>
          <w:szCs w:val="25"/>
        </w:rPr>
        <w:t>will require a consideration of the relations between 27-28</w:t>
      </w:r>
      <w:r w:rsidR="006F304D" w:rsidRPr="006F304D">
        <w:rPr>
          <w:szCs w:val="25"/>
        </w:rPr>
        <w:t xml:space="preserve">, </w:t>
      </w:r>
      <w:r>
        <w:rPr>
          <w:szCs w:val="25"/>
        </w:rPr>
        <w:t>29-30</w:t>
      </w:r>
      <w:r w:rsidR="006F304D" w:rsidRPr="006F304D">
        <w:rPr>
          <w:szCs w:val="25"/>
        </w:rPr>
        <w:t xml:space="preserve">, </w:t>
      </w:r>
      <w:r>
        <w:rPr>
          <w:szCs w:val="25"/>
        </w:rPr>
        <w:t>and 32-34—considerations best dealt with in the next chapter</w:t>
      </w:r>
      <w:r w:rsidR="006F304D" w:rsidRPr="006F304D">
        <w:rPr>
          <w:szCs w:val="25"/>
        </w:rPr>
        <w:t xml:space="preserve">, </w:t>
      </w:r>
      <w:r>
        <w:rPr>
          <w:szCs w:val="25"/>
        </w:rPr>
        <w:t xml:space="preserve">on the major sections in the sermon. </w:t>
      </w:r>
      <w:r w:rsidRPr="006A51BA">
        <w:rPr>
          <w:szCs w:val="25"/>
        </w:rPr>
        <w:t>For now</w:t>
      </w:r>
      <w:r w:rsidR="006F304D" w:rsidRPr="006F304D">
        <w:rPr>
          <w:szCs w:val="25"/>
        </w:rPr>
        <w:t xml:space="preserve">, </w:t>
      </w:r>
      <w:r>
        <w:rPr>
          <w:szCs w:val="25"/>
        </w:rPr>
        <w:t xml:space="preserve">let us </w:t>
      </w:r>
      <w:r w:rsidRPr="006A51BA">
        <w:rPr>
          <w:szCs w:val="25"/>
        </w:rPr>
        <w:t xml:space="preserve">simply revise </w:t>
      </w:r>
      <w:r>
        <w:rPr>
          <w:szCs w:val="25"/>
        </w:rPr>
        <w:t xml:space="preserve">the </w:t>
      </w:r>
      <w:r w:rsidRPr="006A51BA">
        <w:rPr>
          <w:szCs w:val="25"/>
        </w:rPr>
        <w:t>outline as follows.</w:t>
      </w:r>
    </w:p>
    <w:p w14:paraId="0050A709" w14:textId="77777777" w:rsidR="0018433B" w:rsidRDefault="0018433B" w:rsidP="0018433B">
      <w:pPr>
        <w:pStyle w:val="Style"/>
        <w:widowControl/>
        <w:jc w:val="both"/>
        <w:textAlignment w:val="baseline"/>
        <w:rPr>
          <w:szCs w:val="25"/>
        </w:rPr>
      </w:pPr>
    </w:p>
    <w:p w14:paraId="3124B19A" w14:textId="77777777" w:rsidR="0018433B" w:rsidRDefault="0018433B" w:rsidP="0018433B">
      <w:pPr>
        <w:pStyle w:val="Style"/>
        <w:tabs>
          <w:tab w:val="left" w:pos="3600"/>
          <w:tab w:val="left" w:pos="3960"/>
          <w:tab w:val="left" w:pos="4320"/>
        </w:tabs>
        <w:jc w:val="both"/>
        <w:textAlignment w:val="baseline"/>
        <w:rPr>
          <w:szCs w:val="25"/>
        </w:rPr>
      </w:pPr>
      <w:r>
        <w:rPr>
          <w:szCs w:val="25"/>
        </w:rPr>
        <w:tab/>
        <w:t>1.</w:t>
      </w:r>
      <w:r>
        <w:rPr>
          <w:szCs w:val="25"/>
        </w:rPr>
        <w:tab/>
        <w:t>27-28</w:t>
      </w:r>
    </w:p>
    <w:p w14:paraId="67BE36AA" w14:textId="77777777" w:rsidR="0018433B" w:rsidRPr="009B6200" w:rsidRDefault="0018433B" w:rsidP="0018433B">
      <w:pPr>
        <w:pStyle w:val="Style"/>
        <w:tabs>
          <w:tab w:val="left" w:pos="3600"/>
          <w:tab w:val="left" w:pos="3960"/>
          <w:tab w:val="left" w:pos="4320"/>
        </w:tabs>
        <w:jc w:val="both"/>
        <w:textAlignment w:val="baseline"/>
        <w:rPr>
          <w:szCs w:val="25"/>
        </w:rPr>
      </w:pPr>
      <w:r>
        <w:rPr>
          <w:szCs w:val="25"/>
        </w:rPr>
        <w:tab/>
      </w:r>
      <w:r>
        <w:rPr>
          <w:szCs w:val="25"/>
        </w:rPr>
        <w:tab/>
      </w:r>
      <w:r w:rsidRPr="009B6200">
        <w:rPr>
          <w:szCs w:val="25"/>
        </w:rPr>
        <w:t>a.</w:t>
      </w:r>
      <w:r>
        <w:rPr>
          <w:szCs w:val="25"/>
        </w:rPr>
        <w:tab/>
      </w:r>
      <w:r w:rsidRPr="009B6200">
        <w:rPr>
          <w:szCs w:val="25"/>
        </w:rPr>
        <w:t>27a</w:t>
      </w:r>
    </w:p>
    <w:p w14:paraId="0743F832" w14:textId="77777777" w:rsidR="0018433B" w:rsidRPr="009B6200" w:rsidRDefault="0018433B" w:rsidP="0018433B">
      <w:pPr>
        <w:pStyle w:val="Style"/>
        <w:tabs>
          <w:tab w:val="left" w:pos="3600"/>
          <w:tab w:val="left" w:pos="3960"/>
          <w:tab w:val="left" w:pos="4320"/>
        </w:tabs>
        <w:jc w:val="both"/>
        <w:textAlignment w:val="baseline"/>
        <w:rPr>
          <w:szCs w:val="25"/>
        </w:rPr>
      </w:pPr>
      <w:r>
        <w:rPr>
          <w:szCs w:val="25"/>
        </w:rPr>
        <w:tab/>
      </w:r>
      <w:r>
        <w:rPr>
          <w:szCs w:val="25"/>
        </w:rPr>
        <w:tab/>
      </w:r>
      <w:r w:rsidRPr="009B6200">
        <w:rPr>
          <w:szCs w:val="25"/>
        </w:rPr>
        <w:t>b.</w:t>
      </w:r>
      <w:r w:rsidRPr="009B6200">
        <w:rPr>
          <w:szCs w:val="25"/>
        </w:rPr>
        <w:tab/>
        <w:t>27b-28</w:t>
      </w:r>
    </w:p>
    <w:p w14:paraId="559540DF" w14:textId="77777777" w:rsidR="0018433B" w:rsidRDefault="0018433B" w:rsidP="0018433B">
      <w:pPr>
        <w:pStyle w:val="Style"/>
        <w:tabs>
          <w:tab w:val="left" w:pos="3600"/>
          <w:tab w:val="left" w:pos="3960"/>
          <w:tab w:val="left" w:pos="4320"/>
        </w:tabs>
        <w:jc w:val="both"/>
        <w:textAlignment w:val="baseline"/>
        <w:rPr>
          <w:szCs w:val="25"/>
        </w:rPr>
      </w:pPr>
      <w:r>
        <w:rPr>
          <w:szCs w:val="25"/>
        </w:rPr>
        <w:tab/>
        <w:t>2.</w:t>
      </w:r>
      <w:r>
        <w:rPr>
          <w:szCs w:val="25"/>
        </w:rPr>
        <w:tab/>
        <w:t>29-30</w:t>
      </w:r>
    </w:p>
    <w:p w14:paraId="59E69961" w14:textId="77777777" w:rsidR="0018433B" w:rsidRPr="009B6200" w:rsidRDefault="0018433B" w:rsidP="0018433B">
      <w:pPr>
        <w:pStyle w:val="Style"/>
        <w:tabs>
          <w:tab w:val="left" w:pos="3600"/>
          <w:tab w:val="left" w:pos="3960"/>
          <w:tab w:val="left" w:pos="4320"/>
        </w:tabs>
        <w:jc w:val="both"/>
        <w:textAlignment w:val="baseline"/>
        <w:rPr>
          <w:szCs w:val="25"/>
        </w:rPr>
      </w:pPr>
      <w:r>
        <w:rPr>
          <w:szCs w:val="25"/>
        </w:rPr>
        <w:tab/>
        <w:t>3.</w:t>
      </w:r>
      <w:r>
        <w:rPr>
          <w:szCs w:val="25"/>
        </w:rPr>
        <w:tab/>
      </w:r>
      <w:r w:rsidRPr="009B6200">
        <w:rPr>
          <w:szCs w:val="25"/>
        </w:rPr>
        <w:t>31</w:t>
      </w:r>
    </w:p>
    <w:p w14:paraId="7E970D6E" w14:textId="77777777" w:rsidR="0018433B" w:rsidRDefault="0018433B" w:rsidP="0018433B">
      <w:pPr>
        <w:pStyle w:val="Style"/>
        <w:widowControl/>
        <w:tabs>
          <w:tab w:val="left" w:pos="3600"/>
          <w:tab w:val="left" w:pos="3960"/>
          <w:tab w:val="left" w:pos="4320"/>
        </w:tabs>
        <w:jc w:val="both"/>
        <w:textAlignment w:val="baseline"/>
        <w:rPr>
          <w:szCs w:val="25"/>
        </w:rPr>
      </w:pPr>
      <w:r>
        <w:rPr>
          <w:szCs w:val="25"/>
        </w:rPr>
        <w:tab/>
        <w:t>4</w:t>
      </w:r>
      <w:r w:rsidRPr="009B6200">
        <w:rPr>
          <w:szCs w:val="25"/>
        </w:rPr>
        <w:t>.</w:t>
      </w:r>
      <w:r w:rsidRPr="009B6200">
        <w:rPr>
          <w:szCs w:val="25"/>
        </w:rPr>
        <w:tab/>
        <w:t>32-34</w:t>
      </w:r>
    </w:p>
    <w:p w14:paraId="03EB2415" w14:textId="77777777" w:rsidR="0018433B" w:rsidRPr="006A51BA" w:rsidRDefault="0018433B" w:rsidP="0018433B">
      <w:pPr>
        <w:pStyle w:val="Style"/>
        <w:widowControl/>
        <w:jc w:val="both"/>
        <w:textAlignment w:val="baseline"/>
        <w:rPr>
          <w:szCs w:val="25"/>
        </w:rPr>
      </w:pPr>
    </w:p>
    <w:p w14:paraId="6ED3FB7D" w14:textId="77777777" w:rsidR="0018433B" w:rsidRPr="006A51BA" w:rsidRDefault="0018433B" w:rsidP="0018433B">
      <w:pPr>
        <w:pStyle w:val="Style"/>
        <w:widowControl/>
        <w:jc w:val="both"/>
        <w:textAlignment w:val="baseline"/>
        <w:rPr>
          <w:szCs w:val="25"/>
        </w:rPr>
      </w:pPr>
      <w:r>
        <w:rPr>
          <w:szCs w:val="25"/>
        </w:rPr>
        <w:tab/>
      </w:r>
      <w:r w:rsidRPr="009B6200">
        <w:rPr>
          <w:b/>
          <w:szCs w:val="25"/>
        </w:rPr>
        <w:t>Luke 6</w:t>
      </w:r>
      <w:r w:rsidRPr="006A51BA">
        <w:rPr>
          <w:szCs w:val="25"/>
        </w:rPr>
        <w:t>:</w:t>
      </w:r>
      <w:r w:rsidRPr="009B6200">
        <w:rPr>
          <w:b/>
          <w:szCs w:val="25"/>
        </w:rPr>
        <w:t>35</w:t>
      </w:r>
      <w:r w:rsidRPr="006A51BA">
        <w:rPr>
          <w:szCs w:val="25"/>
        </w:rPr>
        <w:t>. Here is the text:</w:t>
      </w:r>
    </w:p>
    <w:p w14:paraId="5563DDA6" w14:textId="77777777" w:rsidR="0018433B" w:rsidRDefault="0018433B" w:rsidP="0018433B">
      <w:pPr>
        <w:pStyle w:val="Style"/>
        <w:widowControl/>
        <w:jc w:val="both"/>
        <w:textAlignment w:val="baseline"/>
        <w:rPr>
          <w:szCs w:val="25"/>
        </w:rPr>
      </w:pPr>
    </w:p>
    <w:p w14:paraId="733B113A" w14:textId="77777777" w:rsidR="0018433B" w:rsidRPr="006A51BA" w:rsidRDefault="0018433B" w:rsidP="0018433B">
      <w:pPr>
        <w:pStyle w:val="Style"/>
        <w:widowControl/>
        <w:ind w:left="720"/>
        <w:jc w:val="both"/>
        <w:textAlignment w:val="baseline"/>
        <w:rPr>
          <w:szCs w:val="25"/>
        </w:rPr>
      </w:pPr>
      <w:r w:rsidRPr="006A51BA">
        <w:rPr>
          <w:szCs w:val="25"/>
        </w:rPr>
        <w:t>35a</w:t>
      </w:r>
      <w:r>
        <w:rPr>
          <w:szCs w:val="25"/>
        </w:rPr>
        <w:tab/>
      </w:r>
      <w:r w:rsidRPr="00CE06CA">
        <w:rPr>
          <w:bCs/>
          <w:szCs w:val="22"/>
          <w:lang w:val="el-GR"/>
        </w:rPr>
        <w:t>πλὴν ἀγαπᾶτε τοὺς ἐχθροὺς ὑμῶν</w:t>
      </w:r>
    </w:p>
    <w:p w14:paraId="3C10DBCD" w14:textId="77777777" w:rsidR="0018433B" w:rsidRDefault="0018433B" w:rsidP="0018433B">
      <w:pPr>
        <w:pStyle w:val="Style"/>
        <w:widowControl/>
        <w:ind w:left="720"/>
        <w:jc w:val="both"/>
        <w:textAlignment w:val="baseline"/>
        <w:rPr>
          <w:szCs w:val="25"/>
        </w:rPr>
      </w:pPr>
      <w:r>
        <w:rPr>
          <w:szCs w:val="25"/>
        </w:rPr>
        <w:t>35b</w:t>
      </w:r>
      <w:r>
        <w:rPr>
          <w:szCs w:val="25"/>
        </w:rPr>
        <w:tab/>
      </w:r>
      <w:r w:rsidRPr="00CE06CA">
        <w:rPr>
          <w:bCs/>
          <w:szCs w:val="22"/>
          <w:lang w:val="el-GR"/>
        </w:rPr>
        <w:t>καὶ ἀγαθοποιεῖτε</w:t>
      </w:r>
    </w:p>
    <w:p w14:paraId="6DCD1984" w14:textId="77777777" w:rsidR="0018433B" w:rsidRPr="006A51BA" w:rsidRDefault="0018433B" w:rsidP="0018433B">
      <w:pPr>
        <w:pStyle w:val="Style"/>
        <w:widowControl/>
        <w:ind w:left="720"/>
        <w:jc w:val="both"/>
        <w:textAlignment w:val="baseline"/>
        <w:rPr>
          <w:szCs w:val="25"/>
        </w:rPr>
      </w:pPr>
      <w:r>
        <w:rPr>
          <w:szCs w:val="25"/>
        </w:rPr>
        <w:t>35c</w:t>
      </w:r>
      <w:r>
        <w:rPr>
          <w:szCs w:val="25"/>
        </w:rPr>
        <w:tab/>
      </w:r>
      <w:r w:rsidRPr="00CE06CA">
        <w:rPr>
          <w:bCs/>
          <w:szCs w:val="22"/>
          <w:lang w:val="el-GR"/>
        </w:rPr>
        <w:t>καὶ δανίζετε μηδὲν ἀπελπίζοντες·</w:t>
      </w:r>
    </w:p>
    <w:p w14:paraId="7058D92E" w14:textId="77777777" w:rsidR="0018433B" w:rsidRDefault="0018433B" w:rsidP="0018433B">
      <w:pPr>
        <w:pStyle w:val="Style"/>
        <w:widowControl/>
        <w:ind w:left="720"/>
        <w:jc w:val="both"/>
        <w:textAlignment w:val="baseline"/>
        <w:rPr>
          <w:bCs/>
          <w:szCs w:val="22"/>
        </w:rPr>
      </w:pPr>
      <w:r w:rsidRPr="006A51BA">
        <w:rPr>
          <w:szCs w:val="25"/>
        </w:rPr>
        <w:t>35d</w:t>
      </w:r>
      <w:r>
        <w:rPr>
          <w:szCs w:val="38"/>
        </w:rPr>
        <w:tab/>
      </w:r>
      <w:r w:rsidRPr="00CE06CA">
        <w:rPr>
          <w:bCs/>
          <w:szCs w:val="22"/>
          <w:lang w:val="el-GR"/>
        </w:rPr>
        <w:t>καὶ ἔσται ὁ μισθὸς ὑμῶν πολύς,</w:t>
      </w:r>
    </w:p>
    <w:p w14:paraId="1B90C036" w14:textId="77777777" w:rsidR="0018433B" w:rsidRDefault="0018433B" w:rsidP="0018433B">
      <w:pPr>
        <w:pStyle w:val="Style"/>
        <w:widowControl/>
        <w:ind w:left="720"/>
        <w:jc w:val="both"/>
        <w:textAlignment w:val="baseline"/>
        <w:rPr>
          <w:bCs/>
          <w:szCs w:val="22"/>
        </w:rPr>
      </w:pPr>
      <w:r>
        <w:rPr>
          <w:bCs/>
          <w:szCs w:val="22"/>
        </w:rPr>
        <w:t>35e</w:t>
      </w:r>
      <w:r>
        <w:rPr>
          <w:bCs/>
          <w:szCs w:val="22"/>
        </w:rPr>
        <w:tab/>
      </w:r>
      <w:r w:rsidRPr="00CE06CA">
        <w:rPr>
          <w:bCs/>
          <w:szCs w:val="22"/>
          <w:lang w:val="el-GR"/>
        </w:rPr>
        <w:t>καὶ ἔσεσθε υἱοὶ ὑψίστου,</w:t>
      </w:r>
    </w:p>
    <w:p w14:paraId="1B2A8CE5" w14:textId="77777777" w:rsidR="0018433B" w:rsidRPr="00EE0EAC" w:rsidRDefault="0018433B" w:rsidP="0018433B">
      <w:pPr>
        <w:pStyle w:val="Style"/>
        <w:widowControl/>
        <w:ind w:left="720"/>
        <w:jc w:val="both"/>
        <w:textAlignment w:val="baseline"/>
        <w:rPr>
          <w:szCs w:val="25"/>
        </w:rPr>
      </w:pPr>
      <w:r>
        <w:rPr>
          <w:bCs/>
          <w:szCs w:val="22"/>
        </w:rPr>
        <w:t>35f</w:t>
      </w:r>
      <w:r>
        <w:rPr>
          <w:bCs/>
          <w:szCs w:val="22"/>
        </w:rPr>
        <w:tab/>
      </w:r>
      <w:r w:rsidRPr="00CE06CA">
        <w:rPr>
          <w:bCs/>
          <w:szCs w:val="22"/>
          <w:lang w:val="el-GR"/>
        </w:rPr>
        <w:t>ὅτι αὐτὸς χρηστός ἐστιν ἐπὶ τοὺς ἀχαρίστους καὶ πονηρούς.</w:t>
      </w:r>
    </w:p>
    <w:p w14:paraId="4A6BE649" w14:textId="77777777" w:rsidR="0018433B" w:rsidRDefault="0018433B" w:rsidP="0018433B">
      <w:pPr>
        <w:pStyle w:val="Style"/>
        <w:widowControl/>
        <w:jc w:val="both"/>
        <w:textAlignment w:val="baseline"/>
        <w:rPr>
          <w:szCs w:val="34"/>
        </w:rPr>
      </w:pPr>
    </w:p>
    <w:p w14:paraId="286E6818" w14:textId="77777777" w:rsidR="0018433B" w:rsidRPr="006A51BA" w:rsidRDefault="0018433B" w:rsidP="0018433B">
      <w:pPr>
        <w:pStyle w:val="Style"/>
        <w:widowControl/>
        <w:ind w:left="720"/>
        <w:jc w:val="both"/>
        <w:textAlignment w:val="baseline"/>
        <w:rPr>
          <w:szCs w:val="25"/>
        </w:rPr>
      </w:pPr>
      <w:r w:rsidRPr="006A51BA">
        <w:rPr>
          <w:szCs w:val="25"/>
        </w:rPr>
        <w:t>35a</w:t>
      </w:r>
      <w:r>
        <w:rPr>
          <w:szCs w:val="25"/>
        </w:rPr>
        <w:tab/>
      </w:r>
      <w:r w:rsidRPr="00CD75A6">
        <w:t>But love your enemies,</w:t>
      </w:r>
    </w:p>
    <w:p w14:paraId="2E9C37F0" w14:textId="77777777" w:rsidR="0018433B" w:rsidRDefault="0018433B" w:rsidP="0018433B">
      <w:pPr>
        <w:pStyle w:val="Style"/>
        <w:widowControl/>
        <w:ind w:left="720"/>
        <w:jc w:val="both"/>
        <w:textAlignment w:val="baseline"/>
        <w:rPr>
          <w:szCs w:val="25"/>
        </w:rPr>
      </w:pPr>
      <w:r>
        <w:rPr>
          <w:szCs w:val="25"/>
        </w:rPr>
        <w:t>35b</w:t>
      </w:r>
      <w:r>
        <w:rPr>
          <w:szCs w:val="25"/>
        </w:rPr>
        <w:tab/>
      </w:r>
      <w:r w:rsidRPr="00CD75A6">
        <w:t>do good,</w:t>
      </w:r>
    </w:p>
    <w:p w14:paraId="3A1AB626" w14:textId="0FFB386D" w:rsidR="0018433B" w:rsidRPr="006A51BA" w:rsidRDefault="0018433B" w:rsidP="0018433B">
      <w:pPr>
        <w:pStyle w:val="Style"/>
        <w:widowControl/>
        <w:ind w:left="720"/>
        <w:jc w:val="both"/>
        <w:textAlignment w:val="baseline"/>
        <w:rPr>
          <w:szCs w:val="25"/>
        </w:rPr>
      </w:pPr>
      <w:r>
        <w:rPr>
          <w:szCs w:val="25"/>
        </w:rPr>
        <w:t>35c</w:t>
      </w:r>
      <w:r>
        <w:rPr>
          <w:szCs w:val="25"/>
        </w:rPr>
        <w:tab/>
      </w:r>
      <w:r w:rsidRPr="00CD75A6">
        <w:t>and lend</w:t>
      </w:r>
      <w:r w:rsidR="006F304D" w:rsidRPr="006F304D">
        <w:t xml:space="preserve">, </w:t>
      </w:r>
      <w:r w:rsidRPr="00CD75A6">
        <w:t>expecting nothing in return.</w:t>
      </w:r>
    </w:p>
    <w:p w14:paraId="2DCA9FFB" w14:textId="77777777" w:rsidR="0018433B" w:rsidRDefault="0018433B" w:rsidP="0018433B">
      <w:pPr>
        <w:pStyle w:val="Style"/>
        <w:widowControl/>
        <w:ind w:left="720"/>
        <w:jc w:val="both"/>
        <w:textAlignment w:val="baseline"/>
      </w:pPr>
      <w:r w:rsidRPr="006A51BA">
        <w:rPr>
          <w:szCs w:val="25"/>
        </w:rPr>
        <w:t>35d</w:t>
      </w:r>
      <w:r>
        <w:rPr>
          <w:szCs w:val="38"/>
        </w:rPr>
        <w:tab/>
      </w:r>
      <w:r w:rsidRPr="00CD75A6">
        <w:t>Your reward will be great,</w:t>
      </w:r>
    </w:p>
    <w:p w14:paraId="5168214C" w14:textId="77777777" w:rsidR="0018433B" w:rsidRDefault="0018433B" w:rsidP="0018433B">
      <w:pPr>
        <w:pStyle w:val="Style"/>
        <w:widowControl/>
        <w:ind w:left="720"/>
        <w:jc w:val="both"/>
        <w:textAlignment w:val="baseline"/>
      </w:pPr>
      <w:r>
        <w:t>35e</w:t>
      </w:r>
      <w:r>
        <w:tab/>
      </w:r>
      <w:r w:rsidRPr="00CD75A6">
        <w:t>and you will be children of the Most High;</w:t>
      </w:r>
    </w:p>
    <w:p w14:paraId="22D23488" w14:textId="77777777" w:rsidR="0018433B" w:rsidRPr="006A51BA" w:rsidRDefault="0018433B" w:rsidP="0018433B">
      <w:pPr>
        <w:pStyle w:val="Style"/>
        <w:widowControl/>
        <w:ind w:left="720"/>
        <w:jc w:val="both"/>
        <w:textAlignment w:val="baseline"/>
        <w:rPr>
          <w:szCs w:val="25"/>
        </w:rPr>
      </w:pPr>
      <w:r>
        <w:t>35f</w:t>
      </w:r>
      <w:r>
        <w:tab/>
      </w:r>
      <w:r w:rsidRPr="00CD75A6">
        <w:t>for he is kind to the ungrateful and the wicked.</w:t>
      </w:r>
    </w:p>
    <w:p w14:paraId="753609AA" w14:textId="77777777" w:rsidR="0018433B" w:rsidRDefault="0018433B" w:rsidP="0018433B">
      <w:pPr>
        <w:pStyle w:val="Style"/>
        <w:widowControl/>
        <w:jc w:val="both"/>
        <w:textAlignment w:val="baseline"/>
        <w:rPr>
          <w:szCs w:val="34"/>
        </w:rPr>
      </w:pPr>
    </w:p>
    <w:p w14:paraId="351DAACE" w14:textId="72A5FBEF" w:rsidR="0018433B" w:rsidRDefault="0018433B" w:rsidP="0018433B">
      <w:pPr>
        <w:pStyle w:val="Style"/>
        <w:widowControl/>
        <w:jc w:val="both"/>
        <w:textAlignment w:val="baseline"/>
        <w:rPr>
          <w:szCs w:val="25"/>
        </w:rPr>
      </w:pPr>
      <w:r>
        <w:rPr>
          <w:szCs w:val="25"/>
        </w:rPr>
        <w:tab/>
        <w:t xml:space="preserve">Verse 35abc </w:t>
      </w:r>
      <w:r w:rsidRPr="006A51BA">
        <w:rPr>
          <w:szCs w:val="25"/>
        </w:rPr>
        <w:t>unquestionably belongs with the verses which precede it.</w:t>
      </w:r>
      <w:r>
        <w:rPr>
          <w:szCs w:val="25"/>
        </w:rPr>
        <w:t xml:space="preserve"> </w:t>
      </w:r>
      <w:r w:rsidRPr="006A51BA">
        <w:rPr>
          <w:szCs w:val="25"/>
        </w:rPr>
        <w:t>The initial versicle</w:t>
      </w:r>
      <w:r w:rsidR="006F304D" w:rsidRPr="006F304D">
        <w:rPr>
          <w:szCs w:val="25"/>
        </w:rPr>
        <w:t xml:space="preserve">, </w:t>
      </w:r>
      <w:r w:rsidRPr="006A51BA">
        <w:rPr>
          <w:szCs w:val="25"/>
        </w:rPr>
        <w:t>35a</w:t>
      </w:r>
      <w:r w:rsidR="006F304D" w:rsidRPr="006F304D">
        <w:rPr>
          <w:szCs w:val="25"/>
        </w:rPr>
        <w:t xml:space="preserve">, </w:t>
      </w:r>
      <w:r>
        <w:rPr>
          <w:szCs w:val="25"/>
        </w:rPr>
        <w:t>reiterates the principle of verse 27</w:t>
      </w:r>
      <w:r w:rsidR="006F304D" w:rsidRPr="006F304D">
        <w:rPr>
          <w:szCs w:val="25"/>
        </w:rPr>
        <w:t xml:space="preserve">, </w:t>
      </w:r>
      <w:r>
        <w:rPr>
          <w:szCs w:val="25"/>
        </w:rPr>
        <w:t>“Love your enemies.”</w:t>
      </w:r>
      <w:r w:rsidRPr="006A51BA">
        <w:rPr>
          <w:szCs w:val="25"/>
        </w:rPr>
        <w:t xml:space="preserve"> </w:t>
      </w:r>
      <w:r>
        <w:rPr>
          <w:szCs w:val="25"/>
        </w:rPr>
        <w:t>Also</w:t>
      </w:r>
      <w:r w:rsidR="006F304D" w:rsidRPr="006F304D">
        <w:rPr>
          <w:szCs w:val="25"/>
        </w:rPr>
        <w:t xml:space="preserve">, </w:t>
      </w:r>
      <w:r>
        <w:rPr>
          <w:szCs w:val="25"/>
        </w:rPr>
        <w:t>35abc</w:t>
      </w:r>
      <w:r w:rsidRPr="006A51BA">
        <w:rPr>
          <w:szCs w:val="25"/>
        </w:rPr>
        <w:t xml:space="preserve"> dupli</w:t>
      </w:r>
      <w:r>
        <w:rPr>
          <w:szCs w:val="25"/>
        </w:rPr>
        <w:t>cates the</w:t>
      </w:r>
      <w:r w:rsidRPr="006A51BA">
        <w:rPr>
          <w:szCs w:val="25"/>
        </w:rPr>
        <w:t xml:space="preserve"> sequence </w:t>
      </w:r>
      <w:r>
        <w:rPr>
          <w:szCs w:val="25"/>
        </w:rPr>
        <w:t>in 32-34: “love</w:t>
      </w:r>
      <w:r w:rsidRPr="006A51BA">
        <w:rPr>
          <w:szCs w:val="25"/>
        </w:rPr>
        <w:t>”</w:t>
      </w:r>
      <w:r>
        <w:rPr>
          <w:szCs w:val="25"/>
        </w:rPr>
        <w:t xml:space="preserve"> (32)</w:t>
      </w:r>
      <w:r w:rsidR="006F304D" w:rsidRPr="006F304D">
        <w:rPr>
          <w:szCs w:val="25"/>
        </w:rPr>
        <w:t xml:space="preserve">, </w:t>
      </w:r>
      <w:r w:rsidRPr="006A51BA">
        <w:rPr>
          <w:szCs w:val="25"/>
        </w:rPr>
        <w:t>“do</w:t>
      </w:r>
      <w:r>
        <w:rPr>
          <w:szCs w:val="25"/>
        </w:rPr>
        <w:t xml:space="preserve"> good” (</w:t>
      </w:r>
      <w:r w:rsidRPr="006A51BA">
        <w:rPr>
          <w:szCs w:val="25"/>
        </w:rPr>
        <w:t>33</w:t>
      </w:r>
      <w:r>
        <w:rPr>
          <w:szCs w:val="25"/>
        </w:rPr>
        <w:t>)</w:t>
      </w:r>
      <w:r w:rsidR="006F304D" w:rsidRPr="006F304D">
        <w:rPr>
          <w:szCs w:val="25"/>
        </w:rPr>
        <w:t xml:space="preserve">, </w:t>
      </w:r>
      <w:r w:rsidRPr="006A51BA">
        <w:rPr>
          <w:szCs w:val="25"/>
        </w:rPr>
        <w:t>“lend”</w:t>
      </w:r>
      <w:r>
        <w:rPr>
          <w:szCs w:val="25"/>
        </w:rPr>
        <w:t xml:space="preserve"> (</w:t>
      </w:r>
      <w:r w:rsidRPr="006A51BA">
        <w:rPr>
          <w:szCs w:val="25"/>
        </w:rPr>
        <w:t>34</w:t>
      </w:r>
      <w:r>
        <w:rPr>
          <w:szCs w:val="25"/>
        </w:rPr>
        <w:t>).</w:t>
      </w:r>
      <w:r>
        <w:rPr>
          <w:rStyle w:val="FootnoteReference"/>
          <w:szCs w:val="25"/>
        </w:rPr>
        <w:footnoteReference w:id="549"/>
      </w:r>
    </w:p>
    <w:p w14:paraId="4E2E77FA" w14:textId="33A241FB" w:rsidR="0018433B" w:rsidRPr="006A51BA" w:rsidRDefault="0018433B" w:rsidP="0018433B">
      <w:pPr>
        <w:pStyle w:val="Style"/>
        <w:widowControl/>
        <w:jc w:val="both"/>
        <w:textAlignment w:val="baseline"/>
        <w:rPr>
          <w:szCs w:val="25"/>
        </w:rPr>
      </w:pPr>
      <w:r>
        <w:rPr>
          <w:szCs w:val="25"/>
        </w:rPr>
        <w:lastRenderedPageBreak/>
        <w:tab/>
      </w:r>
      <w:r w:rsidRPr="006A51BA">
        <w:rPr>
          <w:szCs w:val="25"/>
        </w:rPr>
        <w:t>What of the remainder of verse 35?</w:t>
      </w:r>
      <w:r>
        <w:rPr>
          <w:szCs w:val="25"/>
        </w:rPr>
        <w:t xml:space="preserve"> At least verse 35d</w:t>
      </w:r>
      <w:r w:rsidRPr="006A51BA">
        <w:rPr>
          <w:szCs w:val="25"/>
        </w:rPr>
        <w:t xml:space="preserve"> (</w:t>
      </w:r>
      <w:r w:rsidRPr="00FF03AB">
        <w:rPr>
          <w:szCs w:val="25"/>
        </w:rPr>
        <w:t>“</w:t>
      </w:r>
      <w:r w:rsidRPr="00CD75A6">
        <w:t>Your reward will be great</w:t>
      </w:r>
      <w:r>
        <w:rPr>
          <w:szCs w:val="25"/>
        </w:rPr>
        <w:t>”</w:t>
      </w:r>
      <w:r w:rsidRPr="006A51BA">
        <w:rPr>
          <w:szCs w:val="25"/>
        </w:rPr>
        <w:t>) cannot be divided from the</w:t>
      </w:r>
      <w:r>
        <w:rPr>
          <w:szCs w:val="25"/>
        </w:rPr>
        <w:t xml:space="preserve"> </w:t>
      </w:r>
      <w:r w:rsidRPr="006A51BA">
        <w:rPr>
          <w:szCs w:val="25"/>
        </w:rPr>
        <w:t>material that precedes it. Verses 32-34 have t</w:t>
      </w:r>
      <w:r>
        <w:rPr>
          <w:szCs w:val="25"/>
        </w:rPr>
        <w:t>he pattern</w:t>
      </w:r>
      <w:r w:rsidR="006F304D" w:rsidRPr="006F304D">
        <w:rPr>
          <w:szCs w:val="25"/>
        </w:rPr>
        <w:t xml:space="preserve">, </w:t>
      </w:r>
      <w:r>
        <w:rPr>
          <w:szCs w:val="25"/>
        </w:rPr>
        <w:t>‘love/do good/lend,”</w:t>
      </w:r>
      <w:r w:rsidRPr="006A51BA">
        <w:rPr>
          <w:szCs w:val="25"/>
        </w:rPr>
        <w:t xml:space="preserve"> </w:t>
      </w:r>
      <w:r>
        <w:rPr>
          <w:szCs w:val="25"/>
        </w:rPr>
        <w:t xml:space="preserve">then </w:t>
      </w:r>
      <w:r w:rsidRPr="006A51BA">
        <w:rPr>
          <w:szCs w:val="25"/>
        </w:rPr>
        <w:t>a reference to a reward (</w:t>
      </w:r>
      <w:proofErr w:type="spellStart"/>
      <w:r>
        <w:rPr>
          <w:szCs w:val="26"/>
        </w:rPr>
        <w:t>χάρις</w:t>
      </w:r>
      <w:proofErr w:type="spellEnd"/>
      <w:r w:rsidRPr="006A51BA">
        <w:rPr>
          <w:szCs w:val="26"/>
        </w:rPr>
        <w:t>).</w:t>
      </w:r>
      <w:r>
        <w:rPr>
          <w:szCs w:val="26"/>
        </w:rPr>
        <w:t xml:space="preserve"> </w:t>
      </w:r>
      <w:r>
        <w:rPr>
          <w:szCs w:val="25"/>
        </w:rPr>
        <w:t>In 35</w:t>
      </w:r>
      <w:r w:rsidRPr="006A51BA">
        <w:rPr>
          <w:szCs w:val="25"/>
        </w:rPr>
        <w:t xml:space="preserve"> we find the same pattern: 35a</w:t>
      </w:r>
      <w:r>
        <w:rPr>
          <w:szCs w:val="25"/>
        </w:rPr>
        <w:t>bc</w:t>
      </w:r>
      <w:r w:rsidR="006F304D" w:rsidRPr="006F304D">
        <w:rPr>
          <w:szCs w:val="25"/>
        </w:rPr>
        <w:t xml:space="preserve">, </w:t>
      </w:r>
      <w:r>
        <w:rPr>
          <w:szCs w:val="25"/>
        </w:rPr>
        <w:t>“</w:t>
      </w:r>
      <w:r w:rsidRPr="006A51BA">
        <w:rPr>
          <w:szCs w:val="25"/>
        </w:rPr>
        <w:t>love your enemies</w:t>
      </w:r>
      <w:r w:rsidR="006F304D" w:rsidRPr="006F304D">
        <w:rPr>
          <w:szCs w:val="25"/>
        </w:rPr>
        <w:t xml:space="preserve">, </w:t>
      </w:r>
      <w:r w:rsidRPr="006A51BA">
        <w:rPr>
          <w:szCs w:val="25"/>
        </w:rPr>
        <w:t>and do good</w:t>
      </w:r>
      <w:r w:rsidR="006F304D" w:rsidRPr="006F304D">
        <w:rPr>
          <w:szCs w:val="25"/>
        </w:rPr>
        <w:t xml:space="preserve">, </w:t>
      </w:r>
      <w:r w:rsidRPr="006A51BA">
        <w:rPr>
          <w:szCs w:val="25"/>
        </w:rPr>
        <w:t xml:space="preserve">and lend,” </w:t>
      </w:r>
      <w:r>
        <w:rPr>
          <w:szCs w:val="25"/>
        </w:rPr>
        <w:t>then in 35d</w:t>
      </w:r>
      <w:r w:rsidRPr="006A51BA">
        <w:rPr>
          <w:szCs w:val="25"/>
        </w:rPr>
        <w:t xml:space="preserve"> a refer</w:t>
      </w:r>
      <w:r>
        <w:rPr>
          <w:szCs w:val="25"/>
        </w:rPr>
        <w:t xml:space="preserve">ence </w:t>
      </w:r>
      <w:r w:rsidRPr="006A51BA">
        <w:rPr>
          <w:szCs w:val="25"/>
        </w:rPr>
        <w:t>to a reward (</w:t>
      </w:r>
      <w:proofErr w:type="spellStart"/>
      <w:r>
        <w:rPr>
          <w:szCs w:val="25"/>
        </w:rPr>
        <w:t>μισθός</w:t>
      </w:r>
      <w:proofErr w:type="spellEnd"/>
      <w:r w:rsidRPr="006A51BA">
        <w:rPr>
          <w:szCs w:val="25"/>
        </w:rPr>
        <w:t>).</w:t>
      </w:r>
    </w:p>
    <w:p w14:paraId="67BD952C" w14:textId="111DDC28" w:rsidR="0018433B" w:rsidRDefault="0018433B" w:rsidP="0018433B">
      <w:pPr>
        <w:pStyle w:val="Style"/>
        <w:widowControl/>
        <w:jc w:val="both"/>
        <w:textAlignment w:val="baseline"/>
        <w:rPr>
          <w:szCs w:val="25"/>
        </w:rPr>
      </w:pPr>
      <w:r>
        <w:rPr>
          <w:szCs w:val="25"/>
        </w:rPr>
        <w:tab/>
        <w:t>But if 35d</w:t>
      </w:r>
      <w:r w:rsidRPr="006A51BA">
        <w:rPr>
          <w:szCs w:val="25"/>
        </w:rPr>
        <w:t xml:space="preserve"> mu</w:t>
      </w:r>
      <w:r>
        <w:rPr>
          <w:szCs w:val="25"/>
        </w:rPr>
        <w:t>st be kept with 32-35abc</w:t>
      </w:r>
      <w:r w:rsidR="006F304D" w:rsidRPr="006F304D">
        <w:rPr>
          <w:szCs w:val="25"/>
        </w:rPr>
        <w:t xml:space="preserve">, </w:t>
      </w:r>
      <w:r>
        <w:rPr>
          <w:szCs w:val="25"/>
        </w:rPr>
        <w:t>then 35e</w:t>
      </w:r>
      <w:r w:rsidRPr="006A51BA">
        <w:rPr>
          <w:szCs w:val="25"/>
        </w:rPr>
        <w:t xml:space="preserve"> (“and you will be sons of the Most High”) must remain with</w:t>
      </w:r>
      <w:r>
        <w:rPr>
          <w:szCs w:val="25"/>
        </w:rPr>
        <w:t xml:space="preserve"> those verses as well</w:t>
      </w:r>
      <w:r w:rsidR="006F304D" w:rsidRPr="006F304D">
        <w:rPr>
          <w:szCs w:val="25"/>
        </w:rPr>
        <w:t xml:space="preserve">, </w:t>
      </w:r>
      <w:r>
        <w:rPr>
          <w:szCs w:val="25"/>
        </w:rPr>
        <w:t>since 35e</w:t>
      </w:r>
      <w:r w:rsidRPr="006A51BA">
        <w:rPr>
          <w:szCs w:val="25"/>
        </w:rPr>
        <w:t xml:space="preserve"> specifies either</w:t>
      </w:r>
      <w:r>
        <w:rPr>
          <w:szCs w:val="25"/>
        </w:rPr>
        <w:t xml:space="preserve"> the nature of the reward in 35d</w:t>
      </w:r>
      <w:r w:rsidRPr="006A51BA">
        <w:rPr>
          <w:szCs w:val="25"/>
        </w:rPr>
        <w:t xml:space="preserve"> or a second consequence </w:t>
      </w:r>
      <w:r w:rsidRPr="004C516D">
        <w:rPr>
          <w:szCs w:val="25"/>
        </w:rPr>
        <w:t>(</w:t>
      </w:r>
      <w:r w:rsidRPr="006A51BA">
        <w:rPr>
          <w:szCs w:val="25"/>
        </w:rPr>
        <w:t>alongside the reward) of loving</w:t>
      </w:r>
      <w:r w:rsidR="006F304D" w:rsidRPr="006F304D">
        <w:rPr>
          <w:szCs w:val="25"/>
        </w:rPr>
        <w:t xml:space="preserve">, </w:t>
      </w:r>
      <w:r w:rsidRPr="006A51BA">
        <w:rPr>
          <w:szCs w:val="25"/>
        </w:rPr>
        <w:t>doing good</w:t>
      </w:r>
      <w:r w:rsidR="006F304D" w:rsidRPr="006F304D">
        <w:rPr>
          <w:szCs w:val="25"/>
        </w:rPr>
        <w:t xml:space="preserve">, </w:t>
      </w:r>
      <w:r w:rsidRPr="006A51BA">
        <w:rPr>
          <w:szCs w:val="25"/>
        </w:rPr>
        <w:t>and lending. Either way</w:t>
      </w:r>
      <w:r w:rsidR="006F304D" w:rsidRPr="006F304D">
        <w:rPr>
          <w:szCs w:val="25"/>
        </w:rPr>
        <w:t xml:space="preserve">, </w:t>
      </w:r>
      <w:r w:rsidRPr="006A51BA">
        <w:rPr>
          <w:szCs w:val="25"/>
        </w:rPr>
        <w:t>the idea of becoming “sons of the Most Hig</w:t>
      </w:r>
      <w:r>
        <w:rPr>
          <w:szCs w:val="25"/>
        </w:rPr>
        <w:t xml:space="preserve">h” belongs with </w:t>
      </w:r>
      <w:r w:rsidRPr="006A51BA">
        <w:rPr>
          <w:szCs w:val="25"/>
        </w:rPr>
        <w:t xml:space="preserve">the idea </w:t>
      </w:r>
      <w:r>
        <w:rPr>
          <w:szCs w:val="25"/>
        </w:rPr>
        <w:t>of reward.</w:t>
      </w:r>
    </w:p>
    <w:p w14:paraId="6F10B3A4" w14:textId="400DDA44" w:rsidR="0018433B" w:rsidRPr="006A51BA" w:rsidRDefault="0018433B" w:rsidP="0018433B">
      <w:pPr>
        <w:pStyle w:val="Style"/>
        <w:widowControl/>
        <w:jc w:val="both"/>
        <w:textAlignment w:val="baseline"/>
        <w:rPr>
          <w:szCs w:val="25"/>
        </w:rPr>
      </w:pPr>
      <w:r>
        <w:rPr>
          <w:szCs w:val="25"/>
        </w:rPr>
        <w:tab/>
      </w:r>
      <w:r w:rsidRPr="006A51BA">
        <w:rPr>
          <w:szCs w:val="25"/>
        </w:rPr>
        <w:t xml:space="preserve">Just </w:t>
      </w:r>
      <w:r>
        <w:rPr>
          <w:szCs w:val="25"/>
        </w:rPr>
        <w:t>as 35d has drawn 35e along with it</w:t>
      </w:r>
      <w:r w:rsidR="006F304D" w:rsidRPr="006F304D">
        <w:rPr>
          <w:szCs w:val="25"/>
        </w:rPr>
        <w:t xml:space="preserve">, </w:t>
      </w:r>
      <w:r>
        <w:rPr>
          <w:szCs w:val="25"/>
        </w:rPr>
        <w:t>so 35e pulls 35f</w:t>
      </w:r>
      <w:r w:rsidRPr="006A51BA">
        <w:rPr>
          <w:szCs w:val="25"/>
        </w:rPr>
        <w:t xml:space="preserve"> along with it (“for he is kind to the ungrateful and the selfish”): the disciples will be </w:t>
      </w:r>
      <w:r>
        <w:rPr>
          <w:szCs w:val="25"/>
        </w:rPr>
        <w:t>“</w:t>
      </w:r>
      <w:r w:rsidRPr="006A51BA">
        <w:rPr>
          <w:szCs w:val="25"/>
        </w:rPr>
        <w:t>sons of the Most High</w:t>
      </w:r>
      <w:r w:rsidRPr="00FF03AB">
        <w:rPr>
          <w:szCs w:val="25"/>
        </w:rPr>
        <w:t>”</w:t>
      </w:r>
      <w:r w:rsidRPr="006A51BA">
        <w:rPr>
          <w:szCs w:val="25"/>
        </w:rPr>
        <w:t xml:space="preserve"> if they love</w:t>
      </w:r>
      <w:r w:rsidR="006F304D" w:rsidRPr="006F304D">
        <w:rPr>
          <w:szCs w:val="25"/>
        </w:rPr>
        <w:t xml:space="preserve">, </w:t>
      </w:r>
      <w:r w:rsidRPr="006A51BA">
        <w:rPr>
          <w:szCs w:val="25"/>
        </w:rPr>
        <w:t>do good</w:t>
      </w:r>
      <w:r w:rsidR="006F304D" w:rsidRPr="006F304D">
        <w:rPr>
          <w:szCs w:val="25"/>
        </w:rPr>
        <w:t xml:space="preserve">, </w:t>
      </w:r>
      <w:r w:rsidRPr="006A51BA">
        <w:rPr>
          <w:szCs w:val="25"/>
        </w:rPr>
        <w:t xml:space="preserve">and lend to enemies because </w:t>
      </w:r>
      <w:r w:rsidRPr="004C516D">
        <w:rPr>
          <w:szCs w:val="25"/>
        </w:rPr>
        <w:t>(</w:t>
      </w:r>
      <w:r w:rsidRPr="00CE06CA">
        <w:rPr>
          <w:bCs/>
          <w:szCs w:val="22"/>
          <w:lang w:val="el-GR"/>
        </w:rPr>
        <w:t>ὅτι</w:t>
      </w:r>
      <w:r w:rsidR="006F304D" w:rsidRPr="006F304D">
        <w:rPr>
          <w:bCs/>
          <w:szCs w:val="22"/>
        </w:rPr>
        <w:t xml:space="preserve">, </w:t>
      </w:r>
      <w:r>
        <w:rPr>
          <w:bCs/>
          <w:szCs w:val="22"/>
        </w:rPr>
        <w:t>35f</w:t>
      </w:r>
      <w:r w:rsidRPr="006A51BA">
        <w:rPr>
          <w:szCs w:val="27"/>
        </w:rPr>
        <w:t xml:space="preserve">) </w:t>
      </w:r>
      <w:r w:rsidRPr="006A51BA">
        <w:rPr>
          <w:szCs w:val="25"/>
        </w:rPr>
        <w:t>they will then be acting in</w:t>
      </w:r>
      <w:r>
        <w:rPr>
          <w:szCs w:val="25"/>
        </w:rPr>
        <w:t xml:space="preserve"> the same way as the Most High.</w:t>
      </w:r>
      <w:r>
        <w:rPr>
          <w:rStyle w:val="FootnoteReference"/>
          <w:szCs w:val="25"/>
        </w:rPr>
        <w:footnoteReference w:id="550"/>
      </w:r>
    </w:p>
    <w:p w14:paraId="6EC881AD" w14:textId="16B63A21" w:rsidR="0018433B" w:rsidRPr="006A51BA" w:rsidRDefault="0018433B" w:rsidP="0018433B">
      <w:pPr>
        <w:pStyle w:val="Style"/>
        <w:widowControl/>
        <w:jc w:val="both"/>
        <w:textAlignment w:val="baseline"/>
        <w:rPr>
          <w:szCs w:val="25"/>
        </w:rPr>
      </w:pPr>
      <w:r>
        <w:rPr>
          <w:szCs w:val="25"/>
        </w:rPr>
        <w:tab/>
      </w:r>
      <w:r w:rsidRPr="006A51BA">
        <w:rPr>
          <w:szCs w:val="25"/>
        </w:rPr>
        <w:t>Thus to verses 32-34 must be added all of verse 35</w:t>
      </w:r>
      <w:r w:rsidR="006F304D" w:rsidRPr="006F304D">
        <w:rPr>
          <w:szCs w:val="25"/>
        </w:rPr>
        <w:t xml:space="preserve">, </w:t>
      </w:r>
      <w:r w:rsidRPr="006A51BA">
        <w:rPr>
          <w:szCs w:val="25"/>
        </w:rPr>
        <w:t xml:space="preserve">so that 32-35 are all one unit. But </w:t>
      </w:r>
      <w:r>
        <w:rPr>
          <w:szCs w:val="25"/>
        </w:rPr>
        <w:t>h</w:t>
      </w:r>
      <w:r w:rsidRPr="006A51BA">
        <w:rPr>
          <w:szCs w:val="25"/>
        </w:rPr>
        <w:t>ow are 35a</w:t>
      </w:r>
      <w:r w:rsidR="006F304D" w:rsidRPr="006F304D">
        <w:rPr>
          <w:szCs w:val="25"/>
        </w:rPr>
        <w:t xml:space="preserve">, </w:t>
      </w:r>
      <w:r w:rsidRPr="006A51BA">
        <w:rPr>
          <w:szCs w:val="25"/>
        </w:rPr>
        <w:t>b</w:t>
      </w:r>
      <w:r w:rsidR="006F304D" w:rsidRPr="006F304D">
        <w:rPr>
          <w:szCs w:val="25"/>
        </w:rPr>
        <w:t xml:space="preserve">, </w:t>
      </w:r>
      <w:r w:rsidRPr="006A51BA">
        <w:rPr>
          <w:szCs w:val="25"/>
        </w:rPr>
        <w:t>c</w:t>
      </w:r>
      <w:r w:rsidR="006F304D" w:rsidRPr="006F304D">
        <w:rPr>
          <w:szCs w:val="25"/>
        </w:rPr>
        <w:t xml:space="preserve">, </w:t>
      </w:r>
      <w:r w:rsidRPr="006A51BA">
        <w:rPr>
          <w:szCs w:val="25"/>
        </w:rPr>
        <w:t>d</w:t>
      </w:r>
      <w:r w:rsidR="006F304D" w:rsidRPr="006F304D">
        <w:rPr>
          <w:szCs w:val="25"/>
        </w:rPr>
        <w:t xml:space="preserve">, </w:t>
      </w:r>
      <w:r>
        <w:rPr>
          <w:szCs w:val="25"/>
        </w:rPr>
        <w:t>e</w:t>
      </w:r>
      <w:r w:rsidR="006F304D" w:rsidRPr="006F304D">
        <w:rPr>
          <w:szCs w:val="25"/>
        </w:rPr>
        <w:t xml:space="preserve">, </w:t>
      </w:r>
      <w:r>
        <w:rPr>
          <w:szCs w:val="25"/>
        </w:rPr>
        <w:t>and f</w:t>
      </w:r>
      <w:r w:rsidRPr="006A51BA">
        <w:rPr>
          <w:szCs w:val="25"/>
        </w:rPr>
        <w:t xml:space="preserve"> related</w:t>
      </w:r>
      <w:r w:rsidR="006F304D" w:rsidRPr="006F304D">
        <w:rPr>
          <w:szCs w:val="25"/>
        </w:rPr>
        <w:t xml:space="preserve">, </w:t>
      </w:r>
      <w:r w:rsidRPr="006A51BA">
        <w:rPr>
          <w:szCs w:val="25"/>
        </w:rPr>
        <w:t>both to 32-34 and to one another?</w:t>
      </w:r>
    </w:p>
    <w:p w14:paraId="1D23C7A8" w14:textId="34F05D05" w:rsidR="0018433B" w:rsidRPr="00663A0D" w:rsidRDefault="0018433B" w:rsidP="0018433B">
      <w:pPr>
        <w:pStyle w:val="Style"/>
        <w:widowControl/>
        <w:jc w:val="both"/>
        <w:textAlignment w:val="baseline"/>
        <w:rPr>
          <w:szCs w:val="25"/>
        </w:rPr>
      </w:pPr>
      <w:r>
        <w:rPr>
          <w:szCs w:val="25"/>
        </w:rPr>
        <w:tab/>
      </w:r>
      <w:r w:rsidRPr="006A51BA">
        <w:rPr>
          <w:szCs w:val="25"/>
        </w:rPr>
        <w:t>It is true that 32-34 and 35a are identical in order and in wording and that they might therefore be left undivided. Nevertheless</w:t>
      </w:r>
      <w:r w:rsidR="006F304D" w:rsidRPr="006F304D">
        <w:rPr>
          <w:szCs w:val="25"/>
        </w:rPr>
        <w:t xml:space="preserve">, </w:t>
      </w:r>
      <w:r w:rsidRPr="006A51BA">
        <w:rPr>
          <w:szCs w:val="25"/>
        </w:rPr>
        <w:t>the grammatical forms are quite dissimilar: 35a</w:t>
      </w:r>
      <w:r>
        <w:rPr>
          <w:szCs w:val="25"/>
        </w:rPr>
        <w:t>bc</w:t>
      </w:r>
      <w:r w:rsidRPr="006A51BA">
        <w:rPr>
          <w:szCs w:val="25"/>
        </w:rPr>
        <w:t xml:space="preserve"> states as positive commands the negative questions of 32-34. Thus</w:t>
      </w:r>
      <w:r w:rsidR="006F304D" w:rsidRPr="006F304D">
        <w:rPr>
          <w:szCs w:val="25"/>
        </w:rPr>
        <w:t xml:space="preserve">, </w:t>
      </w:r>
      <w:r w:rsidRPr="006A51BA">
        <w:rPr>
          <w:szCs w:val="25"/>
        </w:rPr>
        <w:t>though the similarities exceed the differences (so tha</w:t>
      </w:r>
      <w:r>
        <w:rPr>
          <w:szCs w:val="25"/>
        </w:rPr>
        <w:t>t 32-35c</w:t>
      </w:r>
      <w:r w:rsidRPr="006A51BA">
        <w:rPr>
          <w:szCs w:val="25"/>
        </w:rPr>
        <w:t xml:space="preserve"> should be considered a unit on the basis of their similarities</w:t>
      </w:r>
      <w:r>
        <w:rPr>
          <w:rStyle w:val="FootnoteReference"/>
          <w:szCs w:val="25"/>
        </w:rPr>
        <w:footnoteReference w:id="551"/>
      </w:r>
      <w:r w:rsidRPr="006A51BA">
        <w:rPr>
          <w:szCs w:val="21"/>
        </w:rPr>
        <w:t>)</w:t>
      </w:r>
      <w:r w:rsidR="006F304D" w:rsidRPr="006F304D">
        <w:rPr>
          <w:szCs w:val="21"/>
        </w:rPr>
        <w:t xml:space="preserve">, </w:t>
      </w:r>
      <w:r w:rsidRPr="006A51BA">
        <w:rPr>
          <w:szCs w:val="25"/>
        </w:rPr>
        <w:t>35a</w:t>
      </w:r>
      <w:r>
        <w:rPr>
          <w:szCs w:val="25"/>
        </w:rPr>
        <w:t>bc</w:t>
      </w:r>
      <w:r w:rsidRPr="006A51BA">
        <w:rPr>
          <w:szCs w:val="25"/>
        </w:rPr>
        <w:t xml:space="preserve"> is sufficiently different from 32-34 to be considered a separate</w:t>
      </w:r>
      <w:r w:rsidR="006F304D" w:rsidRPr="006F304D">
        <w:rPr>
          <w:szCs w:val="25"/>
        </w:rPr>
        <w:t xml:space="preserve">, </w:t>
      </w:r>
      <w:r w:rsidRPr="006A51BA">
        <w:rPr>
          <w:szCs w:val="25"/>
        </w:rPr>
        <w:t>coordinate unit alongside them.</w:t>
      </w:r>
      <w:r>
        <w:rPr>
          <w:rStyle w:val="FootnoteReference"/>
          <w:szCs w:val="25"/>
        </w:rPr>
        <w:footnoteReference w:id="552"/>
      </w:r>
    </w:p>
    <w:p w14:paraId="00AF2A9D" w14:textId="38C8FC02" w:rsidR="0018433B" w:rsidRPr="006A51BA" w:rsidRDefault="0018433B" w:rsidP="0018433B">
      <w:pPr>
        <w:pStyle w:val="Style"/>
        <w:widowControl/>
        <w:jc w:val="both"/>
        <w:textAlignment w:val="baseline"/>
        <w:rPr>
          <w:szCs w:val="25"/>
        </w:rPr>
      </w:pPr>
      <w:r>
        <w:rPr>
          <w:szCs w:val="25"/>
        </w:rPr>
        <w:tab/>
      </w:r>
      <w:r w:rsidRPr="006A51BA">
        <w:rPr>
          <w:szCs w:val="25"/>
        </w:rPr>
        <w:t>The division of 32-34 and 35a</w:t>
      </w:r>
      <w:r>
        <w:rPr>
          <w:szCs w:val="25"/>
        </w:rPr>
        <w:t>bc</w:t>
      </w:r>
      <w:r w:rsidRPr="006A51BA">
        <w:rPr>
          <w:szCs w:val="25"/>
        </w:rPr>
        <w:t xml:space="preserve"> has apparently prompted some commentators carelessly to slip</w:t>
      </w:r>
      <w:r>
        <w:rPr>
          <w:szCs w:val="25"/>
        </w:rPr>
        <w:t xml:space="preserve"> the remainder of verse 35 (35</w:t>
      </w:r>
      <w:r w:rsidRPr="006A51BA">
        <w:rPr>
          <w:szCs w:val="25"/>
        </w:rPr>
        <w:t>d</w:t>
      </w:r>
      <w:r>
        <w:rPr>
          <w:szCs w:val="25"/>
        </w:rPr>
        <w:t>ef</w:t>
      </w:r>
      <w:r w:rsidRPr="006A51BA">
        <w:rPr>
          <w:szCs w:val="25"/>
        </w:rPr>
        <w:t>) into the subunit with 35a</w:t>
      </w:r>
      <w:r>
        <w:rPr>
          <w:szCs w:val="25"/>
        </w:rPr>
        <w:t>bc</w:t>
      </w:r>
      <w:r w:rsidRPr="006A51BA">
        <w:rPr>
          <w:szCs w:val="25"/>
        </w:rPr>
        <w:t>; the result is that all of verse 35 becomes a unit that is coordinate with 32-34.</w:t>
      </w:r>
      <w:r>
        <w:rPr>
          <w:rStyle w:val="FootnoteReference"/>
          <w:szCs w:val="25"/>
        </w:rPr>
        <w:footnoteReference w:id="553"/>
      </w:r>
      <w:r>
        <w:rPr>
          <w:szCs w:val="25"/>
        </w:rPr>
        <w:t xml:space="preserve"> But the subtlety of 35def</w:t>
      </w:r>
      <w:r w:rsidRPr="006A51BA">
        <w:rPr>
          <w:szCs w:val="25"/>
        </w:rPr>
        <w:t xml:space="preserve"> compels closer scrutiny. Certain</w:t>
      </w:r>
      <w:r>
        <w:rPr>
          <w:szCs w:val="25"/>
        </w:rPr>
        <w:t>ly 35def</w:t>
      </w:r>
      <w:r w:rsidRPr="006A51BA">
        <w:rPr>
          <w:szCs w:val="25"/>
        </w:rPr>
        <w:t xml:space="preserve"> should not be divided. Vers</w:t>
      </w:r>
      <w:r>
        <w:rPr>
          <w:szCs w:val="25"/>
        </w:rPr>
        <w:t>icl</w:t>
      </w:r>
      <w:r w:rsidRPr="006A51BA">
        <w:rPr>
          <w:szCs w:val="25"/>
        </w:rPr>
        <w:t xml:space="preserve">es </w:t>
      </w:r>
      <w:r>
        <w:rPr>
          <w:szCs w:val="25"/>
        </w:rPr>
        <w:t>35d</w:t>
      </w:r>
      <w:r w:rsidRPr="006A51BA">
        <w:rPr>
          <w:szCs w:val="25"/>
        </w:rPr>
        <w:t xml:space="preserve"> (“and you</w:t>
      </w:r>
      <w:r>
        <w:rPr>
          <w:szCs w:val="25"/>
        </w:rPr>
        <w:t>r reward will be great”) and 35e</w:t>
      </w:r>
      <w:r w:rsidRPr="006A51BA">
        <w:rPr>
          <w:szCs w:val="25"/>
        </w:rPr>
        <w:t xml:space="preserve"> (“and you </w:t>
      </w:r>
      <w:r w:rsidRPr="006A51BA">
        <w:rPr>
          <w:szCs w:val="22"/>
        </w:rPr>
        <w:t xml:space="preserve">will </w:t>
      </w:r>
      <w:r w:rsidRPr="006A51BA">
        <w:rPr>
          <w:szCs w:val="25"/>
        </w:rPr>
        <w:t>be sons of the Most High”) are too similar in content</w:t>
      </w:r>
      <w:r w:rsidR="006F304D" w:rsidRPr="006F304D">
        <w:rPr>
          <w:szCs w:val="25"/>
        </w:rPr>
        <w:t xml:space="preserve">, </w:t>
      </w:r>
      <w:r w:rsidRPr="006A51BA">
        <w:rPr>
          <w:szCs w:val="25"/>
        </w:rPr>
        <w:t>in form (</w:t>
      </w:r>
      <w:r>
        <w:rPr>
          <w:szCs w:val="25"/>
        </w:rPr>
        <w:t xml:space="preserve">καί </w:t>
      </w:r>
      <w:r w:rsidRPr="006A51BA">
        <w:rPr>
          <w:szCs w:val="26"/>
        </w:rPr>
        <w:t xml:space="preserve">+ </w:t>
      </w:r>
      <w:proofErr w:type="spellStart"/>
      <w:r>
        <w:rPr>
          <w:szCs w:val="22"/>
          <w:lang w:bidi="he-IL"/>
        </w:rPr>
        <w:t>ε</w:t>
      </w:r>
      <w:r w:rsidRPr="00CB0999">
        <w:rPr>
          <w:szCs w:val="22"/>
          <w:lang w:bidi="he-IL"/>
        </w:rPr>
        <w:t>ἰ</w:t>
      </w:r>
      <w:r>
        <w:rPr>
          <w:szCs w:val="22"/>
          <w:lang w:bidi="he-IL"/>
        </w:rPr>
        <w:t>μί</w:t>
      </w:r>
      <w:proofErr w:type="spellEnd"/>
      <w:r>
        <w:rPr>
          <w:rFonts w:eastAsia="Arial"/>
          <w:szCs w:val="28"/>
        </w:rPr>
        <w:t xml:space="preserve"> </w:t>
      </w:r>
      <w:r w:rsidRPr="006A51BA">
        <w:rPr>
          <w:szCs w:val="25"/>
        </w:rPr>
        <w:t>future)</w:t>
      </w:r>
      <w:r w:rsidR="006F304D" w:rsidRPr="006F304D">
        <w:rPr>
          <w:szCs w:val="25"/>
        </w:rPr>
        <w:t xml:space="preserve">, </w:t>
      </w:r>
      <w:r w:rsidRPr="006A51BA">
        <w:rPr>
          <w:szCs w:val="25"/>
        </w:rPr>
        <w:t>and in l</w:t>
      </w:r>
      <w:r>
        <w:rPr>
          <w:szCs w:val="25"/>
        </w:rPr>
        <w:t>ength to allow division</w:t>
      </w:r>
      <w:r w:rsidR="006F304D" w:rsidRPr="006F304D">
        <w:rPr>
          <w:szCs w:val="25"/>
        </w:rPr>
        <w:t xml:space="preserve">, </w:t>
      </w:r>
      <w:r>
        <w:rPr>
          <w:szCs w:val="25"/>
        </w:rPr>
        <w:t>and 35f</w:t>
      </w:r>
      <w:r w:rsidRPr="006A51BA">
        <w:rPr>
          <w:szCs w:val="25"/>
        </w:rPr>
        <w:t xml:space="preserve"> (“for he is kind to the ungrateful and the selfish”) must</w:t>
      </w:r>
      <w:r>
        <w:rPr>
          <w:szCs w:val="25"/>
        </w:rPr>
        <w:t xml:space="preserve"> remain with 35e</w:t>
      </w:r>
      <w:r w:rsidR="006F304D" w:rsidRPr="006F304D">
        <w:rPr>
          <w:szCs w:val="25"/>
        </w:rPr>
        <w:t xml:space="preserve">, </w:t>
      </w:r>
      <w:r>
        <w:rPr>
          <w:szCs w:val="25"/>
        </w:rPr>
        <w:t>since 35f</w:t>
      </w:r>
      <w:r w:rsidRPr="006A51BA">
        <w:rPr>
          <w:szCs w:val="25"/>
        </w:rPr>
        <w:t xml:space="preserve"> explains why (</w:t>
      </w:r>
      <w:r w:rsidRPr="00CE06CA">
        <w:rPr>
          <w:bCs/>
          <w:szCs w:val="22"/>
          <w:lang w:val="el-GR"/>
        </w:rPr>
        <w:t>ὅτι</w:t>
      </w:r>
      <w:r w:rsidR="006F304D" w:rsidRPr="006F304D">
        <w:rPr>
          <w:bCs/>
          <w:szCs w:val="22"/>
        </w:rPr>
        <w:t xml:space="preserve">, </w:t>
      </w:r>
      <w:r>
        <w:rPr>
          <w:bCs/>
          <w:szCs w:val="22"/>
        </w:rPr>
        <w:t>“for”</w:t>
      </w:r>
      <w:r w:rsidRPr="006A51BA">
        <w:t xml:space="preserve">) </w:t>
      </w:r>
      <w:r>
        <w:rPr>
          <w:szCs w:val="25"/>
        </w:rPr>
        <w:t>35e</w:t>
      </w:r>
      <w:r w:rsidRPr="006A51BA">
        <w:rPr>
          <w:szCs w:val="25"/>
        </w:rPr>
        <w:t xml:space="preserve"> </w:t>
      </w:r>
      <w:r>
        <w:rPr>
          <w:szCs w:val="25"/>
        </w:rPr>
        <w:t>will be the case. Given that 35def</w:t>
      </w:r>
      <w:r w:rsidRPr="006A51BA">
        <w:rPr>
          <w:szCs w:val="25"/>
        </w:rPr>
        <w:t xml:space="preserve"> belong</w:t>
      </w:r>
      <w:r>
        <w:rPr>
          <w:szCs w:val="25"/>
        </w:rPr>
        <w:t xml:space="preserve"> </w:t>
      </w:r>
      <w:r w:rsidRPr="006A51BA">
        <w:rPr>
          <w:szCs w:val="25"/>
        </w:rPr>
        <w:t>together</w:t>
      </w:r>
      <w:r w:rsidR="006F304D" w:rsidRPr="006F304D">
        <w:rPr>
          <w:szCs w:val="25"/>
        </w:rPr>
        <w:t xml:space="preserve">, </w:t>
      </w:r>
      <w:r w:rsidRPr="006A51BA">
        <w:rPr>
          <w:szCs w:val="25"/>
        </w:rPr>
        <w:t>the larger quest</w:t>
      </w:r>
      <w:r>
        <w:rPr>
          <w:szCs w:val="25"/>
        </w:rPr>
        <w:t>ion still persists: should 35def</w:t>
      </w:r>
      <w:r w:rsidRPr="006A51BA">
        <w:rPr>
          <w:szCs w:val="25"/>
        </w:rPr>
        <w:t xml:space="preserve"> be combined with 35a</w:t>
      </w:r>
      <w:r>
        <w:rPr>
          <w:szCs w:val="25"/>
        </w:rPr>
        <w:t>bc</w:t>
      </w:r>
      <w:r w:rsidR="006F304D" w:rsidRPr="006F304D">
        <w:rPr>
          <w:szCs w:val="25"/>
        </w:rPr>
        <w:t xml:space="preserve">, </w:t>
      </w:r>
      <w:r w:rsidRPr="006A51BA">
        <w:rPr>
          <w:szCs w:val="25"/>
        </w:rPr>
        <w:t>as a subunit un</w:t>
      </w:r>
      <w:r>
        <w:rPr>
          <w:szCs w:val="25"/>
        </w:rPr>
        <w:t>der 32-35</w:t>
      </w:r>
      <w:r w:rsidR="006F304D" w:rsidRPr="006F304D">
        <w:rPr>
          <w:szCs w:val="25"/>
        </w:rPr>
        <w:t xml:space="preserve">, </w:t>
      </w:r>
      <w:r>
        <w:rPr>
          <w:szCs w:val="25"/>
        </w:rPr>
        <w:t>or is 35def</w:t>
      </w:r>
      <w:r w:rsidRPr="006A51BA">
        <w:rPr>
          <w:szCs w:val="25"/>
        </w:rPr>
        <w:t xml:space="preserve"> best regarded as a unit coordinate with the two units already distinguished</w:t>
      </w:r>
      <w:r w:rsidR="006F304D" w:rsidRPr="006F304D">
        <w:rPr>
          <w:szCs w:val="25"/>
        </w:rPr>
        <w:t xml:space="preserve">, </w:t>
      </w:r>
      <w:r w:rsidRPr="006A51BA">
        <w:rPr>
          <w:szCs w:val="25"/>
        </w:rPr>
        <w:t>32-34 and 35a</w:t>
      </w:r>
      <w:r>
        <w:rPr>
          <w:szCs w:val="25"/>
        </w:rPr>
        <w:t>bc</w:t>
      </w:r>
      <w:r w:rsidRPr="006A51BA">
        <w:rPr>
          <w:szCs w:val="25"/>
        </w:rPr>
        <w:t>?</w:t>
      </w:r>
    </w:p>
    <w:p w14:paraId="5B026D73" w14:textId="47F77E32" w:rsidR="0018433B" w:rsidRPr="006A51BA" w:rsidRDefault="0018433B" w:rsidP="0018433B">
      <w:pPr>
        <w:pStyle w:val="Style"/>
        <w:widowControl/>
        <w:jc w:val="both"/>
        <w:textAlignment w:val="baseline"/>
        <w:rPr>
          <w:szCs w:val="25"/>
        </w:rPr>
      </w:pPr>
      <w:r>
        <w:rPr>
          <w:szCs w:val="25"/>
        </w:rPr>
        <w:lastRenderedPageBreak/>
        <w:tab/>
        <w:t>In favor of combining 35def</w:t>
      </w:r>
      <w:r w:rsidRPr="006A51BA">
        <w:rPr>
          <w:szCs w:val="25"/>
        </w:rPr>
        <w:t xml:space="preserve"> with 35a</w:t>
      </w:r>
      <w:r>
        <w:rPr>
          <w:szCs w:val="25"/>
        </w:rPr>
        <w:t>bc</w:t>
      </w:r>
      <w:r w:rsidRPr="006A51BA">
        <w:rPr>
          <w:szCs w:val="25"/>
        </w:rPr>
        <w:t xml:space="preserve"> are: the </w:t>
      </w:r>
      <w:r>
        <w:rPr>
          <w:szCs w:val="25"/>
        </w:rPr>
        <w:t xml:space="preserve">καί </w:t>
      </w:r>
      <w:r w:rsidRPr="006A51BA">
        <w:rPr>
          <w:szCs w:val="25"/>
        </w:rPr>
        <w:t>which begins 35b; the possibility that 35a</w:t>
      </w:r>
      <w:r>
        <w:rPr>
          <w:szCs w:val="25"/>
        </w:rPr>
        <w:t>-f</w:t>
      </w:r>
      <w:r w:rsidRPr="006A51BA">
        <w:rPr>
          <w:szCs w:val="25"/>
        </w:rPr>
        <w:t xml:space="preserve"> should be punctuated as a single sentence in Greek; and the connection in content between 35a</w:t>
      </w:r>
      <w:r>
        <w:rPr>
          <w:szCs w:val="25"/>
        </w:rPr>
        <w:t>bc</w:t>
      </w:r>
      <w:r w:rsidRPr="006A51BA">
        <w:rPr>
          <w:szCs w:val="25"/>
        </w:rPr>
        <w:t xml:space="preserve"> (“But love your enemies</w:t>
      </w:r>
      <w:r w:rsidR="006F304D" w:rsidRPr="006F304D">
        <w:rPr>
          <w:szCs w:val="25"/>
        </w:rPr>
        <w:t xml:space="preserve">, </w:t>
      </w:r>
      <w:r>
        <w:rPr>
          <w:szCs w:val="25"/>
        </w:rPr>
        <w:t>do good</w:t>
      </w:r>
      <w:r w:rsidR="006F304D" w:rsidRPr="006F304D">
        <w:rPr>
          <w:szCs w:val="25"/>
        </w:rPr>
        <w:t xml:space="preserve">, </w:t>
      </w:r>
      <w:r>
        <w:rPr>
          <w:szCs w:val="25"/>
        </w:rPr>
        <w:t>and lend”) and 35def</w:t>
      </w:r>
      <w:r w:rsidRPr="006A51BA">
        <w:rPr>
          <w:szCs w:val="25"/>
        </w:rPr>
        <w:t xml:space="preserve"> (“</w:t>
      </w:r>
      <w:r>
        <w:rPr>
          <w:szCs w:val="25"/>
        </w:rPr>
        <w:t>[</w:t>
      </w:r>
      <w:r w:rsidRPr="006A51BA">
        <w:rPr>
          <w:szCs w:val="25"/>
        </w:rPr>
        <w:t>and the result will be:</w:t>
      </w:r>
      <w:r>
        <w:rPr>
          <w:szCs w:val="25"/>
        </w:rPr>
        <w:t>]</w:t>
      </w:r>
      <w:r w:rsidRPr="006A51BA">
        <w:rPr>
          <w:szCs w:val="25"/>
        </w:rPr>
        <w:t xml:space="preserve"> You</w:t>
      </w:r>
      <w:r>
        <w:rPr>
          <w:szCs w:val="25"/>
        </w:rPr>
        <w:t>r</w:t>
      </w:r>
      <w:r w:rsidRPr="006A51BA">
        <w:rPr>
          <w:szCs w:val="25"/>
        </w:rPr>
        <w:t xml:space="preserve"> </w:t>
      </w:r>
      <w:r>
        <w:rPr>
          <w:szCs w:val="25"/>
        </w:rPr>
        <w:t xml:space="preserve">reward </w:t>
      </w:r>
      <w:r w:rsidRPr="006A51BA">
        <w:rPr>
          <w:szCs w:val="25"/>
        </w:rPr>
        <w:t>will be</w:t>
      </w:r>
      <w:r>
        <w:rPr>
          <w:szCs w:val="25"/>
        </w:rPr>
        <w:t xml:space="preserve"> great</w:t>
      </w:r>
      <w:r w:rsidRPr="006A51BA">
        <w:rPr>
          <w:szCs w:val="25"/>
        </w:rPr>
        <w:t>,” etc.). But in favor of dividing 35a</w:t>
      </w:r>
      <w:r>
        <w:rPr>
          <w:szCs w:val="25"/>
        </w:rPr>
        <w:t>bc from 35def</w:t>
      </w:r>
      <w:r w:rsidRPr="006A51BA">
        <w:rPr>
          <w:szCs w:val="25"/>
        </w:rPr>
        <w:t xml:space="preserve"> is the shift in content: both 32-34 and 35a</w:t>
      </w:r>
      <w:r>
        <w:rPr>
          <w:szCs w:val="25"/>
        </w:rPr>
        <w:t>bc</w:t>
      </w:r>
      <w:r w:rsidRPr="006A51BA">
        <w:rPr>
          <w:szCs w:val="25"/>
        </w:rPr>
        <w:t xml:space="preserve"> deal primarily with</w:t>
      </w:r>
      <w:r>
        <w:rPr>
          <w:szCs w:val="25"/>
        </w:rPr>
        <w:t xml:space="preserve"> actions to be done</w:t>
      </w:r>
      <w:r w:rsidR="006F304D" w:rsidRPr="006F304D">
        <w:rPr>
          <w:szCs w:val="25"/>
        </w:rPr>
        <w:t xml:space="preserve">, </w:t>
      </w:r>
      <w:r>
        <w:rPr>
          <w:szCs w:val="25"/>
        </w:rPr>
        <w:t>while 35def</w:t>
      </w:r>
      <w:r w:rsidRPr="006A51BA">
        <w:rPr>
          <w:szCs w:val="25"/>
        </w:rPr>
        <w:t xml:space="preserve"> deals with their motive or result.</w:t>
      </w:r>
      <w:r>
        <w:rPr>
          <w:rStyle w:val="FootnoteReference"/>
          <w:szCs w:val="25"/>
        </w:rPr>
        <w:footnoteReference w:id="554"/>
      </w:r>
      <w:r>
        <w:rPr>
          <w:szCs w:val="25"/>
        </w:rPr>
        <w:t xml:space="preserve"> Thus we consider 35def</w:t>
      </w:r>
      <w:r w:rsidRPr="006A51BA">
        <w:rPr>
          <w:szCs w:val="25"/>
        </w:rPr>
        <w:t xml:space="preserve"> to be a distinct unit</w:t>
      </w:r>
      <w:r w:rsidR="006F304D" w:rsidRPr="006F304D">
        <w:rPr>
          <w:szCs w:val="25"/>
        </w:rPr>
        <w:t xml:space="preserve">, </w:t>
      </w:r>
      <w:r w:rsidRPr="006A51BA">
        <w:rPr>
          <w:szCs w:val="25"/>
        </w:rPr>
        <w:t>coordinate with 32-34 and 35a</w:t>
      </w:r>
      <w:r>
        <w:rPr>
          <w:szCs w:val="25"/>
        </w:rPr>
        <w:t>bc</w:t>
      </w:r>
      <w:r w:rsidRPr="006A51BA">
        <w:rPr>
          <w:szCs w:val="25"/>
        </w:rPr>
        <w:t>.</w:t>
      </w:r>
    </w:p>
    <w:p w14:paraId="072DB943" w14:textId="77777777" w:rsidR="0018433B" w:rsidRDefault="0018433B" w:rsidP="0018433B">
      <w:pPr>
        <w:pStyle w:val="Style"/>
        <w:widowControl/>
        <w:jc w:val="both"/>
        <w:textAlignment w:val="baseline"/>
        <w:rPr>
          <w:szCs w:val="20"/>
        </w:rPr>
      </w:pPr>
      <w:r>
        <w:rPr>
          <w:szCs w:val="25"/>
        </w:rPr>
        <w:tab/>
      </w:r>
      <w:r w:rsidRPr="006A51BA">
        <w:rPr>
          <w:szCs w:val="25"/>
        </w:rPr>
        <w:t>Our judgments result in the following revision of our earlier outline</w:t>
      </w:r>
      <w:r w:rsidRPr="006A51BA">
        <w:rPr>
          <w:szCs w:val="20"/>
        </w:rPr>
        <w:t>:</w:t>
      </w:r>
      <w:r>
        <w:rPr>
          <w:rStyle w:val="FootnoteReference"/>
          <w:szCs w:val="20"/>
        </w:rPr>
        <w:footnoteReference w:id="555"/>
      </w:r>
    </w:p>
    <w:p w14:paraId="0028EE2D" w14:textId="77777777" w:rsidR="0018433B" w:rsidRDefault="0018433B" w:rsidP="0018433B">
      <w:pPr>
        <w:pStyle w:val="Style"/>
        <w:widowControl/>
        <w:jc w:val="both"/>
        <w:textAlignment w:val="baseline"/>
        <w:rPr>
          <w:szCs w:val="25"/>
        </w:rPr>
      </w:pPr>
    </w:p>
    <w:p w14:paraId="3D45D59E" w14:textId="77777777" w:rsidR="0018433B" w:rsidRPr="00BA7A4A" w:rsidRDefault="0018433B" w:rsidP="0018433B">
      <w:pPr>
        <w:pStyle w:val="Style"/>
        <w:tabs>
          <w:tab w:val="left" w:pos="3600"/>
          <w:tab w:val="left" w:pos="3960"/>
          <w:tab w:val="left" w:pos="4320"/>
        </w:tabs>
        <w:textAlignment w:val="baseline"/>
        <w:rPr>
          <w:szCs w:val="25"/>
        </w:rPr>
      </w:pPr>
      <w:r>
        <w:rPr>
          <w:szCs w:val="25"/>
        </w:rPr>
        <w:tab/>
      </w:r>
      <w:r w:rsidRPr="00BA7A4A">
        <w:rPr>
          <w:szCs w:val="25"/>
        </w:rPr>
        <w:t>1.</w:t>
      </w:r>
      <w:r w:rsidRPr="00BA7A4A">
        <w:rPr>
          <w:szCs w:val="25"/>
        </w:rPr>
        <w:tab/>
        <w:t>32-35</w:t>
      </w:r>
    </w:p>
    <w:p w14:paraId="3B20DAC1" w14:textId="77777777" w:rsidR="0018433B" w:rsidRPr="00BA7A4A" w:rsidRDefault="0018433B" w:rsidP="0018433B">
      <w:pPr>
        <w:pStyle w:val="Style"/>
        <w:tabs>
          <w:tab w:val="left" w:pos="3600"/>
          <w:tab w:val="left" w:pos="3960"/>
          <w:tab w:val="left" w:pos="4320"/>
        </w:tabs>
        <w:textAlignment w:val="baseline"/>
        <w:rPr>
          <w:szCs w:val="25"/>
        </w:rPr>
      </w:pPr>
      <w:r>
        <w:rPr>
          <w:szCs w:val="25"/>
        </w:rPr>
        <w:tab/>
      </w:r>
      <w:r>
        <w:rPr>
          <w:szCs w:val="25"/>
        </w:rPr>
        <w:tab/>
      </w:r>
      <w:r w:rsidRPr="00BA7A4A">
        <w:rPr>
          <w:szCs w:val="25"/>
        </w:rPr>
        <w:t>a.</w:t>
      </w:r>
      <w:r w:rsidRPr="00BA7A4A">
        <w:rPr>
          <w:szCs w:val="25"/>
        </w:rPr>
        <w:tab/>
        <w:t>32-34</w:t>
      </w:r>
    </w:p>
    <w:p w14:paraId="7674E37E" w14:textId="77777777" w:rsidR="0018433B" w:rsidRPr="00BA7A4A" w:rsidRDefault="0018433B" w:rsidP="0018433B">
      <w:pPr>
        <w:pStyle w:val="Style"/>
        <w:tabs>
          <w:tab w:val="left" w:pos="3600"/>
          <w:tab w:val="left" w:pos="3960"/>
          <w:tab w:val="left" w:pos="4320"/>
        </w:tabs>
        <w:textAlignment w:val="baseline"/>
        <w:rPr>
          <w:szCs w:val="25"/>
        </w:rPr>
      </w:pPr>
      <w:r>
        <w:rPr>
          <w:szCs w:val="25"/>
        </w:rPr>
        <w:tab/>
      </w:r>
      <w:r>
        <w:rPr>
          <w:szCs w:val="25"/>
        </w:rPr>
        <w:tab/>
        <w:t>b.</w:t>
      </w:r>
      <w:r>
        <w:rPr>
          <w:szCs w:val="25"/>
        </w:rPr>
        <w:tab/>
        <w:t>35abc</w:t>
      </w:r>
    </w:p>
    <w:p w14:paraId="7D48609D" w14:textId="77777777" w:rsidR="0018433B" w:rsidRPr="00F63E3C" w:rsidRDefault="0018433B" w:rsidP="0018433B">
      <w:pPr>
        <w:pStyle w:val="Style"/>
        <w:widowControl/>
        <w:tabs>
          <w:tab w:val="left" w:pos="3600"/>
          <w:tab w:val="left" w:pos="3960"/>
          <w:tab w:val="left" w:pos="4320"/>
        </w:tabs>
        <w:jc w:val="both"/>
        <w:textAlignment w:val="baseline"/>
        <w:rPr>
          <w:szCs w:val="25"/>
        </w:rPr>
      </w:pPr>
      <w:r>
        <w:rPr>
          <w:szCs w:val="25"/>
        </w:rPr>
        <w:tab/>
      </w:r>
      <w:r>
        <w:rPr>
          <w:szCs w:val="25"/>
        </w:rPr>
        <w:tab/>
        <w:t>c.</w:t>
      </w:r>
      <w:r>
        <w:rPr>
          <w:szCs w:val="25"/>
        </w:rPr>
        <w:tab/>
        <w:t>35def</w:t>
      </w:r>
    </w:p>
    <w:p w14:paraId="5CAF7360" w14:textId="77777777" w:rsidR="0018433B" w:rsidRDefault="0018433B" w:rsidP="0018433B">
      <w:pPr>
        <w:pStyle w:val="Style"/>
        <w:widowControl/>
        <w:jc w:val="both"/>
        <w:textAlignment w:val="baseline"/>
      </w:pPr>
    </w:p>
    <w:p w14:paraId="51EA0BF5" w14:textId="77777777" w:rsidR="0018433B" w:rsidRDefault="0018433B" w:rsidP="0018433B">
      <w:pPr>
        <w:pStyle w:val="Style"/>
        <w:widowControl/>
        <w:jc w:val="both"/>
        <w:textAlignment w:val="baseline"/>
        <w:rPr>
          <w:szCs w:val="25"/>
        </w:rPr>
      </w:pPr>
      <w:r>
        <w:tab/>
      </w:r>
      <w:r w:rsidRPr="00F63E3C">
        <w:rPr>
          <w:b/>
        </w:rPr>
        <w:t>Luke 6</w:t>
      </w:r>
      <w:r w:rsidRPr="006A51BA">
        <w:t>:</w:t>
      </w:r>
      <w:r w:rsidRPr="00F63E3C">
        <w:rPr>
          <w:b/>
        </w:rPr>
        <w:t>36</w:t>
      </w:r>
      <w:r w:rsidRPr="006A51BA">
        <w:t xml:space="preserve">. </w:t>
      </w:r>
      <w:r w:rsidRPr="006A51BA">
        <w:rPr>
          <w:szCs w:val="25"/>
        </w:rPr>
        <w:t>This verse reads:</w:t>
      </w:r>
    </w:p>
    <w:p w14:paraId="1AD986EE" w14:textId="77777777" w:rsidR="0018433B" w:rsidRPr="00F63E3C" w:rsidRDefault="0018433B" w:rsidP="0018433B">
      <w:pPr>
        <w:pStyle w:val="Style"/>
        <w:widowControl/>
        <w:jc w:val="both"/>
        <w:textAlignment w:val="baseline"/>
      </w:pPr>
    </w:p>
    <w:p w14:paraId="261A1288" w14:textId="77777777" w:rsidR="0018433B" w:rsidRPr="00BA7A4A" w:rsidRDefault="0018433B" w:rsidP="0018433B">
      <w:pPr>
        <w:pStyle w:val="Style"/>
        <w:widowControl/>
        <w:ind w:left="720"/>
        <w:jc w:val="both"/>
        <w:textAlignment w:val="baseline"/>
        <w:rPr>
          <w:szCs w:val="25"/>
        </w:rPr>
      </w:pPr>
      <w:r w:rsidRPr="006A51BA">
        <w:rPr>
          <w:szCs w:val="25"/>
        </w:rPr>
        <w:t>36</w:t>
      </w:r>
      <w:r>
        <w:rPr>
          <w:szCs w:val="25"/>
        </w:rPr>
        <w:t>a</w:t>
      </w:r>
      <w:r>
        <w:rPr>
          <w:szCs w:val="25"/>
        </w:rPr>
        <w:tab/>
      </w:r>
      <w:r w:rsidRPr="00CE06CA">
        <w:rPr>
          <w:bCs/>
          <w:szCs w:val="22"/>
          <w:lang w:val="el-GR"/>
        </w:rPr>
        <w:t>Γίνεσθε οἰκτίρμονες</w:t>
      </w:r>
    </w:p>
    <w:p w14:paraId="5145BC7A" w14:textId="77777777" w:rsidR="0018433B" w:rsidRDefault="0018433B" w:rsidP="0018433B">
      <w:pPr>
        <w:pStyle w:val="Style"/>
        <w:widowControl/>
        <w:ind w:left="720"/>
        <w:jc w:val="both"/>
        <w:textAlignment w:val="baseline"/>
        <w:rPr>
          <w:szCs w:val="25"/>
        </w:rPr>
      </w:pPr>
      <w:r>
        <w:rPr>
          <w:szCs w:val="25"/>
        </w:rPr>
        <w:t>36b</w:t>
      </w:r>
      <w:r>
        <w:rPr>
          <w:szCs w:val="25"/>
        </w:rPr>
        <w:tab/>
      </w:r>
      <w:r w:rsidRPr="00CE06CA">
        <w:rPr>
          <w:bCs/>
          <w:szCs w:val="22"/>
          <w:lang w:val="el-GR"/>
        </w:rPr>
        <w:t>καθὼς [καὶ] ὁ πατὴρ ὑμῶν οἰκτίρμων ἐστίν.</w:t>
      </w:r>
    </w:p>
    <w:p w14:paraId="7B5C82B0" w14:textId="77777777" w:rsidR="0018433B" w:rsidRDefault="0018433B" w:rsidP="0018433B">
      <w:pPr>
        <w:pStyle w:val="Style"/>
        <w:widowControl/>
        <w:jc w:val="both"/>
        <w:textAlignment w:val="baseline"/>
        <w:rPr>
          <w:szCs w:val="25"/>
        </w:rPr>
      </w:pPr>
    </w:p>
    <w:p w14:paraId="270E8922" w14:textId="77777777" w:rsidR="0018433B" w:rsidRDefault="0018433B" w:rsidP="0018433B">
      <w:pPr>
        <w:pStyle w:val="Style"/>
        <w:widowControl/>
        <w:ind w:left="720"/>
        <w:jc w:val="both"/>
        <w:textAlignment w:val="baseline"/>
        <w:rPr>
          <w:szCs w:val="25"/>
        </w:rPr>
      </w:pPr>
      <w:r>
        <w:rPr>
          <w:szCs w:val="25"/>
        </w:rPr>
        <w:t>36a</w:t>
      </w:r>
      <w:r>
        <w:rPr>
          <w:szCs w:val="25"/>
        </w:rPr>
        <w:tab/>
      </w:r>
      <w:r w:rsidRPr="00CD75A6">
        <w:t>Be merciful,</w:t>
      </w:r>
    </w:p>
    <w:p w14:paraId="73AFA61B" w14:textId="77777777" w:rsidR="0018433B" w:rsidRPr="00BA7A4A" w:rsidRDefault="0018433B" w:rsidP="0018433B">
      <w:pPr>
        <w:pStyle w:val="Style"/>
        <w:widowControl/>
        <w:ind w:left="720"/>
        <w:jc w:val="both"/>
        <w:textAlignment w:val="baseline"/>
        <w:rPr>
          <w:szCs w:val="25"/>
        </w:rPr>
      </w:pPr>
      <w:r>
        <w:rPr>
          <w:szCs w:val="25"/>
        </w:rPr>
        <w:t>36b</w:t>
      </w:r>
      <w:r>
        <w:rPr>
          <w:szCs w:val="25"/>
        </w:rPr>
        <w:tab/>
      </w:r>
      <w:r w:rsidRPr="00CD75A6">
        <w:t>just as your Father is merciful.</w:t>
      </w:r>
    </w:p>
    <w:p w14:paraId="348441F6" w14:textId="77777777" w:rsidR="0018433B" w:rsidRDefault="0018433B" w:rsidP="0018433B">
      <w:pPr>
        <w:pStyle w:val="Style"/>
        <w:widowControl/>
        <w:jc w:val="both"/>
        <w:textAlignment w:val="baseline"/>
        <w:rPr>
          <w:szCs w:val="21"/>
        </w:rPr>
      </w:pPr>
    </w:p>
    <w:p w14:paraId="50E3406D" w14:textId="5FC784F4" w:rsidR="0018433B" w:rsidRDefault="0018433B" w:rsidP="0018433B">
      <w:pPr>
        <w:pStyle w:val="Style"/>
        <w:widowControl/>
        <w:jc w:val="both"/>
        <w:textAlignment w:val="baseline"/>
        <w:rPr>
          <w:szCs w:val="25"/>
        </w:rPr>
      </w:pPr>
      <w:r>
        <w:rPr>
          <w:szCs w:val="25"/>
        </w:rPr>
        <w:tab/>
      </w:r>
      <w:r w:rsidRPr="006A51BA">
        <w:rPr>
          <w:szCs w:val="25"/>
        </w:rPr>
        <w:t>Of the six intervening verses that we are considering in this section</w:t>
      </w:r>
      <w:r w:rsidR="006F304D" w:rsidRPr="006F304D">
        <w:rPr>
          <w:szCs w:val="25"/>
        </w:rPr>
        <w:t xml:space="preserve">, </w:t>
      </w:r>
      <w:r w:rsidRPr="006A51BA">
        <w:rPr>
          <w:szCs w:val="25"/>
        </w:rPr>
        <w:t>commen</w:t>
      </w:r>
      <w:r w:rsidRPr="006A51BA">
        <w:rPr>
          <w:szCs w:val="25"/>
        </w:rPr>
        <w:softHyphen/>
        <w:t>tators are most divided in their treatment of verse 36. Approximately one third of them links 36 to 35 and treats 37 as the beginning of a new unit</w:t>
      </w:r>
      <w:r w:rsidRPr="006A51BA">
        <w:rPr>
          <w:szCs w:val="20"/>
        </w:rPr>
        <w:t>;</w:t>
      </w:r>
      <w:r>
        <w:rPr>
          <w:rStyle w:val="FootnoteReference"/>
          <w:szCs w:val="20"/>
        </w:rPr>
        <w:footnoteReference w:id="556"/>
      </w:r>
      <w:r w:rsidRPr="006A51BA">
        <w:rPr>
          <w:szCs w:val="20"/>
        </w:rPr>
        <w:t xml:space="preserve"> </w:t>
      </w:r>
      <w:r w:rsidRPr="006A51BA">
        <w:rPr>
          <w:szCs w:val="25"/>
        </w:rPr>
        <w:t>one third leaves 36 as an free-standing unit</w:t>
      </w:r>
      <w:r w:rsidR="006F304D" w:rsidRPr="006F304D">
        <w:rPr>
          <w:szCs w:val="25"/>
        </w:rPr>
        <w:t xml:space="preserve">, </w:t>
      </w:r>
      <w:r w:rsidRPr="006A51BA">
        <w:rPr>
          <w:szCs w:val="25"/>
        </w:rPr>
        <w:t>coordinate with 35 (or 32-35) and 37-38;</w:t>
      </w:r>
      <w:r>
        <w:rPr>
          <w:rStyle w:val="FootnoteReference"/>
          <w:szCs w:val="25"/>
        </w:rPr>
        <w:footnoteReference w:id="557"/>
      </w:r>
      <w:r w:rsidRPr="006A51BA">
        <w:rPr>
          <w:szCs w:val="25"/>
        </w:rPr>
        <w:t xml:space="preserve"> and a final third links 36 to 37-38 as an introduction to that section.</w:t>
      </w:r>
      <w:r>
        <w:rPr>
          <w:rStyle w:val="FootnoteReference"/>
          <w:szCs w:val="25"/>
        </w:rPr>
        <w:footnoteReference w:id="558"/>
      </w:r>
      <w:r>
        <w:rPr>
          <w:szCs w:val="25"/>
        </w:rPr>
        <w:t xml:space="preserve"> </w:t>
      </w:r>
      <w:r w:rsidRPr="006A51BA">
        <w:rPr>
          <w:szCs w:val="25"/>
        </w:rPr>
        <w:t>Does 36 belong with what precedes it</w:t>
      </w:r>
      <w:r w:rsidR="006F304D" w:rsidRPr="006F304D">
        <w:rPr>
          <w:szCs w:val="25"/>
        </w:rPr>
        <w:t xml:space="preserve">, </w:t>
      </w:r>
      <w:r w:rsidRPr="006A51BA">
        <w:rPr>
          <w:szCs w:val="25"/>
        </w:rPr>
        <w:t>is it independent</w:t>
      </w:r>
      <w:r w:rsidR="006F304D" w:rsidRPr="006F304D">
        <w:rPr>
          <w:szCs w:val="25"/>
        </w:rPr>
        <w:t xml:space="preserve">, </w:t>
      </w:r>
      <w:r w:rsidRPr="006A51BA">
        <w:rPr>
          <w:szCs w:val="25"/>
        </w:rPr>
        <w:t>or does it belong with what follows?</w:t>
      </w:r>
    </w:p>
    <w:p w14:paraId="392B6912" w14:textId="7BC225D1" w:rsidR="0018433B" w:rsidRPr="006A51BA" w:rsidRDefault="0018433B" w:rsidP="0018433B">
      <w:pPr>
        <w:pStyle w:val="Style"/>
        <w:widowControl/>
        <w:jc w:val="both"/>
        <w:textAlignment w:val="baseline"/>
        <w:rPr>
          <w:szCs w:val="25"/>
        </w:rPr>
      </w:pPr>
      <w:r>
        <w:rPr>
          <w:szCs w:val="25"/>
        </w:rPr>
        <w:tab/>
      </w:r>
      <w:r w:rsidRPr="006A51BA">
        <w:rPr>
          <w:szCs w:val="25"/>
        </w:rPr>
        <w:t xml:space="preserve">Those who see 36 as a free-standing unit and those who connect 36 to what follows it see the differences between 35 and 36 as too great to allow linkage. </w:t>
      </w:r>
      <w:proofErr w:type="spellStart"/>
      <w:r w:rsidRPr="006A51BA">
        <w:rPr>
          <w:szCs w:val="25"/>
        </w:rPr>
        <w:t>Kodell</w:t>
      </w:r>
      <w:proofErr w:type="spellEnd"/>
      <w:r w:rsidRPr="006A51BA">
        <w:rPr>
          <w:szCs w:val="25"/>
        </w:rPr>
        <w:t>,</w:t>
      </w:r>
      <w:r>
        <w:rPr>
          <w:rStyle w:val="FootnoteReference"/>
          <w:szCs w:val="25"/>
        </w:rPr>
        <w:footnoteReference w:id="559"/>
      </w:r>
      <w:r>
        <w:rPr>
          <w:szCs w:val="25"/>
        </w:rPr>
        <w:t xml:space="preserve"> </w:t>
      </w:r>
      <w:r w:rsidRPr="006A51BA">
        <w:rPr>
          <w:szCs w:val="25"/>
        </w:rPr>
        <w:t>for example</w:t>
      </w:r>
      <w:r w:rsidR="006F304D" w:rsidRPr="006F304D">
        <w:rPr>
          <w:szCs w:val="25"/>
        </w:rPr>
        <w:t xml:space="preserve">, </w:t>
      </w:r>
      <w:r w:rsidRPr="006A51BA">
        <w:rPr>
          <w:szCs w:val="25"/>
        </w:rPr>
        <w:t>argues that 35 and 36 should not be linked because God is not called ‘Father” until 36. Of course</w:t>
      </w:r>
      <w:r w:rsidR="006F304D" w:rsidRPr="006F304D">
        <w:rPr>
          <w:szCs w:val="25"/>
        </w:rPr>
        <w:t xml:space="preserve">, </w:t>
      </w:r>
      <w:r w:rsidRPr="006A51BA">
        <w:rPr>
          <w:szCs w:val="25"/>
        </w:rPr>
        <w:t xml:space="preserve">as </w:t>
      </w:r>
      <w:r w:rsidRPr="006A51BA">
        <w:rPr>
          <w:szCs w:val="25"/>
        </w:rPr>
        <w:lastRenderedPageBreak/>
        <w:t>Schneider points out</w:t>
      </w:r>
      <w:r w:rsidR="006F304D" w:rsidRPr="006F304D">
        <w:rPr>
          <w:szCs w:val="25"/>
        </w:rPr>
        <w:t xml:space="preserve">, </w:t>
      </w:r>
      <w:r w:rsidRPr="006A51BA">
        <w:rPr>
          <w:szCs w:val="25"/>
        </w:rPr>
        <w:t xml:space="preserve">“Father’ </w:t>
      </w:r>
      <w:r>
        <w:rPr>
          <w:szCs w:val="25"/>
        </w:rPr>
        <w:t xml:space="preserve">. . . </w:t>
      </w:r>
      <w:r w:rsidRPr="006A51BA">
        <w:rPr>
          <w:szCs w:val="25"/>
        </w:rPr>
        <w:t xml:space="preserve">is closely related to ‘sons </w:t>
      </w:r>
      <w:r>
        <w:rPr>
          <w:szCs w:val="25"/>
        </w:rPr>
        <w:t>of the Most High’ in verse 35.”</w:t>
      </w:r>
      <w:r>
        <w:rPr>
          <w:rStyle w:val="FootnoteReference"/>
          <w:szCs w:val="25"/>
        </w:rPr>
        <w:footnoteReference w:id="560"/>
      </w:r>
      <w:r w:rsidRPr="006A51BA">
        <w:rPr>
          <w:szCs w:val="25"/>
        </w:rPr>
        <w:t xml:space="preserve"> More important is the consideration advanced by Creed</w:t>
      </w:r>
      <w:r w:rsidR="006F304D" w:rsidRPr="006F304D">
        <w:rPr>
          <w:szCs w:val="25"/>
        </w:rPr>
        <w:t xml:space="preserve">, </w:t>
      </w:r>
      <w:r w:rsidRPr="006A51BA">
        <w:rPr>
          <w:szCs w:val="25"/>
        </w:rPr>
        <w:t xml:space="preserve">that verses 27-35 are something of an </w:t>
      </w:r>
      <w:r>
        <w:rPr>
          <w:szCs w:val="25"/>
        </w:rPr>
        <w:t>“</w:t>
      </w:r>
      <w:r w:rsidRPr="006A51BA">
        <w:rPr>
          <w:szCs w:val="25"/>
        </w:rPr>
        <w:t>inclusion” (Creed does not use the word itself)</w:t>
      </w:r>
      <w:r w:rsidR="006F304D" w:rsidRPr="006F304D">
        <w:rPr>
          <w:szCs w:val="25"/>
        </w:rPr>
        <w:t xml:space="preserve">, </w:t>
      </w:r>
      <w:r w:rsidRPr="006A51BA">
        <w:rPr>
          <w:szCs w:val="25"/>
        </w:rPr>
        <w:t>since the “ruling thought of this section</w:t>
      </w:r>
      <w:r w:rsidR="006F304D" w:rsidRPr="006F304D">
        <w:rPr>
          <w:szCs w:val="25"/>
        </w:rPr>
        <w:t xml:space="preserve">, </w:t>
      </w:r>
      <w:r w:rsidRPr="006A51BA">
        <w:rPr>
          <w:szCs w:val="25"/>
        </w:rPr>
        <w:t>love</w:t>
      </w:r>
      <w:r>
        <w:rPr>
          <w:szCs w:val="25"/>
        </w:rPr>
        <w:t xml:space="preserve"> </w:t>
      </w:r>
      <w:r w:rsidRPr="006A51BA">
        <w:rPr>
          <w:szCs w:val="25"/>
        </w:rPr>
        <w:t xml:space="preserve">of </w:t>
      </w:r>
      <w:r w:rsidRPr="00D102C4">
        <w:rPr>
          <w:szCs w:val="25"/>
        </w:rPr>
        <w:t>enemies</w:t>
      </w:r>
      <w:r w:rsidR="006F304D" w:rsidRPr="006F304D">
        <w:rPr>
          <w:szCs w:val="25"/>
        </w:rPr>
        <w:t xml:space="preserve">, </w:t>
      </w:r>
      <w:r w:rsidRPr="00D102C4">
        <w:rPr>
          <w:szCs w:val="25"/>
        </w:rPr>
        <w:t xml:space="preserve">is finally resumed at </w:t>
      </w:r>
      <w:r w:rsidRPr="00D102C4">
        <w:rPr>
          <w:iCs/>
          <w:szCs w:val="26"/>
        </w:rPr>
        <w:t xml:space="preserve">v. </w:t>
      </w:r>
      <w:r w:rsidRPr="00D102C4">
        <w:rPr>
          <w:szCs w:val="25"/>
        </w:rPr>
        <w:t>35 and enforced by appeal to the example of</w:t>
      </w:r>
      <w:r>
        <w:rPr>
          <w:szCs w:val="25"/>
        </w:rPr>
        <w:t xml:space="preserve"> God [i.e.</w:t>
      </w:r>
      <w:r w:rsidR="006F304D" w:rsidRPr="006F304D">
        <w:rPr>
          <w:szCs w:val="25"/>
        </w:rPr>
        <w:t xml:space="preserve">, </w:t>
      </w:r>
      <w:r>
        <w:rPr>
          <w:szCs w:val="25"/>
        </w:rPr>
        <w:t>in 35f</w:t>
      </w:r>
      <w:r w:rsidR="006F304D" w:rsidRPr="006F304D">
        <w:rPr>
          <w:szCs w:val="25"/>
        </w:rPr>
        <w:t xml:space="preserve">, </w:t>
      </w:r>
      <w:r>
        <w:rPr>
          <w:szCs w:val="25"/>
        </w:rPr>
        <w:t>“</w:t>
      </w:r>
      <w:r w:rsidRPr="00CD75A6">
        <w:t>for he is kind to the ungrat</w:t>
      </w:r>
      <w:r>
        <w:t>eful and the wicked</w:t>
      </w:r>
      <w:r w:rsidRPr="006A51BA">
        <w:rPr>
          <w:szCs w:val="25"/>
        </w:rPr>
        <w:t>”</w:t>
      </w:r>
      <w:r>
        <w:rPr>
          <w:szCs w:val="25"/>
        </w:rPr>
        <w:t>].</w:t>
      </w:r>
      <w:r>
        <w:rPr>
          <w:rStyle w:val="FootnoteReference"/>
          <w:szCs w:val="25"/>
        </w:rPr>
        <w:footnoteReference w:id="561"/>
      </w:r>
      <w:r w:rsidRPr="006A51BA">
        <w:rPr>
          <w:szCs w:val="25"/>
        </w:rPr>
        <w:t xml:space="preserve"> Yet one may ask why 36 should not be circumscribed by this theme as well: “appeal to the example of God</w:t>
      </w:r>
      <w:r w:rsidRPr="00FF03AB">
        <w:rPr>
          <w:szCs w:val="25"/>
        </w:rPr>
        <w:t>”</w:t>
      </w:r>
      <w:r w:rsidRPr="006A51BA">
        <w:rPr>
          <w:szCs w:val="25"/>
        </w:rPr>
        <w:t xml:space="preserve"> describes 36 as well as it de</w:t>
      </w:r>
      <w:r>
        <w:rPr>
          <w:szCs w:val="25"/>
        </w:rPr>
        <w:t>scribes 35f</w:t>
      </w:r>
      <w:r w:rsidRPr="006A51BA">
        <w:rPr>
          <w:szCs w:val="25"/>
        </w:rPr>
        <w:t xml:space="preserve">. </w:t>
      </w:r>
      <w:proofErr w:type="spellStart"/>
      <w:r w:rsidRPr="006A51BA">
        <w:rPr>
          <w:szCs w:val="25"/>
        </w:rPr>
        <w:t>Fitzmyer</w:t>
      </w:r>
      <w:proofErr w:type="spellEnd"/>
      <w:r w:rsidRPr="006A51BA">
        <w:rPr>
          <w:szCs w:val="25"/>
        </w:rPr>
        <w:t xml:space="preserve"> is correct when he notes that 36 </w:t>
      </w:r>
      <w:r>
        <w:rPr>
          <w:szCs w:val="25"/>
        </w:rPr>
        <w:t>“</w:t>
      </w:r>
      <w:r w:rsidRPr="006A51BA">
        <w:rPr>
          <w:szCs w:val="25"/>
        </w:rPr>
        <w:t>reformulates the last clause of v. 35</w:t>
      </w:r>
      <w:r>
        <w:rPr>
          <w:szCs w:val="25"/>
        </w:rPr>
        <w:t>.”</w:t>
      </w:r>
      <w:r>
        <w:rPr>
          <w:rStyle w:val="FootnoteReference"/>
          <w:szCs w:val="25"/>
        </w:rPr>
        <w:footnoteReference w:id="562"/>
      </w:r>
      <w:r w:rsidRPr="006A51BA">
        <w:rPr>
          <w:szCs w:val="25"/>
        </w:rPr>
        <w:t xml:space="preserve"> Thus there seems no reason to regard 36 as a free-standing unit.</w:t>
      </w:r>
    </w:p>
    <w:p w14:paraId="516A985A" w14:textId="2BE93B3D" w:rsidR="0018433B" w:rsidRDefault="0018433B" w:rsidP="0018433B">
      <w:pPr>
        <w:pStyle w:val="Style"/>
        <w:widowControl/>
        <w:jc w:val="both"/>
        <w:textAlignment w:val="baseline"/>
        <w:rPr>
          <w:szCs w:val="25"/>
        </w:rPr>
      </w:pPr>
      <w:r>
        <w:rPr>
          <w:szCs w:val="25"/>
        </w:rPr>
        <w:tab/>
      </w:r>
      <w:r w:rsidRPr="006A51BA">
        <w:rPr>
          <w:szCs w:val="25"/>
        </w:rPr>
        <w:t>One reason</w:t>
      </w:r>
      <w:r w:rsidR="006F304D" w:rsidRPr="006F304D">
        <w:rPr>
          <w:szCs w:val="25"/>
        </w:rPr>
        <w:t xml:space="preserve">, </w:t>
      </w:r>
      <w:r w:rsidRPr="006A51BA">
        <w:rPr>
          <w:szCs w:val="25"/>
        </w:rPr>
        <w:t>perhaps</w:t>
      </w:r>
      <w:r w:rsidR="006F304D" w:rsidRPr="006F304D">
        <w:rPr>
          <w:szCs w:val="25"/>
        </w:rPr>
        <w:t xml:space="preserve">, </w:t>
      </w:r>
      <w:r w:rsidRPr="006A51BA">
        <w:rPr>
          <w:szCs w:val="25"/>
        </w:rPr>
        <w:t>to link 36 to the verses that follow (</w:t>
      </w:r>
      <w:r w:rsidRPr="00FF03AB">
        <w:rPr>
          <w:szCs w:val="25"/>
        </w:rPr>
        <w:t>“</w:t>
      </w:r>
      <w:r>
        <w:rPr>
          <w:szCs w:val="25"/>
        </w:rPr>
        <w:t>Do not judge,”</w:t>
      </w:r>
      <w:r w:rsidRPr="006A51BA">
        <w:rPr>
          <w:rFonts w:eastAsia="Arial Unicode MS"/>
          <w:szCs w:val="15"/>
        </w:rPr>
        <w:t xml:space="preserve"> </w:t>
      </w:r>
      <w:r w:rsidRPr="006A51BA">
        <w:rPr>
          <w:szCs w:val="25"/>
        </w:rPr>
        <w:t>37-38) might be that 37 begins with</w:t>
      </w:r>
      <w:r>
        <w:t xml:space="preserve"> καί</w:t>
      </w:r>
      <w:r w:rsidRPr="006A51BA">
        <w:t>.</w:t>
      </w:r>
      <w:r>
        <w:rPr>
          <w:rStyle w:val="FootnoteReference"/>
        </w:rPr>
        <w:footnoteReference w:id="563"/>
      </w:r>
      <w:r>
        <w:t xml:space="preserve"> </w:t>
      </w:r>
      <w:r w:rsidRPr="006A51BA">
        <w:rPr>
          <w:szCs w:val="25"/>
        </w:rPr>
        <w:t>Moreover</w:t>
      </w:r>
      <w:r w:rsidR="006F304D" w:rsidRPr="006F304D">
        <w:rPr>
          <w:szCs w:val="25"/>
        </w:rPr>
        <w:t xml:space="preserve">, </w:t>
      </w:r>
      <w:r w:rsidRPr="00FF03AB">
        <w:rPr>
          <w:szCs w:val="25"/>
        </w:rPr>
        <w:t>“</w:t>
      </w:r>
      <w:r w:rsidRPr="006A51BA">
        <w:rPr>
          <w:szCs w:val="25"/>
        </w:rPr>
        <w:t>mercy” (36) can belong to the same quasi-legal terminology as “to judge</w:t>
      </w:r>
      <w:r>
        <w:rPr>
          <w:szCs w:val="25"/>
        </w:rPr>
        <w:t>”</w:t>
      </w:r>
      <w:r w:rsidRPr="006A51BA">
        <w:rPr>
          <w:szCs w:val="25"/>
        </w:rPr>
        <w:t xml:space="preserve"> (37). Though none of the commentators linking 36 to 37-38 make the last point explicitly</w:t>
      </w:r>
      <w:r w:rsidR="006F304D" w:rsidRPr="006F304D">
        <w:rPr>
          <w:szCs w:val="25"/>
        </w:rPr>
        <w:t xml:space="preserve">, </w:t>
      </w:r>
      <w:r w:rsidRPr="006A51BA">
        <w:rPr>
          <w:szCs w:val="25"/>
        </w:rPr>
        <w:t xml:space="preserve">this is </w:t>
      </w:r>
      <w:r>
        <w:rPr>
          <w:szCs w:val="25"/>
        </w:rPr>
        <w:t xml:space="preserve">perhaps </w:t>
      </w:r>
      <w:r w:rsidRPr="006A51BA">
        <w:rPr>
          <w:szCs w:val="25"/>
        </w:rPr>
        <w:t>the true basis fo</w:t>
      </w:r>
      <w:r>
        <w:rPr>
          <w:szCs w:val="25"/>
        </w:rPr>
        <w:t>r the linkage of 36 with 37-38.</w:t>
      </w:r>
    </w:p>
    <w:p w14:paraId="0163931C" w14:textId="63D323DC" w:rsidR="0018433B" w:rsidRDefault="0018433B" w:rsidP="0018433B">
      <w:pPr>
        <w:pStyle w:val="Style"/>
        <w:widowControl/>
        <w:jc w:val="both"/>
        <w:textAlignment w:val="baseline"/>
        <w:rPr>
          <w:szCs w:val="25"/>
        </w:rPr>
      </w:pPr>
      <w:r>
        <w:rPr>
          <w:szCs w:val="25"/>
        </w:rPr>
        <w:tab/>
      </w:r>
      <w:r w:rsidRPr="006A51BA">
        <w:rPr>
          <w:szCs w:val="25"/>
        </w:rPr>
        <w:t>Despite these grounds</w:t>
      </w:r>
      <w:r w:rsidR="006F304D" w:rsidRPr="006F304D">
        <w:rPr>
          <w:szCs w:val="25"/>
        </w:rPr>
        <w:t xml:space="preserve">, </w:t>
      </w:r>
      <w:r w:rsidRPr="006A51BA">
        <w:rPr>
          <w:szCs w:val="25"/>
        </w:rPr>
        <w:t>I think it best to connect 36 with 32-35</w:t>
      </w:r>
      <w:r w:rsidR="006F304D" w:rsidRPr="006F304D">
        <w:rPr>
          <w:szCs w:val="25"/>
        </w:rPr>
        <w:t xml:space="preserve">, </w:t>
      </w:r>
      <w:r w:rsidRPr="006A51BA">
        <w:rPr>
          <w:szCs w:val="25"/>
        </w:rPr>
        <w:t>for three reasons.</w:t>
      </w:r>
    </w:p>
    <w:p w14:paraId="640F478D" w14:textId="5E28165B" w:rsidR="0018433B" w:rsidRPr="006A51BA" w:rsidRDefault="0018433B" w:rsidP="0018433B">
      <w:pPr>
        <w:pStyle w:val="Style"/>
        <w:widowControl/>
        <w:jc w:val="both"/>
        <w:textAlignment w:val="baseline"/>
        <w:rPr>
          <w:szCs w:val="25"/>
        </w:rPr>
      </w:pPr>
      <w:r>
        <w:rPr>
          <w:szCs w:val="25"/>
        </w:rPr>
        <w:tab/>
      </w:r>
      <w:r w:rsidRPr="006A51BA">
        <w:rPr>
          <w:szCs w:val="25"/>
        </w:rPr>
        <w:t>First</w:t>
      </w:r>
      <w:r w:rsidR="006F304D" w:rsidRPr="006F304D">
        <w:rPr>
          <w:szCs w:val="25"/>
        </w:rPr>
        <w:t xml:space="preserve">, </w:t>
      </w:r>
      <w:r w:rsidRPr="006A51BA">
        <w:rPr>
          <w:szCs w:val="25"/>
        </w:rPr>
        <w:t>“merciful’ outside a legal context can be a close synonym for ‘kind” (</w:t>
      </w:r>
      <w:r w:rsidRPr="00CE06CA">
        <w:rPr>
          <w:bCs/>
          <w:szCs w:val="22"/>
          <w:lang w:val="el-GR"/>
        </w:rPr>
        <w:t>χρηστός</w:t>
      </w:r>
      <w:r w:rsidR="006F304D" w:rsidRPr="006F304D">
        <w:rPr>
          <w:bCs/>
          <w:szCs w:val="22"/>
        </w:rPr>
        <w:t xml:space="preserve">, </w:t>
      </w:r>
      <w:r w:rsidRPr="006A51BA">
        <w:rPr>
          <w:szCs w:val="25"/>
        </w:rPr>
        <w:t xml:space="preserve">verse 35). And </w:t>
      </w:r>
      <w:r w:rsidRPr="00FF03AB">
        <w:rPr>
          <w:szCs w:val="25"/>
        </w:rPr>
        <w:t>“</w:t>
      </w:r>
      <w:r w:rsidRPr="006A51BA">
        <w:rPr>
          <w:szCs w:val="25"/>
        </w:rPr>
        <w:t>mer</w:t>
      </w:r>
      <w:r>
        <w:rPr>
          <w:szCs w:val="25"/>
        </w:rPr>
        <w:t>ciful”</w:t>
      </w:r>
      <w:r w:rsidRPr="006A51BA">
        <w:rPr>
          <w:rFonts w:eastAsia="Arial Unicode MS"/>
          <w:szCs w:val="15"/>
        </w:rPr>
        <w:t xml:space="preserve"> </w:t>
      </w:r>
      <w:r w:rsidRPr="006A51BA">
        <w:rPr>
          <w:szCs w:val="25"/>
        </w:rPr>
        <w:t>in 36 is probably not quasi-legal in me</w:t>
      </w:r>
      <w:r>
        <w:rPr>
          <w:szCs w:val="25"/>
        </w:rPr>
        <w:t>aning</w:t>
      </w:r>
      <w:r w:rsidR="006F304D" w:rsidRPr="006F304D">
        <w:rPr>
          <w:szCs w:val="25"/>
        </w:rPr>
        <w:t xml:space="preserve">, </w:t>
      </w:r>
      <w:r>
        <w:rPr>
          <w:szCs w:val="25"/>
        </w:rPr>
        <w:t>since the kindness in 35f</w:t>
      </w:r>
      <w:r w:rsidR="006F304D" w:rsidRPr="006F304D">
        <w:rPr>
          <w:szCs w:val="25"/>
        </w:rPr>
        <w:t xml:space="preserve">, </w:t>
      </w:r>
      <w:r w:rsidRPr="006A51BA">
        <w:rPr>
          <w:szCs w:val="25"/>
        </w:rPr>
        <w:t>to which “merciful” is parallel</w:t>
      </w:r>
      <w:r w:rsidR="006F304D" w:rsidRPr="006F304D">
        <w:rPr>
          <w:szCs w:val="25"/>
        </w:rPr>
        <w:t xml:space="preserve">, </w:t>
      </w:r>
      <w:r w:rsidRPr="006A51BA">
        <w:rPr>
          <w:szCs w:val="25"/>
        </w:rPr>
        <w:t>is “to the ungrateful and the</w:t>
      </w:r>
      <w:r>
        <w:rPr>
          <w:szCs w:val="25"/>
        </w:rPr>
        <w:t xml:space="preserve"> wicked</w:t>
      </w:r>
      <w:r w:rsidRPr="006A51BA">
        <w:rPr>
          <w:szCs w:val="25"/>
        </w:rPr>
        <w:t xml:space="preserve">.” </w:t>
      </w:r>
      <w:r w:rsidRPr="006A51BA">
        <w:rPr>
          <w:szCs w:val="27"/>
        </w:rPr>
        <w:t xml:space="preserve">In </w:t>
      </w:r>
      <w:r w:rsidRPr="006A51BA">
        <w:rPr>
          <w:szCs w:val="25"/>
        </w:rPr>
        <w:t>fact</w:t>
      </w:r>
      <w:r w:rsidR="006F304D" w:rsidRPr="006F304D">
        <w:rPr>
          <w:szCs w:val="25"/>
        </w:rPr>
        <w:t xml:space="preserve">, </w:t>
      </w:r>
      <w:r w:rsidRPr="006A51BA">
        <w:rPr>
          <w:szCs w:val="25"/>
        </w:rPr>
        <w:t>commanding one to be ‘kind” (35</w:t>
      </w:r>
      <w:r>
        <w:rPr>
          <w:szCs w:val="25"/>
        </w:rPr>
        <w:t>f</w:t>
      </w:r>
      <w:r w:rsidRPr="006A51BA">
        <w:rPr>
          <w:szCs w:val="25"/>
        </w:rPr>
        <w:t>) and “merciful” (36</w:t>
      </w:r>
      <w:r>
        <w:rPr>
          <w:szCs w:val="25"/>
        </w:rPr>
        <w:t>a</w:t>
      </w:r>
      <w:r w:rsidRPr="006A51BA">
        <w:rPr>
          <w:szCs w:val="25"/>
        </w:rPr>
        <w:t>) makes</w:t>
      </w:r>
      <w:r>
        <w:rPr>
          <w:szCs w:val="25"/>
        </w:rPr>
        <w:t xml:space="preserve"> </w:t>
      </w:r>
      <w:r w:rsidRPr="006A51BA">
        <w:rPr>
          <w:szCs w:val="25"/>
        </w:rPr>
        <w:t>more sense than commanding one to be merciful in one’s judgments (this is what</w:t>
      </w:r>
      <w:r>
        <w:rPr>
          <w:szCs w:val="25"/>
        </w:rPr>
        <w:t xml:space="preserve"> </w:t>
      </w:r>
      <w:r w:rsidRPr="006A51BA">
        <w:rPr>
          <w:szCs w:val="25"/>
        </w:rPr>
        <w:t>“mercy” in 36 would be narrowed to if it were attached to 37-38)</w:t>
      </w:r>
      <w:r w:rsidR="006F304D" w:rsidRPr="006F304D">
        <w:rPr>
          <w:szCs w:val="25"/>
        </w:rPr>
        <w:t xml:space="preserve">, </w:t>
      </w:r>
      <w:r w:rsidRPr="006A51BA">
        <w:rPr>
          <w:szCs w:val="25"/>
        </w:rPr>
        <w:t xml:space="preserve">then commanding no judgments whatsoever (37a). Since </w:t>
      </w:r>
      <w:r w:rsidRPr="00FF03AB">
        <w:rPr>
          <w:szCs w:val="25"/>
        </w:rPr>
        <w:t>“</w:t>
      </w:r>
      <w:r>
        <w:rPr>
          <w:szCs w:val="25"/>
        </w:rPr>
        <w:t>mercy” is probably not</w:t>
      </w:r>
      <w:r w:rsidRPr="006A51BA">
        <w:rPr>
          <w:szCs w:val="25"/>
        </w:rPr>
        <w:t xml:space="preserve"> a quasi-legal term</w:t>
      </w:r>
      <w:r>
        <w:rPr>
          <w:szCs w:val="25"/>
        </w:rPr>
        <w:t xml:space="preserve"> (the way “</w:t>
      </w:r>
      <w:r w:rsidRPr="006A51BA">
        <w:rPr>
          <w:szCs w:val="25"/>
        </w:rPr>
        <w:t>judg</w:t>
      </w:r>
      <w:r>
        <w:rPr>
          <w:szCs w:val="25"/>
        </w:rPr>
        <w:t>ment” is)</w:t>
      </w:r>
      <w:r w:rsidR="006F304D" w:rsidRPr="006F304D">
        <w:rPr>
          <w:szCs w:val="25"/>
        </w:rPr>
        <w:t xml:space="preserve">, </w:t>
      </w:r>
      <w:r w:rsidRPr="006A51BA">
        <w:rPr>
          <w:szCs w:val="25"/>
        </w:rPr>
        <w:t>it belongs with verse 35</w:t>
      </w:r>
      <w:r w:rsidR="006F304D" w:rsidRPr="006F304D">
        <w:rPr>
          <w:szCs w:val="25"/>
        </w:rPr>
        <w:t xml:space="preserve">, </w:t>
      </w:r>
      <w:r w:rsidRPr="006A51BA">
        <w:rPr>
          <w:szCs w:val="25"/>
        </w:rPr>
        <w:t>not verse 37.</w:t>
      </w:r>
    </w:p>
    <w:p w14:paraId="3938D6C6" w14:textId="2A1E62F2" w:rsidR="0018433B" w:rsidRPr="006A51BA" w:rsidRDefault="0018433B" w:rsidP="0018433B">
      <w:pPr>
        <w:pStyle w:val="Style"/>
        <w:widowControl/>
        <w:jc w:val="both"/>
        <w:textAlignment w:val="baseline"/>
        <w:rPr>
          <w:szCs w:val="25"/>
        </w:rPr>
      </w:pPr>
      <w:r>
        <w:rPr>
          <w:szCs w:val="25"/>
        </w:rPr>
        <w:tab/>
      </w:r>
      <w:r w:rsidRPr="006A51BA">
        <w:rPr>
          <w:szCs w:val="25"/>
        </w:rPr>
        <w:t>Second</w:t>
      </w:r>
      <w:r w:rsidR="006F304D" w:rsidRPr="006F304D">
        <w:rPr>
          <w:szCs w:val="25"/>
        </w:rPr>
        <w:t xml:space="preserve">, </w:t>
      </w:r>
      <w:r w:rsidRPr="006A51BA">
        <w:rPr>
          <w:szCs w:val="25"/>
        </w:rPr>
        <w:t xml:space="preserve">we shall see in the next </w:t>
      </w:r>
      <w:r>
        <w:rPr>
          <w:szCs w:val="25"/>
        </w:rPr>
        <w:t xml:space="preserve">chapter </w:t>
      </w:r>
      <w:r w:rsidRPr="006A51BA">
        <w:rPr>
          <w:szCs w:val="25"/>
        </w:rPr>
        <w:t xml:space="preserve">that verses 37-42 form a major section in the sermon. </w:t>
      </w:r>
      <w:r w:rsidRPr="00FF03AB">
        <w:rPr>
          <w:szCs w:val="25"/>
        </w:rPr>
        <w:t>“</w:t>
      </w:r>
      <w:r>
        <w:rPr>
          <w:szCs w:val="25"/>
        </w:rPr>
        <w:t>Do not j</w:t>
      </w:r>
      <w:r w:rsidRPr="006A51BA">
        <w:rPr>
          <w:szCs w:val="25"/>
        </w:rPr>
        <w:t>udge</w:t>
      </w:r>
      <w:r w:rsidRPr="00FF03AB">
        <w:rPr>
          <w:szCs w:val="25"/>
        </w:rPr>
        <w:t>”</w:t>
      </w:r>
      <w:r w:rsidRPr="006A51BA">
        <w:rPr>
          <w:szCs w:val="25"/>
        </w:rPr>
        <w:t xml:space="preserve"> is something of a general thesis for 37-42</w:t>
      </w:r>
      <w:r w:rsidR="006F304D" w:rsidRPr="006F304D">
        <w:rPr>
          <w:szCs w:val="25"/>
        </w:rPr>
        <w:t xml:space="preserve">, </w:t>
      </w:r>
      <w:r w:rsidRPr="006A51BA">
        <w:rPr>
          <w:szCs w:val="25"/>
        </w:rPr>
        <w:t>and so it is appropriate that it stand first in the section. But “be merciful” is less appro</w:t>
      </w:r>
      <w:r w:rsidRPr="006A51BA">
        <w:rPr>
          <w:szCs w:val="25"/>
        </w:rPr>
        <w:softHyphen/>
        <w:t>priate as an umbrella statement for verses 36-42</w:t>
      </w:r>
      <w:r w:rsidR="006F304D" w:rsidRPr="006F304D">
        <w:rPr>
          <w:szCs w:val="25"/>
        </w:rPr>
        <w:t xml:space="preserve">, </w:t>
      </w:r>
      <w:r w:rsidRPr="006A51BA">
        <w:rPr>
          <w:szCs w:val="25"/>
        </w:rPr>
        <w:t>and so is less appropriate as the beginning statement of the section.</w:t>
      </w:r>
    </w:p>
    <w:p w14:paraId="5494341C" w14:textId="27D14EA0" w:rsidR="0018433B" w:rsidRPr="006A51BA" w:rsidRDefault="0018433B" w:rsidP="0018433B">
      <w:pPr>
        <w:pStyle w:val="Style"/>
        <w:widowControl/>
        <w:jc w:val="both"/>
        <w:textAlignment w:val="baseline"/>
        <w:rPr>
          <w:szCs w:val="25"/>
        </w:rPr>
      </w:pPr>
      <w:r>
        <w:rPr>
          <w:szCs w:val="25"/>
        </w:rPr>
        <w:tab/>
      </w:r>
      <w:r w:rsidRPr="006A51BA">
        <w:rPr>
          <w:szCs w:val="25"/>
        </w:rPr>
        <w:t>Third</w:t>
      </w:r>
      <w:r w:rsidR="006F304D" w:rsidRPr="006F304D">
        <w:rPr>
          <w:szCs w:val="25"/>
        </w:rPr>
        <w:t xml:space="preserve">, </w:t>
      </w:r>
      <w:r w:rsidRPr="006A51BA">
        <w:rPr>
          <w:szCs w:val="25"/>
        </w:rPr>
        <w:t xml:space="preserve">the connections linking verses 35 and 36 are quite close. We have already noted that verse 35 refers to the </w:t>
      </w:r>
      <w:r w:rsidRPr="00FF03AB">
        <w:rPr>
          <w:szCs w:val="25"/>
        </w:rPr>
        <w:t>“</w:t>
      </w:r>
      <w:r w:rsidRPr="006A51BA">
        <w:rPr>
          <w:szCs w:val="25"/>
        </w:rPr>
        <w:t xml:space="preserve">Most High” and verse 36 to the </w:t>
      </w:r>
      <w:r>
        <w:rPr>
          <w:szCs w:val="25"/>
        </w:rPr>
        <w:t>“</w:t>
      </w:r>
      <w:r w:rsidRPr="006A51BA">
        <w:rPr>
          <w:szCs w:val="25"/>
        </w:rPr>
        <w:t>Father</w:t>
      </w:r>
      <w:r>
        <w:rPr>
          <w:szCs w:val="25"/>
        </w:rPr>
        <w:t>.”</w:t>
      </w:r>
      <w:r w:rsidRPr="006A51BA">
        <w:rPr>
          <w:szCs w:val="25"/>
        </w:rPr>
        <w:t xml:space="preserve"> </w:t>
      </w:r>
      <w:r>
        <w:rPr>
          <w:szCs w:val="25"/>
        </w:rPr>
        <w:t xml:space="preserve">The </w:t>
      </w:r>
      <w:r w:rsidRPr="006A51BA">
        <w:rPr>
          <w:szCs w:val="25"/>
        </w:rPr>
        <w:t>two verses are also similar in the flow of their contents. Verse 35 urges acts of kindness (35a</w:t>
      </w:r>
      <w:r>
        <w:rPr>
          <w:szCs w:val="25"/>
        </w:rPr>
        <w:t>bc</w:t>
      </w:r>
      <w:r w:rsidR="006F304D" w:rsidRPr="006F304D">
        <w:rPr>
          <w:szCs w:val="25"/>
        </w:rPr>
        <w:t xml:space="preserve">, </w:t>
      </w:r>
      <w:r>
        <w:rPr>
          <w:szCs w:val="25"/>
        </w:rPr>
        <w:t>“love,”</w:t>
      </w:r>
      <w:r w:rsidRPr="006A51BA">
        <w:rPr>
          <w:szCs w:val="25"/>
        </w:rPr>
        <w:t xml:space="preserve"> </w:t>
      </w:r>
      <w:r>
        <w:rPr>
          <w:szCs w:val="25"/>
        </w:rPr>
        <w:t>“</w:t>
      </w:r>
      <w:r w:rsidRPr="006A51BA">
        <w:rPr>
          <w:szCs w:val="25"/>
        </w:rPr>
        <w:t>do good,” “lend”)</w:t>
      </w:r>
      <w:r w:rsidR="006F304D" w:rsidRPr="006F304D">
        <w:rPr>
          <w:szCs w:val="25"/>
        </w:rPr>
        <w:t xml:space="preserve">, </w:t>
      </w:r>
      <w:r w:rsidRPr="006A51BA">
        <w:rPr>
          <w:szCs w:val="25"/>
        </w:rPr>
        <w:t>then</w:t>
      </w:r>
      <w:r>
        <w:rPr>
          <w:szCs w:val="25"/>
        </w:rPr>
        <w:t xml:space="preserve"> provides a motive for them (35e</w:t>
      </w:r>
      <w:r w:rsidR="006F304D" w:rsidRPr="006F304D">
        <w:rPr>
          <w:szCs w:val="25"/>
        </w:rPr>
        <w:t xml:space="preserve">, </w:t>
      </w:r>
      <w:r w:rsidRPr="006A51BA">
        <w:rPr>
          <w:szCs w:val="25"/>
        </w:rPr>
        <w:t xml:space="preserve">“and you will be </w:t>
      </w:r>
      <w:r>
        <w:rPr>
          <w:szCs w:val="25"/>
        </w:rPr>
        <w:t>children</w:t>
      </w:r>
      <w:r w:rsidRPr="006A51BA">
        <w:rPr>
          <w:szCs w:val="25"/>
        </w:rPr>
        <w:t xml:space="preserve"> of the Most High”). Simi</w:t>
      </w:r>
      <w:r w:rsidRPr="006A51BA">
        <w:rPr>
          <w:szCs w:val="25"/>
        </w:rPr>
        <w:softHyphen/>
        <w:t>larly</w:t>
      </w:r>
      <w:r w:rsidR="006F304D" w:rsidRPr="006F304D">
        <w:rPr>
          <w:szCs w:val="25"/>
        </w:rPr>
        <w:t xml:space="preserve">, </w:t>
      </w:r>
      <w:r w:rsidRPr="006A51BA">
        <w:rPr>
          <w:szCs w:val="25"/>
        </w:rPr>
        <w:t>36 urges acts of mercy (36a</w:t>
      </w:r>
      <w:r w:rsidR="006F304D" w:rsidRPr="006F304D">
        <w:rPr>
          <w:szCs w:val="25"/>
        </w:rPr>
        <w:t xml:space="preserve">, </w:t>
      </w:r>
      <w:r w:rsidRPr="006A51BA">
        <w:rPr>
          <w:szCs w:val="25"/>
        </w:rPr>
        <w:t>“be merciful”)</w:t>
      </w:r>
      <w:r w:rsidR="006F304D" w:rsidRPr="006F304D">
        <w:rPr>
          <w:szCs w:val="25"/>
        </w:rPr>
        <w:t xml:space="preserve">, </w:t>
      </w:r>
      <w:r w:rsidRPr="006A51BA">
        <w:rPr>
          <w:szCs w:val="25"/>
        </w:rPr>
        <w:t>then provides a motive for them (36b</w:t>
      </w:r>
      <w:r w:rsidR="006F304D" w:rsidRPr="006F304D">
        <w:rPr>
          <w:szCs w:val="25"/>
        </w:rPr>
        <w:t xml:space="preserve">, </w:t>
      </w:r>
      <w:r>
        <w:rPr>
          <w:szCs w:val="25"/>
        </w:rPr>
        <w:t>“</w:t>
      </w:r>
      <w:r w:rsidRPr="00CD75A6">
        <w:t>just as your Father is merciful</w:t>
      </w:r>
      <w:r w:rsidRPr="006A51BA">
        <w:rPr>
          <w:szCs w:val="25"/>
        </w:rPr>
        <w:t>”). The motive in both cases is essentially the same</w:t>
      </w:r>
      <w:r>
        <w:rPr>
          <w:szCs w:val="25"/>
        </w:rPr>
        <w:t>: imitate God</w:t>
      </w:r>
      <w:r w:rsidRPr="006A51BA">
        <w:rPr>
          <w:szCs w:val="25"/>
        </w:rPr>
        <w:t>. Moreover</w:t>
      </w:r>
      <w:r w:rsidR="006F304D" w:rsidRPr="006F304D">
        <w:rPr>
          <w:szCs w:val="25"/>
        </w:rPr>
        <w:t xml:space="preserve">, </w:t>
      </w:r>
      <w:r w:rsidRPr="006A51BA">
        <w:rPr>
          <w:szCs w:val="25"/>
        </w:rPr>
        <w:t xml:space="preserve">just as 35 ends with a specification of the extent </w:t>
      </w:r>
      <w:r>
        <w:rPr>
          <w:szCs w:val="25"/>
        </w:rPr>
        <w:t>to which one should be kind (35f</w:t>
      </w:r>
      <w:r w:rsidR="006F304D" w:rsidRPr="006F304D">
        <w:rPr>
          <w:szCs w:val="25"/>
        </w:rPr>
        <w:t xml:space="preserve">, </w:t>
      </w:r>
      <w:r w:rsidRPr="00FF03AB">
        <w:rPr>
          <w:szCs w:val="25"/>
        </w:rPr>
        <w:t>“</w:t>
      </w:r>
      <w:r w:rsidRPr="006A51BA">
        <w:rPr>
          <w:szCs w:val="25"/>
        </w:rPr>
        <w:t>for he is kind to the ungrateful and the</w:t>
      </w:r>
      <w:r>
        <w:rPr>
          <w:szCs w:val="25"/>
        </w:rPr>
        <w:t xml:space="preserve"> wicked</w:t>
      </w:r>
      <w:r w:rsidRPr="006A51BA">
        <w:rPr>
          <w:szCs w:val="25"/>
        </w:rPr>
        <w:t>”)</w:t>
      </w:r>
      <w:r w:rsidR="006F304D" w:rsidRPr="006F304D">
        <w:rPr>
          <w:szCs w:val="25"/>
        </w:rPr>
        <w:t xml:space="preserve">, </w:t>
      </w:r>
      <w:r w:rsidRPr="006A51BA">
        <w:rPr>
          <w:szCs w:val="25"/>
        </w:rPr>
        <w:t>so 36 ends with a specification of the extent to which one should be merciful (the subordinating conjunction</w:t>
      </w:r>
      <w:r w:rsidR="006F304D" w:rsidRPr="006F304D">
        <w:rPr>
          <w:szCs w:val="25"/>
        </w:rPr>
        <w:t xml:space="preserve">, </w:t>
      </w:r>
      <w:r w:rsidRPr="00CE06CA">
        <w:rPr>
          <w:bCs/>
          <w:szCs w:val="22"/>
          <w:lang w:val="el-GR"/>
        </w:rPr>
        <w:t>καθ</w:t>
      </w:r>
      <w:r>
        <w:rPr>
          <w:bCs/>
          <w:szCs w:val="22"/>
          <w:lang w:val="el-GR"/>
        </w:rPr>
        <w:t>ώ</w:t>
      </w:r>
      <w:r w:rsidRPr="00CE06CA">
        <w:rPr>
          <w:bCs/>
          <w:szCs w:val="22"/>
          <w:lang w:val="el-GR"/>
        </w:rPr>
        <w:t>ς</w:t>
      </w:r>
      <w:r w:rsidR="006F304D" w:rsidRPr="006F304D">
        <w:rPr>
          <w:szCs w:val="30"/>
        </w:rPr>
        <w:t xml:space="preserve">, </w:t>
      </w:r>
      <w:r w:rsidRPr="006A51BA">
        <w:rPr>
          <w:szCs w:val="30"/>
        </w:rPr>
        <w:t>“</w:t>
      </w:r>
      <w:r w:rsidRPr="006A51BA">
        <w:rPr>
          <w:szCs w:val="25"/>
        </w:rPr>
        <w:t>even as,” “to the degree that,” specifies how one is to be</w:t>
      </w:r>
      <w:r>
        <w:rPr>
          <w:szCs w:val="25"/>
        </w:rPr>
        <w:t xml:space="preserve"> merciful).</w:t>
      </w:r>
      <w:r>
        <w:rPr>
          <w:rStyle w:val="FootnoteReference"/>
          <w:szCs w:val="25"/>
        </w:rPr>
        <w:footnoteReference w:id="564"/>
      </w:r>
    </w:p>
    <w:p w14:paraId="549FE944" w14:textId="50F0077D" w:rsidR="0018433B" w:rsidRPr="006A51BA" w:rsidRDefault="0018433B" w:rsidP="0018433B">
      <w:pPr>
        <w:pStyle w:val="Style"/>
        <w:widowControl/>
        <w:jc w:val="both"/>
        <w:textAlignment w:val="baseline"/>
        <w:rPr>
          <w:szCs w:val="25"/>
        </w:rPr>
      </w:pPr>
      <w:r>
        <w:rPr>
          <w:szCs w:val="25"/>
        </w:rPr>
        <w:lastRenderedPageBreak/>
        <w:tab/>
      </w:r>
      <w:r w:rsidRPr="006A51BA">
        <w:rPr>
          <w:szCs w:val="25"/>
        </w:rPr>
        <w:t>We agree</w:t>
      </w:r>
      <w:r w:rsidR="006F304D" w:rsidRPr="006F304D">
        <w:rPr>
          <w:szCs w:val="25"/>
        </w:rPr>
        <w:t xml:space="preserve">, </w:t>
      </w:r>
      <w:r w:rsidRPr="006A51BA">
        <w:rPr>
          <w:szCs w:val="25"/>
        </w:rPr>
        <w:t>therefore</w:t>
      </w:r>
      <w:r w:rsidR="006F304D" w:rsidRPr="006F304D">
        <w:rPr>
          <w:szCs w:val="25"/>
        </w:rPr>
        <w:t xml:space="preserve">, </w:t>
      </w:r>
      <w:r w:rsidRPr="006A51BA">
        <w:rPr>
          <w:szCs w:val="25"/>
        </w:rPr>
        <w:t xml:space="preserve">with those who link verse 36 with what precedes it. But with how much of what precedes it should 36 be linked? Is </w:t>
      </w:r>
      <w:r>
        <w:rPr>
          <w:szCs w:val="25"/>
        </w:rPr>
        <w:t>it a unit coordinate with 32-35c and 35def</w:t>
      </w:r>
      <w:r w:rsidR="006F304D" w:rsidRPr="006F304D">
        <w:rPr>
          <w:szCs w:val="25"/>
        </w:rPr>
        <w:t xml:space="preserve">, </w:t>
      </w:r>
      <w:r>
        <w:rPr>
          <w:szCs w:val="25"/>
        </w:rPr>
        <w:t>or is it to be attached to 35def and made a subunit of 35d-36?</w:t>
      </w:r>
      <w:r w:rsidRPr="006A51BA">
        <w:rPr>
          <w:szCs w:val="25"/>
        </w:rPr>
        <w:t xml:space="preserve"> In support of the former alternative</w:t>
      </w:r>
      <w:r w:rsidR="006F304D" w:rsidRPr="006F304D">
        <w:rPr>
          <w:szCs w:val="25"/>
        </w:rPr>
        <w:t xml:space="preserve">, </w:t>
      </w:r>
      <w:r w:rsidRPr="006A51BA">
        <w:rPr>
          <w:szCs w:val="25"/>
        </w:rPr>
        <w:t>it can be argued that 36 does not rep</w:t>
      </w:r>
      <w:r>
        <w:rPr>
          <w:szCs w:val="25"/>
        </w:rPr>
        <w:t>roduce only the thought of 35def</w:t>
      </w:r>
      <w:r w:rsidRPr="006A51BA">
        <w:rPr>
          <w:szCs w:val="25"/>
        </w:rPr>
        <w:t xml:space="preserve">. Because </w:t>
      </w:r>
      <w:r>
        <w:rPr>
          <w:szCs w:val="25"/>
        </w:rPr>
        <w:t>36</w:t>
      </w:r>
      <w:r w:rsidRPr="006A51BA">
        <w:rPr>
          <w:szCs w:val="25"/>
        </w:rPr>
        <w:t xml:space="preserve"> begins with the command</w:t>
      </w:r>
      <w:r w:rsidR="006F304D" w:rsidRPr="006F304D">
        <w:rPr>
          <w:szCs w:val="25"/>
        </w:rPr>
        <w:t xml:space="preserve">, </w:t>
      </w:r>
      <w:r>
        <w:rPr>
          <w:szCs w:val="25"/>
        </w:rPr>
        <w:t>“</w:t>
      </w:r>
      <w:r w:rsidRPr="006A51BA">
        <w:rPr>
          <w:szCs w:val="25"/>
        </w:rPr>
        <w:t>Be merciful,” it is parallel to 35a</w:t>
      </w:r>
      <w:r>
        <w:rPr>
          <w:szCs w:val="25"/>
        </w:rPr>
        <w:t>bc</w:t>
      </w:r>
      <w:r w:rsidRPr="006A51BA">
        <w:rPr>
          <w:szCs w:val="25"/>
        </w:rPr>
        <w:t xml:space="preserve"> (“But love</w:t>
      </w:r>
      <w:r w:rsidR="006F304D" w:rsidRPr="006F304D">
        <w:rPr>
          <w:szCs w:val="25"/>
        </w:rPr>
        <w:t xml:space="preserve">, </w:t>
      </w:r>
      <w:r w:rsidRPr="006A51BA">
        <w:rPr>
          <w:szCs w:val="25"/>
        </w:rPr>
        <w:t xml:space="preserve">do </w:t>
      </w:r>
      <w:r>
        <w:rPr>
          <w:szCs w:val="25"/>
        </w:rPr>
        <w:t>good</w:t>
      </w:r>
      <w:r w:rsidR="006F304D" w:rsidRPr="006F304D">
        <w:rPr>
          <w:szCs w:val="25"/>
        </w:rPr>
        <w:t xml:space="preserve">, </w:t>
      </w:r>
      <w:r>
        <w:rPr>
          <w:szCs w:val="25"/>
        </w:rPr>
        <w:t>lend”) as well as to 35def</w:t>
      </w:r>
      <w:r w:rsidRPr="006A51BA">
        <w:rPr>
          <w:szCs w:val="25"/>
        </w:rPr>
        <w:t>. In this interpreta</w:t>
      </w:r>
      <w:r w:rsidRPr="006A51BA">
        <w:rPr>
          <w:szCs w:val="25"/>
        </w:rPr>
        <w:softHyphen/>
        <w:t>tion</w:t>
      </w:r>
      <w:r w:rsidR="006F304D" w:rsidRPr="006F304D">
        <w:rPr>
          <w:szCs w:val="25"/>
        </w:rPr>
        <w:t xml:space="preserve">, </w:t>
      </w:r>
      <w:r w:rsidRPr="006A51BA">
        <w:rPr>
          <w:szCs w:val="25"/>
        </w:rPr>
        <w:t>then</w:t>
      </w:r>
      <w:r w:rsidR="006F304D" w:rsidRPr="006F304D">
        <w:rPr>
          <w:szCs w:val="25"/>
        </w:rPr>
        <w:t xml:space="preserve">, </w:t>
      </w:r>
      <w:r w:rsidRPr="006A51BA">
        <w:rPr>
          <w:szCs w:val="25"/>
        </w:rPr>
        <w:t>verse 36 would be a unit coordinate with 32-34</w:t>
      </w:r>
      <w:r w:rsidR="006F304D" w:rsidRPr="006F304D">
        <w:rPr>
          <w:szCs w:val="25"/>
        </w:rPr>
        <w:t xml:space="preserve">, </w:t>
      </w:r>
      <w:r w:rsidRPr="006A51BA">
        <w:rPr>
          <w:szCs w:val="25"/>
        </w:rPr>
        <w:t>35a</w:t>
      </w:r>
      <w:r>
        <w:rPr>
          <w:szCs w:val="25"/>
        </w:rPr>
        <w:t>bc</w:t>
      </w:r>
      <w:r w:rsidR="006F304D" w:rsidRPr="006F304D">
        <w:rPr>
          <w:szCs w:val="25"/>
        </w:rPr>
        <w:t xml:space="preserve">, </w:t>
      </w:r>
      <w:r>
        <w:rPr>
          <w:szCs w:val="25"/>
        </w:rPr>
        <w:t>and 35def</w:t>
      </w:r>
      <w:r w:rsidRPr="006A51BA">
        <w:rPr>
          <w:szCs w:val="25"/>
        </w:rPr>
        <w:t xml:space="preserve"> (32-34 and 35a</w:t>
      </w:r>
      <w:r>
        <w:rPr>
          <w:szCs w:val="25"/>
        </w:rPr>
        <w:t>bc</w:t>
      </w:r>
      <w:r w:rsidRPr="006A51BA">
        <w:rPr>
          <w:szCs w:val="25"/>
        </w:rPr>
        <w:t xml:space="preserve"> would have to be made coordinate</w:t>
      </w:r>
      <w:r w:rsidR="006F304D" w:rsidRPr="006F304D">
        <w:rPr>
          <w:szCs w:val="25"/>
        </w:rPr>
        <w:t xml:space="preserve">, </w:t>
      </w:r>
      <w:r w:rsidRPr="006A51BA">
        <w:rPr>
          <w:szCs w:val="25"/>
        </w:rPr>
        <w:t>in order for 36 to be coordinate both with 35a</w:t>
      </w:r>
      <w:r>
        <w:rPr>
          <w:szCs w:val="25"/>
        </w:rPr>
        <w:t>bc and 35def</w:t>
      </w:r>
      <w:r w:rsidRPr="006A51BA">
        <w:rPr>
          <w:szCs w:val="25"/>
        </w:rPr>
        <w:t>). In support of the latter alternative</w:t>
      </w:r>
      <w:r w:rsidR="006F304D" w:rsidRPr="006F304D">
        <w:rPr>
          <w:szCs w:val="25"/>
        </w:rPr>
        <w:t xml:space="preserve">, </w:t>
      </w:r>
      <w:r w:rsidRPr="006A51BA">
        <w:rPr>
          <w:szCs w:val="25"/>
        </w:rPr>
        <w:t>we ha</w:t>
      </w:r>
      <w:r>
        <w:rPr>
          <w:szCs w:val="25"/>
        </w:rPr>
        <w:t>ve already determined that 35def</w:t>
      </w:r>
      <w:r w:rsidRPr="006A51BA">
        <w:rPr>
          <w:szCs w:val="25"/>
        </w:rPr>
        <w:t xml:space="preserve"> is a unit dis</w:t>
      </w:r>
      <w:r>
        <w:rPr>
          <w:szCs w:val="25"/>
        </w:rPr>
        <w:t>tinct from 32-35c</w:t>
      </w:r>
      <w:r w:rsidRPr="006A51BA">
        <w:rPr>
          <w:szCs w:val="25"/>
        </w:rPr>
        <w:t>. This suggests that 36 should be combined wi</w:t>
      </w:r>
      <w:r>
        <w:rPr>
          <w:szCs w:val="25"/>
        </w:rPr>
        <w:t>th 35def</w:t>
      </w:r>
      <w:r w:rsidRPr="006A51BA">
        <w:rPr>
          <w:szCs w:val="25"/>
        </w:rPr>
        <w:t xml:space="preserve"> and made a subu</w:t>
      </w:r>
      <w:r>
        <w:rPr>
          <w:szCs w:val="25"/>
        </w:rPr>
        <w:t>nit of 35d</w:t>
      </w:r>
      <w:r w:rsidRPr="006A51BA">
        <w:rPr>
          <w:szCs w:val="25"/>
        </w:rPr>
        <w:t>-36. Which of these two alternatives is correct? The deciding factor</w:t>
      </w:r>
      <w:r w:rsidR="006F304D" w:rsidRPr="006F304D">
        <w:rPr>
          <w:szCs w:val="25"/>
        </w:rPr>
        <w:t xml:space="preserve">, </w:t>
      </w:r>
      <w:r w:rsidRPr="006A51BA">
        <w:rPr>
          <w:szCs w:val="25"/>
        </w:rPr>
        <w:t>in my opinio</w:t>
      </w:r>
      <w:r>
        <w:rPr>
          <w:szCs w:val="25"/>
        </w:rPr>
        <w:t>n</w:t>
      </w:r>
      <w:r w:rsidR="006F304D" w:rsidRPr="006F304D">
        <w:rPr>
          <w:szCs w:val="25"/>
        </w:rPr>
        <w:t xml:space="preserve">, </w:t>
      </w:r>
      <w:r>
        <w:rPr>
          <w:szCs w:val="25"/>
        </w:rPr>
        <w:t>is the consideration that 35d</w:t>
      </w:r>
      <w:r w:rsidRPr="006A51BA">
        <w:rPr>
          <w:szCs w:val="25"/>
        </w:rPr>
        <w:t>-36 introduc</w:t>
      </w:r>
      <w:r>
        <w:rPr>
          <w:szCs w:val="25"/>
        </w:rPr>
        <w:t>e a topic detachable from 32-35c</w:t>
      </w:r>
      <w:r w:rsidR="006F304D" w:rsidRPr="006F304D">
        <w:rPr>
          <w:szCs w:val="25"/>
        </w:rPr>
        <w:t xml:space="preserve">, </w:t>
      </w:r>
      <w:r w:rsidRPr="006A51BA">
        <w:rPr>
          <w:szCs w:val="25"/>
        </w:rPr>
        <w:t>namely</w:t>
      </w:r>
      <w:r w:rsidR="006F304D" w:rsidRPr="006F304D">
        <w:rPr>
          <w:szCs w:val="25"/>
        </w:rPr>
        <w:t xml:space="preserve">, </w:t>
      </w:r>
      <w:r w:rsidRPr="006A51BA">
        <w:rPr>
          <w:szCs w:val="25"/>
        </w:rPr>
        <w:t xml:space="preserve">the motivation for </w:t>
      </w:r>
      <w:r>
        <w:rPr>
          <w:szCs w:val="25"/>
        </w:rPr>
        <w:t>the actions commanded in 32- 35c</w:t>
      </w:r>
      <w:r w:rsidRPr="006A51BA">
        <w:rPr>
          <w:szCs w:val="25"/>
        </w:rPr>
        <w:t>. Granted</w:t>
      </w:r>
      <w:r w:rsidR="006F304D" w:rsidRPr="006F304D">
        <w:rPr>
          <w:szCs w:val="25"/>
        </w:rPr>
        <w:t xml:space="preserve">, </w:t>
      </w:r>
      <w:r w:rsidRPr="006A51BA">
        <w:rPr>
          <w:szCs w:val="25"/>
        </w:rPr>
        <w:t>32b</w:t>
      </w:r>
      <w:r w:rsidR="006F304D" w:rsidRPr="006F304D">
        <w:rPr>
          <w:szCs w:val="25"/>
        </w:rPr>
        <w:t xml:space="preserve">, </w:t>
      </w:r>
      <w:r w:rsidRPr="006A51BA">
        <w:rPr>
          <w:szCs w:val="25"/>
        </w:rPr>
        <w:t>33b</w:t>
      </w:r>
      <w:r w:rsidR="006F304D" w:rsidRPr="006F304D">
        <w:rPr>
          <w:szCs w:val="25"/>
        </w:rPr>
        <w:t xml:space="preserve">, </w:t>
      </w:r>
      <w:r w:rsidRPr="006A51BA">
        <w:rPr>
          <w:szCs w:val="25"/>
        </w:rPr>
        <w:t>and 34b (“What credit is that to you?</w:t>
      </w:r>
      <w:r>
        <w:rPr>
          <w:szCs w:val="25"/>
        </w:rPr>
        <w:t>”</w:t>
      </w:r>
      <w:r w:rsidRPr="006A51BA">
        <w:rPr>
          <w:szCs w:val="25"/>
        </w:rPr>
        <w:t>) in</w:t>
      </w:r>
      <w:r>
        <w:rPr>
          <w:szCs w:val="25"/>
        </w:rPr>
        <w:t>troduce into 32-35c</w:t>
      </w:r>
      <w:r w:rsidRPr="006A51BA">
        <w:rPr>
          <w:szCs w:val="25"/>
        </w:rPr>
        <w:t xml:space="preserve"> the concept of reward</w:t>
      </w:r>
      <w:r w:rsidR="006F304D" w:rsidRPr="006F304D">
        <w:rPr>
          <w:szCs w:val="25"/>
        </w:rPr>
        <w:t xml:space="preserve">, </w:t>
      </w:r>
      <w:r w:rsidRPr="006A51BA">
        <w:rPr>
          <w:szCs w:val="25"/>
        </w:rPr>
        <w:t>at least to some small extent; motivation for the ac</w:t>
      </w:r>
      <w:r>
        <w:rPr>
          <w:szCs w:val="25"/>
        </w:rPr>
        <w:t>tions in 32-35c</w:t>
      </w:r>
      <w:r w:rsidR="006F304D" w:rsidRPr="006F304D">
        <w:rPr>
          <w:szCs w:val="25"/>
        </w:rPr>
        <w:t xml:space="preserve">, </w:t>
      </w:r>
      <w:r w:rsidRPr="006A51BA">
        <w:rPr>
          <w:szCs w:val="25"/>
        </w:rPr>
        <w:t>therefore</w:t>
      </w:r>
      <w:r w:rsidR="006F304D" w:rsidRPr="006F304D">
        <w:rPr>
          <w:szCs w:val="25"/>
        </w:rPr>
        <w:t xml:space="preserve">, </w:t>
      </w:r>
      <w:r w:rsidRPr="006A51BA">
        <w:rPr>
          <w:szCs w:val="25"/>
        </w:rPr>
        <w:t>is</w:t>
      </w:r>
      <w:r>
        <w:rPr>
          <w:szCs w:val="25"/>
        </w:rPr>
        <w:t xml:space="preserve"> not entirely absent from 32-35c. But in 35d</w:t>
      </w:r>
      <w:r w:rsidRPr="006A51BA">
        <w:rPr>
          <w:szCs w:val="25"/>
        </w:rPr>
        <w:t>-36</w:t>
      </w:r>
      <w:r w:rsidR="006F304D" w:rsidRPr="006F304D">
        <w:rPr>
          <w:szCs w:val="25"/>
        </w:rPr>
        <w:t xml:space="preserve">, </w:t>
      </w:r>
      <w:r w:rsidRPr="006A51BA">
        <w:rPr>
          <w:szCs w:val="25"/>
        </w:rPr>
        <w:t>a new motive</w:t>
      </w:r>
      <w:r w:rsidR="006F304D" w:rsidRPr="006F304D">
        <w:rPr>
          <w:szCs w:val="25"/>
        </w:rPr>
        <w:t xml:space="preserve">, </w:t>
      </w:r>
      <w:r w:rsidRPr="006A51BA">
        <w:rPr>
          <w:szCs w:val="25"/>
        </w:rPr>
        <w:t>distinct from the concept of reward</w:t>
      </w:r>
      <w:r w:rsidR="006F304D" w:rsidRPr="006F304D">
        <w:rPr>
          <w:szCs w:val="25"/>
        </w:rPr>
        <w:t xml:space="preserve">, </w:t>
      </w:r>
      <w:r w:rsidRPr="006A51BA">
        <w:rPr>
          <w:szCs w:val="25"/>
        </w:rPr>
        <w:t>is introduced: loving</w:t>
      </w:r>
      <w:r w:rsidR="006F304D" w:rsidRPr="006F304D">
        <w:rPr>
          <w:szCs w:val="25"/>
        </w:rPr>
        <w:t xml:space="preserve">, </w:t>
      </w:r>
      <w:r w:rsidRPr="006A51BA">
        <w:rPr>
          <w:szCs w:val="25"/>
        </w:rPr>
        <w:t>etc.</w:t>
      </w:r>
      <w:r w:rsidR="006F304D" w:rsidRPr="006F304D">
        <w:rPr>
          <w:szCs w:val="25"/>
        </w:rPr>
        <w:t xml:space="preserve">, </w:t>
      </w:r>
      <w:r w:rsidRPr="006A51BA">
        <w:rPr>
          <w:szCs w:val="25"/>
        </w:rPr>
        <w:t xml:space="preserve">one’s enemies </w:t>
      </w:r>
      <w:r w:rsidRPr="006A51BA">
        <w:rPr>
          <w:i/>
          <w:iCs/>
        </w:rPr>
        <w:t>because</w:t>
      </w:r>
      <w:r>
        <w:rPr>
          <w:i/>
          <w:iCs/>
        </w:rPr>
        <w:t xml:space="preserve"> </w:t>
      </w:r>
      <w:r w:rsidRPr="006A51BA">
        <w:rPr>
          <w:i/>
          <w:iCs/>
        </w:rPr>
        <w:t>God love his enemies</w:t>
      </w:r>
      <w:r w:rsidRPr="006A51BA">
        <w:rPr>
          <w:iCs/>
        </w:rPr>
        <w:t xml:space="preserve">. </w:t>
      </w:r>
      <w:r w:rsidRPr="006A51BA">
        <w:rPr>
          <w:szCs w:val="25"/>
        </w:rPr>
        <w:t>Thus 32-36 should be considered to have two subsections: 32-</w:t>
      </w:r>
      <w:r>
        <w:rPr>
          <w:szCs w:val="25"/>
        </w:rPr>
        <w:t>35c</w:t>
      </w:r>
      <w:r w:rsidR="006F304D" w:rsidRPr="006F304D">
        <w:rPr>
          <w:szCs w:val="25"/>
        </w:rPr>
        <w:t xml:space="preserve">, </w:t>
      </w:r>
      <w:r>
        <w:rPr>
          <w:szCs w:val="25"/>
        </w:rPr>
        <w:t>and 35d</w:t>
      </w:r>
      <w:r w:rsidRPr="006A51BA">
        <w:rPr>
          <w:szCs w:val="25"/>
        </w:rPr>
        <w:t>-36.</w:t>
      </w:r>
    </w:p>
    <w:p w14:paraId="15C4C067" w14:textId="77777777" w:rsidR="0018433B" w:rsidRDefault="0018433B" w:rsidP="0018433B">
      <w:pPr>
        <w:pStyle w:val="Style"/>
        <w:widowControl/>
        <w:jc w:val="both"/>
        <w:textAlignment w:val="baseline"/>
        <w:rPr>
          <w:szCs w:val="25"/>
        </w:rPr>
      </w:pPr>
      <w:r>
        <w:rPr>
          <w:szCs w:val="25"/>
        </w:rPr>
        <w:tab/>
      </w:r>
      <w:r w:rsidRPr="006A51BA">
        <w:rPr>
          <w:szCs w:val="25"/>
        </w:rPr>
        <w:t>Hence we revise our previous outline as follows:</w:t>
      </w:r>
    </w:p>
    <w:p w14:paraId="3815FC12" w14:textId="77777777" w:rsidR="0018433B" w:rsidRDefault="0018433B" w:rsidP="0018433B">
      <w:pPr>
        <w:pStyle w:val="Style"/>
        <w:widowControl/>
        <w:jc w:val="both"/>
        <w:textAlignment w:val="baseline"/>
        <w:rPr>
          <w:szCs w:val="25"/>
        </w:rPr>
      </w:pPr>
    </w:p>
    <w:p w14:paraId="3E741169" w14:textId="77777777" w:rsidR="0018433B" w:rsidRDefault="0018433B" w:rsidP="0018433B">
      <w:pPr>
        <w:tabs>
          <w:tab w:val="left" w:pos="3600"/>
          <w:tab w:val="left" w:pos="3960"/>
          <w:tab w:val="left" w:pos="4320"/>
          <w:tab w:val="left" w:pos="4680"/>
          <w:tab w:val="left" w:pos="5040"/>
        </w:tabs>
        <w:contextualSpacing/>
      </w:pPr>
      <w:r>
        <w:tab/>
        <w:t>1.</w:t>
      </w:r>
      <w:r>
        <w:tab/>
        <w:t>32-36</w:t>
      </w:r>
    </w:p>
    <w:p w14:paraId="05CCBEF1" w14:textId="77777777" w:rsidR="0018433B" w:rsidRDefault="0018433B" w:rsidP="0018433B">
      <w:pPr>
        <w:tabs>
          <w:tab w:val="left" w:pos="3600"/>
          <w:tab w:val="left" w:pos="3960"/>
          <w:tab w:val="left" w:pos="4320"/>
          <w:tab w:val="left" w:pos="4680"/>
          <w:tab w:val="left" w:pos="5040"/>
        </w:tabs>
        <w:contextualSpacing/>
      </w:pPr>
      <w:r>
        <w:tab/>
      </w:r>
      <w:r>
        <w:tab/>
        <w:t>a.</w:t>
      </w:r>
      <w:r>
        <w:tab/>
        <w:t>32-34</w:t>
      </w:r>
    </w:p>
    <w:p w14:paraId="1AC5D634" w14:textId="77777777" w:rsidR="0018433B" w:rsidRDefault="0018433B" w:rsidP="0018433B">
      <w:pPr>
        <w:tabs>
          <w:tab w:val="left" w:pos="3600"/>
          <w:tab w:val="left" w:pos="3960"/>
          <w:tab w:val="left" w:pos="4320"/>
          <w:tab w:val="left" w:pos="4680"/>
          <w:tab w:val="left" w:pos="5040"/>
        </w:tabs>
        <w:contextualSpacing/>
      </w:pPr>
      <w:r>
        <w:tab/>
      </w:r>
      <w:r>
        <w:tab/>
      </w:r>
      <w:r>
        <w:tab/>
        <w:t>1)</w:t>
      </w:r>
      <w:r>
        <w:tab/>
        <w:t>32</w:t>
      </w:r>
    </w:p>
    <w:p w14:paraId="32B75AA3" w14:textId="77777777" w:rsidR="0018433B" w:rsidRDefault="0018433B" w:rsidP="0018433B">
      <w:pPr>
        <w:tabs>
          <w:tab w:val="left" w:pos="3600"/>
          <w:tab w:val="left" w:pos="3960"/>
          <w:tab w:val="left" w:pos="4320"/>
          <w:tab w:val="left" w:pos="4680"/>
          <w:tab w:val="left" w:pos="5040"/>
        </w:tabs>
        <w:contextualSpacing/>
      </w:pPr>
      <w:r>
        <w:tab/>
      </w:r>
      <w:r>
        <w:tab/>
      </w:r>
      <w:r>
        <w:tab/>
      </w:r>
      <w:r>
        <w:tab/>
        <w:t>a)</w:t>
      </w:r>
      <w:r>
        <w:tab/>
        <w:t>32a</w:t>
      </w:r>
    </w:p>
    <w:p w14:paraId="3F1CFF93" w14:textId="77777777" w:rsidR="0018433B" w:rsidRDefault="0018433B" w:rsidP="0018433B">
      <w:pPr>
        <w:tabs>
          <w:tab w:val="left" w:pos="3600"/>
          <w:tab w:val="left" w:pos="3960"/>
          <w:tab w:val="left" w:pos="4320"/>
          <w:tab w:val="left" w:pos="4680"/>
          <w:tab w:val="left" w:pos="5040"/>
        </w:tabs>
        <w:contextualSpacing/>
      </w:pPr>
      <w:r>
        <w:tab/>
      </w:r>
      <w:r>
        <w:tab/>
      </w:r>
      <w:r>
        <w:tab/>
      </w:r>
      <w:r>
        <w:tab/>
        <w:t>b)</w:t>
      </w:r>
      <w:r>
        <w:tab/>
        <w:t>32b</w:t>
      </w:r>
    </w:p>
    <w:p w14:paraId="56857481" w14:textId="77777777" w:rsidR="0018433B" w:rsidRDefault="0018433B" w:rsidP="0018433B">
      <w:pPr>
        <w:tabs>
          <w:tab w:val="left" w:pos="3600"/>
          <w:tab w:val="left" w:pos="3960"/>
          <w:tab w:val="left" w:pos="4320"/>
          <w:tab w:val="left" w:pos="4680"/>
          <w:tab w:val="left" w:pos="5040"/>
        </w:tabs>
        <w:contextualSpacing/>
      </w:pPr>
      <w:r>
        <w:tab/>
      </w:r>
      <w:r>
        <w:tab/>
      </w:r>
      <w:r>
        <w:tab/>
      </w:r>
      <w:r>
        <w:tab/>
        <w:t>c)</w:t>
      </w:r>
      <w:r>
        <w:tab/>
        <w:t>32c</w:t>
      </w:r>
    </w:p>
    <w:p w14:paraId="58D36B5A" w14:textId="77777777" w:rsidR="0018433B" w:rsidRDefault="0018433B" w:rsidP="0018433B">
      <w:pPr>
        <w:tabs>
          <w:tab w:val="left" w:pos="3600"/>
          <w:tab w:val="left" w:pos="3960"/>
          <w:tab w:val="left" w:pos="4320"/>
          <w:tab w:val="left" w:pos="4680"/>
          <w:tab w:val="left" w:pos="5040"/>
        </w:tabs>
        <w:contextualSpacing/>
      </w:pPr>
      <w:r>
        <w:tab/>
      </w:r>
      <w:r>
        <w:tab/>
      </w:r>
      <w:r>
        <w:tab/>
        <w:t>2)</w:t>
      </w:r>
      <w:r>
        <w:tab/>
        <w:t>33</w:t>
      </w:r>
    </w:p>
    <w:p w14:paraId="41CA4A84" w14:textId="77777777" w:rsidR="0018433B" w:rsidRDefault="0018433B" w:rsidP="0018433B">
      <w:pPr>
        <w:tabs>
          <w:tab w:val="left" w:pos="3600"/>
          <w:tab w:val="left" w:pos="3960"/>
          <w:tab w:val="left" w:pos="4320"/>
          <w:tab w:val="left" w:pos="4680"/>
          <w:tab w:val="left" w:pos="5040"/>
        </w:tabs>
        <w:contextualSpacing/>
      </w:pPr>
      <w:r>
        <w:tab/>
      </w:r>
      <w:r>
        <w:tab/>
      </w:r>
      <w:r>
        <w:tab/>
      </w:r>
      <w:r>
        <w:tab/>
        <w:t>a)</w:t>
      </w:r>
      <w:r>
        <w:tab/>
        <w:t>33a</w:t>
      </w:r>
    </w:p>
    <w:p w14:paraId="0899763C" w14:textId="77777777" w:rsidR="0018433B" w:rsidRDefault="0018433B" w:rsidP="0018433B">
      <w:pPr>
        <w:tabs>
          <w:tab w:val="left" w:pos="3600"/>
          <w:tab w:val="left" w:pos="3960"/>
          <w:tab w:val="left" w:pos="4320"/>
          <w:tab w:val="left" w:pos="4680"/>
          <w:tab w:val="left" w:pos="5040"/>
        </w:tabs>
        <w:contextualSpacing/>
      </w:pPr>
      <w:r>
        <w:tab/>
      </w:r>
      <w:r>
        <w:tab/>
      </w:r>
      <w:r>
        <w:tab/>
      </w:r>
      <w:r>
        <w:tab/>
        <w:t>b)</w:t>
      </w:r>
      <w:r>
        <w:tab/>
        <w:t>33b</w:t>
      </w:r>
    </w:p>
    <w:p w14:paraId="02598BD4" w14:textId="77777777" w:rsidR="0018433B" w:rsidRDefault="0018433B" w:rsidP="0018433B">
      <w:pPr>
        <w:tabs>
          <w:tab w:val="left" w:pos="3600"/>
          <w:tab w:val="left" w:pos="3960"/>
          <w:tab w:val="left" w:pos="4320"/>
          <w:tab w:val="left" w:pos="4680"/>
          <w:tab w:val="left" w:pos="5040"/>
        </w:tabs>
        <w:contextualSpacing/>
      </w:pPr>
      <w:r>
        <w:tab/>
      </w:r>
      <w:r>
        <w:tab/>
      </w:r>
      <w:r>
        <w:tab/>
      </w:r>
      <w:r>
        <w:tab/>
        <w:t>c)</w:t>
      </w:r>
      <w:r>
        <w:tab/>
        <w:t>33c</w:t>
      </w:r>
    </w:p>
    <w:p w14:paraId="4056080D" w14:textId="77777777" w:rsidR="0018433B" w:rsidRDefault="0018433B" w:rsidP="0018433B">
      <w:pPr>
        <w:tabs>
          <w:tab w:val="left" w:pos="3600"/>
          <w:tab w:val="left" w:pos="3960"/>
          <w:tab w:val="left" w:pos="4320"/>
          <w:tab w:val="left" w:pos="4680"/>
          <w:tab w:val="left" w:pos="5040"/>
        </w:tabs>
        <w:contextualSpacing/>
      </w:pPr>
      <w:r>
        <w:tab/>
      </w:r>
      <w:r>
        <w:tab/>
      </w:r>
      <w:r>
        <w:tab/>
        <w:t>3)</w:t>
      </w:r>
      <w:r>
        <w:tab/>
        <w:t>34</w:t>
      </w:r>
    </w:p>
    <w:p w14:paraId="3F7FB1DE" w14:textId="77777777" w:rsidR="0018433B" w:rsidRDefault="0018433B" w:rsidP="0018433B">
      <w:pPr>
        <w:tabs>
          <w:tab w:val="left" w:pos="3600"/>
          <w:tab w:val="left" w:pos="3960"/>
          <w:tab w:val="left" w:pos="4320"/>
          <w:tab w:val="left" w:pos="4680"/>
          <w:tab w:val="left" w:pos="5040"/>
        </w:tabs>
        <w:contextualSpacing/>
      </w:pPr>
      <w:r>
        <w:tab/>
      </w:r>
      <w:r>
        <w:tab/>
      </w:r>
      <w:r>
        <w:tab/>
      </w:r>
      <w:r>
        <w:tab/>
        <w:t>a)</w:t>
      </w:r>
      <w:r>
        <w:tab/>
        <w:t>34a</w:t>
      </w:r>
    </w:p>
    <w:p w14:paraId="20D765A5" w14:textId="77777777" w:rsidR="0018433B" w:rsidRDefault="0018433B" w:rsidP="0018433B">
      <w:pPr>
        <w:tabs>
          <w:tab w:val="left" w:pos="3600"/>
          <w:tab w:val="left" w:pos="3960"/>
          <w:tab w:val="left" w:pos="4320"/>
          <w:tab w:val="left" w:pos="4680"/>
          <w:tab w:val="left" w:pos="5040"/>
        </w:tabs>
        <w:contextualSpacing/>
      </w:pPr>
      <w:r>
        <w:tab/>
      </w:r>
      <w:r>
        <w:tab/>
      </w:r>
      <w:r>
        <w:tab/>
      </w:r>
      <w:r>
        <w:tab/>
        <w:t>b)</w:t>
      </w:r>
      <w:r>
        <w:tab/>
        <w:t>34b</w:t>
      </w:r>
    </w:p>
    <w:p w14:paraId="0263362C" w14:textId="77777777" w:rsidR="0018433B" w:rsidRDefault="0018433B" w:rsidP="0018433B">
      <w:pPr>
        <w:tabs>
          <w:tab w:val="left" w:pos="3600"/>
          <w:tab w:val="left" w:pos="3960"/>
          <w:tab w:val="left" w:pos="4320"/>
          <w:tab w:val="left" w:pos="4680"/>
          <w:tab w:val="left" w:pos="5040"/>
        </w:tabs>
        <w:contextualSpacing/>
      </w:pPr>
      <w:r>
        <w:tab/>
      </w:r>
      <w:r>
        <w:tab/>
      </w:r>
      <w:r>
        <w:tab/>
      </w:r>
      <w:r>
        <w:tab/>
        <w:t>c)</w:t>
      </w:r>
      <w:r>
        <w:tab/>
        <w:t>34c</w:t>
      </w:r>
    </w:p>
    <w:p w14:paraId="3321F78C" w14:textId="77777777" w:rsidR="0018433B" w:rsidRDefault="0018433B" w:rsidP="0018433B">
      <w:pPr>
        <w:pStyle w:val="Style"/>
        <w:tabs>
          <w:tab w:val="left" w:pos="3600"/>
          <w:tab w:val="left" w:pos="3960"/>
          <w:tab w:val="left" w:pos="4320"/>
          <w:tab w:val="left" w:pos="4680"/>
          <w:tab w:val="left" w:pos="5040"/>
        </w:tabs>
        <w:textAlignment w:val="baseline"/>
        <w:rPr>
          <w:szCs w:val="25"/>
        </w:rPr>
      </w:pPr>
      <w:r>
        <w:rPr>
          <w:szCs w:val="25"/>
        </w:rPr>
        <w:tab/>
      </w:r>
      <w:r>
        <w:rPr>
          <w:szCs w:val="25"/>
        </w:rPr>
        <w:tab/>
      </w:r>
      <w:r>
        <w:rPr>
          <w:szCs w:val="25"/>
        </w:rPr>
        <w:tab/>
        <w:t>2)</w:t>
      </w:r>
      <w:r>
        <w:rPr>
          <w:szCs w:val="25"/>
        </w:rPr>
        <w:tab/>
        <w:t>35abc</w:t>
      </w:r>
    </w:p>
    <w:p w14:paraId="39228D3B" w14:textId="77777777" w:rsidR="0018433B" w:rsidRDefault="0018433B" w:rsidP="0018433B">
      <w:pPr>
        <w:pStyle w:val="Style"/>
        <w:tabs>
          <w:tab w:val="left" w:pos="3600"/>
          <w:tab w:val="left" w:pos="3960"/>
          <w:tab w:val="left" w:pos="4320"/>
          <w:tab w:val="left" w:pos="4680"/>
          <w:tab w:val="left" w:pos="5040"/>
        </w:tabs>
        <w:textAlignment w:val="baseline"/>
        <w:rPr>
          <w:szCs w:val="25"/>
        </w:rPr>
      </w:pPr>
      <w:r>
        <w:rPr>
          <w:szCs w:val="25"/>
        </w:rPr>
        <w:tab/>
      </w:r>
      <w:r>
        <w:rPr>
          <w:szCs w:val="25"/>
        </w:rPr>
        <w:tab/>
        <w:t>b.</w:t>
      </w:r>
      <w:r>
        <w:rPr>
          <w:szCs w:val="25"/>
        </w:rPr>
        <w:tab/>
        <w:t>35d-36</w:t>
      </w:r>
    </w:p>
    <w:p w14:paraId="7D90D2F7" w14:textId="77777777" w:rsidR="0018433B" w:rsidRDefault="0018433B" w:rsidP="0018433B">
      <w:pPr>
        <w:pStyle w:val="Style"/>
        <w:tabs>
          <w:tab w:val="left" w:pos="3600"/>
          <w:tab w:val="left" w:pos="3960"/>
          <w:tab w:val="left" w:pos="4320"/>
          <w:tab w:val="left" w:pos="4680"/>
          <w:tab w:val="left" w:pos="5040"/>
        </w:tabs>
        <w:textAlignment w:val="baseline"/>
        <w:rPr>
          <w:szCs w:val="25"/>
        </w:rPr>
      </w:pPr>
      <w:r>
        <w:rPr>
          <w:szCs w:val="25"/>
        </w:rPr>
        <w:tab/>
      </w:r>
      <w:r>
        <w:rPr>
          <w:szCs w:val="25"/>
        </w:rPr>
        <w:tab/>
      </w:r>
      <w:r>
        <w:rPr>
          <w:szCs w:val="25"/>
        </w:rPr>
        <w:tab/>
        <w:t>1)</w:t>
      </w:r>
      <w:r>
        <w:rPr>
          <w:szCs w:val="25"/>
        </w:rPr>
        <w:tab/>
        <w:t>35def</w:t>
      </w:r>
    </w:p>
    <w:p w14:paraId="37FA5953" w14:textId="77777777" w:rsidR="0018433B" w:rsidRDefault="0018433B" w:rsidP="0018433B">
      <w:pPr>
        <w:pStyle w:val="Style"/>
        <w:tabs>
          <w:tab w:val="left" w:pos="3600"/>
          <w:tab w:val="left" w:pos="3960"/>
          <w:tab w:val="left" w:pos="4320"/>
          <w:tab w:val="left" w:pos="4680"/>
          <w:tab w:val="left" w:pos="5040"/>
        </w:tabs>
        <w:textAlignment w:val="baseline"/>
        <w:rPr>
          <w:szCs w:val="25"/>
        </w:rPr>
      </w:pPr>
      <w:r>
        <w:rPr>
          <w:szCs w:val="25"/>
        </w:rPr>
        <w:tab/>
      </w:r>
      <w:r>
        <w:rPr>
          <w:szCs w:val="25"/>
        </w:rPr>
        <w:tab/>
      </w:r>
      <w:r>
        <w:rPr>
          <w:szCs w:val="25"/>
        </w:rPr>
        <w:tab/>
        <w:t>2)</w:t>
      </w:r>
      <w:r>
        <w:rPr>
          <w:szCs w:val="25"/>
        </w:rPr>
        <w:tab/>
        <w:t>36</w:t>
      </w:r>
    </w:p>
    <w:p w14:paraId="1A4187EB" w14:textId="77777777" w:rsidR="0018433B" w:rsidRPr="006A51BA" w:rsidRDefault="0018433B" w:rsidP="0018433B">
      <w:pPr>
        <w:pStyle w:val="Style"/>
        <w:widowControl/>
        <w:jc w:val="both"/>
        <w:textAlignment w:val="baseline"/>
        <w:rPr>
          <w:szCs w:val="25"/>
        </w:rPr>
      </w:pPr>
    </w:p>
    <w:p w14:paraId="5F07EFC7" w14:textId="77777777" w:rsidR="0018433B" w:rsidRPr="00DE59BF" w:rsidRDefault="0018433B" w:rsidP="0018433B">
      <w:pPr>
        <w:pStyle w:val="Style"/>
        <w:widowControl/>
        <w:jc w:val="both"/>
        <w:textAlignment w:val="baseline"/>
        <w:rPr>
          <w:szCs w:val="23"/>
        </w:rPr>
      </w:pPr>
      <w:r>
        <w:rPr>
          <w:szCs w:val="23"/>
        </w:rPr>
        <w:tab/>
      </w:r>
      <w:r w:rsidRPr="00DE59BF">
        <w:rPr>
          <w:b/>
          <w:szCs w:val="23"/>
        </w:rPr>
        <w:t>Luke 6</w:t>
      </w:r>
      <w:r w:rsidRPr="006A51BA">
        <w:rPr>
          <w:szCs w:val="23"/>
        </w:rPr>
        <w:t>:</w:t>
      </w:r>
      <w:r w:rsidRPr="00DE59BF">
        <w:rPr>
          <w:b/>
          <w:szCs w:val="23"/>
        </w:rPr>
        <w:t>39a</w:t>
      </w:r>
      <w:r w:rsidRPr="006A51BA">
        <w:rPr>
          <w:szCs w:val="23"/>
        </w:rPr>
        <w:t xml:space="preserve">. </w:t>
      </w:r>
      <w:r w:rsidRPr="006A51BA">
        <w:rPr>
          <w:szCs w:val="25"/>
        </w:rPr>
        <w:t xml:space="preserve">The </w:t>
      </w:r>
      <w:r>
        <w:rPr>
          <w:szCs w:val="25"/>
        </w:rPr>
        <w:t>t</w:t>
      </w:r>
      <w:r w:rsidRPr="006A51BA">
        <w:rPr>
          <w:szCs w:val="25"/>
        </w:rPr>
        <w:t>ext reads:</w:t>
      </w:r>
    </w:p>
    <w:p w14:paraId="4E8681FB" w14:textId="77777777" w:rsidR="0018433B" w:rsidRDefault="0018433B" w:rsidP="0018433B">
      <w:pPr>
        <w:pStyle w:val="Style"/>
        <w:widowControl/>
        <w:jc w:val="both"/>
      </w:pPr>
    </w:p>
    <w:p w14:paraId="1935481D" w14:textId="77777777" w:rsidR="0018433B" w:rsidRPr="00DE59BF" w:rsidRDefault="0018433B" w:rsidP="0018433B">
      <w:pPr>
        <w:pStyle w:val="Style"/>
        <w:widowControl/>
        <w:ind w:left="720"/>
        <w:jc w:val="both"/>
      </w:pPr>
      <w:r>
        <w:t>39a</w:t>
      </w:r>
      <w:r>
        <w:tab/>
      </w:r>
      <w:r w:rsidRPr="00CE06CA">
        <w:rPr>
          <w:bCs/>
          <w:szCs w:val="22"/>
          <w:lang w:val="el-GR"/>
        </w:rPr>
        <w:t>Εἶπεν δὲ καὶ παραβολὴν αὐτοῖς·</w:t>
      </w:r>
      <w:r>
        <w:rPr>
          <w:bCs/>
          <w:szCs w:val="22"/>
        </w:rPr>
        <w:t xml:space="preserve"> . . .</w:t>
      </w:r>
    </w:p>
    <w:p w14:paraId="2C1C306A" w14:textId="77777777" w:rsidR="0018433B" w:rsidRDefault="0018433B" w:rsidP="0018433B">
      <w:pPr>
        <w:pStyle w:val="Style"/>
        <w:widowControl/>
        <w:jc w:val="both"/>
      </w:pPr>
    </w:p>
    <w:p w14:paraId="507A2EF8" w14:textId="77777777" w:rsidR="0018433B" w:rsidRPr="006A51BA" w:rsidRDefault="0018433B" w:rsidP="0018433B">
      <w:pPr>
        <w:pStyle w:val="Style"/>
        <w:widowControl/>
        <w:ind w:left="720"/>
        <w:jc w:val="both"/>
      </w:pPr>
      <w:r>
        <w:lastRenderedPageBreak/>
        <w:t>39a</w:t>
      </w:r>
      <w:r>
        <w:tab/>
        <w:t>“He also told them a parable: . . .”</w:t>
      </w:r>
    </w:p>
    <w:p w14:paraId="7A68BF79" w14:textId="77777777" w:rsidR="0018433B" w:rsidRPr="006A51BA" w:rsidRDefault="0018433B" w:rsidP="0018433B">
      <w:pPr>
        <w:pStyle w:val="Style"/>
        <w:widowControl/>
        <w:jc w:val="both"/>
        <w:textAlignment w:val="baseline"/>
        <w:rPr>
          <w:szCs w:val="25"/>
        </w:rPr>
      </w:pPr>
    </w:p>
    <w:p w14:paraId="1F868DEE" w14:textId="7BD04702" w:rsidR="0018433B" w:rsidRPr="006A51BA" w:rsidRDefault="0018433B" w:rsidP="0018433B">
      <w:pPr>
        <w:pStyle w:val="Style"/>
        <w:widowControl/>
        <w:jc w:val="both"/>
        <w:textAlignment w:val="baseline"/>
        <w:rPr>
          <w:szCs w:val="25"/>
        </w:rPr>
      </w:pPr>
      <w:r>
        <w:rPr>
          <w:szCs w:val="25"/>
        </w:rPr>
        <w:tab/>
      </w:r>
      <w:r w:rsidRPr="006A51BA">
        <w:rPr>
          <w:szCs w:val="25"/>
        </w:rPr>
        <w:t xml:space="preserve">This half-verse </w:t>
      </w:r>
      <w:r w:rsidRPr="006A51BA">
        <w:rPr>
          <w:szCs w:val="23"/>
        </w:rPr>
        <w:t xml:space="preserve">is </w:t>
      </w:r>
      <w:r w:rsidRPr="006A51BA">
        <w:rPr>
          <w:szCs w:val="25"/>
        </w:rPr>
        <w:t>unique in the sermon insofar as it is the only editorial comment which the narrator of the gospel makes during Jesus’ speech in 6:20b-49. It is not</w:t>
      </w:r>
      <w:r w:rsidR="006F304D" w:rsidRPr="006F304D">
        <w:rPr>
          <w:szCs w:val="25"/>
        </w:rPr>
        <w:t xml:space="preserve">, </w:t>
      </w:r>
      <w:r w:rsidRPr="006A51BA">
        <w:rPr>
          <w:szCs w:val="25"/>
        </w:rPr>
        <w:t>however</w:t>
      </w:r>
      <w:r w:rsidR="006F304D" w:rsidRPr="006F304D">
        <w:rPr>
          <w:szCs w:val="25"/>
        </w:rPr>
        <w:t xml:space="preserve">, </w:t>
      </w:r>
      <w:r w:rsidRPr="006A51BA">
        <w:rPr>
          <w:szCs w:val="25"/>
        </w:rPr>
        <w:t>the only editorial comment in the sermon; for verse 20a (“And he lifted up his eyes on his disciples</w:t>
      </w:r>
      <w:r w:rsidR="006F304D" w:rsidRPr="006F304D">
        <w:rPr>
          <w:szCs w:val="25"/>
        </w:rPr>
        <w:t xml:space="preserve">, </w:t>
      </w:r>
      <w:r w:rsidRPr="006A51BA">
        <w:rPr>
          <w:szCs w:val="25"/>
        </w:rPr>
        <w:t>an</w:t>
      </w:r>
      <w:r>
        <w:rPr>
          <w:szCs w:val="25"/>
        </w:rPr>
        <w:t>d said .. .”)</w:t>
      </w:r>
      <w:r w:rsidR="006F304D" w:rsidRPr="006F304D">
        <w:rPr>
          <w:szCs w:val="25"/>
        </w:rPr>
        <w:t xml:space="preserve">, </w:t>
      </w:r>
      <w:r>
        <w:rPr>
          <w:szCs w:val="25"/>
        </w:rPr>
        <w:t>as we have seen</w:t>
      </w:r>
      <w:r w:rsidR="006F304D" w:rsidRPr="006F304D">
        <w:rPr>
          <w:szCs w:val="25"/>
        </w:rPr>
        <w:t xml:space="preserve">, </w:t>
      </w:r>
      <w:r w:rsidRPr="006A51BA">
        <w:rPr>
          <w:szCs w:val="25"/>
        </w:rPr>
        <w:t xml:space="preserve">should be considered a part of the pericope in Luke that is entitled </w:t>
      </w:r>
      <w:r>
        <w:rPr>
          <w:szCs w:val="25"/>
        </w:rPr>
        <w:t>“</w:t>
      </w:r>
      <w:r w:rsidRPr="006A51BA">
        <w:rPr>
          <w:szCs w:val="25"/>
        </w:rPr>
        <w:t>the sermon on the plain.”</w:t>
      </w:r>
    </w:p>
    <w:p w14:paraId="07FF9870" w14:textId="2D24CF2D" w:rsidR="0018433B" w:rsidRPr="0092493E" w:rsidRDefault="0018433B" w:rsidP="0018433B">
      <w:pPr>
        <w:pStyle w:val="Style"/>
        <w:widowControl/>
        <w:jc w:val="both"/>
        <w:textAlignment w:val="baseline"/>
        <w:rPr>
          <w:szCs w:val="25"/>
        </w:rPr>
      </w:pPr>
      <w:r>
        <w:rPr>
          <w:szCs w:val="25"/>
        </w:rPr>
        <w:tab/>
      </w:r>
      <w:r w:rsidRPr="006A51BA">
        <w:rPr>
          <w:szCs w:val="25"/>
        </w:rPr>
        <w:t>Now</w:t>
      </w:r>
      <w:r w:rsidR="006F304D" w:rsidRPr="006F304D">
        <w:rPr>
          <w:szCs w:val="25"/>
        </w:rPr>
        <w:t xml:space="preserve">, </w:t>
      </w:r>
      <w:r w:rsidRPr="006A51BA">
        <w:rPr>
          <w:szCs w:val="25"/>
        </w:rPr>
        <w:t>the relation between verses 20a and 39a is one of the most significant considerations to be made in attempting to determine where the divisions between the major sections of the sermon lie. But we have already treated 39a fully in a previous chapter</w:t>
      </w:r>
      <w:r>
        <w:rPr>
          <w:szCs w:val="25"/>
        </w:rPr>
        <w:t xml:space="preserve"> (see chapter 6)</w:t>
      </w:r>
      <w:r w:rsidRPr="006A51BA">
        <w:rPr>
          <w:szCs w:val="25"/>
        </w:rPr>
        <w:t>. We may summarize that discussion by noting that</w:t>
      </w:r>
      <w:r w:rsidR="006F304D" w:rsidRPr="006F304D">
        <w:rPr>
          <w:szCs w:val="25"/>
        </w:rPr>
        <w:t xml:space="preserve">, </w:t>
      </w:r>
      <w:r w:rsidRPr="006A51BA">
        <w:rPr>
          <w:szCs w:val="25"/>
        </w:rPr>
        <w:t xml:space="preserve">though 39a is so distinct in </w:t>
      </w:r>
      <w:r w:rsidRPr="006A51BA">
        <w:rPr>
          <w:i/>
          <w:iCs/>
        </w:rPr>
        <w:t>form</w:t>
      </w:r>
      <w:r w:rsidRPr="0092493E">
        <w:rPr>
          <w:iCs/>
        </w:rPr>
        <w:t xml:space="preserve"> </w:t>
      </w:r>
      <w:r w:rsidRPr="006A51BA">
        <w:rPr>
          <w:szCs w:val="25"/>
        </w:rPr>
        <w:t>from the verses that precede and follow it that it must be dis</w:t>
      </w:r>
      <w:r w:rsidRPr="006A51BA">
        <w:rPr>
          <w:szCs w:val="25"/>
        </w:rPr>
        <w:softHyphen/>
        <w:t>tinguished from them</w:t>
      </w:r>
      <w:r w:rsidR="006F304D" w:rsidRPr="006F304D">
        <w:rPr>
          <w:szCs w:val="25"/>
        </w:rPr>
        <w:t xml:space="preserve">, </w:t>
      </w:r>
      <w:r w:rsidRPr="006A51BA">
        <w:rPr>
          <w:szCs w:val="25"/>
        </w:rPr>
        <w:t>it does not mark a major transition in the sermon: 39a is</w:t>
      </w:r>
      <w:r>
        <w:rPr>
          <w:szCs w:val="25"/>
        </w:rPr>
        <w:t xml:space="preserve"> </w:t>
      </w:r>
      <w:r w:rsidRPr="006A51BA">
        <w:rPr>
          <w:szCs w:val="25"/>
        </w:rPr>
        <w:t>introductory only to 39bc or 39-40.</w:t>
      </w:r>
    </w:p>
    <w:p w14:paraId="7387C445" w14:textId="77777777" w:rsidR="0018433B" w:rsidRDefault="0018433B" w:rsidP="0018433B">
      <w:pPr>
        <w:pStyle w:val="Style"/>
        <w:widowControl/>
        <w:jc w:val="both"/>
        <w:textAlignment w:val="baseline"/>
      </w:pPr>
    </w:p>
    <w:p w14:paraId="3A818520" w14:textId="77777777" w:rsidR="0018433B" w:rsidRPr="0092493E" w:rsidRDefault="0018433B" w:rsidP="0018433B">
      <w:pPr>
        <w:pStyle w:val="Style"/>
        <w:widowControl/>
        <w:jc w:val="both"/>
        <w:textAlignment w:val="baseline"/>
      </w:pPr>
      <w:r>
        <w:tab/>
      </w:r>
      <w:r w:rsidRPr="0092493E">
        <w:rPr>
          <w:b/>
        </w:rPr>
        <w:t>Luke 6</w:t>
      </w:r>
      <w:r w:rsidRPr="006A51BA">
        <w:t>:</w:t>
      </w:r>
      <w:r w:rsidRPr="0092493E">
        <w:rPr>
          <w:b/>
        </w:rPr>
        <w:t>45</w:t>
      </w:r>
      <w:r w:rsidRPr="006A51BA">
        <w:t xml:space="preserve">. </w:t>
      </w:r>
      <w:r w:rsidRPr="006A51BA">
        <w:rPr>
          <w:szCs w:val="25"/>
        </w:rPr>
        <w:t>This verse reads:</w:t>
      </w:r>
    </w:p>
    <w:p w14:paraId="15DCF26C" w14:textId="77777777" w:rsidR="0018433B" w:rsidRDefault="0018433B" w:rsidP="0018433B">
      <w:pPr>
        <w:pStyle w:val="Style"/>
        <w:widowControl/>
        <w:jc w:val="both"/>
        <w:textAlignment w:val="baseline"/>
        <w:rPr>
          <w:szCs w:val="25"/>
        </w:rPr>
      </w:pPr>
    </w:p>
    <w:p w14:paraId="584CCBE2" w14:textId="77777777" w:rsidR="0018433B" w:rsidRPr="006A51BA" w:rsidRDefault="0018433B" w:rsidP="0018433B">
      <w:pPr>
        <w:pStyle w:val="Style"/>
        <w:widowControl/>
        <w:ind w:left="1440" w:hanging="720"/>
        <w:jc w:val="both"/>
        <w:textAlignment w:val="baseline"/>
        <w:rPr>
          <w:szCs w:val="25"/>
        </w:rPr>
      </w:pPr>
      <w:r w:rsidRPr="006A51BA">
        <w:rPr>
          <w:szCs w:val="25"/>
        </w:rPr>
        <w:t>45a</w:t>
      </w:r>
      <w:r>
        <w:rPr>
          <w:szCs w:val="25"/>
        </w:rPr>
        <w:tab/>
      </w:r>
      <w:r w:rsidRPr="00CE06CA">
        <w:rPr>
          <w:bCs/>
          <w:szCs w:val="22"/>
          <w:lang w:val="el-GR"/>
        </w:rPr>
        <w:t>ὁ ἀγαθὸς ἄνθρωπος ἐκ τοῦ ἀγαθοῦ θησαυροῦ τῆς καρδίας προφέρει τὸ ἀγαθόν,</w:t>
      </w:r>
    </w:p>
    <w:p w14:paraId="15369537" w14:textId="77777777" w:rsidR="0018433B" w:rsidRDefault="0018433B" w:rsidP="0018433B">
      <w:pPr>
        <w:pStyle w:val="Style"/>
        <w:widowControl/>
        <w:ind w:left="1440" w:hanging="720"/>
        <w:jc w:val="both"/>
        <w:textAlignment w:val="baseline"/>
        <w:rPr>
          <w:rFonts w:eastAsia="Arial"/>
          <w:szCs w:val="23"/>
        </w:rPr>
      </w:pPr>
      <w:r w:rsidRPr="006A51BA">
        <w:rPr>
          <w:szCs w:val="25"/>
        </w:rPr>
        <w:t>45b</w:t>
      </w:r>
      <w:r>
        <w:rPr>
          <w:rFonts w:eastAsia="Arial"/>
          <w:szCs w:val="23"/>
        </w:rPr>
        <w:tab/>
      </w:r>
      <w:r w:rsidRPr="00CE06CA">
        <w:rPr>
          <w:bCs/>
          <w:szCs w:val="22"/>
          <w:lang w:val="el-GR"/>
        </w:rPr>
        <w:t>καὶ ὁ πονηρὸς ἐκ τοῦ πονηροῦ προφέρει τὸ πονηρόν·</w:t>
      </w:r>
    </w:p>
    <w:p w14:paraId="6A0718F9" w14:textId="77777777" w:rsidR="0018433B" w:rsidRPr="006A51BA" w:rsidRDefault="0018433B" w:rsidP="0018433B">
      <w:pPr>
        <w:pStyle w:val="Style"/>
        <w:widowControl/>
        <w:ind w:left="1440" w:hanging="720"/>
        <w:jc w:val="both"/>
        <w:textAlignment w:val="baseline"/>
        <w:rPr>
          <w:szCs w:val="25"/>
        </w:rPr>
      </w:pPr>
      <w:r w:rsidRPr="006A51BA">
        <w:rPr>
          <w:szCs w:val="25"/>
        </w:rPr>
        <w:t>45c</w:t>
      </w:r>
      <w:r>
        <w:rPr>
          <w:szCs w:val="25"/>
        </w:rPr>
        <w:tab/>
      </w:r>
      <w:r w:rsidRPr="00CE06CA">
        <w:rPr>
          <w:bCs/>
          <w:szCs w:val="22"/>
          <w:lang w:val="el-GR"/>
        </w:rPr>
        <w:t>ἐκ γὰρ περισσεύματος καρδίας λαλεῖ τὸ στόμα αὐτοῦ.</w:t>
      </w:r>
    </w:p>
    <w:p w14:paraId="2D55F8ED" w14:textId="77777777" w:rsidR="0018433B" w:rsidRDefault="0018433B" w:rsidP="0018433B">
      <w:pPr>
        <w:pStyle w:val="Style"/>
        <w:widowControl/>
        <w:jc w:val="both"/>
        <w:textAlignment w:val="baseline"/>
        <w:rPr>
          <w:szCs w:val="25"/>
        </w:rPr>
      </w:pPr>
    </w:p>
    <w:p w14:paraId="563B6839" w14:textId="77777777" w:rsidR="0018433B" w:rsidRPr="006A51BA" w:rsidRDefault="0018433B" w:rsidP="0018433B">
      <w:pPr>
        <w:pStyle w:val="Style"/>
        <w:widowControl/>
        <w:ind w:left="1440" w:hanging="720"/>
        <w:jc w:val="both"/>
        <w:textAlignment w:val="baseline"/>
        <w:rPr>
          <w:szCs w:val="25"/>
        </w:rPr>
      </w:pPr>
      <w:r w:rsidRPr="006A51BA">
        <w:rPr>
          <w:szCs w:val="25"/>
        </w:rPr>
        <w:t>45a</w:t>
      </w:r>
      <w:r>
        <w:rPr>
          <w:szCs w:val="25"/>
        </w:rPr>
        <w:tab/>
      </w:r>
      <w:r w:rsidRPr="00CD75A6">
        <w:t>The good person out of the good treasure of the heart</w:t>
      </w:r>
      <w:r>
        <w:t xml:space="preserve"> </w:t>
      </w:r>
      <w:r w:rsidRPr="00CD75A6">
        <w:t>produces good,</w:t>
      </w:r>
    </w:p>
    <w:p w14:paraId="401A4187" w14:textId="77777777" w:rsidR="0018433B" w:rsidRDefault="0018433B" w:rsidP="0018433B">
      <w:pPr>
        <w:pStyle w:val="Style"/>
        <w:widowControl/>
        <w:ind w:left="1440" w:hanging="720"/>
        <w:jc w:val="both"/>
        <w:textAlignment w:val="baseline"/>
        <w:rPr>
          <w:rFonts w:eastAsia="Arial"/>
          <w:szCs w:val="23"/>
        </w:rPr>
      </w:pPr>
      <w:r w:rsidRPr="006A51BA">
        <w:rPr>
          <w:szCs w:val="25"/>
        </w:rPr>
        <w:t>45b</w:t>
      </w:r>
      <w:r>
        <w:rPr>
          <w:rFonts w:eastAsia="Arial"/>
          <w:szCs w:val="23"/>
        </w:rPr>
        <w:tab/>
      </w:r>
      <w:r w:rsidRPr="00CD75A6">
        <w:t>and the evil person out of evil treasure produces evil;</w:t>
      </w:r>
    </w:p>
    <w:p w14:paraId="4A50A452" w14:textId="77777777" w:rsidR="0018433B" w:rsidRPr="006A51BA" w:rsidRDefault="0018433B" w:rsidP="0018433B">
      <w:pPr>
        <w:pStyle w:val="Style"/>
        <w:widowControl/>
        <w:ind w:left="1440" w:hanging="720"/>
        <w:jc w:val="both"/>
        <w:textAlignment w:val="baseline"/>
        <w:rPr>
          <w:szCs w:val="25"/>
        </w:rPr>
      </w:pPr>
      <w:r w:rsidRPr="006A51BA">
        <w:rPr>
          <w:szCs w:val="25"/>
        </w:rPr>
        <w:t>45c</w:t>
      </w:r>
      <w:r>
        <w:rPr>
          <w:szCs w:val="25"/>
        </w:rPr>
        <w:tab/>
      </w:r>
      <w:r w:rsidRPr="00CD75A6">
        <w:t>for it is out of the abundance of the heart that the mouth</w:t>
      </w:r>
      <w:r>
        <w:t xml:space="preserve"> </w:t>
      </w:r>
      <w:r w:rsidRPr="00CD75A6">
        <w:t>speaks.</w:t>
      </w:r>
    </w:p>
    <w:p w14:paraId="12BCB42F" w14:textId="77777777" w:rsidR="0018433B" w:rsidRDefault="0018433B" w:rsidP="0018433B">
      <w:pPr>
        <w:pStyle w:val="Style"/>
        <w:widowControl/>
        <w:jc w:val="both"/>
        <w:textAlignment w:val="baseline"/>
        <w:rPr>
          <w:szCs w:val="25"/>
        </w:rPr>
      </w:pPr>
    </w:p>
    <w:p w14:paraId="6C59331B" w14:textId="71375F6B" w:rsidR="0018433B" w:rsidRPr="006A51BA" w:rsidRDefault="0018433B" w:rsidP="0018433B">
      <w:pPr>
        <w:pStyle w:val="Style"/>
        <w:widowControl/>
        <w:jc w:val="both"/>
        <w:textAlignment w:val="baseline"/>
        <w:rPr>
          <w:szCs w:val="25"/>
        </w:rPr>
      </w:pPr>
      <w:r>
        <w:rPr>
          <w:szCs w:val="25"/>
        </w:rPr>
        <w:tab/>
      </w:r>
      <w:r w:rsidRPr="006A51BA">
        <w:rPr>
          <w:szCs w:val="25"/>
        </w:rPr>
        <w:t>The verses prior to 45 (verses 43-44</w:t>
      </w:r>
      <w:r w:rsidRPr="006A51BA">
        <w:rPr>
          <w:szCs w:val="21"/>
        </w:rPr>
        <w:t xml:space="preserve">) </w:t>
      </w:r>
      <w:r w:rsidRPr="006A51BA">
        <w:rPr>
          <w:szCs w:val="25"/>
        </w:rPr>
        <w:t>are concerned with the fact that a tree is known by its fruit. There is no mention in 45 of tree or fruit</w:t>
      </w:r>
      <w:r w:rsidR="006F304D" w:rsidRPr="006F304D">
        <w:rPr>
          <w:szCs w:val="25"/>
        </w:rPr>
        <w:t xml:space="preserve">, </w:t>
      </w:r>
      <w:r w:rsidRPr="006A51BA">
        <w:rPr>
          <w:szCs w:val="25"/>
        </w:rPr>
        <w:t xml:space="preserve">but 43-44 are not themselves really concerned with vegetation: they </w:t>
      </w:r>
      <w:r>
        <w:rPr>
          <w:szCs w:val="25"/>
        </w:rPr>
        <w:t xml:space="preserve">contain </w:t>
      </w:r>
      <w:r w:rsidRPr="006A51BA">
        <w:rPr>
          <w:szCs w:val="25"/>
        </w:rPr>
        <w:t xml:space="preserve">a submerged metaphor </w:t>
      </w:r>
      <w:r w:rsidRPr="004C516D">
        <w:rPr>
          <w:szCs w:val="25"/>
        </w:rPr>
        <w:t>(</w:t>
      </w:r>
      <w:r w:rsidRPr="006A51BA">
        <w:rPr>
          <w:szCs w:val="25"/>
        </w:rPr>
        <w:t xml:space="preserve">submerged because the literal half is suppressed) whose real subject is the relation between moral conduct and moral nature. And that same subject is to be found in verse 45. It </w:t>
      </w:r>
      <w:r w:rsidRPr="006A51BA">
        <w:rPr>
          <w:szCs w:val="23"/>
        </w:rPr>
        <w:t xml:space="preserve">is </w:t>
      </w:r>
      <w:r w:rsidRPr="006A51BA">
        <w:rPr>
          <w:szCs w:val="25"/>
        </w:rPr>
        <w:t>true that verse 45 introduces its own metaphor (heart as trea</w:t>
      </w:r>
      <w:r w:rsidRPr="006A51BA">
        <w:rPr>
          <w:szCs w:val="25"/>
        </w:rPr>
        <w:softHyphen/>
        <w:t>sure)</w:t>
      </w:r>
      <w:r w:rsidR="006F304D" w:rsidRPr="006F304D">
        <w:rPr>
          <w:szCs w:val="25"/>
        </w:rPr>
        <w:t xml:space="preserve">, </w:t>
      </w:r>
      <w:r w:rsidRPr="006A51BA">
        <w:rPr>
          <w:szCs w:val="25"/>
        </w:rPr>
        <w:t>but that metaphor is not essential to the vers</w:t>
      </w:r>
      <w:r>
        <w:rPr>
          <w:szCs w:val="25"/>
        </w:rPr>
        <w:t>e. Unlike tree and fruit in 43-</w:t>
      </w:r>
      <w:r w:rsidRPr="006A51BA">
        <w:rPr>
          <w:szCs w:val="25"/>
        </w:rPr>
        <w:t>44</w:t>
      </w:r>
      <w:r w:rsidR="006F304D" w:rsidRPr="006F304D">
        <w:rPr>
          <w:szCs w:val="25"/>
        </w:rPr>
        <w:t xml:space="preserve">, </w:t>
      </w:r>
      <w:r w:rsidRPr="006A51BA">
        <w:rPr>
          <w:szCs w:val="25"/>
        </w:rPr>
        <w:t xml:space="preserve">the heart as treasure is not the subject of 45; it is merely </w:t>
      </w:r>
      <w:r>
        <w:rPr>
          <w:szCs w:val="25"/>
        </w:rPr>
        <w:t xml:space="preserve">a </w:t>
      </w:r>
      <w:r w:rsidRPr="006A51BA">
        <w:rPr>
          <w:szCs w:val="25"/>
        </w:rPr>
        <w:t xml:space="preserve">decorative metaphor and can be plucked from the sentence without damaging its </w:t>
      </w:r>
      <w:r>
        <w:rPr>
          <w:szCs w:val="25"/>
        </w:rPr>
        <w:t xml:space="preserve">essential </w:t>
      </w:r>
      <w:r w:rsidRPr="006A51BA">
        <w:rPr>
          <w:szCs w:val="25"/>
        </w:rPr>
        <w:t>meaning. What is important is the fact that 45 shares with 43-44</w:t>
      </w:r>
      <w:r w:rsidR="006F304D" w:rsidRPr="006F304D">
        <w:rPr>
          <w:szCs w:val="25"/>
        </w:rPr>
        <w:t xml:space="preserve">, </w:t>
      </w:r>
      <w:r w:rsidRPr="006A51BA">
        <w:rPr>
          <w:szCs w:val="25"/>
        </w:rPr>
        <w:t>not just the idea of “produc</w:t>
      </w:r>
      <w:r w:rsidRPr="006A51BA">
        <w:rPr>
          <w:szCs w:val="25"/>
        </w:rPr>
        <w:softHyphen/>
        <w:t>tion” (the difference in verbs</w:t>
      </w:r>
      <w:r w:rsidR="006F304D" w:rsidRPr="006F304D">
        <w:rPr>
          <w:szCs w:val="25"/>
        </w:rPr>
        <w:t xml:space="preserve">, </w:t>
      </w:r>
      <w:r>
        <w:rPr>
          <w:szCs w:val="25"/>
        </w:rPr>
        <w:t>π</w:t>
      </w:r>
      <w:proofErr w:type="spellStart"/>
      <w:r>
        <w:rPr>
          <w:szCs w:val="25"/>
        </w:rPr>
        <w:t>οιέω</w:t>
      </w:r>
      <w:proofErr w:type="spellEnd"/>
      <w:r>
        <w:rPr>
          <w:szCs w:val="25"/>
        </w:rPr>
        <w:t xml:space="preserve"> </w:t>
      </w:r>
      <w:r w:rsidRPr="006A51BA">
        <w:rPr>
          <w:szCs w:val="25"/>
        </w:rPr>
        <w:t>[in p</w:t>
      </w:r>
      <w:r>
        <w:rPr>
          <w:szCs w:val="25"/>
        </w:rPr>
        <w:t>e</w:t>
      </w:r>
      <w:r w:rsidRPr="006A51BA">
        <w:rPr>
          <w:szCs w:val="25"/>
        </w:rPr>
        <w:t>r</w:t>
      </w:r>
      <w:r>
        <w:rPr>
          <w:szCs w:val="25"/>
        </w:rPr>
        <w:t>i</w:t>
      </w:r>
      <w:r w:rsidRPr="006A51BA">
        <w:rPr>
          <w:szCs w:val="25"/>
        </w:rPr>
        <w:t>phrasis</w:t>
      </w:r>
      <w:r>
        <w:rPr>
          <w:szCs w:val="25"/>
        </w:rPr>
        <w:t xml:space="preserve">: </w:t>
      </w:r>
      <w:r w:rsidRPr="00CE06CA">
        <w:rPr>
          <w:bCs/>
          <w:szCs w:val="22"/>
          <w:lang w:val="el-GR"/>
        </w:rPr>
        <w:t>ἐστιν</w:t>
      </w:r>
      <w:r>
        <w:rPr>
          <w:bCs/>
          <w:szCs w:val="22"/>
        </w:rPr>
        <w:t xml:space="preserve"> . . . </w:t>
      </w:r>
      <w:r w:rsidRPr="00CE06CA">
        <w:rPr>
          <w:bCs/>
          <w:szCs w:val="22"/>
          <w:lang w:val="el-GR"/>
        </w:rPr>
        <w:t>ποιοῦν καρπὸν σαπρόν</w:t>
      </w:r>
      <w:r w:rsidR="006F304D" w:rsidRPr="006F304D">
        <w:rPr>
          <w:bCs/>
          <w:szCs w:val="22"/>
        </w:rPr>
        <w:t xml:space="preserve">, </w:t>
      </w:r>
      <w:r>
        <w:rPr>
          <w:bCs/>
          <w:szCs w:val="22"/>
        </w:rPr>
        <w:t>lit. “is doing bad fruit”</w:t>
      </w:r>
      <w:r w:rsidRPr="006A51BA">
        <w:rPr>
          <w:szCs w:val="25"/>
        </w:rPr>
        <w:t xml:space="preserve">] in 43 and </w:t>
      </w:r>
      <w:r>
        <w:rPr>
          <w:szCs w:val="25"/>
        </w:rPr>
        <w:t>π</w:t>
      </w:r>
      <w:proofErr w:type="spellStart"/>
      <w:r>
        <w:rPr>
          <w:szCs w:val="25"/>
        </w:rPr>
        <w:t>ροφέρω</w:t>
      </w:r>
      <w:proofErr w:type="spellEnd"/>
      <w:r>
        <w:rPr>
          <w:szCs w:val="25"/>
        </w:rPr>
        <w:t xml:space="preserve"> </w:t>
      </w:r>
      <w:r w:rsidRPr="006A51BA">
        <w:rPr>
          <w:szCs w:val="25"/>
        </w:rPr>
        <w:t>in 45</w:t>
      </w:r>
      <w:r w:rsidR="006F304D" w:rsidRPr="006F304D">
        <w:rPr>
          <w:szCs w:val="25"/>
        </w:rPr>
        <w:t xml:space="preserve">, </w:t>
      </w:r>
      <w:r w:rsidRPr="006A51BA">
        <w:rPr>
          <w:szCs w:val="25"/>
        </w:rPr>
        <w:t xml:space="preserve">is </w:t>
      </w:r>
      <w:r>
        <w:rPr>
          <w:szCs w:val="25"/>
        </w:rPr>
        <w:t>not significant</w:t>
      </w:r>
      <w:r w:rsidRPr="006A51BA">
        <w:rPr>
          <w:szCs w:val="25"/>
        </w:rPr>
        <w:t>)</w:t>
      </w:r>
      <w:r w:rsidR="006F304D" w:rsidRPr="006F304D">
        <w:rPr>
          <w:szCs w:val="25"/>
        </w:rPr>
        <w:t xml:space="preserve">, </w:t>
      </w:r>
      <w:r w:rsidRPr="006A51BA">
        <w:rPr>
          <w:szCs w:val="25"/>
        </w:rPr>
        <w:t>but also the idea of production of two sorts: good and bad. (Again</w:t>
      </w:r>
      <w:r w:rsidR="006F304D" w:rsidRPr="006F304D">
        <w:rPr>
          <w:szCs w:val="25"/>
        </w:rPr>
        <w:t xml:space="preserve">, </w:t>
      </w:r>
      <w:r w:rsidRPr="006A51BA">
        <w:rPr>
          <w:szCs w:val="25"/>
        </w:rPr>
        <w:t>the difference in vocabulary is not significant:</w:t>
      </w:r>
      <w:r>
        <w:rPr>
          <w:szCs w:val="25"/>
        </w:rPr>
        <w:t xml:space="preserve"> κα</w:t>
      </w:r>
      <w:proofErr w:type="spellStart"/>
      <w:r>
        <w:rPr>
          <w:szCs w:val="25"/>
        </w:rPr>
        <w:t>λός</w:t>
      </w:r>
      <w:proofErr w:type="spellEnd"/>
      <w:r w:rsidRPr="006A51BA">
        <w:t xml:space="preserve"> [</w:t>
      </w:r>
      <w:r w:rsidRPr="006A51BA">
        <w:rPr>
          <w:szCs w:val="25"/>
        </w:rPr>
        <w:t>literal</w:t>
      </w:r>
      <w:r>
        <w:rPr>
          <w:szCs w:val="25"/>
        </w:rPr>
        <w:t>ly</w:t>
      </w:r>
      <w:r w:rsidR="006F304D" w:rsidRPr="006F304D">
        <w:rPr>
          <w:szCs w:val="25"/>
        </w:rPr>
        <w:t xml:space="preserve">, </w:t>
      </w:r>
      <w:r>
        <w:rPr>
          <w:szCs w:val="25"/>
        </w:rPr>
        <w:t>“b</w:t>
      </w:r>
      <w:r w:rsidRPr="006A51BA">
        <w:rPr>
          <w:szCs w:val="25"/>
        </w:rPr>
        <w:t>eautiful</w:t>
      </w:r>
      <w:r w:rsidRPr="00FF03AB">
        <w:rPr>
          <w:szCs w:val="25"/>
        </w:rPr>
        <w:t>”</w:t>
      </w:r>
      <w:r w:rsidRPr="006A51BA">
        <w:rPr>
          <w:szCs w:val="25"/>
        </w:rPr>
        <w:t>]</w:t>
      </w:r>
      <w:r>
        <w:rPr>
          <w:szCs w:val="25"/>
        </w:rPr>
        <w:t xml:space="preserve"> </w:t>
      </w:r>
      <w:r w:rsidRPr="006A51BA">
        <w:rPr>
          <w:szCs w:val="25"/>
        </w:rPr>
        <w:t xml:space="preserve">and </w:t>
      </w:r>
      <w:r>
        <w:rPr>
          <w:szCs w:val="25"/>
        </w:rPr>
        <w:t>σαπ</w:t>
      </w:r>
      <w:proofErr w:type="spellStart"/>
      <w:r>
        <w:rPr>
          <w:szCs w:val="25"/>
        </w:rPr>
        <w:t>ρός</w:t>
      </w:r>
      <w:proofErr w:type="spellEnd"/>
      <w:r w:rsidRPr="006A51BA">
        <w:rPr>
          <w:szCs w:val="25"/>
        </w:rPr>
        <w:t xml:space="preserve"> [literally</w:t>
      </w:r>
      <w:r w:rsidR="006F304D" w:rsidRPr="006F304D">
        <w:rPr>
          <w:szCs w:val="25"/>
        </w:rPr>
        <w:t xml:space="preserve">, </w:t>
      </w:r>
      <w:r w:rsidRPr="006A51BA">
        <w:rPr>
          <w:szCs w:val="25"/>
        </w:rPr>
        <w:t>“rotten”] in 43 are admittedly more sensory in content</w:t>
      </w:r>
      <w:r w:rsidR="006F304D" w:rsidRPr="006F304D">
        <w:rPr>
          <w:szCs w:val="25"/>
        </w:rPr>
        <w:t xml:space="preserve">, </w:t>
      </w:r>
      <w:r w:rsidRPr="006A51BA">
        <w:rPr>
          <w:szCs w:val="25"/>
        </w:rPr>
        <w:t>and</w:t>
      </w:r>
      <w:r>
        <w:rPr>
          <w:szCs w:val="25"/>
        </w:rPr>
        <w:t xml:space="preserve"> </w:t>
      </w:r>
      <w:r w:rsidRPr="00CE06CA">
        <w:rPr>
          <w:bCs/>
          <w:szCs w:val="22"/>
          <w:lang w:val="el-GR"/>
        </w:rPr>
        <w:t>ἀγαθ</w:t>
      </w:r>
      <w:r>
        <w:rPr>
          <w:bCs/>
          <w:szCs w:val="22"/>
          <w:lang w:val="el-GR"/>
        </w:rPr>
        <w:t>ό</w:t>
      </w:r>
      <w:r w:rsidRPr="00CE06CA">
        <w:rPr>
          <w:bCs/>
          <w:szCs w:val="22"/>
          <w:lang w:val="el-GR"/>
        </w:rPr>
        <w:t>ς</w:t>
      </w:r>
      <w:r>
        <w:rPr>
          <w:szCs w:val="25"/>
        </w:rPr>
        <w:t xml:space="preserve"> </w:t>
      </w:r>
      <w:r w:rsidRPr="006A51BA">
        <w:rPr>
          <w:szCs w:val="25"/>
        </w:rPr>
        <w:t>[good”] and</w:t>
      </w:r>
      <w:r>
        <w:rPr>
          <w:szCs w:val="25"/>
        </w:rPr>
        <w:t xml:space="preserve"> π</w:t>
      </w:r>
      <w:proofErr w:type="spellStart"/>
      <w:r>
        <w:rPr>
          <w:szCs w:val="25"/>
        </w:rPr>
        <w:t>ονη</w:t>
      </w:r>
      <w:proofErr w:type="spellEnd"/>
      <w:r>
        <w:rPr>
          <w:bCs/>
          <w:szCs w:val="22"/>
          <w:lang w:val="el-GR"/>
        </w:rPr>
        <w:t>ό</w:t>
      </w:r>
      <w:r w:rsidRPr="00CE06CA">
        <w:rPr>
          <w:bCs/>
          <w:szCs w:val="22"/>
          <w:lang w:val="el-GR"/>
        </w:rPr>
        <w:t>ς</w:t>
      </w:r>
      <w:r w:rsidRPr="006A51BA">
        <w:rPr>
          <w:szCs w:val="25"/>
        </w:rPr>
        <w:t xml:space="preserve"> [evil”] in 45 more moral</w:t>
      </w:r>
      <w:r w:rsidR="006F304D" w:rsidRPr="006F304D">
        <w:rPr>
          <w:szCs w:val="25"/>
        </w:rPr>
        <w:t xml:space="preserve">, </w:t>
      </w:r>
      <w:r w:rsidRPr="006A51BA">
        <w:rPr>
          <w:szCs w:val="25"/>
        </w:rPr>
        <w:t>but the former are appropriate to a concrete trope such as 43-44 and the latter to an abstract general</w:t>
      </w:r>
      <w:r w:rsidRPr="006A51BA">
        <w:rPr>
          <w:szCs w:val="25"/>
        </w:rPr>
        <w:softHyphen/>
        <w:t xml:space="preserve">ization such as 45.) Hence 45 is apparently intended to supply the literal half of the metaphor in 43-44; it explains the figurative language in much the same way that Luke 8:11-15 </w:t>
      </w:r>
      <w:r w:rsidRPr="004C516D">
        <w:rPr>
          <w:szCs w:val="25"/>
        </w:rPr>
        <w:t>(</w:t>
      </w:r>
      <w:r w:rsidRPr="006A51BA">
        <w:rPr>
          <w:szCs w:val="25"/>
        </w:rPr>
        <w:t xml:space="preserve">interpretation of the parable of the </w:t>
      </w:r>
      <w:proofErr w:type="spellStart"/>
      <w:r w:rsidRPr="006A51BA">
        <w:rPr>
          <w:szCs w:val="25"/>
        </w:rPr>
        <w:t>sower</w:t>
      </w:r>
      <w:proofErr w:type="spellEnd"/>
      <w:r w:rsidRPr="006A51BA">
        <w:rPr>
          <w:szCs w:val="25"/>
        </w:rPr>
        <w:t xml:space="preserve">) explains the parable of the </w:t>
      </w:r>
      <w:proofErr w:type="spellStart"/>
      <w:r w:rsidRPr="006A51BA">
        <w:rPr>
          <w:szCs w:val="25"/>
        </w:rPr>
        <w:t>sower</w:t>
      </w:r>
      <w:proofErr w:type="spellEnd"/>
      <w:r w:rsidRPr="006A51BA">
        <w:rPr>
          <w:szCs w:val="25"/>
        </w:rPr>
        <w:t xml:space="preserve"> (Luke 8:4-8).</w:t>
      </w:r>
    </w:p>
    <w:p w14:paraId="350A9051" w14:textId="6904B871" w:rsidR="0018433B" w:rsidRPr="006A51BA" w:rsidRDefault="0018433B" w:rsidP="0018433B">
      <w:pPr>
        <w:pStyle w:val="Style"/>
        <w:widowControl/>
        <w:jc w:val="both"/>
        <w:textAlignment w:val="baseline"/>
        <w:rPr>
          <w:szCs w:val="25"/>
        </w:rPr>
      </w:pPr>
      <w:r>
        <w:rPr>
          <w:szCs w:val="25"/>
        </w:rPr>
        <w:tab/>
      </w:r>
      <w:r w:rsidRPr="006A51BA">
        <w:rPr>
          <w:szCs w:val="25"/>
        </w:rPr>
        <w:t>Moreover</w:t>
      </w:r>
      <w:r w:rsidR="006F304D" w:rsidRPr="006F304D">
        <w:rPr>
          <w:szCs w:val="25"/>
        </w:rPr>
        <w:t xml:space="preserve">, </w:t>
      </w:r>
      <w:r w:rsidRPr="006A51BA">
        <w:rPr>
          <w:szCs w:val="25"/>
        </w:rPr>
        <w:t xml:space="preserve">we can discern a similar movement of thought (from statement to explanation) within verse 45 itself. Verses 45a and 45b do not say what </w:t>
      </w:r>
      <w:r w:rsidRPr="006A51BA">
        <w:rPr>
          <w:i/>
          <w:iCs/>
        </w:rPr>
        <w:t>kind</w:t>
      </w:r>
      <w:r w:rsidRPr="00475C7C">
        <w:rPr>
          <w:iCs/>
        </w:rPr>
        <w:t xml:space="preserve"> </w:t>
      </w:r>
      <w:r w:rsidRPr="006A51BA">
        <w:rPr>
          <w:szCs w:val="25"/>
        </w:rPr>
        <w:t xml:space="preserve">of good or evil action is produced out of a good or evil heart; verse 45c fills that gap: it is good and evil </w:t>
      </w:r>
      <w:r w:rsidRPr="006A51BA">
        <w:rPr>
          <w:i/>
          <w:iCs/>
          <w:szCs w:val="26"/>
        </w:rPr>
        <w:t>speaking</w:t>
      </w:r>
      <w:r w:rsidRPr="00475C7C">
        <w:rPr>
          <w:iCs/>
          <w:szCs w:val="26"/>
        </w:rPr>
        <w:t xml:space="preserve"> </w:t>
      </w:r>
      <w:r w:rsidRPr="006A51BA">
        <w:rPr>
          <w:szCs w:val="25"/>
        </w:rPr>
        <w:t>to which 45a and 45b are made to refer.</w:t>
      </w:r>
    </w:p>
    <w:p w14:paraId="714F307D" w14:textId="13989CE7" w:rsidR="0018433B" w:rsidRPr="006A51BA" w:rsidRDefault="0018433B" w:rsidP="0018433B">
      <w:pPr>
        <w:pStyle w:val="Style"/>
        <w:widowControl/>
        <w:jc w:val="both"/>
        <w:textAlignment w:val="baseline"/>
        <w:rPr>
          <w:szCs w:val="25"/>
        </w:rPr>
      </w:pPr>
      <w:r>
        <w:rPr>
          <w:szCs w:val="25"/>
        </w:rPr>
        <w:lastRenderedPageBreak/>
        <w:tab/>
      </w:r>
      <w:r w:rsidRPr="006A51BA">
        <w:rPr>
          <w:szCs w:val="25"/>
        </w:rPr>
        <w:t>So verse 45c belongs with 45ab</w:t>
      </w:r>
      <w:r w:rsidR="006F304D" w:rsidRPr="006F304D">
        <w:rPr>
          <w:szCs w:val="25"/>
        </w:rPr>
        <w:t xml:space="preserve">, </w:t>
      </w:r>
      <w:r w:rsidRPr="006A51BA">
        <w:rPr>
          <w:szCs w:val="25"/>
        </w:rPr>
        <w:t>since 45c is an explanation of the earlier half</w:t>
      </w:r>
      <w:r>
        <w:rPr>
          <w:szCs w:val="25"/>
        </w:rPr>
        <w:t>-</w:t>
      </w:r>
      <w:r w:rsidRPr="006A51BA">
        <w:rPr>
          <w:szCs w:val="25"/>
        </w:rPr>
        <w:t>verse; and 45ab belongs with 43-44</w:t>
      </w:r>
      <w:r w:rsidR="006F304D" w:rsidRPr="006F304D">
        <w:rPr>
          <w:szCs w:val="25"/>
        </w:rPr>
        <w:t xml:space="preserve">, </w:t>
      </w:r>
      <w:r w:rsidRPr="006A51BA">
        <w:rPr>
          <w:szCs w:val="25"/>
        </w:rPr>
        <w:t>since 45ab is an explanation of the earlier verses. Granted</w:t>
      </w:r>
      <w:r w:rsidR="006F304D" w:rsidRPr="006F304D">
        <w:rPr>
          <w:szCs w:val="25"/>
        </w:rPr>
        <w:t xml:space="preserve">, </w:t>
      </w:r>
      <w:r w:rsidRPr="006A51BA">
        <w:rPr>
          <w:szCs w:val="25"/>
        </w:rPr>
        <w:t>then</w:t>
      </w:r>
      <w:r w:rsidR="006F304D" w:rsidRPr="006F304D">
        <w:rPr>
          <w:szCs w:val="25"/>
        </w:rPr>
        <w:t xml:space="preserve">, </w:t>
      </w:r>
      <w:r w:rsidRPr="006A51BA">
        <w:rPr>
          <w:szCs w:val="25"/>
        </w:rPr>
        <w:t>that all of this material belongs to one unit: are we to subdivide it</w:t>
      </w:r>
      <w:r w:rsidR="006F304D" w:rsidRPr="006F304D">
        <w:rPr>
          <w:szCs w:val="25"/>
        </w:rPr>
        <w:t xml:space="preserve">, </w:t>
      </w:r>
      <w:r w:rsidRPr="006A51BA">
        <w:rPr>
          <w:szCs w:val="25"/>
        </w:rPr>
        <w:t>either between 43-44 and 45 or between 45ab and 45c?</w:t>
      </w:r>
    </w:p>
    <w:p w14:paraId="06042D0A" w14:textId="2E7070C1" w:rsidR="0018433B" w:rsidRDefault="0018433B" w:rsidP="0018433B">
      <w:pPr>
        <w:pStyle w:val="Style"/>
        <w:widowControl/>
        <w:jc w:val="both"/>
        <w:textAlignment w:val="baseline"/>
        <w:rPr>
          <w:szCs w:val="25"/>
        </w:rPr>
      </w:pPr>
      <w:r>
        <w:rPr>
          <w:szCs w:val="25"/>
        </w:rPr>
        <w:tab/>
      </w:r>
      <w:r w:rsidRPr="006A51BA">
        <w:rPr>
          <w:szCs w:val="25"/>
        </w:rPr>
        <w:t xml:space="preserve">I think the answer must be </w:t>
      </w:r>
      <w:r>
        <w:rPr>
          <w:szCs w:val="25"/>
        </w:rPr>
        <w:t>“</w:t>
      </w:r>
      <w:r w:rsidRPr="006A51BA">
        <w:rPr>
          <w:szCs w:val="25"/>
        </w:rPr>
        <w:t>yes” in both cases. The change in metaphor between 43-44 and 45</w:t>
      </w:r>
      <w:r w:rsidR="006F304D" w:rsidRPr="006F304D">
        <w:rPr>
          <w:szCs w:val="25"/>
        </w:rPr>
        <w:t xml:space="preserve">, </w:t>
      </w:r>
      <w:r w:rsidRPr="006A51BA">
        <w:rPr>
          <w:szCs w:val="25"/>
        </w:rPr>
        <w:t>and the greater degree of abstractness in 45</w:t>
      </w:r>
      <w:r w:rsidR="006F304D" w:rsidRPr="006F304D">
        <w:rPr>
          <w:szCs w:val="25"/>
        </w:rPr>
        <w:t xml:space="preserve">, </w:t>
      </w:r>
      <w:r w:rsidRPr="006A51BA">
        <w:rPr>
          <w:szCs w:val="25"/>
        </w:rPr>
        <w:t xml:space="preserve">are differences too </w:t>
      </w:r>
      <w:r>
        <w:rPr>
          <w:szCs w:val="25"/>
        </w:rPr>
        <w:t>meaningful</w:t>
      </w:r>
      <w:r w:rsidRPr="006A51BA">
        <w:rPr>
          <w:szCs w:val="25"/>
        </w:rPr>
        <w:t xml:space="preserve"> to be overlooked. And as for 45ab and 45c: there is nothing in 45ab </w:t>
      </w:r>
      <w:r w:rsidRPr="004C516D">
        <w:rPr>
          <w:szCs w:val="25"/>
        </w:rPr>
        <w:t>(</w:t>
      </w:r>
      <w:r w:rsidRPr="006A51BA">
        <w:rPr>
          <w:szCs w:val="25"/>
        </w:rPr>
        <w:t>or 43-44</w:t>
      </w:r>
      <w:r w:rsidR="006F304D" w:rsidRPr="006F304D">
        <w:rPr>
          <w:szCs w:val="25"/>
        </w:rPr>
        <w:t xml:space="preserve">, </w:t>
      </w:r>
      <w:r w:rsidRPr="006A51BA">
        <w:rPr>
          <w:szCs w:val="25"/>
        </w:rPr>
        <w:t>for that matter) to suggest t</w:t>
      </w:r>
      <w:r>
        <w:rPr>
          <w:szCs w:val="25"/>
        </w:rPr>
        <w:t>ha</w:t>
      </w:r>
      <w:r w:rsidRPr="006A51BA">
        <w:rPr>
          <w:szCs w:val="25"/>
        </w:rPr>
        <w:t xml:space="preserve">t they refer solely to speech. Probably the appended gloss concerning speech was not intended by its redactor to restrict the reference </w:t>
      </w:r>
      <w:r>
        <w:rPr>
          <w:szCs w:val="25"/>
        </w:rPr>
        <w:t>o</w:t>
      </w:r>
      <w:r w:rsidRPr="006A51BA">
        <w:rPr>
          <w:szCs w:val="25"/>
        </w:rPr>
        <w:t>f 43-45b to speech but was only intended to point out one realm of moral activity to which the preceding sayings do apply</w:t>
      </w:r>
      <w:r w:rsidR="006F304D" w:rsidRPr="006F304D">
        <w:rPr>
          <w:szCs w:val="25"/>
        </w:rPr>
        <w:t xml:space="preserve">, </w:t>
      </w:r>
      <w:r w:rsidRPr="006A51BA">
        <w:rPr>
          <w:szCs w:val="25"/>
        </w:rPr>
        <w:t>a realm which perhaps the redactor</w:t>
      </w:r>
      <w:r>
        <w:rPr>
          <w:szCs w:val="25"/>
        </w:rPr>
        <w:t xml:space="preserve"> </w:t>
      </w:r>
      <w:r w:rsidRPr="006A51BA">
        <w:rPr>
          <w:szCs w:val="25"/>
        </w:rPr>
        <w:t>considered particularly important for his readers to consider. Nevertheless</w:t>
      </w:r>
      <w:r w:rsidR="006F304D" w:rsidRPr="006F304D">
        <w:rPr>
          <w:szCs w:val="25"/>
        </w:rPr>
        <w:t xml:space="preserve">, </w:t>
      </w:r>
      <w:r w:rsidRPr="006A51BA">
        <w:rPr>
          <w:szCs w:val="25"/>
        </w:rPr>
        <w:t>the gloss</w:t>
      </w:r>
      <w:r>
        <w:rPr>
          <w:szCs w:val="25"/>
        </w:rPr>
        <w:t xml:space="preserve"> </w:t>
      </w:r>
      <w:r w:rsidRPr="006A51BA">
        <w:rPr>
          <w:szCs w:val="25"/>
        </w:rPr>
        <w:t>is an awkward addition whose subject is much narrower than the subject of the preceding verses; it should therefore be separated from them. Thus we can revise our outline in this way:</w:t>
      </w:r>
    </w:p>
    <w:p w14:paraId="69409566" w14:textId="77777777" w:rsidR="0018433B" w:rsidRDefault="0018433B" w:rsidP="0018433B">
      <w:pPr>
        <w:pStyle w:val="Style"/>
        <w:widowControl/>
        <w:jc w:val="both"/>
        <w:textAlignment w:val="baseline"/>
        <w:rPr>
          <w:szCs w:val="25"/>
        </w:rPr>
      </w:pPr>
    </w:p>
    <w:p w14:paraId="6DB04FCE" w14:textId="77777777" w:rsidR="0018433B" w:rsidRPr="00475C7C" w:rsidRDefault="0018433B" w:rsidP="0018433B">
      <w:pPr>
        <w:pStyle w:val="Style"/>
        <w:tabs>
          <w:tab w:val="left" w:pos="3600"/>
          <w:tab w:val="left" w:pos="3960"/>
          <w:tab w:val="left" w:pos="4320"/>
        </w:tabs>
        <w:textAlignment w:val="baseline"/>
        <w:rPr>
          <w:szCs w:val="25"/>
        </w:rPr>
      </w:pPr>
      <w:r>
        <w:rPr>
          <w:szCs w:val="25"/>
        </w:rPr>
        <w:tab/>
      </w:r>
      <w:r w:rsidRPr="00475C7C">
        <w:rPr>
          <w:szCs w:val="25"/>
        </w:rPr>
        <w:t>1.</w:t>
      </w:r>
      <w:r w:rsidRPr="00475C7C">
        <w:rPr>
          <w:szCs w:val="25"/>
        </w:rPr>
        <w:tab/>
        <w:t>43-45</w:t>
      </w:r>
    </w:p>
    <w:p w14:paraId="1FF2854D" w14:textId="77777777" w:rsidR="0018433B" w:rsidRPr="00475C7C" w:rsidRDefault="0018433B" w:rsidP="0018433B">
      <w:pPr>
        <w:pStyle w:val="Style"/>
        <w:tabs>
          <w:tab w:val="left" w:pos="3600"/>
          <w:tab w:val="left" w:pos="3960"/>
          <w:tab w:val="left" w:pos="4320"/>
        </w:tabs>
        <w:textAlignment w:val="baseline"/>
        <w:rPr>
          <w:szCs w:val="25"/>
        </w:rPr>
      </w:pPr>
      <w:r>
        <w:rPr>
          <w:szCs w:val="25"/>
        </w:rPr>
        <w:tab/>
      </w:r>
      <w:r>
        <w:rPr>
          <w:szCs w:val="25"/>
        </w:rPr>
        <w:tab/>
      </w:r>
      <w:r w:rsidRPr="00475C7C">
        <w:rPr>
          <w:szCs w:val="25"/>
        </w:rPr>
        <w:t>a.</w:t>
      </w:r>
      <w:r w:rsidRPr="00475C7C">
        <w:rPr>
          <w:szCs w:val="25"/>
        </w:rPr>
        <w:tab/>
        <w:t>43</w:t>
      </w:r>
    </w:p>
    <w:p w14:paraId="35F0B15E" w14:textId="77777777" w:rsidR="0018433B" w:rsidRPr="00475C7C" w:rsidRDefault="0018433B" w:rsidP="0018433B">
      <w:pPr>
        <w:pStyle w:val="Style"/>
        <w:tabs>
          <w:tab w:val="left" w:pos="3600"/>
          <w:tab w:val="left" w:pos="3960"/>
          <w:tab w:val="left" w:pos="4320"/>
        </w:tabs>
        <w:textAlignment w:val="baseline"/>
        <w:rPr>
          <w:szCs w:val="25"/>
        </w:rPr>
      </w:pPr>
      <w:r>
        <w:rPr>
          <w:szCs w:val="25"/>
        </w:rPr>
        <w:tab/>
      </w:r>
      <w:r>
        <w:rPr>
          <w:szCs w:val="25"/>
        </w:rPr>
        <w:tab/>
      </w:r>
      <w:r w:rsidRPr="00475C7C">
        <w:rPr>
          <w:szCs w:val="25"/>
        </w:rPr>
        <w:t>b.</w:t>
      </w:r>
      <w:r w:rsidRPr="00475C7C">
        <w:rPr>
          <w:szCs w:val="25"/>
        </w:rPr>
        <w:tab/>
        <w:t>44a</w:t>
      </w:r>
    </w:p>
    <w:p w14:paraId="6DD1272E" w14:textId="77777777" w:rsidR="0018433B" w:rsidRPr="00475C7C" w:rsidRDefault="0018433B" w:rsidP="0018433B">
      <w:pPr>
        <w:pStyle w:val="Style"/>
        <w:tabs>
          <w:tab w:val="left" w:pos="3600"/>
          <w:tab w:val="left" w:pos="3960"/>
          <w:tab w:val="left" w:pos="4320"/>
        </w:tabs>
        <w:textAlignment w:val="baseline"/>
        <w:rPr>
          <w:szCs w:val="25"/>
        </w:rPr>
      </w:pPr>
      <w:r>
        <w:rPr>
          <w:szCs w:val="25"/>
        </w:rPr>
        <w:tab/>
      </w:r>
      <w:r>
        <w:rPr>
          <w:szCs w:val="25"/>
        </w:rPr>
        <w:tab/>
      </w:r>
      <w:r w:rsidRPr="00475C7C">
        <w:rPr>
          <w:szCs w:val="25"/>
        </w:rPr>
        <w:t>c.</w:t>
      </w:r>
      <w:r w:rsidRPr="00475C7C">
        <w:rPr>
          <w:szCs w:val="25"/>
        </w:rPr>
        <w:tab/>
        <w:t>44bc</w:t>
      </w:r>
    </w:p>
    <w:p w14:paraId="0BD90D38" w14:textId="77777777" w:rsidR="0018433B" w:rsidRPr="00475C7C" w:rsidRDefault="0018433B" w:rsidP="0018433B">
      <w:pPr>
        <w:pStyle w:val="Style"/>
        <w:tabs>
          <w:tab w:val="left" w:pos="3600"/>
          <w:tab w:val="left" w:pos="3960"/>
          <w:tab w:val="left" w:pos="4320"/>
        </w:tabs>
        <w:textAlignment w:val="baseline"/>
        <w:rPr>
          <w:szCs w:val="25"/>
        </w:rPr>
      </w:pPr>
      <w:r>
        <w:rPr>
          <w:szCs w:val="25"/>
        </w:rPr>
        <w:tab/>
      </w:r>
      <w:r>
        <w:rPr>
          <w:szCs w:val="25"/>
        </w:rPr>
        <w:tab/>
      </w:r>
      <w:proofErr w:type="spellStart"/>
      <w:r w:rsidRPr="00475C7C">
        <w:rPr>
          <w:szCs w:val="25"/>
        </w:rPr>
        <w:t>d.</w:t>
      </w:r>
      <w:proofErr w:type="spellEnd"/>
      <w:r w:rsidRPr="00475C7C">
        <w:rPr>
          <w:szCs w:val="25"/>
        </w:rPr>
        <w:tab/>
        <w:t>45ab</w:t>
      </w:r>
    </w:p>
    <w:p w14:paraId="20DCDA6A" w14:textId="77777777" w:rsidR="0018433B" w:rsidRDefault="0018433B" w:rsidP="0018433B">
      <w:pPr>
        <w:pStyle w:val="Style"/>
        <w:widowControl/>
        <w:tabs>
          <w:tab w:val="left" w:pos="3600"/>
          <w:tab w:val="left" w:pos="3960"/>
          <w:tab w:val="left" w:pos="4320"/>
        </w:tabs>
        <w:jc w:val="both"/>
        <w:textAlignment w:val="baseline"/>
        <w:rPr>
          <w:szCs w:val="25"/>
        </w:rPr>
      </w:pPr>
      <w:r>
        <w:rPr>
          <w:szCs w:val="25"/>
        </w:rPr>
        <w:tab/>
      </w:r>
      <w:r>
        <w:rPr>
          <w:szCs w:val="25"/>
        </w:rPr>
        <w:tab/>
      </w:r>
      <w:r w:rsidRPr="00475C7C">
        <w:rPr>
          <w:szCs w:val="25"/>
        </w:rPr>
        <w:t>e.</w:t>
      </w:r>
      <w:r w:rsidRPr="00475C7C">
        <w:rPr>
          <w:szCs w:val="25"/>
        </w:rPr>
        <w:tab/>
        <w:t>45c</w:t>
      </w:r>
    </w:p>
    <w:p w14:paraId="53B3C968" w14:textId="77777777" w:rsidR="0018433B" w:rsidRPr="006A51BA" w:rsidRDefault="0018433B" w:rsidP="0018433B">
      <w:pPr>
        <w:pStyle w:val="Style"/>
        <w:widowControl/>
        <w:jc w:val="both"/>
        <w:textAlignment w:val="baseline"/>
        <w:rPr>
          <w:szCs w:val="25"/>
        </w:rPr>
      </w:pPr>
    </w:p>
    <w:p w14:paraId="33427DC3" w14:textId="77777777" w:rsidR="0018433B" w:rsidRDefault="0018433B" w:rsidP="0018433B">
      <w:pPr>
        <w:pStyle w:val="Style"/>
        <w:widowControl/>
        <w:jc w:val="both"/>
        <w:textAlignment w:val="baseline"/>
        <w:rPr>
          <w:szCs w:val="25"/>
        </w:rPr>
      </w:pPr>
      <w:r>
        <w:rPr>
          <w:szCs w:val="23"/>
        </w:rPr>
        <w:tab/>
      </w:r>
      <w:r w:rsidRPr="00475C7C">
        <w:rPr>
          <w:b/>
          <w:szCs w:val="23"/>
        </w:rPr>
        <w:t>Luke 6</w:t>
      </w:r>
      <w:r w:rsidRPr="006A51BA">
        <w:rPr>
          <w:szCs w:val="23"/>
        </w:rPr>
        <w:t>:</w:t>
      </w:r>
      <w:r w:rsidRPr="00475C7C">
        <w:rPr>
          <w:b/>
          <w:szCs w:val="23"/>
        </w:rPr>
        <w:t>46</w:t>
      </w:r>
      <w:r w:rsidRPr="006A51BA">
        <w:rPr>
          <w:szCs w:val="23"/>
        </w:rPr>
        <w:t xml:space="preserve">. </w:t>
      </w:r>
      <w:r w:rsidRPr="006A51BA">
        <w:rPr>
          <w:szCs w:val="25"/>
        </w:rPr>
        <w:t>Th</w:t>
      </w:r>
      <w:r>
        <w:rPr>
          <w:szCs w:val="25"/>
        </w:rPr>
        <w:t>e last intervening verse reads:</w:t>
      </w:r>
    </w:p>
    <w:p w14:paraId="18DF79A9" w14:textId="77777777" w:rsidR="0018433B" w:rsidRDefault="0018433B" w:rsidP="0018433B">
      <w:pPr>
        <w:pStyle w:val="Style"/>
        <w:widowControl/>
        <w:jc w:val="both"/>
        <w:textAlignment w:val="baseline"/>
        <w:rPr>
          <w:szCs w:val="25"/>
        </w:rPr>
      </w:pPr>
    </w:p>
    <w:p w14:paraId="504AF760" w14:textId="77777777" w:rsidR="0018433B" w:rsidRDefault="0018433B" w:rsidP="0018433B">
      <w:pPr>
        <w:pStyle w:val="Style"/>
        <w:widowControl/>
        <w:ind w:left="720"/>
        <w:jc w:val="both"/>
        <w:textAlignment w:val="baseline"/>
        <w:rPr>
          <w:bCs/>
          <w:szCs w:val="22"/>
        </w:rPr>
      </w:pPr>
      <w:r w:rsidRPr="006A51BA">
        <w:rPr>
          <w:szCs w:val="25"/>
        </w:rPr>
        <w:t>46a</w:t>
      </w:r>
      <w:r>
        <w:rPr>
          <w:szCs w:val="25"/>
        </w:rPr>
        <w:tab/>
      </w:r>
      <w:r w:rsidRPr="00CE06CA">
        <w:rPr>
          <w:bCs/>
          <w:szCs w:val="22"/>
          <w:lang w:val="el-GR"/>
        </w:rPr>
        <w:t>Τί δέ με καλεῖτε· κύριε κύριε,</w:t>
      </w:r>
    </w:p>
    <w:p w14:paraId="6700F371" w14:textId="77777777" w:rsidR="0018433B" w:rsidRPr="00475C7C" w:rsidRDefault="0018433B" w:rsidP="0018433B">
      <w:pPr>
        <w:pStyle w:val="Style"/>
        <w:widowControl/>
        <w:ind w:left="720"/>
        <w:jc w:val="both"/>
        <w:textAlignment w:val="baseline"/>
        <w:rPr>
          <w:szCs w:val="25"/>
        </w:rPr>
      </w:pPr>
      <w:r>
        <w:rPr>
          <w:bCs/>
          <w:szCs w:val="22"/>
        </w:rPr>
        <w:t>46b</w:t>
      </w:r>
      <w:r>
        <w:rPr>
          <w:bCs/>
          <w:szCs w:val="22"/>
        </w:rPr>
        <w:tab/>
      </w:r>
      <w:r w:rsidRPr="00CE06CA">
        <w:rPr>
          <w:bCs/>
          <w:szCs w:val="22"/>
          <w:lang w:val="el-GR"/>
        </w:rPr>
        <w:t>καὶ οὐ ποιεῖτε ἃ λέγω;</w:t>
      </w:r>
    </w:p>
    <w:p w14:paraId="2A882087" w14:textId="77777777" w:rsidR="0018433B" w:rsidRDefault="0018433B" w:rsidP="0018433B">
      <w:pPr>
        <w:pStyle w:val="Style"/>
        <w:widowControl/>
        <w:jc w:val="both"/>
        <w:textAlignment w:val="baseline"/>
        <w:rPr>
          <w:szCs w:val="26"/>
        </w:rPr>
      </w:pPr>
    </w:p>
    <w:p w14:paraId="435492CA" w14:textId="335ABCEC" w:rsidR="0018433B" w:rsidRDefault="0018433B" w:rsidP="0018433B">
      <w:pPr>
        <w:pStyle w:val="Style"/>
        <w:widowControl/>
        <w:ind w:left="720"/>
        <w:jc w:val="both"/>
        <w:textAlignment w:val="baseline"/>
        <w:rPr>
          <w:szCs w:val="25"/>
        </w:rPr>
      </w:pPr>
      <w:r w:rsidRPr="006A51BA">
        <w:rPr>
          <w:szCs w:val="25"/>
        </w:rPr>
        <w:t>46a</w:t>
      </w:r>
      <w:r>
        <w:rPr>
          <w:szCs w:val="25"/>
        </w:rPr>
        <w:tab/>
      </w:r>
      <w:r w:rsidRPr="00CD75A6">
        <w:t>Why do you call me ‘Lord</w:t>
      </w:r>
      <w:r w:rsidR="006F304D" w:rsidRPr="006F304D">
        <w:t xml:space="preserve">, </w:t>
      </w:r>
      <w:r w:rsidRPr="00CD75A6">
        <w:t>Lord,’</w:t>
      </w:r>
    </w:p>
    <w:p w14:paraId="1E902E9E" w14:textId="77777777" w:rsidR="0018433B" w:rsidRPr="00475C7C" w:rsidRDefault="0018433B" w:rsidP="0018433B">
      <w:pPr>
        <w:pStyle w:val="Style"/>
        <w:widowControl/>
        <w:ind w:left="720"/>
        <w:jc w:val="both"/>
        <w:textAlignment w:val="baseline"/>
        <w:rPr>
          <w:szCs w:val="25"/>
        </w:rPr>
      </w:pPr>
      <w:r>
        <w:rPr>
          <w:szCs w:val="25"/>
        </w:rPr>
        <w:t>46b</w:t>
      </w:r>
      <w:r>
        <w:rPr>
          <w:szCs w:val="25"/>
        </w:rPr>
        <w:tab/>
      </w:r>
      <w:r w:rsidRPr="00CD75A6">
        <w:t>and not do what I tell you?</w:t>
      </w:r>
    </w:p>
    <w:p w14:paraId="1C593812" w14:textId="77777777" w:rsidR="0018433B" w:rsidRDefault="0018433B" w:rsidP="0018433B">
      <w:pPr>
        <w:pStyle w:val="Style"/>
        <w:widowControl/>
        <w:jc w:val="both"/>
        <w:textAlignment w:val="baseline"/>
        <w:rPr>
          <w:szCs w:val="26"/>
        </w:rPr>
      </w:pPr>
    </w:p>
    <w:p w14:paraId="25C8C7C2" w14:textId="19F278AE" w:rsidR="0018433B" w:rsidRPr="006A51BA" w:rsidRDefault="0018433B" w:rsidP="0018433B">
      <w:pPr>
        <w:pStyle w:val="Style"/>
        <w:widowControl/>
        <w:jc w:val="both"/>
        <w:textAlignment w:val="baseline"/>
        <w:rPr>
          <w:szCs w:val="25"/>
        </w:rPr>
      </w:pPr>
      <w:r>
        <w:rPr>
          <w:szCs w:val="25"/>
        </w:rPr>
        <w:tab/>
      </w:r>
      <w:r w:rsidRPr="006A51BA">
        <w:rPr>
          <w:szCs w:val="25"/>
        </w:rPr>
        <w:t>Like the earlier intervening verses</w:t>
      </w:r>
      <w:r w:rsidR="006F304D" w:rsidRPr="006F304D">
        <w:rPr>
          <w:szCs w:val="25"/>
        </w:rPr>
        <w:t xml:space="preserve">, </w:t>
      </w:r>
      <w:r w:rsidRPr="006A51BA">
        <w:rPr>
          <w:szCs w:val="25"/>
        </w:rPr>
        <w:t>there are three possibilities here: 46 can be linked with the material before it</w:t>
      </w:r>
      <w:r w:rsidR="006F304D" w:rsidRPr="006F304D">
        <w:rPr>
          <w:szCs w:val="25"/>
        </w:rPr>
        <w:t xml:space="preserve">, </w:t>
      </w:r>
      <w:r w:rsidRPr="006A51BA">
        <w:rPr>
          <w:szCs w:val="25"/>
        </w:rPr>
        <w:t>can be a free-standing unit</w:t>
      </w:r>
      <w:r w:rsidR="006F304D" w:rsidRPr="006F304D">
        <w:rPr>
          <w:szCs w:val="25"/>
        </w:rPr>
        <w:t xml:space="preserve">, </w:t>
      </w:r>
      <w:r w:rsidRPr="006A51BA">
        <w:rPr>
          <w:szCs w:val="25"/>
        </w:rPr>
        <w:t>or can be linked with the material that follows it. Rengstorf is among those who jo</w:t>
      </w:r>
      <w:r>
        <w:rPr>
          <w:szCs w:val="25"/>
        </w:rPr>
        <w:t>in 46 to the preceding verses.</w:t>
      </w:r>
      <w:r>
        <w:rPr>
          <w:rStyle w:val="FootnoteReference"/>
          <w:szCs w:val="25"/>
        </w:rPr>
        <w:footnoteReference w:id="565"/>
      </w:r>
      <w:r w:rsidRPr="006A51BA">
        <w:rPr>
          <w:szCs w:val="25"/>
        </w:rPr>
        <w:t xml:space="preserve"> His reason for choosing</w:t>
      </w:r>
      <w:r>
        <w:rPr>
          <w:szCs w:val="25"/>
        </w:rPr>
        <w:t xml:space="preserve"> this alternative</w:t>
      </w:r>
      <w:r w:rsidRPr="006A51BA">
        <w:rPr>
          <w:szCs w:val="25"/>
        </w:rPr>
        <w:t xml:space="preserve"> is the common subject matter in 39-45</w:t>
      </w:r>
      <w:r>
        <w:rPr>
          <w:szCs w:val="25"/>
        </w:rPr>
        <w:t xml:space="preserve"> and in </w:t>
      </w:r>
      <w:r w:rsidRPr="006A51BA">
        <w:rPr>
          <w:szCs w:val="25"/>
        </w:rPr>
        <w:t>46. According to Rengstorf</w:t>
      </w:r>
      <w:r w:rsidR="006F304D" w:rsidRPr="006F304D">
        <w:rPr>
          <w:szCs w:val="25"/>
        </w:rPr>
        <w:t xml:space="preserve">, </w:t>
      </w:r>
      <w:r w:rsidRPr="006A51BA">
        <w:rPr>
          <w:szCs w:val="25"/>
        </w:rPr>
        <w:t>39-46 describes “the responsibility of Jesus’</w:t>
      </w:r>
      <w:r>
        <w:rPr>
          <w:szCs w:val="25"/>
        </w:rPr>
        <w:t xml:space="preserve"> </w:t>
      </w:r>
      <w:r w:rsidRPr="006A51BA">
        <w:rPr>
          <w:szCs w:val="25"/>
        </w:rPr>
        <w:t xml:space="preserve">disciples </w:t>
      </w:r>
      <w:r>
        <w:rPr>
          <w:szCs w:val="25"/>
        </w:rPr>
        <w:t xml:space="preserve">. . . </w:t>
      </w:r>
      <w:r w:rsidRPr="006A51BA">
        <w:rPr>
          <w:szCs w:val="25"/>
        </w:rPr>
        <w:t>to their fellow-men in view of the gift that has been allotted them from</w:t>
      </w:r>
      <w:r>
        <w:rPr>
          <w:szCs w:val="25"/>
        </w:rPr>
        <w:t xml:space="preserve"> God . . .”</w:t>
      </w:r>
      <w:r>
        <w:rPr>
          <w:rStyle w:val="FootnoteReference"/>
          <w:szCs w:val="25"/>
        </w:rPr>
        <w:footnoteReference w:id="566"/>
      </w:r>
      <w:r w:rsidR="00775F9B" w:rsidRPr="00775F9B">
        <w:rPr>
          <w:iCs/>
          <w:szCs w:val="25"/>
        </w:rPr>
        <w:t xml:space="preserve"> </w:t>
      </w:r>
      <w:r w:rsidRPr="006A51BA">
        <w:rPr>
          <w:szCs w:val="25"/>
        </w:rPr>
        <w:t>He writes:</w:t>
      </w:r>
    </w:p>
    <w:p w14:paraId="22A42051" w14:textId="77777777" w:rsidR="0018433B" w:rsidRDefault="0018433B" w:rsidP="0018433B">
      <w:pPr>
        <w:pStyle w:val="Style"/>
        <w:widowControl/>
        <w:jc w:val="both"/>
        <w:textAlignment w:val="baseline"/>
        <w:rPr>
          <w:szCs w:val="25"/>
        </w:rPr>
      </w:pPr>
    </w:p>
    <w:p w14:paraId="0D7877CE" w14:textId="7011B367" w:rsidR="0018433B" w:rsidRPr="006A51BA" w:rsidRDefault="0018433B" w:rsidP="0018433B">
      <w:pPr>
        <w:pStyle w:val="Style"/>
        <w:widowControl/>
        <w:ind w:left="720" w:right="720"/>
        <w:jc w:val="both"/>
        <w:textAlignment w:val="baseline"/>
        <w:rPr>
          <w:szCs w:val="2"/>
          <w:vertAlign w:val="superscript"/>
        </w:rPr>
      </w:pPr>
      <w:r w:rsidRPr="006A51BA">
        <w:rPr>
          <w:szCs w:val="25"/>
        </w:rPr>
        <w:lastRenderedPageBreak/>
        <w:t xml:space="preserve">All that is necessary is given to them through their position as disciples. The question is only what result they effect from it </w:t>
      </w:r>
      <w:r w:rsidRPr="002E0FF6">
        <w:rPr>
          <w:szCs w:val="25"/>
        </w:rPr>
        <w:t>. . .</w:t>
      </w:r>
      <w:r w:rsidRPr="006A51BA">
        <w:rPr>
          <w:szCs w:val="25"/>
        </w:rPr>
        <w:t xml:space="preserve"> By far the worst consequence would be for their position as disciples to be a lie. That will happen</w:t>
      </w:r>
      <w:r w:rsidR="006F304D" w:rsidRPr="006F304D">
        <w:rPr>
          <w:szCs w:val="25"/>
        </w:rPr>
        <w:t xml:space="preserve">, </w:t>
      </w:r>
      <w:r w:rsidRPr="006A51BA">
        <w:rPr>
          <w:szCs w:val="25"/>
        </w:rPr>
        <w:t>however</w:t>
      </w:r>
      <w:r w:rsidR="006F304D" w:rsidRPr="006F304D">
        <w:rPr>
          <w:szCs w:val="25"/>
        </w:rPr>
        <w:t xml:space="preserve">, </w:t>
      </w:r>
      <w:r w:rsidRPr="006A51BA">
        <w:rPr>
          <w:szCs w:val="25"/>
        </w:rPr>
        <w:t xml:space="preserve">if they. preach to others the will of Jesus without themselves fulfilling it </w:t>
      </w:r>
      <w:r w:rsidRPr="002E0FF6">
        <w:rPr>
          <w:szCs w:val="25"/>
        </w:rPr>
        <w:t>. . .</w:t>
      </w:r>
      <w:r>
        <w:rPr>
          <w:rStyle w:val="FootnoteReference"/>
          <w:szCs w:val="25"/>
        </w:rPr>
        <w:footnoteReference w:id="567"/>
      </w:r>
    </w:p>
    <w:p w14:paraId="6198CC09" w14:textId="77777777" w:rsidR="0018433B" w:rsidRDefault="0018433B" w:rsidP="0018433B">
      <w:pPr>
        <w:pStyle w:val="Style"/>
        <w:widowControl/>
        <w:jc w:val="both"/>
        <w:textAlignment w:val="baseline"/>
        <w:rPr>
          <w:szCs w:val="25"/>
        </w:rPr>
      </w:pPr>
    </w:p>
    <w:p w14:paraId="3DD869EF" w14:textId="5CAE67B7" w:rsidR="0018433B" w:rsidRPr="006A51BA" w:rsidRDefault="0018433B" w:rsidP="0018433B">
      <w:pPr>
        <w:pStyle w:val="Style"/>
        <w:widowControl/>
        <w:jc w:val="both"/>
        <w:textAlignment w:val="baseline"/>
        <w:rPr>
          <w:szCs w:val="2"/>
          <w:vertAlign w:val="superscript"/>
        </w:rPr>
      </w:pPr>
      <w:r w:rsidRPr="006A51BA">
        <w:rPr>
          <w:szCs w:val="25"/>
        </w:rPr>
        <w:t>Rengstorf’s linking of 46 with 45</w:t>
      </w:r>
      <w:r w:rsidR="006F304D" w:rsidRPr="006F304D">
        <w:rPr>
          <w:szCs w:val="25"/>
        </w:rPr>
        <w:t xml:space="preserve">, </w:t>
      </w:r>
      <w:r w:rsidRPr="006A51BA">
        <w:rPr>
          <w:szCs w:val="25"/>
        </w:rPr>
        <w:t>then</w:t>
      </w:r>
      <w:r w:rsidR="006F304D" w:rsidRPr="006F304D">
        <w:rPr>
          <w:szCs w:val="25"/>
        </w:rPr>
        <w:t xml:space="preserve">, </w:t>
      </w:r>
      <w:r w:rsidRPr="006A51BA">
        <w:rPr>
          <w:szCs w:val="25"/>
        </w:rPr>
        <w:t>arises from his belief that 45c (</w:t>
      </w:r>
      <w:r>
        <w:rPr>
          <w:szCs w:val="25"/>
        </w:rPr>
        <w:t>“</w:t>
      </w:r>
      <w:r w:rsidRPr="006A51BA">
        <w:rPr>
          <w:szCs w:val="25"/>
        </w:rPr>
        <w:t>out of the abundance of the heart his mouth speaks”) is a saying that refers only to the disciples</w:t>
      </w:r>
      <w:r w:rsidR="006F304D" w:rsidRPr="006F304D">
        <w:rPr>
          <w:szCs w:val="25"/>
        </w:rPr>
        <w:t xml:space="preserve">, </w:t>
      </w:r>
      <w:r w:rsidRPr="006A51BA">
        <w:rPr>
          <w:szCs w:val="25"/>
        </w:rPr>
        <w:t>as leaders of the Christian community</w:t>
      </w:r>
      <w:r w:rsidR="006F304D" w:rsidRPr="006F304D">
        <w:rPr>
          <w:szCs w:val="25"/>
        </w:rPr>
        <w:t xml:space="preserve">, </w:t>
      </w:r>
      <w:r w:rsidRPr="006A51BA">
        <w:rPr>
          <w:szCs w:val="25"/>
        </w:rPr>
        <w:t>and only to their preaching</w:t>
      </w:r>
      <w:r>
        <w:rPr>
          <w:szCs w:val="25"/>
        </w:rPr>
        <w:t xml:space="preserve"> (a frequent Lutheran concern)</w:t>
      </w:r>
      <w:r w:rsidRPr="006A51BA">
        <w:rPr>
          <w:szCs w:val="25"/>
        </w:rPr>
        <w:t>. It is doubtful</w:t>
      </w:r>
      <w:r w:rsidR="006F304D" w:rsidRPr="006F304D">
        <w:rPr>
          <w:szCs w:val="25"/>
        </w:rPr>
        <w:t xml:space="preserve">, </w:t>
      </w:r>
      <w:r w:rsidRPr="006A51BA">
        <w:rPr>
          <w:szCs w:val="25"/>
        </w:rPr>
        <w:t>however</w:t>
      </w:r>
      <w:r w:rsidR="006F304D" w:rsidRPr="006F304D">
        <w:rPr>
          <w:szCs w:val="25"/>
        </w:rPr>
        <w:t xml:space="preserve">, </w:t>
      </w:r>
      <w:r w:rsidRPr="006A51BA">
        <w:rPr>
          <w:szCs w:val="25"/>
        </w:rPr>
        <w:t xml:space="preserve">that “the good man” and “the evil man” who produce good or evil in 45ab can be restricted to the disciples as leaders; probably 45ab refers to </w:t>
      </w:r>
      <w:r w:rsidRPr="00FF03AB">
        <w:rPr>
          <w:szCs w:val="25"/>
        </w:rPr>
        <w:t>“</w:t>
      </w:r>
      <w:r w:rsidRPr="006A51BA">
        <w:rPr>
          <w:szCs w:val="25"/>
        </w:rPr>
        <w:t>the good man”</w:t>
      </w:r>
      <w:r>
        <w:rPr>
          <w:szCs w:val="25"/>
        </w:rPr>
        <w:t xml:space="preserve"> and “the evil man” in general.</w:t>
      </w:r>
      <w:r>
        <w:rPr>
          <w:rStyle w:val="FootnoteReference"/>
          <w:szCs w:val="25"/>
        </w:rPr>
        <w:footnoteReference w:id="568"/>
      </w:r>
      <w:r w:rsidRPr="006A51BA">
        <w:rPr>
          <w:szCs w:val="25"/>
        </w:rPr>
        <w:t xml:space="preserve"> Thus the “speaking” of 45c will be speech in general</w:t>
      </w:r>
      <w:r w:rsidR="006F304D" w:rsidRPr="006F304D">
        <w:rPr>
          <w:szCs w:val="25"/>
        </w:rPr>
        <w:t xml:space="preserve">, </w:t>
      </w:r>
      <w:r w:rsidRPr="006A51BA">
        <w:rPr>
          <w:szCs w:val="25"/>
        </w:rPr>
        <w:t>not just the preaching of Christian leaders.</w:t>
      </w:r>
    </w:p>
    <w:p w14:paraId="3264C88C" w14:textId="48883999" w:rsidR="0018433B" w:rsidRPr="006A51BA" w:rsidRDefault="0018433B" w:rsidP="0018433B">
      <w:pPr>
        <w:pStyle w:val="Style"/>
        <w:widowControl/>
        <w:jc w:val="both"/>
        <w:textAlignment w:val="baseline"/>
        <w:rPr>
          <w:szCs w:val="25"/>
        </w:rPr>
      </w:pPr>
      <w:r>
        <w:rPr>
          <w:szCs w:val="25"/>
        </w:rPr>
        <w:tab/>
      </w:r>
      <w:r w:rsidRPr="006A51BA">
        <w:rPr>
          <w:szCs w:val="25"/>
        </w:rPr>
        <w:t>It is true that verses 43-45 (tree and fruit) deal with moral action</w:t>
      </w:r>
      <w:r w:rsidR="006F304D" w:rsidRPr="006F304D">
        <w:rPr>
          <w:szCs w:val="25"/>
        </w:rPr>
        <w:t xml:space="preserve">, </w:t>
      </w:r>
      <w:r w:rsidRPr="006A51BA">
        <w:rPr>
          <w:szCs w:val="25"/>
        </w:rPr>
        <w:t>and that verse</w:t>
      </w:r>
      <w:r>
        <w:rPr>
          <w:szCs w:val="25"/>
        </w:rPr>
        <w:t xml:space="preserve"> </w:t>
      </w:r>
      <w:r w:rsidRPr="006A51BA">
        <w:rPr>
          <w:szCs w:val="25"/>
        </w:rPr>
        <w:t>46 chides those who profess to be disciples but do not do the actions that Jesus</w:t>
      </w:r>
      <w:r>
        <w:rPr>
          <w:szCs w:val="25"/>
        </w:rPr>
        <w:t xml:space="preserve"> </w:t>
      </w:r>
      <w:r w:rsidRPr="006A51BA">
        <w:rPr>
          <w:szCs w:val="25"/>
        </w:rPr>
        <w:t>demands; to that extent the verses are a unity. And Rengstorf is correct in noting that both 45c (“for out of the abundance of the heart his mouth speaks”) and 46 are concerned with the ethics of speaking. But 45c declares that the words a person speaks (whether good or evil) are in conformity with the person’s heart</w:t>
      </w:r>
      <w:r w:rsidR="006F304D" w:rsidRPr="006F304D">
        <w:rPr>
          <w:szCs w:val="25"/>
        </w:rPr>
        <w:t xml:space="preserve">, </w:t>
      </w:r>
      <w:r w:rsidRPr="006A51BA">
        <w:rPr>
          <w:szCs w:val="25"/>
        </w:rPr>
        <w:t xml:space="preserve">whereas 46 affirms that the disciples’ words do </w:t>
      </w:r>
      <w:r w:rsidRPr="006A51BA">
        <w:rPr>
          <w:i/>
          <w:iCs/>
        </w:rPr>
        <w:t>not</w:t>
      </w:r>
      <w:r w:rsidRPr="006A2E5A">
        <w:rPr>
          <w:iCs/>
        </w:rPr>
        <w:t xml:space="preserve"> </w:t>
      </w:r>
      <w:r w:rsidRPr="006A51BA">
        <w:rPr>
          <w:szCs w:val="25"/>
        </w:rPr>
        <w:t>represent their hearts</w:t>
      </w:r>
      <w:r w:rsidR="006F304D" w:rsidRPr="006F304D">
        <w:rPr>
          <w:szCs w:val="25"/>
        </w:rPr>
        <w:t xml:space="preserve">, </w:t>
      </w:r>
      <w:r w:rsidRPr="006A51BA">
        <w:rPr>
          <w:szCs w:val="25"/>
        </w:rPr>
        <w:t>since actions belie the true moral quality of the heart</w:t>
      </w:r>
      <w:r w:rsidR="006F304D" w:rsidRPr="006F304D">
        <w:rPr>
          <w:szCs w:val="25"/>
        </w:rPr>
        <w:t xml:space="preserve">, </w:t>
      </w:r>
      <w:r w:rsidRPr="006A51BA">
        <w:rPr>
          <w:szCs w:val="25"/>
        </w:rPr>
        <w:t>and their actions do not match their words. Verse 46 deals with a different situation than 45; it therefore should not be united with the material preceding it.</w:t>
      </w:r>
    </w:p>
    <w:p w14:paraId="5F6E6AB7" w14:textId="77777777" w:rsidR="0018433B" w:rsidRPr="006A51BA" w:rsidRDefault="0018433B" w:rsidP="0018433B">
      <w:pPr>
        <w:pStyle w:val="Style"/>
        <w:widowControl/>
        <w:jc w:val="both"/>
        <w:textAlignment w:val="baseline"/>
        <w:rPr>
          <w:szCs w:val="25"/>
        </w:rPr>
      </w:pPr>
      <w:r>
        <w:rPr>
          <w:szCs w:val="25"/>
        </w:rPr>
        <w:tab/>
      </w:r>
      <w:r w:rsidRPr="006A51BA">
        <w:rPr>
          <w:szCs w:val="25"/>
        </w:rPr>
        <w:t xml:space="preserve">Verse 46 is also distinct from verses 43-45 in its tone: 46 </w:t>
      </w:r>
      <w:r w:rsidRPr="00FF03AB">
        <w:rPr>
          <w:szCs w:val="25"/>
        </w:rPr>
        <w:t>“</w:t>
      </w:r>
      <w:r w:rsidRPr="006A51BA">
        <w:rPr>
          <w:szCs w:val="25"/>
        </w:rPr>
        <w:t xml:space="preserve">presents itself as a reproach,” with the result that </w:t>
      </w:r>
      <w:r>
        <w:rPr>
          <w:szCs w:val="25"/>
        </w:rPr>
        <w:t>“</w:t>
      </w:r>
      <w:r w:rsidRPr="006A51BA">
        <w:rPr>
          <w:szCs w:val="25"/>
        </w:rPr>
        <w:t xml:space="preserve">the contrast with the preceding verse </w:t>
      </w:r>
      <w:r w:rsidRPr="002E0FF6">
        <w:rPr>
          <w:szCs w:val="25"/>
        </w:rPr>
        <w:t>. . .</w:t>
      </w:r>
      <w:r>
        <w:rPr>
          <w:szCs w:val="25"/>
        </w:rPr>
        <w:t xml:space="preserve"> is rather surprising.”</w:t>
      </w:r>
      <w:r>
        <w:rPr>
          <w:rStyle w:val="FootnoteReference"/>
          <w:szCs w:val="25"/>
        </w:rPr>
        <w:footnoteReference w:id="569"/>
      </w:r>
      <w:r w:rsidRPr="006A51BA">
        <w:rPr>
          <w:szCs w:val="25"/>
        </w:rPr>
        <w:t xml:space="preserve"> And there is continuity between verses 46 and 47: 46 speaks of </w:t>
      </w:r>
      <w:r>
        <w:rPr>
          <w:szCs w:val="25"/>
        </w:rPr>
        <w:t>“</w:t>
      </w:r>
      <w:r w:rsidRPr="006A51BA">
        <w:rPr>
          <w:szCs w:val="25"/>
        </w:rPr>
        <w:t>what</w:t>
      </w:r>
      <w:r>
        <w:rPr>
          <w:szCs w:val="25"/>
        </w:rPr>
        <w:t xml:space="preserve"> I tell you,” and 47 speaks of “</w:t>
      </w:r>
      <w:r w:rsidRPr="006A51BA">
        <w:rPr>
          <w:szCs w:val="25"/>
        </w:rPr>
        <w:t>my words.</w:t>
      </w:r>
      <w:r>
        <w:rPr>
          <w:szCs w:val="25"/>
        </w:rPr>
        <w:t>”</w:t>
      </w:r>
      <w:r>
        <w:rPr>
          <w:rStyle w:val="FootnoteReference"/>
          <w:szCs w:val="25"/>
        </w:rPr>
        <w:footnoteReference w:id="570"/>
      </w:r>
    </w:p>
    <w:p w14:paraId="2A00CFBD" w14:textId="4007B0D9" w:rsidR="0018433B" w:rsidRPr="006A51BA" w:rsidRDefault="0018433B" w:rsidP="0018433B">
      <w:pPr>
        <w:pStyle w:val="Style"/>
        <w:widowControl/>
        <w:jc w:val="both"/>
        <w:textAlignment w:val="baseline"/>
        <w:rPr>
          <w:szCs w:val="2"/>
          <w:vertAlign w:val="superscript"/>
        </w:rPr>
      </w:pPr>
      <w:r>
        <w:rPr>
          <w:szCs w:val="25"/>
        </w:rPr>
        <w:tab/>
        <w:t xml:space="preserve">Most </w:t>
      </w:r>
      <w:r w:rsidRPr="006A51BA">
        <w:rPr>
          <w:szCs w:val="25"/>
        </w:rPr>
        <w:t>commentators take 46 to be an introduction to 47-49,</w:t>
      </w:r>
      <w:r>
        <w:rPr>
          <w:rStyle w:val="FootnoteReference"/>
          <w:szCs w:val="25"/>
        </w:rPr>
        <w:footnoteReference w:id="571"/>
      </w:r>
      <w:r>
        <w:rPr>
          <w:szCs w:val="25"/>
        </w:rPr>
        <w:t xml:space="preserve"> </w:t>
      </w:r>
      <w:r w:rsidRPr="006A51BA">
        <w:rPr>
          <w:szCs w:val="25"/>
        </w:rPr>
        <w:t>and</w:t>
      </w:r>
      <w:r>
        <w:rPr>
          <w:szCs w:val="25"/>
        </w:rPr>
        <w:t xml:space="preserve"> </w:t>
      </w:r>
      <w:r w:rsidRPr="006A51BA">
        <w:rPr>
          <w:szCs w:val="25"/>
        </w:rPr>
        <w:t xml:space="preserve">I think they are correct </w:t>
      </w:r>
      <w:r>
        <w:rPr>
          <w:szCs w:val="25"/>
        </w:rPr>
        <w:t xml:space="preserve">to do </w:t>
      </w:r>
      <w:r w:rsidRPr="006A51BA">
        <w:rPr>
          <w:szCs w:val="25"/>
        </w:rPr>
        <w:t>so. Verses 48 and 49b</w:t>
      </w:r>
      <w:r>
        <w:rPr>
          <w:szCs w:val="25"/>
        </w:rPr>
        <w:t>cde</w:t>
      </w:r>
      <w:r w:rsidRPr="006A51BA">
        <w:rPr>
          <w:szCs w:val="25"/>
        </w:rPr>
        <w:t xml:space="preserve"> only give the image of the</w:t>
      </w:r>
      <w:r>
        <w:rPr>
          <w:szCs w:val="25"/>
        </w:rPr>
        <w:t xml:space="preserve"> </w:t>
      </w:r>
      <w:r w:rsidRPr="006A51BA">
        <w:rPr>
          <w:szCs w:val="25"/>
        </w:rPr>
        <w:t>two houses; they do not in themselves explain to what the two houses refer. That explanation is to be found in 47</w:t>
      </w:r>
      <w:r>
        <w:rPr>
          <w:szCs w:val="25"/>
        </w:rPr>
        <w:t xml:space="preserve"> (“</w:t>
      </w:r>
      <w:r w:rsidRPr="00CD75A6">
        <w:t xml:space="preserve">I will show you what </w:t>
      </w:r>
      <w:r w:rsidRPr="00CD75A6">
        <w:lastRenderedPageBreak/>
        <w:t>someone is like</w:t>
      </w:r>
      <w:r w:rsidRPr="006A2E5A">
        <w:t xml:space="preserve"> </w:t>
      </w:r>
      <w:r w:rsidRPr="00CD75A6">
        <w:t>who comes to me</w:t>
      </w:r>
      <w:r w:rsidR="006F304D" w:rsidRPr="006F304D">
        <w:t xml:space="preserve">, </w:t>
      </w:r>
      <w:r w:rsidRPr="00CD75A6">
        <w:t>hears my words</w:t>
      </w:r>
      <w:r w:rsidR="006F304D" w:rsidRPr="006F304D">
        <w:t xml:space="preserve">, </w:t>
      </w:r>
      <w:r w:rsidRPr="00CD75A6">
        <w:t>and acts on them</w:t>
      </w:r>
      <w:r>
        <w:t>”)</w:t>
      </w:r>
      <w:r w:rsidRPr="006A51BA">
        <w:rPr>
          <w:szCs w:val="25"/>
        </w:rPr>
        <w:t xml:space="preserve"> and 49a</w:t>
      </w:r>
      <w:r>
        <w:rPr>
          <w:szCs w:val="25"/>
        </w:rPr>
        <w:t xml:space="preserve"> (“</w:t>
      </w:r>
      <w:r w:rsidRPr="00CD75A6">
        <w:t>But the one who hears and does not act is like a man</w:t>
      </w:r>
      <w:r>
        <w:t>”</w:t>
      </w:r>
      <w:r>
        <w:rPr>
          <w:szCs w:val="25"/>
        </w:rPr>
        <w:t>);</w:t>
      </w:r>
      <w:r w:rsidRPr="006A51BA">
        <w:rPr>
          <w:szCs w:val="25"/>
        </w:rPr>
        <w:t xml:space="preserve"> </w:t>
      </w:r>
      <w:r>
        <w:rPr>
          <w:szCs w:val="25"/>
        </w:rPr>
        <w:t xml:space="preserve">these </w:t>
      </w:r>
      <w:r w:rsidRPr="006A51BA">
        <w:rPr>
          <w:szCs w:val="25"/>
        </w:rPr>
        <w:t>are the explanatory introductions for the images that follow them. It is true that in 46 the subject is the relation of profession (</w:t>
      </w:r>
      <w:r>
        <w:rPr>
          <w:szCs w:val="25"/>
        </w:rPr>
        <w:t>κα</w:t>
      </w:r>
      <w:proofErr w:type="spellStart"/>
      <w:r>
        <w:rPr>
          <w:szCs w:val="25"/>
        </w:rPr>
        <w:t>λέω</w:t>
      </w:r>
      <w:proofErr w:type="spellEnd"/>
      <w:r w:rsidRPr="006A51BA">
        <w:rPr>
          <w:szCs w:val="25"/>
        </w:rPr>
        <w:t>) to action (</w:t>
      </w:r>
      <w:r>
        <w:rPr>
          <w:szCs w:val="25"/>
        </w:rPr>
        <w:t>π</w:t>
      </w:r>
      <w:proofErr w:type="spellStart"/>
      <w:r>
        <w:rPr>
          <w:szCs w:val="25"/>
        </w:rPr>
        <w:t>οιέω</w:t>
      </w:r>
      <w:proofErr w:type="spellEnd"/>
      <w:r w:rsidRPr="006A51BA">
        <w:rPr>
          <w:szCs w:val="25"/>
        </w:rPr>
        <w:t>)</w:t>
      </w:r>
      <w:r w:rsidR="006F304D" w:rsidRPr="006F304D">
        <w:rPr>
          <w:szCs w:val="25"/>
        </w:rPr>
        <w:t xml:space="preserve">, </w:t>
      </w:r>
      <w:r w:rsidRPr="006A51BA">
        <w:rPr>
          <w:szCs w:val="25"/>
        </w:rPr>
        <w:t>while in 47 and 49a the subject is the relation of hearing (</w:t>
      </w:r>
      <w:r w:rsidRPr="00CE06CA">
        <w:rPr>
          <w:bCs/>
          <w:szCs w:val="22"/>
          <w:lang w:val="el-GR"/>
        </w:rPr>
        <w:t>ἀκούω</w:t>
      </w:r>
      <w:r w:rsidRPr="006A51BA">
        <w:rPr>
          <w:szCs w:val="25"/>
        </w:rPr>
        <w:t>) to action (</w:t>
      </w:r>
      <w:r>
        <w:rPr>
          <w:szCs w:val="25"/>
        </w:rPr>
        <w:t>π</w:t>
      </w:r>
      <w:proofErr w:type="spellStart"/>
      <w:r>
        <w:rPr>
          <w:szCs w:val="25"/>
        </w:rPr>
        <w:t>οιέω</w:t>
      </w:r>
      <w:proofErr w:type="spellEnd"/>
      <w:r w:rsidRPr="006A51BA">
        <w:rPr>
          <w:szCs w:val="25"/>
        </w:rPr>
        <w:t xml:space="preserve">). But the idea of </w:t>
      </w:r>
      <w:r>
        <w:rPr>
          <w:szCs w:val="25"/>
        </w:rPr>
        <w:t>“</w:t>
      </w:r>
      <w:r w:rsidRPr="006A51BA">
        <w:rPr>
          <w:szCs w:val="25"/>
        </w:rPr>
        <w:t>doing” is constant through</w:t>
      </w:r>
      <w:r w:rsidRPr="006A51BA">
        <w:rPr>
          <w:szCs w:val="25"/>
        </w:rPr>
        <w:softHyphen/>
        <w:t>out. In addition</w:t>
      </w:r>
      <w:r w:rsidR="006F304D" w:rsidRPr="006F304D">
        <w:rPr>
          <w:szCs w:val="25"/>
        </w:rPr>
        <w:t xml:space="preserve">, </w:t>
      </w:r>
      <w:r w:rsidRPr="006A51BA">
        <w:rPr>
          <w:szCs w:val="25"/>
        </w:rPr>
        <w:t>the idea of hearing is implicit in 46 (</w:t>
      </w:r>
      <w:r>
        <w:rPr>
          <w:szCs w:val="25"/>
        </w:rPr>
        <w:t>“</w:t>
      </w:r>
      <w:r w:rsidRPr="00CD75A6">
        <w:t xml:space="preserve">and not do what I </w:t>
      </w:r>
      <w:r w:rsidRPr="003B2C28">
        <w:rPr>
          <w:i/>
        </w:rPr>
        <w:t>tell</w:t>
      </w:r>
      <w:r w:rsidRPr="00CD75A6">
        <w:t xml:space="preserve"> you</w:t>
      </w:r>
      <w:r w:rsidRPr="006A51BA">
        <w:rPr>
          <w:szCs w:val="25"/>
        </w:rPr>
        <w:t xml:space="preserve">,” </w:t>
      </w:r>
      <w:r w:rsidRPr="00CE06CA">
        <w:rPr>
          <w:bCs/>
          <w:szCs w:val="22"/>
          <w:lang w:val="el-GR"/>
        </w:rPr>
        <w:t>λέγω</w:t>
      </w:r>
      <w:r w:rsidRPr="004C516D">
        <w:rPr>
          <w:szCs w:val="26"/>
        </w:rPr>
        <w:t>)</w:t>
      </w:r>
      <w:r w:rsidR="006F304D" w:rsidRPr="006F304D">
        <w:rPr>
          <w:szCs w:val="26"/>
        </w:rPr>
        <w:t xml:space="preserve">, </w:t>
      </w:r>
      <w:r w:rsidRPr="006A51BA">
        <w:rPr>
          <w:szCs w:val="25"/>
        </w:rPr>
        <w:t>and the idea of professing discipleship is implicit in 47 (</w:t>
      </w:r>
      <w:r>
        <w:rPr>
          <w:szCs w:val="25"/>
        </w:rPr>
        <w:t>“</w:t>
      </w:r>
      <w:r w:rsidRPr="00CD75A6">
        <w:t xml:space="preserve">someone </w:t>
      </w:r>
      <w:r>
        <w:t xml:space="preserve">. . . </w:t>
      </w:r>
      <w:r w:rsidRPr="006A51BA">
        <w:rPr>
          <w:szCs w:val="25"/>
        </w:rPr>
        <w:t xml:space="preserve">who </w:t>
      </w:r>
      <w:r w:rsidRPr="006A51BA">
        <w:rPr>
          <w:i/>
          <w:iCs/>
          <w:szCs w:val="25"/>
        </w:rPr>
        <w:t>comes</w:t>
      </w:r>
      <w:r w:rsidRPr="003B2C28">
        <w:rPr>
          <w:iCs/>
          <w:szCs w:val="25"/>
        </w:rPr>
        <w:t xml:space="preserve"> </w:t>
      </w:r>
      <w:r w:rsidRPr="006A51BA">
        <w:rPr>
          <w:szCs w:val="25"/>
        </w:rPr>
        <w:t>to me,”</w:t>
      </w:r>
      <w:r>
        <w:rPr>
          <w:szCs w:val="25"/>
        </w:rPr>
        <w:t xml:space="preserve"> </w:t>
      </w:r>
      <w:proofErr w:type="spellStart"/>
      <w:r w:rsidRPr="00CB0999">
        <w:rPr>
          <w:szCs w:val="22"/>
          <w:lang w:bidi="he-IL"/>
        </w:rPr>
        <w:t>ἔ</w:t>
      </w:r>
      <w:r>
        <w:rPr>
          <w:szCs w:val="22"/>
          <w:lang w:bidi="he-IL"/>
        </w:rPr>
        <w:t>ρχομ</w:t>
      </w:r>
      <w:proofErr w:type="spellEnd"/>
      <w:r>
        <w:rPr>
          <w:szCs w:val="22"/>
          <w:lang w:bidi="he-IL"/>
        </w:rPr>
        <w:t>αι</w:t>
      </w:r>
      <w:r w:rsidRPr="006A51BA">
        <w:rPr>
          <w:szCs w:val="25"/>
        </w:rPr>
        <w:t>). Verse 46</w:t>
      </w:r>
      <w:r w:rsidR="006F304D" w:rsidRPr="006F304D">
        <w:rPr>
          <w:szCs w:val="25"/>
        </w:rPr>
        <w:t xml:space="preserve">, </w:t>
      </w:r>
      <w:r w:rsidRPr="006A51BA">
        <w:rPr>
          <w:szCs w:val="25"/>
        </w:rPr>
        <w:t>then</w:t>
      </w:r>
      <w:r w:rsidR="006F304D" w:rsidRPr="006F304D">
        <w:rPr>
          <w:szCs w:val="25"/>
        </w:rPr>
        <w:t xml:space="preserve">, </w:t>
      </w:r>
      <w:r w:rsidRPr="006A51BA">
        <w:rPr>
          <w:szCs w:val="25"/>
        </w:rPr>
        <w:t xml:space="preserve">should be taken as </w:t>
      </w:r>
      <w:r>
        <w:rPr>
          <w:szCs w:val="25"/>
        </w:rPr>
        <w:t>“</w:t>
      </w:r>
      <w:r w:rsidRPr="006A51BA">
        <w:rPr>
          <w:szCs w:val="25"/>
        </w:rPr>
        <w:t>an introduction to the parable</w:t>
      </w:r>
      <w:r w:rsidR="006F304D" w:rsidRPr="006F304D">
        <w:rPr>
          <w:szCs w:val="25"/>
        </w:rPr>
        <w:t xml:space="preserve">, </w:t>
      </w:r>
      <w:r w:rsidRPr="006A51BA">
        <w:rPr>
          <w:szCs w:val="25"/>
        </w:rPr>
        <w:t>which serves as its il</w:t>
      </w:r>
      <w:r>
        <w:rPr>
          <w:szCs w:val="25"/>
        </w:rPr>
        <w:t>lustration.”</w:t>
      </w:r>
      <w:r>
        <w:rPr>
          <w:rStyle w:val="FootnoteReference"/>
          <w:szCs w:val="25"/>
        </w:rPr>
        <w:footnoteReference w:id="572"/>
      </w:r>
    </w:p>
    <w:p w14:paraId="7C2E56A7" w14:textId="335B06E8" w:rsidR="0018433B" w:rsidRDefault="0018433B" w:rsidP="0018433B">
      <w:pPr>
        <w:pStyle w:val="Style"/>
        <w:widowControl/>
        <w:jc w:val="both"/>
        <w:textAlignment w:val="baseline"/>
        <w:rPr>
          <w:szCs w:val="25"/>
        </w:rPr>
      </w:pPr>
      <w:r>
        <w:rPr>
          <w:szCs w:val="25"/>
        </w:rPr>
        <w:tab/>
      </w:r>
      <w:r w:rsidRPr="006A51BA">
        <w:rPr>
          <w:szCs w:val="25"/>
        </w:rPr>
        <w:t>Thus 46 belongs with 47-49. It is</w:t>
      </w:r>
      <w:r w:rsidR="006F304D" w:rsidRPr="006F304D">
        <w:rPr>
          <w:szCs w:val="25"/>
        </w:rPr>
        <w:t xml:space="preserve">, </w:t>
      </w:r>
      <w:r w:rsidRPr="006A51BA">
        <w:rPr>
          <w:szCs w:val="25"/>
        </w:rPr>
        <w:t>however</w:t>
      </w:r>
      <w:r w:rsidR="006F304D" w:rsidRPr="006F304D">
        <w:rPr>
          <w:szCs w:val="25"/>
        </w:rPr>
        <w:t xml:space="preserve">, </w:t>
      </w:r>
      <w:r w:rsidRPr="006A51BA">
        <w:rPr>
          <w:szCs w:val="25"/>
        </w:rPr>
        <w:t>too different from 47-49 not to be subdivided from them: 46 is interrogation</w:t>
      </w:r>
      <w:r w:rsidR="006F304D" w:rsidRPr="006F304D">
        <w:rPr>
          <w:szCs w:val="25"/>
        </w:rPr>
        <w:t xml:space="preserve">, </w:t>
      </w:r>
      <w:r w:rsidRPr="006A51BA">
        <w:rPr>
          <w:szCs w:val="25"/>
        </w:rPr>
        <w:t>while 47-49 are not; and 47-49 are closely parallel. Thus we revise our earlier outline accordingly.</w:t>
      </w:r>
    </w:p>
    <w:p w14:paraId="18BF526F" w14:textId="77777777" w:rsidR="0018433B" w:rsidRDefault="0018433B" w:rsidP="0018433B">
      <w:pPr>
        <w:pStyle w:val="Style"/>
        <w:widowControl/>
        <w:jc w:val="both"/>
        <w:textAlignment w:val="baseline"/>
        <w:rPr>
          <w:szCs w:val="25"/>
        </w:rPr>
      </w:pPr>
    </w:p>
    <w:p w14:paraId="7ECA3946" w14:textId="77777777" w:rsidR="0018433B" w:rsidRPr="00B51852" w:rsidRDefault="0018433B" w:rsidP="0018433B">
      <w:pPr>
        <w:pStyle w:val="Style"/>
        <w:widowControl/>
        <w:tabs>
          <w:tab w:val="left" w:pos="3600"/>
          <w:tab w:val="left" w:pos="3960"/>
          <w:tab w:val="left" w:pos="4320"/>
          <w:tab w:val="left" w:pos="4680"/>
          <w:tab w:val="left" w:pos="5040"/>
        </w:tabs>
        <w:jc w:val="both"/>
        <w:textAlignment w:val="baseline"/>
        <w:rPr>
          <w:szCs w:val="25"/>
        </w:rPr>
      </w:pPr>
      <w:r>
        <w:rPr>
          <w:szCs w:val="25"/>
        </w:rPr>
        <w:tab/>
        <w:t>1.</w:t>
      </w:r>
      <w:r>
        <w:rPr>
          <w:szCs w:val="25"/>
        </w:rPr>
        <w:tab/>
        <w:t>46</w:t>
      </w:r>
      <w:r w:rsidRPr="00B51852">
        <w:rPr>
          <w:szCs w:val="25"/>
        </w:rPr>
        <w:t>-49</w:t>
      </w:r>
    </w:p>
    <w:p w14:paraId="2F04212D" w14:textId="77777777" w:rsidR="0018433B" w:rsidRDefault="0018433B" w:rsidP="0018433B">
      <w:pPr>
        <w:pStyle w:val="Style"/>
        <w:widowControl/>
        <w:tabs>
          <w:tab w:val="left" w:pos="3600"/>
          <w:tab w:val="left" w:pos="3960"/>
          <w:tab w:val="left" w:pos="4320"/>
          <w:tab w:val="left" w:pos="4680"/>
          <w:tab w:val="left" w:pos="5040"/>
        </w:tabs>
        <w:jc w:val="both"/>
        <w:textAlignment w:val="baseline"/>
        <w:rPr>
          <w:szCs w:val="25"/>
        </w:rPr>
      </w:pPr>
      <w:r>
        <w:rPr>
          <w:szCs w:val="25"/>
        </w:rPr>
        <w:tab/>
      </w:r>
      <w:r>
        <w:rPr>
          <w:szCs w:val="25"/>
        </w:rPr>
        <w:tab/>
        <w:t>a.</w:t>
      </w:r>
      <w:r>
        <w:rPr>
          <w:szCs w:val="25"/>
        </w:rPr>
        <w:tab/>
        <w:t>46</w:t>
      </w:r>
    </w:p>
    <w:p w14:paraId="4C7980CE" w14:textId="77777777" w:rsidR="0018433B" w:rsidRDefault="0018433B" w:rsidP="0018433B">
      <w:pPr>
        <w:pStyle w:val="Style"/>
        <w:widowControl/>
        <w:tabs>
          <w:tab w:val="left" w:pos="3600"/>
          <w:tab w:val="left" w:pos="3960"/>
          <w:tab w:val="left" w:pos="4320"/>
          <w:tab w:val="left" w:pos="4680"/>
          <w:tab w:val="left" w:pos="5040"/>
        </w:tabs>
        <w:jc w:val="both"/>
        <w:textAlignment w:val="baseline"/>
        <w:rPr>
          <w:szCs w:val="25"/>
        </w:rPr>
      </w:pPr>
      <w:r>
        <w:rPr>
          <w:szCs w:val="25"/>
        </w:rPr>
        <w:tab/>
      </w:r>
      <w:r>
        <w:rPr>
          <w:szCs w:val="25"/>
        </w:rPr>
        <w:tab/>
        <w:t>b.</w:t>
      </w:r>
      <w:r>
        <w:rPr>
          <w:szCs w:val="25"/>
        </w:rPr>
        <w:tab/>
        <w:t>47-49</w:t>
      </w:r>
    </w:p>
    <w:p w14:paraId="6C4F4749" w14:textId="77777777" w:rsidR="0018433B" w:rsidRPr="00B51852" w:rsidRDefault="0018433B" w:rsidP="0018433B">
      <w:pPr>
        <w:pStyle w:val="Style"/>
        <w:widowControl/>
        <w:tabs>
          <w:tab w:val="left" w:pos="3600"/>
          <w:tab w:val="left" w:pos="3960"/>
          <w:tab w:val="left" w:pos="4320"/>
          <w:tab w:val="left" w:pos="4680"/>
          <w:tab w:val="left" w:pos="5040"/>
        </w:tabs>
        <w:jc w:val="both"/>
        <w:textAlignment w:val="baseline"/>
        <w:rPr>
          <w:szCs w:val="25"/>
        </w:rPr>
      </w:pPr>
      <w:r>
        <w:rPr>
          <w:szCs w:val="25"/>
        </w:rPr>
        <w:tab/>
      </w:r>
      <w:r>
        <w:rPr>
          <w:szCs w:val="25"/>
        </w:rPr>
        <w:tab/>
      </w:r>
      <w:r>
        <w:rPr>
          <w:szCs w:val="25"/>
        </w:rPr>
        <w:tab/>
        <w:t>a.</w:t>
      </w:r>
      <w:r>
        <w:rPr>
          <w:szCs w:val="25"/>
        </w:rPr>
        <w:tab/>
      </w:r>
      <w:r w:rsidRPr="00B51852">
        <w:rPr>
          <w:szCs w:val="25"/>
        </w:rPr>
        <w:t>47-48</w:t>
      </w:r>
    </w:p>
    <w:p w14:paraId="386E9D4D" w14:textId="77777777" w:rsidR="0018433B" w:rsidRDefault="0018433B" w:rsidP="0018433B">
      <w:pPr>
        <w:pStyle w:val="Style"/>
        <w:widowControl/>
        <w:tabs>
          <w:tab w:val="left" w:pos="3600"/>
          <w:tab w:val="left" w:pos="3960"/>
          <w:tab w:val="left" w:pos="4320"/>
          <w:tab w:val="left" w:pos="4680"/>
          <w:tab w:val="left" w:pos="5040"/>
        </w:tabs>
        <w:jc w:val="both"/>
        <w:textAlignment w:val="baseline"/>
        <w:rPr>
          <w:szCs w:val="25"/>
        </w:rPr>
      </w:pPr>
      <w:r>
        <w:rPr>
          <w:szCs w:val="25"/>
        </w:rPr>
        <w:tab/>
      </w:r>
      <w:r>
        <w:rPr>
          <w:szCs w:val="25"/>
        </w:rPr>
        <w:tab/>
      </w:r>
      <w:r>
        <w:rPr>
          <w:szCs w:val="25"/>
        </w:rPr>
        <w:tab/>
      </w:r>
      <w:r>
        <w:rPr>
          <w:szCs w:val="25"/>
        </w:rPr>
        <w:tab/>
        <w:t>1)</w:t>
      </w:r>
      <w:r>
        <w:rPr>
          <w:szCs w:val="25"/>
        </w:rPr>
        <w:tab/>
        <w:t>47</w:t>
      </w:r>
    </w:p>
    <w:p w14:paraId="06956E77" w14:textId="77777777" w:rsidR="0018433B" w:rsidRDefault="0018433B" w:rsidP="0018433B">
      <w:pPr>
        <w:pStyle w:val="Style"/>
        <w:widowControl/>
        <w:tabs>
          <w:tab w:val="left" w:pos="3600"/>
          <w:tab w:val="left" w:pos="3960"/>
          <w:tab w:val="left" w:pos="4320"/>
          <w:tab w:val="left" w:pos="4680"/>
          <w:tab w:val="left" w:pos="5040"/>
        </w:tabs>
        <w:jc w:val="both"/>
        <w:textAlignment w:val="baseline"/>
        <w:rPr>
          <w:szCs w:val="25"/>
        </w:rPr>
      </w:pPr>
      <w:r>
        <w:rPr>
          <w:szCs w:val="25"/>
        </w:rPr>
        <w:tab/>
      </w:r>
      <w:r>
        <w:rPr>
          <w:szCs w:val="25"/>
        </w:rPr>
        <w:tab/>
      </w:r>
      <w:r>
        <w:rPr>
          <w:szCs w:val="25"/>
        </w:rPr>
        <w:tab/>
      </w:r>
      <w:r>
        <w:rPr>
          <w:szCs w:val="25"/>
        </w:rPr>
        <w:tab/>
        <w:t>2)</w:t>
      </w:r>
      <w:r>
        <w:rPr>
          <w:szCs w:val="25"/>
        </w:rPr>
        <w:tab/>
        <w:t>48</w:t>
      </w:r>
    </w:p>
    <w:p w14:paraId="2DBB7664" w14:textId="77777777" w:rsidR="0018433B" w:rsidRDefault="0018433B" w:rsidP="0018433B">
      <w:pPr>
        <w:pStyle w:val="Style"/>
        <w:widowControl/>
        <w:tabs>
          <w:tab w:val="left" w:pos="3600"/>
          <w:tab w:val="left" w:pos="3960"/>
          <w:tab w:val="left" w:pos="4320"/>
          <w:tab w:val="left" w:pos="4680"/>
          <w:tab w:val="left" w:pos="5040"/>
        </w:tabs>
        <w:jc w:val="both"/>
        <w:textAlignment w:val="baseline"/>
        <w:rPr>
          <w:szCs w:val="25"/>
        </w:rPr>
      </w:pPr>
      <w:r>
        <w:rPr>
          <w:szCs w:val="25"/>
        </w:rPr>
        <w:tab/>
      </w:r>
      <w:r>
        <w:rPr>
          <w:szCs w:val="25"/>
        </w:rPr>
        <w:tab/>
      </w:r>
      <w:r>
        <w:rPr>
          <w:szCs w:val="25"/>
        </w:rPr>
        <w:tab/>
        <w:t>b.</w:t>
      </w:r>
      <w:r>
        <w:rPr>
          <w:szCs w:val="25"/>
        </w:rPr>
        <w:tab/>
      </w:r>
      <w:r w:rsidRPr="00B51852">
        <w:rPr>
          <w:szCs w:val="25"/>
        </w:rPr>
        <w:t>49</w:t>
      </w:r>
    </w:p>
    <w:p w14:paraId="0BB9A5C9" w14:textId="77777777" w:rsidR="0018433B" w:rsidRDefault="0018433B" w:rsidP="0018433B">
      <w:pPr>
        <w:pStyle w:val="Style"/>
        <w:widowControl/>
        <w:tabs>
          <w:tab w:val="left" w:pos="3600"/>
          <w:tab w:val="left" w:pos="3960"/>
          <w:tab w:val="left" w:pos="4320"/>
          <w:tab w:val="left" w:pos="4680"/>
          <w:tab w:val="left" w:pos="5040"/>
        </w:tabs>
        <w:jc w:val="both"/>
        <w:textAlignment w:val="baseline"/>
        <w:rPr>
          <w:szCs w:val="25"/>
        </w:rPr>
      </w:pPr>
      <w:r>
        <w:rPr>
          <w:szCs w:val="25"/>
        </w:rPr>
        <w:tab/>
      </w:r>
      <w:r>
        <w:rPr>
          <w:szCs w:val="25"/>
        </w:rPr>
        <w:tab/>
      </w:r>
      <w:r>
        <w:rPr>
          <w:szCs w:val="25"/>
        </w:rPr>
        <w:tab/>
      </w:r>
      <w:r>
        <w:rPr>
          <w:szCs w:val="25"/>
        </w:rPr>
        <w:tab/>
        <w:t>1)</w:t>
      </w:r>
      <w:r>
        <w:rPr>
          <w:szCs w:val="25"/>
        </w:rPr>
        <w:tab/>
        <w:t>49a</w:t>
      </w:r>
    </w:p>
    <w:p w14:paraId="6C19C01F" w14:textId="77777777" w:rsidR="0018433B" w:rsidRPr="00FC683A" w:rsidRDefault="0018433B" w:rsidP="0018433B">
      <w:pPr>
        <w:pStyle w:val="Style"/>
        <w:widowControl/>
        <w:tabs>
          <w:tab w:val="left" w:pos="3600"/>
          <w:tab w:val="left" w:pos="3960"/>
          <w:tab w:val="left" w:pos="4320"/>
          <w:tab w:val="left" w:pos="4680"/>
          <w:tab w:val="left" w:pos="5040"/>
        </w:tabs>
        <w:jc w:val="both"/>
        <w:textAlignment w:val="baseline"/>
      </w:pPr>
      <w:r>
        <w:tab/>
      </w:r>
      <w:r>
        <w:tab/>
      </w:r>
      <w:r>
        <w:tab/>
      </w:r>
      <w:r>
        <w:tab/>
        <w:t>2)</w:t>
      </w:r>
      <w:r>
        <w:tab/>
        <w:t>49b-e</w:t>
      </w:r>
    </w:p>
    <w:p w14:paraId="32EC56A1" w14:textId="77777777" w:rsidR="0018433B" w:rsidRDefault="0018433B" w:rsidP="0018433B">
      <w:pPr>
        <w:pStyle w:val="Style"/>
        <w:widowControl/>
        <w:jc w:val="both"/>
        <w:textAlignment w:val="baseline"/>
        <w:rPr>
          <w:szCs w:val="25"/>
        </w:rPr>
      </w:pPr>
    </w:p>
    <w:p w14:paraId="2FC43196" w14:textId="77777777" w:rsidR="0018433B" w:rsidRDefault="0018433B" w:rsidP="0018433B">
      <w:pPr>
        <w:pStyle w:val="Style"/>
        <w:widowControl/>
        <w:jc w:val="both"/>
        <w:textAlignment w:val="baseline"/>
        <w:rPr>
          <w:szCs w:val="25"/>
        </w:rPr>
      </w:pPr>
      <w:r>
        <w:rPr>
          <w:szCs w:val="25"/>
        </w:rPr>
        <w:tab/>
      </w:r>
      <w:r w:rsidRPr="006A51BA">
        <w:rPr>
          <w:szCs w:val="25"/>
        </w:rPr>
        <w:t>We can now summarize our treatment of the six intervening verses by gathering</w:t>
      </w:r>
      <w:r>
        <w:rPr>
          <w:szCs w:val="25"/>
        </w:rPr>
        <w:t xml:space="preserve"> </w:t>
      </w:r>
      <w:r w:rsidRPr="006A51BA">
        <w:rPr>
          <w:szCs w:val="25"/>
        </w:rPr>
        <w:t xml:space="preserve">into a second preliminary outline the conclusions we have reached in this section </w:t>
      </w:r>
      <w:r w:rsidRPr="004C516D">
        <w:rPr>
          <w:szCs w:val="25"/>
        </w:rPr>
        <w:t>(</w:t>
      </w:r>
      <w:r w:rsidRPr="006A51BA">
        <w:rPr>
          <w:szCs w:val="25"/>
        </w:rPr>
        <w:t>see</w:t>
      </w:r>
      <w:r>
        <w:rPr>
          <w:szCs w:val="25"/>
        </w:rPr>
        <w:t xml:space="preserve"> </w:t>
      </w:r>
      <w:r w:rsidRPr="006A51BA">
        <w:rPr>
          <w:szCs w:val="25"/>
        </w:rPr>
        <w:t>Figure 9.2).</w:t>
      </w:r>
    </w:p>
    <w:p w14:paraId="14AF0BD4" w14:textId="77777777" w:rsidR="0018433B" w:rsidRDefault="0018433B" w:rsidP="0018433B">
      <w:pPr>
        <w:pStyle w:val="Style"/>
        <w:widowControl/>
        <w:jc w:val="both"/>
        <w:textAlignment w:val="baseline"/>
        <w:rPr>
          <w:szCs w:val="25"/>
        </w:rPr>
      </w:pPr>
    </w:p>
    <w:tbl>
      <w:tblPr>
        <w:tblStyle w:val="TableGrid"/>
        <w:tblW w:w="0" w:type="auto"/>
        <w:tblLayout w:type="fixed"/>
        <w:tblCellMar>
          <w:left w:w="115" w:type="dxa"/>
          <w:right w:w="115" w:type="dxa"/>
        </w:tblCellMar>
        <w:tblLook w:val="04A0" w:firstRow="1" w:lastRow="0" w:firstColumn="1" w:lastColumn="0" w:noHBand="0" w:noVBand="1"/>
      </w:tblPr>
      <w:tblGrid>
        <w:gridCol w:w="2275"/>
        <w:gridCol w:w="2340"/>
        <w:gridCol w:w="2520"/>
        <w:gridCol w:w="2441"/>
      </w:tblGrid>
      <w:tr w:rsidR="0018433B" w:rsidRPr="001627D3" w14:paraId="699C64CD" w14:textId="77777777" w:rsidTr="00A44C2E">
        <w:tc>
          <w:tcPr>
            <w:tcW w:w="2275" w:type="dxa"/>
          </w:tcPr>
          <w:p w14:paraId="1A6590AB"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1.</w:t>
            </w:r>
            <w:r>
              <w:rPr>
                <w:szCs w:val="25"/>
              </w:rPr>
              <w:tab/>
            </w:r>
            <w:r w:rsidRPr="00B51852">
              <w:rPr>
                <w:szCs w:val="25"/>
              </w:rPr>
              <w:t>20a</w:t>
            </w:r>
          </w:p>
          <w:p w14:paraId="456BC2FE" w14:textId="77777777" w:rsidR="0018433B" w:rsidRDefault="0018433B" w:rsidP="00A44C2E">
            <w:pPr>
              <w:pStyle w:val="Style"/>
              <w:widowControl/>
              <w:tabs>
                <w:tab w:val="left" w:pos="360"/>
                <w:tab w:val="left" w:pos="720"/>
                <w:tab w:val="left" w:pos="1080"/>
                <w:tab w:val="left" w:pos="1440"/>
                <w:tab w:val="left" w:pos="1800"/>
              </w:tabs>
              <w:jc w:val="both"/>
              <w:textAlignment w:val="baseline"/>
              <w:rPr>
                <w:szCs w:val="25"/>
              </w:rPr>
            </w:pPr>
          </w:p>
          <w:p w14:paraId="52246011"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1.</w:t>
            </w:r>
            <w:r>
              <w:rPr>
                <w:szCs w:val="25"/>
              </w:rPr>
              <w:tab/>
            </w:r>
            <w:r w:rsidRPr="00B51852">
              <w:rPr>
                <w:szCs w:val="25"/>
              </w:rPr>
              <w:t>20</w:t>
            </w:r>
            <w:r>
              <w:rPr>
                <w:szCs w:val="25"/>
              </w:rPr>
              <w:t>b</w:t>
            </w:r>
            <w:r w:rsidRPr="00B51852">
              <w:rPr>
                <w:szCs w:val="25"/>
              </w:rPr>
              <w:t>-26</w:t>
            </w:r>
          </w:p>
          <w:p w14:paraId="58864530"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t>a.</w:t>
            </w:r>
            <w:r>
              <w:rPr>
                <w:szCs w:val="25"/>
              </w:rPr>
              <w:tab/>
            </w:r>
            <w:r w:rsidRPr="00B51852">
              <w:rPr>
                <w:szCs w:val="25"/>
              </w:rPr>
              <w:t>20b-23</w:t>
            </w:r>
          </w:p>
          <w:p w14:paraId="32193A8C"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t>1)</w:t>
            </w:r>
            <w:r>
              <w:rPr>
                <w:szCs w:val="25"/>
              </w:rPr>
              <w:tab/>
            </w:r>
            <w:r w:rsidRPr="00B51852">
              <w:rPr>
                <w:szCs w:val="25"/>
              </w:rPr>
              <w:t>20b-21</w:t>
            </w:r>
          </w:p>
          <w:p w14:paraId="0CE7ED38" w14:textId="77777777" w:rsidR="0018433B"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t>a)</w:t>
            </w:r>
            <w:r>
              <w:rPr>
                <w:szCs w:val="25"/>
              </w:rPr>
              <w:tab/>
              <w:t>20b</w:t>
            </w:r>
          </w:p>
          <w:p w14:paraId="38844773" w14:textId="77777777" w:rsidR="0018433B"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t>b</w:t>
            </w:r>
            <w:r w:rsidRPr="00B51852">
              <w:rPr>
                <w:szCs w:val="25"/>
              </w:rPr>
              <w:t>)</w:t>
            </w:r>
            <w:r>
              <w:rPr>
                <w:szCs w:val="25"/>
              </w:rPr>
              <w:tab/>
              <w:t>21</w:t>
            </w:r>
          </w:p>
          <w:p w14:paraId="45B5D2E8"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t>2)</w:t>
            </w:r>
            <w:r>
              <w:rPr>
                <w:szCs w:val="25"/>
              </w:rPr>
              <w:tab/>
            </w:r>
            <w:r w:rsidRPr="00B51852">
              <w:rPr>
                <w:szCs w:val="25"/>
              </w:rPr>
              <w:t>22-23</w:t>
            </w:r>
          </w:p>
          <w:p w14:paraId="6B68D6BC"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t>b.</w:t>
            </w:r>
            <w:r>
              <w:rPr>
                <w:szCs w:val="25"/>
              </w:rPr>
              <w:tab/>
            </w:r>
            <w:r w:rsidRPr="00B51852">
              <w:rPr>
                <w:szCs w:val="25"/>
              </w:rPr>
              <w:t>24-26</w:t>
            </w:r>
          </w:p>
          <w:p w14:paraId="3002DCF0"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t>1)</w:t>
            </w:r>
            <w:r>
              <w:rPr>
                <w:szCs w:val="25"/>
              </w:rPr>
              <w:tab/>
            </w:r>
            <w:r w:rsidRPr="00B51852">
              <w:rPr>
                <w:szCs w:val="25"/>
              </w:rPr>
              <w:t>24-25</w:t>
            </w:r>
          </w:p>
          <w:p w14:paraId="78E2B9BA" w14:textId="77777777" w:rsidR="0018433B"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t>a)</w:t>
            </w:r>
            <w:r>
              <w:rPr>
                <w:szCs w:val="25"/>
              </w:rPr>
              <w:tab/>
              <w:t>24</w:t>
            </w:r>
          </w:p>
          <w:p w14:paraId="2CFC0CE8" w14:textId="77777777" w:rsidR="0018433B"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t>b)</w:t>
            </w:r>
            <w:r>
              <w:rPr>
                <w:szCs w:val="25"/>
              </w:rPr>
              <w:tab/>
              <w:t>25</w:t>
            </w:r>
          </w:p>
          <w:p w14:paraId="5C87EF54"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t>2)</w:t>
            </w:r>
            <w:r>
              <w:rPr>
                <w:szCs w:val="25"/>
              </w:rPr>
              <w:tab/>
            </w:r>
            <w:r w:rsidRPr="00B51852">
              <w:rPr>
                <w:szCs w:val="25"/>
              </w:rPr>
              <w:t>26</w:t>
            </w:r>
          </w:p>
          <w:p w14:paraId="65F55B8E" w14:textId="77777777" w:rsidR="0018433B" w:rsidRDefault="0018433B" w:rsidP="00A44C2E">
            <w:pPr>
              <w:tabs>
                <w:tab w:val="left" w:pos="360"/>
                <w:tab w:val="left" w:pos="720"/>
                <w:tab w:val="left" w:pos="1080"/>
                <w:tab w:val="left" w:pos="1440"/>
                <w:tab w:val="left" w:pos="1800"/>
              </w:tabs>
              <w:contextualSpacing/>
            </w:pPr>
          </w:p>
          <w:p w14:paraId="10C641F6"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1.</w:t>
            </w:r>
            <w:r>
              <w:rPr>
                <w:szCs w:val="25"/>
              </w:rPr>
              <w:tab/>
            </w:r>
            <w:r w:rsidRPr="00B51852">
              <w:rPr>
                <w:szCs w:val="25"/>
              </w:rPr>
              <w:t>27-28</w:t>
            </w:r>
          </w:p>
          <w:p w14:paraId="20DD3902"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t>a.</w:t>
            </w:r>
            <w:r>
              <w:rPr>
                <w:szCs w:val="25"/>
              </w:rPr>
              <w:tab/>
            </w:r>
            <w:r w:rsidRPr="00B51852">
              <w:rPr>
                <w:szCs w:val="25"/>
              </w:rPr>
              <w:t>27a</w:t>
            </w:r>
          </w:p>
          <w:p w14:paraId="61E0D5DF"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t>b.</w:t>
            </w:r>
            <w:r>
              <w:rPr>
                <w:szCs w:val="25"/>
              </w:rPr>
              <w:tab/>
            </w:r>
            <w:r w:rsidRPr="00B51852">
              <w:rPr>
                <w:szCs w:val="25"/>
              </w:rPr>
              <w:t>27</w:t>
            </w:r>
            <w:r>
              <w:rPr>
                <w:szCs w:val="25"/>
              </w:rPr>
              <w:t>b</w:t>
            </w:r>
            <w:r w:rsidRPr="00B51852">
              <w:rPr>
                <w:szCs w:val="25"/>
              </w:rPr>
              <w:t>-28</w:t>
            </w:r>
          </w:p>
          <w:p w14:paraId="0979A52E"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t>1)</w:t>
            </w:r>
            <w:r>
              <w:rPr>
                <w:szCs w:val="25"/>
              </w:rPr>
              <w:tab/>
            </w:r>
            <w:r w:rsidRPr="00B51852">
              <w:rPr>
                <w:szCs w:val="25"/>
              </w:rPr>
              <w:t>27</w:t>
            </w:r>
            <w:r>
              <w:rPr>
                <w:szCs w:val="25"/>
              </w:rPr>
              <w:t>b</w:t>
            </w:r>
          </w:p>
          <w:p w14:paraId="1AC28F09" w14:textId="77777777" w:rsidR="0018433B" w:rsidRPr="00557ED9"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t>2)</w:t>
            </w:r>
            <w:r>
              <w:rPr>
                <w:szCs w:val="25"/>
              </w:rPr>
              <w:tab/>
            </w:r>
            <w:r w:rsidRPr="00B51852">
              <w:rPr>
                <w:szCs w:val="25"/>
              </w:rPr>
              <w:t>27c-28</w:t>
            </w:r>
          </w:p>
        </w:tc>
        <w:tc>
          <w:tcPr>
            <w:tcW w:w="2340" w:type="dxa"/>
          </w:tcPr>
          <w:p w14:paraId="34F5FE06"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1.</w:t>
            </w:r>
            <w:r>
              <w:rPr>
                <w:szCs w:val="25"/>
              </w:rPr>
              <w:tab/>
              <w:t>29-30</w:t>
            </w:r>
          </w:p>
          <w:p w14:paraId="5C1EF708" w14:textId="77777777" w:rsidR="0018433B"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t>a.</w:t>
            </w:r>
            <w:r>
              <w:rPr>
                <w:szCs w:val="25"/>
              </w:rPr>
              <w:tab/>
              <w:t>29</w:t>
            </w:r>
          </w:p>
          <w:p w14:paraId="2AF7D95B"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t>1)</w:t>
            </w:r>
            <w:r>
              <w:rPr>
                <w:szCs w:val="25"/>
              </w:rPr>
              <w:tab/>
            </w:r>
            <w:r w:rsidRPr="00B51852">
              <w:rPr>
                <w:szCs w:val="25"/>
              </w:rPr>
              <w:t>29a</w:t>
            </w:r>
          </w:p>
          <w:p w14:paraId="015A3DAC" w14:textId="77777777" w:rsidR="0018433B"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t>2)</w:t>
            </w:r>
            <w:r>
              <w:rPr>
                <w:szCs w:val="25"/>
              </w:rPr>
              <w:tab/>
              <w:t>29b</w:t>
            </w:r>
          </w:p>
          <w:p w14:paraId="7DFC9924"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t>b.</w:t>
            </w:r>
            <w:r>
              <w:rPr>
                <w:szCs w:val="25"/>
              </w:rPr>
              <w:tab/>
            </w:r>
            <w:r w:rsidRPr="00B51852">
              <w:rPr>
                <w:szCs w:val="25"/>
              </w:rPr>
              <w:t>30</w:t>
            </w:r>
          </w:p>
          <w:p w14:paraId="5E8BF9FB"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t>1)</w:t>
            </w:r>
            <w:r>
              <w:rPr>
                <w:szCs w:val="25"/>
              </w:rPr>
              <w:tab/>
            </w:r>
            <w:r w:rsidRPr="00B51852">
              <w:rPr>
                <w:szCs w:val="25"/>
              </w:rPr>
              <w:t>30a</w:t>
            </w:r>
          </w:p>
          <w:p w14:paraId="3B01F9F6"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t>2)</w:t>
            </w:r>
            <w:r>
              <w:rPr>
                <w:szCs w:val="25"/>
              </w:rPr>
              <w:tab/>
            </w:r>
            <w:r w:rsidRPr="00B51852">
              <w:rPr>
                <w:szCs w:val="25"/>
              </w:rPr>
              <w:t>30b</w:t>
            </w:r>
          </w:p>
          <w:p w14:paraId="55DF1BCC" w14:textId="77777777" w:rsidR="0018433B" w:rsidRDefault="0018433B" w:rsidP="00A44C2E">
            <w:pPr>
              <w:tabs>
                <w:tab w:val="left" w:pos="360"/>
                <w:tab w:val="left" w:pos="720"/>
                <w:tab w:val="left" w:pos="1080"/>
                <w:tab w:val="left" w:pos="1440"/>
                <w:tab w:val="left" w:pos="1800"/>
              </w:tabs>
              <w:contextualSpacing/>
            </w:pPr>
          </w:p>
          <w:p w14:paraId="6B3A3B3F" w14:textId="77777777" w:rsidR="0018433B" w:rsidRDefault="0018433B" w:rsidP="00A44C2E">
            <w:pPr>
              <w:tabs>
                <w:tab w:val="left" w:pos="360"/>
                <w:tab w:val="left" w:pos="720"/>
                <w:tab w:val="left" w:pos="1080"/>
                <w:tab w:val="left" w:pos="1440"/>
                <w:tab w:val="left" w:pos="1800"/>
              </w:tabs>
              <w:contextualSpacing/>
            </w:pPr>
            <w:r>
              <w:t>1.</w:t>
            </w:r>
            <w:r>
              <w:tab/>
              <w:t>31</w:t>
            </w:r>
          </w:p>
          <w:p w14:paraId="33FFCD6F" w14:textId="77777777" w:rsidR="0018433B" w:rsidRDefault="0018433B" w:rsidP="00A44C2E">
            <w:pPr>
              <w:tabs>
                <w:tab w:val="left" w:pos="360"/>
                <w:tab w:val="left" w:pos="720"/>
                <w:tab w:val="left" w:pos="1080"/>
                <w:tab w:val="left" w:pos="1440"/>
                <w:tab w:val="left" w:pos="1800"/>
              </w:tabs>
              <w:contextualSpacing/>
            </w:pPr>
          </w:p>
          <w:p w14:paraId="7778E460" w14:textId="77777777" w:rsidR="0018433B" w:rsidRDefault="0018433B" w:rsidP="00A44C2E">
            <w:pPr>
              <w:tabs>
                <w:tab w:val="left" w:pos="360"/>
                <w:tab w:val="left" w:pos="720"/>
                <w:tab w:val="left" w:pos="1080"/>
                <w:tab w:val="left" w:pos="1440"/>
                <w:tab w:val="left" w:pos="1800"/>
              </w:tabs>
              <w:contextualSpacing/>
            </w:pPr>
            <w:r>
              <w:t>1.</w:t>
            </w:r>
            <w:r>
              <w:tab/>
              <w:t>32-36</w:t>
            </w:r>
          </w:p>
          <w:p w14:paraId="73DE3AE5" w14:textId="77777777" w:rsidR="0018433B" w:rsidRDefault="0018433B" w:rsidP="00A44C2E">
            <w:pPr>
              <w:tabs>
                <w:tab w:val="left" w:pos="360"/>
                <w:tab w:val="left" w:pos="720"/>
                <w:tab w:val="left" w:pos="1080"/>
                <w:tab w:val="left" w:pos="1440"/>
                <w:tab w:val="left" w:pos="1800"/>
              </w:tabs>
              <w:contextualSpacing/>
            </w:pPr>
            <w:r>
              <w:tab/>
              <w:t>a.</w:t>
            </w:r>
            <w:r>
              <w:tab/>
              <w:t>32-34</w:t>
            </w:r>
          </w:p>
          <w:p w14:paraId="2F86657E" w14:textId="77777777" w:rsidR="0018433B" w:rsidRDefault="0018433B" w:rsidP="00A44C2E">
            <w:pPr>
              <w:tabs>
                <w:tab w:val="left" w:pos="360"/>
                <w:tab w:val="left" w:pos="720"/>
                <w:tab w:val="left" w:pos="1080"/>
                <w:tab w:val="left" w:pos="1440"/>
                <w:tab w:val="left" w:pos="1800"/>
              </w:tabs>
              <w:contextualSpacing/>
            </w:pPr>
            <w:r>
              <w:tab/>
            </w:r>
            <w:r>
              <w:tab/>
              <w:t>1)</w:t>
            </w:r>
            <w:r>
              <w:tab/>
              <w:t>32</w:t>
            </w:r>
          </w:p>
          <w:p w14:paraId="51F067D1" w14:textId="77777777" w:rsidR="0018433B" w:rsidRDefault="0018433B" w:rsidP="00A44C2E">
            <w:pPr>
              <w:tabs>
                <w:tab w:val="left" w:pos="360"/>
                <w:tab w:val="left" w:pos="720"/>
                <w:tab w:val="left" w:pos="1080"/>
                <w:tab w:val="left" w:pos="1440"/>
                <w:tab w:val="left" w:pos="1800"/>
              </w:tabs>
              <w:contextualSpacing/>
            </w:pPr>
            <w:r>
              <w:tab/>
            </w:r>
            <w:r>
              <w:tab/>
            </w:r>
            <w:r>
              <w:tab/>
              <w:t>a)</w:t>
            </w:r>
            <w:r>
              <w:tab/>
              <w:t>32a</w:t>
            </w:r>
          </w:p>
          <w:p w14:paraId="0ECB9CFD" w14:textId="77777777" w:rsidR="0018433B" w:rsidRDefault="0018433B" w:rsidP="00A44C2E">
            <w:pPr>
              <w:tabs>
                <w:tab w:val="left" w:pos="360"/>
                <w:tab w:val="left" w:pos="720"/>
                <w:tab w:val="left" w:pos="1080"/>
                <w:tab w:val="left" w:pos="1440"/>
                <w:tab w:val="left" w:pos="1800"/>
              </w:tabs>
              <w:contextualSpacing/>
            </w:pPr>
            <w:r>
              <w:tab/>
            </w:r>
            <w:r>
              <w:tab/>
            </w:r>
            <w:r>
              <w:tab/>
              <w:t>b)</w:t>
            </w:r>
            <w:r>
              <w:tab/>
              <w:t>32b</w:t>
            </w:r>
          </w:p>
          <w:p w14:paraId="34524424" w14:textId="77777777" w:rsidR="0018433B" w:rsidRDefault="0018433B" w:rsidP="00A44C2E">
            <w:pPr>
              <w:tabs>
                <w:tab w:val="left" w:pos="360"/>
                <w:tab w:val="left" w:pos="720"/>
                <w:tab w:val="left" w:pos="1080"/>
                <w:tab w:val="left" w:pos="1440"/>
                <w:tab w:val="left" w:pos="1800"/>
              </w:tabs>
              <w:contextualSpacing/>
            </w:pPr>
            <w:r>
              <w:tab/>
            </w:r>
            <w:r>
              <w:tab/>
            </w:r>
            <w:r>
              <w:tab/>
              <w:t>c)</w:t>
            </w:r>
            <w:r>
              <w:tab/>
              <w:t>32c</w:t>
            </w:r>
          </w:p>
          <w:p w14:paraId="530CF5B0" w14:textId="77777777" w:rsidR="0018433B" w:rsidRDefault="0018433B" w:rsidP="00A44C2E">
            <w:pPr>
              <w:tabs>
                <w:tab w:val="left" w:pos="360"/>
                <w:tab w:val="left" w:pos="720"/>
                <w:tab w:val="left" w:pos="1080"/>
                <w:tab w:val="left" w:pos="1440"/>
                <w:tab w:val="left" w:pos="1800"/>
              </w:tabs>
              <w:contextualSpacing/>
            </w:pPr>
            <w:r>
              <w:tab/>
            </w:r>
            <w:r>
              <w:tab/>
              <w:t>2)</w:t>
            </w:r>
            <w:r>
              <w:tab/>
              <w:t>33</w:t>
            </w:r>
          </w:p>
          <w:p w14:paraId="333A4E42" w14:textId="77777777" w:rsidR="0018433B" w:rsidRDefault="0018433B" w:rsidP="00A44C2E">
            <w:pPr>
              <w:tabs>
                <w:tab w:val="left" w:pos="360"/>
                <w:tab w:val="left" w:pos="720"/>
                <w:tab w:val="left" w:pos="1080"/>
                <w:tab w:val="left" w:pos="1440"/>
                <w:tab w:val="left" w:pos="1800"/>
              </w:tabs>
              <w:contextualSpacing/>
            </w:pPr>
            <w:r>
              <w:tab/>
            </w:r>
            <w:r>
              <w:tab/>
            </w:r>
            <w:r>
              <w:tab/>
              <w:t>a)</w:t>
            </w:r>
            <w:r>
              <w:tab/>
              <w:t>33a</w:t>
            </w:r>
          </w:p>
          <w:p w14:paraId="5ED91457" w14:textId="77777777" w:rsidR="0018433B" w:rsidRDefault="0018433B" w:rsidP="00A44C2E">
            <w:pPr>
              <w:tabs>
                <w:tab w:val="left" w:pos="360"/>
                <w:tab w:val="left" w:pos="720"/>
                <w:tab w:val="left" w:pos="1080"/>
                <w:tab w:val="left" w:pos="1440"/>
                <w:tab w:val="left" w:pos="1800"/>
              </w:tabs>
              <w:contextualSpacing/>
            </w:pPr>
            <w:r>
              <w:tab/>
            </w:r>
            <w:r>
              <w:tab/>
            </w:r>
            <w:r>
              <w:tab/>
              <w:t>b)</w:t>
            </w:r>
            <w:r>
              <w:tab/>
              <w:t>33b</w:t>
            </w:r>
          </w:p>
          <w:p w14:paraId="48EE29B1" w14:textId="77777777" w:rsidR="0018433B" w:rsidRDefault="0018433B" w:rsidP="00A44C2E">
            <w:pPr>
              <w:tabs>
                <w:tab w:val="left" w:pos="360"/>
                <w:tab w:val="left" w:pos="720"/>
                <w:tab w:val="left" w:pos="1080"/>
                <w:tab w:val="left" w:pos="1440"/>
                <w:tab w:val="left" w:pos="1800"/>
              </w:tabs>
              <w:contextualSpacing/>
            </w:pPr>
            <w:r>
              <w:lastRenderedPageBreak/>
              <w:tab/>
            </w:r>
            <w:r>
              <w:tab/>
            </w:r>
            <w:r>
              <w:tab/>
              <w:t>c)</w:t>
            </w:r>
            <w:r>
              <w:tab/>
              <w:t>33c</w:t>
            </w:r>
          </w:p>
          <w:p w14:paraId="73C24E34" w14:textId="77777777" w:rsidR="0018433B" w:rsidRDefault="0018433B" w:rsidP="00A44C2E">
            <w:pPr>
              <w:tabs>
                <w:tab w:val="left" w:pos="360"/>
                <w:tab w:val="left" w:pos="720"/>
                <w:tab w:val="left" w:pos="1080"/>
                <w:tab w:val="left" w:pos="1440"/>
                <w:tab w:val="left" w:pos="1800"/>
              </w:tabs>
              <w:contextualSpacing/>
            </w:pPr>
            <w:r>
              <w:tab/>
            </w:r>
            <w:r>
              <w:tab/>
              <w:t>3)</w:t>
            </w:r>
            <w:r>
              <w:tab/>
              <w:t>34</w:t>
            </w:r>
          </w:p>
          <w:p w14:paraId="003F181B" w14:textId="77777777" w:rsidR="0018433B" w:rsidRDefault="0018433B" w:rsidP="00A44C2E">
            <w:pPr>
              <w:tabs>
                <w:tab w:val="left" w:pos="360"/>
                <w:tab w:val="left" w:pos="720"/>
                <w:tab w:val="left" w:pos="1080"/>
                <w:tab w:val="left" w:pos="1440"/>
                <w:tab w:val="left" w:pos="1800"/>
              </w:tabs>
              <w:contextualSpacing/>
            </w:pPr>
            <w:r>
              <w:tab/>
            </w:r>
            <w:r>
              <w:tab/>
            </w:r>
            <w:r>
              <w:tab/>
              <w:t>a)</w:t>
            </w:r>
            <w:r>
              <w:tab/>
              <w:t>34a</w:t>
            </w:r>
          </w:p>
          <w:p w14:paraId="0F8C76FD" w14:textId="77777777" w:rsidR="0018433B" w:rsidRDefault="0018433B" w:rsidP="00A44C2E">
            <w:pPr>
              <w:tabs>
                <w:tab w:val="left" w:pos="360"/>
                <w:tab w:val="left" w:pos="720"/>
                <w:tab w:val="left" w:pos="1080"/>
                <w:tab w:val="left" w:pos="1440"/>
                <w:tab w:val="left" w:pos="1800"/>
              </w:tabs>
              <w:contextualSpacing/>
            </w:pPr>
            <w:r>
              <w:tab/>
            </w:r>
            <w:r>
              <w:tab/>
            </w:r>
            <w:r>
              <w:tab/>
              <w:t>b)</w:t>
            </w:r>
            <w:r>
              <w:tab/>
              <w:t>34b</w:t>
            </w:r>
          </w:p>
          <w:p w14:paraId="1ABD7DB6" w14:textId="77777777" w:rsidR="0018433B" w:rsidRDefault="0018433B" w:rsidP="00A44C2E">
            <w:pPr>
              <w:tabs>
                <w:tab w:val="left" w:pos="360"/>
                <w:tab w:val="left" w:pos="720"/>
                <w:tab w:val="left" w:pos="1080"/>
                <w:tab w:val="left" w:pos="1440"/>
                <w:tab w:val="left" w:pos="1800"/>
              </w:tabs>
              <w:contextualSpacing/>
            </w:pPr>
            <w:r>
              <w:tab/>
            </w:r>
            <w:r>
              <w:tab/>
            </w:r>
            <w:r>
              <w:tab/>
              <w:t>c)</w:t>
            </w:r>
            <w:r>
              <w:tab/>
              <w:t>34c</w:t>
            </w:r>
          </w:p>
        </w:tc>
        <w:tc>
          <w:tcPr>
            <w:tcW w:w="2520" w:type="dxa"/>
          </w:tcPr>
          <w:p w14:paraId="728C80FE" w14:textId="77777777" w:rsidR="0018433B" w:rsidRDefault="0018433B" w:rsidP="00A44C2E">
            <w:pPr>
              <w:pStyle w:val="Style"/>
              <w:tabs>
                <w:tab w:val="left" w:pos="360"/>
                <w:tab w:val="left" w:pos="720"/>
                <w:tab w:val="left" w:pos="1080"/>
                <w:tab w:val="left" w:pos="1440"/>
                <w:tab w:val="left" w:pos="1800"/>
              </w:tabs>
              <w:textAlignment w:val="baseline"/>
              <w:rPr>
                <w:szCs w:val="25"/>
              </w:rPr>
            </w:pPr>
            <w:r>
              <w:rPr>
                <w:szCs w:val="25"/>
              </w:rPr>
              <w:lastRenderedPageBreak/>
              <w:tab/>
            </w:r>
            <w:r>
              <w:rPr>
                <w:szCs w:val="25"/>
              </w:rPr>
              <w:tab/>
              <w:t>2)</w:t>
            </w:r>
            <w:r>
              <w:rPr>
                <w:szCs w:val="25"/>
              </w:rPr>
              <w:tab/>
              <w:t>35abc</w:t>
            </w:r>
          </w:p>
          <w:p w14:paraId="133D8670" w14:textId="77777777" w:rsidR="0018433B" w:rsidRDefault="0018433B" w:rsidP="00A44C2E">
            <w:pPr>
              <w:pStyle w:val="Style"/>
              <w:tabs>
                <w:tab w:val="left" w:pos="360"/>
                <w:tab w:val="left" w:pos="720"/>
                <w:tab w:val="left" w:pos="1080"/>
                <w:tab w:val="left" w:pos="1440"/>
                <w:tab w:val="left" w:pos="1800"/>
              </w:tabs>
              <w:textAlignment w:val="baseline"/>
              <w:rPr>
                <w:szCs w:val="25"/>
              </w:rPr>
            </w:pPr>
            <w:r>
              <w:rPr>
                <w:szCs w:val="25"/>
              </w:rPr>
              <w:tab/>
              <w:t>b.</w:t>
            </w:r>
            <w:r>
              <w:rPr>
                <w:szCs w:val="25"/>
              </w:rPr>
              <w:tab/>
              <w:t>35d-36</w:t>
            </w:r>
          </w:p>
          <w:p w14:paraId="3A5B3B66" w14:textId="77777777" w:rsidR="0018433B" w:rsidRDefault="0018433B" w:rsidP="00A44C2E">
            <w:pPr>
              <w:pStyle w:val="Style"/>
              <w:tabs>
                <w:tab w:val="left" w:pos="360"/>
                <w:tab w:val="left" w:pos="720"/>
                <w:tab w:val="left" w:pos="1080"/>
                <w:tab w:val="left" w:pos="1440"/>
                <w:tab w:val="left" w:pos="1800"/>
              </w:tabs>
              <w:textAlignment w:val="baseline"/>
              <w:rPr>
                <w:szCs w:val="25"/>
              </w:rPr>
            </w:pPr>
            <w:r>
              <w:rPr>
                <w:szCs w:val="25"/>
              </w:rPr>
              <w:tab/>
            </w:r>
            <w:r>
              <w:rPr>
                <w:szCs w:val="25"/>
              </w:rPr>
              <w:tab/>
              <w:t>1)</w:t>
            </w:r>
            <w:r>
              <w:rPr>
                <w:szCs w:val="25"/>
              </w:rPr>
              <w:tab/>
              <w:t>35def</w:t>
            </w:r>
          </w:p>
          <w:p w14:paraId="5902812F" w14:textId="77777777" w:rsidR="0018433B" w:rsidRDefault="0018433B" w:rsidP="00A44C2E">
            <w:pPr>
              <w:pStyle w:val="Style"/>
              <w:tabs>
                <w:tab w:val="left" w:pos="360"/>
                <w:tab w:val="left" w:pos="720"/>
                <w:tab w:val="left" w:pos="1080"/>
                <w:tab w:val="left" w:pos="1440"/>
                <w:tab w:val="left" w:pos="1800"/>
              </w:tabs>
              <w:textAlignment w:val="baseline"/>
              <w:rPr>
                <w:szCs w:val="25"/>
              </w:rPr>
            </w:pPr>
            <w:r>
              <w:rPr>
                <w:szCs w:val="25"/>
              </w:rPr>
              <w:tab/>
            </w:r>
            <w:r>
              <w:rPr>
                <w:szCs w:val="25"/>
              </w:rPr>
              <w:tab/>
              <w:t>2)</w:t>
            </w:r>
            <w:r>
              <w:rPr>
                <w:szCs w:val="25"/>
              </w:rPr>
              <w:tab/>
              <w:t>36</w:t>
            </w:r>
          </w:p>
          <w:p w14:paraId="5022CCB4" w14:textId="77777777" w:rsidR="0018433B" w:rsidRDefault="0018433B" w:rsidP="00A44C2E">
            <w:pPr>
              <w:pStyle w:val="Style"/>
              <w:tabs>
                <w:tab w:val="left" w:pos="360"/>
                <w:tab w:val="left" w:pos="720"/>
                <w:tab w:val="left" w:pos="1080"/>
                <w:tab w:val="left" w:pos="1440"/>
                <w:tab w:val="left" w:pos="1800"/>
              </w:tabs>
              <w:textAlignment w:val="baseline"/>
              <w:rPr>
                <w:szCs w:val="25"/>
              </w:rPr>
            </w:pPr>
          </w:p>
          <w:p w14:paraId="6213ED0E" w14:textId="77777777" w:rsidR="0018433B" w:rsidRPr="0056020E" w:rsidRDefault="0018433B" w:rsidP="00A44C2E">
            <w:pPr>
              <w:pStyle w:val="Style"/>
              <w:tabs>
                <w:tab w:val="left" w:pos="360"/>
                <w:tab w:val="left" w:pos="720"/>
                <w:tab w:val="left" w:pos="1080"/>
                <w:tab w:val="left" w:pos="1440"/>
                <w:tab w:val="left" w:pos="1800"/>
              </w:tabs>
              <w:textAlignment w:val="baseline"/>
              <w:rPr>
                <w:szCs w:val="25"/>
              </w:rPr>
            </w:pPr>
            <w:r w:rsidRPr="0056020E">
              <w:rPr>
                <w:szCs w:val="25"/>
              </w:rPr>
              <w:t>1.</w:t>
            </w:r>
            <w:r w:rsidRPr="0056020E">
              <w:rPr>
                <w:szCs w:val="25"/>
              </w:rPr>
              <w:tab/>
              <w:t>37-38</w:t>
            </w:r>
          </w:p>
          <w:p w14:paraId="317A1FDB" w14:textId="77777777" w:rsidR="0018433B" w:rsidRPr="0056020E" w:rsidRDefault="0018433B" w:rsidP="00A44C2E">
            <w:pPr>
              <w:pStyle w:val="Style"/>
              <w:tabs>
                <w:tab w:val="left" w:pos="360"/>
                <w:tab w:val="left" w:pos="720"/>
                <w:tab w:val="left" w:pos="1080"/>
                <w:tab w:val="left" w:pos="1440"/>
                <w:tab w:val="left" w:pos="1800"/>
              </w:tabs>
              <w:textAlignment w:val="baseline"/>
              <w:rPr>
                <w:szCs w:val="25"/>
              </w:rPr>
            </w:pPr>
            <w:r>
              <w:rPr>
                <w:szCs w:val="25"/>
              </w:rPr>
              <w:tab/>
              <w:t>a.</w:t>
            </w:r>
            <w:r>
              <w:rPr>
                <w:szCs w:val="25"/>
              </w:rPr>
              <w:tab/>
            </w:r>
            <w:r w:rsidRPr="0056020E">
              <w:rPr>
                <w:szCs w:val="25"/>
              </w:rPr>
              <w:t>37-38c</w:t>
            </w:r>
          </w:p>
          <w:p w14:paraId="3524F25F" w14:textId="77777777" w:rsidR="0018433B" w:rsidRPr="0056020E" w:rsidRDefault="0018433B" w:rsidP="00A44C2E">
            <w:pPr>
              <w:pStyle w:val="Style"/>
              <w:tabs>
                <w:tab w:val="left" w:pos="360"/>
                <w:tab w:val="left" w:pos="720"/>
                <w:tab w:val="left" w:pos="1080"/>
                <w:tab w:val="left" w:pos="1440"/>
                <w:tab w:val="left" w:pos="1800"/>
              </w:tabs>
              <w:textAlignment w:val="baseline"/>
              <w:rPr>
                <w:szCs w:val="25"/>
              </w:rPr>
            </w:pPr>
            <w:r>
              <w:rPr>
                <w:szCs w:val="25"/>
              </w:rPr>
              <w:tab/>
            </w:r>
            <w:r>
              <w:rPr>
                <w:szCs w:val="25"/>
              </w:rPr>
              <w:tab/>
            </w:r>
            <w:r w:rsidRPr="0056020E">
              <w:rPr>
                <w:szCs w:val="25"/>
              </w:rPr>
              <w:t>1)</w:t>
            </w:r>
            <w:r w:rsidRPr="0056020E">
              <w:rPr>
                <w:szCs w:val="25"/>
              </w:rPr>
              <w:tab/>
              <w:t>37abcd</w:t>
            </w:r>
          </w:p>
          <w:p w14:paraId="6572E9DF" w14:textId="77777777" w:rsidR="0018433B" w:rsidRPr="00E5413C" w:rsidRDefault="0018433B" w:rsidP="00A44C2E">
            <w:pPr>
              <w:pStyle w:val="Style"/>
              <w:tabs>
                <w:tab w:val="left" w:pos="360"/>
                <w:tab w:val="left" w:pos="720"/>
                <w:tab w:val="left" w:pos="1080"/>
                <w:tab w:val="left" w:pos="1440"/>
                <w:tab w:val="left" w:pos="1800"/>
              </w:tabs>
              <w:textAlignment w:val="baseline"/>
              <w:rPr>
                <w:szCs w:val="25"/>
                <w:lang w:val="es-ES"/>
              </w:rPr>
            </w:pPr>
            <w:r>
              <w:rPr>
                <w:szCs w:val="25"/>
              </w:rPr>
              <w:tab/>
            </w:r>
            <w:r>
              <w:rPr>
                <w:szCs w:val="25"/>
              </w:rPr>
              <w:tab/>
            </w:r>
            <w:r>
              <w:rPr>
                <w:szCs w:val="25"/>
              </w:rPr>
              <w:tab/>
            </w:r>
            <w:r w:rsidRPr="00E5413C">
              <w:rPr>
                <w:szCs w:val="25"/>
                <w:lang w:val="es-ES"/>
              </w:rPr>
              <w:t>a)</w:t>
            </w:r>
            <w:r w:rsidRPr="00E5413C">
              <w:rPr>
                <w:szCs w:val="25"/>
                <w:lang w:val="es-ES"/>
              </w:rPr>
              <w:tab/>
              <w:t>37ab</w:t>
            </w:r>
          </w:p>
          <w:p w14:paraId="0482F52B" w14:textId="77777777" w:rsidR="0018433B" w:rsidRPr="00E5413C" w:rsidRDefault="0018433B" w:rsidP="00A44C2E">
            <w:pPr>
              <w:pStyle w:val="Style"/>
              <w:tabs>
                <w:tab w:val="left" w:pos="360"/>
                <w:tab w:val="left" w:pos="720"/>
                <w:tab w:val="left" w:pos="1080"/>
                <w:tab w:val="left" w:pos="1440"/>
                <w:tab w:val="left" w:pos="1800"/>
              </w:tabs>
              <w:textAlignment w:val="baseline"/>
              <w:rPr>
                <w:szCs w:val="25"/>
                <w:lang w:val="es-ES"/>
              </w:rPr>
            </w:pPr>
            <w:r w:rsidRPr="00E5413C">
              <w:rPr>
                <w:szCs w:val="25"/>
                <w:lang w:val="es-ES"/>
              </w:rPr>
              <w:tab/>
            </w:r>
            <w:r w:rsidRPr="00E5413C">
              <w:rPr>
                <w:szCs w:val="25"/>
                <w:lang w:val="es-ES"/>
              </w:rPr>
              <w:tab/>
            </w:r>
            <w:r w:rsidRPr="00E5413C">
              <w:rPr>
                <w:szCs w:val="25"/>
                <w:lang w:val="es-ES"/>
              </w:rPr>
              <w:tab/>
              <w:t>b)</w:t>
            </w:r>
            <w:r w:rsidRPr="00E5413C">
              <w:rPr>
                <w:szCs w:val="25"/>
                <w:lang w:val="es-ES"/>
              </w:rPr>
              <w:tab/>
              <w:t>37cd</w:t>
            </w:r>
          </w:p>
          <w:p w14:paraId="2F042E57" w14:textId="77777777" w:rsidR="0018433B" w:rsidRPr="00E5413C" w:rsidRDefault="0018433B" w:rsidP="00A44C2E">
            <w:pPr>
              <w:pStyle w:val="Style"/>
              <w:tabs>
                <w:tab w:val="left" w:pos="360"/>
                <w:tab w:val="left" w:pos="720"/>
                <w:tab w:val="left" w:pos="1080"/>
                <w:tab w:val="left" w:pos="1440"/>
                <w:tab w:val="left" w:pos="1800"/>
              </w:tabs>
              <w:textAlignment w:val="baseline"/>
              <w:rPr>
                <w:szCs w:val="25"/>
                <w:lang w:val="es-ES"/>
              </w:rPr>
            </w:pPr>
            <w:r w:rsidRPr="00E5413C">
              <w:rPr>
                <w:szCs w:val="25"/>
                <w:lang w:val="es-ES"/>
              </w:rPr>
              <w:tab/>
            </w:r>
            <w:r w:rsidRPr="00E5413C">
              <w:rPr>
                <w:szCs w:val="25"/>
                <w:lang w:val="es-ES"/>
              </w:rPr>
              <w:tab/>
              <w:t>2)</w:t>
            </w:r>
            <w:r w:rsidRPr="00E5413C">
              <w:rPr>
                <w:szCs w:val="25"/>
                <w:lang w:val="es-ES"/>
              </w:rPr>
              <w:tab/>
              <w:t>37e-38c</w:t>
            </w:r>
          </w:p>
          <w:p w14:paraId="4E729087" w14:textId="77777777" w:rsidR="0018433B" w:rsidRPr="00E5413C" w:rsidRDefault="0018433B" w:rsidP="00A44C2E">
            <w:pPr>
              <w:pStyle w:val="Style"/>
              <w:tabs>
                <w:tab w:val="left" w:pos="360"/>
                <w:tab w:val="left" w:pos="720"/>
                <w:tab w:val="left" w:pos="1080"/>
                <w:tab w:val="left" w:pos="1440"/>
                <w:tab w:val="left" w:pos="1800"/>
              </w:tabs>
              <w:textAlignment w:val="baseline"/>
              <w:rPr>
                <w:szCs w:val="25"/>
                <w:lang w:val="es-ES"/>
              </w:rPr>
            </w:pPr>
            <w:r w:rsidRPr="00E5413C">
              <w:rPr>
                <w:szCs w:val="25"/>
                <w:lang w:val="es-ES"/>
              </w:rPr>
              <w:tab/>
            </w:r>
            <w:r w:rsidRPr="00E5413C">
              <w:rPr>
                <w:szCs w:val="25"/>
                <w:lang w:val="es-ES"/>
              </w:rPr>
              <w:tab/>
            </w:r>
            <w:r w:rsidRPr="00E5413C">
              <w:rPr>
                <w:szCs w:val="25"/>
                <w:lang w:val="es-ES"/>
              </w:rPr>
              <w:tab/>
              <w:t>a)</w:t>
            </w:r>
            <w:r w:rsidRPr="00E5413C">
              <w:rPr>
                <w:szCs w:val="25"/>
                <w:lang w:val="es-ES"/>
              </w:rPr>
              <w:tab/>
              <w:t>37ef</w:t>
            </w:r>
          </w:p>
          <w:p w14:paraId="1C1F6B7A" w14:textId="77777777" w:rsidR="0018433B" w:rsidRPr="0056020E" w:rsidRDefault="0018433B" w:rsidP="00A44C2E">
            <w:pPr>
              <w:pStyle w:val="Style"/>
              <w:tabs>
                <w:tab w:val="left" w:pos="360"/>
                <w:tab w:val="left" w:pos="720"/>
                <w:tab w:val="left" w:pos="1080"/>
                <w:tab w:val="left" w:pos="1440"/>
                <w:tab w:val="left" w:pos="1800"/>
              </w:tabs>
              <w:textAlignment w:val="baseline"/>
              <w:rPr>
                <w:szCs w:val="25"/>
              </w:rPr>
            </w:pPr>
            <w:r w:rsidRPr="00E5413C">
              <w:rPr>
                <w:szCs w:val="25"/>
                <w:lang w:val="es-ES"/>
              </w:rPr>
              <w:tab/>
            </w:r>
            <w:r w:rsidRPr="00E5413C">
              <w:rPr>
                <w:szCs w:val="25"/>
                <w:lang w:val="es-ES"/>
              </w:rPr>
              <w:tab/>
            </w:r>
            <w:r w:rsidRPr="00E5413C">
              <w:rPr>
                <w:szCs w:val="25"/>
                <w:lang w:val="es-ES"/>
              </w:rPr>
              <w:tab/>
            </w:r>
            <w:r w:rsidRPr="0056020E">
              <w:rPr>
                <w:szCs w:val="25"/>
              </w:rPr>
              <w:t>b)</w:t>
            </w:r>
            <w:r w:rsidRPr="0056020E">
              <w:rPr>
                <w:szCs w:val="25"/>
              </w:rPr>
              <w:tab/>
              <w:t>38abc</w:t>
            </w:r>
          </w:p>
          <w:p w14:paraId="7C6AF864" w14:textId="56CD5028" w:rsidR="0018433B"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r>
            <w:r w:rsidR="000151C8" w:rsidRPr="000151C8">
              <w:rPr>
                <w:iCs/>
                <w:szCs w:val="25"/>
              </w:rPr>
              <w:t xml:space="preserve"> </w:t>
            </w:r>
            <w:r>
              <w:rPr>
                <w:szCs w:val="25"/>
              </w:rPr>
              <w:t xml:space="preserve"> (1) 38ab</w:t>
            </w:r>
          </w:p>
          <w:p w14:paraId="2EC802B3" w14:textId="2875541E" w:rsidR="0018433B"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r>
            <w:r w:rsidR="000151C8" w:rsidRPr="000151C8">
              <w:rPr>
                <w:iCs/>
                <w:szCs w:val="25"/>
              </w:rPr>
              <w:t xml:space="preserve"> </w:t>
            </w:r>
            <w:r>
              <w:rPr>
                <w:szCs w:val="25"/>
              </w:rPr>
              <w:t xml:space="preserve"> (2) 38c</w:t>
            </w:r>
          </w:p>
          <w:p w14:paraId="4A1C55EF"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r>
            <w:r w:rsidRPr="0056020E">
              <w:rPr>
                <w:szCs w:val="25"/>
              </w:rPr>
              <w:t>b.</w:t>
            </w:r>
            <w:r>
              <w:rPr>
                <w:szCs w:val="25"/>
              </w:rPr>
              <w:tab/>
            </w:r>
            <w:r w:rsidRPr="0056020E">
              <w:rPr>
                <w:szCs w:val="25"/>
              </w:rPr>
              <w:t>38d</w:t>
            </w:r>
          </w:p>
          <w:p w14:paraId="3C19818C" w14:textId="77777777" w:rsidR="0018433B" w:rsidRDefault="0018433B" w:rsidP="00A44C2E">
            <w:pPr>
              <w:tabs>
                <w:tab w:val="left" w:pos="360"/>
                <w:tab w:val="left" w:pos="720"/>
                <w:tab w:val="left" w:pos="1080"/>
                <w:tab w:val="left" w:pos="1440"/>
                <w:tab w:val="left" w:pos="1800"/>
              </w:tabs>
              <w:contextualSpacing/>
            </w:pPr>
          </w:p>
          <w:p w14:paraId="398BBBE4" w14:textId="77777777" w:rsidR="0018433B" w:rsidRDefault="0018433B" w:rsidP="00A44C2E">
            <w:pPr>
              <w:tabs>
                <w:tab w:val="left" w:pos="360"/>
                <w:tab w:val="left" w:pos="720"/>
                <w:tab w:val="left" w:pos="1080"/>
                <w:tab w:val="left" w:pos="1440"/>
                <w:tab w:val="left" w:pos="1800"/>
              </w:tabs>
              <w:contextualSpacing/>
            </w:pPr>
            <w:r>
              <w:t>1.</w:t>
            </w:r>
            <w:r>
              <w:tab/>
              <w:t>39a</w:t>
            </w:r>
          </w:p>
          <w:p w14:paraId="40B3E01C" w14:textId="77777777" w:rsidR="0018433B" w:rsidRDefault="0018433B" w:rsidP="00A44C2E">
            <w:pPr>
              <w:tabs>
                <w:tab w:val="left" w:pos="360"/>
                <w:tab w:val="left" w:pos="720"/>
                <w:tab w:val="left" w:pos="1080"/>
                <w:tab w:val="left" w:pos="1440"/>
                <w:tab w:val="left" w:pos="1800"/>
              </w:tabs>
              <w:contextualSpacing/>
            </w:pPr>
          </w:p>
          <w:p w14:paraId="4FA97A8C"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lastRenderedPageBreak/>
              <w:t>1.</w:t>
            </w:r>
            <w:r>
              <w:rPr>
                <w:szCs w:val="25"/>
              </w:rPr>
              <w:tab/>
            </w:r>
            <w:r w:rsidRPr="00B51852">
              <w:rPr>
                <w:szCs w:val="25"/>
              </w:rPr>
              <w:t>39b-40</w:t>
            </w:r>
          </w:p>
          <w:p w14:paraId="33CF27AC"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t>a.</w:t>
            </w:r>
            <w:r>
              <w:rPr>
                <w:szCs w:val="25"/>
              </w:rPr>
              <w:tab/>
            </w:r>
            <w:r w:rsidRPr="00B51852">
              <w:rPr>
                <w:szCs w:val="25"/>
              </w:rPr>
              <w:t>39bc</w:t>
            </w:r>
          </w:p>
          <w:p w14:paraId="2D31D105" w14:textId="77777777" w:rsidR="0018433B" w:rsidRPr="00557ED9"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t>b.</w:t>
            </w:r>
            <w:r>
              <w:rPr>
                <w:szCs w:val="25"/>
              </w:rPr>
              <w:tab/>
            </w:r>
            <w:r w:rsidRPr="00B51852">
              <w:rPr>
                <w:szCs w:val="25"/>
              </w:rPr>
              <w:t>40</w:t>
            </w:r>
          </w:p>
        </w:tc>
        <w:tc>
          <w:tcPr>
            <w:tcW w:w="2441" w:type="dxa"/>
          </w:tcPr>
          <w:p w14:paraId="6B2C76FE"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lastRenderedPageBreak/>
              <w:t>1.</w:t>
            </w:r>
            <w:r>
              <w:rPr>
                <w:szCs w:val="25"/>
              </w:rPr>
              <w:tab/>
            </w:r>
            <w:r w:rsidRPr="00B51852">
              <w:rPr>
                <w:szCs w:val="25"/>
              </w:rPr>
              <w:t>41-42</w:t>
            </w:r>
          </w:p>
          <w:p w14:paraId="23DDE7BC"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t>a.</w:t>
            </w:r>
            <w:r>
              <w:rPr>
                <w:szCs w:val="25"/>
              </w:rPr>
              <w:tab/>
            </w:r>
            <w:r w:rsidRPr="00B51852">
              <w:rPr>
                <w:szCs w:val="25"/>
              </w:rPr>
              <w:t>41</w:t>
            </w:r>
          </w:p>
          <w:p w14:paraId="130FDBB6"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t>b.</w:t>
            </w:r>
            <w:r>
              <w:rPr>
                <w:szCs w:val="25"/>
              </w:rPr>
              <w:tab/>
            </w:r>
            <w:r w:rsidRPr="00B51852">
              <w:rPr>
                <w:szCs w:val="25"/>
              </w:rPr>
              <w:t>42ab</w:t>
            </w:r>
          </w:p>
          <w:p w14:paraId="626C825F"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t>c.</w:t>
            </w:r>
            <w:r>
              <w:rPr>
                <w:szCs w:val="25"/>
              </w:rPr>
              <w:tab/>
            </w:r>
            <w:r w:rsidRPr="00B51852">
              <w:rPr>
                <w:szCs w:val="25"/>
              </w:rPr>
              <w:t>42cd</w:t>
            </w:r>
          </w:p>
          <w:p w14:paraId="77D26B9F" w14:textId="77777777" w:rsidR="0018433B" w:rsidRDefault="0018433B" w:rsidP="00A44C2E">
            <w:pPr>
              <w:tabs>
                <w:tab w:val="left" w:pos="360"/>
                <w:tab w:val="left" w:pos="720"/>
                <w:tab w:val="left" w:pos="1080"/>
                <w:tab w:val="left" w:pos="1440"/>
                <w:tab w:val="left" w:pos="1800"/>
              </w:tabs>
              <w:contextualSpacing/>
            </w:pPr>
          </w:p>
          <w:p w14:paraId="5E77AF4B"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1.</w:t>
            </w:r>
            <w:r>
              <w:rPr>
                <w:szCs w:val="25"/>
              </w:rPr>
              <w:tab/>
              <w:t>43-45</w:t>
            </w:r>
          </w:p>
          <w:p w14:paraId="308CA5E4"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t>a.</w:t>
            </w:r>
            <w:r>
              <w:rPr>
                <w:szCs w:val="25"/>
              </w:rPr>
              <w:tab/>
            </w:r>
            <w:r w:rsidRPr="00B51852">
              <w:rPr>
                <w:szCs w:val="25"/>
              </w:rPr>
              <w:t>43</w:t>
            </w:r>
          </w:p>
          <w:p w14:paraId="1EC4E6E9"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t>b.</w:t>
            </w:r>
            <w:r>
              <w:rPr>
                <w:szCs w:val="25"/>
              </w:rPr>
              <w:tab/>
            </w:r>
            <w:r w:rsidRPr="00B51852">
              <w:rPr>
                <w:szCs w:val="25"/>
              </w:rPr>
              <w:t>44a</w:t>
            </w:r>
          </w:p>
          <w:p w14:paraId="02DB2C46" w14:textId="77777777" w:rsidR="0018433B" w:rsidRPr="00B51852" w:rsidRDefault="0018433B" w:rsidP="00A44C2E">
            <w:pPr>
              <w:pStyle w:val="Style"/>
              <w:widowControl/>
              <w:tabs>
                <w:tab w:val="left" w:pos="360"/>
                <w:tab w:val="left" w:pos="720"/>
                <w:tab w:val="left" w:pos="1080"/>
                <w:tab w:val="left" w:pos="1440"/>
                <w:tab w:val="left" w:pos="1800"/>
              </w:tabs>
              <w:jc w:val="both"/>
              <w:textAlignment w:val="baseline"/>
              <w:rPr>
                <w:szCs w:val="25"/>
              </w:rPr>
            </w:pPr>
            <w:r>
              <w:rPr>
                <w:szCs w:val="25"/>
              </w:rPr>
              <w:tab/>
              <w:t>c.</w:t>
            </w:r>
            <w:r>
              <w:rPr>
                <w:szCs w:val="25"/>
              </w:rPr>
              <w:tab/>
            </w:r>
            <w:r w:rsidRPr="00B51852">
              <w:rPr>
                <w:szCs w:val="25"/>
              </w:rPr>
              <w:t>44bc</w:t>
            </w:r>
          </w:p>
          <w:p w14:paraId="2D3E32AD" w14:textId="77777777" w:rsidR="0018433B" w:rsidRPr="00E5413C" w:rsidRDefault="0018433B" w:rsidP="00A44C2E">
            <w:pPr>
              <w:tabs>
                <w:tab w:val="left" w:pos="360"/>
                <w:tab w:val="left" w:pos="720"/>
                <w:tab w:val="left" w:pos="1080"/>
                <w:tab w:val="left" w:pos="1440"/>
                <w:tab w:val="left" w:pos="1800"/>
              </w:tabs>
              <w:contextualSpacing/>
              <w:rPr>
                <w:lang w:val="es-ES"/>
              </w:rPr>
            </w:pPr>
            <w:r>
              <w:tab/>
            </w:r>
            <w:r w:rsidRPr="00E5413C">
              <w:rPr>
                <w:lang w:val="es-ES"/>
              </w:rPr>
              <w:t>d.</w:t>
            </w:r>
            <w:r w:rsidRPr="00E5413C">
              <w:rPr>
                <w:lang w:val="es-ES"/>
              </w:rPr>
              <w:tab/>
              <w:t>45ab</w:t>
            </w:r>
          </w:p>
          <w:p w14:paraId="462AE7FF" w14:textId="77777777" w:rsidR="0018433B" w:rsidRPr="00E5413C" w:rsidRDefault="0018433B" w:rsidP="00A44C2E">
            <w:pPr>
              <w:tabs>
                <w:tab w:val="left" w:pos="360"/>
                <w:tab w:val="left" w:pos="720"/>
                <w:tab w:val="left" w:pos="1080"/>
                <w:tab w:val="left" w:pos="1440"/>
                <w:tab w:val="left" w:pos="1800"/>
              </w:tabs>
              <w:contextualSpacing/>
              <w:rPr>
                <w:lang w:val="es-ES"/>
              </w:rPr>
            </w:pPr>
            <w:r w:rsidRPr="00E5413C">
              <w:rPr>
                <w:lang w:val="es-ES"/>
              </w:rPr>
              <w:tab/>
              <w:t>3.</w:t>
            </w:r>
            <w:r w:rsidRPr="00E5413C">
              <w:rPr>
                <w:lang w:val="es-ES"/>
              </w:rPr>
              <w:tab/>
              <w:t>45c</w:t>
            </w:r>
          </w:p>
          <w:p w14:paraId="7713079C" w14:textId="77777777" w:rsidR="0018433B" w:rsidRPr="00E5413C" w:rsidRDefault="0018433B" w:rsidP="00A44C2E">
            <w:pPr>
              <w:tabs>
                <w:tab w:val="left" w:pos="360"/>
                <w:tab w:val="left" w:pos="720"/>
                <w:tab w:val="left" w:pos="1080"/>
                <w:tab w:val="left" w:pos="1440"/>
                <w:tab w:val="left" w:pos="1800"/>
              </w:tabs>
              <w:contextualSpacing/>
              <w:rPr>
                <w:lang w:val="es-ES"/>
              </w:rPr>
            </w:pPr>
          </w:p>
          <w:p w14:paraId="3017F40B" w14:textId="77777777" w:rsidR="0018433B" w:rsidRPr="00E5413C" w:rsidRDefault="0018433B" w:rsidP="00A44C2E">
            <w:pPr>
              <w:pStyle w:val="Style"/>
              <w:widowControl/>
              <w:tabs>
                <w:tab w:val="left" w:pos="360"/>
                <w:tab w:val="left" w:pos="720"/>
                <w:tab w:val="left" w:pos="1080"/>
                <w:tab w:val="left" w:pos="1440"/>
                <w:tab w:val="left" w:pos="1800"/>
              </w:tabs>
              <w:jc w:val="both"/>
              <w:textAlignment w:val="baseline"/>
              <w:rPr>
                <w:szCs w:val="25"/>
                <w:lang w:val="es-ES"/>
              </w:rPr>
            </w:pPr>
            <w:r w:rsidRPr="00E5413C">
              <w:rPr>
                <w:szCs w:val="25"/>
                <w:lang w:val="es-ES"/>
              </w:rPr>
              <w:t>1.</w:t>
            </w:r>
            <w:r w:rsidRPr="00E5413C">
              <w:rPr>
                <w:szCs w:val="25"/>
                <w:lang w:val="es-ES"/>
              </w:rPr>
              <w:tab/>
              <w:t>46-49</w:t>
            </w:r>
          </w:p>
          <w:p w14:paraId="21FA13F4" w14:textId="77777777" w:rsidR="0018433B" w:rsidRPr="00E5413C" w:rsidRDefault="0018433B" w:rsidP="00A44C2E">
            <w:pPr>
              <w:pStyle w:val="Style"/>
              <w:widowControl/>
              <w:tabs>
                <w:tab w:val="left" w:pos="360"/>
                <w:tab w:val="left" w:pos="720"/>
                <w:tab w:val="left" w:pos="1080"/>
                <w:tab w:val="left" w:pos="1440"/>
                <w:tab w:val="left" w:pos="1800"/>
              </w:tabs>
              <w:jc w:val="both"/>
              <w:textAlignment w:val="baseline"/>
              <w:rPr>
                <w:szCs w:val="25"/>
                <w:lang w:val="es-ES"/>
              </w:rPr>
            </w:pPr>
            <w:r w:rsidRPr="00E5413C">
              <w:rPr>
                <w:szCs w:val="25"/>
                <w:lang w:val="es-ES"/>
              </w:rPr>
              <w:tab/>
              <w:t>a.</w:t>
            </w:r>
            <w:r w:rsidRPr="00E5413C">
              <w:rPr>
                <w:szCs w:val="25"/>
                <w:lang w:val="es-ES"/>
              </w:rPr>
              <w:tab/>
              <w:t>46</w:t>
            </w:r>
          </w:p>
          <w:p w14:paraId="11DC35D6" w14:textId="77777777" w:rsidR="0018433B" w:rsidRPr="00E5413C" w:rsidRDefault="0018433B" w:rsidP="00A44C2E">
            <w:pPr>
              <w:pStyle w:val="Style"/>
              <w:widowControl/>
              <w:tabs>
                <w:tab w:val="left" w:pos="360"/>
                <w:tab w:val="left" w:pos="720"/>
                <w:tab w:val="left" w:pos="1080"/>
                <w:tab w:val="left" w:pos="1440"/>
                <w:tab w:val="left" w:pos="1800"/>
              </w:tabs>
              <w:jc w:val="both"/>
              <w:textAlignment w:val="baseline"/>
              <w:rPr>
                <w:szCs w:val="25"/>
                <w:lang w:val="es-ES"/>
              </w:rPr>
            </w:pPr>
            <w:r w:rsidRPr="00E5413C">
              <w:rPr>
                <w:szCs w:val="25"/>
                <w:lang w:val="es-ES"/>
              </w:rPr>
              <w:tab/>
              <w:t>b.</w:t>
            </w:r>
            <w:r w:rsidRPr="00E5413C">
              <w:rPr>
                <w:szCs w:val="25"/>
                <w:lang w:val="es-ES"/>
              </w:rPr>
              <w:tab/>
              <w:t>47-49</w:t>
            </w:r>
          </w:p>
          <w:p w14:paraId="4809FD14" w14:textId="77777777" w:rsidR="0018433B" w:rsidRPr="00E5413C" w:rsidRDefault="0018433B" w:rsidP="00A44C2E">
            <w:pPr>
              <w:pStyle w:val="Style"/>
              <w:widowControl/>
              <w:tabs>
                <w:tab w:val="left" w:pos="360"/>
                <w:tab w:val="left" w:pos="720"/>
                <w:tab w:val="left" w:pos="1080"/>
                <w:tab w:val="left" w:pos="1440"/>
                <w:tab w:val="left" w:pos="1800"/>
              </w:tabs>
              <w:jc w:val="both"/>
              <w:textAlignment w:val="baseline"/>
              <w:rPr>
                <w:szCs w:val="25"/>
                <w:lang w:val="es-ES"/>
              </w:rPr>
            </w:pPr>
            <w:r w:rsidRPr="00E5413C">
              <w:rPr>
                <w:szCs w:val="25"/>
                <w:lang w:val="es-ES"/>
              </w:rPr>
              <w:tab/>
            </w:r>
            <w:r w:rsidRPr="00E5413C">
              <w:rPr>
                <w:szCs w:val="25"/>
                <w:lang w:val="es-ES"/>
              </w:rPr>
              <w:tab/>
              <w:t>1)</w:t>
            </w:r>
            <w:r w:rsidRPr="00E5413C">
              <w:rPr>
                <w:szCs w:val="25"/>
                <w:lang w:val="es-ES"/>
              </w:rPr>
              <w:tab/>
              <w:t>48-48</w:t>
            </w:r>
          </w:p>
          <w:p w14:paraId="423EB3CB" w14:textId="77777777" w:rsidR="0018433B" w:rsidRPr="00E5413C" w:rsidRDefault="0018433B" w:rsidP="00A44C2E">
            <w:pPr>
              <w:pStyle w:val="Style"/>
              <w:widowControl/>
              <w:tabs>
                <w:tab w:val="left" w:pos="360"/>
                <w:tab w:val="left" w:pos="720"/>
                <w:tab w:val="left" w:pos="1080"/>
                <w:tab w:val="left" w:pos="1440"/>
                <w:tab w:val="left" w:pos="1800"/>
              </w:tabs>
              <w:jc w:val="both"/>
              <w:textAlignment w:val="baseline"/>
              <w:rPr>
                <w:szCs w:val="25"/>
                <w:lang w:val="es-ES"/>
              </w:rPr>
            </w:pPr>
            <w:r w:rsidRPr="00E5413C">
              <w:rPr>
                <w:szCs w:val="25"/>
                <w:lang w:val="es-ES"/>
              </w:rPr>
              <w:tab/>
            </w:r>
            <w:r w:rsidRPr="00E5413C">
              <w:rPr>
                <w:szCs w:val="25"/>
                <w:lang w:val="es-ES"/>
              </w:rPr>
              <w:tab/>
            </w:r>
            <w:r w:rsidRPr="00E5413C">
              <w:rPr>
                <w:szCs w:val="25"/>
                <w:lang w:val="es-ES"/>
              </w:rPr>
              <w:tab/>
              <w:t>a)</w:t>
            </w:r>
            <w:r w:rsidRPr="00E5413C">
              <w:rPr>
                <w:szCs w:val="25"/>
                <w:lang w:val="es-ES"/>
              </w:rPr>
              <w:tab/>
              <w:t>47</w:t>
            </w:r>
          </w:p>
          <w:p w14:paraId="7A84502E" w14:textId="77777777" w:rsidR="0018433B" w:rsidRPr="00E5413C" w:rsidRDefault="0018433B" w:rsidP="00A44C2E">
            <w:pPr>
              <w:pStyle w:val="Style"/>
              <w:widowControl/>
              <w:tabs>
                <w:tab w:val="left" w:pos="360"/>
                <w:tab w:val="left" w:pos="720"/>
                <w:tab w:val="left" w:pos="1080"/>
                <w:tab w:val="left" w:pos="1440"/>
                <w:tab w:val="left" w:pos="1800"/>
              </w:tabs>
              <w:jc w:val="both"/>
              <w:textAlignment w:val="baseline"/>
              <w:rPr>
                <w:szCs w:val="25"/>
                <w:lang w:val="es-ES"/>
              </w:rPr>
            </w:pPr>
            <w:r w:rsidRPr="00E5413C">
              <w:rPr>
                <w:szCs w:val="25"/>
                <w:lang w:val="es-ES"/>
              </w:rPr>
              <w:tab/>
            </w:r>
            <w:r w:rsidRPr="00E5413C">
              <w:rPr>
                <w:szCs w:val="25"/>
                <w:lang w:val="es-ES"/>
              </w:rPr>
              <w:tab/>
            </w:r>
            <w:r w:rsidRPr="00E5413C">
              <w:rPr>
                <w:szCs w:val="25"/>
                <w:lang w:val="es-ES"/>
              </w:rPr>
              <w:tab/>
              <w:t>b)</w:t>
            </w:r>
            <w:r w:rsidRPr="00E5413C">
              <w:rPr>
                <w:szCs w:val="25"/>
                <w:lang w:val="es-ES"/>
              </w:rPr>
              <w:tab/>
              <w:t>48</w:t>
            </w:r>
          </w:p>
          <w:p w14:paraId="4104E1F5" w14:textId="77777777" w:rsidR="0018433B" w:rsidRPr="00E5413C" w:rsidRDefault="0018433B" w:rsidP="00A44C2E">
            <w:pPr>
              <w:pStyle w:val="Style"/>
              <w:widowControl/>
              <w:tabs>
                <w:tab w:val="left" w:pos="360"/>
                <w:tab w:val="left" w:pos="720"/>
                <w:tab w:val="left" w:pos="1080"/>
                <w:tab w:val="left" w:pos="1440"/>
                <w:tab w:val="left" w:pos="1800"/>
              </w:tabs>
              <w:jc w:val="both"/>
              <w:textAlignment w:val="baseline"/>
              <w:rPr>
                <w:szCs w:val="25"/>
                <w:lang w:val="es-ES"/>
              </w:rPr>
            </w:pPr>
            <w:r w:rsidRPr="00E5413C">
              <w:rPr>
                <w:szCs w:val="25"/>
                <w:lang w:val="es-ES"/>
              </w:rPr>
              <w:tab/>
            </w:r>
            <w:r w:rsidRPr="00E5413C">
              <w:rPr>
                <w:szCs w:val="25"/>
                <w:lang w:val="es-ES"/>
              </w:rPr>
              <w:tab/>
              <w:t>2)</w:t>
            </w:r>
            <w:r w:rsidRPr="00E5413C">
              <w:rPr>
                <w:szCs w:val="25"/>
                <w:lang w:val="es-ES"/>
              </w:rPr>
              <w:tab/>
              <w:t>49</w:t>
            </w:r>
          </w:p>
          <w:p w14:paraId="735D478C" w14:textId="77777777" w:rsidR="0018433B" w:rsidRPr="00E5413C" w:rsidRDefault="0018433B" w:rsidP="00A44C2E">
            <w:pPr>
              <w:pStyle w:val="Style"/>
              <w:widowControl/>
              <w:tabs>
                <w:tab w:val="left" w:pos="360"/>
                <w:tab w:val="left" w:pos="720"/>
                <w:tab w:val="left" w:pos="1080"/>
                <w:tab w:val="left" w:pos="1440"/>
                <w:tab w:val="left" w:pos="1800"/>
              </w:tabs>
              <w:jc w:val="both"/>
              <w:textAlignment w:val="baseline"/>
              <w:rPr>
                <w:szCs w:val="25"/>
                <w:lang w:val="es-ES"/>
              </w:rPr>
            </w:pPr>
            <w:r w:rsidRPr="00E5413C">
              <w:rPr>
                <w:szCs w:val="25"/>
                <w:lang w:val="es-ES"/>
              </w:rPr>
              <w:lastRenderedPageBreak/>
              <w:tab/>
            </w:r>
            <w:r w:rsidRPr="00E5413C">
              <w:rPr>
                <w:szCs w:val="25"/>
                <w:lang w:val="es-ES"/>
              </w:rPr>
              <w:tab/>
            </w:r>
            <w:r w:rsidRPr="00E5413C">
              <w:rPr>
                <w:szCs w:val="25"/>
                <w:lang w:val="es-ES"/>
              </w:rPr>
              <w:tab/>
              <w:t>a)</w:t>
            </w:r>
            <w:r w:rsidRPr="00E5413C">
              <w:rPr>
                <w:szCs w:val="25"/>
                <w:lang w:val="es-ES"/>
              </w:rPr>
              <w:tab/>
              <w:t>49a</w:t>
            </w:r>
          </w:p>
          <w:p w14:paraId="5C8EB401" w14:textId="77777777" w:rsidR="0018433B" w:rsidRPr="00E5413C" w:rsidRDefault="0018433B" w:rsidP="00A44C2E">
            <w:pPr>
              <w:pStyle w:val="Style"/>
              <w:widowControl/>
              <w:tabs>
                <w:tab w:val="left" w:pos="360"/>
                <w:tab w:val="left" w:pos="720"/>
                <w:tab w:val="left" w:pos="1080"/>
                <w:tab w:val="left" w:pos="1440"/>
                <w:tab w:val="left" w:pos="1800"/>
              </w:tabs>
              <w:jc w:val="both"/>
              <w:textAlignment w:val="baseline"/>
              <w:rPr>
                <w:szCs w:val="25"/>
                <w:lang w:val="es-ES"/>
              </w:rPr>
            </w:pPr>
            <w:r w:rsidRPr="00E5413C">
              <w:rPr>
                <w:szCs w:val="25"/>
                <w:lang w:val="es-ES"/>
              </w:rPr>
              <w:tab/>
            </w:r>
            <w:r w:rsidRPr="00E5413C">
              <w:rPr>
                <w:szCs w:val="25"/>
                <w:lang w:val="es-ES"/>
              </w:rPr>
              <w:tab/>
            </w:r>
            <w:r w:rsidRPr="00E5413C">
              <w:rPr>
                <w:szCs w:val="25"/>
                <w:lang w:val="es-ES"/>
              </w:rPr>
              <w:tab/>
              <w:t>b)</w:t>
            </w:r>
            <w:r w:rsidRPr="00E5413C">
              <w:rPr>
                <w:szCs w:val="25"/>
                <w:lang w:val="es-ES"/>
              </w:rPr>
              <w:tab/>
              <w:t>49b-e</w:t>
            </w:r>
          </w:p>
        </w:tc>
      </w:tr>
    </w:tbl>
    <w:p w14:paraId="2FD3EF87" w14:textId="77777777" w:rsidR="0018433B" w:rsidRPr="003B2C28" w:rsidRDefault="0018433B" w:rsidP="0018433B">
      <w:pPr>
        <w:pStyle w:val="Style"/>
        <w:widowControl/>
        <w:jc w:val="center"/>
        <w:textAlignment w:val="baseline"/>
        <w:rPr>
          <w:iCs/>
          <w:szCs w:val="25"/>
        </w:rPr>
      </w:pPr>
      <w:r w:rsidRPr="003B2C28">
        <w:rPr>
          <w:iCs/>
          <w:szCs w:val="25"/>
        </w:rPr>
        <w:lastRenderedPageBreak/>
        <w:t>Figure 9.2</w:t>
      </w:r>
    </w:p>
    <w:p w14:paraId="7098ECD3" w14:textId="77777777" w:rsidR="0018433B" w:rsidRDefault="0018433B" w:rsidP="0018433B">
      <w:pPr>
        <w:pStyle w:val="Style"/>
        <w:widowControl/>
        <w:jc w:val="both"/>
        <w:textAlignment w:val="baseline"/>
      </w:pPr>
    </w:p>
    <w:p w14:paraId="27FB7342" w14:textId="41EFF5A9" w:rsidR="00904123" w:rsidRPr="00904123" w:rsidRDefault="001771B1" w:rsidP="00904123">
      <w:pPr>
        <w:pStyle w:val="Heading2"/>
        <w:rPr>
          <w:iCs/>
        </w:rPr>
      </w:pPr>
      <w:bookmarkStart w:id="64" w:name="_Toc147618635"/>
      <w:r>
        <w:t xml:space="preserve">3. </w:t>
      </w:r>
      <w:r w:rsidR="0018433B" w:rsidRPr="001771B1">
        <w:rPr>
          <w:i/>
          <w:iCs/>
        </w:rPr>
        <w:t xml:space="preserve">Post </w:t>
      </w:r>
      <w:r w:rsidR="00904123" w:rsidRPr="001771B1">
        <w:rPr>
          <w:i/>
          <w:iCs/>
        </w:rPr>
        <w:t>Scriptum</w:t>
      </w:r>
      <w:r w:rsidR="0018433B" w:rsidRPr="00904123">
        <w:t xml:space="preserve">: </w:t>
      </w:r>
      <w:r w:rsidR="00904123" w:rsidRPr="00904123">
        <w:t>On Swing Verses</w:t>
      </w:r>
      <w:bookmarkEnd w:id="64"/>
    </w:p>
    <w:p w14:paraId="26C8A37F" w14:textId="77777777" w:rsidR="00904123" w:rsidRDefault="00904123" w:rsidP="0018433B">
      <w:pPr>
        <w:pStyle w:val="Style"/>
        <w:widowControl/>
        <w:jc w:val="both"/>
        <w:textAlignment w:val="baseline"/>
        <w:rPr>
          <w:iCs/>
        </w:rPr>
      </w:pPr>
    </w:p>
    <w:p w14:paraId="35C2523D" w14:textId="113C0D10" w:rsidR="0018433B" w:rsidRPr="00904123" w:rsidRDefault="00904123" w:rsidP="0018433B">
      <w:pPr>
        <w:pStyle w:val="Style"/>
        <w:widowControl/>
        <w:jc w:val="both"/>
        <w:textAlignment w:val="baseline"/>
        <w:rPr>
          <w:szCs w:val="25"/>
        </w:rPr>
      </w:pPr>
      <w:r>
        <w:rPr>
          <w:szCs w:val="25"/>
        </w:rPr>
        <w:tab/>
      </w:r>
      <w:r w:rsidR="0018433B" w:rsidRPr="006A51BA">
        <w:rPr>
          <w:szCs w:val="25"/>
        </w:rPr>
        <w:t>It should be noted that some commentators</w:t>
      </w:r>
      <w:r w:rsidR="0018433B">
        <w:rPr>
          <w:szCs w:val="25"/>
        </w:rPr>
        <w:t xml:space="preserve"> </w:t>
      </w:r>
      <w:r w:rsidR="0018433B" w:rsidRPr="006A51BA">
        <w:rPr>
          <w:szCs w:val="25"/>
        </w:rPr>
        <w:t>take some of these intervening verses to be “bridge passages” or “swing verses.” Such a passage or verse may be defined as one that serves as a transition between its adjacent texts and that therefore belongs equally to both. Thus</w:t>
      </w:r>
      <w:r w:rsidR="006F304D" w:rsidRPr="006F304D">
        <w:rPr>
          <w:szCs w:val="25"/>
        </w:rPr>
        <w:t xml:space="preserve">, </w:t>
      </w:r>
      <w:r w:rsidR="0018433B">
        <w:rPr>
          <w:szCs w:val="25"/>
        </w:rPr>
        <w:t>after noting that verses 27-30</w:t>
      </w:r>
      <w:r w:rsidR="0018433B" w:rsidRPr="006A51BA">
        <w:rPr>
          <w:szCs w:val="25"/>
        </w:rPr>
        <w:t xml:space="preserve"> concern the extent of the love of enemies and that 32-35 concern the reward of the love of enemies</w:t>
      </w:r>
      <w:r w:rsidR="006F304D" w:rsidRPr="006F304D">
        <w:rPr>
          <w:szCs w:val="25"/>
        </w:rPr>
        <w:t xml:space="preserve">, </w:t>
      </w:r>
      <w:r w:rsidR="0018433B" w:rsidRPr="006A51BA">
        <w:rPr>
          <w:szCs w:val="25"/>
        </w:rPr>
        <w:t xml:space="preserve">Easton says of verse 31 </w:t>
      </w:r>
      <w:r w:rsidR="0018433B" w:rsidRPr="004C516D">
        <w:rPr>
          <w:szCs w:val="25"/>
        </w:rPr>
        <w:t>(</w:t>
      </w:r>
      <w:r w:rsidR="0018433B" w:rsidRPr="006A51BA">
        <w:rPr>
          <w:szCs w:val="25"/>
        </w:rPr>
        <w:t xml:space="preserve">the golden rule) that it </w:t>
      </w:r>
      <w:r w:rsidR="0018433B">
        <w:rPr>
          <w:szCs w:val="25"/>
        </w:rPr>
        <w:t>“</w:t>
      </w:r>
      <w:r w:rsidR="0018433B" w:rsidRPr="006A51BA">
        <w:rPr>
          <w:szCs w:val="25"/>
        </w:rPr>
        <w:t>link[s] from each theme to the following.”</w:t>
      </w:r>
      <w:r w:rsidR="0018433B">
        <w:rPr>
          <w:rStyle w:val="FootnoteReference"/>
          <w:szCs w:val="25"/>
        </w:rPr>
        <w:footnoteReference w:id="573"/>
      </w:r>
      <w:r w:rsidR="0018433B" w:rsidRPr="006A51BA">
        <w:rPr>
          <w:szCs w:val="25"/>
        </w:rPr>
        <w:t xml:space="preserve"> Of verses 35b-36</w:t>
      </w:r>
      <w:r w:rsidR="006F304D" w:rsidRPr="006F304D">
        <w:rPr>
          <w:szCs w:val="25"/>
        </w:rPr>
        <w:t xml:space="preserve">, </w:t>
      </w:r>
      <w:r w:rsidR="0018433B" w:rsidRPr="006A51BA">
        <w:rPr>
          <w:szCs w:val="25"/>
        </w:rPr>
        <w:t>Danker says:</w:t>
      </w:r>
    </w:p>
    <w:p w14:paraId="7AD9C41A" w14:textId="77777777" w:rsidR="0018433B" w:rsidRDefault="0018433B" w:rsidP="0018433B">
      <w:pPr>
        <w:pStyle w:val="Style"/>
        <w:widowControl/>
        <w:jc w:val="both"/>
        <w:textAlignment w:val="baseline"/>
        <w:rPr>
          <w:szCs w:val="25"/>
        </w:rPr>
      </w:pPr>
    </w:p>
    <w:p w14:paraId="0F450066" w14:textId="1ADA8DEA" w:rsidR="0018433B" w:rsidRPr="006A51BA" w:rsidRDefault="0018433B" w:rsidP="0018433B">
      <w:pPr>
        <w:pStyle w:val="Style"/>
        <w:widowControl/>
        <w:ind w:left="720" w:right="720"/>
        <w:jc w:val="both"/>
        <w:textAlignment w:val="baseline"/>
        <w:rPr>
          <w:szCs w:val="25"/>
        </w:rPr>
      </w:pPr>
      <w:r w:rsidRPr="006A51BA">
        <w:rPr>
          <w:szCs w:val="25"/>
        </w:rPr>
        <w:t xml:space="preserve">Verse 35b </w:t>
      </w:r>
      <w:r>
        <w:rPr>
          <w:szCs w:val="25"/>
        </w:rPr>
        <w:t>[our 35def</w:t>
      </w:r>
      <w:r w:rsidR="006F304D" w:rsidRPr="006F304D">
        <w:rPr>
          <w:szCs w:val="25"/>
        </w:rPr>
        <w:t xml:space="preserve">, </w:t>
      </w:r>
      <w:r>
        <w:rPr>
          <w:szCs w:val="25"/>
        </w:rPr>
        <w:t>“</w:t>
      </w:r>
      <w:r w:rsidRPr="00CD75A6">
        <w:t>Your reward will be great</w:t>
      </w:r>
      <w:r>
        <w:t xml:space="preserve"> . . . </w:t>
      </w:r>
      <w:r w:rsidRPr="00CD75A6">
        <w:t>for he is kind to the ungrat</w:t>
      </w:r>
      <w:r>
        <w:t>eful and the wicked”</w:t>
      </w:r>
      <w:r>
        <w:rPr>
          <w:szCs w:val="25"/>
        </w:rPr>
        <w:t xml:space="preserve">] </w:t>
      </w:r>
      <w:r w:rsidRPr="006A51BA">
        <w:rPr>
          <w:szCs w:val="25"/>
        </w:rPr>
        <w:t xml:space="preserve">presented the motivating force of God’s kindness as a </w:t>
      </w:r>
      <w:r w:rsidRPr="006A51BA">
        <w:rPr>
          <w:i/>
          <w:iCs/>
        </w:rPr>
        <w:t>conclusion</w:t>
      </w:r>
      <w:r w:rsidRPr="009D5155">
        <w:rPr>
          <w:iCs/>
        </w:rPr>
        <w:t xml:space="preserve"> </w:t>
      </w:r>
      <w:r w:rsidRPr="006A51BA">
        <w:rPr>
          <w:szCs w:val="25"/>
        </w:rPr>
        <w:t>to the discourse that preceded it. Now [in verse 36</w:t>
      </w:r>
      <w:r w:rsidR="006F304D" w:rsidRPr="006F304D">
        <w:rPr>
          <w:szCs w:val="25"/>
        </w:rPr>
        <w:t xml:space="preserve">, </w:t>
      </w:r>
      <w:r>
        <w:rPr>
          <w:szCs w:val="25"/>
        </w:rPr>
        <w:t>“</w:t>
      </w:r>
      <w:r w:rsidRPr="00CD75A6">
        <w:t>Be merciful</w:t>
      </w:r>
      <w:r w:rsidR="006F304D" w:rsidRPr="006F304D">
        <w:t xml:space="preserve">, </w:t>
      </w:r>
      <w:r w:rsidRPr="00CD75A6">
        <w:t>just as your Father is merciful</w:t>
      </w:r>
      <w:r>
        <w:t>”</w:t>
      </w:r>
      <w:r w:rsidRPr="006A51BA">
        <w:rPr>
          <w:szCs w:val="25"/>
        </w:rPr>
        <w:t>] a similar motivation is offered for the discourse in vv. 37-45</w:t>
      </w:r>
      <w:r w:rsidR="006F304D" w:rsidRPr="006F304D">
        <w:rPr>
          <w:szCs w:val="25"/>
        </w:rPr>
        <w:t xml:space="preserve">, </w:t>
      </w:r>
      <w:r w:rsidRPr="006A51BA">
        <w:rPr>
          <w:szCs w:val="25"/>
        </w:rPr>
        <w:t xml:space="preserve">only this time the motivation </w:t>
      </w:r>
      <w:r w:rsidRPr="006A51BA">
        <w:rPr>
          <w:i/>
          <w:iCs/>
        </w:rPr>
        <w:t>introduces</w:t>
      </w:r>
      <w:r w:rsidRPr="009D5155">
        <w:rPr>
          <w:iCs/>
        </w:rPr>
        <w:t xml:space="preserve"> </w:t>
      </w:r>
      <w:r w:rsidRPr="006A51BA">
        <w:rPr>
          <w:szCs w:val="25"/>
        </w:rPr>
        <w:t>the discourse. Thus vss. 35b and 36 are a kind of hinge on which the two major parts of the ser</w:t>
      </w:r>
      <w:r>
        <w:rPr>
          <w:szCs w:val="25"/>
        </w:rPr>
        <w:t>mon swing.</w:t>
      </w:r>
      <w:r>
        <w:rPr>
          <w:rStyle w:val="FootnoteReference"/>
          <w:szCs w:val="25"/>
        </w:rPr>
        <w:footnoteReference w:id="574"/>
      </w:r>
    </w:p>
    <w:p w14:paraId="652D12B5" w14:textId="77777777" w:rsidR="0018433B" w:rsidRDefault="0018433B" w:rsidP="0018433B">
      <w:pPr>
        <w:pStyle w:val="Style"/>
        <w:widowControl/>
        <w:jc w:val="both"/>
        <w:textAlignment w:val="baseline"/>
      </w:pPr>
    </w:p>
    <w:p w14:paraId="0D3398CD" w14:textId="36740203" w:rsidR="0018433B" w:rsidRPr="006A51BA" w:rsidRDefault="0018433B" w:rsidP="0018433B">
      <w:pPr>
        <w:pStyle w:val="Style"/>
        <w:widowControl/>
        <w:jc w:val="both"/>
        <w:textAlignment w:val="baseline"/>
        <w:rPr>
          <w:szCs w:val="25"/>
        </w:rPr>
      </w:pPr>
      <w:r w:rsidRPr="006A51BA">
        <w:rPr>
          <w:szCs w:val="25"/>
        </w:rPr>
        <w:t>Similarly</w:t>
      </w:r>
      <w:r w:rsidR="006F304D" w:rsidRPr="006F304D">
        <w:rPr>
          <w:szCs w:val="25"/>
        </w:rPr>
        <w:t xml:space="preserve">, </w:t>
      </w:r>
      <w:r w:rsidRPr="006A51BA">
        <w:rPr>
          <w:szCs w:val="25"/>
        </w:rPr>
        <w:t>one finds comments about verses 45 and 46 which suggest that they are</w:t>
      </w:r>
      <w:r>
        <w:rPr>
          <w:szCs w:val="25"/>
        </w:rPr>
        <w:t xml:space="preserve"> </w:t>
      </w:r>
      <w:r w:rsidRPr="006A51BA">
        <w:rPr>
          <w:szCs w:val="25"/>
        </w:rPr>
        <w:t>“swing verses</w:t>
      </w:r>
      <w:r>
        <w:rPr>
          <w:szCs w:val="25"/>
        </w:rPr>
        <w:t>”</w:t>
      </w:r>
      <w:r w:rsidRPr="006A51BA">
        <w:rPr>
          <w:szCs w:val="25"/>
        </w:rPr>
        <w:t xml:space="preserve">: </w:t>
      </w:r>
      <w:r>
        <w:rPr>
          <w:szCs w:val="25"/>
        </w:rPr>
        <w:t>“</w:t>
      </w:r>
      <w:r w:rsidRPr="006A51BA">
        <w:rPr>
          <w:szCs w:val="25"/>
        </w:rPr>
        <w:t>This [45] forms</w:t>
      </w:r>
      <w:r>
        <w:rPr>
          <w:szCs w:val="25"/>
        </w:rPr>
        <w:t xml:space="preserve"> a link with the next section”;</w:t>
      </w:r>
      <w:r>
        <w:rPr>
          <w:rStyle w:val="FootnoteReference"/>
          <w:szCs w:val="25"/>
        </w:rPr>
        <w:footnoteReference w:id="575"/>
      </w:r>
      <w:r>
        <w:rPr>
          <w:szCs w:val="25"/>
        </w:rPr>
        <w:t xml:space="preserve"> “</w:t>
      </w:r>
      <w:r w:rsidRPr="006A51BA">
        <w:rPr>
          <w:szCs w:val="25"/>
        </w:rPr>
        <w:t>This verse [46] climaxes the preceding exhortation and serves as a transition to the concluding</w:t>
      </w:r>
      <w:r>
        <w:rPr>
          <w:szCs w:val="25"/>
        </w:rPr>
        <w:t xml:space="preserve"> paragraph . . .”</w:t>
      </w:r>
      <w:r>
        <w:rPr>
          <w:rStyle w:val="FootnoteReference"/>
          <w:szCs w:val="25"/>
        </w:rPr>
        <w:footnoteReference w:id="576"/>
      </w:r>
    </w:p>
    <w:p w14:paraId="0F79AB4B" w14:textId="4F2F65FD" w:rsidR="0018433B" w:rsidRDefault="0018433B" w:rsidP="0018433B">
      <w:pPr>
        <w:pStyle w:val="Style"/>
        <w:widowControl/>
        <w:jc w:val="both"/>
        <w:textAlignment w:val="baseline"/>
        <w:rPr>
          <w:szCs w:val="25"/>
        </w:rPr>
      </w:pPr>
      <w:r>
        <w:rPr>
          <w:szCs w:val="25"/>
        </w:rPr>
        <w:tab/>
      </w:r>
      <w:r w:rsidRPr="006A51BA">
        <w:rPr>
          <w:szCs w:val="25"/>
        </w:rPr>
        <w:t>Nevertheless</w:t>
      </w:r>
      <w:r w:rsidR="006F304D" w:rsidRPr="006F304D">
        <w:rPr>
          <w:szCs w:val="25"/>
        </w:rPr>
        <w:t xml:space="preserve">, </w:t>
      </w:r>
      <w:r w:rsidRPr="006A51BA">
        <w:rPr>
          <w:szCs w:val="25"/>
        </w:rPr>
        <w:t>it must be noted that</w:t>
      </w:r>
      <w:r w:rsidR="006F304D" w:rsidRPr="006F304D">
        <w:rPr>
          <w:szCs w:val="25"/>
        </w:rPr>
        <w:t xml:space="preserve">, </w:t>
      </w:r>
      <w:r w:rsidRPr="006A51BA">
        <w:rPr>
          <w:i/>
          <w:iCs/>
        </w:rPr>
        <w:t>without exception</w:t>
      </w:r>
      <w:r w:rsidR="006F304D" w:rsidRPr="006F304D">
        <w:rPr>
          <w:iCs/>
        </w:rPr>
        <w:t xml:space="preserve">, </w:t>
      </w:r>
      <w:r w:rsidRPr="006A51BA">
        <w:rPr>
          <w:szCs w:val="25"/>
        </w:rPr>
        <w:t>these authors do attach these respective verses more closely</w:t>
      </w:r>
      <w:r w:rsidR="006F304D" w:rsidRPr="006F304D">
        <w:rPr>
          <w:szCs w:val="25"/>
        </w:rPr>
        <w:t xml:space="preserve">, </w:t>
      </w:r>
      <w:r w:rsidRPr="006A51BA">
        <w:rPr>
          <w:szCs w:val="25"/>
        </w:rPr>
        <w:t>either to what precedes them or to what follows. And</w:t>
      </w:r>
      <w:r w:rsidR="006F304D" w:rsidRPr="006F304D">
        <w:rPr>
          <w:szCs w:val="25"/>
        </w:rPr>
        <w:t xml:space="preserve">, </w:t>
      </w:r>
      <w:r w:rsidRPr="006A51BA">
        <w:rPr>
          <w:szCs w:val="25"/>
        </w:rPr>
        <w:t xml:space="preserve">as we have now </w:t>
      </w:r>
      <w:r w:rsidRPr="006A51BA">
        <w:rPr>
          <w:szCs w:val="25"/>
        </w:rPr>
        <w:lastRenderedPageBreak/>
        <w:t>demonstrated in this chapter</w:t>
      </w:r>
      <w:r w:rsidR="006F304D" w:rsidRPr="006F304D">
        <w:rPr>
          <w:szCs w:val="25"/>
        </w:rPr>
        <w:t xml:space="preserve">, </w:t>
      </w:r>
      <w:r w:rsidRPr="006A51BA">
        <w:rPr>
          <w:szCs w:val="25"/>
        </w:rPr>
        <w:t>none of these verses should be left to stand alone: 31</w:t>
      </w:r>
      <w:r w:rsidR="006F304D" w:rsidRPr="006F304D">
        <w:rPr>
          <w:szCs w:val="25"/>
        </w:rPr>
        <w:t xml:space="preserve">, </w:t>
      </w:r>
      <w:r w:rsidRPr="006A51BA">
        <w:rPr>
          <w:szCs w:val="25"/>
        </w:rPr>
        <w:t>36</w:t>
      </w:r>
      <w:r w:rsidR="006F304D" w:rsidRPr="006F304D">
        <w:rPr>
          <w:szCs w:val="25"/>
        </w:rPr>
        <w:t xml:space="preserve">, </w:t>
      </w:r>
      <w:r w:rsidRPr="006A51BA">
        <w:rPr>
          <w:szCs w:val="25"/>
        </w:rPr>
        <w:t>and 45 clearly belong with the texts that precede them</w:t>
      </w:r>
      <w:r w:rsidR="006F304D" w:rsidRPr="006F304D">
        <w:rPr>
          <w:szCs w:val="25"/>
        </w:rPr>
        <w:t xml:space="preserve">, </w:t>
      </w:r>
      <w:r w:rsidRPr="006A51BA">
        <w:rPr>
          <w:szCs w:val="25"/>
        </w:rPr>
        <w:t>and 46 belongs with the text that follows it. Thus</w:t>
      </w:r>
      <w:r w:rsidR="006F304D" w:rsidRPr="006F304D">
        <w:rPr>
          <w:szCs w:val="25"/>
        </w:rPr>
        <w:t xml:space="preserve">, </w:t>
      </w:r>
      <w:r w:rsidRPr="006A51BA">
        <w:rPr>
          <w:szCs w:val="25"/>
        </w:rPr>
        <w:t xml:space="preserve">despite </w:t>
      </w:r>
      <w:r>
        <w:rPr>
          <w:szCs w:val="25"/>
        </w:rPr>
        <w:t>labels (“</w:t>
      </w:r>
      <w:r w:rsidRPr="006A51BA">
        <w:rPr>
          <w:szCs w:val="25"/>
        </w:rPr>
        <w:t>bridge passages</w:t>
      </w:r>
      <w:r>
        <w:rPr>
          <w:szCs w:val="25"/>
        </w:rPr>
        <w:t>,</w:t>
      </w:r>
      <w:r w:rsidRPr="006A51BA">
        <w:rPr>
          <w:szCs w:val="25"/>
        </w:rPr>
        <w:t>” “swing vers</w:t>
      </w:r>
      <w:r>
        <w:rPr>
          <w:szCs w:val="25"/>
        </w:rPr>
        <w:t>es”)</w:t>
      </w:r>
      <w:r w:rsidRPr="006A51BA">
        <w:rPr>
          <w:szCs w:val="25"/>
        </w:rPr>
        <w:t xml:space="preserve"> </w:t>
      </w:r>
      <w:r>
        <w:rPr>
          <w:szCs w:val="25"/>
        </w:rPr>
        <w:t>that suggest</w:t>
      </w:r>
      <w:r w:rsidRPr="006A51BA">
        <w:rPr>
          <w:szCs w:val="25"/>
        </w:rPr>
        <w:t xml:space="preserve"> these intervening verses </w:t>
      </w:r>
      <w:r>
        <w:rPr>
          <w:szCs w:val="25"/>
        </w:rPr>
        <w:t>belong equally to passages that precede and passages that follow</w:t>
      </w:r>
      <w:r w:rsidR="006F304D" w:rsidRPr="006F304D">
        <w:rPr>
          <w:szCs w:val="25"/>
        </w:rPr>
        <w:t xml:space="preserve">, </w:t>
      </w:r>
      <w:r>
        <w:rPr>
          <w:szCs w:val="25"/>
        </w:rPr>
        <w:t xml:space="preserve">it </w:t>
      </w:r>
      <w:r w:rsidRPr="006A51BA">
        <w:rPr>
          <w:szCs w:val="25"/>
        </w:rPr>
        <w:t xml:space="preserve">is improbable </w:t>
      </w:r>
      <w:r>
        <w:rPr>
          <w:szCs w:val="25"/>
        </w:rPr>
        <w:t xml:space="preserve">that </w:t>
      </w:r>
      <w:r w:rsidRPr="006A51BA">
        <w:rPr>
          <w:szCs w:val="25"/>
        </w:rPr>
        <w:t>Luke consciously used such a rhetorical device as a structural principle.</w:t>
      </w:r>
    </w:p>
    <w:p w14:paraId="49AD2646" w14:textId="77777777" w:rsidR="0018433B" w:rsidRDefault="0018433B">
      <w:r>
        <w:br w:type="page"/>
      </w:r>
    </w:p>
    <w:p w14:paraId="7D0C5F3E" w14:textId="3EB3EB0E" w:rsidR="0018433B" w:rsidRPr="00954FE3" w:rsidRDefault="00904123" w:rsidP="00904123">
      <w:pPr>
        <w:pStyle w:val="Heading1"/>
      </w:pPr>
      <w:bookmarkStart w:id="65" w:name="_Toc147618636"/>
      <w:r w:rsidRPr="00954FE3">
        <w:lastRenderedPageBreak/>
        <w:t>Chapter</w:t>
      </w:r>
      <w:r>
        <w:t xml:space="preserve"> </w:t>
      </w:r>
      <w:r w:rsidR="0018433B" w:rsidRPr="00954FE3">
        <w:t>9</w:t>
      </w:r>
      <w:r>
        <w:t xml:space="preserve">: </w:t>
      </w:r>
      <w:r w:rsidRPr="00954FE3">
        <w:t>Contentual Criteria</w:t>
      </w:r>
      <w:r w:rsidR="0018433B" w:rsidRPr="00954FE3">
        <w:t>:</w:t>
      </w:r>
      <w:bookmarkEnd w:id="65"/>
    </w:p>
    <w:p w14:paraId="5EAECDE0" w14:textId="5D0C461D" w:rsidR="0018433B" w:rsidRPr="00954FE3" w:rsidRDefault="00904123" w:rsidP="00904123">
      <w:pPr>
        <w:pStyle w:val="Heading1"/>
      </w:pPr>
      <w:bookmarkStart w:id="66" w:name="_Toc147618637"/>
      <w:r w:rsidRPr="00954FE3">
        <w:t>Logical Outlines: Major Sections</w:t>
      </w:r>
      <w:bookmarkEnd w:id="66"/>
    </w:p>
    <w:p w14:paraId="731CEA0E" w14:textId="77777777" w:rsidR="0018433B" w:rsidRDefault="0018433B" w:rsidP="0018433B">
      <w:pPr>
        <w:pStyle w:val="Style"/>
        <w:widowControl/>
        <w:jc w:val="both"/>
        <w:textAlignment w:val="baseline"/>
        <w:rPr>
          <w:szCs w:val="25"/>
        </w:rPr>
      </w:pPr>
    </w:p>
    <w:p w14:paraId="374C1991" w14:textId="77777777" w:rsidR="0018433B" w:rsidRDefault="0018433B" w:rsidP="0018433B">
      <w:pPr>
        <w:pStyle w:val="Style"/>
        <w:widowControl/>
        <w:jc w:val="both"/>
        <w:textAlignment w:val="baseline"/>
        <w:rPr>
          <w:szCs w:val="25"/>
        </w:rPr>
      </w:pPr>
    </w:p>
    <w:p w14:paraId="7D7D9A87" w14:textId="1F82085B" w:rsidR="0018433B" w:rsidRPr="00954FE3" w:rsidRDefault="0018433B" w:rsidP="0018433B">
      <w:pPr>
        <w:pStyle w:val="Style"/>
        <w:widowControl/>
        <w:jc w:val="both"/>
        <w:textAlignment w:val="baseline"/>
        <w:rPr>
          <w:szCs w:val="25"/>
        </w:rPr>
      </w:pPr>
      <w:r>
        <w:rPr>
          <w:szCs w:val="25"/>
        </w:rPr>
        <w:tab/>
      </w:r>
      <w:r w:rsidRPr="00954FE3">
        <w:rPr>
          <w:szCs w:val="25"/>
        </w:rPr>
        <w:t>In the previous chapter</w:t>
      </w:r>
      <w:r w:rsidR="006F304D" w:rsidRPr="006F304D">
        <w:rPr>
          <w:szCs w:val="25"/>
        </w:rPr>
        <w:t xml:space="preserve">, </w:t>
      </w:r>
      <w:r w:rsidRPr="00954FE3">
        <w:rPr>
          <w:szCs w:val="25"/>
        </w:rPr>
        <w:t>I assigned each of the verses in the sermon on the plain to its immediate unit. As the outline at the end of the previous chapter shows</w:t>
      </w:r>
      <w:r w:rsidR="006F304D" w:rsidRPr="006F304D">
        <w:rPr>
          <w:szCs w:val="25"/>
        </w:rPr>
        <w:t xml:space="preserve">, </w:t>
      </w:r>
      <w:r w:rsidRPr="00954FE3">
        <w:rPr>
          <w:szCs w:val="25"/>
        </w:rPr>
        <w:t>these small units are: 20a</w:t>
      </w:r>
      <w:r w:rsidR="006F304D" w:rsidRPr="006F304D">
        <w:rPr>
          <w:szCs w:val="25"/>
        </w:rPr>
        <w:t xml:space="preserve">, </w:t>
      </w:r>
      <w:r w:rsidRPr="00954FE3">
        <w:rPr>
          <w:szCs w:val="25"/>
        </w:rPr>
        <w:t>20b-26</w:t>
      </w:r>
      <w:r w:rsidR="006F304D" w:rsidRPr="006F304D">
        <w:rPr>
          <w:szCs w:val="25"/>
        </w:rPr>
        <w:t xml:space="preserve">, </w:t>
      </w:r>
      <w:r w:rsidRPr="00954FE3">
        <w:rPr>
          <w:szCs w:val="25"/>
        </w:rPr>
        <w:t>27-28</w:t>
      </w:r>
      <w:r w:rsidR="006F304D" w:rsidRPr="006F304D">
        <w:rPr>
          <w:szCs w:val="25"/>
        </w:rPr>
        <w:t xml:space="preserve">, </w:t>
      </w:r>
      <w:r w:rsidRPr="00954FE3">
        <w:rPr>
          <w:szCs w:val="25"/>
        </w:rPr>
        <w:t>29-31</w:t>
      </w:r>
      <w:r w:rsidR="006F304D" w:rsidRPr="006F304D">
        <w:rPr>
          <w:szCs w:val="25"/>
        </w:rPr>
        <w:t xml:space="preserve">, </w:t>
      </w:r>
      <w:r w:rsidRPr="00954FE3">
        <w:rPr>
          <w:szCs w:val="25"/>
        </w:rPr>
        <w:t>32-36</w:t>
      </w:r>
      <w:r w:rsidR="006F304D" w:rsidRPr="006F304D">
        <w:rPr>
          <w:szCs w:val="25"/>
        </w:rPr>
        <w:t xml:space="preserve">, </w:t>
      </w:r>
      <w:r w:rsidRPr="00954FE3">
        <w:rPr>
          <w:szCs w:val="25"/>
        </w:rPr>
        <w:t>37-38</w:t>
      </w:r>
      <w:r w:rsidR="006F304D" w:rsidRPr="006F304D">
        <w:rPr>
          <w:szCs w:val="25"/>
        </w:rPr>
        <w:t xml:space="preserve">, </w:t>
      </w:r>
      <w:r w:rsidRPr="00954FE3">
        <w:rPr>
          <w:szCs w:val="25"/>
        </w:rPr>
        <w:t>39a</w:t>
      </w:r>
      <w:r w:rsidR="006F304D" w:rsidRPr="006F304D">
        <w:rPr>
          <w:szCs w:val="25"/>
        </w:rPr>
        <w:t xml:space="preserve">, </w:t>
      </w:r>
      <w:r w:rsidRPr="00954FE3">
        <w:rPr>
          <w:szCs w:val="25"/>
        </w:rPr>
        <w:t>39b-40</w:t>
      </w:r>
      <w:r w:rsidR="006F304D" w:rsidRPr="006F304D">
        <w:rPr>
          <w:szCs w:val="25"/>
        </w:rPr>
        <w:t xml:space="preserve">, </w:t>
      </w:r>
      <w:r w:rsidRPr="00954FE3">
        <w:rPr>
          <w:szCs w:val="25"/>
        </w:rPr>
        <w:t>41-42</w:t>
      </w:r>
      <w:r w:rsidR="006F304D" w:rsidRPr="006F304D">
        <w:rPr>
          <w:szCs w:val="25"/>
        </w:rPr>
        <w:t xml:space="preserve">, </w:t>
      </w:r>
      <w:r w:rsidRPr="00954FE3">
        <w:rPr>
          <w:szCs w:val="25"/>
        </w:rPr>
        <w:t>43- 45</w:t>
      </w:r>
      <w:r w:rsidR="006F304D" w:rsidRPr="006F304D">
        <w:rPr>
          <w:szCs w:val="25"/>
        </w:rPr>
        <w:t xml:space="preserve">, </w:t>
      </w:r>
      <w:r w:rsidRPr="00954FE3">
        <w:rPr>
          <w:szCs w:val="25"/>
        </w:rPr>
        <w:t>and 46-49.</w:t>
      </w:r>
    </w:p>
    <w:p w14:paraId="569E187D" w14:textId="149BBB3C" w:rsidR="0018433B" w:rsidRPr="00954FE3" w:rsidRDefault="0018433B" w:rsidP="0018433B">
      <w:pPr>
        <w:pStyle w:val="Style"/>
        <w:widowControl/>
        <w:jc w:val="both"/>
        <w:textAlignment w:val="baseline"/>
        <w:rPr>
          <w:szCs w:val="25"/>
        </w:rPr>
      </w:pPr>
      <w:r>
        <w:rPr>
          <w:szCs w:val="25"/>
        </w:rPr>
        <w:tab/>
      </w:r>
      <w:r w:rsidRPr="00954FE3">
        <w:rPr>
          <w:szCs w:val="25"/>
        </w:rPr>
        <w:t>It is now time to examine the relations of these small units to one another</w:t>
      </w:r>
      <w:r w:rsidR="006F304D" w:rsidRPr="006F304D">
        <w:rPr>
          <w:szCs w:val="25"/>
        </w:rPr>
        <w:t xml:space="preserve">, </w:t>
      </w:r>
      <w:r w:rsidRPr="00954FE3">
        <w:rPr>
          <w:szCs w:val="25"/>
        </w:rPr>
        <w:t xml:space="preserve">in order to ascertain the major sections of the sermon. The determination of the sermon’s major sections is the </w:t>
      </w:r>
      <w:r>
        <w:rPr>
          <w:szCs w:val="25"/>
        </w:rPr>
        <w:t xml:space="preserve">primary </w:t>
      </w:r>
      <w:r w:rsidRPr="00954FE3">
        <w:rPr>
          <w:szCs w:val="25"/>
        </w:rPr>
        <w:t>task in investigating the sermon’s logical outline.</w:t>
      </w:r>
    </w:p>
    <w:p w14:paraId="0A1E5F89" w14:textId="09482D20" w:rsidR="0018433B" w:rsidRPr="00954FE3" w:rsidRDefault="0018433B" w:rsidP="0018433B">
      <w:pPr>
        <w:pStyle w:val="Style"/>
        <w:widowControl/>
        <w:jc w:val="both"/>
        <w:textAlignment w:val="baseline"/>
        <w:rPr>
          <w:szCs w:val="25"/>
        </w:rPr>
      </w:pPr>
      <w:r>
        <w:rPr>
          <w:szCs w:val="25"/>
        </w:rPr>
        <w:tab/>
      </w:r>
      <w:r w:rsidRPr="00954FE3">
        <w:rPr>
          <w:szCs w:val="25"/>
        </w:rPr>
        <w:t xml:space="preserve">Virtually all commentators agree that 20b-26 are an introduction. There is nothing else in the sermon like these verses. The forms (beatitudes and woes) </w:t>
      </w:r>
      <w:r>
        <w:rPr>
          <w:szCs w:val="25"/>
        </w:rPr>
        <w:t>are unique</w:t>
      </w:r>
      <w:r w:rsidR="006F304D" w:rsidRPr="006F304D">
        <w:rPr>
          <w:szCs w:val="25"/>
        </w:rPr>
        <w:t xml:space="preserve">, </w:t>
      </w:r>
      <w:r>
        <w:rPr>
          <w:szCs w:val="25"/>
        </w:rPr>
        <w:t>and the theme of 27</w:t>
      </w:r>
      <w:r w:rsidR="006F304D" w:rsidRPr="006F304D">
        <w:rPr>
          <w:szCs w:val="25"/>
        </w:rPr>
        <w:t xml:space="preserve">, </w:t>
      </w:r>
      <w:r>
        <w:rPr>
          <w:szCs w:val="25"/>
        </w:rPr>
        <w:t>love of enemies</w:t>
      </w:r>
      <w:r w:rsidR="006F304D" w:rsidRPr="006F304D">
        <w:rPr>
          <w:szCs w:val="25"/>
        </w:rPr>
        <w:t xml:space="preserve">, </w:t>
      </w:r>
      <w:r w:rsidRPr="00954FE3">
        <w:rPr>
          <w:szCs w:val="25"/>
        </w:rPr>
        <w:t>is not obviously part of the message of 20b-26. Hence a major break occurs at this point</w:t>
      </w:r>
      <w:r w:rsidR="006F304D" w:rsidRPr="006F304D">
        <w:rPr>
          <w:szCs w:val="25"/>
        </w:rPr>
        <w:t xml:space="preserve">, </w:t>
      </w:r>
      <w:r w:rsidRPr="00954FE3">
        <w:rPr>
          <w:szCs w:val="25"/>
        </w:rPr>
        <w:t>and we can at once denominate 20b-26 a major section of the discourse. Most commentators also</w:t>
      </w:r>
      <w:r w:rsidRPr="00F624D6">
        <w:rPr>
          <w:szCs w:val="25"/>
        </w:rPr>
        <w:t>—</w:t>
      </w:r>
      <w:r w:rsidRPr="00954FE3">
        <w:rPr>
          <w:szCs w:val="25"/>
        </w:rPr>
        <w:t>though not as many</w:t>
      </w:r>
      <w:r w:rsidRPr="00F624D6">
        <w:rPr>
          <w:szCs w:val="25"/>
        </w:rPr>
        <w:t>—</w:t>
      </w:r>
      <w:r w:rsidRPr="00954FE3">
        <w:rPr>
          <w:szCs w:val="25"/>
        </w:rPr>
        <w:t xml:space="preserve">consider 46-49 (or 47-49) to be a conclusion. Whether it is a major section of its own or a subordinate conclusion to a major section that begins prior to </w:t>
      </w:r>
      <w:r>
        <w:rPr>
          <w:szCs w:val="25"/>
        </w:rPr>
        <w:t>it</w:t>
      </w:r>
      <w:r w:rsidRPr="00954FE3">
        <w:rPr>
          <w:szCs w:val="25"/>
        </w:rPr>
        <w:t xml:space="preserve"> need not detain us at the moment. We can forego this problem</w:t>
      </w:r>
      <w:r>
        <w:rPr>
          <w:szCs w:val="25"/>
        </w:rPr>
        <w:t xml:space="preserve"> </w:t>
      </w:r>
      <w:r w:rsidRPr="00954FE3">
        <w:rPr>
          <w:szCs w:val="25"/>
        </w:rPr>
        <w:t>until we have solved the question of the middle verses. It is here</w:t>
      </w:r>
      <w:r w:rsidR="006F304D" w:rsidRPr="006F304D">
        <w:rPr>
          <w:szCs w:val="25"/>
        </w:rPr>
        <w:t xml:space="preserve">, </w:t>
      </w:r>
      <w:r w:rsidRPr="00954FE3">
        <w:rPr>
          <w:szCs w:val="25"/>
        </w:rPr>
        <w:t>in the question of</w:t>
      </w:r>
      <w:r>
        <w:rPr>
          <w:szCs w:val="25"/>
        </w:rPr>
        <w:t xml:space="preserve"> </w:t>
      </w:r>
      <w:r w:rsidRPr="00954FE3">
        <w:rPr>
          <w:szCs w:val="25"/>
        </w:rPr>
        <w:t>the division of the middle verses</w:t>
      </w:r>
      <w:r w:rsidR="006F304D" w:rsidRPr="006F304D">
        <w:rPr>
          <w:szCs w:val="25"/>
        </w:rPr>
        <w:t xml:space="preserve">, </w:t>
      </w:r>
      <w:r w:rsidRPr="00954FE3">
        <w:rPr>
          <w:szCs w:val="25"/>
        </w:rPr>
        <w:t>that the major controversies occur concerning the sermon’s logical outline.</w:t>
      </w:r>
    </w:p>
    <w:p w14:paraId="4A43C25E" w14:textId="244408DD" w:rsidR="0018433B" w:rsidRPr="003C5A6C" w:rsidRDefault="0018433B" w:rsidP="0018433B">
      <w:pPr>
        <w:pStyle w:val="Style"/>
        <w:widowControl/>
        <w:jc w:val="both"/>
        <w:textAlignment w:val="baseline"/>
        <w:rPr>
          <w:szCs w:val="25"/>
        </w:rPr>
      </w:pPr>
      <w:r>
        <w:rPr>
          <w:szCs w:val="25"/>
        </w:rPr>
        <w:tab/>
      </w:r>
      <w:r w:rsidRPr="00954FE3">
        <w:rPr>
          <w:szCs w:val="25"/>
        </w:rPr>
        <w:t>A correct division of verses 27-45 is crucial in any attempt at a logical outline of the sermon. Generally speaking</w:t>
      </w:r>
      <w:r w:rsidR="006F304D" w:rsidRPr="006F304D">
        <w:rPr>
          <w:szCs w:val="25"/>
        </w:rPr>
        <w:t xml:space="preserve">, </w:t>
      </w:r>
      <w:r w:rsidRPr="00954FE3">
        <w:rPr>
          <w:szCs w:val="25"/>
        </w:rPr>
        <w:t xml:space="preserve">commentators divide this middle section of the sermon into </w:t>
      </w:r>
      <w:r>
        <w:rPr>
          <w:szCs w:val="25"/>
        </w:rPr>
        <w:t xml:space="preserve">either </w:t>
      </w:r>
      <w:r w:rsidRPr="00954FE3">
        <w:rPr>
          <w:szCs w:val="25"/>
        </w:rPr>
        <w:t>of two archetypal patterns. Some see in the section two major subsections</w:t>
      </w:r>
      <w:r w:rsidR="006F304D" w:rsidRPr="006F304D">
        <w:rPr>
          <w:szCs w:val="25"/>
        </w:rPr>
        <w:t xml:space="preserve">, </w:t>
      </w:r>
      <w:r w:rsidRPr="00954FE3">
        <w:rPr>
          <w:szCs w:val="25"/>
        </w:rPr>
        <w:t>27b-38 and 39-45 (I will refer to this division hencef</w:t>
      </w:r>
      <w:r>
        <w:rPr>
          <w:szCs w:val="25"/>
        </w:rPr>
        <w:t>orth as the “two-part middle”).</w:t>
      </w:r>
      <w:r>
        <w:rPr>
          <w:rStyle w:val="FootnoteReference"/>
          <w:szCs w:val="25"/>
        </w:rPr>
        <w:footnoteReference w:id="577"/>
      </w:r>
      <w:r w:rsidRPr="00954FE3">
        <w:rPr>
          <w:szCs w:val="25"/>
        </w:rPr>
        <w:t xml:space="preserve"> Other commentators see in 27-45 three subsections</w:t>
      </w:r>
      <w:r w:rsidR="006F304D" w:rsidRPr="006F304D">
        <w:rPr>
          <w:szCs w:val="25"/>
        </w:rPr>
        <w:t xml:space="preserve">, </w:t>
      </w:r>
      <w:r w:rsidRPr="00954FE3">
        <w:rPr>
          <w:szCs w:val="25"/>
        </w:rPr>
        <w:t>27b-36</w:t>
      </w:r>
      <w:r w:rsidR="006F304D" w:rsidRPr="006F304D">
        <w:rPr>
          <w:szCs w:val="25"/>
        </w:rPr>
        <w:t xml:space="preserve">, </w:t>
      </w:r>
      <w:r w:rsidRPr="00954FE3">
        <w:rPr>
          <w:szCs w:val="25"/>
        </w:rPr>
        <w:t>37-42</w:t>
      </w:r>
      <w:r w:rsidR="006F304D" w:rsidRPr="006F304D">
        <w:rPr>
          <w:szCs w:val="25"/>
        </w:rPr>
        <w:t xml:space="preserve">, </w:t>
      </w:r>
      <w:r w:rsidRPr="00954FE3">
        <w:rPr>
          <w:szCs w:val="25"/>
        </w:rPr>
        <w:t>and 43-45 (I will refer to this division as the “three-part middle”). We will consider each of these two standard methods of division in turn.</w:t>
      </w:r>
      <w:r>
        <w:rPr>
          <w:rStyle w:val="FootnoteReference"/>
          <w:szCs w:val="25"/>
        </w:rPr>
        <w:footnoteReference w:id="578"/>
      </w:r>
    </w:p>
    <w:p w14:paraId="24846173" w14:textId="77777777" w:rsidR="0018433B" w:rsidRDefault="0018433B" w:rsidP="0018433B">
      <w:pPr>
        <w:pStyle w:val="Style"/>
        <w:widowControl/>
        <w:jc w:val="both"/>
        <w:textAlignment w:val="baseline"/>
        <w:rPr>
          <w:szCs w:val="25"/>
        </w:rPr>
      </w:pPr>
    </w:p>
    <w:p w14:paraId="059B2F54" w14:textId="77777777" w:rsidR="0018433B" w:rsidRPr="00954FE3" w:rsidRDefault="0018433B" w:rsidP="00904123">
      <w:pPr>
        <w:pStyle w:val="Heading2"/>
      </w:pPr>
      <w:bookmarkStart w:id="67" w:name="_Toc147618638"/>
      <w:r w:rsidRPr="00954FE3">
        <w:t>1. Two-Part Middle Traditions</w:t>
      </w:r>
      <w:bookmarkEnd w:id="67"/>
    </w:p>
    <w:p w14:paraId="2D7365FC" w14:textId="77777777" w:rsidR="0018433B" w:rsidRDefault="0018433B" w:rsidP="0018433B">
      <w:pPr>
        <w:pStyle w:val="Style"/>
        <w:widowControl/>
        <w:jc w:val="both"/>
        <w:textAlignment w:val="baseline"/>
        <w:rPr>
          <w:szCs w:val="25"/>
        </w:rPr>
      </w:pPr>
    </w:p>
    <w:p w14:paraId="3F1C3E6D" w14:textId="7865A31D" w:rsidR="0018433B" w:rsidRDefault="0018433B" w:rsidP="0018433B">
      <w:pPr>
        <w:pStyle w:val="Style"/>
        <w:widowControl/>
        <w:jc w:val="both"/>
        <w:textAlignment w:val="baseline"/>
        <w:rPr>
          <w:szCs w:val="25"/>
        </w:rPr>
      </w:pPr>
      <w:r>
        <w:rPr>
          <w:szCs w:val="25"/>
        </w:rPr>
        <w:tab/>
      </w:r>
      <w:r w:rsidRPr="00954FE3">
        <w:rPr>
          <w:szCs w:val="25"/>
        </w:rPr>
        <w:t>Within the stream of exegetical tradition that divides 27-45 into a two-part middle</w:t>
      </w:r>
      <w:r w:rsidR="006F304D" w:rsidRPr="006F304D">
        <w:rPr>
          <w:szCs w:val="25"/>
        </w:rPr>
        <w:t xml:space="preserve">, </w:t>
      </w:r>
      <w:r w:rsidRPr="00954FE3">
        <w:rPr>
          <w:szCs w:val="25"/>
        </w:rPr>
        <w:t>one can distinguish five eddies.</w:t>
      </w:r>
    </w:p>
    <w:p w14:paraId="3993B92F" w14:textId="77777777" w:rsidR="0018433B" w:rsidRPr="00954FE3" w:rsidRDefault="0018433B" w:rsidP="0018433B">
      <w:pPr>
        <w:pStyle w:val="Style"/>
        <w:widowControl/>
        <w:jc w:val="both"/>
        <w:textAlignment w:val="baseline"/>
        <w:rPr>
          <w:szCs w:val="25"/>
        </w:rPr>
      </w:pPr>
    </w:p>
    <w:p w14:paraId="733414E4" w14:textId="4E100FB6" w:rsidR="0018433B" w:rsidRPr="00AC622E" w:rsidRDefault="0018433B" w:rsidP="0018433B">
      <w:pPr>
        <w:pStyle w:val="Style"/>
        <w:widowControl/>
        <w:jc w:val="both"/>
        <w:textAlignment w:val="baseline"/>
        <w:rPr>
          <w:iCs/>
          <w:szCs w:val="25"/>
        </w:rPr>
      </w:pPr>
      <w:r>
        <w:rPr>
          <w:iCs/>
          <w:szCs w:val="25"/>
        </w:rPr>
        <w:tab/>
      </w:r>
      <w:r w:rsidRPr="00954FE3">
        <w:rPr>
          <w:i/>
          <w:iCs/>
          <w:szCs w:val="25"/>
        </w:rPr>
        <w:t>The Plummer tradition</w:t>
      </w:r>
      <w:r w:rsidRPr="00954FE3">
        <w:rPr>
          <w:iCs/>
          <w:szCs w:val="25"/>
        </w:rPr>
        <w:t xml:space="preserve">. </w:t>
      </w:r>
      <w:r w:rsidRPr="00954FE3">
        <w:rPr>
          <w:szCs w:val="25"/>
        </w:rPr>
        <w:t>One two-part-mid</w:t>
      </w:r>
      <w:r>
        <w:rPr>
          <w:szCs w:val="25"/>
        </w:rPr>
        <w:t xml:space="preserve">dle tradition is that of Alfred </w:t>
      </w:r>
      <w:r w:rsidRPr="00954FE3">
        <w:rPr>
          <w:szCs w:val="25"/>
        </w:rPr>
        <w:t>Plummer. In his commentary (first edition</w:t>
      </w:r>
      <w:r w:rsidR="006F304D" w:rsidRPr="006F304D">
        <w:rPr>
          <w:szCs w:val="25"/>
        </w:rPr>
        <w:t xml:space="preserve">, </w:t>
      </w:r>
      <w:r w:rsidRPr="00954FE3">
        <w:rPr>
          <w:szCs w:val="25"/>
        </w:rPr>
        <w:t>1896)</w:t>
      </w:r>
      <w:r w:rsidR="006F304D" w:rsidRPr="006F304D">
        <w:rPr>
          <w:szCs w:val="25"/>
        </w:rPr>
        <w:t xml:space="preserve">, </w:t>
      </w:r>
      <w:r w:rsidRPr="00954FE3">
        <w:rPr>
          <w:szCs w:val="25"/>
        </w:rPr>
        <w:t>Plummer divides both the sermon on the mount and the sermon on the plain into three sections.</w:t>
      </w:r>
      <w:r>
        <w:rPr>
          <w:szCs w:val="25"/>
        </w:rPr>
        <w:t xml:space="preserve"> He writes:</w:t>
      </w:r>
    </w:p>
    <w:p w14:paraId="30126059" w14:textId="77777777" w:rsidR="0018433B" w:rsidRDefault="0018433B" w:rsidP="0018433B">
      <w:pPr>
        <w:pStyle w:val="Style"/>
        <w:widowControl/>
        <w:jc w:val="both"/>
        <w:textAlignment w:val="baseline"/>
        <w:rPr>
          <w:szCs w:val="25"/>
        </w:rPr>
      </w:pPr>
    </w:p>
    <w:p w14:paraId="4C06F100" w14:textId="77777777" w:rsidR="0018433B" w:rsidRDefault="0018433B" w:rsidP="0018433B">
      <w:pPr>
        <w:pStyle w:val="Style"/>
        <w:widowControl/>
        <w:ind w:left="720" w:right="720"/>
        <w:jc w:val="both"/>
        <w:textAlignment w:val="baseline"/>
        <w:rPr>
          <w:szCs w:val="25"/>
        </w:rPr>
      </w:pPr>
      <w:r w:rsidRPr="00954FE3">
        <w:rPr>
          <w:szCs w:val="25"/>
        </w:rPr>
        <w:t>The plan of both discourses is the same.</w:t>
      </w:r>
    </w:p>
    <w:p w14:paraId="41586F75" w14:textId="77777777" w:rsidR="0018433B" w:rsidRPr="00954FE3" w:rsidRDefault="0018433B" w:rsidP="0018433B">
      <w:pPr>
        <w:pStyle w:val="Style"/>
        <w:widowControl/>
        <w:ind w:left="1080" w:right="720" w:hanging="360"/>
        <w:jc w:val="both"/>
        <w:textAlignment w:val="baseline"/>
        <w:rPr>
          <w:szCs w:val="25"/>
        </w:rPr>
      </w:pPr>
      <w:r>
        <w:rPr>
          <w:szCs w:val="25"/>
        </w:rPr>
        <w:lastRenderedPageBreak/>
        <w:t>1.</w:t>
      </w:r>
      <w:r>
        <w:rPr>
          <w:szCs w:val="25"/>
        </w:rPr>
        <w:tab/>
      </w:r>
      <w:r w:rsidRPr="00954FE3">
        <w:rPr>
          <w:szCs w:val="25"/>
        </w:rPr>
        <w:t>The qualifications of those who can enter the kingdom (Lk. 20- 26; Mt. v. 1-12);</w:t>
      </w:r>
    </w:p>
    <w:p w14:paraId="78B8A8E7" w14:textId="77777777" w:rsidR="0018433B" w:rsidRPr="00954FE3" w:rsidRDefault="0018433B" w:rsidP="0018433B">
      <w:pPr>
        <w:pStyle w:val="Style"/>
        <w:widowControl/>
        <w:ind w:left="1080" w:right="720" w:hanging="360"/>
        <w:jc w:val="both"/>
        <w:textAlignment w:val="baseline"/>
        <w:rPr>
          <w:szCs w:val="25"/>
        </w:rPr>
      </w:pPr>
      <w:r>
        <w:rPr>
          <w:szCs w:val="25"/>
        </w:rPr>
        <w:t>2.</w:t>
      </w:r>
      <w:r>
        <w:rPr>
          <w:szCs w:val="25"/>
        </w:rPr>
        <w:tab/>
      </w:r>
      <w:r w:rsidRPr="00954FE3">
        <w:rPr>
          <w:szCs w:val="25"/>
        </w:rPr>
        <w:t>The duties of those who have entered the kingdom (Lk. 27-45; Mt. v. 13-vii. 12);</w:t>
      </w:r>
    </w:p>
    <w:p w14:paraId="5F34981B" w14:textId="77777777" w:rsidR="0018433B" w:rsidRPr="00954FE3" w:rsidRDefault="0018433B" w:rsidP="0018433B">
      <w:pPr>
        <w:pStyle w:val="Style"/>
        <w:widowControl/>
        <w:ind w:left="1080" w:right="720" w:hanging="360"/>
        <w:jc w:val="both"/>
        <w:textAlignment w:val="baseline"/>
        <w:rPr>
          <w:szCs w:val="25"/>
        </w:rPr>
      </w:pPr>
      <w:r>
        <w:rPr>
          <w:szCs w:val="25"/>
        </w:rPr>
        <w:t>3.</w:t>
      </w:r>
      <w:r>
        <w:rPr>
          <w:szCs w:val="25"/>
        </w:rPr>
        <w:tab/>
      </w:r>
      <w:r w:rsidRPr="00954FE3">
        <w:rPr>
          <w:szCs w:val="25"/>
        </w:rPr>
        <w:t>The judgments which await the members of the kingdom (Lk.</w:t>
      </w:r>
      <w:r>
        <w:rPr>
          <w:szCs w:val="25"/>
        </w:rPr>
        <w:t xml:space="preserve"> </w:t>
      </w:r>
      <w:r w:rsidRPr="00954FE3">
        <w:rPr>
          <w:szCs w:val="25"/>
        </w:rPr>
        <w:t xml:space="preserve">46-49; Mt. </w:t>
      </w:r>
      <w:r w:rsidRPr="00954FE3">
        <w:t xml:space="preserve">vi. </w:t>
      </w:r>
      <w:r w:rsidRPr="00954FE3">
        <w:rPr>
          <w:szCs w:val="25"/>
        </w:rPr>
        <w:t>13-27).</w:t>
      </w:r>
    </w:p>
    <w:p w14:paraId="7FBC3D1D" w14:textId="59ECBE17" w:rsidR="0018433B" w:rsidRPr="00954FE3" w:rsidRDefault="0018433B" w:rsidP="0018433B">
      <w:pPr>
        <w:pStyle w:val="Style"/>
        <w:widowControl/>
        <w:ind w:left="720" w:right="720"/>
        <w:jc w:val="both"/>
        <w:textAlignment w:val="baseline"/>
        <w:rPr>
          <w:szCs w:val="2"/>
          <w:vertAlign w:val="superscript"/>
        </w:rPr>
      </w:pPr>
      <w:r w:rsidRPr="00954FE3">
        <w:rPr>
          <w:szCs w:val="25"/>
        </w:rPr>
        <w:t>Encouragement</w:t>
      </w:r>
      <w:r w:rsidR="006F304D" w:rsidRPr="006F304D">
        <w:rPr>
          <w:szCs w:val="25"/>
        </w:rPr>
        <w:t xml:space="preserve">, </w:t>
      </w:r>
      <w:r w:rsidRPr="00954FE3">
        <w:rPr>
          <w:szCs w:val="25"/>
        </w:rPr>
        <w:t>requirement</w:t>
      </w:r>
      <w:r w:rsidR="006F304D" w:rsidRPr="006F304D">
        <w:rPr>
          <w:szCs w:val="25"/>
        </w:rPr>
        <w:t xml:space="preserve">, </w:t>
      </w:r>
      <w:r w:rsidRPr="00954FE3">
        <w:rPr>
          <w:szCs w:val="25"/>
        </w:rPr>
        <w:t>warning; or invitation</w:t>
      </w:r>
      <w:r w:rsidR="006F304D" w:rsidRPr="006F304D">
        <w:rPr>
          <w:szCs w:val="25"/>
        </w:rPr>
        <w:t xml:space="preserve">, </w:t>
      </w:r>
      <w:r w:rsidRPr="00954FE3">
        <w:rPr>
          <w:szCs w:val="25"/>
        </w:rPr>
        <w:t>principles</w:t>
      </w:r>
      <w:r w:rsidR="006F304D" w:rsidRPr="006F304D">
        <w:rPr>
          <w:szCs w:val="25"/>
        </w:rPr>
        <w:t xml:space="preserve">, </w:t>
      </w:r>
      <w:r w:rsidRPr="00954FE3">
        <w:rPr>
          <w:szCs w:val="25"/>
        </w:rPr>
        <w:t>sanc</w:t>
      </w:r>
      <w:r w:rsidRPr="00954FE3">
        <w:rPr>
          <w:szCs w:val="25"/>
        </w:rPr>
        <w:softHyphen/>
        <w:t>tion;</w:t>
      </w:r>
      <w:r w:rsidRPr="00F624D6">
        <w:rPr>
          <w:szCs w:val="25"/>
        </w:rPr>
        <w:t>—</w:t>
      </w:r>
      <w:r w:rsidRPr="00954FE3">
        <w:rPr>
          <w:szCs w:val="25"/>
        </w:rPr>
        <w:t>these are the three gradations which may be traced in these discourses; and</w:t>
      </w:r>
      <w:r w:rsidR="006F304D" w:rsidRPr="006F304D">
        <w:rPr>
          <w:szCs w:val="25"/>
        </w:rPr>
        <w:t xml:space="preserve">, </w:t>
      </w:r>
      <w:r w:rsidRPr="00954FE3">
        <w:rPr>
          <w:szCs w:val="25"/>
        </w:rPr>
        <w:t>as Stier remarks</w:t>
      </w:r>
      <w:r w:rsidR="006F304D" w:rsidRPr="006F304D">
        <w:rPr>
          <w:szCs w:val="25"/>
        </w:rPr>
        <w:t xml:space="preserve">, </w:t>
      </w:r>
      <w:r w:rsidRPr="00954FE3">
        <w:rPr>
          <w:szCs w:val="25"/>
        </w:rPr>
        <w:t>the course of all</w:t>
      </w:r>
      <w:r>
        <w:rPr>
          <w:szCs w:val="25"/>
        </w:rPr>
        <w:t xml:space="preserve"> preaching is herein reflected.</w:t>
      </w:r>
      <w:r>
        <w:rPr>
          <w:rStyle w:val="FootnoteReference"/>
          <w:szCs w:val="25"/>
        </w:rPr>
        <w:footnoteReference w:id="579"/>
      </w:r>
    </w:p>
    <w:p w14:paraId="738184A8" w14:textId="77777777" w:rsidR="0018433B" w:rsidRDefault="0018433B" w:rsidP="0018433B">
      <w:pPr>
        <w:pStyle w:val="Style"/>
        <w:widowControl/>
        <w:jc w:val="both"/>
        <w:textAlignment w:val="baseline"/>
        <w:rPr>
          <w:szCs w:val="25"/>
        </w:rPr>
      </w:pPr>
    </w:p>
    <w:p w14:paraId="4ACB1C70" w14:textId="3BFB072D" w:rsidR="0018433B" w:rsidRPr="00954FE3" w:rsidRDefault="0018433B" w:rsidP="0018433B">
      <w:pPr>
        <w:pStyle w:val="Style"/>
        <w:widowControl/>
        <w:jc w:val="both"/>
        <w:textAlignment w:val="baseline"/>
        <w:rPr>
          <w:szCs w:val="25"/>
        </w:rPr>
      </w:pPr>
      <w:r>
        <w:rPr>
          <w:szCs w:val="25"/>
        </w:rPr>
        <w:t>Aside from descriptions of the sections</w:t>
      </w:r>
      <w:r w:rsidR="006F304D" w:rsidRPr="006F304D">
        <w:rPr>
          <w:szCs w:val="25"/>
        </w:rPr>
        <w:t xml:space="preserve">, </w:t>
      </w:r>
      <w:r>
        <w:rPr>
          <w:szCs w:val="25"/>
        </w:rPr>
        <w:t>in itself</w:t>
      </w:r>
      <w:r w:rsidRPr="00954FE3">
        <w:rPr>
          <w:szCs w:val="25"/>
        </w:rPr>
        <w:t xml:space="preserve"> this division merely separates introduction</w:t>
      </w:r>
      <w:r w:rsidR="006F304D" w:rsidRPr="006F304D">
        <w:rPr>
          <w:szCs w:val="25"/>
        </w:rPr>
        <w:t xml:space="preserve">, </w:t>
      </w:r>
      <w:r w:rsidRPr="00954FE3">
        <w:rPr>
          <w:szCs w:val="25"/>
        </w:rPr>
        <w:t>body</w:t>
      </w:r>
      <w:r w:rsidR="006F304D" w:rsidRPr="006F304D">
        <w:rPr>
          <w:szCs w:val="25"/>
        </w:rPr>
        <w:t xml:space="preserve">, </w:t>
      </w:r>
      <w:r w:rsidRPr="00954FE3">
        <w:rPr>
          <w:szCs w:val="25"/>
        </w:rPr>
        <w:t>and conclusion. But Plummer goes further: he subdivides the middle section into 27-38 and 39-45.</w:t>
      </w:r>
    </w:p>
    <w:p w14:paraId="6D0ED4D1" w14:textId="77777777" w:rsidR="0018433B" w:rsidRDefault="0018433B" w:rsidP="0018433B">
      <w:pPr>
        <w:pStyle w:val="Style"/>
        <w:widowControl/>
        <w:jc w:val="both"/>
        <w:textAlignment w:val="baseline"/>
        <w:rPr>
          <w:szCs w:val="25"/>
        </w:rPr>
      </w:pPr>
    </w:p>
    <w:p w14:paraId="6D0757D9" w14:textId="5BC440B5" w:rsidR="0018433B" w:rsidRPr="00954FE3" w:rsidRDefault="0018433B" w:rsidP="0018433B">
      <w:pPr>
        <w:pStyle w:val="Style"/>
        <w:widowControl/>
        <w:ind w:left="720" w:right="720"/>
        <w:jc w:val="both"/>
        <w:textAlignment w:val="baseline"/>
        <w:rPr>
          <w:szCs w:val="25"/>
        </w:rPr>
      </w:pPr>
      <w:r w:rsidRPr="00954FE3">
        <w:rPr>
          <w:szCs w:val="25"/>
        </w:rPr>
        <w:t>There is a break in this main portion</w:t>
      </w:r>
      <w:r w:rsidR="006F304D" w:rsidRPr="006F304D">
        <w:rPr>
          <w:szCs w:val="25"/>
        </w:rPr>
        <w:t xml:space="preserve">, </w:t>
      </w:r>
      <w:r w:rsidRPr="00954FE3">
        <w:rPr>
          <w:szCs w:val="25"/>
        </w:rPr>
        <w:t>which Lk. marks by making a fresh start</w:t>
      </w:r>
      <w:r w:rsidR="006F304D" w:rsidRPr="006F304D">
        <w:rPr>
          <w:szCs w:val="25"/>
        </w:rPr>
        <w:t xml:space="preserve">, </w:t>
      </w:r>
      <w:r w:rsidRPr="00CE06CA">
        <w:rPr>
          <w:bCs/>
          <w:szCs w:val="22"/>
          <w:lang w:val="el-GR"/>
        </w:rPr>
        <w:t>Εἶπεν δὲ καὶ παραβολὴν αὐτοῖς</w:t>
      </w:r>
      <w:r>
        <w:rPr>
          <w:bCs/>
          <w:szCs w:val="22"/>
        </w:rPr>
        <w:t xml:space="preserve"> </w:t>
      </w:r>
      <w:r w:rsidRPr="00EE2A2F">
        <w:rPr>
          <w:szCs w:val="25"/>
        </w:rPr>
        <w:t>. . .</w:t>
      </w:r>
      <w:r>
        <w:rPr>
          <w:szCs w:val="25"/>
        </w:rPr>
        <w:t xml:space="preserve"> </w:t>
      </w:r>
      <w:r w:rsidRPr="00954FE3">
        <w:rPr>
          <w:szCs w:val="25"/>
        </w:rPr>
        <w:t>The second half of the discourse begins here [</w:t>
      </w:r>
      <w:r>
        <w:rPr>
          <w:szCs w:val="25"/>
        </w:rPr>
        <w:t xml:space="preserve">verse </w:t>
      </w:r>
      <w:r w:rsidRPr="00954FE3">
        <w:rPr>
          <w:szCs w:val="25"/>
        </w:rPr>
        <w:t>39]</w:t>
      </w:r>
      <w:r w:rsidR="006F304D" w:rsidRPr="006F304D">
        <w:rPr>
          <w:szCs w:val="25"/>
        </w:rPr>
        <w:t xml:space="preserve">, </w:t>
      </w:r>
      <w:r w:rsidRPr="00954FE3">
        <w:rPr>
          <w:szCs w:val="25"/>
        </w:rPr>
        <w:t xml:space="preserve">and this is marked by a repetition of the introductory </w:t>
      </w:r>
      <w:r w:rsidRPr="00CE06CA">
        <w:rPr>
          <w:bCs/>
          <w:szCs w:val="22"/>
          <w:lang w:val="el-GR"/>
        </w:rPr>
        <w:t>Εἶπεν</w:t>
      </w:r>
      <w:r w:rsidRPr="00954FE3">
        <w:rPr>
          <w:szCs w:val="25"/>
        </w:rPr>
        <w:t>.</w:t>
      </w:r>
      <w:r>
        <w:rPr>
          <w:rStyle w:val="FootnoteReference"/>
          <w:szCs w:val="25"/>
        </w:rPr>
        <w:footnoteReference w:id="580"/>
      </w:r>
    </w:p>
    <w:p w14:paraId="4DC21ED6" w14:textId="77777777" w:rsidR="0018433B" w:rsidRPr="00954FE3" w:rsidRDefault="0018433B" w:rsidP="0018433B">
      <w:pPr>
        <w:pStyle w:val="Style"/>
        <w:widowControl/>
        <w:jc w:val="both"/>
        <w:rPr>
          <w:szCs w:val="22"/>
        </w:rPr>
      </w:pPr>
    </w:p>
    <w:p w14:paraId="2B25CD16" w14:textId="1FA43971" w:rsidR="0018433B" w:rsidRDefault="0018433B" w:rsidP="0018433B">
      <w:pPr>
        <w:pStyle w:val="Style"/>
        <w:widowControl/>
        <w:jc w:val="both"/>
        <w:textAlignment w:val="baseline"/>
        <w:rPr>
          <w:szCs w:val="25"/>
        </w:rPr>
      </w:pPr>
      <w:r>
        <w:rPr>
          <w:szCs w:val="25"/>
        </w:rPr>
        <w:tab/>
      </w:r>
      <w:r w:rsidRPr="00954FE3">
        <w:rPr>
          <w:szCs w:val="25"/>
        </w:rPr>
        <w:t>Others have followed Plummer’s lead</w:t>
      </w:r>
      <w:r>
        <w:rPr>
          <w:szCs w:val="25"/>
        </w:rPr>
        <w:t xml:space="preserve">. </w:t>
      </w:r>
      <w:r w:rsidR="00E366BA" w:rsidRPr="00E366BA">
        <w:rPr>
          <w:iCs/>
          <w:szCs w:val="25"/>
        </w:rPr>
        <w:t>W.F.</w:t>
      </w:r>
      <w:r>
        <w:rPr>
          <w:szCs w:val="25"/>
        </w:rPr>
        <w:t xml:space="preserve"> Burnside (1913) repeats </w:t>
      </w:r>
      <w:r w:rsidRPr="00954FE3">
        <w:rPr>
          <w:szCs w:val="25"/>
        </w:rPr>
        <w:t>Plummer’s divisions (20-26</w:t>
      </w:r>
      <w:r w:rsidR="006F304D" w:rsidRPr="006F304D">
        <w:rPr>
          <w:szCs w:val="25"/>
        </w:rPr>
        <w:t xml:space="preserve">, </w:t>
      </w:r>
      <w:r w:rsidRPr="00954FE3">
        <w:rPr>
          <w:szCs w:val="25"/>
        </w:rPr>
        <w:t>“qualifications”; 27-45</w:t>
      </w:r>
      <w:r w:rsidR="006F304D" w:rsidRPr="006F304D">
        <w:rPr>
          <w:szCs w:val="25"/>
        </w:rPr>
        <w:t xml:space="preserve">, </w:t>
      </w:r>
      <w:r w:rsidRPr="00954FE3">
        <w:rPr>
          <w:szCs w:val="25"/>
        </w:rPr>
        <w:t>“duties</w:t>
      </w:r>
      <w:r>
        <w:rPr>
          <w:szCs w:val="25"/>
        </w:rPr>
        <w:t>”</w:t>
      </w:r>
      <w:r w:rsidRPr="00954FE3">
        <w:rPr>
          <w:szCs w:val="25"/>
        </w:rPr>
        <w:t>; and 46</w:t>
      </w:r>
      <w:r>
        <w:rPr>
          <w:szCs w:val="25"/>
        </w:rPr>
        <w:t>-49</w:t>
      </w:r>
      <w:r w:rsidR="006F304D" w:rsidRPr="006F304D">
        <w:rPr>
          <w:szCs w:val="25"/>
        </w:rPr>
        <w:t xml:space="preserve">, </w:t>
      </w:r>
      <w:r>
        <w:rPr>
          <w:szCs w:val="25"/>
        </w:rPr>
        <w:t>“Judgment”</w:t>
      </w:r>
      <w:r w:rsidRPr="00954FE3">
        <w:rPr>
          <w:szCs w:val="25"/>
        </w:rPr>
        <w:t>),</w:t>
      </w:r>
      <w:r>
        <w:rPr>
          <w:rStyle w:val="FootnoteReference"/>
          <w:szCs w:val="25"/>
        </w:rPr>
        <w:footnoteReference w:id="581"/>
      </w:r>
      <w:r w:rsidRPr="00954FE3">
        <w:rPr>
          <w:szCs w:val="25"/>
        </w:rPr>
        <w:t xml:space="preserve"> then subdivides the middle by segregating 39-45.</w:t>
      </w:r>
      <w:r>
        <w:rPr>
          <w:rStyle w:val="FootnoteReference"/>
          <w:szCs w:val="25"/>
        </w:rPr>
        <w:footnoteReference w:id="582"/>
      </w:r>
      <w:r>
        <w:rPr>
          <w:szCs w:val="25"/>
        </w:rPr>
        <w:t xml:space="preserve"> </w:t>
      </w:r>
      <w:r w:rsidRPr="00954FE3">
        <w:rPr>
          <w:szCs w:val="25"/>
        </w:rPr>
        <w:t>A more recent member</w:t>
      </w:r>
      <w:r>
        <w:rPr>
          <w:szCs w:val="25"/>
        </w:rPr>
        <w:t xml:space="preserve"> </w:t>
      </w:r>
      <w:r w:rsidRPr="00954FE3">
        <w:rPr>
          <w:szCs w:val="25"/>
        </w:rPr>
        <w:t>of the “Plummer tradition” is Norval Geldenhuys (1</w:t>
      </w:r>
      <w:r>
        <w:rPr>
          <w:szCs w:val="25"/>
        </w:rPr>
        <w:t>950). Verses 20-26 are “qualifi</w:t>
      </w:r>
      <w:r w:rsidRPr="00954FE3">
        <w:rPr>
          <w:szCs w:val="25"/>
        </w:rPr>
        <w:t xml:space="preserve">cations,” 27-45 are </w:t>
      </w:r>
      <w:r>
        <w:rPr>
          <w:szCs w:val="25"/>
        </w:rPr>
        <w:t>“</w:t>
      </w:r>
      <w:r w:rsidRPr="00954FE3">
        <w:rPr>
          <w:szCs w:val="25"/>
        </w:rPr>
        <w:t xml:space="preserve">principles according to which the members of His kingdom must live,” and 46-49 describe “a fatal end” or </w:t>
      </w:r>
      <w:r>
        <w:rPr>
          <w:szCs w:val="25"/>
        </w:rPr>
        <w:t>“</w:t>
      </w:r>
      <w:r w:rsidRPr="00954FE3">
        <w:rPr>
          <w:rFonts w:eastAsia="Arial"/>
          <w:szCs w:val="31"/>
        </w:rPr>
        <w:t xml:space="preserve">a </w:t>
      </w:r>
      <w:r>
        <w:rPr>
          <w:szCs w:val="25"/>
        </w:rPr>
        <w:t>blessed future . . .”</w:t>
      </w:r>
      <w:r>
        <w:rPr>
          <w:rStyle w:val="FootnoteReference"/>
          <w:szCs w:val="25"/>
        </w:rPr>
        <w:footnoteReference w:id="583"/>
      </w:r>
      <w:r w:rsidRPr="00954FE3">
        <w:rPr>
          <w:szCs w:val="21"/>
        </w:rPr>
        <w:t xml:space="preserve"> </w:t>
      </w:r>
      <w:r w:rsidRPr="00954FE3">
        <w:rPr>
          <w:szCs w:val="25"/>
        </w:rPr>
        <w:t xml:space="preserve">That Geldenhuys subdivides the middle in the same manner as Plummer is shown by his linking of verses 39-40 </w:t>
      </w:r>
      <w:r w:rsidRPr="00954FE3">
        <w:rPr>
          <w:szCs w:val="27"/>
        </w:rPr>
        <w:t xml:space="preserve">+ </w:t>
      </w:r>
      <w:r w:rsidRPr="00954FE3">
        <w:rPr>
          <w:szCs w:val="25"/>
        </w:rPr>
        <w:t xml:space="preserve">41-42 </w:t>
      </w:r>
      <w:r w:rsidRPr="00954FE3">
        <w:rPr>
          <w:szCs w:val="27"/>
        </w:rPr>
        <w:t xml:space="preserve">+ </w:t>
      </w:r>
      <w:r>
        <w:rPr>
          <w:szCs w:val="25"/>
        </w:rPr>
        <w:t>43-45.</w:t>
      </w:r>
      <w:r>
        <w:rPr>
          <w:rStyle w:val="FootnoteReference"/>
          <w:szCs w:val="25"/>
        </w:rPr>
        <w:footnoteReference w:id="584"/>
      </w:r>
    </w:p>
    <w:p w14:paraId="64399A8F" w14:textId="77777777" w:rsidR="0018433B" w:rsidRDefault="0018433B" w:rsidP="0018433B">
      <w:pPr>
        <w:pStyle w:val="Style"/>
        <w:widowControl/>
        <w:jc w:val="both"/>
        <w:textAlignment w:val="baseline"/>
        <w:rPr>
          <w:szCs w:val="25"/>
        </w:rPr>
      </w:pPr>
    </w:p>
    <w:p w14:paraId="10EB4A6D" w14:textId="602C4AE1" w:rsidR="0018433B" w:rsidRPr="00954FE3" w:rsidRDefault="0018433B" w:rsidP="0018433B">
      <w:pPr>
        <w:pStyle w:val="Style"/>
        <w:widowControl/>
        <w:jc w:val="both"/>
        <w:textAlignment w:val="baseline"/>
        <w:rPr>
          <w:szCs w:val="25"/>
        </w:rPr>
      </w:pPr>
      <w:r>
        <w:rPr>
          <w:szCs w:val="25"/>
        </w:rPr>
        <w:tab/>
      </w:r>
      <w:r w:rsidRPr="00954FE3">
        <w:rPr>
          <w:i/>
          <w:iCs/>
          <w:szCs w:val="25"/>
        </w:rPr>
        <w:t xml:space="preserve">The </w:t>
      </w:r>
      <w:proofErr w:type="spellStart"/>
      <w:r w:rsidRPr="00954FE3">
        <w:rPr>
          <w:i/>
          <w:iCs/>
          <w:szCs w:val="25"/>
        </w:rPr>
        <w:t>Heinrici</w:t>
      </w:r>
      <w:proofErr w:type="spellEnd"/>
      <w:r w:rsidRPr="00954FE3">
        <w:rPr>
          <w:i/>
          <w:iCs/>
          <w:szCs w:val="25"/>
        </w:rPr>
        <w:t xml:space="preserve"> tradition</w:t>
      </w:r>
      <w:r w:rsidRPr="00954FE3">
        <w:rPr>
          <w:iCs/>
          <w:szCs w:val="25"/>
        </w:rPr>
        <w:t xml:space="preserve">. </w:t>
      </w:r>
      <w:r w:rsidRPr="00954FE3">
        <w:rPr>
          <w:szCs w:val="25"/>
        </w:rPr>
        <w:t>A second “eddy” within two-part-middle traditions began with Georg Heinrici (1899)</w:t>
      </w:r>
      <w:r w:rsidR="006F304D" w:rsidRPr="006F304D">
        <w:rPr>
          <w:szCs w:val="25"/>
        </w:rPr>
        <w:t xml:space="preserve">, </w:t>
      </w:r>
      <w:r w:rsidRPr="00954FE3">
        <w:rPr>
          <w:szCs w:val="25"/>
        </w:rPr>
        <w:t>who suggested that the sermon falls into three major sections</w:t>
      </w:r>
      <w:r w:rsidR="006F304D" w:rsidRPr="006F304D">
        <w:rPr>
          <w:szCs w:val="25"/>
        </w:rPr>
        <w:t xml:space="preserve">, </w:t>
      </w:r>
      <w:r w:rsidRPr="00954FE3">
        <w:rPr>
          <w:szCs w:val="25"/>
        </w:rPr>
        <w:t>distinguished by their literary genre.</w:t>
      </w:r>
    </w:p>
    <w:p w14:paraId="2D92EF59" w14:textId="77777777" w:rsidR="0018433B" w:rsidRDefault="0018433B" w:rsidP="0018433B">
      <w:pPr>
        <w:pStyle w:val="Style"/>
        <w:widowControl/>
        <w:jc w:val="both"/>
        <w:textAlignment w:val="baseline"/>
        <w:rPr>
          <w:szCs w:val="25"/>
        </w:rPr>
      </w:pPr>
    </w:p>
    <w:p w14:paraId="78F4E233" w14:textId="1B391931" w:rsidR="0018433B" w:rsidRPr="00954FE3" w:rsidRDefault="0018433B" w:rsidP="0018433B">
      <w:pPr>
        <w:pStyle w:val="Style"/>
        <w:widowControl/>
        <w:ind w:left="720" w:right="720"/>
        <w:jc w:val="both"/>
        <w:textAlignment w:val="baseline"/>
        <w:rPr>
          <w:szCs w:val="25"/>
        </w:rPr>
      </w:pPr>
      <w:r w:rsidRPr="00954FE3">
        <w:rPr>
          <w:szCs w:val="25"/>
        </w:rPr>
        <w:t>These two dividers [27a and 39a] segment the whole into three sections of unequal length</w:t>
      </w:r>
      <w:r w:rsidR="006F304D" w:rsidRPr="006F304D">
        <w:rPr>
          <w:szCs w:val="25"/>
        </w:rPr>
        <w:t xml:space="preserve">, </w:t>
      </w:r>
      <w:r w:rsidRPr="00954FE3">
        <w:rPr>
          <w:szCs w:val="25"/>
        </w:rPr>
        <w:t>sections which differentiate themselves by their character. One may say that here there speaks the prophet (beatitudes and woes</w:t>
      </w:r>
      <w:r w:rsidR="006F304D" w:rsidRPr="006F304D">
        <w:rPr>
          <w:szCs w:val="25"/>
        </w:rPr>
        <w:t xml:space="preserve">, </w:t>
      </w:r>
      <w:r w:rsidRPr="00954FE3">
        <w:rPr>
          <w:szCs w:val="25"/>
        </w:rPr>
        <w:t>20-26)</w:t>
      </w:r>
      <w:r w:rsidR="006F304D" w:rsidRPr="006F304D">
        <w:rPr>
          <w:szCs w:val="25"/>
        </w:rPr>
        <w:t xml:space="preserve">, </w:t>
      </w:r>
      <w:r w:rsidRPr="00954FE3">
        <w:rPr>
          <w:szCs w:val="25"/>
        </w:rPr>
        <w:t>the teacher (the aphorisms</w:t>
      </w:r>
      <w:r w:rsidR="006F304D" w:rsidRPr="006F304D">
        <w:rPr>
          <w:szCs w:val="25"/>
        </w:rPr>
        <w:t xml:space="preserve">, </w:t>
      </w:r>
      <w:r w:rsidRPr="00954FE3">
        <w:rPr>
          <w:szCs w:val="25"/>
        </w:rPr>
        <w:t>27-38) and the poet (the more parabolic pericopes</w:t>
      </w:r>
      <w:r w:rsidR="006F304D" w:rsidRPr="006F304D">
        <w:rPr>
          <w:szCs w:val="25"/>
        </w:rPr>
        <w:t xml:space="preserve">, </w:t>
      </w:r>
      <w:r w:rsidRPr="00954FE3">
        <w:rPr>
          <w:szCs w:val="25"/>
        </w:rPr>
        <w:t>39-49).</w:t>
      </w:r>
      <w:r>
        <w:rPr>
          <w:rStyle w:val="FootnoteReference"/>
          <w:szCs w:val="25"/>
        </w:rPr>
        <w:footnoteReference w:id="585"/>
      </w:r>
    </w:p>
    <w:p w14:paraId="6596B98F" w14:textId="77777777" w:rsidR="0018433B" w:rsidRDefault="0018433B" w:rsidP="0018433B">
      <w:pPr>
        <w:pStyle w:val="Style"/>
        <w:widowControl/>
        <w:jc w:val="both"/>
        <w:textAlignment w:val="baseline"/>
        <w:rPr>
          <w:szCs w:val="35"/>
        </w:rPr>
      </w:pPr>
    </w:p>
    <w:p w14:paraId="625986AD" w14:textId="5104524B" w:rsidR="0018433B" w:rsidRDefault="0018433B" w:rsidP="0018433B">
      <w:pPr>
        <w:pStyle w:val="Style"/>
        <w:widowControl/>
        <w:jc w:val="both"/>
        <w:textAlignment w:val="baseline"/>
        <w:rPr>
          <w:szCs w:val="25"/>
        </w:rPr>
      </w:pPr>
      <w:r>
        <w:rPr>
          <w:szCs w:val="25"/>
        </w:rPr>
        <w:tab/>
      </w:r>
      <w:proofErr w:type="spellStart"/>
      <w:r w:rsidRPr="00954FE3">
        <w:rPr>
          <w:szCs w:val="25"/>
        </w:rPr>
        <w:t>Heinrici’s</w:t>
      </w:r>
      <w:proofErr w:type="spellEnd"/>
      <w:r w:rsidRPr="00954FE3">
        <w:rPr>
          <w:szCs w:val="25"/>
        </w:rPr>
        <w:t xml:space="preserve"> partition has been influential. Commentators who follow him</w:t>
      </w:r>
      <w:r>
        <w:rPr>
          <w:szCs w:val="25"/>
        </w:rPr>
        <w:t xml:space="preserve"> </w:t>
      </w:r>
      <w:r w:rsidRPr="00954FE3">
        <w:rPr>
          <w:szCs w:val="25"/>
        </w:rPr>
        <w:t>include Kloster</w:t>
      </w:r>
      <w:r>
        <w:rPr>
          <w:szCs w:val="25"/>
        </w:rPr>
        <w:t>mann</w:t>
      </w:r>
      <w:r w:rsidR="006F304D" w:rsidRPr="006F304D">
        <w:rPr>
          <w:szCs w:val="25"/>
        </w:rPr>
        <w:t xml:space="preserve">, </w:t>
      </w:r>
      <w:r>
        <w:rPr>
          <w:szCs w:val="25"/>
        </w:rPr>
        <w:t>Hauck</w:t>
      </w:r>
      <w:r w:rsidR="006F304D" w:rsidRPr="006F304D">
        <w:rPr>
          <w:szCs w:val="25"/>
        </w:rPr>
        <w:t xml:space="preserve">, </w:t>
      </w:r>
      <w:r>
        <w:rPr>
          <w:szCs w:val="25"/>
        </w:rPr>
        <w:t>and Stö</w:t>
      </w:r>
      <w:r w:rsidRPr="00954FE3">
        <w:rPr>
          <w:szCs w:val="25"/>
        </w:rPr>
        <w:t>ger</w:t>
      </w:r>
      <w:r w:rsidRPr="00F624D6">
        <w:rPr>
          <w:szCs w:val="25"/>
        </w:rPr>
        <w:t>—</w:t>
      </w:r>
      <w:r w:rsidRPr="00954FE3">
        <w:rPr>
          <w:szCs w:val="25"/>
        </w:rPr>
        <w:t xml:space="preserve">though these authors prefer to speak of variations in genre rather than </w:t>
      </w:r>
      <w:r w:rsidRPr="00954FE3">
        <w:rPr>
          <w:szCs w:val="25"/>
        </w:rPr>
        <w:lastRenderedPageBreak/>
        <w:t xml:space="preserve">variations in the speaker: they speak of “prophetic,” </w:t>
      </w:r>
      <w:r>
        <w:rPr>
          <w:szCs w:val="25"/>
        </w:rPr>
        <w:t>“</w:t>
      </w:r>
      <w:r w:rsidRPr="00954FE3">
        <w:rPr>
          <w:szCs w:val="25"/>
        </w:rPr>
        <w:t>paraenetic”</w:t>
      </w:r>
      <w:r>
        <w:rPr>
          <w:szCs w:val="25"/>
        </w:rPr>
        <w:t xml:space="preserve"> or “hortatory,” and “parabolic”</w:t>
      </w:r>
      <w:r w:rsidRPr="00954FE3">
        <w:rPr>
          <w:szCs w:val="25"/>
        </w:rPr>
        <w:t xml:space="preserve"> sections. W. E. Bundy and Joachim Jeremias have also endorsed this division.</w:t>
      </w:r>
      <w:r>
        <w:rPr>
          <w:rStyle w:val="FootnoteReference"/>
          <w:szCs w:val="25"/>
        </w:rPr>
        <w:footnoteReference w:id="586"/>
      </w:r>
    </w:p>
    <w:p w14:paraId="1F9091FC" w14:textId="77777777" w:rsidR="0018433B" w:rsidRDefault="0018433B" w:rsidP="0018433B">
      <w:pPr>
        <w:pStyle w:val="Style"/>
        <w:widowControl/>
        <w:jc w:val="both"/>
        <w:textAlignment w:val="baseline"/>
        <w:rPr>
          <w:szCs w:val="25"/>
        </w:rPr>
      </w:pPr>
    </w:p>
    <w:p w14:paraId="083D430C" w14:textId="4DA126F7" w:rsidR="0018433B" w:rsidRPr="00954FE3" w:rsidRDefault="0018433B" w:rsidP="0018433B">
      <w:pPr>
        <w:pStyle w:val="Style"/>
        <w:widowControl/>
        <w:jc w:val="both"/>
        <w:textAlignment w:val="baseline"/>
        <w:rPr>
          <w:szCs w:val="25"/>
        </w:rPr>
      </w:pPr>
      <w:r>
        <w:rPr>
          <w:szCs w:val="25"/>
        </w:rPr>
        <w:tab/>
      </w:r>
      <w:r w:rsidRPr="00954FE3">
        <w:rPr>
          <w:i/>
          <w:iCs/>
          <w:szCs w:val="25"/>
        </w:rPr>
        <w:t>Traditions of restricted audience</w:t>
      </w:r>
      <w:r w:rsidRPr="00954FE3">
        <w:rPr>
          <w:iCs/>
          <w:szCs w:val="25"/>
        </w:rPr>
        <w:t xml:space="preserve">. </w:t>
      </w:r>
      <w:r w:rsidRPr="00954FE3">
        <w:rPr>
          <w:szCs w:val="25"/>
        </w:rPr>
        <w:t>Others have argued that 39-49 should be separated because</w:t>
      </w:r>
      <w:r w:rsidR="006F304D" w:rsidRPr="006F304D">
        <w:rPr>
          <w:szCs w:val="25"/>
        </w:rPr>
        <w:t xml:space="preserve">, </w:t>
      </w:r>
      <w:r w:rsidRPr="00954FE3">
        <w:rPr>
          <w:szCs w:val="25"/>
        </w:rPr>
        <w:t>whereas 27-38 are addressed to all Christians</w:t>
      </w:r>
      <w:r w:rsidR="006F304D" w:rsidRPr="006F304D">
        <w:rPr>
          <w:szCs w:val="25"/>
        </w:rPr>
        <w:t xml:space="preserve">, </w:t>
      </w:r>
      <w:r w:rsidRPr="00954FE3">
        <w:rPr>
          <w:szCs w:val="25"/>
        </w:rPr>
        <w:t xml:space="preserve">39-49 are addressed only to a restricted group of Christians. But </w:t>
      </w:r>
      <w:r>
        <w:rPr>
          <w:szCs w:val="25"/>
        </w:rPr>
        <w:t xml:space="preserve">interpreters </w:t>
      </w:r>
      <w:r w:rsidRPr="00954FE3">
        <w:rPr>
          <w:szCs w:val="25"/>
        </w:rPr>
        <w:t>differ on the group to whom the verses are restricted.</w:t>
      </w:r>
    </w:p>
    <w:p w14:paraId="3141D650" w14:textId="6B1F4A2A" w:rsidR="0018433B" w:rsidRPr="00A743E6" w:rsidRDefault="0018433B" w:rsidP="0018433B">
      <w:pPr>
        <w:pStyle w:val="Style"/>
        <w:widowControl/>
        <w:jc w:val="both"/>
        <w:textAlignment w:val="baseline"/>
        <w:rPr>
          <w:szCs w:val="25"/>
        </w:rPr>
      </w:pPr>
      <w:r>
        <w:rPr>
          <w:szCs w:val="25"/>
        </w:rPr>
        <w:tab/>
      </w:r>
      <w:r w:rsidRPr="00954FE3">
        <w:rPr>
          <w:szCs w:val="25"/>
        </w:rPr>
        <w:t xml:space="preserve">(a) </w:t>
      </w:r>
      <w:r w:rsidRPr="00954FE3">
        <w:rPr>
          <w:i/>
          <w:iCs/>
          <w:szCs w:val="25"/>
        </w:rPr>
        <w:t>Christian leaders</w:t>
      </w:r>
      <w:r w:rsidRPr="00954FE3">
        <w:rPr>
          <w:iCs/>
          <w:szCs w:val="25"/>
        </w:rPr>
        <w:t xml:space="preserve">: </w:t>
      </w:r>
      <w:r w:rsidRPr="00954FE3">
        <w:rPr>
          <w:szCs w:val="25"/>
        </w:rPr>
        <w:t>Though F. Hauck</w:t>
      </w:r>
      <w:r w:rsidR="006F304D" w:rsidRPr="006F304D">
        <w:rPr>
          <w:szCs w:val="25"/>
        </w:rPr>
        <w:t xml:space="preserve">, </w:t>
      </w:r>
      <w:r w:rsidRPr="00954FE3">
        <w:rPr>
          <w:szCs w:val="25"/>
        </w:rPr>
        <w:t xml:space="preserve">as we have just </w:t>
      </w:r>
      <w:r>
        <w:rPr>
          <w:szCs w:val="25"/>
        </w:rPr>
        <w:t>mentioned</w:t>
      </w:r>
      <w:r w:rsidR="006F304D" w:rsidRPr="006F304D">
        <w:rPr>
          <w:szCs w:val="25"/>
        </w:rPr>
        <w:t xml:space="preserve">, </w:t>
      </w:r>
      <w:r w:rsidRPr="00954FE3">
        <w:rPr>
          <w:szCs w:val="25"/>
        </w:rPr>
        <w:t xml:space="preserve">adopted </w:t>
      </w:r>
      <w:proofErr w:type="spellStart"/>
      <w:r w:rsidRPr="00954FE3">
        <w:rPr>
          <w:szCs w:val="25"/>
        </w:rPr>
        <w:t>Heinrici’s</w:t>
      </w:r>
      <w:proofErr w:type="spellEnd"/>
      <w:r w:rsidRPr="00954FE3">
        <w:rPr>
          <w:szCs w:val="25"/>
        </w:rPr>
        <w:t xml:space="preserve"> division </w:t>
      </w:r>
      <w:r>
        <w:rPr>
          <w:szCs w:val="25"/>
        </w:rPr>
        <w:t>(</w:t>
      </w:r>
      <w:r w:rsidRPr="00954FE3">
        <w:rPr>
          <w:szCs w:val="25"/>
        </w:rPr>
        <w:t>in his 1934 commentary on Luke</w:t>
      </w:r>
      <w:r>
        <w:rPr>
          <w:szCs w:val="25"/>
        </w:rPr>
        <w:t>)</w:t>
      </w:r>
      <w:r w:rsidR="006F304D" w:rsidRPr="006F304D">
        <w:rPr>
          <w:szCs w:val="25"/>
        </w:rPr>
        <w:t xml:space="preserve">, </w:t>
      </w:r>
      <w:r w:rsidRPr="00954FE3">
        <w:rPr>
          <w:szCs w:val="25"/>
        </w:rPr>
        <w:t>the scholar who revised Hauck’s commentary in 1961</w:t>
      </w:r>
      <w:r w:rsidR="006F304D" w:rsidRPr="006F304D">
        <w:rPr>
          <w:szCs w:val="25"/>
        </w:rPr>
        <w:t xml:space="preserve">, </w:t>
      </w:r>
      <w:r w:rsidRPr="00954FE3">
        <w:rPr>
          <w:szCs w:val="25"/>
        </w:rPr>
        <w:t>Walter Grundmann</w:t>
      </w:r>
      <w:r w:rsidR="006F304D" w:rsidRPr="006F304D">
        <w:rPr>
          <w:szCs w:val="25"/>
        </w:rPr>
        <w:t xml:space="preserve">, </w:t>
      </w:r>
      <w:r w:rsidRPr="00954FE3">
        <w:rPr>
          <w:szCs w:val="25"/>
        </w:rPr>
        <w:t>switch</w:t>
      </w:r>
      <w:r>
        <w:rPr>
          <w:szCs w:val="25"/>
        </w:rPr>
        <w:t>ed to another interpreta</w:t>
      </w:r>
      <w:r>
        <w:rPr>
          <w:szCs w:val="25"/>
        </w:rPr>
        <w:softHyphen/>
        <w:t>tion.</w:t>
      </w:r>
      <w:r>
        <w:rPr>
          <w:rStyle w:val="FootnoteReference"/>
          <w:szCs w:val="25"/>
        </w:rPr>
        <w:footnoteReference w:id="587"/>
      </w:r>
      <w:r w:rsidRPr="00954FE3">
        <w:rPr>
          <w:szCs w:val="25"/>
        </w:rPr>
        <w:t xml:space="preserve"> This other tradition had already been proposed by Joseph Dillersberger in</w:t>
      </w:r>
      <w:r>
        <w:rPr>
          <w:szCs w:val="25"/>
        </w:rPr>
        <w:t xml:space="preserve"> </w:t>
      </w:r>
      <w:r w:rsidRPr="00954FE3">
        <w:rPr>
          <w:szCs w:val="25"/>
        </w:rPr>
        <w:t xml:space="preserve">1939. </w:t>
      </w:r>
      <w:proofErr w:type="spellStart"/>
      <w:r w:rsidRPr="00954FE3">
        <w:rPr>
          <w:szCs w:val="25"/>
        </w:rPr>
        <w:t>Dillersberger</w:t>
      </w:r>
      <w:proofErr w:type="spellEnd"/>
      <w:r w:rsidRPr="00954FE3">
        <w:rPr>
          <w:szCs w:val="25"/>
        </w:rPr>
        <w:t xml:space="preserve"> claims that verses 39-49 of the sermon are restricted to the topic</w:t>
      </w:r>
      <w:r>
        <w:rPr>
          <w:szCs w:val="25"/>
        </w:rPr>
        <w:t xml:space="preserve"> </w:t>
      </w:r>
      <w:r w:rsidRPr="00954FE3">
        <w:rPr>
          <w:szCs w:val="25"/>
        </w:rPr>
        <w:t>of “leadership among the disciples.”</w:t>
      </w:r>
      <w:r>
        <w:rPr>
          <w:rStyle w:val="FootnoteReference"/>
          <w:szCs w:val="25"/>
        </w:rPr>
        <w:footnoteReference w:id="588"/>
      </w:r>
      <w:r w:rsidRPr="00954FE3">
        <w:rPr>
          <w:szCs w:val="25"/>
        </w:rPr>
        <w:t xml:space="preserve"> Jesus’ injunctions in the second half of the sermon</w:t>
      </w:r>
      <w:r w:rsidR="006F304D" w:rsidRPr="006F304D">
        <w:rPr>
          <w:szCs w:val="25"/>
        </w:rPr>
        <w:t xml:space="preserve">, </w:t>
      </w:r>
      <w:r w:rsidRPr="00954FE3">
        <w:rPr>
          <w:szCs w:val="25"/>
        </w:rPr>
        <w:t>he claims</w:t>
      </w:r>
      <w:r w:rsidR="006F304D" w:rsidRPr="006F304D">
        <w:rPr>
          <w:szCs w:val="25"/>
        </w:rPr>
        <w:t xml:space="preserve">, </w:t>
      </w:r>
      <w:r w:rsidRPr="00954FE3">
        <w:rPr>
          <w:szCs w:val="25"/>
        </w:rPr>
        <w:t>apply only to Christians in leadership positions: “A special word is necessary for those whose task it will be to lead others.</w:t>
      </w:r>
      <w:r>
        <w:rPr>
          <w:szCs w:val="25"/>
        </w:rPr>
        <w:t>”</w:t>
      </w:r>
      <w:r>
        <w:rPr>
          <w:rStyle w:val="FootnoteReference"/>
          <w:szCs w:val="25"/>
        </w:rPr>
        <w:footnoteReference w:id="589"/>
      </w:r>
      <w:r>
        <w:rPr>
          <w:szCs w:val="25"/>
        </w:rPr>
        <w:t xml:space="preserve"> </w:t>
      </w:r>
      <w:r w:rsidRPr="00954FE3">
        <w:rPr>
          <w:szCs w:val="25"/>
        </w:rPr>
        <w:t>Grundmann agrees with this interpretation</w:t>
      </w:r>
      <w:r w:rsidR="006F304D" w:rsidRPr="006F304D">
        <w:rPr>
          <w:szCs w:val="25"/>
        </w:rPr>
        <w:t xml:space="preserve">, </w:t>
      </w:r>
      <w:r w:rsidRPr="00954FE3">
        <w:rPr>
          <w:szCs w:val="25"/>
        </w:rPr>
        <w:t>and it is with his name that it is usually associated: 20-38 are teachings for all disciples</w:t>
      </w:r>
      <w:r w:rsidR="006F304D" w:rsidRPr="006F304D">
        <w:rPr>
          <w:szCs w:val="25"/>
        </w:rPr>
        <w:t xml:space="preserve">, </w:t>
      </w:r>
      <w:r w:rsidRPr="00954FE3">
        <w:rPr>
          <w:szCs w:val="25"/>
        </w:rPr>
        <w:t>but 39-49 are teachings for the twelve only.</w:t>
      </w:r>
      <w:r>
        <w:rPr>
          <w:rStyle w:val="FootnoteReference"/>
          <w:szCs w:val="25"/>
        </w:rPr>
        <w:footnoteReference w:id="590"/>
      </w:r>
    </w:p>
    <w:p w14:paraId="45C78252" w14:textId="47E1E2CB" w:rsidR="0018433B" w:rsidRPr="00EF5A54" w:rsidRDefault="0018433B" w:rsidP="0018433B">
      <w:pPr>
        <w:pStyle w:val="Style"/>
        <w:widowControl/>
        <w:jc w:val="both"/>
        <w:textAlignment w:val="baseline"/>
        <w:rPr>
          <w:szCs w:val="25"/>
        </w:rPr>
      </w:pPr>
      <w:r>
        <w:rPr>
          <w:szCs w:val="25"/>
        </w:rPr>
        <w:tab/>
      </w:r>
      <w:r w:rsidRPr="00954FE3">
        <w:rPr>
          <w:szCs w:val="25"/>
        </w:rPr>
        <w:t xml:space="preserve">(b) </w:t>
      </w:r>
      <w:r w:rsidRPr="00954FE3">
        <w:rPr>
          <w:i/>
          <w:iCs/>
          <w:szCs w:val="25"/>
        </w:rPr>
        <w:t>All disciples when influencing others</w:t>
      </w:r>
      <w:r w:rsidRPr="00954FE3">
        <w:rPr>
          <w:iCs/>
          <w:szCs w:val="25"/>
        </w:rPr>
        <w:t xml:space="preserve">: </w:t>
      </w:r>
      <w:r w:rsidRPr="00954FE3">
        <w:rPr>
          <w:szCs w:val="25"/>
        </w:rPr>
        <w:t>A closely related division</w:t>
      </w:r>
      <w:r w:rsidR="006F304D" w:rsidRPr="006F304D">
        <w:rPr>
          <w:szCs w:val="25"/>
        </w:rPr>
        <w:t xml:space="preserve">, </w:t>
      </w:r>
      <w:r w:rsidRPr="00954FE3">
        <w:rPr>
          <w:szCs w:val="25"/>
        </w:rPr>
        <w:t xml:space="preserve">according to </w:t>
      </w:r>
      <w:r w:rsidR="00F806E0" w:rsidRPr="00F806E0">
        <w:rPr>
          <w:iCs/>
          <w:szCs w:val="25"/>
        </w:rPr>
        <w:t>I.H.</w:t>
      </w:r>
      <w:r w:rsidRPr="00954FE3">
        <w:rPr>
          <w:szCs w:val="25"/>
        </w:rPr>
        <w:t xml:space="preserve"> Marshall,</w:t>
      </w:r>
      <w:r>
        <w:rPr>
          <w:rStyle w:val="FootnoteReference"/>
          <w:szCs w:val="25"/>
        </w:rPr>
        <w:footnoteReference w:id="591"/>
      </w:r>
      <w:r w:rsidRPr="00EF5A54">
        <w:rPr>
          <w:szCs w:val="25"/>
        </w:rPr>
        <w:t xml:space="preserve"> </w:t>
      </w:r>
      <w:r w:rsidRPr="00954FE3">
        <w:rPr>
          <w:szCs w:val="25"/>
        </w:rPr>
        <w:t>is that of E. E. Ellis. Ellis maintains that 27-38 speak of “the principles of the king</w:t>
      </w:r>
      <w:r>
        <w:rPr>
          <w:szCs w:val="25"/>
        </w:rPr>
        <w:t>dom of God,”</w:t>
      </w:r>
      <w:r w:rsidRPr="00954FE3">
        <w:rPr>
          <w:szCs w:val="25"/>
        </w:rPr>
        <w:t xml:space="preserve"> whereas 39-49 refer to </w:t>
      </w:r>
      <w:r>
        <w:rPr>
          <w:szCs w:val="25"/>
        </w:rPr>
        <w:t>“</w:t>
      </w:r>
      <w:r w:rsidRPr="00954FE3">
        <w:rPr>
          <w:szCs w:val="25"/>
        </w:rPr>
        <w:t>the meaning of dis</w:t>
      </w:r>
      <w:r w:rsidRPr="00954FE3">
        <w:rPr>
          <w:szCs w:val="25"/>
        </w:rPr>
        <w:softHyphen/>
        <w:t>cipleship” or “principles that should govern the life of a follower of Jesus.</w:t>
      </w:r>
      <w:r>
        <w:rPr>
          <w:szCs w:val="25"/>
        </w:rPr>
        <w:t>”</w:t>
      </w:r>
      <w:r>
        <w:rPr>
          <w:rStyle w:val="FootnoteReference"/>
          <w:szCs w:val="25"/>
        </w:rPr>
        <w:footnoteReference w:id="592"/>
      </w:r>
      <w:r>
        <w:rPr>
          <w:szCs w:val="25"/>
        </w:rPr>
        <w:t xml:space="preserve"> </w:t>
      </w:r>
      <w:r w:rsidRPr="00954FE3">
        <w:rPr>
          <w:szCs w:val="25"/>
        </w:rPr>
        <w:t>The distinction is not immediately obvious</w:t>
      </w:r>
      <w:r w:rsidR="006F304D" w:rsidRPr="006F304D">
        <w:rPr>
          <w:szCs w:val="25"/>
        </w:rPr>
        <w:t xml:space="preserve">, </w:t>
      </w:r>
      <w:r w:rsidRPr="00954FE3">
        <w:rPr>
          <w:szCs w:val="25"/>
        </w:rPr>
        <w:t xml:space="preserve">but Marshall seem to take </w:t>
      </w:r>
      <w:r>
        <w:rPr>
          <w:szCs w:val="25"/>
        </w:rPr>
        <w:t xml:space="preserve">Ellis </w:t>
      </w:r>
      <w:r w:rsidRPr="00954FE3">
        <w:rPr>
          <w:szCs w:val="25"/>
        </w:rPr>
        <w:t>to mean that 39-49</w:t>
      </w:r>
      <w:r w:rsidR="006F304D" w:rsidRPr="006F304D">
        <w:rPr>
          <w:szCs w:val="25"/>
        </w:rPr>
        <w:t xml:space="preserve">, </w:t>
      </w:r>
      <w:r w:rsidRPr="00954FE3">
        <w:rPr>
          <w:szCs w:val="25"/>
        </w:rPr>
        <w:t>while addressed to all Christians</w:t>
      </w:r>
      <w:r w:rsidR="006F304D" w:rsidRPr="006F304D">
        <w:rPr>
          <w:szCs w:val="25"/>
        </w:rPr>
        <w:t xml:space="preserve">, </w:t>
      </w:r>
      <w:r w:rsidRPr="00954FE3">
        <w:rPr>
          <w:szCs w:val="25"/>
        </w:rPr>
        <w:t>concern them only when they “lead” their brethren in their communal</w:t>
      </w:r>
      <w:r w:rsidR="006F304D" w:rsidRPr="006F304D">
        <w:rPr>
          <w:szCs w:val="25"/>
        </w:rPr>
        <w:t xml:space="preserve">, </w:t>
      </w:r>
      <w:r w:rsidRPr="00954FE3">
        <w:rPr>
          <w:szCs w:val="25"/>
        </w:rPr>
        <w:t>daily pilgrimage. Marshall aligns himself with Ellis’</w:t>
      </w:r>
      <w:r>
        <w:rPr>
          <w:szCs w:val="25"/>
        </w:rPr>
        <w:t xml:space="preserve"> </w:t>
      </w:r>
      <w:r w:rsidRPr="00954FE3">
        <w:rPr>
          <w:szCs w:val="25"/>
        </w:rPr>
        <w:t>divisions</w:t>
      </w:r>
      <w:r w:rsidR="006F304D" w:rsidRPr="006F304D">
        <w:rPr>
          <w:szCs w:val="25"/>
        </w:rPr>
        <w:t xml:space="preserve">, </w:t>
      </w:r>
      <w:r w:rsidRPr="00954FE3">
        <w:rPr>
          <w:szCs w:val="25"/>
        </w:rPr>
        <w:t xml:space="preserve">entitling verses 39-49 </w:t>
      </w:r>
      <w:r>
        <w:rPr>
          <w:szCs w:val="25"/>
        </w:rPr>
        <w:t>“Th</w:t>
      </w:r>
      <w:r w:rsidRPr="00954FE3">
        <w:rPr>
          <w:szCs w:val="25"/>
        </w:rPr>
        <w:t>e Inward Character of Disciples.</w:t>
      </w:r>
      <w:r>
        <w:rPr>
          <w:szCs w:val="25"/>
        </w:rPr>
        <w:t>”</w:t>
      </w:r>
      <w:r>
        <w:rPr>
          <w:rStyle w:val="FootnoteReference"/>
          <w:szCs w:val="25"/>
        </w:rPr>
        <w:footnoteReference w:id="593"/>
      </w:r>
      <w:r>
        <w:rPr>
          <w:szCs w:val="25"/>
        </w:rPr>
        <w:t xml:space="preserve"> </w:t>
      </w:r>
      <w:r w:rsidRPr="00954FE3">
        <w:rPr>
          <w:szCs w:val="25"/>
        </w:rPr>
        <w:t>With Ellis</w:t>
      </w:r>
      <w:r>
        <w:rPr>
          <w:szCs w:val="25"/>
        </w:rPr>
        <w:t xml:space="preserve"> </w:t>
      </w:r>
      <w:r w:rsidRPr="00954FE3">
        <w:rPr>
          <w:szCs w:val="25"/>
        </w:rPr>
        <w:t xml:space="preserve">and Marshall may also be associated several others: </w:t>
      </w:r>
      <w:r w:rsidR="00E565D9" w:rsidRPr="00E565D9">
        <w:rPr>
          <w:iCs/>
          <w:szCs w:val="25"/>
        </w:rPr>
        <w:t>G.B.</w:t>
      </w:r>
      <w:r w:rsidRPr="00954FE3">
        <w:rPr>
          <w:szCs w:val="25"/>
        </w:rPr>
        <w:t xml:space="preserve"> Caird entitles 39-45</w:t>
      </w:r>
      <w:r w:rsidR="006F304D" w:rsidRPr="006F304D">
        <w:rPr>
          <w:szCs w:val="25"/>
        </w:rPr>
        <w:t xml:space="preserve">, </w:t>
      </w:r>
      <w:r w:rsidRPr="00954FE3">
        <w:rPr>
          <w:szCs w:val="25"/>
        </w:rPr>
        <w:t>“Christian influence”; Denis McBride calls 39-49 “On Discipleship”; Charles Talbert</w:t>
      </w:r>
      <w:r>
        <w:rPr>
          <w:szCs w:val="25"/>
        </w:rPr>
        <w:t xml:space="preserve"> </w:t>
      </w:r>
      <w:r w:rsidRPr="00954FE3">
        <w:rPr>
          <w:szCs w:val="25"/>
        </w:rPr>
        <w:t xml:space="preserve">describes 39-49 as </w:t>
      </w:r>
      <w:r>
        <w:rPr>
          <w:szCs w:val="25"/>
        </w:rPr>
        <w:t>“</w:t>
      </w:r>
      <w:r w:rsidRPr="00954FE3">
        <w:rPr>
          <w:szCs w:val="25"/>
        </w:rPr>
        <w:t xml:space="preserve">principles that should </w:t>
      </w:r>
      <w:r w:rsidRPr="00954FE3">
        <w:rPr>
          <w:szCs w:val="25"/>
        </w:rPr>
        <w:lastRenderedPageBreak/>
        <w:t>govern the lives of disciples</w:t>
      </w:r>
      <w:r w:rsidR="006F304D" w:rsidRPr="006F304D">
        <w:rPr>
          <w:szCs w:val="25"/>
        </w:rPr>
        <w:t xml:space="preserve">, </w:t>
      </w:r>
      <w:r w:rsidRPr="00954FE3">
        <w:rPr>
          <w:szCs w:val="25"/>
        </w:rPr>
        <w:t>such as the proper use of influence</w:t>
      </w:r>
      <w:r>
        <w:rPr>
          <w:szCs w:val="25"/>
        </w:rPr>
        <w:t>”</w:t>
      </w:r>
      <w:r w:rsidRPr="00954FE3">
        <w:rPr>
          <w:szCs w:val="25"/>
        </w:rPr>
        <w:t xml:space="preserve">; and perhaps </w:t>
      </w:r>
      <w:r w:rsidR="00B40CBB" w:rsidRPr="00B40CBB">
        <w:rPr>
          <w:iCs/>
          <w:szCs w:val="25"/>
        </w:rPr>
        <w:t>E.J.</w:t>
      </w:r>
      <w:r w:rsidRPr="00954FE3">
        <w:rPr>
          <w:szCs w:val="25"/>
        </w:rPr>
        <w:t xml:space="preserve"> Tinsley</w:t>
      </w:r>
      <w:r w:rsidR="006F304D" w:rsidRPr="006F304D">
        <w:rPr>
          <w:szCs w:val="25"/>
        </w:rPr>
        <w:t xml:space="preserve">, </w:t>
      </w:r>
      <w:r w:rsidRPr="00954FE3">
        <w:rPr>
          <w:szCs w:val="25"/>
        </w:rPr>
        <w:t>who says 39-45 discuss “disciple</w:t>
      </w:r>
      <w:r w:rsidRPr="00954FE3">
        <w:rPr>
          <w:szCs w:val="25"/>
        </w:rPr>
        <w:softHyphen/>
        <w:t>ship and its r</w:t>
      </w:r>
      <w:r>
        <w:rPr>
          <w:szCs w:val="25"/>
        </w:rPr>
        <w:t>elationship to himself (Jesus].”</w:t>
      </w:r>
      <w:r>
        <w:rPr>
          <w:rStyle w:val="FootnoteReference"/>
          <w:szCs w:val="25"/>
        </w:rPr>
        <w:footnoteReference w:id="594"/>
      </w:r>
    </w:p>
    <w:p w14:paraId="11DF53AA" w14:textId="4A6B3FB1" w:rsidR="0018433B" w:rsidRPr="00954FE3" w:rsidRDefault="0018433B" w:rsidP="0018433B">
      <w:pPr>
        <w:pStyle w:val="Style"/>
        <w:widowControl/>
        <w:jc w:val="both"/>
        <w:textAlignment w:val="baseline"/>
        <w:rPr>
          <w:szCs w:val="25"/>
        </w:rPr>
      </w:pPr>
      <w:r>
        <w:rPr>
          <w:szCs w:val="25"/>
        </w:rPr>
        <w:tab/>
      </w:r>
      <w:r w:rsidRPr="00954FE3">
        <w:rPr>
          <w:szCs w:val="25"/>
        </w:rPr>
        <w:t xml:space="preserve">(c) </w:t>
      </w:r>
      <w:r w:rsidRPr="00954FE3">
        <w:rPr>
          <w:i/>
          <w:iCs/>
          <w:szCs w:val="25"/>
        </w:rPr>
        <w:t>Zealous disciples</w:t>
      </w:r>
      <w:r w:rsidRPr="00954FE3">
        <w:rPr>
          <w:iCs/>
          <w:szCs w:val="25"/>
        </w:rPr>
        <w:t xml:space="preserve">: </w:t>
      </w:r>
      <w:r w:rsidRPr="00954FE3">
        <w:rPr>
          <w:szCs w:val="25"/>
        </w:rPr>
        <w:t>Among French commentaries</w:t>
      </w:r>
      <w:r w:rsidR="006F304D" w:rsidRPr="006F304D">
        <w:rPr>
          <w:szCs w:val="25"/>
        </w:rPr>
        <w:t xml:space="preserve">, </w:t>
      </w:r>
      <w:r w:rsidRPr="00954FE3">
        <w:rPr>
          <w:szCs w:val="25"/>
        </w:rPr>
        <w:t>a similar restriction is found in M.-J. Lagrange’s commentary (1921)</w:t>
      </w:r>
      <w:r w:rsidR="006F304D" w:rsidRPr="006F304D">
        <w:rPr>
          <w:szCs w:val="25"/>
        </w:rPr>
        <w:t xml:space="preserve">, </w:t>
      </w:r>
      <w:r w:rsidRPr="00954FE3">
        <w:rPr>
          <w:szCs w:val="25"/>
        </w:rPr>
        <w:t xml:space="preserve">which distinguishes between a section on “charity and mercy even toward enemies” (27-38) and a section on “dispositions necessary for the exercise of zealous </w:t>
      </w:r>
      <w:r>
        <w:rPr>
          <w:szCs w:val="25"/>
        </w:rPr>
        <w:t>charity”</w:t>
      </w:r>
      <w:r w:rsidRPr="00954FE3">
        <w:rPr>
          <w:szCs w:val="25"/>
        </w:rPr>
        <w:t xml:space="preserve"> (39-46).</w:t>
      </w:r>
      <w:r>
        <w:rPr>
          <w:rStyle w:val="FootnoteReference"/>
          <w:szCs w:val="25"/>
        </w:rPr>
        <w:footnoteReference w:id="595"/>
      </w:r>
      <w:r>
        <w:rPr>
          <w:szCs w:val="25"/>
        </w:rPr>
        <w:t xml:space="preserve"> </w:t>
      </w:r>
      <w:r w:rsidRPr="00954FE3">
        <w:rPr>
          <w:szCs w:val="25"/>
        </w:rPr>
        <w:t xml:space="preserve">Lagrange is followed by </w:t>
      </w:r>
      <w:proofErr w:type="spellStart"/>
      <w:r w:rsidRPr="00954FE3">
        <w:rPr>
          <w:szCs w:val="25"/>
        </w:rPr>
        <w:t>Valensin</w:t>
      </w:r>
      <w:proofErr w:type="spellEnd"/>
      <w:r w:rsidRPr="00954FE3">
        <w:rPr>
          <w:szCs w:val="25"/>
        </w:rPr>
        <w:t xml:space="preserve"> and </w:t>
      </w:r>
      <w:r>
        <w:rPr>
          <w:szCs w:val="25"/>
        </w:rPr>
        <w:t>H</w:t>
      </w:r>
      <w:r w:rsidRPr="00954FE3">
        <w:rPr>
          <w:szCs w:val="25"/>
        </w:rPr>
        <w:t xml:space="preserve">uby (39-45 are on </w:t>
      </w:r>
      <w:r>
        <w:rPr>
          <w:szCs w:val="25"/>
        </w:rPr>
        <w:t>“</w:t>
      </w:r>
      <w:r w:rsidRPr="00954FE3">
        <w:rPr>
          <w:szCs w:val="25"/>
        </w:rPr>
        <w:t xml:space="preserve">dispositions necessary for [charity] </w:t>
      </w:r>
      <w:r>
        <w:rPr>
          <w:szCs w:val="25"/>
        </w:rPr>
        <w:t>in its zealous manifestations”).</w:t>
      </w:r>
      <w:r>
        <w:rPr>
          <w:rStyle w:val="FootnoteReference"/>
          <w:szCs w:val="25"/>
        </w:rPr>
        <w:footnoteReference w:id="596"/>
      </w:r>
    </w:p>
    <w:p w14:paraId="3F996C5C" w14:textId="77777777" w:rsidR="0018433B" w:rsidRDefault="0018433B" w:rsidP="0018433B">
      <w:pPr>
        <w:pStyle w:val="Style"/>
        <w:widowControl/>
        <w:jc w:val="both"/>
        <w:rPr>
          <w:szCs w:val="22"/>
        </w:rPr>
      </w:pPr>
    </w:p>
    <w:p w14:paraId="7BDEE9D3" w14:textId="1EE0B43F" w:rsidR="0018433B" w:rsidRDefault="0018433B" w:rsidP="0018433B">
      <w:pPr>
        <w:pStyle w:val="Style"/>
        <w:widowControl/>
        <w:jc w:val="both"/>
        <w:rPr>
          <w:szCs w:val="25"/>
        </w:rPr>
      </w:pPr>
      <w:r>
        <w:rPr>
          <w:szCs w:val="22"/>
        </w:rPr>
        <w:tab/>
      </w:r>
      <w:r w:rsidRPr="00954FE3">
        <w:rPr>
          <w:i/>
          <w:iCs/>
        </w:rPr>
        <w:t>Easton interpretation</w:t>
      </w:r>
      <w:r w:rsidRPr="00954FE3">
        <w:rPr>
          <w:iCs/>
        </w:rPr>
        <w:t xml:space="preserve">. </w:t>
      </w:r>
      <w:r w:rsidR="004843D0" w:rsidRPr="004843D0">
        <w:rPr>
          <w:iCs/>
          <w:szCs w:val="25"/>
        </w:rPr>
        <w:t>B.S.</w:t>
      </w:r>
      <w:r w:rsidRPr="00954FE3">
        <w:rPr>
          <w:szCs w:val="25"/>
        </w:rPr>
        <w:t xml:space="preserve"> Easton suggests that both 27-38 and 39-49 are</w:t>
      </w:r>
      <w:r>
        <w:rPr>
          <w:szCs w:val="25"/>
        </w:rPr>
        <w:t xml:space="preserve"> </w:t>
      </w:r>
      <w:r w:rsidRPr="00954FE3">
        <w:rPr>
          <w:szCs w:val="25"/>
        </w:rPr>
        <w:t>on the theme</w:t>
      </w:r>
      <w:r w:rsidR="006F304D" w:rsidRPr="006F304D">
        <w:rPr>
          <w:szCs w:val="25"/>
        </w:rPr>
        <w:t xml:space="preserve">, </w:t>
      </w:r>
      <w:r w:rsidRPr="00954FE3">
        <w:rPr>
          <w:szCs w:val="25"/>
        </w:rPr>
        <w:t>“love for one’s neighbor; but in the first</w:t>
      </w:r>
      <w:r w:rsidR="006F304D" w:rsidRPr="006F304D">
        <w:rPr>
          <w:szCs w:val="25"/>
        </w:rPr>
        <w:t xml:space="preserve">, </w:t>
      </w:r>
      <w:r w:rsidRPr="00954FE3">
        <w:rPr>
          <w:szCs w:val="25"/>
        </w:rPr>
        <w:t>“the virtue is treated posi</w:t>
      </w:r>
      <w:r w:rsidRPr="00954FE3">
        <w:rPr>
          <w:szCs w:val="25"/>
        </w:rPr>
        <w:softHyphen/>
        <w:t>tively,” while in the second</w:t>
      </w:r>
      <w:r w:rsidR="006F304D" w:rsidRPr="006F304D">
        <w:rPr>
          <w:szCs w:val="25"/>
        </w:rPr>
        <w:t xml:space="preserve">, </w:t>
      </w:r>
      <w:r>
        <w:rPr>
          <w:szCs w:val="25"/>
        </w:rPr>
        <w:t>“</w:t>
      </w:r>
      <w:r w:rsidRPr="00954FE3">
        <w:rPr>
          <w:rFonts w:eastAsia="Arial"/>
          <w:szCs w:val="30"/>
        </w:rPr>
        <w:t xml:space="preserve">a </w:t>
      </w:r>
      <w:r w:rsidRPr="00954FE3">
        <w:rPr>
          <w:szCs w:val="25"/>
        </w:rPr>
        <w:t>negative parallel follows but is restricted to the single sin of reckless criticism.</w:t>
      </w:r>
      <w:r>
        <w:rPr>
          <w:szCs w:val="25"/>
        </w:rPr>
        <w:t>”</w:t>
      </w:r>
      <w:r>
        <w:rPr>
          <w:rStyle w:val="FootnoteReference"/>
          <w:szCs w:val="25"/>
        </w:rPr>
        <w:footnoteReference w:id="597"/>
      </w:r>
    </w:p>
    <w:p w14:paraId="31BD2CC7" w14:textId="77777777" w:rsidR="0018433B" w:rsidRDefault="0018433B" w:rsidP="0018433B">
      <w:pPr>
        <w:pStyle w:val="Style"/>
        <w:widowControl/>
        <w:jc w:val="both"/>
        <w:rPr>
          <w:szCs w:val="25"/>
        </w:rPr>
      </w:pPr>
    </w:p>
    <w:p w14:paraId="416BA223" w14:textId="77777777" w:rsidR="0018433B" w:rsidRPr="00E80B84" w:rsidRDefault="0018433B" w:rsidP="0018433B">
      <w:pPr>
        <w:pStyle w:val="Style"/>
        <w:widowControl/>
        <w:jc w:val="both"/>
        <w:rPr>
          <w:szCs w:val="2"/>
          <w:vertAlign w:val="superscript"/>
        </w:rPr>
      </w:pPr>
      <w:r>
        <w:rPr>
          <w:szCs w:val="25"/>
        </w:rPr>
        <w:tab/>
      </w:r>
      <w:r>
        <w:rPr>
          <w:i/>
          <w:iCs/>
        </w:rPr>
        <w:t>Schürmann</w:t>
      </w:r>
      <w:r>
        <w:rPr>
          <w:iCs/>
        </w:rPr>
        <w:t>’</w:t>
      </w:r>
      <w:r w:rsidRPr="00954FE3">
        <w:rPr>
          <w:i/>
          <w:iCs/>
          <w:szCs w:val="37"/>
        </w:rPr>
        <w:t xml:space="preserve">s </w:t>
      </w:r>
      <w:r w:rsidRPr="00954FE3">
        <w:rPr>
          <w:i/>
          <w:iCs/>
        </w:rPr>
        <w:t>interpretation</w:t>
      </w:r>
      <w:r w:rsidRPr="00954FE3">
        <w:rPr>
          <w:iCs/>
        </w:rPr>
        <w:t xml:space="preserve">. </w:t>
      </w:r>
      <w:r w:rsidRPr="00954FE3">
        <w:rPr>
          <w:szCs w:val="25"/>
        </w:rPr>
        <w:t xml:space="preserve">Heinz </w:t>
      </w:r>
      <w:r>
        <w:rPr>
          <w:szCs w:val="25"/>
        </w:rPr>
        <w:t>Schürmann</w:t>
      </w:r>
      <w:r w:rsidRPr="00954FE3">
        <w:rPr>
          <w:szCs w:val="25"/>
        </w:rPr>
        <w:t xml:space="preserve"> says that 27-38 are on </w:t>
      </w:r>
      <w:r>
        <w:rPr>
          <w:szCs w:val="25"/>
        </w:rPr>
        <w:t>“</w:t>
      </w:r>
      <w:r w:rsidRPr="00954FE3">
        <w:rPr>
          <w:szCs w:val="25"/>
        </w:rPr>
        <w:t>the message of love,” while 39-45 are on “Jesus’ message of love as the sole way of salvation.</w:t>
      </w:r>
      <w:r>
        <w:rPr>
          <w:szCs w:val="25"/>
        </w:rPr>
        <w:t>”</w:t>
      </w:r>
      <w:r>
        <w:rPr>
          <w:rStyle w:val="FootnoteReference"/>
          <w:szCs w:val="25"/>
        </w:rPr>
        <w:footnoteReference w:id="598"/>
      </w:r>
      <w:r>
        <w:rPr>
          <w:szCs w:val="25"/>
        </w:rPr>
        <w:t xml:space="preserve"> Schü</w:t>
      </w:r>
      <w:r w:rsidRPr="00954FE3">
        <w:rPr>
          <w:szCs w:val="25"/>
        </w:rPr>
        <w:t>rmann considers 39-45 to be a defense against false Christian teachers.</w:t>
      </w:r>
    </w:p>
    <w:p w14:paraId="5937FC5E" w14:textId="77777777" w:rsidR="0018433B" w:rsidRDefault="0018433B" w:rsidP="0018433B">
      <w:pPr>
        <w:pStyle w:val="Style"/>
        <w:widowControl/>
        <w:jc w:val="both"/>
        <w:textAlignment w:val="baseline"/>
        <w:rPr>
          <w:szCs w:val="25"/>
        </w:rPr>
      </w:pPr>
    </w:p>
    <w:p w14:paraId="53D99251" w14:textId="71D3B61B" w:rsidR="0018433B" w:rsidRPr="00954FE3" w:rsidRDefault="0018433B" w:rsidP="0018433B">
      <w:pPr>
        <w:pStyle w:val="Style"/>
        <w:widowControl/>
        <w:ind w:left="720" w:right="720"/>
        <w:jc w:val="both"/>
        <w:textAlignment w:val="baseline"/>
        <w:rPr>
          <w:szCs w:val="2"/>
          <w:vertAlign w:val="superscript"/>
        </w:rPr>
      </w:pPr>
      <w:r w:rsidRPr="00954FE3">
        <w:rPr>
          <w:szCs w:val="25"/>
        </w:rPr>
        <w:t>The message of love (6:27-38) could not be presented as the simple moral command of Jesus without mentioning other possibilities (6:39- 45). In the primitive Church</w:t>
      </w:r>
      <w:r w:rsidR="006F304D" w:rsidRPr="006F304D">
        <w:rPr>
          <w:szCs w:val="25"/>
        </w:rPr>
        <w:t xml:space="preserve">, </w:t>
      </w:r>
      <w:r w:rsidRPr="00954FE3">
        <w:rPr>
          <w:szCs w:val="25"/>
        </w:rPr>
        <w:t xml:space="preserve">it could not be presented without polemic against the Jewish-Pharisaic interpretation of the </w:t>
      </w:r>
      <w:r w:rsidRPr="00954FE3">
        <w:rPr>
          <w:szCs w:val="22"/>
        </w:rPr>
        <w:t xml:space="preserve">will </w:t>
      </w:r>
      <w:r w:rsidRPr="00954FE3">
        <w:rPr>
          <w:szCs w:val="25"/>
        </w:rPr>
        <w:t>of God; in the time of Luke</w:t>
      </w:r>
      <w:r w:rsidR="006F304D" w:rsidRPr="006F304D">
        <w:rPr>
          <w:szCs w:val="25"/>
        </w:rPr>
        <w:t xml:space="preserve">, </w:t>
      </w:r>
      <w:r w:rsidRPr="00954FE3">
        <w:rPr>
          <w:szCs w:val="25"/>
        </w:rPr>
        <w:t>it could not be presented without reference to all the heretical (Gnosticizing)</w:t>
      </w:r>
      <w:r w:rsidR="006F304D" w:rsidRPr="006F304D">
        <w:rPr>
          <w:szCs w:val="25"/>
        </w:rPr>
        <w:t xml:space="preserve">, </w:t>
      </w:r>
      <w:r w:rsidRPr="00954FE3">
        <w:rPr>
          <w:szCs w:val="25"/>
        </w:rPr>
        <w:t>purportedly Christian ethical systems.</w:t>
      </w:r>
      <w:r>
        <w:rPr>
          <w:rStyle w:val="FootnoteReference"/>
          <w:szCs w:val="25"/>
        </w:rPr>
        <w:footnoteReference w:id="599"/>
      </w:r>
    </w:p>
    <w:p w14:paraId="5CCF040B" w14:textId="77777777" w:rsidR="0018433B" w:rsidRDefault="0018433B" w:rsidP="0018433B">
      <w:pPr>
        <w:pStyle w:val="Style"/>
        <w:widowControl/>
        <w:jc w:val="both"/>
        <w:textAlignment w:val="baseline"/>
        <w:rPr>
          <w:szCs w:val="25"/>
        </w:rPr>
      </w:pPr>
    </w:p>
    <w:p w14:paraId="0CDAF2F0" w14:textId="45CC7A8C" w:rsidR="0018433B" w:rsidRPr="00856A16" w:rsidRDefault="0018433B" w:rsidP="0018433B">
      <w:pPr>
        <w:pStyle w:val="Style"/>
        <w:widowControl/>
        <w:jc w:val="both"/>
        <w:textAlignment w:val="baseline"/>
        <w:rPr>
          <w:szCs w:val="25"/>
        </w:rPr>
      </w:pPr>
      <w:r w:rsidRPr="00954FE3">
        <w:rPr>
          <w:szCs w:val="25"/>
        </w:rPr>
        <w:t>The body of the sermon thus divides itself into “a positive</w:t>
      </w:r>
      <w:r w:rsidR="006F304D" w:rsidRPr="006F304D">
        <w:rPr>
          <w:szCs w:val="25"/>
        </w:rPr>
        <w:t xml:space="preserve">, </w:t>
      </w:r>
      <w:r w:rsidRPr="00954FE3">
        <w:rPr>
          <w:szCs w:val="25"/>
        </w:rPr>
        <w:t>unreflective presentation</w:t>
      </w:r>
      <w:r>
        <w:rPr>
          <w:szCs w:val="25"/>
        </w:rPr>
        <w:t xml:space="preserve"> [</w:t>
      </w:r>
      <w:proofErr w:type="spellStart"/>
      <w:r>
        <w:rPr>
          <w:i/>
          <w:szCs w:val="25"/>
        </w:rPr>
        <w:t>Darlegung</w:t>
      </w:r>
      <w:proofErr w:type="spellEnd"/>
      <w:r>
        <w:rPr>
          <w:szCs w:val="25"/>
        </w:rPr>
        <w:t>]</w:t>
      </w:r>
      <w:r w:rsidRPr="00954FE3">
        <w:rPr>
          <w:szCs w:val="25"/>
        </w:rPr>
        <w:t xml:space="preserve"> (6:27-38) and a reflective </w:t>
      </w:r>
      <w:r>
        <w:rPr>
          <w:szCs w:val="25"/>
        </w:rPr>
        <w:t>takeoff [</w:t>
      </w:r>
      <w:proofErr w:type="spellStart"/>
      <w:r>
        <w:rPr>
          <w:i/>
          <w:szCs w:val="25"/>
        </w:rPr>
        <w:t>Abhebung</w:t>
      </w:r>
      <w:proofErr w:type="spellEnd"/>
      <w:r>
        <w:rPr>
          <w:szCs w:val="25"/>
        </w:rPr>
        <w:t>]</w:t>
      </w:r>
      <w:r w:rsidRPr="00954FE3">
        <w:rPr>
          <w:szCs w:val="25"/>
        </w:rPr>
        <w:t xml:space="preserve"> (6:39-45) of the new message of Jesus.</w:t>
      </w:r>
      <w:r>
        <w:rPr>
          <w:szCs w:val="25"/>
        </w:rPr>
        <w:t>”</w:t>
      </w:r>
      <w:r>
        <w:rPr>
          <w:rStyle w:val="FootnoteReference"/>
          <w:szCs w:val="25"/>
        </w:rPr>
        <w:footnoteReference w:id="600"/>
      </w:r>
      <w:r>
        <w:rPr>
          <w:szCs w:val="25"/>
        </w:rPr>
        <w:t xml:space="preserve"> </w:t>
      </w:r>
      <w:r w:rsidRPr="00954FE3">
        <w:rPr>
          <w:szCs w:val="25"/>
        </w:rPr>
        <w:t>The second section itself (39-45) has two subsections: 39-42</w:t>
      </w:r>
      <w:r w:rsidR="006F304D" w:rsidRPr="006F304D">
        <w:rPr>
          <w:szCs w:val="25"/>
        </w:rPr>
        <w:t xml:space="preserve">, </w:t>
      </w:r>
      <w:r>
        <w:rPr>
          <w:szCs w:val="25"/>
        </w:rPr>
        <w:t>“</w:t>
      </w:r>
      <w:r w:rsidRPr="00954FE3">
        <w:rPr>
          <w:szCs w:val="25"/>
        </w:rPr>
        <w:t>characterization of the</w:t>
      </w:r>
      <w:r>
        <w:rPr>
          <w:szCs w:val="25"/>
        </w:rPr>
        <w:t xml:space="preserve"> false teachers,”</w:t>
      </w:r>
      <w:r w:rsidRPr="00954FE3">
        <w:rPr>
          <w:szCs w:val="25"/>
        </w:rPr>
        <w:t xml:space="preserve"> and 43-45</w:t>
      </w:r>
      <w:r w:rsidR="006F304D" w:rsidRPr="006F304D">
        <w:rPr>
          <w:szCs w:val="25"/>
        </w:rPr>
        <w:t xml:space="preserve">, </w:t>
      </w:r>
      <w:r>
        <w:rPr>
          <w:szCs w:val="25"/>
        </w:rPr>
        <w:t>“</w:t>
      </w:r>
      <w:r w:rsidRPr="00954FE3">
        <w:rPr>
          <w:szCs w:val="25"/>
        </w:rPr>
        <w:t>warning against the false teachers.</w:t>
      </w:r>
      <w:r>
        <w:rPr>
          <w:szCs w:val="25"/>
        </w:rPr>
        <w:t>”</w:t>
      </w:r>
      <w:r>
        <w:rPr>
          <w:rStyle w:val="FootnoteReference"/>
          <w:szCs w:val="25"/>
        </w:rPr>
        <w:footnoteReference w:id="601"/>
      </w:r>
    </w:p>
    <w:p w14:paraId="46A6ABF7" w14:textId="77777777" w:rsidR="0018433B" w:rsidRDefault="0018433B" w:rsidP="0018433B">
      <w:pPr>
        <w:pStyle w:val="Style"/>
        <w:widowControl/>
        <w:jc w:val="both"/>
        <w:textAlignment w:val="baseline"/>
        <w:rPr>
          <w:szCs w:val="25"/>
        </w:rPr>
      </w:pPr>
      <w:r>
        <w:rPr>
          <w:szCs w:val="25"/>
        </w:rPr>
        <w:lastRenderedPageBreak/>
        <w:tab/>
      </w:r>
      <w:r w:rsidRPr="00954FE3">
        <w:rPr>
          <w:szCs w:val="25"/>
        </w:rPr>
        <w:t>We may summarize this survey of two-part middles by recapitulating the reasons given for proposing a major break between 38 and 39.</w:t>
      </w:r>
    </w:p>
    <w:p w14:paraId="03200737" w14:textId="77777777" w:rsidR="0018433B" w:rsidRPr="00954FE3" w:rsidRDefault="0018433B" w:rsidP="0018433B">
      <w:pPr>
        <w:pStyle w:val="Style"/>
        <w:widowControl/>
        <w:jc w:val="both"/>
        <w:textAlignment w:val="baseline"/>
        <w:rPr>
          <w:szCs w:val="25"/>
        </w:rPr>
      </w:pPr>
    </w:p>
    <w:p w14:paraId="7EC16C58" w14:textId="2A3077EB" w:rsidR="0018433B" w:rsidRPr="00954FE3" w:rsidRDefault="0018433B" w:rsidP="0018433B">
      <w:pPr>
        <w:pStyle w:val="Style"/>
        <w:widowControl/>
        <w:tabs>
          <w:tab w:val="left" w:pos="1080"/>
          <w:tab w:val="left" w:pos="1440"/>
          <w:tab w:val="left" w:pos="1800"/>
        </w:tabs>
        <w:ind w:left="1080" w:hanging="360"/>
        <w:jc w:val="both"/>
        <w:textAlignment w:val="baseline"/>
        <w:rPr>
          <w:szCs w:val="25"/>
        </w:rPr>
      </w:pPr>
      <w:r>
        <w:rPr>
          <w:rFonts w:eastAsia="Arial"/>
        </w:rPr>
        <w:t>(1)</w:t>
      </w:r>
      <w:r>
        <w:rPr>
          <w:rFonts w:eastAsia="Arial"/>
        </w:rPr>
        <w:tab/>
      </w:r>
      <w:r w:rsidRPr="00CE06CA">
        <w:rPr>
          <w:bCs/>
          <w:szCs w:val="22"/>
          <w:lang w:val="el-GR"/>
        </w:rPr>
        <w:t>Εἶπεν δὲ καὶ παραβολὴν αὐτοῖς</w:t>
      </w:r>
      <w:r>
        <w:rPr>
          <w:bCs/>
          <w:szCs w:val="22"/>
        </w:rPr>
        <w:t xml:space="preserve"> (“</w:t>
      </w:r>
      <w:r w:rsidRPr="00CD75A6">
        <w:t>He also told them a parable</w:t>
      </w:r>
      <w:r>
        <w:rPr>
          <w:bCs/>
          <w:szCs w:val="22"/>
        </w:rPr>
        <w:t>”)</w:t>
      </w:r>
      <w:r>
        <w:rPr>
          <w:szCs w:val="25"/>
        </w:rPr>
        <w:t xml:space="preserve"> in 39 indicates a </w:t>
      </w:r>
      <w:r w:rsidRPr="00954FE3">
        <w:rPr>
          <w:szCs w:val="25"/>
        </w:rPr>
        <w:t>major</w:t>
      </w:r>
      <w:r>
        <w:rPr>
          <w:szCs w:val="25"/>
        </w:rPr>
        <w:t xml:space="preserve"> </w:t>
      </w:r>
      <w:r w:rsidRPr="00954FE3">
        <w:rPr>
          <w:szCs w:val="25"/>
        </w:rPr>
        <w:t>break</w:t>
      </w:r>
      <w:r>
        <w:rPr>
          <w:szCs w:val="25"/>
        </w:rPr>
        <w:t xml:space="preserve"> </w:t>
      </w:r>
      <w:r w:rsidRPr="00954FE3">
        <w:rPr>
          <w:szCs w:val="25"/>
        </w:rPr>
        <w:t>because</w:t>
      </w:r>
      <w:r>
        <w:rPr>
          <w:szCs w:val="25"/>
        </w:rPr>
        <w:t xml:space="preserve"> </w:t>
      </w:r>
      <w:r w:rsidRPr="00954FE3">
        <w:rPr>
          <w:szCs w:val="25"/>
        </w:rPr>
        <w:t xml:space="preserve">it echoes previous instances of </w:t>
      </w:r>
      <w:proofErr w:type="spellStart"/>
      <w:r>
        <w:rPr>
          <w:szCs w:val="25"/>
        </w:rPr>
        <w:t>λέγω</w:t>
      </w:r>
      <w:proofErr w:type="spellEnd"/>
      <w:r>
        <w:rPr>
          <w:rFonts w:eastAsia="Arial"/>
          <w:szCs w:val="22"/>
        </w:rPr>
        <w:t xml:space="preserve"> </w:t>
      </w:r>
      <w:r w:rsidRPr="00954FE3">
        <w:rPr>
          <w:szCs w:val="25"/>
        </w:rPr>
        <w:t>in the sermon (20a</w:t>
      </w:r>
      <w:r w:rsidR="006F304D" w:rsidRPr="006F304D">
        <w:rPr>
          <w:szCs w:val="25"/>
        </w:rPr>
        <w:t xml:space="preserve">, </w:t>
      </w:r>
      <w:proofErr w:type="spellStart"/>
      <w:r w:rsidRPr="00CB0999">
        <w:rPr>
          <w:szCs w:val="22"/>
          <w:lang w:bidi="he-IL"/>
        </w:rPr>
        <w:t>ἔ</w:t>
      </w:r>
      <w:r>
        <w:rPr>
          <w:szCs w:val="22"/>
          <w:lang w:bidi="he-IL"/>
        </w:rPr>
        <w:t>λεγεν</w:t>
      </w:r>
      <w:proofErr w:type="spellEnd"/>
      <w:r w:rsidRPr="00954FE3">
        <w:t xml:space="preserve">; </w:t>
      </w:r>
      <w:r w:rsidRPr="00954FE3">
        <w:rPr>
          <w:szCs w:val="25"/>
        </w:rPr>
        <w:t>27a</w:t>
      </w:r>
      <w:r w:rsidR="006F304D" w:rsidRPr="006F304D">
        <w:rPr>
          <w:szCs w:val="25"/>
        </w:rPr>
        <w:t xml:space="preserve">, </w:t>
      </w:r>
      <w:proofErr w:type="spellStart"/>
      <w:r>
        <w:rPr>
          <w:szCs w:val="25"/>
        </w:rPr>
        <w:t>λέγω</w:t>
      </w:r>
      <w:proofErr w:type="spellEnd"/>
      <w:r w:rsidRPr="00954FE3">
        <w:rPr>
          <w:rFonts w:eastAsia="Arial"/>
          <w:szCs w:val="22"/>
        </w:rPr>
        <w:t xml:space="preserve">) </w:t>
      </w:r>
      <w:r>
        <w:rPr>
          <w:rFonts w:eastAsia="Arial"/>
          <w:szCs w:val="22"/>
        </w:rPr>
        <w:t>(</w:t>
      </w:r>
      <w:r w:rsidRPr="00954FE3">
        <w:rPr>
          <w:szCs w:val="25"/>
        </w:rPr>
        <w:t>the Plummer tradition).</w:t>
      </w:r>
    </w:p>
    <w:p w14:paraId="5D6661FB" w14:textId="77777777" w:rsidR="0018433B" w:rsidRPr="00954FE3" w:rsidRDefault="0018433B" w:rsidP="0018433B">
      <w:pPr>
        <w:pStyle w:val="Style"/>
        <w:widowControl/>
        <w:tabs>
          <w:tab w:val="left" w:pos="1080"/>
          <w:tab w:val="left" w:pos="1440"/>
          <w:tab w:val="left" w:pos="1800"/>
        </w:tabs>
        <w:ind w:left="1080" w:hanging="360"/>
        <w:jc w:val="both"/>
        <w:textAlignment w:val="baseline"/>
        <w:rPr>
          <w:szCs w:val="25"/>
        </w:rPr>
      </w:pPr>
      <w:r>
        <w:rPr>
          <w:szCs w:val="25"/>
        </w:rPr>
        <w:t>(2)</w:t>
      </w:r>
      <w:r>
        <w:rPr>
          <w:szCs w:val="25"/>
        </w:rPr>
        <w:tab/>
      </w:r>
      <w:r w:rsidRPr="00954FE3">
        <w:rPr>
          <w:szCs w:val="25"/>
        </w:rPr>
        <w:t>Verses</w:t>
      </w:r>
      <w:r>
        <w:rPr>
          <w:szCs w:val="25"/>
        </w:rPr>
        <w:t xml:space="preserve"> </w:t>
      </w:r>
      <w:r w:rsidRPr="00954FE3">
        <w:rPr>
          <w:szCs w:val="25"/>
        </w:rPr>
        <w:t>20-26</w:t>
      </w:r>
      <w:r>
        <w:rPr>
          <w:szCs w:val="25"/>
        </w:rPr>
        <w:t xml:space="preserve"> </w:t>
      </w:r>
      <w:r w:rsidRPr="00954FE3">
        <w:rPr>
          <w:szCs w:val="25"/>
        </w:rPr>
        <w:t>are</w:t>
      </w:r>
      <w:r>
        <w:rPr>
          <w:szCs w:val="25"/>
        </w:rPr>
        <w:t xml:space="preserve"> </w:t>
      </w:r>
      <w:r w:rsidRPr="00954FE3">
        <w:rPr>
          <w:szCs w:val="25"/>
        </w:rPr>
        <w:t>“prophetic,”</w:t>
      </w:r>
      <w:r>
        <w:rPr>
          <w:szCs w:val="25"/>
        </w:rPr>
        <w:t xml:space="preserve"> </w:t>
      </w:r>
      <w:r w:rsidRPr="00954FE3">
        <w:rPr>
          <w:szCs w:val="25"/>
        </w:rPr>
        <w:t>27-38</w:t>
      </w:r>
      <w:r>
        <w:rPr>
          <w:szCs w:val="25"/>
        </w:rPr>
        <w:t xml:space="preserve"> </w:t>
      </w:r>
      <w:r w:rsidRPr="00954FE3">
        <w:rPr>
          <w:szCs w:val="25"/>
        </w:rPr>
        <w:t>are</w:t>
      </w:r>
      <w:r>
        <w:rPr>
          <w:szCs w:val="25"/>
        </w:rPr>
        <w:t xml:space="preserve"> </w:t>
      </w:r>
      <w:r w:rsidRPr="00954FE3">
        <w:rPr>
          <w:szCs w:val="25"/>
        </w:rPr>
        <w:t>“hortatory,”</w:t>
      </w:r>
      <w:r>
        <w:rPr>
          <w:szCs w:val="25"/>
        </w:rPr>
        <w:t xml:space="preserve"> </w:t>
      </w:r>
      <w:r w:rsidRPr="00954FE3">
        <w:rPr>
          <w:szCs w:val="25"/>
        </w:rPr>
        <w:t>and</w:t>
      </w:r>
      <w:r>
        <w:rPr>
          <w:szCs w:val="25"/>
        </w:rPr>
        <w:t xml:space="preserve"> </w:t>
      </w:r>
      <w:r w:rsidRPr="00954FE3">
        <w:rPr>
          <w:szCs w:val="25"/>
        </w:rPr>
        <w:t>39-49</w:t>
      </w:r>
      <w:r>
        <w:rPr>
          <w:szCs w:val="25"/>
        </w:rPr>
        <w:t xml:space="preserve"> </w:t>
      </w:r>
      <w:r w:rsidRPr="00954FE3">
        <w:rPr>
          <w:szCs w:val="25"/>
        </w:rPr>
        <w:t>are</w:t>
      </w:r>
      <w:r>
        <w:rPr>
          <w:szCs w:val="25"/>
        </w:rPr>
        <w:t xml:space="preserve"> “para</w:t>
      </w:r>
      <w:r w:rsidRPr="00954FE3">
        <w:rPr>
          <w:szCs w:val="25"/>
        </w:rPr>
        <w:t xml:space="preserve">bolic” (the </w:t>
      </w:r>
      <w:proofErr w:type="spellStart"/>
      <w:r w:rsidRPr="00954FE3">
        <w:rPr>
          <w:szCs w:val="25"/>
        </w:rPr>
        <w:t>Heinrici</w:t>
      </w:r>
      <w:proofErr w:type="spellEnd"/>
      <w:r w:rsidRPr="00954FE3">
        <w:rPr>
          <w:szCs w:val="25"/>
        </w:rPr>
        <w:t xml:space="preserve"> tradition).</w:t>
      </w:r>
    </w:p>
    <w:p w14:paraId="3BC9CE40" w14:textId="4CAF1FAC" w:rsidR="0018433B" w:rsidRPr="00954FE3" w:rsidRDefault="0018433B" w:rsidP="0018433B">
      <w:pPr>
        <w:pStyle w:val="Style"/>
        <w:widowControl/>
        <w:tabs>
          <w:tab w:val="left" w:pos="1080"/>
          <w:tab w:val="left" w:pos="1440"/>
          <w:tab w:val="left" w:pos="1800"/>
        </w:tabs>
        <w:ind w:left="1080" w:hanging="360"/>
        <w:jc w:val="both"/>
        <w:textAlignment w:val="baseline"/>
        <w:rPr>
          <w:szCs w:val="25"/>
        </w:rPr>
      </w:pPr>
      <w:r>
        <w:rPr>
          <w:szCs w:val="25"/>
        </w:rPr>
        <w:t>(3)</w:t>
      </w:r>
      <w:r>
        <w:rPr>
          <w:szCs w:val="25"/>
        </w:rPr>
        <w:tab/>
      </w:r>
      <w:r w:rsidRPr="00954FE3">
        <w:rPr>
          <w:szCs w:val="25"/>
        </w:rPr>
        <w:t>27-38</w:t>
      </w:r>
      <w:r>
        <w:rPr>
          <w:szCs w:val="25"/>
        </w:rPr>
        <w:t xml:space="preserve"> </w:t>
      </w:r>
      <w:r w:rsidRPr="00954FE3">
        <w:rPr>
          <w:szCs w:val="25"/>
        </w:rPr>
        <w:t>are</w:t>
      </w:r>
      <w:r>
        <w:rPr>
          <w:szCs w:val="25"/>
        </w:rPr>
        <w:t xml:space="preserve"> </w:t>
      </w:r>
      <w:r w:rsidRPr="00954FE3">
        <w:rPr>
          <w:szCs w:val="25"/>
        </w:rPr>
        <w:t>teachings</w:t>
      </w:r>
      <w:r>
        <w:rPr>
          <w:szCs w:val="25"/>
        </w:rPr>
        <w:t xml:space="preserve"> </w:t>
      </w:r>
      <w:r w:rsidRPr="00954FE3">
        <w:rPr>
          <w:szCs w:val="25"/>
        </w:rPr>
        <w:t>for</w:t>
      </w:r>
      <w:r>
        <w:rPr>
          <w:szCs w:val="25"/>
        </w:rPr>
        <w:t xml:space="preserve"> </w:t>
      </w:r>
      <w:r w:rsidRPr="00954FE3">
        <w:rPr>
          <w:szCs w:val="25"/>
        </w:rPr>
        <w:t>all</w:t>
      </w:r>
      <w:r>
        <w:rPr>
          <w:szCs w:val="25"/>
        </w:rPr>
        <w:t xml:space="preserve"> </w:t>
      </w:r>
      <w:r w:rsidRPr="00954FE3">
        <w:rPr>
          <w:szCs w:val="25"/>
        </w:rPr>
        <w:t>Christians</w:t>
      </w:r>
      <w:r w:rsidR="006F304D" w:rsidRPr="006F304D">
        <w:rPr>
          <w:szCs w:val="25"/>
        </w:rPr>
        <w:t xml:space="preserve">, </w:t>
      </w:r>
      <w:r>
        <w:rPr>
          <w:szCs w:val="25"/>
        </w:rPr>
        <w:t xml:space="preserve">but </w:t>
      </w:r>
      <w:r w:rsidRPr="00954FE3">
        <w:rPr>
          <w:szCs w:val="25"/>
        </w:rPr>
        <w:t>39-49</w:t>
      </w:r>
      <w:r>
        <w:rPr>
          <w:szCs w:val="25"/>
        </w:rPr>
        <w:t xml:space="preserve"> </w:t>
      </w:r>
      <w:r w:rsidRPr="00954FE3">
        <w:rPr>
          <w:szCs w:val="25"/>
        </w:rPr>
        <w:t>are</w:t>
      </w:r>
      <w:r>
        <w:rPr>
          <w:szCs w:val="25"/>
        </w:rPr>
        <w:t xml:space="preserve"> </w:t>
      </w:r>
      <w:r w:rsidRPr="00954FE3">
        <w:rPr>
          <w:szCs w:val="25"/>
        </w:rPr>
        <w:t>teachings</w:t>
      </w:r>
      <w:r>
        <w:rPr>
          <w:szCs w:val="25"/>
        </w:rPr>
        <w:t xml:space="preserve"> </w:t>
      </w:r>
      <w:r w:rsidRPr="00954FE3">
        <w:rPr>
          <w:szCs w:val="25"/>
        </w:rPr>
        <w:t>restricted</w:t>
      </w:r>
      <w:r>
        <w:rPr>
          <w:szCs w:val="25"/>
        </w:rPr>
        <w:t xml:space="preserve"> </w:t>
      </w:r>
      <w:r w:rsidRPr="00954FE3">
        <w:rPr>
          <w:szCs w:val="25"/>
        </w:rPr>
        <w:t>to</w:t>
      </w:r>
      <w:r>
        <w:rPr>
          <w:szCs w:val="25"/>
        </w:rPr>
        <w:t xml:space="preserve"> </w:t>
      </w:r>
      <w:r w:rsidRPr="00954FE3">
        <w:rPr>
          <w:szCs w:val="25"/>
        </w:rPr>
        <w:t>certain Christians.</w:t>
      </w:r>
    </w:p>
    <w:p w14:paraId="47FA2E96" w14:textId="77777777" w:rsidR="0018433B" w:rsidRPr="00954FE3" w:rsidRDefault="0018433B" w:rsidP="0018433B">
      <w:pPr>
        <w:pStyle w:val="Style"/>
        <w:widowControl/>
        <w:tabs>
          <w:tab w:val="left" w:pos="1080"/>
          <w:tab w:val="left" w:pos="1440"/>
          <w:tab w:val="left" w:pos="1800"/>
        </w:tabs>
        <w:ind w:left="1440" w:hanging="360"/>
        <w:jc w:val="both"/>
        <w:textAlignment w:val="baseline"/>
        <w:rPr>
          <w:szCs w:val="25"/>
        </w:rPr>
      </w:pPr>
      <w:r>
        <w:rPr>
          <w:szCs w:val="25"/>
        </w:rPr>
        <w:t>A.</w:t>
      </w:r>
      <w:r>
        <w:rPr>
          <w:szCs w:val="25"/>
        </w:rPr>
        <w:tab/>
      </w:r>
      <w:r w:rsidRPr="00954FE3">
        <w:rPr>
          <w:szCs w:val="25"/>
        </w:rPr>
        <w:t>39-49</w:t>
      </w:r>
      <w:r>
        <w:rPr>
          <w:szCs w:val="25"/>
        </w:rPr>
        <w:t xml:space="preserve"> </w:t>
      </w:r>
      <w:r w:rsidRPr="00954FE3">
        <w:rPr>
          <w:szCs w:val="25"/>
        </w:rPr>
        <w:t>are</w:t>
      </w:r>
      <w:r>
        <w:rPr>
          <w:szCs w:val="25"/>
        </w:rPr>
        <w:t xml:space="preserve"> </w:t>
      </w:r>
      <w:r w:rsidRPr="00954FE3">
        <w:rPr>
          <w:szCs w:val="25"/>
        </w:rPr>
        <w:t>to</w:t>
      </w:r>
      <w:r>
        <w:rPr>
          <w:szCs w:val="25"/>
        </w:rPr>
        <w:t xml:space="preserve"> </w:t>
      </w:r>
      <w:r w:rsidRPr="00954FE3">
        <w:rPr>
          <w:szCs w:val="25"/>
        </w:rPr>
        <w:t>Christian</w:t>
      </w:r>
      <w:r>
        <w:rPr>
          <w:szCs w:val="25"/>
        </w:rPr>
        <w:t xml:space="preserve"> </w:t>
      </w:r>
      <w:r w:rsidRPr="00954FE3">
        <w:rPr>
          <w:szCs w:val="25"/>
        </w:rPr>
        <w:t>leaders</w:t>
      </w:r>
      <w:r>
        <w:rPr>
          <w:szCs w:val="25"/>
        </w:rPr>
        <w:t xml:space="preserve"> </w:t>
      </w:r>
      <w:r w:rsidRPr="00954FE3">
        <w:rPr>
          <w:szCs w:val="25"/>
        </w:rPr>
        <w:t>only.</w:t>
      </w:r>
    </w:p>
    <w:p w14:paraId="63DA1951" w14:textId="5F21DA15" w:rsidR="0018433B" w:rsidRPr="00954FE3" w:rsidRDefault="0018433B" w:rsidP="0018433B">
      <w:pPr>
        <w:pStyle w:val="Style"/>
        <w:widowControl/>
        <w:tabs>
          <w:tab w:val="left" w:pos="1080"/>
          <w:tab w:val="left" w:pos="1440"/>
          <w:tab w:val="left" w:pos="1800"/>
        </w:tabs>
        <w:ind w:left="1440" w:hanging="360"/>
        <w:jc w:val="both"/>
        <w:textAlignment w:val="baseline"/>
        <w:rPr>
          <w:szCs w:val="25"/>
        </w:rPr>
      </w:pPr>
      <w:r>
        <w:rPr>
          <w:szCs w:val="25"/>
        </w:rPr>
        <w:t>B.</w:t>
      </w:r>
      <w:r>
        <w:rPr>
          <w:szCs w:val="25"/>
        </w:rPr>
        <w:tab/>
      </w:r>
      <w:r w:rsidRPr="00954FE3">
        <w:rPr>
          <w:szCs w:val="25"/>
        </w:rPr>
        <w:t>39-49 are to all Christians</w:t>
      </w:r>
      <w:r w:rsidR="006F304D" w:rsidRPr="006F304D">
        <w:rPr>
          <w:szCs w:val="25"/>
        </w:rPr>
        <w:t xml:space="preserve">, </w:t>
      </w:r>
      <w:r w:rsidRPr="00954FE3">
        <w:rPr>
          <w:szCs w:val="25"/>
        </w:rPr>
        <w:t>but only when they “lead” their brethren in their communal</w:t>
      </w:r>
      <w:r w:rsidR="006F304D" w:rsidRPr="006F304D">
        <w:rPr>
          <w:szCs w:val="25"/>
        </w:rPr>
        <w:t xml:space="preserve">, </w:t>
      </w:r>
      <w:r w:rsidRPr="00954FE3">
        <w:rPr>
          <w:szCs w:val="25"/>
        </w:rPr>
        <w:t>daily pilgrimage.</w:t>
      </w:r>
    </w:p>
    <w:p w14:paraId="410A16B0" w14:textId="77777777" w:rsidR="0018433B" w:rsidRPr="00954FE3" w:rsidRDefault="0018433B" w:rsidP="0018433B">
      <w:pPr>
        <w:pStyle w:val="Style"/>
        <w:widowControl/>
        <w:tabs>
          <w:tab w:val="left" w:pos="1080"/>
          <w:tab w:val="left" w:pos="1440"/>
          <w:tab w:val="left" w:pos="1800"/>
        </w:tabs>
        <w:ind w:left="1440" w:hanging="360"/>
        <w:jc w:val="both"/>
        <w:textAlignment w:val="baseline"/>
        <w:rPr>
          <w:szCs w:val="25"/>
        </w:rPr>
      </w:pPr>
      <w:r>
        <w:rPr>
          <w:szCs w:val="25"/>
        </w:rPr>
        <w:t>C.</w:t>
      </w:r>
      <w:r>
        <w:rPr>
          <w:szCs w:val="25"/>
        </w:rPr>
        <w:tab/>
      </w:r>
      <w:r w:rsidRPr="00954FE3">
        <w:rPr>
          <w:szCs w:val="25"/>
        </w:rPr>
        <w:t>39-49 are to especially zealous Christians.</w:t>
      </w:r>
    </w:p>
    <w:p w14:paraId="3B1524BF" w14:textId="26964B86" w:rsidR="0018433B" w:rsidRPr="00954FE3" w:rsidRDefault="0018433B" w:rsidP="0018433B">
      <w:pPr>
        <w:pStyle w:val="Style"/>
        <w:widowControl/>
        <w:tabs>
          <w:tab w:val="left" w:pos="1080"/>
          <w:tab w:val="left" w:pos="1440"/>
          <w:tab w:val="left" w:pos="1800"/>
        </w:tabs>
        <w:ind w:left="1080" w:hanging="360"/>
        <w:jc w:val="both"/>
        <w:textAlignment w:val="baseline"/>
        <w:rPr>
          <w:szCs w:val="25"/>
        </w:rPr>
      </w:pPr>
      <w:r>
        <w:rPr>
          <w:szCs w:val="25"/>
        </w:rPr>
        <w:t>(4)</w:t>
      </w:r>
      <w:r>
        <w:rPr>
          <w:szCs w:val="25"/>
        </w:rPr>
        <w:tab/>
      </w:r>
      <w:r w:rsidRPr="00954FE3">
        <w:rPr>
          <w:szCs w:val="25"/>
        </w:rPr>
        <w:t>27-38</w:t>
      </w:r>
      <w:r>
        <w:rPr>
          <w:szCs w:val="25"/>
        </w:rPr>
        <w:t xml:space="preserve"> </w:t>
      </w:r>
      <w:r w:rsidRPr="00954FE3">
        <w:rPr>
          <w:szCs w:val="25"/>
        </w:rPr>
        <w:t>treat</w:t>
      </w:r>
      <w:r>
        <w:rPr>
          <w:szCs w:val="25"/>
        </w:rPr>
        <w:t xml:space="preserve"> </w:t>
      </w:r>
      <w:r w:rsidRPr="00954FE3">
        <w:rPr>
          <w:szCs w:val="25"/>
        </w:rPr>
        <w:t>“love</w:t>
      </w:r>
      <w:r>
        <w:rPr>
          <w:szCs w:val="25"/>
        </w:rPr>
        <w:t xml:space="preserve"> </w:t>
      </w:r>
      <w:r w:rsidRPr="00954FE3">
        <w:rPr>
          <w:szCs w:val="25"/>
        </w:rPr>
        <w:t>of</w:t>
      </w:r>
      <w:r>
        <w:rPr>
          <w:szCs w:val="25"/>
        </w:rPr>
        <w:t xml:space="preserve"> </w:t>
      </w:r>
      <w:r w:rsidRPr="00954FE3">
        <w:rPr>
          <w:szCs w:val="25"/>
        </w:rPr>
        <w:t>neighbor”</w:t>
      </w:r>
      <w:r>
        <w:rPr>
          <w:szCs w:val="25"/>
        </w:rPr>
        <w:t xml:space="preserve"> </w:t>
      </w:r>
      <w:r w:rsidRPr="00954FE3">
        <w:rPr>
          <w:szCs w:val="25"/>
        </w:rPr>
        <w:t>positively</w:t>
      </w:r>
      <w:r w:rsidR="006F304D" w:rsidRPr="006F304D">
        <w:rPr>
          <w:szCs w:val="25"/>
        </w:rPr>
        <w:t xml:space="preserve">, </w:t>
      </w:r>
      <w:r w:rsidRPr="00954FE3">
        <w:rPr>
          <w:szCs w:val="25"/>
        </w:rPr>
        <w:t>while</w:t>
      </w:r>
      <w:r>
        <w:rPr>
          <w:szCs w:val="25"/>
        </w:rPr>
        <w:t xml:space="preserve"> </w:t>
      </w:r>
      <w:r w:rsidRPr="00954FE3">
        <w:rPr>
          <w:szCs w:val="25"/>
        </w:rPr>
        <w:t>39-45</w:t>
      </w:r>
      <w:r>
        <w:rPr>
          <w:szCs w:val="25"/>
        </w:rPr>
        <w:t xml:space="preserve"> </w:t>
      </w:r>
      <w:r w:rsidRPr="00954FE3">
        <w:rPr>
          <w:szCs w:val="25"/>
        </w:rPr>
        <w:t>treat</w:t>
      </w:r>
      <w:r>
        <w:rPr>
          <w:szCs w:val="25"/>
        </w:rPr>
        <w:t xml:space="preserve"> </w:t>
      </w:r>
      <w:r w:rsidRPr="00954FE3">
        <w:rPr>
          <w:szCs w:val="25"/>
        </w:rPr>
        <w:t>the</w:t>
      </w:r>
      <w:r>
        <w:rPr>
          <w:szCs w:val="25"/>
        </w:rPr>
        <w:t xml:space="preserve"> </w:t>
      </w:r>
      <w:r w:rsidRPr="00954FE3">
        <w:rPr>
          <w:szCs w:val="25"/>
        </w:rPr>
        <w:t>same</w:t>
      </w:r>
      <w:r>
        <w:rPr>
          <w:szCs w:val="25"/>
        </w:rPr>
        <w:t xml:space="preserve"> </w:t>
      </w:r>
      <w:r w:rsidRPr="00954FE3">
        <w:rPr>
          <w:szCs w:val="25"/>
        </w:rPr>
        <w:t>theme</w:t>
      </w:r>
      <w:r>
        <w:rPr>
          <w:szCs w:val="25"/>
        </w:rPr>
        <w:t xml:space="preserve"> </w:t>
      </w:r>
      <w:r w:rsidRPr="00954FE3">
        <w:rPr>
          <w:szCs w:val="25"/>
        </w:rPr>
        <w:t>negatively (Easton).</w:t>
      </w:r>
    </w:p>
    <w:p w14:paraId="352F7FD1" w14:textId="0E4FAA10" w:rsidR="0018433B" w:rsidRPr="00954FE3" w:rsidRDefault="0018433B" w:rsidP="0018433B">
      <w:pPr>
        <w:pStyle w:val="Style"/>
        <w:widowControl/>
        <w:tabs>
          <w:tab w:val="left" w:pos="1080"/>
          <w:tab w:val="left" w:pos="1440"/>
          <w:tab w:val="left" w:pos="1800"/>
        </w:tabs>
        <w:ind w:left="1080" w:hanging="360"/>
        <w:jc w:val="both"/>
        <w:textAlignment w:val="baseline"/>
        <w:rPr>
          <w:szCs w:val="25"/>
        </w:rPr>
      </w:pPr>
      <w:r>
        <w:rPr>
          <w:szCs w:val="25"/>
        </w:rPr>
        <w:t>(5)</w:t>
      </w:r>
      <w:r>
        <w:rPr>
          <w:szCs w:val="25"/>
        </w:rPr>
        <w:tab/>
      </w:r>
      <w:r w:rsidRPr="00954FE3">
        <w:rPr>
          <w:szCs w:val="25"/>
        </w:rPr>
        <w:t>27-38</w:t>
      </w:r>
      <w:r>
        <w:rPr>
          <w:szCs w:val="25"/>
        </w:rPr>
        <w:t xml:space="preserve"> </w:t>
      </w:r>
      <w:r w:rsidRPr="00954FE3">
        <w:rPr>
          <w:szCs w:val="25"/>
        </w:rPr>
        <w:t>are</w:t>
      </w:r>
      <w:r>
        <w:rPr>
          <w:szCs w:val="25"/>
        </w:rPr>
        <w:t xml:space="preserve"> </w:t>
      </w:r>
      <w:r w:rsidRPr="00954FE3">
        <w:rPr>
          <w:szCs w:val="25"/>
        </w:rPr>
        <w:t>on</w:t>
      </w:r>
      <w:r>
        <w:rPr>
          <w:szCs w:val="25"/>
        </w:rPr>
        <w:t xml:space="preserve"> </w:t>
      </w:r>
      <w:r w:rsidRPr="00954FE3">
        <w:rPr>
          <w:szCs w:val="25"/>
        </w:rPr>
        <w:t>Jesus’</w:t>
      </w:r>
      <w:r>
        <w:rPr>
          <w:szCs w:val="25"/>
        </w:rPr>
        <w:t xml:space="preserve"> </w:t>
      </w:r>
      <w:r w:rsidRPr="00954FE3">
        <w:rPr>
          <w:szCs w:val="25"/>
        </w:rPr>
        <w:t>message</w:t>
      </w:r>
      <w:r>
        <w:rPr>
          <w:szCs w:val="25"/>
        </w:rPr>
        <w:t xml:space="preserve"> </w:t>
      </w:r>
      <w:r w:rsidRPr="00954FE3">
        <w:rPr>
          <w:szCs w:val="25"/>
        </w:rPr>
        <w:t>of</w:t>
      </w:r>
      <w:r>
        <w:rPr>
          <w:szCs w:val="25"/>
        </w:rPr>
        <w:t xml:space="preserve"> </w:t>
      </w:r>
      <w:r w:rsidRPr="00954FE3">
        <w:rPr>
          <w:szCs w:val="25"/>
        </w:rPr>
        <w:t>love</w:t>
      </w:r>
      <w:r w:rsidR="006F304D" w:rsidRPr="006F304D">
        <w:rPr>
          <w:szCs w:val="25"/>
        </w:rPr>
        <w:t xml:space="preserve">, </w:t>
      </w:r>
      <w:r w:rsidRPr="00954FE3">
        <w:rPr>
          <w:szCs w:val="25"/>
        </w:rPr>
        <w:t>while</w:t>
      </w:r>
      <w:r>
        <w:rPr>
          <w:szCs w:val="25"/>
        </w:rPr>
        <w:t xml:space="preserve"> </w:t>
      </w:r>
      <w:r w:rsidRPr="00954FE3">
        <w:rPr>
          <w:szCs w:val="25"/>
        </w:rPr>
        <w:t>39-45</w:t>
      </w:r>
      <w:r>
        <w:rPr>
          <w:szCs w:val="25"/>
        </w:rPr>
        <w:t xml:space="preserve"> </w:t>
      </w:r>
      <w:r w:rsidRPr="00954FE3">
        <w:rPr>
          <w:szCs w:val="25"/>
        </w:rPr>
        <w:t>are</w:t>
      </w:r>
      <w:r>
        <w:rPr>
          <w:szCs w:val="25"/>
        </w:rPr>
        <w:t xml:space="preserve"> </w:t>
      </w:r>
      <w:r w:rsidRPr="00954FE3">
        <w:rPr>
          <w:szCs w:val="25"/>
        </w:rPr>
        <w:t>on</w:t>
      </w:r>
      <w:r>
        <w:rPr>
          <w:szCs w:val="25"/>
        </w:rPr>
        <w:t xml:space="preserve"> </w:t>
      </w:r>
      <w:r w:rsidRPr="00954FE3">
        <w:rPr>
          <w:szCs w:val="25"/>
        </w:rPr>
        <w:t>false</w:t>
      </w:r>
      <w:r>
        <w:rPr>
          <w:szCs w:val="25"/>
        </w:rPr>
        <w:t xml:space="preserve"> </w:t>
      </w:r>
      <w:r w:rsidRPr="00954FE3">
        <w:rPr>
          <w:szCs w:val="25"/>
        </w:rPr>
        <w:t>Christian</w:t>
      </w:r>
      <w:r>
        <w:rPr>
          <w:szCs w:val="25"/>
        </w:rPr>
        <w:t xml:space="preserve"> </w:t>
      </w:r>
      <w:r w:rsidRPr="00954FE3">
        <w:rPr>
          <w:szCs w:val="25"/>
        </w:rPr>
        <w:t>teach</w:t>
      </w:r>
      <w:r>
        <w:rPr>
          <w:szCs w:val="25"/>
        </w:rPr>
        <w:t>ers (Schürmann)</w:t>
      </w:r>
      <w:r w:rsidRPr="00954FE3">
        <w:rPr>
          <w:szCs w:val="25"/>
        </w:rPr>
        <w:t>.</w:t>
      </w:r>
    </w:p>
    <w:p w14:paraId="7A4732E3" w14:textId="77777777" w:rsidR="0018433B" w:rsidRDefault="0018433B" w:rsidP="0018433B">
      <w:pPr>
        <w:pStyle w:val="Style"/>
        <w:widowControl/>
        <w:jc w:val="both"/>
        <w:textAlignment w:val="baseline"/>
        <w:rPr>
          <w:szCs w:val="25"/>
        </w:rPr>
      </w:pPr>
    </w:p>
    <w:p w14:paraId="187836FD" w14:textId="34FDB7A2" w:rsidR="0018433B" w:rsidRPr="00954FE3" w:rsidRDefault="0018433B" w:rsidP="0018433B">
      <w:pPr>
        <w:pStyle w:val="Style"/>
        <w:widowControl/>
        <w:jc w:val="both"/>
        <w:textAlignment w:val="baseline"/>
        <w:rPr>
          <w:szCs w:val="25"/>
        </w:rPr>
      </w:pPr>
      <w:r w:rsidRPr="00954FE3">
        <w:rPr>
          <w:szCs w:val="25"/>
        </w:rPr>
        <w:t>To assess the cogency of these arguments</w:t>
      </w:r>
      <w:r w:rsidR="006F304D" w:rsidRPr="006F304D">
        <w:rPr>
          <w:szCs w:val="25"/>
        </w:rPr>
        <w:t xml:space="preserve">, </w:t>
      </w:r>
      <w:r w:rsidRPr="00954FE3">
        <w:rPr>
          <w:szCs w:val="25"/>
        </w:rPr>
        <w:t>let us consider each in tum.</w:t>
      </w:r>
    </w:p>
    <w:p w14:paraId="56E23996" w14:textId="58E871B5" w:rsidR="0018433B" w:rsidRPr="00954FE3" w:rsidRDefault="0018433B" w:rsidP="0018433B">
      <w:pPr>
        <w:pStyle w:val="Style"/>
        <w:widowControl/>
        <w:jc w:val="both"/>
        <w:textAlignment w:val="baseline"/>
        <w:rPr>
          <w:szCs w:val="25"/>
        </w:rPr>
      </w:pPr>
      <w:r>
        <w:rPr>
          <w:szCs w:val="25"/>
        </w:rPr>
        <w:tab/>
      </w:r>
      <w:r w:rsidRPr="00954FE3">
        <w:rPr>
          <w:szCs w:val="25"/>
        </w:rPr>
        <w:t>(1) The idea that</w:t>
      </w:r>
      <w:r>
        <w:rPr>
          <w:szCs w:val="25"/>
        </w:rPr>
        <w:t xml:space="preserve"> </w:t>
      </w:r>
      <w:r>
        <w:rPr>
          <w:bCs/>
          <w:szCs w:val="22"/>
          <w:lang w:val="el-GR"/>
        </w:rPr>
        <w:t>Εἶπεν δὲ καὶ παραβολὴν αὐτοῖς</w:t>
      </w:r>
      <w:r w:rsidRPr="00954FE3">
        <w:rPr>
          <w:szCs w:val="25"/>
        </w:rPr>
        <w:t xml:space="preserve"> </w:t>
      </w:r>
      <w:r>
        <w:rPr>
          <w:szCs w:val="25"/>
        </w:rPr>
        <w:t>(39a)</w:t>
      </w:r>
      <w:r w:rsidRPr="00954FE3">
        <w:rPr>
          <w:szCs w:val="25"/>
        </w:rPr>
        <w:t xml:space="preserve"> indicates a major break has already been shown to be untenable.</w:t>
      </w:r>
      <w:r>
        <w:rPr>
          <w:szCs w:val="25"/>
        </w:rPr>
        <w:t xml:space="preserve"> </w:t>
      </w:r>
      <w:r w:rsidRPr="00954FE3">
        <w:rPr>
          <w:szCs w:val="25"/>
        </w:rPr>
        <w:t>The i</w:t>
      </w:r>
      <w:r>
        <w:rPr>
          <w:szCs w:val="25"/>
        </w:rPr>
        <w:t>dea that 20a</w:t>
      </w:r>
      <w:r w:rsidR="006F304D" w:rsidRPr="006F304D">
        <w:rPr>
          <w:szCs w:val="25"/>
        </w:rPr>
        <w:t xml:space="preserve">, </w:t>
      </w:r>
      <w:r>
        <w:rPr>
          <w:szCs w:val="25"/>
        </w:rPr>
        <w:t>27a</w:t>
      </w:r>
      <w:r w:rsidR="006F304D" w:rsidRPr="006F304D">
        <w:rPr>
          <w:szCs w:val="25"/>
        </w:rPr>
        <w:t xml:space="preserve">, </w:t>
      </w:r>
      <w:r>
        <w:rPr>
          <w:szCs w:val="25"/>
        </w:rPr>
        <w:t>and 39a are “</w:t>
      </w:r>
      <w:r w:rsidRPr="00954FE3">
        <w:rPr>
          <w:szCs w:val="25"/>
        </w:rPr>
        <w:t>formulae of introduction</w:t>
      </w:r>
      <w:r>
        <w:rPr>
          <w:szCs w:val="25"/>
        </w:rPr>
        <w:t>”</w:t>
      </w:r>
      <w:r>
        <w:rPr>
          <w:rStyle w:val="FootnoteReference"/>
          <w:szCs w:val="25"/>
        </w:rPr>
        <w:footnoteReference w:id="602"/>
      </w:r>
      <w:r>
        <w:rPr>
          <w:szCs w:val="25"/>
        </w:rPr>
        <w:t xml:space="preserve"> </w:t>
      </w:r>
      <w:r w:rsidRPr="00954FE3">
        <w:rPr>
          <w:szCs w:val="25"/>
        </w:rPr>
        <w:t>was treated in relation to the application of numerical principles to the sermon.</w:t>
      </w:r>
      <w:r>
        <w:rPr>
          <w:rStyle w:val="FootnoteReference"/>
          <w:szCs w:val="25"/>
        </w:rPr>
        <w:footnoteReference w:id="603"/>
      </w:r>
      <w:r w:rsidRPr="00954FE3">
        <w:rPr>
          <w:szCs w:val="25"/>
        </w:rPr>
        <w:t xml:space="preserve"> Also treated there were related arguments: that the sections are built upon units of four</w:t>
      </w:r>
      <w:r w:rsidR="006F304D" w:rsidRPr="006F304D">
        <w:rPr>
          <w:szCs w:val="25"/>
        </w:rPr>
        <w:t xml:space="preserve">, </w:t>
      </w:r>
      <w:r w:rsidRPr="00954FE3">
        <w:rPr>
          <w:szCs w:val="25"/>
        </w:rPr>
        <w:t>or that the singular “parable” in 39a really means the plural “parables</w:t>
      </w:r>
      <w:r>
        <w:rPr>
          <w:szCs w:val="25"/>
        </w:rPr>
        <w:t>.”</w:t>
      </w:r>
      <w:r>
        <w:rPr>
          <w:rStyle w:val="FootnoteReference"/>
          <w:szCs w:val="25"/>
        </w:rPr>
        <w:footnoteReference w:id="604"/>
      </w:r>
      <w:r w:rsidRPr="00954FE3">
        <w:rPr>
          <w:szCs w:val="25"/>
        </w:rPr>
        <w:t xml:space="preserve"> None of these arguments maintained itself when subjected to scrutiny.</w:t>
      </w:r>
    </w:p>
    <w:p w14:paraId="3FC819BE" w14:textId="16FFA091" w:rsidR="0018433B" w:rsidRPr="00E622DB" w:rsidRDefault="0018433B" w:rsidP="0018433B">
      <w:pPr>
        <w:pStyle w:val="Style"/>
        <w:widowControl/>
        <w:jc w:val="both"/>
        <w:textAlignment w:val="baseline"/>
        <w:rPr>
          <w:szCs w:val="25"/>
        </w:rPr>
      </w:pPr>
      <w:r>
        <w:rPr>
          <w:szCs w:val="25"/>
        </w:rPr>
        <w:tab/>
      </w:r>
      <w:r w:rsidRPr="00954FE3">
        <w:rPr>
          <w:szCs w:val="25"/>
        </w:rPr>
        <w:t xml:space="preserve">(2) </w:t>
      </w:r>
      <w:proofErr w:type="spellStart"/>
      <w:r w:rsidRPr="00954FE3">
        <w:rPr>
          <w:szCs w:val="25"/>
        </w:rPr>
        <w:t>Heinrici’s</w:t>
      </w:r>
      <w:proofErr w:type="spellEnd"/>
      <w:r w:rsidRPr="00954FE3">
        <w:rPr>
          <w:szCs w:val="25"/>
        </w:rPr>
        <w:t xml:space="preserve"> proposal</w:t>
      </w:r>
      <w:r w:rsidR="006F304D" w:rsidRPr="006F304D">
        <w:rPr>
          <w:szCs w:val="25"/>
        </w:rPr>
        <w:t xml:space="preserve">, </w:t>
      </w:r>
      <w:r w:rsidRPr="00954FE3">
        <w:rPr>
          <w:szCs w:val="25"/>
        </w:rPr>
        <w:t>that the major sections of the sermon are dis</w:t>
      </w:r>
      <w:r w:rsidRPr="00954FE3">
        <w:rPr>
          <w:szCs w:val="25"/>
        </w:rPr>
        <w:softHyphen/>
        <w:t>tinguishable on the basis of their literary genres</w:t>
      </w:r>
      <w:r w:rsidR="006F304D" w:rsidRPr="006F304D">
        <w:rPr>
          <w:szCs w:val="25"/>
        </w:rPr>
        <w:t xml:space="preserve">, </w:t>
      </w:r>
      <w:r w:rsidRPr="00954FE3">
        <w:rPr>
          <w:szCs w:val="25"/>
        </w:rPr>
        <w:t xml:space="preserve">is also unlikely. Perhaps </w:t>
      </w:r>
      <w:proofErr w:type="spellStart"/>
      <w:r w:rsidRPr="00954FE3">
        <w:rPr>
          <w:szCs w:val="25"/>
        </w:rPr>
        <w:t>Heinrici</w:t>
      </w:r>
      <w:proofErr w:type="spellEnd"/>
      <w:r w:rsidRPr="00954FE3">
        <w:rPr>
          <w:szCs w:val="25"/>
        </w:rPr>
        <w:t xml:space="preserve"> considers the beatitudes and woes to be “prophetic” because they contain </w:t>
      </w:r>
      <w:proofErr w:type="spellStart"/>
      <w:r w:rsidRPr="00954FE3">
        <w:rPr>
          <w:szCs w:val="25"/>
        </w:rPr>
        <w:t>makarisms</w:t>
      </w:r>
      <w:proofErr w:type="spellEnd"/>
      <w:r>
        <w:rPr>
          <w:szCs w:val="25"/>
        </w:rPr>
        <w:t xml:space="preserve"> (beatitudes)</w:t>
      </w:r>
      <w:r w:rsidRPr="00954FE3">
        <w:rPr>
          <w:szCs w:val="25"/>
        </w:rPr>
        <w:t xml:space="preserve">; yet of the twenty-five </w:t>
      </w:r>
      <w:proofErr w:type="spellStart"/>
      <w:r w:rsidRPr="00954FE3">
        <w:rPr>
          <w:szCs w:val="25"/>
        </w:rPr>
        <w:t>makarisms</w:t>
      </w:r>
      <w:proofErr w:type="spellEnd"/>
      <w:r w:rsidRPr="00954FE3">
        <w:rPr>
          <w:szCs w:val="25"/>
        </w:rPr>
        <w:t xml:space="preserve"> in the Old Testament</w:t>
      </w:r>
      <w:r w:rsidR="006F304D" w:rsidRPr="006F304D">
        <w:rPr>
          <w:szCs w:val="25"/>
        </w:rPr>
        <w:t xml:space="preserve">, </w:t>
      </w:r>
      <w:r w:rsidRPr="00954FE3">
        <w:rPr>
          <w:szCs w:val="25"/>
        </w:rPr>
        <w:t>twenty-one are in wisdom literature</w:t>
      </w:r>
      <w:r w:rsidR="006F304D" w:rsidRPr="006F304D">
        <w:rPr>
          <w:szCs w:val="25"/>
        </w:rPr>
        <w:t xml:space="preserve">, </w:t>
      </w:r>
      <w:r w:rsidRPr="00954FE3">
        <w:rPr>
          <w:szCs w:val="25"/>
        </w:rPr>
        <w:t>and only four are in the prophetic books.</w:t>
      </w:r>
      <w:r>
        <w:rPr>
          <w:rStyle w:val="FootnoteReference"/>
          <w:szCs w:val="25"/>
        </w:rPr>
        <w:footnoteReference w:id="605"/>
      </w:r>
      <w:r>
        <w:rPr>
          <w:szCs w:val="25"/>
        </w:rPr>
        <w:t xml:space="preserve"> </w:t>
      </w:r>
      <w:r w:rsidRPr="00954FE3">
        <w:rPr>
          <w:szCs w:val="25"/>
        </w:rPr>
        <w:t>Or perhaps he considers them prophetic because the kingdom</w:t>
      </w:r>
      <w:r>
        <w:rPr>
          <w:szCs w:val="25"/>
        </w:rPr>
        <w:t xml:space="preserve"> (</w:t>
      </w:r>
      <w:r w:rsidRPr="00954FE3">
        <w:rPr>
          <w:szCs w:val="25"/>
        </w:rPr>
        <w:t>which is only mentioned in the</w:t>
      </w:r>
      <w:r>
        <w:rPr>
          <w:szCs w:val="25"/>
        </w:rPr>
        <w:t xml:space="preserve"> </w:t>
      </w:r>
      <w:r w:rsidRPr="00954FE3">
        <w:rPr>
          <w:szCs w:val="25"/>
        </w:rPr>
        <w:t>sermon in 20c</w:t>
      </w:r>
      <w:r w:rsidR="006F304D" w:rsidRPr="006F304D">
        <w:rPr>
          <w:szCs w:val="25"/>
        </w:rPr>
        <w:t xml:space="preserve">, </w:t>
      </w:r>
      <w:r>
        <w:rPr>
          <w:szCs w:val="25"/>
        </w:rPr>
        <w:t>“</w:t>
      </w:r>
      <w:r w:rsidRPr="00CD75A6">
        <w:t xml:space="preserve">for yours </w:t>
      </w:r>
      <w:r>
        <w:t xml:space="preserve">[the poor] </w:t>
      </w:r>
      <w:r w:rsidRPr="00CD75A6">
        <w:t>is the kingdom of God</w:t>
      </w:r>
      <w:r>
        <w:rPr>
          <w:szCs w:val="25"/>
        </w:rPr>
        <w:t>”)</w:t>
      </w:r>
      <w:r w:rsidR="006F304D" w:rsidRPr="006F304D">
        <w:rPr>
          <w:szCs w:val="25"/>
        </w:rPr>
        <w:t xml:space="preserve">, </w:t>
      </w:r>
      <w:r>
        <w:rPr>
          <w:szCs w:val="25"/>
        </w:rPr>
        <w:t>though present tense</w:t>
      </w:r>
      <w:r w:rsidR="006F304D" w:rsidRPr="006F304D">
        <w:rPr>
          <w:szCs w:val="25"/>
        </w:rPr>
        <w:t xml:space="preserve">, </w:t>
      </w:r>
      <w:r>
        <w:rPr>
          <w:szCs w:val="25"/>
        </w:rPr>
        <w:t xml:space="preserve">has a </w:t>
      </w:r>
      <w:r w:rsidRPr="00954FE3">
        <w:rPr>
          <w:szCs w:val="25"/>
        </w:rPr>
        <w:t>future</w:t>
      </w:r>
      <w:r>
        <w:rPr>
          <w:szCs w:val="25"/>
        </w:rPr>
        <w:t xml:space="preserve"> reference</w:t>
      </w:r>
      <w:r w:rsidRPr="00954FE3">
        <w:rPr>
          <w:szCs w:val="25"/>
        </w:rPr>
        <w:t>; but that is debata</w:t>
      </w:r>
      <w:r>
        <w:rPr>
          <w:szCs w:val="25"/>
        </w:rPr>
        <w:t>ble.</w:t>
      </w:r>
      <w:r>
        <w:rPr>
          <w:rStyle w:val="FootnoteReference"/>
          <w:szCs w:val="25"/>
        </w:rPr>
        <w:footnoteReference w:id="606"/>
      </w:r>
      <w:r>
        <w:rPr>
          <w:szCs w:val="25"/>
        </w:rPr>
        <w:t xml:space="preserve"> Describing 27-38 as “</w:t>
      </w:r>
      <w:r w:rsidRPr="00954FE3">
        <w:rPr>
          <w:szCs w:val="25"/>
        </w:rPr>
        <w:t>hortatory”</w:t>
      </w:r>
      <w:r>
        <w:rPr>
          <w:szCs w:val="25"/>
        </w:rPr>
        <w:t xml:space="preserve"> </w:t>
      </w:r>
      <w:r w:rsidRPr="00954FE3">
        <w:rPr>
          <w:szCs w:val="25"/>
        </w:rPr>
        <w:t xml:space="preserve">or </w:t>
      </w:r>
      <w:r>
        <w:rPr>
          <w:szCs w:val="25"/>
        </w:rPr>
        <w:t>“</w:t>
      </w:r>
      <w:r w:rsidRPr="00954FE3">
        <w:rPr>
          <w:szCs w:val="25"/>
        </w:rPr>
        <w:t xml:space="preserve">paraenetic” is </w:t>
      </w:r>
      <w:r w:rsidRPr="00954FE3">
        <w:rPr>
          <w:szCs w:val="25"/>
        </w:rPr>
        <w:lastRenderedPageBreak/>
        <w:t>certainly apt</w:t>
      </w:r>
      <w:r w:rsidR="006F304D" w:rsidRPr="006F304D">
        <w:rPr>
          <w:szCs w:val="25"/>
        </w:rPr>
        <w:t xml:space="preserve">, </w:t>
      </w:r>
      <w:r w:rsidRPr="00954FE3">
        <w:rPr>
          <w:szCs w:val="25"/>
        </w:rPr>
        <w:t>but the remaining passages seem no less hortatory.</w:t>
      </w:r>
      <w:r>
        <w:rPr>
          <w:rStyle w:val="FootnoteReference"/>
          <w:szCs w:val="25"/>
        </w:rPr>
        <w:footnoteReference w:id="607"/>
      </w:r>
      <w:r>
        <w:rPr>
          <w:szCs w:val="25"/>
        </w:rPr>
        <w:t xml:space="preserve"> </w:t>
      </w:r>
      <w:r w:rsidRPr="00954FE3">
        <w:rPr>
          <w:szCs w:val="25"/>
        </w:rPr>
        <w:t>Finally</w:t>
      </w:r>
      <w:r w:rsidR="006F304D" w:rsidRPr="006F304D">
        <w:rPr>
          <w:szCs w:val="25"/>
        </w:rPr>
        <w:t xml:space="preserve">, </w:t>
      </w:r>
      <w:r w:rsidRPr="00954FE3">
        <w:rPr>
          <w:szCs w:val="25"/>
        </w:rPr>
        <w:t>to describe the final section</w:t>
      </w:r>
      <w:r w:rsidR="006F304D" w:rsidRPr="006F304D">
        <w:rPr>
          <w:szCs w:val="25"/>
        </w:rPr>
        <w:t xml:space="preserve">, </w:t>
      </w:r>
      <w:r w:rsidRPr="00954FE3">
        <w:rPr>
          <w:szCs w:val="25"/>
        </w:rPr>
        <w:t>39-49</w:t>
      </w:r>
      <w:r w:rsidR="006F304D" w:rsidRPr="006F304D">
        <w:rPr>
          <w:szCs w:val="25"/>
        </w:rPr>
        <w:t xml:space="preserve">, </w:t>
      </w:r>
      <w:r w:rsidRPr="00954FE3">
        <w:rPr>
          <w:szCs w:val="25"/>
        </w:rPr>
        <w:t>as “parabolic” raises questions: verse 40 is literal</w:t>
      </w:r>
      <w:r w:rsidR="006F304D" w:rsidRPr="006F304D">
        <w:rPr>
          <w:szCs w:val="25"/>
        </w:rPr>
        <w:t xml:space="preserve">, </w:t>
      </w:r>
      <w:r w:rsidRPr="00954FE3">
        <w:rPr>
          <w:szCs w:val="25"/>
        </w:rPr>
        <w:t>not figurative; 39bc</w:t>
      </w:r>
      <w:r w:rsidR="006F304D" w:rsidRPr="006F304D">
        <w:rPr>
          <w:szCs w:val="25"/>
        </w:rPr>
        <w:t xml:space="preserve">, </w:t>
      </w:r>
      <w:r w:rsidRPr="00954FE3">
        <w:rPr>
          <w:szCs w:val="25"/>
        </w:rPr>
        <w:t>43-44</w:t>
      </w:r>
      <w:r w:rsidR="006F304D" w:rsidRPr="006F304D">
        <w:rPr>
          <w:szCs w:val="25"/>
        </w:rPr>
        <w:t xml:space="preserve">, </w:t>
      </w:r>
      <w:r w:rsidRPr="00954FE3">
        <w:rPr>
          <w:szCs w:val="25"/>
        </w:rPr>
        <w:t>and</w:t>
      </w:r>
      <w:r>
        <w:rPr>
          <w:szCs w:val="25"/>
        </w:rPr>
        <w:t xml:space="preserve"> 45 are not parables</w:t>
      </w:r>
      <w:r w:rsidR="006F304D" w:rsidRPr="006F304D">
        <w:rPr>
          <w:szCs w:val="25"/>
        </w:rPr>
        <w:t xml:space="preserve">, </w:t>
      </w:r>
      <w:r>
        <w:rPr>
          <w:szCs w:val="25"/>
        </w:rPr>
        <w:t>but simil</w:t>
      </w:r>
      <w:r w:rsidRPr="00954FE3">
        <w:rPr>
          <w:szCs w:val="25"/>
        </w:rPr>
        <w:t xml:space="preserve">es; and if </w:t>
      </w:r>
      <w:r>
        <w:rPr>
          <w:szCs w:val="25"/>
        </w:rPr>
        <w:t>“</w:t>
      </w:r>
      <w:r w:rsidRPr="00954FE3">
        <w:rPr>
          <w:szCs w:val="25"/>
        </w:rPr>
        <w:t>parable” be broadened to include these verses as well</w:t>
      </w:r>
      <w:r w:rsidR="006F304D" w:rsidRPr="006F304D">
        <w:rPr>
          <w:szCs w:val="25"/>
        </w:rPr>
        <w:t xml:space="preserve">, </w:t>
      </w:r>
      <w:r w:rsidRPr="00954FE3">
        <w:rPr>
          <w:szCs w:val="25"/>
        </w:rPr>
        <w:t>then so should the sayings in 29 be included (</w:t>
      </w:r>
      <w:r>
        <w:rPr>
          <w:szCs w:val="25"/>
        </w:rPr>
        <w:t>“</w:t>
      </w:r>
      <w:r w:rsidRPr="00954FE3">
        <w:rPr>
          <w:szCs w:val="25"/>
        </w:rPr>
        <w:t>To him who strikes you on the cheek</w:t>
      </w:r>
      <w:r w:rsidR="006F304D" w:rsidRPr="006F304D">
        <w:rPr>
          <w:szCs w:val="25"/>
        </w:rPr>
        <w:t xml:space="preserve">, </w:t>
      </w:r>
      <w:r w:rsidRPr="00954FE3">
        <w:rPr>
          <w:szCs w:val="25"/>
        </w:rPr>
        <w:t>offer the other also”; “from him who takes away your coat do not withhold even your shirt”). I do not think it likely</w:t>
      </w:r>
      <w:r w:rsidR="006F304D" w:rsidRPr="006F304D">
        <w:rPr>
          <w:szCs w:val="25"/>
        </w:rPr>
        <w:t xml:space="preserve">, </w:t>
      </w:r>
      <w:r w:rsidRPr="00954FE3">
        <w:rPr>
          <w:szCs w:val="25"/>
        </w:rPr>
        <w:t>in other words</w:t>
      </w:r>
      <w:r w:rsidR="006F304D" w:rsidRPr="006F304D">
        <w:rPr>
          <w:szCs w:val="25"/>
        </w:rPr>
        <w:t xml:space="preserve">, </w:t>
      </w:r>
      <w:r w:rsidRPr="00954FE3">
        <w:rPr>
          <w:szCs w:val="25"/>
        </w:rPr>
        <w:t>that Luke tried to keep “parables” (</w:t>
      </w:r>
      <w:r>
        <w:rPr>
          <w:szCs w:val="25"/>
        </w:rPr>
        <w:t xml:space="preserve">or </w:t>
      </w:r>
      <w:r w:rsidRPr="00954FE3">
        <w:rPr>
          <w:szCs w:val="25"/>
        </w:rPr>
        <w:t>figurative language) out of 20-38</w:t>
      </w:r>
      <w:r w:rsidR="006F304D" w:rsidRPr="006F304D">
        <w:rPr>
          <w:szCs w:val="25"/>
        </w:rPr>
        <w:t xml:space="preserve">, </w:t>
      </w:r>
      <w:r w:rsidRPr="00954FE3">
        <w:rPr>
          <w:szCs w:val="25"/>
        </w:rPr>
        <w:t>or tried to restrict 39-49 to them. Dupont’s comment sum</w:t>
      </w:r>
      <w:r>
        <w:rPr>
          <w:szCs w:val="25"/>
        </w:rPr>
        <w:t>s up</w:t>
      </w:r>
      <w:r w:rsidRPr="00954FE3">
        <w:rPr>
          <w:szCs w:val="25"/>
        </w:rPr>
        <w:t xml:space="preserve"> the matter well: “it is improbable that Luke attached much impor</w:t>
      </w:r>
      <w:r w:rsidRPr="00954FE3">
        <w:rPr>
          <w:szCs w:val="25"/>
        </w:rPr>
        <w:softHyphen/>
        <w:t>tance to the various types of literature that entered into his composition.</w:t>
      </w:r>
      <w:r>
        <w:rPr>
          <w:szCs w:val="25"/>
        </w:rPr>
        <w:t>”</w:t>
      </w:r>
      <w:r>
        <w:rPr>
          <w:rStyle w:val="FootnoteReference"/>
          <w:szCs w:val="25"/>
        </w:rPr>
        <w:footnoteReference w:id="608"/>
      </w:r>
    </w:p>
    <w:p w14:paraId="7A90573A" w14:textId="5A2D4AD8" w:rsidR="0018433B" w:rsidRPr="00954FE3" w:rsidRDefault="0018433B" w:rsidP="0018433B">
      <w:pPr>
        <w:pStyle w:val="Style"/>
        <w:widowControl/>
        <w:jc w:val="both"/>
        <w:textAlignment w:val="baseline"/>
        <w:rPr>
          <w:szCs w:val="25"/>
        </w:rPr>
      </w:pPr>
      <w:r>
        <w:rPr>
          <w:szCs w:val="25"/>
        </w:rPr>
        <w:tab/>
      </w:r>
      <w:r w:rsidRPr="00954FE3">
        <w:rPr>
          <w:szCs w:val="25"/>
        </w:rPr>
        <w:t>(3) Another reason for proposing a major break between verses 38 and 39 is the belief that in 20b-38 Jesus is giving instructions for all men</w:t>
      </w:r>
      <w:r w:rsidR="006F304D" w:rsidRPr="006F304D">
        <w:rPr>
          <w:szCs w:val="25"/>
        </w:rPr>
        <w:t xml:space="preserve">, </w:t>
      </w:r>
      <w:r w:rsidRPr="00954FE3">
        <w:rPr>
          <w:szCs w:val="25"/>
        </w:rPr>
        <w:t>whereas in 39-49 he is giving instructions for a restricted group. Grundmann</w:t>
      </w:r>
      <w:r w:rsidR="006F304D" w:rsidRPr="006F304D">
        <w:rPr>
          <w:szCs w:val="25"/>
        </w:rPr>
        <w:t xml:space="preserve">, </w:t>
      </w:r>
      <w:proofErr w:type="spellStart"/>
      <w:r w:rsidRPr="00954FE3">
        <w:rPr>
          <w:szCs w:val="25"/>
        </w:rPr>
        <w:t>Dillersberger</w:t>
      </w:r>
      <w:proofErr w:type="spellEnd"/>
      <w:r w:rsidR="006F304D" w:rsidRPr="006F304D">
        <w:rPr>
          <w:szCs w:val="25"/>
        </w:rPr>
        <w:t xml:space="preserve">, </w:t>
      </w:r>
      <w:r w:rsidRPr="00954FE3">
        <w:rPr>
          <w:szCs w:val="25"/>
        </w:rPr>
        <w:t>and</w:t>
      </w:r>
      <w:r>
        <w:rPr>
          <w:szCs w:val="25"/>
        </w:rPr>
        <w:t xml:space="preserve"> </w:t>
      </w:r>
      <w:r w:rsidRPr="00954FE3">
        <w:rPr>
          <w:szCs w:val="25"/>
        </w:rPr>
        <w:t>Rengstorf see 39-49 as addressed only to Christian l</w:t>
      </w:r>
      <w:r>
        <w:rPr>
          <w:szCs w:val="25"/>
        </w:rPr>
        <w:t>eaders. They thus face the prob</w:t>
      </w:r>
      <w:r w:rsidRPr="00954FE3">
        <w:rPr>
          <w:szCs w:val="25"/>
        </w:rPr>
        <w:t>lem of demonstrating that there has been a change of addressees at verse 39. Cer</w:t>
      </w:r>
      <w:r w:rsidRPr="00954FE3">
        <w:rPr>
          <w:szCs w:val="25"/>
        </w:rPr>
        <w:softHyphen/>
        <w:t xml:space="preserve">tainly 39a itself says nothing about a change of addressees: </w:t>
      </w:r>
      <w:r w:rsidRPr="00CE06CA">
        <w:rPr>
          <w:bCs/>
          <w:szCs w:val="22"/>
          <w:lang w:val="el-GR"/>
        </w:rPr>
        <w:t>αὐτοῖς</w:t>
      </w:r>
      <w:r w:rsidRPr="00954FE3">
        <w:rPr>
          <w:szCs w:val="25"/>
        </w:rPr>
        <w:t xml:space="preserve"> in </w:t>
      </w:r>
      <w:r>
        <w:rPr>
          <w:szCs w:val="25"/>
        </w:rPr>
        <w:t>“</w:t>
      </w:r>
      <w:r w:rsidRPr="00954FE3">
        <w:rPr>
          <w:szCs w:val="25"/>
        </w:rPr>
        <w:t xml:space="preserve">He also told </w:t>
      </w:r>
      <w:r w:rsidRPr="00954FE3">
        <w:rPr>
          <w:i/>
          <w:iCs/>
          <w:szCs w:val="25"/>
        </w:rPr>
        <w:t>them</w:t>
      </w:r>
      <w:r w:rsidRPr="00767692">
        <w:rPr>
          <w:iCs/>
          <w:szCs w:val="25"/>
        </w:rPr>
        <w:t xml:space="preserve"> </w:t>
      </w:r>
      <w:r w:rsidRPr="00954FE3">
        <w:rPr>
          <w:szCs w:val="25"/>
        </w:rPr>
        <w:t xml:space="preserve">a parable” assumes as antecedent those who have just been addressed. </w:t>
      </w:r>
      <w:r w:rsidRPr="00767692">
        <w:rPr>
          <w:iCs/>
          <w:szCs w:val="25"/>
        </w:rPr>
        <w:t xml:space="preserve">As </w:t>
      </w:r>
      <w:r w:rsidRPr="00767692">
        <w:rPr>
          <w:szCs w:val="25"/>
        </w:rPr>
        <w:t>we</w:t>
      </w:r>
      <w:r w:rsidRPr="00954FE3">
        <w:rPr>
          <w:szCs w:val="25"/>
        </w:rPr>
        <w:t xml:space="preserve"> </w:t>
      </w:r>
      <w:r>
        <w:rPr>
          <w:szCs w:val="25"/>
        </w:rPr>
        <w:t>establish</w:t>
      </w:r>
      <w:r w:rsidRPr="00954FE3">
        <w:rPr>
          <w:szCs w:val="25"/>
        </w:rPr>
        <w:t xml:space="preserve"> in Appendix 2</w:t>
      </w:r>
      <w:r w:rsidR="006F304D" w:rsidRPr="006F304D">
        <w:rPr>
          <w:szCs w:val="25"/>
        </w:rPr>
        <w:t xml:space="preserve">, </w:t>
      </w:r>
      <w:r w:rsidRPr="00954FE3">
        <w:rPr>
          <w:szCs w:val="25"/>
        </w:rPr>
        <w:t>there is no reason to assume that the addressees</w:t>
      </w:r>
      <w:r w:rsidR="006F304D" w:rsidRPr="006F304D">
        <w:rPr>
          <w:szCs w:val="25"/>
        </w:rPr>
        <w:t xml:space="preserve">, </w:t>
      </w:r>
      <w:r w:rsidRPr="00954FE3">
        <w:rPr>
          <w:szCs w:val="25"/>
        </w:rPr>
        <w:t>anywhere in the sermon</w:t>
      </w:r>
      <w:r w:rsidR="006F304D" w:rsidRPr="006F304D">
        <w:rPr>
          <w:szCs w:val="25"/>
        </w:rPr>
        <w:t xml:space="preserve">, </w:t>
      </w:r>
      <w:r w:rsidRPr="00954FE3">
        <w:rPr>
          <w:szCs w:val="25"/>
        </w:rPr>
        <w:t>are other than the large group of disciples referred to in 6:13</w:t>
      </w:r>
      <w:r w:rsidR="006F304D" w:rsidRPr="006F304D">
        <w:rPr>
          <w:szCs w:val="25"/>
        </w:rPr>
        <w:t xml:space="preserve">, </w:t>
      </w:r>
      <w:r w:rsidRPr="00954FE3">
        <w:rPr>
          <w:szCs w:val="25"/>
        </w:rPr>
        <w:t>17</w:t>
      </w:r>
      <w:r w:rsidR="006F304D" w:rsidRPr="006F304D">
        <w:rPr>
          <w:szCs w:val="25"/>
        </w:rPr>
        <w:t xml:space="preserve">, </w:t>
      </w:r>
      <w:r w:rsidRPr="00954FE3">
        <w:rPr>
          <w:szCs w:val="25"/>
        </w:rPr>
        <w:t>and 20a.</w:t>
      </w:r>
    </w:p>
    <w:p w14:paraId="0E6F37AC" w14:textId="7E18870F" w:rsidR="0018433B" w:rsidRPr="00954FE3" w:rsidRDefault="0018433B" w:rsidP="0018433B">
      <w:pPr>
        <w:pStyle w:val="Style"/>
        <w:widowControl/>
        <w:jc w:val="both"/>
        <w:textAlignment w:val="baseline"/>
        <w:rPr>
          <w:szCs w:val="25"/>
        </w:rPr>
      </w:pPr>
      <w:r>
        <w:rPr>
          <w:szCs w:val="25"/>
        </w:rPr>
        <w:tab/>
      </w:r>
      <w:r w:rsidRPr="00954FE3">
        <w:rPr>
          <w:szCs w:val="25"/>
        </w:rPr>
        <w:t>It is possible</w:t>
      </w:r>
      <w:r w:rsidR="006F304D" w:rsidRPr="006F304D">
        <w:rPr>
          <w:szCs w:val="25"/>
        </w:rPr>
        <w:t xml:space="preserve">, </w:t>
      </w:r>
      <w:r w:rsidRPr="00954FE3">
        <w:rPr>
          <w:szCs w:val="25"/>
        </w:rPr>
        <w:t>however</w:t>
      </w:r>
      <w:r w:rsidR="006F304D" w:rsidRPr="006F304D">
        <w:rPr>
          <w:szCs w:val="25"/>
        </w:rPr>
        <w:t xml:space="preserve">, </w:t>
      </w:r>
      <w:r w:rsidRPr="00954FE3">
        <w:rPr>
          <w:szCs w:val="25"/>
        </w:rPr>
        <w:t xml:space="preserve">to see 39-49 as addressed to the </w:t>
      </w:r>
      <w:r>
        <w:rPr>
          <w:szCs w:val="25"/>
        </w:rPr>
        <w:t>“</w:t>
      </w:r>
      <w:r w:rsidRPr="00954FE3">
        <w:rPr>
          <w:szCs w:val="25"/>
        </w:rPr>
        <w:t>disciples as leaders,” not in the sense of a restricted group within the auditors to whom 20-38 have been addressed</w:t>
      </w:r>
      <w:r w:rsidR="006F304D" w:rsidRPr="006F304D">
        <w:rPr>
          <w:szCs w:val="25"/>
        </w:rPr>
        <w:t xml:space="preserve">, </w:t>
      </w:r>
      <w:r w:rsidRPr="00954FE3">
        <w:rPr>
          <w:szCs w:val="25"/>
        </w:rPr>
        <w:t>but to the set of all disciples</w:t>
      </w:r>
      <w:r w:rsidR="006F304D" w:rsidRPr="006F304D">
        <w:rPr>
          <w:szCs w:val="25"/>
        </w:rPr>
        <w:t xml:space="preserve">, </w:t>
      </w:r>
      <w:r w:rsidRPr="00954FE3">
        <w:rPr>
          <w:szCs w:val="25"/>
        </w:rPr>
        <w:t>each of whom is to “lead” his brethren in their communal</w:t>
      </w:r>
      <w:r w:rsidR="006F304D" w:rsidRPr="006F304D">
        <w:rPr>
          <w:szCs w:val="25"/>
        </w:rPr>
        <w:t xml:space="preserve">, </w:t>
      </w:r>
      <w:r w:rsidRPr="00954FE3">
        <w:rPr>
          <w:szCs w:val="25"/>
        </w:rPr>
        <w:t>daily pilgrimage. This seems to be what Ellis</w:t>
      </w:r>
      <w:r w:rsidR="006F304D" w:rsidRPr="006F304D">
        <w:rPr>
          <w:szCs w:val="25"/>
        </w:rPr>
        <w:t xml:space="preserve">, </w:t>
      </w:r>
      <w:r w:rsidRPr="00954FE3">
        <w:rPr>
          <w:szCs w:val="25"/>
        </w:rPr>
        <w:t>Marshall</w:t>
      </w:r>
      <w:r w:rsidR="006F304D" w:rsidRPr="006F304D">
        <w:rPr>
          <w:szCs w:val="25"/>
        </w:rPr>
        <w:t xml:space="preserve">, </w:t>
      </w:r>
      <w:r w:rsidRPr="00954FE3">
        <w:rPr>
          <w:szCs w:val="25"/>
        </w:rPr>
        <w:t>Caird</w:t>
      </w:r>
      <w:r w:rsidR="006F304D" w:rsidRPr="006F304D">
        <w:rPr>
          <w:szCs w:val="25"/>
        </w:rPr>
        <w:t xml:space="preserve">, </w:t>
      </w:r>
      <w:r w:rsidRPr="00954FE3">
        <w:rPr>
          <w:szCs w:val="25"/>
        </w:rPr>
        <w:t>Mc</w:t>
      </w:r>
      <w:r w:rsidRPr="00954FE3">
        <w:rPr>
          <w:szCs w:val="25"/>
        </w:rPr>
        <w:softHyphen/>
        <w:t>Bride</w:t>
      </w:r>
      <w:r w:rsidR="006F304D" w:rsidRPr="006F304D">
        <w:rPr>
          <w:szCs w:val="25"/>
        </w:rPr>
        <w:t xml:space="preserve">, </w:t>
      </w:r>
      <w:r w:rsidRPr="00954FE3">
        <w:rPr>
          <w:szCs w:val="25"/>
        </w:rPr>
        <w:t>and Talbert have in mind. Now it is true that verse 39b has the verb</w:t>
      </w:r>
      <w:r w:rsidR="006F304D" w:rsidRPr="006F304D">
        <w:rPr>
          <w:szCs w:val="25"/>
        </w:rPr>
        <w:t xml:space="preserve">, </w:t>
      </w:r>
      <w:r w:rsidRPr="00CE06CA">
        <w:rPr>
          <w:bCs/>
          <w:szCs w:val="22"/>
          <w:lang w:val="el-GR"/>
        </w:rPr>
        <w:t>ὁ</w:t>
      </w:r>
      <w:r>
        <w:rPr>
          <w:bCs/>
          <w:szCs w:val="22"/>
          <w:lang w:val="el-GR"/>
        </w:rPr>
        <w:t>δηγέω</w:t>
      </w:r>
      <w:r w:rsidRPr="00954FE3">
        <w:rPr>
          <w:szCs w:val="25"/>
        </w:rPr>
        <w:t xml:space="preserve"> </w:t>
      </w:r>
      <w:r w:rsidRPr="00954FE3">
        <w:rPr>
          <w:rFonts w:eastAsia="Arial"/>
          <w:szCs w:val="20"/>
        </w:rPr>
        <w:t>(</w:t>
      </w:r>
      <w:r w:rsidRPr="00954FE3">
        <w:rPr>
          <w:szCs w:val="25"/>
        </w:rPr>
        <w:t xml:space="preserve">“Can a blind man </w:t>
      </w:r>
      <w:r w:rsidRPr="00954FE3">
        <w:rPr>
          <w:i/>
          <w:iCs/>
          <w:szCs w:val="25"/>
        </w:rPr>
        <w:t>lead</w:t>
      </w:r>
      <w:r w:rsidRPr="00767692">
        <w:rPr>
          <w:iCs/>
          <w:szCs w:val="25"/>
        </w:rPr>
        <w:t xml:space="preserve"> </w:t>
      </w:r>
      <w:r w:rsidRPr="00954FE3">
        <w:rPr>
          <w:szCs w:val="25"/>
        </w:rPr>
        <w:t>a blind man?”)</w:t>
      </w:r>
      <w:r w:rsidR="006F304D" w:rsidRPr="006F304D">
        <w:rPr>
          <w:szCs w:val="25"/>
        </w:rPr>
        <w:t xml:space="preserve">, </w:t>
      </w:r>
      <w:r w:rsidRPr="00954FE3">
        <w:rPr>
          <w:szCs w:val="25"/>
        </w:rPr>
        <w:t>and 40 speaks of a</w:t>
      </w:r>
      <w:r>
        <w:rPr>
          <w:szCs w:val="25"/>
        </w:rPr>
        <w:t xml:space="preserve"> </w:t>
      </w:r>
      <w:r w:rsidRPr="00CE06CA">
        <w:rPr>
          <w:bCs/>
          <w:szCs w:val="22"/>
          <w:lang w:val="el-GR"/>
        </w:rPr>
        <w:t>μαθητ</w:t>
      </w:r>
      <w:r>
        <w:rPr>
          <w:bCs/>
          <w:szCs w:val="22"/>
          <w:lang w:val="el-GR"/>
        </w:rPr>
        <w:t>ή</w:t>
      </w:r>
      <w:r w:rsidRPr="00CE06CA">
        <w:rPr>
          <w:bCs/>
          <w:szCs w:val="22"/>
          <w:lang w:val="el-GR"/>
        </w:rPr>
        <w:t>ς</w:t>
      </w:r>
      <w:r>
        <w:rPr>
          <w:szCs w:val="25"/>
        </w:rPr>
        <w:t xml:space="preserve"> . . . </w:t>
      </w:r>
      <w:r w:rsidRPr="00CE06CA">
        <w:rPr>
          <w:bCs/>
          <w:szCs w:val="22"/>
          <w:lang w:val="el-GR"/>
        </w:rPr>
        <w:t>κατηρτισμένος</w:t>
      </w:r>
      <w:r w:rsidRPr="00954FE3">
        <w:rPr>
          <w:szCs w:val="25"/>
        </w:rPr>
        <w:t xml:space="preserve"> </w:t>
      </w:r>
      <w:r w:rsidRPr="00954FE3">
        <w:rPr>
          <w:szCs w:val="26"/>
        </w:rPr>
        <w:t>(</w:t>
      </w:r>
      <w:r>
        <w:rPr>
          <w:szCs w:val="26"/>
        </w:rPr>
        <w:t>“</w:t>
      </w:r>
      <w:r w:rsidRPr="00954FE3">
        <w:rPr>
          <w:rFonts w:eastAsia="Arial"/>
          <w:szCs w:val="26"/>
        </w:rPr>
        <w:t xml:space="preserve">a </w:t>
      </w:r>
      <w:r w:rsidRPr="00954FE3">
        <w:rPr>
          <w:szCs w:val="25"/>
        </w:rPr>
        <w:t xml:space="preserve">disciple </w:t>
      </w:r>
      <w:r w:rsidRPr="00EE2A2F">
        <w:rPr>
          <w:szCs w:val="25"/>
        </w:rPr>
        <w:t>. . .</w:t>
      </w:r>
      <w:r w:rsidRPr="00954FE3">
        <w:rPr>
          <w:szCs w:val="25"/>
        </w:rPr>
        <w:t xml:space="preserve"> fully </w:t>
      </w:r>
      <w:r w:rsidRPr="00CD75A6">
        <w:t>qualified</w:t>
      </w:r>
      <w:r w:rsidRPr="00954FE3">
        <w:rPr>
          <w:szCs w:val="25"/>
        </w:rPr>
        <w:t xml:space="preserve">”) who will be like his </w:t>
      </w:r>
      <w:r w:rsidRPr="00CE06CA">
        <w:rPr>
          <w:bCs/>
          <w:szCs w:val="22"/>
          <w:lang w:val="el-GR"/>
        </w:rPr>
        <w:t>διδάσκαλος</w:t>
      </w:r>
      <w:r w:rsidRPr="00954FE3">
        <w:rPr>
          <w:szCs w:val="26"/>
        </w:rPr>
        <w:t xml:space="preserve"> (</w:t>
      </w:r>
      <w:r w:rsidRPr="00954FE3">
        <w:rPr>
          <w:szCs w:val="25"/>
        </w:rPr>
        <w:t>“teacher”). If these three details are taken to prove a shift of subject to all disci</w:t>
      </w:r>
      <w:r w:rsidRPr="00954FE3">
        <w:rPr>
          <w:szCs w:val="25"/>
        </w:rPr>
        <w:softHyphen/>
        <w:t>ples when they lead others</w:t>
      </w:r>
      <w:r w:rsidR="006F304D" w:rsidRPr="006F304D">
        <w:rPr>
          <w:szCs w:val="25"/>
        </w:rPr>
        <w:t xml:space="preserve">, </w:t>
      </w:r>
      <w:r w:rsidRPr="00954FE3">
        <w:rPr>
          <w:szCs w:val="25"/>
        </w:rPr>
        <w:t>then 41-42 (speck and log)</w:t>
      </w:r>
      <w:r w:rsidR="006F304D" w:rsidRPr="006F304D">
        <w:rPr>
          <w:szCs w:val="25"/>
        </w:rPr>
        <w:t xml:space="preserve">, </w:t>
      </w:r>
      <w:r>
        <w:rPr>
          <w:szCs w:val="25"/>
        </w:rPr>
        <w:t>since it follows 39-40</w:t>
      </w:r>
      <w:r w:rsidR="006F304D" w:rsidRPr="006F304D">
        <w:rPr>
          <w:szCs w:val="25"/>
        </w:rPr>
        <w:t xml:space="preserve">, </w:t>
      </w:r>
      <w:r w:rsidRPr="00954FE3">
        <w:rPr>
          <w:szCs w:val="25"/>
        </w:rPr>
        <w:t>can also be transformed into a teaching about Christians as exhorters of their brethren (it is doubtful that the reference in 41-42 to removing the speck in another’s eye would be interpreted to refer only to such leaders were it not for the prior interpreta</w:t>
      </w:r>
      <w:r w:rsidRPr="00954FE3">
        <w:rPr>
          <w:szCs w:val="25"/>
        </w:rPr>
        <w:softHyphen/>
        <w:t>tion of 39-40 in this fashion). Verses 43-45</w:t>
      </w:r>
      <w:r w:rsidR="006F304D" w:rsidRPr="006F304D">
        <w:rPr>
          <w:szCs w:val="25"/>
        </w:rPr>
        <w:t xml:space="preserve">, </w:t>
      </w:r>
      <w:r w:rsidRPr="00954FE3">
        <w:rPr>
          <w:szCs w:val="25"/>
        </w:rPr>
        <w:t>however</w:t>
      </w:r>
      <w:r w:rsidR="006F304D" w:rsidRPr="006F304D">
        <w:rPr>
          <w:szCs w:val="25"/>
        </w:rPr>
        <w:t xml:space="preserve">, </w:t>
      </w:r>
      <w:r w:rsidRPr="00954FE3">
        <w:rPr>
          <w:szCs w:val="25"/>
        </w:rPr>
        <w:t>are less amenable to this leadership interpretation: 43 speaks of “a” good or “a” bad tree (i.e.</w:t>
      </w:r>
      <w:r w:rsidR="006F304D" w:rsidRPr="006F304D">
        <w:rPr>
          <w:szCs w:val="25"/>
        </w:rPr>
        <w:t xml:space="preserve">, </w:t>
      </w:r>
      <w:r w:rsidRPr="00954FE3">
        <w:rPr>
          <w:szCs w:val="25"/>
        </w:rPr>
        <w:t>the Greek lacks the definite article before both nouns)</w:t>
      </w:r>
      <w:r w:rsidR="006F304D" w:rsidRPr="006F304D">
        <w:rPr>
          <w:szCs w:val="25"/>
        </w:rPr>
        <w:t xml:space="preserve">, </w:t>
      </w:r>
      <w:r w:rsidRPr="00954FE3">
        <w:rPr>
          <w:szCs w:val="25"/>
        </w:rPr>
        <w:t>and 45 speaks of “the” good or evil</w:t>
      </w:r>
      <w:r>
        <w:rPr>
          <w:szCs w:val="25"/>
        </w:rPr>
        <w:t xml:space="preserve"> </w:t>
      </w:r>
      <w:r w:rsidRPr="00954FE3">
        <w:rPr>
          <w:szCs w:val="25"/>
        </w:rPr>
        <w:t>man (i.e.</w:t>
      </w:r>
      <w:r w:rsidR="006F304D" w:rsidRPr="006F304D">
        <w:rPr>
          <w:szCs w:val="25"/>
        </w:rPr>
        <w:t xml:space="preserve">, </w:t>
      </w:r>
      <w:r w:rsidRPr="00954FE3">
        <w:rPr>
          <w:szCs w:val="25"/>
        </w:rPr>
        <w:t>the generic definite article). To 46-49 a leadership interpretation is even</w:t>
      </w:r>
      <w:r>
        <w:rPr>
          <w:szCs w:val="25"/>
        </w:rPr>
        <w:t xml:space="preserve"> </w:t>
      </w:r>
      <w:r w:rsidRPr="00954FE3">
        <w:rPr>
          <w:szCs w:val="25"/>
        </w:rPr>
        <w:t>less applicable: he who calls Jesus “Lord</w:t>
      </w:r>
      <w:r w:rsidR="006F304D" w:rsidRPr="006F304D">
        <w:rPr>
          <w:szCs w:val="25"/>
        </w:rPr>
        <w:t xml:space="preserve">, </w:t>
      </w:r>
      <w:r w:rsidRPr="00954FE3">
        <w:rPr>
          <w:szCs w:val="25"/>
        </w:rPr>
        <w:t>Lord” in 46 is every disciple</w:t>
      </w:r>
      <w:r w:rsidR="006F304D" w:rsidRPr="006F304D">
        <w:rPr>
          <w:szCs w:val="25"/>
        </w:rPr>
        <w:t xml:space="preserve">, </w:t>
      </w:r>
      <w:r w:rsidRPr="00954FE3">
        <w:rPr>
          <w:szCs w:val="25"/>
        </w:rPr>
        <w:t xml:space="preserve">not just the leaders among them; and he who comes and hears Jesus in 47 is </w:t>
      </w:r>
      <w:r>
        <w:rPr>
          <w:szCs w:val="25"/>
        </w:rPr>
        <w:t>“</w:t>
      </w:r>
      <w:r w:rsidRPr="00CD75A6">
        <w:t xml:space="preserve">someone </w:t>
      </w:r>
      <w:r>
        <w:t xml:space="preserve">. . . </w:t>
      </w:r>
      <w:r w:rsidRPr="00954FE3">
        <w:rPr>
          <w:szCs w:val="25"/>
        </w:rPr>
        <w:t>who comes,”</w:t>
      </w:r>
      <w:r>
        <w:rPr>
          <w:szCs w:val="25"/>
        </w:rPr>
        <w:t xml:space="preserve"> </w:t>
      </w:r>
      <w:r w:rsidRPr="00CE06CA">
        <w:rPr>
          <w:bCs/>
          <w:szCs w:val="22"/>
          <w:lang w:val="el-GR"/>
        </w:rPr>
        <w:t>Πᾶς ὁ ἐρχόμενος</w:t>
      </w:r>
      <w:r>
        <w:rPr>
          <w:bCs/>
          <w:szCs w:val="22"/>
        </w:rPr>
        <w:t xml:space="preserve"> (lit. “All the coming”)</w:t>
      </w:r>
      <w:r w:rsidRPr="00954FE3">
        <w:rPr>
          <w:szCs w:val="25"/>
        </w:rPr>
        <w:t>. A leadership interpretation</w:t>
      </w:r>
      <w:r w:rsidR="006F304D" w:rsidRPr="006F304D">
        <w:rPr>
          <w:szCs w:val="25"/>
        </w:rPr>
        <w:t xml:space="preserve">, </w:t>
      </w:r>
      <w:r w:rsidRPr="00954FE3">
        <w:rPr>
          <w:szCs w:val="25"/>
        </w:rPr>
        <w:t>then</w:t>
      </w:r>
      <w:r w:rsidR="006F304D" w:rsidRPr="006F304D">
        <w:rPr>
          <w:szCs w:val="25"/>
        </w:rPr>
        <w:t xml:space="preserve">, </w:t>
      </w:r>
      <w:r w:rsidRPr="00954FE3">
        <w:rPr>
          <w:szCs w:val="25"/>
        </w:rPr>
        <w:t xml:space="preserve">becomes decreasingly applicable to the subunits within 39-49. Since these verses are not restricted to Christians who </w:t>
      </w:r>
      <w:r>
        <w:rPr>
          <w:szCs w:val="25"/>
        </w:rPr>
        <w:t>“</w:t>
      </w:r>
      <w:r w:rsidRPr="00954FE3">
        <w:rPr>
          <w:szCs w:val="25"/>
        </w:rPr>
        <w:t>lead” their brethren in daily life</w:t>
      </w:r>
      <w:r w:rsidR="006F304D" w:rsidRPr="006F304D">
        <w:rPr>
          <w:szCs w:val="25"/>
        </w:rPr>
        <w:t xml:space="preserve">, </w:t>
      </w:r>
      <w:r w:rsidRPr="00954FE3">
        <w:rPr>
          <w:szCs w:val="25"/>
        </w:rPr>
        <w:t xml:space="preserve">dividing between 27- 38 and 39-49 on the basis of leadership </w:t>
      </w:r>
      <w:r>
        <w:rPr>
          <w:szCs w:val="25"/>
        </w:rPr>
        <w:t xml:space="preserve">is </w:t>
      </w:r>
      <w:r w:rsidRPr="00954FE3">
        <w:rPr>
          <w:szCs w:val="25"/>
        </w:rPr>
        <w:t>unjustifiable.</w:t>
      </w:r>
    </w:p>
    <w:p w14:paraId="5BB76EAA" w14:textId="485834BE" w:rsidR="0018433B" w:rsidRPr="00954FE3" w:rsidRDefault="0018433B" w:rsidP="0018433B">
      <w:pPr>
        <w:pStyle w:val="Style"/>
        <w:widowControl/>
        <w:jc w:val="both"/>
        <w:textAlignment w:val="baseline"/>
        <w:rPr>
          <w:szCs w:val="25"/>
        </w:rPr>
      </w:pPr>
      <w:r>
        <w:rPr>
          <w:szCs w:val="25"/>
        </w:rPr>
        <w:lastRenderedPageBreak/>
        <w:tab/>
      </w:r>
      <w:r w:rsidRPr="00954FE3">
        <w:rPr>
          <w:szCs w:val="25"/>
        </w:rPr>
        <w:t>Finally</w:t>
      </w:r>
      <w:r w:rsidR="006F304D" w:rsidRPr="006F304D">
        <w:rPr>
          <w:szCs w:val="25"/>
        </w:rPr>
        <w:t xml:space="preserve">, </w:t>
      </w:r>
      <w:r w:rsidRPr="00954FE3">
        <w:rPr>
          <w:szCs w:val="25"/>
        </w:rPr>
        <w:t xml:space="preserve">there seems to be no reason for narrowing the scope of these verses only to zealous Christians. Regardless of the adequacy elsewhere in </w:t>
      </w:r>
      <w:r>
        <w:rPr>
          <w:szCs w:val="25"/>
        </w:rPr>
        <w:t>s</w:t>
      </w:r>
      <w:r w:rsidRPr="00954FE3">
        <w:rPr>
          <w:szCs w:val="25"/>
        </w:rPr>
        <w:t>cripture of the traditional Catholic distinction between “precepts” (for all Christians) and “counsels” (for those in religious orders)</w:t>
      </w:r>
      <w:r w:rsidR="006F304D" w:rsidRPr="006F304D">
        <w:rPr>
          <w:szCs w:val="25"/>
        </w:rPr>
        <w:t xml:space="preserve">, </w:t>
      </w:r>
      <w:r w:rsidRPr="00954FE3">
        <w:rPr>
          <w:szCs w:val="25"/>
        </w:rPr>
        <w:t>the distinction is not obvious in the present context.</w:t>
      </w:r>
    </w:p>
    <w:p w14:paraId="271D5DE7" w14:textId="7FDD3069" w:rsidR="0018433B" w:rsidRPr="00954FE3" w:rsidRDefault="0018433B" w:rsidP="0018433B">
      <w:pPr>
        <w:pStyle w:val="Style"/>
        <w:widowControl/>
        <w:jc w:val="both"/>
        <w:textAlignment w:val="baseline"/>
        <w:rPr>
          <w:szCs w:val="25"/>
        </w:rPr>
      </w:pPr>
      <w:r>
        <w:rPr>
          <w:szCs w:val="25"/>
        </w:rPr>
        <w:tab/>
        <w:t>(</w:t>
      </w:r>
      <w:r w:rsidRPr="00954FE3">
        <w:rPr>
          <w:szCs w:val="25"/>
        </w:rPr>
        <w:t>4) Easton has suggested a reason for dividing at verse 39 that is provided by no other commentator</w:t>
      </w:r>
      <w:r>
        <w:rPr>
          <w:szCs w:val="25"/>
        </w:rPr>
        <w:t xml:space="preserve"> that I have seen</w:t>
      </w:r>
      <w:r w:rsidRPr="00954FE3">
        <w:rPr>
          <w:szCs w:val="25"/>
        </w:rPr>
        <w:t>: all of 27-45 are on “love for one’s neighbor,” but 27-38 treat the virtue positively</w:t>
      </w:r>
      <w:r w:rsidR="006F304D" w:rsidRPr="006F304D">
        <w:rPr>
          <w:szCs w:val="25"/>
        </w:rPr>
        <w:t xml:space="preserve">, </w:t>
      </w:r>
      <w:r w:rsidRPr="00954FE3">
        <w:rPr>
          <w:szCs w:val="25"/>
        </w:rPr>
        <w:t>while 39-45 treat it negatively</w:t>
      </w:r>
      <w:r w:rsidR="006F304D" w:rsidRPr="006F304D">
        <w:rPr>
          <w:szCs w:val="25"/>
        </w:rPr>
        <w:t xml:space="preserve">, </w:t>
      </w:r>
      <w:r w:rsidRPr="00954FE3">
        <w:rPr>
          <w:szCs w:val="25"/>
        </w:rPr>
        <w:t xml:space="preserve">restricting themselves to the theme of </w:t>
      </w:r>
      <w:r>
        <w:rPr>
          <w:szCs w:val="25"/>
        </w:rPr>
        <w:t>“</w:t>
      </w:r>
      <w:r w:rsidRPr="00954FE3">
        <w:rPr>
          <w:szCs w:val="25"/>
        </w:rPr>
        <w:t>reckless c</w:t>
      </w:r>
      <w:r>
        <w:rPr>
          <w:szCs w:val="25"/>
        </w:rPr>
        <w:t>riticism” or “judging others.”</w:t>
      </w:r>
      <w:r>
        <w:rPr>
          <w:rStyle w:val="FootnoteReference"/>
          <w:szCs w:val="25"/>
        </w:rPr>
        <w:footnoteReference w:id="609"/>
      </w:r>
      <w:r w:rsidRPr="00954FE3">
        <w:rPr>
          <w:szCs w:val="25"/>
        </w:rPr>
        <w:t xml:space="preserve"> Perhaps later commentators have not followed Easton in this regard because of an obvious problem: why should 27-38 be called “positive” and 39-45 </w:t>
      </w:r>
      <w:r>
        <w:rPr>
          <w:szCs w:val="25"/>
        </w:rPr>
        <w:t>“</w:t>
      </w:r>
      <w:r w:rsidRPr="00954FE3">
        <w:rPr>
          <w:szCs w:val="25"/>
        </w:rPr>
        <w:t>negative”? The first section includes warnings against loving</w:t>
      </w:r>
      <w:r w:rsidR="006F304D" w:rsidRPr="006F304D">
        <w:rPr>
          <w:szCs w:val="25"/>
        </w:rPr>
        <w:t xml:space="preserve">, </w:t>
      </w:r>
      <w:r w:rsidRPr="00954FE3">
        <w:rPr>
          <w:szCs w:val="25"/>
        </w:rPr>
        <w:t>doing good</w:t>
      </w:r>
      <w:r w:rsidR="006F304D" w:rsidRPr="006F304D">
        <w:rPr>
          <w:szCs w:val="25"/>
        </w:rPr>
        <w:t xml:space="preserve">, </w:t>
      </w:r>
      <w:r w:rsidRPr="00954FE3">
        <w:rPr>
          <w:szCs w:val="25"/>
        </w:rPr>
        <w:t xml:space="preserve">and lending only to one’s friends (32-35); </w:t>
      </w:r>
      <w:r>
        <w:rPr>
          <w:szCs w:val="25"/>
        </w:rPr>
        <w:t>“not”</w:t>
      </w:r>
      <w:r w:rsidRPr="00954FE3">
        <w:rPr>
          <w:szCs w:val="25"/>
        </w:rPr>
        <w:t xml:space="preserve"> is ab</w:t>
      </w:r>
      <w:r w:rsidRPr="00954FE3">
        <w:rPr>
          <w:szCs w:val="25"/>
        </w:rPr>
        <w:softHyphen/>
        <w:t>sent</w:t>
      </w:r>
      <w:r w:rsidR="006F304D" w:rsidRPr="006F304D">
        <w:rPr>
          <w:szCs w:val="25"/>
        </w:rPr>
        <w:t xml:space="preserve">, </w:t>
      </w:r>
      <w:r w:rsidRPr="00954FE3">
        <w:rPr>
          <w:szCs w:val="25"/>
        </w:rPr>
        <w:t>but the inju</w:t>
      </w:r>
      <w:r>
        <w:rPr>
          <w:szCs w:val="25"/>
        </w:rPr>
        <w:t>n</w:t>
      </w:r>
      <w:r w:rsidRPr="00954FE3">
        <w:rPr>
          <w:szCs w:val="25"/>
        </w:rPr>
        <w:t>ctions are prohibitions rather than commands. Simi</w:t>
      </w:r>
      <w:r>
        <w:rPr>
          <w:szCs w:val="25"/>
        </w:rPr>
        <w:t>larly</w:t>
      </w:r>
      <w:r w:rsidR="006F304D" w:rsidRPr="006F304D">
        <w:rPr>
          <w:szCs w:val="25"/>
        </w:rPr>
        <w:t xml:space="preserve">, </w:t>
      </w:r>
      <w:r>
        <w:rPr>
          <w:szCs w:val="25"/>
        </w:rPr>
        <w:t>the speck-</w:t>
      </w:r>
      <w:r w:rsidRPr="00954FE3">
        <w:rPr>
          <w:szCs w:val="25"/>
        </w:rPr>
        <w:t xml:space="preserve">and-log parable in the second section states its moral positively: </w:t>
      </w:r>
      <w:r>
        <w:rPr>
          <w:szCs w:val="25"/>
        </w:rPr>
        <w:t>“</w:t>
      </w:r>
      <w:r w:rsidRPr="00954FE3">
        <w:rPr>
          <w:szCs w:val="25"/>
        </w:rPr>
        <w:t>first take the log</w:t>
      </w:r>
      <w:r>
        <w:rPr>
          <w:szCs w:val="25"/>
        </w:rPr>
        <w:t xml:space="preserve"> </w:t>
      </w:r>
      <w:r w:rsidRPr="00954FE3">
        <w:rPr>
          <w:szCs w:val="25"/>
        </w:rPr>
        <w:t xml:space="preserve">out of your own eye” </w:t>
      </w:r>
      <w:r>
        <w:rPr>
          <w:szCs w:val="25"/>
        </w:rPr>
        <w:t>(</w:t>
      </w:r>
      <w:r w:rsidRPr="00954FE3">
        <w:rPr>
          <w:szCs w:val="25"/>
        </w:rPr>
        <w:t>42). Easton’s solution</w:t>
      </w:r>
      <w:r w:rsidR="006F304D" w:rsidRPr="006F304D">
        <w:rPr>
          <w:szCs w:val="25"/>
        </w:rPr>
        <w:t xml:space="preserve">, </w:t>
      </w:r>
      <w:r w:rsidRPr="00954FE3">
        <w:rPr>
          <w:szCs w:val="25"/>
        </w:rPr>
        <w:t>I think</w:t>
      </w:r>
      <w:r w:rsidR="006F304D" w:rsidRPr="006F304D">
        <w:rPr>
          <w:szCs w:val="25"/>
        </w:rPr>
        <w:t xml:space="preserve">, </w:t>
      </w:r>
      <w:r w:rsidRPr="00954FE3">
        <w:rPr>
          <w:szCs w:val="25"/>
        </w:rPr>
        <w:t>can safely be foregone.</w:t>
      </w:r>
    </w:p>
    <w:p w14:paraId="2CA84135" w14:textId="76DDE78C" w:rsidR="0018433B" w:rsidRPr="00954FE3" w:rsidRDefault="0018433B" w:rsidP="0018433B">
      <w:pPr>
        <w:pStyle w:val="Style"/>
        <w:widowControl/>
        <w:jc w:val="both"/>
        <w:textAlignment w:val="baseline"/>
        <w:rPr>
          <w:szCs w:val="25"/>
        </w:rPr>
      </w:pPr>
      <w:r>
        <w:rPr>
          <w:szCs w:val="25"/>
        </w:rPr>
        <w:tab/>
      </w:r>
      <w:r w:rsidRPr="00954FE3">
        <w:rPr>
          <w:szCs w:val="25"/>
        </w:rPr>
        <w:t xml:space="preserve">(5) A final proposal is that of Heinz </w:t>
      </w:r>
      <w:r>
        <w:rPr>
          <w:szCs w:val="25"/>
        </w:rPr>
        <w:t>Schürmann</w:t>
      </w:r>
      <w:r w:rsidR="006F304D" w:rsidRPr="006F304D">
        <w:rPr>
          <w:szCs w:val="25"/>
        </w:rPr>
        <w:t xml:space="preserve">, </w:t>
      </w:r>
      <w:r w:rsidRPr="00954FE3">
        <w:rPr>
          <w:szCs w:val="25"/>
        </w:rPr>
        <w:t>who interprets 39-45 as a polemic against false Christian teachers. Thus the blind leader in 39 is a false teach</w:t>
      </w:r>
      <w:r w:rsidRPr="00954FE3">
        <w:rPr>
          <w:szCs w:val="25"/>
        </w:rPr>
        <w:softHyphen/>
        <w:t>er within the community. Verse 40</w:t>
      </w:r>
      <w:r w:rsidR="006F304D" w:rsidRPr="006F304D">
        <w:rPr>
          <w:szCs w:val="25"/>
        </w:rPr>
        <w:t xml:space="preserve">, </w:t>
      </w:r>
      <w:r w:rsidRPr="00954FE3">
        <w:rPr>
          <w:szCs w:val="25"/>
        </w:rPr>
        <w:t>too</w:t>
      </w:r>
      <w:r w:rsidR="006F304D" w:rsidRPr="006F304D">
        <w:rPr>
          <w:szCs w:val="25"/>
        </w:rPr>
        <w:t xml:space="preserve">, </w:t>
      </w:r>
      <w:r w:rsidRPr="00954FE3">
        <w:rPr>
          <w:szCs w:val="25"/>
        </w:rPr>
        <w:t xml:space="preserve">which </w:t>
      </w:r>
      <w:r>
        <w:rPr>
          <w:szCs w:val="25"/>
        </w:rPr>
        <w:t>“</w:t>
      </w:r>
      <w:r w:rsidRPr="00954FE3">
        <w:rPr>
          <w:szCs w:val="25"/>
        </w:rPr>
        <w:t>illustrates the explicit</w:t>
      </w:r>
      <w:r w:rsidR="006F304D" w:rsidRPr="006F304D">
        <w:rPr>
          <w:szCs w:val="25"/>
        </w:rPr>
        <w:t xml:space="preserve">, </w:t>
      </w:r>
      <w:r w:rsidRPr="00954FE3">
        <w:rPr>
          <w:szCs w:val="25"/>
        </w:rPr>
        <w:t>general truth of 39 by referring to the relation of disciple and teacher in rab</w:t>
      </w:r>
      <w:r>
        <w:rPr>
          <w:szCs w:val="25"/>
        </w:rPr>
        <w:t>binic Judaism,” signifies that “</w:t>
      </w:r>
      <w:r w:rsidRPr="00954FE3">
        <w:rPr>
          <w:szCs w:val="25"/>
        </w:rPr>
        <w:t>no disciple can transmit more tradition than his teacher has given him”</w:t>
      </w:r>
      <w:r w:rsidRPr="00954FE3">
        <w:rPr>
          <w:szCs w:val="21"/>
        </w:rPr>
        <w:t>:</w:t>
      </w:r>
      <w:r>
        <w:rPr>
          <w:rStyle w:val="FootnoteReference"/>
          <w:szCs w:val="21"/>
        </w:rPr>
        <w:footnoteReference w:id="610"/>
      </w:r>
      <w:r w:rsidRPr="00954FE3">
        <w:rPr>
          <w:szCs w:val="21"/>
        </w:rPr>
        <w:t xml:space="preserve"> </w:t>
      </w:r>
      <w:r w:rsidRPr="00954FE3">
        <w:rPr>
          <w:szCs w:val="25"/>
        </w:rPr>
        <w:t>any who adds to Jesus’ ethic in 27-38 will be adding false teachings.</w:t>
      </w:r>
      <w:r>
        <w:rPr>
          <w:rStyle w:val="FootnoteReference"/>
          <w:szCs w:val="25"/>
        </w:rPr>
        <w:footnoteReference w:id="611"/>
      </w:r>
      <w:r>
        <w:rPr>
          <w:szCs w:val="25"/>
        </w:rPr>
        <w:t xml:space="preserve"> </w:t>
      </w:r>
      <w:r w:rsidRPr="00954FE3">
        <w:rPr>
          <w:szCs w:val="25"/>
        </w:rPr>
        <w:t>The “fruit” in 43-44</w:t>
      </w:r>
      <w:r w:rsidR="006F304D" w:rsidRPr="006F304D">
        <w:rPr>
          <w:szCs w:val="25"/>
        </w:rPr>
        <w:t xml:space="preserve">, </w:t>
      </w:r>
      <w:r>
        <w:rPr>
          <w:szCs w:val="25"/>
        </w:rPr>
        <w:t>Schürmann</w:t>
      </w:r>
      <w:r w:rsidRPr="00954FE3">
        <w:rPr>
          <w:szCs w:val="25"/>
        </w:rPr>
        <w:t xml:space="preserve"> avers</w:t>
      </w:r>
      <w:r w:rsidR="006F304D" w:rsidRPr="006F304D">
        <w:rPr>
          <w:szCs w:val="25"/>
        </w:rPr>
        <w:t xml:space="preserve">, </w:t>
      </w:r>
      <w:r w:rsidRPr="00954FE3">
        <w:rPr>
          <w:szCs w:val="25"/>
        </w:rPr>
        <w:t>must likewise be reinterpreted: it refers to the false teachers’ doctrines</w:t>
      </w:r>
      <w:r w:rsidR="006F304D" w:rsidRPr="006F304D">
        <w:rPr>
          <w:szCs w:val="25"/>
        </w:rPr>
        <w:t xml:space="preserve">, </w:t>
      </w:r>
      <w:r w:rsidRPr="00954FE3">
        <w:rPr>
          <w:szCs w:val="25"/>
        </w:rPr>
        <w:t>as 45b guarantees (</w:t>
      </w:r>
      <w:r>
        <w:rPr>
          <w:szCs w:val="25"/>
        </w:rPr>
        <w:t>“f</w:t>
      </w:r>
      <w:r w:rsidRPr="00954FE3">
        <w:rPr>
          <w:szCs w:val="25"/>
        </w:rPr>
        <w:t>or out of the abundance o</w:t>
      </w:r>
      <w:r>
        <w:rPr>
          <w:szCs w:val="25"/>
        </w:rPr>
        <w:t>f the heart his mouth speaks”).</w:t>
      </w:r>
      <w:r>
        <w:rPr>
          <w:rStyle w:val="FootnoteReference"/>
          <w:szCs w:val="25"/>
        </w:rPr>
        <w:footnoteReference w:id="612"/>
      </w:r>
    </w:p>
    <w:p w14:paraId="4DDA635F" w14:textId="77777777" w:rsidR="0018433B" w:rsidRPr="00954FE3" w:rsidRDefault="0018433B" w:rsidP="0018433B">
      <w:pPr>
        <w:pStyle w:val="Style"/>
        <w:widowControl/>
        <w:jc w:val="both"/>
        <w:textAlignment w:val="baseline"/>
        <w:rPr>
          <w:szCs w:val="25"/>
        </w:rPr>
      </w:pPr>
      <w:r>
        <w:rPr>
          <w:szCs w:val="25"/>
        </w:rPr>
        <w:tab/>
      </w:r>
      <w:r w:rsidRPr="00954FE3">
        <w:rPr>
          <w:szCs w:val="25"/>
        </w:rPr>
        <w:t xml:space="preserve">What evidence does </w:t>
      </w:r>
      <w:r>
        <w:rPr>
          <w:szCs w:val="25"/>
        </w:rPr>
        <w:t>Schürmann</w:t>
      </w:r>
      <w:r w:rsidRPr="00954FE3">
        <w:rPr>
          <w:szCs w:val="25"/>
        </w:rPr>
        <w:t xml:space="preserve"> </w:t>
      </w:r>
      <w:proofErr w:type="spellStart"/>
      <w:r w:rsidRPr="00954FE3">
        <w:rPr>
          <w:szCs w:val="25"/>
        </w:rPr>
        <w:t>marshall</w:t>
      </w:r>
      <w:proofErr w:type="spellEnd"/>
      <w:r w:rsidRPr="00954FE3">
        <w:rPr>
          <w:szCs w:val="25"/>
        </w:rPr>
        <w:t xml:space="preserve"> in support of his reinterpretati</w:t>
      </w:r>
      <w:r>
        <w:rPr>
          <w:szCs w:val="25"/>
        </w:rPr>
        <w:t>on</w:t>
      </w:r>
      <w:r w:rsidRPr="00954FE3">
        <w:rPr>
          <w:szCs w:val="25"/>
        </w:rPr>
        <w:t xml:space="preserve"> of the details of 39-45?</w:t>
      </w:r>
    </w:p>
    <w:p w14:paraId="4E231A8A" w14:textId="7696A1FD" w:rsidR="0018433B" w:rsidRPr="00954FE3" w:rsidRDefault="0018433B" w:rsidP="0018433B">
      <w:pPr>
        <w:pStyle w:val="Style"/>
        <w:widowControl/>
        <w:jc w:val="both"/>
        <w:textAlignment w:val="baseline"/>
        <w:rPr>
          <w:szCs w:val="25"/>
        </w:rPr>
      </w:pPr>
      <w:r>
        <w:rPr>
          <w:szCs w:val="25"/>
        </w:rPr>
        <w:tab/>
      </w:r>
      <w:r w:rsidRPr="00954FE3">
        <w:rPr>
          <w:szCs w:val="25"/>
        </w:rPr>
        <w:t xml:space="preserve">(a) </w:t>
      </w:r>
      <w:r>
        <w:rPr>
          <w:szCs w:val="25"/>
        </w:rPr>
        <w:t>Schürmann</w:t>
      </w:r>
      <w:r w:rsidRPr="00954FE3">
        <w:rPr>
          <w:szCs w:val="25"/>
        </w:rPr>
        <w:t xml:space="preserve"> acknowledges that </w:t>
      </w:r>
      <w:r>
        <w:rPr>
          <w:szCs w:val="25"/>
        </w:rPr>
        <w:t>“</w:t>
      </w:r>
      <w:r w:rsidRPr="00954FE3">
        <w:rPr>
          <w:szCs w:val="25"/>
        </w:rPr>
        <w:t>my understanding of Luke 6:39-45 is not the common one”</w:t>
      </w:r>
      <w:r w:rsidRPr="00954FE3">
        <w:rPr>
          <w:szCs w:val="21"/>
        </w:rPr>
        <w:t>;</w:t>
      </w:r>
      <w:r>
        <w:rPr>
          <w:rStyle w:val="FootnoteReference"/>
          <w:szCs w:val="21"/>
        </w:rPr>
        <w:footnoteReference w:id="613"/>
      </w:r>
      <w:r w:rsidRPr="00954FE3">
        <w:rPr>
          <w:szCs w:val="21"/>
        </w:rPr>
        <w:t xml:space="preserve"> </w:t>
      </w:r>
      <w:r w:rsidRPr="00954FE3">
        <w:rPr>
          <w:szCs w:val="25"/>
        </w:rPr>
        <w:t>at this point he cites Plummer</w:t>
      </w:r>
      <w:r w:rsidR="006F304D" w:rsidRPr="006F304D">
        <w:rPr>
          <w:szCs w:val="25"/>
        </w:rPr>
        <w:t xml:space="preserve">, </w:t>
      </w:r>
      <w:r w:rsidRPr="00954FE3">
        <w:rPr>
          <w:szCs w:val="25"/>
        </w:rPr>
        <w:t>Lagrange</w:t>
      </w:r>
      <w:r w:rsidR="006F304D" w:rsidRPr="006F304D">
        <w:rPr>
          <w:szCs w:val="25"/>
        </w:rPr>
        <w:t xml:space="preserve">, </w:t>
      </w:r>
      <w:r w:rsidRPr="00954FE3">
        <w:rPr>
          <w:szCs w:val="25"/>
        </w:rPr>
        <w:t>Hirsch</w:t>
      </w:r>
      <w:r w:rsidR="006F304D" w:rsidRPr="006F304D">
        <w:rPr>
          <w:szCs w:val="25"/>
        </w:rPr>
        <w:t xml:space="preserve">, </w:t>
      </w:r>
      <w:r w:rsidRPr="00954FE3">
        <w:rPr>
          <w:szCs w:val="25"/>
        </w:rPr>
        <w:t xml:space="preserve">inter alia. </w:t>
      </w:r>
      <w:r>
        <w:rPr>
          <w:szCs w:val="25"/>
        </w:rPr>
        <w:t>“But,”</w:t>
      </w:r>
      <w:r w:rsidRPr="00954FE3">
        <w:rPr>
          <w:szCs w:val="25"/>
        </w:rPr>
        <w:t xml:space="preserve"> he adds</w:t>
      </w:r>
      <w:r w:rsidR="006F304D" w:rsidRPr="006F304D">
        <w:rPr>
          <w:szCs w:val="25"/>
        </w:rPr>
        <w:t xml:space="preserve">, </w:t>
      </w:r>
      <w:r>
        <w:rPr>
          <w:szCs w:val="25"/>
        </w:rPr>
        <w:t>“</w:t>
      </w:r>
      <w:r w:rsidRPr="00954FE3">
        <w:rPr>
          <w:szCs w:val="25"/>
        </w:rPr>
        <w:t>verses 39 and 43-44 so contradict the common interpretation that</w:t>
      </w:r>
      <w:r>
        <w:rPr>
          <w:szCs w:val="25"/>
        </w:rPr>
        <w:t xml:space="preserve"> </w:t>
      </w:r>
      <w:r w:rsidRPr="00954FE3">
        <w:rPr>
          <w:szCs w:val="25"/>
        </w:rPr>
        <w:t>an attempt has already been undertaken to see in 39-45 a special address to the</w:t>
      </w:r>
      <w:r>
        <w:rPr>
          <w:szCs w:val="25"/>
        </w:rPr>
        <w:t xml:space="preserve"> </w:t>
      </w:r>
      <w:r w:rsidRPr="00954FE3">
        <w:rPr>
          <w:szCs w:val="25"/>
        </w:rPr>
        <w:t>leaders of the community</w:t>
      </w:r>
      <w:r>
        <w:rPr>
          <w:szCs w:val="25"/>
        </w:rPr>
        <w:t>”</w:t>
      </w:r>
      <w:r w:rsidRPr="00954FE3">
        <w:rPr>
          <w:szCs w:val="21"/>
        </w:rPr>
        <w:t>;</w:t>
      </w:r>
      <w:r>
        <w:rPr>
          <w:rStyle w:val="FootnoteReference"/>
          <w:szCs w:val="21"/>
        </w:rPr>
        <w:footnoteReference w:id="614"/>
      </w:r>
      <w:r w:rsidRPr="00954FE3">
        <w:rPr>
          <w:szCs w:val="21"/>
        </w:rPr>
        <w:t xml:space="preserve"> </w:t>
      </w:r>
      <w:r w:rsidRPr="00954FE3">
        <w:rPr>
          <w:szCs w:val="25"/>
        </w:rPr>
        <w:t>at this point he cites Grundmann and Rengstorf. Obviously</w:t>
      </w:r>
      <w:r w:rsidR="006F304D" w:rsidRPr="006F304D">
        <w:rPr>
          <w:szCs w:val="25"/>
        </w:rPr>
        <w:t xml:space="preserve">, </w:t>
      </w:r>
      <w:r w:rsidRPr="00954FE3">
        <w:rPr>
          <w:szCs w:val="25"/>
        </w:rPr>
        <w:t>this support for his interpretation is only as sound as the interpretation of Grundmann and Rengstorf; and we have already seen it to be wobbly.</w:t>
      </w:r>
    </w:p>
    <w:p w14:paraId="33BDF09B" w14:textId="136D1738" w:rsidR="0018433B" w:rsidRPr="00173BE3" w:rsidRDefault="0018433B" w:rsidP="0018433B">
      <w:pPr>
        <w:pStyle w:val="Style"/>
        <w:widowControl/>
        <w:jc w:val="both"/>
        <w:textAlignment w:val="baseline"/>
        <w:rPr>
          <w:szCs w:val="25"/>
        </w:rPr>
      </w:pPr>
      <w:r>
        <w:rPr>
          <w:szCs w:val="25"/>
        </w:rPr>
        <w:tab/>
      </w:r>
      <w:r w:rsidRPr="00954FE3">
        <w:rPr>
          <w:szCs w:val="25"/>
        </w:rPr>
        <w:t xml:space="preserve">(b) </w:t>
      </w:r>
      <w:r>
        <w:rPr>
          <w:szCs w:val="25"/>
        </w:rPr>
        <w:t>Schürmann</w:t>
      </w:r>
      <w:r w:rsidRPr="00954FE3">
        <w:rPr>
          <w:szCs w:val="25"/>
        </w:rPr>
        <w:t xml:space="preserve"> also relies on verse 39a</w:t>
      </w:r>
      <w:r w:rsidR="006F304D" w:rsidRPr="006F304D">
        <w:rPr>
          <w:szCs w:val="25"/>
        </w:rPr>
        <w:t xml:space="preserve">, </w:t>
      </w:r>
      <w:r w:rsidRPr="00954FE3">
        <w:rPr>
          <w:szCs w:val="25"/>
        </w:rPr>
        <w:t xml:space="preserve">‘He also told them a parable </w:t>
      </w:r>
      <w:r w:rsidRPr="00EE2A2F">
        <w:rPr>
          <w:szCs w:val="25"/>
        </w:rPr>
        <w:t>. . .</w:t>
      </w:r>
      <w:r>
        <w:rPr>
          <w:szCs w:val="25"/>
        </w:rPr>
        <w:t>”</w:t>
      </w:r>
      <w:r w:rsidRPr="00954FE3">
        <w:rPr>
          <w:szCs w:val="25"/>
        </w:rPr>
        <w:t xml:space="preserve"> According to </w:t>
      </w:r>
      <w:r>
        <w:rPr>
          <w:szCs w:val="25"/>
        </w:rPr>
        <w:t>Schürmann</w:t>
      </w:r>
      <w:r w:rsidR="006F304D" w:rsidRPr="006F304D">
        <w:rPr>
          <w:szCs w:val="25"/>
        </w:rPr>
        <w:t xml:space="preserve">, </w:t>
      </w:r>
      <w:r>
        <w:rPr>
          <w:szCs w:val="25"/>
        </w:rPr>
        <w:t>“</w:t>
      </w:r>
      <w:r w:rsidRPr="00954FE3">
        <w:rPr>
          <w:szCs w:val="25"/>
        </w:rPr>
        <w:t>This introductory comment indicates a caesura; it begins something n</w:t>
      </w:r>
      <w:r>
        <w:rPr>
          <w:szCs w:val="25"/>
        </w:rPr>
        <w:t>ew</w:t>
      </w:r>
      <w:r w:rsidR="006F304D" w:rsidRPr="006F304D">
        <w:rPr>
          <w:szCs w:val="25"/>
        </w:rPr>
        <w:t xml:space="preserve">, </w:t>
      </w:r>
      <w:r>
        <w:rPr>
          <w:szCs w:val="25"/>
        </w:rPr>
        <w:t>arresting one’s attention.”</w:t>
      </w:r>
      <w:r>
        <w:rPr>
          <w:rStyle w:val="FootnoteReference"/>
          <w:szCs w:val="25"/>
        </w:rPr>
        <w:footnoteReference w:id="615"/>
      </w:r>
      <w:r w:rsidRPr="00954FE3">
        <w:rPr>
          <w:szCs w:val="25"/>
        </w:rPr>
        <w:t xml:space="preserve"> Furthermore</w:t>
      </w:r>
      <w:r w:rsidR="006F304D" w:rsidRPr="006F304D">
        <w:rPr>
          <w:szCs w:val="25"/>
        </w:rPr>
        <w:t xml:space="preserve">, </w:t>
      </w:r>
      <w:r w:rsidRPr="00954FE3">
        <w:rPr>
          <w:szCs w:val="25"/>
        </w:rPr>
        <w:t>he says</w:t>
      </w:r>
      <w:r w:rsidR="006F304D" w:rsidRPr="006F304D">
        <w:rPr>
          <w:szCs w:val="25"/>
        </w:rPr>
        <w:t xml:space="preserve">, </w:t>
      </w:r>
      <w:r w:rsidRPr="00CE06CA">
        <w:rPr>
          <w:bCs/>
          <w:szCs w:val="22"/>
          <w:lang w:val="el-GR"/>
        </w:rPr>
        <w:t>δὲ κα</w:t>
      </w:r>
      <w:r>
        <w:rPr>
          <w:bCs/>
          <w:szCs w:val="22"/>
          <w:lang w:val="el-GR"/>
        </w:rPr>
        <w:t>ί</w:t>
      </w:r>
      <w:r>
        <w:rPr>
          <w:szCs w:val="25"/>
        </w:rPr>
        <w:t xml:space="preserve"> </w:t>
      </w:r>
      <w:r w:rsidRPr="00954FE3">
        <w:rPr>
          <w:szCs w:val="25"/>
        </w:rPr>
        <w:t>reveals something important.”</w:t>
      </w:r>
      <w:r>
        <w:rPr>
          <w:rStyle w:val="FootnoteReference"/>
          <w:szCs w:val="25"/>
        </w:rPr>
        <w:footnoteReference w:id="616"/>
      </w:r>
      <w:r>
        <w:rPr>
          <w:szCs w:val="25"/>
        </w:rPr>
        <w:t xml:space="preserve"> </w:t>
      </w:r>
      <w:r w:rsidRPr="00954FE3">
        <w:rPr>
          <w:szCs w:val="25"/>
        </w:rPr>
        <w:t>Now</w:t>
      </w:r>
      <w:r w:rsidR="006F304D" w:rsidRPr="006F304D">
        <w:rPr>
          <w:szCs w:val="25"/>
        </w:rPr>
        <w:t xml:space="preserve">, </w:t>
      </w:r>
      <w:r w:rsidRPr="00954FE3">
        <w:rPr>
          <w:szCs w:val="25"/>
        </w:rPr>
        <w:t xml:space="preserve">we have already seen that 39a cannot be taken </w:t>
      </w:r>
      <w:r>
        <w:rPr>
          <w:szCs w:val="25"/>
        </w:rPr>
        <w:t>as a “formula of introduction.”</w:t>
      </w:r>
      <w:r>
        <w:rPr>
          <w:rStyle w:val="FootnoteReference"/>
          <w:szCs w:val="25"/>
        </w:rPr>
        <w:footnoteReference w:id="617"/>
      </w:r>
      <w:r w:rsidRPr="00954FE3">
        <w:rPr>
          <w:szCs w:val="25"/>
        </w:rPr>
        <w:t xml:space="preserve"> As to whether </w:t>
      </w:r>
      <w:r w:rsidRPr="00CE06CA">
        <w:rPr>
          <w:bCs/>
          <w:szCs w:val="22"/>
          <w:lang w:val="el-GR"/>
        </w:rPr>
        <w:t>δὲ κα</w:t>
      </w:r>
      <w:r>
        <w:rPr>
          <w:bCs/>
          <w:szCs w:val="22"/>
          <w:lang w:val="el-GR"/>
        </w:rPr>
        <w:t>ί</w:t>
      </w:r>
      <w:r>
        <w:rPr>
          <w:szCs w:val="25"/>
        </w:rPr>
        <w:t xml:space="preserve"> </w:t>
      </w:r>
      <w:r w:rsidRPr="00954FE3">
        <w:rPr>
          <w:szCs w:val="25"/>
        </w:rPr>
        <w:t>often indicates that what follows</w:t>
      </w:r>
      <w:r>
        <w:rPr>
          <w:szCs w:val="25"/>
        </w:rPr>
        <w:t xml:space="preserve"> is important (a kind of Greek “N.</w:t>
      </w:r>
      <w:r w:rsidRPr="00954FE3">
        <w:rPr>
          <w:szCs w:val="25"/>
        </w:rPr>
        <w:t xml:space="preserve">B.”): </w:t>
      </w:r>
      <w:r>
        <w:rPr>
          <w:szCs w:val="25"/>
        </w:rPr>
        <w:t>Schürmann</w:t>
      </w:r>
      <w:r w:rsidRPr="00954FE3">
        <w:rPr>
          <w:szCs w:val="25"/>
        </w:rPr>
        <w:t xml:space="preserve"> relies upon Dupont</w:t>
      </w:r>
      <w:r w:rsidR="006F304D" w:rsidRPr="006F304D">
        <w:rPr>
          <w:szCs w:val="25"/>
        </w:rPr>
        <w:t xml:space="preserve">, </w:t>
      </w:r>
      <w:r w:rsidRPr="00954FE3">
        <w:rPr>
          <w:szCs w:val="25"/>
        </w:rPr>
        <w:lastRenderedPageBreak/>
        <w:t>who relies upon Hawkins</w:t>
      </w:r>
      <w:r w:rsidR="006F304D" w:rsidRPr="006F304D">
        <w:rPr>
          <w:szCs w:val="25"/>
        </w:rPr>
        <w:t xml:space="preserve">, </w:t>
      </w:r>
      <w:r w:rsidRPr="00954FE3">
        <w:rPr>
          <w:szCs w:val="25"/>
        </w:rPr>
        <w:t>who avers no such thing</w:t>
      </w:r>
      <w:r w:rsidR="006F304D" w:rsidRPr="006F304D">
        <w:rPr>
          <w:szCs w:val="25"/>
        </w:rPr>
        <w:t xml:space="preserve">, </w:t>
      </w:r>
      <w:r w:rsidRPr="00954FE3">
        <w:rPr>
          <w:szCs w:val="25"/>
        </w:rPr>
        <w:t>but merely notes that</w:t>
      </w:r>
      <w:r>
        <w:rPr>
          <w:szCs w:val="25"/>
        </w:rPr>
        <w:t xml:space="preserve"> </w:t>
      </w:r>
      <w:r>
        <w:rPr>
          <w:bCs/>
          <w:szCs w:val="22"/>
          <w:lang w:val="el-GR"/>
        </w:rPr>
        <w:t>δὲ καί</w:t>
      </w:r>
      <w:r w:rsidRPr="00954FE3">
        <w:rPr>
          <w:szCs w:val="25"/>
        </w:rPr>
        <w:t xml:space="preserve"> is “characteristic of St. Luke</w:t>
      </w:r>
      <w:r>
        <w:rPr>
          <w:szCs w:val="25"/>
        </w:rPr>
        <w:t>. . .”</w:t>
      </w:r>
      <w:r>
        <w:rPr>
          <w:rStyle w:val="FootnoteReference"/>
          <w:szCs w:val="25"/>
        </w:rPr>
        <w:footnoteReference w:id="618"/>
      </w:r>
    </w:p>
    <w:p w14:paraId="18C4474C" w14:textId="24C16A4A" w:rsidR="0018433B" w:rsidRPr="00954FE3" w:rsidRDefault="0018433B" w:rsidP="0018433B">
      <w:pPr>
        <w:pStyle w:val="Style"/>
        <w:widowControl/>
        <w:jc w:val="both"/>
        <w:textAlignment w:val="baseline"/>
        <w:rPr>
          <w:szCs w:val="25"/>
        </w:rPr>
      </w:pPr>
      <w:r>
        <w:rPr>
          <w:szCs w:val="25"/>
        </w:rPr>
        <w:tab/>
      </w:r>
      <w:r w:rsidRPr="00954FE3">
        <w:rPr>
          <w:szCs w:val="25"/>
        </w:rPr>
        <w:t xml:space="preserve">(c) </w:t>
      </w:r>
      <w:r>
        <w:rPr>
          <w:szCs w:val="25"/>
        </w:rPr>
        <w:t>Schürmann</w:t>
      </w:r>
      <w:r w:rsidRPr="00954FE3">
        <w:rPr>
          <w:szCs w:val="25"/>
        </w:rPr>
        <w:t xml:space="preserve"> also looks for support to </w:t>
      </w:r>
      <w:r>
        <w:rPr>
          <w:szCs w:val="25"/>
        </w:rPr>
        <w:t>Günther Bornkamm</w:t>
      </w:r>
      <w:r w:rsidR="006F304D" w:rsidRPr="006F304D">
        <w:rPr>
          <w:szCs w:val="25"/>
        </w:rPr>
        <w:t xml:space="preserve">, </w:t>
      </w:r>
      <w:r>
        <w:rPr>
          <w:szCs w:val="25"/>
        </w:rPr>
        <w:t xml:space="preserve">who had noted </w:t>
      </w:r>
      <w:r w:rsidRPr="00954FE3">
        <w:rPr>
          <w:szCs w:val="25"/>
        </w:rPr>
        <w:t>that a warning against false teachings</w:t>
      </w:r>
      <w:r>
        <w:rPr>
          <w:szCs w:val="25"/>
        </w:rPr>
        <w:t xml:space="preserve"> is a common concluding motif (</w:t>
      </w:r>
      <w:proofErr w:type="spellStart"/>
      <w:r w:rsidRPr="00C502C4">
        <w:rPr>
          <w:i/>
          <w:szCs w:val="25"/>
        </w:rPr>
        <w:t>Schlußmotiv</w:t>
      </w:r>
      <w:proofErr w:type="spellEnd"/>
      <w:r w:rsidRPr="00954FE3">
        <w:rPr>
          <w:szCs w:val="25"/>
        </w:rPr>
        <w:t>) in early Christian instruction.</w:t>
      </w:r>
      <w:r>
        <w:rPr>
          <w:rStyle w:val="FootnoteReference"/>
          <w:szCs w:val="25"/>
        </w:rPr>
        <w:footnoteReference w:id="619"/>
      </w:r>
      <w:r w:rsidR="00775F9B" w:rsidRPr="00775F9B">
        <w:rPr>
          <w:iCs/>
          <w:szCs w:val="25"/>
        </w:rPr>
        <w:t xml:space="preserve"> </w:t>
      </w:r>
      <w:r>
        <w:rPr>
          <w:szCs w:val="25"/>
        </w:rPr>
        <w:t>Schürmann</w:t>
      </w:r>
      <w:r w:rsidRPr="00954FE3">
        <w:rPr>
          <w:szCs w:val="25"/>
        </w:rPr>
        <w:t xml:space="preserve"> attributes the motif not only</w:t>
      </w:r>
      <w:r w:rsidR="006F304D" w:rsidRPr="006F304D">
        <w:rPr>
          <w:szCs w:val="25"/>
        </w:rPr>
        <w:t xml:space="preserve">, </w:t>
      </w:r>
      <w:r w:rsidRPr="00954FE3">
        <w:rPr>
          <w:szCs w:val="25"/>
        </w:rPr>
        <w:t xml:space="preserve">with </w:t>
      </w:r>
      <w:proofErr w:type="spellStart"/>
      <w:r w:rsidRPr="00954FE3">
        <w:rPr>
          <w:szCs w:val="25"/>
        </w:rPr>
        <w:t>Bornkamm</w:t>
      </w:r>
      <w:proofErr w:type="spellEnd"/>
      <w:r w:rsidR="006F304D" w:rsidRPr="006F304D">
        <w:rPr>
          <w:szCs w:val="25"/>
        </w:rPr>
        <w:t xml:space="preserve">, </w:t>
      </w:r>
      <w:r w:rsidRPr="00C502C4">
        <w:rPr>
          <w:szCs w:val="25"/>
        </w:rPr>
        <w:t xml:space="preserve">to Matt </w:t>
      </w:r>
      <w:r w:rsidRPr="00C502C4">
        <w:rPr>
          <w:iCs/>
          <w:szCs w:val="26"/>
        </w:rPr>
        <w:t>5-</w:t>
      </w:r>
      <w:r w:rsidRPr="00C502C4">
        <w:rPr>
          <w:szCs w:val="25"/>
        </w:rPr>
        <w:t>7</w:t>
      </w:r>
      <w:r w:rsidR="006F304D" w:rsidRPr="006F304D">
        <w:rPr>
          <w:szCs w:val="25"/>
        </w:rPr>
        <w:t xml:space="preserve">, </w:t>
      </w:r>
      <w:r w:rsidRPr="00C502C4">
        <w:rPr>
          <w:szCs w:val="25"/>
        </w:rPr>
        <w:t xml:space="preserve">but also to </w:t>
      </w:r>
      <w:r w:rsidRPr="00954FE3">
        <w:rPr>
          <w:szCs w:val="25"/>
        </w:rPr>
        <w:t xml:space="preserve">Luke’s sermon and even to </w:t>
      </w:r>
      <w:r w:rsidRPr="00954FE3">
        <w:rPr>
          <w:szCs w:val="22"/>
        </w:rPr>
        <w:t xml:space="preserve">Q. </w:t>
      </w:r>
      <w:r w:rsidRPr="00954FE3">
        <w:rPr>
          <w:szCs w:val="25"/>
        </w:rPr>
        <w:t>To do so</w:t>
      </w:r>
      <w:r w:rsidR="006F304D" w:rsidRPr="006F304D">
        <w:rPr>
          <w:szCs w:val="25"/>
        </w:rPr>
        <w:t xml:space="preserve">, </w:t>
      </w:r>
      <w:r w:rsidRPr="00954FE3">
        <w:rPr>
          <w:szCs w:val="25"/>
        </w:rPr>
        <w:t>however</w:t>
      </w:r>
      <w:r w:rsidR="006F304D" w:rsidRPr="006F304D">
        <w:rPr>
          <w:szCs w:val="25"/>
        </w:rPr>
        <w:t xml:space="preserve">, </w:t>
      </w:r>
      <w:r>
        <w:rPr>
          <w:szCs w:val="25"/>
        </w:rPr>
        <w:t>Schürmann</w:t>
      </w:r>
      <w:r w:rsidRPr="00954FE3">
        <w:rPr>
          <w:szCs w:val="25"/>
        </w:rPr>
        <w:t xml:space="preserve"> has to add that in Luke 6:39-49 “this warning functions</w:t>
      </w:r>
      <w:r w:rsidR="006F304D" w:rsidRPr="006F304D">
        <w:rPr>
          <w:szCs w:val="25"/>
        </w:rPr>
        <w:t xml:space="preserve">, </w:t>
      </w:r>
      <w:r w:rsidRPr="00954FE3">
        <w:rPr>
          <w:szCs w:val="25"/>
        </w:rPr>
        <w:t>not only as a concluding motif</w:t>
      </w:r>
      <w:r w:rsidR="006F304D" w:rsidRPr="006F304D">
        <w:rPr>
          <w:szCs w:val="25"/>
        </w:rPr>
        <w:t xml:space="preserve">, </w:t>
      </w:r>
      <w:r w:rsidRPr="00954FE3">
        <w:rPr>
          <w:szCs w:val="25"/>
        </w:rPr>
        <w:t>but rather as</w:t>
      </w:r>
      <w:r>
        <w:rPr>
          <w:szCs w:val="25"/>
        </w:rPr>
        <w:t xml:space="preserve"> a thoroughgoing contrast motif.”</w:t>
      </w:r>
      <w:r>
        <w:rPr>
          <w:rStyle w:val="FootnoteReference"/>
          <w:szCs w:val="25"/>
        </w:rPr>
        <w:footnoteReference w:id="620"/>
      </w:r>
      <w:r>
        <w:rPr>
          <w:szCs w:val="25"/>
        </w:rPr>
        <w:t xml:space="preserve"> </w:t>
      </w:r>
      <w:r w:rsidRPr="00954FE3">
        <w:rPr>
          <w:szCs w:val="25"/>
        </w:rPr>
        <w:t xml:space="preserve">But </w:t>
      </w:r>
      <w:proofErr w:type="spellStart"/>
      <w:r w:rsidRPr="00954FE3">
        <w:rPr>
          <w:szCs w:val="25"/>
        </w:rPr>
        <w:t>Bornkamm’s</w:t>
      </w:r>
      <w:proofErr w:type="spellEnd"/>
      <w:r w:rsidRPr="00954FE3">
        <w:rPr>
          <w:szCs w:val="25"/>
        </w:rPr>
        <w:t xml:space="preserve"> observation has to do with the </w:t>
      </w:r>
      <w:r w:rsidRPr="00954FE3">
        <w:rPr>
          <w:i/>
          <w:iCs/>
        </w:rPr>
        <w:t>genre</w:t>
      </w:r>
      <w:r w:rsidRPr="00C502C4">
        <w:rPr>
          <w:iCs/>
        </w:rPr>
        <w:t xml:space="preserve"> </w:t>
      </w:r>
      <w:r w:rsidRPr="00954FE3">
        <w:rPr>
          <w:szCs w:val="25"/>
        </w:rPr>
        <w:t xml:space="preserve">of early Christian instruction; </w:t>
      </w:r>
      <w:r>
        <w:rPr>
          <w:szCs w:val="25"/>
        </w:rPr>
        <w:t>Schürmann</w:t>
      </w:r>
      <w:r w:rsidRPr="00954FE3">
        <w:rPr>
          <w:szCs w:val="25"/>
        </w:rPr>
        <w:t xml:space="preserve"> transfers Bornkamm’s observation </w:t>
      </w:r>
      <w:r>
        <w:rPr>
          <w:szCs w:val="25"/>
        </w:rPr>
        <w:t xml:space="preserve">of </w:t>
      </w:r>
      <w:r w:rsidRPr="00954FE3">
        <w:rPr>
          <w:szCs w:val="25"/>
        </w:rPr>
        <w:t>the middle of an early sermon and changes its nature</w:t>
      </w:r>
      <w:r w:rsidR="006F304D" w:rsidRPr="006F304D">
        <w:rPr>
          <w:szCs w:val="25"/>
        </w:rPr>
        <w:t xml:space="preserve">, </w:t>
      </w:r>
      <w:r w:rsidRPr="00954FE3">
        <w:rPr>
          <w:szCs w:val="25"/>
        </w:rPr>
        <w:t>from concluding to concluding contrast motif. In the process</w:t>
      </w:r>
      <w:r w:rsidR="006F304D" w:rsidRPr="006F304D">
        <w:rPr>
          <w:szCs w:val="25"/>
        </w:rPr>
        <w:t xml:space="preserve">, </w:t>
      </w:r>
      <w:proofErr w:type="spellStart"/>
      <w:r w:rsidRPr="00954FE3">
        <w:rPr>
          <w:szCs w:val="25"/>
        </w:rPr>
        <w:t>Bornkamm’s</w:t>
      </w:r>
      <w:proofErr w:type="spellEnd"/>
      <w:r w:rsidRPr="00954FE3">
        <w:rPr>
          <w:szCs w:val="25"/>
        </w:rPr>
        <w:t xml:space="preserve"> observation becomes irrele</w:t>
      </w:r>
      <w:r>
        <w:rPr>
          <w:szCs w:val="25"/>
        </w:rPr>
        <w:t>vant</w:t>
      </w:r>
      <w:r w:rsidRPr="00954FE3">
        <w:rPr>
          <w:szCs w:val="25"/>
        </w:rPr>
        <w:t xml:space="preserve"> and </w:t>
      </w:r>
      <w:r>
        <w:rPr>
          <w:szCs w:val="25"/>
        </w:rPr>
        <w:t xml:space="preserve">hence </w:t>
      </w:r>
      <w:r w:rsidRPr="00954FE3">
        <w:rPr>
          <w:szCs w:val="25"/>
        </w:rPr>
        <w:t xml:space="preserve">provides no support for </w:t>
      </w:r>
      <w:r>
        <w:rPr>
          <w:szCs w:val="25"/>
        </w:rPr>
        <w:t>Schürmann</w:t>
      </w:r>
      <w:r w:rsidRPr="00954FE3">
        <w:rPr>
          <w:szCs w:val="25"/>
        </w:rPr>
        <w:t>’s interpretation of the sermon.</w:t>
      </w:r>
    </w:p>
    <w:p w14:paraId="3CEFF20C" w14:textId="77777777" w:rsidR="0018433B" w:rsidRPr="00954FE3" w:rsidRDefault="0018433B" w:rsidP="0018433B">
      <w:pPr>
        <w:pStyle w:val="Style"/>
        <w:widowControl/>
        <w:jc w:val="both"/>
        <w:textAlignment w:val="baseline"/>
        <w:rPr>
          <w:szCs w:val="25"/>
        </w:rPr>
      </w:pPr>
      <w:r>
        <w:rPr>
          <w:szCs w:val="25"/>
        </w:rPr>
        <w:tab/>
        <w:t>(</w:t>
      </w:r>
      <w:r w:rsidRPr="00954FE3">
        <w:rPr>
          <w:szCs w:val="25"/>
        </w:rPr>
        <w:t xml:space="preserve">d) </w:t>
      </w:r>
      <w:r>
        <w:rPr>
          <w:szCs w:val="25"/>
        </w:rPr>
        <w:t>Schürmann</w:t>
      </w:r>
      <w:r w:rsidRPr="00954FE3">
        <w:rPr>
          <w:szCs w:val="25"/>
        </w:rPr>
        <w:t>’s best justification for seeing false teachers in verses 39-45 is references in related texts to false teachers.</w:t>
      </w:r>
    </w:p>
    <w:p w14:paraId="5C257C1E" w14:textId="77777777" w:rsidR="0018433B" w:rsidRDefault="0018433B" w:rsidP="0018433B">
      <w:pPr>
        <w:pStyle w:val="Style"/>
        <w:widowControl/>
        <w:jc w:val="both"/>
        <w:textAlignment w:val="baseline"/>
        <w:rPr>
          <w:szCs w:val="25"/>
        </w:rPr>
      </w:pPr>
    </w:p>
    <w:p w14:paraId="251768DC" w14:textId="78D13EE3" w:rsidR="0018433B" w:rsidRPr="00954FE3" w:rsidRDefault="0018433B" w:rsidP="0018433B">
      <w:pPr>
        <w:pStyle w:val="Style"/>
        <w:widowControl/>
        <w:ind w:left="3240" w:hanging="2520"/>
        <w:jc w:val="both"/>
        <w:textAlignment w:val="baseline"/>
        <w:rPr>
          <w:szCs w:val="25"/>
        </w:rPr>
      </w:pPr>
      <w:r>
        <w:rPr>
          <w:szCs w:val="25"/>
        </w:rPr>
        <w:t>Matt 7:15-23</w:t>
      </w:r>
      <w:r>
        <w:rPr>
          <w:szCs w:val="25"/>
        </w:rPr>
        <w:tab/>
        <w:t>Matthew’s parallel to Luke 6:43-46</w:t>
      </w:r>
      <w:r w:rsidR="006F304D" w:rsidRPr="006F304D">
        <w:rPr>
          <w:szCs w:val="25"/>
        </w:rPr>
        <w:t xml:space="preserve">, </w:t>
      </w:r>
      <w:r w:rsidRPr="00954FE3">
        <w:rPr>
          <w:szCs w:val="25"/>
        </w:rPr>
        <w:t>where the “fruits” are explicitly associated with “false prophets” an</w:t>
      </w:r>
      <w:r>
        <w:rPr>
          <w:szCs w:val="25"/>
        </w:rPr>
        <w:t>d ravenous wolves.</w:t>
      </w:r>
      <w:r w:rsidRPr="00954FE3">
        <w:rPr>
          <w:szCs w:val="25"/>
        </w:rPr>
        <w:t>”</w:t>
      </w:r>
    </w:p>
    <w:p w14:paraId="0E1E9139" w14:textId="77777777" w:rsidR="0018433B" w:rsidRPr="00954FE3" w:rsidRDefault="0018433B" w:rsidP="0018433B">
      <w:pPr>
        <w:pStyle w:val="Style"/>
        <w:widowControl/>
        <w:ind w:left="3240" w:hanging="2520"/>
        <w:jc w:val="both"/>
        <w:textAlignment w:val="baseline"/>
        <w:rPr>
          <w:szCs w:val="25"/>
        </w:rPr>
      </w:pPr>
      <w:r w:rsidRPr="00954FE3">
        <w:rPr>
          <w:szCs w:val="25"/>
        </w:rPr>
        <w:t>Luke</w:t>
      </w:r>
      <w:r>
        <w:rPr>
          <w:szCs w:val="25"/>
        </w:rPr>
        <w:t xml:space="preserve"> </w:t>
      </w:r>
      <w:r w:rsidRPr="00954FE3">
        <w:rPr>
          <w:szCs w:val="25"/>
        </w:rPr>
        <w:t>1:4</w:t>
      </w:r>
      <w:r>
        <w:rPr>
          <w:szCs w:val="25"/>
        </w:rPr>
        <w:tab/>
      </w:r>
      <w:r w:rsidRPr="00954FE3">
        <w:rPr>
          <w:szCs w:val="25"/>
        </w:rPr>
        <w:t>“</w:t>
      </w:r>
      <w:r>
        <w:rPr>
          <w:szCs w:val="25"/>
        </w:rPr>
        <w:t xml:space="preserve">. . . </w:t>
      </w:r>
      <w:r w:rsidRPr="00954FE3">
        <w:rPr>
          <w:szCs w:val="25"/>
        </w:rPr>
        <w:t>that</w:t>
      </w:r>
      <w:r>
        <w:rPr>
          <w:szCs w:val="25"/>
        </w:rPr>
        <w:t xml:space="preserve"> </w:t>
      </w:r>
      <w:r w:rsidRPr="00954FE3">
        <w:rPr>
          <w:szCs w:val="25"/>
        </w:rPr>
        <w:t>you</w:t>
      </w:r>
      <w:r>
        <w:rPr>
          <w:szCs w:val="25"/>
        </w:rPr>
        <w:t xml:space="preserve"> </w:t>
      </w:r>
      <w:r w:rsidRPr="00954FE3">
        <w:rPr>
          <w:szCs w:val="25"/>
        </w:rPr>
        <w:t>may</w:t>
      </w:r>
      <w:r>
        <w:rPr>
          <w:szCs w:val="25"/>
        </w:rPr>
        <w:t xml:space="preserve"> </w:t>
      </w:r>
      <w:r w:rsidRPr="00954FE3">
        <w:rPr>
          <w:szCs w:val="25"/>
        </w:rPr>
        <w:t>know</w:t>
      </w:r>
      <w:r>
        <w:rPr>
          <w:szCs w:val="25"/>
        </w:rPr>
        <w:t xml:space="preserve"> </w:t>
      </w:r>
      <w:r w:rsidRPr="00954FE3">
        <w:rPr>
          <w:szCs w:val="25"/>
        </w:rPr>
        <w:t>the</w:t>
      </w:r>
      <w:r>
        <w:rPr>
          <w:szCs w:val="25"/>
        </w:rPr>
        <w:t xml:space="preserve"> </w:t>
      </w:r>
      <w:r w:rsidRPr="00954FE3">
        <w:rPr>
          <w:szCs w:val="25"/>
        </w:rPr>
        <w:t>truth</w:t>
      </w:r>
      <w:r>
        <w:rPr>
          <w:szCs w:val="25"/>
        </w:rPr>
        <w:t xml:space="preserve"> </w:t>
      </w:r>
      <w:r w:rsidRPr="00954FE3">
        <w:rPr>
          <w:szCs w:val="25"/>
        </w:rPr>
        <w:t>concerning</w:t>
      </w:r>
      <w:r>
        <w:rPr>
          <w:szCs w:val="25"/>
        </w:rPr>
        <w:t xml:space="preserve"> </w:t>
      </w:r>
      <w:r w:rsidRPr="00954FE3">
        <w:rPr>
          <w:szCs w:val="25"/>
        </w:rPr>
        <w:t>the</w:t>
      </w:r>
      <w:r>
        <w:rPr>
          <w:szCs w:val="25"/>
        </w:rPr>
        <w:t xml:space="preserve"> </w:t>
      </w:r>
      <w:r w:rsidRPr="00954FE3">
        <w:rPr>
          <w:szCs w:val="25"/>
        </w:rPr>
        <w:t>things of which you have been in</w:t>
      </w:r>
      <w:r>
        <w:rPr>
          <w:szCs w:val="25"/>
        </w:rPr>
        <w:t>struct</w:t>
      </w:r>
      <w:r w:rsidRPr="00954FE3">
        <w:rPr>
          <w:szCs w:val="25"/>
        </w:rPr>
        <w:t>ed.”</w:t>
      </w:r>
    </w:p>
    <w:p w14:paraId="45B5EE41" w14:textId="20DDEE21" w:rsidR="0018433B" w:rsidRPr="00954FE3" w:rsidRDefault="0018433B" w:rsidP="0018433B">
      <w:pPr>
        <w:pStyle w:val="Style"/>
        <w:widowControl/>
        <w:ind w:left="3240" w:hanging="2520"/>
        <w:jc w:val="both"/>
        <w:textAlignment w:val="baseline"/>
        <w:rPr>
          <w:szCs w:val="25"/>
        </w:rPr>
      </w:pPr>
      <w:r>
        <w:rPr>
          <w:szCs w:val="25"/>
        </w:rPr>
        <w:t>Luke 6:20-26;</w:t>
      </w:r>
      <w:r w:rsidRPr="00954FE3">
        <w:rPr>
          <w:szCs w:val="25"/>
        </w:rPr>
        <w:t xml:space="preserve"> 6:46-47</w:t>
      </w:r>
      <w:r>
        <w:rPr>
          <w:szCs w:val="25"/>
        </w:rPr>
        <w:tab/>
        <w:t>“</w:t>
      </w:r>
      <w:r w:rsidRPr="00954FE3">
        <w:rPr>
          <w:szCs w:val="25"/>
        </w:rPr>
        <w:t>Woe</w:t>
      </w:r>
      <w:r>
        <w:rPr>
          <w:szCs w:val="25"/>
        </w:rPr>
        <w:t xml:space="preserve"> </w:t>
      </w:r>
      <w:r w:rsidRPr="00954FE3">
        <w:rPr>
          <w:szCs w:val="25"/>
        </w:rPr>
        <w:t>to</w:t>
      </w:r>
      <w:r>
        <w:rPr>
          <w:szCs w:val="25"/>
        </w:rPr>
        <w:t xml:space="preserve"> you </w:t>
      </w:r>
      <w:r w:rsidRPr="00954FE3">
        <w:rPr>
          <w:szCs w:val="25"/>
        </w:rPr>
        <w:t>when</w:t>
      </w:r>
      <w:r>
        <w:rPr>
          <w:szCs w:val="25"/>
        </w:rPr>
        <w:t xml:space="preserve"> </w:t>
      </w:r>
      <w:r w:rsidRPr="00954FE3">
        <w:rPr>
          <w:szCs w:val="25"/>
        </w:rPr>
        <w:t>all</w:t>
      </w:r>
      <w:r>
        <w:rPr>
          <w:szCs w:val="25"/>
        </w:rPr>
        <w:t xml:space="preserve"> </w:t>
      </w:r>
      <w:r w:rsidRPr="00954FE3">
        <w:rPr>
          <w:szCs w:val="25"/>
        </w:rPr>
        <w:t>men</w:t>
      </w:r>
      <w:r>
        <w:rPr>
          <w:szCs w:val="25"/>
        </w:rPr>
        <w:t xml:space="preserve"> </w:t>
      </w:r>
      <w:r w:rsidRPr="00954FE3">
        <w:rPr>
          <w:szCs w:val="25"/>
        </w:rPr>
        <w:t>speak</w:t>
      </w:r>
      <w:r>
        <w:rPr>
          <w:szCs w:val="25"/>
        </w:rPr>
        <w:t xml:space="preserve"> </w:t>
      </w:r>
      <w:r w:rsidRPr="00954FE3">
        <w:rPr>
          <w:szCs w:val="25"/>
        </w:rPr>
        <w:t>well</w:t>
      </w:r>
      <w:r>
        <w:rPr>
          <w:szCs w:val="25"/>
        </w:rPr>
        <w:t xml:space="preserve"> </w:t>
      </w:r>
      <w:r w:rsidRPr="00954FE3">
        <w:rPr>
          <w:szCs w:val="25"/>
        </w:rPr>
        <w:t>of</w:t>
      </w:r>
      <w:r>
        <w:rPr>
          <w:szCs w:val="25"/>
        </w:rPr>
        <w:t xml:space="preserve"> </w:t>
      </w:r>
      <w:r w:rsidRPr="00954FE3">
        <w:rPr>
          <w:szCs w:val="25"/>
        </w:rPr>
        <w:t>you</w:t>
      </w:r>
      <w:r w:rsidR="006F304D" w:rsidRPr="006F304D">
        <w:rPr>
          <w:szCs w:val="25"/>
        </w:rPr>
        <w:t xml:space="preserve">, </w:t>
      </w:r>
      <w:r w:rsidRPr="00954FE3">
        <w:rPr>
          <w:szCs w:val="25"/>
        </w:rPr>
        <w:t>for</w:t>
      </w:r>
      <w:r>
        <w:rPr>
          <w:szCs w:val="25"/>
        </w:rPr>
        <w:t xml:space="preserve"> that is what </w:t>
      </w:r>
      <w:r w:rsidRPr="00954FE3">
        <w:rPr>
          <w:szCs w:val="25"/>
        </w:rPr>
        <w:t>their fathers did to the false prophets.”</w:t>
      </w:r>
      <w:r>
        <w:rPr>
          <w:szCs w:val="25"/>
        </w:rPr>
        <w:t xml:space="preserve"> </w:t>
      </w:r>
      <w:r w:rsidRPr="00954FE3">
        <w:rPr>
          <w:szCs w:val="25"/>
        </w:rPr>
        <w:t>Even the contrasted pairs in the sermon’s intro</w:t>
      </w:r>
      <w:r w:rsidRPr="00954FE3">
        <w:rPr>
          <w:szCs w:val="25"/>
        </w:rPr>
        <w:softHyphen/>
        <w:t>duction and conclusion (beatitudes and woes</w:t>
      </w:r>
      <w:r w:rsidR="006F304D" w:rsidRPr="006F304D">
        <w:rPr>
          <w:szCs w:val="25"/>
        </w:rPr>
        <w:t xml:space="preserve">, </w:t>
      </w:r>
      <w:r w:rsidRPr="00954FE3">
        <w:rPr>
          <w:szCs w:val="25"/>
        </w:rPr>
        <w:t>parable of the two houses) refer</w:t>
      </w:r>
      <w:r w:rsidR="006F304D" w:rsidRPr="006F304D">
        <w:rPr>
          <w:szCs w:val="25"/>
        </w:rPr>
        <w:t xml:space="preserve">, </w:t>
      </w:r>
      <w:r w:rsidRPr="00954FE3">
        <w:rPr>
          <w:szCs w:val="25"/>
        </w:rPr>
        <w:t xml:space="preserve">according to </w:t>
      </w:r>
      <w:r>
        <w:rPr>
          <w:szCs w:val="25"/>
        </w:rPr>
        <w:t>Schürmann</w:t>
      </w:r>
      <w:r w:rsidR="006F304D" w:rsidRPr="006F304D">
        <w:rPr>
          <w:szCs w:val="25"/>
        </w:rPr>
        <w:t xml:space="preserve">, </w:t>
      </w:r>
      <w:r w:rsidRPr="00954FE3">
        <w:rPr>
          <w:szCs w:val="25"/>
        </w:rPr>
        <w:t>to authentic and counterfeit Chris</w:t>
      </w:r>
      <w:r w:rsidRPr="00954FE3">
        <w:rPr>
          <w:szCs w:val="25"/>
        </w:rPr>
        <w:softHyphen/>
        <w:t>tian factions.</w:t>
      </w:r>
    </w:p>
    <w:p w14:paraId="6F821671" w14:textId="5C8DE9D4" w:rsidR="0018433B" w:rsidRDefault="0018433B" w:rsidP="0018433B">
      <w:pPr>
        <w:pStyle w:val="Style"/>
        <w:widowControl/>
        <w:ind w:left="3240" w:hanging="2520"/>
        <w:jc w:val="both"/>
        <w:textAlignment w:val="baseline"/>
        <w:rPr>
          <w:szCs w:val="25"/>
        </w:rPr>
      </w:pPr>
      <w:r w:rsidRPr="00954FE3">
        <w:rPr>
          <w:szCs w:val="25"/>
        </w:rPr>
        <w:t>Acts</w:t>
      </w:r>
      <w:r>
        <w:rPr>
          <w:szCs w:val="25"/>
        </w:rPr>
        <w:t xml:space="preserve"> 20:29-30</w:t>
      </w:r>
      <w:r>
        <w:rPr>
          <w:szCs w:val="25"/>
        </w:rPr>
        <w:tab/>
      </w:r>
      <w:r w:rsidRPr="00954FE3">
        <w:rPr>
          <w:szCs w:val="25"/>
        </w:rPr>
        <w:t>Paul</w:t>
      </w:r>
      <w:r>
        <w:rPr>
          <w:szCs w:val="25"/>
        </w:rPr>
        <w:t xml:space="preserve"> </w:t>
      </w:r>
      <w:r w:rsidRPr="00954FE3">
        <w:rPr>
          <w:szCs w:val="25"/>
        </w:rPr>
        <w:t>to</w:t>
      </w:r>
      <w:r>
        <w:rPr>
          <w:szCs w:val="25"/>
        </w:rPr>
        <w:t xml:space="preserve"> </w:t>
      </w:r>
      <w:r w:rsidRPr="00954FE3">
        <w:rPr>
          <w:szCs w:val="25"/>
        </w:rPr>
        <w:t>the</w:t>
      </w:r>
      <w:r>
        <w:rPr>
          <w:szCs w:val="25"/>
        </w:rPr>
        <w:t xml:space="preserve"> </w:t>
      </w:r>
      <w:r w:rsidRPr="00954FE3">
        <w:rPr>
          <w:szCs w:val="25"/>
        </w:rPr>
        <w:t>Ephesian</w:t>
      </w:r>
      <w:r>
        <w:rPr>
          <w:szCs w:val="25"/>
        </w:rPr>
        <w:t xml:space="preserve"> </w:t>
      </w:r>
      <w:r w:rsidRPr="00954FE3">
        <w:rPr>
          <w:szCs w:val="25"/>
        </w:rPr>
        <w:t>elders:</w:t>
      </w:r>
      <w:r>
        <w:rPr>
          <w:szCs w:val="25"/>
        </w:rPr>
        <w:t xml:space="preserve"> “</w:t>
      </w:r>
      <w:r w:rsidRPr="00E65B99">
        <w:rPr>
          <w:szCs w:val="25"/>
        </w:rPr>
        <w:t>I know that after I have gone</w:t>
      </w:r>
      <w:r w:rsidR="006F304D" w:rsidRPr="006F304D">
        <w:rPr>
          <w:szCs w:val="25"/>
        </w:rPr>
        <w:t xml:space="preserve">, </w:t>
      </w:r>
      <w:r w:rsidRPr="00E65B99">
        <w:rPr>
          <w:szCs w:val="25"/>
        </w:rPr>
        <w:t>savage wolves will come in among you</w:t>
      </w:r>
      <w:r w:rsidR="006F304D" w:rsidRPr="006F304D">
        <w:rPr>
          <w:szCs w:val="25"/>
        </w:rPr>
        <w:t xml:space="preserve">, </w:t>
      </w:r>
      <w:r w:rsidRPr="00E65B99">
        <w:rPr>
          <w:szCs w:val="25"/>
        </w:rPr>
        <w:t>not sparing the flock.</w:t>
      </w:r>
      <w:r>
        <w:rPr>
          <w:szCs w:val="25"/>
        </w:rPr>
        <w:t xml:space="preserve"> </w:t>
      </w:r>
      <w:r w:rsidRPr="00E65B99">
        <w:rPr>
          <w:kern w:val="2"/>
          <w:szCs w:val="25"/>
          <w:vertAlign w:val="superscript"/>
        </w:rPr>
        <w:t>30</w:t>
      </w:r>
      <w:r w:rsidRPr="00E65B99">
        <w:rPr>
          <w:szCs w:val="25"/>
        </w:rPr>
        <w:t xml:space="preserve"> Some even from your own group will come distorting the truth in order to entice the disciples to follow them.</w:t>
      </w:r>
      <w:r w:rsidRPr="00954FE3">
        <w:rPr>
          <w:szCs w:val="25"/>
        </w:rPr>
        <w:t>”</w:t>
      </w:r>
      <w:r>
        <w:rPr>
          <w:rStyle w:val="FootnoteReference"/>
          <w:szCs w:val="25"/>
        </w:rPr>
        <w:footnoteReference w:id="621"/>
      </w:r>
    </w:p>
    <w:p w14:paraId="6CA3DD4A" w14:textId="77777777" w:rsidR="0018433B" w:rsidRPr="00954FE3" w:rsidRDefault="0018433B" w:rsidP="0018433B">
      <w:pPr>
        <w:pStyle w:val="Style"/>
        <w:widowControl/>
        <w:jc w:val="both"/>
        <w:textAlignment w:val="baseline"/>
        <w:rPr>
          <w:szCs w:val="25"/>
        </w:rPr>
      </w:pPr>
    </w:p>
    <w:p w14:paraId="656D63FB" w14:textId="2EEF266F" w:rsidR="0018433B" w:rsidRPr="00954FE3" w:rsidRDefault="0018433B" w:rsidP="0018433B">
      <w:pPr>
        <w:pStyle w:val="Style"/>
        <w:widowControl/>
        <w:jc w:val="both"/>
        <w:textAlignment w:val="baseline"/>
        <w:rPr>
          <w:szCs w:val="2"/>
          <w:vertAlign w:val="superscript"/>
        </w:rPr>
      </w:pPr>
      <w:r w:rsidRPr="00954FE3">
        <w:rPr>
          <w:szCs w:val="25"/>
        </w:rPr>
        <w:t>Yet none of these references is necessarily relevant to Luke 6:39-45. Matthew’s application of the tree-and-fruit passage in his sermon cannot determine Luke’s application of it in his; Matthew himself applies the tree-and-fruit comparison differently in Matthew 12:33-37 (the Beelzebul con</w:t>
      </w:r>
      <w:r>
        <w:rPr>
          <w:szCs w:val="25"/>
        </w:rPr>
        <w:t>troversy).</w:t>
      </w:r>
      <w:r>
        <w:rPr>
          <w:rStyle w:val="FootnoteReference"/>
          <w:szCs w:val="25"/>
        </w:rPr>
        <w:footnoteReference w:id="622"/>
      </w:r>
      <w:r w:rsidRPr="00954FE3">
        <w:rPr>
          <w:szCs w:val="25"/>
        </w:rPr>
        <w:t xml:space="preserve"> Paul’s speech in Acts 20</w:t>
      </w:r>
      <w:r w:rsidR="006F304D" w:rsidRPr="006F304D">
        <w:rPr>
          <w:szCs w:val="25"/>
        </w:rPr>
        <w:t xml:space="preserve">, </w:t>
      </w:r>
      <w:r w:rsidRPr="00954FE3">
        <w:rPr>
          <w:szCs w:val="25"/>
        </w:rPr>
        <w:t>too</w:t>
      </w:r>
      <w:r w:rsidR="006F304D" w:rsidRPr="006F304D">
        <w:rPr>
          <w:szCs w:val="25"/>
        </w:rPr>
        <w:t xml:space="preserve">, </w:t>
      </w:r>
      <w:r w:rsidRPr="00954FE3">
        <w:rPr>
          <w:szCs w:val="25"/>
        </w:rPr>
        <w:t>which is given decades later</w:t>
      </w:r>
      <w:r w:rsidR="006F304D" w:rsidRPr="006F304D">
        <w:rPr>
          <w:szCs w:val="25"/>
        </w:rPr>
        <w:t xml:space="preserve">, </w:t>
      </w:r>
      <w:r w:rsidRPr="00954FE3">
        <w:rPr>
          <w:szCs w:val="25"/>
        </w:rPr>
        <w:t xml:space="preserve">is not obviously relevant to a programmatic sermon near the beginning of Jesus’ ministry. The references within the gospel </w:t>
      </w:r>
      <w:r w:rsidRPr="00954FE3">
        <w:rPr>
          <w:szCs w:val="25"/>
        </w:rPr>
        <w:lastRenderedPageBreak/>
        <w:t>of Luke itself are no more persuasive: 1:4 does not imply that false teachings are competing for Theophilus’ understanding of Christianity; 6:26 refers</w:t>
      </w:r>
      <w:r w:rsidR="006F304D" w:rsidRPr="006F304D">
        <w:rPr>
          <w:szCs w:val="25"/>
        </w:rPr>
        <w:t xml:space="preserve">, </w:t>
      </w:r>
      <w:r w:rsidRPr="00954FE3">
        <w:rPr>
          <w:szCs w:val="25"/>
        </w:rPr>
        <w:t>not to false Christian teachers</w:t>
      </w:r>
      <w:r w:rsidR="006F304D" w:rsidRPr="006F304D">
        <w:rPr>
          <w:szCs w:val="25"/>
        </w:rPr>
        <w:t xml:space="preserve">, </w:t>
      </w:r>
      <w:r w:rsidRPr="00954FE3">
        <w:rPr>
          <w:szCs w:val="25"/>
        </w:rPr>
        <w:t>but to Old Testament false prophets; and the sermon’s intro</w:t>
      </w:r>
      <w:r w:rsidRPr="00954FE3">
        <w:rPr>
          <w:szCs w:val="25"/>
        </w:rPr>
        <w:softHyphen/>
        <w:t>duction and conclusion</w:t>
      </w:r>
      <w:r w:rsidR="006F304D" w:rsidRPr="006F304D">
        <w:rPr>
          <w:szCs w:val="25"/>
        </w:rPr>
        <w:t xml:space="preserve">, </w:t>
      </w:r>
      <w:r w:rsidRPr="00954FE3">
        <w:rPr>
          <w:szCs w:val="25"/>
        </w:rPr>
        <w:t>though pointing out good and bad courses to follow</w:t>
      </w:r>
      <w:r w:rsidR="006F304D" w:rsidRPr="006F304D">
        <w:rPr>
          <w:szCs w:val="25"/>
        </w:rPr>
        <w:t xml:space="preserve">, </w:t>
      </w:r>
      <w:r w:rsidRPr="00954FE3">
        <w:rPr>
          <w:szCs w:val="25"/>
        </w:rPr>
        <w:t xml:space="preserve">do not contrast Jesus with false Christian teachers so much as instantiate the </w:t>
      </w:r>
      <w:r>
        <w:rPr>
          <w:szCs w:val="25"/>
        </w:rPr>
        <w:t>standard liter</w:t>
      </w:r>
      <w:r>
        <w:rPr>
          <w:szCs w:val="25"/>
        </w:rPr>
        <w:softHyphen/>
        <w:t>ary form of the “</w:t>
      </w:r>
      <w:r w:rsidRPr="00954FE3">
        <w:rPr>
          <w:szCs w:val="25"/>
        </w:rPr>
        <w:t>two ways.</w:t>
      </w:r>
      <w:r>
        <w:rPr>
          <w:szCs w:val="25"/>
        </w:rPr>
        <w:t>”</w:t>
      </w:r>
      <w:r>
        <w:rPr>
          <w:rStyle w:val="FootnoteReference"/>
          <w:szCs w:val="25"/>
        </w:rPr>
        <w:footnoteReference w:id="623"/>
      </w:r>
    </w:p>
    <w:p w14:paraId="30A17704" w14:textId="1629B445" w:rsidR="0018433B" w:rsidRDefault="0018433B" w:rsidP="0018433B">
      <w:pPr>
        <w:pStyle w:val="Style"/>
        <w:widowControl/>
        <w:jc w:val="both"/>
        <w:textAlignment w:val="baseline"/>
        <w:rPr>
          <w:szCs w:val="25"/>
        </w:rPr>
      </w:pPr>
      <w:r>
        <w:rPr>
          <w:szCs w:val="25"/>
        </w:rPr>
        <w:tab/>
      </w:r>
      <w:r w:rsidRPr="00954FE3">
        <w:rPr>
          <w:szCs w:val="25"/>
        </w:rPr>
        <w:t xml:space="preserve">One possible reference to false Christian teachers which </w:t>
      </w:r>
      <w:r>
        <w:rPr>
          <w:szCs w:val="25"/>
        </w:rPr>
        <w:t>Schürmann appar</w:t>
      </w:r>
      <w:r w:rsidRPr="00954FE3">
        <w:rPr>
          <w:szCs w:val="25"/>
        </w:rPr>
        <w:t>ently overlooks is Luke 17:23</w:t>
      </w:r>
      <w:r w:rsidR="006F304D" w:rsidRPr="006F304D">
        <w:rPr>
          <w:szCs w:val="25"/>
        </w:rPr>
        <w:t xml:space="preserve">, </w:t>
      </w:r>
      <w:r w:rsidRPr="00954FE3">
        <w:rPr>
          <w:szCs w:val="25"/>
        </w:rPr>
        <w:t xml:space="preserve">which </w:t>
      </w:r>
      <w:r>
        <w:rPr>
          <w:szCs w:val="25"/>
        </w:rPr>
        <w:t xml:space="preserve">with </w:t>
      </w:r>
      <w:r w:rsidRPr="00954FE3">
        <w:rPr>
          <w:szCs w:val="25"/>
        </w:rPr>
        <w:t>its context reads:</w:t>
      </w:r>
    </w:p>
    <w:p w14:paraId="3D5F9E55" w14:textId="77777777" w:rsidR="0018433B" w:rsidRDefault="0018433B" w:rsidP="0018433B">
      <w:pPr>
        <w:autoSpaceDE w:val="0"/>
        <w:autoSpaceDN w:val="0"/>
        <w:adjustRightInd w:val="0"/>
        <w:rPr>
          <w:kern w:val="0"/>
          <w:szCs w:val="20"/>
        </w:rPr>
      </w:pPr>
    </w:p>
    <w:p w14:paraId="184A0078" w14:textId="783E7994" w:rsidR="0018433B" w:rsidRDefault="0018433B" w:rsidP="0018433B">
      <w:pPr>
        <w:autoSpaceDE w:val="0"/>
        <w:autoSpaceDN w:val="0"/>
        <w:adjustRightInd w:val="0"/>
        <w:ind w:left="720" w:right="720"/>
        <w:rPr>
          <w:kern w:val="0"/>
          <w:sz w:val="20"/>
          <w:szCs w:val="20"/>
        </w:rPr>
      </w:pPr>
      <w:r w:rsidRPr="00B151ED">
        <w:rPr>
          <w:szCs w:val="20"/>
          <w:vertAlign w:val="superscript"/>
        </w:rPr>
        <w:t>20</w:t>
      </w:r>
      <w:r>
        <w:rPr>
          <w:kern w:val="0"/>
          <w:szCs w:val="20"/>
        </w:rPr>
        <w:t xml:space="preserve"> </w:t>
      </w:r>
      <w:r w:rsidRPr="00B151ED">
        <w:rPr>
          <w:kern w:val="0"/>
          <w:szCs w:val="20"/>
        </w:rPr>
        <w:t>Once Jesus was asked by the Pharisees when the kingdom of God was coming</w:t>
      </w:r>
      <w:r w:rsidR="006F304D" w:rsidRPr="006F304D">
        <w:rPr>
          <w:kern w:val="0"/>
          <w:szCs w:val="20"/>
        </w:rPr>
        <w:t xml:space="preserve">, </w:t>
      </w:r>
      <w:r w:rsidRPr="00B151ED">
        <w:rPr>
          <w:kern w:val="0"/>
          <w:szCs w:val="20"/>
        </w:rPr>
        <w:t>and he answered</w:t>
      </w:r>
      <w:r w:rsidR="006F304D" w:rsidRPr="006F304D">
        <w:rPr>
          <w:kern w:val="0"/>
          <w:szCs w:val="20"/>
        </w:rPr>
        <w:t xml:space="preserve">, </w:t>
      </w:r>
      <w:r>
        <w:rPr>
          <w:kern w:val="0"/>
          <w:szCs w:val="20"/>
        </w:rPr>
        <w:t>“</w:t>
      </w:r>
      <w:r w:rsidRPr="00B151ED">
        <w:rPr>
          <w:kern w:val="0"/>
          <w:szCs w:val="20"/>
        </w:rPr>
        <w:t xml:space="preserve">The kingdom of God is not coming with things that can be observed; </w:t>
      </w:r>
      <w:r w:rsidRPr="00B151ED">
        <w:rPr>
          <w:kern w:val="0"/>
          <w:szCs w:val="20"/>
          <w:vertAlign w:val="superscript"/>
        </w:rPr>
        <w:t>21</w:t>
      </w:r>
      <w:r w:rsidRPr="00B151ED">
        <w:rPr>
          <w:kern w:val="0"/>
          <w:szCs w:val="20"/>
        </w:rPr>
        <w:t xml:space="preserve"> nor will they say</w:t>
      </w:r>
      <w:r w:rsidR="006F304D" w:rsidRPr="006F304D">
        <w:rPr>
          <w:kern w:val="0"/>
          <w:szCs w:val="20"/>
        </w:rPr>
        <w:t xml:space="preserve">, </w:t>
      </w:r>
      <w:r>
        <w:rPr>
          <w:kern w:val="0"/>
          <w:szCs w:val="20"/>
        </w:rPr>
        <w:t>‘</w:t>
      </w:r>
      <w:r w:rsidRPr="00B151ED">
        <w:rPr>
          <w:kern w:val="0"/>
          <w:szCs w:val="20"/>
        </w:rPr>
        <w:t>Look</w:t>
      </w:r>
      <w:r w:rsidR="006F304D" w:rsidRPr="006F304D">
        <w:rPr>
          <w:kern w:val="0"/>
          <w:szCs w:val="20"/>
        </w:rPr>
        <w:t xml:space="preserve">, </w:t>
      </w:r>
      <w:r w:rsidRPr="00B151ED">
        <w:rPr>
          <w:kern w:val="0"/>
          <w:szCs w:val="20"/>
        </w:rPr>
        <w:t>here it is!</w:t>
      </w:r>
      <w:r>
        <w:rPr>
          <w:kern w:val="0"/>
          <w:szCs w:val="20"/>
        </w:rPr>
        <w:t>’</w:t>
      </w:r>
      <w:r w:rsidRPr="00B151ED">
        <w:rPr>
          <w:kern w:val="0"/>
          <w:szCs w:val="20"/>
        </w:rPr>
        <w:t xml:space="preserve"> or </w:t>
      </w:r>
      <w:r>
        <w:rPr>
          <w:kern w:val="0"/>
          <w:szCs w:val="20"/>
        </w:rPr>
        <w:t>‘</w:t>
      </w:r>
      <w:r w:rsidRPr="00B151ED">
        <w:rPr>
          <w:kern w:val="0"/>
          <w:szCs w:val="20"/>
        </w:rPr>
        <w:t>There it is!</w:t>
      </w:r>
      <w:r>
        <w:rPr>
          <w:kern w:val="0"/>
          <w:szCs w:val="20"/>
        </w:rPr>
        <w:t>’</w:t>
      </w:r>
      <w:r w:rsidRPr="00B151ED">
        <w:rPr>
          <w:kern w:val="0"/>
          <w:szCs w:val="20"/>
        </w:rPr>
        <w:t xml:space="preserve"> For</w:t>
      </w:r>
      <w:r w:rsidR="006F304D" w:rsidRPr="006F304D">
        <w:rPr>
          <w:kern w:val="0"/>
          <w:szCs w:val="20"/>
        </w:rPr>
        <w:t xml:space="preserve">, </w:t>
      </w:r>
      <w:r w:rsidRPr="00B151ED">
        <w:rPr>
          <w:kern w:val="0"/>
          <w:szCs w:val="20"/>
        </w:rPr>
        <w:t>in fact</w:t>
      </w:r>
      <w:r w:rsidR="006F304D" w:rsidRPr="006F304D">
        <w:rPr>
          <w:kern w:val="0"/>
          <w:szCs w:val="20"/>
        </w:rPr>
        <w:t xml:space="preserve">, </w:t>
      </w:r>
      <w:r w:rsidRPr="00B151ED">
        <w:rPr>
          <w:kern w:val="0"/>
          <w:szCs w:val="20"/>
        </w:rPr>
        <w:t>the kingdom of God is among you.</w:t>
      </w:r>
      <w:r>
        <w:rPr>
          <w:kern w:val="0"/>
          <w:szCs w:val="20"/>
        </w:rPr>
        <w:t>”</w:t>
      </w:r>
      <w:r w:rsidRPr="00B151ED">
        <w:rPr>
          <w:kern w:val="0"/>
          <w:szCs w:val="20"/>
        </w:rPr>
        <w:t xml:space="preserve"> </w:t>
      </w:r>
      <w:r w:rsidRPr="00B151ED">
        <w:rPr>
          <w:kern w:val="0"/>
          <w:szCs w:val="20"/>
          <w:vertAlign w:val="superscript"/>
        </w:rPr>
        <w:t>22</w:t>
      </w:r>
      <w:r w:rsidRPr="00B151ED">
        <w:rPr>
          <w:kern w:val="0"/>
          <w:szCs w:val="20"/>
        </w:rPr>
        <w:t xml:space="preserve"> Then he said to the disciples</w:t>
      </w:r>
      <w:r w:rsidR="006F304D" w:rsidRPr="006F304D">
        <w:rPr>
          <w:kern w:val="0"/>
          <w:szCs w:val="20"/>
        </w:rPr>
        <w:t xml:space="preserve">, </w:t>
      </w:r>
      <w:r>
        <w:rPr>
          <w:kern w:val="0"/>
          <w:szCs w:val="20"/>
        </w:rPr>
        <w:t>“</w:t>
      </w:r>
      <w:r w:rsidRPr="00B151ED">
        <w:rPr>
          <w:kern w:val="0"/>
          <w:szCs w:val="20"/>
        </w:rPr>
        <w:t>The days are coming when you will long to see one of the days of the Son of Man</w:t>
      </w:r>
      <w:r w:rsidR="006F304D" w:rsidRPr="006F304D">
        <w:rPr>
          <w:kern w:val="0"/>
          <w:szCs w:val="20"/>
        </w:rPr>
        <w:t xml:space="preserve">, </w:t>
      </w:r>
      <w:r w:rsidRPr="00B151ED">
        <w:rPr>
          <w:kern w:val="0"/>
          <w:szCs w:val="20"/>
        </w:rPr>
        <w:t xml:space="preserve">and you will not see it. </w:t>
      </w:r>
      <w:r w:rsidRPr="00B151ED">
        <w:rPr>
          <w:kern w:val="0"/>
          <w:szCs w:val="20"/>
          <w:vertAlign w:val="superscript"/>
        </w:rPr>
        <w:t>23</w:t>
      </w:r>
      <w:r w:rsidRPr="00B151ED">
        <w:rPr>
          <w:kern w:val="0"/>
          <w:szCs w:val="20"/>
        </w:rPr>
        <w:t xml:space="preserve"> They will say to you</w:t>
      </w:r>
      <w:r w:rsidR="006F304D" w:rsidRPr="006F304D">
        <w:rPr>
          <w:kern w:val="0"/>
          <w:szCs w:val="20"/>
        </w:rPr>
        <w:t xml:space="preserve">, </w:t>
      </w:r>
      <w:r>
        <w:rPr>
          <w:kern w:val="0"/>
          <w:szCs w:val="20"/>
        </w:rPr>
        <w:t>‘</w:t>
      </w:r>
      <w:r w:rsidRPr="00B151ED">
        <w:rPr>
          <w:kern w:val="0"/>
          <w:szCs w:val="20"/>
        </w:rPr>
        <w:t>Look there!</w:t>
      </w:r>
      <w:r>
        <w:rPr>
          <w:kern w:val="0"/>
          <w:szCs w:val="20"/>
        </w:rPr>
        <w:t>’</w:t>
      </w:r>
      <w:r w:rsidRPr="00B151ED">
        <w:rPr>
          <w:kern w:val="0"/>
          <w:szCs w:val="20"/>
        </w:rPr>
        <w:t xml:space="preserve"> or </w:t>
      </w:r>
      <w:r>
        <w:rPr>
          <w:kern w:val="0"/>
          <w:szCs w:val="20"/>
        </w:rPr>
        <w:t>‘</w:t>
      </w:r>
      <w:r w:rsidRPr="00B151ED">
        <w:rPr>
          <w:kern w:val="0"/>
          <w:szCs w:val="20"/>
        </w:rPr>
        <w:t>Look here!</w:t>
      </w:r>
      <w:r>
        <w:rPr>
          <w:kern w:val="0"/>
          <w:szCs w:val="20"/>
        </w:rPr>
        <w:t>’</w:t>
      </w:r>
      <w:r w:rsidRPr="00B151ED">
        <w:rPr>
          <w:kern w:val="0"/>
          <w:szCs w:val="20"/>
        </w:rPr>
        <w:t xml:space="preserve"> Do not go</w:t>
      </w:r>
      <w:r w:rsidR="006F304D" w:rsidRPr="006F304D">
        <w:rPr>
          <w:kern w:val="0"/>
          <w:szCs w:val="20"/>
        </w:rPr>
        <w:t xml:space="preserve">, </w:t>
      </w:r>
      <w:r w:rsidRPr="00B151ED">
        <w:rPr>
          <w:kern w:val="0"/>
          <w:szCs w:val="20"/>
        </w:rPr>
        <w:t>do not set off in pursuit.</w:t>
      </w:r>
    </w:p>
    <w:p w14:paraId="6A00AA0C" w14:textId="77777777" w:rsidR="0018433B" w:rsidRDefault="0018433B" w:rsidP="0018433B">
      <w:pPr>
        <w:pStyle w:val="Style"/>
        <w:widowControl/>
        <w:jc w:val="both"/>
        <w:textAlignment w:val="baseline"/>
        <w:rPr>
          <w:szCs w:val="25"/>
        </w:rPr>
      </w:pPr>
    </w:p>
    <w:p w14:paraId="36887FE0" w14:textId="7B2102D8" w:rsidR="0018433B" w:rsidRPr="00954FE3" w:rsidRDefault="0018433B" w:rsidP="0018433B">
      <w:pPr>
        <w:pStyle w:val="Style"/>
        <w:widowControl/>
        <w:jc w:val="both"/>
        <w:textAlignment w:val="baseline"/>
        <w:rPr>
          <w:szCs w:val="25"/>
        </w:rPr>
      </w:pPr>
      <w:r w:rsidRPr="00954FE3">
        <w:rPr>
          <w:szCs w:val="25"/>
        </w:rPr>
        <w:t xml:space="preserve">Luke does not specify to whom </w:t>
      </w:r>
      <w:r>
        <w:rPr>
          <w:szCs w:val="25"/>
        </w:rPr>
        <w:t>“</w:t>
      </w:r>
      <w:r w:rsidRPr="00954FE3">
        <w:rPr>
          <w:szCs w:val="25"/>
        </w:rPr>
        <w:t xml:space="preserve">they” </w:t>
      </w:r>
      <w:r>
        <w:rPr>
          <w:szCs w:val="25"/>
        </w:rPr>
        <w:t xml:space="preserve">in verse 23 </w:t>
      </w:r>
      <w:r w:rsidRPr="00954FE3">
        <w:rPr>
          <w:szCs w:val="25"/>
        </w:rPr>
        <w:t>refers. This is a notable omission</w:t>
      </w:r>
      <w:r w:rsidR="006F304D" w:rsidRPr="006F304D">
        <w:rPr>
          <w:szCs w:val="25"/>
        </w:rPr>
        <w:t xml:space="preserve">, </w:t>
      </w:r>
      <w:r w:rsidRPr="00954FE3">
        <w:rPr>
          <w:szCs w:val="25"/>
        </w:rPr>
        <w:t>for the parallels of this passage in Mark and Matthew imply much more strongly the existence of false Christian teachers. Mark 13:21-22 reads (Matt 24:23-24 is almost identical):</w:t>
      </w:r>
    </w:p>
    <w:p w14:paraId="2D9E9555" w14:textId="77777777" w:rsidR="0018433B" w:rsidRDefault="0018433B" w:rsidP="0018433B">
      <w:pPr>
        <w:autoSpaceDE w:val="0"/>
        <w:autoSpaceDN w:val="0"/>
        <w:adjustRightInd w:val="0"/>
        <w:rPr>
          <w:kern w:val="0"/>
          <w:szCs w:val="20"/>
        </w:rPr>
      </w:pPr>
    </w:p>
    <w:p w14:paraId="37D3B95E" w14:textId="4376186F" w:rsidR="0018433B" w:rsidRPr="00B151ED" w:rsidRDefault="0018433B" w:rsidP="0018433B">
      <w:pPr>
        <w:autoSpaceDE w:val="0"/>
        <w:autoSpaceDN w:val="0"/>
        <w:adjustRightInd w:val="0"/>
        <w:ind w:left="720" w:right="720"/>
        <w:rPr>
          <w:kern w:val="0"/>
          <w:szCs w:val="32"/>
        </w:rPr>
      </w:pPr>
      <w:r w:rsidRPr="00B151ED">
        <w:rPr>
          <w:kern w:val="0"/>
          <w:szCs w:val="20"/>
        </w:rPr>
        <w:t>And if anyone says to you at that time</w:t>
      </w:r>
      <w:r w:rsidR="006F304D" w:rsidRPr="006F304D">
        <w:rPr>
          <w:kern w:val="0"/>
          <w:szCs w:val="20"/>
        </w:rPr>
        <w:t xml:space="preserve">, </w:t>
      </w:r>
      <w:r>
        <w:rPr>
          <w:kern w:val="0"/>
          <w:szCs w:val="20"/>
        </w:rPr>
        <w:t>‘</w:t>
      </w:r>
      <w:r w:rsidRPr="00B151ED">
        <w:rPr>
          <w:kern w:val="0"/>
          <w:szCs w:val="20"/>
        </w:rPr>
        <w:t>Look! Here is the Messiah!</w:t>
      </w:r>
      <w:r>
        <w:rPr>
          <w:kern w:val="0"/>
          <w:szCs w:val="20"/>
        </w:rPr>
        <w:t>’</w:t>
      </w:r>
      <w:r w:rsidRPr="00B151ED">
        <w:rPr>
          <w:kern w:val="0"/>
          <w:szCs w:val="20"/>
        </w:rPr>
        <w:t xml:space="preserve"> or </w:t>
      </w:r>
      <w:r>
        <w:rPr>
          <w:kern w:val="0"/>
          <w:szCs w:val="20"/>
        </w:rPr>
        <w:t>‘</w:t>
      </w:r>
      <w:r w:rsidRPr="00B151ED">
        <w:rPr>
          <w:kern w:val="0"/>
          <w:szCs w:val="20"/>
        </w:rPr>
        <w:t>Look! There he is!</w:t>
      </w:r>
      <w:r>
        <w:rPr>
          <w:kern w:val="0"/>
          <w:szCs w:val="20"/>
        </w:rPr>
        <w:t>’—</w:t>
      </w:r>
      <w:r w:rsidRPr="00B151ED">
        <w:rPr>
          <w:kern w:val="0"/>
          <w:szCs w:val="20"/>
        </w:rPr>
        <w:t xml:space="preserve">do not believe it. </w:t>
      </w:r>
      <w:r w:rsidRPr="00B151ED">
        <w:rPr>
          <w:kern w:val="0"/>
          <w:szCs w:val="20"/>
          <w:vertAlign w:val="superscript"/>
        </w:rPr>
        <w:t>22</w:t>
      </w:r>
      <w:r w:rsidRPr="00B151ED">
        <w:rPr>
          <w:kern w:val="0"/>
          <w:szCs w:val="20"/>
        </w:rPr>
        <w:t xml:space="preserve"> False messiahs and false prophets will appear and produce signs and omens</w:t>
      </w:r>
      <w:r w:rsidR="006F304D" w:rsidRPr="006F304D">
        <w:rPr>
          <w:kern w:val="0"/>
          <w:szCs w:val="20"/>
        </w:rPr>
        <w:t xml:space="preserve">, </w:t>
      </w:r>
      <w:r w:rsidRPr="00B151ED">
        <w:rPr>
          <w:kern w:val="0"/>
          <w:szCs w:val="20"/>
        </w:rPr>
        <w:t>to lead astray</w:t>
      </w:r>
      <w:r w:rsidR="006F304D" w:rsidRPr="006F304D">
        <w:rPr>
          <w:kern w:val="0"/>
          <w:szCs w:val="20"/>
        </w:rPr>
        <w:t xml:space="preserve">, </w:t>
      </w:r>
      <w:r w:rsidRPr="00B151ED">
        <w:rPr>
          <w:kern w:val="0"/>
          <w:szCs w:val="20"/>
        </w:rPr>
        <w:t>if possible</w:t>
      </w:r>
      <w:r w:rsidR="006F304D" w:rsidRPr="006F304D">
        <w:rPr>
          <w:kern w:val="0"/>
          <w:szCs w:val="20"/>
        </w:rPr>
        <w:t xml:space="preserve">, </w:t>
      </w:r>
      <w:r w:rsidRPr="00B151ED">
        <w:rPr>
          <w:kern w:val="0"/>
          <w:szCs w:val="20"/>
        </w:rPr>
        <w:t>the elect.</w:t>
      </w:r>
    </w:p>
    <w:p w14:paraId="507B1CAB" w14:textId="77777777" w:rsidR="0018433B" w:rsidRDefault="0018433B" w:rsidP="0018433B">
      <w:pPr>
        <w:pStyle w:val="Style"/>
        <w:widowControl/>
        <w:jc w:val="both"/>
        <w:textAlignment w:val="baseline"/>
        <w:rPr>
          <w:szCs w:val="25"/>
        </w:rPr>
      </w:pPr>
    </w:p>
    <w:p w14:paraId="1E07BDF1" w14:textId="17729027" w:rsidR="0018433B" w:rsidRPr="00954FE3" w:rsidRDefault="0018433B" w:rsidP="0018433B">
      <w:pPr>
        <w:pStyle w:val="Style"/>
        <w:widowControl/>
        <w:jc w:val="both"/>
        <w:textAlignment w:val="baseline"/>
        <w:rPr>
          <w:szCs w:val="25"/>
        </w:rPr>
      </w:pPr>
      <w:r w:rsidRPr="00954FE3">
        <w:rPr>
          <w:szCs w:val="25"/>
        </w:rPr>
        <w:t>Since</w:t>
      </w:r>
      <w:r w:rsidR="006F304D" w:rsidRPr="006F304D">
        <w:rPr>
          <w:szCs w:val="25"/>
        </w:rPr>
        <w:t xml:space="preserve">, </w:t>
      </w:r>
      <w:r w:rsidRPr="00954FE3">
        <w:rPr>
          <w:szCs w:val="25"/>
        </w:rPr>
        <w:t>according to the two-source theory</w:t>
      </w:r>
      <w:r w:rsidR="006F304D" w:rsidRPr="006F304D">
        <w:rPr>
          <w:szCs w:val="25"/>
        </w:rPr>
        <w:t xml:space="preserve">, </w:t>
      </w:r>
      <w:r w:rsidRPr="00954FE3">
        <w:rPr>
          <w:szCs w:val="25"/>
        </w:rPr>
        <w:t>Luke took 17:23 from Mark 13:21-22</w:t>
      </w:r>
      <w:r w:rsidR="006F304D" w:rsidRPr="006F304D">
        <w:rPr>
          <w:szCs w:val="25"/>
        </w:rPr>
        <w:t xml:space="preserve">, </w:t>
      </w:r>
      <w:r w:rsidRPr="00954FE3">
        <w:rPr>
          <w:szCs w:val="25"/>
        </w:rPr>
        <w:t xml:space="preserve">Luke’s suppression of the statement that “false </w:t>
      </w:r>
      <w:r>
        <w:rPr>
          <w:szCs w:val="25"/>
        </w:rPr>
        <w:t xml:space="preserve">messiahs </w:t>
      </w:r>
      <w:r w:rsidRPr="00954FE3">
        <w:rPr>
          <w:szCs w:val="25"/>
        </w:rPr>
        <w:t xml:space="preserve">and false prophets will </w:t>
      </w:r>
      <w:r>
        <w:rPr>
          <w:szCs w:val="25"/>
        </w:rPr>
        <w:t>appear</w:t>
      </w:r>
      <w:r w:rsidRPr="00954FE3">
        <w:rPr>
          <w:szCs w:val="25"/>
        </w:rPr>
        <w:t>” suggests that</w:t>
      </w:r>
      <w:r w:rsidR="006F304D" w:rsidRPr="006F304D">
        <w:rPr>
          <w:szCs w:val="25"/>
        </w:rPr>
        <w:t xml:space="preserve">, </w:t>
      </w:r>
      <w:r w:rsidRPr="00954FE3">
        <w:rPr>
          <w:szCs w:val="25"/>
        </w:rPr>
        <w:t>far from emphasizing the existence of false Christian teachers</w:t>
      </w:r>
      <w:r w:rsidR="006F304D" w:rsidRPr="006F304D">
        <w:rPr>
          <w:szCs w:val="25"/>
        </w:rPr>
        <w:t xml:space="preserve">, </w:t>
      </w:r>
      <w:r w:rsidRPr="00954FE3">
        <w:rPr>
          <w:szCs w:val="25"/>
        </w:rPr>
        <w:t>he was little concerned with them.</w:t>
      </w:r>
    </w:p>
    <w:p w14:paraId="2A0E76A8" w14:textId="386E769D" w:rsidR="0018433B" w:rsidRPr="004A5366" w:rsidRDefault="0018433B" w:rsidP="0018433B">
      <w:pPr>
        <w:pStyle w:val="Style"/>
        <w:widowControl/>
        <w:jc w:val="both"/>
        <w:textAlignment w:val="baseline"/>
        <w:rPr>
          <w:szCs w:val="25"/>
        </w:rPr>
      </w:pPr>
      <w:r>
        <w:rPr>
          <w:szCs w:val="25"/>
        </w:rPr>
        <w:tab/>
        <w:t>Schürmann</w:t>
      </w:r>
      <w:r w:rsidRPr="00954FE3">
        <w:rPr>
          <w:szCs w:val="25"/>
        </w:rPr>
        <w:t>’s argument for making 39-45 a major section</w:t>
      </w:r>
      <w:r w:rsidR="006F304D" w:rsidRPr="006F304D">
        <w:rPr>
          <w:szCs w:val="25"/>
        </w:rPr>
        <w:t xml:space="preserve">, </w:t>
      </w:r>
      <w:r w:rsidRPr="00954FE3">
        <w:rPr>
          <w:szCs w:val="25"/>
        </w:rPr>
        <w:t>then</w:t>
      </w:r>
      <w:r w:rsidR="006F304D" w:rsidRPr="006F304D">
        <w:rPr>
          <w:szCs w:val="25"/>
        </w:rPr>
        <w:t xml:space="preserve">, </w:t>
      </w:r>
      <w:r w:rsidRPr="00954FE3">
        <w:rPr>
          <w:szCs w:val="25"/>
        </w:rPr>
        <w:t>disintegrates when exam</w:t>
      </w:r>
      <w:r>
        <w:rPr>
          <w:szCs w:val="25"/>
        </w:rPr>
        <w:t xml:space="preserve">ined closely. </w:t>
      </w:r>
      <w:r w:rsidRPr="00954FE3">
        <w:rPr>
          <w:szCs w:val="25"/>
        </w:rPr>
        <w:t xml:space="preserve">But </w:t>
      </w:r>
      <w:r>
        <w:rPr>
          <w:szCs w:val="25"/>
        </w:rPr>
        <w:t xml:space="preserve">that means that </w:t>
      </w:r>
      <w:r w:rsidRPr="00954FE3">
        <w:rPr>
          <w:szCs w:val="25"/>
        </w:rPr>
        <w:t>we have now seen that none of the reasons for proposing a major break in the sermon on the plain at verse 39 carries any force.</w:t>
      </w:r>
      <w:r>
        <w:rPr>
          <w:szCs w:val="25"/>
        </w:rPr>
        <w:t xml:space="preserve"> </w:t>
      </w:r>
      <w:r w:rsidRPr="00954FE3">
        <w:rPr>
          <w:szCs w:val="25"/>
        </w:rPr>
        <w:t xml:space="preserve">Plummer’s reliance on the editorial comment of 39a; nor </w:t>
      </w:r>
      <w:proofErr w:type="spellStart"/>
      <w:r w:rsidRPr="00954FE3">
        <w:rPr>
          <w:szCs w:val="25"/>
        </w:rPr>
        <w:t>Heinrici’s</w:t>
      </w:r>
      <w:proofErr w:type="spellEnd"/>
      <w:r w:rsidRPr="00954FE3">
        <w:rPr>
          <w:szCs w:val="25"/>
        </w:rPr>
        <w:t xml:space="preserve"> distinction into genres; nor Grundmann’s</w:t>
      </w:r>
      <w:r w:rsidR="006F304D" w:rsidRPr="006F304D">
        <w:rPr>
          <w:szCs w:val="25"/>
        </w:rPr>
        <w:t xml:space="preserve">, </w:t>
      </w:r>
      <w:r w:rsidRPr="00954FE3">
        <w:rPr>
          <w:szCs w:val="25"/>
        </w:rPr>
        <w:t>Ellis’</w:t>
      </w:r>
      <w:r w:rsidR="006F304D" w:rsidRPr="006F304D">
        <w:rPr>
          <w:szCs w:val="25"/>
        </w:rPr>
        <w:t xml:space="preserve">, </w:t>
      </w:r>
      <w:r w:rsidRPr="00954FE3">
        <w:rPr>
          <w:szCs w:val="25"/>
        </w:rPr>
        <w:t xml:space="preserve">and Lagrange’s restriction of 39-49 to a smaller circle of disciples; nor Easton’s contrast between positive and negative sections; nor </w:t>
      </w:r>
      <w:r>
        <w:rPr>
          <w:szCs w:val="25"/>
        </w:rPr>
        <w:t>Schürmann</w:t>
      </w:r>
      <w:r w:rsidRPr="00954FE3">
        <w:rPr>
          <w:szCs w:val="25"/>
        </w:rPr>
        <w:t>’s discernment of false teachers in 39-45</w:t>
      </w:r>
      <w:r w:rsidRPr="00F624D6">
        <w:rPr>
          <w:szCs w:val="25"/>
        </w:rPr>
        <w:t>—</w:t>
      </w:r>
      <w:r w:rsidRPr="00954FE3">
        <w:rPr>
          <w:szCs w:val="25"/>
        </w:rPr>
        <w:t>none of these arguments is adequate to support the view that 27-38 and 39-49 are coordinate</w:t>
      </w:r>
      <w:r w:rsidR="006F304D" w:rsidRPr="006F304D">
        <w:rPr>
          <w:szCs w:val="25"/>
        </w:rPr>
        <w:t xml:space="preserve">, </w:t>
      </w:r>
      <w:r w:rsidRPr="00954FE3">
        <w:rPr>
          <w:szCs w:val="25"/>
        </w:rPr>
        <w:t>major sec</w:t>
      </w:r>
      <w:r>
        <w:rPr>
          <w:szCs w:val="25"/>
        </w:rPr>
        <w:t>tions.</w:t>
      </w:r>
      <w:r>
        <w:rPr>
          <w:rStyle w:val="FootnoteReference"/>
          <w:szCs w:val="25"/>
        </w:rPr>
        <w:footnoteReference w:id="624"/>
      </w:r>
    </w:p>
    <w:p w14:paraId="07EAD60A" w14:textId="20929D9E" w:rsidR="0018433B" w:rsidRPr="00954FE3" w:rsidRDefault="0018433B" w:rsidP="0018433B">
      <w:pPr>
        <w:pStyle w:val="Style"/>
        <w:widowControl/>
        <w:jc w:val="both"/>
        <w:textAlignment w:val="baseline"/>
        <w:rPr>
          <w:szCs w:val="25"/>
        </w:rPr>
      </w:pPr>
      <w:r>
        <w:rPr>
          <w:szCs w:val="25"/>
        </w:rPr>
        <w:lastRenderedPageBreak/>
        <w:tab/>
      </w:r>
      <w:r w:rsidRPr="00954FE3">
        <w:rPr>
          <w:szCs w:val="25"/>
        </w:rPr>
        <w:t>All of these attempts to divide the sermon at verse 39 suffer from a defect we</w:t>
      </w:r>
      <w:r>
        <w:rPr>
          <w:szCs w:val="25"/>
        </w:rPr>
        <w:t xml:space="preserve"> </w:t>
      </w:r>
      <w:r w:rsidRPr="00954FE3">
        <w:rPr>
          <w:szCs w:val="25"/>
        </w:rPr>
        <w:t>have not yet considered: the inclusion of 37-38 with 27-36.</w:t>
      </w:r>
      <w:r>
        <w:rPr>
          <w:szCs w:val="25"/>
        </w:rPr>
        <w:t xml:space="preserve"> “Judge not”</w:t>
      </w:r>
      <w:r w:rsidRPr="00954FE3">
        <w:rPr>
          <w:szCs w:val="25"/>
        </w:rPr>
        <w:t xml:space="preserve"> can address the topic of love of enemies only if judging and condemning are limited to someone who has done wrong to one (forgiving certainly requires this limitation); so restricted</w:t>
      </w:r>
      <w:r w:rsidR="006F304D" w:rsidRPr="006F304D">
        <w:rPr>
          <w:szCs w:val="25"/>
        </w:rPr>
        <w:t xml:space="preserve">, </w:t>
      </w:r>
      <w:r w:rsidRPr="00954FE3">
        <w:rPr>
          <w:szCs w:val="25"/>
        </w:rPr>
        <w:t xml:space="preserve">37-38 may refer only to persons who might be called </w:t>
      </w:r>
      <w:r>
        <w:rPr>
          <w:szCs w:val="25"/>
        </w:rPr>
        <w:t>“</w:t>
      </w:r>
      <w:r w:rsidRPr="00954FE3">
        <w:rPr>
          <w:szCs w:val="25"/>
        </w:rPr>
        <w:t>enemies.” But the probable original connection of “judge not</w:t>
      </w:r>
      <w:r>
        <w:rPr>
          <w:szCs w:val="25"/>
        </w:rPr>
        <w:t>”</w:t>
      </w:r>
      <w:r w:rsidRPr="00954FE3">
        <w:rPr>
          <w:szCs w:val="25"/>
        </w:rPr>
        <w:t xml:space="preserve"> with the speck</w:t>
      </w:r>
      <w:r>
        <w:rPr>
          <w:szCs w:val="25"/>
        </w:rPr>
        <w:t xml:space="preserve"> and log parable (cf. Matt 7:1-</w:t>
      </w:r>
      <w:r w:rsidRPr="00954FE3">
        <w:rPr>
          <w:szCs w:val="25"/>
        </w:rPr>
        <w:t>5</w:t>
      </w:r>
      <w:r>
        <w:rPr>
          <w:szCs w:val="25"/>
        </w:rPr>
        <w:t>),</w:t>
      </w:r>
      <w:r>
        <w:rPr>
          <w:rStyle w:val="FootnoteReference"/>
          <w:szCs w:val="25"/>
        </w:rPr>
        <w:footnoteReference w:id="625"/>
      </w:r>
      <w:r w:rsidRPr="00954FE3">
        <w:rPr>
          <w:szCs w:val="21"/>
        </w:rPr>
        <w:t xml:space="preserve"> </w:t>
      </w:r>
      <w:r w:rsidRPr="00954FE3">
        <w:rPr>
          <w:szCs w:val="25"/>
        </w:rPr>
        <w:t xml:space="preserve">and the certainty that the speck and log parable does </w:t>
      </w:r>
      <w:r w:rsidRPr="00954FE3">
        <w:rPr>
          <w:i/>
          <w:iCs/>
          <w:szCs w:val="25"/>
        </w:rPr>
        <w:t>not</w:t>
      </w:r>
      <w:r w:rsidRPr="004A5366">
        <w:rPr>
          <w:iCs/>
          <w:szCs w:val="25"/>
        </w:rPr>
        <w:t xml:space="preserve"> </w:t>
      </w:r>
      <w:r w:rsidRPr="00954FE3">
        <w:rPr>
          <w:szCs w:val="25"/>
        </w:rPr>
        <w:t>refer to love of</w:t>
      </w:r>
      <w:r>
        <w:rPr>
          <w:szCs w:val="25"/>
        </w:rPr>
        <w:t xml:space="preserve"> </w:t>
      </w:r>
      <w:r w:rsidRPr="00954FE3">
        <w:rPr>
          <w:szCs w:val="25"/>
        </w:rPr>
        <w:lastRenderedPageBreak/>
        <w:t>one’s enemies (</w:t>
      </w:r>
      <w:r>
        <w:rPr>
          <w:szCs w:val="25"/>
        </w:rPr>
        <w:t>Luke 6:</w:t>
      </w:r>
      <w:r w:rsidRPr="00954FE3">
        <w:rPr>
          <w:szCs w:val="25"/>
        </w:rPr>
        <w:t>42</w:t>
      </w:r>
      <w:r>
        <w:rPr>
          <w:szCs w:val="25"/>
        </w:rPr>
        <w:t>b</w:t>
      </w:r>
      <w:r w:rsidR="006F304D" w:rsidRPr="006F304D">
        <w:rPr>
          <w:szCs w:val="25"/>
        </w:rPr>
        <w:t xml:space="preserve">, </w:t>
      </w:r>
      <w:r>
        <w:rPr>
          <w:szCs w:val="25"/>
        </w:rPr>
        <w:t>“</w:t>
      </w:r>
      <w:r w:rsidRPr="00CD75A6">
        <w:t>Friend</w:t>
      </w:r>
      <w:r w:rsidRPr="00954FE3">
        <w:rPr>
          <w:szCs w:val="25"/>
        </w:rPr>
        <w:t>”)</w:t>
      </w:r>
      <w:r w:rsidR="006F304D" w:rsidRPr="006F304D">
        <w:rPr>
          <w:szCs w:val="25"/>
        </w:rPr>
        <w:t xml:space="preserve">, </w:t>
      </w:r>
      <w:r w:rsidRPr="00954FE3">
        <w:rPr>
          <w:szCs w:val="25"/>
        </w:rPr>
        <w:t>makes it likely</w:t>
      </w:r>
      <w:r w:rsidR="006F304D" w:rsidRPr="006F304D">
        <w:rPr>
          <w:szCs w:val="25"/>
        </w:rPr>
        <w:t xml:space="preserve">, </w:t>
      </w:r>
      <w:r w:rsidRPr="00954FE3">
        <w:rPr>
          <w:szCs w:val="25"/>
        </w:rPr>
        <w:t>a priori</w:t>
      </w:r>
      <w:r w:rsidR="006F304D" w:rsidRPr="006F304D">
        <w:rPr>
          <w:szCs w:val="25"/>
        </w:rPr>
        <w:t xml:space="preserve">, </w:t>
      </w:r>
      <w:r w:rsidRPr="00954FE3">
        <w:rPr>
          <w:szCs w:val="25"/>
        </w:rPr>
        <w:t>that 37-38</w:t>
      </w:r>
      <w:r w:rsidR="006F304D" w:rsidRPr="006F304D">
        <w:rPr>
          <w:szCs w:val="25"/>
        </w:rPr>
        <w:t xml:space="preserve">, </w:t>
      </w:r>
      <w:r w:rsidRPr="00954FE3">
        <w:rPr>
          <w:szCs w:val="25"/>
        </w:rPr>
        <w:t>‘judge not,” also</w:t>
      </w:r>
      <w:r>
        <w:rPr>
          <w:szCs w:val="25"/>
        </w:rPr>
        <w:t xml:space="preserve"> </w:t>
      </w:r>
      <w:r w:rsidRPr="00954FE3">
        <w:rPr>
          <w:szCs w:val="25"/>
        </w:rPr>
        <w:t>does not refer to love of enemies. Also</w:t>
      </w:r>
      <w:r w:rsidR="006F304D" w:rsidRPr="006F304D">
        <w:rPr>
          <w:szCs w:val="25"/>
        </w:rPr>
        <w:t xml:space="preserve">, </w:t>
      </w:r>
      <w:r w:rsidRPr="00954FE3">
        <w:rPr>
          <w:szCs w:val="25"/>
        </w:rPr>
        <w:t>it is likely in itself that 37-38 are applicable to everyone</w:t>
      </w:r>
      <w:r w:rsidR="006F304D" w:rsidRPr="006F304D">
        <w:rPr>
          <w:szCs w:val="25"/>
        </w:rPr>
        <w:t xml:space="preserve">, </w:t>
      </w:r>
      <w:r w:rsidRPr="00954FE3">
        <w:rPr>
          <w:szCs w:val="25"/>
        </w:rPr>
        <w:t>not just to enemies; for the fourth command in these verses</w:t>
      </w:r>
      <w:r w:rsidR="006F304D" w:rsidRPr="006F304D">
        <w:rPr>
          <w:szCs w:val="25"/>
        </w:rPr>
        <w:t xml:space="preserve">, </w:t>
      </w:r>
      <w:r w:rsidRPr="00954FE3">
        <w:rPr>
          <w:szCs w:val="25"/>
        </w:rPr>
        <w:t>“give,” has a general application.</w:t>
      </w:r>
    </w:p>
    <w:p w14:paraId="5721EA4A" w14:textId="18712FBB" w:rsidR="0018433B" w:rsidRPr="00954FE3" w:rsidRDefault="0018433B" w:rsidP="0018433B">
      <w:pPr>
        <w:pStyle w:val="Style"/>
        <w:widowControl/>
        <w:jc w:val="both"/>
        <w:textAlignment w:val="baseline"/>
        <w:rPr>
          <w:szCs w:val="25"/>
        </w:rPr>
      </w:pPr>
      <w:r>
        <w:rPr>
          <w:szCs w:val="25"/>
        </w:rPr>
        <w:tab/>
      </w:r>
      <w:r w:rsidRPr="00954FE3">
        <w:rPr>
          <w:szCs w:val="25"/>
        </w:rPr>
        <w:t>Those who unite 27-38</w:t>
      </w:r>
      <w:r w:rsidR="006F304D" w:rsidRPr="006F304D">
        <w:rPr>
          <w:szCs w:val="25"/>
        </w:rPr>
        <w:t xml:space="preserve">, </w:t>
      </w:r>
      <w:r w:rsidRPr="00954FE3">
        <w:rPr>
          <w:szCs w:val="25"/>
        </w:rPr>
        <w:t>in order to make 39-49 a unit</w:t>
      </w:r>
      <w:r w:rsidR="006F304D" w:rsidRPr="006F304D">
        <w:rPr>
          <w:szCs w:val="25"/>
        </w:rPr>
        <w:t xml:space="preserve">, </w:t>
      </w:r>
      <w:r w:rsidRPr="00954FE3">
        <w:rPr>
          <w:szCs w:val="25"/>
        </w:rPr>
        <w:t>try to provide some unifying title for the whole s</w:t>
      </w:r>
      <w:r>
        <w:rPr>
          <w:szCs w:val="25"/>
        </w:rPr>
        <w:t>ection. Lagrange entitles 27-38</w:t>
      </w:r>
      <w:r w:rsidRPr="00954FE3">
        <w:rPr>
          <w:szCs w:val="25"/>
        </w:rPr>
        <w:t xml:space="preserve"> “compassionate love toward one’s enemies”</w:t>
      </w:r>
      <w:r w:rsidRPr="00F624D6">
        <w:rPr>
          <w:szCs w:val="25"/>
        </w:rPr>
        <w:t>—</w:t>
      </w:r>
      <w:r w:rsidRPr="00954FE3">
        <w:rPr>
          <w:szCs w:val="25"/>
        </w:rPr>
        <w:t>which</w:t>
      </w:r>
      <w:r w:rsidR="006F304D" w:rsidRPr="006F304D">
        <w:rPr>
          <w:szCs w:val="25"/>
        </w:rPr>
        <w:t xml:space="preserve">, </w:t>
      </w:r>
      <w:r w:rsidRPr="00954FE3">
        <w:rPr>
          <w:szCs w:val="25"/>
        </w:rPr>
        <w:t>as we have seen</w:t>
      </w:r>
      <w:r w:rsidR="006F304D" w:rsidRPr="006F304D">
        <w:rPr>
          <w:szCs w:val="25"/>
        </w:rPr>
        <w:t xml:space="preserve">, </w:t>
      </w:r>
      <w:r w:rsidRPr="00954FE3">
        <w:rPr>
          <w:szCs w:val="25"/>
        </w:rPr>
        <w:t>cannot apply to 37-38</w:t>
      </w:r>
      <w:r>
        <w:rPr>
          <w:szCs w:val="25"/>
        </w:rPr>
        <w:t>; and he enti</w:t>
      </w:r>
      <w:r>
        <w:rPr>
          <w:szCs w:val="25"/>
        </w:rPr>
        <w:softHyphen/>
        <w:t>tles 39-49</w:t>
      </w:r>
      <w:r w:rsidRPr="00954FE3">
        <w:rPr>
          <w:szCs w:val="25"/>
        </w:rPr>
        <w:t xml:space="preserve"> </w:t>
      </w:r>
      <w:r>
        <w:rPr>
          <w:szCs w:val="25"/>
        </w:rPr>
        <w:t>“</w:t>
      </w:r>
      <w:r w:rsidRPr="00954FE3">
        <w:rPr>
          <w:szCs w:val="25"/>
        </w:rPr>
        <w:t>dispositions necessary for the existence of zealous charity”</w:t>
      </w:r>
      <w:r w:rsidRPr="00F624D6">
        <w:rPr>
          <w:szCs w:val="25"/>
        </w:rPr>
        <w:t>—</w:t>
      </w:r>
      <w:r w:rsidRPr="00954FE3">
        <w:rPr>
          <w:szCs w:val="25"/>
        </w:rPr>
        <w:t>whi</w:t>
      </w:r>
      <w:r>
        <w:rPr>
          <w:szCs w:val="25"/>
        </w:rPr>
        <w:t>ch applies equally well to 27-38.</w:t>
      </w:r>
      <w:r>
        <w:rPr>
          <w:rStyle w:val="FootnoteReference"/>
          <w:szCs w:val="25"/>
        </w:rPr>
        <w:footnoteReference w:id="626"/>
      </w:r>
      <w:r>
        <w:rPr>
          <w:szCs w:val="25"/>
        </w:rPr>
        <w:t xml:space="preserve"> </w:t>
      </w:r>
      <w:r w:rsidRPr="00954FE3">
        <w:rPr>
          <w:szCs w:val="25"/>
        </w:rPr>
        <w:t>Marshall and McBride opt for the phrase “love and mercy” for 27-38</w:t>
      </w:r>
      <w:r w:rsidRPr="00F624D6">
        <w:rPr>
          <w:szCs w:val="25"/>
        </w:rPr>
        <w:t>—</w:t>
      </w:r>
      <w:r w:rsidRPr="00954FE3">
        <w:rPr>
          <w:szCs w:val="25"/>
        </w:rPr>
        <w:t>a clear recognition that 27-36 and 37-38 (with which they wrongly associate verse 36</w:t>
      </w:r>
      <w:r>
        <w:rPr>
          <w:szCs w:val="25"/>
        </w:rPr>
        <w:t xml:space="preserve">; see chapter 8 </w:t>
      </w:r>
      <w:r>
        <w:rPr>
          <w:i/>
          <w:szCs w:val="25"/>
        </w:rPr>
        <w:t>supra</w:t>
      </w:r>
      <w:r w:rsidRPr="00954FE3">
        <w:rPr>
          <w:szCs w:val="25"/>
        </w:rPr>
        <w:t>) require two titles.</w:t>
      </w:r>
    </w:p>
    <w:p w14:paraId="4B25FC9D" w14:textId="02732E0C" w:rsidR="0018433B" w:rsidRPr="00954FE3" w:rsidRDefault="0018433B" w:rsidP="0018433B">
      <w:pPr>
        <w:pStyle w:val="Style"/>
        <w:widowControl/>
        <w:jc w:val="both"/>
        <w:textAlignment w:val="baseline"/>
        <w:rPr>
          <w:szCs w:val="25"/>
        </w:rPr>
      </w:pPr>
      <w:r>
        <w:rPr>
          <w:szCs w:val="25"/>
        </w:rPr>
        <w:tab/>
      </w:r>
      <w:r w:rsidRPr="00954FE3">
        <w:rPr>
          <w:szCs w:val="25"/>
        </w:rPr>
        <w:t>Our ultimate conclusion</w:t>
      </w:r>
      <w:r w:rsidR="006F304D" w:rsidRPr="006F304D">
        <w:rPr>
          <w:szCs w:val="25"/>
        </w:rPr>
        <w:t xml:space="preserve">, </w:t>
      </w:r>
      <w:r w:rsidRPr="00954FE3">
        <w:rPr>
          <w:szCs w:val="25"/>
        </w:rPr>
        <w:t>then</w:t>
      </w:r>
      <w:r w:rsidR="006F304D" w:rsidRPr="006F304D">
        <w:rPr>
          <w:szCs w:val="25"/>
        </w:rPr>
        <w:t xml:space="preserve">, </w:t>
      </w:r>
      <w:r w:rsidRPr="00954FE3">
        <w:rPr>
          <w:szCs w:val="25"/>
        </w:rPr>
        <w:t>is that the division of the majority of com</w:t>
      </w:r>
      <w:r w:rsidRPr="00954FE3">
        <w:rPr>
          <w:szCs w:val="25"/>
        </w:rPr>
        <w:softHyphen/>
        <w:t>mentators</w:t>
      </w:r>
      <w:r w:rsidRPr="00F624D6">
        <w:rPr>
          <w:szCs w:val="25"/>
        </w:rPr>
        <w:t>—</w:t>
      </w:r>
      <w:r w:rsidRPr="00954FE3">
        <w:rPr>
          <w:szCs w:val="25"/>
        </w:rPr>
        <w:t xml:space="preserve">those who see in the sermon a </w:t>
      </w:r>
      <w:r>
        <w:rPr>
          <w:szCs w:val="25"/>
        </w:rPr>
        <w:t>“</w:t>
      </w:r>
      <w:r w:rsidRPr="00954FE3">
        <w:rPr>
          <w:szCs w:val="25"/>
        </w:rPr>
        <w:t>two-part middle”</w:t>
      </w:r>
      <w:r w:rsidRPr="00F624D6">
        <w:rPr>
          <w:szCs w:val="25"/>
        </w:rPr>
        <w:t>—</w:t>
      </w:r>
      <w:r w:rsidRPr="00954FE3">
        <w:rPr>
          <w:szCs w:val="25"/>
        </w:rPr>
        <w:t xml:space="preserve">is incorrect. It is therefore time to consider the divisions of those commentators who see in the sermon a </w:t>
      </w:r>
      <w:r>
        <w:rPr>
          <w:szCs w:val="25"/>
        </w:rPr>
        <w:t>“</w:t>
      </w:r>
      <w:r w:rsidRPr="00954FE3">
        <w:rPr>
          <w:szCs w:val="25"/>
        </w:rPr>
        <w:t>three-part middle.” What are the reasons for dividing the body of the</w:t>
      </w:r>
      <w:r>
        <w:rPr>
          <w:szCs w:val="25"/>
        </w:rPr>
        <w:t xml:space="preserve"> </w:t>
      </w:r>
      <w:r w:rsidRPr="00954FE3">
        <w:rPr>
          <w:szCs w:val="25"/>
        </w:rPr>
        <w:t>sermon into three sections</w:t>
      </w:r>
      <w:r w:rsidR="006F304D" w:rsidRPr="006F304D">
        <w:rPr>
          <w:szCs w:val="25"/>
        </w:rPr>
        <w:t xml:space="preserve">, </w:t>
      </w:r>
      <w:r w:rsidRPr="00954FE3">
        <w:rPr>
          <w:szCs w:val="25"/>
        </w:rPr>
        <w:t>27-36</w:t>
      </w:r>
      <w:r w:rsidR="006F304D" w:rsidRPr="006F304D">
        <w:rPr>
          <w:szCs w:val="25"/>
        </w:rPr>
        <w:t xml:space="preserve">, </w:t>
      </w:r>
      <w:r w:rsidRPr="00954FE3">
        <w:rPr>
          <w:szCs w:val="25"/>
        </w:rPr>
        <w:t>37-42</w:t>
      </w:r>
      <w:r w:rsidR="006F304D" w:rsidRPr="006F304D">
        <w:rPr>
          <w:szCs w:val="25"/>
        </w:rPr>
        <w:t xml:space="preserve">, </w:t>
      </w:r>
      <w:r w:rsidRPr="00954FE3">
        <w:rPr>
          <w:szCs w:val="25"/>
        </w:rPr>
        <w:t>and 43-45?</w:t>
      </w:r>
    </w:p>
    <w:p w14:paraId="0B58E3D0" w14:textId="77777777" w:rsidR="0018433B" w:rsidRDefault="0018433B" w:rsidP="0018433B">
      <w:pPr>
        <w:pStyle w:val="Style"/>
        <w:widowControl/>
        <w:jc w:val="both"/>
        <w:textAlignment w:val="baseline"/>
        <w:rPr>
          <w:szCs w:val="25"/>
        </w:rPr>
      </w:pPr>
    </w:p>
    <w:p w14:paraId="6C284EB1" w14:textId="77777777" w:rsidR="0018433B" w:rsidRPr="00954FE3" w:rsidRDefault="0018433B" w:rsidP="008F699A">
      <w:pPr>
        <w:pStyle w:val="Heading2"/>
      </w:pPr>
      <w:bookmarkStart w:id="68" w:name="_Toc147618639"/>
      <w:r w:rsidRPr="00954FE3">
        <w:t>2. Three-Part Middle Traditions</w:t>
      </w:r>
      <w:bookmarkEnd w:id="68"/>
    </w:p>
    <w:p w14:paraId="615FDBFA" w14:textId="77777777" w:rsidR="0018433B" w:rsidRDefault="0018433B" w:rsidP="0018433B">
      <w:pPr>
        <w:pStyle w:val="Style"/>
        <w:widowControl/>
        <w:jc w:val="both"/>
        <w:textAlignment w:val="baseline"/>
        <w:rPr>
          <w:szCs w:val="25"/>
        </w:rPr>
      </w:pPr>
    </w:p>
    <w:p w14:paraId="3586F371" w14:textId="3A081FAE" w:rsidR="0018433B" w:rsidRPr="00954FE3" w:rsidRDefault="0018433B" w:rsidP="0018433B">
      <w:pPr>
        <w:pStyle w:val="Style"/>
        <w:widowControl/>
        <w:jc w:val="both"/>
        <w:textAlignment w:val="baseline"/>
        <w:rPr>
          <w:szCs w:val="25"/>
        </w:rPr>
      </w:pPr>
      <w:r>
        <w:rPr>
          <w:szCs w:val="25"/>
        </w:rPr>
        <w:tab/>
      </w:r>
      <w:r w:rsidRPr="00954FE3">
        <w:rPr>
          <w:szCs w:val="25"/>
        </w:rPr>
        <w:t>Commentators who do not presume a major division at verse 39 generally see in the sermon a “three-part middle,” consisting of 27-36 (love of enemies)</w:t>
      </w:r>
      <w:r w:rsidR="006F304D" w:rsidRPr="006F304D">
        <w:rPr>
          <w:szCs w:val="25"/>
        </w:rPr>
        <w:t xml:space="preserve">, </w:t>
      </w:r>
      <w:r w:rsidRPr="00954FE3">
        <w:rPr>
          <w:szCs w:val="25"/>
        </w:rPr>
        <w:t>37-42 (judging)</w:t>
      </w:r>
      <w:r w:rsidR="006F304D" w:rsidRPr="006F304D">
        <w:rPr>
          <w:szCs w:val="25"/>
        </w:rPr>
        <w:t xml:space="preserve">, </w:t>
      </w:r>
      <w:r w:rsidRPr="00954FE3">
        <w:rPr>
          <w:szCs w:val="25"/>
        </w:rPr>
        <w:t xml:space="preserve">and 43-45 </w:t>
      </w:r>
      <w:r>
        <w:rPr>
          <w:szCs w:val="25"/>
        </w:rPr>
        <w:t>(</w:t>
      </w:r>
      <w:r w:rsidRPr="00954FE3">
        <w:rPr>
          <w:szCs w:val="25"/>
        </w:rPr>
        <w:t>character determines deeds). There are a few variants among these commentators’ outlines</w:t>
      </w:r>
      <w:r w:rsidR="006F304D" w:rsidRPr="006F304D">
        <w:rPr>
          <w:szCs w:val="25"/>
        </w:rPr>
        <w:t xml:space="preserve">, </w:t>
      </w:r>
      <w:r w:rsidRPr="00954FE3">
        <w:rPr>
          <w:szCs w:val="25"/>
        </w:rPr>
        <w:t>but only a few. Manson</w:t>
      </w:r>
      <w:r w:rsidR="006F304D" w:rsidRPr="006F304D">
        <w:rPr>
          <w:szCs w:val="25"/>
        </w:rPr>
        <w:t xml:space="preserve">, </w:t>
      </w:r>
      <w:r w:rsidRPr="00954FE3">
        <w:rPr>
          <w:szCs w:val="25"/>
        </w:rPr>
        <w:t>for example</w:t>
      </w:r>
      <w:r w:rsidR="006F304D" w:rsidRPr="006F304D">
        <w:rPr>
          <w:szCs w:val="25"/>
        </w:rPr>
        <w:t xml:space="preserve">, </w:t>
      </w:r>
      <w:r w:rsidRPr="00954FE3">
        <w:rPr>
          <w:szCs w:val="25"/>
        </w:rPr>
        <w:t>sees 27-42 as a unit coordinate with 43-45</w:t>
      </w:r>
      <w:r w:rsidR="006F304D" w:rsidRPr="006F304D">
        <w:rPr>
          <w:szCs w:val="25"/>
        </w:rPr>
        <w:t xml:space="preserve">, </w:t>
      </w:r>
      <w:r w:rsidRPr="00954FE3">
        <w:rPr>
          <w:szCs w:val="25"/>
        </w:rPr>
        <w:t>and subdivides the former into 27-36 and 37-42; and Rigaux treats 27-31 and 32-36 as coordinate major sections</w:t>
      </w:r>
      <w:r w:rsidR="006F304D" w:rsidRPr="006F304D">
        <w:rPr>
          <w:szCs w:val="25"/>
        </w:rPr>
        <w:t xml:space="preserve">, </w:t>
      </w:r>
      <w:r w:rsidRPr="00954FE3">
        <w:rPr>
          <w:szCs w:val="25"/>
        </w:rPr>
        <w:t>not coordinate subsections within the overarching section</w:t>
      </w:r>
      <w:r w:rsidR="006F304D" w:rsidRPr="006F304D">
        <w:rPr>
          <w:szCs w:val="25"/>
        </w:rPr>
        <w:t xml:space="preserve">, </w:t>
      </w:r>
      <w:r w:rsidRPr="00954FE3">
        <w:rPr>
          <w:szCs w:val="25"/>
        </w:rPr>
        <w:t>27-36.</w:t>
      </w:r>
      <w:r>
        <w:rPr>
          <w:rStyle w:val="FootnoteReference"/>
          <w:szCs w:val="25"/>
        </w:rPr>
        <w:footnoteReference w:id="627"/>
      </w:r>
      <w:r>
        <w:rPr>
          <w:szCs w:val="25"/>
        </w:rPr>
        <w:t xml:space="preserve"> </w:t>
      </w:r>
      <w:r w:rsidRPr="00954FE3">
        <w:rPr>
          <w:szCs w:val="25"/>
        </w:rPr>
        <w:t xml:space="preserve">But the divisions which most </w:t>
      </w:r>
      <w:r w:rsidR="00607DA0" w:rsidRPr="00954FE3">
        <w:rPr>
          <w:szCs w:val="25"/>
        </w:rPr>
        <w:t>“three-part</w:t>
      </w:r>
      <w:r w:rsidR="00607DA0">
        <w:rPr>
          <w:szCs w:val="25"/>
        </w:rPr>
        <w:t>”</w:t>
      </w:r>
      <w:r w:rsidRPr="00954FE3">
        <w:rPr>
          <w:szCs w:val="25"/>
        </w:rPr>
        <w:t xml:space="preserve"> commentators see in 27-45 are 27-36</w:t>
      </w:r>
      <w:r w:rsidR="006F304D" w:rsidRPr="006F304D">
        <w:rPr>
          <w:szCs w:val="25"/>
        </w:rPr>
        <w:t xml:space="preserve">, </w:t>
      </w:r>
      <w:r w:rsidRPr="00954FE3">
        <w:rPr>
          <w:szCs w:val="25"/>
        </w:rPr>
        <w:t>37-42</w:t>
      </w:r>
      <w:r w:rsidR="006F304D" w:rsidRPr="006F304D">
        <w:rPr>
          <w:szCs w:val="25"/>
        </w:rPr>
        <w:t xml:space="preserve">, </w:t>
      </w:r>
      <w:r w:rsidRPr="00954FE3">
        <w:rPr>
          <w:szCs w:val="25"/>
        </w:rPr>
        <w:t>and 43-45</w:t>
      </w:r>
      <w:r w:rsidR="006F304D" w:rsidRPr="006F304D">
        <w:rPr>
          <w:szCs w:val="25"/>
        </w:rPr>
        <w:t xml:space="preserve">, </w:t>
      </w:r>
      <w:r w:rsidRPr="00954FE3">
        <w:rPr>
          <w:szCs w:val="25"/>
        </w:rPr>
        <w:t>and it is these which we will now consider.</w:t>
      </w:r>
    </w:p>
    <w:p w14:paraId="153605ED" w14:textId="77777777" w:rsidR="0018433B" w:rsidRDefault="0018433B" w:rsidP="0018433B">
      <w:pPr>
        <w:pStyle w:val="Style"/>
        <w:widowControl/>
        <w:jc w:val="both"/>
        <w:textAlignment w:val="baseline"/>
        <w:rPr>
          <w:szCs w:val="25"/>
        </w:rPr>
      </w:pPr>
    </w:p>
    <w:p w14:paraId="548E20B3" w14:textId="77777777" w:rsidR="0018433B" w:rsidRPr="00954FE3" w:rsidRDefault="0018433B" w:rsidP="008F699A">
      <w:pPr>
        <w:pStyle w:val="Heading3"/>
      </w:pPr>
      <w:bookmarkStart w:id="69" w:name="_Toc147618640"/>
      <w:r w:rsidRPr="00954FE3">
        <w:t>a. 27-36</w:t>
      </w:r>
      <w:bookmarkEnd w:id="69"/>
    </w:p>
    <w:p w14:paraId="6B89576E" w14:textId="77777777" w:rsidR="0018433B" w:rsidRDefault="0018433B" w:rsidP="0018433B">
      <w:pPr>
        <w:pStyle w:val="Style"/>
        <w:widowControl/>
        <w:jc w:val="both"/>
        <w:textAlignment w:val="baseline"/>
        <w:rPr>
          <w:szCs w:val="25"/>
        </w:rPr>
      </w:pPr>
    </w:p>
    <w:p w14:paraId="0EEC0017" w14:textId="7FDAE539" w:rsidR="0018433B" w:rsidRPr="00954FE3" w:rsidRDefault="0018433B" w:rsidP="0018433B">
      <w:pPr>
        <w:pStyle w:val="Style"/>
        <w:widowControl/>
        <w:jc w:val="both"/>
        <w:textAlignment w:val="baseline"/>
        <w:rPr>
          <w:szCs w:val="25"/>
        </w:rPr>
      </w:pPr>
      <w:r>
        <w:rPr>
          <w:szCs w:val="25"/>
        </w:rPr>
        <w:tab/>
        <w:t>After v</w:t>
      </w:r>
      <w:r w:rsidRPr="00954FE3">
        <w:rPr>
          <w:szCs w:val="25"/>
        </w:rPr>
        <w:t xml:space="preserve">erse </w:t>
      </w:r>
      <w:r>
        <w:rPr>
          <w:szCs w:val="25"/>
        </w:rPr>
        <w:t>27a (“</w:t>
      </w:r>
      <w:r w:rsidRPr="00CD75A6">
        <w:t>But I say to you that listen</w:t>
      </w:r>
      <w:r>
        <w:rPr>
          <w:szCs w:val="25"/>
        </w:rPr>
        <w:t>”)</w:t>
      </w:r>
      <w:r w:rsidR="006F304D" w:rsidRPr="006F304D">
        <w:rPr>
          <w:szCs w:val="25"/>
        </w:rPr>
        <w:t xml:space="preserve">, </w:t>
      </w:r>
      <w:r w:rsidRPr="00954FE3">
        <w:rPr>
          <w:szCs w:val="25"/>
        </w:rPr>
        <w:t>27b forthrightly states the theme</w:t>
      </w:r>
      <w:r w:rsidR="006F304D" w:rsidRPr="006F304D">
        <w:rPr>
          <w:szCs w:val="25"/>
        </w:rPr>
        <w:t xml:space="preserve">, </w:t>
      </w:r>
      <w:r w:rsidRPr="00954FE3">
        <w:rPr>
          <w:szCs w:val="25"/>
        </w:rPr>
        <w:t>“love of enemies.” This theme does not seem to be sounded in the beatitudes and woes</w:t>
      </w:r>
      <w:r w:rsidR="006F304D" w:rsidRPr="006F304D">
        <w:rPr>
          <w:szCs w:val="25"/>
        </w:rPr>
        <w:t xml:space="preserve">, </w:t>
      </w:r>
      <w:r w:rsidRPr="00954FE3">
        <w:rPr>
          <w:szCs w:val="25"/>
        </w:rPr>
        <w:t>so we may safely acknowledge that it begins here. Where does it end?</w:t>
      </w:r>
    </w:p>
    <w:p w14:paraId="0ECC1FD7" w14:textId="51C9B8F7" w:rsidR="0018433B" w:rsidRPr="00954FE3" w:rsidRDefault="0018433B" w:rsidP="0018433B">
      <w:pPr>
        <w:pStyle w:val="Style"/>
        <w:widowControl/>
        <w:jc w:val="both"/>
        <w:textAlignment w:val="baseline"/>
        <w:rPr>
          <w:szCs w:val="25"/>
        </w:rPr>
      </w:pPr>
      <w:r>
        <w:rPr>
          <w:szCs w:val="25"/>
        </w:rPr>
        <w:tab/>
      </w:r>
      <w:r w:rsidRPr="00954FE3">
        <w:rPr>
          <w:szCs w:val="25"/>
        </w:rPr>
        <w:t>Verses 27c-28 give three commands (“Do good</w:t>
      </w:r>
      <w:r w:rsidR="006F304D" w:rsidRPr="006F304D">
        <w:rPr>
          <w:szCs w:val="25"/>
        </w:rPr>
        <w:t xml:space="preserve">, </w:t>
      </w:r>
      <w:r w:rsidRPr="00954FE3">
        <w:rPr>
          <w:szCs w:val="25"/>
        </w:rPr>
        <w:t>bless</w:t>
      </w:r>
      <w:r w:rsidR="006F304D" w:rsidRPr="006F304D">
        <w:rPr>
          <w:szCs w:val="25"/>
        </w:rPr>
        <w:t xml:space="preserve">, </w:t>
      </w:r>
      <w:r w:rsidRPr="00954FE3">
        <w:rPr>
          <w:szCs w:val="25"/>
        </w:rPr>
        <w:t>pray”) which</w:t>
      </w:r>
      <w:r w:rsidR="006F304D" w:rsidRPr="006F304D">
        <w:rPr>
          <w:szCs w:val="25"/>
        </w:rPr>
        <w:t xml:space="preserve">, </w:t>
      </w:r>
      <w:r w:rsidRPr="00954FE3">
        <w:rPr>
          <w:szCs w:val="25"/>
        </w:rPr>
        <w:t>though</w:t>
      </w:r>
      <w:r>
        <w:rPr>
          <w:szCs w:val="25"/>
        </w:rPr>
        <w:t xml:space="preserve"> </w:t>
      </w:r>
      <w:r w:rsidRPr="00954FE3">
        <w:rPr>
          <w:szCs w:val="25"/>
        </w:rPr>
        <w:t>rather general</w:t>
      </w:r>
      <w:r w:rsidR="006F304D" w:rsidRPr="006F304D">
        <w:rPr>
          <w:szCs w:val="25"/>
        </w:rPr>
        <w:t xml:space="preserve">, </w:t>
      </w:r>
      <w:r w:rsidRPr="00954FE3">
        <w:rPr>
          <w:szCs w:val="25"/>
        </w:rPr>
        <w:t>are nevertheless specifications of 27b. Two concrete</w:t>
      </w:r>
      <w:r>
        <w:rPr>
          <w:szCs w:val="25"/>
        </w:rPr>
        <w:t xml:space="preserve"> </w:t>
      </w:r>
      <w:r w:rsidRPr="00954FE3">
        <w:rPr>
          <w:szCs w:val="25"/>
        </w:rPr>
        <w:t>examples of the love of enemies</w:t>
      </w:r>
      <w:r>
        <w:rPr>
          <w:szCs w:val="25"/>
        </w:rPr>
        <w:t xml:space="preserve"> t</w:t>
      </w:r>
      <w:r w:rsidRPr="00954FE3">
        <w:rPr>
          <w:szCs w:val="25"/>
        </w:rPr>
        <w:t>hen follow</w:t>
      </w:r>
      <w:r w:rsidR="006F304D" w:rsidRPr="006F304D">
        <w:rPr>
          <w:szCs w:val="25"/>
        </w:rPr>
        <w:t xml:space="preserve">, </w:t>
      </w:r>
      <w:r w:rsidRPr="00954FE3">
        <w:rPr>
          <w:szCs w:val="25"/>
        </w:rPr>
        <w:t xml:space="preserve">29a and 29b </w:t>
      </w:r>
      <w:r>
        <w:rPr>
          <w:szCs w:val="25"/>
        </w:rPr>
        <w:t>(turn</w:t>
      </w:r>
      <w:r w:rsidRPr="00954FE3">
        <w:rPr>
          <w:szCs w:val="25"/>
        </w:rPr>
        <w:t xml:space="preserve"> the other cheek</w:t>
      </w:r>
      <w:r w:rsidR="006F304D" w:rsidRPr="006F304D">
        <w:rPr>
          <w:szCs w:val="25"/>
        </w:rPr>
        <w:t xml:space="preserve">, </w:t>
      </w:r>
      <w:r w:rsidRPr="00954FE3">
        <w:rPr>
          <w:szCs w:val="25"/>
        </w:rPr>
        <w:t xml:space="preserve">give </w:t>
      </w:r>
      <w:r>
        <w:rPr>
          <w:szCs w:val="25"/>
        </w:rPr>
        <w:t xml:space="preserve">your </w:t>
      </w:r>
      <w:r w:rsidRPr="00954FE3">
        <w:rPr>
          <w:szCs w:val="25"/>
        </w:rPr>
        <w:t>shirt also)</w:t>
      </w:r>
      <w:r w:rsidR="006F304D" w:rsidRPr="006F304D">
        <w:rPr>
          <w:szCs w:val="25"/>
        </w:rPr>
        <w:t xml:space="preserve">, </w:t>
      </w:r>
      <w:r w:rsidRPr="00954FE3">
        <w:rPr>
          <w:szCs w:val="25"/>
        </w:rPr>
        <w:t>together with two commands in 30ab which</w:t>
      </w:r>
      <w:r w:rsidR="006F304D" w:rsidRPr="006F304D">
        <w:rPr>
          <w:szCs w:val="25"/>
        </w:rPr>
        <w:t xml:space="preserve">, </w:t>
      </w:r>
      <w:r w:rsidRPr="00954FE3">
        <w:rPr>
          <w:szCs w:val="25"/>
        </w:rPr>
        <w:t>though more abstract</w:t>
      </w:r>
      <w:r w:rsidR="006F304D" w:rsidRPr="006F304D">
        <w:rPr>
          <w:szCs w:val="25"/>
        </w:rPr>
        <w:t xml:space="preserve">, </w:t>
      </w:r>
      <w:r w:rsidRPr="00954FE3">
        <w:rPr>
          <w:szCs w:val="25"/>
        </w:rPr>
        <w:t>still belong with 29ab</w:t>
      </w:r>
      <w:r>
        <w:rPr>
          <w:szCs w:val="25"/>
        </w:rPr>
        <w:t>.</w:t>
      </w:r>
      <w:r w:rsidRPr="00954FE3">
        <w:rPr>
          <w:szCs w:val="25"/>
        </w:rPr>
        <w:t xml:space="preserve"> (</w:t>
      </w:r>
      <w:r>
        <w:rPr>
          <w:szCs w:val="25"/>
        </w:rPr>
        <w:t xml:space="preserve">Verse </w:t>
      </w:r>
      <w:r w:rsidRPr="00954FE3">
        <w:rPr>
          <w:szCs w:val="25"/>
        </w:rPr>
        <w:t>30a</w:t>
      </w:r>
      <w:r w:rsidR="006F304D" w:rsidRPr="006F304D">
        <w:rPr>
          <w:szCs w:val="25"/>
        </w:rPr>
        <w:t xml:space="preserve">, </w:t>
      </w:r>
      <w:r>
        <w:rPr>
          <w:szCs w:val="25"/>
        </w:rPr>
        <w:t>“</w:t>
      </w:r>
      <w:r w:rsidRPr="00954FE3">
        <w:rPr>
          <w:szCs w:val="25"/>
        </w:rPr>
        <w:t>give to all who beg</w:t>
      </w:r>
      <w:r>
        <w:rPr>
          <w:szCs w:val="25"/>
        </w:rPr>
        <w:t>,</w:t>
      </w:r>
      <w:r w:rsidRPr="00954FE3">
        <w:rPr>
          <w:szCs w:val="25"/>
        </w:rPr>
        <w:t>” is not di</w:t>
      </w:r>
      <w:r>
        <w:rPr>
          <w:szCs w:val="25"/>
        </w:rPr>
        <w:t>rectly about love of enemies;</w:t>
      </w:r>
      <w:r w:rsidRPr="00954FE3">
        <w:rPr>
          <w:szCs w:val="25"/>
        </w:rPr>
        <w:t xml:space="preserve"> but</w:t>
      </w:r>
      <w:r w:rsidR="006F304D" w:rsidRPr="006F304D">
        <w:rPr>
          <w:szCs w:val="25"/>
        </w:rPr>
        <w:t xml:space="preserve">, </w:t>
      </w:r>
      <w:r w:rsidRPr="00954FE3">
        <w:rPr>
          <w:szCs w:val="25"/>
        </w:rPr>
        <w:t>preceded and followed as it is by precepts not to recover stolen goods [29b</w:t>
      </w:r>
      <w:r w:rsidR="006F304D" w:rsidRPr="006F304D">
        <w:rPr>
          <w:szCs w:val="25"/>
        </w:rPr>
        <w:t xml:space="preserve">, </w:t>
      </w:r>
      <w:r w:rsidRPr="00954FE3">
        <w:rPr>
          <w:szCs w:val="25"/>
        </w:rPr>
        <w:t>30b</w:t>
      </w:r>
      <w:r>
        <w:rPr>
          <w:szCs w:val="25"/>
        </w:rPr>
        <w:t>]</w:t>
      </w:r>
      <w:r w:rsidR="006F304D" w:rsidRPr="006F304D">
        <w:rPr>
          <w:szCs w:val="25"/>
        </w:rPr>
        <w:t xml:space="preserve">, </w:t>
      </w:r>
      <w:r w:rsidRPr="00954FE3">
        <w:rPr>
          <w:szCs w:val="25"/>
        </w:rPr>
        <w:t>it</w:t>
      </w:r>
      <w:r>
        <w:rPr>
          <w:szCs w:val="25"/>
        </w:rPr>
        <w:t xml:space="preserve"> can be included in the section</w:t>
      </w:r>
      <w:r w:rsidRPr="00954FE3">
        <w:rPr>
          <w:szCs w:val="25"/>
        </w:rPr>
        <w:t xml:space="preserve"> 27b-30</w:t>
      </w:r>
      <w:r w:rsidR="00607DA0">
        <w:rPr>
          <w:szCs w:val="25"/>
        </w:rPr>
        <w:t>.</w:t>
      </w:r>
      <w:r w:rsidRPr="00954FE3">
        <w:rPr>
          <w:szCs w:val="25"/>
        </w:rPr>
        <w:t xml:space="preserve">) The golden rule </w:t>
      </w:r>
      <w:r>
        <w:rPr>
          <w:szCs w:val="25"/>
        </w:rPr>
        <w:t xml:space="preserve">(31) </w:t>
      </w:r>
      <w:r w:rsidRPr="00954FE3">
        <w:rPr>
          <w:szCs w:val="25"/>
        </w:rPr>
        <w:t>comes next; it is somewhat ambiguous</w:t>
      </w:r>
      <w:r w:rsidR="006F304D" w:rsidRPr="006F304D">
        <w:rPr>
          <w:szCs w:val="25"/>
        </w:rPr>
        <w:t xml:space="preserve">, </w:t>
      </w:r>
      <w:r w:rsidRPr="00954FE3">
        <w:rPr>
          <w:szCs w:val="25"/>
        </w:rPr>
        <w:t>as we have observed</w:t>
      </w:r>
      <w:r w:rsidR="006F304D" w:rsidRPr="006F304D">
        <w:rPr>
          <w:szCs w:val="25"/>
        </w:rPr>
        <w:t xml:space="preserve">, </w:t>
      </w:r>
      <w:r w:rsidRPr="00954FE3">
        <w:rPr>
          <w:szCs w:val="25"/>
        </w:rPr>
        <w:t xml:space="preserve">but apparently is intended to be a </w:t>
      </w:r>
      <w:r>
        <w:rPr>
          <w:szCs w:val="25"/>
        </w:rPr>
        <w:t xml:space="preserve">generalization applicable to </w:t>
      </w:r>
      <w:r w:rsidRPr="00954FE3">
        <w:rPr>
          <w:szCs w:val="25"/>
        </w:rPr>
        <w:t>the material that precedes it.</w:t>
      </w:r>
    </w:p>
    <w:p w14:paraId="47EE3866" w14:textId="68264B60" w:rsidR="0018433B" w:rsidRPr="00954FE3" w:rsidRDefault="0018433B" w:rsidP="0018433B">
      <w:pPr>
        <w:pStyle w:val="Style"/>
        <w:widowControl/>
        <w:jc w:val="both"/>
        <w:textAlignment w:val="baseline"/>
        <w:rPr>
          <w:szCs w:val="25"/>
        </w:rPr>
      </w:pPr>
      <w:r>
        <w:rPr>
          <w:szCs w:val="25"/>
        </w:rPr>
        <w:tab/>
      </w:r>
      <w:r w:rsidRPr="00954FE3">
        <w:rPr>
          <w:szCs w:val="25"/>
        </w:rPr>
        <w:t xml:space="preserve">The theme of </w:t>
      </w:r>
      <w:r>
        <w:rPr>
          <w:szCs w:val="25"/>
        </w:rPr>
        <w:t>“</w:t>
      </w:r>
      <w:r w:rsidRPr="00954FE3">
        <w:rPr>
          <w:szCs w:val="25"/>
        </w:rPr>
        <w:t>love of enemies” does not end with verse 31</w:t>
      </w:r>
      <w:r w:rsidR="006F304D" w:rsidRPr="006F304D">
        <w:rPr>
          <w:szCs w:val="25"/>
        </w:rPr>
        <w:t xml:space="preserve">, </w:t>
      </w:r>
      <w:r w:rsidRPr="00954FE3">
        <w:rPr>
          <w:szCs w:val="25"/>
        </w:rPr>
        <w:t>for 32-34 resume the list already encountered in 27-28</w:t>
      </w:r>
      <w:r w:rsidR="006F304D" w:rsidRPr="006F304D">
        <w:rPr>
          <w:szCs w:val="25"/>
        </w:rPr>
        <w:t xml:space="preserve">, </w:t>
      </w:r>
      <w:r w:rsidRPr="00954FE3">
        <w:rPr>
          <w:szCs w:val="25"/>
        </w:rPr>
        <w:t xml:space="preserve">or at least its beginning: ‘If you love </w:t>
      </w:r>
      <w:r>
        <w:rPr>
          <w:szCs w:val="25"/>
        </w:rPr>
        <w:t>. . .</w:t>
      </w:r>
      <w:r w:rsidRPr="00954FE3">
        <w:rPr>
          <w:szCs w:val="25"/>
        </w:rPr>
        <w:t xml:space="preserve"> If you do good </w:t>
      </w:r>
      <w:r w:rsidRPr="00EE2A2F">
        <w:rPr>
          <w:szCs w:val="25"/>
        </w:rPr>
        <w:t>. . .</w:t>
      </w:r>
      <w:r>
        <w:rPr>
          <w:szCs w:val="25"/>
        </w:rPr>
        <w:t>”</w:t>
      </w:r>
      <w:r w:rsidRPr="00954FE3">
        <w:rPr>
          <w:szCs w:val="25"/>
        </w:rPr>
        <w:t xml:space="preserve"> Verses </w:t>
      </w:r>
      <w:r w:rsidRPr="00954FE3">
        <w:rPr>
          <w:szCs w:val="25"/>
        </w:rPr>
        <w:lastRenderedPageBreak/>
        <w:t>32-34 are certainly concerned with love of enemies</w:t>
      </w:r>
      <w:r w:rsidR="006F304D" w:rsidRPr="006F304D">
        <w:rPr>
          <w:szCs w:val="25"/>
        </w:rPr>
        <w:t xml:space="preserve">, </w:t>
      </w:r>
      <w:r w:rsidRPr="00954FE3">
        <w:rPr>
          <w:szCs w:val="25"/>
        </w:rPr>
        <w:t>for they teach that there is no credit in loving those who love you</w:t>
      </w:r>
      <w:r w:rsidRPr="00F624D6">
        <w:rPr>
          <w:szCs w:val="25"/>
        </w:rPr>
        <w:t>—</w:t>
      </w:r>
      <w:r w:rsidRPr="00954FE3">
        <w:rPr>
          <w:szCs w:val="25"/>
        </w:rPr>
        <w:t>by implication</w:t>
      </w:r>
      <w:r w:rsidR="006F304D" w:rsidRPr="006F304D">
        <w:rPr>
          <w:szCs w:val="25"/>
        </w:rPr>
        <w:t xml:space="preserve">, </w:t>
      </w:r>
      <w:r w:rsidRPr="00954FE3">
        <w:rPr>
          <w:szCs w:val="25"/>
        </w:rPr>
        <w:t>then</w:t>
      </w:r>
      <w:r w:rsidR="006F304D" w:rsidRPr="006F304D">
        <w:rPr>
          <w:szCs w:val="25"/>
        </w:rPr>
        <w:t xml:space="preserve">, </w:t>
      </w:r>
      <w:r w:rsidRPr="00954FE3">
        <w:rPr>
          <w:szCs w:val="25"/>
        </w:rPr>
        <w:t>there is credit in loving those who hate you</w:t>
      </w:r>
      <w:r w:rsidR="006F304D" w:rsidRPr="006F304D">
        <w:rPr>
          <w:szCs w:val="25"/>
        </w:rPr>
        <w:t xml:space="preserve">, </w:t>
      </w:r>
      <w:r w:rsidRPr="00954FE3">
        <w:rPr>
          <w:szCs w:val="25"/>
        </w:rPr>
        <w:t>i.e.</w:t>
      </w:r>
      <w:r w:rsidR="006F304D" w:rsidRPr="006F304D">
        <w:rPr>
          <w:szCs w:val="25"/>
        </w:rPr>
        <w:t xml:space="preserve">, </w:t>
      </w:r>
      <w:r w:rsidRPr="00954FE3">
        <w:rPr>
          <w:szCs w:val="25"/>
        </w:rPr>
        <w:t>your enemies. That 32</w:t>
      </w:r>
      <w:r>
        <w:rPr>
          <w:szCs w:val="25"/>
        </w:rPr>
        <w:t>-34 refer</w:t>
      </w:r>
      <w:r w:rsidRPr="00954FE3">
        <w:rPr>
          <w:szCs w:val="25"/>
        </w:rPr>
        <w:t xml:space="preserve"> to love of enemies is also shown by the summary in 35a</w:t>
      </w:r>
      <w:r>
        <w:rPr>
          <w:szCs w:val="25"/>
        </w:rPr>
        <w:t>bc (“</w:t>
      </w:r>
      <w:r w:rsidRPr="00CD75A6">
        <w:t>But love your enemies</w:t>
      </w:r>
      <w:r w:rsidR="006F304D" w:rsidRPr="006F304D">
        <w:t xml:space="preserve">, </w:t>
      </w:r>
      <w:r>
        <w:t>do good</w:t>
      </w:r>
      <w:r w:rsidR="006F304D" w:rsidRPr="006F304D">
        <w:t xml:space="preserve">, </w:t>
      </w:r>
      <w:r w:rsidRPr="00CD75A6">
        <w:t>and lend</w:t>
      </w:r>
      <w:r w:rsidR="006F304D" w:rsidRPr="006F304D">
        <w:t xml:space="preserve">, </w:t>
      </w:r>
      <w:r w:rsidRPr="00CD75A6">
        <w:t xml:space="preserve">expecting </w:t>
      </w:r>
      <w:r>
        <w:t>nothing in return”)</w:t>
      </w:r>
      <w:r>
        <w:rPr>
          <w:szCs w:val="25"/>
        </w:rPr>
        <w:t>;</w:t>
      </w:r>
      <w:r w:rsidRPr="00954FE3">
        <w:rPr>
          <w:szCs w:val="25"/>
        </w:rPr>
        <w:t xml:space="preserve"> for in recapitulating 32</w:t>
      </w:r>
      <w:r>
        <w:rPr>
          <w:szCs w:val="25"/>
        </w:rPr>
        <w:t>-34</w:t>
      </w:r>
      <w:r w:rsidR="006F304D" w:rsidRPr="006F304D">
        <w:rPr>
          <w:szCs w:val="25"/>
        </w:rPr>
        <w:t xml:space="preserve">, </w:t>
      </w:r>
      <w:r w:rsidRPr="00954FE3">
        <w:rPr>
          <w:szCs w:val="25"/>
        </w:rPr>
        <w:t xml:space="preserve">that summary repeats verbatim the command of 27: “But love your enemies </w:t>
      </w:r>
      <w:r w:rsidRPr="00EE2A2F">
        <w:rPr>
          <w:szCs w:val="25"/>
        </w:rPr>
        <w:t>. . .</w:t>
      </w:r>
      <w:r>
        <w:rPr>
          <w:szCs w:val="25"/>
        </w:rPr>
        <w:t>”</w:t>
      </w:r>
      <w:r w:rsidRPr="00954FE3">
        <w:rPr>
          <w:szCs w:val="25"/>
        </w:rPr>
        <w:t xml:space="preserve"> The unit which begins with verse 32</w:t>
      </w:r>
      <w:r w:rsidR="006F304D" w:rsidRPr="006F304D">
        <w:rPr>
          <w:szCs w:val="25"/>
        </w:rPr>
        <w:t xml:space="preserve">, </w:t>
      </w:r>
      <w:r w:rsidRPr="00954FE3">
        <w:rPr>
          <w:szCs w:val="25"/>
        </w:rPr>
        <w:t>however</w:t>
      </w:r>
      <w:r w:rsidR="006F304D" w:rsidRPr="006F304D">
        <w:rPr>
          <w:szCs w:val="25"/>
        </w:rPr>
        <w:t xml:space="preserve">, </w:t>
      </w:r>
      <w:r w:rsidRPr="00954FE3">
        <w:rPr>
          <w:szCs w:val="25"/>
        </w:rPr>
        <w:t>does not end with 35a</w:t>
      </w:r>
      <w:r>
        <w:rPr>
          <w:szCs w:val="25"/>
        </w:rPr>
        <w:t>bc</w:t>
      </w:r>
      <w:r w:rsidR="006F304D" w:rsidRPr="006F304D">
        <w:rPr>
          <w:szCs w:val="25"/>
        </w:rPr>
        <w:t xml:space="preserve">, </w:t>
      </w:r>
      <w:r w:rsidRPr="00954FE3">
        <w:rPr>
          <w:szCs w:val="25"/>
        </w:rPr>
        <w:t>but continues through verse 36</w:t>
      </w:r>
      <w:r w:rsidR="006F304D" w:rsidRPr="006F304D">
        <w:rPr>
          <w:szCs w:val="25"/>
        </w:rPr>
        <w:t xml:space="preserve">, </w:t>
      </w:r>
      <w:r w:rsidRPr="00954FE3">
        <w:rPr>
          <w:szCs w:val="25"/>
        </w:rPr>
        <w:t xml:space="preserve">as we </w:t>
      </w:r>
      <w:r>
        <w:rPr>
          <w:szCs w:val="25"/>
        </w:rPr>
        <w:t>saw in the preceding chapter</w:t>
      </w:r>
      <w:r w:rsidRPr="00954FE3">
        <w:rPr>
          <w:szCs w:val="25"/>
        </w:rPr>
        <w:t>.</w:t>
      </w:r>
      <w:r>
        <w:rPr>
          <w:szCs w:val="25"/>
        </w:rPr>
        <w:t xml:space="preserve"> Since 37 (do not judge) seems to be a new topic</w:t>
      </w:r>
      <w:r w:rsidR="006F304D" w:rsidRPr="006F304D">
        <w:rPr>
          <w:szCs w:val="25"/>
        </w:rPr>
        <w:t xml:space="preserve">, </w:t>
      </w:r>
      <w:r w:rsidRPr="00954FE3">
        <w:rPr>
          <w:szCs w:val="25"/>
        </w:rPr>
        <w:t>the major section which begins with 27b</w:t>
      </w:r>
      <w:r w:rsidR="006F304D" w:rsidRPr="006F304D">
        <w:rPr>
          <w:szCs w:val="25"/>
        </w:rPr>
        <w:t xml:space="preserve">, </w:t>
      </w:r>
      <w:r w:rsidRPr="00954FE3">
        <w:rPr>
          <w:szCs w:val="25"/>
        </w:rPr>
        <w:t>on love of enemies</w:t>
      </w:r>
      <w:r w:rsidR="006F304D" w:rsidRPr="006F304D">
        <w:rPr>
          <w:szCs w:val="25"/>
        </w:rPr>
        <w:t xml:space="preserve">, </w:t>
      </w:r>
      <w:r>
        <w:rPr>
          <w:szCs w:val="25"/>
        </w:rPr>
        <w:t xml:space="preserve">ends with </w:t>
      </w:r>
      <w:r w:rsidRPr="00954FE3">
        <w:rPr>
          <w:szCs w:val="25"/>
        </w:rPr>
        <w:t>verse 36.</w:t>
      </w:r>
    </w:p>
    <w:p w14:paraId="18F66ADD" w14:textId="0272C9FB" w:rsidR="0018433B" w:rsidRDefault="0018433B" w:rsidP="0018433B">
      <w:pPr>
        <w:pStyle w:val="Style"/>
        <w:widowControl/>
        <w:jc w:val="both"/>
        <w:textAlignment w:val="baseline"/>
        <w:rPr>
          <w:szCs w:val="25"/>
        </w:rPr>
      </w:pPr>
      <w:r>
        <w:rPr>
          <w:szCs w:val="25"/>
        </w:rPr>
        <w:tab/>
      </w:r>
      <w:r w:rsidRPr="00954FE3">
        <w:rPr>
          <w:szCs w:val="25"/>
        </w:rPr>
        <w:t>Pausing now to review 27b-36</w:t>
      </w:r>
      <w:r w:rsidR="006F304D" w:rsidRPr="006F304D">
        <w:rPr>
          <w:szCs w:val="25"/>
        </w:rPr>
        <w:t xml:space="preserve">, </w:t>
      </w:r>
      <w:r w:rsidRPr="00954FE3">
        <w:rPr>
          <w:szCs w:val="25"/>
        </w:rPr>
        <w:t xml:space="preserve">we </w:t>
      </w:r>
      <w:r>
        <w:rPr>
          <w:szCs w:val="25"/>
        </w:rPr>
        <w:t xml:space="preserve">first </w:t>
      </w:r>
      <w:r w:rsidRPr="00954FE3">
        <w:rPr>
          <w:szCs w:val="25"/>
        </w:rPr>
        <w:t>note tha</w:t>
      </w:r>
      <w:r>
        <w:rPr>
          <w:szCs w:val="25"/>
        </w:rPr>
        <w:t>t it falls into two subsections;</w:t>
      </w:r>
      <w:r w:rsidRPr="00954FE3">
        <w:rPr>
          <w:szCs w:val="25"/>
        </w:rPr>
        <w:t xml:space="preserve"> for</w:t>
      </w:r>
      <w:r>
        <w:rPr>
          <w:szCs w:val="25"/>
        </w:rPr>
        <w:t xml:space="preserve"> </w:t>
      </w:r>
      <w:r w:rsidRPr="00954FE3">
        <w:rPr>
          <w:szCs w:val="25"/>
        </w:rPr>
        <w:t>32</w:t>
      </w:r>
      <w:r>
        <w:rPr>
          <w:szCs w:val="25"/>
        </w:rPr>
        <w:t>-36</w:t>
      </w:r>
      <w:r w:rsidRPr="00954FE3">
        <w:rPr>
          <w:szCs w:val="25"/>
        </w:rPr>
        <w:t xml:space="preserve"> (</w:t>
      </w:r>
      <w:r>
        <w:rPr>
          <w:szCs w:val="25"/>
        </w:rPr>
        <w:t>“</w:t>
      </w:r>
      <w:r w:rsidRPr="00954FE3">
        <w:rPr>
          <w:szCs w:val="25"/>
        </w:rPr>
        <w:t xml:space="preserve">If you love </w:t>
      </w:r>
      <w:r w:rsidRPr="00EE2A2F">
        <w:rPr>
          <w:szCs w:val="25"/>
        </w:rPr>
        <w:t>. . .</w:t>
      </w:r>
      <w:r>
        <w:rPr>
          <w:szCs w:val="25"/>
        </w:rPr>
        <w:t xml:space="preserve"> </w:t>
      </w:r>
      <w:r w:rsidRPr="00954FE3">
        <w:rPr>
          <w:szCs w:val="25"/>
        </w:rPr>
        <w:t>If you do good</w:t>
      </w:r>
      <w:r>
        <w:rPr>
          <w:szCs w:val="25"/>
        </w:rPr>
        <w:t>”) begin</w:t>
      </w:r>
      <w:r w:rsidRPr="00954FE3">
        <w:rPr>
          <w:szCs w:val="25"/>
        </w:rPr>
        <w:t xml:space="preserve"> anew </w:t>
      </w:r>
      <w:r>
        <w:rPr>
          <w:szCs w:val="25"/>
        </w:rPr>
        <w:t xml:space="preserve">a </w:t>
      </w:r>
      <w:r w:rsidRPr="00954FE3">
        <w:rPr>
          <w:szCs w:val="25"/>
        </w:rPr>
        <w:t>sequence initially</w:t>
      </w:r>
      <w:r>
        <w:rPr>
          <w:szCs w:val="25"/>
        </w:rPr>
        <w:t xml:space="preserve"> </w:t>
      </w:r>
      <w:r w:rsidRPr="00954FE3">
        <w:rPr>
          <w:szCs w:val="25"/>
        </w:rPr>
        <w:t xml:space="preserve">launched in 27 (“Love </w:t>
      </w:r>
      <w:r w:rsidRPr="00EE2A2F">
        <w:rPr>
          <w:szCs w:val="25"/>
        </w:rPr>
        <w:t>. . .</w:t>
      </w:r>
      <w:r>
        <w:rPr>
          <w:szCs w:val="25"/>
        </w:rPr>
        <w:t xml:space="preserve"> do good”).</w:t>
      </w:r>
    </w:p>
    <w:p w14:paraId="406E508A" w14:textId="714799FF" w:rsidR="0018433B" w:rsidRDefault="0018433B" w:rsidP="0018433B">
      <w:pPr>
        <w:pStyle w:val="Style"/>
        <w:widowControl/>
        <w:jc w:val="both"/>
        <w:textAlignment w:val="baseline"/>
        <w:rPr>
          <w:szCs w:val="25"/>
        </w:rPr>
      </w:pPr>
      <w:r>
        <w:rPr>
          <w:szCs w:val="25"/>
        </w:rPr>
        <w:tab/>
        <w:t>W</w:t>
      </w:r>
      <w:r w:rsidRPr="00954FE3">
        <w:rPr>
          <w:szCs w:val="25"/>
        </w:rPr>
        <w:t xml:space="preserve">ithin </w:t>
      </w:r>
      <w:r>
        <w:rPr>
          <w:szCs w:val="25"/>
        </w:rPr>
        <w:t>the first subsection (27b-30)</w:t>
      </w:r>
      <w:r w:rsidR="006F304D" w:rsidRPr="006F304D">
        <w:rPr>
          <w:szCs w:val="25"/>
        </w:rPr>
        <w:t xml:space="preserve">, </w:t>
      </w:r>
      <w:r>
        <w:rPr>
          <w:szCs w:val="25"/>
        </w:rPr>
        <w:t>two units may be distinguished</w:t>
      </w:r>
      <w:r w:rsidR="006F304D" w:rsidRPr="006F304D">
        <w:rPr>
          <w:szCs w:val="25"/>
        </w:rPr>
        <w:t xml:space="preserve">, </w:t>
      </w:r>
      <w:r>
        <w:rPr>
          <w:szCs w:val="25"/>
        </w:rPr>
        <w:t>27b-28 and 29-30. For in the clauses of 27b-28</w:t>
      </w:r>
      <w:r w:rsidR="006F304D" w:rsidRPr="006F304D">
        <w:rPr>
          <w:szCs w:val="25"/>
        </w:rPr>
        <w:t xml:space="preserve">, </w:t>
      </w:r>
      <w:r>
        <w:rPr>
          <w:szCs w:val="25"/>
        </w:rPr>
        <w:t>imperative verb</w:t>
      </w:r>
      <w:r w:rsidR="00607DA0">
        <w:rPr>
          <w:szCs w:val="25"/>
        </w:rPr>
        <w:t>s</w:t>
      </w:r>
      <w:r>
        <w:rPr>
          <w:szCs w:val="25"/>
        </w:rPr>
        <w:t xml:space="preserve"> </w:t>
      </w:r>
      <w:r w:rsidR="00607DA0">
        <w:rPr>
          <w:szCs w:val="25"/>
        </w:rPr>
        <w:t xml:space="preserve">are </w:t>
      </w:r>
      <w:r>
        <w:rPr>
          <w:szCs w:val="25"/>
        </w:rPr>
        <w:t>followed by reference</w:t>
      </w:r>
      <w:r w:rsidR="00607DA0">
        <w:rPr>
          <w:szCs w:val="25"/>
        </w:rPr>
        <w:t>s</w:t>
      </w:r>
      <w:r>
        <w:rPr>
          <w:szCs w:val="25"/>
        </w:rPr>
        <w:t xml:space="preserve"> to the opponents; but in 29-30</w:t>
      </w:r>
      <w:r w:rsidR="006F304D" w:rsidRPr="006F304D">
        <w:rPr>
          <w:szCs w:val="25"/>
        </w:rPr>
        <w:t xml:space="preserve">, </w:t>
      </w:r>
      <w:r>
        <w:rPr>
          <w:szCs w:val="25"/>
        </w:rPr>
        <w:t>reference</w:t>
      </w:r>
      <w:r w:rsidR="00607DA0">
        <w:rPr>
          <w:szCs w:val="25"/>
        </w:rPr>
        <w:t>s</w:t>
      </w:r>
      <w:r>
        <w:rPr>
          <w:szCs w:val="25"/>
        </w:rPr>
        <w:t xml:space="preserve"> to the opponents precede the imperative verb</w:t>
      </w:r>
      <w:r w:rsidR="00607DA0">
        <w:rPr>
          <w:szCs w:val="25"/>
        </w:rPr>
        <w:t>s</w:t>
      </w:r>
      <w:r>
        <w:rPr>
          <w:szCs w:val="25"/>
        </w:rPr>
        <w:t>. Also</w:t>
      </w:r>
      <w:r w:rsidR="006F304D" w:rsidRPr="006F304D">
        <w:rPr>
          <w:szCs w:val="25"/>
        </w:rPr>
        <w:t xml:space="preserve">, </w:t>
      </w:r>
      <w:r>
        <w:rPr>
          <w:szCs w:val="25"/>
        </w:rPr>
        <w:t>in 27b-28 the opponents are direct objects; but in 29-30</w:t>
      </w:r>
      <w:r w:rsidR="006F304D" w:rsidRPr="006F304D">
        <w:rPr>
          <w:szCs w:val="25"/>
        </w:rPr>
        <w:t xml:space="preserve">, </w:t>
      </w:r>
      <w:r>
        <w:rPr>
          <w:szCs w:val="25"/>
        </w:rPr>
        <w:t>they are participles (literally</w:t>
      </w:r>
      <w:r w:rsidR="006F304D" w:rsidRPr="006F304D">
        <w:rPr>
          <w:szCs w:val="25"/>
        </w:rPr>
        <w:t xml:space="preserve">, </w:t>
      </w:r>
      <w:r>
        <w:rPr>
          <w:szCs w:val="25"/>
        </w:rPr>
        <w:t>“to the striking [one],” “of the taking away,” “to the asking,” “of the taking away”).</w:t>
      </w:r>
    </w:p>
    <w:p w14:paraId="63149712" w14:textId="77777777" w:rsidR="0018433B" w:rsidRDefault="0018433B" w:rsidP="0018433B">
      <w:pPr>
        <w:pStyle w:val="Style"/>
        <w:widowControl/>
        <w:jc w:val="both"/>
        <w:textAlignment w:val="baseline"/>
        <w:rPr>
          <w:szCs w:val="25"/>
        </w:rPr>
      </w:pPr>
    </w:p>
    <w:p w14:paraId="27F47EAF" w14:textId="77777777" w:rsidR="0018433B" w:rsidRPr="00CD75A6" w:rsidRDefault="0018433B" w:rsidP="0018433B">
      <w:pPr>
        <w:tabs>
          <w:tab w:val="left" w:pos="1440"/>
          <w:tab w:val="left" w:pos="5760"/>
        </w:tabs>
        <w:ind w:left="720"/>
      </w:pPr>
      <w:r>
        <w:t>27b</w:t>
      </w:r>
      <w:r>
        <w:tab/>
      </w:r>
      <w:r w:rsidRPr="00CE06CA">
        <w:rPr>
          <w:bCs/>
          <w:szCs w:val="22"/>
          <w:lang w:val="el-GR"/>
        </w:rPr>
        <w:t>ἀγαπᾶ</w:t>
      </w:r>
      <w:r>
        <w:rPr>
          <w:bCs/>
          <w:szCs w:val="22"/>
          <w:lang w:val="el-GR"/>
        </w:rPr>
        <w:t>τε</w:t>
      </w:r>
      <w:r>
        <w:rPr>
          <w:bCs/>
          <w:szCs w:val="22"/>
        </w:rPr>
        <w:tab/>
      </w:r>
      <w:r w:rsidRPr="00CE06CA">
        <w:rPr>
          <w:bCs/>
          <w:szCs w:val="22"/>
          <w:lang w:val="el-GR"/>
        </w:rPr>
        <w:t>τοὺς ἐχθροὺς ὑμῶν,</w:t>
      </w:r>
    </w:p>
    <w:p w14:paraId="69ACBDB0" w14:textId="77777777" w:rsidR="0018433B" w:rsidRPr="005A1ADC" w:rsidRDefault="0018433B" w:rsidP="0018433B">
      <w:pPr>
        <w:tabs>
          <w:tab w:val="left" w:pos="1440"/>
          <w:tab w:val="left" w:pos="5760"/>
        </w:tabs>
        <w:ind w:left="720"/>
      </w:pPr>
      <w:r>
        <w:t>27c</w:t>
      </w:r>
      <w:r>
        <w:tab/>
      </w:r>
      <w:r w:rsidRPr="00CE06CA">
        <w:rPr>
          <w:bCs/>
          <w:szCs w:val="22"/>
          <w:lang w:val="el-GR"/>
        </w:rPr>
        <w:t>καλῶς ποιεῖ</w:t>
      </w:r>
      <w:r>
        <w:rPr>
          <w:bCs/>
          <w:szCs w:val="22"/>
          <w:lang w:val="el-GR"/>
        </w:rPr>
        <w:t>τε</w:t>
      </w:r>
      <w:r>
        <w:rPr>
          <w:bCs/>
          <w:szCs w:val="22"/>
        </w:rPr>
        <w:tab/>
      </w:r>
      <w:r w:rsidRPr="00CE06CA">
        <w:rPr>
          <w:bCs/>
          <w:szCs w:val="22"/>
          <w:lang w:val="el-GR"/>
        </w:rPr>
        <w:t>τοῖς μισοῦσιν ὑμᾶς,</w:t>
      </w:r>
    </w:p>
    <w:p w14:paraId="22F5F908" w14:textId="77777777" w:rsidR="0018433B" w:rsidRPr="00CD75A6" w:rsidRDefault="0018433B" w:rsidP="0018433B">
      <w:pPr>
        <w:tabs>
          <w:tab w:val="left" w:pos="1440"/>
          <w:tab w:val="left" w:pos="5760"/>
        </w:tabs>
        <w:ind w:left="720"/>
      </w:pPr>
      <w:r>
        <w:t>28a</w:t>
      </w:r>
      <w:r>
        <w:tab/>
      </w:r>
      <w:r w:rsidRPr="00CE06CA">
        <w:rPr>
          <w:bCs/>
          <w:szCs w:val="22"/>
          <w:lang w:val="el-GR"/>
        </w:rPr>
        <w:t>εὐλογεῖ</w:t>
      </w:r>
      <w:r>
        <w:rPr>
          <w:bCs/>
          <w:szCs w:val="22"/>
          <w:lang w:val="el-GR"/>
        </w:rPr>
        <w:t>τε</w:t>
      </w:r>
      <w:r>
        <w:rPr>
          <w:bCs/>
          <w:szCs w:val="22"/>
        </w:rPr>
        <w:tab/>
      </w:r>
      <w:r w:rsidRPr="00CE06CA">
        <w:rPr>
          <w:bCs/>
          <w:szCs w:val="22"/>
          <w:lang w:val="el-GR"/>
        </w:rPr>
        <w:t>τοὺς καταρωμένους ὑμᾶς,</w:t>
      </w:r>
    </w:p>
    <w:p w14:paraId="515F778E" w14:textId="77777777" w:rsidR="0018433B" w:rsidRDefault="0018433B" w:rsidP="0018433B">
      <w:pPr>
        <w:tabs>
          <w:tab w:val="left" w:pos="1440"/>
          <w:tab w:val="left" w:pos="5760"/>
        </w:tabs>
        <w:ind w:left="720"/>
        <w:rPr>
          <w:bCs/>
          <w:szCs w:val="22"/>
        </w:rPr>
      </w:pPr>
      <w:r>
        <w:t>28b</w:t>
      </w:r>
      <w:r>
        <w:tab/>
      </w:r>
      <w:r w:rsidRPr="00CE06CA">
        <w:rPr>
          <w:bCs/>
          <w:szCs w:val="22"/>
          <w:lang w:val="el-GR"/>
        </w:rPr>
        <w:t>προσεύ</w:t>
      </w:r>
      <w:r>
        <w:rPr>
          <w:bCs/>
          <w:szCs w:val="22"/>
          <w:lang w:val="el-GR"/>
        </w:rPr>
        <w:t>χεσθε</w:t>
      </w:r>
      <w:r w:rsidRPr="00CE06CA">
        <w:rPr>
          <w:bCs/>
          <w:szCs w:val="22"/>
          <w:lang w:val="el-GR"/>
        </w:rPr>
        <w:t>περὶ</w:t>
      </w:r>
      <w:r>
        <w:rPr>
          <w:bCs/>
          <w:szCs w:val="22"/>
        </w:rPr>
        <w:tab/>
      </w:r>
      <w:r w:rsidRPr="00CE06CA">
        <w:rPr>
          <w:bCs/>
          <w:szCs w:val="22"/>
          <w:lang w:val="el-GR"/>
        </w:rPr>
        <w:t>τῶν ἐπηρεαζόντων ὑμᾶς.</w:t>
      </w:r>
    </w:p>
    <w:p w14:paraId="567A5FA5" w14:textId="77777777" w:rsidR="0018433B" w:rsidRDefault="0018433B" w:rsidP="0018433B">
      <w:pPr>
        <w:pStyle w:val="Style"/>
        <w:widowControl/>
        <w:jc w:val="both"/>
        <w:textAlignment w:val="baseline"/>
        <w:rPr>
          <w:szCs w:val="25"/>
        </w:rPr>
      </w:pPr>
    </w:p>
    <w:p w14:paraId="2FB42DB6" w14:textId="77777777" w:rsidR="0018433B" w:rsidRPr="00CD75A6" w:rsidRDefault="0018433B" w:rsidP="0018433B">
      <w:pPr>
        <w:tabs>
          <w:tab w:val="left" w:pos="1440"/>
          <w:tab w:val="left" w:pos="5760"/>
        </w:tabs>
        <w:ind w:left="720"/>
      </w:pPr>
      <w:r>
        <w:t>27b</w:t>
      </w:r>
      <w:r>
        <w:tab/>
        <w:t>Love</w:t>
      </w:r>
      <w:r>
        <w:tab/>
      </w:r>
      <w:r w:rsidRPr="00CD75A6">
        <w:t>your enemies,</w:t>
      </w:r>
    </w:p>
    <w:p w14:paraId="2E4A60C1" w14:textId="77777777" w:rsidR="0018433B" w:rsidRPr="00CD75A6" w:rsidRDefault="0018433B" w:rsidP="0018433B">
      <w:pPr>
        <w:tabs>
          <w:tab w:val="left" w:pos="1440"/>
          <w:tab w:val="left" w:pos="5760"/>
        </w:tabs>
        <w:ind w:left="720"/>
      </w:pPr>
      <w:r>
        <w:t>27c</w:t>
      </w:r>
      <w:r>
        <w:tab/>
        <w:t>do good</w:t>
      </w:r>
      <w:r>
        <w:tab/>
      </w:r>
      <w:r w:rsidRPr="00CD75A6">
        <w:t>to those who hate you,</w:t>
      </w:r>
    </w:p>
    <w:p w14:paraId="766EAA72" w14:textId="77777777" w:rsidR="0018433B" w:rsidRPr="00CD75A6" w:rsidRDefault="0018433B" w:rsidP="0018433B">
      <w:pPr>
        <w:tabs>
          <w:tab w:val="left" w:pos="1440"/>
          <w:tab w:val="left" w:pos="5760"/>
        </w:tabs>
        <w:ind w:left="720"/>
      </w:pPr>
      <w:r>
        <w:t>28a</w:t>
      </w:r>
      <w:r>
        <w:tab/>
        <w:t>bless</w:t>
      </w:r>
      <w:r>
        <w:tab/>
      </w:r>
      <w:r w:rsidRPr="00CD75A6">
        <w:t>those who curse you,</w:t>
      </w:r>
    </w:p>
    <w:p w14:paraId="0E8DCB8E" w14:textId="77777777" w:rsidR="0018433B" w:rsidRPr="00CD75A6" w:rsidRDefault="0018433B" w:rsidP="0018433B">
      <w:pPr>
        <w:tabs>
          <w:tab w:val="left" w:pos="1440"/>
          <w:tab w:val="left" w:pos="5760"/>
        </w:tabs>
        <w:ind w:left="720"/>
      </w:pPr>
      <w:r>
        <w:t>28b</w:t>
      </w:r>
      <w:r>
        <w:tab/>
        <w:t>pray</w:t>
      </w:r>
      <w:r>
        <w:tab/>
        <w:t xml:space="preserve">for </w:t>
      </w:r>
      <w:r w:rsidRPr="00CD75A6">
        <w:t>those who abuse you.</w:t>
      </w:r>
    </w:p>
    <w:p w14:paraId="70C6CF0A" w14:textId="77777777" w:rsidR="0018433B" w:rsidRDefault="0018433B" w:rsidP="0018433B">
      <w:pPr>
        <w:pStyle w:val="Style"/>
        <w:widowControl/>
        <w:jc w:val="both"/>
        <w:textAlignment w:val="baseline"/>
        <w:rPr>
          <w:szCs w:val="25"/>
        </w:rPr>
      </w:pPr>
    </w:p>
    <w:p w14:paraId="1601A547" w14:textId="77777777" w:rsidR="0018433B" w:rsidRDefault="0018433B" w:rsidP="0018433B">
      <w:pPr>
        <w:pStyle w:val="Style"/>
        <w:widowControl/>
        <w:tabs>
          <w:tab w:val="left" w:pos="1440"/>
          <w:tab w:val="left" w:pos="5760"/>
        </w:tabs>
        <w:ind w:left="720"/>
        <w:jc w:val="both"/>
        <w:textAlignment w:val="baseline"/>
        <w:rPr>
          <w:szCs w:val="25"/>
        </w:rPr>
      </w:pPr>
      <w:r>
        <w:rPr>
          <w:szCs w:val="25"/>
        </w:rPr>
        <w:t>29a</w:t>
      </w:r>
      <w:r>
        <w:rPr>
          <w:szCs w:val="25"/>
        </w:rPr>
        <w:tab/>
      </w:r>
      <w:r w:rsidRPr="00CE06CA">
        <w:rPr>
          <w:bCs/>
          <w:szCs w:val="22"/>
          <w:lang w:val="el-GR"/>
        </w:rPr>
        <w:t>τῷ τύπτοντί σε ἐπὶ τὴν σιαγό</w:t>
      </w:r>
      <w:r>
        <w:rPr>
          <w:bCs/>
          <w:szCs w:val="22"/>
          <w:lang w:val="el-GR"/>
        </w:rPr>
        <w:t>να</w:t>
      </w:r>
      <w:r>
        <w:rPr>
          <w:bCs/>
          <w:szCs w:val="22"/>
        </w:rPr>
        <w:tab/>
      </w:r>
      <w:r w:rsidRPr="00CE06CA">
        <w:rPr>
          <w:bCs/>
          <w:szCs w:val="22"/>
          <w:lang w:val="el-GR"/>
        </w:rPr>
        <w:t>πάρεχε καὶ τὴν ἄλλην,</w:t>
      </w:r>
    </w:p>
    <w:p w14:paraId="582E44F9" w14:textId="77777777" w:rsidR="0018433B" w:rsidRDefault="0018433B" w:rsidP="0018433B">
      <w:pPr>
        <w:pStyle w:val="Style"/>
        <w:widowControl/>
        <w:tabs>
          <w:tab w:val="left" w:pos="1440"/>
          <w:tab w:val="left" w:pos="5760"/>
        </w:tabs>
        <w:ind w:left="720"/>
        <w:jc w:val="both"/>
        <w:textAlignment w:val="baseline"/>
        <w:rPr>
          <w:szCs w:val="25"/>
        </w:rPr>
      </w:pPr>
      <w:r>
        <w:rPr>
          <w:szCs w:val="25"/>
        </w:rPr>
        <w:t>29b</w:t>
      </w:r>
      <w:r>
        <w:rPr>
          <w:szCs w:val="25"/>
        </w:rPr>
        <w:tab/>
      </w:r>
      <w:r w:rsidRPr="00CE06CA">
        <w:rPr>
          <w:bCs/>
          <w:szCs w:val="22"/>
          <w:lang w:val="el-GR"/>
        </w:rPr>
        <w:t>καὶ ἀπὸ τοῦ αἴροντός σου τὸ ἱμά</w:t>
      </w:r>
      <w:r>
        <w:rPr>
          <w:bCs/>
          <w:szCs w:val="22"/>
          <w:lang w:val="el-GR"/>
        </w:rPr>
        <w:t>τιον</w:t>
      </w:r>
      <w:r>
        <w:rPr>
          <w:bCs/>
          <w:szCs w:val="22"/>
        </w:rPr>
        <w:tab/>
      </w:r>
      <w:r w:rsidRPr="00CE06CA">
        <w:rPr>
          <w:bCs/>
          <w:szCs w:val="22"/>
          <w:lang w:val="el-GR"/>
        </w:rPr>
        <w:t>καὶ τὸν χιτῶνα μὴ κωλύσῃς.</w:t>
      </w:r>
    </w:p>
    <w:p w14:paraId="0218D66F" w14:textId="77777777" w:rsidR="0018433B" w:rsidRDefault="0018433B" w:rsidP="0018433B">
      <w:pPr>
        <w:pStyle w:val="Style"/>
        <w:widowControl/>
        <w:tabs>
          <w:tab w:val="left" w:pos="1440"/>
          <w:tab w:val="left" w:pos="5760"/>
        </w:tabs>
        <w:ind w:left="720"/>
        <w:jc w:val="both"/>
        <w:textAlignment w:val="baseline"/>
        <w:rPr>
          <w:szCs w:val="25"/>
        </w:rPr>
      </w:pPr>
      <w:r>
        <w:rPr>
          <w:szCs w:val="25"/>
        </w:rPr>
        <w:t>30a</w:t>
      </w:r>
      <w:r>
        <w:rPr>
          <w:szCs w:val="25"/>
        </w:rPr>
        <w:tab/>
      </w:r>
      <w:r w:rsidRPr="00CE06CA">
        <w:rPr>
          <w:bCs/>
          <w:szCs w:val="22"/>
          <w:lang w:val="el-GR"/>
        </w:rPr>
        <w:t>παντὶ αἰτοῦντί</w:t>
      </w:r>
      <w:r>
        <w:rPr>
          <w:bCs/>
          <w:szCs w:val="22"/>
          <w:lang w:val="el-GR"/>
        </w:rPr>
        <w:t xml:space="preserve"> σε</w:t>
      </w:r>
      <w:r>
        <w:rPr>
          <w:bCs/>
          <w:szCs w:val="22"/>
        </w:rPr>
        <w:tab/>
      </w:r>
      <w:r w:rsidRPr="00CE06CA">
        <w:rPr>
          <w:bCs/>
          <w:szCs w:val="22"/>
          <w:lang w:val="el-GR"/>
        </w:rPr>
        <w:t>δίδου,</w:t>
      </w:r>
    </w:p>
    <w:p w14:paraId="0DE708DD" w14:textId="77777777" w:rsidR="0018433B" w:rsidRDefault="0018433B" w:rsidP="0018433B">
      <w:pPr>
        <w:pStyle w:val="Style"/>
        <w:widowControl/>
        <w:tabs>
          <w:tab w:val="left" w:pos="1440"/>
          <w:tab w:val="left" w:pos="5760"/>
        </w:tabs>
        <w:ind w:left="720"/>
        <w:jc w:val="both"/>
        <w:textAlignment w:val="baseline"/>
        <w:rPr>
          <w:szCs w:val="25"/>
        </w:rPr>
      </w:pPr>
      <w:r>
        <w:rPr>
          <w:szCs w:val="25"/>
        </w:rPr>
        <w:t>30b</w:t>
      </w:r>
      <w:r>
        <w:rPr>
          <w:szCs w:val="25"/>
        </w:rPr>
        <w:tab/>
      </w:r>
      <w:r w:rsidRPr="00CE06CA">
        <w:rPr>
          <w:bCs/>
          <w:szCs w:val="22"/>
          <w:lang w:val="el-GR"/>
        </w:rPr>
        <w:t>καὶ ἀπὸ τοῦ αἴροντος τὰ σὰ</w:t>
      </w:r>
      <w:r>
        <w:rPr>
          <w:bCs/>
          <w:szCs w:val="22"/>
        </w:rPr>
        <w:tab/>
      </w:r>
      <w:r w:rsidRPr="00CE06CA">
        <w:rPr>
          <w:bCs/>
          <w:szCs w:val="22"/>
          <w:lang w:val="el-GR"/>
        </w:rPr>
        <w:t>μὴ ἀπαίτει.</w:t>
      </w:r>
    </w:p>
    <w:p w14:paraId="734BC407" w14:textId="77777777" w:rsidR="0018433B" w:rsidRDefault="0018433B" w:rsidP="0018433B">
      <w:pPr>
        <w:pStyle w:val="Style"/>
        <w:widowControl/>
        <w:jc w:val="both"/>
        <w:textAlignment w:val="baseline"/>
        <w:rPr>
          <w:szCs w:val="25"/>
        </w:rPr>
      </w:pPr>
    </w:p>
    <w:p w14:paraId="3CAC24CC" w14:textId="77777777" w:rsidR="0018433B" w:rsidRDefault="0018433B" w:rsidP="0018433B">
      <w:pPr>
        <w:pStyle w:val="Style"/>
        <w:widowControl/>
        <w:tabs>
          <w:tab w:val="left" w:pos="1440"/>
          <w:tab w:val="left" w:pos="5760"/>
        </w:tabs>
        <w:ind w:left="720"/>
        <w:jc w:val="both"/>
        <w:textAlignment w:val="baseline"/>
        <w:rPr>
          <w:szCs w:val="25"/>
        </w:rPr>
      </w:pPr>
      <w:r>
        <w:rPr>
          <w:szCs w:val="25"/>
        </w:rPr>
        <w:t>29a</w:t>
      </w:r>
      <w:r>
        <w:rPr>
          <w:szCs w:val="25"/>
        </w:rPr>
        <w:tab/>
      </w:r>
      <w:r w:rsidRPr="00CD75A6">
        <w:t>If a</w:t>
      </w:r>
      <w:r>
        <w:t>nyone strikes you on the cheek,</w:t>
      </w:r>
      <w:r>
        <w:tab/>
      </w:r>
      <w:r w:rsidRPr="00CD75A6">
        <w:t>offer the other also;</w:t>
      </w:r>
    </w:p>
    <w:p w14:paraId="330C8173" w14:textId="77777777" w:rsidR="0018433B" w:rsidRDefault="0018433B" w:rsidP="0018433B">
      <w:pPr>
        <w:pStyle w:val="Style"/>
        <w:widowControl/>
        <w:tabs>
          <w:tab w:val="left" w:pos="1440"/>
          <w:tab w:val="left" w:pos="5760"/>
        </w:tabs>
        <w:ind w:left="720"/>
        <w:jc w:val="both"/>
        <w:textAlignment w:val="baseline"/>
        <w:rPr>
          <w:szCs w:val="25"/>
        </w:rPr>
      </w:pPr>
      <w:r>
        <w:rPr>
          <w:szCs w:val="25"/>
        </w:rPr>
        <w:t>29b</w:t>
      </w:r>
      <w:r>
        <w:rPr>
          <w:szCs w:val="25"/>
        </w:rPr>
        <w:tab/>
      </w:r>
      <w:r w:rsidRPr="00CD75A6">
        <w:t xml:space="preserve">and from </w:t>
      </w:r>
      <w:r>
        <w:t>anyone who takes away your coat</w:t>
      </w:r>
      <w:r>
        <w:tab/>
      </w:r>
      <w:r w:rsidRPr="00CD75A6">
        <w:t>do not</w:t>
      </w:r>
      <w:r>
        <w:t xml:space="preserve"> </w:t>
      </w:r>
      <w:r w:rsidRPr="00CD75A6">
        <w:t>withhold even your shirt.</w:t>
      </w:r>
    </w:p>
    <w:p w14:paraId="01CEDC5E" w14:textId="77777777" w:rsidR="0018433B" w:rsidRDefault="0018433B" w:rsidP="0018433B">
      <w:pPr>
        <w:pStyle w:val="Style"/>
        <w:widowControl/>
        <w:tabs>
          <w:tab w:val="left" w:pos="1440"/>
          <w:tab w:val="left" w:pos="5760"/>
        </w:tabs>
        <w:ind w:left="720"/>
        <w:jc w:val="both"/>
        <w:textAlignment w:val="baseline"/>
      </w:pPr>
      <w:r>
        <w:rPr>
          <w:szCs w:val="25"/>
        </w:rPr>
        <w:t>30a</w:t>
      </w:r>
      <w:r>
        <w:rPr>
          <w:szCs w:val="25"/>
        </w:rPr>
        <w:tab/>
      </w:r>
      <w:r>
        <w:t>To all who ask,</w:t>
      </w:r>
      <w:r>
        <w:tab/>
        <w:t>give;</w:t>
      </w:r>
      <w:r>
        <w:rPr>
          <w:rStyle w:val="FootnoteReference"/>
        </w:rPr>
        <w:footnoteReference w:id="628"/>
      </w:r>
    </w:p>
    <w:p w14:paraId="77E8AF7A" w14:textId="77777777" w:rsidR="0018433B" w:rsidRDefault="0018433B" w:rsidP="0018433B">
      <w:pPr>
        <w:pStyle w:val="Style"/>
        <w:widowControl/>
        <w:tabs>
          <w:tab w:val="left" w:pos="1440"/>
          <w:tab w:val="left" w:pos="5760"/>
        </w:tabs>
        <w:ind w:left="720"/>
        <w:jc w:val="both"/>
        <w:textAlignment w:val="baseline"/>
        <w:rPr>
          <w:szCs w:val="25"/>
        </w:rPr>
      </w:pPr>
      <w:r>
        <w:rPr>
          <w:szCs w:val="25"/>
        </w:rPr>
        <w:t>30b</w:t>
      </w:r>
      <w:r>
        <w:rPr>
          <w:szCs w:val="25"/>
        </w:rPr>
        <w:tab/>
      </w:r>
      <w:r w:rsidRPr="00CD75A6">
        <w:t>and i</w:t>
      </w:r>
      <w:r>
        <w:t>f anyone takes away your goods,</w:t>
      </w:r>
      <w:r>
        <w:tab/>
      </w:r>
      <w:r w:rsidRPr="00CD75A6">
        <w:t>do not ask for them again.</w:t>
      </w:r>
    </w:p>
    <w:p w14:paraId="34A0D768" w14:textId="46DF58D7" w:rsidR="0018433B" w:rsidRDefault="0018433B" w:rsidP="0018433B">
      <w:pPr>
        <w:pStyle w:val="Style"/>
        <w:widowControl/>
        <w:jc w:val="both"/>
        <w:textAlignment w:val="baseline"/>
        <w:rPr>
          <w:szCs w:val="25"/>
        </w:rPr>
      </w:pPr>
    </w:p>
    <w:p w14:paraId="1974738C" w14:textId="79F73FA8" w:rsidR="0018433B" w:rsidRDefault="0018433B" w:rsidP="0018433B">
      <w:pPr>
        <w:pStyle w:val="Style"/>
        <w:widowControl/>
        <w:jc w:val="both"/>
        <w:textAlignment w:val="baseline"/>
        <w:rPr>
          <w:szCs w:val="25"/>
        </w:rPr>
      </w:pPr>
      <w:r>
        <w:rPr>
          <w:szCs w:val="25"/>
        </w:rPr>
        <w:t>Verses 27b-36</w:t>
      </w:r>
      <w:r w:rsidR="006F304D" w:rsidRPr="006F304D">
        <w:rPr>
          <w:szCs w:val="25"/>
        </w:rPr>
        <w:t xml:space="preserve">, </w:t>
      </w:r>
      <w:r>
        <w:rPr>
          <w:szCs w:val="25"/>
        </w:rPr>
        <w:t>then</w:t>
      </w:r>
      <w:r w:rsidR="006F304D" w:rsidRPr="006F304D">
        <w:rPr>
          <w:szCs w:val="25"/>
        </w:rPr>
        <w:t xml:space="preserve">, </w:t>
      </w:r>
      <w:r>
        <w:rPr>
          <w:szCs w:val="25"/>
        </w:rPr>
        <w:t>is a major section with two subsections</w:t>
      </w:r>
      <w:r w:rsidR="006F304D" w:rsidRPr="006F304D">
        <w:rPr>
          <w:szCs w:val="25"/>
        </w:rPr>
        <w:t xml:space="preserve">, </w:t>
      </w:r>
      <w:r>
        <w:rPr>
          <w:szCs w:val="25"/>
        </w:rPr>
        <w:t>27b-30 and 22-36; and the first subsection</w:t>
      </w:r>
      <w:r w:rsidR="006F304D" w:rsidRPr="006F304D">
        <w:rPr>
          <w:szCs w:val="25"/>
        </w:rPr>
        <w:t xml:space="preserve">, </w:t>
      </w:r>
      <w:r>
        <w:rPr>
          <w:szCs w:val="25"/>
        </w:rPr>
        <w:t>27b-30</w:t>
      </w:r>
      <w:r w:rsidR="006F304D" w:rsidRPr="006F304D">
        <w:rPr>
          <w:szCs w:val="25"/>
        </w:rPr>
        <w:t xml:space="preserve">, </w:t>
      </w:r>
      <w:r>
        <w:rPr>
          <w:szCs w:val="25"/>
        </w:rPr>
        <w:t>has two units</w:t>
      </w:r>
      <w:r w:rsidR="006F304D" w:rsidRPr="006F304D">
        <w:rPr>
          <w:szCs w:val="25"/>
        </w:rPr>
        <w:t xml:space="preserve">, </w:t>
      </w:r>
      <w:r>
        <w:rPr>
          <w:szCs w:val="25"/>
        </w:rPr>
        <w:t>27b-28 and 29-30.</w:t>
      </w:r>
    </w:p>
    <w:p w14:paraId="23816F45" w14:textId="4CEFD1C2" w:rsidR="0018433B" w:rsidRDefault="0018433B" w:rsidP="0018433B">
      <w:pPr>
        <w:pStyle w:val="Style"/>
        <w:widowControl/>
        <w:jc w:val="both"/>
        <w:textAlignment w:val="baseline"/>
        <w:rPr>
          <w:szCs w:val="25"/>
        </w:rPr>
      </w:pPr>
      <w:r>
        <w:rPr>
          <w:szCs w:val="25"/>
        </w:rPr>
        <w:tab/>
        <w:t>But what of verse 31? Should we see it as a conclusion to what precedes</w:t>
      </w:r>
      <w:r w:rsidR="006F304D" w:rsidRPr="006F304D">
        <w:rPr>
          <w:szCs w:val="25"/>
        </w:rPr>
        <w:t xml:space="preserve">, </w:t>
      </w:r>
      <w:r>
        <w:rPr>
          <w:szCs w:val="25"/>
        </w:rPr>
        <w:t>a free-standing unit</w:t>
      </w:r>
      <w:r w:rsidR="006F304D" w:rsidRPr="006F304D">
        <w:rPr>
          <w:szCs w:val="25"/>
        </w:rPr>
        <w:t xml:space="preserve">, </w:t>
      </w:r>
      <w:r>
        <w:rPr>
          <w:szCs w:val="25"/>
        </w:rPr>
        <w:t>or an introduction to what follows?</w:t>
      </w:r>
    </w:p>
    <w:p w14:paraId="37966064" w14:textId="0E816966" w:rsidR="0018433B" w:rsidRDefault="0018433B" w:rsidP="0018433B">
      <w:pPr>
        <w:pStyle w:val="Style"/>
        <w:widowControl/>
        <w:jc w:val="both"/>
        <w:textAlignment w:val="baseline"/>
        <w:rPr>
          <w:szCs w:val="25"/>
        </w:rPr>
      </w:pPr>
      <w:r>
        <w:rPr>
          <w:szCs w:val="25"/>
        </w:rPr>
        <w:lastRenderedPageBreak/>
        <w:tab/>
        <w:t>Verse 31 could be a free-standing logion</w:t>
      </w:r>
      <w:r w:rsidR="006F304D" w:rsidRPr="006F304D">
        <w:rPr>
          <w:szCs w:val="25"/>
        </w:rPr>
        <w:t xml:space="preserve">, </w:t>
      </w:r>
      <w:r>
        <w:rPr>
          <w:szCs w:val="25"/>
        </w:rPr>
        <w:t>coordinate with 29b-30 and 32-36. That is a tempting solution</w:t>
      </w:r>
      <w:r w:rsidR="006F304D" w:rsidRPr="006F304D">
        <w:rPr>
          <w:szCs w:val="25"/>
        </w:rPr>
        <w:t xml:space="preserve">, </w:t>
      </w:r>
      <w:r>
        <w:rPr>
          <w:szCs w:val="25"/>
        </w:rPr>
        <w:t xml:space="preserve">since 31 fits awkwardly in a love-of-enemies context. Several commentators </w:t>
      </w:r>
      <w:r w:rsidRPr="006A51BA">
        <w:rPr>
          <w:szCs w:val="25"/>
        </w:rPr>
        <w:t>make 31</w:t>
      </w:r>
      <w:r>
        <w:rPr>
          <w:szCs w:val="25"/>
        </w:rPr>
        <w:t xml:space="preserve"> </w:t>
      </w:r>
      <w:r w:rsidRPr="006A51BA">
        <w:rPr>
          <w:szCs w:val="25"/>
        </w:rPr>
        <w:t>a separate unit</w:t>
      </w:r>
      <w:r w:rsidR="006F304D" w:rsidRPr="006F304D">
        <w:rPr>
          <w:szCs w:val="25"/>
        </w:rPr>
        <w:t xml:space="preserve">, </w:t>
      </w:r>
      <w:r w:rsidRPr="006A51BA">
        <w:rPr>
          <w:szCs w:val="25"/>
        </w:rPr>
        <w:t>coordinate with the units before and aft</w:t>
      </w:r>
      <w:r>
        <w:rPr>
          <w:szCs w:val="25"/>
        </w:rPr>
        <w:t>er it.</w:t>
      </w:r>
      <w:r>
        <w:rPr>
          <w:rStyle w:val="FootnoteReference"/>
          <w:szCs w:val="25"/>
        </w:rPr>
        <w:footnoteReference w:id="629"/>
      </w:r>
    </w:p>
    <w:p w14:paraId="1EFCAA42" w14:textId="627D9CF0" w:rsidR="0018433B" w:rsidRDefault="0018433B" w:rsidP="0018433B">
      <w:pPr>
        <w:pStyle w:val="Style"/>
        <w:widowControl/>
        <w:jc w:val="both"/>
        <w:textAlignment w:val="baseline"/>
        <w:rPr>
          <w:szCs w:val="25"/>
        </w:rPr>
      </w:pPr>
      <w:r>
        <w:rPr>
          <w:szCs w:val="25"/>
        </w:rPr>
        <w:tab/>
        <w:t>Verse 31 could be an introduction to what follows. But 32-36 already include an overarching principle (35d-36</w:t>
      </w:r>
      <w:r w:rsidR="006F304D" w:rsidRPr="006F304D">
        <w:rPr>
          <w:szCs w:val="25"/>
        </w:rPr>
        <w:t xml:space="preserve">, </w:t>
      </w:r>
      <w:r>
        <w:rPr>
          <w:szCs w:val="25"/>
        </w:rPr>
        <w:t>imitate God’s mercy</w:t>
      </w:r>
      <w:r w:rsidRPr="00954FE3">
        <w:rPr>
          <w:szCs w:val="25"/>
        </w:rPr>
        <w:t>)</w:t>
      </w:r>
      <w:r>
        <w:rPr>
          <w:szCs w:val="25"/>
        </w:rPr>
        <w:t>.</w:t>
      </w:r>
    </w:p>
    <w:p w14:paraId="5E1C55DB" w14:textId="4E4C4BDA" w:rsidR="0018433B" w:rsidRPr="00954FE3" w:rsidRDefault="0018433B" w:rsidP="0018433B">
      <w:pPr>
        <w:pStyle w:val="Style"/>
        <w:widowControl/>
        <w:jc w:val="both"/>
        <w:textAlignment w:val="baseline"/>
        <w:rPr>
          <w:szCs w:val="25"/>
        </w:rPr>
      </w:pPr>
      <w:r>
        <w:rPr>
          <w:szCs w:val="25"/>
        </w:rPr>
        <w:tab/>
        <w:t>Hence</w:t>
      </w:r>
      <w:r w:rsidR="006F304D" w:rsidRPr="006F304D">
        <w:rPr>
          <w:szCs w:val="25"/>
        </w:rPr>
        <w:t xml:space="preserve">, </w:t>
      </w:r>
      <w:r>
        <w:rPr>
          <w:szCs w:val="25"/>
        </w:rPr>
        <w:t xml:space="preserve">symmetry suggests that probably both 27b-31 and 32-36 are </w:t>
      </w:r>
      <w:r w:rsidRPr="00954FE3">
        <w:rPr>
          <w:szCs w:val="25"/>
        </w:rPr>
        <w:t xml:space="preserve">intended to be </w:t>
      </w:r>
      <w:r>
        <w:rPr>
          <w:szCs w:val="25"/>
        </w:rPr>
        <w:t>subsections about love of enemies</w:t>
      </w:r>
      <w:r w:rsidR="006F304D" w:rsidRPr="006F304D">
        <w:rPr>
          <w:szCs w:val="25"/>
        </w:rPr>
        <w:t xml:space="preserve">, </w:t>
      </w:r>
      <w:r>
        <w:rPr>
          <w:szCs w:val="25"/>
        </w:rPr>
        <w:t>each with its conclusion (27b-30 + 31</w:t>
      </w:r>
      <w:r w:rsidR="006F304D" w:rsidRPr="006F304D">
        <w:rPr>
          <w:szCs w:val="25"/>
        </w:rPr>
        <w:t xml:space="preserve">, </w:t>
      </w:r>
      <w:r>
        <w:rPr>
          <w:szCs w:val="25"/>
        </w:rPr>
        <w:t>do unto others; 32-35c + 35d-36</w:t>
      </w:r>
      <w:r w:rsidR="006F304D" w:rsidRPr="006F304D">
        <w:rPr>
          <w:szCs w:val="25"/>
        </w:rPr>
        <w:t xml:space="preserve">, </w:t>
      </w:r>
      <w:r>
        <w:rPr>
          <w:szCs w:val="25"/>
        </w:rPr>
        <w:t>imitate God’s mercy).</w:t>
      </w:r>
      <w:r w:rsidRPr="00954FE3">
        <w:rPr>
          <w:szCs w:val="25"/>
        </w:rPr>
        <w:t xml:space="preserve"> </w:t>
      </w:r>
      <w:r>
        <w:rPr>
          <w:szCs w:val="25"/>
        </w:rPr>
        <w:t>Specifications of t</w:t>
      </w:r>
      <w:r w:rsidRPr="00954FE3">
        <w:rPr>
          <w:szCs w:val="25"/>
        </w:rPr>
        <w:t xml:space="preserve">he </w:t>
      </w:r>
      <w:r>
        <w:rPr>
          <w:szCs w:val="25"/>
        </w:rPr>
        <w:t>love-of-</w:t>
      </w:r>
      <w:r w:rsidRPr="00954FE3">
        <w:rPr>
          <w:szCs w:val="25"/>
        </w:rPr>
        <w:t xml:space="preserve">enemies principle </w:t>
      </w:r>
      <w:r>
        <w:rPr>
          <w:szCs w:val="25"/>
        </w:rPr>
        <w:t>(</w:t>
      </w:r>
      <w:r w:rsidRPr="00954FE3">
        <w:rPr>
          <w:szCs w:val="25"/>
        </w:rPr>
        <w:t>27b</w:t>
      </w:r>
      <w:r>
        <w:rPr>
          <w:szCs w:val="25"/>
        </w:rPr>
        <w:t>) are given in 29-30 (turn the other cheek</w:t>
      </w:r>
      <w:r w:rsidR="006F304D" w:rsidRPr="006F304D">
        <w:rPr>
          <w:szCs w:val="25"/>
        </w:rPr>
        <w:t xml:space="preserve">, </w:t>
      </w:r>
      <w:r>
        <w:rPr>
          <w:szCs w:val="25"/>
        </w:rPr>
        <w:t>give the shirt also</w:t>
      </w:r>
      <w:r w:rsidR="006F304D" w:rsidRPr="006F304D">
        <w:rPr>
          <w:szCs w:val="25"/>
        </w:rPr>
        <w:t xml:space="preserve">, </w:t>
      </w:r>
      <w:r>
        <w:rPr>
          <w:szCs w:val="25"/>
        </w:rPr>
        <w:t>give to beggars</w:t>
      </w:r>
      <w:r w:rsidR="006F304D" w:rsidRPr="006F304D">
        <w:rPr>
          <w:szCs w:val="25"/>
        </w:rPr>
        <w:t xml:space="preserve">, </w:t>
      </w:r>
      <w:r>
        <w:rPr>
          <w:szCs w:val="25"/>
        </w:rPr>
        <w:t>don’t ask for goods back).</w:t>
      </w:r>
      <w:r w:rsidRPr="00954FE3">
        <w:rPr>
          <w:szCs w:val="25"/>
        </w:rPr>
        <w:t xml:space="preserve"> </w:t>
      </w:r>
      <w:r>
        <w:rPr>
          <w:szCs w:val="25"/>
        </w:rPr>
        <w:t>If</w:t>
      </w:r>
      <w:r w:rsidR="006F304D" w:rsidRPr="006F304D">
        <w:rPr>
          <w:szCs w:val="25"/>
        </w:rPr>
        <w:t xml:space="preserve">, </w:t>
      </w:r>
      <w:r>
        <w:rPr>
          <w:szCs w:val="25"/>
        </w:rPr>
        <w:t>then</w:t>
      </w:r>
      <w:r w:rsidR="006F304D" w:rsidRPr="006F304D">
        <w:rPr>
          <w:szCs w:val="25"/>
        </w:rPr>
        <w:t xml:space="preserve">, </w:t>
      </w:r>
      <w:r>
        <w:rPr>
          <w:szCs w:val="25"/>
        </w:rPr>
        <w:t>31 summarizes 29-30</w:t>
      </w:r>
      <w:r w:rsidR="006F304D" w:rsidRPr="006F304D">
        <w:rPr>
          <w:szCs w:val="25"/>
        </w:rPr>
        <w:t xml:space="preserve">, </w:t>
      </w:r>
      <w:r>
        <w:rPr>
          <w:szCs w:val="25"/>
        </w:rPr>
        <w:t xml:space="preserve">it </w:t>
      </w:r>
      <w:r w:rsidRPr="00954FE3">
        <w:rPr>
          <w:szCs w:val="25"/>
        </w:rPr>
        <w:t>is no less a summary of the principle itself</w:t>
      </w:r>
      <w:r w:rsidR="006F304D" w:rsidRPr="006F304D">
        <w:rPr>
          <w:szCs w:val="25"/>
        </w:rPr>
        <w:t xml:space="preserve">, </w:t>
      </w:r>
      <w:r w:rsidRPr="00954FE3">
        <w:rPr>
          <w:szCs w:val="25"/>
        </w:rPr>
        <w:t>along with the specific</w:t>
      </w:r>
      <w:r>
        <w:rPr>
          <w:szCs w:val="25"/>
        </w:rPr>
        <w:t>ations of the principle found in 27c-</w:t>
      </w:r>
      <w:r w:rsidRPr="00954FE3">
        <w:rPr>
          <w:szCs w:val="25"/>
        </w:rPr>
        <w:t>28</w:t>
      </w:r>
      <w:r>
        <w:rPr>
          <w:szCs w:val="25"/>
        </w:rPr>
        <w:t xml:space="preserve"> (</w:t>
      </w:r>
      <w:r w:rsidRPr="00CD75A6">
        <w:t>do good</w:t>
      </w:r>
      <w:r w:rsidR="006F304D" w:rsidRPr="006F304D">
        <w:t xml:space="preserve">, </w:t>
      </w:r>
      <w:r>
        <w:t>bless</w:t>
      </w:r>
      <w:r w:rsidR="006F304D" w:rsidRPr="006F304D">
        <w:t xml:space="preserve">, </w:t>
      </w:r>
      <w:r>
        <w:t>pray)</w:t>
      </w:r>
      <w:r w:rsidRPr="00954FE3">
        <w:rPr>
          <w:szCs w:val="25"/>
        </w:rPr>
        <w:t>. Hence 27b-31 is a subunit with three parts: 27b-28</w:t>
      </w:r>
      <w:r w:rsidR="006F304D" w:rsidRPr="006F304D">
        <w:rPr>
          <w:szCs w:val="25"/>
        </w:rPr>
        <w:t xml:space="preserve">, </w:t>
      </w:r>
      <w:r w:rsidRPr="00954FE3">
        <w:rPr>
          <w:szCs w:val="25"/>
        </w:rPr>
        <w:t>29-30</w:t>
      </w:r>
      <w:r w:rsidR="006F304D" w:rsidRPr="006F304D">
        <w:rPr>
          <w:szCs w:val="25"/>
        </w:rPr>
        <w:t xml:space="preserve">, </w:t>
      </w:r>
      <w:r w:rsidRPr="00954FE3">
        <w:rPr>
          <w:szCs w:val="25"/>
        </w:rPr>
        <w:t>and 31.</w:t>
      </w:r>
    </w:p>
    <w:p w14:paraId="67CEAE79" w14:textId="478B127D" w:rsidR="0018433B" w:rsidRPr="00954FE3" w:rsidRDefault="0018433B" w:rsidP="0018433B">
      <w:pPr>
        <w:pStyle w:val="Style"/>
        <w:widowControl/>
        <w:jc w:val="both"/>
        <w:textAlignment w:val="baseline"/>
        <w:rPr>
          <w:szCs w:val="25"/>
        </w:rPr>
      </w:pPr>
      <w:r>
        <w:rPr>
          <w:szCs w:val="25"/>
        </w:rPr>
        <w:tab/>
      </w:r>
      <w:r w:rsidRPr="00954FE3">
        <w:rPr>
          <w:szCs w:val="25"/>
        </w:rPr>
        <w:t>The second subsection</w:t>
      </w:r>
      <w:r w:rsidR="006F304D" w:rsidRPr="006F304D">
        <w:rPr>
          <w:szCs w:val="25"/>
        </w:rPr>
        <w:t xml:space="preserve">, </w:t>
      </w:r>
      <w:r w:rsidRPr="00954FE3">
        <w:rPr>
          <w:szCs w:val="25"/>
        </w:rPr>
        <w:t>32-36</w:t>
      </w:r>
      <w:r w:rsidR="006F304D" w:rsidRPr="006F304D">
        <w:rPr>
          <w:szCs w:val="25"/>
        </w:rPr>
        <w:t xml:space="preserve">, </w:t>
      </w:r>
      <w:r>
        <w:rPr>
          <w:szCs w:val="25"/>
        </w:rPr>
        <w:t>also concludes with a summary. Perhaps 36 (b</w:t>
      </w:r>
      <w:r w:rsidRPr="00954FE3">
        <w:rPr>
          <w:szCs w:val="25"/>
        </w:rPr>
        <w:t>e merci</w:t>
      </w:r>
      <w:r>
        <w:rPr>
          <w:szCs w:val="25"/>
        </w:rPr>
        <w:t>ful</w:t>
      </w:r>
      <w:r w:rsidRPr="00954FE3">
        <w:rPr>
          <w:szCs w:val="25"/>
        </w:rPr>
        <w:t>)</w:t>
      </w:r>
      <w:r w:rsidR="006F304D" w:rsidRPr="006F304D">
        <w:rPr>
          <w:szCs w:val="25"/>
        </w:rPr>
        <w:t xml:space="preserve">, </w:t>
      </w:r>
      <w:r w:rsidRPr="00954FE3">
        <w:rPr>
          <w:szCs w:val="25"/>
        </w:rPr>
        <w:t>by stretching “merciful” to an extreme range</w:t>
      </w:r>
      <w:r w:rsidR="006F304D" w:rsidRPr="006F304D">
        <w:rPr>
          <w:szCs w:val="25"/>
        </w:rPr>
        <w:t xml:space="preserve">, </w:t>
      </w:r>
      <w:r w:rsidRPr="00954FE3">
        <w:rPr>
          <w:szCs w:val="25"/>
        </w:rPr>
        <w:t>can be forced to function as a summ</w:t>
      </w:r>
      <w:r>
        <w:rPr>
          <w:szCs w:val="25"/>
        </w:rPr>
        <w:t>ary for the entirety of 27b-35; “merciful”</w:t>
      </w:r>
      <w:r w:rsidRPr="00954FE3">
        <w:rPr>
          <w:szCs w:val="25"/>
        </w:rPr>
        <w:t xml:space="preserve"> would then refer in a general way both to love of enemies and to all the subsidiary forms that such a love takes: doing good</w:t>
      </w:r>
      <w:r w:rsidR="006F304D" w:rsidRPr="006F304D">
        <w:rPr>
          <w:szCs w:val="25"/>
        </w:rPr>
        <w:t xml:space="preserve">, </w:t>
      </w:r>
      <w:r w:rsidRPr="00954FE3">
        <w:rPr>
          <w:szCs w:val="25"/>
        </w:rPr>
        <w:t>blessing and praying</w:t>
      </w:r>
      <w:r w:rsidR="006F304D" w:rsidRPr="006F304D">
        <w:rPr>
          <w:szCs w:val="25"/>
        </w:rPr>
        <w:t xml:space="preserve">, </w:t>
      </w:r>
      <w:r w:rsidRPr="00954FE3">
        <w:rPr>
          <w:szCs w:val="25"/>
        </w:rPr>
        <w:t>giving and lending</w:t>
      </w:r>
      <w:r w:rsidR="006F304D" w:rsidRPr="006F304D">
        <w:rPr>
          <w:szCs w:val="25"/>
        </w:rPr>
        <w:t xml:space="preserve">, </w:t>
      </w:r>
      <w:r>
        <w:rPr>
          <w:szCs w:val="25"/>
        </w:rPr>
        <w:t>etc</w:t>
      </w:r>
      <w:r w:rsidRPr="00954FE3">
        <w:rPr>
          <w:szCs w:val="25"/>
        </w:rPr>
        <w:t>. But</w:t>
      </w:r>
      <w:r w:rsidR="006F304D" w:rsidRPr="006F304D">
        <w:rPr>
          <w:szCs w:val="25"/>
        </w:rPr>
        <w:t xml:space="preserve">, </w:t>
      </w:r>
      <w:r w:rsidRPr="00954FE3">
        <w:rPr>
          <w:szCs w:val="25"/>
        </w:rPr>
        <w:t>while such an inter</w:t>
      </w:r>
      <w:r w:rsidRPr="00954FE3">
        <w:rPr>
          <w:szCs w:val="25"/>
        </w:rPr>
        <w:softHyphen/>
        <w:t>pretation satisfies our desire for an all-inclusive finale to 32-35 and our desire for symmetry between 27-31 and 32-3</w:t>
      </w:r>
      <w:r>
        <w:rPr>
          <w:szCs w:val="25"/>
        </w:rPr>
        <w:t>6</w:t>
      </w:r>
      <w:r w:rsidR="006F304D" w:rsidRPr="006F304D">
        <w:rPr>
          <w:szCs w:val="25"/>
        </w:rPr>
        <w:t xml:space="preserve">, </w:t>
      </w:r>
      <w:r>
        <w:rPr>
          <w:szCs w:val="25"/>
        </w:rPr>
        <w:t>it also (besides distending “</w:t>
      </w:r>
      <w:r w:rsidRPr="00954FE3">
        <w:rPr>
          <w:szCs w:val="25"/>
        </w:rPr>
        <w:t>merciful”) ignores the close correlation between 36 and its preceding versicles</w:t>
      </w:r>
      <w:r w:rsidR="006F304D" w:rsidRPr="006F304D">
        <w:rPr>
          <w:szCs w:val="25"/>
        </w:rPr>
        <w:t xml:space="preserve">, </w:t>
      </w:r>
      <w:r w:rsidRPr="00954FE3">
        <w:rPr>
          <w:szCs w:val="25"/>
        </w:rPr>
        <w:t xml:space="preserve">35cd: “and you </w:t>
      </w:r>
      <w:r w:rsidRPr="00954FE3">
        <w:t xml:space="preserve">will </w:t>
      </w:r>
      <w:r w:rsidRPr="00954FE3">
        <w:rPr>
          <w:szCs w:val="25"/>
        </w:rPr>
        <w:t>be sons of the Most High</w:t>
      </w:r>
      <w:r w:rsidR="006F304D" w:rsidRPr="006F304D">
        <w:rPr>
          <w:szCs w:val="25"/>
        </w:rPr>
        <w:t xml:space="preserve">, </w:t>
      </w:r>
      <w:r w:rsidRPr="00954FE3">
        <w:rPr>
          <w:szCs w:val="25"/>
        </w:rPr>
        <w:t>for he is kind to the ungrateful and the selfish.” Since 35cd and 36 all but audibly beg to cohabit as coordinate subunits</w:t>
      </w:r>
      <w:r w:rsidR="006F304D" w:rsidRPr="006F304D">
        <w:rPr>
          <w:szCs w:val="25"/>
        </w:rPr>
        <w:t xml:space="preserve">, </w:t>
      </w:r>
      <w:r w:rsidRPr="00954FE3">
        <w:rPr>
          <w:szCs w:val="25"/>
        </w:rPr>
        <w:t>it is best</w:t>
      </w:r>
      <w:r w:rsidR="006F304D" w:rsidRPr="006F304D">
        <w:rPr>
          <w:szCs w:val="25"/>
        </w:rPr>
        <w:t xml:space="preserve">, </w:t>
      </w:r>
      <w:r w:rsidRPr="00954FE3">
        <w:rPr>
          <w:szCs w:val="25"/>
        </w:rPr>
        <w:t>after all</w:t>
      </w:r>
      <w:r w:rsidR="006F304D" w:rsidRPr="006F304D">
        <w:rPr>
          <w:szCs w:val="25"/>
        </w:rPr>
        <w:t xml:space="preserve">, </w:t>
      </w:r>
      <w:r w:rsidRPr="00954FE3">
        <w:rPr>
          <w:szCs w:val="25"/>
        </w:rPr>
        <w:t>simply to ma</w:t>
      </w:r>
      <w:r>
        <w:rPr>
          <w:szCs w:val="25"/>
        </w:rPr>
        <w:t>ke 36 a part of the subunit</w:t>
      </w:r>
      <w:r w:rsidR="006F304D" w:rsidRPr="006F304D">
        <w:rPr>
          <w:szCs w:val="25"/>
        </w:rPr>
        <w:t xml:space="preserve">, </w:t>
      </w:r>
      <w:r>
        <w:rPr>
          <w:szCs w:val="25"/>
        </w:rPr>
        <w:t>35d</w:t>
      </w:r>
      <w:r w:rsidRPr="00954FE3">
        <w:rPr>
          <w:szCs w:val="25"/>
        </w:rPr>
        <w:t>-36. Besides</w:t>
      </w:r>
      <w:r w:rsidR="006F304D" w:rsidRPr="006F304D">
        <w:rPr>
          <w:szCs w:val="25"/>
        </w:rPr>
        <w:t xml:space="preserve">, </w:t>
      </w:r>
      <w:r w:rsidRPr="00954FE3">
        <w:rPr>
          <w:szCs w:val="25"/>
        </w:rPr>
        <w:t>32-34 find their summary</w:t>
      </w:r>
      <w:r w:rsidR="006F304D" w:rsidRPr="006F304D">
        <w:rPr>
          <w:szCs w:val="25"/>
        </w:rPr>
        <w:t xml:space="preserve">, </w:t>
      </w:r>
      <w:r w:rsidRPr="00954FE3">
        <w:rPr>
          <w:szCs w:val="25"/>
        </w:rPr>
        <w:t>not in 36</w:t>
      </w:r>
      <w:r w:rsidR="006F304D" w:rsidRPr="006F304D">
        <w:rPr>
          <w:szCs w:val="25"/>
        </w:rPr>
        <w:t xml:space="preserve">, </w:t>
      </w:r>
      <w:r w:rsidRPr="00954FE3">
        <w:rPr>
          <w:szCs w:val="25"/>
        </w:rPr>
        <w:t>but in 35a</w:t>
      </w:r>
      <w:r>
        <w:rPr>
          <w:szCs w:val="25"/>
        </w:rPr>
        <w:t>bc</w:t>
      </w:r>
      <w:r w:rsidRPr="00954FE3">
        <w:rPr>
          <w:szCs w:val="25"/>
        </w:rPr>
        <w:t xml:space="preserve"> (“But love your enemies</w:t>
      </w:r>
      <w:r w:rsidR="006F304D" w:rsidRPr="006F304D">
        <w:rPr>
          <w:szCs w:val="25"/>
        </w:rPr>
        <w:t xml:space="preserve">, </w:t>
      </w:r>
      <w:r w:rsidRPr="00954FE3">
        <w:rPr>
          <w:szCs w:val="25"/>
        </w:rPr>
        <w:t>and do good</w:t>
      </w:r>
      <w:r w:rsidR="006F304D" w:rsidRPr="006F304D">
        <w:rPr>
          <w:szCs w:val="25"/>
        </w:rPr>
        <w:t xml:space="preserve">, </w:t>
      </w:r>
      <w:r w:rsidRPr="00954FE3">
        <w:rPr>
          <w:szCs w:val="25"/>
        </w:rPr>
        <w:t>and lend”).</w:t>
      </w:r>
      <w:r w:rsidR="00310AB5">
        <w:rPr>
          <w:szCs w:val="25"/>
        </w:rPr>
        <w:t xml:space="preserve"> And v</w:t>
      </w:r>
      <w:r w:rsidRPr="00954FE3">
        <w:rPr>
          <w:szCs w:val="25"/>
        </w:rPr>
        <w:t>erses 35b-36</w:t>
      </w:r>
      <w:r w:rsidR="006F304D" w:rsidRPr="006F304D">
        <w:rPr>
          <w:szCs w:val="25"/>
        </w:rPr>
        <w:t xml:space="preserve">, </w:t>
      </w:r>
      <w:r w:rsidRPr="00954FE3">
        <w:rPr>
          <w:szCs w:val="25"/>
        </w:rPr>
        <w:t>as we noted above,</w:t>
      </w:r>
      <w:r w:rsidR="00310AB5">
        <w:rPr>
          <w:szCs w:val="25"/>
        </w:rPr>
        <w:t xml:space="preserve"> </w:t>
      </w:r>
      <w:r w:rsidRPr="00954FE3">
        <w:rPr>
          <w:szCs w:val="25"/>
        </w:rPr>
        <w:t>introduce another topic</w:t>
      </w:r>
      <w:r w:rsidR="006F304D" w:rsidRPr="006F304D">
        <w:rPr>
          <w:szCs w:val="25"/>
        </w:rPr>
        <w:t xml:space="preserve">, </w:t>
      </w:r>
      <w:r w:rsidRPr="00954FE3">
        <w:rPr>
          <w:szCs w:val="25"/>
        </w:rPr>
        <w:t>namely</w:t>
      </w:r>
      <w:r w:rsidR="006F304D" w:rsidRPr="006F304D">
        <w:rPr>
          <w:szCs w:val="25"/>
        </w:rPr>
        <w:t xml:space="preserve">, </w:t>
      </w:r>
      <w:r w:rsidRPr="00954FE3">
        <w:rPr>
          <w:szCs w:val="25"/>
        </w:rPr>
        <w:t>the</w:t>
      </w:r>
      <w:r w:rsidR="006F304D">
        <w:rPr>
          <w:szCs w:val="25"/>
        </w:rPr>
        <w:t xml:space="preserve"> </w:t>
      </w:r>
      <w:r w:rsidRPr="00954FE3">
        <w:rPr>
          <w:szCs w:val="25"/>
        </w:rPr>
        <w:t>motivation for the actions commanded in 32-35a.</w:t>
      </w:r>
    </w:p>
    <w:p w14:paraId="7F085216" w14:textId="52D2DF14" w:rsidR="0018433B" w:rsidRPr="00954FE3" w:rsidRDefault="00310AB5" w:rsidP="0018433B">
      <w:pPr>
        <w:pStyle w:val="Style"/>
        <w:widowControl/>
        <w:jc w:val="both"/>
        <w:textAlignment w:val="baseline"/>
        <w:rPr>
          <w:szCs w:val="25"/>
        </w:rPr>
      </w:pPr>
      <w:r>
        <w:rPr>
          <w:szCs w:val="25"/>
        </w:rPr>
        <w:tab/>
      </w:r>
      <w:r w:rsidR="0018433B" w:rsidRPr="00954FE3">
        <w:rPr>
          <w:szCs w:val="25"/>
        </w:rPr>
        <w:t xml:space="preserve">We have now established that the theme of </w:t>
      </w:r>
      <w:r>
        <w:rPr>
          <w:szCs w:val="25"/>
        </w:rPr>
        <w:t>“l</w:t>
      </w:r>
      <w:r w:rsidR="0018433B" w:rsidRPr="00954FE3">
        <w:rPr>
          <w:szCs w:val="25"/>
        </w:rPr>
        <w:t>ove of enemies</w:t>
      </w:r>
      <w:r>
        <w:rPr>
          <w:szCs w:val="25"/>
        </w:rPr>
        <w:t>”</w:t>
      </w:r>
      <w:r w:rsidR="0018433B" w:rsidRPr="00954FE3">
        <w:rPr>
          <w:szCs w:val="25"/>
        </w:rPr>
        <w:t xml:space="preserve"> extends from 27b to verse 36. Does it extend further? In other words</w:t>
      </w:r>
      <w:r w:rsidR="006F304D" w:rsidRPr="006F304D">
        <w:rPr>
          <w:szCs w:val="25"/>
        </w:rPr>
        <w:t xml:space="preserve">, </w:t>
      </w:r>
      <w:r w:rsidR="0018433B" w:rsidRPr="00954FE3">
        <w:rPr>
          <w:szCs w:val="25"/>
        </w:rPr>
        <w:t>should the next small unit</w:t>
      </w:r>
      <w:r w:rsidR="006F304D" w:rsidRPr="006F304D">
        <w:rPr>
          <w:szCs w:val="25"/>
        </w:rPr>
        <w:t xml:space="preserve">, </w:t>
      </w:r>
      <w:r w:rsidR="0018433B" w:rsidRPr="00954FE3">
        <w:rPr>
          <w:szCs w:val="25"/>
        </w:rPr>
        <w:t>verses 37-38</w:t>
      </w:r>
      <w:r w:rsidR="006F304D" w:rsidRPr="006F304D">
        <w:rPr>
          <w:szCs w:val="25"/>
        </w:rPr>
        <w:t xml:space="preserve">, </w:t>
      </w:r>
      <w:r w:rsidR="0018433B" w:rsidRPr="00954FE3">
        <w:rPr>
          <w:szCs w:val="25"/>
        </w:rPr>
        <w:t>also be included within the theme</w:t>
      </w:r>
      <w:r w:rsidR="006F304D" w:rsidRPr="006F304D">
        <w:rPr>
          <w:szCs w:val="25"/>
        </w:rPr>
        <w:t xml:space="preserve">, </w:t>
      </w:r>
      <w:r w:rsidR="0018433B" w:rsidRPr="00954FE3">
        <w:rPr>
          <w:szCs w:val="25"/>
        </w:rPr>
        <w:t>“love of enemies”?</w:t>
      </w:r>
    </w:p>
    <w:p w14:paraId="7D42190A" w14:textId="72727A56" w:rsidR="0018433B" w:rsidRPr="00954FE3" w:rsidRDefault="00310AB5" w:rsidP="0018433B">
      <w:pPr>
        <w:pStyle w:val="Style"/>
        <w:widowControl/>
        <w:jc w:val="both"/>
        <w:textAlignment w:val="baseline"/>
        <w:rPr>
          <w:szCs w:val="25"/>
        </w:rPr>
      </w:pPr>
      <w:r>
        <w:rPr>
          <w:szCs w:val="25"/>
        </w:rPr>
        <w:tab/>
      </w:r>
      <w:r w:rsidR="0018433B" w:rsidRPr="00954FE3">
        <w:rPr>
          <w:szCs w:val="25"/>
        </w:rPr>
        <w:t>Verses 37-38 read:</w:t>
      </w:r>
    </w:p>
    <w:p w14:paraId="29767ACA" w14:textId="77777777" w:rsidR="006F304D" w:rsidRDefault="006F304D" w:rsidP="0018433B">
      <w:pPr>
        <w:pStyle w:val="Style"/>
        <w:widowControl/>
        <w:jc w:val="both"/>
        <w:textAlignment w:val="baseline"/>
        <w:rPr>
          <w:rFonts w:eastAsia="Arial"/>
          <w:szCs w:val="20"/>
        </w:rPr>
      </w:pPr>
    </w:p>
    <w:p w14:paraId="6BC788FE" w14:textId="3D28D9EC" w:rsidR="0018433B" w:rsidRPr="00954FE3" w:rsidRDefault="006F304D" w:rsidP="006F304D">
      <w:pPr>
        <w:pStyle w:val="Style"/>
        <w:widowControl/>
        <w:ind w:left="720" w:right="720"/>
        <w:jc w:val="both"/>
        <w:textAlignment w:val="baseline"/>
        <w:rPr>
          <w:szCs w:val="25"/>
        </w:rPr>
      </w:pPr>
      <w:r w:rsidRPr="006F304D">
        <w:rPr>
          <w:rFonts w:eastAsia="Arial"/>
          <w:kern w:val="2"/>
          <w:szCs w:val="20"/>
          <w:vertAlign w:val="superscript"/>
        </w:rPr>
        <w:t>37</w:t>
      </w:r>
      <w:r w:rsidR="0018433B" w:rsidRPr="00954FE3">
        <w:rPr>
          <w:rFonts w:eastAsia="Arial"/>
          <w:szCs w:val="20"/>
        </w:rPr>
        <w:t xml:space="preserve"> </w:t>
      </w:r>
      <w:r w:rsidR="0018433B" w:rsidRPr="00954FE3">
        <w:rPr>
          <w:szCs w:val="25"/>
        </w:rPr>
        <w:t>Judge not</w:t>
      </w:r>
      <w:r w:rsidRPr="006F304D">
        <w:rPr>
          <w:szCs w:val="25"/>
        </w:rPr>
        <w:t xml:space="preserve">, </w:t>
      </w:r>
      <w:r w:rsidR="0018433B" w:rsidRPr="00954FE3">
        <w:rPr>
          <w:szCs w:val="25"/>
        </w:rPr>
        <w:t>and you will not be judged; condemn not</w:t>
      </w:r>
      <w:r w:rsidRPr="006F304D">
        <w:rPr>
          <w:szCs w:val="25"/>
        </w:rPr>
        <w:t xml:space="preserve">, </w:t>
      </w:r>
      <w:r w:rsidR="0018433B" w:rsidRPr="00954FE3">
        <w:rPr>
          <w:szCs w:val="25"/>
        </w:rPr>
        <w:t>and you will not be condemned; forgive</w:t>
      </w:r>
      <w:r w:rsidRPr="006F304D">
        <w:rPr>
          <w:szCs w:val="25"/>
        </w:rPr>
        <w:t xml:space="preserve">, </w:t>
      </w:r>
      <w:r w:rsidR="0018433B" w:rsidRPr="00954FE3">
        <w:rPr>
          <w:szCs w:val="25"/>
        </w:rPr>
        <w:t xml:space="preserve">and you will be forgiven; </w:t>
      </w:r>
      <w:r w:rsidR="0018433B" w:rsidRPr="00954FE3">
        <w:rPr>
          <w:szCs w:val="25"/>
          <w:vertAlign w:val="superscript"/>
        </w:rPr>
        <w:t>38</w:t>
      </w:r>
      <w:r w:rsidR="00775F9B" w:rsidRPr="00775F9B">
        <w:rPr>
          <w:iCs/>
          <w:szCs w:val="25"/>
        </w:rPr>
        <w:t xml:space="preserve"> </w:t>
      </w:r>
      <w:r w:rsidR="0018433B" w:rsidRPr="00954FE3">
        <w:rPr>
          <w:szCs w:val="25"/>
        </w:rPr>
        <w:t>give</w:t>
      </w:r>
      <w:r w:rsidRPr="006F304D">
        <w:rPr>
          <w:szCs w:val="25"/>
        </w:rPr>
        <w:t xml:space="preserve">, </w:t>
      </w:r>
      <w:r w:rsidR="0018433B" w:rsidRPr="00954FE3">
        <w:rPr>
          <w:szCs w:val="25"/>
        </w:rPr>
        <w:t>and it will be given to you; good measure</w:t>
      </w:r>
      <w:r w:rsidRPr="006F304D">
        <w:rPr>
          <w:szCs w:val="25"/>
        </w:rPr>
        <w:t xml:space="preserve">, </w:t>
      </w:r>
      <w:r w:rsidR="0018433B" w:rsidRPr="00954FE3">
        <w:rPr>
          <w:szCs w:val="25"/>
        </w:rPr>
        <w:t>pressed down</w:t>
      </w:r>
      <w:r w:rsidRPr="006F304D">
        <w:rPr>
          <w:szCs w:val="25"/>
        </w:rPr>
        <w:t xml:space="preserve">, </w:t>
      </w:r>
      <w:r w:rsidR="0018433B" w:rsidRPr="00954FE3">
        <w:rPr>
          <w:szCs w:val="25"/>
        </w:rPr>
        <w:t>shaken together</w:t>
      </w:r>
      <w:r w:rsidRPr="006F304D">
        <w:rPr>
          <w:szCs w:val="25"/>
        </w:rPr>
        <w:t xml:space="preserve">, </w:t>
      </w:r>
      <w:r w:rsidR="0018433B" w:rsidRPr="00954FE3">
        <w:rPr>
          <w:szCs w:val="25"/>
        </w:rPr>
        <w:t>running over</w:t>
      </w:r>
      <w:r w:rsidRPr="006F304D">
        <w:rPr>
          <w:szCs w:val="25"/>
        </w:rPr>
        <w:t xml:space="preserve">, </w:t>
      </w:r>
      <w:r w:rsidR="0018433B" w:rsidRPr="00954FE3">
        <w:rPr>
          <w:szCs w:val="25"/>
        </w:rPr>
        <w:t>will be put into your lap. For the measure you give will be the measure you get back.</w:t>
      </w:r>
    </w:p>
    <w:p w14:paraId="6B7474C2" w14:textId="77777777" w:rsidR="006F304D" w:rsidRDefault="006F304D" w:rsidP="0018433B">
      <w:pPr>
        <w:pStyle w:val="Style"/>
        <w:widowControl/>
        <w:jc w:val="both"/>
        <w:textAlignment w:val="baseline"/>
        <w:rPr>
          <w:szCs w:val="25"/>
        </w:rPr>
      </w:pPr>
    </w:p>
    <w:p w14:paraId="10B1C38E" w14:textId="7D8176F8" w:rsidR="0018433B" w:rsidRPr="00954FE3" w:rsidRDefault="0018433B" w:rsidP="0018433B">
      <w:pPr>
        <w:pStyle w:val="Style"/>
        <w:widowControl/>
        <w:jc w:val="both"/>
        <w:textAlignment w:val="baseline"/>
        <w:rPr>
          <w:szCs w:val="25"/>
        </w:rPr>
      </w:pPr>
      <w:r w:rsidRPr="00954FE3">
        <w:rPr>
          <w:szCs w:val="25"/>
        </w:rPr>
        <w:t>There is nothing in these verses which treats especially of the love of enemies. Persons whom one may judge</w:t>
      </w:r>
      <w:r w:rsidR="006F304D" w:rsidRPr="006F304D">
        <w:rPr>
          <w:szCs w:val="25"/>
        </w:rPr>
        <w:t xml:space="preserve">, </w:t>
      </w:r>
      <w:r w:rsidRPr="00954FE3">
        <w:rPr>
          <w:szCs w:val="25"/>
        </w:rPr>
        <w:t>condemn</w:t>
      </w:r>
      <w:r w:rsidR="006F304D" w:rsidRPr="006F304D">
        <w:rPr>
          <w:szCs w:val="25"/>
        </w:rPr>
        <w:t xml:space="preserve">, </w:t>
      </w:r>
      <w:r w:rsidRPr="00954FE3">
        <w:rPr>
          <w:szCs w:val="25"/>
        </w:rPr>
        <w:t>or forgive have</w:t>
      </w:r>
      <w:r w:rsidR="006F304D" w:rsidRPr="006F304D">
        <w:rPr>
          <w:szCs w:val="25"/>
        </w:rPr>
        <w:t xml:space="preserve">, </w:t>
      </w:r>
      <w:r w:rsidRPr="00954FE3">
        <w:rPr>
          <w:szCs w:val="25"/>
        </w:rPr>
        <w:t>presumably</w:t>
      </w:r>
      <w:r w:rsidR="006F304D" w:rsidRPr="006F304D">
        <w:rPr>
          <w:szCs w:val="25"/>
        </w:rPr>
        <w:t xml:space="preserve">, </w:t>
      </w:r>
      <w:r w:rsidRPr="00954FE3">
        <w:rPr>
          <w:szCs w:val="25"/>
        </w:rPr>
        <w:t>executed some action to elicit possible judgment</w:t>
      </w:r>
      <w:r w:rsidR="006F304D" w:rsidRPr="006F304D">
        <w:rPr>
          <w:szCs w:val="25"/>
        </w:rPr>
        <w:t xml:space="preserve">, </w:t>
      </w:r>
      <w:r w:rsidRPr="00954FE3">
        <w:rPr>
          <w:szCs w:val="25"/>
        </w:rPr>
        <w:t>condemnation</w:t>
      </w:r>
      <w:r w:rsidR="006F304D" w:rsidRPr="006F304D">
        <w:rPr>
          <w:szCs w:val="25"/>
        </w:rPr>
        <w:t xml:space="preserve">, </w:t>
      </w:r>
      <w:r w:rsidRPr="00954FE3">
        <w:rPr>
          <w:szCs w:val="25"/>
        </w:rPr>
        <w:t>or forgiveness; but their action need not be directed against oneself personally. Judgment can be roused in the breast merely by seeing someone mistreat someone else. Moreover</w:t>
      </w:r>
      <w:r w:rsidR="006F304D" w:rsidRPr="006F304D">
        <w:rPr>
          <w:szCs w:val="25"/>
        </w:rPr>
        <w:t xml:space="preserve">, </w:t>
      </w:r>
      <w:r w:rsidRPr="00954FE3">
        <w:rPr>
          <w:szCs w:val="25"/>
        </w:rPr>
        <w:t>in 27b-36 one finds good acts of the same kind as the evil acts that induce them (blessing for cursing</w:t>
      </w:r>
      <w:r w:rsidR="006F304D" w:rsidRPr="006F304D">
        <w:rPr>
          <w:szCs w:val="25"/>
        </w:rPr>
        <w:t xml:space="preserve">, </w:t>
      </w:r>
      <w:r w:rsidRPr="00954FE3">
        <w:rPr>
          <w:szCs w:val="25"/>
        </w:rPr>
        <w:t xml:space="preserve">turning the cheek for a </w:t>
      </w:r>
      <w:proofErr w:type="spellStart"/>
      <w:r w:rsidRPr="00954FE3">
        <w:rPr>
          <w:szCs w:val="25"/>
        </w:rPr>
        <w:t>striken</w:t>
      </w:r>
      <w:proofErr w:type="spellEnd"/>
      <w:r w:rsidRPr="00954FE3">
        <w:rPr>
          <w:szCs w:val="25"/>
        </w:rPr>
        <w:t xml:space="preserve"> cheek</w:t>
      </w:r>
      <w:r w:rsidR="006F304D" w:rsidRPr="006F304D">
        <w:rPr>
          <w:szCs w:val="25"/>
        </w:rPr>
        <w:t xml:space="preserve">, </w:t>
      </w:r>
      <w:r w:rsidRPr="00954FE3">
        <w:rPr>
          <w:szCs w:val="25"/>
        </w:rPr>
        <w:t>giving goods for taken goods</w:t>
      </w:r>
      <w:r w:rsidR="006F304D" w:rsidRPr="006F304D">
        <w:rPr>
          <w:szCs w:val="25"/>
        </w:rPr>
        <w:t xml:space="preserve">, </w:t>
      </w:r>
      <w:r w:rsidRPr="00954FE3">
        <w:rPr>
          <w:szCs w:val="25"/>
        </w:rPr>
        <w:t>etc.). But that is not found here: 37 does not say</w:t>
      </w:r>
      <w:r w:rsidR="006F304D" w:rsidRPr="006F304D">
        <w:rPr>
          <w:szCs w:val="25"/>
        </w:rPr>
        <w:t xml:space="preserve">, </w:t>
      </w:r>
      <w:r w:rsidRPr="00954FE3">
        <w:rPr>
          <w:szCs w:val="25"/>
        </w:rPr>
        <w:t>“Judge not those who judge you</w:t>
      </w:r>
      <w:r w:rsidR="00310AB5">
        <w:rPr>
          <w:szCs w:val="25"/>
        </w:rPr>
        <w:t>”</w:t>
      </w:r>
      <w:r w:rsidRPr="00954FE3">
        <w:rPr>
          <w:szCs w:val="25"/>
        </w:rPr>
        <w:t>; 38 does not say</w:t>
      </w:r>
      <w:r w:rsidR="006F304D" w:rsidRPr="006F304D">
        <w:rPr>
          <w:szCs w:val="25"/>
        </w:rPr>
        <w:t xml:space="preserve">, </w:t>
      </w:r>
      <w:r w:rsidRPr="00954FE3">
        <w:rPr>
          <w:szCs w:val="25"/>
        </w:rPr>
        <w:t>“Give to those who have take</w:t>
      </w:r>
      <w:r w:rsidR="00310AB5">
        <w:rPr>
          <w:szCs w:val="25"/>
        </w:rPr>
        <w:t>n</w:t>
      </w:r>
      <w:r w:rsidRPr="00954FE3">
        <w:rPr>
          <w:szCs w:val="25"/>
        </w:rPr>
        <w:t xml:space="preserve"> from you.” In addition</w:t>
      </w:r>
      <w:r w:rsidR="006F304D" w:rsidRPr="006F304D">
        <w:rPr>
          <w:szCs w:val="25"/>
        </w:rPr>
        <w:t xml:space="preserve">, </w:t>
      </w:r>
      <w:r w:rsidRPr="00954FE3">
        <w:rPr>
          <w:szCs w:val="25"/>
        </w:rPr>
        <w:t xml:space="preserve">the motive which is uniquely associated in the sermon </w:t>
      </w:r>
      <w:r w:rsidRPr="00954FE3">
        <w:rPr>
          <w:szCs w:val="25"/>
        </w:rPr>
        <w:lastRenderedPageBreak/>
        <w:t>with the love of enemies (being kind to the ungrateful and selfish because God responds thus</w:t>
      </w:r>
      <w:r w:rsidR="006F304D" w:rsidRPr="006F304D">
        <w:rPr>
          <w:szCs w:val="25"/>
        </w:rPr>
        <w:t xml:space="preserve">, </w:t>
      </w:r>
      <w:r w:rsidRPr="00954FE3">
        <w:rPr>
          <w:szCs w:val="25"/>
        </w:rPr>
        <w:t>35d) does not appear in 37-38; only the other motive in 27-36 (doing good for a reward [</w:t>
      </w:r>
      <w:proofErr w:type="spellStart"/>
      <w:r w:rsidR="001D699E">
        <w:t>χάρις</w:t>
      </w:r>
      <w:proofErr w:type="spellEnd"/>
      <w:r w:rsidR="006F304D" w:rsidRPr="006F304D">
        <w:rPr>
          <w:szCs w:val="27"/>
        </w:rPr>
        <w:t xml:space="preserve">, </w:t>
      </w:r>
      <w:r w:rsidRPr="00954FE3">
        <w:rPr>
          <w:szCs w:val="25"/>
        </w:rPr>
        <w:t xml:space="preserve">32-34; </w:t>
      </w:r>
      <w:proofErr w:type="spellStart"/>
      <w:r w:rsidR="001D699E">
        <w:rPr>
          <w:szCs w:val="25"/>
        </w:rPr>
        <w:t>μισθός</w:t>
      </w:r>
      <w:proofErr w:type="spellEnd"/>
      <w:r w:rsidR="001D699E">
        <w:rPr>
          <w:szCs w:val="25"/>
        </w:rPr>
        <w:t xml:space="preserve">, </w:t>
      </w:r>
      <w:r w:rsidRPr="00954FE3">
        <w:rPr>
          <w:szCs w:val="25"/>
        </w:rPr>
        <w:t>35b]) is found in 37-38 (38cd</w:t>
      </w:r>
      <w:r w:rsidR="006F304D" w:rsidRPr="006F304D">
        <w:rPr>
          <w:szCs w:val="25"/>
        </w:rPr>
        <w:t>,</w:t>
      </w:r>
      <w:r w:rsidR="001D699E">
        <w:rPr>
          <w:szCs w:val="25"/>
        </w:rPr>
        <w:t xml:space="preserve"> </w:t>
      </w:r>
      <w:proofErr w:type="spellStart"/>
      <w:r w:rsidR="001D699E">
        <w:rPr>
          <w:szCs w:val="25"/>
        </w:rPr>
        <w:t>μέτρον</w:t>
      </w:r>
      <w:proofErr w:type="spellEnd"/>
      <w:r w:rsidRPr="00954FE3">
        <w:rPr>
          <w:szCs w:val="25"/>
        </w:rPr>
        <w:t>). Nor is the material in the rest of the sermon</w:t>
      </w:r>
      <w:r w:rsidR="006F304D" w:rsidRPr="006F304D">
        <w:rPr>
          <w:szCs w:val="25"/>
        </w:rPr>
        <w:t xml:space="preserve">, </w:t>
      </w:r>
      <w:r w:rsidRPr="00954FE3">
        <w:rPr>
          <w:szCs w:val="25"/>
        </w:rPr>
        <w:t>verses 39-49</w:t>
      </w:r>
      <w:r w:rsidR="006F304D" w:rsidRPr="006F304D">
        <w:rPr>
          <w:szCs w:val="25"/>
        </w:rPr>
        <w:t xml:space="preserve">, </w:t>
      </w:r>
      <w:r w:rsidRPr="00954FE3">
        <w:rPr>
          <w:szCs w:val="25"/>
        </w:rPr>
        <w:t>concerned in any particular way with the love of enemies. Since</w:t>
      </w:r>
      <w:r w:rsidR="006F304D" w:rsidRPr="006F304D">
        <w:rPr>
          <w:szCs w:val="25"/>
        </w:rPr>
        <w:t xml:space="preserve">, </w:t>
      </w:r>
      <w:r w:rsidRPr="00954FE3">
        <w:rPr>
          <w:szCs w:val="25"/>
        </w:rPr>
        <w:t>then</w:t>
      </w:r>
      <w:r w:rsidR="006F304D" w:rsidRPr="006F304D">
        <w:rPr>
          <w:szCs w:val="25"/>
        </w:rPr>
        <w:t xml:space="preserve">, </w:t>
      </w:r>
      <w:r w:rsidRPr="00954FE3">
        <w:rPr>
          <w:szCs w:val="25"/>
        </w:rPr>
        <w:t xml:space="preserve">the theme of </w:t>
      </w:r>
      <w:r w:rsidR="00310AB5">
        <w:rPr>
          <w:szCs w:val="25"/>
        </w:rPr>
        <w:t>“l</w:t>
      </w:r>
      <w:r w:rsidRPr="00954FE3">
        <w:rPr>
          <w:szCs w:val="25"/>
        </w:rPr>
        <w:t>ove of enemies</w:t>
      </w:r>
      <w:r w:rsidR="00310AB5">
        <w:rPr>
          <w:szCs w:val="25"/>
        </w:rPr>
        <w:t>”</w:t>
      </w:r>
      <w:r w:rsidRPr="00954FE3">
        <w:rPr>
          <w:szCs w:val="25"/>
        </w:rPr>
        <w:t xml:space="preserve"> appears not to extend beyond verse 36,</w:t>
      </w:r>
      <w:r w:rsidR="00775F9B">
        <w:rPr>
          <w:rStyle w:val="FootnoteReference"/>
          <w:szCs w:val="25"/>
        </w:rPr>
        <w:footnoteReference w:id="630"/>
      </w:r>
      <w:r w:rsidR="00775F9B" w:rsidRPr="00775F9B">
        <w:rPr>
          <w:iCs/>
          <w:szCs w:val="25"/>
        </w:rPr>
        <w:t xml:space="preserve"> </w:t>
      </w:r>
      <w:r w:rsidRPr="00954FE3">
        <w:rPr>
          <w:szCs w:val="25"/>
        </w:rPr>
        <w:t>verses 27b-36 may be taken as the second major division of the sermon</w:t>
      </w:r>
      <w:r w:rsidR="006F304D" w:rsidRPr="006F304D">
        <w:rPr>
          <w:szCs w:val="25"/>
        </w:rPr>
        <w:t xml:space="preserve">, </w:t>
      </w:r>
      <w:r w:rsidRPr="00954FE3">
        <w:rPr>
          <w:szCs w:val="25"/>
        </w:rPr>
        <w:t>a section which is united by its common theme.</w:t>
      </w:r>
    </w:p>
    <w:p w14:paraId="0EA7D2E4" w14:textId="739C2398" w:rsidR="0018433B" w:rsidRPr="00954FE3" w:rsidRDefault="00310AB5" w:rsidP="0018433B">
      <w:pPr>
        <w:pStyle w:val="Style"/>
        <w:widowControl/>
        <w:jc w:val="both"/>
        <w:textAlignment w:val="baseline"/>
        <w:rPr>
          <w:szCs w:val="25"/>
        </w:rPr>
      </w:pPr>
      <w:r>
        <w:rPr>
          <w:szCs w:val="25"/>
        </w:rPr>
        <w:tab/>
      </w:r>
      <w:r w:rsidR="0018433B" w:rsidRPr="00954FE3">
        <w:rPr>
          <w:szCs w:val="25"/>
        </w:rPr>
        <w:t>We have now seen that the theme</w:t>
      </w:r>
      <w:r w:rsidR="006F304D" w:rsidRPr="006F304D">
        <w:rPr>
          <w:szCs w:val="25"/>
        </w:rPr>
        <w:t xml:space="preserve">, </w:t>
      </w:r>
      <w:r w:rsidR="0018433B" w:rsidRPr="00954FE3">
        <w:rPr>
          <w:szCs w:val="25"/>
        </w:rPr>
        <w:t>“love of enemies,” which unifies verses 27-36</w:t>
      </w:r>
      <w:r w:rsidR="006F304D" w:rsidRPr="006F304D">
        <w:rPr>
          <w:szCs w:val="25"/>
        </w:rPr>
        <w:t xml:space="preserve">, </w:t>
      </w:r>
      <w:r w:rsidR="0018433B" w:rsidRPr="00954FE3">
        <w:rPr>
          <w:szCs w:val="25"/>
        </w:rPr>
        <w:t>does not extend further. Verses 27-36</w:t>
      </w:r>
      <w:r w:rsidR="006F304D" w:rsidRPr="006F304D">
        <w:rPr>
          <w:szCs w:val="25"/>
        </w:rPr>
        <w:t xml:space="preserve">, </w:t>
      </w:r>
      <w:r w:rsidR="0018433B" w:rsidRPr="00954FE3">
        <w:rPr>
          <w:szCs w:val="25"/>
        </w:rPr>
        <w:t>like the introductory 20b-26 and the concluding 46-49</w:t>
      </w:r>
      <w:r w:rsidR="006F304D" w:rsidRPr="006F304D">
        <w:rPr>
          <w:szCs w:val="25"/>
        </w:rPr>
        <w:t xml:space="preserve">, </w:t>
      </w:r>
      <w:r w:rsidR="0018433B" w:rsidRPr="00954FE3">
        <w:rPr>
          <w:szCs w:val="25"/>
        </w:rPr>
        <w:t xml:space="preserve">are therefore a major section of the sermon. The question that must now engage our attention is the adequacy of the three-part </w:t>
      </w:r>
      <w:proofErr w:type="spellStart"/>
      <w:r w:rsidR="0018433B" w:rsidRPr="00954FE3">
        <w:rPr>
          <w:szCs w:val="25"/>
        </w:rPr>
        <w:t>middlers</w:t>
      </w:r>
      <w:proofErr w:type="spellEnd"/>
      <w:r w:rsidR="006F304D">
        <w:rPr>
          <w:szCs w:val="25"/>
        </w:rPr>
        <w:t>’</w:t>
      </w:r>
      <w:r w:rsidR="0018433B" w:rsidRPr="00954FE3">
        <w:rPr>
          <w:szCs w:val="25"/>
        </w:rPr>
        <w:t xml:space="preserve"> other </w:t>
      </w:r>
      <w:r w:rsidR="00775F9B">
        <w:rPr>
          <w:szCs w:val="25"/>
        </w:rPr>
        <w:t xml:space="preserve">two </w:t>
      </w:r>
      <w:r w:rsidR="0018433B" w:rsidRPr="00954FE3">
        <w:rPr>
          <w:szCs w:val="25"/>
        </w:rPr>
        <w:t>divisions</w:t>
      </w:r>
      <w:r w:rsidR="006F304D" w:rsidRPr="006F304D">
        <w:rPr>
          <w:szCs w:val="25"/>
        </w:rPr>
        <w:t xml:space="preserve">, </w:t>
      </w:r>
      <w:r w:rsidR="0018433B" w:rsidRPr="00954FE3">
        <w:rPr>
          <w:szCs w:val="25"/>
        </w:rPr>
        <w:t>37-42 and 43-45.</w:t>
      </w:r>
    </w:p>
    <w:p w14:paraId="1C27E9B3" w14:textId="77777777" w:rsidR="006F304D" w:rsidRDefault="006F304D" w:rsidP="0018433B">
      <w:pPr>
        <w:pStyle w:val="Style"/>
        <w:widowControl/>
        <w:jc w:val="both"/>
        <w:textAlignment w:val="baseline"/>
        <w:rPr>
          <w:szCs w:val="25"/>
        </w:rPr>
      </w:pPr>
    </w:p>
    <w:p w14:paraId="57522010" w14:textId="01D9D0B2" w:rsidR="0018433B" w:rsidRPr="00954FE3" w:rsidRDefault="0018433B" w:rsidP="008F699A">
      <w:pPr>
        <w:pStyle w:val="Heading3"/>
      </w:pPr>
      <w:bookmarkStart w:id="70" w:name="_Toc147618641"/>
      <w:r w:rsidRPr="00954FE3">
        <w:t>b. 37-42</w:t>
      </w:r>
      <w:bookmarkEnd w:id="70"/>
    </w:p>
    <w:p w14:paraId="40AF318C" w14:textId="77777777" w:rsidR="006F304D" w:rsidRDefault="006F304D" w:rsidP="0018433B">
      <w:pPr>
        <w:pStyle w:val="Style"/>
        <w:widowControl/>
        <w:jc w:val="both"/>
        <w:textAlignment w:val="baseline"/>
        <w:rPr>
          <w:szCs w:val="25"/>
        </w:rPr>
      </w:pPr>
    </w:p>
    <w:p w14:paraId="2933C6E0" w14:textId="50531F01" w:rsidR="0018433B" w:rsidRPr="00954FE3" w:rsidRDefault="0018433B" w:rsidP="0018433B">
      <w:pPr>
        <w:pStyle w:val="Style"/>
        <w:widowControl/>
        <w:jc w:val="both"/>
        <w:textAlignment w:val="baseline"/>
        <w:rPr>
          <w:szCs w:val="25"/>
        </w:rPr>
      </w:pPr>
      <w:r w:rsidRPr="00954FE3">
        <w:rPr>
          <w:szCs w:val="25"/>
        </w:rPr>
        <w:t>Those who break between verses 38 and 39 must pass over in silence the shared theme</w:t>
      </w:r>
      <w:r w:rsidR="006F304D" w:rsidRPr="006F304D">
        <w:rPr>
          <w:szCs w:val="25"/>
        </w:rPr>
        <w:t xml:space="preserve">, </w:t>
      </w:r>
      <w:r w:rsidRPr="00954FE3">
        <w:rPr>
          <w:szCs w:val="25"/>
        </w:rPr>
        <w:t xml:space="preserve">“judging others,” in 37-38 (judge not) and 41-42 (speck and log). The texts were associated even before Luke’s gospel: apparently they were adjacent in </w:t>
      </w:r>
      <w:r w:rsidRPr="00954FE3">
        <w:rPr>
          <w:szCs w:val="22"/>
        </w:rPr>
        <w:t>Q</w:t>
      </w:r>
      <w:r w:rsidR="006F304D" w:rsidRPr="006F304D">
        <w:rPr>
          <w:szCs w:val="22"/>
        </w:rPr>
        <w:t xml:space="preserve">, </w:t>
      </w:r>
      <w:r w:rsidRPr="00954FE3">
        <w:rPr>
          <w:szCs w:val="25"/>
        </w:rPr>
        <w:t>as Matthew’s parallel (7:1-4) intimates. It is less likely that Luke’s insertion between them of verses 39-40 (blind leading blind</w:t>
      </w:r>
      <w:r w:rsidR="006F304D" w:rsidRPr="006F304D">
        <w:rPr>
          <w:szCs w:val="25"/>
        </w:rPr>
        <w:t xml:space="preserve">, </w:t>
      </w:r>
      <w:r w:rsidRPr="00954FE3">
        <w:rPr>
          <w:szCs w:val="25"/>
        </w:rPr>
        <w:t>disciple and teacher) was intended</w:t>
      </w:r>
      <w:r w:rsidR="00775F9B">
        <w:rPr>
          <w:szCs w:val="25"/>
        </w:rPr>
        <w:t xml:space="preserve"> </w:t>
      </w:r>
      <w:r w:rsidRPr="00954FE3">
        <w:rPr>
          <w:szCs w:val="25"/>
        </w:rPr>
        <w:t>to break the association of 37-38 and 41-42 than that Luke intended the context to</w:t>
      </w:r>
      <w:r w:rsidR="00775F9B">
        <w:rPr>
          <w:szCs w:val="25"/>
        </w:rPr>
        <w:t xml:space="preserve"> </w:t>
      </w:r>
      <w:r w:rsidRPr="00954FE3">
        <w:rPr>
          <w:szCs w:val="25"/>
        </w:rPr>
        <w:t>influence the interpretation of the inserted verses.</w:t>
      </w:r>
    </w:p>
    <w:p w14:paraId="42614043" w14:textId="752A24EB" w:rsidR="0018433B" w:rsidRPr="002E1F03" w:rsidRDefault="002E1F03" w:rsidP="0018433B">
      <w:pPr>
        <w:pStyle w:val="Style"/>
        <w:widowControl/>
        <w:jc w:val="both"/>
        <w:textAlignment w:val="baseline"/>
        <w:rPr>
          <w:szCs w:val="25"/>
        </w:rPr>
      </w:pPr>
      <w:r>
        <w:rPr>
          <w:szCs w:val="25"/>
        </w:rPr>
        <w:tab/>
      </w:r>
      <w:r w:rsidR="0018433B" w:rsidRPr="00954FE3">
        <w:rPr>
          <w:szCs w:val="25"/>
        </w:rPr>
        <w:t>It is true that the editorial comment</w:t>
      </w:r>
      <w:r w:rsidR="006F304D" w:rsidRPr="006F304D">
        <w:rPr>
          <w:szCs w:val="25"/>
        </w:rPr>
        <w:t xml:space="preserve">, </w:t>
      </w:r>
      <w:r w:rsidR="0018433B" w:rsidRPr="00954FE3">
        <w:rPr>
          <w:szCs w:val="25"/>
        </w:rPr>
        <w:t>‘He also told them a parable” (39a</w:t>
      </w:r>
      <w:r w:rsidR="0018433B">
        <w:rPr>
          <w:szCs w:val="25"/>
        </w:rPr>
        <w:t>)</w:t>
      </w:r>
      <w:r w:rsidR="006F304D" w:rsidRPr="006F304D">
        <w:rPr>
          <w:szCs w:val="25"/>
        </w:rPr>
        <w:t xml:space="preserve">, </w:t>
      </w:r>
      <w:r w:rsidR="0018433B" w:rsidRPr="00954FE3">
        <w:rPr>
          <w:szCs w:val="25"/>
        </w:rPr>
        <w:t>thrusts itself up quite awkwardly into the middle of the section</w:t>
      </w:r>
      <w:r w:rsidR="006F304D" w:rsidRPr="006F304D">
        <w:rPr>
          <w:szCs w:val="25"/>
        </w:rPr>
        <w:t xml:space="preserve">, </w:t>
      </w:r>
      <w:r w:rsidR="0018433B" w:rsidRPr="00954FE3">
        <w:rPr>
          <w:szCs w:val="25"/>
        </w:rPr>
        <w:t xml:space="preserve">37-42. But that awkwardness is no louder than the silence of the majority when they split the theme of “judging” in 37-38 and 41-42. And </w:t>
      </w:r>
      <w:r w:rsidR="0018433B" w:rsidRPr="00954FE3">
        <w:rPr>
          <w:szCs w:val="23"/>
        </w:rPr>
        <w:t>if</w:t>
      </w:r>
      <w:r w:rsidR="006F304D" w:rsidRPr="006F304D">
        <w:rPr>
          <w:szCs w:val="23"/>
        </w:rPr>
        <w:t xml:space="preserve">, </w:t>
      </w:r>
      <w:r w:rsidR="0018433B" w:rsidRPr="00954FE3">
        <w:rPr>
          <w:szCs w:val="25"/>
        </w:rPr>
        <w:t>as we have suggested,</w:t>
      </w:r>
      <w:r w:rsidR="00775F9B" w:rsidRPr="00775F9B">
        <w:rPr>
          <w:iCs/>
          <w:szCs w:val="25"/>
        </w:rPr>
        <w:t xml:space="preserve"> </w:t>
      </w:r>
      <w:r w:rsidR="0018433B" w:rsidRPr="00954FE3">
        <w:rPr>
          <w:szCs w:val="25"/>
        </w:rPr>
        <w:t>the comment in 39a introduces only 39bc or 39b-40</w:t>
      </w:r>
      <w:r w:rsidR="006F304D" w:rsidRPr="006F304D">
        <w:rPr>
          <w:szCs w:val="25"/>
        </w:rPr>
        <w:t xml:space="preserve">, </w:t>
      </w:r>
      <w:r w:rsidR="0018433B" w:rsidRPr="00954FE3">
        <w:rPr>
          <w:szCs w:val="25"/>
        </w:rPr>
        <w:t>then it is understandable that Luke will have used it here because he felt a need to ease the transplanted verses into the body of the text.</w:t>
      </w:r>
      <w:r w:rsidR="001D699E">
        <w:rPr>
          <w:rStyle w:val="FootnoteReference"/>
          <w:szCs w:val="25"/>
        </w:rPr>
        <w:footnoteReference w:id="631"/>
      </w:r>
    </w:p>
    <w:p w14:paraId="3C5CE915" w14:textId="2485E46A" w:rsidR="0018433B" w:rsidRDefault="002E1F03" w:rsidP="0018433B">
      <w:pPr>
        <w:pStyle w:val="Style"/>
        <w:widowControl/>
        <w:jc w:val="both"/>
        <w:textAlignment w:val="baseline"/>
        <w:rPr>
          <w:szCs w:val="25"/>
        </w:rPr>
      </w:pPr>
      <w:r>
        <w:rPr>
          <w:szCs w:val="25"/>
        </w:rPr>
        <w:lastRenderedPageBreak/>
        <w:tab/>
      </w:r>
      <w:r w:rsidR="0018433B" w:rsidRPr="00954FE3">
        <w:rPr>
          <w:szCs w:val="25"/>
        </w:rPr>
        <w:t>We have already considered verses 37-38</w:t>
      </w:r>
      <w:r w:rsidR="006F304D" w:rsidRPr="006F304D">
        <w:rPr>
          <w:szCs w:val="25"/>
        </w:rPr>
        <w:t xml:space="preserve">, </w:t>
      </w:r>
      <w:r w:rsidR="0018433B" w:rsidRPr="00954FE3">
        <w:rPr>
          <w:szCs w:val="25"/>
        </w:rPr>
        <w:t>in the previous chapter</w:t>
      </w:r>
      <w:r w:rsidR="0018433B">
        <w:rPr>
          <w:szCs w:val="25"/>
        </w:rPr>
        <w:t xml:space="preserve"> a</w:t>
      </w:r>
      <w:r w:rsidR="0018433B" w:rsidRPr="00954FE3">
        <w:rPr>
          <w:szCs w:val="25"/>
        </w:rPr>
        <w:t>nd in</w:t>
      </w:r>
      <w:r w:rsidR="0018433B">
        <w:rPr>
          <w:szCs w:val="25"/>
        </w:rPr>
        <w:t xml:space="preserve"> </w:t>
      </w:r>
      <w:r w:rsidR="0018433B" w:rsidRPr="00954FE3">
        <w:rPr>
          <w:szCs w:val="25"/>
        </w:rPr>
        <w:t>the previous section. Thus we can tum immediately to a passage which is unquestionably the most difficult in the entire sermon</w:t>
      </w:r>
      <w:r w:rsidR="006F304D" w:rsidRPr="006F304D">
        <w:rPr>
          <w:szCs w:val="25"/>
        </w:rPr>
        <w:t xml:space="preserve">, </w:t>
      </w:r>
      <w:r w:rsidR="0018433B" w:rsidRPr="00954FE3">
        <w:rPr>
          <w:szCs w:val="25"/>
        </w:rPr>
        <w:t xml:space="preserve">the passage which is the fundamental cause of the split between two-part </w:t>
      </w:r>
      <w:r w:rsidR="0096372B" w:rsidRPr="00954FE3">
        <w:rPr>
          <w:szCs w:val="25"/>
        </w:rPr>
        <w:t xml:space="preserve">middle traditions </w:t>
      </w:r>
      <w:r w:rsidR="0018433B" w:rsidRPr="00954FE3">
        <w:rPr>
          <w:szCs w:val="25"/>
        </w:rPr>
        <w:t>and three-part middle traditions: verses 39-40.</w:t>
      </w:r>
    </w:p>
    <w:p w14:paraId="5366922F" w14:textId="77777777" w:rsidR="0018433B" w:rsidRPr="00954FE3" w:rsidRDefault="0018433B" w:rsidP="0018433B">
      <w:pPr>
        <w:pStyle w:val="Style"/>
        <w:widowControl/>
        <w:jc w:val="both"/>
        <w:textAlignment w:val="baseline"/>
        <w:rPr>
          <w:szCs w:val="25"/>
        </w:rPr>
      </w:pPr>
    </w:p>
    <w:p w14:paraId="210300D3" w14:textId="08FEBB8A" w:rsidR="0018433B" w:rsidRPr="00954FE3" w:rsidRDefault="0018433B" w:rsidP="0018433B">
      <w:pPr>
        <w:pStyle w:val="Style"/>
        <w:widowControl/>
        <w:ind w:left="720"/>
        <w:jc w:val="both"/>
        <w:textAlignment w:val="baseline"/>
        <w:rPr>
          <w:szCs w:val="25"/>
        </w:rPr>
      </w:pPr>
      <w:r w:rsidRPr="00954FE3">
        <w:rPr>
          <w:szCs w:val="25"/>
        </w:rPr>
        <w:t>39a</w:t>
      </w:r>
      <w:r>
        <w:rPr>
          <w:szCs w:val="25"/>
        </w:rPr>
        <w:tab/>
      </w:r>
      <w:r w:rsidR="002E1F03" w:rsidRPr="00CE06CA">
        <w:rPr>
          <w:bCs/>
          <w:szCs w:val="22"/>
          <w:lang w:val="el-GR"/>
        </w:rPr>
        <w:t>Εἶπεν δὲ καὶ παραβολὴν αὐτοῖς·</w:t>
      </w:r>
    </w:p>
    <w:p w14:paraId="0B4359C6" w14:textId="22D60CC9" w:rsidR="0018433B" w:rsidRPr="00954FE3" w:rsidRDefault="0018433B" w:rsidP="0018433B">
      <w:pPr>
        <w:pStyle w:val="Style"/>
        <w:widowControl/>
        <w:ind w:left="720"/>
        <w:jc w:val="both"/>
        <w:textAlignment w:val="baseline"/>
        <w:rPr>
          <w:szCs w:val="25"/>
        </w:rPr>
      </w:pPr>
      <w:r w:rsidRPr="00954FE3">
        <w:rPr>
          <w:szCs w:val="25"/>
        </w:rPr>
        <w:t>39b</w:t>
      </w:r>
      <w:r>
        <w:rPr>
          <w:szCs w:val="25"/>
        </w:rPr>
        <w:tab/>
      </w:r>
      <w:r w:rsidR="002E1F03" w:rsidRPr="00CE06CA">
        <w:rPr>
          <w:bCs/>
          <w:szCs w:val="22"/>
          <w:lang w:val="el-GR"/>
        </w:rPr>
        <w:t>μήτι δύναται τυφλὸς τυφλὸν ὁδηγεῖν;</w:t>
      </w:r>
    </w:p>
    <w:p w14:paraId="31D7C078" w14:textId="5E438FC9" w:rsidR="0018433B" w:rsidRPr="00954FE3" w:rsidRDefault="0018433B" w:rsidP="0018433B">
      <w:pPr>
        <w:pStyle w:val="Style"/>
        <w:widowControl/>
        <w:ind w:left="720"/>
        <w:jc w:val="both"/>
        <w:textAlignment w:val="baseline"/>
        <w:rPr>
          <w:szCs w:val="25"/>
        </w:rPr>
      </w:pPr>
      <w:r w:rsidRPr="00954FE3">
        <w:rPr>
          <w:szCs w:val="25"/>
        </w:rPr>
        <w:t>39c</w:t>
      </w:r>
      <w:r>
        <w:rPr>
          <w:szCs w:val="25"/>
        </w:rPr>
        <w:tab/>
      </w:r>
      <w:r w:rsidR="002E1F03" w:rsidRPr="00CE06CA">
        <w:rPr>
          <w:bCs/>
          <w:szCs w:val="22"/>
          <w:lang w:val="el-GR"/>
        </w:rPr>
        <w:t>οὐχὶ ἀμφότεροι εἰς βόθυνον ἐμπεσοῦνται;</w:t>
      </w:r>
    </w:p>
    <w:p w14:paraId="3CFF96A2" w14:textId="7D1F93BB" w:rsidR="0018433B" w:rsidRPr="00954FE3" w:rsidRDefault="0018433B" w:rsidP="0018433B">
      <w:pPr>
        <w:pStyle w:val="Style"/>
        <w:widowControl/>
        <w:ind w:left="720"/>
        <w:jc w:val="both"/>
        <w:textAlignment w:val="baseline"/>
        <w:rPr>
          <w:szCs w:val="25"/>
        </w:rPr>
      </w:pPr>
      <w:r w:rsidRPr="00954FE3">
        <w:rPr>
          <w:szCs w:val="25"/>
        </w:rPr>
        <w:t>40a</w:t>
      </w:r>
      <w:r>
        <w:rPr>
          <w:szCs w:val="25"/>
        </w:rPr>
        <w:tab/>
      </w:r>
      <w:r w:rsidR="002E1F03" w:rsidRPr="00CE06CA">
        <w:rPr>
          <w:bCs/>
          <w:szCs w:val="22"/>
          <w:lang w:val="el-GR"/>
        </w:rPr>
        <w:t>οὐκ ἔστιν μαθητὴς ὑπὲρ τὸν διδάσκαλον·</w:t>
      </w:r>
    </w:p>
    <w:p w14:paraId="344292EE" w14:textId="462BAF7C" w:rsidR="0018433B" w:rsidRPr="00954FE3" w:rsidRDefault="0018433B" w:rsidP="0018433B">
      <w:pPr>
        <w:pStyle w:val="Style"/>
        <w:widowControl/>
        <w:ind w:left="720"/>
        <w:jc w:val="both"/>
        <w:textAlignment w:val="baseline"/>
        <w:rPr>
          <w:szCs w:val="25"/>
        </w:rPr>
      </w:pPr>
      <w:r w:rsidRPr="00954FE3">
        <w:rPr>
          <w:szCs w:val="25"/>
        </w:rPr>
        <w:t>40b</w:t>
      </w:r>
      <w:r>
        <w:rPr>
          <w:szCs w:val="25"/>
        </w:rPr>
        <w:tab/>
      </w:r>
      <w:r w:rsidR="002E1F03" w:rsidRPr="00CE06CA">
        <w:rPr>
          <w:bCs/>
          <w:szCs w:val="22"/>
          <w:lang w:val="el-GR"/>
        </w:rPr>
        <w:t>κατηρτισμένος δὲ πᾶς ἔσται ὡς ὁ διδάσκαλος αὐτοῦ.</w:t>
      </w:r>
    </w:p>
    <w:p w14:paraId="790B7246" w14:textId="77777777" w:rsidR="0018433B" w:rsidRDefault="0018433B" w:rsidP="0018433B">
      <w:pPr>
        <w:pStyle w:val="Style"/>
        <w:widowControl/>
        <w:jc w:val="both"/>
        <w:textAlignment w:val="baseline"/>
        <w:rPr>
          <w:szCs w:val="25"/>
        </w:rPr>
      </w:pPr>
    </w:p>
    <w:p w14:paraId="472BE203" w14:textId="7ECAED2A" w:rsidR="0018433B" w:rsidRPr="00954FE3" w:rsidRDefault="0018433B" w:rsidP="0018433B">
      <w:pPr>
        <w:pStyle w:val="Style"/>
        <w:widowControl/>
        <w:ind w:left="720"/>
        <w:jc w:val="both"/>
        <w:textAlignment w:val="baseline"/>
        <w:rPr>
          <w:szCs w:val="25"/>
        </w:rPr>
      </w:pPr>
      <w:r w:rsidRPr="00954FE3">
        <w:rPr>
          <w:szCs w:val="25"/>
        </w:rPr>
        <w:t>39a</w:t>
      </w:r>
      <w:r>
        <w:rPr>
          <w:szCs w:val="25"/>
        </w:rPr>
        <w:tab/>
      </w:r>
      <w:r w:rsidR="0096372B" w:rsidRPr="00CD75A6">
        <w:t>He also told them a parable:</w:t>
      </w:r>
    </w:p>
    <w:p w14:paraId="798A6D38" w14:textId="5D265862" w:rsidR="0018433B" w:rsidRPr="00954FE3" w:rsidRDefault="0018433B" w:rsidP="0018433B">
      <w:pPr>
        <w:pStyle w:val="Style"/>
        <w:widowControl/>
        <w:ind w:left="720"/>
        <w:jc w:val="both"/>
        <w:textAlignment w:val="baseline"/>
        <w:rPr>
          <w:szCs w:val="25"/>
        </w:rPr>
      </w:pPr>
      <w:r w:rsidRPr="00954FE3">
        <w:rPr>
          <w:szCs w:val="25"/>
        </w:rPr>
        <w:t>39b</w:t>
      </w:r>
      <w:r>
        <w:rPr>
          <w:szCs w:val="25"/>
        </w:rPr>
        <w:tab/>
      </w:r>
      <w:r w:rsidR="0096372B" w:rsidRPr="00CD75A6">
        <w:t>“Can a blind person guide a blind person?</w:t>
      </w:r>
    </w:p>
    <w:p w14:paraId="4E8CFF45" w14:textId="24F75DC6" w:rsidR="0018433B" w:rsidRPr="00954FE3" w:rsidRDefault="0018433B" w:rsidP="0018433B">
      <w:pPr>
        <w:pStyle w:val="Style"/>
        <w:widowControl/>
        <w:ind w:left="720"/>
        <w:jc w:val="both"/>
        <w:textAlignment w:val="baseline"/>
        <w:rPr>
          <w:szCs w:val="25"/>
        </w:rPr>
      </w:pPr>
      <w:r w:rsidRPr="00954FE3">
        <w:rPr>
          <w:szCs w:val="25"/>
        </w:rPr>
        <w:t>39c</w:t>
      </w:r>
      <w:r>
        <w:rPr>
          <w:szCs w:val="25"/>
        </w:rPr>
        <w:tab/>
      </w:r>
      <w:r w:rsidR="0096372B" w:rsidRPr="00CD75A6">
        <w:t>Will not both fall into a pit?</w:t>
      </w:r>
    </w:p>
    <w:p w14:paraId="1229D2B6" w14:textId="3D4FFF2C" w:rsidR="0018433B" w:rsidRPr="00954FE3" w:rsidRDefault="0018433B" w:rsidP="0018433B">
      <w:pPr>
        <w:pStyle w:val="Style"/>
        <w:widowControl/>
        <w:ind w:left="720"/>
        <w:jc w:val="both"/>
        <w:textAlignment w:val="baseline"/>
        <w:rPr>
          <w:szCs w:val="25"/>
        </w:rPr>
      </w:pPr>
      <w:r w:rsidRPr="00954FE3">
        <w:rPr>
          <w:szCs w:val="25"/>
        </w:rPr>
        <w:t>40a</w:t>
      </w:r>
      <w:r>
        <w:rPr>
          <w:szCs w:val="25"/>
        </w:rPr>
        <w:tab/>
      </w:r>
      <w:r w:rsidR="0096372B" w:rsidRPr="00CD75A6">
        <w:t>A disciple is not above the teacher,</w:t>
      </w:r>
    </w:p>
    <w:p w14:paraId="69853F05" w14:textId="76D00059" w:rsidR="0018433B" w:rsidRPr="00954FE3" w:rsidRDefault="0018433B" w:rsidP="0018433B">
      <w:pPr>
        <w:pStyle w:val="Style"/>
        <w:widowControl/>
        <w:ind w:left="720"/>
        <w:jc w:val="both"/>
        <w:textAlignment w:val="baseline"/>
        <w:rPr>
          <w:szCs w:val="25"/>
        </w:rPr>
      </w:pPr>
      <w:r w:rsidRPr="00954FE3">
        <w:rPr>
          <w:szCs w:val="25"/>
        </w:rPr>
        <w:t>40b</w:t>
      </w:r>
      <w:r>
        <w:rPr>
          <w:szCs w:val="25"/>
        </w:rPr>
        <w:tab/>
      </w:r>
      <w:r w:rsidR="0096372B" w:rsidRPr="00CD75A6">
        <w:t>but everyone who is fully qualified will be like</w:t>
      </w:r>
      <w:r w:rsidR="0096372B">
        <w:t xml:space="preserve"> </w:t>
      </w:r>
      <w:r w:rsidR="0096372B" w:rsidRPr="00CD75A6">
        <w:t>the teacher.</w:t>
      </w:r>
      <w:r w:rsidR="0096372B">
        <w:t>”</w:t>
      </w:r>
    </w:p>
    <w:p w14:paraId="37CF97C8" w14:textId="77777777" w:rsidR="0018433B" w:rsidRDefault="0018433B" w:rsidP="0018433B">
      <w:pPr>
        <w:pStyle w:val="Style"/>
        <w:widowControl/>
        <w:jc w:val="both"/>
        <w:textAlignment w:val="baseline"/>
        <w:rPr>
          <w:szCs w:val="25"/>
        </w:rPr>
      </w:pPr>
    </w:p>
    <w:p w14:paraId="31FE9BE3" w14:textId="6DA5D232" w:rsidR="0018433B" w:rsidRPr="00954FE3" w:rsidRDefault="0018433B" w:rsidP="0018433B">
      <w:pPr>
        <w:pStyle w:val="Style"/>
        <w:widowControl/>
        <w:jc w:val="both"/>
        <w:textAlignment w:val="baseline"/>
        <w:rPr>
          <w:szCs w:val="25"/>
        </w:rPr>
      </w:pPr>
      <w:r w:rsidRPr="00954FE3">
        <w:rPr>
          <w:szCs w:val="25"/>
        </w:rPr>
        <w:t>Verse 39a has occupied our attention on more than one occasion already</w:t>
      </w:r>
      <w:r w:rsidRPr="00954FE3">
        <w:rPr>
          <w:szCs w:val="20"/>
        </w:rPr>
        <w:t xml:space="preserve">; </w:t>
      </w:r>
      <w:r w:rsidRPr="00954FE3">
        <w:rPr>
          <w:szCs w:val="25"/>
        </w:rPr>
        <w:t>we have shown it to be a simple introduction to verses 39bc or 39b-40</w:t>
      </w:r>
      <w:r w:rsidR="006F304D" w:rsidRPr="006F304D">
        <w:rPr>
          <w:szCs w:val="25"/>
        </w:rPr>
        <w:t xml:space="preserve">, </w:t>
      </w:r>
      <w:r w:rsidRPr="00954FE3">
        <w:rPr>
          <w:szCs w:val="25"/>
        </w:rPr>
        <w:t>and not the revelation of a major break in the sermon. Having already dealt with 39a</w:t>
      </w:r>
      <w:r w:rsidR="006F304D" w:rsidRPr="006F304D">
        <w:rPr>
          <w:szCs w:val="25"/>
        </w:rPr>
        <w:t xml:space="preserve">, </w:t>
      </w:r>
      <w:r w:rsidRPr="00954FE3">
        <w:rPr>
          <w:szCs w:val="25"/>
        </w:rPr>
        <w:t>then</w:t>
      </w:r>
      <w:r w:rsidR="006F304D" w:rsidRPr="006F304D">
        <w:rPr>
          <w:szCs w:val="25"/>
        </w:rPr>
        <w:t xml:space="preserve">, </w:t>
      </w:r>
      <w:r w:rsidRPr="00954FE3">
        <w:rPr>
          <w:szCs w:val="25"/>
        </w:rPr>
        <w:t>we can move immediately to 39b-40. The obvious first question here is: who are the blind men in 39bc?</w:t>
      </w:r>
    </w:p>
    <w:p w14:paraId="6D0D4C7B" w14:textId="4A177419" w:rsidR="0018433B" w:rsidRPr="00954FE3" w:rsidRDefault="0096372B" w:rsidP="0018433B">
      <w:pPr>
        <w:pStyle w:val="Style"/>
        <w:widowControl/>
        <w:jc w:val="both"/>
        <w:textAlignment w:val="baseline"/>
        <w:rPr>
          <w:szCs w:val="2"/>
          <w:vertAlign w:val="superscript"/>
        </w:rPr>
      </w:pPr>
      <w:r>
        <w:rPr>
          <w:szCs w:val="25"/>
        </w:rPr>
        <w:tab/>
      </w:r>
      <w:r w:rsidR="0018433B" w:rsidRPr="00954FE3">
        <w:rPr>
          <w:szCs w:val="25"/>
        </w:rPr>
        <w:t>One possibility</w:t>
      </w:r>
      <w:r w:rsidR="006F304D" w:rsidRPr="006F304D">
        <w:rPr>
          <w:szCs w:val="25"/>
        </w:rPr>
        <w:t xml:space="preserve">, </w:t>
      </w:r>
      <w:r w:rsidR="0018433B" w:rsidRPr="00954FE3">
        <w:rPr>
          <w:szCs w:val="25"/>
        </w:rPr>
        <w:t>rather shocking on the face of it</w:t>
      </w:r>
      <w:r w:rsidR="006F304D" w:rsidRPr="006F304D">
        <w:rPr>
          <w:szCs w:val="25"/>
        </w:rPr>
        <w:t xml:space="preserve">, </w:t>
      </w:r>
      <w:r w:rsidR="0018433B" w:rsidRPr="00954FE3">
        <w:rPr>
          <w:szCs w:val="25"/>
        </w:rPr>
        <w:t>is that the blind man who leads another is Jesus. Tinsley has suggested this possibility: Jesus says in 39bc</w:t>
      </w:r>
      <w:r w:rsidR="006F304D" w:rsidRPr="006F304D">
        <w:rPr>
          <w:szCs w:val="25"/>
        </w:rPr>
        <w:t xml:space="preserve">, </w:t>
      </w:r>
      <w:r w:rsidR="0018433B" w:rsidRPr="00954FE3">
        <w:rPr>
          <w:szCs w:val="25"/>
        </w:rPr>
        <w:t>in</w:t>
      </w:r>
      <w:r>
        <w:rPr>
          <w:szCs w:val="25"/>
        </w:rPr>
        <w:t xml:space="preserve"> </w:t>
      </w:r>
      <w:r w:rsidR="0018433B" w:rsidRPr="00954FE3">
        <w:rPr>
          <w:szCs w:val="25"/>
        </w:rPr>
        <w:t>effect</w:t>
      </w:r>
      <w:r w:rsidR="006F304D" w:rsidRPr="006F304D">
        <w:rPr>
          <w:szCs w:val="25"/>
        </w:rPr>
        <w:t xml:space="preserve">, </w:t>
      </w:r>
      <w:r>
        <w:rPr>
          <w:szCs w:val="25"/>
        </w:rPr>
        <w:t>“</w:t>
      </w:r>
      <w:r w:rsidR="0018433B" w:rsidRPr="00954FE3">
        <w:rPr>
          <w:szCs w:val="25"/>
        </w:rPr>
        <w:t>A blind man cannot be a leader; I am your leader; therefore</w:t>
      </w:r>
      <w:r w:rsidR="006F304D" w:rsidRPr="006F304D">
        <w:rPr>
          <w:szCs w:val="25"/>
        </w:rPr>
        <w:t xml:space="preserve">, </w:t>
      </w:r>
      <w:r w:rsidR="0018433B" w:rsidRPr="00954FE3">
        <w:rPr>
          <w:szCs w:val="25"/>
        </w:rPr>
        <w:t>I am not a</w:t>
      </w:r>
      <w:r>
        <w:rPr>
          <w:szCs w:val="25"/>
        </w:rPr>
        <w:t xml:space="preserve"> </w:t>
      </w:r>
      <w:r w:rsidR="0018433B" w:rsidRPr="00954FE3">
        <w:rPr>
          <w:szCs w:val="25"/>
        </w:rPr>
        <w:t>blind man.” As Tinsley puts it</w:t>
      </w:r>
      <w:r w:rsidR="006F304D" w:rsidRPr="006F304D">
        <w:rPr>
          <w:szCs w:val="25"/>
        </w:rPr>
        <w:t xml:space="preserve">, </w:t>
      </w:r>
      <w:r w:rsidR="0018433B" w:rsidRPr="00954FE3">
        <w:rPr>
          <w:szCs w:val="25"/>
        </w:rPr>
        <w:t>“By following Jesus the disciples are implying that he is no blind guide but knows the way.”</w:t>
      </w:r>
      <w:r>
        <w:rPr>
          <w:rStyle w:val="FootnoteReference"/>
          <w:szCs w:val="25"/>
        </w:rPr>
        <w:footnoteReference w:id="632"/>
      </w:r>
      <w:r w:rsidR="0018433B" w:rsidRPr="00954FE3">
        <w:rPr>
          <w:szCs w:val="25"/>
        </w:rPr>
        <w:t xml:space="preserve"> Jesus</w:t>
      </w:r>
      <w:r w:rsidR="006F304D" w:rsidRPr="006F304D">
        <w:rPr>
          <w:szCs w:val="25"/>
        </w:rPr>
        <w:t xml:space="preserve">, </w:t>
      </w:r>
      <w:r w:rsidR="0018433B" w:rsidRPr="00954FE3">
        <w:rPr>
          <w:szCs w:val="25"/>
        </w:rPr>
        <w:t>then</w:t>
      </w:r>
      <w:r w:rsidR="006F304D" w:rsidRPr="006F304D">
        <w:rPr>
          <w:szCs w:val="25"/>
        </w:rPr>
        <w:t xml:space="preserve">, </w:t>
      </w:r>
      <w:r w:rsidR="0018433B" w:rsidRPr="00954FE3">
        <w:rPr>
          <w:szCs w:val="25"/>
        </w:rPr>
        <w:t>is both the “blind guide” of 39 and the “teacher” of verse 40. But to what end does Jesus point out to his disciples that they do not consider him a blind guide? If this were the point of the verses</w:t>
      </w:r>
      <w:r w:rsidR="006F304D" w:rsidRPr="006F304D">
        <w:rPr>
          <w:szCs w:val="25"/>
        </w:rPr>
        <w:t xml:space="preserve">, </w:t>
      </w:r>
      <w:r w:rsidR="0018433B" w:rsidRPr="00954FE3">
        <w:rPr>
          <w:szCs w:val="25"/>
        </w:rPr>
        <w:t>then they would seem to be pointless. Equating the “blind man” in 39 with Jesus seems to me to be an instance of accom</w:t>
      </w:r>
      <w:r>
        <w:rPr>
          <w:szCs w:val="25"/>
        </w:rPr>
        <w:t>m</w:t>
      </w:r>
      <w:r w:rsidR="0018433B" w:rsidRPr="00954FE3">
        <w:rPr>
          <w:szCs w:val="25"/>
        </w:rPr>
        <w:t>odation.</w:t>
      </w:r>
      <w:r>
        <w:rPr>
          <w:rStyle w:val="FootnoteReference"/>
          <w:szCs w:val="25"/>
        </w:rPr>
        <w:footnoteReference w:id="633"/>
      </w:r>
    </w:p>
    <w:p w14:paraId="0E93D7D9" w14:textId="66B4D173" w:rsidR="0018433B" w:rsidRPr="00BC3F72" w:rsidRDefault="0096372B" w:rsidP="0018433B">
      <w:pPr>
        <w:pStyle w:val="Style"/>
        <w:widowControl/>
        <w:jc w:val="both"/>
        <w:textAlignment w:val="baseline"/>
        <w:rPr>
          <w:szCs w:val="25"/>
        </w:rPr>
      </w:pPr>
      <w:r>
        <w:rPr>
          <w:szCs w:val="25"/>
        </w:rPr>
        <w:lastRenderedPageBreak/>
        <w:tab/>
      </w:r>
      <w:r w:rsidR="0018433B" w:rsidRPr="00954FE3">
        <w:rPr>
          <w:szCs w:val="25"/>
        </w:rPr>
        <w:t>Another possible referent for the “blind” in 39bc is the scribes and Pharisees.</w:t>
      </w:r>
      <w:r>
        <w:rPr>
          <w:szCs w:val="25"/>
        </w:rPr>
        <w:t xml:space="preserve"> </w:t>
      </w:r>
      <w:r w:rsidR="0018433B" w:rsidRPr="00954FE3">
        <w:rPr>
          <w:szCs w:val="25"/>
        </w:rPr>
        <w:t>According to Geldenhuys</w:t>
      </w:r>
      <w:r w:rsidR="006F304D" w:rsidRPr="006F304D">
        <w:rPr>
          <w:szCs w:val="25"/>
        </w:rPr>
        <w:t xml:space="preserve">, </w:t>
      </w:r>
      <w:r w:rsidR="0018433B" w:rsidRPr="00954FE3">
        <w:rPr>
          <w:szCs w:val="25"/>
        </w:rPr>
        <w:t>for example</w:t>
      </w:r>
      <w:r w:rsidR="006F304D" w:rsidRPr="006F304D">
        <w:rPr>
          <w:szCs w:val="25"/>
        </w:rPr>
        <w:t xml:space="preserve">, </w:t>
      </w:r>
      <w:r w:rsidR="0018433B" w:rsidRPr="00954FE3">
        <w:rPr>
          <w:szCs w:val="25"/>
        </w:rPr>
        <w:t xml:space="preserve">the “blind” are the “spiritually blind leaders of the Jewish people [viz.] the Pharisees and scribes </w:t>
      </w:r>
      <w:r w:rsidR="0018433B" w:rsidRPr="00EE2A2F">
        <w:rPr>
          <w:szCs w:val="25"/>
        </w:rPr>
        <w:t>. . .</w:t>
      </w:r>
      <w:r w:rsidR="0018433B" w:rsidRPr="00954FE3">
        <w:rPr>
          <w:szCs w:val="25"/>
        </w:rPr>
        <w:t xml:space="preserve">” </w:t>
      </w:r>
      <w:r w:rsidRPr="00954FE3">
        <w:rPr>
          <w:szCs w:val="25"/>
        </w:rPr>
        <w:t>Hence</w:t>
      </w:r>
      <w:r>
        <w:rPr>
          <w:szCs w:val="25"/>
        </w:rPr>
        <w:t>,</w:t>
      </w:r>
      <w:r w:rsidRPr="00954FE3">
        <w:rPr>
          <w:szCs w:val="25"/>
        </w:rPr>
        <w:t xml:space="preserve"> </w:t>
      </w:r>
      <w:r w:rsidR="0018433B" w:rsidRPr="00954FE3">
        <w:rPr>
          <w:szCs w:val="25"/>
        </w:rPr>
        <w:t>39 means that “the hearers must leave their old leaders and masters”</w:t>
      </w:r>
      <w:r>
        <w:rPr>
          <w:szCs w:val="25"/>
        </w:rPr>
        <w:t>;</w:t>
      </w:r>
      <w:r w:rsidR="0018433B" w:rsidRPr="00954FE3">
        <w:rPr>
          <w:szCs w:val="25"/>
        </w:rPr>
        <w:t xml:space="preserve"> and 40 means that “a pupil </w:t>
      </w:r>
      <w:r w:rsidR="0018433B" w:rsidRPr="00EE2A2F">
        <w:rPr>
          <w:szCs w:val="25"/>
        </w:rPr>
        <w:t>. . .</w:t>
      </w:r>
      <w:r w:rsidR="0018433B" w:rsidRPr="00954FE3">
        <w:rPr>
          <w:szCs w:val="25"/>
        </w:rPr>
        <w:t xml:space="preserve"> must see to it that he chooses the right master.</w:t>
      </w:r>
      <w:r>
        <w:rPr>
          <w:szCs w:val="25"/>
        </w:rPr>
        <w:t>”</w:t>
      </w:r>
      <w:r>
        <w:rPr>
          <w:rStyle w:val="FootnoteReference"/>
          <w:szCs w:val="25"/>
        </w:rPr>
        <w:footnoteReference w:id="634"/>
      </w:r>
      <w:r w:rsidR="00775F9B" w:rsidRPr="00775F9B">
        <w:rPr>
          <w:iCs/>
          <w:szCs w:val="25"/>
        </w:rPr>
        <w:t xml:space="preserve"> </w:t>
      </w:r>
      <w:r w:rsidR="0018433B" w:rsidRPr="00954FE3">
        <w:rPr>
          <w:szCs w:val="25"/>
        </w:rPr>
        <w:t>Bowie also sees scribes and Pharisees in these verses: 39 pertain</w:t>
      </w:r>
      <w:r w:rsidR="00411C6F">
        <w:rPr>
          <w:szCs w:val="25"/>
        </w:rPr>
        <w:t>s</w:t>
      </w:r>
      <w:r w:rsidR="0018433B" w:rsidRPr="00954FE3">
        <w:rPr>
          <w:szCs w:val="25"/>
        </w:rPr>
        <w:t xml:space="preserve"> to “the fatuousness of pretended knowledge </w:t>
      </w:r>
      <w:r w:rsidR="0018433B">
        <w:rPr>
          <w:szCs w:val="25"/>
        </w:rPr>
        <w:t>[</w:t>
      </w:r>
      <w:r w:rsidR="0018433B" w:rsidRPr="00954FE3">
        <w:rPr>
          <w:szCs w:val="25"/>
        </w:rPr>
        <w:t>of]</w:t>
      </w:r>
      <w:r>
        <w:rPr>
          <w:szCs w:val="25"/>
        </w:rPr>
        <w:t xml:space="preserve"> </w:t>
      </w:r>
      <w:r w:rsidR="0018433B" w:rsidRPr="00BC3F72">
        <w:rPr>
          <w:szCs w:val="25"/>
        </w:rPr>
        <w:t>the scribes,” and 40 signifies that the trouble grows worse when everyone who is</w:t>
      </w:r>
      <w:r w:rsidR="00411C6F">
        <w:rPr>
          <w:szCs w:val="25"/>
        </w:rPr>
        <w:t xml:space="preserve"> </w:t>
      </w:r>
      <w:r w:rsidR="0018433B" w:rsidRPr="00BC3F72">
        <w:rPr>
          <w:szCs w:val="25"/>
        </w:rPr>
        <w:t>fully taught becomes like his teacher.</w:t>
      </w:r>
      <w:r w:rsidR="00411C6F">
        <w:rPr>
          <w:szCs w:val="25"/>
        </w:rPr>
        <w:t>”</w:t>
      </w:r>
      <w:r w:rsidR="00411C6F">
        <w:rPr>
          <w:rStyle w:val="FootnoteReference"/>
          <w:szCs w:val="25"/>
        </w:rPr>
        <w:footnoteReference w:id="635"/>
      </w:r>
      <w:r w:rsidR="00775F9B" w:rsidRPr="00775F9B">
        <w:rPr>
          <w:iCs/>
          <w:szCs w:val="25"/>
        </w:rPr>
        <w:t xml:space="preserve"> </w:t>
      </w:r>
      <w:r w:rsidR="0018433B" w:rsidRPr="00BC3F72">
        <w:rPr>
          <w:szCs w:val="25"/>
        </w:rPr>
        <w:t>Notice that</w:t>
      </w:r>
      <w:r w:rsidR="006F304D" w:rsidRPr="006F304D">
        <w:rPr>
          <w:szCs w:val="25"/>
        </w:rPr>
        <w:t xml:space="preserve">, </w:t>
      </w:r>
      <w:r w:rsidR="0018433B" w:rsidRPr="00BC3F72">
        <w:rPr>
          <w:szCs w:val="25"/>
        </w:rPr>
        <w:t>in this explication</w:t>
      </w:r>
      <w:r w:rsidR="006F304D" w:rsidRPr="006F304D">
        <w:rPr>
          <w:szCs w:val="25"/>
        </w:rPr>
        <w:t xml:space="preserve">, </w:t>
      </w:r>
      <w:r w:rsidR="0018433B" w:rsidRPr="00BC3F72">
        <w:rPr>
          <w:szCs w:val="25"/>
        </w:rPr>
        <w:t>not only is the “blind guide” of 39 a Pharisee</w:t>
      </w:r>
      <w:r w:rsidR="006F304D" w:rsidRPr="006F304D">
        <w:rPr>
          <w:szCs w:val="25"/>
        </w:rPr>
        <w:t xml:space="preserve">, </w:t>
      </w:r>
      <w:r w:rsidR="0018433B" w:rsidRPr="00BC3F72">
        <w:rPr>
          <w:szCs w:val="25"/>
        </w:rPr>
        <w:t xml:space="preserve">but so too is the </w:t>
      </w:r>
      <w:r w:rsidR="00411C6F">
        <w:rPr>
          <w:szCs w:val="25"/>
        </w:rPr>
        <w:t>“</w:t>
      </w:r>
      <w:r w:rsidR="0018433B" w:rsidRPr="00BC3F72">
        <w:rPr>
          <w:szCs w:val="25"/>
        </w:rPr>
        <w:t>teacher</w:t>
      </w:r>
      <w:r w:rsidR="00411C6F">
        <w:rPr>
          <w:szCs w:val="25"/>
        </w:rPr>
        <w:t>”</w:t>
      </w:r>
      <w:r w:rsidR="0018433B" w:rsidRPr="00BC3F72">
        <w:rPr>
          <w:szCs w:val="25"/>
        </w:rPr>
        <w:t xml:space="preserve"> of verse 40. Verse 40a</w:t>
      </w:r>
      <w:r w:rsidR="0018433B" w:rsidRPr="00F624D6">
        <w:rPr>
          <w:szCs w:val="25"/>
        </w:rPr>
        <w:t>—</w:t>
      </w:r>
      <w:r w:rsidR="00411C6F">
        <w:rPr>
          <w:szCs w:val="25"/>
        </w:rPr>
        <w:t>“</w:t>
      </w:r>
      <w:r w:rsidR="0018433B" w:rsidRPr="00BC3F72">
        <w:rPr>
          <w:szCs w:val="25"/>
        </w:rPr>
        <w:t>A disciple is not above his teacher”</w:t>
      </w:r>
      <w:r w:rsidR="0018433B" w:rsidRPr="00F624D6">
        <w:rPr>
          <w:szCs w:val="25"/>
        </w:rPr>
        <w:t>—</w:t>
      </w:r>
      <w:r w:rsidR="00411C6F">
        <w:rPr>
          <w:szCs w:val="25"/>
        </w:rPr>
        <w:t xml:space="preserve">would </w:t>
      </w:r>
      <w:r w:rsidR="0018433B" w:rsidRPr="00BC3F72">
        <w:rPr>
          <w:szCs w:val="25"/>
        </w:rPr>
        <w:t>thus seem to mean</w:t>
      </w:r>
      <w:r w:rsidR="006F304D" w:rsidRPr="006F304D">
        <w:rPr>
          <w:szCs w:val="25"/>
        </w:rPr>
        <w:t xml:space="preserve">, </w:t>
      </w:r>
      <w:r w:rsidR="0018433B" w:rsidRPr="00BC3F72">
        <w:rPr>
          <w:szCs w:val="25"/>
        </w:rPr>
        <w:t>“Do not choose a misguided teacher</w:t>
      </w:r>
      <w:r w:rsidR="006F304D" w:rsidRPr="006F304D">
        <w:rPr>
          <w:szCs w:val="25"/>
        </w:rPr>
        <w:t xml:space="preserve">, </w:t>
      </w:r>
      <w:r w:rsidR="0018433B" w:rsidRPr="00BC3F72">
        <w:rPr>
          <w:szCs w:val="25"/>
        </w:rPr>
        <w:t>for his lack of advancement will hinder you from advancing further than he.</w:t>
      </w:r>
      <w:r w:rsidR="00411C6F">
        <w:rPr>
          <w:szCs w:val="25"/>
        </w:rPr>
        <w:t>”</w:t>
      </w:r>
    </w:p>
    <w:p w14:paraId="58CC6B49" w14:textId="17917528" w:rsidR="0018433B" w:rsidRPr="00411C6F" w:rsidRDefault="00411C6F" w:rsidP="0018433B">
      <w:pPr>
        <w:pStyle w:val="Style"/>
        <w:widowControl/>
        <w:jc w:val="both"/>
        <w:textAlignment w:val="baseline"/>
        <w:rPr>
          <w:szCs w:val="25"/>
        </w:rPr>
      </w:pPr>
      <w:r>
        <w:rPr>
          <w:szCs w:val="25"/>
        </w:rPr>
        <w:tab/>
      </w:r>
      <w:r w:rsidR="0018433B" w:rsidRPr="00BC3F72">
        <w:rPr>
          <w:szCs w:val="25"/>
        </w:rPr>
        <w:t>Proof for this explanation of 39-40 has been detected in the association else</w:t>
      </w:r>
      <w:r w:rsidR="0018433B" w:rsidRPr="00BC3F72">
        <w:rPr>
          <w:szCs w:val="25"/>
        </w:rPr>
        <w:softHyphen/>
        <w:t>where in the New Testament of the Pharisees with the title</w:t>
      </w:r>
      <w:r w:rsidR="006F304D" w:rsidRPr="006F304D">
        <w:rPr>
          <w:szCs w:val="25"/>
        </w:rPr>
        <w:t xml:space="preserve">, </w:t>
      </w:r>
      <w:r w:rsidR="0018433B" w:rsidRPr="00BC3F72">
        <w:rPr>
          <w:szCs w:val="25"/>
        </w:rPr>
        <w:t>“guides of the blind.” Matthew explicitly applies the blind-guide logion to the Pharisees (</w:t>
      </w:r>
      <w:r w:rsidRPr="00BC3F72">
        <w:rPr>
          <w:szCs w:val="25"/>
        </w:rPr>
        <w:t>Matt 15:12</w:t>
      </w:r>
      <w:r w:rsidRPr="006F304D">
        <w:rPr>
          <w:szCs w:val="25"/>
        </w:rPr>
        <w:t xml:space="preserve">, </w:t>
      </w:r>
      <w:r w:rsidRPr="00BC3F72">
        <w:rPr>
          <w:szCs w:val="25"/>
        </w:rPr>
        <w:t>14</w:t>
      </w:r>
      <w:r>
        <w:rPr>
          <w:szCs w:val="25"/>
        </w:rPr>
        <w:t>,</w:t>
      </w:r>
      <w:r w:rsidRPr="00BC3F72">
        <w:rPr>
          <w:szCs w:val="25"/>
        </w:rPr>
        <w:t xml:space="preserve"> </w:t>
      </w:r>
      <w:r w:rsidR="0018433B" w:rsidRPr="00BC3F72">
        <w:rPr>
          <w:szCs w:val="25"/>
        </w:rPr>
        <w:t xml:space="preserve">“the Pharisees </w:t>
      </w:r>
      <w:r w:rsidR="0018433B">
        <w:rPr>
          <w:szCs w:val="25"/>
        </w:rPr>
        <w:t>. . .</w:t>
      </w:r>
      <w:r w:rsidR="0018433B" w:rsidRPr="00BC3F72">
        <w:rPr>
          <w:szCs w:val="25"/>
        </w:rPr>
        <w:t xml:space="preserve"> are blind guides</w:t>
      </w:r>
      <w:r>
        <w:rPr>
          <w:szCs w:val="25"/>
        </w:rPr>
        <w:t>”</w:t>
      </w:r>
      <w:r w:rsidR="0018433B" w:rsidRPr="00BC3F72">
        <w:rPr>
          <w:szCs w:val="25"/>
        </w:rPr>
        <w:t xml:space="preserve">; </w:t>
      </w:r>
      <w:r w:rsidRPr="00BC3F72">
        <w:rPr>
          <w:szCs w:val="25"/>
        </w:rPr>
        <w:t>Matt 23:16</w:t>
      </w:r>
      <w:r w:rsidRPr="006F304D">
        <w:rPr>
          <w:szCs w:val="25"/>
        </w:rPr>
        <w:t xml:space="preserve">, </w:t>
      </w:r>
      <w:r w:rsidRPr="00BC3F72">
        <w:rPr>
          <w:szCs w:val="25"/>
        </w:rPr>
        <w:t>24</w:t>
      </w:r>
      <w:r>
        <w:rPr>
          <w:szCs w:val="25"/>
        </w:rPr>
        <w:t>, “</w:t>
      </w:r>
      <w:r w:rsidR="0018433B" w:rsidRPr="00BC3F72">
        <w:rPr>
          <w:szCs w:val="25"/>
        </w:rPr>
        <w:t>woe to you</w:t>
      </w:r>
      <w:r w:rsidR="006F304D" w:rsidRPr="006F304D">
        <w:rPr>
          <w:szCs w:val="25"/>
        </w:rPr>
        <w:t xml:space="preserve">, </w:t>
      </w:r>
      <w:r w:rsidR="0018433B" w:rsidRPr="00BC3F72">
        <w:rPr>
          <w:szCs w:val="25"/>
        </w:rPr>
        <w:t xml:space="preserve">blind guides </w:t>
      </w:r>
      <w:r w:rsidR="0018433B" w:rsidRPr="00EE2A2F">
        <w:rPr>
          <w:szCs w:val="25"/>
        </w:rPr>
        <w:t>. . .</w:t>
      </w:r>
      <w:r w:rsidR="0018433B" w:rsidRPr="00BC3F72">
        <w:rPr>
          <w:szCs w:val="25"/>
        </w:rPr>
        <w:t xml:space="preserve"> You blind guides </w:t>
      </w:r>
      <w:r>
        <w:rPr>
          <w:szCs w:val="21"/>
        </w:rPr>
        <w:t>. . .</w:t>
      </w:r>
      <w:r w:rsidR="0018433B" w:rsidRPr="00BC3F72">
        <w:rPr>
          <w:szCs w:val="21"/>
        </w:rPr>
        <w:t>!</w:t>
      </w:r>
      <w:r>
        <w:rPr>
          <w:szCs w:val="21"/>
        </w:rPr>
        <w:t>”</w:t>
      </w:r>
      <w:r w:rsidR="0018433B" w:rsidRPr="00BC3F72">
        <w:rPr>
          <w:szCs w:val="25"/>
        </w:rPr>
        <w:t>). Paul</w:t>
      </w:r>
      <w:r>
        <w:rPr>
          <w:szCs w:val="25"/>
        </w:rPr>
        <w:t xml:space="preserve"> </w:t>
      </w:r>
      <w:r w:rsidR="0018433B" w:rsidRPr="00BC3F72">
        <w:rPr>
          <w:szCs w:val="25"/>
        </w:rPr>
        <w:t>seems to acknowledge that “guide to the blind” was a common Pharisaic self-appellation (</w:t>
      </w:r>
      <w:r w:rsidRPr="00BC3F72">
        <w:rPr>
          <w:szCs w:val="25"/>
        </w:rPr>
        <w:t>Rom 2:19</w:t>
      </w:r>
      <w:r>
        <w:rPr>
          <w:szCs w:val="25"/>
        </w:rPr>
        <w:t>, “</w:t>
      </w:r>
      <w:r w:rsidR="0018433B" w:rsidRPr="00BC3F72">
        <w:rPr>
          <w:szCs w:val="25"/>
        </w:rPr>
        <w:t>you are sure that you are a guide to the blind”).</w:t>
      </w:r>
      <w:r>
        <w:rPr>
          <w:rStyle w:val="FootnoteReference"/>
          <w:szCs w:val="25"/>
        </w:rPr>
        <w:footnoteReference w:id="636"/>
      </w:r>
    </w:p>
    <w:p w14:paraId="71728C62" w14:textId="6A643046" w:rsidR="0018433B" w:rsidRPr="00BC3F72" w:rsidRDefault="00411C6F" w:rsidP="0018433B">
      <w:pPr>
        <w:pStyle w:val="Style"/>
        <w:widowControl/>
        <w:jc w:val="both"/>
        <w:textAlignment w:val="baseline"/>
        <w:rPr>
          <w:szCs w:val="25"/>
        </w:rPr>
      </w:pPr>
      <w:r>
        <w:rPr>
          <w:szCs w:val="25"/>
        </w:rPr>
        <w:tab/>
      </w:r>
      <w:r w:rsidR="0018433B" w:rsidRPr="00BC3F72">
        <w:rPr>
          <w:szCs w:val="25"/>
        </w:rPr>
        <w:t>The difficulty with this interpretation</w:t>
      </w:r>
      <w:r w:rsidR="0018433B" w:rsidRPr="00F624D6">
        <w:rPr>
          <w:szCs w:val="25"/>
        </w:rPr>
        <w:t>—</w:t>
      </w:r>
      <w:r w:rsidR="0018433B" w:rsidRPr="00BC3F72">
        <w:rPr>
          <w:szCs w:val="25"/>
        </w:rPr>
        <w:t>aside from the fact that there is no mention whatever of Pharisees in Luke’s sermon</w:t>
      </w:r>
      <w:r w:rsidR="0018433B" w:rsidRPr="00F624D6">
        <w:rPr>
          <w:szCs w:val="25"/>
        </w:rPr>
        <w:t>—</w:t>
      </w:r>
      <w:r w:rsidR="0018433B" w:rsidRPr="00BC3F72">
        <w:rPr>
          <w:szCs w:val="25"/>
        </w:rPr>
        <w:t>is the uncertainty whether the Pharisees really did call themselves “guides of the blind.” Matt 15:14</w:t>
      </w:r>
      <w:r w:rsidR="006F304D" w:rsidRPr="006F304D">
        <w:rPr>
          <w:szCs w:val="25"/>
        </w:rPr>
        <w:t xml:space="preserve">, </w:t>
      </w:r>
      <w:r w:rsidR="0018433B" w:rsidRPr="00BC3F72">
        <w:rPr>
          <w:szCs w:val="25"/>
        </w:rPr>
        <w:t>which is Matthew’s parallel to Luke 6:39</w:t>
      </w:r>
      <w:r w:rsidR="006F304D" w:rsidRPr="006F304D">
        <w:rPr>
          <w:szCs w:val="25"/>
        </w:rPr>
        <w:t xml:space="preserve">, </w:t>
      </w:r>
      <w:r w:rsidR="0018433B" w:rsidRPr="00BC3F72">
        <w:rPr>
          <w:szCs w:val="25"/>
        </w:rPr>
        <w:t>is in itself merely an alternative application of the logion</w:t>
      </w:r>
      <w:r w:rsidR="006F304D" w:rsidRPr="006F304D">
        <w:rPr>
          <w:szCs w:val="25"/>
        </w:rPr>
        <w:t xml:space="preserve">, </w:t>
      </w:r>
      <w:r w:rsidR="0018433B" w:rsidRPr="00BC3F72">
        <w:rPr>
          <w:szCs w:val="25"/>
        </w:rPr>
        <w:t>with no more claim to originality than Luke’s application of it. Moreover,</w:t>
      </w:r>
      <w:r>
        <w:rPr>
          <w:szCs w:val="25"/>
        </w:rPr>
        <w:t xml:space="preserve"> </w:t>
      </w:r>
      <w:r w:rsidR="0018433B" w:rsidRPr="00BC3F72">
        <w:rPr>
          <w:szCs w:val="25"/>
        </w:rPr>
        <w:t>all three citations in Matthew speak not of “guides of the blind,” but of “blind</w:t>
      </w:r>
      <w:r w:rsidR="00E20A50">
        <w:rPr>
          <w:szCs w:val="25"/>
        </w:rPr>
        <w:t xml:space="preserve"> </w:t>
      </w:r>
      <w:r w:rsidR="0018433B" w:rsidRPr="00BC3F72">
        <w:rPr>
          <w:szCs w:val="25"/>
        </w:rPr>
        <w:t>guides</w:t>
      </w:r>
      <w:r w:rsidR="00E20A50">
        <w:rPr>
          <w:szCs w:val="25"/>
        </w:rPr>
        <w:t>”</w:t>
      </w:r>
      <w:r w:rsidR="0018433B" w:rsidRPr="00BC3F72">
        <w:rPr>
          <w:szCs w:val="25"/>
        </w:rPr>
        <w:t xml:space="preserve"> </w:t>
      </w:r>
      <w:r w:rsidR="0018433B">
        <w:rPr>
          <w:szCs w:val="25"/>
        </w:rPr>
        <w:t>(</w:t>
      </w:r>
      <w:proofErr w:type="spellStart"/>
      <w:r w:rsidR="00E20A50">
        <w:rPr>
          <w:szCs w:val="25"/>
        </w:rPr>
        <w:t>τυφλοί</w:t>
      </w:r>
      <w:proofErr w:type="spellEnd"/>
      <w:r w:rsidR="0018433B" w:rsidRPr="00BC3F72">
        <w:rPr>
          <w:szCs w:val="25"/>
        </w:rPr>
        <w:t>)</w:t>
      </w:r>
      <w:r w:rsidR="0018433B" w:rsidRPr="00F624D6">
        <w:rPr>
          <w:szCs w:val="25"/>
        </w:rPr>
        <w:t>—</w:t>
      </w:r>
      <w:r w:rsidR="0018433B" w:rsidRPr="00BC3F72">
        <w:rPr>
          <w:szCs w:val="25"/>
        </w:rPr>
        <w:t>hardly a title the Pharisees would choose for themselves. Nor does Paul’s phrase in Rom 2:19a</w:t>
      </w:r>
      <w:r w:rsidR="006F304D" w:rsidRPr="006F304D">
        <w:rPr>
          <w:szCs w:val="25"/>
        </w:rPr>
        <w:t xml:space="preserve">, </w:t>
      </w:r>
      <w:r w:rsidR="0018433B" w:rsidRPr="00BC3F72">
        <w:rPr>
          <w:szCs w:val="25"/>
        </w:rPr>
        <w:t>“guide to the blind,” demonstrate that the Pharisees labeled themselves in this way: since the four instances of the logion in the gospels suggests that “blind guides” for the Pharisees was something of a common</w:t>
      </w:r>
      <w:r w:rsidR="0018433B" w:rsidRPr="00BC3F72">
        <w:rPr>
          <w:szCs w:val="25"/>
        </w:rPr>
        <w:softHyphen/>
        <w:t>place in Christian tradition</w:t>
      </w:r>
      <w:r w:rsidR="006F304D" w:rsidRPr="006F304D">
        <w:rPr>
          <w:szCs w:val="25"/>
        </w:rPr>
        <w:t xml:space="preserve">, </w:t>
      </w:r>
      <w:r w:rsidR="0018433B" w:rsidRPr="00BC3F72">
        <w:rPr>
          <w:szCs w:val="25"/>
        </w:rPr>
        <w:t xml:space="preserve">Paul may have </w:t>
      </w:r>
      <w:r w:rsidR="00E20A50">
        <w:rPr>
          <w:szCs w:val="25"/>
        </w:rPr>
        <w:t xml:space="preserve">adopted </w:t>
      </w:r>
      <w:r w:rsidR="0018433B" w:rsidRPr="00BC3F72">
        <w:rPr>
          <w:szCs w:val="25"/>
        </w:rPr>
        <w:t xml:space="preserve">the </w:t>
      </w:r>
      <w:r w:rsidR="00E20A50">
        <w:rPr>
          <w:szCs w:val="25"/>
        </w:rPr>
        <w:t xml:space="preserve">derogatory </w:t>
      </w:r>
      <w:r w:rsidR="0018433B" w:rsidRPr="00BC3F72">
        <w:rPr>
          <w:szCs w:val="25"/>
        </w:rPr>
        <w:t>title from that source</w:t>
      </w:r>
      <w:r w:rsidR="00E20A50">
        <w:rPr>
          <w:szCs w:val="25"/>
        </w:rPr>
        <w:t xml:space="preserve"> and adapted it</w:t>
      </w:r>
      <w:r w:rsidR="0018433B" w:rsidRPr="00BC3F72">
        <w:rPr>
          <w:szCs w:val="25"/>
        </w:rPr>
        <w:t xml:space="preserve">. The context of </w:t>
      </w:r>
      <w:r w:rsidR="00E20A50">
        <w:rPr>
          <w:szCs w:val="25"/>
        </w:rPr>
        <w:t xml:space="preserve">the </w:t>
      </w:r>
      <w:r w:rsidR="0018433B" w:rsidRPr="00BC3F72">
        <w:rPr>
          <w:szCs w:val="25"/>
        </w:rPr>
        <w:t>phrase in Romans also argues against the idea that “guides of the blind” was a Pharisaic self-designation</w:t>
      </w:r>
      <w:r w:rsidR="006F304D" w:rsidRPr="006F304D">
        <w:rPr>
          <w:szCs w:val="25"/>
        </w:rPr>
        <w:t xml:space="preserve">, </w:t>
      </w:r>
      <w:r w:rsidR="0018433B" w:rsidRPr="00BC3F72">
        <w:rPr>
          <w:szCs w:val="25"/>
        </w:rPr>
        <w:t>for verses 19-20 read</w:t>
      </w:r>
      <w:r w:rsidR="006F304D" w:rsidRPr="006F304D">
        <w:rPr>
          <w:szCs w:val="25"/>
        </w:rPr>
        <w:t xml:space="preserve">, </w:t>
      </w:r>
      <w:r w:rsidR="0018433B" w:rsidRPr="00BC3F72">
        <w:rPr>
          <w:szCs w:val="25"/>
        </w:rPr>
        <w:t>“you are sure that you are a guide to the blind</w:t>
      </w:r>
      <w:r w:rsidR="006F304D" w:rsidRPr="006F304D">
        <w:rPr>
          <w:szCs w:val="25"/>
        </w:rPr>
        <w:t xml:space="preserve">, </w:t>
      </w:r>
      <w:r w:rsidR="0018433B" w:rsidRPr="00BC3F72">
        <w:rPr>
          <w:szCs w:val="25"/>
        </w:rPr>
        <w:t>a light to those who are in darkness</w:t>
      </w:r>
      <w:r w:rsidR="006F304D" w:rsidRPr="006F304D">
        <w:rPr>
          <w:szCs w:val="25"/>
        </w:rPr>
        <w:t xml:space="preserve">, </w:t>
      </w:r>
      <w:r w:rsidR="0018433B" w:rsidRPr="00BC3F72">
        <w:rPr>
          <w:szCs w:val="25"/>
        </w:rPr>
        <w:t>a corrector of the foolish</w:t>
      </w:r>
      <w:r w:rsidR="006F304D" w:rsidRPr="006F304D">
        <w:rPr>
          <w:szCs w:val="25"/>
        </w:rPr>
        <w:t xml:space="preserve">, </w:t>
      </w:r>
      <w:r w:rsidR="0018433B" w:rsidRPr="00BC3F72">
        <w:rPr>
          <w:szCs w:val="25"/>
        </w:rPr>
        <w:t xml:space="preserve">a teacher of children </w:t>
      </w:r>
      <w:r w:rsidR="00E20A50">
        <w:rPr>
          <w:szCs w:val="25"/>
        </w:rPr>
        <w:t xml:space="preserve">. . .” </w:t>
      </w:r>
      <w:r w:rsidR="0018433B" w:rsidRPr="00BC3F72">
        <w:rPr>
          <w:szCs w:val="25"/>
        </w:rPr>
        <w:t>Shall a self-appel</w:t>
      </w:r>
      <w:r w:rsidR="00E20A50">
        <w:rPr>
          <w:szCs w:val="25"/>
        </w:rPr>
        <w:t>l</w:t>
      </w:r>
      <w:r w:rsidR="0018433B" w:rsidRPr="00BC3F72">
        <w:rPr>
          <w:szCs w:val="25"/>
        </w:rPr>
        <w:t>ation</w:t>
      </w:r>
      <w:r w:rsidR="00E20A50">
        <w:rPr>
          <w:szCs w:val="25"/>
        </w:rPr>
        <w:t xml:space="preserve"> </w:t>
      </w:r>
      <w:r w:rsidR="0018433B" w:rsidRPr="00BC3F72">
        <w:rPr>
          <w:szCs w:val="25"/>
        </w:rPr>
        <w:t>of the Pharisees be seen in each of these phrases? It is more likely that a reference to the Pharisees is being read into Luke’s verses. The situation is analogous to the process in text criticism called “assimilation,” that is</w:t>
      </w:r>
      <w:r w:rsidR="006F304D" w:rsidRPr="006F304D">
        <w:rPr>
          <w:szCs w:val="25"/>
        </w:rPr>
        <w:t xml:space="preserve">, </w:t>
      </w:r>
      <w:r w:rsidR="0018433B" w:rsidRPr="00BC3F72">
        <w:rPr>
          <w:szCs w:val="25"/>
        </w:rPr>
        <w:t>the alteration of one gospel text to make it identical to its parallel in another gospel.</w:t>
      </w:r>
      <w:r w:rsidR="00084A25">
        <w:rPr>
          <w:rStyle w:val="FootnoteReference"/>
          <w:szCs w:val="25"/>
        </w:rPr>
        <w:footnoteReference w:id="637"/>
      </w:r>
      <w:r w:rsidR="00775F9B" w:rsidRPr="00775F9B">
        <w:rPr>
          <w:iCs/>
          <w:szCs w:val="25"/>
        </w:rPr>
        <w:t xml:space="preserve"> </w:t>
      </w:r>
      <w:r w:rsidR="0018433B" w:rsidRPr="00BC3F72">
        <w:rPr>
          <w:szCs w:val="25"/>
        </w:rPr>
        <w:t>Here</w:t>
      </w:r>
      <w:r w:rsidR="006F304D" w:rsidRPr="006F304D">
        <w:rPr>
          <w:szCs w:val="25"/>
        </w:rPr>
        <w:t xml:space="preserve">, </w:t>
      </w:r>
      <w:r w:rsidR="0018433B" w:rsidRPr="00BC3F72">
        <w:rPr>
          <w:szCs w:val="25"/>
        </w:rPr>
        <w:t xml:space="preserve">the </w:t>
      </w:r>
      <w:r w:rsidR="0018433B" w:rsidRPr="00BC3F72">
        <w:rPr>
          <w:i/>
          <w:iCs/>
          <w:szCs w:val="25"/>
        </w:rPr>
        <w:t>understanding</w:t>
      </w:r>
      <w:r w:rsidR="0018433B" w:rsidRPr="00E20A50">
        <w:rPr>
          <w:szCs w:val="25"/>
        </w:rPr>
        <w:t xml:space="preserve"> </w:t>
      </w:r>
      <w:r w:rsidR="0018433B" w:rsidRPr="00BC3F72">
        <w:rPr>
          <w:szCs w:val="25"/>
        </w:rPr>
        <w:t>of the text of Luke 6:39-40 is made to conform to that of its parallels in Matthew 15:14 and 23:16</w:t>
      </w:r>
      <w:r w:rsidR="006F304D" w:rsidRPr="006F304D">
        <w:rPr>
          <w:szCs w:val="25"/>
        </w:rPr>
        <w:t xml:space="preserve">, </w:t>
      </w:r>
      <w:r w:rsidR="0018433B" w:rsidRPr="00BC3F72">
        <w:rPr>
          <w:szCs w:val="25"/>
        </w:rPr>
        <w:t>24.</w:t>
      </w:r>
    </w:p>
    <w:p w14:paraId="7E40D65E" w14:textId="7B7914CC" w:rsidR="0018433B" w:rsidRPr="00BC3F72" w:rsidRDefault="00084A25" w:rsidP="0018433B">
      <w:pPr>
        <w:pStyle w:val="Style"/>
        <w:widowControl/>
        <w:jc w:val="both"/>
        <w:textAlignment w:val="baseline"/>
        <w:rPr>
          <w:szCs w:val="25"/>
        </w:rPr>
      </w:pPr>
      <w:r>
        <w:rPr>
          <w:szCs w:val="25"/>
        </w:rPr>
        <w:lastRenderedPageBreak/>
        <w:tab/>
      </w:r>
      <w:r w:rsidR="0018433B" w:rsidRPr="00BC3F72">
        <w:rPr>
          <w:szCs w:val="25"/>
        </w:rPr>
        <w:t xml:space="preserve">Another explanation of the </w:t>
      </w:r>
      <w:r>
        <w:rPr>
          <w:szCs w:val="25"/>
        </w:rPr>
        <w:t>“</w:t>
      </w:r>
      <w:r w:rsidR="0018433B" w:rsidRPr="00BC3F72">
        <w:rPr>
          <w:szCs w:val="25"/>
        </w:rPr>
        <w:t>blind man</w:t>
      </w:r>
      <w:r>
        <w:rPr>
          <w:szCs w:val="25"/>
        </w:rPr>
        <w:t>”</w:t>
      </w:r>
      <w:r w:rsidR="0018433B" w:rsidRPr="00BC3F72">
        <w:rPr>
          <w:szCs w:val="25"/>
        </w:rPr>
        <w:t xml:space="preserve"> in 39 is to see in him</w:t>
      </w:r>
      <w:r w:rsidR="006F304D" w:rsidRPr="006F304D">
        <w:rPr>
          <w:szCs w:val="25"/>
        </w:rPr>
        <w:t xml:space="preserve">, </w:t>
      </w:r>
      <w:r w:rsidR="0018433B" w:rsidRPr="00BC3F72">
        <w:rPr>
          <w:szCs w:val="25"/>
        </w:rPr>
        <w:t>not a false Jewish teacher</w:t>
      </w:r>
      <w:r w:rsidR="006F304D" w:rsidRPr="006F304D">
        <w:rPr>
          <w:szCs w:val="25"/>
        </w:rPr>
        <w:t xml:space="preserve">, </w:t>
      </w:r>
      <w:r w:rsidR="0018433B" w:rsidRPr="00BC3F72">
        <w:rPr>
          <w:szCs w:val="25"/>
        </w:rPr>
        <w:t xml:space="preserve">but a false Christian teacher. </w:t>
      </w:r>
      <w:proofErr w:type="spellStart"/>
      <w:r w:rsidR="0018433B" w:rsidRPr="00BC3F72">
        <w:rPr>
          <w:szCs w:val="25"/>
        </w:rPr>
        <w:t>Fitzmyer</w:t>
      </w:r>
      <w:proofErr w:type="spellEnd"/>
      <w:r w:rsidR="0018433B" w:rsidRPr="00BC3F72">
        <w:rPr>
          <w:szCs w:val="25"/>
        </w:rPr>
        <w:t xml:space="preserve"> is </w:t>
      </w:r>
      <w:r>
        <w:rPr>
          <w:szCs w:val="25"/>
        </w:rPr>
        <w:t>a</w:t>
      </w:r>
      <w:r w:rsidR="0018433B" w:rsidRPr="00BC3F72">
        <w:rPr>
          <w:szCs w:val="25"/>
        </w:rPr>
        <w:t xml:space="preserve"> principal exponent of this interpretation: he thinks that 39-40 are “aimed at some form of false-teaching in the early Christian community.</w:t>
      </w:r>
      <w:r>
        <w:rPr>
          <w:szCs w:val="25"/>
        </w:rPr>
        <w:t>”</w:t>
      </w:r>
      <w:r>
        <w:rPr>
          <w:rStyle w:val="FootnoteReference"/>
          <w:szCs w:val="25"/>
        </w:rPr>
        <w:footnoteReference w:id="638"/>
      </w:r>
      <w:r w:rsidR="00775F9B" w:rsidRPr="00775F9B">
        <w:rPr>
          <w:iCs/>
          <w:szCs w:val="25"/>
        </w:rPr>
        <w:t xml:space="preserve"> </w:t>
      </w:r>
      <w:r w:rsidR="0018433B" w:rsidRPr="00BC3F72">
        <w:rPr>
          <w:szCs w:val="25"/>
        </w:rPr>
        <w:t>His reasons</w:t>
      </w:r>
      <w:r w:rsidR="006F304D" w:rsidRPr="006F304D">
        <w:rPr>
          <w:szCs w:val="25"/>
        </w:rPr>
        <w:t xml:space="preserve">, </w:t>
      </w:r>
      <w:r w:rsidR="0018433B" w:rsidRPr="00BC3F72">
        <w:rPr>
          <w:szCs w:val="25"/>
        </w:rPr>
        <w:t>though threefold</w:t>
      </w:r>
      <w:r w:rsidR="006F304D" w:rsidRPr="006F304D">
        <w:rPr>
          <w:szCs w:val="25"/>
        </w:rPr>
        <w:t xml:space="preserve">, </w:t>
      </w:r>
      <w:r w:rsidR="0018433B" w:rsidRPr="00BC3F72">
        <w:rPr>
          <w:szCs w:val="25"/>
        </w:rPr>
        <w:t>are not</w:t>
      </w:r>
      <w:r w:rsidR="006F304D" w:rsidRPr="006F304D">
        <w:rPr>
          <w:szCs w:val="25"/>
        </w:rPr>
        <w:t xml:space="preserve">, </w:t>
      </w:r>
      <w:r w:rsidR="0018433B" w:rsidRPr="00BC3F72">
        <w:rPr>
          <w:szCs w:val="25"/>
        </w:rPr>
        <w:t>in my</w:t>
      </w:r>
      <w:r w:rsidR="00E20A50">
        <w:rPr>
          <w:szCs w:val="25"/>
        </w:rPr>
        <w:t xml:space="preserve"> </w:t>
      </w:r>
      <w:r w:rsidR="0018433B" w:rsidRPr="00BC3F72">
        <w:rPr>
          <w:szCs w:val="25"/>
        </w:rPr>
        <w:t>estimation</w:t>
      </w:r>
      <w:r w:rsidR="006F304D" w:rsidRPr="006F304D">
        <w:rPr>
          <w:szCs w:val="25"/>
        </w:rPr>
        <w:t xml:space="preserve">, </w:t>
      </w:r>
      <w:r w:rsidR="0018433B" w:rsidRPr="00BC3F72">
        <w:rPr>
          <w:szCs w:val="25"/>
        </w:rPr>
        <w:t>convincing.</w:t>
      </w:r>
    </w:p>
    <w:p w14:paraId="186CCE49" w14:textId="7EA6D7B1" w:rsidR="0018433B" w:rsidRPr="00BC3F72" w:rsidRDefault="00084A25" w:rsidP="0018433B">
      <w:pPr>
        <w:pStyle w:val="Style"/>
        <w:widowControl/>
        <w:jc w:val="both"/>
        <w:textAlignment w:val="baseline"/>
        <w:rPr>
          <w:szCs w:val="25"/>
        </w:rPr>
      </w:pPr>
      <w:r>
        <w:rPr>
          <w:szCs w:val="25"/>
        </w:rPr>
        <w:tab/>
      </w:r>
      <w:r w:rsidR="0018433B" w:rsidRPr="00BC3F72">
        <w:rPr>
          <w:szCs w:val="25"/>
        </w:rPr>
        <w:t>First</w:t>
      </w:r>
      <w:r w:rsidR="006F304D" w:rsidRPr="006F304D">
        <w:rPr>
          <w:szCs w:val="25"/>
        </w:rPr>
        <w:t xml:space="preserve">, </w:t>
      </w:r>
      <w:proofErr w:type="spellStart"/>
      <w:r w:rsidR="0018433B" w:rsidRPr="00BC3F72">
        <w:rPr>
          <w:szCs w:val="25"/>
        </w:rPr>
        <w:t>Fitzmyer</w:t>
      </w:r>
      <w:proofErr w:type="spellEnd"/>
      <w:r w:rsidR="0018433B" w:rsidRPr="00BC3F72">
        <w:rPr>
          <w:szCs w:val="25"/>
        </w:rPr>
        <w:t xml:space="preserve"> cites Acts 20:29-30</w:t>
      </w:r>
      <w:r w:rsidR="006F304D" w:rsidRPr="006F304D">
        <w:rPr>
          <w:szCs w:val="25"/>
        </w:rPr>
        <w:t xml:space="preserve">, </w:t>
      </w:r>
      <w:r w:rsidR="0018433B" w:rsidRPr="00BC3F72">
        <w:rPr>
          <w:szCs w:val="25"/>
        </w:rPr>
        <w:t>where Paul says to the Ephesian elders</w:t>
      </w:r>
      <w:r w:rsidR="006F304D" w:rsidRPr="006F304D">
        <w:rPr>
          <w:szCs w:val="25"/>
        </w:rPr>
        <w:t xml:space="preserve">, </w:t>
      </w:r>
      <w:r>
        <w:rPr>
          <w:szCs w:val="25"/>
        </w:rPr>
        <w:t>“I</w:t>
      </w:r>
      <w:r w:rsidR="0018433B" w:rsidRPr="00BC3F72">
        <w:rPr>
          <w:szCs w:val="25"/>
        </w:rPr>
        <w:t xml:space="preserve"> know that after my departure fierce wolves will come in among you</w:t>
      </w:r>
      <w:r w:rsidR="006F304D" w:rsidRPr="006F304D">
        <w:rPr>
          <w:szCs w:val="25"/>
        </w:rPr>
        <w:t xml:space="preserve">, </w:t>
      </w:r>
      <w:r w:rsidR="0018433B" w:rsidRPr="00BC3F72">
        <w:rPr>
          <w:szCs w:val="25"/>
        </w:rPr>
        <w:t xml:space="preserve">not sparing the flock; </w:t>
      </w:r>
      <w:r w:rsidR="0018433B" w:rsidRPr="00BC3F72">
        <w:rPr>
          <w:szCs w:val="25"/>
          <w:vertAlign w:val="superscript"/>
        </w:rPr>
        <w:t>30</w:t>
      </w:r>
      <w:r>
        <w:rPr>
          <w:szCs w:val="25"/>
        </w:rPr>
        <w:t xml:space="preserve"> a</w:t>
      </w:r>
      <w:r w:rsidR="0018433B" w:rsidRPr="00BC3F72">
        <w:rPr>
          <w:szCs w:val="25"/>
        </w:rPr>
        <w:t xml:space="preserve">nd from among your own selves </w:t>
      </w:r>
      <w:r w:rsidR="0018433B" w:rsidRPr="00BC3F72">
        <w:rPr>
          <w:szCs w:val="22"/>
        </w:rPr>
        <w:t xml:space="preserve">will </w:t>
      </w:r>
      <w:r w:rsidR="0018433B" w:rsidRPr="00BC3F72">
        <w:rPr>
          <w:szCs w:val="25"/>
        </w:rPr>
        <w:t>arise men speaking perverse things</w:t>
      </w:r>
      <w:r w:rsidR="006F304D" w:rsidRPr="006F304D">
        <w:rPr>
          <w:szCs w:val="25"/>
        </w:rPr>
        <w:t xml:space="preserve">, </w:t>
      </w:r>
      <w:r w:rsidR="0018433B" w:rsidRPr="00BC3F72">
        <w:rPr>
          <w:szCs w:val="25"/>
        </w:rPr>
        <w:t>to draw away the disciples after them.</w:t>
      </w:r>
      <w:r>
        <w:rPr>
          <w:szCs w:val="25"/>
        </w:rPr>
        <w:t>”</w:t>
      </w:r>
      <w:r>
        <w:rPr>
          <w:rStyle w:val="FootnoteReference"/>
          <w:szCs w:val="25"/>
        </w:rPr>
        <w:footnoteReference w:id="639"/>
      </w:r>
      <w:r w:rsidR="00775F9B" w:rsidRPr="00775F9B">
        <w:rPr>
          <w:iCs/>
        </w:rPr>
        <w:t xml:space="preserve"> </w:t>
      </w:r>
      <w:r w:rsidR="0018433B" w:rsidRPr="00BC3F72">
        <w:t xml:space="preserve">As </w:t>
      </w:r>
      <w:r w:rsidR="0018433B" w:rsidRPr="00BC3F72">
        <w:rPr>
          <w:szCs w:val="25"/>
        </w:rPr>
        <w:t xml:space="preserve">we have already seen in considering </w:t>
      </w:r>
      <w:r w:rsidR="0018433B">
        <w:rPr>
          <w:szCs w:val="25"/>
        </w:rPr>
        <w:t>Schürmann</w:t>
      </w:r>
      <w:r w:rsidR="0018433B" w:rsidRPr="00BC3F72">
        <w:rPr>
          <w:szCs w:val="25"/>
        </w:rPr>
        <w:t>’s use of this citation</w:t>
      </w:r>
      <w:r w:rsidR="006F304D" w:rsidRPr="006F304D">
        <w:rPr>
          <w:szCs w:val="25"/>
        </w:rPr>
        <w:t xml:space="preserve">, </w:t>
      </w:r>
      <w:r w:rsidR="0018433B" w:rsidRPr="00BC3F72">
        <w:rPr>
          <w:szCs w:val="25"/>
        </w:rPr>
        <w:t>it is unlikely that Luke intended any connection between two verses toward the beginning of Luke and two verses toward the end of Acts</w:t>
      </w:r>
      <w:r w:rsidR="006F304D" w:rsidRPr="006F304D">
        <w:rPr>
          <w:szCs w:val="25"/>
        </w:rPr>
        <w:t xml:space="preserve">, </w:t>
      </w:r>
      <w:r w:rsidR="0018433B" w:rsidRPr="00BC3F72">
        <w:rPr>
          <w:szCs w:val="25"/>
        </w:rPr>
        <w:t>especially since there are no other explicit references to false teachers in Luke</w:t>
      </w:r>
      <w:r>
        <w:rPr>
          <w:szCs w:val="25"/>
        </w:rPr>
        <w:t>-</w:t>
      </w:r>
      <w:r w:rsidR="0018433B" w:rsidRPr="00BC3F72">
        <w:rPr>
          <w:szCs w:val="25"/>
        </w:rPr>
        <w:t>Acts.</w:t>
      </w:r>
      <w:r>
        <w:rPr>
          <w:rStyle w:val="FootnoteReference"/>
          <w:szCs w:val="25"/>
        </w:rPr>
        <w:footnoteReference w:id="640"/>
      </w:r>
    </w:p>
    <w:p w14:paraId="21327CFF" w14:textId="0735FBF4" w:rsidR="0018433B" w:rsidRPr="00084A25" w:rsidRDefault="00084A25" w:rsidP="0018433B">
      <w:pPr>
        <w:pStyle w:val="Style"/>
        <w:widowControl/>
        <w:jc w:val="both"/>
        <w:textAlignment w:val="baseline"/>
        <w:rPr>
          <w:szCs w:val="25"/>
        </w:rPr>
      </w:pPr>
      <w:r>
        <w:rPr>
          <w:szCs w:val="25"/>
        </w:rPr>
        <w:tab/>
      </w:r>
      <w:r w:rsidR="0018433B" w:rsidRPr="00BC3F72">
        <w:rPr>
          <w:szCs w:val="25"/>
        </w:rPr>
        <w:t>Second</w:t>
      </w:r>
      <w:r w:rsidR="006F304D" w:rsidRPr="006F304D">
        <w:rPr>
          <w:szCs w:val="25"/>
        </w:rPr>
        <w:t xml:space="preserve">, </w:t>
      </w:r>
      <w:r w:rsidR="0018433B" w:rsidRPr="00BC3F72">
        <w:rPr>
          <w:szCs w:val="25"/>
        </w:rPr>
        <w:t xml:space="preserve">though </w:t>
      </w:r>
      <w:proofErr w:type="spellStart"/>
      <w:r w:rsidR="0018433B" w:rsidRPr="00BC3F72">
        <w:rPr>
          <w:szCs w:val="25"/>
        </w:rPr>
        <w:t>Fitzmyer</w:t>
      </w:r>
      <w:proofErr w:type="spellEnd"/>
      <w:r w:rsidR="0018433B" w:rsidRPr="00BC3F72">
        <w:rPr>
          <w:szCs w:val="25"/>
        </w:rPr>
        <w:t xml:space="preserve"> acknowledges that verse 39</w:t>
      </w:r>
      <w:r w:rsidR="006F304D" w:rsidRPr="006F304D">
        <w:rPr>
          <w:szCs w:val="25"/>
        </w:rPr>
        <w:t xml:space="preserve">, </w:t>
      </w:r>
      <w:r w:rsidR="0018433B" w:rsidRPr="00BC3F72">
        <w:rPr>
          <w:szCs w:val="25"/>
        </w:rPr>
        <w:t>the blind leading the blind</w:t>
      </w:r>
      <w:r w:rsidR="006F304D" w:rsidRPr="006F304D">
        <w:rPr>
          <w:szCs w:val="25"/>
        </w:rPr>
        <w:t xml:space="preserve">, </w:t>
      </w:r>
      <w:r w:rsidR="0018433B" w:rsidRPr="00BC3F72">
        <w:rPr>
          <w:i/>
          <w:iCs/>
          <w:szCs w:val="26"/>
        </w:rPr>
        <w:t>can</w:t>
      </w:r>
      <w:r w:rsidR="0018433B" w:rsidRPr="0052235D">
        <w:rPr>
          <w:szCs w:val="25"/>
        </w:rPr>
        <w:t xml:space="preserve"> </w:t>
      </w:r>
      <w:r w:rsidR="0018433B" w:rsidRPr="00BC3F72">
        <w:rPr>
          <w:szCs w:val="25"/>
        </w:rPr>
        <w:t>refer to the disciples</w:t>
      </w:r>
      <w:r w:rsidR="006F304D" w:rsidRPr="006F304D">
        <w:rPr>
          <w:szCs w:val="25"/>
        </w:rPr>
        <w:t xml:space="preserve">, </w:t>
      </w:r>
      <w:r w:rsidR="0018433B" w:rsidRPr="00BC3F72">
        <w:rPr>
          <w:szCs w:val="25"/>
        </w:rPr>
        <w:t>since they themselves will someday be leaders</w:t>
      </w:r>
      <w:r w:rsidR="006F304D" w:rsidRPr="006F304D">
        <w:rPr>
          <w:szCs w:val="25"/>
        </w:rPr>
        <w:t>,</w:t>
      </w:r>
      <w:r w:rsidR="0052235D">
        <w:rPr>
          <w:rStyle w:val="FootnoteReference"/>
          <w:szCs w:val="25"/>
        </w:rPr>
        <w:footnoteReference w:id="641"/>
      </w:r>
      <w:r w:rsidR="00775F9B" w:rsidRPr="00775F9B">
        <w:rPr>
          <w:iCs/>
          <w:szCs w:val="25"/>
        </w:rPr>
        <w:t xml:space="preserve"> </w:t>
      </w:r>
      <w:r w:rsidR="0018433B" w:rsidRPr="00BC3F72">
        <w:rPr>
          <w:szCs w:val="25"/>
        </w:rPr>
        <w:t xml:space="preserve">he claims that </w:t>
      </w:r>
      <w:r w:rsidR="0052235D">
        <w:rPr>
          <w:szCs w:val="25"/>
        </w:rPr>
        <w:t>“</w:t>
      </w:r>
      <w:r w:rsidR="0018433B" w:rsidRPr="00BC3F72">
        <w:rPr>
          <w:szCs w:val="25"/>
        </w:rPr>
        <w:t>the collocation of this verse with the following</w:t>
      </w:r>
      <w:r w:rsidR="006F304D" w:rsidRPr="006F304D">
        <w:rPr>
          <w:szCs w:val="25"/>
        </w:rPr>
        <w:t xml:space="preserve">, </w:t>
      </w:r>
      <w:r w:rsidR="0018433B" w:rsidRPr="00BC3F72">
        <w:rPr>
          <w:szCs w:val="25"/>
        </w:rPr>
        <w:t>and the connection between ‘the blind’ and ‘leaders’ with ‘pupils’ and ‘teachers’ seems to suggest that more is involved</w:t>
      </w:r>
      <w:r w:rsidR="006F304D" w:rsidRPr="006F304D">
        <w:rPr>
          <w:szCs w:val="25"/>
        </w:rPr>
        <w:t xml:space="preserve">, </w:t>
      </w:r>
      <w:r w:rsidR="0018433B" w:rsidRPr="00BC3F72">
        <w:rPr>
          <w:szCs w:val="25"/>
        </w:rPr>
        <w:t>i.e. a reference to false teachers.</w:t>
      </w:r>
      <w:r w:rsidR="0052235D">
        <w:rPr>
          <w:szCs w:val="25"/>
        </w:rPr>
        <w:t>”</w:t>
      </w:r>
      <w:r w:rsidR="0052235D">
        <w:rPr>
          <w:rStyle w:val="FootnoteReference"/>
          <w:szCs w:val="25"/>
        </w:rPr>
        <w:footnoteReference w:id="642"/>
      </w:r>
    </w:p>
    <w:p w14:paraId="4E35FE0C" w14:textId="3D29ADC8" w:rsidR="0018433B" w:rsidRDefault="0052235D" w:rsidP="0018433B">
      <w:pPr>
        <w:pStyle w:val="Style"/>
        <w:widowControl/>
        <w:jc w:val="both"/>
        <w:textAlignment w:val="baseline"/>
        <w:rPr>
          <w:szCs w:val="25"/>
        </w:rPr>
      </w:pPr>
      <w:r>
        <w:rPr>
          <w:szCs w:val="25"/>
        </w:rPr>
        <w:tab/>
      </w:r>
      <w:r w:rsidR="0018433B" w:rsidRPr="00BC3F72">
        <w:rPr>
          <w:szCs w:val="25"/>
        </w:rPr>
        <w:t xml:space="preserve">Yet </w:t>
      </w:r>
      <w:proofErr w:type="spellStart"/>
      <w:r w:rsidR="0018433B" w:rsidRPr="00BC3F72">
        <w:rPr>
          <w:szCs w:val="25"/>
        </w:rPr>
        <w:t>Fitzmyer</w:t>
      </w:r>
      <w:proofErr w:type="spellEnd"/>
      <w:r w:rsidR="0018433B" w:rsidRPr="00BC3F72">
        <w:rPr>
          <w:szCs w:val="25"/>
        </w:rPr>
        <w:t xml:space="preserve"> equivocates concerning the extent to which </w:t>
      </w:r>
      <w:r>
        <w:rPr>
          <w:szCs w:val="25"/>
        </w:rPr>
        <w:t>“</w:t>
      </w:r>
      <w:r w:rsidR="0018433B" w:rsidRPr="00BC3F72">
        <w:rPr>
          <w:szCs w:val="25"/>
        </w:rPr>
        <w:t>pupils</w:t>
      </w:r>
      <w:r>
        <w:rPr>
          <w:szCs w:val="25"/>
        </w:rPr>
        <w:t>”</w:t>
      </w:r>
      <w:r w:rsidR="0018433B" w:rsidRPr="00BC3F72">
        <w:rPr>
          <w:szCs w:val="25"/>
        </w:rPr>
        <w:t xml:space="preserve"> and </w:t>
      </w:r>
      <w:r>
        <w:rPr>
          <w:szCs w:val="25"/>
        </w:rPr>
        <w:t>“</w:t>
      </w:r>
      <w:r w:rsidR="0018433B" w:rsidRPr="00BC3F72">
        <w:rPr>
          <w:szCs w:val="25"/>
        </w:rPr>
        <w:t>teachers” in verse 40 refer to false teachers. Both 39b and 39c</w:t>
      </w:r>
      <w:r w:rsidR="006F304D" w:rsidRPr="006F304D">
        <w:rPr>
          <w:szCs w:val="25"/>
        </w:rPr>
        <w:t xml:space="preserve">, </w:t>
      </w:r>
      <w:r w:rsidR="0018433B" w:rsidRPr="00BC3F72">
        <w:rPr>
          <w:szCs w:val="25"/>
        </w:rPr>
        <w:t>he feels certain</w:t>
      </w:r>
      <w:r w:rsidR="006F304D" w:rsidRPr="006F304D">
        <w:rPr>
          <w:szCs w:val="25"/>
        </w:rPr>
        <w:t xml:space="preserve">, </w:t>
      </w:r>
      <w:r w:rsidR="0018433B" w:rsidRPr="00BC3F72">
        <w:rPr>
          <w:szCs w:val="25"/>
        </w:rPr>
        <w:t xml:space="preserve">refer to false Christian leaders; but he differentiates the </w:t>
      </w:r>
      <w:r>
        <w:rPr>
          <w:szCs w:val="25"/>
        </w:rPr>
        <w:t>“</w:t>
      </w:r>
      <w:r w:rsidR="0018433B" w:rsidRPr="00BC3F72">
        <w:rPr>
          <w:szCs w:val="25"/>
        </w:rPr>
        <w:t>teacher” in 40a from the “teacher” in 40b. Here is his translation of 39b-40.</w:t>
      </w:r>
    </w:p>
    <w:p w14:paraId="3220DAC0" w14:textId="77777777" w:rsidR="0052235D" w:rsidRPr="00BC3F72" w:rsidRDefault="0052235D" w:rsidP="0018433B">
      <w:pPr>
        <w:pStyle w:val="Style"/>
        <w:widowControl/>
        <w:jc w:val="both"/>
        <w:textAlignment w:val="baseline"/>
        <w:rPr>
          <w:szCs w:val="25"/>
        </w:rPr>
      </w:pPr>
    </w:p>
    <w:p w14:paraId="085FFBD8" w14:textId="7EFD0E6A" w:rsidR="0018433B" w:rsidRPr="00BC3F72" w:rsidRDefault="0052235D" w:rsidP="0018433B">
      <w:pPr>
        <w:pStyle w:val="Style"/>
        <w:widowControl/>
        <w:jc w:val="both"/>
        <w:textAlignment w:val="baseline"/>
        <w:rPr>
          <w:szCs w:val="25"/>
        </w:rPr>
      </w:pPr>
      <w:r>
        <w:rPr>
          <w:szCs w:val="25"/>
        </w:rPr>
        <w:tab/>
      </w:r>
      <w:r w:rsidR="0018433B" w:rsidRPr="00BC3F72">
        <w:rPr>
          <w:szCs w:val="25"/>
        </w:rPr>
        <w:t>39b Can the blind lead the blind?</w:t>
      </w:r>
    </w:p>
    <w:p w14:paraId="654D3F38" w14:textId="62E6F845" w:rsidR="0018433B" w:rsidRPr="00BC3F72" w:rsidRDefault="0052235D" w:rsidP="0018433B">
      <w:pPr>
        <w:pStyle w:val="Style"/>
        <w:widowControl/>
        <w:jc w:val="both"/>
        <w:textAlignment w:val="baseline"/>
        <w:rPr>
          <w:szCs w:val="25"/>
        </w:rPr>
      </w:pPr>
      <w:r>
        <w:rPr>
          <w:szCs w:val="25"/>
        </w:rPr>
        <w:tab/>
      </w:r>
      <w:r w:rsidR="0018433B" w:rsidRPr="00BC3F72">
        <w:rPr>
          <w:szCs w:val="25"/>
        </w:rPr>
        <w:t>39c Will not both of them fall into a ditch? 40a Is a pupil superior to his teacher?</w:t>
      </w:r>
    </w:p>
    <w:p w14:paraId="2EA9B166" w14:textId="682AF46C" w:rsidR="0018433B" w:rsidRPr="0052235D" w:rsidRDefault="0052235D" w:rsidP="0018433B">
      <w:pPr>
        <w:pStyle w:val="Style"/>
        <w:widowControl/>
        <w:jc w:val="both"/>
        <w:textAlignment w:val="baseline"/>
        <w:rPr>
          <w:szCs w:val="25"/>
        </w:rPr>
      </w:pPr>
      <w:r>
        <w:rPr>
          <w:szCs w:val="25"/>
        </w:rPr>
        <w:tab/>
      </w:r>
      <w:r w:rsidR="0018433B" w:rsidRPr="00BC3F72">
        <w:rPr>
          <w:szCs w:val="25"/>
        </w:rPr>
        <w:t>40b Rather</w:t>
      </w:r>
      <w:r w:rsidR="006F304D" w:rsidRPr="006F304D">
        <w:rPr>
          <w:szCs w:val="25"/>
        </w:rPr>
        <w:t xml:space="preserve">, </w:t>
      </w:r>
      <w:r w:rsidR="0018433B" w:rsidRPr="00BC3F72">
        <w:rPr>
          <w:szCs w:val="25"/>
        </w:rPr>
        <w:t>everyone who is fully schooled will someday be</w:t>
      </w:r>
      <w:r>
        <w:rPr>
          <w:szCs w:val="25"/>
        </w:rPr>
        <w:t xml:space="preserve"> </w:t>
      </w:r>
      <w:r w:rsidR="0018433B" w:rsidRPr="00BC3F72">
        <w:rPr>
          <w:szCs w:val="25"/>
        </w:rPr>
        <w:t>like his teacher.</w:t>
      </w:r>
      <w:r>
        <w:rPr>
          <w:rStyle w:val="FootnoteReference"/>
          <w:szCs w:val="25"/>
        </w:rPr>
        <w:footnoteReference w:id="643"/>
      </w:r>
    </w:p>
    <w:p w14:paraId="4715A07E" w14:textId="77777777" w:rsidR="0052235D" w:rsidRDefault="0052235D" w:rsidP="0018433B">
      <w:pPr>
        <w:pStyle w:val="Style"/>
        <w:widowControl/>
        <w:jc w:val="both"/>
        <w:textAlignment w:val="baseline"/>
        <w:rPr>
          <w:szCs w:val="25"/>
        </w:rPr>
      </w:pPr>
    </w:p>
    <w:p w14:paraId="3F075BAA" w14:textId="1E08DE90" w:rsidR="0018433B" w:rsidRPr="00BC3F72" w:rsidRDefault="0018433B" w:rsidP="0018433B">
      <w:pPr>
        <w:pStyle w:val="Style"/>
        <w:widowControl/>
        <w:jc w:val="both"/>
        <w:textAlignment w:val="baseline"/>
        <w:rPr>
          <w:szCs w:val="25"/>
        </w:rPr>
      </w:pPr>
      <w:r w:rsidRPr="00BC3F72">
        <w:rPr>
          <w:szCs w:val="25"/>
        </w:rPr>
        <w:t xml:space="preserve">Because </w:t>
      </w:r>
      <w:proofErr w:type="spellStart"/>
      <w:r w:rsidRPr="00BC3F72">
        <w:rPr>
          <w:szCs w:val="25"/>
        </w:rPr>
        <w:t>Fitzmyer</w:t>
      </w:r>
      <w:proofErr w:type="spellEnd"/>
      <w:r w:rsidRPr="00BC3F72">
        <w:rPr>
          <w:szCs w:val="25"/>
        </w:rPr>
        <w:t xml:space="preserve"> translates 40a as a rhetorical question</w:t>
      </w:r>
      <w:r w:rsidR="006F304D" w:rsidRPr="006F304D">
        <w:rPr>
          <w:szCs w:val="25"/>
        </w:rPr>
        <w:t xml:space="preserve">, </w:t>
      </w:r>
      <w:r w:rsidRPr="00BC3F72">
        <w:rPr>
          <w:szCs w:val="25"/>
        </w:rPr>
        <w:t>parallel to 39b and 39c</w:t>
      </w:r>
      <w:r w:rsidR="006F304D" w:rsidRPr="006F304D">
        <w:rPr>
          <w:szCs w:val="25"/>
        </w:rPr>
        <w:t xml:space="preserve">, </w:t>
      </w:r>
      <w:r w:rsidRPr="00BC3F72">
        <w:rPr>
          <w:szCs w:val="25"/>
        </w:rPr>
        <w:t xml:space="preserve">the </w:t>
      </w:r>
      <w:r w:rsidR="0052235D">
        <w:rPr>
          <w:szCs w:val="25"/>
        </w:rPr>
        <w:t>“</w:t>
      </w:r>
      <w:r w:rsidRPr="00BC3F72">
        <w:rPr>
          <w:szCs w:val="25"/>
        </w:rPr>
        <w:t>teacher</w:t>
      </w:r>
      <w:r w:rsidR="0052235D">
        <w:rPr>
          <w:szCs w:val="25"/>
        </w:rPr>
        <w:t>”</w:t>
      </w:r>
      <w:r w:rsidRPr="00BC3F72">
        <w:rPr>
          <w:rFonts w:eastAsia="Arial Unicode MS"/>
          <w:szCs w:val="15"/>
        </w:rPr>
        <w:t xml:space="preserve"> </w:t>
      </w:r>
      <w:r w:rsidRPr="00BC3F72">
        <w:rPr>
          <w:szCs w:val="25"/>
        </w:rPr>
        <w:t>in 40a refers to the same sort of individual as the blind man in 39bc.</w:t>
      </w:r>
      <w:r w:rsidR="0052235D">
        <w:rPr>
          <w:rStyle w:val="FootnoteReference"/>
          <w:szCs w:val="25"/>
        </w:rPr>
        <w:footnoteReference w:id="644"/>
      </w:r>
      <w:r w:rsidR="00775F9B" w:rsidRPr="00775F9B">
        <w:rPr>
          <w:iCs/>
          <w:szCs w:val="25"/>
        </w:rPr>
        <w:t xml:space="preserve"> </w:t>
      </w:r>
      <w:r w:rsidRPr="00BC3F72">
        <w:rPr>
          <w:szCs w:val="25"/>
        </w:rPr>
        <w:t>As a result</w:t>
      </w:r>
      <w:r w:rsidR="006F304D" w:rsidRPr="006F304D">
        <w:rPr>
          <w:szCs w:val="25"/>
        </w:rPr>
        <w:t xml:space="preserve">, </w:t>
      </w:r>
      <w:r w:rsidRPr="00BC3F72">
        <w:rPr>
          <w:szCs w:val="25"/>
        </w:rPr>
        <w:t>40a adheres to 39bc rather than to 40b: in 39b-40a</w:t>
      </w:r>
      <w:r w:rsidR="006F304D" w:rsidRPr="006F304D">
        <w:rPr>
          <w:szCs w:val="25"/>
        </w:rPr>
        <w:t xml:space="preserve">, </w:t>
      </w:r>
      <w:r w:rsidRPr="00BC3F72">
        <w:rPr>
          <w:szCs w:val="25"/>
        </w:rPr>
        <w:t xml:space="preserve">the “blind man” or </w:t>
      </w:r>
      <w:r w:rsidR="0052235D">
        <w:rPr>
          <w:szCs w:val="25"/>
        </w:rPr>
        <w:t>“</w:t>
      </w:r>
      <w:r w:rsidRPr="00BC3F72">
        <w:rPr>
          <w:szCs w:val="25"/>
        </w:rPr>
        <w:t>teacher</w:t>
      </w:r>
      <w:r w:rsidR="0052235D">
        <w:rPr>
          <w:szCs w:val="25"/>
        </w:rPr>
        <w:t>”</w:t>
      </w:r>
      <w:r w:rsidRPr="00BC3F72">
        <w:rPr>
          <w:szCs w:val="25"/>
        </w:rPr>
        <w:t xml:space="preserve"> is a false Christian teacher; in 40b</w:t>
      </w:r>
      <w:r w:rsidR="006F304D" w:rsidRPr="006F304D">
        <w:rPr>
          <w:szCs w:val="25"/>
        </w:rPr>
        <w:t xml:space="preserve">, </w:t>
      </w:r>
      <w:r w:rsidRPr="00BC3F72">
        <w:rPr>
          <w:szCs w:val="25"/>
        </w:rPr>
        <w:t>the “teacher” is</w:t>
      </w:r>
      <w:r w:rsidR="006F304D" w:rsidRPr="006F304D">
        <w:rPr>
          <w:szCs w:val="25"/>
        </w:rPr>
        <w:t xml:space="preserve">, </w:t>
      </w:r>
      <w:r w:rsidRPr="00BC3F72">
        <w:rPr>
          <w:szCs w:val="25"/>
        </w:rPr>
        <w:t>apparently</w:t>
      </w:r>
      <w:r w:rsidR="006F304D" w:rsidRPr="006F304D">
        <w:rPr>
          <w:szCs w:val="25"/>
        </w:rPr>
        <w:t xml:space="preserve">, </w:t>
      </w:r>
      <w:r w:rsidRPr="00BC3F72">
        <w:rPr>
          <w:szCs w:val="25"/>
        </w:rPr>
        <w:t>Jesus. The following quotation clarifies Fitzmyer’s position.</w:t>
      </w:r>
    </w:p>
    <w:p w14:paraId="508C49FA" w14:textId="77777777" w:rsidR="0052235D" w:rsidRDefault="0052235D" w:rsidP="0018433B">
      <w:pPr>
        <w:pStyle w:val="Style"/>
        <w:widowControl/>
        <w:jc w:val="both"/>
        <w:textAlignment w:val="baseline"/>
        <w:rPr>
          <w:szCs w:val="25"/>
        </w:rPr>
      </w:pPr>
    </w:p>
    <w:p w14:paraId="185458C9" w14:textId="4D3840F4" w:rsidR="0018433B" w:rsidRPr="00BC3F72" w:rsidRDefault="0018433B" w:rsidP="0052235D">
      <w:pPr>
        <w:pStyle w:val="Style"/>
        <w:widowControl/>
        <w:ind w:left="720" w:right="720"/>
        <w:jc w:val="both"/>
        <w:textAlignment w:val="baseline"/>
        <w:rPr>
          <w:szCs w:val="25"/>
        </w:rPr>
      </w:pPr>
      <w:r w:rsidRPr="00BC3F72">
        <w:rPr>
          <w:szCs w:val="25"/>
        </w:rPr>
        <w:t xml:space="preserve">Their [39-40’s] reference to the blind leading the blind [39bc] and to pupils superior to teachers </w:t>
      </w:r>
      <w:r>
        <w:rPr>
          <w:szCs w:val="25"/>
        </w:rPr>
        <w:t>[</w:t>
      </w:r>
      <w:r w:rsidRPr="00BC3F72">
        <w:rPr>
          <w:szCs w:val="25"/>
        </w:rPr>
        <w:t xml:space="preserve">40a] are probably aimed at some form of false-teaching in the early </w:t>
      </w:r>
      <w:r w:rsidRPr="00BC3F72">
        <w:rPr>
          <w:szCs w:val="25"/>
        </w:rPr>
        <w:lastRenderedPageBreak/>
        <w:t>Christian community. In contrast</w:t>
      </w:r>
      <w:r w:rsidR="006F304D" w:rsidRPr="006F304D">
        <w:rPr>
          <w:szCs w:val="25"/>
        </w:rPr>
        <w:t xml:space="preserve">, </w:t>
      </w:r>
      <w:r w:rsidRPr="00BC3F72">
        <w:rPr>
          <w:szCs w:val="25"/>
        </w:rPr>
        <w:t>the Lucan Jesus insists on disciples being “fully schooled” [40b]</w:t>
      </w:r>
      <w:r w:rsidR="0052235D">
        <w:rPr>
          <w:szCs w:val="25"/>
        </w:rPr>
        <w:t xml:space="preserve"> </w:t>
      </w:r>
      <w:r w:rsidRPr="00EE2A2F">
        <w:rPr>
          <w:szCs w:val="25"/>
        </w:rPr>
        <w:t>. . .</w:t>
      </w:r>
    </w:p>
    <w:p w14:paraId="3AFE6A13" w14:textId="77777777" w:rsidR="0052235D" w:rsidRDefault="0052235D" w:rsidP="0018433B">
      <w:pPr>
        <w:pStyle w:val="Style"/>
        <w:widowControl/>
        <w:jc w:val="both"/>
        <w:textAlignment w:val="baseline"/>
        <w:rPr>
          <w:szCs w:val="25"/>
        </w:rPr>
      </w:pPr>
    </w:p>
    <w:p w14:paraId="76DECA31" w14:textId="30FED356" w:rsidR="0018433B" w:rsidRPr="00BC3F72" w:rsidRDefault="0018433B" w:rsidP="0018433B">
      <w:pPr>
        <w:pStyle w:val="Style"/>
        <w:widowControl/>
        <w:jc w:val="both"/>
        <w:textAlignment w:val="baseline"/>
        <w:rPr>
          <w:szCs w:val="25"/>
        </w:rPr>
      </w:pPr>
      <w:r w:rsidRPr="00BC3F72">
        <w:rPr>
          <w:szCs w:val="25"/>
        </w:rPr>
        <w:t>Needless to say</w:t>
      </w:r>
      <w:r w:rsidR="006F304D" w:rsidRPr="006F304D">
        <w:rPr>
          <w:szCs w:val="25"/>
        </w:rPr>
        <w:t xml:space="preserve">, </w:t>
      </w:r>
      <w:r w:rsidRPr="00BC3F72">
        <w:rPr>
          <w:szCs w:val="25"/>
        </w:rPr>
        <w:t>this hypothesis of discontinuity between the “teacher” in 40a and the teacher’ in 40b is</w:t>
      </w:r>
      <w:r w:rsidR="006F304D" w:rsidRPr="006F304D">
        <w:rPr>
          <w:szCs w:val="25"/>
        </w:rPr>
        <w:t xml:space="preserve">, </w:t>
      </w:r>
      <w:r w:rsidRPr="00BC3F72">
        <w:rPr>
          <w:szCs w:val="25"/>
        </w:rPr>
        <w:t>prima facie</w:t>
      </w:r>
      <w:r w:rsidR="006F304D" w:rsidRPr="006F304D">
        <w:rPr>
          <w:szCs w:val="25"/>
        </w:rPr>
        <w:t xml:space="preserve">, </w:t>
      </w:r>
      <w:r w:rsidRPr="00BC3F72">
        <w:rPr>
          <w:szCs w:val="25"/>
        </w:rPr>
        <w:t>doubtful. Its only true prop is the translation of 40a as a rhetorical question.</w:t>
      </w:r>
    </w:p>
    <w:p w14:paraId="3192808D" w14:textId="45A546CF" w:rsidR="0018433B" w:rsidRPr="00BC3F72" w:rsidRDefault="00D24C87" w:rsidP="0018433B">
      <w:pPr>
        <w:pStyle w:val="Style"/>
        <w:widowControl/>
        <w:jc w:val="both"/>
        <w:textAlignment w:val="baseline"/>
        <w:rPr>
          <w:szCs w:val="25"/>
        </w:rPr>
      </w:pPr>
      <w:r>
        <w:rPr>
          <w:szCs w:val="25"/>
        </w:rPr>
        <w:tab/>
      </w:r>
      <w:r w:rsidR="0018433B" w:rsidRPr="00BC3F72">
        <w:rPr>
          <w:szCs w:val="25"/>
        </w:rPr>
        <w:t>Verse 40a</w:t>
      </w:r>
      <w:r w:rsidR="006F304D" w:rsidRPr="006F304D">
        <w:rPr>
          <w:szCs w:val="25"/>
        </w:rPr>
        <w:t xml:space="preserve">, </w:t>
      </w:r>
      <w:r w:rsidR="0018433B" w:rsidRPr="00BC3F72">
        <w:rPr>
          <w:szCs w:val="25"/>
        </w:rPr>
        <w:t>as a rhetorical question</w:t>
      </w:r>
      <w:r w:rsidR="006F304D" w:rsidRPr="006F304D">
        <w:rPr>
          <w:szCs w:val="25"/>
        </w:rPr>
        <w:t xml:space="preserve">, </w:t>
      </w:r>
      <w:r w:rsidR="0018433B" w:rsidRPr="00BC3F72">
        <w:rPr>
          <w:szCs w:val="25"/>
        </w:rPr>
        <w:t>implies the same negative answer as the</w:t>
      </w:r>
      <w:r>
        <w:rPr>
          <w:szCs w:val="25"/>
        </w:rPr>
        <w:t xml:space="preserve"> </w:t>
      </w:r>
      <w:r w:rsidR="0018433B" w:rsidRPr="00BC3F72">
        <w:rPr>
          <w:szCs w:val="25"/>
        </w:rPr>
        <w:t>rhetorical question in 39b (“Can a blind man lead a blind man?”); hence</w:t>
      </w:r>
      <w:r w:rsidR="006F304D" w:rsidRPr="006F304D">
        <w:rPr>
          <w:szCs w:val="25"/>
        </w:rPr>
        <w:t xml:space="preserve">, </w:t>
      </w:r>
      <w:r w:rsidR="0018433B" w:rsidRPr="00BC3F72">
        <w:rPr>
          <w:szCs w:val="25"/>
        </w:rPr>
        <w:t>just as 39b</w:t>
      </w:r>
      <w:r>
        <w:rPr>
          <w:szCs w:val="25"/>
        </w:rPr>
        <w:t xml:space="preserve"> </w:t>
      </w:r>
      <w:r w:rsidR="0018433B" w:rsidRPr="00BC3F72">
        <w:rPr>
          <w:szCs w:val="25"/>
        </w:rPr>
        <w:t>refers to false teachers</w:t>
      </w:r>
      <w:r w:rsidR="006F304D" w:rsidRPr="006F304D">
        <w:rPr>
          <w:szCs w:val="25"/>
        </w:rPr>
        <w:t xml:space="preserve">, </w:t>
      </w:r>
      <w:r w:rsidR="0018433B" w:rsidRPr="00BC3F72">
        <w:rPr>
          <w:szCs w:val="25"/>
        </w:rPr>
        <w:t>so does 40a. Yet there is nothing in 40a to suggest that it is interrogative. The versicle reads</w:t>
      </w:r>
      <w:r w:rsidR="006F304D" w:rsidRPr="006F304D">
        <w:rPr>
          <w:szCs w:val="25"/>
        </w:rPr>
        <w:t xml:space="preserve">, </w:t>
      </w:r>
      <w:r w:rsidRPr="00CE06CA">
        <w:rPr>
          <w:bCs/>
          <w:szCs w:val="22"/>
          <w:lang w:val="el-GR"/>
        </w:rPr>
        <w:t>οὐκ ἔστιν μαθητὴς ὑπὲρ τὸν διδάσκαλον</w:t>
      </w:r>
      <w:r>
        <w:rPr>
          <w:bCs/>
          <w:szCs w:val="22"/>
        </w:rPr>
        <w:t>.</w:t>
      </w:r>
      <w:r w:rsidR="0018433B" w:rsidRPr="00BC3F72">
        <w:rPr>
          <w:szCs w:val="25"/>
        </w:rPr>
        <w:t xml:space="preserve"> If anything</w:t>
      </w:r>
      <w:r w:rsidR="006F304D" w:rsidRPr="006F304D">
        <w:rPr>
          <w:szCs w:val="25"/>
        </w:rPr>
        <w:t xml:space="preserve">, </w:t>
      </w:r>
      <w:r w:rsidR="0018433B" w:rsidRPr="00BC3F72">
        <w:rPr>
          <w:szCs w:val="25"/>
        </w:rPr>
        <w:t xml:space="preserve">the position of </w:t>
      </w:r>
      <w:r w:rsidRPr="00CE06CA">
        <w:rPr>
          <w:bCs/>
          <w:szCs w:val="22"/>
          <w:lang w:val="el-GR"/>
        </w:rPr>
        <w:t xml:space="preserve">οὐκ </w:t>
      </w:r>
      <w:r w:rsidR="0018433B" w:rsidRPr="00BC3F72">
        <w:rPr>
          <w:szCs w:val="25"/>
        </w:rPr>
        <w:t xml:space="preserve">before </w:t>
      </w:r>
      <w:r w:rsidRPr="00CE06CA">
        <w:rPr>
          <w:bCs/>
          <w:szCs w:val="22"/>
          <w:lang w:val="el-GR"/>
        </w:rPr>
        <w:t>ἔστιν</w:t>
      </w:r>
      <w:r w:rsidR="006F304D" w:rsidRPr="006F304D">
        <w:rPr>
          <w:rFonts w:eastAsia="Arial"/>
          <w:szCs w:val="26"/>
        </w:rPr>
        <w:t xml:space="preserve">, </w:t>
      </w:r>
      <w:r w:rsidR="0018433B" w:rsidRPr="00BC3F72">
        <w:rPr>
          <w:szCs w:val="25"/>
        </w:rPr>
        <w:t>by making the negation emphatic</w:t>
      </w:r>
      <w:r w:rsidR="006F304D" w:rsidRPr="006F304D">
        <w:rPr>
          <w:szCs w:val="25"/>
        </w:rPr>
        <w:t xml:space="preserve">, </w:t>
      </w:r>
      <w:r w:rsidR="0018433B" w:rsidRPr="00BC3F72">
        <w:rPr>
          <w:szCs w:val="25"/>
        </w:rPr>
        <w:t xml:space="preserve">suggests declaration: </w:t>
      </w:r>
      <w:r>
        <w:rPr>
          <w:szCs w:val="25"/>
        </w:rPr>
        <w:t>“</w:t>
      </w:r>
      <w:r w:rsidR="0018433B" w:rsidRPr="00BC3F72">
        <w:rPr>
          <w:szCs w:val="25"/>
        </w:rPr>
        <w:t xml:space="preserve">A disciple is </w:t>
      </w:r>
      <w:r w:rsidR="0018433B" w:rsidRPr="00BC3F72">
        <w:rPr>
          <w:i/>
          <w:iCs/>
          <w:szCs w:val="25"/>
        </w:rPr>
        <w:t>not</w:t>
      </w:r>
      <w:r w:rsidR="0018433B" w:rsidRPr="00D24C87">
        <w:rPr>
          <w:szCs w:val="25"/>
        </w:rPr>
        <w:t xml:space="preserve"> </w:t>
      </w:r>
      <w:r w:rsidR="0018433B" w:rsidRPr="00BC3F72">
        <w:rPr>
          <w:szCs w:val="25"/>
        </w:rPr>
        <w:t xml:space="preserve">above his teacher </w:t>
      </w:r>
      <w:r w:rsidR="0018433B" w:rsidRPr="00EE2A2F">
        <w:rPr>
          <w:szCs w:val="25"/>
        </w:rPr>
        <w:t>. . .</w:t>
      </w:r>
      <w:r>
        <w:rPr>
          <w:szCs w:val="25"/>
        </w:rPr>
        <w:t>”</w:t>
      </w:r>
      <w:r w:rsidR="0018433B" w:rsidRPr="00BC3F72">
        <w:rPr>
          <w:szCs w:val="25"/>
        </w:rPr>
        <w:t xml:space="preserve"> While 39b and 39c begin with interrogative particles (39b</w:t>
      </w:r>
      <w:r w:rsidR="006F304D" w:rsidRPr="006F304D">
        <w:rPr>
          <w:szCs w:val="25"/>
        </w:rPr>
        <w:t xml:space="preserve">, </w:t>
      </w:r>
      <w:r w:rsidRPr="00CE06CA">
        <w:rPr>
          <w:bCs/>
          <w:szCs w:val="22"/>
          <w:lang w:val="el-GR"/>
        </w:rPr>
        <w:t>μήτι</w:t>
      </w:r>
      <w:r w:rsidR="006F304D" w:rsidRPr="006F304D">
        <w:rPr>
          <w:rFonts w:eastAsia="Arial"/>
          <w:iCs/>
          <w:szCs w:val="23"/>
        </w:rPr>
        <w:t xml:space="preserve">, </w:t>
      </w:r>
      <w:r w:rsidR="0018433B" w:rsidRPr="00BC3F72">
        <w:rPr>
          <w:szCs w:val="25"/>
        </w:rPr>
        <w:t xml:space="preserve">expecting a </w:t>
      </w:r>
      <w:r>
        <w:rPr>
          <w:szCs w:val="25"/>
        </w:rPr>
        <w:t>“</w:t>
      </w:r>
      <w:r w:rsidR="0018433B" w:rsidRPr="00BC3F72">
        <w:rPr>
          <w:szCs w:val="25"/>
        </w:rPr>
        <w:t>No</w:t>
      </w:r>
      <w:r>
        <w:rPr>
          <w:szCs w:val="25"/>
        </w:rPr>
        <w:t>”</w:t>
      </w:r>
      <w:r w:rsidR="0018433B" w:rsidRPr="00BC3F72">
        <w:rPr>
          <w:szCs w:val="25"/>
        </w:rPr>
        <w:t>; 39c</w:t>
      </w:r>
      <w:r w:rsidR="006F304D" w:rsidRPr="006F304D">
        <w:rPr>
          <w:szCs w:val="25"/>
        </w:rPr>
        <w:t xml:space="preserve">, </w:t>
      </w:r>
      <w:r w:rsidRPr="00CE06CA">
        <w:rPr>
          <w:bCs/>
          <w:szCs w:val="22"/>
          <w:lang w:val="el-GR"/>
        </w:rPr>
        <w:t>οὐχὶ</w:t>
      </w:r>
      <w:r w:rsidR="006F304D" w:rsidRPr="006F304D">
        <w:rPr>
          <w:szCs w:val="25"/>
        </w:rPr>
        <w:t xml:space="preserve">, </w:t>
      </w:r>
      <w:r w:rsidR="0018433B" w:rsidRPr="00BC3F72">
        <w:rPr>
          <w:szCs w:val="25"/>
        </w:rPr>
        <w:t xml:space="preserve">expecting a </w:t>
      </w:r>
      <w:r>
        <w:rPr>
          <w:szCs w:val="25"/>
        </w:rPr>
        <w:t>“</w:t>
      </w:r>
      <w:r w:rsidR="0018433B" w:rsidRPr="00BC3F72">
        <w:rPr>
          <w:szCs w:val="25"/>
        </w:rPr>
        <w:t>Yes”)</w:t>
      </w:r>
      <w:r w:rsidR="006F304D" w:rsidRPr="006F304D">
        <w:rPr>
          <w:szCs w:val="25"/>
        </w:rPr>
        <w:t xml:space="preserve">, </w:t>
      </w:r>
      <w:r w:rsidR="0018433B" w:rsidRPr="00BC3F72">
        <w:rPr>
          <w:szCs w:val="25"/>
        </w:rPr>
        <w:t>40a does not. If Fitzmyer’s justification for making 40a into a rhetorical question is the verse’s adjacency to the rhetorical questions in 39bc</w:t>
      </w:r>
      <w:r w:rsidR="006F304D" w:rsidRPr="006F304D">
        <w:rPr>
          <w:szCs w:val="25"/>
        </w:rPr>
        <w:t xml:space="preserve">, </w:t>
      </w:r>
      <w:r w:rsidR="0018433B" w:rsidRPr="00BC3F72">
        <w:rPr>
          <w:szCs w:val="25"/>
        </w:rPr>
        <w:t xml:space="preserve">then it must be said that 40b is surely more </w:t>
      </w:r>
      <w:r>
        <w:rPr>
          <w:szCs w:val="25"/>
        </w:rPr>
        <w:t>“</w:t>
      </w:r>
      <w:r w:rsidR="0018433B" w:rsidRPr="00BC3F72">
        <w:rPr>
          <w:szCs w:val="25"/>
        </w:rPr>
        <w:t xml:space="preserve">adjacent” to 40a than are 39bc: 40a and 40b both speak of </w:t>
      </w:r>
      <w:r>
        <w:rPr>
          <w:szCs w:val="25"/>
        </w:rPr>
        <w:t>“</w:t>
      </w:r>
      <w:r w:rsidR="0018433B" w:rsidRPr="00BC3F72">
        <w:rPr>
          <w:szCs w:val="25"/>
        </w:rPr>
        <w:t xml:space="preserve">disciple” and </w:t>
      </w:r>
      <w:r>
        <w:rPr>
          <w:szCs w:val="25"/>
        </w:rPr>
        <w:t>“</w:t>
      </w:r>
      <w:r w:rsidR="0018433B" w:rsidRPr="00BC3F72">
        <w:rPr>
          <w:szCs w:val="25"/>
        </w:rPr>
        <w:t>teacher.” And 40b</w:t>
      </w:r>
      <w:r w:rsidR="006F304D" w:rsidRPr="006F304D">
        <w:rPr>
          <w:szCs w:val="25"/>
        </w:rPr>
        <w:t xml:space="preserve">, </w:t>
      </w:r>
      <w:r w:rsidR="0018433B" w:rsidRPr="00BC3F72">
        <w:rPr>
          <w:szCs w:val="25"/>
        </w:rPr>
        <w:t xml:space="preserve">as even </w:t>
      </w:r>
      <w:proofErr w:type="spellStart"/>
      <w:r w:rsidR="0018433B" w:rsidRPr="00BC3F72">
        <w:rPr>
          <w:szCs w:val="25"/>
        </w:rPr>
        <w:t>Fitzmyer</w:t>
      </w:r>
      <w:proofErr w:type="spellEnd"/>
      <w:r w:rsidR="0018433B" w:rsidRPr="00BC3F72">
        <w:rPr>
          <w:szCs w:val="25"/>
        </w:rPr>
        <w:t xml:space="preserve"> translates it,</w:t>
      </w:r>
      <w:r>
        <w:rPr>
          <w:rStyle w:val="FootnoteReference"/>
          <w:szCs w:val="25"/>
        </w:rPr>
        <w:footnoteReference w:id="645"/>
      </w:r>
      <w:r w:rsidR="00775F9B" w:rsidRPr="00775F9B">
        <w:rPr>
          <w:iCs/>
          <w:szCs w:val="25"/>
        </w:rPr>
        <w:t xml:space="preserve"> </w:t>
      </w:r>
      <w:r w:rsidR="0018433B" w:rsidRPr="00BC3F72">
        <w:rPr>
          <w:szCs w:val="25"/>
        </w:rPr>
        <w:t xml:space="preserve">is unquestionably declarative. In short: </w:t>
      </w:r>
      <w:proofErr w:type="spellStart"/>
      <w:r w:rsidR="0018433B" w:rsidRPr="00BC3F72">
        <w:rPr>
          <w:szCs w:val="25"/>
        </w:rPr>
        <w:t>Fitzmyer’s</w:t>
      </w:r>
      <w:proofErr w:type="spellEnd"/>
      <w:r w:rsidR="0018433B" w:rsidRPr="00BC3F72">
        <w:rPr>
          <w:szCs w:val="25"/>
        </w:rPr>
        <w:t xml:space="preserve"> theory of an allusion to false Christian teachers in verses 39-40 can</w:t>
      </w:r>
      <w:r w:rsidR="006F304D" w:rsidRPr="006F304D">
        <w:rPr>
          <w:szCs w:val="25"/>
        </w:rPr>
        <w:t xml:space="preserve">, </w:t>
      </w:r>
      <w:r w:rsidR="0018433B" w:rsidRPr="00BC3F72">
        <w:rPr>
          <w:szCs w:val="25"/>
        </w:rPr>
        <w:t>I think</w:t>
      </w:r>
      <w:r w:rsidR="006F304D" w:rsidRPr="006F304D">
        <w:rPr>
          <w:szCs w:val="25"/>
        </w:rPr>
        <w:t xml:space="preserve">, </w:t>
      </w:r>
      <w:r w:rsidR="0018433B" w:rsidRPr="00BC3F72">
        <w:rPr>
          <w:szCs w:val="25"/>
        </w:rPr>
        <w:t>be safely set aside.</w:t>
      </w:r>
    </w:p>
    <w:p w14:paraId="5C5A6D59" w14:textId="55852D99" w:rsidR="0018433B" w:rsidRPr="00BC3F72" w:rsidRDefault="00D24C87" w:rsidP="0018433B">
      <w:pPr>
        <w:pStyle w:val="Style"/>
        <w:widowControl/>
        <w:jc w:val="both"/>
        <w:textAlignment w:val="baseline"/>
        <w:rPr>
          <w:szCs w:val="25"/>
        </w:rPr>
      </w:pPr>
      <w:r>
        <w:rPr>
          <w:szCs w:val="25"/>
        </w:rPr>
        <w:tab/>
      </w:r>
      <w:r w:rsidR="0018433B" w:rsidRPr="00BC3F72">
        <w:rPr>
          <w:szCs w:val="25"/>
        </w:rPr>
        <w:t>It seems best</w:t>
      </w:r>
      <w:r w:rsidR="006F304D" w:rsidRPr="006F304D">
        <w:rPr>
          <w:szCs w:val="25"/>
        </w:rPr>
        <w:t xml:space="preserve">, </w:t>
      </w:r>
      <w:r w:rsidR="0018433B" w:rsidRPr="00BC3F72">
        <w:rPr>
          <w:szCs w:val="25"/>
        </w:rPr>
        <w:t>then</w:t>
      </w:r>
      <w:r w:rsidR="006F304D" w:rsidRPr="006F304D">
        <w:rPr>
          <w:szCs w:val="25"/>
        </w:rPr>
        <w:t xml:space="preserve">, </w:t>
      </w:r>
      <w:r w:rsidR="0018433B" w:rsidRPr="00BC3F72">
        <w:rPr>
          <w:szCs w:val="25"/>
        </w:rPr>
        <w:t>that we adopt the interpretation of verse 39 that is customary among commentators: both the leading “blind man</w:t>
      </w:r>
      <w:r>
        <w:rPr>
          <w:szCs w:val="25"/>
        </w:rPr>
        <w:t>”</w:t>
      </w:r>
      <w:r w:rsidR="0018433B" w:rsidRPr="00BC3F72">
        <w:rPr>
          <w:szCs w:val="25"/>
        </w:rPr>
        <w:t xml:space="preserve"> and the led “blind man” are disciples of Jesus. Several positive considerations which we have not yet had an opportunity to mention serve to reinforce this conclusion. These considera</w:t>
      </w:r>
      <w:r w:rsidR="0018433B" w:rsidRPr="00BC3F72">
        <w:rPr>
          <w:szCs w:val="25"/>
        </w:rPr>
        <w:softHyphen/>
        <w:t>tions will come to the fore most clearly if we attempt a careful</w:t>
      </w:r>
      <w:r w:rsidR="006F304D" w:rsidRPr="006F304D">
        <w:rPr>
          <w:szCs w:val="25"/>
        </w:rPr>
        <w:t xml:space="preserve">, </w:t>
      </w:r>
      <w:r w:rsidR="0018433B" w:rsidRPr="00BC3F72">
        <w:rPr>
          <w:szCs w:val="25"/>
        </w:rPr>
        <w:t>step-by-step paraphrase of verse 39bc.</w:t>
      </w:r>
    </w:p>
    <w:p w14:paraId="4348AECF" w14:textId="74B26E31" w:rsidR="0018433B" w:rsidRPr="00BC3F72" w:rsidRDefault="00D24C87" w:rsidP="0018433B">
      <w:pPr>
        <w:pStyle w:val="Style"/>
        <w:widowControl/>
        <w:jc w:val="both"/>
        <w:textAlignment w:val="baseline"/>
        <w:rPr>
          <w:szCs w:val="25"/>
        </w:rPr>
      </w:pPr>
      <w:r>
        <w:rPr>
          <w:szCs w:val="25"/>
        </w:rPr>
        <w:tab/>
      </w:r>
      <w:r w:rsidR="0018433B" w:rsidRPr="00BC3F72">
        <w:rPr>
          <w:szCs w:val="25"/>
        </w:rPr>
        <w:t xml:space="preserve">Verse 39b is a rhetorical question presupposing a negative answer: </w:t>
      </w:r>
      <w:r>
        <w:rPr>
          <w:szCs w:val="25"/>
        </w:rPr>
        <w:t>“</w:t>
      </w:r>
      <w:r w:rsidR="0018433B" w:rsidRPr="00BC3F72">
        <w:rPr>
          <w:szCs w:val="25"/>
        </w:rPr>
        <w:t>No</w:t>
      </w:r>
      <w:r w:rsidR="006F304D" w:rsidRPr="006F304D">
        <w:rPr>
          <w:szCs w:val="25"/>
        </w:rPr>
        <w:t xml:space="preserve">, </w:t>
      </w:r>
      <w:r w:rsidR="0018433B" w:rsidRPr="00BC3F72">
        <w:rPr>
          <w:szCs w:val="25"/>
        </w:rPr>
        <w:t xml:space="preserve">a blind man cannot lead a blind man.” </w:t>
      </w:r>
      <w:r>
        <w:rPr>
          <w:szCs w:val="25"/>
        </w:rPr>
        <w:t>For the present, t</w:t>
      </w:r>
      <w:r w:rsidR="0018433B" w:rsidRPr="00BC3F72">
        <w:rPr>
          <w:szCs w:val="25"/>
        </w:rPr>
        <w:t>his negative answer can be substituted</w:t>
      </w:r>
      <w:r w:rsidR="006F304D" w:rsidRPr="006F304D">
        <w:rPr>
          <w:szCs w:val="25"/>
        </w:rPr>
        <w:t xml:space="preserve">, </w:t>
      </w:r>
      <w:r w:rsidR="0018433B" w:rsidRPr="00BC3F72">
        <w:rPr>
          <w:szCs w:val="25"/>
        </w:rPr>
        <w:t>as</w:t>
      </w:r>
      <w:r>
        <w:rPr>
          <w:szCs w:val="25"/>
        </w:rPr>
        <w:t xml:space="preserve"> </w:t>
      </w:r>
      <w:r w:rsidR="0018433B" w:rsidRPr="00BC3F72">
        <w:rPr>
          <w:szCs w:val="25"/>
        </w:rPr>
        <w:t>roughly equivalent in meaning</w:t>
      </w:r>
      <w:r w:rsidR="006F304D" w:rsidRPr="006F304D">
        <w:rPr>
          <w:szCs w:val="25"/>
        </w:rPr>
        <w:t xml:space="preserve">, </w:t>
      </w:r>
      <w:r w:rsidR="0018433B" w:rsidRPr="00BC3F72">
        <w:rPr>
          <w:szCs w:val="25"/>
        </w:rPr>
        <w:t>for the rhetorical question to which it is a response.</w:t>
      </w:r>
      <w:r>
        <w:rPr>
          <w:szCs w:val="25"/>
        </w:rPr>
        <w:t xml:space="preserve"> </w:t>
      </w:r>
      <w:r w:rsidR="0018433B" w:rsidRPr="00BC3F72">
        <w:rPr>
          <w:szCs w:val="25"/>
        </w:rPr>
        <w:t>In addition</w:t>
      </w:r>
      <w:r w:rsidR="006F304D" w:rsidRPr="006F304D">
        <w:rPr>
          <w:szCs w:val="25"/>
        </w:rPr>
        <w:t xml:space="preserve">, </w:t>
      </w:r>
      <w:r w:rsidR="0018433B" w:rsidRPr="00BC3F72">
        <w:rPr>
          <w:szCs w:val="25"/>
        </w:rPr>
        <w:t>since 39c merely reinforces 39b by means of synthetic parallelism</w:t>
      </w:r>
      <w:r w:rsidR="006F304D" w:rsidRPr="006F304D">
        <w:rPr>
          <w:szCs w:val="25"/>
        </w:rPr>
        <w:t xml:space="preserve">, </w:t>
      </w:r>
      <w:r w:rsidR="0018433B" w:rsidRPr="00BC3F72">
        <w:rPr>
          <w:szCs w:val="25"/>
        </w:rPr>
        <w:t>we can use the negative answer to 39b as a substitute for both 39b and 39c. Now</w:t>
      </w:r>
      <w:r w:rsidR="006F304D" w:rsidRPr="006F304D">
        <w:rPr>
          <w:szCs w:val="25"/>
        </w:rPr>
        <w:t xml:space="preserve">, </w:t>
      </w:r>
      <w:r w:rsidR="0018433B" w:rsidRPr="00BC3F72">
        <w:rPr>
          <w:szCs w:val="25"/>
        </w:rPr>
        <w:t>though Jesus elsewhere in Luke encounters actual blind men</w:t>
      </w:r>
      <w:r w:rsidR="006F304D" w:rsidRPr="006F304D">
        <w:rPr>
          <w:szCs w:val="25"/>
        </w:rPr>
        <w:t xml:space="preserve">, </w:t>
      </w:r>
      <w:r w:rsidR="0018433B" w:rsidRPr="00BC3F72">
        <w:rPr>
          <w:szCs w:val="25"/>
        </w:rPr>
        <w:t>he is not speaking in 39bc of literal blind men</w:t>
      </w:r>
      <w:r w:rsidR="006F304D" w:rsidRPr="006F304D">
        <w:rPr>
          <w:szCs w:val="25"/>
        </w:rPr>
        <w:t xml:space="preserve">, </w:t>
      </w:r>
      <w:r w:rsidR="0018433B" w:rsidRPr="00BC3F72">
        <w:rPr>
          <w:szCs w:val="25"/>
        </w:rPr>
        <w:t>as the context makes clear.</w:t>
      </w:r>
      <w:r>
        <w:rPr>
          <w:rStyle w:val="FootnoteReference"/>
          <w:szCs w:val="25"/>
        </w:rPr>
        <w:footnoteReference w:id="646"/>
      </w:r>
      <w:r w:rsidR="00775F9B" w:rsidRPr="00775F9B">
        <w:rPr>
          <w:iCs/>
          <w:szCs w:val="25"/>
        </w:rPr>
        <w:t xml:space="preserve"> </w:t>
      </w:r>
      <w:r w:rsidR="0018433B" w:rsidRPr="00BC3F72">
        <w:rPr>
          <w:szCs w:val="25"/>
        </w:rPr>
        <w:t>For what literal terms</w:t>
      </w:r>
      <w:r w:rsidR="006F304D" w:rsidRPr="006F304D">
        <w:rPr>
          <w:szCs w:val="25"/>
        </w:rPr>
        <w:t xml:space="preserve">, </w:t>
      </w:r>
      <w:r w:rsidR="0018433B" w:rsidRPr="00BC3F72">
        <w:rPr>
          <w:szCs w:val="25"/>
        </w:rPr>
        <w:t>then</w:t>
      </w:r>
      <w:r w:rsidR="006F304D" w:rsidRPr="006F304D">
        <w:rPr>
          <w:szCs w:val="25"/>
        </w:rPr>
        <w:t xml:space="preserve">, </w:t>
      </w:r>
      <w:r w:rsidR="0018433B" w:rsidRPr="00BC3F72">
        <w:rPr>
          <w:szCs w:val="25"/>
        </w:rPr>
        <w:t>do the blind men function as figurative terms? The obvious answer appears in the immedi</w:t>
      </w:r>
      <w:r w:rsidR="0018433B" w:rsidRPr="00BC3F72">
        <w:rPr>
          <w:szCs w:val="25"/>
        </w:rPr>
        <w:softHyphen/>
        <w:t>ate context: since 40 refers to “disciple” and “teacher,” the assumption is reasonable that the ‘blind man” who leads in 39bc is a teacher</w:t>
      </w:r>
      <w:r w:rsidR="006F304D" w:rsidRPr="006F304D">
        <w:rPr>
          <w:szCs w:val="25"/>
        </w:rPr>
        <w:t xml:space="preserve">, </w:t>
      </w:r>
      <w:r w:rsidR="0018433B" w:rsidRPr="00BC3F72">
        <w:rPr>
          <w:szCs w:val="25"/>
        </w:rPr>
        <w:t>and the “blind man” who is led in 39bc is a disciple. Our paraphrase of 39bc can thus be reworded</w:t>
      </w:r>
      <w:r w:rsidR="006F304D" w:rsidRPr="006F304D">
        <w:rPr>
          <w:szCs w:val="25"/>
        </w:rPr>
        <w:t xml:space="preserve">, </w:t>
      </w:r>
      <w:r w:rsidR="00B32D1D">
        <w:rPr>
          <w:szCs w:val="25"/>
        </w:rPr>
        <w:t>“</w:t>
      </w:r>
      <w:r w:rsidR="0018433B" w:rsidRPr="00BC3F72">
        <w:rPr>
          <w:szCs w:val="25"/>
        </w:rPr>
        <w:t xml:space="preserve">A blind teacher cannot lead a student.” (I have substituted “student” for “disciple” to avoid the tendency of moderns to think only of the earthly Jesus’ followers when they hear the term </w:t>
      </w:r>
      <w:r w:rsidR="00B32D1D">
        <w:rPr>
          <w:szCs w:val="25"/>
        </w:rPr>
        <w:t>“</w:t>
      </w:r>
      <w:r w:rsidR="0018433B" w:rsidRPr="00BC3F72">
        <w:rPr>
          <w:szCs w:val="25"/>
        </w:rPr>
        <w:t xml:space="preserve">disciple”; and I have omitted </w:t>
      </w:r>
      <w:r w:rsidR="00B32D1D">
        <w:rPr>
          <w:szCs w:val="25"/>
        </w:rPr>
        <w:t>“</w:t>
      </w:r>
      <w:r w:rsidR="0018433B" w:rsidRPr="00BC3F72">
        <w:rPr>
          <w:szCs w:val="25"/>
        </w:rPr>
        <w:t>ignorant” before “student,” since a student by definition is ignorant</w:t>
      </w:r>
      <w:r w:rsidR="00B32D1D">
        <w:rPr>
          <w:szCs w:val="25"/>
        </w:rPr>
        <w:t xml:space="preserve"> [!]</w:t>
      </w:r>
      <w:r w:rsidR="006F304D" w:rsidRPr="006F304D">
        <w:rPr>
          <w:szCs w:val="25"/>
        </w:rPr>
        <w:t xml:space="preserve">, </w:t>
      </w:r>
      <w:r w:rsidR="0018433B" w:rsidRPr="00BC3F72">
        <w:rPr>
          <w:szCs w:val="25"/>
        </w:rPr>
        <w:t>else he or she would not need instruction.)</w:t>
      </w:r>
    </w:p>
    <w:p w14:paraId="4B550365" w14:textId="6B71DF7B" w:rsidR="0018433B" w:rsidRPr="00BC3F72" w:rsidRDefault="00B32D1D" w:rsidP="0018433B">
      <w:pPr>
        <w:pStyle w:val="Style"/>
        <w:widowControl/>
        <w:jc w:val="both"/>
        <w:textAlignment w:val="baseline"/>
        <w:rPr>
          <w:szCs w:val="25"/>
        </w:rPr>
      </w:pPr>
      <w:r>
        <w:rPr>
          <w:szCs w:val="25"/>
        </w:rPr>
        <w:tab/>
      </w:r>
      <w:r w:rsidR="0018433B" w:rsidRPr="00BC3F72">
        <w:rPr>
          <w:szCs w:val="25"/>
        </w:rPr>
        <w:t xml:space="preserve">This </w:t>
      </w:r>
      <w:r>
        <w:rPr>
          <w:szCs w:val="25"/>
        </w:rPr>
        <w:t xml:space="preserve">paraphrase </w:t>
      </w:r>
      <w:r w:rsidR="0018433B" w:rsidRPr="00BC3F72">
        <w:rPr>
          <w:szCs w:val="25"/>
        </w:rPr>
        <w:t>makes it clear that “lead” is also a figurative term</w:t>
      </w:r>
      <w:r w:rsidR="006F304D" w:rsidRPr="006F304D">
        <w:rPr>
          <w:szCs w:val="25"/>
        </w:rPr>
        <w:t xml:space="preserve">, </w:t>
      </w:r>
      <w:r w:rsidR="0018433B" w:rsidRPr="00BC3F72">
        <w:rPr>
          <w:szCs w:val="25"/>
        </w:rPr>
        <w:t>since “lead</w:t>
      </w:r>
      <w:r>
        <w:rPr>
          <w:szCs w:val="25"/>
        </w:rPr>
        <w:t>”</w:t>
      </w:r>
      <w:r w:rsidR="0018433B" w:rsidRPr="00BC3F72">
        <w:rPr>
          <w:szCs w:val="25"/>
        </w:rPr>
        <w:t xml:space="preserve"> in “Can a blind man lead a blind man” properly refers to physical leading</w:t>
      </w:r>
      <w:r w:rsidR="006F304D" w:rsidRPr="006F304D">
        <w:rPr>
          <w:szCs w:val="25"/>
        </w:rPr>
        <w:t xml:space="preserve">, </w:t>
      </w:r>
      <w:r w:rsidR="0018433B" w:rsidRPr="00BC3F72">
        <w:rPr>
          <w:szCs w:val="25"/>
        </w:rPr>
        <w:t xml:space="preserve">whereas ‘lead” in </w:t>
      </w:r>
      <w:r>
        <w:rPr>
          <w:szCs w:val="25"/>
        </w:rPr>
        <w:t>“</w:t>
      </w:r>
      <w:r w:rsidR="0018433B" w:rsidRPr="00BC3F72">
        <w:rPr>
          <w:rFonts w:eastAsia="Arial"/>
          <w:szCs w:val="30"/>
        </w:rPr>
        <w:t xml:space="preserve">a </w:t>
      </w:r>
      <w:r w:rsidR="0018433B" w:rsidRPr="00BC3F72">
        <w:rPr>
          <w:szCs w:val="25"/>
        </w:rPr>
        <w:t xml:space="preserve">blind teacher cannot lead a student” refers to teaching. The </w:t>
      </w:r>
      <w:r>
        <w:rPr>
          <w:szCs w:val="25"/>
        </w:rPr>
        <w:t xml:space="preserve">paraphrase </w:t>
      </w:r>
      <w:r w:rsidR="0018433B" w:rsidRPr="00BC3F72">
        <w:rPr>
          <w:szCs w:val="25"/>
        </w:rPr>
        <w:t>also accentuates the figurative nature of the word “blind</w:t>
      </w:r>
      <w:r>
        <w:rPr>
          <w:szCs w:val="25"/>
        </w:rPr>
        <w:t>”:</w:t>
      </w:r>
      <w:r w:rsidR="0018433B" w:rsidRPr="00BC3F72">
        <w:rPr>
          <w:szCs w:val="25"/>
        </w:rPr>
        <w:t xml:space="preserve"> in a context of teacher</w:t>
      </w:r>
      <w:r>
        <w:rPr>
          <w:szCs w:val="25"/>
        </w:rPr>
        <w:t>-</w:t>
      </w:r>
      <w:r w:rsidR="0018433B" w:rsidRPr="00BC3F72">
        <w:rPr>
          <w:szCs w:val="25"/>
        </w:rPr>
        <w:t>student relations</w:t>
      </w:r>
      <w:r w:rsidR="006F304D" w:rsidRPr="006F304D">
        <w:rPr>
          <w:szCs w:val="25"/>
        </w:rPr>
        <w:t xml:space="preserve">, </w:t>
      </w:r>
      <w:r w:rsidR="0018433B" w:rsidRPr="00BC3F72">
        <w:rPr>
          <w:szCs w:val="25"/>
        </w:rPr>
        <w:t>“blind” presumably refers to ignorance. Substituting</w:t>
      </w:r>
      <w:r w:rsidR="006F304D" w:rsidRPr="006F304D">
        <w:rPr>
          <w:szCs w:val="25"/>
        </w:rPr>
        <w:t xml:space="preserve">, </w:t>
      </w:r>
      <w:r w:rsidR="0018433B" w:rsidRPr="00BC3F72">
        <w:rPr>
          <w:szCs w:val="25"/>
        </w:rPr>
        <w:t>then</w:t>
      </w:r>
      <w:r w:rsidR="006F304D" w:rsidRPr="006F304D">
        <w:rPr>
          <w:szCs w:val="25"/>
        </w:rPr>
        <w:t xml:space="preserve">, </w:t>
      </w:r>
      <w:r w:rsidR="0018433B" w:rsidRPr="00BC3F72">
        <w:rPr>
          <w:szCs w:val="25"/>
        </w:rPr>
        <w:t>‘in</w:t>
      </w:r>
      <w:r w:rsidR="0018433B" w:rsidRPr="00BC3F72">
        <w:rPr>
          <w:szCs w:val="25"/>
        </w:rPr>
        <w:softHyphen/>
        <w:t xml:space="preserve">struct” and “ignorant” for </w:t>
      </w:r>
      <w:r>
        <w:rPr>
          <w:szCs w:val="25"/>
        </w:rPr>
        <w:t>“</w:t>
      </w:r>
      <w:r w:rsidR="0018433B" w:rsidRPr="00BC3F72">
        <w:rPr>
          <w:szCs w:val="25"/>
        </w:rPr>
        <w:t>lead” and “blind,” we achieve the following paraphrase</w:t>
      </w:r>
      <w:r w:rsidR="00D24C87">
        <w:rPr>
          <w:szCs w:val="25"/>
        </w:rPr>
        <w:t xml:space="preserve"> </w:t>
      </w:r>
      <w:r w:rsidR="0018433B" w:rsidRPr="00BC3F72">
        <w:rPr>
          <w:szCs w:val="25"/>
        </w:rPr>
        <w:t>of 39bc: “</w:t>
      </w:r>
      <w:r w:rsidR="0018433B" w:rsidRPr="00BC3F72">
        <w:rPr>
          <w:szCs w:val="27"/>
        </w:rPr>
        <w:t xml:space="preserve">An </w:t>
      </w:r>
      <w:r w:rsidR="0018433B" w:rsidRPr="00BC3F72">
        <w:rPr>
          <w:szCs w:val="25"/>
        </w:rPr>
        <w:t>ignorant teacher cannot instruct a student.”</w:t>
      </w:r>
    </w:p>
    <w:p w14:paraId="1770146F" w14:textId="79BD0756" w:rsidR="0018433B" w:rsidRPr="00BC3F72" w:rsidRDefault="00B32D1D" w:rsidP="0018433B">
      <w:pPr>
        <w:pStyle w:val="Style"/>
        <w:widowControl/>
        <w:jc w:val="both"/>
        <w:textAlignment w:val="baseline"/>
        <w:rPr>
          <w:szCs w:val="25"/>
        </w:rPr>
      </w:pPr>
      <w:r>
        <w:rPr>
          <w:szCs w:val="25"/>
        </w:rPr>
        <w:lastRenderedPageBreak/>
        <w:tab/>
      </w:r>
      <w:r w:rsidR="0018433B" w:rsidRPr="00BC3F72">
        <w:rPr>
          <w:szCs w:val="25"/>
        </w:rPr>
        <w:t>We conclude</w:t>
      </w:r>
      <w:r w:rsidR="006F304D" w:rsidRPr="006F304D">
        <w:rPr>
          <w:szCs w:val="25"/>
        </w:rPr>
        <w:t xml:space="preserve">, </w:t>
      </w:r>
      <w:r w:rsidR="0018433B" w:rsidRPr="00BC3F72">
        <w:rPr>
          <w:szCs w:val="25"/>
        </w:rPr>
        <w:t>then</w:t>
      </w:r>
      <w:r w:rsidR="006F304D" w:rsidRPr="006F304D">
        <w:rPr>
          <w:szCs w:val="25"/>
        </w:rPr>
        <w:t xml:space="preserve">, </w:t>
      </w:r>
      <w:r w:rsidR="0018433B" w:rsidRPr="00BC3F72">
        <w:rPr>
          <w:szCs w:val="25"/>
        </w:rPr>
        <w:t>that the interpretation of verse 39 which sees disciples of Jesus in both the leading “blind man</w:t>
      </w:r>
      <w:r>
        <w:rPr>
          <w:szCs w:val="25"/>
        </w:rPr>
        <w:t>”</w:t>
      </w:r>
      <w:r w:rsidR="0018433B" w:rsidRPr="00BC3F72">
        <w:rPr>
          <w:szCs w:val="25"/>
        </w:rPr>
        <w:t xml:space="preserve"> and the led “blind man” is correct.</w:t>
      </w:r>
    </w:p>
    <w:p w14:paraId="41CC9887" w14:textId="1B59C0F5" w:rsidR="0018433B" w:rsidRPr="00BC3F72" w:rsidRDefault="00B32D1D" w:rsidP="0018433B">
      <w:pPr>
        <w:pStyle w:val="Style"/>
        <w:widowControl/>
        <w:jc w:val="both"/>
        <w:textAlignment w:val="baseline"/>
        <w:rPr>
          <w:szCs w:val="25"/>
        </w:rPr>
      </w:pPr>
      <w:r>
        <w:rPr>
          <w:szCs w:val="25"/>
        </w:rPr>
        <w:tab/>
      </w:r>
      <w:r w:rsidR="0018433B" w:rsidRPr="00BC3F72">
        <w:rPr>
          <w:szCs w:val="25"/>
        </w:rPr>
        <w:t>That Jesus’ disciples are meant by both blind men is the conclusion of most three-part-middle commentators. Yet</w:t>
      </w:r>
      <w:r w:rsidR="006F304D" w:rsidRPr="006F304D">
        <w:rPr>
          <w:szCs w:val="25"/>
        </w:rPr>
        <w:t xml:space="preserve">, </w:t>
      </w:r>
      <w:r w:rsidR="0018433B" w:rsidRPr="00BC3F72">
        <w:rPr>
          <w:szCs w:val="25"/>
        </w:rPr>
        <w:t>even agreeing as they do on this interpretation of verse 39</w:t>
      </w:r>
      <w:r w:rsidR="006F304D" w:rsidRPr="006F304D">
        <w:rPr>
          <w:szCs w:val="25"/>
        </w:rPr>
        <w:t xml:space="preserve">, </w:t>
      </w:r>
      <w:r w:rsidR="0018433B" w:rsidRPr="00BC3F72">
        <w:rPr>
          <w:szCs w:val="25"/>
        </w:rPr>
        <w:t>they still differ in their estimates of verse 40. Again</w:t>
      </w:r>
      <w:r w:rsidR="006F304D" w:rsidRPr="006F304D">
        <w:rPr>
          <w:szCs w:val="25"/>
        </w:rPr>
        <w:t xml:space="preserve">, </w:t>
      </w:r>
      <w:r w:rsidR="0018433B" w:rsidRPr="00BC3F72">
        <w:rPr>
          <w:szCs w:val="25"/>
        </w:rPr>
        <w:t>some see the “teacher” of 40 as referring to Jesus</w:t>
      </w:r>
      <w:r w:rsidR="006F304D" w:rsidRPr="006F304D">
        <w:rPr>
          <w:szCs w:val="25"/>
        </w:rPr>
        <w:t xml:space="preserve">, </w:t>
      </w:r>
      <w:r w:rsidR="0018433B" w:rsidRPr="00BC3F72">
        <w:rPr>
          <w:szCs w:val="25"/>
        </w:rPr>
        <w:t>while others see the teacher as the disciples</w:t>
      </w:r>
      <w:r>
        <w:rPr>
          <w:szCs w:val="25"/>
        </w:rPr>
        <w:t xml:space="preserve"> (in the future)</w:t>
      </w:r>
      <w:r w:rsidR="0018433B" w:rsidRPr="00BC3F72">
        <w:rPr>
          <w:szCs w:val="25"/>
        </w:rPr>
        <w:t>.</w:t>
      </w:r>
    </w:p>
    <w:p w14:paraId="4FD3D992" w14:textId="77777777" w:rsidR="00B32D1D" w:rsidRDefault="00B32D1D" w:rsidP="0018433B">
      <w:pPr>
        <w:pStyle w:val="Style"/>
        <w:widowControl/>
        <w:jc w:val="both"/>
        <w:textAlignment w:val="baseline"/>
        <w:rPr>
          <w:szCs w:val="25"/>
        </w:rPr>
      </w:pPr>
      <w:r>
        <w:rPr>
          <w:szCs w:val="25"/>
        </w:rPr>
        <w:tab/>
      </w:r>
      <w:r w:rsidR="0018433B" w:rsidRPr="00BC3F72">
        <w:rPr>
          <w:szCs w:val="25"/>
        </w:rPr>
        <w:t>Among those who see Jesus as the teacher of verse 40 is Rudolf Bultmann.</w:t>
      </w:r>
    </w:p>
    <w:p w14:paraId="75DBA148" w14:textId="77777777" w:rsidR="00B32D1D" w:rsidRDefault="00B32D1D" w:rsidP="0018433B">
      <w:pPr>
        <w:pStyle w:val="Style"/>
        <w:widowControl/>
        <w:jc w:val="both"/>
        <w:textAlignment w:val="baseline"/>
        <w:rPr>
          <w:szCs w:val="25"/>
        </w:rPr>
      </w:pPr>
    </w:p>
    <w:p w14:paraId="1F3A1129" w14:textId="6E5023CD" w:rsidR="0018433B" w:rsidRPr="00B32D1D" w:rsidRDefault="0018433B" w:rsidP="00B32D1D">
      <w:pPr>
        <w:pStyle w:val="Style"/>
        <w:widowControl/>
        <w:ind w:left="720" w:right="720"/>
        <w:jc w:val="both"/>
        <w:textAlignment w:val="baseline"/>
        <w:rPr>
          <w:szCs w:val="25"/>
        </w:rPr>
      </w:pPr>
      <w:r w:rsidRPr="00BC3F72">
        <w:rPr>
          <w:szCs w:val="25"/>
        </w:rPr>
        <w:t>He [Luke] has inserted it [verse 39] between sayings about judgment</w:t>
      </w:r>
      <w:r w:rsidR="00B32D1D">
        <w:rPr>
          <w:szCs w:val="25"/>
        </w:rPr>
        <w:t xml:space="preserve"> </w:t>
      </w:r>
      <w:r w:rsidRPr="00BC3F72">
        <w:rPr>
          <w:szCs w:val="25"/>
        </w:rPr>
        <w:t>so that it comes to mean: how canst thou set thyself up for a judge,</w:t>
      </w:r>
      <w:r w:rsidR="00B32D1D">
        <w:rPr>
          <w:szCs w:val="25"/>
        </w:rPr>
        <w:t xml:space="preserve"> </w:t>
      </w:r>
      <w:r w:rsidRPr="00BC3F72">
        <w:rPr>
          <w:szCs w:val="25"/>
        </w:rPr>
        <w:t xml:space="preserve">who art thyself blind! Luke follows this with a saying about the disciple and his master </w:t>
      </w:r>
      <w:r>
        <w:rPr>
          <w:szCs w:val="25"/>
        </w:rPr>
        <w:t>(</w:t>
      </w:r>
      <w:r w:rsidRPr="00BC3F72">
        <w:rPr>
          <w:szCs w:val="25"/>
        </w:rPr>
        <w:t>6:40) [which] derives its meaning from the context: there is only one true judicial authority</w:t>
      </w:r>
      <w:r w:rsidR="006F304D" w:rsidRPr="006F304D">
        <w:rPr>
          <w:szCs w:val="25"/>
        </w:rPr>
        <w:t xml:space="preserve">, </w:t>
      </w:r>
      <w:r w:rsidRPr="00BC3F72">
        <w:rPr>
          <w:szCs w:val="25"/>
        </w:rPr>
        <w:t>Jesus.</w:t>
      </w:r>
      <w:r w:rsidR="00B32D1D">
        <w:rPr>
          <w:rStyle w:val="FootnoteReference"/>
          <w:szCs w:val="25"/>
        </w:rPr>
        <w:footnoteReference w:id="647"/>
      </w:r>
    </w:p>
    <w:p w14:paraId="44EA758E" w14:textId="77777777" w:rsidR="00B32D1D" w:rsidRDefault="00B32D1D" w:rsidP="0018433B">
      <w:pPr>
        <w:pStyle w:val="Style"/>
        <w:widowControl/>
        <w:jc w:val="both"/>
        <w:textAlignment w:val="baseline"/>
        <w:rPr>
          <w:szCs w:val="25"/>
        </w:rPr>
      </w:pPr>
    </w:p>
    <w:p w14:paraId="26BD7B83" w14:textId="6843574F" w:rsidR="0018433B" w:rsidRPr="00BC3F72" w:rsidRDefault="0018433B" w:rsidP="0018433B">
      <w:pPr>
        <w:pStyle w:val="Style"/>
        <w:widowControl/>
        <w:jc w:val="both"/>
        <w:textAlignment w:val="baseline"/>
        <w:rPr>
          <w:szCs w:val="25"/>
        </w:rPr>
      </w:pPr>
      <w:r w:rsidRPr="00BC3F72">
        <w:rPr>
          <w:szCs w:val="25"/>
        </w:rPr>
        <w:t>This explanation</w:t>
      </w:r>
      <w:r w:rsidR="006F304D" w:rsidRPr="006F304D">
        <w:rPr>
          <w:szCs w:val="25"/>
        </w:rPr>
        <w:t xml:space="preserve">, </w:t>
      </w:r>
      <w:r w:rsidRPr="00BC3F72">
        <w:rPr>
          <w:szCs w:val="25"/>
        </w:rPr>
        <w:t>however</w:t>
      </w:r>
      <w:r w:rsidR="006F304D" w:rsidRPr="006F304D">
        <w:rPr>
          <w:szCs w:val="25"/>
        </w:rPr>
        <w:t xml:space="preserve">, </w:t>
      </w:r>
      <w:r w:rsidRPr="00BC3F72">
        <w:rPr>
          <w:szCs w:val="25"/>
        </w:rPr>
        <w:t>is incomplete. The paraphrase</w:t>
      </w:r>
      <w:r w:rsidR="006F304D" w:rsidRPr="006F304D">
        <w:rPr>
          <w:szCs w:val="25"/>
        </w:rPr>
        <w:t xml:space="preserve">, </w:t>
      </w:r>
      <w:r w:rsidRPr="00BC3F72">
        <w:rPr>
          <w:szCs w:val="25"/>
        </w:rPr>
        <w:t xml:space="preserve">“Do not judge </w:t>
      </w:r>
      <w:r w:rsidRPr="00EE2A2F">
        <w:rPr>
          <w:szCs w:val="25"/>
        </w:rPr>
        <w:t>. . .</w:t>
      </w:r>
      <w:r w:rsidRPr="00BC3F72">
        <w:rPr>
          <w:szCs w:val="25"/>
        </w:rPr>
        <w:t xml:space="preserve"> for you yourselves are blind” restates 39bc; but </w:t>
      </w:r>
      <w:r w:rsidR="00B32D1D">
        <w:rPr>
          <w:szCs w:val="25"/>
        </w:rPr>
        <w:t>“</w:t>
      </w:r>
      <w:r w:rsidRPr="00BC3F72">
        <w:rPr>
          <w:szCs w:val="25"/>
        </w:rPr>
        <w:t>there is only one true judicial authority</w:t>
      </w:r>
      <w:r w:rsidR="006F304D" w:rsidRPr="006F304D">
        <w:rPr>
          <w:szCs w:val="25"/>
        </w:rPr>
        <w:t xml:space="preserve">, </w:t>
      </w:r>
      <w:r w:rsidRPr="00BC3F72">
        <w:rPr>
          <w:szCs w:val="25"/>
        </w:rPr>
        <w:t>Jesus” glosses only 40a (“a disciple is not above his teacher”); it does not elucidate</w:t>
      </w:r>
      <w:r w:rsidR="00B32D1D">
        <w:rPr>
          <w:szCs w:val="25"/>
        </w:rPr>
        <w:t xml:space="preserve"> </w:t>
      </w:r>
      <w:r w:rsidRPr="00BC3F72">
        <w:rPr>
          <w:szCs w:val="25"/>
        </w:rPr>
        <w:t>40b (</w:t>
      </w:r>
      <w:r w:rsidR="001B2B5D">
        <w:rPr>
          <w:szCs w:val="25"/>
        </w:rPr>
        <w:t>“</w:t>
      </w:r>
      <w:proofErr w:type="spellStart"/>
      <w:r w:rsidRPr="00BC3F72">
        <w:rPr>
          <w:szCs w:val="25"/>
        </w:rPr>
        <w:t>every one</w:t>
      </w:r>
      <w:proofErr w:type="spellEnd"/>
      <w:r w:rsidRPr="00BC3F72">
        <w:rPr>
          <w:szCs w:val="25"/>
        </w:rPr>
        <w:t xml:space="preserve"> when he is fully taught will be like his teacher</w:t>
      </w:r>
      <w:r w:rsidR="001B2B5D">
        <w:rPr>
          <w:szCs w:val="25"/>
        </w:rPr>
        <w:t>”</w:t>
      </w:r>
      <w:r w:rsidRPr="00BC3F72">
        <w:rPr>
          <w:szCs w:val="25"/>
        </w:rPr>
        <w:t>). A commentator</w:t>
      </w:r>
      <w:r w:rsidR="001B2B5D">
        <w:rPr>
          <w:szCs w:val="25"/>
        </w:rPr>
        <w:t xml:space="preserve"> </w:t>
      </w:r>
      <w:r w:rsidRPr="00BC3F72">
        <w:rPr>
          <w:szCs w:val="25"/>
        </w:rPr>
        <w:t>substantially in agreement with Bultmann</w:t>
      </w:r>
      <w:r w:rsidR="006F304D" w:rsidRPr="006F304D">
        <w:rPr>
          <w:szCs w:val="25"/>
        </w:rPr>
        <w:t xml:space="preserve">, </w:t>
      </w:r>
      <w:r w:rsidRPr="00BC3F72">
        <w:rPr>
          <w:szCs w:val="25"/>
        </w:rPr>
        <w:t>W.F. Burnside</w:t>
      </w:r>
      <w:r w:rsidR="006F304D" w:rsidRPr="006F304D">
        <w:rPr>
          <w:szCs w:val="25"/>
        </w:rPr>
        <w:t xml:space="preserve">, </w:t>
      </w:r>
      <w:r w:rsidRPr="00BC3F72">
        <w:rPr>
          <w:szCs w:val="25"/>
        </w:rPr>
        <w:t>is guilty of the same omis</w:t>
      </w:r>
      <w:r w:rsidRPr="00BC3F72">
        <w:rPr>
          <w:szCs w:val="25"/>
        </w:rPr>
        <w:softHyphen/>
        <w:t>sion of 40b.</w:t>
      </w:r>
    </w:p>
    <w:p w14:paraId="142F62E5" w14:textId="77777777" w:rsidR="001B2B5D" w:rsidRDefault="001B2B5D" w:rsidP="0018433B">
      <w:pPr>
        <w:pStyle w:val="Style"/>
        <w:widowControl/>
        <w:jc w:val="both"/>
        <w:textAlignment w:val="baseline"/>
        <w:rPr>
          <w:szCs w:val="25"/>
        </w:rPr>
      </w:pPr>
    </w:p>
    <w:p w14:paraId="4E3810F4" w14:textId="29FEA8A2" w:rsidR="0018433B" w:rsidRPr="00BC3F72" w:rsidRDefault="0018433B" w:rsidP="001B2B5D">
      <w:pPr>
        <w:pStyle w:val="Style"/>
        <w:widowControl/>
        <w:ind w:left="720" w:right="720"/>
        <w:jc w:val="both"/>
        <w:textAlignment w:val="baseline"/>
        <w:rPr>
          <w:rFonts w:eastAsia="Arial"/>
          <w:szCs w:val="2"/>
          <w:vertAlign w:val="superscript"/>
        </w:rPr>
      </w:pPr>
      <w:r w:rsidRPr="00BC3F72">
        <w:rPr>
          <w:szCs w:val="25"/>
        </w:rPr>
        <w:t>The connection in thought is as follows: the disciples must beware of being blind and uninstructed</w:t>
      </w:r>
      <w:r w:rsidR="006F304D" w:rsidRPr="006F304D">
        <w:rPr>
          <w:szCs w:val="25"/>
        </w:rPr>
        <w:t xml:space="preserve">, </w:t>
      </w:r>
      <w:r w:rsidRPr="00BC3F72">
        <w:rPr>
          <w:szCs w:val="25"/>
        </w:rPr>
        <w:t>for they will be teachers (here is a restatement of 39b and 39c]</w:t>
      </w:r>
      <w:r w:rsidR="006F304D" w:rsidRPr="006F304D">
        <w:rPr>
          <w:szCs w:val="25"/>
        </w:rPr>
        <w:t xml:space="preserve">, </w:t>
      </w:r>
      <w:r w:rsidRPr="00BC3F72">
        <w:rPr>
          <w:szCs w:val="25"/>
        </w:rPr>
        <w:t>and they are not likely to have greater knowledge of the truth than their Teacher [a restatement of 40a]: and before they become teachers of others and attempt to correct the faults of others they must have a clear knowledge of themselves and correct their own faults [a restatement</w:t>
      </w:r>
      <w:r w:rsidR="006F304D" w:rsidRPr="006F304D">
        <w:rPr>
          <w:szCs w:val="25"/>
        </w:rPr>
        <w:t xml:space="preserve">, </w:t>
      </w:r>
      <w:r w:rsidRPr="00BC3F72">
        <w:rPr>
          <w:szCs w:val="25"/>
        </w:rPr>
        <w:t>not of 40b</w:t>
      </w:r>
      <w:r w:rsidR="006F304D" w:rsidRPr="006F304D">
        <w:rPr>
          <w:szCs w:val="25"/>
        </w:rPr>
        <w:t xml:space="preserve">, </w:t>
      </w:r>
      <w:r w:rsidRPr="00BC3F72">
        <w:rPr>
          <w:szCs w:val="25"/>
        </w:rPr>
        <w:t>but of 41-42].</w:t>
      </w:r>
      <w:r w:rsidR="001B2B5D">
        <w:rPr>
          <w:rStyle w:val="FootnoteReference"/>
          <w:szCs w:val="25"/>
        </w:rPr>
        <w:footnoteReference w:id="648"/>
      </w:r>
    </w:p>
    <w:p w14:paraId="69216F20" w14:textId="77777777" w:rsidR="001B2B5D" w:rsidRDefault="001B2B5D" w:rsidP="0018433B">
      <w:pPr>
        <w:pStyle w:val="Style"/>
        <w:widowControl/>
        <w:jc w:val="both"/>
        <w:textAlignment w:val="baseline"/>
        <w:rPr>
          <w:szCs w:val="25"/>
        </w:rPr>
      </w:pPr>
    </w:p>
    <w:p w14:paraId="2D623858" w14:textId="53EFB06A" w:rsidR="0018433B" w:rsidRPr="00BC3F72" w:rsidRDefault="00573F48" w:rsidP="0018433B">
      <w:pPr>
        <w:pStyle w:val="Style"/>
        <w:widowControl/>
        <w:jc w:val="both"/>
        <w:textAlignment w:val="baseline"/>
        <w:rPr>
          <w:szCs w:val="25"/>
        </w:rPr>
      </w:pPr>
      <w:r>
        <w:rPr>
          <w:szCs w:val="25"/>
        </w:rPr>
        <w:tab/>
      </w:r>
      <w:r w:rsidR="0018433B" w:rsidRPr="00BC3F72">
        <w:rPr>
          <w:szCs w:val="25"/>
        </w:rPr>
        <w:t>Nevertheless</w:t>
      </w:r>
      <w:r w:rsidR="006F304D" w:rsidRPr="006F304D">
        <w:rPr>
          <w:szCs w:val="25"/>
        </w:rPr>
        <w:t xml:space="preserve">, </w:t>
      </w:r>
      <w:r w:rsidR="0018433B" w:rsidRPr="00BC3F72">
        <w:rPr>
          <w:szCs w:val="25"/>
        </w:rPr>
        <w:t>two tiny facets of these verses may point in the direction of Jesus’ being the teacher in verse 40. One is the term</w:t>
      </w:r>
      <w:r w:rsidR="006F304D" w:rsidRPr="006F304D">
        <w:rPr>
          <w:szCs w:val="25"/>
        </w:rPr>
        <w:t xml:space="preserve"> </w:t>
      </w:r>
      <w:r w:rsidR="00B06EC0" w:rsidRPr="00CE06CA">
        <w:rPr>
          <w:bCs/>
          <w:szCs w:val="22"/>
          <w:lang w:val="el-GR"/>
        </w:rPr>
        <w:t>κατηρτισμένος</w:t>
      </w:r>
      <w:r w:rsidR="0018433B" w:rsidRPr="00BC3F72">
        <w:rPr>
          <w:szCs w:val="25"/>
        </w:rPr>
        <w:t xml:space="preserve"> (RSV: “fully taught”)</w:t>
      </w:r>
      <w:r w:rsidR="006F304D" w:rsidRPr="006F304D">
        <w:rPr>
          <w:szCs w:val="25"/>
        </w:rPr>
        <w:t xml:space="preserve">, </w:t>
      </w:r>
      <w:r w:rsidR="0018433B" w:rsidRPr="00BC3F72">
        <w:rPr>
          <w:szCs w:val="25"/>
        </w:rPr>
        <w:t>the perfect passive participle of</w:t>
      </w:r>
      <w:r w:rsidR="00B06EC0">
        <w:rPr>
          <w:szCs w:val="25"/>
        </w:rPr>
        <w:t xml:space="preserve"> </w:t>
      </w:r>
      <w:r w:rsidR="00B06EC0" w:rsidRPr="00CE06CA">
        <w:rPr>
          <w:bCs/>
          <w:szCs w:val="22"/>
          <w:lang w:val="el-GR"/>
        </w:rPr>
        <w:t>κατηρτ</w:t>
      </w:r>
      <w:r w:rsidR="00B06EC0">
        <w:rPr>
          <w:bCs/>
          <w:szCs w:val="22"/>
          <w:lang w:val="el-GR"/>
        </w:rPr>
        <w:t>ίζω</w:t>
      </w:r>
      <w:r w:rsidR="0018433B" w:rsidRPr="00BC3F72">
        <w:rPr>
          <w:szCs w:val="25"/>
        </w:rPr>
        <w:t xml:space="preserve">. Bauer-Arndt-Gingrich translates </w:t>
      </w:r>
      <w:r w:rsidR="00B06EC0" w:rsidRPr="00CE06CA">
        <w:rPr>
          <w:bCs/>
          <w:szCs w:val="22"/>
          <w:lang w:val="el-GR"/>
        </w:rPr>
        <w:t>κατηρτ</w:t>
      </w:r>
      <w:r w:rsidR="00B06EC0">
        <w:rPr>
          <w:bCs/>
          <w:szCs w:val="22"/>
          <w:lang w:val="el-GR"/>
        </w:rPr>
        <w:t>ίζω</w:t>
      </w:r>
      <w:r w:rsidR="00B06EC0" w:rsidRPr="00BC3F72">
        <w:rPr>
          <w:szCs w:val="25"/>
        </w:rPr>
        <w:t xml:space="preserve"> </w:t>
      </w:r>
      <w:r w:rsidR="0018433B" w:rsidRPr="00BC3F72">
        <w:rPr>
          <w:szCs w:val="25"/>
        </w:rPr>
        <w:t>as</w:t>
      </w:r>
      <w:r w:rsidR="006F304D" w:rsidRPr="006F304D">
        <w:rPr>
          <w:szCs w:val="25"/>
        </w:rPr>
        <w:t xml:space="preserve"> </w:t>
      </w:r>
      <w:r w:rsidR="00B06EC0">
        <w:rPr>
          <w:szCs w:val="25"/>
        </w:rPr>
        <w:t>“</w:t>
      </w:r>
      <w:r w:rsidR="0018433B" w:rsidRPr="00BC3F72">
        <w:rPr>
          <w:szCs w:val="25"/>
        </w:rPr>
        <w:t xml:space="preserve">to restore” or </w:t>
      </w:r>
      <w:r w:rsidR="00B06EC0">
        <w:rPr>
          <w:szCs w:val="25"/>
        </w:rPr>
        <w:t>“</w:t>
      </w:r>
      <w:r w:rsidR="0018433B" w:rsidRPr="00BC3F72">
        <w:rPr>
          <w:szCs w:val="25"/>
        </w:rPr>
        <w:t xml:space="preserve">to [make] complete,” and it translates </w:t>
      </w:r>
      <w:r w:rsidR="00B06EC0" w:rsidRPr="00CE06CA">
        <w:rPr>
          <w:bCs/>
          <w:szCs w:val="22"/>
          <w:lang w:val="el-GR"/>
        </w:rPr>
        <w:t>κατηρτισμένος</w:t>
      </w:r>
      <w:r w:rsidR="00B06EC0">
        <w:rPr>
          <w:szCs w:val="25"/>
        </w:rPr>
        <w:t xml:space="preserve"> </w:t>
      </w:r>
      <w:r w:rsidR="0018433B" w:rsidRPr="00BC3F72">
        <w:rPr>
          <w:szCs w:val="25"/>
        </w:rPr>
        <w:t>in verse 40 with</w:t>
      </w:r>
      <w:r w:rsidR="006F304D" w:rsidRPr="006F304D">
        <w:rPr>
          <w:szCs w:val="25"/>
        </w:rPr>
        <w:t xml:space="preserve"> </w:t>
      </w:r>
      <w:r w:rsidR="00B06EC0">
        <w:rPr>
          <w:szCs w:val="25"/>
        </w:rPr>
        <w:t>“</w:t>
      </w:r>
      <w:r w:rsidR="0018433B" w:rsidRPr="00BC3F72">
        <w:rPr>
          <w:szCs w:val="25"/>
        </w:rPr>
        <w:t>is fully trained</w:t>
      </w:r>
      <w:r w:rsidR="005C0AF9">
        <w:rPr>
          <w:szCs w:val="25"/>
        </w:rPr>
        <w:t>.”</w:t>
      </w:r>
      <w:r w:rsidR="005C0AF9">
        <w:rPr>
          <w:rStyle w:val="FootnoteReference"/>
          <w:szCs w:val="25"/>
        </w:rPr>
        <w:footnoteReference w:id="649"/>
      </w:r>
      <w:r w:rsidR="0018433B" w:rsidRPr="00BC3F72">
        <w:rPr>
          <w:szCs w:val="25"/>
        </w:rPr>
        <w:t xml:space="preserve"> </w:t>
      </w:r>
      <w:r w:rsidR="00B06EC0" w:rsidRPr="00CE06CA">
        <w:rPr>
          <w:bCs/>
          <w:szCs w:val="22"/>
          <w:lang w:val="el-GR"/>
        </w:rPr>
        <w:t>Κατηρτ</w:t>
      </w:r>
      <w:r w:rsidR="00B06EC0">
        <w:rPr>
          <w:bCs/>
          <w:szCs w:val="22"/>
          <w:lang w:val="el-GR"/>
        </w:rPr>
        <w:t>ίζω</w:t>
      </w:r>
      <w:r w:rsidR="006F304D" w:rsidRPr="006F304D">
        <w:rPr>
          <w:szCs w:val="25"/>
        </w:rPr>
        <w:t xml:space="preserve">, </w:t>
      </w:r>
      <w:r w:rsidR="0018433B" w:rsidRPr="00BC3F72">
        <w:rPr>
          <w:szCs w:val="25"/>
        </w:rPr>
        <w:t>however</w:t>
      </w:r>
      <w:r w:rsidR="006F304D" w:rsidRPr="006F304D">
        <w:rPr>
          <w:szCs w:val="25"/>
        </w:rPr>
        <w:t xml:space="preserve">, </w:t>
      </w:r>
      <w:r w:rsidR="0018433B" w:rsidRPr="00BC3F72">
        <w:rPr>
          <w:szCs w:val="25"/>
        </w:rPr>
        <w:t>is a compound verb</w:t>
      </w:r>
      <w:r w:rsidR="006F304D" w:rsidRPr="006F304D">
        <w:rPr>
          <w:szCs w:val="25"/>
        </w:rPr>
        <w:t xml:space="preserve">, </w:t>
      </w:r>
      <w:r w:rsidR="0018433B" w:rsidRPr="00BC3F72">
        <w:rPr>
          <w:szCs w:val="25"/>
        </w:rPr>
        <w:t xml:space="preserve">derived from </w:t>
      </w:r>
      <w:r w:rsidR="00B06EC0" w:rsidRPr="00CE06CA">
        <w:rPr>
          <w:bCs/>
          <w:szCs w:val="22"/>
          <w:lang w:val="el-GR"/>
        </w:rPr>
        <w:t>κατ</w:t>
      </w:r>
      <w:r w:rsidR="00B06EC0">
        <w:rPr>
          <w:bCs/>
          <w:szCs w:val="22"/>
          <w:lang w:val="el-GR"/>
        </w:rPr>
        <w:t>ά</w:t>
      </w:r>
      <w:r w:rsidR="00B06EC0">
        <w:rPr>
          <w:szCs w:val="25"/>
        </w:rPr>
        <w:t xml:space="preserve"> </w:t>
      </w:r>
      <w:r w:rsidR="0018433B" w:rsidRPr="00BC3F72">
        <w:rPr>
          <w:szCs w:val="25"/>
        </w:rPr>
        <w:t xml:space="preserve">(here probably accusative: </w:t>
      </w:r>
      <w:r w:rsidR="00B06EC0">
        <w:rPr>
          <w:szCs w:val="25"/>
        </w:rPr>
        <w:t>“</w:t>
      </w:r>
      <w:r w:rsidR="0018433B" w:rsidRPr="00BC3F72">
        <w:rPr>
          <w:szCs w:val="25"/>
        </w:rPr>
        <w:t>according to</w:t>
      </w:r>
      <w:r w:rsidR="00B06EC0">
        <w:rPr>
          <w:szCs w:val="25"/>
        </w:rPr>
        <w:t>”</w:t>
      </w:r>
      <w:r w:rsidR="0018433B" w:rsidRPr="00BC3F72">
        <w:rPr>
          <w:szCs w:val="25"/>
        </w:rPr>
        <w:t xml:space="preserve"> or “throughout”) </w:t>
      </w:r>
      <w:r w:rsidR="0018433B" w:rsidRPr="00BC3F72">
        <w:rPr>
          <w:szCs w:val="26"/>
        </w:rPr>
        <w:t>+</w:t>
      </w:r>
      <w:r w:rsidR="00B06EC0">
        <w:rPr>
          <w:szCs w:val="25"/>
        </w:rPr>
        <w:t xml:space="preserve"> </w:t>
      </w:r>
      <w:proofErr w:type="spellStart"/>
      <w:r w:rsidR="00B06EC0" w:rsidRPr="00CB0999">
        <w:rPr>
          <w:szCs w:val="22"/>
          <w:lang w:bidi="he-IL"/>
        </w:rPr>
        <w:t>ἄ</w:t>
      </w:r>
      <w:r w:rsidR="00B06EC0">
        <w:rPr>
          <w:szCs w:val="22"/>
          <w:lang w:bidi="he-IL"/>
        </w:rPr>
        <w:t>ρτιος</w:t>
      </w:r>
      <w:proofErr w:type="spellEnd"/>
      <w:r w:rsidR="006F304D" w:rsidRPr="006F304D">
        <w:rPr>
          <w:szCs w:val="25"/>
        </w:rPr>
        <w:t xml:space="preserve">, </w:t>
      </w:r>
      <w:r w:rsidR="0018433B" w:rsidRPr="00BC3F72">
        <w:rPr>
          <w:szCs w:val="25"/>
        </w:rPr>
        <w:t>“perfect</w:t>
      </w:r>
      <w:r w:rsidR="00B06EC0">
        <w:rPr>
          <w:szCs w:val="25"/>
        </w:rPr>
        <w:t>.</w:t>
      </w:r>
      <w:r w:rsidR="0018433B" w:rsidRPr="00BC3F72">
        <w:rPr>
          <w:szCs w:val="25"/>
        </w:rPr>
        <w:t>”</w:t>
      </w:r>
      <w:r w:rsidR="00B06EC0">
        <w:rPr>
          <w:rStyle w:val="FootnoteReference"/>
          <w:szCs w:val="25"/>
        </w:rPr>
        <w:footnoteReference w:id="650"/>
      </w:r>
      <w:r w:rsidR="0018433B" w:rsidRPr="00BC3F72">
        <w:rPr>
          <w:szCs w:val="25"/>
        </w:rPr>
        <w:t xml:space="preserve"> If the verb in its compound form retains any conn</w:t>
      </w:r>
      <w:r w:rsidR="00B06EC0">
        <w:rPr>
          <w:szCs w:val="25"/>
        </w:rPr>
        <w:t>o</w:t>
      </w:r>
      <w:r w:rsidR="0018433B" w:rsidRPr="00BC3F72">
        <w:rPr>
          <w:szCs w:val="25"/>
        </w:rPr>
        <w:t>tation of its etymological root</w:t>
      </w:r>
      <w:r w:rsidR="006F304D" w:rsidRPr="006F304D">
        <w:rPr>
          <w:szCs w:val="25"/>
        </w:rPr>
        <w:t xml:space="preserve">, </w:t>
      </w:r>
      <w:r w:rsidR="0018433B" w:rsidRPr="00BC3F72">
        <w:rPr>
          <w:szCs w:val="25"/>
        </w:rPr>
        <w:t xml:space="preserve">then </w:t>
      </w:r>
      <w:r w:rsidR="00B06EC0" w:rsidRPr="00CE06CA">
        <w:rPr>
          <w:bCs/>
          <w:szCs w:val="22"/>
          <w:lang w:val="el-GR"/>
        </w:rPr>
        <w:t>κατηρτ</w:t>
      </w:r>
      <w:r w:rsidR="00B06EC0">
        <w:rPr>
          <w:bCs/>
          <w:szCs w:val="22"/>
          <w:lang w:val="el-GR"/>
        </w:rPr>
        <w:t>ίζω</w:t>
      </w:r>
      <w:r w:rsidR="00B06EC0" w:rsidRPr="00BC3F72">
        <w:rPr>
          <w:szCs w:val="25"/>
        </w:rPr>
        <w:t xml:space="preserve"> </w:t>
      </w:r>
      <w:r w:rsidR="0018433B" w:rsidRPr="00BC3F72">
        <w:rPr>
          <w:szCs w:val="25"/>
        </w:rPr>
        <w:t>may mean in verse 40</w:t>
      </w:r>
      <w:r w:rsidR="006F304D" w:rsidRPr="006F304D">
        <w:rPr>
          <w:szCs w:val="25"/>
        </w:rPr>
        <w:t xml:space="preserve">, </w:t>
      </w:r>
      <w:r w:rsidR="0018433B" w:rsidRPr="00BC3F72">
        <w:rPr>
          <w:szCs w:val="25"/>
        </w:rPr>
        <w:t>not just “fully trained” in the sense that one matches one’s advisor</w:t>
      </w:r>
      <w:r w:rsidR="006F304D" w:rsidRPr="006F304D">
        <w:rPr>
          <w:szCs w:val="25"/>
        </w:rPr>
        <w:t xml:space="preserve">, </w:t>
      </w:r>
      <w:r w:rsidR="0018433B" w:rsidRPr="00BC3F72">
        <w:rPr>
          <w:szCs w:val="25"/>
        </w:rPr>
        <w:t xml:space="preserve">but </w:t>
      </w:r>
      <w:r w:rsidR="00B06EC0">
        <w:rPr>
          <w:szCs w:val="25"/>
        </w:rPr>
        <w:t>“</w:t>
      </w:r>
      <w:r w:rsidR="0018433B" w:rsidRPr="00BC3F72">
        <w:rPr>
          <w:szCs w:val="25"/>
        </w:rPr>
        <w:t>fully trained</w:t>
      </w:r>
      <w:r w:rsidR="00B06EC0">
        <w:rPr>
          <w:szCs w:val="25"/>
        </w:rPr>
        <w:t xml:space="preserve">” </w:t>
      </w:r>
      <w:r w:rsidR="0018433B" w:rsidRPr="00BC3F72">
        <w:rPr>
          <w:szCs w:val="25"/>
        </w:rPr>
        <w:t>in the sense of “perfected.” If the latter is the verb’s intended sense</w:t>
      </w:r>
      <w:r w:rsidR="006F304D" w:rsidRPr="006F304D">
        <w:rPr>
          <w:szCs w:val="25"/>
        </w:rPr>
        <w:t xml:space="preserve">, </w:t>
      </w:r>
      <w:r w:rsidR="0018433B" w:rsidRPr="00BC3F72">
        <w:rPr>
          <w:szCs w:val="25"/>
        </w:rPr>
        <w:t>then the</w:t>
      </w:r>
      <w:r w:rsidR="00B06EC0">
        <w:rPr>
          <w:szCs w:val="25"/>
        </w:rPr>
        <w:t xml:space="preserve"> </w:t>
      </w:r>
      <w:r w:rsidR="0018433B" w:rsidRPr="00BC3F72">
        <w:rPr>
          <w:szCs w:val="25"/>
        </w:rPr>
        <w:t>advisor in 40b must be Jesus</w:t>
      </w:r>
      <w:r w:rsidR="006F304D" w:rsidRPr="006F304D">
        <w:rPr>
          <w:szCs w:val="25"/>
        </w:rPr>
        <w:t xml:space="preserve">, </w:t>
      </w:r>
      <w:r w:rsidR="0018433B" w:rsidRPr="00BC3F72">
        <w:rPr>
          <w:szCs w:val="25"/>
        </w:rPr>
        <w:t xml:space="preserve">for only if Jesus is the teacher will </w:t>
      </w:r>
      <w:r w:rsidR="00B06EC0">
        <w:rPr>
          <w:szCs w:val="25"/>
        </w:rPr>
        <w:t>“</w:t>
      </w:r>
      <w:proofErr w:type="spellStart"/>
      <w:r w:rsidR="0018433B" w:rsidRPr="00BC3F72">
        <w:rPr>
          <w:szCs w:val="25"/>
        </w:rPr>
        <w:t>every one</w:t>
      </w:r>
      <w:proofErr w:type="spellEnd"/>
      <w:r w:rsidR="0018433B" w:rsidRPr="00BC3F72">
        <w:rPr>
          <w:szCs w:val="25"/>
        </w:rPr>
        <w:t xml:space="preserve"> when he is perfected</w:t>
      </w:r>
      <w:r w:rsidR="00B06EC0">
        <w:rPr>
          <w:szCs w:val="25"/>
        </w:rPr>
        <w:t>”</w:t>
      </w:r>
      <w:r w:rsidR="0018433B" w:rsidRPr="00BC3F72">
        <w:rPr>
          <w:szCs w:val="25"/>
        </w:rPr>
        <w:t xml:space="preserve"> be like his teacher.</w:t>
      </w:r>
    </w:p>
    <w:p w14:paraId="3D53608C" w14:textId="6E5F59E5" w:rsidR="0018433B" w:rsidRPr="00BC3F72" w:rsidRDefault="00573F48" w:rsidP="0018433B">
      <w:pPr>
        <w:pStyle w:val="Style"/>
        <w:widowControl/>
        <w:jc w:val="both"/>
        <w:textAlignment w:val="baseline"/>
        <w:rPr>
          <w:szCs w:val="25"/>
        </w:rPr>
      </w:pPr>
      <w:r>
        <w:rPr>
          <w:szCs w:val="25"/>
        </w:rPr>
        <w:tab/>
      </w:r>
      <w:r w:rsidR="0018433B" w:rsidRPr="00BC3F72">
        <w:rPr>
          <w:szCs w:val="25"/>
        </w:rPr>
        <w:t>Another small datum in verse 40 may also point to Jesus as the teacher.</w:t>
      </w:r>
      <w:r w:rsidR="00B06EC0">
        <w:rPr>
          <w:szCs w:val="25"/>
        </w:rPr>
        <w:t xml:space="preserve"> </w:t>
      </w:r>
      <w:r w:rsidR="0018433B" w:rsidRPr="00BC3F72">
        <w:rPr>
          <w:szCs w:val="25"/>
        </w:rPr>
        <w:t>There is a textual variant in verse 40 that may impinge on the identity of the teacher. Many manuscripts read in 40a</w:t>
      </w:r>
      <w:r w:rsidR="006F304D" w:rsidRPr="006F304D">
        <w:rPr>
          <w:szCs w:val="25"/>
        </w:rPr>
        <w:t xml:space="preserve">, </w:t>
      </w:r>
      <w:r w:rsidR="00B06EC0" w:rsidRPr="00CE06CA">
        <w:rPr>
          <w:bCs/>
          <w:szCs w:val="22"/>
          <w:lang w:val="el-GR"/>
        </w:rPr>
        <w:t>οὐκ ἔστιν μαθητὴς ὑπὲρ τὸν διδάσκαλον</w:t>
      </w:r>
      <w:r w:rsidR="00B06EC0">
        <w:rPr>
          <w:bCs/>
          <w:szCs w:val="22"/>
        </w:rPr>
        <w:t xml:space="preserve"> </w:t>
      </w:r>
      <w:r w:rsidR="00B06EC0" w:rsidRPr="00CB0999">
        <w:rPr>
          <w:szCs w:val="22"/>
          <w:lang w:bidi="he-IL"/>
        </w:rPr>
        <w:t>α</w:t>
      </w:r>
      <w:proofErr w:type="spellStart"/>
      <w:r w:rsidR="00B06EC0" w:rsidRPr="00CB0999">
        <w:rPr>
          <w:szCs w:val="22"/>
          <w:lang w:bidi="he-IL"/>
        </w:rPr>
        <w:t>ὐ</w:t>
      </w:r>
      <w:r w:rsidR="00B06EC0">
        <w:rPr>
          <w:szCs w:val="22"/>
          <w:lang w:bidi="he-IL"/>
        </w:rPr>
        <w:t>το</w:t>
      </w:r>
      <w:r w:rsidR="00B06EC0" w:rsidRPr="00CB0999">
        <w:rPr>
          <w:szCs w:val="22"/>
          <w:lang w:bidi="he-IL"/>
        </w:rPr>
        <w:t>ῦ</w:t>
      </w:r>
      <w:proofErr w:type="spellEnd"/>
      <w:r w:rsidR="00B06EC0" w:rsidRPr="00BC3F72">
        <w:rPr>
          <w:szCs w:val="25"/>
        </w:rPr>
        <w:t xml:space="preserve"> </w:t>
      </w:r>
      <w:r w:rsidR="0018433B" w:rsidRPr="00BC3F72">
        <w:rPr>
          <w:szCs w:val="25"/>
        </w:rPr>
        <w:t>(</w:t>
      </w:r>
      <w:r w:rsidR="00B06EC0">
        <w:rPr>
          <w:szCs w:val="25"/>
        </w:rPr>
        <w:t>“</w:t>
      </w:r>
      <w:r w:rsidR="0018433B" w:rsidRPr="00BC3F72">
        <w:rPr>
          <w:rFonts w:eastAsia="Arial"/>
          <w:szCs w:val="25"/>
        </w:rPr>
        <w:t xml:space="preserve">a </w:t>
      </w:r>
      <w:r w:rsidR="0018433B" w:rsidRPr="00BC3F72">
        <w:rPr>
          <w:szCs w:val="25"/>
        </w:rPr>
        <w:t>disciple is not above his teacher”)</w:t>
      </w:r>
      <w:r w:rsidR="006F304D" w:rsidRPr="006F304D">
        <w:rPr>
          <w:szCs w:val="25"/>
        </w:rPr>
        <w:t xml:space="preserve">, </w:t>
      </w:r>
      <w:r w:rsidR="0018433B" w:rsidRPr="00BC3F72">
        <w:rPr>
          <w:szCs w:val="25"/>
        </w:rPr>
        <w:t xml:space="preserve">but others omit the concluding </w:t>
      </w:r>
      <w:r w:rsidR="00B06EC0" w:rsidRPr="00CB0999">
        <w:rPr>
          <w:szCs w:val="22"/>
          <w:lang w:bidi="he-IL"/>
        </w:rPr>
        <w:t>α</w:t>
      </w:r>
      <w:proofErr w:type="spellStart"/>
      <w:r w:rsidR="00B06EC0" w:rsidRPr="00CB0999">
        <w:rPr>
          <w:szCs w:val="22"/>
          <w:lang w:bidi="he-IL"/>
        </w:rPr>
        <w:t>ὐ</w:t>
      </w:r>
      <w:r w:rsidR="00B06EC0">
        <w:rPr>
          <w:szCs w:val="22"/>
          <w:lang w:bidi="he-IL"/>
        </w:rPr>
        <w:t>το</w:t>
      </w:r>
      <w:r w:rsidR="00B06EC0" w:rsidRPr="00CB0999">
        <w:rPr>
          <w:szCs w:val="22"/>
          <w:lang w:bidi="he-IL"/>
        </w:rPr>
        <w:t>ῦ</w:t>
      </w:r>
      <w:proofErr w:type="spellEnd"/>
      <w:r w:rsidR="0018433B" w:rsidRPr="00BC3F72">
        <w:rPr>
          <w:szCs w:val="25"/>
        </w:rPr>
        <w:t xml:space="preserve"> (“a disciple is not above the teacher”). Nestle-Aland is probably correct to omit the possessive pronoun: though </w:t>
      </w:r>
      <w:proofErr w:type="spellStart"/>
      <w:r w:rsidR="0018433B" w:rsidRPr="00BC3F72">
        <w:rPr>
          <w:szCs w:val="25"/>
        </w:rPr>
        <w:t>Alexandrinus</w:t>
      </w:r>
      <w:proofErr w:type="spellEnd"/>
      <w:r w:rsidR="006F304D" w:rsidRPr="006F304D">
        <w:rPr>
          <w:szCs w:val="25"/>
        </w:rPr>
        <w:t xml:space="preserve">, </w:t>
      </w:r>
      <w:proofErr w:type="spellStart"/>
      <w:r w:rsidR="0018433B" w:rsidRPr="00BC3F72">
        <w:rPr>
          <w:szCs w:val="25"/>
        </w:rPr>
        <w:t>Ephraemi</w:t>
      </w:r>
      <w:proofErr w:type="spellEnd"/>
      <w:r w:rsidR="0018433B" w:rsidRPr="00BC3F72">
        <w:rPr>
          <w:szCs w:val="25"/>
        </w:rPr>
        <w:t xml:space="preserve"> </w:t>
      </w:r>
      <w:proofErr w:type="spellStart"/>
      <w:r w:rsidR="0018433B" w:rsidRPr="00BC3F72">
        <w:rPr>
          <w:szCs w:val="25"/>
        </w:rPr>
        <w:t>Rescriptus</w:t>
      </w:r>
      <w:proofErr w:type="spellEnd"/>
      <w:r w:rsidR="006F304D" w:rsidRPr="006F304D">
        <w:rPr>
          <w:szCs w:val="25"/>
        </w:rPr>
        <w:t xml:space="preserve">, </w:t>
      </w:r>
      <w:proofErr w:type="spellStart"/>
      <w:r w:rsidR="0018433B" w:rsidRPr="00BC3F72">
        <w:rPr>
          <w:szCs w:val="25"/>
        </w:rPr>
        <w:t>Athous</w:t>
      </w:r>
      <w:proofErr w:type="spellEnd"/>
      <w:r w:rsidR="0018433B" w:rsidRPr="00BC3F72">
        <w:rPr>
          <w:szCs w:val="25"/>
        </w:rPr>
        <w:t xml:space="preserve"> Laurae</w:t>
      </w:r>
      <w:r w:rsidR="006F304D" w:rsidRPr="006F304D">
        <w:rPr>
          <w:szCs w:val="25"/>
        </w:rPr>
        <w:t xml:space="preserve">, </w:t>
      </w:r>
      <w:r w:rsidR="0018433B" w:rsidRPr="00BC3F72">
        <w:rPr>
          <w:szCs w:val="25"/>
        </w:rPr>
        <w:t>the Syriac</w:t>
      </w:r>
      <w:r w:rsidR="006F304D" w:rsidRPr="006F304D">
        <w:rPr>
          <w:szCs w:val="25"/>
        </w:rPr>
        <w:t xml:space="preserve">, </w:t>
      </w:r>
      <w:r w:rsidR="0018433B" w:rsidRPr="00BC3F72">
        <w:rPr>
          <w:szCs w:val="25"/>
        </w:rPr>
        <w:t xml:space="preserve">and most Byzantine manuscripts include </w:t>
      </w:r>
      <w:r w:rsidR="00B06EC0" w:rsidRPr="00CB0999">
        <w:rPr>
          <w:szCs w:val="22"/>
          <w:lang w:bidi="he-IL"/>
        </w:rPr>
        <w:t>α</w:t>
      </w:r>
      <w:proofErr w:type="spellStart"/>
      <w:r w:rsidR="00B06EC0" w:rsidRPr="00CB0999">
        <w:rPr>
          <w:szCs w:val="22"/>
          <w:lang w:bidi="he-IL"/>
        </w:rPr>
        <w:t>ὐ</w:t>
      </w:r>
      <w:r w:rsidR="00B06EC0">
        <w:rPr>
          <w:szCs w:val="22"/>
          <w:lang w:bidi="he-IL"/>
        </w:rPr>
        <w:t>το</w:t>
      </w:r>
      <w:r w:rsidR="00B06EC0" w:rsidRPr="00CB0999">
        <w:rPr>
          <w:szCs w:val="22"/>
          <w:lang w:bidi="he-IL"/>
        </w:rPr>
        <w:t>ῦ</w:t>
      </w:r>
      <w:proofErr w:type="spellEnd"/>
      <w:r w:rsidR="0018433B" w:rsidRPr="00BC3F72">
        <w:rPr>
          <w:szCs w:val="25"/>
        </w:rPr>
        <w:t xml:space="preserve"> after</w:t>
      </w:r>
      <w:r w:rsidR="00B06EC0">
        <w:rPr>
          <w:szCs w:val="25"/>
        </w:rPr>
        <w:t xml:space="preserve"> </w:t>
      </w:r>
      <w:r w:rsidR="00B06EC0" w:rsidRPr="00CE06CA">
        <w:rPr>
          <w:bCs/>
          <w:szCs w:val="22"/>
          <w:lang w:val="el-GR"/>
        </w:rPr>
        <w:t>διδάσκαλον</w:t>
      </w:r>
      <w:r w:rsidR="006F304D" w:rsidRPr="006F304D">
        <w:rPr>
          <w:szCs w:val="25"/>
        </w:rPr>
        <w:t xml:space="preserve">, </w:t>
      </w:r>
      <w:r w:rsidR="0018433B" w:rsidRPr="00BC3F72">
        <w:rPr>
          <w:szCs w:val="25"/>
        </w:rPr>
        <w:t>even stronger witnesses omit it: P</w:t>
      </w:r>
      <w:r w:rsidR="0018433B" w:rsidRPr="00BC3F72">
        <w:rPr>
          <w:szCs w:val="20"/>
          <w:vertAlign w:val="superscript"/>
        </w:rPr>
        <w:t>75</w:t>
      </w:r>
      <w:r w:rsidR="006F304D" w:rsidRPr="006F304D">
        <w:rPr>
          <w:szCs w:val="20"/>
        </w:rPr>
        <w:t xml:space="preserve">, </w:t>
      </w:r>
      <w:r w:rsidR="0018433B" w:rsidRPr="00BC3F72">
        <w:rPr>
          <w:szCs w:val="25"/>
        </w:rPr>
        <w:t>Sinaiticus</w:t>
      </w:r>
      <w:r w:rsidR="006F304D" w:rsidRPr="006F304D">
        <w:rPr>
          <w:szCs w:val="25"/>
        </w:rPr>
        <w:t xml:space="preserve">, </w:t>
      </w:r>
      <w:proofErr w:type="spellStart"/>
      <w:r w:rsidR="0018433B" w:rsidRPr="00BC3F72">
        <w:rPr>
          <w:szCs w:val="25"/>
        </w:rPr>
        <w:t>Vaticanus</w:t>
      </w:r>
      <w:proofErr w:type="spellEnd"/>
      <w:r w:rsidR="006F304D" w:rsidRPr="006F304D">
        <w:rPr>
          <w:szCs w:val="25"/>
        </w:rPr>
        <w:t xml:space="preserve">, </w:t>
      </w:r>
      <w:proofErr w:type="spellStart"/>
      <w:r w:rsidR="0018433B" w:rsidRPr="00BC3F72">
        <w:rPr>
          <w:szCs w:val="25"/>
        </w:rPr>
        <w:t>Bezae</w:t>
      </w:r>
      <w:proofErr w:type="spellEnd"/>
      <w:r w:rsidR="006F304D" w:rsidRPr="006F304D">
        <w:rPr>
          <w:szCs w:val="25"/>
        </w:rPr>
        <w:t xml:space="preserve">, </w:t>
      </w:r>
      <w:r w:rsidR="0018433B" w:rsidRPr="00BC3F72">
        <w:rPr>
          <w:szCs w:val="25"/>
        </w:rPr>
        <w:t>Regius</w:t>
      </w:r>
      <w:r w:rsidR="006F304D" w:rsidRPr="006F304D">
        <w:rPr>
          <w:szCs w:val="25"/>
        </w:rPr>
        <w:t xml:space="preserve">, </w:t>
      </w:r>
      <w:proofErr w:type="spellStart"/>
      <w:r w:rsidR="0018433B" w:rsidRPr="00BC3F72">
        <w:rPr>
          <w:szCs w:val="25"/>
        </w:rPr>
        <w:t>Washing</w:t>
      </w:r>
      <w:r w:rsidR="0018433B" w:rsidRPr="00BC3F72">
        <w:rPr>
          <w:szCs w:val="25"/>
        </w:rPr>
        <w:softHyphen/>
        <w:t>tonianus</w:t>
      </w:r>
      <w:proofErr w:type="spellEnd"/>
      <w:r w:rsidR="006F304D" w:rsidRPr="006F304D">
        <w:rPr>
          <w:szCs w:val="25"/>
        </w:rPr>
        <w:t xml:space="preserve">, </w:t>
      </w:r>
      <w:proofErr w:type="spellStart"/>
      <w:r w:rsidR="0018433B" w:rsidRPr="00BC3F72">
        <w:rPr>
          <w:szCs w:val="25"/>
        </w:rPr>
        <w:t>Koridethi</w:t>
      </w:r>
      <w:proofErr w:type="spellEnd"/>
      <w:r w:rsidR="006F304D" w:rsidRPr="006F304D">
        <w:rPr>
          <w:szCs w:val="25"/>
        </w:rPr>
        <w:t xml:space="preserve">, </w:t>
      </w:r>
      <w:r w:rsidR="0018433B" w:rsidRPr="00BC3F72">
        <w:rPr>
          <w:szCs w:val="25"/>
        </w:rPr>
        <w:t>Zachynthius</w:t>
      </w:r>
      <w:r w:rsidR="006F304D" w:rsidRPr="006F304D">
        <w:rPr>
          <w:szCs w:val="25"/>
        </w:rPr>
        <w:t xml:space="preserve">, </w:t>
      </w:r>
      <w:r w:rsidR="0018433B" w:rsidRPr="00BC3F72">
        <w:rPr>
          <w:szCs w:val="25"/>
        </w:rPr>
        <w:t xml:space="preserve">families 1 and </w:t>
      </w:r>
      <w:r w:rsidR="0018433B" w:rsidRPr="00573F48">
        <w:rPr>
          <w:szCs w:val="26"/>
        </w:rPr>
        <w:t>13,</w:t>
      </w:r>
      <w:r>
        <w:rPr>
          <w:szCs w:val="26"/>
        </w:rPr>
        <w:t xml:space="preserve"> </w:t>
      </w:r>
      <w:proofErr w:type="spellStart"/>
      <w:r w:rsidR="0018433B" w:rsidRPr="00BC3F72">
        <w:rPr>
          <w:i/>
          <w:iCs/>
          <w:szCs w:val="26"/>
        </w:rPr>
        <w:t>pauca</w:t>
      </w:r>
      <w:proofErr w:type="spellEnd"/>
      <w:r w:rsidR="0018433B" w:rsidRPr="00BC3F72">
        <w:rPr>
          <w:iCs/>
          <w:szCs w:val="26"/>
        </w:rPr>
        <w:t xml:space="preserve">. </w:t>
      </w:r>
      <w:r w:rsidR="0018433B" w:rsidRPr="00BC3F72">
        <w:rPr>
          <w:szCs w:val="23"/>
        </w:rPr>
        <w:t>Now</w:t>
      </w:r>
      <w:r w:rsidR="006F304D" w:rsidRPr="006F304D">
        <w:rPr>
          <w:szCs w:val="23"/>
        </w:rPr>
        <w:t xml:space="preserve">, </w:t>
      </w:r>
      <w:r w:rsidR="0018433B" w:rsidRPr="00BC3F72">
        <w:rPr>
          <w:szCs w:val="25"/>
        </w:rPr>
        <w:t xml:space="preserve">omission of </w:t>
      </w:r>
      <w:r>
        <w:rPr>
          <w:szCs w:val="22"/>
          <w:lang w:bidi="he-IL"/>
        </w:rPr>
        <w:t>α</w:t>
      </w:r>
      <w:proofErr w:type="spellStart"/>
      <w:r>
        <w:rPr>
          <w:szCs w:val="22"/>
          <w:lang w:bidi="he-IL"/>
        </w:rPr>
        <w:t>ὐτοῦ</w:t>
      </w:r>
      <w:proofErr w:type="spellEnd"/>
      <w:r>
        <w:rPr>
          <w:szCs w:val="25"/>
        </w:rPr>
        <w:t xml:space="preserve"> </w:t>
      </w:r>
      <w:r w:rsidR="0018433B" w:rsidRPr="00BC3F72">
        <w:rPr>
          <w:szCs w:val="25"/>
        </w:rPr>
        <w:t>may imply that the teacher in 40a is not just any teacher (</w:t>
      </w:r>
      <w:r w:rsidR="0018433B" w:rsidRPr="00BC3F72">
        <w:rPr>
          <w:iCs/>
          <w:szCs w:val="26"/>
        </w:rPr>
        <w:t>“</w:t>
      </w:r>
      <w:r w:rsidR="0018433B" w:rsidRPr="00BC3F72">
        <w:rPr>
          <w:i/>
          <w:iCs/>
          <w:szCs w:val="26"/>
        </w:rPr>
        <w:t>his</w:t>
      </w:r>
      <w:r w:rsidR="0018433B" w:rsidRPr="00BC3F72">
        <w:rPr>
          <w:iCs/>
          <w:szCs w:val="26"/>
        </w:rPr>
        <w:t xml:space="preserve"> [</w:t>
      </w:r>
      <w:r w:rsidR="0018433B" w:rsidRPr="00BC3F72">
        <w:rPr>
          <w:szCs w:val="25"/>
        </w:rPr>
        <w:t>a disciple’s] teacher,</w:t>
      </w:r>
      <w:r>
        <w:rPr>
          <w:szCs w:val="25"/>
        </w:rPr>
        <w:t>”</w:t>
      </w:r>
      <w:r w:rsidR="0018433B" w:rsidRPr="00BC3F72">
        <w:rPr>
          <w:szCs w:val="25"/>
        </w:rPr>
        <w:t xml:space="preserve"> whomever that may be in a given case)</w:t>
      </w:r>
      <w:r w:rsidR="006F304D" w:rsidRPr="006F304D">
        <w:rPr>
          <w:szCs w:val="25"/>
        </w:rPr>
        <w:t xml:space="preserve">, </w:t>
      </w:r>
      <w:r w:rsidR="0018433B" w:rsidRPr="00BC3F72">
        <w:rPr>
          <w:szCs w:val="25"/>
        </w:rPr>
        <w:t>but specifically Christ himself (</w:t>
      </w:r>
      <w:r w:rsidR="0018433B" w:rsidRPr="00BC3F72">
        <w:rPr>
          <w:iCs/>
          <w:szCs w:val="26"/>
        </w:rPr>
        <w:t>“</w:t>
      </w:r>
      <w:r>
        <w:rPr>
          <w:i/>
          <w:szCs w:val="26"/>
        </w:rPr>
        <w:t>t</w:t>
      </w:r>
      <w:r w:rsidR="0018433B" w:rsidRPr="00BC3F72">
        <w:rPr>
          <w:i/>
          <w:iCs/>
          <w:szCs w:val="26"/>
        </w:rPr>
        <w:t>he</w:t>
      </w:r>
      <w:r w:rsidR="0018433B" w:rsidRPr="00573F48">
        <w:rPr>
          <w:szCs w:val="25"/>
        </w:rPr>
        <w:t xml:space="preserve"> </w:t>
      </w:r>
      <w:r w:rsidR="0018433B" w:rsidRPr="00BC3F72">
        <w:rPr>
          <w:szCs w:val="25"/>
        </w:rPr>
        <w:t>teacher”). On the other hand</w:t>
      </w:r>
      <w:r w:rsidR="006F304D" w:rsidRPr="006F304D">
        <w:rPr>
          <w:szCs w:val="25"/>
        </w:rPr>
        <w:t xml:space="preserve">, </w:t>
      </w:r>
      <w:r w:rsidR="0018433B" w:rsidRPr="00BC3F72">
        <w:rPr>
          <w:szCs w:val="25"/>
        </w:rPr>
        <w:t xml:space="preserve">in the second half of 40 one does find </w:t>
      </w:r>
      <w:r w:rsidRPr="00CE06CA">
        <w:rPr>
          <w:bCs/>
          <w:szCs w:val="22"/>
          <w:lang w:val="el-GR"/>
        </w:rPr>
        <w:t>διδάσκαλος αὐτοῦ</w:t>
      </w:r>
      <w:r w:rsidR="0018433B" w:rsidRPr="00BC3F72">
        <w:rPr>
          <w:szCs w:val="25"/>
        </w:rPr>
        <w:t xml:space="preserve"> (40b</w:t>
      </w:r>
      <w:r w:rsidR="006F304D" w:rsidRPr="006F304D">
        <w:rPr>
          <w:szCs w:val="25"/>
        </w:rPr>
        <w:t xml:space="preserve">, </w:t>
      </w:r>
      <w:r w:rsidRPr="00CE06CA">
        <w:rPr>
          <w:bCs/>
          <w:szCs w:val="22"/>
          <w:lang w:val="el-GR"/>
        </w:rPr>
        <w:t>κατηρτισμένος δὲ πᾶς ἔσται ὡς ὁ διδάσκαλος αὐτοῦ</w:t>
      </w:r>
      <w:r w:rsidR="006F304D" w:rsidRPr="006F304D">
        <w:rPr>
          <w:szCs w:val="25"/>
        </w:rPr>
        <w:t xml:space="preserve">, </w:t>
      </w:r>
      <w:r>
        <w:rPr>
          <w:szCs w:val="25"/>
        </w:rPr>
        <w:t>“</w:t>
      </w:r>
      <w:r w:rsidR="0018433B" w:rsidRPr="00BC3F72">
        <w:rPr>
          <w:szCs w:val="25"/>
        </w:rPr>
        <w:t>every one when he is fully taught will be like his teacher”)</w:t>
      </w:r>
      <w:r w:rsidR="006F304D" w:rsidRPr="006F304D">
        <w:rPr>
          <w:szCs w:val="25"/>
        </w:rPr>
        <w:t xml:space="preserve">, </w:t>
      </w:r>
      <w:r w:rsidR="0018433B" w:rsidRPr="00BC3F72">
        <w:rPr>
          <w:szCs w:val="25"/>
        </w:rPr>
        <w:t>and here there is no significant variation within the textual tradition. Either Luke did not mean to suggest</w:t>
      </w:r>
      <w:r w:rsidR="006F304D" w:rsidRPr="006F304D">
        <w:rPr>
          <w:szCs w:val="25"/>
        </w:rPr>
        <w:t xml:space="preserve">, </w:t>
      </w:r>
      <w:r w:rsidR="0018433B" w:rsidRPr="00BC3F72">
        <w:rPr>
          <w:szCs w:val="25"/>
        </w:rPr>
        <w:t>by the absen</w:t>
      </w:r>
      <w:r>
        <w:rPr>
          <w:szCs w:val="25"/>
        </w:rPr>
        <w:t>c</w:t>
      </w:r>
      <w:r w:rsidR="0018433B" w:rsidRPr="00BC3F72">
        <w:rPr>
          <w:szCs w:val="25"/>
        </w:rPr>
        <w:t xml:space="preserve">e of </w:t>
      </w:r>
      <w:r w:rsidRPr="00CE06CA">
        <w:rPr>
          <w:bCs/>
          <w:szCs w:val="22"/>
          <w:lang w:val="el-GR"/>
        </w:rPr>
        <w:t>αὐτοῦ</w:t>
      </w:r>
      <w:r w:rsidRPr="00BC3F72">
        <w:rPr>
          <w:szCs w:val="25"/>
        </w:rPr>
        <w:t xml:space="preserve"> </w:t>
      </w:r>
      <w:r w:rsidR="0018433B" w:rsidRPr="00BC3F72">
        <w:rPr>
          <w:szCs w:val="25"/>
        </w:rPr>
        <w:t>in 40a</w:t>
      </w:r>
      <w:r w:rsidR="006F304D" w:rsidRPr="006F304D">
        <w:rPr>
          <w:szCs w:val="25"/>
        </w:rPr>
        <w:t xml:space="preserve">, </w:t>
      </w:r>
      <w:r w:rsidR="0018433B" w:rsidRPr="00BC3F72">
        <w:rPr>
          <w:szCs w:val="25"/>
        </w:rPr>
        <w:t>that the teacher is Jesus; or he felt free to refer to “his teacher” in 40b because</w:t>
      </w:r>
      <w:r w:rsidR="006F304D" w:rsidRPr="006F304D">
        <w:rPr>
          <w:szCs w:val="25"/>
        </w:rPr>
        <w:t xml:space="preserve">, </w:t>
      </w:r>
      <w:r w:rsidR="0018433B" w:rsidRPr="00BC3F72">
        <w:rPr>
          <w:szCs w:val="25"/>
        </w:rPr>
        <w:t xml:space="preserve">having already manifested the identity of the teacher in 40a as </w:t>
      </w:r>
      <w:r>
        <w:rPr>
          <w:szCs w:val="25"/>
        </w:rPr>
        <w:t>“</w:t>
      </w:r>
      <w:r w:rsidR="0018433B" w:rsidRPr="00BC3F72">
        <w:rPr>
          <w:i/>
          <w:iCs/>
          <w:szCs w:val="26"/>
        </w:rPr>
        <w:t>the</w:t>
      </w:r>
      <w:r w:rsidR="0018433B" w:rsidRPr="00573F48">
        <w:rPr>
          <w:szCs w:val="26"/>
        </w:rPr>
        <w:t xml:space="preserve"> </w:t>
      </w:r>
      <w:r w:rsidR="0018433B" w:rsidRPr="00BC3F72">
        <w:rPr>
          <w:szCs w:val="25"/>
        </w:rPr>
        <w:t>teacher,</w:t>
      </w:r>
      <w:r>
        <w:rPr>
          <w:szCs w:val="25"/>
        </w:rPr>
        <w:t>”</w:t>
      </w:r>
      <w:r w:rsidR="0018433B" w:rsidRPr="00BC3F72">
        <w:rPr>
          <w:szCs w:val="25"/>
        </w:rPr>
        <w:t xml:space="preserve"> he felt no need to accentuate its identity as Jesus any further.</w:t>
      </w:r>
    </w:p>
    <w:p w14:paraId="6A4EE8CF" w14:textId="197658AC" w:rsidR="0018433B" w:rsidRPr="00BC3F72" w:rsidRDefault="00573F48" w:rsidP="0018433B">
      <w:pPr>
        <w:pStyle w:val="Style"/>
        <w:widowControl/>
        <w:jc w:val="both"/>
        <w:textAlignment w:val="baseline"/>
        <w:rPr>
          <w:szCs w:val="25"/>
        </w:rPr>
      </w:pPr>
      <w:r>
        <w:rPr>
          <w:szCs w:val="25"/>
        </w:rPr>
        <w:tab/>
      </w:r>
      <w:r w:rsidR="0018433B" w:rsidRPr="00BC3F72">
        <w:rPr>
          <w:szCs w:val="25"/>
        </w:rPr>
        <w:t>Perhaps a final support for the idea that the teacher in verse 40 is Jesus is the</w:t>
      </w:r>
      <w:r>
        <w:rPr>
          <w:szCs w:val="25"/>
        </w:rPr>
        <w:t xml:space="preserve"> </w:t>
      </w:r>
      <w:r w:rsidR="0018433B" w:rsidRPr="00BC3F72">
        <w:rPr>
          <w:szCs w:val="25"/>
        </w:rPr>
        <w:t>use of this verse elsewhere in the gospels. In both of the other occurrences of the</w:t>
      </w:r>
      <w:r>
        <w:rPr>
          <w:szCs w:val="25"/>
        </w:rPr>
        <w:t xml:space="preserve"> </w:t>
      </w:r>
      <w:r w:rsidR="0018433B" w:rsidRPr="00BC3F72">
        <w:rPr>
          <w:szCs w:val="25"/>
        </w:rPr>
        <w:t>disciple-teacher logion in the New Testament</w:t>
      </w:r>
      <w:r w:rsidR="0018433B" w:rsidRPr="00F624D6">
        <w:rPr>
          <w:szCs w:val="25"/>
        </w:rPr>
        <w:t>—</w:t>
      </w:r>
      <w:r w:rsidR="0018433B" w:rsidRPr="00BC3F72">
        <w:rPr>
          <w:szCs w:val="25"/>
        </w:rPr>
        <w:t>Matthew 10:24 and John 13:16</w:t>
      </w:r>
      <w:r w:rsidR="0018433B" w:rsidRPr="00F624D6">
        <w:rPr>
          <w:szCs w:val="25"/>
        </w:rPr>
        <w:t>—</w:t>
      </w:r>
      <w:r w:rsidR="0018433B" w:rsidRPr="00BC3F72">
        <w:rPr>
          <w:szCs w:val="25"/>
        </w:rPr>
        <w:t>the teacher unquestionably refers to Jesus. Moreover</w:t>
      </w:r>
      <w:r w:rsidR="006F304D" w:rsidRPr="006F304D">
        <w:rPr>
          <w:szCs w:val="25"/>
        </w:rPr>
        <w:t xml:space="preserve">, </w:t>
      </w:r>
      <w:r w:rsidR="0018433B" w:rsidRPr="00BC3F72">
        <w:rPr>
          <w:szCs w:val="25"/>
        </w:rPr>
        <w:t>in the closely-related servant-and</w:t>
      </w:r>
      <w:r>
        <w:rPr>
          <w:szCs w:val="25"/>
        </w:rPr>
        <w:t>-</w:t>
      </w:r>
      <w:r w:rsidR="0018433B" w:rsidRPr="00BC3F72">
        <w:rPr>
          <w:szCs w:val="25"/>
        </w:rPr>
        <w:t>master logion</w:t>
      </w:r>
      <w:r w:rsidR="0018433B" w:rsidRPr="00F624D6">
        <w:rPr>
          <w:szCs w:val="25"/>
        </w:rPr>
        <w:t>—</w:t>
      </w:r>
      <w:r w:rsidR="0018433B" w:rsidRPr="00BC3F72">
        <w:rPr>
          <w:szCs w:val="25"/>
        </w:rPr>
        <w:t>“a servant is not greater than his master</w:t>
      </w:r>
      <w:r>
        <w:rPr>
          <w:szCs w:val="25"/>
        </w:rPr>
        <w:t>”</w:t>
      </w:r>
      <w:r>
        <w:rPr>
          <w:rStyle w:val="FootnoteReference"/>
          <w:szCs w:val="25"/>
        </w:rPr>
        <w:footnoteReference w:id="651"/>
      </w:r>
      <w:r w:rsidR="0018433B" w:rsidRPr="00F624D6">
        <w:rPr>
          <w:szCs w:val="21"/>
          <w:vertAlign w:val="superscript"/>
        </w:rPr>
        <w:t>—</w:t>
      </w:r>
      <w:r w:rsidR="0018433B" w:rsidRPr="00BC3F72">
        <w:rPr>
          <w:szCs w:val="25"/>
        </w:rPr>
        <w:t>the master is unquestionably Jesus. Though an exegete who relies upon parallels to explicate a verse is in danger of assimilation</w:t>
      </w:r>
      <w:r w:rsidR="006F304D" w:rsidRPr="006F304D">
        <w:rPr>
          <w:szCs w:val="25"/>
        </w:rPr>
        <w:t xml:space="preserve">, </w:t>
      </w:r>
      <w:r w:rsidR="0018433B" w:rsidRPr="00BC3F72">
        <w:rPr>
          <w:szCs w:val="25"/>
        </w:rPr>
        <w:t>still it seems possible that the disciple-teacher logion may have come to Luke in a form in which the identity of the teacher as Jesus was clear.</w:t>
      </w:r>
    </w:p>
    <w:p w14:paraId="70463652" w14:textId="2951B78E" w:rsidR="0018433B" w:rsidRPr="00BC3F72" w:rsidRDefault="00573F48" w:rsidP="0018433B">
      <w:pPr>
        <w:pStyle w:val="Style"/>
        <w:widowControl/>
        <w:jc w:val="both"/>
        <w:textAlignment w:val="baseline"/>
        <w:rPr>
          <w:szCs w:val="25"/>
        </w:rPr>
      </w:pPr>
      <w:r>
        <w:rPr>
          <w:szCs w:val="25"/>
        </w:rPr>
        <w:tab/>
      </w:r>
      <w:r w:rsidR="0018433B" w:rsidRPr="00BC3F72">
        <w:rPr>
          <w:szCs w:val="25"/>
        </w:rPr>
        <w:t>Nevertheless</w:t>
      </w:r>
      <w:r w:rsidR="006F304D" w:rsidRPr="006F304D">
        <w:rPr>
          <w:szCs w:val="25"/>
        </w:rPr>
        <w:t xml:space="preserve">, </w:t>
      </w:r>
      <w:r w:rsidR="0018433B" w:rsidRPr="00BC3F72">
        <w:rPr>
          <w:szCs w:val="25"/>
        </w:rPr>
        <w:t>since each of these props for the teacher-as-Jesus interpretation (</w:t>
      </w:r>
      <w:r w:rsidR="000E0575" w:rsidRPr="00CE06CA">
        <w:rPr>
          <w:bCs/>
          <w:szCs w:val="22"/>
          <w:lang w:val="el-GR"/>
        </w:rPr>
        <w:t>κατηρτισμένος</w:t>
      </w:r>
      <w:r>
        <w:rPr>
          <w:szCs w:val="25"/>
        </w:rPr>
        <w:t xml:space="preserve"> </w:t>
      </w:r>
      <w:r w:rsidR="0018433B" w:rsidRPr="00BC3F72">
        <w:rPr>
          <w:szCs w:val="25"/>
        </w:rPr>
        <w:t xml:space="preserve">as </w:t>
      </w:r>
      <w:r w:rsidR="000E0575">
        <w:rPr>
          <w:szCs w:val="25"/>
        </w:rPr>
        <w:t>“</w:t>
      </w:r>
      <w:r w:rsidR="0018433B" w:rsidRPr="00BC3F72">
        <w:rPr>
          <w:szCs w:val="25"/>
        </w:rPr>
        <w:t xml:space="preserve">perfected”; absence of </w:t>
      </w:r>
      <w:r w:rsidR="000E0575">
        <w:rPr>
          <w:bCs/>
          <w:szCs w:val="22"/>
          <w:lang w:val="el-GR"/>
        </w:rPr>
        <w:t>αὐτοῦ</w:t>
      </w:r>
      <w:r w:rsidR="000E0575" w:rsidRPr="00BC3F72">
        <w:rPr>
          <w:szCs w:val="25"/>
        </w:rPr>
        <w:t xml:space="preserve"> </w:t>
      </w:r>
      <w:r w:rsidR="0018433B" w:rsidRPr="00BC3F72">
        <w:rPr>
          <w:szCs w:val="25"/>
        </w:rPr>
        <w:t>and consequent translation</w:t>
      </w:r>
      <w:r w:rsidR="006F304D" w:rsidRPr="006F304D">
        <w:rPr>
          <w:szCs w:val="25"/>
        </w:rPr>
        <w:t xml:space="preserve">, </w:t>
      </w:r>
      <w:r w:rsidR="000E0575" w:rsidRPr="000E0575">
        <w:rPr>
          <w:szCs w:val="23"/>
        </w:rPr>
        <w:t>“</w:t>
      </w:r>
      <w:r w:rsidR="0018433B" w:rsidRPr="00BC3F72">
        <w:rPr>
          <w:i/>
          <w:iCs/>
          <w:szCs w:val="23"/>
        </w:rPr>
        <w:t>the</w:t>
      </w:r>
      <w:r w:rsidR="0018433B" w:rsidRPr="000E0575">
        <w:rPr>
          <w:szCs w:val="23"/>
        </w:rPr>
        <w:t xml:space="preserve"> </w:t>
      </w:r>
      <w:r w:rsidR="0018433B" w:rsidRPr="00BC3F72">
        <w:rPr>
          <w:szCs w:val="25"/>
        </w:rPr>
        <w:t>teacher”; and Jesus as clearly the teacher in the parallels) is quite weak</w:t>
      </w:r>
      <w:r w:rsidR="006F304D" w:rsidRPr="006F304D">
        <w:rPr>
          <w:szCs w:val="25"/>
        </w:rPr>
        <w:t xml:space="preserve">, </w:t>
      </w:r>
      <w:r w:rsidR="0018433B" w:rsidRPr="00BC3F72">
        <w:rPr>
          <w:szCs w:val="25"/>
        </w:rPr>
        <w:t>they cannot be said to have much cumulative force.</w:t>
      </w:r>
    </w:p>
    <w:p w14:paraId="7A4DF791" w14:textId="0E0F0B19" w:rsidR="0018433B" w:rsidRPr="00BC3F72" w:rsidRDefault="00573F48" w:rsidP="0018433B">
      <w:pPr>
        <w:pStyle w:val="Style"/>
        <w:widowControl/>
        <w:jc w:val="both"/>
        <w:textAlignment w:val="baseline"/>
        <w:rPr>
          <w:szCs w:val="25"/>
        </w:rPr>
      </w:pPr>
      <w:r>
        <w:rPr>
          <w:szCs w:val="25"/>
        </w:rPr>
        <w:tab/>
      </w:r>
      <w:r w:rsidR="0018433B" w:rsidRPr="00BC3F72">
        <w:rPr>
          <w:szCs w:val="25"/>
        </w:rPr>
        <w:t>Commentators who see in the teacher of verse 40 a reference to the disciples</w:t>
      </w:r>
      <w:r>
        <w:rPr>
          <w:szCs w:val="25"/>
        </w:rPr>
        <w:t xml:space="preserve"> </w:t>
      </w:r>
      <w:r w:rsidR="0018433B" w:rsidRPr="00BC3F72">
        <w:rPr>
          <w:szCs w:val="25"/>
        </w:rPr>
        <w:t>rather than to Jesus are more common. Here are several examples.</w:t>
      </w:r>
    </w:p>
    <w:p w14:paraId="3A6C52D4" w14:textId="77777777" w:rsidR="00573F48" w:rsidRDefault="00573F48" w:rsidP="0018433B">
      <w:pPr>
        <w:pStyle w:val="Style"/>
        <w:widowControl/>
        <w:jc w:val="both"/>
        <w:textAlignment w:val="baseline"/>
        <w:rPr>
          <w:szCs w:val="25"/>
        </w:rPr>
      </w:pPr>
    </w:p>
    <w:p w14:paraId="6ACBF689" w14:textId="66BDE694" w:rsidR="00573F48" w:rsidRPr="00573F48" w:rsidRDefault="0018433B" w:rsidP="00573F48">
      <w:pPr>
        <w:pStyle w:val="Style"/>
        <w:widowControl/>
        <w:ind w:left="720" w:right="720"/>
        <w:jc w:val="both"/>
        <w:textAlignment w:val="baseline"/>
        <w:rPr>
          <w:szCs w:val="2"/>
        </w:rPr>
      </w:pPr>
      <w:r w:rsidRPr="00EE2A2F">
        <w:rPr>
          <w:szCs w:val="25"/>
        </w:rPr>
        <w:t>. . .</w:t>
      </w:r>
      <w:r w:rsidRPr="00BC3F72">
        <w:rPr>
          <w:szCs w:val="25"/>
        </w:rPr>
        <w:t xml:space="preserve"> a person who is unable to conduct others (v. 39) must not want to play the role of a teacher (v. 40).</w:t>
      </w:r>
      <w:r w:rsidR="000E0575">
        <w:rPr>
          <w:rStyle w:val="FootnoteReference"/>
          <w:szCs w:val="25"/>
        </w:rPr>
        <w:footnoteReference w:id="652"/>
      </w:r>
    </w:p>
    <w:p w14:paraId="276C6758" w14:textId="22C6616A" w:rsidR="000E0575" w:rsidRDefault="0018433B" w:rsidP="000E0575">
      <w:pPr>
        <w:pStyle w:val="Style"/>
        <w:widowControl/>
        <w:ind w:left="720" w:right="720"/>
        <w:jc w:val="both"/>
        <w:textAlignment w:val="baseline"/>
        <w:rPr>
          <w:szCs w:val="25"/>
        </w:rPr>
      </w:pPr>
      <w:r w:rsidRPr="00BC3F72">
        <w:rPr>
          <w:szCs w:val="25"/>
        </w:rPr>
        <w:t xml:space="preserve">[39-40 concern] the uselessness of the spiritually blind as a teacher of others </w:t>
      </w:r>
      <w:r w:rsidRPr="00EE2A2F">
        <w:rPr>
          <w:szCs w:val="25"/>
        </w:rPr>
        <w:t>. . .</w:t>
      </w:r>
      <w:r w:rsidR="000E0575">
        <w:rPr>
          <w:rStyle w:val="FootnoteReference"/>
          <w:szCs w:val="25"/>
        </w:rPr>
        <w:footnoteReference w:id="653"/>
      </w:r>
    </w:p>
    <w:p w14:paraId="6F66F26E" w14:textId="0D9231F2" w:rsidR="000E0575" w:rsidRDefault="000E0575" w:rsidP="000E0575">
      <w:pPr>
        <w:pStyle w:val="Style"/>
        <w:widowControl/>
        <w:ind w:left="720" w:right="720"/>
        <w:jc w:val="both"/>
        <w:textAlignment w:val="baseline"/>
        <w:rPr>
          <w:szCs w:val="2"/>
        </w:rPr>
      </w:pPr>
      <w:r>
        <w:rPr>
          <w:szCs w:val="25"/>
        </w:rPr>
        <w:t>A</w:t>
      </w:r>
      <w:r w:rsidR="0018433B" w:rsidRPr="00BC3F72">
        <w:rPr>
          <w:szCs w:val="25"/>
        </w:rPr>
        <w:t xml:space="preserve"> teacher cannot impart more knowledge than he himself possesses,</w:t>
      </w:r>
      <w:r>
        <w:rPr>
          <w:szCs w:val="2"/>
        </w:rPr>
        <w:t xml:space="preserve"> </w:t>
      </w:r>
      <w:r w:rsidR="0018433B" w:rsidRPr="00BC3F72">
        <w:rPr>
          <w:szCs w:val="25"/>
        </w:rPr>
        <w:t>not even to his most diligent pupils.</w:t>
      </w:r>
      <w:r>
        <w:rPr>
          <w:rStyle w:val="FootnoteReference"/>
          <w:szCs w:val="25"/>
        </w:rPr>
        <w:footnoteReference w:id="654"/>
      </w:r>
    </w:p>
    <w:p w14:paraId="18F55848" w14:textId="7095578B" w:rsidR="0018433B" w:rsidRPr="000E0575" w:rsidRDefault="0018433B" w:rsidP="000E0575">
      <w:pPr>
        <w:pStyle w:val="Style"/>
        <w:widowControl/>
        <w:ind w:left="720" w:right="720"/>
        <w:jc w:val="both"/>
        <w:textAlignment w:val="baseline"/>
        <w:rPr>
          <w:szCs w:val="2"/>
        </w:rPr>
      </w:pPr>
      <w:r w:rsidRPr="00BC3F72">
        <w:rPr>
          <w:szCs w:val="25"/>
        </w:rPr>
        <w:t xml:space="preserve">Here the </w:t>
      </w:r>
      <w:proofErr w:type="spellStart"/>
      <w:r w:rsidRPr="00BC3F72">
        <w:rPr>
          <w:szCs w:val="25"/>
        </w:rPr>
        <w:t>connexion</w:t>
      </w:r>
      <w:proofErr w:type="spellEnd"/>
      <w:r w:rsidRPr="00BC3F72">
        <w:rPr>
          <w:szCs w:val="25"/>
        </w:rPr>
        <w:t xml:space="preserve"> seems to be that disciples </w:t>
      </w:r>
      <w:r w:rsidRPr="00BC3F72">
        <w:rPr>
          <w:szCs w:val="23"/>
        </w:rPr>
        <w:t xml:space="preserve">will </w:t>
      </w:r>
      <w:r w:rsidRPr="00BC3F72">
        <w:rPr>
          <w:szCs w:val="25"/>
        </w:rPr>
        <w:t>not get nearer to the truth than the teacher does</w:t>
      </w:r>
      <w:r w:rsidR="006F304D" w:rsidRPr="006F304D">
        <w:rPr>
          <w:szCs w:val="25"/>
        </w:rPr>
        <w:t xml:space="preserve">, </w:t>
      </w:r>
      <w:r w:rsidRPr="00BC3F72">
        <w:rPr>
          <w:szCs w:val="25"/>
        </w:rPr>
        <w:t>and therefore teachers must beware of being blind and uninstructed</w:t>
      </w:r>
      <w:r w:rsidR="006F304D" w:rsidRPr="006F304D">
        <w:rPr>
          <w:szCs w:val="25"/>
        </w:rPr>
        <w:t xml:space="preserve">, </w:t>
      </w:r>
      <w:r w:rsidRPr="00BC3F72">
        <w:rPr>
          <w:szCs w:val="25"/>
        </w:rPr>
        <w:t xml:space="preserve">especially with regard to knowledge of self </w:t>
      </w:r>
      <w:r>
        <w:rPr>
          <w:szCs w:val="25"/>
        </w:rPr>
        <w:t>. . . .</w:t>
      </w:r>
      <w:r w:rsidRPr="00BC3F72">
        <w:rPr>
          <w:szCs w:val="25"/>
        </w:rPr>
        <w:t xml:space="preserve"> In order to avoid becoming a blind teacher</w:t>
      </w:r>
      <w:r w:rsidR="006F304D" w:rsidRPr="006F304D">
        <w:rPr>
          <w:szCs w:val="25"/>
        </w:rPr>
        <w:t xml:space="preserve">, </w:t>
      </w:r>
      <w:r w:rsidRPr="00BC3F72">
        <w:rPr>
          <w:szCs w:val="25"/>
        </w:rPr>
        <w:t xml:space="preserve">whose disciples </w:t>
      </w:r>
      <w:r w:rsidRPr="00BC3F72">
        <w:rPr>
          <w:szCs w:val="23"/>
        </w:rPr>
        <w:t xml:space="preserve">will </w:t>
      </w:r>
      <w:r w:rsidRPr="00BC3F72">
        <w:rPr>
          <w:szCs w:val="25"/>
        </w:rPr>
        <w:t>be no better than oneself</w:t>
      </w:r>
      <w:r w:rsidR="006F304D" w:rsidRPr="006F304D">
        <w:rPr>
          <w:szCs w:val="25"/>
        </w:rPr>
        <w:t xml:space="preserve">, </w:t>
      </w:r>
      <w:r w:rsidRPr="00BC3F72">
        <w:rPr>
          <w:szCs w:val="25"/>
        </w:rPr>
        <w:t>one must</w:t>
      </w:r>
      <w:r w:rsidR="006F304D" w:rsidRPr="006F304D">
        <w:rPr>
          <w:szCs w:val="25"/>
        </w:rPr>
        <w:t xml:space="preserve">, </w:t>
      </w:r>
      <w:r w:rsidRPr="00BC3F72">
        <w:rPr>
          <w:szCs w:val="25"/>
        </w:rPr>
        <w:t>before judging and attempting to correct others</w:t>
      </w:r>
      <w:r w:rsidR="006F304D" w:rsidRPr="006F304D">
        <w:rPr>
          <w:szCs w:val="25"/>
        </w:rPr>
        <w:t xml:space="preserve">, </w:t>
      </w:r>
      <w:r w:rsidRPr="00BC3F72">
        <w:rPr>
          <w:szCs w:val="25"/>
        </w:rPr>
        <w:t>correct oneself.</w:t>
      </w:r>
      <w:r w:rsidR="000E0575">
        <w:rPr>
          <w:rStyle w:val="FootnoteReference"/>
          <w:szCs w:val="25"/>
        </w:rPr>
        <w:footnoteReference w:id="655"/>
      </w:r>
    </w:p>
    <w:p w14:paraId="599E42CD" w14:textId="77777777" w:rsidR="000E0575" w:rsidRDefault="000E0575" w:rsidP="0018433B">
      <w:pPr>
        <w:pStyle w:val="Style"/>
        <w:widowControl/>
        <w:jc w:val="both"/>
        <w:textAlignment w:val="baseline"/>
        <w:rPr>
          <w:szCs w:val="25"/>
        </w:rPr>
      </w:pPr>
    </w:p>
    <w:p w14:paraId="0303156A" w14:textId="0260D00A" w:rsidR="0018433B" w:rsidRPr="00BC3F72" w:rsidRDefault="000E0575" w:rsidP="0018433B">
      <w:pPr>
        <w:pStyle w:val="Style"/>
        <w:widowControl/>
        <w:jc w:val="both"/>
        <w:textAlignment w:val="baseline"/>
        <w:rPr>
          <w:szCs w:val="25"/>
        </w:rPr>
      </w:pPr>
      <w:r>
        <w:rPr>
          <w:szCs w:val="25"/>
        </w:rPr>
        <w:tab/>
      </w:r>
      <w:r w:rsidR="0018433B" w:rsidRPr="00BC3F72">
        <w:rPr>
          <w:szCs w:val="25"/>
        </w:rPr>
        <w:t>To determine whether the referent in verse 40 is Jesus or the disciples</w:t>
      </w:r>
      <w:r w:rsidR="006F304D" w:rsidRPr="006F304D">
        <w:rPr>
          <w:szCs w:val="25"/>
        </w:rPr>
        <w:t xml:space="preserve">, </w:t>
      </w:r>
      <w:r w:rsidR="0018433B" w:rsidRPr="00BC3F72">
        <w:rPr>
          <w:szCs w:val="25"/>
        </w:rPr>
        <w:t>let us try once again to simplify a passage by means of paraphrase. We begin with the term</w:t>
      </w:r>
      <w:r w:rsidR="006F304D" w:rsidRPr="006F304D">
        <w:rPr>
          <w:szCs w:val="25"/>
        </w:rPr>
        <w:t xml:space="preserve">, </w:t>
      </w:r>
      <w:r w:rsidR="0018433B" w:rsidRPr="00BC3F72">
        <w:rPr>
          <w:szCs w:val="25"/>
        </w:rPr>
        <w:t>“</w:t>
      </w:r>
      <w:proofErr w:type="spellStart"/>
      <w:r w:rsidR="0018433B" w:rsidRPr="00BC3F72">
        <w:rPr>
          <w:szCs w:val="25"/>
        </w:rPr>
        <w:t>every one</w:t>
      </w:r>
      <w:proofErr w:type="spellEnd"/>
      <w:r w:rsidR="0018433B" w:rsidRPr="00BC3F72">
        <w:rPr>
          <w:szCs w:val="25"/>
        </w:rPr>
        <w:t>” (</w:t>
      </w:r>
      <w:r>
        <w:t>π</w:t>
      </w:r>
      <w:proofErr w:type="spellStart"/>
      <w:r w:rsidRPr="00CB0999">
        <w:rPr>
          <w:szCs w:val="22"/>
          <w:lang w:bidi="he-IL"/>
        </w:rPr>
        <w:t>ᾶ</w:t>
      </w:r>
      <w:r>
        <w:t>ς</w:t>
      </w:r>
      <w:proofErr w:type="spellEnd"/>
      <w:r w:rsidR="0018433B" w:rsidRPr="00BC3F72">
        <w:rPr>
          <w:rFonts w:eastAsia="Arial"/>
          <w:szCs w:val="25"/>
        </w:rPr>
        <w:t>)</w:t>
      </w:r>
      <w:r w:rsidR="006F304D" w:rsidRPr="006F304D">
        <w:rPr>
          <w:rFonts w:eastAsia="Arial"/>
          <w:szCs w:val="25"/>
        </w:rPr>
        <w:t xml:space="preserve">, </w:t>
      </w:r>
      <w:r w:rsidR="0018433B" w:rsidRPr="00BC3F72">
        <w:rPr>
          <w:szCs w:val="25"/>
        </w:rPr>
        <w:t>in 40b (“but every one when he is fully taught wil</w:t>
      </w:r>
      <w:r>
        <w:rPr>
          <w:szCs w:val="25"/>
        </w:rPr>
        <w:t>l</w:t>
      </w:r>
      <w:r w:rsidR="0018433B" w:rsidRPr="00BC3F72">
        <w:rPr>
          <w:szCs w:val="25"/>
        </w:rPr>
        <w:t xml:space="preserve"> be like his teacher”). </w:t>
      </w:r>
      <w:proofErr w:type="spellStart"/>
      <w:r>
        <w:t>Π</w:t>
      </w:r>
      <w:r w:rsidRPr="00CB0999">
        <w:rPr>
          <w:szCs w:val="22"/>
          <w:lang w:bidi="he-IL"/>
        </w:rPr>
        <w:t>ᾶ</w:t>
      </w:r>
      <w:r>
        <w:t>ς</w:t>
      </w:r>
      <w:proofErr w:type="spellEnd"/>
      <w:r w:rsidR="006F304D" w:rsidRPr="006F304D">
        <w:rPr>
          <w:szCs w:val="25"/>
        </w:rPr>
        <w:t xml:space="preserve">, </w:t>
      </w:r>
      <w:r w:rsidR="0018433B" w:rsidRPr="00BC3F72">
        <w:rPr>
          <w:szCs w:val="25"/>
        </w:rPr>
        <w:t>like “each” and “all” in English</w:t>
      </w:r>
      <w:r w:rsidR="006F304D" w:rsidRPr="006F304D">
        <w:rPr>
          <w:szCs w:val="25"/>
        </w:rPr>
        <w:t xml:space="preserve">, </w:t>
      </w:r>
      <w:r w:rsidR="0018433B" w:rsidRPr="00BC3F72">
        <w:rPr>
          <w:szCs w:val="25"/>
        </w:rPr>
        <w:t>can function either as an adjective or a pronoun.</w:t>
      </w:r>
      <w:r w:rsidR="004B0393">
        <w:rPr>
          <w:rStyle w:val="FootnoteReference"/>
          <w:szCs w:val="25"/>
        </w:rPr>
        <w:footnoteReference w:id="656"/>
      </w:r>
      <w:r w:rsidR="00775F9B" w:rsidRPr="00775F9B">
        <w:rPr>
          <w:iCs/>
          <w:szCs w:val="25"/>
        </w:rPr>
        <w:t xml:space="preserve"> </w:t>
      </w:r>
      <w:r w:rsidR="0018433B" w:rsidRPr="00BC3F72">
        <w:rPr>
          <w:szCs w:val="25"/>
        </w:rPr>
        <w:t>As an adjective</w:t>
      </w:r>
      <w:r w:rsidR="006F304D" w:rsidRPr="006F304D">
        <w:rPr>
          <w:szCs w:val="25"/>
        </w:rPr>
        <w:t xml:space="preserve">, </w:t>
      </w:r>
      <w:r w:rsidR="0018433B" w:rsidRPr="00BC3F72">
        <w:rPr>
          <w:szCs w:val="25"/>
        </w:rPr>
        <w:t xml:space="preserve">it would mean here “each,” with </w:t>
      </w:r>
      <w:r w:rsidR="004B0393">
        <w:rPr>
          <w:szCs w:val="25"/>
        </w:rPr>
        <w:t>“</w:t>
      </w:r>
      <w:r w:rsidR="0018433B" w:rsidRPr="00BC3F72">
        <w:rPr>
          <w:szCs w:val="25"/>
        </w:rPr>
        <w:t>disci</w:t>
      </w:r>
      <w:r w:rsidR="0018433B" w:rsidRPr="00BC3F72">
        <w:rPr>
          <w:szCs w:val="25"/>
        </w:rPr>
        <w:softHyphen/>
        <w:t>ple” understood. In this case</w:t>
      </w:r>
      <w:r w:rsidR="006F304D" w:rsidRPr="006F304D">
        <w:rPr>
          <w:szCs w:val="25"/>
        </w:rPr>
        <w:t xml:space="preserve">, </w:t>
      </w:r>
      <w:r w:rsidR="0018433B" w:rsidRPr="00BC3F72">
        <w:rPr>
          <w:szCs w:val="25"/>
        </w:rPr>
        <w:t>its range of reference will be essentially no larger than that of “disciple” (</w:t>
      </w:r>
      <w:r w:rsidR="004B0393" w:rsidRPr="00CE06CA">
        <w:rPr>
          <w:bCs/>
          <w:szCs w:val="22"/>
          <w:lang w:val="el-GR"/>
        </w:rPr>
        <w:t>μαθητ</w:t>
      </w:r>
      <w:r w:rsidR="004B0393">
        <w:rPr>
          <w:bCs/>
          <w:szCs w:val="22"/>
          <w:lang w:val="el-GR"/>
        </w:rPr>
        <w:t>ή</w:t>
      </w:r>
      <w:r w:rsidR="004B0393" w:rsidRPr="00CE06CA">
        <w:rPr>
          <w:bCs/>
          <w:szCs w:val="22"/>
          <w:lang w:val="el-GR"/>
        </w:rPr>
        <w:t>ς</w:t>
      </w:r>
      <w:r w:rsidR="0018433B" w:rsidRPr="00BC3F72">
        <w:rPr>
          <w:szCs w:val="25"/>
        </w:rPr>
        <w:t>)</w:t>
      </w:r>
      <w:r w:rsidR="006F304D" w:rsidRPr="006F304D">
        <w:rPr>
          <w:szCs w:val="25"/>
        </w:rPr>
        <w:t xml:space="preserve">, </w:t>
      </w:r>
      <w:r w:rsidR="0018433B" w:rsidRPr="00BC3F72">
        <w:rPr>
          <w:szCs w:val="25"/>
        </w:rPr>
        <w:t>its antecedent in 40a (“A disciple is not above his teacher”). As a pronoun</w:t>
      </w:r>
      <w:r w:rsidR="006F304D" w:rsidRPr="006F304D">
        <w:rPr>
          <w:szCs w:val="25"/>
        </w:rPr>
        <w:t xml:space="preserve">, </w:t>
      </w:r>
      <w:r w:rsidR="0018433B" w:rsidRPr="00BC3F72">
        <w:rPr>
          <w:szCs w:val="25"/>
        </w:rPr>
        <w:t>however</w:t>
      </w:r>
      <w:r w:rsidR="006F304D" w:rsidRPr="006F304D">
        <w:rPr>
          <w:szCs w:val="25"/>
        </w:rPr>
        <w:t xml:space="preserve">, </w:t>
      </w:r>
      <w:r w:rsidR="004B0393">
        <w:t>π</w:t>
      </w:r>
      <w:proofErr w:type="spellStart"/>
      <w:r w:rsidR="004B0393" w:rsidRPr="00CB0999">
        <w:rPr>
          <w:szCs w:val="22"/>
          <w:lang w:bidi="he-IL"/>
        </w:rPr>
        <w:t>ᾶ</w:t>
      </w:r>
      <w:r w:rsidR="004B0393">
        <w:t>ς</w:t>
      </w:r>
      <w:proofErr w:type="spellEnd"/>
      <w:r w:rsidR="0018433B" w:rsidRPr="00BC3F72">
        <w:rPr>
          <w:szCs w:val="32"/>
        </w:rPr>
        <w:t xml:space="preserve"> </w:t>
      </w:r>
      <w:r w:rsidR="0018433B" w:rsidRPr="00BC3F72">
        <w:rPr>
          <w:szCs w:val="25"/>
        </w:rPr>
        <w:t>would mean “</w:t>
      </w:r>
      <w:proofErr w:type="spellStart"/>
      <w:r w:rsidR="0018433B" w:rsidRPr="00BC3F72">
        <w:rPr>
          <w:szCs w:val="25"/>
        </w:rPr>
        <w:t>every one</w:t>
      </w:r>
      <w:proofErr w:type="spellEnd"/>
      <w:r w:rsidR="0018433B" w:rsidRPr="00BC3F72">
        <w:rPr>
          <w:szCs w:val="25"/>
        </w:rPr>
        <w:t>” or “all.” In that case</w:t>
      </w:r>
      <w:r w:rsidR="006F304D" w:rsidRPr="006F304D">
        <w:rPr>
          <w:szCs w:val="25"/>
        </w:rPr>
        <w:t xml:space="preserve">, </w:t>
      </w:r>
      <w:r w:rsidR="0018433B" w:rsidRPr="00BC3F72">
        <w:rPr>
          <w:szCs w:val="25"/>
        </w:rPr>
        <w:t>its scope of reference is wider than that of “disciple,” for “</w:t>
      </w:r>
      <w:proofErr w:type="spellStart"/>
      <w:r w:rsidR="0018433B" w:rsidRPr="00BC3F72">
        <w:rPr>
          <w:szCs w:val="25"/>
        </w:rPr>
        <w:t>every one</w:t>
      </w:r>
      <w:proofErr w:type="spellEnd"/>
      <w:r w:rsidR="0018433B" w:rsidRPr="00BC3F72">
        <w:rPr>
          <w:szCs w:val="25"/>
        </w:rPr>
        <w:t>” points</w:t>
      </w:r>
      <w:r>
        <w:rPr>
          <w:szCs w:val="25"/>
        </w:rPr>
        <w:t xml:space="preserve"> </w:t>
      </w:r>
      <w:r w:rsidR="0018433B" w:rsidRPr="00BC3F72">
        <w:rPr>
          <w:szCs w:val="25"/>
        </w:rPr>
        <w:t xml:space="preserve">to </w:t>
      </w:r>
      <w:r w:rsidR="004B0393">
        <w:rPr>
          <w:szCs w:val="25"/>
        </w:rPr>
        <w:t>“</w:t>
      </w:r>
      <w:r w:rsidR="0018433B" w:rsidRPr="00BC3F72">
        <w:rPr>
          <w:szCs w:val="25"/>
        </w:rPr>
        <w:t>all persons</w:t>
      </w:r>
      <w:r w:rsidR="004B0393">
        <w:rPr>
          <w:szCs w:val="25"/>
        </w:rPr>
        <w:t>”</w:t>
      </w:r>
      <w:r w:rsidR="0018433B" w:rsidRPr="00BC3F72">
        <w:rPr>
          <w:szCs w:val="25"/>
        </w:rPr>
        <w:t xml:space="preserve"> or “persons in general.” Since </w:t>
      </w:r>
      <w:r w:rsidR="004B0393">
        <w:t>π</w:t>
      </w:r>
      <w:proofErr w:type="spellStart"/>
      <w:r w:rsidR="004B0393" w:rsidRPr="00CB0999">
        <w:rPr>
          <w:szCs w:val="22"/>
          <w:lang w:bidi="he-IL"/>
        </w:rPr>
        <w:t>ᾶ</w:t>
      </w:r>
      <w:r w:rsidR="004B0393">
        <w:t>ς</w:t>
      </w:r>
      <w:proofErr w:type="spellEnd"/>
      <w:r w:rsidR="0018433B" w:rsidRPr="00BC3F72">
        <w:rPr>
          <w:rFonts w:eastAsia="Arial"/>
          <w:szCs w:val="35"/>
        </w:rPr>
        <w:t xml:space="preserve"> </w:t>
      </w:r>
      <w:r w:rsidR="0018433B" w:rsidRPr="00BC3F72">
        <w:rPr>
          <w:szCs w:val="25"/>
        </w:rPr>
        <w:t>stands by itself in 40b</w:t>
      </w:r>
      <w:r w:rsidR="006F304D" w:rsidRPr="006F304D">
        <w:rPr>
          <w:szCs w:val="25"/>
        </w:rPr>
        <w:t xml:space="preserve">, </w:t>
      </w:r>
      <w:r w:rsidR="0018433B" w:rsidRPr="00BC3F72">
        <w:rPr>
          <w:szCs w:val="25"/>
        </w:rPr>
        <w:t>without</w:t>
      </w:r>
      <w:r w:rsidR="004B0393">
        <w:rPr>
          <w:szCs w:val="25"/>
        </w:rPr>
        <w:t xml:space="preserve"> </w:t>
      </w:r>
      <w:r w:rsidR="0018433B" w:rsidRPr="00BC3F72">
        <w:rPr>
          <w:szCs w:val="25"/>
        </w:rPr>
        <w:t>a noun on which to lean</w:t>
      </w:r>
      <w:r w:rsidR="006F304D" w:rsidRPr="006F304D">
        <w:rPr>
          <w:szCs w:val="25"/>
        </w:rPr>
        <w:t xml:space="preserve">, </w:t>
      </w:r>
      <w:r w:rsidR="0018433B" w:rsidRPr="00BC3F72">
        <w:rPr>
          <w:szCs w:val="25"/>
        </w:rPr>
        <w:t xml:space="preserve">it is more likely to be a pronoun than an adjective </w:t>
      </w:r>
      <w:r w:rsidR="0018433B">
        <w:rPr>
          <w:szCs w:val="25"/>
        </w:rPr>
        <w:t>(</w:t>
      </w:r>
      <w:r w:rsidR="0018433B" w:rsidRPr="00BC3F72">
        <w:rPr>
          <w:szCs w:val="25"/>
        </w:rPr>
        <w:t>as the RSV assumes</w:t>
      </w:r>
      <w:r w:rsidR="006F304D" w:rsidRPr="006F304D">
        <w:rPr>
          <w:szCs w:val="25"/>
        </w:rPr>
        <w:t xml:space="preserve">, </w:t>
      </w:r>
      <w:r w:rsidR="0018433B" w:rsidRPr="00BC3F72">
        <w:rPr>
          <w:szCs w:val="25"/>
        </w:rPr>
        <w:t xml:space="preserve">translating it </w:t>
      </w:r>
      <w:r w:rsidR="004B0393">
        <w:rPr>
          <w:szCs w:val="25"/>
        </w:rPr>
        <w:t>“</w:t>
      </w:r>
      <w:proofErr w:type="spellStart"/>
      <w:r w:rsidR="0018433B" w:rsidRPr="00BC3F72">
        <w:rPr>
          <w:szCs w:val="25"/>
        </w:rPr>
        <w:t>every one</w:t>
      </w:r>
      <w:proofErr w:type="spellEnd"/>
      <w:r w:rsidR="0018433B" w:rsidRPr="00BC3F72">
        <w:rPr>
          <w:szCs w:val="25"/>
        </w:rPr>
        <w:t>”). Now</w:t>
      </w:r>
      <w:r w:rsidR="006F304D" w:rsidRPr="006F304D">
        <w:rPr>
          <w:szCs w:val="25"/>
        </w:rPr>
        <w:t xml:space="preserve">, </w:t>
      </w:r>
      <w:r w:rsidR="0018433B" w:rsidRPr="00BC3F72">
        <w:rPr>
          <w:szCs w:val="25"/>
        </w:rPr>
        <w:t xml:space="preserve">if </w:t>
      </w:r>
      <w:r w:rsidR="004B0393">
        <w:rPr>
          <w:szCs w:val="25"/>
        </w:rPr>
        <w:t>“</w:t>
      </w:r>
      <w:proofErr w:type="spellStart"/>
      <w:r w:rsidR="0018433B" w:rsidRPr="00BC3F72">
        <w:rPr>
          <w:szCs w:val="25"/>
        </w:rPr>
        <w:t>every one</w:t>
      </w:r>
      <w:proofErr w:type="spellEnd"/>
      <w:r w:rsidR="0018433B" w:rsidRPr="00BC3F72">
        <w:rPr>
          <w:szCs w:val="25"/>
        </w:rPr>
        <w:t>” in 40b means “per</w:t>
      </w:r>
      <w:r w:rsidR="0018433B" w:rsidRPr="00BC3F72">
        <w:rPr>
          <w:szCs w:val="25"/>
        </w:rPr>
        <w:softHyphen/>
        <w:t xml:space="preserve">sons in general,” then </w:t>
      </w:r>
      <w:r w:rsidR="004B0393">
        <w:rPr>
          <w:szCs w:val="25"/>
        </w:rPr>
        <w:t>“</w:t>
      </w:r>
      <w:r w:rsidR="0018433B" w:rsidRPr="00BC3F72">
        <w:rPr>
          <w:szCs w:val="25"/>
        </w:rPr>
        <w:t xml:space="preserve">teacher” and “disciple” in 40a are figurative; they are in fact the figurative terms in a metaphor whose literal term is </w:t>
      </w:r>
      <w:r w:rsidR="004B0393">
        <w:rPr>
          <w:szCs w:val="25"/>
        </w:rPr>
        <w:t>“</w:t>
      </w:r>
      <w:r w:rsidR="0018433B" w:rsidRPr="00BC3F72">
        <w:rPr>
          <w:szCs w:val="25"/>
        </w:rPr>
        <w:t>everyone</w:t>
      </w:r>
      <w:r w:rsidR="004B0393">
        <w:rPr>
          <w:szCs w:val="25"/>
        </w:rPr>
        <w:t>”</w:t>
      </w:r>
      <w:r w:rsidR="0018433B" w:rsidRPr="00F624D6">
        <w:rPr>
          <w:szCs w:val="25"/>
        </w:rPr>
        <w:t>—</w:t>
      </w:r>
      <w:r w:rsidR="0018433B" w:rsidRPr="00BC3F72">
        <w:rPr>
          <w:szCs w:val="25"/>
        </w:rPr>
        <w:t>teachers</w:t>
      </w:r>
      <w:r w:rsidR="006F304D" w:rsidRPr="006F304D">
        <w:rPr>
          <w:szCs w:val="25"/>
        </w:rPr>
        <w:t xml:space="preserve">, </w:t>
      </w:r>
      <w:r w:rsidR="0018433B" w:rsidRPr="00BC3F72">
        <w:rPr>
          <w:szCs w:val="25"/>
        </w:rPr>
        <w:t>stu</w:t>
      </w:r>
      <w:r w:rsidR="0018433B" w:rsidRPr="00BC3F72">
        <w:rPr>
          <w:szCs w:val="25"/>
        </w:rPr>
        <w:softHyphen/>
        <w:t>dents</w:t>
      </w:r>
      <w:r w:rsidR="006F304D" w:rsidRPr="006F304D">
        <w:rPr>
          <w:szCs w:val="25"/>
        </w:rPr>
        <w:t xml:space="preserve">, </w:t>
      </w:r>
      <w:r w:rsidR="0018433B" w:rsidRPr="00BC3F72">
        <w:rPr>
          <w:szCs w:val="25"/>
        </w:rPr>
        <w:t>or bricklayers. Moreover</w:t>
      </w:r>
      <w:r w:rsidR="006F304D" w:rsidRPr="006F304D">
        <w:rPr>
          <w:szCs w:val="25"/>
        </w:rPr>
        <w:t xml:space="preserve">, </w:t>
      </w:r>
      <w:r w:rsidR="0018433B" w:rsidRPr="00BC3F72">
        <w:rPr>
          <w:szCs w:val="25"/>
        </w:rPr>
        <w:t>just as we substituted “teacher” and “disciple” from verse 40 for the blind men of 39bc</w:t>
      </w:r>
      <w:r w:rsidR="006F304D" w:rsidRPr="006F304D">
        <w:rPr>
          <w:szCs w:val="25"/>
        </w:rPr>
        <w:t xml:space="preserve">, </w:t>
      </w:r>
      <w:r w:rsidR="0018433B" w:rsidRPr="00BC3F72">
        <w:rPr>
          <w:szCs w:val="25"/>
        </w:rPr>
        <w:t>so now</w:t>
      </w:r>
      <w:r w:rsidR="006F304D" w:rsidRPr="006F304D">
        <w:rPr>
          <w:szCs w:val="25"/>
        </w:rPr>
        <w:t xml:space="preserve">, </w:t>
      </w:r>
      <w:r w:rsidR="0018433B" w:rsidRPr="00BC3F72">
        <w:rPr>
          <w:szCs w:val="25"/>
        </w:rPr>
        <w:t>having determined the literal refer</w:t>
      </w:r>
      <w:r w:rsidR="0018433B" w:rsidRPr="00BC3F72">
        <w:rPr>
          <w:szCs w:val="25"/>
        </w:rPr>
        <w:softHyphen/>
        <w:t>ent of “teacher” and “disciple” (namely</w:t>
      </w:r>
      <w:r w:rsidR="006F304D" w:rsidRPr="006F304D">
        <w:rPr>
          <w:szCs w:val="25"/>
        </w:rPr>
        <w:t xml:space="preserve">, </w:t>
      </w:r>
      <w:r w:rsidR="0018433B" w:rsidRPr="00BC3F72">
        <w:rPr>
          <w:szCs w:val="25"/>
        </w:rPr>
        <w:t>people in general)</w:t>
      </w:r>
      <w:r w:rsidR="006F304D" w:rsidRPr="006F304D">
        <w:rPr>
          <w:szCs w:val="25"/>
        </w:rPr>
        <w:t xml:space="preserve">, </w:t>
      </w:r>
      <w:r w:rsidR="0018433B" w:rsidRPr="00BC3F72">
        <w:rPr>
          <w:szCs w:val="25"/>
        </w:rPr>
        <w:t>we can substitute from verse 40 that literal referent for the blind men of 39bc. We thus arrive at the fol</w:t>
      </w:r>
      <w:r w:rsidR="0018433B" w:rsidRPr="00BC3F72">
        <w:rPr>
          <w:szCs w:val="25"/>
        </w:rPr>
        <w:softHyphen/>
        <w:t xml:space="preserve">lowing paraphrase of both verses: </w:t>
      </w:r>
      <w:r w:rsidR="004B0393">
        <w:rPr>
          <w:szCs w:val="25"/>
        </w:rPr>
        <w:t>“</w:t>
      </w:r>
      <w:r w:rsidR="0018433B" w:rsidRPr="00BC3F72">
        <w:rPr>
          <w:szCs w:val="25"/>
        </w:rPr>
        <w:t xml:space="preserve">An ignorant person cannot instruct another. No one is </w:t>
      </w:r>
      <w:r w:rsidR="0018433B" w:rsidRPr="00BC3F72">
        <w:rPr>
          <w:szCs w:val="25"/>
        </w:rPr>
        <w:lastRenderedPageBreak/>
        <w:t>above one who guide</w:t>
      </w:r>
      <w:r w:rsidR="004B0393">
        <w:rPr>
          <w:szCs w:val="25"/>
        </w:rPr>
        <w:t>s</w:t>
      </w:r>
      <w:r w:rsidR="0018433B" w:rsidRPr="00BC3F72">
        <w:rPr>
          <w:szCs w:val="25"/>
        </w:rPr>
        <w:t xml:space="preserve"> him</w:t>
      </w:r>
      <w:r w:rsidR="006F304D" w:rsidRPr="006F304D">
        <w:rPr>
          <w:szCs w:val="25"/>
        </w:rPr>
        <w:t xml:space="preserve">, </w:t>
      </w:r>
      <w:r w:rsidR="0018433B" w:rsidRPr="00BC3F72">
        <w:rPr>
          <w:szCs w:val="25"/>
        </w:rPr>
        <w:t>but each person when fully instructed will be like the one who guides him.”</w:t>
      </w:r>
    </w:p>
    <w:p w14:paraId="56507981" w14:textId="33064C28" w:rsidR="0018433B" w:rsidRPr="00BC3F72" w:rsidRDefault="004B0393" w:rsidP="0018433B">
      <w:pPr>
        <w:pStyle w:val="Style"/>
        <w:widowControl/>
        <w:jc w:val="both"/>
        <w:textAlignment w:val="baseline"/>
        <w:rPr>
          <w:szCs w:val="25"/>
        </w:rPr>
      </w:pPr>
      <w:r>
        <w:rPr>
          <w:szCs w:val="25"/>
        </w:rPr>
        <w:tab/>
      </w:r>
      <w:r w:rsidR="0018433B" w:rsidRPr="00BC3F72">
        <w:rPr>
          <w:szCs w:val="25"/>
        </w:rPr>
        <w:t>There remains another detail of the original verses unclarified in this para</w:t>
      </w:r>
      <w:r w:rsidR="0018433B" w:rsidRPr="00BC3F72">
        <w:rPr>
          <w:szCs w:val="25"/>
        </w:rPr>
        <w:softHyphen/>
        <w:t>phrase</w:t>
      </w:r>
      <w:r w:rsidR="006F304D" w:rsidRPr="006F304D">
        <w:rPr>
          <w:szCs w:val="25"/>
        </w:rPr>
        <w:t xml:space="preserve">, </w:t>
      </w:r>
      <w:r w:rsidR="0018433B" w:rsidRPr="00BC3F72">
        <w:rPr>
          <w:szCs w:val="25"/>
        </w:rPr>
        <w:t xml:space="preserve">and that is the word </w:t>
      </w:r>
      <w:r>
        <w:rPr>
          <w:szCs w:val="25"/>
        </w:rPr>
        <w:t>“</w:t>
      </w:r>
      <w:r w:rsidR="0018433B" w:rsidRPr="00BC3F72">
        <w:rPr>
          <w:szCs w:val="25"/>
        </w:rPr>
        <w:t>above</w:t>
      </w:r>
      <w:r>
        <w:rPr>
          <w:szCs w:val="25"/>
        </w:rPr>
        <w:t>”</w:t>
      </w:r>
      <w:r w:rsidR="0018433B" w:rsidRPr="00BC3F72">
        <w:rPr>
          <w:szCs w:val="25"/>
        </w:rPr>
        <w:t xml:space="preserve"> (</w:t>
      </w:r>
      <w:r w:rsidRPr="00CE06CA">
        <w:rPr>
          <w:bCs/>
          <w:szCs w:val="22"/>
          <w:lang w:val="el-GR"/>
        </w:rPr>
        <w:t>ὑπ</w:t>
      </w:r>
      <w:r>
        <w:rPr>
          <w:bCs/>
          <w:szCs w:val="22"/>
          <w:lang w:val="el-GR"/>
        </w:rPr>
        <w:t>έ</w:t>
      </w:r>
      <w:r w:rsidRPr="00CE06CA">
        <w:rPr>
          <w:bCs/>
          <w:szCs w:val="22"/>
          <w:lang w:val="el-GR"/>
        </w:rPr>
        <w:t>ρ</w:t>
      </w:r>
      <w:r w:rsidR="0018433B" w:rsidRPr="00BC3F72">
        <w:rPr>
          <w:rFonts w:eastAsia="Arial"/>
          <w:szCs w:val="25"/>
        </w:rPr>
        <w:t>)</w:t>
      </w:r>
      <w:r>
        <w:rPr>
          <w:rFonts w:eastAsia="Arial"/>
          <w:szCs w:val="25"/>
        </w:rPr>
        <w:t xml:space="preserve"> in 40a (“</w:t>
      </w:r>
      <w:r w:rsidRPr="00CD75A6">
        <w:t>A disciple is not above the teacher</w:t>
      </w:r>
      <w:r>
        <w:rPr>
          <w:rFonts w:eastAsia="Arial"/>
          <w:szCs w:val="25"/>
        </w:rPr>
        <w:t>”)</w:t>
      </w:r>
      <w:r w:rsidR="0018433B" w:rsidRPr="00BC3F72">
        <w:rPr>
          <w:rFonts w:eastAsia="Arial"/>
          <w:szCs w:val="25"/>
        </w:rPr>
        <w:t xml:space="preserve">. </w:t>
      </w:r>
      <w:r w:rsidR="0018433B" w:rsidRPr="00BC3F72">
        <w:rPr>
          <w:szCs w:val="25"/>
        </w:rPr>
        <w:t>If we had not elucidated the metaphor in 40ab but instead still thought in terms of an actual “teacher” and “student,” then “above” would suggest the meaning</w:t>
      </w:r>
      <w:r w:rsidR="006F304D" w:rsidRPr="006F304D">
        <w:rPr>
          <w:szCs w:val="25"/>
        </w:rPr>
        <w:t xml:space="preserve"> </w:t>
      </w:r>
      <w:r w:rsidR="0018433B" w:rsidRPr="00BC3F72">
        <w:rPr>
          <w:szCs w:val="25"/>
        </w:rPr>
        <w:t>“more knowledgeable”: a student cannot be more knowledgeable than his teacher. Even then</w:t>
      </w:r>
      <w:r w:rsidR="006F304D" w:rsidRPr="006F304D">
        <w:rPr>
          <w:szCs w:val="25"/>
        </w:rPr>
        <w:t xml:space="preserve">, </w:t>
      </w:r>
      <w:r>
        <w:rPr>
          <w:szCs w:val="25"/>
        </w:rPr>
        <w:t>“</w:t>
      </w:r>
      <w:r w:rsidR="0018433B" w:rsidRPr="00BC3F72">
        <w:rPr>
          <w:szCs w:val="25"/>
        </w:rPr>
        <w:t>above” could take on a moral tone</w:t>
      </w:r>
      <w:r w:rsidR="006F304D" w:rsidRPr="006F304D">
        <w:rPr>
          <w:szCs w:val="25"/>
        </w:rPr>
        <w:t xml:space="preserve">, </w:t>
      </w:r>
      <w:r w:rsidR="0018433B" w:rsidRPr="00BC3F72">
        <w:rPr>
          <w:szCs w:val="25"/>
        </w:rPr>
        <w:t>since the wider context (not judging</w:t>
      </w:r>
      <w:r w:rsidR="006F304D" w:rsidRPr="006F304D">
        <w:rPr>
          <w:szCs w:val="25"/>
        </w:rPr>
        <w:t xml:space="preserve">, </w:t>
      </w:r>
      <w:r w:rsidR="0018433B" w:rsidRPr="00BC3F72">
        <w:rPr>
          <w:szCs w:val="25"/>
        </w:rPr>
        <w:t xml:space="preserve">37-38 and 41-42) implies that morality is the subject at hand. But since we have determined that “teacher” and </w:t>
      </w:r>
      <w:r>
        <w:rPr>
          <w:szCs w:val="25"/>
        </w:rPr>
        <w:t>“</w:t>
      </w:r>
      <w:r w:rsidR="0018433B" w:rsidRPr="00BC3F72">
        <w:rPr>
          <w:szCs w:val="25"/>
        </w:rPr>
        <w:t xml:space="preserve">student” are themselves metaphors for “people in general,” it seems even more certain that </w:t>
      </w:r>
      <w:r>
        <w:rPr>
          <w:szCs w:val="25"/>
        </w:rPr>
        <w:t>“</w:t>
      </w:r>
      <w:r w:rsidR="0018433B" w:rsidRPr="00BC3F72">
        <w:rPr>
          <w:szCs w:val="25"/>
        </w:rPr>
        <w:t>above” has a moral significance.</w:t>
      </w:r>
      <w:r w:rsidR="00DC00AC">
        <w:rPr>
          <w:rStyle w:val="FootnoteReference"/>
          <w:szCs w:val="25"/>
        </w:rPr>
        <w:footnoteReference w:id="657"/>
      </w:r>
      <w:r w:rsidR="00775F9B" w:rsidRPr="00775F9B">
        <w:rPr>
          <w:iCs/>
          <w:szCs w:val="25"/>
        </w:rPr>
        <w:t xml:space="preserve"> </w:t>
      </w:r>
      <w:r w:rsidR="0018433B" w:rsidRPr="00BC3F72">
        <w:rPr>
          <w:szCs w:val="25"/>
        </w:rPr>
        <w:t>It can</w:t>
      </w:r>
      <w:r w:rsidR="006F304D" w:rsidRPr="006F304D">
        <w:rPr>
          <w:szCs w:val="25"/>
        </w:rPr>
        <w:t xml:space="preserve">, </w:t>
      </w:r>
      <w:r w:rsidR="0018433B" w:rsidRPr="00BC3F72">
        <w:rPr>
          <w:szCs w:val="25"/>
        </w:rPr>
        <w:t>perhaps</w:t>
      </w:r>
      <w:r w:rsidR="006F304D" w:rsidRPr="006F304D">
        <w:rPr>
          <w:szCs w:val="25"/>
        </w:rPr>
        <w:t xml:space="preserve">, </w:t>
      </w:r>
      <w:r w:rsidR="0018433B" w:rsidRPr="00BC3F72">
        <w:rPr>
          <w:szCs w:val="25"/>
        </w:rPr>
        <w:t>best be</w:t>
      </w:r>
      <w:r w:rsidR="00DC00AC">
        <w:rPr>
          <w:szCs w:val="25"/>
        </w:rPr>
        <w:t xml:space="preserve"> </w:t>
      </w:r>
      <w:r w:rsidR="0018433B" w:rsidRPr="00BC3F72">
        <w:rPr>
          <w:szCs w:val="25"/>
        </w:rPr>
        <w:t>translated</w:t>
      </w:r>
      <w:r w:rsidR="006F304D" w:rsidRPr="006F304D">
        <w:rPr>
          <w:szCs w:val="25"/>
        </w:rPr>
        <w:t xml:space="preserve">, </w:t>
      </w:r>
      <w:r w:rsidR="00DC00AC">
        <w:rPr>
          <w:szCs w:val="25"/>
        </w:rPr>
        <w:t>“</w:t>
      </w:r>
      <w:r w:rsidR="0018433B" w:rsidRPr="00BC3F72">
        <w:rPr>
          <w:szCs w:val="25"/>
        </w:rPr>
        <w:t>superior to.</w:t>
      </w:r>
      <w:r w:rsidR="00DC00AC">
        <w:rPr>
          <w:szCs w:val="25"/>
        </w:rPr>
        <w:t>”</w:t>
      </w:r>
      <w:r w:rsidR="0018433B" w:rsidRPr="00BC3F72">
        <w:rPr>
          <w:szCs w:val="25"/>
        </w:rPr>
        <w:t xml:space="preserve"> But if the basis of comparison in 40a is not degree of</w:t>
      </w:r>
      <w:r w:rsidR="00DC00AC">
        <w:rPr>
          <w:szCs w:val="25"/>
        </w:rPr>
        <w:t xml:space="preserve"> </w:t>
      </w:r>
      <w:r w:rsidR="0018433B" w:rsidRPr="00BC3F72">
        <w:rPr>
          <w:szCs w:val="25"/>
        </w:rPr>
        <w:t>knowledge but degree of goodness</w:t>
      </w:r>
      <w:r w:rsidR="006F304D" w:rsidRPr="006F304D">
        <w:rPr>
          <w:szCs w:val="25"/>
        </w:rPr>
        <w:t xml:space="preserve">, </w:t>
      </w:r>
      <w:r w:rsidR="0018433B" w:rsidRPr="00BC3F72">
        <w:rPr>
          <w:szCs w:val="25"/>
        </w:rPr>
        <w:t>then the word in 39bc which we have rendered</w:t>
      </w:r>
      <w:r w:rsidR="006F304D" w:rsidRPr="006F304D">
        <w:rPr>
          <w:szCs w:val="25"/>
        </w:rPr>
        <w:t xml:space="preserve">, </w:t>
      </w:r>
      <w:r w:rsidR="0018433B" w:rsidRPr="00BC3F72">
        <w:rPr>
          <w:szCs w:val="25"/>
        </w:rPr>
        <w:t xml:space="preserve">first “blind,” then </w:t>
      </w:r>
      <w:r w:rsidR="00DC00AC">
        <w:rPr>
          <w:szCs w:val="25"/>
        </w:rPr>
        <w:t>“</w:t>
      </w:r>
      <w:r w:rsidR="0018433B" w:rsidRPr="00BC3F72">
        <w:rPr>
          <w:szCs w:val="25"/>
        </w:rPr>
        <w:t>ignorant,” can now be specified further: the incognizance is specifically “moral obtuseness”; it may even be</w:t>
      </w:r>
      <w:r w:rsidR="006F304D" w:rsidRPr="006F304D">
        <w:rPr>
          <w:szCs w:val="25"/>
        </w:rPr>
        <w:t xml:space="preserve">, </w:t>
      </w:r>
      <w:r w:rsidR="0018433B" w:rsidRPr="00BC3F72">
        <w:rPr>
          <w:szCs w:val="25"/>
        </w:rPr>
        <w:t>not ignorance at all</w:t>
      </w:r>
      <w:r w:rsidR="006F304D" w:rsidRPr="006F304D">
        <w:rPr>
          <w:szCs w:val="25"/>
        </w:rPr>
        <w:t xml:space="preserve">, </w:t>
      </w:r>
      <w:r w:rsidR="0018433B" w:rsidRPr="00BC3F72">
        <w:rPr>
          <w:szCs w:val="25"/>
        </w:rPr>
        <w:t>but moral de</w:t>
      </w:r>
      <w:r w:rsidR="0018433B" w:rsidRPr="00BC3F72">
        <w:rPr>
          <w:szCs w:val="25"/>
        </w:rPr>
        <w:softHyphen/>
        <w:t>fect. And finally</w:t>
      </w:r>
      <w:r w:rsidR="006F304D" w:rsidRPr="006F304D">
        <w:rPr>
          <w:szCs w:val="25"/>
        </w:rPr>
        <w:t xml:space="preserve">, </w:t>
      </w:r>
      <w:r w:rsidR="0018433B" w:rsidRPr="00BC3F72">
        <w:rPr>
          <w:szCs w:val="25"/>
        </w:rPr>
        <w:t>since we are not dealing with the formal setting of teachers and students</w:t>
      </w:r>
      <w:r w:rsidR="006F304D" w:rsidRPr="006F304D">
        <w:rPr>
          <w:szCs w:val="25"/>
        </w:rPr>
        <w:t xml:space="preserve">, </w:t>
      </w:r>
      <w:r w:rsidR="0018433B" w:rsidRPr="00BC3F72">
        <w:rPr>
          <w:szCs w:val="25"/>
        </w:rPr>
        <w:t>and since we are dealing with moral advising</w:t>
      </w:r>
      <w:r w:rsidR="006F304D" w:rsidRPr="006F304D">
        <w:rPr>
          <w:szCs w:val="25"/>
        </w:rPr>
        <w:t xml:space="preserve">, </w:t>
      </w:r>
      <w:r w:rsidR="00DC00AC">
        <w:rPr>
          <w:szCs w:val="25"/>
        </w:rPr>
        <w:t>“</w:t>
      </w:r>
      <w:r w:rsidR="0018433B" w:rsidRPr="00BC3F72">
        <w:rPr>
          <w:szCs w:val="25"/>
        </w:rPr>
        <w:t>instruct</w:t>
      </w:r>
      <w:r w:rsidR="00DC00AC">
        <w:rPr>
          <w:szCs w:val="25"/>
        </w:rPr>
        <w:t>”</w:t>
      </w:r>
      <w:r w:rsidR="0018433B" w:rsidRPr="00BC3F72">
        <w:rPr>
          <w:szCs w:val="25"/>
        </w:rPr>
        <w:t xml:space="preserve"> is better replaced by the more commonplace “correct.” The full paraphrase thus reads: </w:t>
      </w:r>
      <w:r w:rsidR="00DC00AC">
        <w:rPr>
          <w:szCs w:val="25"/>
        </w:rPr>
        <w:t>“</w:t>
      </w:r>
      <w:r w:rsidR="0018433B" w:rsidRPr="00BC3F72">
        <w:rPr>
          <w:szCs w:val="25"/>
        </w:rPr>
        <w:t>A morally obtuse person cannot correct another’s morals. A person is not morally superior to one who advises him</w:t>
      </w:r>
      <w:r w:rsidR="006F304D" w:rsidRPr="006F304D">
        <w:rPr>
          <w:szCs w:val="25"/>
        </w:rPr>
        <w:t xml:space="preserve">, </w:t>
      </w:r>
      <w:r w:rsidR="0018433B" w:rsidRPr="00BC3F72">
        <w:rPr>
          <w:szCs w:val="25"/>
        </w:rPr>
        <w:t>but</w:t>
      </w:r>
      <w:r w:rsidR="006F304D" w:rsidRPr="006F304D">
        <w:rPr>
          <w:szCs w:val="25"/>
        </w:rPr>
        <w:t xml:space="preserve">, </w:t>
      </w:r>
      <w:r w:rsidR="0018433B" w:rsidRPr="00BC3F72">
        <w:rPr>
          <w:szCs w:val="25"/>
        </w:rPr>
        <w:t>when fully corrected</w:t>
      </w:r>
      <w:r w:rsidR="006F304D" w:rsidRPr="006F304D">
        <w:rPr>
          <w:szCs w:val="25"/>
        </w:rPr>
        <w:t xml:space="preserve">, </w:t>
      </w:r>
      <w:r w:rsidR="0018433B" w:rsidRPr="00BC3F72">
        <w:rPr>
          <w:szCs w:val="25"/>
        </w:rPr>
        <w:t>will be like his advisor.”</w:t>
      </w:r>
    </w:p>
    <w:p w14:paraId="51CB8653" w14:textId="0F52C2DF" w:rsidR="0018433B" w:rsidRPr="00BC3F72" w:rsidRDefault="00DC00AC" w:rsidP="0018433B">
      <w:pPr>
        <w:pStyle w:val="Style"/>
        <w:widowControl/>
        <w:jc w:val="both"/>
        <w:textAlignment w:val="baseline"/>
        <w:rPr>
          <w:szCs w:val="25"/>
        </w:rPr>
      </w:pPr>
      <w:r>
        <w:rPr>
          <w:szCs w:val="25"/>
        </w:rPr>
        <w:tab/>
      </w:r>
      <w:r w:rsidR="0018433B" w:rsidRPr="00BC3F72">
        <w:rPr>
          <w:szCs w:val="25"/>
        </w:rPr>
        <w:t>It will be seen immediately that this paraphrase accentuates the appro</w:t>
      </w:r>
      <w:r w:rsidR="0018433B" w:rsidRPr="00BC3F72">
        <w:rPr>
          <w:szCs w:val="25"/>
        </w:rPr>
        <w:softHyphen/>
        <w:t>priateness of the passage</w:t>
      </w:r>
      <w:r w:rsidR="0018433B" w:rsidRPr="00F624D6">
        <w:rPr>
          <w:szCs w:val="25"/>
        </w:rPr>
        <w:t>—</w:t>
      </w:r>
      <w:r w:rsidR="0018433B" w:rsidRPr="00BC3F72">
        <w:rPr>
          <w:szCs w:val="25"/>
        </w:rPr>
        <w:t>or</w:t>
      </w:r>
      <w:r w:rsidR="006F304D" w:rsidRPr="006F304D">
        <w:rPr>
          <w:szCs w:val="25"/>
        </w:rPr>
        <w:t xml:space="preserve">, </w:t>
      </w:r>
      <w:r w:rsidR="0018433B" w:rsidRPr="00BC3F72">
        <w:rPr>
          <w:szCs w:val="25"/>
        </w:rPr>
        <w:t>at least</w:t>
      </w:r>
      <w:r w:rsidR="006F304D" w:rsidRPr="006F304D">
        <w:rPr>
          <w:szCs w:val="25"/>
        </w:rPr>
        <w:t xml:space="preserve">, </w:t>
      </w:r>
      <w:r w:rsidR="0018433B" w:rsidRPr="00BC3F72">
        <w:rPr>
          <w:szCs w:val="25"/>
        </w:rPr>
        <w:t>of verse 39bc</w:t>
      </w:r>
      <w:r w:rsidR="0018433B" w:rsidRPr="00F624D6">
        <w:rPr>
          <w:szCs w:val="25"/>
        </w:rPr>
        <w:t>—</w:t>
      </w:r>
      <w:r w:rsidR="0018433B" w:rsidRPr="00BC3F72">
        <w:rPr>
          <w:szCs w:val="25"/>
        </w:rPr>
        <w:t>to its context. In a section</w:t>
      </w:r>
      <w:r w:rsidR="006F304D" w:rsidRPr="006F304D">
        <w:rPr>
          <w:szCs w:val="25"/>
        </w:rPr>
        <w:t xml:space="preserve">, </w:t>
      </w:r>
      <w:r w:rsidR="0018433B" w:rsidRPr="00BC3F72">
        <w:rPr>
          <w:szCs w:val="25"/>
        </w:rPr>
        <w:t>37-42</w:t>
      </w:r>
      <w:r w:rsidR="006F304D" w:rsidRPr="006F304D">
        <w:rPr>
          <w:szCs w:val="25"/>
        </w:rPr>
        <w:t xml:space="preserve">, </w:t>
      </w:r>
      <w:r w:rsidR="0018433B" w:rsidRPr="00BC3F72">
        <w:rPr>
          <w:szCs w:val="25"/>
        </w:rPr>
        <w:t xml:space="preserve">which otherwise deals largely with </w:t>
      </w:r>
      <w:r>
        <w:rPr>
          <w:szCs w:val="25"/>
        </w:rPr>
        <w:t>“</w:t>
      </w:r>
      <w:r w:rsidR="0018433B" w:rsidRPr="00BC3F72">
        <w:rPr>
          <w:szCs w:val="25"/>
        </w:rPr>
        <w:t>not criticizing,</w:t>
      </w:r>
      <w:r>
        <w:rPr>
          <w:szCs w:val="25"/>
        </w:rPr>
        <w:t>”</w:t>
      </w:r>
      <w:r w:rsidR="0018433B" w:rsidRPr="00BC3F72">
        <w:rPr>
          <w:szCs w:val="25"/>
        </w:rPr>
        <w:t xml:space="preserve"> introduction of the blind</w:t>
      </w:r>
      <w:r w:rsidR="0018433B" w:rsidRPr="00BC3F72">
        <w:rPr>
          <w:szCs w:val="25"/>
        </w:rPr>
        <w:softHyphen/>
        <w:t>man logion</w:t>
      </w:r>
      <w:r w:rsidR="006F304D" w:rsidRPr="006F304D">
        <w:rPr>
          <w:szCs w:val="25"/>
        </w:rPr>
        <w:t xml:space="preserve">, </w:t>
      </w:r>
      <w:r w:rsidR="0018433B" w:rsidRPr="00BC3F72">
        <w:rPr>
          <w:szCs w:val="25"/>
        </w:rPr>
        <w:t>verse 39</w:t>
      </w:r>
      <w:r w:rsidR="006F304D" w:rsidRPr="006F304D">
        <w:rPr>
          <w:szCs w:val="25"/>
        </w:rPr>
        <w:t xml:space="preserve">, </w:t>
      </w:r>
      <w:r w:rsidR="0018433B" w:rsidRPr="00BC3F72">
        <w:rPr>
          <w:szCs w:val="25"/>
        </w:rPr>
        <w:t>is fitting: “A morally obtuse person cannot correct another’s morals</w:t>
      </w:r>
      <w:r>
        <w:rPr>
          <w:szCs w:val="25"/>
        </w:rPr>
        <w:t>”</w:t>
      </w:r>
      <w:r w:rsidR="0018433B" w:rsidRPr="00BC3F72">
        <w:rPr>
          <w:szCs w:val="25"/>
        </w:rPr>
        <w:t xml:space="preserve"> is strikingly close to the point of the speck-and-log parable. We can</w:t>
      </w:r>
      <w:r w:rsidR="006F304D" w:rsidRPr="006F304D">
        <w:rPr>
          <w:szCs w:val="25"/>
        </w:rPr>
        <w:t xml:space="preserve">, </w:t>
      </w:r>
      <w:r w:rsidR="0018433B" w:rsidRPr="00BC3F72">
        <w:rPr>
          <w:szCs w:val="25"/>
        </w:rPr>
        <w:t>I think,</w:t>
      </w:r>
      <w:r w:rsidR="004B0393">
        <w:rPr>
          <w:szCs w:val="25"/>
        </w:rPr>
        <w:t xml:space="preserve"> </w:t>
      </w:r>
      <w:r w:rsidR="0018433B" w:rsidRPr="00BC3F72">
        <w:rPr>
          <w:szCs w:val="25"/>
        </w:rPr>
        <w:t>be confident that</w:t>
      </w:r>
      <w:r w:rsidR="006F304D" w:rsidRPr="006F304D">
        <w:rPr>
          <w:szCs w:val="25"/>
        </w:rPr>
        <w:t xml:space="preserve">, </w:t>
      </w:r>
      <w:r w:rsidR="0018433B" w:rsidRPr="00BC3F72">
        <w:rPr>
          <w:szCs w:val="25"/>
        </w:rPr>
        <w:t>recoverable as it is only from the text itself</w:t>
      </w:r>
      <w:r w:rsidR="006F304D" w:rsidRPr="006F304D">
        <w:rPr>
          <w:szCs w:val="25"/>
        </w:rPr>
        <w:t xml:space="preserve">, </w:t>
      </w:r>
      <w:r w:rsidR="0018433B" w:rsidRPr="00BC3F72">
        <w:rPr>
          <w:szCs w:val="25"/>
        </w:rPr>
        <w:t>Luke’s original</w:t>
      </w:r>
      <w:r>
        <w:rPr>
          <w:szCs w:val="25"/>
        </w:rPr>
        <w:t xml:space="preserve"> </w:t>
      </w:r>
      <w:r w:rsidR="0018433B" w:rsidRPr="00BC3F72">
        <w:rPr>
          <w:szCs w:val="25"/>
        </w:rPr>
        <w:t>intention in placing 39bc here was probably something very like this.</w:t>
      </w:r>
    </w:p>
    <w:p w14:paraId="07ECF539" w14:textId="2577CE99" w:rsidR="0018433B" w:rsidRPr="00BC3F72" w:rsidRDefault="00DC00AC" w:rsidP="0018433B">
      <w:pPr>
        <w:pStyle w:val="Style"/>
        <w:widowControl/>
        <w:jc w:val="both"/>
        <w:textAlignment w:val="baseline"/>
        <w:rPr>
          <w:szCs w:val="25"/>
        </w:rPr>
      </w:pPr>
      <w:r>
        <w:rPr>
          <w:szCs w:val="25"/>
        </w:rPr>
        <w:tab/>
      </w:r>
      <w:r w:rsidR="0018433B" w:rsidRPr="00BC3F72">
        <w:rPr>
          <w:szCs w:val="25"/>
        </w:rPr>
        <w:t>Verse 40</w:t>
      </w:r>
      <w:r w:rsidR="006F304D" w:rsidRPr="006F304D">
        <w:rPr>
          <w:szCs w:val="25"/>
        </w:rPr>
        <w:t xml:space="preserve">, </w:t>
      </w:r>
      <w:r w:rsidR="0018433B" w:rsidRPr="00BC3F72">
        <w:rPr>
          <w:szCs w:val="25"/>
        </w:rPr>
        <w:t>on the other hand</w:t>
      </w:r>
      <w:r w:rsidR="006F304D" w:rsidRPr="006F304D">
        <w:rPr>
          <w:szCs w:val="25"/>
        </w:rPr>
        <w:t xml:space="preserve">, </w:t>
      </w:r>
      <w:r w:rsidR="0018433B" w:rsidRPr="00BC3F72">
        <w:rPr>
          <w:szCs w:val="25"/>
        </w:rPr>
        <w:t>continues to be less tractable</w:t>
      </w:r>
      <w:r>
        <w:rPr>
          <w:szCs w:val="25"/>
        </w:rPr>
        <w:t>: “</w:t>
      </w:r>
      <w:r w:rsidRPr="00CD75A6">
        <w:t>A disciple is not above the teacher,</w:t>
      </w:r>
      <w:r>
        <w:t xml:space="preserve"> </w:t>
      </w:r>
      <w:r w:rsidRPr="00CD75A6">
        <w:t>but everyone who is fully qualified will be like</w:t>
      </w:r>
      <w:r>
        <w:t xml:space="preserve"> </w:t>
      </w:r>
      <w:r w:rsidRPr="00CD75A6">
        <w:t>the teacher.</w:t>
      </w:r>
      <w:r>
        <w:rPr>
          <w:szCs w:val="25"/>
        </w:rPr>
        <w:t>”</w:t>
      </w:r>
      <w:r w:rsidR="0018433B" w:rsidRPr="00BC3F72">
        <w:rPr>
          <w:szCs w:val="25"/>
        </w:rPr>
        <w:t xml:space="preserve"> Plummer</w:t>
      </w:r>
      <w:r w:rsidR="006F304D" w:rsidRPr="006F304D">
        <w:rPr>
          <w:szCs w:val="25"/>
        </w:rPr>
        <w:t xml:space="preserve">, </w:t>
      </w:r>
      <w:r w:rsidR="0018433B" w:rsidRPr="00BC3F72">
        <w:rPr>
          <w:szCs w:val="25"/>
        </w:rPr>
        <w:t>it will be recalled</w:t>
      </w:r>
      <w:r w:rsidR="006F304D" w:rsidRPr="006F304D">
        <w:rPr>
          <w:szCs w:val="25"/>
        </w:rPr>
        <w:t xml:space="preserve">, </w:t>
      </w:r>
      <w:r w:rsidR="0018433B" w:rsidRPr="00BC3F72">
        <w:rPr>
          <w:szCs w:val="25"/>
        </w:rPr>
        <w:t>sees 40a as a warning to moral advisors: “disciples will not get nearer to the truth than the teacher does</w:t>
      </w:r>
      <w:r w:rsidR="006F304D" w:rsidRPr="006F304D">
        <w:rPr>
          <w:szCs w:val="25"/>
        </w:rPr>
        <w:t xml:space="preserve">, </w:t>
      </w:r>
      <w:r w:rsidR="0018433B" w:rsidRPr="00BC3F72">
        <w:rPr>
          <w:szCs w:val="25"/>
        </w:rPr>
        <w:t>and therefore teachers must beware of being blind and uninstructed</w:t>
      </w:r>
      <w:r w:rsidR="006F304D" w:rsidRPr="006F304D">
        <w:rPr>
          <w:szCs w:val="25"/>
        </w:rPr>
        <w:t xml:space="preserve">, </w:t>
      </w:r>
      <w:r w:rsidR="0018433B" w:rsidRPr="00BC3F72">
        <w:rPr>
          <w:szCs w:val="25"/>
        </w:rPr>
        <w:t>especially with regard to knowledge of self.” Rose</w:t>
      </w:r>
      <w:r w:rsidR="006F304D" w:rsidRPr="006F304D">
        <w:rPr>
          <w:szCs w:val="25"/>
        </w:rPr>
        <w:t xml:space="preserve">, </w:t>
      </w:r>
      <w:r w:rsidR="0018433B" w:rsidRPr="00BC3F72">
        <w:rPr>
          <w:szCs w:val="25"/>
        </w:rPr>
        <w:t>on the other hand</w:t>
      </w:r>
      <w:r w:rsidR="006F304D" w:rsidRPr="006F304D">
        <w:rPr>
          <w:szCs w:val="25"/>
        </w:rPr>
        <w:t xml:space="preserve">, </w:t>
      </w:r>
      <w:r w:rsidR="0018433B" w:rsidRPr="00BC3F72">
        <w:rPr>
          <w:szCs w:val="25"/>
        </w:rPr>
        <w:t>sees 40a as a warning to those who seek advice: “One who wants to be led must seek out a guide who can see</w:t>
      </w:r>
      <w:r>
        <w:rPr>
          <w:szCs w:val="25"/>
        </w:rPr>
        <w:t>.</w:t>
      </w:r>
      <w:r w:rsidR="0018433B" w:rsidRPr="00BC3F72">
        <w:rPr>
          <w:szCs w:val="25"/>
        </w:rPr>
        <w:t>”</w:t>
      </w:r>
      <w:r>
        <w:rPr>
          <w:rStyle w:val="FootnoteReference"/>
          <w:szCs w:val="25"/>
        </w:rPr>
        <w:footnoteReference w:id="658"/>
      </w:r>
      <w:r w:rsidR="0018433B" w:rsidRPr="00BC3F72">
        <w:rPr>
          <w:szCs w:val="25"/>
        </w:rPr>
        <w:t xml:space="preserve"> Either interpretation makes reasonable sense out of our paraphrase: because </w:t>
      </w:r>
      <w:r>
        <w:rPr>
          <w:szCs w:val="25"/>
        </w:rPr>
        <w:t>“</w:t>
      </w:r>
      <w:r w:rsidR="0018433B" w:rsidRPr="00BC3F72">
        <w:rPr>
          <w:szCs w:val="25"/>
        </w:rPr>
        <w:t>A person is not morally superior to one who advises him,” one who puts himself in the position of advisor had better</w:t>
      </w:r>
      <w:r w:rsidR="006F304D" w:rsidRPr="006F304D">
        <w:rPr>
          <w:szCs w:val="25"/>
        </w:rPr>
        <w:t xml:space="preserve">, </w:t>
      </w:r>
      <w:r w:rsidR="0018433B" w:rsidRPr="00BC3F72">
        <w:rPr>
          <w:szCs w:val="25"/>
        </w:rPr>
        <w:t xml:space="preserve">for the advisee’s sake </w:t>
      </w:r>
      <w:r w:rsidR="0018433B">
        <w:rPr>
          <w:szCs w:val="25"/>
        </w:rPr>
        <w:lastRenderedPageBreak/>
        <w:t>(</w:t>
      </w:r>
      <w:r w:rsidR="0018433B" w:rsidRPr="00BC3F72">
        <w:rPr>
          <w:szCs w:val="25"/>
        </w:rPr>
        <w:t>and perhaps for his own</w:t>
      </w:r>
      <w:r w:rsidR="006F304D" w:rsidRPr="006F304D">
        <w:rPr>
          <w:szCs w:val="25"/>
        </w:rPr>
        <w:t xml:space="preserve">, </w:t>
      </w:r>
      <w:r w:rsidR="0018433B" w:rsidRPr="00BC3F72">
        <w:rPr>
          <w:szCs w:val="25"/>
        </w:rPr>
        <w:t>in the future judgment?) ensure beforehand that he is qualified to give counsel; or: one who seeks moral guidance from another had better ensure beforehand that his advisor is qualified to give counsel. But this does not yet explain 40b: what can Luke have meant by saying</w:t>
      </w:r>
      <w:r w:rsidR="006F304D" w:rsidRPr="006F304D">
        <w:rPr>
          <w:szCs w:val="25"/>
        </w:rPr>
        <w:t xml:space="preserve">, </w:t>
      </w:r>
      <w:r w:rsidR="0018433B" w:rsidRPr="00BC3F72">
        <w:rPr>
          <w:szCs w:val="25"/>
        </w:rPr>
        <w:t>“Everyone</w:t>
      </w:r>
      <w:r w:rsidR="006F304D" w:rsidRPr="006F304D">
        <w:rPr>
          <w:szCs w:val="25"/>
        </w:rPr>
        <w:t xml:space="preserve">, </w:t>
      </w:r>
      <w:r w:rsidR="0018433B" w:rsidRPr="00BC3F72">
        <w:rPr>
          <w:szCs w:val="25"/>
        </w:rPr>
        <w:t>when fully corrected</w:t>
      </w:r>
      <w:r w:rsidR="006F304D" w:rsidRPr="006F304D">
        <w:rPr>
          <w:szCs w:val="25"/>
        </w:rPr>
        <w:t xml:space="preserve">, </w:t>
      </w:r>
      <w:r w:rsidR="0018433B" w:rsidRPr="00BC3F72">
        <w:rPr>
          <w:szCs w:val="25"/>
        </w:rPr>
        <w:t>will be like his advisor</w:t>
      </w:r>
      <w:r>
        <w:rPr>
          <w:szCs w:val="25"/>
        </w:rPr>
        <w:t>”</w:t>
      </w:r>
      <w:r w:rsidR="0018433B" w:rsidRPr="00BC3F72">
        <w:rPr>
          <w:szCs w:val="25"/>
        </w:rPr>
        <w:t>? We still have not determined whether the advisor represents any Christian</w:t>
      </w:r>
      <w:r w:rsidR="006F304D" w:rsidRPr="006F304D">
        <w:rPr>
          <w:szCs w:val="25"/>
        </w:rPr>
        <w:t xml:space="preserve">, </w:t>
      </w:r>
      <w:r w:rsidR="0018433B" w:rsidRPr="00BC3F72">
        <w:rPr>
          <w:szCs w:val="25"/>
        </w:rPr>
        <w:t>or Jesus alone.</w:t>
      </w:r>
    </w:p>
    <w:p w14:paraId="4FB867C4" w14:textId="36198AA7" w:rsidR="0018433B" w:rsidRPr="00BC3F72" w:rsidRDefault="00DC00AC" w:rsidP="0018433B">
      <w:pPr>
        <w:pStyle w:val="Style"/>
        <w:widowControl/>
        <w:jc w:val="both"/>
        <w:textAlignment w:val="baseline"/>
        <w:rPr>
          <w:szCs w:val="25"/>
        </w:rPr>
      </w:pPr>
      <w:r>
        <w:rPr>
          <w:szCs w:val="25"/>
        </w:rPr>
        <w:tab/>
      </w:r>
      <w:r w:rsidR="0018433B" w:rsidRPr="00BC3F72">
        <w:rPr>
          <w:szCs w:val="25"/>
        </w:rPr>
        <w:t>If one assumes that the “teacher” in 40b is the disciples</w:t>
      </w:r>
      <w:r w:rsidR="006F304D" w:rsidRPr="006F304D">
        <w:rPr>
          <w:szCs w:val="25"/>
        </w:rPr>
        <w:t xml:space="preserve">, </w:t>
      </w:r>
      <w:r w:rsidR="0018433B" w:rsidRPr="00BC3F72">
        <w:rPr>
          <w:szCs w:val="25"/>
        </w:rPr>
        <w:t xml:space="preserve">then the teacher in 40a and 40b is still the ‘blind man” who leads another in 39bc. The meaning of the full pair of verses might then be phrased: </w:t>
      </w:r>
      <w:r>
        <w:rPr>
          <w:szCs w:val="25"/>
        </w:rPr>
        <w:t>“</w:t>
      </w:r>
      <w:r w:rsidR="0018433B" w:rsidRPr="00BC3F72">
        <w:rPr>
          <w:szCs w:val="25"/>
        </w:rPr>
        <w:t>A morally obtuse person cannot correct another’s morals. Since an advisee cannot become morally superior to his advisor</w:t>
      </w:r>
      <w:r w:rsidR="006F304D" w:rsidRPr="006F304D">
        <w:rPr>
          <w:szCs w:val="25"/>
        </w:rPr>
        <w:t xml:space="preserve">, </w:t>
      </w:r>
      <w:r w:rsidR="0018433B" w:rsidRPr="00BC3F72">
        <w:rPr>
          <w:szCs w:val="25"/>
        </w:rPr>
        <w:t>the advisee</w:t>
      </w:r>
      <w:r w:rsidR="006F304D" w:rsidRPr="006F304D">
        <w:rPr>
          <w:szCs w:val="25"/>
        </w:rPr>
        <w:t xml:space="preserve">, </w:t>
      </w:r>
      <w:r w:rsidR="0018433B" w:rsidRPr="00BC3F72">
        <w:rPr>
          <w:szCs w:val="25"/>
        </w:rPr>
        <w:t>when fully instructed</w:t>
      </w:r>
      <w:r w:rsidR="006F304D" w:rsidRPr="006F304D">
        <w:rPr>
          <w:szCs w:val="25"/>
        </w:rPr>
        <w:t xml:space="preserve">, </w:t>
      </w:r>
      <w:r w:rsidR="0018433B" w:rsidRPr="00BC3F72">
        <w:rPr>
          <w:szCs w:val="25"/>
        </w:rPr>
        <w:t>will have taken on the limitations</w:t>
      </w:r>
      <w:r w:rsidR="006F304D" w:rsidRPr="006F304D">
        <w:rPr>
          <w:szCs w:val="25"/>
        </w:rPr>
        <w:t xml:space="preserve">, </w:t>
      </w:r>
      <w:r w:rsidR="0018433B" w:rsidRPr="00BC3F72">
        <w:rPr>
          <w:szCs w:val="25"/>
        </w:rPr>
        <w:t>the faults</w:t>
      </w:r>
      <w:r w:rsidR="006F304D" w:rsidRPr="006F304D">
        <w:rPr>
          <w:szCs w:val="25"/>
        </w:rPr>
        <w:t xml:space="preserve">, </w:t>
      </w:r>
      <w:r w:rsidR="0018433B" w:rsidRPr="00BC3F72">
        <w:rPr>
          <w:szCs w:val="25"/>
        </w:rPr>
        <w:t>of his</w:t>
      </w:r>
      <w:r w:rsidR="00AF16A2">
        <w:rPr>
          <w:szCs w:val="25"/>
        </w:rPr>
        <w:t xml:space="preserve"> </w:t>
      </w:r>
      <w:r w:rsidR="0018433B" w:rsidRPr="00BC3F72">
        <w:rPr>
          <w:szCs w:val="25"/>
        </w:rPr>
        <w:t>instructor.” This</w:t>
      </w:r>
      <w:r w:rsidR="006F304D" w:rsidRPr="006F304D">
        <w:rPr>
          <w:szCs w:val="25"/>
        </w:rPr>
        <w:t xml:space="preserve">, </w:t>
      </w:r>
      <w:r w:rsidR="0018433B" w:rsidRPr="00BC3F72">
        <w:rPr>
          <w:szCs w:val="25"/>
        </w:rPr>
        <w:t>I think</w:t>
      </w:r>
      <w:r w:rsidR="006F304D" w:rsidRPr="006F304D">
        <w:rPr>
          <w:szCs w:val="25"/>
        </w:rPr>
        <w:t xml:space="preserve">, </w:t>
      </w:r>
      <w:r w:rsidR="0018433B" w:rsidRPr="00BC3F72">
        <w:rPr>
          <w:szCs w:val="25"/>
        </w:rPr>
        <w:t>makes good sense of the passage. Easton has advanced</w:t>
      </w:r>
      <w:r w:rsidR="00AF16A2">
        <w:rPr>
          <w:szCs w:val="25"/>
        </w:rPr>
        <w:t xml:space="preserve"> </w:t>
      </w:r>
      <w:r w:rsidR="0018433B" w:rsidRPr="00BC3F72">
        <w:rPr>
          <w:szCs w:val="25"/>
        </w:rPr>
        <w:t xml:space="preserve">precisely this explication: </w:t>
      </w:r>
      <w:r w:rsidR="00AF16A2">
        <w:rPr>
          <w:szCs w:val="25"/>
        </w:rPr>
        <w:t>“</w:t>
      </w:r>
      <w:r w:rsidR="0018433B" w:rsidRPr="00BC3F72">
        <w:rPr>
          <w:szCs w:val="25"/>
        </w:rPr>
        <w:t>A pitiless man cannot really benefit the objects of his cri</w:t>
      </w:r>
      <w:r w:rsidR="0018433B" w:rsidRPr="00BC3F72">
        <w:rPr>
          <w:szCs w:val="25"/>
        </w:rPr>
        <w:softHyphen/>
        <w:t>ticisms; if men submit themselves to his guidance</w:t>
      </w:r>
      <w:r w:rsidR="006F304D" w:rsidRPr="006F304D">
        <w:rPr>
          <w:szCs w:val="25"/>
        </w:rPr>
        <w:t xml:space="preserve">, </w:t>
      </w:r>
      <w:r w:rsidR="0018433B" w:rsidRPr="00BC3F72">
        <w:rPr>
          <w:szCs w:val="25"/>
        </w:rPr>
        <w:t>they will fall into his faults.</w:t>
      </w:r>
      <w:r w:rsidR="00AF16A2">
        <w:rPr>
          <w:szCs w:val="25"/>
        </w:rPr>
        <w:t>”</w:t>
      </w:r>
      <w:r w:rsidR="00755481">
        <w:rPr>
          <w:rStyle w:val="FootnoteReference"/>
          <w:szCs w:val="25"/>
        </w:rPr>
        <w:footnoteReference w:id="659"/>
      </w:r>
      <w:r w:rsidR="00775F9B" w:rsidRPr="00775F9B">
        <w:rPr>
          <w:iCs/>
          <w:szCs w:val="25"/>
        </w:rPr>
        <w:t xml:space="preserve"> </w:t>
      </w:r>
      <w:r w:rsidR="0018433B" w:rsidRPr="00BC3F72">
        <w:rPr>
          <w:szCs w:val="25"/>
        </w:rPr>
        <w:t>Easton adds the astute observation that the concept of education in 40a</w:t>
      </w:r>
      <w:r w:rsidR="0018433B" w:rsidRPr="00F624D6">
        <w:rPr>
          <w:szCs w:val="25"/>
        </w:rPr>
        <w:t>—</w:t>
      </w:r>
      <w:r w:rsidR="00AF16A2">
        <w:rPr>
          <w:szCs w:val="25"/>
        </w:rPr>
        <w:t>“</w:t>
      </w:r>
      <w:r w:rsidR="0018433B" w:rsidRPr="00BC3F72">
        <w:rPr>
          <w:szCs w:val="25"/>
        </w:rPr>
        <w:t>an advi</w:t>
      </w:r>
      <w:r w:rsidR="0018433B" w:rsidRPr="00BC3F72">
        <w:rPr>
          <w:szCs w:val="25"/>
        </w:rPr>
        <w:softHyphen/>
        <w:t>see cannot become morally superior to his advisor”</w:t>
      </w:r>
      <w:r w:rsidR="0018433B" w:rsidRPr="00F624D6">
        <w:rPr>
          <w:szCs w:val="25"/>
        </w:rPr>
        <w:t>—</w:t>
      </w:r>
      <w:r w:rsidR="0018433B" w:rsidRPr="00BC3F72">
        <w:rPr>
          <w:szCs w:val="25"/>
        </w:rPr>
        <w:t xml:space="preserve">corresponds exactly to the idea of instruction common in the rabbinic world: </w:t>
      </w:r>
      <w:r w:rsidR="00AF16A2">
        <w:rPr>
          <w:szCs w:val="25"/>
        </w:rPr>
        <w:t>“</w:t>
      </w:r>
      <w:r w:rsidR="0018433B" w:rsidRPr="00BC3F72">
        <w:rPr>
          <w:szCs w:val="25"/>
        </w:rPr>
        <w:t>Note the pedagogic presuppositions that regard instruction as simply the imparting of information.</w:t>
      </w:r>
      <w:r w:rsidR="00AF16A2">
        <w:rPr>
          <w:szCs w:val="25"/>
        </w:rPr>
        <w:t>”</w:t>
      </w:r>
      <w:r w:rsidR="00755481">
        <w:rPr>
          <w:rStyle w:val="FootnoteReference"/>
          <w:szCs w:val="25"/>
        </w:rPr>
        <w:footnoteReference w:id="660"/>
      </w:r>
      <w:r w:rsidR="0018433B" w:rsidRPr="00BC3F72">
        <w:rPr>
          <w:szCs w:val="25"/>
        </w:rPr>
        <w:t xml:space="preserve"> The idea that a disciple will take on the faults of his teacher</w:t>
      </w:r>
      <w:r w:rsidR="006F304D" w:rsidRPr="006F304D">
        <w:rPr>
          <w:szCs w:val="25"/>
        </w:rPr>
        <w:t xml:space="preserve">, </w:t>
      </w:r>
      <w:r w:rsidR="0018433B" w:rsidRPr="00BC3F72">
        <w:rPr>
          <w:szCs w:val="25"/>
        </w:rPr>
        <w:t>then</w:t>
      </w:r>
      <w:r w:rsidR="006F304D" w:rsidRPr="006F304D">
        <w:rPr>
          <w:szCs w:val="25"/>
        </w:rPr>
        <w:t xml:space="preserve">, </w:t>
      </w:r>
      <w:r w:rsidR="0018433B" w:rsidRPr="00BC3F72">
        <w:rPr>
          <w:szCs w:val="25"/>
        </w:rPr>
        <w:t>may very well have been what Luke had in mind by including 40b at this point.</w:t>
      </w:r>
    </w:p>
    <w:p w14:paraId="0EC50026" w14:textId="7D0F172A" w:rsidR="0018433B" w:rsidRPr="00BC3F72" w:rsidRDefault="00AF16A2" w:rsidP="0018433B">
      <w:pPr>
        <w:pStyle w:val="Style"/>
        <w:widowControl/>
        <w:jc w:val="both"/>
        <w:textAlignment w:val="baseline"/>
        <w:rPr>
          <w:szCs w:val="25"/>
        </w:rPr>
      </w:pPr>
      <w:r>
        <w:rPr>
          <w:szCs w:val="25"/>
        </w:rPr>
        <w:tab/>
      </w:r>
      <w:r w:rsidR="0018433B" w:rsidRPr="00BC3F72">
        <w:rPr>
          <w:szCs w:val="25"/>
        </w:rPr>
        <w:t>A problem with this interpretation</w:t>
      </w:r>
      <w:r w:rsidR="006F304D" w:rsidRPr="006F304D">
        <w:rPr>
          <w:szCs w:val="25"/>
        </w:rPr>
        <w:t xml:space="preserve">, </w:t>
      </w:r>
      <w:r w:rsidR="0018433B" w:rsidRPr="00BC3F72">
        <w:rPr>
          <w:szCs w:val="25"/>
        </w:rPr>
        <w:t>however</w:t>
      </w:r>
      <w:r w:rsidR="006F304D" w:rsidRPr="006F304D">
        <w:rPr>
          <w:szCs w:val="25"/>
        </w:rPr>
        <w:t xml:space="preserve">, </w:t>
      </w:r>
      <w:r w:rsidR="0018433B" w:rsidRPr="00BC3F72">
        <w:rPr>
          <w:szCs w:val="25"/>
        </w:rPr>
        <w:t>is the necessity to change the mood</w:t>
      </w:r>
      <w:r w:rsidR="00755481">
        <w:rPr>
          <w:rStyle w:val="FootnoteReference"/>
          <w:szCs w:val="25"/>
        </w:rPr>
        <w:footnoteReference w:id="661"/>
      </w:r>
      <w:r w:rsidR="00775F9B" w:rsidRPr="00775F9B">
        <w:rPr>
          <w:iCs/>
          <w:szCs w:val="25"/>
        </w:rPr>
        <w:t xml:space="preserve"> </w:t>
      </w:r>
      <w:r w:rsidR="0018433B" w:rsidRPr="00BC3F72">
        <w:rPr>
          <w:szCs w:val="25"/>
        </w:rPr>
        <w:t>in 40a. We have rendered 40a</w:t>
      </w:r>
      <w:r w:rsidR="00755481">
        <w:rPr>
          <w:szCs w:val="25"/>
        </w:rPr>
        <w:t>,</w:t>
      </w:r>
      <w:r w:rsidR="0018433B" w:rsidRPr="00BC3F72">
        <w:rPr>
          <w:szCs w:val="25"/>
        </w:rPr>
        <w:t xml:space="preserve"> in the preceding paraphrase</w:t>
      </w:r>
      <w:r w:rsidR="006F304D" w:rsidRPr="006F304D">
        <w:rPr>
          <w:szCs w:val="25"/>
        </w:rPr>
        <w:t xml:space="preserve">, </w:t>
      </w:r>
      <w:r w:rsidR="00755481">
        <w:rPr>
          <w:szCs w:val="25"/>
        </w:rPr>
        <w:t>“</w:t>
      </w:r>
      <w:r w:rsidR="0018433B" w:rsidRPr="00BC3F72">
        <w:rPr>
          <w:szCs w:val="25"/>
        </w:rPr>
        <w:t>an advisee cannot become morally superior to his advisor</w:t>
      </w:r>
      <w:r w:rsidR="00755481">
        <w:rPr>
          <w:szCs w:val="25"/>
        </w:rPr>
        <w:t>”</w:t>
      </w:r>
      <w:r w:rsidR="0018433B" w:rsidRPr="00BC3F72">
        <w:rPr>
          <w:szCs w:val="25"/>
        </w:rPr>
        <w:t>; but what the versicle literally says</w:t>
      </w:r>
      <w:r>
        <w:rPr>
          <w:szCs w:val="25"/>
        </w:rPr>
        <w:t xml:space="preserve"> </w:t>
      </w:r>
      <w:r w:rsidR="0018433B" w:rsidRPr="00BC3F72">
        <w:rPr>
          <w:szCs w:val="25"/>
        </w:rPr>
        <w:t>is</w:t>
      </w:r>
      <w:r w:rsidR="006F304D" w:rsidRPr="006F304D">
        <w:rPr>
          <w:szCs w:val="25"/>
        </w:rPr>
        <w:t xml:space="preserve">, </w:t>
      </w:r>
      <w:r w:rsidR="0018433B" w:rsidRPr="00BC3F72">
        <w:rPr>
          <w:szCs w:val="25"/>
        </w:rPr>
        <w:t>“A disciple is not [</w:t>
      </w:r>
      <w:r w:rsidR="00755481" w:rsidRPr="00CE06CA">
        <w:rPr>
          <w:bCs/>
          <w:szCs w:val="22"/>
          <w:lang w:val="el-GR"/>
        </w:rPr>
        <w:t>οὐκ ἔστιν</w:t>
      </w:r>
      <w:r w:rsidR="0018433B" w:rsidRPr="00BC3F72">
        <w:rPr>
          <w:rFonts w:eastAsia="Arial"/>
          <w:szCs w:val="23"/>
        </w:rPr>
        <w:t xml:space="preserve">] </w:t>
      </w:r>
      <w:r w:rsidR="0018433B" w:rsidRPr="00BC3F72">
        <w:rPr>
          <w:szCs w:val="25"/>
        </w:rPr>
        <w:t>above the teacher.” The versicle refers to the</w:t>
      </w:r>
      <w:r w:rsidR="00755481">
        <w:rPr>
          <w:szCs w:val="25"/>
        </w:rPr>
        <w:t xml:space="preserve"> </w:t>
      </w:r>
      <w:r w:rsidR="0018433B" w:rsidRPr="00BC3F72">
        <w:rPr>
          <w:szCs w:val="25"/>
        </w:rPr>
        <w:t>disciple at present</w:t>
      </w:r>
      <w:r w:rsidR="006F304D" w:rsidRPr="006F304D">
        <w:rPr>
          <w:szCs w:val="25"/>
        </w:rPr>
        <w:t xml:space="preserve">, </w:t>
      </w:r>
      <w:r w:rsidR="0018433B" w:rsidRPr="00BC3F72">
        <w:rPr>
          <w:szCs w:val="25"/>
        </w:rPr>
        <w:t>in the midst of his course of studies; to make sense</w:t>
      </w:r>
      <w:r w:rsidR="006F304D" w:rsidRPr="006F304D">
        <w:rPr>
          <w:szCs w:val="25"/>
        </w:rPr>
        <w:t xml:space="preserve">, </w:t>
      </w:r>
      <w:r w:rsidR="0018433B" w:rsidRPr="00BC3F72">
        <w:rPr>
          <w:szCs w:val="25"/>
        </w:rPr>
        <w:t>however</w:t>
      </w:r>
      <w:r w:rsidR="006F304D" w:rsidRPr="006F304D">
        <w:rPr>
          <w:szCs w:val="25"/>
        </w:rPr>
        <w:t xml:space="preserve">, </w:t>
      </w:r>
      <w:r w:rsidR="0018433B" w:rsidRPr="00BC3F72">
        <w:rPr>
          <w:szCs w:val="25"/>
        </w:rPr>
        <w:t>Easton’s interpretation requires a reference to the disciple in the future</w:t>
      </w:r>
      <w:r w:rsidR="006F304D" w:rsidRPr="006F304D">
        <w:rPr>
          <w:szCs w:val="25"/>
        </w:rPr>
        <w:t xml:space="preserve">, </w:t>
      </w:r>
      <w:r w:rsidR="0018433B" w:rsidRPr="00BC3F72">
        <w:rPr>
          <w:szCs w:val="25"/>
        </w:rPr>
        <w:t>at the con</w:t>
      </w:r>
      <w:r w:rsidR="0018433B" w:rsidRPr="00BC3F72">
        <w:rPr>
          <w:szCs w:val="25"/>
        </w:rPr>
        <w:softHyphen/>
        <w:t>clusion of his studies. A reference to the disciple at the conclusion of his studies does occur in 40b</w:t>
      </w:r>
      <w:r w:rsidR="0018433B" w:rsidRPr="00F624D6">
        <w:rPr>
          <w:szCs w:val="25"/>
        </w:rPr>
        <w:t>—</w:t>
      </w:r>
      <w:r w:rsidR="00755481">
        <w:rPr>
          <w:szCs w:val="25"/>
        </w:rPr>
        <w:t>“</w:t>
      </w:r>
      <w:proofErr w:type="spellStart"/>
      <w:r w:rsidR="0018433B" w:rsidRPr="00BC3F72">
        <w:rPr>
          <w:szCs w:val="25"/>
        </w:rPr>
        <w:t>every one</w:t>
      </w:r>
      <w:proofErr w:type="spellEnd"/>
      <w:r w:rsidR="0018433B" w:rsidRPr="00BC3F72">
        <w:rPr>
          <w:szCs w:val="25"/>
        </w:rPr>
        <w:t xml:space="preserve"> when he is fully taught will be like his teacher</w:t>
      </w:r>
      <w:r w:rsidR="00755481">
        <w:rPr>
          <w:szCs w:val="25"/>
        </w:rPr>
        <w:t>”</w:t>
      </w:r>
      <w:r w:rsidR="0018433B" w:rsidRPr="00BC3F72">
        <w:rPr>
          <w:szCs w:val="25"/>
        </w:rPr>
        <w:t>; perhaps</w:t>
      </w:r>
      <w:r w:rsidR="006F304D" w:rsidRPr="006F304D">
        <w:rPr>
          <w:szCs w:val="25"/>
        </w:rPr>
        <w:t xml:space="preserve">, </w:t>
      </w:r>
      <w:r w:rsidR="0018433B" w:rsidRPr="00BC3F72">
        <w:rPr>
          <w:szCs w:val="25"/>
        </w:rPr>
        <w:t>then</w:t>
      </w:r>
      <w:r w:rsidR="006F304D" w:rsidRPr="006F304D">
        <w:rPr>
          <w:szCs w:val="25"/>
        </w:rPr>
        <w:t xml:space="preserve">, </w:t>
      </w:r>
      <w:r w:rsidR="0018433B" w:rsidRPr="00BC3F72">
        <w:rPr>
          <w:szCs w:val="25"/>
        </w:rPr>
        <w:t xml:space="preserve">Luke (and the </w:t>
      </w:r>
      <w:proofErr w:type="spellStart"/>
      <w:r w:rsidR="0018433B" w:rsidRPr="00BC3F72">
        <w:rPr>
          <w:szCs w:val="25"/>
        </w:rPr>
        <w:t>tradents</w:t>
      </w:r>
      <w:proofErr w:type="spellEnd"/>
      <w:r w:rsidR="0018433B" w:rsidRPr="00BC3F72">
        <w:rPr>
          <w:szCs w:val="25"/>
        </w:rPr>
        <w:t xml:space="preserve"> before him</w:t>
      </w:r>
      <w:r w:rsidR="009B22E2">
        <w:rPr>
          <w:rStyle w:val="FootnoteReference"/>
          <w:szCs w:val="25"/>
        </w:rPr>
        <w:footnoteReference w:id="662"/>
      </w:r>
      <w:r w:rsidR="0018433B" w:rsidRPr="00BC3F72">
        <w:rPr>
          <w:szCs w:val="25"/>
        </w:rPr>
        <w:t>) intended the future disciple also in 40a.</w:t>
      </w:r>
    </w:p>
    <w:p w14:paraId="0370FDFB" w14:textId="4ED6F2F8" w:rsidR="0018433B" w:rsidRPr="00BC3F72" w:rsidRDefault="00C010B4" w:rsidP="0018433B">
      <w:pPr>
        <w:pStyle w:val="Style"/>
        <w:widowControl/>
        <w:jc w:val="both"/>
        <w:textAlignment w:val="baseline"/>
        <w:rPr>
          <w:szCs w:val="25"/>
        </w:rPr>
      </w:pPr>
      <w:r>
        <w:rPr>
          <w:szCs w:val="25"/>
        </w:rPr>
        <w:tab/>
      </w:r>
      <w:r w:rsidR="0018433B" w:rsidRPr="00BC3F72">
        <w:rPr>
          <w:szCs w:val="25"/>
        </w:rPr>
        <w:t>Which</w:t>
      </w:r>
      <w:r w:rsidR="006F304D" w:rsidRPr="006F304D">
        <w:rPr>
          <w:szCs w:val="25"/>
        </w:rPr>
        <w:t xml:space="preserve">, </w:t>
      </w:r>
      <w:r w:rsidR="0018433B" w:rsidRPr="00BC3F72">
        <w:rPr>
          <w:szCs w:val="25"/>
        </w:rPr>
        <w:t>then</w:t>
      </w:r>
      <w:r w:rsidR="006F304D" w:rsidRPr="006F304D">
        <w:rPr>
          <w:szCs w:val="25"/>
        </w:rPr>
        <w:t xml:space="preserve">, </w:t>
      </w:r>
      <w:r w:rsidR="0018433B" w:rsidRPr="00BC3F72">
        <w:rPr>
          <w:szCs w:val="25"/>
        </w:rPr>
        <w:t>did Luke have in mind by the “teacher” in verse 40: Jesus</w:t>
      </w:r>
      <w:r w:rsidR="006F304D" w:rsidRPr="006F304D">
        <w:rPr>
          <w:szCs w:val="25"/>
        </w:rPr>
        <w:t xml:space="preserve">, </w:t>
      </w:r>
      <w:r w:rsidR="0018433B" w:rsidRPr="00BC3F72">
        <w:rPr>
          <w:szCs w:val="25"/>
        </w:rPr>
        <w:t xml:space="preserve">or the disciples? One could admit defeat and dismiss 39-40 as </w:t>
      </w:r>
      <w:r w:rsidR="009B22E2">
        <w:rPr>
          <w:szCs w:val="25"/>
        </w:rPr>
        <w:t>“</w:t>
      </w:r>
      <w:r w:rsidR="0018433B" w:rsidRPr="00BC3F72">
        <w:rPr>
          <w:szCs w:val="25"/>
        </w:rPr>
        <w:t>torn from their con</w:t>
      </w:r>
      <w:r w:rsidR="0018433B" w:rsidRPr="00BC3F72">
        <w:rPr>
          <w:szCs w:val="25"/>
        </w:rPr>
        <w:softHyphen/>
        <w:t xml:space="preserve">text,” as </w:t>
      </w:r>
      <w:r w:rsidR="009B22E2">
        <w:rPr>
          <w:szCs w:val="25"/>
        </w:rPr>
        <w:t>“</w:t>
      </w:r>
      <w:r w:rsidR="0018433B" w:rsidRPr="00BC3F72">
        <w:rPr>
          <w:szCs w:val="25"/>
        </w:rPr>
        <w:t xml:space="preserve">without thematic </w:t>
      </w:r>
      <w:r w:rsidR="0018433B" w:rsidRPr="00BC3F72">
        <w:rPr>
          <w:szCs w:val="25"/>
        </w:rPr>
        <w:lastRenderedPageBreak/>
        <w:t xml:space="preserve">unity,” as </w:t>
      </w:r>
      <w:r w:rsidR="009B22E2">
        <w:rPr>
          <w:szCs w:val="25"/>
        </w:rPr>
        <w:t>“</w:t>
      </w:r>
      <w:r w:rsidR="0018433B" w:rsidRPr="00BC3F72">
        <w:rPr>
          <w:szCs w:val="25"/>
        </w:rPr>
        <w:t>destroying the train of thought</w:t>
      </w:r>
      <w:r w:rsidR="009B22E2">
        <w:rPr>
          <w:szCs w:val="25"/>
        </w:rPr>
        <w:t>”</w:t>
      </w:r>
      <w:r w:rsidR="009B22E2">
        <w:rPr>
          <w:rStyle w:val="FootnoteReference"/>
          <w:szCs w:val="25"/>
        </w:rPr>
        <w:footnoteReference w:id="663"/>
      </w:r>
      <w:r w:rsidR="009B22E2">
        <w:rPr>
          <w:szCs w:val="25"/>
        </w:rPr>
        <w:t>;</w:t>
      </w:r>
      <w:r w:rsidR="0018433B" w:rsidRPr="00BC3F72">
        <w:rPr>
          <w:szCs w:val="25"/>
        </w:rPr>
        <w:t xml:space="preserve"> but the choice here is fairly obvious. The bulk of the evidence weighs in favor of the inter</w:t>
      </w:r>
      <w:r w:rsidR="0018433B" w:rsidRPr="00BC3F72">
        <w:rPr>
          <w:szCs w:val="25"/>
        </w:rPr>
        <w:softHyphen/>
        <w:t>pretation which sees</w:t>
      </w:r>
      <w:r w:rsidR="006F304D" w:rsidRPr="006F304D">
        <w:rPr>
          <w:szCs w:val="25"/>
        </w:rPr>
        <w:t xml:space="preserve">, </w:t>
      </w:r>
      <w:r w:rsidR="0018433B" w:rsidRPr="00BC3F72">
        <w:rPr>
          <w:szCs w:val="25"/>
        </w:rPr>
        <w:t>behind the teacher in verse 40</w:t>
      </w:r>
      <w:r w:rsidR="006F304D" w:rsidRPr="006F304D">
        <w:rPr>
          <w:szCs w:val="25"/>
        </w:rPr>
        <w:t xml:space="preserve">, </w:t>
      </w:r>
      <w:r w:rsidR="0018433B" w:rsidRPr="00BC3F72">
        <w:rPr>
          <w:szCs w:val="25"/>
        </w:rPr>
        <w:t>the disciples. Thus</w:t>
      </w:r>
      <w:r w:rsidR="006F304D" w:rsidRPr="006F304D">
        <w:rPr>
          <w:szCs w:val="25"/>
        </w:rPr>
        <w:t xml:space="preserve">, </w:t>
      </w:r>
      <w:r w:rsidR="0018433B" w:rsidRPr="00BC3F72">
        <w:rPr>
          <w:szCs w:val="25"/>
        </w:rPr>
        <w:t xml:space="preserve">the whole of verses 39-40 are best understood </w:t>
      </w:r>
      <w:r w:rsidR="0018433B" w:rsidRPr="00BC3F72">
        <w:t xml:space="preserve">if </w:t>
      </w:r>
      <w:r w:rsidR="0018433B" w:rsidRPr="00BC3F72">
        <w:rPr>
          <w:szCs w:val="25"/>
        </w:rPr>
        <w:t>the literal term of reference is the disciples throughout. I base this conclusion</w:t>
      </w:r>
      <w:r w:rsidR="006F304D" w:rsidRPr="006F304D">
        <w:rPr>
          <w:szCs w:val="25"/>
        </w:rPr>
        <w:t xml:space="preserve">, </w:t>
      </w:r>
      <w:r w:rsidR="0018433B" w:rsidRPr="00BC3F72">
        <w:rPr>
          <w:szCs w:val="25"/>
        </w:rPr>
        <w:t>both on the weakness of the arguments in favor of Jesus as the teacher</w:t>
      </w:r>
      <w:r w:rsidR="006F304D" w:rsidRPr="006F304D">
        <w:rPr>
          <w:szCs w:val="25"/>
        </w:rPr>
        <w:t xml:space="preserve">, </w:t>
      </w:r>
      <w:r w:rsidR="0018433B" w:rsidRPr="00BC3F72">
        <w:rPr>
          <w:szCs w:val="25"/>
        </w:rPr>
        <w:t>and on the likelihood that</w:t>
      </w:r>
      <w:r w:rsidR="006F304D" w:rsidRPr="006F304D">
        <w:rPr>
          <w:szCs w:val="25"/>
        </w:rPr>
        <w:t xml:space="preserve">, </w:t>
      </w:r>
      <w:r w:rsidR="0018433B" w:rsidRPr="00BC3F72">
        <w:rPr>
          <w:szCs w:val="25"/>
        </w:rPr>
        <w:t>having dealt with the disciples</w:t>
      </w:r>
      <w:r>
        <w:rPr>
          <w:szCs w:val="25"/>
        </w:rPr>
        <w:t xml:space="preserve"> </w:t>
      </w:r>
      <w:r w:rsidR="0018433B" w:rsidRPr="00BC3F72">
        <w:rPr>
          <w:szCs w:val="25"/>
        </w:rPr>
        <w:t>under the “mask” of blind men in 39</w:t>
      </w:r>
      <w:r w:rsidR="006F304D" w:rsidRPr="006F304D">
        <w:rPr>
          <w:szCs w:val="25"/>
        </w:rPr>
        <w:t xml:space="preserve">, </w:t>
      </w:r>
      <w:r w:rsidR="0018433B" w:rsidRPr="00BC3F72">
        <w:rPr>
          <w:szCs w:val="25"/>
        </w:rPr>
        <w:t>Luke is likely to have extended the same</w:t>
      </w:r>
      <w:r>
        <w:rPr>
          <w:szCs w:val="25"/>
        </w:rPr>
        <w:t xml:space="preserve"> </w:t>
      </w:r>
      <w:r w:rsidR="0018433B" w:rsidRPr="00BC3F72">
        <w:rPr>
          <w:szCs w:val="25"/>
        </w:rPr>
        <w:t>referent into 40</w:t>
      </w:r>
      <w:r>
        <w:rPr>
          <w:szCs w:val="25"/>
        </w:rPr>
        <w:t>.</w:t>
      </w:r>
      <w:r>
        <w:rPr>
          <w:rStyle w:val="FootnoteReference"/>
          <w:szCs w:val="25"/>
        </w:rPr>
        <w:footnoteReference w:id="664"/>
      </w:r>
      <w:r w:rsidR="0018433B" w:rsidRPr="00BC3F72">
        <w:rPr>
          <w:szCs w:val="25"/>
        </w:rPr>
        <w:t xml:space="preserve"> Most important of all</w:t>
      </w:r>
      <w:r w:rsidR="006F304D" w:rsidRPr="006F304D">
        <w:rPr>
          <w:szCs w:val="25"/>
        </w:rPr>
        <w:t xml:space="preserve">, </w:t>
      </w:r>
      <w:r w:rsidR="0018433B" w:rsidRPr="00BC3F72">
        <w:rPr>
          <w:szCs w:val="25"/>
        </w:rPr>
        <w:t>perhaps</w:t>
      </w:r>
      <w:r w:rsidR="006F304D" w:rsidRPr="006F304D">
        <w:rPr>
          <w:szCs w:val="25"/>
        </w:rPr>
        <w:t xml:space="preserve">, </w:t>
      </w:r>
      <w:r w:rsidR="0018433B" w:rsidRPr="00BC3F72">
        <w:rPr>
          <w:szCs w:val="25"/>
        </w:rPr>
        <w:t>is the consideration</w:t>
      </w:r>
      <w:r w:rsidR="006F304D" w:rsidRPr="006F304D">
        <w:rPr>
          <w:szCs w:val="25"/>
        </w:rPr>
        <w:t xml:space="preserve">, </w:t>
      </w:r>
      <w:r w:rsidR="0018433B" w:rsidRPr="00BC3F72">
        <w:rPr>
          <w:szCs w:val="25"/>
        </w:rPr>
        <w:t>that the in</w:t>
      </w:r>
      <w:r w:rsidR="0018433B" w:rsidRPr="00BC3F72">
        <w:rPr>
          <w:szCs w:val="25"/>
        </w:rPr>
        <w:softHyphen/>
        <w:t>terpretation of the teacher as disciples throughout these verses secures for them greater continuity with the contiguous verses</w:t>
      </w:r>
      <w:r w:rsidR="006F304D" w:rsidRPr="006F304D">
        <w:rPr>
          <w:szCs w:val="25"/>
        </w:rPr>
        <w:t xml:space="preserve">, </w:t>
      </w:r>
      <w:r w:rsidR="0018433B" w:rsidRPr="00BC3F72">
        <w:rPr>
          <w:szCs w:val="25"/>
        </w:rPr>
        <w:t xml:space="preserve">“on judging” (37-38) and the </w:t>
      </w:r>
      <w:r>
        <w:rPr>
          <w:szCs w:val="25"/>
        </w:rPr>
        <w:t>“</w:t>
      </w:r>
      <w:r w:rsidR="0018433B" w:rsidRPr="00BC3F72">
        <w:rPr>
          <w:szCs w:val="25"/>
        </w:rPr>
        <w:t>speck</w:t>
      </w:r>
      <w:r>
        <w:rPr>
          <w:szCs w:val="25"/>
        </w:rPr>
        <w:t>-</w:t>
      </w:r>
      <w:r w:rsidR="0018433B" w:rsidRPr="00BC3F72">
        <w:rPr>
          <w:szCs w:val="25"/>
        </w:rPr>
        <w:t>and-log parable” (41-42).</w:t>
      </w:r>
    </w:p>
    <w:p w14:paraId="20CC498C" w14:textId="2916328D" w:rsidR="0018433B" w:rsidRPr="00C010B4" w:rsidRDefault="00C010B4" w:rsidP="0018433B">
      <w:pPr>
        <w:pStyle w:val="Style"/>
        <w:widowControl/>
        <w:jc w:val="both"/>
        <w:textAlignment w:val="baseline"/>
        <w:rPr>
          <w:szCs w:val="25"/>
        </w:rPr>
      </w:pPr>
      <w:r>
        <w:rPr>
          <w:szCs w:val="25"/>
        </w:rPr>
        <w:tab/>
      </w:r>
      <w:r w:rsidR="0018433B" w:rsidRPr="00BC3F72">
        <w:rPr>
          <w:szCs w:val="25"/>
        </w:rPr>
        <w:t>Having concluded our discussion of verses 39-40</w:t>
      </w:r>
      <w:r w:rsidR="006F304D" w:rsidRPr="006F304D">
        <w:rPr>
          <w:szCs w:val="25"/>
        </w:rPr>
        <w:t xml:space="preserve">, </w:t>
      </w:r>
      <w:r w:rsidR="0018433B" w:rsidRPr="00BC3F72">
        <w:rPr>
          <w:szCs w:val="25"/>
        </w:rPr>
        <w:t>we are essentially done with our consideration of verses 37-42. Verses 41-42 were considered in the previous chapter (s</w:t>
      </w:r>
      <w:r w:rsidR="0018433B">
        <w:rPr>
          <w:szCs w:val="25"/>
        </w:rPr>
        <w:t>ince all commentators agree that</w:t>
      </w:r>
      <w:r w:rsidR="0018433B" w:rsidRPr="00BC3F72">
        <w:rPr>
          <w:szCs w:val="25"/>
        </w:rPr>
        <w:t xml:space="preserve"> they form a small unit of their own</w:t>
      </w:r>
      <w:r>
        <w:rPr>
          <w:szCs w:val="25"/>
        </w:rPr>
        <w:t>)</w:t>
      </w:r>
      <w:r w:rsidR="0018433B" w:rsidRPr="00BC3F72">
        <w:rPr>
          <w:szCs w:val="25"/>
        </w:rPr>
        <w:t>; there is hence no need to consider them anew. We therefore conclude the following: verses 37-38</w:t>
      </w:r>
      <w:r w:rsidR="006F304D" w:rsidRPr="006F304D">
        <w:rPr>
          <w:szCs w:val="25"/>
        </w:rPr>
        <w:t xml:space="preserve">, </w:t>
      </w:r>
      <w:r w:rsidR="0018433B" w:rsidRPr="00BC3F72">
        <w:rPr>
          <w:szCs w:val="25"/>
        </w:rPr>
        <w:t>39-40</w:t>
      </w:r>
      <w:r w:rsidR="006F304D" w:rsidRPr="006F304D">
        <w:rPr>
          <w:szCs w:val="25"/>
        </w:rPr>
        <w:t xml:space="preserve">, </w:t>
      </w:r>
      <w:r w:rsidR="0018433B" w:rsidRPr="00BC3F72">
        <w:rPr>
          <w:szCs w:val="25"/>
        </w:rPr>
        <w:t>and 41-42 belong together; they form a major section of the sermon on the plain.</w:t>
      </w:r>
      <w:r>
        <w:rPr>
          <w:rStyle w:val="FootnoteReference"/>
          <w:szCs w:val="25"/>
        </w:rPr>
        <w:footnoteReference w:id="665"/>
      </w:r>
    </w:p>
    <w:p w14:paraId="3B32743A" w14:textId="049D4451" w:rsidR="0018433B" w:rsidRPr="00BC3F72" w:rsidRDefault="00C010B4" w:rsidP="0018433B">
      <w:pPr>
        <w:pStyle w:val="Style"/>
        <w:widowControl/>
        <w:jc w:val="both"/>
        <w:textAlignment w:val="baseline"/>
        <w:rPr>
          <w:szCs w:val="25"/>
        </w:rPr>
      </w:pPr>
      <w:r>
        <w:rPr>
          <w:szCs w:val="25"/>
        </w:rPr>
        <w:tab/>
      </w:r>
      <w:r w:rsidR="0018433B" w:rsidRPr="00BC3F72">
        <w:rPr>
          <w:szCs w:val="25"/>
        </w:rPr>
        <w:t>Most three-part-middle commentators propose that the remaining verses in the sermon’s middle</w:t>
      </w:r>
      <w:r w:rsidR="0018433B" w:rsidRPr="00F624D6">
        <w:rPr>
          <w:szCs w:val="25"/>
        </w:rPr>
        <w:t>—</w:t>
      </w:r>
      <w:r w:rsidR="0018433B" w:rsidRPr="00BC3F72">
        <w:rPr>
          <w:szCs w:val="25"/>
        </w:rPr>
        <w:t>verses 43-45</w:t>
      </w:r>
      <w:r w:rsidR="0018433B" w:rsidRPr="00F624D6">
        <w:rPr>
          <w:szCs w:val="25"/>
        </w:rPr>
        <w:t>—</w:t>
      </w:r>
      <w:r w:rsidR="0018433B" w:rsidRPr="00BC3F72">
        <w:rPr>
          <w:szCs w:val="25"/>
        </w:rPr>
        <w:t>form a major section in themselves. Whether that is the case</w:t>
      </w:r>
      <w:r w:rsidR="006F304D" w:rsidRPr="006F304D">
        <w:rPr>
          <w:szCs w:val="25"/>
        </w:rPr>
        <w:t xml:space="preserve">, </w:t>
      </w:r>
      <w:r w:rsidR="0018433B" w:rsidRPr="00BC3F72">
        <w:rPr>
          <w:szCs w:val="25"/>
        </w:rPr>
        <w:t>or whether 43-45 are in fact a fourth subsection within 37-45</w:t>
      </w:r>
      <w:r w:rsidR="006F304D" w:rsidRPr="006F304D">
        <w:rPr>
          <w:szCs w:val="25"/>
        </w:rPr>
        <w:t xml:space="preserve">, </w:t>
      </w:r>
      <w:r w:rsidR="0018433B" w:rsidRPr="00BC3F72">
        <w:rPr>
          <w:szCs w:val="25"/>
        </w:rPr>
        <w:t>is a</w:t>
      </w:r>
      <w:r w:rsidR="0018433B">
        <w:rPr>
          <w:szCs w:val="25"/>
        </w:rPr>
        <w:t xml:space="preserve"> </w:t>
      </w:r>
      <w:r w:rsidR="0018433B" w:rsidRPr="00BC3F72">
        <w:rPr>
          <w:szCs w:val="25"/>
        </w:rPr>
        <w:t>final question that we are now ready to consider.</w:t>
      </w:r>
    </w:p>
    <w:p w14:paraId="1735A5C1" w14:textId="77777777" w:rsidR="00C010B4" w:rsidRDefault="00C010B4" w:rsidP="0018433B">
      <w:pPr>
        <w:pStyle w:val="Style"/>
        <w:widowControl/>
        <w:jc w:val="both"/>
        <w:textAlignment w:val="baseline"/>
        <w:rPr>
          <w:szCs w:val="25"/>
        </w:rPr>
      </w:pPr>
    </w:p>
    <w:p w14:paraId="19A19B48" w14:textId="20527A97" w:rsidR="0018433B" w:rsidRPr="00BC3F72" w:rsidRDefault="0018433B" w:rsidP="008F699A">
      <w:pPr>
        <w:pStyle w:val="Heading3"/>
      </w:pPr>
      <w:bookmarkStart w:id="71" w:name="_Toc147618642"/>
      <w:r w:rsidRPr="00BC3F72">
        <w:t>c. 43-45</w:t>
      </w:r>
      <w:bookmarkEnd w:id="71"/>
    </w:p>
    <w:p w14:paraId="168979FF" w14:textId="43A7364B" w:rsidR="00C010B4" w:rsidRDefault="00C010B4" w:rsidP="0018433B">
      <w:pPr>
        <w:pStyle w:val="Style"/>
        <w:widowControl/>
        <w:jc w:val="both"/>
        <w:textAlignment w:val="baseline"/>
        <w:rPr>
          <w:szCs w:val="25"/>
        </w:rPr>
      </w:pPr>
    </w:p>
    <w:p w14:paraId="67CEE295" w14:textId="716C1C80" w:rsidR="0018433B" w:rsidRPr="00BC3F72" w:rsidRDefault="00C010B4" w:rsidP="0018433B">
      <w:pPr>
        <w:pStyle w:val="Style"/>
        <w:widowControl/>
        <w:jc w:val="both"/>
        <w:textAlignment w:val="baseline"/>
        <w:rPr>
          <w:szCs w:val="25"/>
        </w:rPr>
      </w:pPr>
      <w:r>
        <w:rPr>
          <w:szCs w:val="25"/>
        </w:rPr>
        <w:tab/>
      </w:r>
      <w:r w:rsidR="0018433B" w:rsidRPr="00BC3F72">
        <w:rPr>
          <w:szCs w:val="25"/>
        </w:rPr>
        <w:t>These verses read:</w:t>
      </w:r>
    </w:p>
    <w:p w14:paraId="01FBC24E" w14:textId="77777777" w:rsidR="00C010B4" w:rsidRDefault="00C010B4" w:rsidP="0018433B">
      <w:pPr>
        <w:pStyle w:val="Style"/>
        <w:widowControl/>
        <w:jc w:val="both"/>
        <w:textAlignment w:val="baseline"/>
        <w:rPr>
          <w:szCs w:val="25"/>
        </w:rPr>
      </w:pPr>
    </w:p>
    <w:p w14:paraId="06A7258C" w14:textId="38B776EF" w:rsidR="00C010B4" w:rsidRDefault="0018433B" w:rsidP="005F74F8">
      <w:pPr>
        <w:pStyle w:val="Style"/>
        <w:widowControl/>
        <w:ind w:left="720"/>
        <w:jc w:val="both"/>
        <w:textAlignment w:val="baseline"/>
        <w:rPr>
          <w:szCs w:val="25"/>
        </w:rPr>
      </w:pPr>
      <w:r w:rsidRPr="00BC3F72">
        <w:rPr>
          <w:szCs w:val="25"/>
        </w:rPr>
        <w:t>43a</w:t>
      </w:r>
      <w:r w:rsidR="00C010B4">
        <w:rPr>
          <w:szCs w:val="25"/>
        </w:rPr>
        <w:tab/>
      </w:r>
      <w:r w:rsidR="005F74F8" w:rsidRPr="00CE06CA">
        <w:rPr>
          <w:bCs/>
          <w:szCs w:val="22"/>
          <w:lang w:val="el-GR"/>
        </w:rPr>
        <w:t>Οὐ γάρ ἐστιν δένδρον καλὸν ποιοῦν καρπὸν σαπρόν,</w:t>
      </w:r>
    </w:p>
    <w:p w14:paraId="06D76EA2" w14:textId="7D6A3A1B" w:rsidR="0018433B" w:rsidRPr="00BC3F72" w:rsidRDefault="0018433B" w:rsidP="005F74F8">
      <w:pPr>
        <w:pStyle w:val="Style"/>
        <w:widowControl/>
        <w:ind w:left="720"/>
        <w:jc w:val="both"/>
        <w:textAlignment w:val="baseline"/>
        <w:rPr>
          <w:szCs w:val="25"/>
        </w:rPr>
      </w:pPr>
      <w:r w:rsidRPr="00BC3F72">
        <w:rPr>
          <w:szCs w:val="25"/>
        </w:rPr>
        <w:t>43b</w:t>
      </w:r>
      <w:r w:rsidR="00C010B4">
        <w:rPr>
          <w:szCs w:val="25"/>
        </w:rPr>
        <w:tab/>
      </w:r>
      <w:r w:rsidR="005F74F8" w:rsidRPr="00CE06CA">
        <w:rPr>
          <w:bCs/>
          <w:szCs w:val="22"/>
          <w:lang w:val="el-GR"/>
        </w:rPr>
        <w:t>οὐδὲ πάλιν δένδρον σαπρὸν ποιοῦν καρπὸν καλόν.</w:t>
      </w:r>
    </w:p>
    <w:p w14:paraId="11BC0409" w14:textId="58E9FF2B" w:rsidR="0018433B" w:rsidRPr="00BC3F72" w:rsidRDefault="0018433B" w:rsidP="005F74F8">
      <w:pPr>
        <w:pStyle w:val="Style"/>
        <w:widowControl/>
        <w:ind w:left="720"/>
        <w:jc w:val="both"/>
        <w:textAlignment w:val="baseline"/>
        <w:rPr>
          <w:szCs w:val="25"/>
        </w:rPr>
      </w:pPr>
      <w:r w:rsidRPr="00BC3F72">
        <w:rPr>
          <w:szCs w:val="25"/>
        </w:rPr>
        <w:t>44a</w:t>
      </w:r>
      <w:r w:rsidR="00C010B4">
        <w:rPr>
          <w:szCs w:val="25"/>
        </w:rPr>
        <w:tab/>
      </w:r>
      <w:r w:rsidR="005F74F8" w:rsidRPr="00CE06CA">
        <w:rPr>
          <w:bCs/>
          <w:szCs w:val="22"/>
          <w:lang w:val="el-GR"/>
        </w:rPr>
        <w:t>ἕκαστον γὰρ δένδρον ἐκ τοῦ ἰδίου καρποῦ γινώσκεται·</w:t>
      </w:r>
    </w:p>
    <w:p w14:paraId="29457784" w14:textId="62F07C37" w:rsidR="00C010B4" w:rsidRDefault="0018433B" w:rsidP="005F74F8">
      <w:pPr>
        <w:pStyle w:val="Style"/>
        <w:widowControl/>
        <w:ind w:left="720"/>
        <w:jc w:val="both"/>
        <w:textAlignment w:val="baseline"/>
        <w:rPr>
          <w:rFonts w:eastAsia="Arial"/>
          <w:szCs w:val="18"/>
        </w:rPr>
      </w:pPr>
      <w:r w:rsidRPr="00BC3F72">
        <w:rPr>
          <w:szCs w:val="25"/>
        </w:rPr>
        <w:lastRenderedPageBreak/>
        <w:t>44b</w:t>
      </w:r>
      <w:r w:rsidR="00C010B4">
        <w:rPr>
          <w:rFonts w:eastAsia="Arial"/>
          <w:szCs w:val="18"/>
        </w:rPr>
        <w:tab/>
      </w:r>
      <w:r w:rsidR="005F74F8" w:rsidRPr="00CE06CA">
        <w:rPr>
          <w:bCs/>
          <w:szCs w:val="22"/>
          <w:lang w:val="el-GR"/>
        </w:rPr>
        <w:t>οὐ γὰρ ἐξ ἀκανθῶν συλλέγουσιν σῦκα</w:t>
      </w:r>
    </w:p>
    <w:p w14:paraId="3FD50C12" w14:textId="0EF7A787" w:rsidR="0018433B" w:rsidRPr="00BC3F72" w:rsidRDefault="0018433B" w:rsidP="005F74F8">
      <w:pPr>
        <w:pStyle w:val="Style"/>
        <w:widowControl/>
        <w:ind w:left="720"/>
        <w:jc w:val="both"/>
        <w:textAlignment w:val="baseline"/>
        <w:rPr>
          <w:szCs w:val="25"/>
        </w:rPr>
      </w:pPr>
      <w:r w:rsidRPr="00BC3F72">
        <w:rPr>
          <w:szCs w:val="25"/>
        </w:rPr>
        <w:t>44c</w:t>
      </w:r>
      <w:r w:rsidR="00C010B4">
        <w:rPr>
          <w:rFonts w:eastAsia="Arial"/>
          <w:szCs w:val="31"/>
        </w:rPr>
        <w:tab/>
      </w:r>
      <w:r w:rsidR="005F74F8" w:rsidRPr="00CE06CA">
        <w:rPr>
          <w:bCs/>
          <w:szCs w:val="22"/>
          <w:lang w:val="el-GR"/>
        </w:rPr>
        <w:t>οὐδὲ ἐκ βάτου σταφυλὴν τρυγῶσιν.</w:t>
      </w:r>
    </w:p>
    <w:p w14:paraId="22C400E8" w14:textId="77777777" w:rsidR="005F74F8" w:rsidRDefault="0018433B" w:rsidP="005F74F8">
      <w:pPr>
        <w:pStyle w:val="Style"/>
        <w:widowControl/>
        <w:ind w:left="720"/>
        <w:jc w:val="both"/>
        <w:textAlignment w:val="baseline"/>
        <w:rPr>
          <w:bCs/>
          <w:szCs w:val="22"/>
          <w:lang w:val="el-GR"/>
        </w:rPr>
      </w:pPr>
      <w:r w:rsidRPr="00BC3F72">
        <w:rPr>
          <w:szCs w:val="25"/>
        </w:rPr>
        <w:t>45a</w:t>
      </w:r>
      <w:r w:rsidR="00C010B4">
        <w:rPr>
          <w:szCs w:val="36"/>
        </w:rPr>
        <w:tab/>
      </w:r>
      <w:r w:rsidR="005F74F8" w:rsidRPr="00CE06CA">
        <w:rPr>
          <w:bCs/>
          <w:szCs w:val="22"/>
          <w:lang w:val="el-GR"/>
        </w:rPr>
        <w:t>ὁ ἀγαθὸς ἄνθρωπος ἐκ τοῦ ἀγαθοῦ θησαυροῦ τῆς καρδίας προφέρει τὸ</w:t>
      </w:r>
    </w:p>
    <w:p w14:paraId="6B3CF291" w14:textId="0BED1ED1" w:rsidR="0018433B" w:rsidRPr="00E5413C" w:rsidRDefault="005F74F8" w:rsidP="005F74F8">
      <w:pPr>
        <w:pStyle w:val="Style"/>
        <w:widowControl/>
        <w:ind w:left="1440"/>
        <w:jc w:val="both"/>
        <w:textAlignment w:val="baseline"/>
        <w:rPr>
          <w:lang w:val="el-GR"/>
        </w:rPr>
      </w:pPr>
      <w:r w:rsidRPr="00CE06CA">
        <w:rPr>
          <w:bCs/>
          <w:szCs w:val="22"/>
          <w:lang w:val="el-GR"/>
        </w:rPr>
        <w:t>ἀγαθόν,</w:t>
      </w:r>
    </w:p>
    <w:p w14:paraId="1C329153" w14:textId="0AC6432C" w:rsidR="0018433B" w:rsidRPr="00E5413C" w:rsidRDefault="0018433B" w:rsidP="005F74F8">
      <w:pPr>
        <w:pStyle w:val="Style"/>
        <w:widowControl/>
        <w:ind w:left="720"/>
        <w:jc w:val="both"/>
        <w:textAlignment w:val="baseline"/>
        <w:rPr>
          <w:szCs w:val="25"/>
          <w:lang w:val="el-GR"/>
        </w:rPr>
      </w:pPr>
      <w:r w:rsidRPr="00E5413C">
        <w:rPr>
          <w:szCs w:val="25"/>
          <w:lang w:val="el-GR"/>
        </w:rPr>
        <w:t>45</w:t>
      </w:r>
      <w:r w:rsidRPr="00BC3F72">
        <w:rPr>
          <w:szCs w:val="25"/>
        </w:rPr>
        <w:t>b</w:t>
      </w:r>
      <w:r w:rsidR="00C010B4" w:rsidRPr="00E5413C">
        <w:rPr>
          <w:szCs w:val="25"/>
          <w:lang w:val="el-GR"/>
        </w:rPr>
        <w:tab/>
      </w:r>
      <w:r w:rsidR="005F74F8" w:rsidRPr="00CE06CA">
        <w:rPr>
          <w:bCs/>
          <w:szCs w:val="22"/>
          <w:lang w:val="el-GR"/>
        </w:rPr>
        <w:t>καὶ ὁ πονηρὸς ἐκ τοῦ πονηροῦ προφέρει τὸ πονηρόν·</w:t>
      </w:r>
    </w:p>
    <w:p w14:paraId="586CE8D0" w14:textId="500D4998" w:rsidR="0018433B" w:rsidRPr="00E5413C" w:rsidRDefault="0018433B" w:rsidP="005F74F8">
      <w:pPr>
        <w:pStyle w:val="Style"/>
        <w:widowControl/>
        <w:ind w:left="720"/>
        <w:jc w:val="both"/>
        <w:textAlignment w:val="baseline"/>
        <w:rPr>
          <w:szCs w:val="25"/>
          <w:lang w:val="el-GR"/>
        </w:rPr>
      </w:pPr>
      <w:r w:rsidRPr="00E5413C">
        <w:rPr>
          <w:szCs w:val="25"/>
          <w:lang w:val="el-GR"/>
        </w:rPr>
        <w:t>45</w:t>
      </w:r>
      <w:r w:rsidRPr="00BC3F72">
        <w:rPr>
          <w:szCs w:val="25"/>
        </w:rPr>
        <w:t>c</w:t>
      </w:r>
      <w:r w:rsidR="00C010B4" w:rsidRPr="00E5413C">
        <w:rPr>
          <w:szCs w:val="36"/>
          <w:lang w:val="el-GR"/>
        </w:rPr>
        <w:tab/>
      </w:r>
      <w:r w:rsidR="005F74F8" w:rsidRPr="00CE06CA">
        <w:rPr>
          <w:bCs/>
          <w:szCs w:val="22"/>
          <w:lang w:val="el-GR"/>
        </w:rPr>
        <w:t>ἐκ γὰρ περισσεύματος καρδίας λαλεῖ τὸ στόμα αὐτοῦ.</w:t>
      </w:r>
    </w:p>
    <w:p w14:paraId="368BFF90" w14:textId="77777777" w:rsidR="00C010B4" w:rsidRPr="00E5413C" w:rsidRDefault="00C010B4" w:rsidP="0018433B">
      <w:pPr>
        <w:pStyle w:val="Style"/>
        <w:widowControl/>
        <w:jc w:val="both"/>
        <w:textAlignment w:val="baseline"/>
        <w:rPr>
          <w:szCs w:val="25"/>
          <w:lang w:val="el-GR"/>
        </w:rPr>
      </w:pPr>
    </w:p>
    <w:p w14:paraId="652C4ADA" w14:textId="7A5F56A5" w:rsidR="0018433B" w:rsidRPr="00BC3F72" w:rsidRDefault="0018433B" w:rsidP="005F74F8">
      <w:pPr>
        <w:pStyle w:val="Style"/>
        <w:widowControl/>
        <w:ind w:left="720"/>
        <w:jc w:val="both"/>
        <w:textAlignment w:val="baseline"/>
        <w:rPr>
          <w:szCs w:val="25"/>
        </w:rPr>
      </w:pPr>
      <w:r w:rsidRPr="00BC3F72">
        <w:rPr>
          <w:szCs w:val="25"/>
        </w:rPr>
        <w:t>43a</w:t>
      </w:r>
      <w:r w:rsidR="00C010B4">
        <w:rPr>
          <w:szCs w:val="25"/>
        </w:rPr>
        <w:tab/>
      </w:r>
      <w:r w:rsidRPr="00BC3F72">
        <w:rPr>
          <w:szCs w:val="25"/>
        </w:rPr>
        <w:t>For no good tree bears bad fruit,</w:t>
      </w:r>
    </w:p>
    <w:p w14:paraId="421F80BD" w14:textId="77777777" w:rsidR="00C010B4" w:rsidRDefault="0018433B" w:rsidP="005F74F8">
      <w:pPr>
        <w:pStyle w:val="Style"/>
        <w:widowControl/>
        <w:ind w:left="720"/>
        <w:jc w:val="both"/>
        <w:textAlignment w:val="baseline"/>
        <w:rPr>
          <w:szCs w:val="25"/>
        </w:rPr>
      </w:pPr>
      <w:r w:rsidRPr="00BC3F72">
        <w:rPr>
          <w:szCs w:val="25"/>
        </w:rPr>
        <w:t>43b</w:t>
      </w:r>
      <w:r w:rsidR="00C010B4">
        <w:rPr>
          <w:szCs w:val="25"/>
        </w:rPr>
        <w:tab/>
      </w:r>
      <w:r w:rsidRPr="00BC3F72">
        <w:rPr>
          <w:szCs w:val="25"/>
        </w:rPr>
        <w:t>nor again does a bad tree bear good fruit;</w:t>
      </w:r>
    </w:p>
    <w:p w14:paraId="24C471DA" w14:textId="77777777" w:rsidR="00C010B4" w:rsidRDefault="0018433B" w:rsidP="005F74F8">
      <w:pPr>
        <w:pStyle w:val="Style"/>
        <w:widowControl/>
        <w:ind w:left="720"/>
        <w:jc w:val="both"/>
        <w:textAlignment w:val="baseline"/>
        <w:rPr>
          <w:szCs w:val="25"/>
        </w:rPr>
      </w:pPr>
      <w:r w:rsidRPr="00BC3F72">
        <w:rPr>
          <w:szCs w:val="25"/>
        </w:rPr>
        <w:t>44a</w:t>
      </w:r>
      <w:r w:rsidR="00C010B4">
        <w:rPr>
          <w:szCs w:val="25"/>
        </w:rPr>
        <w:tab/>
      </w:r>
      <w:r w:rsidRPr="00BC3F72">
        <w:rPr>
          <w:szCs w:val="25"/>
        </w:rPr>
        <w:t>for each tree is known by its own fruit.</w:t>
      </w:r>
    </w:p>
    <w:p w14:paraId="6F407E7C" w14:textId="6C702972" w:rsidR="0018433B" w:rsidRPr="00BC3F72" w:rsidRDefault="0018433B" w:rsidP="005F74F8">
      <w:pPr>
        <w:pStyle w:val="Style"/>
        <w:widowControl/>
        <w:ind w:left="720"/>
        <w:jc w:val="both"/>
        <w:textAlignment w:val="baseline"/>
        <w:rPr>
          <w:szCs w:val="25"/>
        </w:rPr>
      </w:pPr>
      <w:r w:rsidRPr="00BC3F72">
        <w:rPr>
          <w:szCs w:val="25"/>
        </w:rPr>
        <w:t>44b</w:t>
      </w:r>
      <w:r w:rsidR="00C010B4">
        <w:rPr>
          <w:szCs w:val="25"/>
        </w:rPr>
        <w:tab/>
      </w:r>
      <w:r w:rsidRPr="00BC3F72">
        <w:rPr>
          <w:szCs w:val="25"/>
        </w:rPr>
        <w:t>For figs are not gathered from thorns,</w:t>
      </w:r>
    </w:p>
    <w:p w14:paraId="18414D77" w14:textId="733AEB86" w:rsidR="0018433B" w:rsidRPr="00BC3F72" w:rsidRDefault="0018433B" w:rsidP="005F74F8">
      <w:pPr>
        <w:pStyle w:val="Style"/>
        <w:widowControl/>
        <w:ind w:left="720"/>
        <w:jc w:val="both"/>
        <w:textAlignment w:val="baseline"/>
        <w:rPr>
          <w:szCs w:val="25"/>
        </w:rPr>
      </w:pPr>
      <w:r w:rsidRPr="00BC3F72">
        <w:rPr>
          <w:szCs w:val="25"/>
        </w:rPr>
        <w:t>44c</w:t>
      </w:r>
      <w:r w:rsidR="00C010B4">
        <w:rPr>
          <w:szCs w:val="25"/>
        </w:rPr>
        <w:tab/>
      </w:r>
      <w:r w:rsidRPr="00BC3F72">
        <w:rPr>
          <w:szCs w:val="25"/>
        </w:rPr>
        <w:t>nor are grapes picked from a bramble bush.</w:t>
      </w:r>
    </w:p>
    <w:p w14:paraId="33AA361D" w14:textId="166E5B84" w:rsidR="0018433B" w:rsidRPr="00BC3F72" w:rsidRDefault="0018433B" w:rsidP="005F74F8">
      <w:pPr>
        <w:pStyle w:val="Style"/>
        <w:widowControl/>
        <w:ind w:left="720"/>
        <w:jc w:val="both"/>
        <w:textAlignment w:val="baseline"/>
        <w:rPr>
          <w:szCs w:val="25"/>
        </w:rPr>
      </w:pPr>
      <w:r w:rsidRPr="00BC3F72">
        <w:rPr>
          <w:szCs w:val="25"/>
        </w:rPr>
        <w:t>45a</w:t>
      </w:r>
      <w:r w:rsidR="00C010B4">
        <w:rPr>
          <w:szCs w:val="25"/>
        </w:rPr>
        <w:tab/>
      </w:r>
      <w:r w:rsidRPr="00BC3F72">
        <w:rPr>
          <w:szCs w:val="25"/>
        </w:rPr>
        <w:t>The good man out of the good treasure of his heart produces</w:t>
      </w:r>
      <w:r w:rsidR="00C010B4">
        <w:rPr>
          <w:szCs w:val="25"/>
        </w:rPr>
        <w:t xml:space="preserve"> </w:t>
      </w:r>
      <w:r w:rsidRPr="00BC3F72">
        <w:rPr>
          <w:szCs w:val="25"/>
        </w:rPr>
        <w:t>good,</w:t>
      </w:r>
    </w:p>
    <w:p w14:paraId="4E1048B6" w14:textId="77777777" w:rsidR="00C010B4" w:rsidRDefault="0018433B" w:rsidP="005F74F8">
      <w:pPr>
        <w:pStyle w:val="Style"/>
        <w:widowControl/>
        <w:ind w:left="720"/>
        <w:jc w:val="both"/>
        <w:textAlignment w:val="baseline"/>
        <w:rPr>
          <w:szCs w:val="25"/>
        </w:rPr>
      </w:pPr>
      <w:r w:rsidRPr="00BC3F72">
        <w:rPr>
          <w:szCs w:val="25"/>
        </w:rPr>
        <w:t>45b</w:t>
      </w:r>
      <w:r w:rsidR="00C010B4">
        <w:rPr>
          <w:szCs w:val="25"/>
        </w:rPr>
        <w:tab/>
      </w:r>
      <w:r w:rsidRPr="00BC3F72">
        <w:rPr>
          <w:szCs w:val="25"/>
        </w:rPr>
        <w:t>and the evil man out of his evil treasure produces evil;</w:t>
      </w:r>
    </w:p>
    <w:p w14:paraId="23EAC86F" w14:textId="73D3E4BE" w:rsidR="0018433B" w:rsidRPr="00BC3F72" w:rsidRDefault="0018433B" w:rsidP="005F74F8">
      <w:pPr>
        <w:pStyle w:val="Style"/>
        <w:widowControl/>
        <w:ind w:left="720"/>
        <w:jc w:val="both"/>
        <w:textAlignment w:val="baseline"/>
        <w:rPr>
          <w:szCs w:val="25"/>
        </w:rPr>
      </w:pPr>
      <w:r w:rsidRPr="00BC3F72">
        <w:rPr>
          <w:szCs w:val="25"/>
        </w:rPr>
        <w:t>45c</w:t>
      </w:r>
      <w:r w:rsidR="00C010B4">
        <w:rPr>
          <w:szCs w:val="25"/>
        </w:rPr>
        <w:tab/>
      </w:r>
      <w:r w:rsidRPr="00BC3F72">
        <w:rPr>
          <w:szCs w:val="25"/>
        </w:rPr>
        <w:t>for out of the abundance of the heart his mouth speaks.</w:t>
      </w:r>
    </w:p>
    <w:p w14:paraId="1EC5B0B3" w14:textId="77777777" w:rsidR="00C010B4" w:rsidRDefault="00C010B4" w:rsidP="0018433B">
      <w:pPr>
        <w:pStyle w:val="Style"/>
        <w:widowControl/>
        <w:jc w:val="both"/>
        <w:textAlignment w:val="baseline"/>
        <w:rPr>
          <w:szCs w:val="25"/>
        </w:rPr>
      </w:pPr>
    </w:p>
    <w:p w14:paraId="6191BF66" w14:textId="09A21514" w:rsidR="0018433B" w:rsidRPr="00BC3F72" w:rsidRDefault="00C010B4" w:rsidP="0018433B">
      <w:pPr>
        <w:pStyle w:val="Style"/>
        <w:widowControl/>
        <w:jc w:val="both"/>
        <w:textAlignment w:val="baseline"/>
        <w:rPr>
          <w:szCs w:val="25"/>
        </w:rPr>
      </w:pPr>
      <w:r>
        <w:rPr>
          <w:szCs w:val="25"/>
        </w:rPr>
        <w:tab/>
      </w:r>
      <w:r w:rsidR="0018433B" w:rsidRPr="00BC3F72">
        <w:rPr>
          <w:szCs w:val="25"/>
        </w:rPr>
        <w:t xml:space="preserve">These verses have been variously identified. Some prefer simply to designate them by the concrete similitude of 43-44a: </w:t>
      </w:r>
      <w:r>
        <w:rPr>
          <w:szCs w:val="25"/>
        </w:rPr>
        <w:t>“</w:t>
      </w:r>
      <w:r w:rsidR="0018433B" w:rsidRPr="00BC3F72">
        <w:rPr>
          <w:szCs w:val="25"/>
        </w:rPr>
        <w:t>tree and fruit.</w:t>
      </w:r>
      <w:r>
        <w:rPr>
          <w:szCs w:val="25"/>
        </w:rPr>
        <w:t>”</w:t>
      </w:r>
      <w:r w:rsidR="005F74F8">
        <w:rPr>
          <w:rStyle w:val="FootnoteReference"/>
          <w:szCs w:val="25"/>
        </w:rPr>
        <w:footnoteReference w:id="666"/>
      </w:r>
      <w:r w:rsidR="0018433B" w:rsidRPr="00BC3F72">
        <w:rPr>
          <w:szCs w:val="25"/>
        </w:rPr>
        <w:t xml:space="preserve"> Others give them a name which interprets the similitude: for example</w:t>
      </w:r>
      <w:r w:rsidR="006F304D" w:rsidRPr="006F304D">
        <w:rPr>
          <w:szCs w:val="25"/>
        </w:rPr>
        <w:t xml:space="preserve">, </w:t>
      </w:r>
      <w:r>
        <w:rPr>
          <w:szCs w:val="25"/>
        </w:rPr>
        <w:t>“</w:t>
      </w:r>
      <w:r w:rsidR="0018433B" w:rsidRPr="00BC3F72">
        <w:rPr>
          <w:szCs w:val="25"/>
        </w:rPr>
        <w:t>not so much words as ac</w:t>
      </w:r>
      <w:r w:rsidR="0018433B" w:rsidRPr="00BC3F72">
        <w:rPr>
          <w:szCs w:val="25"/>
        </w:rPr>
        <w:softHyphen/>
        <w:t>tions</w:t>
      </w:r>
      <w:r>
        <w:rPr>
          <w:szCs w:val="25"/>
        </w:rPr>
        <w:t>,”</w:t>
      </w:r>
      <w:r w:rsidR="005F74F8">
        <w:rPr>
          <w:rStyle w:val="FootnoteReference"/>
          <w:szCs w:val="25"/>
        </w:rPr>
        <w:footnoteReference w:id="667"/>
      </w:r>
      <w:r w:rsidR="00775F9B" w:rsidRPr="00775F9B">
        <w:rPr>
          <w:rFonts w:eastAsia="Arial"/>
          <w:iCs/>
          <w:szCs w:val="25"/>
        </w:rPr>
        <w:t xml:space="preserve"> </w:t>
      </w:r>
      <w:r w:rsidR="0018433B" w:rsidRPr="00BC3F72">
        <w:rPr>
          <w:szCs w:val="25"/>
        </w:rPr>
        <w:t xml:space="preserve">or </w:t>
      </w:r>
      <w:r>
        <w:rPr>
          <w:szCs w:val="25"/>
        </w:rPr>
        <w:t>“</w:t>
      </w:r>
      <w:r w:rsidR="0018433B" w:rsidRPr="00BC3F72">
        <w:rPr>
          <w:szCs w:val="25"/>
        </w:rPr>
        <w:t>how to recognize true piety.</w:t>
      </w:r>
      <w:r>
        <w:rPr>
          <w:szCs w:val="25"/>
        </w:rPr>
        <w:t>”</w:t>
      </w:r>
      <w:r w:rsidR="005F74F8">
        <w:rPr>
          <w:rStyle w:val="FootnoteReference"/>
          <w:szCs w:val="25"/>
        </w:rPr>
        <w:footnoteReference w:id="668"/>
      </w:r>
      <w:r w:rsidR="00775F9B" w:rsidRPr="00775F9B">
        <w:rPr>
          <w:rFonts w:eastAsia="Arial"/>
          <w:iCs/>
          <w:szCs w:val="25"/>
        </w:rPr>
        <w:t xml:space="preserve"> </w:t>
      </w:r>
      <w:r w:rsidR="0018433B" w:rsidRPr="00BC3F72">
        <w:rPr>
          <w:szCs w:val="25"/>
        </w:rPr>
        <w:t>We begin with the question</w:t>
      </w:r>
      <w:r w:rsidR="006F304D" w:rsidRPr="006F304D">
        <w:rPr>
          <w:szCs w:val="25"/>
        </w:rPr>
        <w:t xml:space="preserve">, </w:t>
      </w:r>
      <w:r w:rsidR="0018433B" w:rsidRPr="00BC3F72">
        <w:rPr>
          <w:szCs w:val="25"/>
        </w:rPr>
        <w:t>to</w:t>
      </w:r>
      <w:r>
        <w:rPr>
          <w:szCs w:val="25"/>
        </w:rPr>
        <w:t xml:space="preserve"> </w:t>
      </w:r>
      <w:r w:rsidR="0018433B" w:rsidRPr="00BC3F72">
        <w:rPr>
          <w:szCs w:val="25"/>
        </w:rPr>
        <w:t>what do the good and bad fruits of 43-44 refer? The answer will differ according to</w:t>
      </w:r>
      <w:r w:rsidR="005F74F8">
        <w:rPr>
          <w:szCs w:val="25"/>
        </w:rPr>
        <w:t xml:space="preserve"> </w:t>
      </w:r>
      <w:r w:rsidR="0018433B" w:rsidRPr="00BC3F72">
        <w:rPr>
          <w:szCs w:val="25"/>
        </w:rPr>
        <w:t>the degree of connection one sees between 43-45 and the preceding 41-42 (or 37-42). If the connection is great</w:t>
      </w:r>
      <w:r w:rsidR="006F304D" w:rsidRPr="006F304D">
        <w:rPr>
          <w:szCs w:val="25"/>
        </w:rPr>
        <w:t xml:space="preserve">, </w:t>
      </w:r>
      <w:r w:rsidR="0018433B" w:rsidRPr="00BC3F72">
        <w:rPr>
          <w:szCs w:val="25"/>
        </w:rPr>
        <w:t>then the fruits will be restricted to consequences that result from interaction with others; if the connection is negligible</w:t>
      </w:r>
      <w:r w:rsidR="006F304D" w:rsidRPr="006F304D">
        <w:rPr>
          <w:szCs w:val="25"/>
        </w:rPr>
        <w:t xml:space="preserve">, </w:t>
      </w:r>
      <w:r w:rsidR="0018433B" w:rsidRPr="00BC3F72">
        <w:rPr>
          <w:szCs w:val="25"/>
        </w:rPr>
        <w:t>then the fruits will refer to any moral action</w:t>
      </w:r>
      <w:r w:rsidR="006F304D" w:rsidRPr="006F304D">
        <w:rPr>
          <w:szCs w:val="25"/>
        </w:rPr>
        <w:t xml:space="preserve">, </w:t>
      </w:r>
      <w:r w:rsidR="0018433B" w:rsidRPr="00BC3F72">
        <w:rPr>
          <w:szCs w:val="25"/>
        </w:rPr>
        <w:t>of whatever sort.</w:t>
      </w:r>
    </w:p>
    <w:p w14:paraId="29C64202" w14:textId="0BF9FC62" w:rsidR="0018433B" w:rsidRDefault="005B7D7C" w:rsidP="0018433B">
      <w:pPr>
        <w:pStyle w:val="Style"/>
        <w:widowControl/>
        <w:jc w:val="both"/>
        <w:textAlignment w:val="baseline"/>
        <w:rPr>
          <w:szCs w:val="25"/>
        </w:rPr>
      </w:pPr>
      <w:r>
        <w:rPr>
          <w:szCs w:val="25"/>
        </w:rPr>
        <w:tab/>
      </w:r>
      <w:r w:rsidR="0018433B" w:rsidRPr="00BC3F72">
        <w:rPr>
          <w:szCs w:val="25"/>
        </w:rPr>
        <w:t>Three explanations that restrict the fruits to the results of interaction with others can</w:t>
      </w:r>
      <w:r w:rsidR="006F304D" w:rsidRPr="006F304D">
        <w:rPr>
          <w:szCs w:val="25"/>
        </w:rPr>
        <w:t xml:space="preserve">, </w:t>
      </w:r>
      <w:r w:rsidR="0018433B" w:rsidRPr="00BC3F72">
        <w:rPr>
          <w:szCs w:val="25"/>
        </w:rPr>
        <w:t>I think</w:t>
      </w:r>
      <w:r w:rsidR="006F304D" w:rsidRPr="006F304D">
        <w:rPr>
          <w:szCs w:val="25"/>
        </w:rPr>
        <w:t xml:space="preserve">, </w:t>
      </w:r>
      <w:r w:rsidR="0018433B" w:rsidRPr="00BC3F72">
        <w:rPr>
          <w:szCs w:val="25"/>
        </w:rPr>
        <w:t>be dismissed at the outset. Fitzmyer</w:t>
      </w:r>
      <w:r w:rsidR="006F304D" w:rsidRPr="006F304D">
        <w:rPr>
          <w:szCs w:val="25"/>
        </w:rPr>
        <w:t xml:space="preserve">, </w:t>
      </w:r>
      <w:r w:rsidR="0018433B" w:rsidRPr="00BC3F72">
        <w:rPr>
          <w:szCs w:val="25"/>
        </w:rPr>
        <w:t>continuing his earlier interpretation of 39-42</w:t>
      </w:r>
      <w:r w:rsidR="006F304D" w:rsidRPr="006F304D">
        <w:rPr>
          <w:szCs w:val="25"/>
        </w:rPr>
        <w:t xml:space="preserve">, </w:t>
      </w:r>
      <w:r w:rsidR="0018433B" w:rsidRPr="00BC3F72">
        <w:rPr>
          <w:szCs w:val="25"/>
        </w:rPr>
        <w:t>sees in the bad fruit instructions by false Christian teach</w:t>
      </w:r>
      <w:r w:rsidR="0018433B" w:rsidRPr="00BC3F72">
        <w:rPr>
          <w:szCs w:val="25"/>
        </w:rPr>
        <w:softHyphen/>
        <w:t>er</w:t>
      </w:r>
      <w:r>
        <w:rPr>
          <w:szCs w:val="25"/>
        </w:rPr>
        <w:t>s.</w:t>
      </w:r>
      <w:r>
        <w:rPr>
          <w:rStyle w:val="FootnoteReference"/>
          <w:szCs w:val="25"/>
        </w:rPr>
        <w:footnoteReference w:id="669"/>
      </w:r>
      <w:r w:rsidR="0018433B" w:rsidRPr="00BC3F72">
        <w:rPr>
          <w:szCs w:val="21"/>
        </w:rPr>
        <w:t xml:space="preserve"> </w:t>
      </w:r>
      <w:r w:rsidR="0018433B" w:rsidRPr="00BC3F72">
        <w:rPr>
          <w:szCs w:val="25"/>
        </w:rPr>
        <w:t xml:space="preserve">Since evidence of this theme in 39-40 is </w:t>
      </w:r>
      <w:r w:rsidR="0018433B" w:rsidRPr="00BC3F72">
        <w:rPr>
          <w:szCs w:val="25"/>
        </w:rPr>
        <w:lastRenderedPageBreak/>
        <w:t>scarce</w:t>
      </w:r>
      <w:r>
        <w:rPr>
          <w:szCs w:val="25"/>
        </w:rPr>
        <w:t xml:space="preserve"> (see above)</w:t>
      </w:r>
      <w:r w:rsidR="0018433B" w:rsidRPr="00BC3F72">
        <w:rPr>
          <w:szCs w:val="25"/>
        </w:rPr>
        <w:t>, continuation of the theme in 43-45 is unlikely.</w:t>
      </w:r>
      <w:r>
        <w:rPr>
          <w:rStyle w:val="FootnoteReference"/>
          <w:szCs w:val="25"/>
        </w:rPr>
        <w:footnoteReference w:id="670"/>
      </w:r>
      <w:r w:rsidR="00775F9B" w:rsidRPr="00775F9B">
        <w:rPr>
          <w:iCs/>
          <w:szCs w:val="25"/>
        </w:rPr>
        <w:t xml:space="preserve"> </w:t>
      </w:r>
      <w:r w:rsidR="0018433B" w:rsidRPr="00BC3F72">
        <w:rPr>
          <w:szCs w:val="25"/>
        </w:rPr>
        <w:t>Another unusual interpretation is that of Plummer,</w:t>
      </w:r>
      <w:r>
        <w:rPr>
          <w:szCs w:val="25"/>
        </w:rPr>
        <w:t xml:space="preserve"> </w:t>
      </w:r>
      <w:r w:rsidR="0018433B" w:rsidRPr="00BC3F72">
        <w:rPr>
          <w:szCs w:val="25"/>
        </w:rPr>
        <w:t>who see in the good and bad fruits references to the results of Christian missionary</w:t>
      </w:r>
      <w:r>
        <w:rPr>
          <w:szCs w:val="25"/>
        </w:rPr>
        <w:t xml:space="preserve"> </w:t>
      </w:r>
      <w:r w:rsidR="0018433B" w:rsidRPr="00BC3F72">
        <w:rPr>
          <w:szCs w:val="25"/>
        </w:rPr>
        <w:t>activity. According to Plummer</w:t>
      </w:r>
      <w:r w:rsidR="006F304D" w:rsidRPr="006F304D">
        <w:rPr>
          <w:szCs w:val="25"/>
        </w:rPr>
        <w:t xml:space="preserve">, </w:t>
      </w:r>
      <w:r>
        <w:rPr>
          <w:szCs w:val="25"/>
        </w:rPr>
        <w:t>“</w:t>
      </w:r>
      <w:r w:rsidR="0018433B" w:rsidRPr="00BC3F72">
        <w:rPr>
          <w:szCs w:val="25"/>
        </w:rPr>
        <w:t xml:space="preserve">A good Christian cannot but have good results in the work of converting others </w:t>
      </w:r>
      <w:r>
        <w:rPr>
          <w:szCs w:val="25"/>
        </w:rPr>
        <w:t>. . .”</w:t>
      </w:r>
      <w:r>
        <w:rPr>
          <w:rStyle w:val="FootnoteReference"/>
          <w:szCs w:val="25"/>
        </w:rPr>
        <w:footnoteReference w:id="671"/>
      </w:r>
      <w:r w:rsidR="00775F9B" w:rsidRPr="00775F9B">
        <w:rPr>
          <w:iCs/>
          <w:szCs w:val="25"/>
        </w:rPr>
        <w:t xml:space="preserve"> </w:t>
      </w:r>
      <w:r>
        <w:rPr>
          <w:szCs w:val="25"/>
        </w:rPr>
        <w:t>F</w:t>
      </w:r>
      <w:r w:rsidR="0018433B" w:rsidRPr="00BC3F72">
        <w:rPr>
          <w:szCs w:val="25"/>
        </w:rPr>
        <w:t>or this interpretation there is even less of a satisfactory basis in the text than for Fitzmyer’s: the person with a log in his eye in 41-42 is not a missionary</w:t>
      </w:r>
      <w:r w:rsidR="006F304D" w:rsidRPr="006F304D">
        <w:rPr>
          <w:szCs w:val="25"/>
        </w:rPr>
        <w:t xml:space="preserve">, </w:t>
      </w:r>
      <w:r w:rsidR="0018433B" w:rsidRPr="00BC3F72">
        <w:rPr>
          <w:szCs w:val="25"/>
        </w:rPr>
        <w:t>but an ordinary Christian advising his fellow Christian (see 42b: “Brother”). A third unlikely explication identifies the good fruit with Christian virtues. Rose expresses this view: “the good fruits are not personal acts</w:t>
      </w:r>
      <w:r w:rsidR="006F304D" w:rsidRPr="006F304D">
        <w:rPr>
          <w:szCs w:val="25"/>
        </w:rPr>
        <w:t xml:space="preserve">, </w:t>
      </w:r>
      <w:r w:rsidR="0018433B" w:rsidRPr="00BC3F72">
        <w:rPr>
          <w:szCs w:val="25"/>
        </w:rPr>
        <w:t xml:space="preserve">but the good result of the work of conversion </w:t>
      </w:r>
      <w:r w:rsidR="0018433B" w:rsidRPr="00EE2A2F">
        <w:rPr>
          <w:szCs w:val="25"/>
        </w:rPr>
        <w:t>. . .</w:t>
      </w:r>
      <w:r>
        <w:rPr>
          <w:szCs w:val="25"/>
        </w:rPr>
        <w:t>”</w:t>
      </w:r>
      <w:r>
        <w:rPr>
          <w:rStyle w:val="FootnoteReference"/>
          <w:szCs w:val="25"/>
        </w:rPr>
        <w:footnoteReference w:id="672"/>
      </w:r>
      <w:r w:rsidR="00775F9B" w:rsidRPr="00775F9B">
        <w:rPr>
          <w:iCs/>
          <w:szCs w:val="25"/>
        </w:rPr>
        <w:t xml:space="preserve"> </w:t>
      </w:r>
      <w:r w:rsidR="0018433B" w:rsidRPr="00BC3F72">
        <w:rPr>
          <w:szCs w:val="25"/>
        </w:rPr>
        <w:t>The good fruit is the quali</w:t>
      </w:r>
      <w:r w:rsidR="0018433B" w:rsidRPr="00BC3F72">
        <w:rPr>
          <w:szCs w:val="25"/>
        </w:rPr>
        <w:softHyphen/>
        <w:t>ties that emerge in good disciples</w:t>
      </w:r>
      <w:r w:rsidR="006F304D" w:rsidRPr="006F304D">
        <w:rPr>
          <w:szCs w:val="25"/>
        </w:rPr>
        <w:t xml:space="preserve">, </w:t>
      </w:r>
      <w:r w:rsidR="0018433B" w:rsidRPr="00BC3F72">
        <w:rPr>
          <w:szCs w:val="25"/>
        </w:rPr>
        <w:t>qualities that make them capable of correcting others. But</w:t>
      </w:r>
      <w:r w:rsidR="006F304D" w:rsidRPr="006F304D">
        <w:rPr>
          <w:szCs w:val="25"/>
        </w:rPr>
        <w:t xml:space="preserve">, </w:t>
      </w:r>
      <w:r w:rsidR="0018433B" w:rsidRPr="00BC3F72">
        <w:t xml:space="preserve">if </w:t>
      </w:r>
      <w:r w:rsidR="0018433B" w:rsidRPr="00BC3F72">
        <w:rPr>
          <w:szCs w:val="25"/>
        </w:rPr>
        <w:t xml:space="preserve">a tree is </w:t>
      </w:r>
      <w:r w:rsidR="0018433B" w:rsidRPr="00BC3F72">
        <w:rPr>
          <w:i/>
          <w:iCs/>
          <w:szCs w:val="25"/>
        </w:rPr>
        <w:t>known</w:t>
      </w:r>
      <w:r w:rsidR="0018433B" w:rsidRPr="00285A0C">
        <w:rPr>
          <w:szCs w:val="25"/>
        </w:rPr>
        <w:t xml:space="preserve"> </w:t>
      </w:r>
      <w:r w:rsidR="0018433B" w:rsidRPr="00BC3F72">
        <w:rPr>
          <w:szCs w:val="25"/>
        </w:rPr>
        <w:t xml:space="preserve">by its fruit </w:t>
      </w:r>
      <w:r w:rsidR="0018433B">
        <w:rPr>
          <w:szCs w:val="25"/>
        </w:rPr>
        <w:t>(</w:t>
      </w:r>
      <w:r w:rsidR="0018433B" w:rsidRPr="00BC3F72">
        <w:rPr>
          <w:szCs w:val="25"/>
        </w:rPr>
        <w:t>44a</w:t>
      </w:r>
      <w:r w:rsidR="0018433B">
        <w:rPr>
          <w:szCs w:val="25"/>
        </w:rPr>
        <w:t>)</w:t>
      </w:r>
      <w:r w:rsidR="006F304D" w:rsidRPr="006F304D">
        <w:rPr>
          <w:szCs w:val="25"/>
        </w:rPr>
        <w:t xml:space="preserve">, </w:t>
      </w:r>
      <w:r w:rsidR="0018433B" w:rsidRPr="00BC3F72">
        <w:rPr>
          <w:szCs w:val="25"/>
        </w:rPr>
        <w:t>then surely its fruit is an exterior manifestation of the good disciple’s interior state</w:t>
      </w:r>
      <w:r w:rsidR="006F304D" w:rsidRPr="006F304D">
        <w:rPr>
          <w:szCs w:val="25"/>
        </w:rPr>
        <w:t xml:space="preserve">, </w:t>
      </w:r>
      <w:r w:rsidR="0018433B" w:rsidRPr="00BC3F72">
        <w:rPr>
          <w:szCs w:val="25"/>
        </w:rPr>
        <w:t>not the interior state itself.</w:t>
      </w:r>
      <w:r w:rsidR="00285A0C">
        <w:rPr>
          <w:rStyle w:val="FootnoteReference"/>
          <w:szCs w:val="25"/>
        </w:rPr>
        <w:footnoteReference w:id="673"/>
      </w:r>
    </w:p>
    <w:p w14:paraId="09FC98D1" w14:textId="3EBE68D8" w:rsidR="0018433B" w:rsidRPr="00BC3F72" w:rsidRDefault="00285A0C" w:rsidP="0018433B">
      <w:pPr>
        <w:pStyle w:val="Style"/>
        <w:widowControl/>
        <w:jc w:val="both"/>
        <w:textAlignment w:val="baseline"/>
        <w:rPr>
          <w:szCs w:val="25"/>
        </w:rPr>
      </w:pPr>
      <w:r>
        <w:rPr>
          <w:szCs w:val="25"/>
        </w:rPr>
        <w:tab/>
      </w:r>
      <w:r w:rsidR="0018433B" w:rsidRPr="00BC3F72">
        <w:rPr>
          <w:szCs w:val="25"/>
        </w:rPr>
        <w:t>Others besides Fitzmyer</w:t>
      </w:r>
      <w:r w:rsidR="006F304D" w:rsidRPr="006F304D">
        <w:rPr>
          <w:szCs w:val="25"/>
        </w:rPr>
        <w:t xml:space="preserve">, </w:t>
      </w:r>
      <w:r w:rsidR="0018433B" w:rsidRPr="00BC3F72">
        <w:rPr>
          <w:szCs w:val="25"/>
        </w:rPr>
        <w:t>Plummer</w:t>
      </w:r>
      <w:r w:rsidR="006F304D" w:rsidRPr="006F304D">
        <w:rPr>
          <w:szCs w:val="25"/>
        </w:rPr>
        <w:t xml:space="preserve">, </w:t>
      </w:r>
      <w:r w:rsidR="0018433B" w:rsidRPr="00BC3F72">
        <w:rPr>
          <w:szCs w:val="25"/>
        </w:rPr>
        <w:t>and Rose narrow the fruits’ range of</w:t>
      </w:r>
      <w:r>
        <w:rPr>
          <w:szCs w:val="25"/>
        </w:rPr>
        <w:t xml:space="preserve"> </w:t>
      </w:r>
      <w:r w:rsidR="0018433B" w:rsidRPr="00BC3F72">
        <w:rPr>
          <w:szCs w:val="25"/>
        </w:rPr>
        <w:t xml:space="preserve">reference. Easton contends that </w:t>
      </w:r>
      <w:r>
        <w:rPr>
          <w:szCs w:val="25"/>
        </w:rPr>
        <w:t>“</w:t>
      </w:r>
      <w:r w:rsidR="0018433B" w:rsidRPr="00BC3F72">
        <w:rPr>
          <w:szCs w:val="25"/>
        </w:rPr>
        <w:t>The ‘fruit’ here is influence on others”; Manson submits that “</w:t>
      </w:r>
      <w:r w:rsidR="0018433B" w:rsidRPr="00BC3F72">
        <w:rPr>
          <w:rFonts w:eastAsia="Arial"/>
          <w:i/>
          <w:iCs/>
          <w:szCs w:val="23"/>
        </w:rPr>
        <w:t>Fruit</w:t>
      </w:r>
      <w:r w:rsidR="0018433B" w:rsidRPr="00285A0C">
        <w:rPr>
          <w:rFonts w:eastAsia="Arial"/>
          <w:szCs w:val="23"/>
        </w:rPr>
        <w:t xml:space="preserve"> </w:t>
      </w:r>
      <w:r w:rsidR="0018433B" w:rsidRPr="00BC3F72">
        <w:rPr>
          <w:szCs w:val="25"/>
        </w:rPr>
        <w:t>here means personal influence</w:t>
      </w:r>
      <w:r>
        <w:rPr>
          <w:szCs w:val="25"/>
        </w:rPr>
        <w:t>.”</w:t>
      </w:r>
      <w:r>
        <w:rPr>
          <w:rStyle w:val="FootnoteReference"/>
          <w:szCs w:val="25"/>
        </w:rPr>
        <w:footnoteReference w:id="674"/>
      </w:r>
      <w:r w:rsidR="00775F9B" w:rsidRPr="00775F9B">
        <w:rPr>
          <w:iCs/>
          <w:szCs w:val="25"/>
        </w:rPr>
        <w:t xml:space="preserve"> </w:t>
      </w:r>
      <w:r w:rsidR="0018433B" w:rsidRPr="00BC3F72">
        <w:rPr>
          <w:szCs w:val="25"/>
        </w:rPr>
        <w:t>Once again</w:t>
      </w:r>
      <w:r w:rsidR="006F304D" w:rsidRPr="006F304D">
        <w:rPr>
          <w:szCs w:val="25"/>
        </w:rPr>
        <w:t xml:space="preserve">, </w:t>
      </w:r>
      <w:r w:rsidR="0018433B" w:rsidRPr="00BC3F72">
        <w:rPr>
          <w:szCs w:val="25"/>
        </w:rPr>
        <w:t>the explanations result from seeing a close connection between 43-45 and the preceding verses.</w:t>
      </w:r>
      <w:r>
        <w:rPr>
          <w:rStyle w:val="FootnoteReference"/>
          <w:szCs w:val="25"/>
        </w:rPr>
        <w:footnoteReference w:id="675"/>
      </w:r>
      <w:r w:rsidR="0018433B" w:rsidRPr="00BC3F72">
        <w:rPr>
          <w:szCs w:val="20"/>
        </w:rPr>
        <w:t xml:space="preserve"> </w:t>
      </w:r>
      <w:r w:rsidR="0018433B" w:rsidRPr="00BC3F72">
        <w:rPr>
          <w:szCs w:val="25"/>
        </w:rPr>
        <w:t>Some see the connection extending all the way back to 37-38. Thus Danker:</w:t>
      </w:r>
    </w:p>
    <w:p w14:paraId="350D3E4D" w14:textId="77777777" w:rsidR="00285A0C" w:rsidRDefault="00285A0C" w:rsidP="0018433B">
      <w:pPr>
        <w:pStyle w:val="Style"/>
        <w:widowControl/>
        <w:jc w:val="both"/>
        <w:textAlignment w:val="baseline"/>
        <w:rPr>
          <w:szCs w:val="25"/>
        </w:rPr>
      </w:pPr>
    </w:p>
    <w:p w14:paraId="3A7F3DB4" w14:textId="74AA23F6" w:rsidR="0018433B" w:rsidRPr="00BC3F72" w:rsidRDefault="0018433B" w:rsidP="00285A0C">
      <w:pPr>
        <w:pStyle w:val="Style"/>
        <w:widowControl/>
        <w:ind w:left="720" w:right="720"/>
        <w:jc w:val="both"/>
        <w:textAlignment w:val="baseline"/>
        <w:rPr>
          <w:szCs w:val="2"/>
          <w:vertAlign w:val="superscript"/>
        </w:rPr>
      </w:pPr>
      <w:r w:rsidRPr="00BC3F72">
        <w:rPr>
          <w:szCs w:val="25"/>
        </w:rPr>
        <w:lastRenderedPageBreak/>
        <w:t>The doublet in vv. 43-44 would be obscure as free-floating logia. In Luke’s narrative they receive a literary home and having found inter</w:t>
      </w:r>
      <w:r w:rsidRPr="00BC3F72">
        <w:rPr>
          <w:szCs w:val="25"/>
        </w:rPr>
        <w:softHyphen/>
        <w:t>pretation in the light of what precedes now are themselves endowed with hermeneutical function</w:t>
      </w:r>
      <w:r w:rsidR="006F304D" w:rsidRPr="006F304D">
        <w:rPr>
          <w:szCs w:val="25"/>
        </w:rPr>
        <w:t xml:space="preserve">, </w:t>
      </w:r>
      <w:r w:rsidRPr="00BC3F72">
        <w:rPr>
          <w:szCs w:val="25"/>
        </w:rPr>
        <w:t>and with the help of the climactic inter</w:t>
      </w:r>
      <w:r w:rsidRPr="00BC3F72">
        <w:rPr>
          <w:szCs w:val="25"/>
        </w:rPr>
        <w:softHyphen/>
        <w:t xml:space="preserve">pretive logion in v. 45 these verses point </w:t>
      </w:r>
      <w:r w:rsidRPr="00BC3F72">
        <w:rPr>
          <w:szCs w:val="44"/>
        </w:rPr>
        <w:t xml:space="preserve">up </w:t>
      </w:r>
      <w:r w:rsidRPr="00BC3F72">
        <w:rPr>
          <w:szCs w:val="25"/>
        </w:rPr>
        <w:t>the contrast between a spirit of forgiveness and a censorious spirit.</w:t>
      </w:r>
      <w:r w:rsidR="00285A0C">
        <w:rPr>
          <w:rStyle w:val="FootnoteReference"/>
          <w:szCs w:val="25"/>
        </w:rPr>
        <w:footnoteReference w:id="676"/>
      </w:r>
    </w:p>
    <w:p w14:paraId="41F6E175" w14:textId="77777777" w:rsidR="00285A0C" w:rsidRDefault="00285A0C" w:rsidP="0018433B">
      <w:pPr>
        <w:pStyle w:val="Style"/>
        <w:widowControl/>
        <w:jc w:val="both"/>
        <w:textAlignment w:val="baseline"/>
        <w:rPr>
          <w:szCs w:val="25"/>
        </w:rPr>
      </w:pPr>
    </w:p>
    <w:p w14:paraId="4724C143" w14:textId="777B0175" w:rsidR="0018433B" w:rsidRPr="00BC3F72" w:rsidRDefault="0018433B" w:rsidP="0018433B">
      <w:pPr>
        <w:pStyle w:val="Style"/>
        <w:widowControl/>
        <w:jc w:val="both"/>
        <w:textAlignment w:val="baseline"/>
        <w:rPr>
          <w:szCs w:val="25"/>
        </w:rPr>
      </w:pPr>
      <w:proofErr w:type="spellStart"/>
      <w:r w:rsidRPr="00BC3F72">
        <w:rPr>
          <w:szCs w:val="25"/>
        </w:rPr>
        <w:t>Dillersberger</w:t>
      </w:r>
      <w:proofErr w:type="spellEnd"/>
      <w:r w:rsidR="006F304D" w:rsidRPr="006F304D">
        <w:rPr>
          <w:szCs w:val="25"/>
        </w:rPr>
        <w:t xml:space="preserve">, </w:t>
      </w:r>
      <w:r w:rsidRPr="00BC3F72">
        <w:rPr>
          <w:szCs w:val="25"/>
        </w:rPr>
        <w:t>too</w:t>
      </w:r>
      <w:r w:rsidR="006F304D" w:rsidRPr="006F304D">
        <w:rPr>
          <w:szCs w:val="25"/>
        </w:rPr>
        <w:t xml:space="preserve">, </w:t>
      </w:r>
      <w:r w:rsidRPr="00BC3F72">
        <w:rPr>
          <w:szCs w:val="25"/>
        </w:rPr>
        <w:t>seems to follow this line of thought: “The connecting idea may perhaps be expressed in the German proverb: The rogue thinks everyone to be a rogue. A fundamentally good man will not easily see such evil in his neighbor.</w:t>
      </w:r>
      <w:r w:rsidR="00285A0C">
        <w:rPr>
          <w:szCs w:val="25"/>
        </w:rPr>
        <w:t>”</w:t>
      </w:r>
      <w:r w:rsidR="00285A0C">
        <w:rPr>
          <w:rStyle w:val="FootnoteReference"/>
          <w:szCs w:val="25"/>
        </w:rPr>
        <w:footnoteReference w:id="677"/>
      </w:r>
      <w:r w:rsidR="00775F9B" w:rsidRPr="00775F9B">
        <w:rPr>
          <w:iCs/>
          <w:szCs w:val="25"/>
        </w:rPr>
        <w:t xml:space="preserve"> </w:t>
      </w:r>
      <w:r w:rsidRPr="00BC3F72">
        <w:rPr>
          <w:szCs w:val="25"/>
        </w:rPr>
        <w:t xml:space="preserve">Yet 43-45 do not directly contrast forgiving and censorious spirits; and </w:t>
      </w:r>
      <w:proofErr w:type="spellStart"/>
      <w:r w:rsidRPr="00BC3F72">
        <w:rPr>
          <w:szCs w:val="25"/>
        </w:rPr>
        <w:t>Dillersberger’s</w:t>
      </w:r>
      <w:proofErr w:type="spellEnd"/>
      <w:r w:rsidRPr="00BC3F72">
        <w:rPr>
          <w:szCs w:val="25"/>
        </w:rPr>
        <w:t xml:space="preserve"> proverb applies more adequately to verses 41-42 than to 43-45 (there</w:t>
      </w:r>
      <w:r w:rsidR="001F2E8F">
        <w:rPr>
          <w:szCs w:val="25"/>
        </w:rPr>
        <w:t xml:space="preserve"> </w:t>
      </w:r>
      <w:r w:rsidRPr="00BC3F72">
        <w:rPr>
          <w:szCs w:val="25"/>
        </w:rPr>
        <w:t>is no reference to seeing evil in others in 43-45</w:t>
      </w:r>
      <w:r w:rsidR="006F304D" w:rsidRPr="006F304D">
        <w:rPr>
          <w:szCs w:val="25"/>
        </w:rPr>
        <w:t xml:space="preserve">, </w:t>
      </w:r>
      <w:r w:rsidRPr="00BC3F72">
        <w:rPr>
          <w:szCs w:val="25"/>
        </w:rPr>
        <w:t>whereas the person with the log in his eye in 41-42 does see evil in his brother).</w:t>
      </w:r>
    </w:p>
    <w:p w14:paraId="681713C2" w14:textId="57E067FF" w:rsidR="0018433B" w:rsidRPr="00BC3F72" w:rsidRDefault="001F2E8F" w:rsidP="0018433B">
      <w:pPr>
        <w:pStyle w:val="Style"/>
        <w:widowControl/>
        <w:jc w:val="both"/>
        <w:textAlignment w:val="baseline"/>
        <w:rPr>
          <w:szCs w:val="25"/>
        </w:rPr>
      </w:pPr>
      <w:r>
        <w:rPr>
          <w:szCs w:val="25"/>
        </w:rPr>
        <w:tab/>
      </w:r>
      <w:r w:rsidR="0018433B" w:rsidRPr="00BC3F72">
        <w:rPr>
          <w:szCs w:val="25"/>
        </w:rPr>
        <w:t>Others see the connection as extending back primarily to 41-42. By narrowing the scope of “fruit” to deeds that affect others</w:t>
      </w:r>
      <w:r w:rsidR="006F304D" w:rsidRPr="006F304D">
        <w:rPr>
          <w:szCs w:val="25"/>
        </w:rPr>
        <w:t xml:space="preserve">, </w:t>
      </w:r>
      <w:r w:rsidR="0018433B" w:rsidRPr="00BC3F72">
        <w:rPr>
          <w:szCs w:val="25"/>
        </w:rPr>
        <w:t>it is possible to argue for a continuation of thought from 41-42 through 43-45. Here are two examples.</w:t>
      </w:r>
    </w:p>
    <w:p w14:paraId="1880C3E1" w14:textId="77777777" w:rsidR="001F2E8F" w:rsidRDefault="001F2E8F" w:rsidP="0018433B">
      <w:pPr>
        <w:pStyle w:val="Style"/>
        <w:widowControl/>
        <w:jc w:val="both"/>
        <w:textAlignment w:val="baseline"/>
        <w:rPr>
          <w:szCs w:val="25"/>
        </w:rPr>
      </w:pPr>
    </w:p>
    <w:p w14:paraId="0A09A37E" w14:textId="49383A54" w:rsidR="001F2E8F" w:rsidRPr="001F2E8F" w:rsidRDefault="0018433B" w:rsidP="001F2E8F">
      <w:pPr>
        <w:pStyle w:val="Style"/>
        <w:widowControl/>
        <w:ind w:left="720" w:right="720"/>
        <w:jc w:val="both"/>
        <w:textAlignment w:val="baseline"/>
        <w:rPr>
          <w:szCs w:val="25"/>
        </w:rPr>
      </w:pPr>
      <w:r w:rsidRPr="00BC3F72">
        <w:rPr>
          <w:szCs w:val="25"/>
        </w:rPr>
        <w:t>The stipulation that personal sincerity is the one condition of bene</w:t>
      </w:r>
      <w:r w:rsidRPr="00BC3F72">
        <w:rPr>
          <w:szCs w:val="25"/>
        </w:rPr>
        <w:softHyphen/>
        <w:t xml:space="preserve">fitting others is enforced by the illustration: </w:t>
      </w:r>
      <w:r w:rsidRPr="00BC3F72">
        <w:rPr>
          <w:i/>
          <w:iCs/>
          <w:szCs w:val="26"/>
        </w:rPr>
        <w:t xml:space="preserve">each tree is known by </w:t>
      </w:r>
      <w:r w:rsidRPr="00BC3F72">
        <w:rPr>
          <w:i/>
          <w:iCs/>
          <w:szCs w:val="27"/>
        </w:rPr>
        <w:t xml:space="preserve">its </w:t>
      </w:r>
      <w:r w:rsidRPr="00BC3F72">
        <w:rPr>
          <w:i/>
          <w:iCs/>
          <w:szCs w:val="25"/>
        </w:rPr>
        <w:t>f</w:t>
      </w:r>
      <w:r w:rsidR="001F2E8F">
        <w:rPr>
          <w:i/>
          <w:iCs/>
          <w:szCs w:val="25"/>
        </w:rPr>
        <w:t>r</w:t>
      </w:r>
      <w:r w:rsidRPr="00BC3F72">
        <w:rPr>
          <w:i/>
          <w:iCs/>
          <w:szCs w:val="25"/>
        </w:rPr>
        <w:t>ui</w:t>
      </w:r>
      <w:r w:rsidR="001F2E8F">
        <w:rPr>
          <w:i/>
          <w:iCs/>
          <w:szCs w:val="25"/>
        </w:rPr>
        <w:t>t</w:t>
      </w:r>
      <w:r w:rsidR="001F2E8F">
        <w:rPr>
          <w:szCs w:val="25"/>
        </w:rPr>
        <w:t>.</w:t>
      </w:r>
      <w:r w:rsidR="001F2E8F">
        <w:rPr>
          <w:rStyle w:val="FootnoteReference"/>
          <w:szCs w:val="25"/>
        </w:rPr>
        <w:footnoteReference w:id="678"/>
      </w:r>
    </w:p>
    <w:p w14:paraId="274C04E1" w14:textId="610147EC" w:rsidR="0018433B" w:rsidRPr="001F2E8F" w:rsidRDefault="0018433B" w:rsidP="001F2E8F">
      <w:pPr>
        <w:pStyle w:val="Style"/>
        <w:widowControl/>
        <w:ind w:left="720" w:right="720"/>
        <w:jc w:val="both"/>
        <w:textAlignment w:val="baseline"/>
        <w:rPr>
          <w:iCs/>
          <w:szCs w:val="25"/>
        </w:rPr>
      </w:pPr>
      <w:r w:rsidRPr="00BC3F72">
        <w:rPr>
          <w:szCs w:val="25"/>
        </w:rPr>
        <w:t>The parable of the tree and its fruits makes the point more sharply</w:t>
      </w:r>
      <w:r w:rsidR="006F304D" w:rsidRPr="006F304D">
        <w:rPr>
          <w:szCs w:val="25"/>
        </w:rPr>
        <w:t xml:space="preserve">, </w:t>
      </w:r>
      <w:r w:rsidRPr="00BC3F72">
        <w:rPr>
          <w:szCs w:val="25"/>
        </w:rPr>
        <w:t>that one can only improve one’s brother when one is oneself go</w:t>
      </w:r>
      <w:r w:rsidR="001F2E8F">
        <w:rPr>
          <w:szCs w:val="25"/>
        </w:rPr>
        <w:t>od.</w:t>
      </w:r>
      <w:r w:rsidR="001F2E8F">
        <w:rPr>
          <w:rStyle w:val="FootnoteReference"/>
          <w:szCs w:val="25"/>
        </w:rPr>
        <w:footnoteReference w:id="679"/>
      </w:r>
    </w:p>
    <w:p w14:paraId="6ACD4BB0" w14:textId="77777777" w:rsidR="001F2E8F" w:rsidRDefault="001F2E8F" w:rsidP="0018433B">
      <w:pPr>
        <w:pStyle w:val="Style"/>
        <w:widowControl/>
        <w:jc w:val="both"/>
        <w:textAlignment w:val="baseline"/>
        <w:rPr>
          <w:szCs w:val="25"/>
        </w:rPr>
      </w:pPr>
    </w:p>
    <w:p w14:paraId="627DF037" w14:textId="629465E5" w:rsidR="0018433B" w:rsidRPr="00BC3F72" w:rsidRDefault="0018433B" w:rsidP="0018433B">
      <w:pPr>
        <w:pStyle w:val="Style"/>
        <w:widowControl/>
        <w:jc w:val="both"/>
        <w:textAlignment w:val="baseline"/>
        <w:rPr>
          <w:szCs w:val="25"/>
        </w:rPr>
      </w:pPr>
      <w:r w:rsidRPr="00BC3F72">
        <w:rPr>
          <w:szCs w:val="25"/>
        </w:rPr>
        <w:t xml:space="preserve">Yet each of these interpretations has its problems. Manson’s paraphrase of 41-42 is none too accurate: 41-42 do not demand “personal sincerity” as the </w:t>
      </w:r>
      <w:r w:rsidR="001F2E8F">
        <w:rPr>
          <w:szCs w:val="25"/>
        </w:rPr>
        <w:t>“</w:t>
      </w:r>
      <w:r w:rsidRPr="00BC3F72">
        <w:rPr>
          <w:szCs w:val="25"/>
        </w:rPr>
        <w:t>one condition” of “benefitting” others; they demand removal of moral faults (not just hypocrisy: see 42d</w:t>
      </w:r>
      <w:r w:rsidR="006F304D" w:rsidRPr="006F304D">
        <w:rPr>
          <w:szCs w:val="25"/>
        </w:rPr>
        <w:t xml:space="preserve">, </w:t>
      </w:r>
      <w:r w:rsidR="001F2E8F">
        <w:rPr>
          <w:szCs w:val="25"/>
        </w:rPr>
        <w:t>“</w:t>
      </w:r>
      <w:r w:rsidRPr="00BC3F72">
        <w:rPr>
          <w:szCs w:val="25"/>
        </w:rPr>
        <w:t>first take the log out of your own eye”) as a condition of ad</w:t>
      </w:r>
      <w:r w:rsidRPr="00BC3F72">
        <w:rPr>
          <w:szCs w:val="25"/>
        </w:rPr>
        <w:softHyphen/>
        <w:t>vising others. Dausch’s paraphrase of 41-42 is better</w:t>
      </w:r>
      <w:r w:rsidR="006F304D" w:rsidRPr="006F304D">
        <w:rPr>
          <w:szCs w:val="25"/>
        </w:rPr>
        <w:t xml:space="preserve">, </w:t>
      </w:r>
      <w:r w:rsidRPr="00BC3F72">
        <w:rPr>
          <w:szCs w:val="25"/>
        </w:rPr>
        <w:t xml:space="preserve">but just how 43-45 are an </w:t>
      </w:r>
      <w:r w:rsidR="001F2E8F">
        <w:rPr>
          <w:szCs w:val="25"/>
        </w:rPr>
        <w:t>“</w:t>
      </w:r>
      <w:r w:rsidRPr="00BC3F72">
        <w:rPr>
          <w:szCs w:val="25"/>
        </w:rPr>
        <w:t xml:space="preserve">illustration” or a </w:t>
      </w:r>
      <w:r w:rsidR="001F2E8F">
        <w:rPr>
          <w:szCs w:val="25"/>
        </w:rPr>
        <w:t>“</w:t>
      </w:r>
      <w:r w:rsidRPr="00BC3F72">
        <w:rPr>
          <w:szCs w:val="25"/>
        </w:rPr>
        <w:t>sharpening” of 41-42 remains obscure. Moreover</w:t>
      </w:r>
      <w:r w:rsidR="006F304D" w:rsidRPr="006F304D">
        <w:rPr>
          <w:szCs w:val="25"/>
        </w:rPr>
        <w:t xml:space="preserve">, </w:t>
      </w:r>
      <w:r w:rsidRPr="00BC3F72">
        <w:rPr>
          <w:szCs w:val="25"/>
        </w:rPr>
        <w:t>Manson cites</w:t>
      </w:r>
      <w:r w:rsidR="006F304D" w:rsidRPr="006F304D">
        <w:rPr>
          <w:szCs w:val="25"/>
        </w:rPr>
        <w:t xml:space="preserve">, </w:t>
      </w:r>
      <w:r w:rsidRPr="00BC3F72">
        <w:rPr>
          <w:szCs w:val="25"/>
        </w:rPr>
        <w:t>in place of 43-45</w:t>
      </w:r>
      <w:r w:rsidR="006F304D" w:rsidRPr="006F304D">
        <w:rPr>
          <w:szCs w:val="25"/>
        </w:rPr>
        <w:t xml:space="preserve">, </w:t>
      </w:r>
      <w:r w:rsidRPr="00BC3F72">
        <w:rPr>
          <w:szCs w:val="25"/>
        </w:rPr>
        <w:t xml:space="preserve">only a portion of those verses </w:t>
      </w:r>
      <w:r>
        <w:rPr>
          <w:szCs w:val="25"/>
        </w:rPr>
        <w:t>(</w:t>
      </w:r>
      <w:r w:rsidRPr="00BC3F72">
        <w:rPr>
          <w:szCs w:val="25"/>
        </w:rPr>
        <w:t>44a</w:t>
      </w:r>
      <w:r w:rsidR="006F304D" w:rsidRPr="006F304D">
        <w:rPr>
          <w:szCs w:val="25"/>
        </w:rPr>
        <w:t xml:space="preserve">, </w:t>
      </w:r>
      <w:r w:rsidR="001F2E8F">
        <w:rPr>
          <w:szCs w:val="25"/>
        </w:rPr>
        <w:t>“</w:t>
      </w:r>
      <w:r w:rsidRPr="00BC3F72">
        <w:rPr>
          <w:szCs w:val="25"/>
        </w:rPr>
        <w:t>for each tree is known by its own fruit</w:t>
      </w:r>
      <w:r w:rsidR="001F2E8F">
        <w:rPr>
          <w:szCs w:val="25"/>
        </w:rPr>
        <w:t>”</w:t>
      </w:r>
      <w:r w:rsidRPr="00BC3F72">
        <w:rPr>
          <w:szCs w:val="25"/>
        </w:rPr>
        <w:t>)</w:t>
      </w:r>
      <w:r w:rsidR="001F2E8F">
        <w:rPr>
          <w:rStyle w:val="FootnoteReference"/>
          <w:szCs w:val="25"/>
        </w:rPr>
        <w:footnoteReference w:id="680"/>
      </w:r>
      <w:r w:rsidR="001F2E8F">
        <w:rPr>
          <w:szCs w:val="25"/>
        </w:rPr>
        <w:t xml:space="preserve">; </w:t>
      </w:r>
      <w:r w:rsidRPr="00BC3F72">
        <w:rPr>
          <w:szCs w:val="25"/>
        </w:rPr>
        <w:t>and Dausch does not explain in detail how 43-45 relate to 41-42</w:t>
      </w:r>
      <w:r w:rsidR="001F2E8F">
        <w:rPr>
          <w:szCs w:val="25"/>
        </w:rPr>
        <w:t xml:space="preserve"> </w:t>
      </w:r>
      <w:r w:rsidRPr="00BC3F72">
        <w:rPr>
          <w:szCs w:val="25"/>
        </w:rPr>
        <w:t>but simply asserts the relation.</w:t>
      </w:r>
    </w:p>
    <w:p w14:paraId="14754E0B" w14:textId="4ED79E43" w:rsidR="0018433B" w:rsidRPr="00BC3F72" w:rsidRDefault="001F2E8F" w:rsidP="0018433B">
      <w:pPr>
        <w:pStyle w:val="Style"/>
        <w:widowControl/>
        <w:jc w:val="both"/>
        <w:textAlignment w:val="baseline"/>
        <w:rPr>
          <w:szCs w:val="25"/>
        </w:rPr>
      </w:pPr>
      <w:r>
        <w:rPr>
          <w:szCs w:val="25"/>
        </w:rPr>
        <w:tab/>
      </w:r>
      <w:r w:rsidR="0018433B" w:rsidRPr="00BC3F72">
        <w:rPr>
          <w:szCs w:val="25"/>
        </w:rPr>
        <w:t>Rather than connect 43-45 so closely with 41-42</w:t>
      </w:r>
      <w:r w:rsidR="006F304D" w:rsidRPr="006F304D">
        <w:rPr>
          <w:szCs w:val="25"/>
        </w:rPr>
        <w:t xml:space="preserve">, </w:t>
      </w:r>
      <w:r w:rsidR="0018433B" w:rsidRPr="00BC3F72">
        <w:rPr>
          <w:szCs w:val="25"/>
        </w:rPr>
        <w:t xml:space="preserve">it </w:t>
      </w:r>
      <w:r w:rsidR="00476AF6">
        <w:rPr>
          <w:szCs w:val="25"/>
        </w:rPr>
        <w:t xml:space="preserve">is </w:t>
      </w:r>
      <w:r w:rsidR="0018433B" w:rsidRPr="00BC3F72">
        <w:rPr>
          <w:szCs w:val="25"/>
        </w:rPr>
        <w:t>possible to maintain that the connection is rather loose. Taken in themselves</w:t>
      </w:r>
      <w:r w:rsidR="006F304D" w:rsidRPr="006F304D">
        <w:rPr>
          <w:szCs w:val="25"/>
        </w:rPr>
        <w:t xml:space="preserve">, </w:t>
      </w:r>
      <w:r w:rsidR="0018433B" w:rsidRPr="00BC3F72">
        <w:rPr>
          <w:szCs w:val="25"/>
        </w:rPr>
        <w:t xml:space="preserve">43-45 seem to refer to all moral actions: </w:t>
      </w:r>
      <w:r w:rsidR="00476AF6">
        <w:rPr>
          <w:szCs w:val="25"/>
        </w:rPr>
        <w:t>“</w:t>
      </w:r>
      <w:r w:rsidR="0018433B" w:rsidRPr="00BC3F72">
        <w:rPr>
          <w:szCs w:val="25"/>
        </w:rPr>
        <w:t>fruit</w:t>
      </w:r>
      <w:r w:rsidR="00476AF6">
        <w:rPr>
          <w:szCs w:val="25"/>
        </w:rPr>
        <w:t>”</w:t>
      </w:r>
      <w:r w:rsidR="0018433B" w:rsidRPr="00BC3F72">
        <w:rPr>
          <w:szCs w:val="25"/>
        </w:rPr>
        <w:t xml:space="preserve"> may represent moral actions of </w:t>
      </w:r>
      <w:r w:rsidR="0018433B" w:rsidRPr="00BC3F72">
        <w:rPr>
          <w:i/>
          <w:iCs/>
        </w:rPr>
        <w:t>any</w:t>
      </w:r>
      <w:r w:rsidR="0018433B" w:rsidRPr="00476AF6">
        <w:t xml:space="preserve"> </w:t>
      </w:r>
      <w:r w:rsidR="0018433B" w:rsidRPr="00BC3F72">
        <w:rPr>
          <w:szCs w:val="25"/>
        </w:rPr>
        <w:t>kind. Dupont</w:t>
      </w:r>
      <w:r w:rsidR="006F304D" w:rsidRPr="006F304D">
        <w:rPr>
          <w:szCs w:val="25"/>
        </w:rPr>
        <w:t xml:space="preserve">, </w:t>
      </w:r>
      <w:r w:rsidR="0018433B" w:rsidRPr="00BC3F72">
        <w:rPr>
          <w:szCs w:val="25"/>
        </w:rPr>
        <w:t>for example</w:t>
      </w:r>
      <w:r w:rsidR="006F304D" w:rsidRPr="006F304D">
        <w:rPr>
          <w:szCs w:val="25"/>
        </w:rPr>
        <w:t xml:space="preserve">, </w:t>
      </w:r>
      <w:r w:rsidR="0018433B" w:rsidRPr="00BC3F72">
        <w:rPr>
          <w:szCs w:val="25"/>
        </w:rPr>
        <w:t xml:space="preserve">urges that “the saying about the trees and their fruits invites one to recognize persons by their works </w:t>
      </w:r>
      <w:r w:rsidR="00476AF6">
        <w:rPr>
          <w:szCs w:val="25"/>
        </w:rPr>
        <w:t>. . .”</w:t>
      </w:r>
      <w:r w:rsidR="00476AF6">
        <w:rPr>
          <w:rStyle w:val="FootnoteReference"/>
          <w:szCs w:val="25"/>
        </w:rPr>
        <w:footnoteReference w:id="681"/>
      </w:r>
      <w:r w:rsidR="0018433B" w:rsidRPr="00BC3F72">
        <w:rPr>
          <w:szCs w:val="21"/>
        </w:rPr>
        <w:t xml:space="preserve"> </w:t>
      </w:r>
      <w:r w:rsidR="0018433B" w:rsidRPr="00BC3F72">
        <w:rPr>
          <w:szCs w:val="25"/>
        </w:rPr>
        <w:t xml:space="preserve">One argument which Dupont </w:t>
      </w:r>
      <w:r w:rsidR="0018433B" w:rsidRPr="00BC3F72">
        <w:rPr>
          <w:szCs w:val="25"/>
        </w:rPr>
        <w:lastRenderedPageBreak/>
        <w:t xml:space="preserve">advances for a loose connection is the insignificance of </w:t>
      </w:r>
      <w:r w:rsidR="00476AF6" w:rsidRPr="00CE06CA">
        <w:rPr>
          <w:bCs/>
          <w:szCs w:val="22"/>
          <w:lang w:val="el-GR"/>
        </w:rPr>
        <w:t>γάρ</w:t>
      </w:r>
      <w:r w:rsidR="0018433B" w:rsidRPr="00BC3F72">
        <w:rPr>
          <w:szCs w:val="25"/>
        </w:rPr>
        <w:t xml:space="preserve"> at the beginning of 43. That 43 begins with </w:t>
      </w:r>
      <w:r>
        <w:rPr>
          <w:szCs w:val="25"/>
        </w:rPr>
        <w:t>“</w:t>
      </w:r>
      <w:r w:rsidR="0018433B" w:rsidRPr="00BC3F72">
        <w:rPr>
          <w:szCs w:val="25"/>
        </w:rPr>
        <w:t>For</w:t>
      </w:r>
      <w:r>
        <w:rPr>
          <w:szCs w:val="25"/>
        </w:rPr>
        <w:t>”</w:t>
      </w:r>
      <w:r w:rsidR="0018433B" w:rsidRPr="00BC3F72">
        <w:rPr>
          <w:szCs w:val="25"/>
        </w:rPr>
        <w:t xml:space="preserve"> seems to support the idea of a close link between 43-45 and its context.</w:t>
      </w:r>
      <w:r w:rsidR="00476AF6">
        <w:rPr>
          <w:rStyle w:val="FootnoteReference"/>
          <w:szCs w:val="25"/>
        </w:rPr>
        <w:footnoteReference w:id="682"/>
      </w:r>
      <w:r w:rsidR="0018433B" w:rsidRPr="00BC3F72">
        <w:rPr>
          <w:szCs w:val="25"/>
        </w:rPr>
        <w:t xml:space="preserve"> But</w:t>
      </w:r>
      <w:r w:rsidR="006F304D" w:rsidRPr="006F304D">
        <w:rPr>
          <w:szCs w:val="25"/>
        </w:rPr>
        <w:t xml:space="preserve">, </w:t>
      </w:r>
      <w:r w:rsidR="0018433B" w:rsidRPr="00BC3F72">
        <w:rPr>
          <w:szCs w:val="25"/>
        </w:rPr>
        <w:t>Dupont points out,</w:t>
      </w:r>
    </w:p>
    <w:p w14:paraId="387B0EBB" w14:textId="77777777" w:rsidR="001F2E8F" w:rsidRDefault="001F2E8F" w:rsidP="0018433B">
      <w:pPr>
        <w:pStyle w:val="Style"/>
        <w:widowControl/>
        <w:jc w:val="both"/>
        <w:textAlignment w:val="baseline"/>
        <w:rPr>
          <w:szCs w:val="25"/>
        </w:rPr>
      </w:pPr>
    </w:p>
    <w:p w14:paraId="733FAA39" w14:textId="03E3DB0F" w:rsidR="0018433B" w:rsidRPr="00BC3F72" w:rsidRDefault="0018433B" w:rsidP="001F2E8F">
      <w:pPr>
        <w:pStyle w:val="Style"/>
        <w:widowControl/>
        <w:ind w:left="720" w:right="720"/>
        <w:jc w:val="both"/>
        <w:textAlignment w:val="baseline"/>
        <w:rPr>
          <w:szCs w:val="2"/>
          <w:vertAlign w:val="superscript"/>
        </w:rPr>
      </w:pPr>
      <w:r w:rsidRPr="00BC3F72">
        <w:rPr>
          <w:szCs w:val="25"/>
        </w:rPr>
        <w:t xml:space="preserve">Luke facilely adds this </w:t>
      </w:r>
      <w:r w:rsidR="003A7B2C">
        <w:rPr>
          <w:bCs/>
          <w:szCs w:val="22"/>
          <w:lang w:val="el-GR"/>
        </w:rPr>
        <w:t>γάρ</w:t>
      </w:r>
      <w:r w:rsidR="003A7B2C">
        <w:rPr>
          <w:szCs w:val="25"/>
        </w:rPr>
        <w:t xml:space="preserve"> </w:t>
      </w:r>
      <w:r w:rsidRPr="00BC3F72">
        <w:rPr>
          <w:szCs w:val="25"/>
        </w:rPr>
        <w:t xml:space="preserve">(it is not found in Matthew [7:18]) </w:t>
      </w:r>
      <w:r w:rsidRPr="00EE2A2F">
        <w:rPr>
          <w:szCs w:val="25"/>
        </w:rPr>
        <w:t>. . .</w:t>
      </w:r>
      <w:r w:rsidRPr="00BC3F72">
        <w:rPr>
          <w:szCs w:val="25"/>
        </w:rPr>
        <w:t xml:space="preserve"> the connection is purely literary</w:t>
      </w:r>
      <w:r w:rsidR="006F304D" w:rsidRPr="006F304D">
        <w:rPr>
          <w:szCs w:val="25"/>
        </w:rPr>
        <w:t xml:space="preserve">, </w:t>
      </w:r>
      <w:r w:rsidRPr="00BC3F72">
        <w:rPr>
          <w:szCs w:val="25"/>
        </w:rPr>
        <w:t>for it is not apparent how the parable of the speck and log can find its explanation in the saying about the two trees</w:t>
      </w:r>
      <w:r>
        <w:rPr>
          <w:szCs w:val="25"/>
        </w:rPr>
        <w:t>. . . .</w:t>
      </w:r>
      <w:r w:rsidRPr="00BC3F72">
        <w:rPr>
          <w:szCs w:val="25"/>
        </w:rPr>
        <w:t xml:space="preserve"> One can well approve </w:t>
      </w:r>
      <w:proofErr w:type="spellStart"/>
      <w:r w:rsidRPr="00BC3F72">
        <w:rPr>
          <w:szCs w:val="25"/>
        </w:rPr>
        <w:t>Osty’s</w:t>
      </w:r>
      <w:proofErr w:type="spellEnd"/>
      <w:r w:rsidRPr="00BC3F72">
        <w:rPr>
          <w:szCs w:val="25"/>
        </w:rPr>
        <w:t xml:space="preserve"> decision not to translate the yap here; or</w:t>
      </w:r>
      <w:r w:rsidR="006F304D" w:rsidRPr="006F304D">
        <w:rPr>
          <w:szCs w:val="25"/>
        </w:rPr>
        <w:t xml:space="preserve">, </w:t>
      </w:r>
      <w:r w:rsidRPr="00BC3F72">
        <w:rPr>
          <w:szCs w:val="25"/>
        </w:rPr>
        <w:t>if it must be translated</w:t>
      </w:r>
      <w:r w:rsidR="006F304D" w:rsidRPr="006F304D">
        <w:rPr>
          <w:szCs w:val="25"/>
        </w:rPr>
        <w:t xml:space="preserve">, </w:t>
      </w:r>
      <w:r w:rsidRPr="00BC3F72">
        <w:rPr>
          <w:szCs w:val="25"/>
        </w:rPr>
        <w:t>it is best rendered by “Certain</w:t>
      </w:r>
      <w:r w:rsidRPr="00BC3F72">
        <w:rPr>
          <w:szCs w:val="25"/>
        </w:rPr>
        <w:softHyphen/>
        <w:t xml:space="preserve">ly,” or “Undoubtedly,” rather than </w:t>
      </w:r>
      <w:r w:rsidR="001F2E8F">
        <w:rPr>
          <w:szCs w:val="25"/>
        </w:rPr>
        <w:t>“</w:t>
      </w:r>
      <w:r w:rsidRPr="00BC3F72">
        <w:rPr>
          <w:szCs w:val="25"/>
        </w:rPr>
        <w:t>For</w:t>
      </w:r>
      <w:r w:rsidR="001F2E8F">
        <w:rPr>
          <w:szCs w:val="25"/>
        </w:rPr>
        <w:t>.”</w:t>
      </w:r>
      <w:r w:rsidR="00476AF6">
        <w:rPr>
          <w:rStyle w:val="FootnoteReference"/>
          <w:szCs w:val="25"/>
        </w:rPr>
        <w:footnoteReference w:id="683"/>
      </w:r>
    </w:p>
    <w:p w14:paraId="20CB4034" w14:textId="0511EEBC" w:rsidR="00476AF6" w:rsidRPr="00476AF6" w:rsidRDefault="00476AF6" w:rsidP="00476AF6">
      <w:pPr>
        <w:pStyle w:val="Style"/>
        <w:widowControl/>
        <w:jc w:val="both"/>
        <w:textAlignment w:val="baseline"/>
        <w:rPr>
          <w:szCs w:val="26"/>
        </w:rPr>
      </w:pPr>
    </w:p>
    <w:p w14:paraId="1673C85D" w14:textId="4B8048C3" w:rsidR="0018433B" w:rsidRPr="00BC3F72" w:rsidRDefault="003A7B2C" w:rsidP="0018433B">
      <w:pPr>
        <w:pStyle w:val="Style"/>
        <w:widowControl/>
        <w:jc w:val="both"/>
        <w:textAlignment w:val="baseline"/>
        <w:rPr>
          <w:szCs w:val="25"/>
        </w:rPr>
      </w:pPr>
      <w:r>
        <w:rPr>
          <w:szCs w:val="25"/>
        </w:rPr>
        <w:tab/>
      </w:r>
      <w:r w:rsidR="0018433B" w:rsidRPr="00BC3F72">
        <w:rPr>
          <w:szCs w:val="25"/>
        </w:rPr>
        <w:t>Another argument in favor of seeing the fruits as referring to moral actions</w:t>
      </w:r>
      <w:r>
        <w:rPr>
          <w:szCs w:val="25"/>
        </w:rPr>
        <w:t xml:space="preserve"> </w:t>
      </w:r>
      <w:r w:rsidR="0018433B" w:rsidRPr="00BC3F72">
        <w:rPr>
          <w:szCs w:val="25"/>
        </w:rPr>
        <w:t>in general is the superficiality of the connection between verses 43-44 and verse 45. Dupont says of this:</w:t>
      </w:r>
    </w:p>
    <w:p w14:paraId="02DD98D1" w14:textId="77777777" w:rsidR="00476AF6" w:rsidRDefault="00476AF6" w:rsidP="0018433B">
      <w:pPr>
        <w:pStyle w:val="Style"/>
        <w:widowControl/>
        <w:jc w:val="both"/>
        <w:textAlignment w:val="baseline"/>
        <w:rPr>
          <w:szCs w:val="25"/>
        </w:rPr>
      </w:pPr>
    </w:p>
    <w:p w14:paraId="72DA5BD1" w14:textId="751E3258" w:rsidR="0018433B" w:rsidRPr="00BC3F72" w:rsidRDefault="0018433B" w:rsidP="00476AF6">
      <w:pPr>
        <w:pStyle w:val="Style"/>
        <w:widowControl/>
        <w:ind w:left="720" w:right="720"/>
        <w:jc w:val="both"/>
        <w:textAlignment w:val="baseline"/>
        <w:rPr>
          <w:szCs w:val="2"/>
          <w:vertAlign w:val="superscript"/>
        </w:rPr>
      </w:pPr>
      <w:r w:rsidRPr="00BC3F72">
        <w:rPr>
          <w:szCs w:val="25"/>
        </w:rPr>
        <w:lastRenderedPageBreak/>
        <w:t>[Verse 45] has not been joined to the similitude of the trees without creating a certain dissonance. The fruits in 43-44 are naturally understood as good works; but in verse 45</w:t>
      </w:r>
      <w:r w:rsidR="006F304D" w:rsidRPr="006F304D">
        <w:rPr>
          <w:szCs w:val="25"/>
        </w:rPr>
        <w:t xml:space="preserve">, </w:t>
      </w:r>
      <w:r w:rsidRPr="00BC3F72">
        <w:rPr>
          <w:szCs w:val="25"/>
        </w:rPr>
        <w:t>they refer [only] to words</w:t>
      </w:r>
      <w:r>
        <w:rPr>
          <w:szCs w:val="25"/>
        </w:rPr>
        <w:t>. . . .</w:t>
      </w:r>
      <w:r w:rsidRPr="00BC3F72">
        <w:rPr>
          <w:szCs w:val="25"/>
        </w:rPr>
        <w:t xml:space="preserve"> The saying about the trees and their fruits [43-44] invite us to recog</w:t>
      </w:r>
      <w:r w:rsidR="003A7B2C">
        <w:rPr>
          <w:szCs w:val="25"/>
        </w:rPr>
        <w:t>n</w:t>
      </w:r>
      <w:r w:rsidRPr="00BC3F72">
        <w:rPr>
          <w:szCs w:val="25"/>
        </w:rPr>
        <w:t>ize persons by their deeds; but [in 45] it is only a question of what they say.</w:t>
      </w:r>
      <w:r w:rsidR="00DF5AE5">
        <w:rPr>
          <w:rStyle w:val="FootnoteReference"/>
          <w:szCs w:val="25"/>
        </w:rPr>
        <w:footnoteReference w:id="684"/>
      </w:r>
    </w:p>
    <w:p w14:paraId="245A2898" w14:textId="794F716B" w:rsidR="0018433B" w:rsidRPr="00BC3F72" w:rsidRDefault="0018433B" w:rsidP="0018433B">
      <w:pPr>
        <w:pStyle w:val="Style"/>
        <w:widowControl/>
        <w:jc w:val="both"/>
        <w:textAlignment w:val="baseline"/>
        <w:rPr>
          <w:szCs w:val="25"/>
        </w:rPr>
      </w:pPr>
    </w:p>
    <w:p w14:paraId="05A48B4C" w14:textId="2EB9CD2D" w:rsidR="0018433B" w:rsidRPr="00BC3F72" w:rsidRDefault="0018433B" w:rsidP="0018433B">
      <w:pPr>
        <w:pStyle w:val="Style"/>
        <w:widowControl/>
        <w:jc w:val="both"/>
        <w:textAlignment w:val="baseline"/>
        <w:rPr>
          <w:szCs w:val="25"/>
        </w:rPr>
      </w:pPr>
      <w:r w:rsidRPr="00BC3F72">
        <w:rPr>
          <w:szCs w:val="25"/>
        </w:rPr>
        <w:t>Actually</w:t>
      </w:r>
      <w:r w:rsidR="006F304D" w:rsidRPr="006F304D">
        <w:rPr>
          <w:szCs w:val="25"/>
        </w:rPr>
        <w:t xml:space="preserve">, </w:t>
      </w:r>
      <w:r w:rsidRPr="00BC3F72">
        <w:rPr>
          <w:szCs w:val="25"/>
        </w:rPr>
        <w:t>the contrast is not so much between 43-44 and 45</w:t>
      </w:r>
      <w:r w:rsidR="006F304D" w:rsidRPr="006F304D">
        <w:rPr>
          <w:szCs w:val="25"/>
        </w:rPr>
        <w:t xml:space="preserve">, </w:t>
      </w:r>
      <w:r w:rsidRPr="00BC3F72">
        <w:rPr>
          <w:szCs w:val="25"/>
        </w:rPr>
        <w:t>as it is between 43-45b</w:t>
      </w:r>
      <w:r w:rsidR="00DF5AE5">
        <w:rPr>
          <w:szCs w:val="25"/>
        </w:rPr>
        <w:t xml:space="preserve"> </w:t>
      </w:r>
      <w:r w:rsidRPr="00BC3F72">
        <w:rPr>
          <w:szCs w:val="25"/>
        </w:rPr>
        <w:t>and 45c. To 43-44 (tree and fruits)</w:t>
      </w:r>
      <w:r w:rsidR="006F304D" w:rsidRPr="006F304D">
        <w:rPr>
          <w:szCs w:val="25"/>
        </w:rPr>
        <w:t xml:space="preserve">, </w:t>
      </w:r>
      <w:r w:rsidRPr="00BC3F72">
        <w:rPr>
          <w:szCs w:val="25"/>
        </w:rPr>
        <w:t>45ab seem</w:t>
      </w:r>
      <w:r w:rsidR="00DF5AE5">
        <w:rPr>
          <w:szCs w:val="25"/>
        </w:rPr>
        <w:t>s</w:t>
      </w:r>
      <w:r w:rsidRPr="00BC3F72">
        <w:rPr>
          <w:szCs w:val="25"/>
        </w:rPr>
        <w:t xml:space="preserve"> a natural continuation</w:t>
      </w:r>
      <w:r w:rsidR="006F304D" w:rsidRPr="006F304D">
        <w:rPr>
          <w:szCs w:val="25"/>
        </w:rPr>
        <w:t xml:space="preserve">, </w:t>
      </w:r>
      <w:r w:rsidRPr="00BC3F72">
        <w:rPr>
          <w:szCs w:val="25"/>
        </w:rPr>
        <w:t>supplying literal terms for the figures of good and bad trees and good and bad fruits</w:t>
      </w:r>
      <w:r w:rsidR="00DF5AE5">
        <w:rPr>
          <w:szCs w:val="25"/>
        </w:rPr>
        <w:t>: 45a, “</w:t>
      </w:r>
      <w:r w:rsidR="00DF5AE5" w:rsidRPr="00CD75A6">
        <w:t>The good person out of the good treasure of the heart</w:t>
      </w:r>
      <w:r w:rsidR="00DF5AE5">
        <w:t xml:space="preserve"> </w:t>
      </w:r>
      <w:r w:rsidR="00DF5AE5" w:rsidRPr="00CD75A6">
        <w:t>produces good</w:t>
      </w:r>
      <w:r w:rsidR="00DF5AE5">
        <w:t>”; 45b,</w:t>
      </w:r>
      <w:r w:rsidRPr="00BC3F72">
        <w:rPr>
          <w:szCs w:val="25"/>
        </w:rPr>
        <w:t xml:space="preserve"> “and the evil man out of his evil treasure produces evil</w:t>
      </w:r>
      <w:r w:rsidR="00DF5AE5">
        <w:rPr>
          <w:szCs w:val="25"/>
        </w:rPr>
        <w:t xml:space="preserve"> . . .” </w:t>
      </w:r>
      <w:r w:rsidRPr="00BC3F72">
        <w:rPr>
          <w:szCs w:val="25"/>
        </w:rPr>
        <w:t xml:space="preserve">But 45c introduces a dissimilar note: </w:t>
      </w:r>
      <w:r w:rsidR="00DF5AE5">
        <w:rPr>
          <w:szCs w:val="25"/>
        </w:rPr>
        <w:t>“</w:t>
      </w:r>
      <w:r w:rsidRPr="00BC3F72">
        <w:rPr>
          <w:szCs w:val="25"/>
        </w:rPr>
        <w:t>for out of the abundance of the heart his mouth speaks.” Dupont explains the contrast:</w:t>
      </w:r>
    </w:p>
    <w:p w14:paraId="26A46B24" w14:textId="77777777" w:rsidR="00DF5AE5" w:rsidRDefault="00DF5AE5" w:rsidP="0018433B">
      <w:pPr>
        <w:pStyle w:val="Style"/>
        <w:widowControl/>
        <w:jc w:val="both"/>
        <w:textAlignment w:val="baseline"/>
        <w:rPr>
          <w:szCs w:val="25"/>
        </w:rPr>
      </w:pPr>
    </w:p>
    <w:p w14:paraId="148091D1" w14:textId="65F550E7" w:rsidR="0018433B" w:rsidRPr="00BC3F72" w:rsidRDefault="0018433B" w:rsidP="00DF5AE5">
      <w:pPr>
        <w:pStyle w:val="Style"/>
        <w:widowControl/>
        <w:ind w:left="720" w:right="720"/>
        <w:jc w:val="both"/>
        <w:textAlignment w:val="baseline"/>
        <w:rPr>
          <w:szCs w:val="27"/>
        </w:rPr>
      </w:pPr>
      <w:r w:rsidRPr="00BC3F72">
        <w:rPr>
          <w:szCs w:val="25"/>
        </w:rPr>
        <w:t>[Verse 45c] appears to be a proverb (see Strack-Billerbeck</w:t>
      </w:r>
      <w:r w:rsidR="006F304D" w:rsidRPr="006F304D">
        <w:rPr>
          <w:szCs w:val="25"/>
        </w:rPr>
        <w:t xml:space="preserve">, </w:t>
      </w:r>
      <w:r w:rsidRPr="00BC3F72">
        <w:rPr>
          <w:szCs w:val="25"/>
        </w:rPr>
        <w:t>1. 639): what one has in one’s heart cannot fail to be revealed by one’s words. Taken in itself</w:t>
      </w:r>
      <w:r w:rsidR="006F304D" w:rsidRPr="006F304D">
        <w:rPr>
          <w:szCs w:val="25"/>
        </w:rPr>
        <w:t xml:space="preserve">, </w:t>
      </w:r>
      <w:r>
        <w:rPr>
          <w:szCs w:val="25"/>
        </w:rPr>
        <w:t>[</w:t>
      </w:r>
      <w:r w:rsidRPr="00BC3F72">
        <w:rPr>
          <w:szCs w:val="25"/>
        </w:rPr>
        <w:t xml:space="preserve">45ab] can be explained in the sense indicated by Matt 15:21-23 and Mark 7:18-20: the heart is the source of one’s actions </w:t>
      </w:r>
      <w:r>
        <w:rPr>
          <w:szCs w:val="25"/>
        </w:rPr>
        <w:t>. . .</w:t>
      </w:r>
      <w:r w:rsidRPr="00BC3F72">
        <w:rPr>
          <w:szCs w:val="25"/>
        </w:rPr>
        <w:t xml:space="preserve"> It is not a question [in 45ab] of that which comes from the heart by necessity </w:t>
      </w:r>
      <w:r>
        <w:rPr>
          <w:szCs w:val="25"/>
        </w:rPr>
        <w:t>(</w:t>
      </w:r>
      <w:r w:rsidRPr="00BC3F72">
        <w:rPr>
          <w:szCs w:val="25"/>
        </w:rPr>
        <w:t xml:space="preserve">as in </w:t>
      </w:r>
      <w:r>
        <w:rPr>
          <w:szCs w:val="25"/>
        </w:rPr>
        <w:t>[</w:t>
      </w:r>
      <w:r w:rsidRPr="00BC3F72">
        <w:rPr>
          <w:szCs w:val="25"/>
        </w:rPr>
        <w:t>45c</w:t>
      </w:r>
      <w:r>
        <w:rPr>
          <w:szCs w:val="25"/>
        </w:rPr>
        <w:t>]</w:t>
      </w:r>
      <w:r w:rsidRPr="00BC3F72">
        <w:rPr>
          <w:szCs w:val="25"/>
        </w:rPr>
        <w:t>)</w:t>
      </w:r>
      <w:r w:rsidR="006F304D" w:rsidRPr="006F304D">
        <w:rPr>
          <w:szCs w:val="25"/>
        </w:rPr>
        <w:t xml:space="preserve">, </w:t>
      </w:r>
      <w:r w:rsidRPr="00BC3F72">
        <w:rPr>
          <w:szCs w:val="25"/>
        </w:rPr>
        <w:t>but of the quality of that which originates in</w:t>
      </w:r>
      <w:r w:rsidR="00DF5AE5">
        <w:rPr>
          <w:szCs w:val="25"/>
        </w:rPr>
        <w:t xml:space="preserve"> it.</w:t>
      </w:r>
      <w:r w:rsidR="006D7DF3">
        <w:rPr>
          <w:rStyle w:val="FootnoteReference"/>
          <w:szCs w:val="25"/>
        </w:rPr>
        <w:footnoteReference w:id="685"/>
      </w:r>
    </w:p>
    <w:p w14:paraId="31E29729" w14:textId="77777777" w:rsidR="00DF5AE5" w:rsidRDefault="00DF5AE5" w:rsidP="0018433B">
      <w:pPr>
        <w:pStyle w:val="Style"/>
        <w:widowControl/>
        <w:jc w:val="both"/>
        <w:textAlignment w:val="baseline"/>
        <w:rPr>
          <w:szCs w:val="25"/>
        </w:rPr>
      </w:pPr>
    </w:p>
    <w:p w14:paraId="2366C30A" w14:textId="0CAF086B" w:rsidR="0018433B" w:rsidRPr="00BC3F72" w:rsidRDefault="0018433B" w:rsidP="0018433B">
      <w:pPr>
        <w:pStyle w:val="Style"/>
        <w:widowControl/>
        <w:jc w:val="both"/>
        <w:textAlignment w:val="baseline"/>
        <w:rPr>
          <w:szCs w:val="25"/>
        </w:rPr>
      </w:pPr>
      <w:r w:rsidRPr="00BC3F72">
        <w:rPr>
          <w:szCs w:val="25"/>
        </w:rPr>
        <w:t>So: since 45c is the only portion of 43-45 which refers to words rather than works; and since the advising in 41-42 concerns words rather than works; it follows that the only portion of 43-45 that connects directly with 41-42 is 45c. In themselves</w:t>
      </w:r>
      <w:r w:rsidR="006F304D" w:rsidRPr="006F304D">
        <w:rPr>
          <w:szCs w:val="25"/>
        </w:rPr>
        <w:t xml:space="preserve">, </w:t>
      </w:r>
      <w:r w:rsidRPr="00BC3F72">
        <w:rPr>
          <w:szCs w:val="25"/>
        </w:rPr>
        <w:t>then</w:t>
      </w:r>
      <w:r w:rsidR="006F304D" w:rsidRPr="006F304D">
        <w:rPr>
          <w:szCs w:val="25"/>
        </w:rPr>
        <w:t xml:space="preserve">, </w:t>
      </w:r>
      <w:r w:rsidRPr="00BC3F72">
        <w:rPr>
          <w:szCs w:val="25"/>
        </w:rPr>
        <w:t>43-45 are only loosely connected with 41-42; they should therefore be seen as referring to moral acts in general</w:t>
      </w:r>
      <w:r w:rsidR="006F304D" w:rsidRPr="006F304D">
        <w:rPr>
          <w:szCs w:val="25"/>
        </w:rPr>
        <w:t xml:space="preserve">, </w:t>
      </w:r>
      <w:r w:rsidRPr="00BC3F72">
        <w:rPr>
          <w:szCs w:val="25"/>
        </w:rPr>
        <w:t>and not just to the giving of advice to fellow Christians.</w:t>
      </w:r>
    </w:p>
    <w:p w14:paraId="4022C7AA" w14:textId="37C4DFD4" w:rsidR="0018433B" w:rsidRPr="00BC3F72" w:rsidRDefault="006D7DF3" w:rsidP="0018433B">
      <w:pPr>
        <w:pStyle w:val="Style"/>
        <w:widowControl/>
        <w:jc w:val="both"/>
        <w:textAlignment w:val="baseline"/>
        <w:rPr>
          <w:szCs w:val="25"/>
        </w:rPr>
      </w:pPr>
      <w:r>
        <w:rPr>
          <w:szCs w:val="25"/>
        </w:rPr>
        <w:tab/>
      </w:r>
      <w:r w:rsidR="0018433B" w:rsidRPr="00BC3F72">
        <w:rPr>
          <w:szCs w:val="25"/>
        </w:rPr>
        <w:t>But one question remains. Granted that 43-45b</w:t>
      </w:r>
      <w:r w:rsidR="006F304D" w:rsidRPr="006F304D">
        <w:rPr>
          <w:szCs w:val="25"/>
        </w:rPr>
        <w:t xml:space="preserve">, </w:t>
      </w:r>
      <w:r w:rsidR="0018433B" w:rsidRPr="00BC3F72">
        <w:rPr>
          <w:szCs w:val="25"/>
        </w:rPr>
        <w:t>in isolation from any context,</w:t>
      </w:r>
      <w:r>
        <w:rPr>
          <w:szCs w:val="25"/>
        </w:rPr>
        <w:t xml:space="preserve"> </w:t>
      </w:r>
      <w:r w:rsidR="0018433B" w:rsidRPr="00BC3F72">
        <w:rPr>
          <w:szCs w:val="25"/>
        </w:rPr>
        <w:t>refer to all moral acts: nevertheless</w:t>
      </w:r>
      <w:r w:rsidR="006F304D" w:rsidRPr="006F304D">
        <w:rPr>
          <w:szCs w:val="25"/>
        </w:rPr>
        <w:t xml:space="preserve">, </w:t>
      </w:r>
      <w:r w:rsidR="0018433B" w:rsidRPr="00BC3F72">
        <w:rPr>
          <w:szCs w:val="25"/>
        </w:rPr>
        <w:t>in the sermon on the plain</w:t>
      </w:r>
      <w:r w:rsidR="006F304D" w:rsidRPr="006F304D">
        <w:rPr>
          <w:szCs w:val="25"/>
        </w:rPr>
        <w:t xml:space="preserve">, </w:t>
      </w:r>
      <w:r w:rsidR="0018433B" w:rsidRPr="00BC3F72">
        <w:rPr>
          <w:szCs w:val="25"/>
        </w:rPr>
        <w:t>they do stand in</w:t>
      </w:r>
      <w:r>
        <w:rPr>
          <w:szCs w:val="25"/>
        </w:rPr>
        <w:t xml:space="preserve"> </w:t>
      </w:r>
      <w:r w:rsidR="0018433B" w:rsidRPr="00BC3F72">
        <w:rPr>
          <w:szCs w:val="25"/>
        </w:rPr>
        <w:t>relation to a specific context</w:t>
      </w:r>
      <w:r w:rsidR="006F304D" w:rsidRPr="006F304D">
        <w:rPr>
          <w:szCs w:val="25"/>
        </w:rPr>
        <w:t xml:space="preserve">, </w:t>
      </w:r>
      <w:r w:rsidR="0018433B" w:rsidRPr="00BC3F72">
        <w:rPr>
          <w:szCs w:val="25"/>
        </w:rPr>
        <w:t>namely</w:t>
      </w:r>
      <w:r w:rsidR="006F304D" w:rsidRPr="006F304D">
        <w:rPr>
          <w:szCs w:val="25"/>
        </w:rPr>
        <w:t xml:space="preserve">, </w:t>
      </w:r>
      <w:r w:rsidR="0018433B" w:rsidRPr="00BC3F72">
        <w:rPr>
          <w:szCs w:val="25"/>
        </w:rPr>
        <w:t>41-42 and 45c. Does this context sufficiently dominate 43-45b to curb their natural significance and compel them to refer only to acts of moral influence over others? The question is quite crucial for the determina</w:t>
      </w:r>
      <w:r w:rsidR="0018433B" w:rsidRPr="00BC3F72">
        <w:rPr>
          <w:szCs w:val="25"/>
        </w:rPr>
        <w:softHyphen/>
        <w:t>tion of the major sections of the sermon; it is</w:t>
      </w:r>
      <w:r w:rsidR="006F304D" w:rsidRPr="006F304D">
        <w:rPr>
          <w:szCs w:val="25"/>
        </w:rPr>
        <w:t xml:space="preserve">, </w:t>
      </w:r>
      <w:r w:rsidR="0018433B" w:rsidRPr="00BC3F72">
        <w:rPr>
          <w:szCs w:val="25"/>
        </w:rPr>
        <w:t>in fact</w:t>
      </w:r>
      <w:r w:rsidR="006F304D" w:rsidRPr="006F304D">
        <w:rPr>
          <w:szCs w:val="25"/>
        </w:rPr>
        <w:t xml:space="preserve">, </w:t>
      </w:r>
      <w:r w:rsidR="0018433B" w:rsidRPr="00BC3F72">
        <w:rPr>
          <w:szCs w:val="25"/>
        </w:rPr>
        <w:t xml:space="preserve">the only decision that remains in our determination of the logical outline of the sermon on the plain. </w:t>
      </w:r>
      <w:r w:rsidR="0018433B" w:rsidRPr="00BC3F72">
        <w:rPr>
          <w:szCs w:val="23"/>
        </w:rPr>
        <w:t xml:space="preserve">If </w:t>
      </w:r>
      <w:r w:rsidR="0018433B" w:rsidRPr="00BC3F72">
        <w:rPr>
          <w:szCs w:val="25"/>
        </w:rPr>
        <w:t>the context does not compel 43-45 to refer only to influential acts</w:t>
      </w:r>
      <w:r w:rsidR="006F304D" w:rsidRPr="006F304D">
        <w:rPr>
          <w:szCs w:val="25"/>
        </w:rPr>
        <w:t xml:space="preserve">, </w:t>
      </w:r>
      <w:r w:rsidR="0018433B" w:rsidRPr="00BC3F72">
        <w:rPr>
          <w:szCs w:val="25"/>
        </w:rPr>
        <w:t xml:space="preserve">then the subject matter </w:t>
      </w:r>
      <w:r>
        <w:rPr>
          <w:szCs w:val="25"/>
        </w:rPr>
        <w:t>o</w:t>
      </w:r>
      <w:r w:rsidR="0018433B" w:rsidRPr="00BC3F72">
        <w:rPr>
          <w:szCs w:val="25"/>
        </w:rPr>
        <w:t>f 43-45 represents a break from the subject matter of 37-42: 43-45 become a major sec</w:t>
      </w:r>
      <w:r w:rsidR="0018433B" w:rsidRPr="00BC3F72">
        <w:rPr>
          <w:szCs w:val="25"/>
        </w:rPr>
        <w:softHyphen/>
        <w:t>tion of their own</w:t>
      </w:r>
      <w:r w:rsidR="006F304D" w:rsidRPr="006F304D">
        <w:rPr>
          <w:szCs w:val="25"/>
        </w:rPr>
        <w:t xml:space="preserve">, </w:t>
      </w:r>
      <w:r w:rsidR="0018433B" w:rsidRPr="00BC3F72">
        <w:rPr>
          <w:szCs w:val="25"/>
        </w:rPr>
        <w:t>coordinate with the other major sections of the middle of the ser</w:t>
      </w:r>
      <w:r w:rsidR="0018433B" w:rsidRPr="00BC3F72">
        <w:rPr>
          <w:szCs w:val="25"/>
        </w:rPr>
        <w:softHyphen/>
        <w:t>mon</w:t>
      </w:r>
      <w:r w:rsidR="006F304D" w:rsidRPr="006F304D">
        <w:rPr>
          <w:szCs w:val="25"/>
        </w:rPr>
        <w:t xml:space="preserve">, </w:t>
      </w:r>
      <w:r w:rsidR="0018433B" w:rsidRPr="00BC3F72">
        <w:rPr>
          <w:szCs w:val="25"/>
        </w:rPr>
        <w:t>and one winds up with a three-part middle</w:t>
      </w:r>
      <w:r w:rsidR="006F304D" w:rsidRPr="006F304D">
        <w:rPr>
          <w:szCs w:val="25"/>
        </w:rPr>
        <w:t xml:space="preserve">, </w:t>
      </w:r>
      <w:r w:rsidR="0018433B" w:rsidRPr="00BC3F72">
        <w:rPr>
          <w:szCs w:val="25"/>
        </w:rPr>
        <w:t>27-36</w:t>
      </w:r>
      <w:r w:rsidR="006F304D" w:rsidRPr="006F304D">
        <w:rPr>
          <w:szCs w:val="25"/>
        </w:rPr>
        <w:t xml:space="preserve">, </w:t>
      </w:r>
      <w:r w:rsidR="0018433B" w:rsidRPr="00BC3F72">
        <w:rPr>
          <w:szCs w:val="25"/>
        </w:rPr>
        <w:t>37-42</w:t>
      </w:r>
      <w:r w:rsidR="006F304D" w:rsidRPr="006F304D">
        <w:rPr>
          <w:szCs w:val="25"/>
        </w:rPr>
        <w:t xml:space="preserve">, </w:t>
      </w:r>
      <w:r w:rsidR="0018433B" w:rsidRPr="00BC3F72">
        <w:rPr>
          <w:szCs w:val="25"/>
        </w:rPr>
        <w:t xml:space="preserve">and 43-45. </w:t>
      </w:r>
      <w:r w:rsidR="0018433B" w:rsidRPr="00BC3F72">
        <w:rPr>
          <w:szCs w:val="23"/>
        </w:rPr>
        <w:t>If</w:t>
      </w:r>
      <w:r w:rsidR="006F304D" w:rsidRPr="006F304D">
        <w:rPr>
          <w:szCs w:val="23"/>
        </w:rPr>
        <w:t xml:space="preserve">, </w:t>
      </w:r>
      <w:r w:rsidR="0018433B" w:rsidRPr="00BC3F72">
        <w:rPr>
          <w:szCs w:val="25"/>
        </w:rPr>
        <w:t>on the other hand</w:t>
      </w:r>
      <w:r w:rsidR="006F304D" w:rsidRPr="006F304D">
        <w:rPr>
          <w:szCs w:val="25"/>
        </w:rPr>
        <w:t xml:space="preserve">, </w:t>
      </w:r>
      <w:r w:rsidR="0018433B" w:rsidRPr="00BC3F72">
        <w:rPr>
          <w:szCs w:val="25"/>
        </w:rPr>
        <w:t>the context does compel 43-45 to refer only to influential acts</w:t>
      </w:r>
      <w:r w:rsidR="006F304D" w:rsidRPr="006F304D">
        <w:rPr>
          <w:szCs w:val="25"/>
        </w:rPr>
        <w:t xml:space="preserve">, </w:t>
      </w:r>
      <w:r w:rsidR="0018433B" w:rsidRPr="00BC3F72">
        <w:rPr>
          <w:szCs w:val="25"/>
        </w:rPr>
        <w:t>then the subject matter of 43-45 represents a continuation of 37-</w:t>
      </w:r>
      <w:r w:rsidR="0018433B" w:rsidRPr="00BC3F72">
        <w:rPr>
          <w:szCs w:val="25"/>
        </w:rPr>
        <w:lastRenderedPageBreak/>
        <w:t>42: 43-45 become a subordinate segment within the overarching section</w:t>
      </w:r>
      <w:r w:rsidR="006F304D" w:rsidRPr="006F304D">
        <w:rPr>
          <w:szCs w:val="25"/>
        </w:rPr>
        <w:t xml:space="preserve">, </w:t>
      </w:r>
      <w:r w:rsidR="0018433B" w:rsidRPr="00BC3F72">
        <w:rPr>
          <w:szCs w:val="25"/>
        </w:rPr>
        <w:t>37-45</w:t>
      </w:r>
      <w:r w:rsidR="006F304D" w:rsidRPr="006F304D">
        <w:rPr>
          <w:szCs w:val="25"/>
        </w:rPr>
        <w:t xml:space="preserve">, </w:t>
      </w:r>
      <w:r w:rsidR="0018433B" w:rsidRPr="00BC3F72">
        <w:rPr>
          <w:szCs w:val="25"/>
        </w:rPr>
        <w:t>and one winds up with four coordinate segments</w:t>
      </w:r>
      <w:r w:rsidR="006F304D" w:rsidRPr="006F304D">
        <w:rPr>
          <w:szCs w:val="25"/>
        </w:rPr>
        <w:t xml:space="preserve">, </w:t>
      </w:r>
      <w:r w:rsidR="0018433B" w:rsidRPr="00BC3F72">
        <w:rPr>
          <w:szCs w:val="25"/>
        </w:rPr>
        <w:t>37-38</w:t>
      </w:r>
      <w:r w:rsidR="006F304D" w:rsidRPr="006F304D">
        <w:rPr>
          <w:szCs w:val="25"/>
        </w:rPr>
        <w:t xml:space="preserve">, </w:t>
      </w:r>
      <w:r w:rsidR="0018433B" w:rsidRPr="00BC3F72">
        <w:rPr>
          <w:szCs w:val="25"/>
        </w:rPr>
        <w:t>39-40</w:t>
      </w:r>
      <w:r w:rsidR="006F304D" w:rsidRPr="006F304D">
        <w:rPr>
          <w:szCs w:val="25"/>
        </w:rPr>
        <w:t xml:space="preserve">, </w:t>
      </w:r>
      <w:r w:rsidR="0018433B" w:rsidRPr="00BC3F72">
        <w:rPr>
          <w:szCs w:val="25"/>
        </w:rPr>
        <w:t>41-42</w:t>
      </w:r>
      <w:r w:rsidR="006F304D" w:rsidRPr="006F304D">
        <w:rPr>
          <w:szCs w:val="25"/>
        </w:rPr>
        <w:t xml:space="preserve">, </w:t>
      </w:r>
      <w:r w:rsidR="0018433B" w:rsidRPr="00BC3F72">
        <w:rPr>
          <w:szCs w:val="25"/>
        </w:rPr>
        <w:t>and 43-45.</w:t>
      </w:r>
    </w:p>
    <w:p w14:paraId="1152A678" w14:textId="59E339A7" w:rsidR="0018433B" w:rsidRPr="00BC3F72" w:rsidRDefault="006D7DF3" w:rsidP="0018433B">
      <w:pPr>
        <w:pStyle w:val="Style"/>
        <w:widowControl/>
        <w:jc w:val="both"/>
        <w:textAlignment w:val="baseline"/>
        <w:rPr>
          <w:szCs w:val="25"/>
        </w:rPr>
      </w:pPr>
      <w:r>
        <w:rPr>
          <w:szCs w:val="25"/>
        </w:rPr>
        <w:tab/>
      </w:r>
      <w:r w:rsidR="0018433B" w:rsidRPr="00BC3F72">
        <w:rPr>
          <w:szCs w:val="25"/>
        </w:rPr>
        <w:t>Even though most three-part-middle commentators</w:t>
      </w:r>
      <w:r w:rsidR="006F304D" w:rsidRPr="006F304D">
        <w:rPr>
          <w:szCs w:val="25"/>
        </w:rPr>
        <w:t xml:space="preserve">, </w:t>
      </w:r>
      <w:r w:rsidR="0018433B" w:rsidRPr="00BC3F72">
        <w:rPr>
          <w:szCs w:val="25"/>
        </w:rPr>
        <w:t>as we have just seen</w:t>
      </w:r>
      <w:r w:rsidR="006F304D" w:rsidRPr="006F304D">
        <w:rPr>
          <w:szCs w:val="25"/>
        </w:rPr>
        <w:t xml:space="preserve">, </w:t>
      </w:r>
      <w:r w:rsidR="0018433B" w:rsidRPr="00BC3F72">
        <w:rPr>
          <w:szCs w:val="25"/>
        </w:rPr>
        <w:t>explain 43-45 in relation to 37-42 or 41-42 (that is</w:t>
      </w:r>
      <w:r w:rsidR="006F304D" w:rsidRPr="006F304D">
        <w:rPr>
          <w:szCs w:val="25"/>
        </w:rPr>
        <w:t xml:space="preserve">, </w:t>
      </w:r>
      <w:r w:rsidR="0018433B" w:rsidRPr="00BC3F72">
        <w:rPr>
          <w:szCs w:val="25"/>
        </w:rPr>
        <w:t>they refer the “fruit” of 43-45</w:t>
      </w:r>
      <w:r w:rsidR="006F304D" w:rsidRPr="006F304D">
        <w:rPr>
          <w:szCs w:val="25"/>
        </w:rPr>
        <w:t xml:space="preserve">, </w:t>
      </w:r>
      <w:r w:rsidR="0018433B" w:rsidRPr="00BC3F72">
        <w:rPr>
          <w:szCs w:val="25"/>
        </w:rPr>
        <w:t>not to all deeds in general</w:t>
      </w:r>
      <w:r w:rsidR="006F304D" w:rsidRPr="006F304D">
        <w:rPr>
          <w:szCs w:val="25"/>
        </w:rPr>
        <w:t xml:space="preserve">, </w:t>
      </w:r>
      <w:r w:rsidR="0018433B" w:rsidRPr="00BC3F72">
        <w:rPr>
          <w:szCs w:val="25"/>
        </w:rPr>
        <w:t>but only to acts that influence others)</w:t>
      </w:r>
      <w:r w:rsidR="006F304D" w:rsidRPr="006F304D">
        <w:rPr>
          <w:szCs w:val="25"/>
        </w:rPr>
        <w:t xml:space="preserve">, </w:t>
      </w:r>
      <w:r w:rsidR="0018433B" w:rsidRPr="00BC3F72">
        <w:rPr>
          <w:szCs w:val="25"/>
        </w:rPr>
        <w:t>nevertheless</w:t>
      </w:r>
      <w:r w:rsidR="006F304D" w:rsidRPr="006F304D">
        <w:rPr>
          <w:szCs w:val="25"/>
        </w:rPr>
        <w:t xml:space="preserve">, </w:t>
      </w:r>
      <w:r w:rsidR="0018433B" w:rsidRPr="00BC3F72">
        <w:rPr>
          <w:szCs w:val="25"/>
        </w:rPr>
        <w:t>most of them also create three major sections: 27-36</w:t>
      </w:r>
      <w:r w:rsidR="006F304D" w:rsidRPr="006F304D">
        <w:rPr>
          <w:szCs w:val="25"/>
        </w:rPr>
        <w:t xml:space="preserve">, </w:t>
      </w:r>
      <w:r w:rsidR="0018433B" w:rsidRPr="00BC3F72">
        <w:rPr>
          <w:szCs w:val="25"/>
        </w:rPr>
        <w:t>37-42</w:t>
      </w:r>
      <w:r w:rsidR="006F304D" w:rsidRPr="006F304D">
        <w:rPr>
          <w:szCs w:val="25"/>
        </w:rPr>
        <w:t xml:space="preserve">, </w:t>
      </w:r>
      <w:r w:rsidR="0018433B" w:rsidRPr="00BC3F72">
        <w:rPr>
          <w:szCs w:val="25"/>
        </w:rPr>
        <w:t xml:space="preserve">and 43-45. This seems contradictory. Either 37-42 and 45c </w:t>
      </w:r>
      <w:r w:rsidR="0018433B" w:rsidRPr="00BC3F72">
        <w:rPr>
          <w:i/>
          <w:iCs/>
          <w:szCs w:val="26"/>
        </w:rPr>
        <w:t>are</w:t>
      </w:r>
      <w:r w:rsidR="0018433B" w:rsidRPr="006D7DF3">
        <w:rPr>
          <w:szCs w:val="26"/>
        </w:rPr>
        <w:t xml:space="preserve"> </w:t>
      </w:r>
      <w:r w:rsidR="0018433B" w:rsidRPr="00BC3F72">
        <w:rPr>
          <w:szCs w:val="25"/>
        </w:rPr>
        <w:t>strong enough to bend 43-45b to their common theme of judging others</w:t>
      </w:r>
      <w:r w:rsidR="006F304D" w:rsidRPr="006F304D">
        <w:rPr>
          <w:szCs w:val="25"/>
        </w:rPr>
        <w:t xml:space="preserve">, </w:t>
      </w:r>
      <w:r w:rsidR="0018433B" w:rsidRPr="00BC3F72">
        <w:rPr>
          <w:szCs w:val="25"/>
        </w:rPr>
        <w:t xml:space="preserve">in which case the sermon’s middle will consist of 27-36 and 37-45; or they are </w:t>
      </w:r>
      <w:r w:rsidR="0018433B" w:rsidRPr="00BC3F72">
        <w:rPr>
          <w:i/>
          <w:iCs/>
          <w:szCs w:val="25"/>
        </w:rPr>
        <w:t>not</w:t>
      </w:r>
      <w:r w:rsidR="0018433B" w:rsidRPr="006D7DF3">
        <w:rPr>
          <w:szCs w:val="25"/>
        </w:rPr>
        <w:t xml:space="preserve"> </w:t>
      </w:r>
      <w:r w:rsidR="0018433B" w:rsidRPr="00BC3F72">
        <w:rPr>
          <w:szCs w:val="25"/>
        </w:rPr>
        <w:t>strong enough</w:t>
      </w:r>
      <w:r w:rsidR="006F304D" w:rsidRPr="006F304D">
        <w:rPr>
          <w:szCs w:val="25"/>
        </w:rPr>
        <w:t xml:space="preserve">, </w:t>
      </w:r>
      <w:r w:rsidR="0018433B" w:rsidRPr="00BC3F72">
        <w:rPr>
          <w:szCs w:val="25"/>
        </w:rPr>
        <w:t>in which case the sermon’s middle will consist of 27-36</w:t>
      </w:r>
      <w:r w:rsidR="006F304D" w:rsidRPr="006F304D">
        <w:rPr>
          <w:szCs w:val="25"/>
        </w:rPr>
        <w:t xml:space="preserve">, </w:t>
      </w:r>
      <w:r w:rsidR="0018433B" w:rsidRPr="00BC3F72">
        <w:rPr>
          <w:szCs w:val="25"/>
        </w:rPr>
        <w:t>37-42</w:t>
      </w:r>
      <w:r w:rsidR="006F304D" w:rsidRPr="006F304D">
        <w:rPr>
          <w:szCs w:val="25"/>
        </w:rPr>
        <w:t xml:space="preserve">, </w:t>
      </w:r>
      <w:r w:rsidR="0018433B" w:rsidRPr="00BC3F72">
        <w:rPr>
          <w:szCs w:val="25"/>
        </w:rPr>
        <w:t>and 43-45.</w:t>
      </w:r>
    </w:p>
    <w:p w14:paraId="322FAE6E" w14:textId="759C6B3D" w:rsidR="0018433B" w:rsidRPr="006D7DF3" w:rsidRDefault="006D7DF3" w:rsidP="0018433B">
      <w:pPr>
        <w:pStyle w:val="Style"/>
        <w:widowControl/>
        <w:jc w:val="both"/>
        <w:textAlignment w:val="baseline"/>
        <w:rPr>
          <w:szCs w:val="25"/>
        </w:rPr>
      </w:pPr>
      <w:r>
        <w:rPr>
          <w:szCs w:val="25"/>
        </w:rPr>
        <w:tab/>
      </w:r>
      <w:r w:rsidR="0018433B" w:rsidRPr="00BC3F72">
        <w:rPr>
          <w:szCs w:val="25"/>
        </w:rPr>
        <w:t>Only a few commentators adopt the former alternative</w:t>
      </w:r>
      <w:r w:rsidR="0018433B" w:rsidRPr="00F624D6">
        <w:rPr>
          <w:szCs w:val="25"/>
        </w:rPr>
        <w:t>—</w:t>
      </w:r>
      <w:r w:rsidR="0018433B" w:rsidRPr="00BC3F72">
        <w:rPr>
          <w:szCs w:val="25"/>
        </w:rPr>
        <w:t>among them H.K.</w:t>
      </w:r>
      <w:r>
        <w:rPr>
          <w:szCs w:val="25"/>
        </w:rPr>
        <w:t xml:space="preserve"> </w:t>
      </w:r>
      <w:r w:rsidR="0018433B" w:rsidRPr="00BC3F72">
        <w:rPr>
          <w:szCs w:val="25"/>
        </w:rPr>
        <w:t>Luce and</w:t>
      </w:r>
      <w:r w:rsidR="006F304D" w:rsidRPr="006F304D">
        <w:rPr>
          <w:szCs w:val="25"/>
        </w:rPr>
        <w:t xml:space="preserve">, </w:t>
      </w:r>
      <w:r w:rsidR="0018433B" w:rsidRPr="00BC3F72">
        <w:rPr>
          <w:szCs w:val="25"/>
        </w:rPr>
        <w:t>more recently</w:t>
      </w:r>
      <w:r w:rsidR="006F304D" w:rsidRPr="006F304D">
        <w:rPr>
          <w:szCs w:val="25"/>
        </w:rPr>
        <w:t xml:space="preserve">, </w:t>
      </w:r>
      <w:r w:rsidR="0018433B" w:rsidRPr="00BC3F72">
        <w:rPr>
          <w:szCs w:val="25"/>
        </w:rPr>
        <w:t>Joseph Fitzmyer. Luce entitles the overarching section</w:t>
      </w:r>
      <w:r w:rsidR="006F304D" w:rsidRPr="006F304D">
        <w:rPr>
          <w:szCs w:val="25"/>
        </w:rPr>
        <w:t xml:space="preserve">, </w:t>
      </w:r>
      <w:r w:rsidR="0018433B" w:rsidRPr="00BC3F72">
        <w:rPr>
          <w:szCs w:val="25"/>
        </w:rPr>
        <w:t>37- 45</w:t>
      </w:r>
      <w:r w:rsidR="006F304D" w:rsidRPr="006F304D">
        <w:rPr>
          <w:szCs w:val="25"/>
        </w:rPr>
        <w:t xml:space="preserve">, </w:t>
      </w:r>
      <w:r>
        <w:rPr>
          <w:szCs w:val="25"/>
        </w:rPr>
        <w:t>“</w:t>
      </w:r>
      <w:r w:rsidR="0018433B" w:rsidRPr="00BC3F72">
        <w:rPr>
          <w:szCs w:val="25"/>
        </w:rPr>
        <w:t>self-criticism.</w:t>
      </w:r>
      <w:r>
        <w:rPr>
          <w:szCs w:val="25"/>
        </w:rPr>
        <w:t>”</w:t>
      </w:r>
      <w:r>
        <w:rPr>
          <w:rStyle w:val="FootnoteReference"/>
          <w:szCs w:val="25"/>
        </w:rPr>
        <w:footnoteReference w:id="686"/>
      </w:r>
      <w:r w:rsidR="00775F9B" w:rsidRPr="00775F9B">
        <w:rPr>
          <w:iCs/>
          <w:szCs w:val="25"/>
        </w:rPr>
        <w:t xml:space="preserve"> </w:t>
      </w:r>
      <w:r w:rsidR="0018433B" w:rsidRPr="00BC3F72">
        <w:rPr>
          <w:szCs w:val="25"/>
        </w:rPr>
        <w:t>He does not discuss his reasons for outlining as he does</w:t>
      </w:r>
      <w:r w:rsidR="006F304D" w:rsidRPr="006F304D">
        <w:rPr>
          <w:szCs w:val="25"/>
        </w:rPr>
        <w:t xml:space="preserve">, </w:t>
      </w:r>
      <w:r w:rsidR="0018433B" w:rsidRPr="00BC3F72">
        <w:rPr>
          <w:szCs w:val="25"/>
        </w:rPr>
        <w:t>but he remarks</w:t>
      </w:r>
      <w:r w:rsidR="006F304D" w:rsidRPr="006F304D">
        <w:rPr>
          <w:szCs w:val="25"/>
        </w:rPr>
        <w:t xml:space="preserve">, </w:t>
      </w:r>
      <w:r w:rsidR="0018433B" w:rsidRPr="00BC3F72">
        <w:rPr>
          <w:szCs w:val="25"/>
        </w:rPr>
        <w:t>concerning verses 43-45: “The general sense of these verses [43-45]</w:t>
      </w:r>
      <w:r w:rsidR="006F304D" w:rsidRPr="006F304D">
        <w:rPr>
          <w:szCs w:val="25"/>
        </w:rPr>
        <w:t xml:space="preserve">, </w:t>
      </w:r>
      <w:r w:rsidR="0018433B" w:rsidRPr="00BC3F72">
        <w:rPr>
          <w:szCs w:val="25"/>
        </w:rPr>
        <w:t xml:space="preserve">as Luke has interpreted them in connection with </w:t>
      </w:r>
      <w:r w:rsidR="0018433B" w:rsidRPr="00BC3F72">
        <w:rPr>
          <w:i/>
          <w:iCs/>
          <w:szCs w:val="25"/>
        </w:rPr>
        <w:t>vv</w:t>
      </w:r>
      <w:r w:rsidR="0018433B" w:rsidRPr="00BC3F72">
        <w:rPr>
          <w:iCs/>
          <w:szCs w:val="25"/>
        </w:rPr>
        <w:t xml:space="preserve">. </w:t>
      </w:r>
      <w:r w:rsidR="0018433B" w:rsidRPr="00BC3F72">
        <w:rPr>
          <w:szCs w:val="25"/>
        </w:rPr>
        <w:t>37-42</w:t>
      </w:r>
      <w:r w:rsidR="006F304D" w:rsidRPr="006F304D">
        <w:rPr>
          <w:szCs w:val="25"/>
        </w:rPr>
        <w:t xml:space="preserve">, </w:t>
      </w:r>
      <w:r w:rsidR="0018433B" w:rsidRPr="00BC3F72">
        <w:rPr>
          <w:szCs w:val="25"/>
        </w:rPr>
        <w:t xml:space="preserve">is the importance of good character as a preliminary to helping </w:t>
      </w:r>
      <w:proofErr w:type="spellStart"/>
      <w:r w:rsidR="0018433B" w:rsidRPr="00BC3F72">
        <w:rPr>
          <w:szCs w:val="25"/>
        </w:rPr>
        <w:t>any one</w:t>
      </w:r>
      <w:proofErr w:type="spellEnd"/>
      <w:r w:rsidR="0018433B" w:rsidRPr="00BC3F72">
        <w:rPr>
          <w:szCs w:val="25"/>
        </w:rPr>
        <w:t xml:space="preserve"> else.</w:t>
      </w:r>
      <w:r>
        <w:rPr>
          <w:szCs w:val="25"/>
        </w:rPr>
        <w:t>”</w:t>
      </w:r>
      <w:r>
        <w:rPr>
          <w:rStyle w:val="FootnoteReference"/>
          <w:szCs w:val="25"/>
        </w:rPr>
        <w:footnoteReference w:id="687"/>
      </w:r>
    </w:p>
    <w:p w14:paraId="6A4375C5" w14:textId="1B9BAE49" w:rsidR="0018433B" w:rsidRPr="00BC3F72" w:rsidRDefault="006D7DF3" w:rsidP="0018433B">
      <w:pPr>
        <w:pStyle w:val="Style"/>
        <w:widowControl/>
        <w:jc w:val="both"/>
        <w:textAlignment w:val="baseline"/>
        <w:rPr>
          <w:szCs w:val="25"/>
        </w:rPr>
      </w:pPr>
      <w:r>
        <w:rPr>
          <w:szCs w:val="25"/>
        </w:rPr>
        <w:tab/>
      </w:r>
      <w:r w:rsidR="0018433B" w:rsidRPr="00BC3F72">
        <w:rPr>
          <w:szCs w:val="25"/>
        </w:rPr>
        <w:t>Like virtually all commentators on the sermon</w:t>
      </w:r>
      <w:r w:rsidR="006F304D" w:rsidRPr="006F304D">
        <w:rPr>
          <w:szCs w:val="25"/>
        </w:rPr>
        <w:t xml:space="preserve">, </w:t>
      </w:r>
      <w:proofErr w:type="spellStart"/>
      <w:r w:rsidR="0018433B" w:rsidRPr="00BC3F72">
        <w:rPr>
          <w:szCs w:val="25"/>
        </w:rPr>
        <w:t>Fitzmyer</w:t>
      </w:r>
      <w:proofErr w:type="spellEnd"/>
      <w:r w:rsidR="0018433B" w:rsidRPr="00BC3F72">
        <w:rPr>
          <w:szCs w:val="25"/>
        </w:rPr>
        <w:t xml:space="preserve"> distinguishes between its introduction (20-26)</w:t>
      </w:r>
      <w:r w:rsidR="006F304D" w:rsidRPr="006F304D">
        <w:rPr>
          <w:szCs w:val="25"/>
        </w:rPr>
        <w:t xml:space="preserve">, </w:t>
      </w:r>
      <w:r w:rsidR="0018433B" w:rsidRPr="00BC3F72">
        <w:rPr>
          <w:szCs w:val="25"/>
        </w:rPr>
        <w:t xml:space="preserve">conclusion </w:t>
      </w:r>
      <w:r w:rsidR="0018433B">
        <w:rPr>
          <w:szCs w:val="25"/>
        </w:rPr>
        <w:t>(</w:t>
      </w:r>
      <w:r w:rsidR="0018433B" w:rsidRPr="00BC3F72">
        <w:rPr>
          <w:szCs w:val="25"/>
        </w:rPr>
        <w:t>46-49)</w:t>
      </w:r>
      <w:r w:rsidR="006F304D" w:rsidRPr="006F304D">
        <w:rPr>
          <w:szCs w:val="25"/>
        </w:rPr>
        <w:t xml:space="preserve">, </w:t>
      </w:r>
      <w:r w:rsidR="0018433B" w:rsidRPr="00BC3F72">
        <w:rPr>
          <w:szCs w:val="25"/>
        </w:rPr>
        <w:t xml:space="preserve">and </w:t>
      </w:r>
      <w:r>
        <w:rPr>
          <w:szCs w:val="25"/>
        </w:rPr>
        <w:t>“</w:t>
      </w:r>
      <w:r w:rsidR="0018433B" w:rsidRPr="00BC3F72">
        <w:rPr>
          <w:szCs w:val="25"/>
        </w:rPr>
        <w:t>middle section</w:t>
      </w:r>
      <w:r>
        <w:rPr>
          <w:szCs w:val="25"/>
        </w:rPr>
        <w:t>”</w:t>
      </w:r>
      <w:r w:rsidR="0018433B" w:rsidRPr="00BC3F72">
        <w:rPr>
          <w:szCs w:val="25"/>
        </w:rPr>
        <w:t xml:space="preserve"> (27-45)</w:t>
      </w:r>
      <w:r>
        <w:rPr>
          <w:rStyle w:val="FootnoteReference"/>
          <w:szCs w:val="25"/>
        </w:rPr>
        <w:footnoteReference w:id="688"/>
      </w:r>
      <w:r w:rsidR="0018433B" w:rsidRPr="00BC3F72">
        <w:rPr>
          <w:szCs w:val="21"/>
        </w:rPr>
        <w:t xml:space="preserve">; </w:t>
      </w:r>
      <w:r w:rsidR="0018433B" w:rsidRPr="00BC3F72">
        <w:rPr>
          <w:szCs w:val="25"/>
        </w:rPr>
        <w:t>but he subdivides 27-45 into two subsections</w:t>
      </w:r>
      <w:r w:rsidR="006F304D" w:rsidRPr="006F304D">
        <w:rPr>
          <w:szCs w:val="25"/>
        </w:rPr>
        <w:t xml:space="preserve">, </w:t>
      </w:r>
      <w:r w:rsidR="0018433B" w:rsidRPr="00BC3F72">
        <w:rPr>
          <w:szCs w:val="25"/>
        </w:rPr>
        <w:t>27-36</w:t>
      </w:r>
      <w:r w:rsidR="006F304D" w:rsidRPr="006F304D">
        <w:rPr>
          <w:szCs w:val="25"/>
        </w:rPr>
        <w:t xml:space="preserve">, </w:t>
      </w:r>
      <w:r>
        <w:rPr>
          <w:szCs w:val="25"/>
        </w:rPr>
        <w:t>“</w:t>
      </w:r>
      <w:r w:rsidR="0018433B" w:rsidRPr="00BC3F72">
        <w:rPr>
          <w:szCs w:val="25"/>
        </w:rPr>
        <w:t>love of one’s enemies,” and 37-45</w:t>
      </w:r>
      <w:r w:rsidR="006F304D" w:rsidRPr="006F304D">
        <w:rPr>
          <w:szCs w:val="25"/>
        </w:rPr>
        <w:t xml:space="preserve">, </w:t>
      </w:r>
      <w:r w:rsidR="0018433B" w:rsidRPr="00BC3F72">
        <w:rPr>
          <w:szCs w:val="25"/>
        </w:rPr>
        <w:t>“demands regarding Christians among themselves” (a subject which</w:t>
      </w:r>
      <w:r w:rsidR="006F304D" w:rsidRPr="006F304D">
        <w:rPr>
          <w:szCs w:val="25"/>
        </w:rPr>
        <w:t xml:space="preserve">, </w:t>
      </w:r>
      <w:r w:rsidR="0018433B" w:rsidRPr="00BC3F72">
        <w:rPr>
          <w:szCs w:val="25"/>
        </w:rPr>
        <w:t>he says</w:t>
      </w:r>
      <w:r w:rsidR="006F304D" w:rsidRPr="006F304D">
        <w:rPr>
          <w:szCs w:val="25"/>
        </w:rPr>
        <w:t xml:space="preserve">, </w:t>
      </w:r>
      <w:r w:rsidR="0018433B" w:rsidRPr="00BC3F72">
        <w:rPr>
          <w:szCs w:val="25"/>
        </w:rPr>
        <w:t>has “a wider scope” than 27-36).</w:t>
      </w:r>
      <w:r>
        <w:rPr>
          <w:rStyle w:val="FootnoteReference"/>
          <w:szCs w:val="25"/>
        </w:rPr>
        <w:footnoteReference w:id="689"/>
      </w:r>
      <w:r w:rsidR="00775F9B" w:rsidRPr="00775F9B">
        <w:rPr>
          <w:iCs/>
          <w:szCs w:val="25"/>
        </w:rPr>
        <w:t xml:space="preserve"> </w:t>
      </w:r>
      <w:proofErr w:type="spellStart"/>
      <w:r w:rsidR="0018433B" w:rsidRPr="00BC3F72">
        <w:rPr>
          <w:szCs w:val="25"/>
        </w:rPr>
        <w:t>Fitzmyer</w:t>
      </w:r>
      <w:proofErr w:type="spellEnd"/>
      <w:r w:rsidR="0018433B" w:rsidRPr="00BC3F72">
        <w:rPr>
          <w:szCs w:val="25"/>
        </w:rPr>
        <w:t xml:space="preserve"> justifies inclusion of 43-45 with 37-42 as follows.</w:t>
      </w:r>
    </w:p>
    <w:p w14:paraId="15382C80" w14:textId="77777777" w:rsidR="006D7DF3" w:rsidRDefault="006D7DF3" w:rsidP="0018433B">
      <w:pPr>
        <w:pStyle w:val="Style"/>
        <w:widowControl/>
        <w:jc w:val="both"/>
        <w:textAlignment w:val="baseline"/>
        <w:rPr>
          <w:szCs w:val="25"/>
        </w:rPr>
      </w:pPr>
    </w:p>
    <w:p w14:paraId="3909EF2B" w14:textId="382E0AF5" w:rsidR="0018433B" w:rsidRPr="00BC3F72" w:rsidRDefault="0018433B" w:rsidP="006D7DF3">
      <w:pPr>
        <w:pStyle w:val="Style"/>
        <w:widowControl/>
        <w:ind w:left="720" w:right="720"/>
        <w:jc w:val="both"/>
        <w:textAlignment w:val="baseline"/>
        <w:rPr>
          <w:szCs w:val="2"/>
          <w:vertAlign w:val="superscript"/>
        </w:rPr>
      </w:pPr>
      <w:r w:rsidRPr="00BC3F72">
        <w:rPr>
          <w:szCs w:val="25"/>
        </w:rPr>
        <w:t>A connection between this section [43-45] and the preceding [37-42] is not hard to discern: An evil person cannot bring others to good conduct through criticism alone; one’s deeds must precede and reveal that one is really good.</w:t>
      </w:r>
      <w:r w:rsidR="00523F00">
        <w:rPr>
          <w:rStyle w:val="FootnoteReference"/>
          <w:szCs w:val="25"/>
        </w:rPr>
        <w:footnoteReference w:id="690"/>
      </w:r>
    </w:p>
    <w:p w14:paraId="2B0AC038" w14:textId="77777777" w:rsidR="006D7DF3" w:rsidRDefault="006D7DF3" w:rsidP="0018433B">
      <w:pPr>
        <w:pStyle w:val="Style"/>
        <w:widowControl/>
        <w:jc w:val="both"/>
        <w:textAlignment w:val="baseline"/>
        <w:rPr>
          <w:szCs w:val="25"/>
        </w:rPr>
      </w:pPr>
    </w:p>
    <w:p w14:paraId="17CDE0FD" w14:textId="26A58670" w:rsidR="0018433B" w:rsidRPr="00BC3F72" w:rsidRDefault="0018433B" w:rsidP="0018433B">
      <w:pPr>
        <w:pStyle w:val="Style"/>
        <w:widowControl/>
        <w:jc w:val="both"/>
        <w:textAlignment w:val="baseline"/>
        <w:rPr>
          <w:szCs w:val="25"/>
        </w:rPr>
      </w:pPr>
      <w:r w:rsidRPr="00BC3F72">
        <w:rPr>
          <w:szCs w:val="25"/>
        </w:rPr>
        <w:t>This is</w:t>
      </w:r>
      <w:r w:rsidR="006F304D" w:rsidRPr="006F304D">
        <w:rPr>
          <w:szCs w:val="25"/>
        </w:rPr>
        <w:t xml:space="preserve">, </w:t>
      </w:r>
      <w:r w:rsidRPr="00BC3F72">
        <w:rPr>
          <w:szCs w:val="25"/>
        </w:rPr>
        <w:t>of course</w:t>
      </w:r>
      <w:r w:rsidR="006F304D" w:rsidRPr="006F304D">
        <w:rPr>
          <w:szCs w:val="25"/>
        </w:rPr>
        <w:t xml:space="preserve">, </w:t>
      </w:r>
      <w:r w:rsidRPr="00BC3F72">
        <w:rPr>
          <w:szCs w:val="25"/>
        </w:rPr>
        <w:t xml:space="preserve">the understanding of 43-45 that most three-part-middle outliners adopt; but only </w:t>
      </w:r>
      <w:proofErr w:type="spellStart"/>
      <w:r w:rsidRPr="00BC3F72">
        <w:rPr>
          <w:szCs w:val="25"/>
        </w:rPr>
        <w:t>Fitzmyer</w:t>
      </w:r>
      <w:proofErr w:type="spellEnd"/>
      <w:r w:rsidRPr="00BC3F72">
        <w:rPr>
          <w:szCs w:val="25"/>
        </w:rPr>
        <w:t xml:space="preserve"> and a few others draw the logical conclusion from that</w:t>
      </w:r>
      <w:r w:rsidR="006D7DF3">
        <w:rPr>
          <w:szCs w:val="25"/>
        </w:rPr>
        <w:t xml:space="preserve"> </w:t>
      </w:r>
      <w:r w:rsidRPr="00BC3F72">
        <w:rPr>
          <w:szCs w:val="25"/>
        </w:rPr>
        <w:t>understanding</w:t>
      </w:r>
      <w:r w:rsidR="006F304D" w:rsidRPr="006F304D">
        <w:rPr>
          <w:szCs w:val="25"/>
        </w:rPr>
        <w:t xml:space="preserve">, </w:t>
      </w:r>
      <w:r w:rsidRPr="00BC3F72">
        <w:rPr>
          <w:szCs w:val="25"/>
        </w:rPr>
        <w:t>viz.</w:t>
      </w:r>
      <w:r w:rsidR="006F304D" w:rsidRPr="006F304D">
        <w:rPr>
          <w:szCs w:val="25"/>
        </w:rPr>
        <w:t xml:space="preserve">, </w:t>
      </w:r>
      <w:r w:rsidRPr="00BC3F72">
        <w:rPr>
          <w:szCs w:val="25"/>
        </w:rPr>
        <w:t xml:space="preserve">that 43-45 is therefore a subordinate part of 37-45. </w:t>
      </w:r>
      <w:proofErr w:type="spellStart"/>
      <w:r w:rsidRPr="00BC3F72">
        <w:rPr>
          <w:szCs w:val="25"/>
        </w:rPr>
        <w:t>Fitzmyer</w:t>
      </w:r>
      <w:proofErr w:type="spellEnd"/>
      <w:r w:rsidR="00523F00">
        <w:rPr>
          <w:szCs w:val="25"/>
        </w:rPr>
        <w:t xml:space="preserve"> </w:t>
      </w:r>
      <w:r w:rsidRPr="00BC3F72">
        <w:rPr>
          <w:szCs w:val="25"/>
        </w:rPr>
        <w:t>subdivides 37-45</w:t>
      </w:r>
      <w:r w:rsidR="006F304D" w:rsidRPr="006F304D">
        <w:rPr>
          <w:szCs w:val="25"/>
        </w:rPr>
        <w:t xml:space="preserve">, </w:t>
      </w:r>
      <w:r w:rsidRPr="00BC3F72">
        <w:rPr>
          <w:szCs w:val="25"/>
        </w:rPr>
        <w:t>quite logically</w:t>
      </w:r>
      <w:r w:rsidR="006F304D" w:rsidRPr="006F304D">
        <w:rPr>
          <w:szCs w:val="25"/>
        </w:rPr>
        <w:t xml:space="preserve">, </w:t>
      </w:r>
      <w:r w:rsidRPr="00BC3F72">
        <w:rPr>
          <w:szCs w:val="25"/>
        </w:rPr>
        <w:t>into 37-38</w:t>
      </w:r>
      <w:r w:rsidR="006F304D" w:rsidRPr="006F304D">
        <w:rPr>
          <w:szCs w:val="25"/>
        </w:rPr>
        <w:t xml:space="preserve">, </w:t>
      </w:r>
      <w:r w:rsidRPr="00BC3F72">
        <w:rPr>
          <w:szCs w:val="25"/>
        </w:rPr>
        <w:t>39-40</w:t>
      </w:r>
      <w:r w:rsidR="006F304D" w:rsidRPr="006F304D">
        <w:rPr>
          <w:szCs w:val="25"/>
        </w:rPr>
        <w:t xml:space="preserve">, </w:t>
      </w:r>
      <w:r w:rsidRPr="00BC3F72">
        <w:rPr>
          <w:szCs w:val="25"/>
        </w:rPr>
        <w:t>41-42</w:t>
      </w:r>
      <w:r w:rsidR="006F304D" w:rsidRPr="006F304D">
        <w:rPr>
          <w:szCs w:val="25"/>
        </w:rPr>
        <w:t xml:space="preserve">, </w:t>
      </w:r>
      <w:r w:rsidRPr="00BC3F72">
        <w:rPr>
          <w:szCs w:val="25"/>
        </w:rPr>
        <w:t>and 43-45.</w:t>
      </w:r>
    </w:p>
    <w:p w14:paraId="4DA69E16" w14:textId="1964B1D9" w:rsidR="0018433B" w:rsidRPr="00BC3F72" w:rsidRDefault="00523F00" w:rsidP="0018433B">
      <w:pPr>
        <w:pStyle w:val="Style"/>
        <w:widowControl/>
        <w:jc w:val="both"/>
        <w:textAlignment w:val="baseline"/>
        <w:rPr>
          <w:szCs w:val="25"/>
        </w:rPr>
      </w:pPr>
      <w:r>
        <w:rPr>
          <w:szCs w:val="25"/>
        </w:rPr>
        <w:tab/>
      </w:r>
      <w:r w:rsidR="0018433B" w:rsidRPr="00BC3F72">
        <w:rPr>
          <w:szCs w:val="25"/>
        </w:rPr>
        <w:t>Curiously enough</w:t>
      </w:r>
      <w:r w:rsidR="006F304D" w:rsidRPr="006F304D">
        <w:rPr>
          <w:szCs w:val="25"/>
        </w:rPr>
        <w:t xml:space="preserve">, </w:t>
      </w:r>
      <w:r w:rsidR="0018433B" w:rsidRPr="00BC3F72">
        <w:rPr>
          <w:szCs w:val="25"/>
        </w:rPr>
        <w:t>however</w:t>
      </w:r>
      <w:r w:rsidR="006F304D" w:rsidRPr="006F304D">
        <w:rPr>
          <w:szCs w:val="25"/>
        </w:rPr>
        <w:t xml:space="preserve">, </w:t>
      </w:r>
      <w:proofErr w:type="spellStart"/>
      <w:r w:rsidR="0018433B" w:rsidRPr="00BC3F72">
        <w:rPr>
          <w:szCs w:val="25"/>
        </w:rPr>
        <w:t>Fitzmyer</w:t>
      </w:r>
      <w:proofErr w:type="spellEnd"/>
      <w:r w:rsidR="0018433B" w:rsidRPr="00BC3F72">
        <w:rPr>
          <w:szCs w:val="25"/>
        </w:rPr>
        <w:t xml:space="preserve"> contradicts this outline with another that</w:t>
      </w:r>
      <w:r>
        <w:rPr>
          <w:szCs w:val="25"/>
        </w:rPr>
        <w:t xml:space="preserve"> </w:t>
      </w:r>
      <w:r w:rsidR="0018433B" w:rsidRPr="00BC3F72">
        <w:rPr>
          <w:szCs w:val="25"/>
        </w:rPr>
        <w:t>he presents elsewhere in his commentary.</w:t>
      </w:r>
    </w:p>
    <w:p w14:paraId="070AB3F1" w14:textId="77777777" w:rsidR="00523F00" w:rsidRDefault="00523F00" w:rsidP="0018433B">
      <w:pPr>
        <w:pStyle w:val="Style"/>
        <w:widowControl/>
        <w:jc w:val="both"/>
        <w:textAlignment w:val="baseline"/>
        <w:rPr>
          <w:szCs w:val="25"/>
        </w:rPr>
      </w:pPr>
    </w:p>
    <w:p w14:paraId="73DE42B0" w14:textId="77777777" w:rsidR="00523F00" w:rsidRDefault="0018433B" w:rsidP="00523F00">
      <w:pPr>
        <w:pStyle w:val="Style"/>
        <w:widowControl/>
        <w:ind w:left="720"/>
        <w:jc w:val="both"/>
        <w:textAlignment w:val="baseline"/>
        <w:rPr>
          <w:szCs w:val="25"/>
        </w:rPr>
      </w:pPr>
      <w:r w:rsidRPr="00EE2A2F">
        <w:rPr>
          <w:szCs w:val="25"/>
        </w:rPr>
        <w:t>. . .</w:t>
      </w:r>
      <w:r w:rsidRPr="00BC3F72">
        <w:rPr>
          <w:szCs w:val="25"/>
        </w:rPr>
        <w:t xml:space="preserve"> the Lucan sermon </w:t>
      </w:r>
      <w:r w:rsidRPr="00EE2A2F">
        <w:rPr>
          <w:szCs w:val="25"/>
        </w:rPr>
        <w:t>. . .</w:t>
      </w:r>
      <w:r w:rsidRPr="00BC3F72">
        <w:rPr>
          <w:szCs w:val="25"/>
        </w:rPr>
        <w:t xml:space="preserve"> can be outlined as follows:</w:t>
      </w:r>
    </w:p>
    <w:p w14:paraId="1EC3DCA9" w14:textId="77777777" w:rsidR="00523F00" w:rsidRDefault="0018433B" w:rsidP="00523F00">
      <w:pPr>
        <w:pStyle w:val="Style"/>
        <w:widowControl/>
        <w:ind w:left="720"/>
        <w:jc w:val="both"/>
        <w:textAlignment w:val="baseline"/>
        <w:rPr>
          <w:szCs w:val="25"/>
        </w:rPr>
      </w:pPr>
      <w:r w:rsidRPr="00BC3F72">
        <w:rPr>
          <w:szCs w:val="25"/>
        </w:rPr>
        <w:t>(1) Exordium (four beatitudes and four woes</w:t>
      </w:r>
      <w:r w:rsidR="006F304D" w:rsidRPr="006F304D">
        <w:rPr>
          <w:szCs w:val="25"/>
        </w:rPr>
        <w:t xml:space="preserve">, </w:t>
      </w:r>
      <w:r w:rsidRPr="00BC3F72">
        <w:rPr>
          <w:szCs w:val="25"/>
        </w:rPr>
        <w:t>6:20-26);</w:t>
      </w:r>
    </w:p>
    <w:p w14:paraId="0C0B91FB" w14:textId="1F51C373" w:rsidR="0018433B" w:rsidRPr="00BC3F72" w:rsidRDefault="0018433B" w:rsidP="00523F00">
      <w:pPr>
        <w:pStyle w:val="Style"/>
        <w:widowControl/>
        <w:ind w:left="720"/>
        <w:jc w:val="both"/>
        <w:textAlignment w:val="baseline"/>
        <w:rPr>
          <w:szCs w:val="25"/>
        </w:rPr>
      </w:pPr>
      <w:r w:rsidRPr="00BC3F72">
        <w:rPr>
          <w:szCs w:val="25"/>
        </w:rPr>
        <w:t>(2) love even your enemies (6:27-36);</w:t>
      </w:r>
    </w:p>
    <w:p w14:paraId="32EBF172" w14:textId="77777777" w:rsidR="0018433B" w:rsidRPr="00BC3F72" w:rsidRDefault="0018433B" w:rsidP="00523F00">
      <w:pPr>
        <w:pStyle w:val="Style"/>
        <w:widowControl/>
        <w:ind w:left="720"/>
        <w:jc w:val="both"/>
        <w:textAlignment w:val="baseline"/>
        <w:rPr>
          <w:szCs w:val="25"/>
        </w:rPr>
      </w:pPr>
      <w:r w:rsidRPr="00BC3F72">
        <w:rPr>
          <w:szCs w:val="25"/>
        </w:rPr>
        <w:t>(3) judge not one another (6:37-42);</w:t>
      </w:r>
    </w:p>
    <w:p w14:paraId="209A8326" w14:textId="77777777" w:rsidR="0018433B" w:rsidRPr="00BC3F72" w:rsidRDefault="0018433B" w:rsidP="00523F00">
      <w:pPr>
        <w:pStyle w:val="Style"/>
        <w:widowControl/>
        <w:ind w:left="720"/>
        <w:jc w:val="both"/>
        <w:textAlignment w:val="baseline"/>
        <w:rPr>
          <w:szCs w:val="25"/>
        </w:rPr>
      </w:pPr>
      <w:r>
        <w:rPr>
          <w:szCs w:val="25"/>
        </w:rPr>
        <w:t>(</w:t>
      </w:r>
      <w:r w:rsidRPr="00BC3F72">
        <w:rPr>
          <w:szCs w:val="25"/>
        </w:rPr>
        <w:t>4) the role of good deeds (6:43-45);</w:t>
      </w:r>
    </w:p>
    <w:p w14:paraId="62A60F63" w14:textId="4B6A46CF" w:rsidR="0018433B" w:rsidRDefault="0018433B" w:rsidP="00523F00">
      <w:pPr>
        <w:pStyle w:val="Style"/>
        <w:widowControl/>
        <w:ind w:left="720"/>
        <w:jc w:val="both"/>
        <w:textAlignment w:val="baseline"/>
        <w:rPr>
          <w:szCs w:val="25"/>
        </w:rPr>
      </w:pPr>
      <w:r w:rsidRPr="00BC3F72">
        <w:rPr>
          <w:szCs w:val="25"/>
        </w:rPr>
        <w:t>(</w:t>
      </w:r>
      <w:r w:rsidR="00523F00">
        <w:rPr>
          <w:szCs w:val="25"/>
        </w:rPr>
        <w:t>5</w:t>
      </w:r>
      <w:r w:rsidRPr="00BC3F72">
        <w:rPr>
          <w:szCs w:val="25"/>
        </w:rPr>
        <w:t>) the need to act on these words (with a parable</w:t>
      </w:r>
      <w:r w:rsidR="006F304D" w:rsidRPr="006F304D">
        <w:rPr>
          <w:szCs w:val="25"/>
        </w:rPr>
        <w:t xml:space="preserve">, </w:t>
      </w:r>
      <w:r w:rsidRPr="00BC3F72">
        <w:rPr>
          <w:szCs w:val="25"/>
        </w:rPr>
        <w:t>6:46.49).</w:t>
      </w:r>
      <w:r w:rsidR="00523F00">
        <w:rPr>
          <w:rStyle w:val="FootnoteReference"/>
          <w:szCs w:val="25"/>
        </w:rPr>
        <w:footnoteReference w:id="691"/>
      </w:r>
    </w:p>
    <w:p w14:paraId="6ED07735" w14:textId="77777777" w:rsidR="00523F00" w:rsidRPr="00BC3F72" w:rsidRDefault="00523F00" w:rsidP="0018433B">
      <w:pPr>
        <w:pStyle w:val="Style"/>
        <w:widowControl/>
        <w:jc w:val="both"/>
        <w:textAlignment w:val="baseline"/>
        <w:rPr>
          <w:szCs w:val="25"/>
        </w:rPr>
      </w:pPr>
    </w:p>
    <w:p w14:paraId="1B0836A7" w14:textId="01D6BE38" w:rsidR="0018433B" w:rsidRPr="00BC3F72" w:rsidRDefault="0018433B" w:rsidP="0018433B">
      <w:pPr>
        <w:pStyle w:val="Style"/>
        <w:widowControl/>
        <w:jc w:val="both"/>
        <w:textAlignment w:val="baseline"/>
        <w:rPr>
          <w:szCs w:val="25"/>
        </w:rPr>
      </w:pPr>
      <w:r w:rsidRPr="00BC3F72">
        <w:rPr>
          <w:szCs w:val="25"/>
        </w:rPr>
        <w:t>Here 37-42 and 43-45 are two of the sermon’s five coordinate major sections; in the previous outline</w:t>
      </w:r>
      <w:r w:rsidR="006F304D" w:rsidRPr="006F304D">
        <w:rPr>
          <w:szCs w:val="25"/>
        </w:rPr>
        <w:t xml:space="preserve">, </w:t>
      </w:r>
      <w:r w:rsidRPr="00BC3F72">
        <w:rPr>
          <w:szCs w:val="25"/>
        </w:rPr>
        <w:t>37-42 and 43-45 are coordinate subsections within the same overarching section</w:t>
      </w:r>
      <w:r w:rsidR="006F304D" w:rsidRPr="006F304D">
        <w:rPr>
          <w:szCs w:val="25"/>
        </w:rPr>
        <w:t xml:space="preserve">, </w:t>
      </w:r>
      <w:r w:rsidRPr="00BC3F72">
        <w:rPr>
          <w:szCs w:val="25"/>
        </w:rPr>
        <w:t>37-45. This latter outline predominates in his commentary. Perhaps</w:t>
      </w:r>
      <w:r w:rsidR="006F304D" w:rsidRPr="006F304D">
        <w:rPr>
          <w:szCs w:val="25"/>
        </w:rPr>
        <w:t xml:space="preserve">, </w:t>
      </w:r>
      <w:r w:rsidRPr="00BC3F72">
        <w:rPr>
          <w:szCs w:val="25"/>
        </w:rPr>
        <w:t>then</w:t>
      </w:r>
      <w:r w:rsidR="006F304D" w:rsidRPr="006F304D">
        <w:rPr>
          <w:szCs w:val="25"/>
        </w:rPr>
        <w:t xml:space="preserve">, </w:t>
      </w:r>
      <w:r w:rsidRPr="00BC3F72">
        <w:rPr>
          <w:szCs w:val="25"/>
        </w:rPr>
        <w:t>the former outline</w:t>
      </w:r>
      <w:r w:rsidRPr="00F624D6">
        <w:rPr>
          <w:szCs w:val="25"/>
        </w:rPr>
        <w:t>—</w:t>
      </w:r>
      <w:r w:rsidRPr="00BC3F72">
        <w:rPr>
          <w:szCs w:val="25"/>
        </w:rPr>
        <w:t>Fitzmyer’s variation on the usual three-part middle structure</w:t>
      </w:r>
      <w:r w:rsidRPr="00F624D6">
        <w:rPr>
          <w:szCs w:val="25"/>
        </w:rPr>
        <w:t>—</w:t>
      </w:r>
      <w:r w:rsidRPr="00BC3F72">
        <w:rPr>
          <w:szCs w:val="25"/>
        </w:rPr>
        <w:t>is the result of mere inattention and was never intended to be a serious alternative. That would be unfortunate</w:t>
      </w:r>
      <w:r w:rsidR="006F304D" w:rsidRPr="006F304D">
        <w:rPr>
          <w:szCs w:val="25"/>
        </w:rPr>
        <w:t xml:space="preserve">, </w:t>
      </w:r>
      <w:r w:rsidRPr="00BC3F72">
        <w:rPr>
          <w:szCs w:val="25"/>
        </w:rPr>
        <w:t>for Fitzmyer’s former outline</w:t>
      </w:r>
      <w:r w:rsidR="006F304D" w:rsidRPr="006F304D">
        <w:rPr>
          <w:szCs w:val="25"/>
        </w:rPr>
        <w:t xml:space="preserve">, </w:t>
      </w:r>
      <w:r w:rsidRPr="00BC3F72">
        <w:rPr>
          <w:szCs w:val="25"/>
        </w:rPr>
        <w:t>given his explanation of 43-45</w:t>
      </w:r>
      <w:r w:rsidR="006F304D" w:rsidRPr="006F304D">
        <w:rPr>
          <w:szCs w:val="25"/>
        </w:rPr>
        <w:t xml:space="preserve">, </w:t>
      </w:r>
      <w:r w:rsidRPr="00BC3F72">
        <w:rPr>
          <w:szCs w:val="25"/>
        </w:rPr>
        <w:t>is in fact the more accurate.</w:t>
      </w:r>
      <w:r w:rsidR="00523F00">
        <w:rPr>
          <w:rStyle w:val="FootnoteReference"/>
          <w:szCs w:val="25"/>
        </w:rPr>
        <w:footnoteReference w:id="692"/>
      </w:r>
      <w:r w:rsidR="00775F9B" w:rsidRPr="00775F9B">
        <w:rPr>
          <w:iCs/>
          <w:szCs w:val="25"/>
        </w:rPr>
        <w:t xml:space="preserve"> </w:t>
      </w:r>
      <w:r w:rsidRPr="00BC3F72">
        <w:rPr>
          <w:szCs w:val="25"/>
        </w:rPr>
        <w:t>That continuity of theme</w:t>
      </w:r>
      <w:r w:rsidR="00523F00">
        <w:rPr>
          <w:szCs w:val="25"/>
        </w:rPr>
        <w:t xml:space="preserve"> </w:t>
      </w:r>
      <w:r w:rsidRPr="00BC3F72">
        <w:rPr>
          <w:szCs w:val="25"/>
        </w:rPr>
        <w:t>exists</w:t>
      </w:r>
      <w:r w:rsidR="006F304D" w:rsidRPr="006F304D">
        <w:rPr>
          <w:szCs w:val="25"/>
        </w:rPr>
        <w:t xml:space="preserve">, </w:t>
      </w:r>
      <w:r w:rsidRPr="00BC3F72">
        <w:rPr>
          <w:szCs w:val="25"/>
        </w:rPr>
        <w:t>all the way from verse 37 through verse 45</w:t>
      </w:r>
      <w:r w:rsidR="006F304D" w:rsidRPr="006F304D">
        <w:rPr>
          <w:szCs w:val="25"/>
        </w:rPr>
        <w:t xml:space="preserve">, </w:t>
      </w:r>
      <w:r w:rsidRPr="00BC3F72">
        <w:rPr>
          <w:szCs w:val="25"/>
        </w:rPr>
        <w:t>is even stated explicitly by</w:t>
      </w:r>
      <w:r w:rsidR="00310AB5">
        <w:rPr>
          <w:szCs w:val="25"/>
        </w:rPr>
        <w:t xml:space="preserve"> </w:t>
      </w:r>
      <w:r w:rsidRPr="00BC3F72">
        <w:rPr>
          <w:szCs w:val="25"/>
        </w:rPr>
        <w:t>Fitzmyer.</w:t>
      </w:r>
    </w:p>
    <w:p w14:paraId="4E24355D" w14:textId="77777777" w:rsidR="00E56A92" w:rsidRDefault="00E56A92" w:rsidP="0018433B">
      <w:pPr>
        <w:pStyle w:val="Style"/>
        <w:widowControl/>
        <w:jc w:val="both"/>
        <w:textAlignment w:val="baseline"/>
        <w:rPr>
          <w:szCs w:val="25"/>
        </w:rPr>
      </w:pPr>
    </w:p>
    <w:p w14:paraId="25255DEA" w14:textId="5707AB83" w:rsidR="0018433B" w:rsidRPr="00BC3F72" w:rsidRDefault="0018433B" w:rsidP="00E56A92">
      <w:pPr>
        <w:pStyle w:val="Style"/>
        <w:widowControl/>
        <w:ind w:left="720" w:right="720"/>
        <w:jc w:val="both"/>
        <w:textAlignment w:val="baseline"/>
        <w:rPr>
          <w:szCs w:val="2"/>
          <w:vertAlign w:val="superscript"/>
        </w:rPr>
      </w:pPr>
      <w:r w:rsidRPr="00BC3F72">
        <w:rPr>
          <w:szCs w:val="25"/>
        </w:rPr>
        <w:t>A connection between this section [43-45] and the preceding [37-42] is not hard to discern: An evil person cannot bring others to good conduct through criticism alone; one’s deeds must precede and reveal that one is really good.</w:t>
      </w:r>
      <w:r w:rsidR="00E56A92">
        <w:rPr>
          <w:rStyle w:val="FootnoteReference"/>
          <w:szCs w:val="25"/>
        </w:rPr>
        <w:footnoteReference w:id="693"/>
      </w:r>
    </w:p>
    <w:p w14:paraId="0F330311" w14:textId="77777777" w:rsidR="00E56A92" w:rsidRDefault="00E56A92" w:rsidP="0018433B">
      <w:pPr>
        <w:pStyle w:val="Style"/>
        <w:widowControl/>
        <w:jc w:val="both"/>
        <w:textAlignment w:val="baseline"/>
        <w:rPr>
          <w:szCs w:val="25"/>
        </w:rPr>
      </w:pPr>
    </w:p>
    <w:p w14:paraId="6926B74B" w14:textId="2D9AFFC2" w:rsidR="0018433B" w:rsidRPr="00BC3F72" w:rsidRDefault="00E56A92" w:rsidP="0018433B">
      <w:pPr>
        <w:pStyle w:val="Style"/>
        <w:widowControl/>
        <w:jc w:val="both"/>
        <w:textAlignment w:val="baseline"/>
        <w:rPr>
          <w:szCs w:val="25"/>
        </w:rPr>
      </w:pPr>
      <w:r>
        <w:rPr>
          <w:szCs w:val="25"/>
        </w:rPr>
        <w:tab/>
      </w:r>
      <w:r w:rsidR="0018433B" w:rsidRPr="00BC3F72">
        <w:rPr>
          <w:szCs w:val="25"/>
        </w:rPr>
        <w:t>The unity of 37-45 becomes even more obvious when one adds a final consid</w:t>
      </w:r>
      <w:r w:rsidR="0018433B" w:rsidRPr="00BC3F72">
        <w:rPr>
          <w:szCs w:val="25"/>
        </w:rPr>
        <w:softHyphen/>
        <w:t>eration</w:t>
      </w:r>
      <w:r>
        <w:rPr>
          <w:szCs w:val="25"/>
        </w:rPr>
        <w:t>. J</w:t>
      </w:r>
      <w:r w:rsidR="0018433B" w:rsidRPr="00BC3F72">
        <w:rPr>
          <w:szCs w:val="25"/>
        </w:rPr>
        <w:t>ust as we have seen that there is an overriding theme in the first part of the sermon’s middle (27-36)</w:t>
      </w:r>
      <w:r w:rsidR="006F304D" w:rsidRPr="006F304D">
        <w:rPr>
          <w:szCs w:val="25"/>
        </w:rPr>
        <w:t xml:space="preserve">, </w:t>
      </w:r>
      <w:r w:rsidR="0018433B" w:rsidRPr="00BC3F72">
        <w:rPr>
          <w:szCs w:val="25"/>
        </w:rPr>
        <w:t>namely</w:t>
      </w:r>
      <w:r w:rsidR="006F304D" w:rsidRPr="006F304D">
        <w:rPr>
          <w:szCs w:val="25"/>
        </w:rPr>
        <w:t xml:space="preserve">, </w:t>
      </w:r>
      <w:r w:rsidR="0018433B" w:rsidRPr="00BC3F72">
        <w:rPr>
          <w:szCs w:val="25"/>
        </w:rPr>
        <w:t>love of one’s enemies (a theme which does not extend beyond verse 36</w:t>
      </w:r>
      <w:r w:rsidR="006F304D" w:rsidRPr="006F304D">
        <w:rPr>
          <w:szCs w:val="25"/>
        </w:rPr>
        <w:t xml:space="preserve">, </w:t>
      </w:r>
      <w:r w:rsidR="0018433B" w:rsidRPr="00BC3F72">
        <w:rPr>
          <w:szCs w:val="25"/>
        </w:rPr>
        <w:t>as we have shown above); so there is an overriding theme in the remainder of the sermon’s middle</w:t>
      </w:r>
      <w:r w:rsidR="006F304D" w:rsidRPr="006F304D">
        <w:rPr>
          <w:szCs w:val="25"/>
        </w:rPr>
        <w:t xml:space="preserve">, </w:t>
      </w:r>
      <w:r w:rsidR="0018433B" w:rsidRPr="00BC3F72">
        <w:rPr>
          <w:szCs w:val="25"/>
        </w:rPr>
        <w:t>37-45</w:t>
      </w:r>
      <w:r w:rsidR="006F304D" w:rsidRPr="006F304D">
        <w:rPr>
          <w:szCs w:val="25"/>
        </w:rPr>
        <w:t xml:space="preserve">, </w:t>
      </w:r>
      <w:r w:rsidR="0018433B" w:rsidRPr="00BC3F72">
        <w:rPr>
          <w:szCs w:val="25"/>
        </w:rPr>
        <w:t>namely</w:t>
      </w:r>
      <w:r w:rsidR="006F304D" w:rsidRPr="006F304D">
        <w:rPr>
          <w:szCs w:val="25"/>
        </w:rPr>
        <w:t xml:space="preserve">, </w:t>
      </w:r>
      <w:r w:rsidR="0018433B" w:rsidRPr="00BC3F72">
        <w:rPr>
          <w:szCs w:val="25"/>
        </w:rPr>
        <w:t>love of one’s breth</w:t>
      </w:r>
      <w:r w:rsidR="0018433B" w:rsidRPr="00BC3F72">
        <w:rPr>
          <w:szCs w:val="25"/>
        </w:rPr>
        <w:softHyphen/>
        <w:t>ren. Dupont a</w:t>
      </w:r>
      <w:r>
        <w:rPr>
          <w:szCs w:val="25"/>
        </w:rPr>
        <w:t>c</w:t>
      </w:r>
      <w:r w:rsidR="0018433B" w:rsidRPr="00BC3F72">
        <w:rPr>
          <w:szCs w:val="25"/>
        </w:rPr>
        <w:t>knowledges this: ‘We recognize that verses 37-42 belong together</w:t>
      </w:r>
      <w:r>
        <w:rPr>
          <w:szCs w:val="25"/>
        </w:rPr>
        <w:t xml:space="preserve"> </w:t>
      </w:r>
      <w:r w:rsidR="0018433B">
        <w:rPr>
          <w:szCs w:val="25"/>
        </w:rPr>
        <w:t>. . .</w:t>
      </w:r>
      <w:r w:rsidR="0018433B" w:rsidRPr="00BC3F72">
        <w:rPr>
          <w:szCs w:val="25"/>
        </w:rPr>
        <w:t xml:space="preserve"> note that the love spoken of here no longer concerns one’s enemies</w:t>
      </w:r>
      <w:r w:rsidR="006F304D" w:rsidRPr="006F304D">
        <w:rPr>
          <w:szCs w:val="25"/>
        </w:rPr>
        <w:t xml:space="preserve">, </w:t>
      </w:r>
      <w:r w:rsidR="0018433B" w:rsidRPr="00BC3F72">
        <w:rPr>
          <w:szCs w:val="25"/>
        </w:rPr>
        <w:t>but rather one’s brothers.</w:t>
      </w:r>
      <w:r>
        <w:rPr>
          <w:szCs w:val="25"/>
        </w:rPr>
        <w:t>”</w:t>
      </w:r>
      <w:r>
        <w:rPr>
          <w:rStyle w:val="FootnoteReference"/>
          <w:szCs w:val="25"/>
        </w:rPr>
        <w:footnoteReference w:id="694"/>
      </w:r>
      <w:r w:rsidR="00775F9B" w:rsidRPr="00775F9B">
        <w:rPr>
          <w:iCs/>
          <w:szCs w:val="25"/>
        </w:rPr>
        <w:t xml:space="preserve"> </w:t>
      </w:r>
      <w:r w:rsidR="0018433B" w:rsidRPr="00BC3F72">
        <w:rPr>
          <w:szCs w:val="25"/>
        </w:rPr>
        <w:t xml:space="preserve">Even among those who discern the structure of the sermon on the basis of formal rather than </w:t>
      </w:r>
      <w:proofErr w:type="spellStart"/>
      <w:r w:rsidR="0018433B" w:rsidRPr="00BC3F72">
        <w:rPr>
          <w:szCs w:val="25"/>
        </w:rPr>
        <w:t>contentual</w:t>
      </w:r>
      <w:proofErr w:type="spellEnd"/>
      <w:r w:rsidR="0018433B" w:rsidRPr="00BC3F72">
        <w:rPr>
          <w:szCs w:val="25"/>
        </w:rPr>
        <w:t xml:space="preserve"> criteria</w:t>
      </w:r>
      <w:r w:rsidR="006F304D" w:rsidRPr="006F304D">
        <w:rPr>
          <w:szCs w:val="25"/>
        </w:rPr>
        <w:t xml:space="preserve">, </w:t>
      </w:r>
      <w:r w:rsidR="0018433B" w:rsidRPr="00BC3F72">
        <w:rPr>
          <w:szCs w:val="25"/>
        </w:rPr>
        <w:t>this has been recognized</w:t>
      </w:r>
      <w:r w:rsidR="006F304D" w:rsidRPr="006F304D">
        <w:rPr>
          <w:szCs w:val="25"/>
        </w:rPr>
        <w:t xml:space="preserve">, </w:t>
      </w:r>
      <w:r w:rsidR="0018433B" w:rsidRPr="00BC3F72">
        <w:rPr>
          <w:szCs w:val="25"/>
        </w:rPr>
        <w:t>for</w:t>
      </w:r>
      <w:r>
        <w:rPr>
          <w:szCs w:val="25"/>
        </w:rPr>
        <w:t xml:space="preserve"> </w:t>
      </w:r>
      <w:r w:rsidR="0018433B" w:rsidRPr="00BC3F72">
        <w:rPr>
          <w:szCs w:val="25"/>
        </w:rPr>
        <w:t>example</w:t>
      </w:r>
      <w:r w:rsidR="006F304D" w:rsidRPr="006F304D">
        <w:rPr>
          <w:szCs w:val="25"/>
        </w:rPr>
        <w:t xml:space="preserve">, </w:t>
      </w:r>
      <w:r w:rsidR="0018433B" w:rsidRPr="00BC3F72">
        <w:rPr>
          <w:szCs w:val="25"/>
        </w:rPr>
        <w:t xml:space="preserve">by </w:t>
      </w:r>
      <w:r w:rsidRPr="00E56A92">
        <w:rPr>
          <w:iCs/>
          <w:szCs w:val="25"/>
        </w:rPr>
        <w:t>Thaddäus</w:t>
      </w:r>
      <w:r w:rsidR="0018433B" w:rsidRPr="00BC3F72">
        <w:rPr>
          <w:szCs w:val="25"/>
        </w:rPr>
        <w:t xml:space="preserve"> Soiron: the first part of the middle of the sermon</w:t>
      </w:r>
      <w:r w:rsidR="006F304D" w:rsidRPr="006F304D">
        <w:rPr>
          <w:szCs w:val="25"/>
        </w:rPr>
        <w:t xml:space="preserve">, </w:t>
      </w:r>
      <w:r w:rsidR="0018433B" w:rsidRPr="00BC3F72">
        <w:rPr>
          <w:szCs w:val="25"/>
        </w:rPr>
        <w:t>verses 27-36</w:t>
      </w:r>
      <w:r w:rsidR="006F304D" w:rsidRPr="006F304D">
        <w:rPr>
          <w:szCs w:val="25"/>
        </w:rPr>
        <w:t xml:space="preserve">, </w:t>
      </w:r>
      <w:r w:rsidR="0018433B" w:rsidRPr="00BC3F72">
        <w:rPr>
          <w:szCs w:val="25"/>
        </w:rPr>
        <w:t>he notes</w:t>
      </w:r>
      <w:r w:rsidR="006F304D" w:rsidRPr="006F304D">
        <w:rPr>
          <w:szCs w:val="25"/>
        </w:rPr>
        <w:t xml:space="preserve">, </w:t>
      </w:r>
      <w:r w:rsidR="0018433B" w:rsidRPr="00BC3F72">
        <w:rPr>
          <w:szCs w:val="25"/>
        </w:rPr>
        <w:t>concerns love of one’s enemies; but the second part</w:t>
      </w:r>
      <w:r w:rsidR="006F304D" w:rsidRPr="006F304D">
        <w:rPr>
          <w:szCs w:val="25"/>
        </w:rPr>
        <w:t xml:space="preserve">, </w:t>
      </w:r>
      <w:r w:rsidR="0018433B" w:rsidRPr="00BC3F72">
        <w:rPr>
          <w:szCs w:val="25"/>
        </w:rPr>
        <w:t>verses 37-45 (</w:t>
      </w:r>
      <w:proofErr w:type="spellStart"/>
      <w:r w:rsidR="0018433B" w:rsidRPr="00BC3F72">
        <w:rPr>
          <w:szCs w:val="25"/>
        </w:rPr>
        <w:t>Soiron</w:t>
      </w:r>
      <w:proofErr w:type="spellEnd"/>
      <w:r w:rsidR="0018433B" w:rsidRPr="00BC3F72">
        <w:rPr>
          <w:szCs w:val="25"/>
        </w:rPr>
        <w:t xml:space="preserve"> includes 46 also)</w:t>
      </w:r>
      <w:r w:rsidR="006F304D" w:rsidRPr="006F304D">
        <w:rPr>
          <w:szCs w:val="25"/>
        </w:rPr>
        <w:t xml:space="preserve">, </w:t>
      </w:r>
      <w:r w:rsidR="0018433B" w:rsidRPr="00BC3F72">
        <w:rPr>
          <w:szCs w:val="25"/>
        </w:rPr>
        <w:t>concerns love of one’s brethren.</w:t>
      </w:r>
      <w:r>
        <w:rPr>
          <w:rStyle w:val="FootnoteReference"/>
          <w:szCs w:val="25"/>
        </w:rPr>
        <w:footnoteReference w:id="695"/>
      </w:r>
      <w:r w:rsidR="0018433B" w:rsidRPr="00BC3F72">
        <w:rPr>
          <w:szCs w:val="25"/>
        </w:rPr>
        <w:t xml:space="preserve"> Evidence that these critics are correct in their assessment of the unity of 37-45 are the facts that (a) the “judging” referred to in 37 (“Judge not”) has one’s brethren</w:t>
      </w:r>
      <w:r w:rsidR="006F304D" w:rsidRPr="006F304D">
        <w:rPr>
          <w:szCs w:val="25"/>
        </w:rPr>
        <w:t xml:space="preserve">, </w:t>
      </w:r>
      <w:r w:rsidR="0018433B" w:rsidRPr="00BC3F72">
        <w:rPr>
          <w:szCs w:val="25"/>
        </w:rPr>
        <w:t>not one’s enemies</w:t>
      </w:r>
      <w:r w:rsidR="006F304D" w:rsidRPr="006F304D">
        <w:rPr>
          <w:szCs w:val="25"/>
        </w:rPr>
        <w:t xml:space="preserve">, </w:t>
      </w:r>
      <w:r w:rsidR="0018433B" w:rsidRPr="00BC3F72">
        <w:rPr>
          <w:szCs w:val="25"/>
        </w:rPr>
        <w:t>as its object</w:t>
      </w:r>
      <w:r>
        <w:rPr>
          <w:szCs w:val="25"/>
        </w:rPr>
        <w:t xml:space="preserve"> (see </w:t>
      </w:r>
      <w:r>
        <w:rPr>
          <w:szCs w:val="25"/>
        </w:rPr>
        <w:lastRenderedPageBreak/>
        <w:t>above)</w:t>
      </w:r>
      <w:r w:rsidR="0018433B" w:rsidRPr="00BC3F72">
        <w:rPr>
          <w:szCs w:val="21"/>
        </w:rPr>
        <w:t xml:space="preserve">; </w:t>
      </w:r>
      <w:r w:rsidR="0018433B" w:rsidRPr="00BC3F72">
        <w:rPr>
          <w:szCs w:val="25"/>
        </w:rPr>
        <w:t>and (b) the correction in 41-42 (speck and log parable)</w:t>
      </w:r>
      <w:r w:rsidR="006F304D" w:rsidRPr="006F304D">
        <w:rPr>
          <w:szCs w:val="25"/>
        </w:rPr>
        <w:t xml:space="preserve">, </w:t>
      </w:r>
      <w:r w:rsidR="0018433B" w:rsidRPr="00BC3F72">
        <w:rPr>
          <w:szCs w:val="25"/>
        </w:rPr>
        <w:t>and therefore the instruction in 39-40 (blind leading blind</w:t>
      </w:r>
      <w:r w:rsidR="006F304D" w:rsidRPr="006F304D">
        <w:rPr>
          <w:szCs w:val="25"/>
        </w:rPr>
        <w:t xml:space="preserve">, </w:t>
      </w:r>
      <w:r w:rsidR="0018433B" w:rsidRPr="00BC3F72">
        <w:rPr>
          <w:szCs w:val="25"/>
        </w:rPr>
        <w:t>disciple and teacher)</w:t>
      </w:r>
      <w:r w:rsidR="006F304D" w:rsidRPr="006F304D">
        <w:rPr>
          <w:szCs w:val="25"/>
        </w:rPr>
        <w:t xml:space="preserve">, </w:t>
      </w:r>
      <w:r w:rsidR="0018433B" w:rsidRPr="00BC3F72">
        <w:rPr>
          <w:szCs w:val="25"/>
        </w:rPr>
        <w:t>is fraternal (42a</w:t>
      </w:r>
      <w:r w:rsidR="006F304D" w:rsidRPr="006F304D">
        <w:rPr>
          <w:szCs w:val="25"/>
        </w:rPr>
        <w:t xml:space="preserve">, </w:t>
      </w:r>
      <w:r w:rsidR="0018433B" w:rsidRPr="00BC3F72">
        <w:rPr>
          <w:szCs w:val="25"/>
        </w:rPr>
        <w:t>‘Brother”).</w:t>
      </w:r>
    </w:p>
    <w:p w14:paraId="0D52A040" w14:textId="39D59E33" w:rsidR="0018433B" w:rsidRPr="00BC3F72" w:rsidRDefault="00631942" w:rsidP="0018433B">
      <w:pPr>
        <w:pStyle w:val="Style"/>
        <w:widowControl/>
        <w:jc w:val="both"/>
        <w:textAlignment w:val="baseline"/>
        <w:rPr>
          <w:szCs w:val="25"/>
        </w:rPr>
      </w:pPr>
      <w:r>
        <w:rPr>
          <w:szCs w:val="25"/>
        </w:rPr>
        <w:tab/>
      </w:r>
      <w:r w:rsidR="0018433B" w:rsidRPr="00BC3F72">
        <w:rPr>
          <w:szCs w:val="25"/>
        </w:rPr>
        <w:t>We arrive</w:t>
      </w:r>
      <w:r w:rsidR="006F304D" w:rsidRPr="006F304D">
        <w:rPr>
          <w:szCs w:val="25"/>
        </w:rPr>
        <w:t xml:space="preserve">, </w:t>
      </w:r>
      <w:r w:rsidR="0018433B" w:rsidRPr="00BC3F72">
        <w:rPr>
          <w:szCs w:val="25"/>
        </w:rPr>
        <w:t>then</w:t>
      </w:r>
      <w:r w:rsidR="006F304D" w:rsidRPr="006F304D">
        <w:rPr>
          <w:szCs w:val="25"/>
        </w:rPr>
        <w:t xml:space="preserve">, </w:t>
      </w:r>
      <w:r w:rsidR="0018433B" w:rsidRPr="00BC3F72">
        <w:rPr>
          <w:szCs w:val="25"/>
        </w:rPr>
        <w:t>at the following conclusions. (1) The context of the tree-and</w:t>
      </w:r>
      <w:r>
        <w:rPr>
          <w:szCs w:val="25"/>
        </w:rPr>
        <w:t>-</w:t>
      </w:r>
      <w:r w:rsidR="0018433B" w:rsidRPr="00BC3F72">
        <w:rPr>
          <w:szCs w:val="25"/>
        </w:rPr>
        <w:t>fruit logion does force the meaning of 43-45 into conformity with the overriding theme</w:t>
      </w:r>
      <w:r w:rsidR="006F304D" w:rsidRPr="006F304D">
        <w:rPr>
          <w:szCs w:val="25"/>
        </w:rPr>
        <w:t xml:space="preserve">, </w:t>
      </w:r>
      <w:r w:rsidR="0018433B" w:rsidRPr="00BC3F72">
        <w:rPr>
          <w:szCs w:val="25"/>
        </w:rPr>
        <w:t>judging others. (2) The outline of the middle of the sermon proposed by most three-part-middle commentators (27-36</w:t>
      </w:r>
      <w:r w:rsidR="006F304D" w:rsidRPr="006F304D">
        <w:rPr>
          <w:szCs w:val="25"/>
        </w:rPr>
        <w:t xml:space="preserve">, </w:t>
      </w:r>
      <w:r w:rsidR="0018433B" w:rsidRPr="00BC3F72">
        <w:rPr>
          <w:szCs w:val="25"/>
        </w:rPr>
        <w:t>37-42</w:t>
      </w:r>
      <w:r w:rsidR="006F304D" w:rsidRPr="006F304D">
        <w:rPr>
          <w:szCs w:val="25"/>
        </w:rPr>
        <w:t xml:space="preserve">, </w:t>
      </w:r>
      <w:r w:rsidR="0018433B" w:rsidRPr="00BC3F72">
        <w:rPr>
          <w:szCs w:val="25"/>
        </w:rPr>
        <w:t>43-45) stands in logical con</w:t>
      </w:r>
      <w:r w:rsidR="0018433B" w:rsidRPr="00BC3F72">
        <w:rPr>
          <w:szCs w:val="25"/>
        </w:rPr>
        <w:softHyphen/>
        <w:t>tradiction to their stated understanding of verses 43-45. (3) The best logical outline of the middle of the sermon sees in it only two major sections: not the two sections recommended by the “two-part-middle” commentators above (27-38 and 39-45)</w:t>
      </w:r>
      <w:r w:rsidR="006F304D" w:rsidRPr="006F304D">
        <w:rPr>
          <w:szCs w:val="25"/>
        </w:rPr>
        <w:t xml:space="preserve">, </w:t>
      </w:r>
      <w:r w:rsidR="0018433B" w:rsidRPr="00BC3F72">
        <w:rPr>
          <w:szCs w:val="25"/>
        </w:rPr>
        <w:t>but the two major sections seen in the outlines of Luce and (some of the time</w:t>
      </w:r>
      <w:r w:rsidR="006F304D" w:rsidRPr="006F304D">
        <w:rPr>
          <w:szCs w:val="25"/>
        </w:rPr>
        <w:t xml:space="preserve">, </w:t>
      </w:r>
      <w:r w:rsidR="0018433B" w:rsidRPr="00BC3F72">
        <w:rPr>
          <w:szCs w:val="25"/>
        </w:rPr>
        <w:t>at least) Fitzmyer: 27-36 and 37-45.</w:t>
      </w:r>
    </w:p>
    <w:p w14:paraId="20A008D8" w14:textId="77777777" w:rsidR="00310AB5" w:rsidRDefault="00310AB5" w:rsidP="0018433B">
      <w:pPr>
        <w:pStyle w:val="Style"/>
        <w:widowControl/>
        <w:jc w:val="both"/>
        <w:textAlignment w:val="baseline"/>
        <w:rPr>
          <w:szCs w:val="25"/>
        </w:rPr>
      </w:pPr>
    </w:p>
    <w:p w14:paraId="35DA6F39" w14:textId="4731DB6A" w:rsidR="0018433B" w:rsidRDefault="0018433B" w:rsidP="008F699A">
      <w:pPr>
        <w:pStyle w:val="Heading2"/>
      </w:pPr>
      <w:bookmarkStart w:id="72" w:name="_Toc147618643"/>
      <w:r w:rsidRPr="00BC3F72">
        <w:t>Conclusion</w:t>
      </w:r>
      <w:bookmarkEnd w:id="72"/>
    </w:p>
    <w:p w14:paraId="67F7BB53" w14:textId="77777777" w:rsidR="00310AB5" w:rsidRPr="00BC3F72" w:rsidRDefault="00310AB5" w:rsidP="0018433B">
      <w:pPr>
        <w:pStyle w:val="Style"/>
        <w:widowControl/>
        <w:jc w:val="both"/>
        <w:textAlignment w:val="baseline"/>
        <w:rPr>
          <w:szCs w:val="25"/>
        </w:rPr>
      </w:pPr>
    </w:p>
    <w:p w14:paraId="5B5509A9" w14:textId="6174E7FF" w:rsidR="0018433B" w:rsidRDefault="00631942" w:rsidP="0018433B">
      <w:pPr>
        <w:pStyle w:val="Style"/>
        <w:widowControl/>
        <w:jc w:val="both"/>
        <w:textAlignment w:val="baseline"/>
        <w:rPr>
          <w:szCs w:val="25"/>
        </w:rPr>
      </w:pPr>
      <w:r>
        <w:rPr>
          <w:szCs w:val="25"/>
        </w:rPr>
        <w:tab/>
      </w:r>
      <w:r w:rsidR="0018433B" w:rsidRPr="00BC3F72">
        <w:rPr>
          <w:szCs w:val="25"/>
        </w:rPr>
        <w:t>We are now ready to summarize all of our conclusions concerning the logical</w:t>
      </w:r>
      <w:r>
        <w:rPr>
          <w:szCs w:val="25"/>
        </w:rPr>
        <w:t xml:space="preserve"> </w:t>
      </w:r>
      <w:r w:rsidR="0018433B" w:rsidRPr="00BC3F72">
        <w:rPr>
          <w:szCs w:val="25"/>
        </w:rPr>
        <w:t>plan of the sermon on the plain</w:t>
      </w:r>
      <w:r w:rsidR="00B36BAB">
        <w:rPr>
          <w:szCs w:val="25"/>
        </w:rPr>
        <w:t xml:space="preserve">. </w:t>
      </w:r>
      <w:r w:rsidR="00B36BAB" w:rsidRPr="00BC3F72">
        <w:rPr>
          <w:szCs w:val="25"/>
        </w:rPr>
        <w:t>As at the end of the previous sections</w:t>
      </w:r>
      <w:r w:rsidR="00B36BAB">
        <w:rPr>
          <w:szCs w:val="25"/>
        </w:rPr>
        <w:t xml:space="preserve"> on </w:t>
      </w:r>
      <w:r w:rsidR="00B36BAB" w:rsidRPr="00BC3F72">
        <w:rPr>
          <w:szCs w:val="25"/>
        </w:rPr>
        <w:t>logical structure, the reader will find a summary of our conclusions in an outline</w:t>
      </w:r>
      <w:r w:rsidR="00B36BAB">
        <w:rPr>
          <w:szCs w:val="25"/>
        </w:rPr>
        <w:t>—</w:t>
      </w:r>
      <w:r w:rsidR="00B36BAB" w:rsidRPr="00BC3F72">
        <w:rPr>
          <w:szCs w:val="25"/>
        </w:rPr>
        <w:softHyphen/>
        <w:t>thankfully</w:t>
      </w:r>
      <w:r w:rsidR="00B36BAB" w:rsidRPr="006F304D">
        <w:rPr>
          <w:szCs w:val="25"/>
        </w:rPr>
        <w:t xml:space="preserve">, </w:t>
      </w:r>
      <w:r w:rsidR="00B36BAB" w:rsidRPr="00BC3F72">
        <w:rPr>
          <w:szCs w:val="25"/>
        </w:rPr>
        <w:t xml:space="preserve">our final </w:t>
      </w:r>
      <w:r w:rsidR="00B36BAB">
        <w:rPr>
          <w:szCs w:val="25"/>
        </w:rPr>
        <w:t xml:space="preserve">one </w:t>
      </w:r>
      <w:r w:rsidR="00B36BAB" w:rsidRPr="00BC3F72">
        <w:rPr>
          <w:szCs w:val="25"/>
        </w:rPr>
        <w:t xml:space="preserve">(Figure </w:t>
      </w:r>
      <w:r w:rsidR="00083B56">
        <w:rPr>
          <w:szCs w:val="25"/>
        </w:rPr>
        <w:t>9</w:t>
      </w:r>
      <w:r w:rsidR="00B36BAB" w:rsidRPr="00BC3F72">
        <w:rPr>
          <w:szCs w:val="25"/>
        </w:rPr>
        <w:t xml:space="preserve">.1). </w:t>
      </w:r>
      <w:r w:rsidR="0018433B" w:rsidRPr="00BC3F72">
        <w:rPr>
          <w:szCs w:val="25"/>
        </w:rPr>
        <w:t>That outline combines both the distinction</w:t>
      </w:r>
      <w:r>
        <w:rPr>
          <w:szCs w:val="25"/>
        </w:rPr>
        <w:t>s</w:t>
      </w:r>
      <w:r w:rsidR="0018433B" w:rsidRPr="00BC3F72">
        <w:rPr>
          <w:szCs w:val="25"/>
        </w:rPr>
        <w:t xml:space="preserve"> of major sections</w:t>
      </w:r>
      <w:r w:rsidR="006F304D" w:rsidRPr="006F304D">
        <w:rPr>
          <w:szCs w:val="25"/>
        </w:rPr>
        <w:t xml:space="preserve">, </w:t>
      </w:r>
      <w:r w:rsidR="0018433B" w:rsidRPr="00BC3F72">
        <w:rPr>
          <w:szCs w:val="25"/>
        </w:rPr>
        <w:t>such as we have determined them in the present chapter</w:t>
      </w:r>
      <w:r w:rsidR="006F304D" w:rsidRPr="006F304D">
        <w:rPr>
          <w:szCs w:val="25"/>
        </w:rPr>
        <w:t xml:space="preserve">, </w:t>
      </w:r>
      <w:r w:rsidR="0018433B" w:rsidRPr="00BC3F72">
        <w:rPr>
          <w:szCs w:val="25"/>
        </w:rPr>
        <w:t>and the distinction</w:t>
      </w:r>
      <w:r>
        <w:rPr>
          <w:szCs w:val="25"/>
        </w:rPr>
        <w:t>s</w:t>
      </w:r>
      <w:r w:rsidR="0018433B" w:rsidRPr="00BC3F72">
        <w:rPr>
          <w:szCs w:val="25"/>
        </w:rPr>
        <w:t xml:space="preserve"> of units within the major sections</w:t>
      </w:r>
      <w:r w:rsidR="006F304D" w:rsidRPr="006F304D">
        <w:rPr>
          <w:szCs w:val="25"/>
        </w:rPr>
        <w:t xml:space="preserve">, </w:t>
      </w:r>
      <w:r w:rsidR="0018433B" w:rsidRPr="00BC3F72">
        <w:rPr>
          <w:szCs w:val="25"/>
        </w:rPr>
        <w:t>such as we have determined them in the previous chapter.</w:t>
      </w:r>
    </w:p>
    <w:p w14:paraId="0A1584C4" w14:textId="77777777" w:rsidR="00631942" w:rsidRDefault="00631942" w:rsidP="0018433B">
      <w:pPr>
        <w:pStyle w:val="Style"/>
        <w:widowControl/>
        <w:jc w:val="both"/>
        <w:textAlignment w:val="baseline"/>
        <w:rPr>
          <w:szCs w:val="25"/>
        </w:rPr>
      </w:pPr>
    </w:p>
    <w:tbl>
      <w:tblPr>
        <w:tblStyle w:val="TableGrid"/>
        <w:tblW w:w="0" w:type="auto"/>
        <w:tblLayout w:type="fixed"/>
        <w:tblLook w:val="04A0" w:firstRow="1" w:lastRow="0" w:firstColumn="1" w:lastColumn="0" w:noHBand="0" w:noVBand="1"/>
      </w:tblPr>
      <w:tblGrid>
        <w:gridCol w:w="4788"/>
        <w:gridCol w:w="4788"/>
      </w:tblGrid>
      <w:tr w:rsidR="00631942" w14:paraId="77A9E881" w14:textId="77777777" w:rsidTr="00DC54B7">
        <w:tc>
          <w:tcPr>
            <w:tcW w:w="4788" w:type="dxa"/>
          </w:tcPr>
          <w:p w14:paraId="6E3B4678" w14:textId="77777777" w:rsidR="00B36BAB" w:rsidRPr="00BC3F72" w:rsidRDefault="00B36BAB" w:rsidP="00B36BAB">
            <w:pPr>
              <w:pStyle w:val="Style"/>
              <w:widowControl/>
              <w:tabs>
                <w:tab w:val="left" w:pos="360"/>
                <w:tab w:val="left" w:pos="720"/>
                <w:tab w:val="left" w:pos="1080"/>
                <w:tab w:val="left" w:pos="1440"/>
                <w:tab w:val="left" w:pos="1800"/>
              </w:tabs>
              <w:jc w:val="both"/>
              <w:textAlignment w:val="baseline"/>
              <w:rPr>
                <w:szCs w:val="25"/>
              </w:rPr>
            </w:pPr>
            <w:proofErr w:type="spellStart"/>
            <w:r w:rsidRPr="00BC3F72">
              <w:rPr>
                <w:szCs w:val="25"/>
              </w:rPr>
              <w:t>i</w:t>
            </w:r>
            <w:proofErr w:type="spellEnd"/>
            <w:r w:rsidRPr="00BC3F72">
              <w:rPr>
                <w:szCs w:val="25"/>
              </w:rPr>
              <w:t>.</w:t>
            </w:r>
            <w:r>
              <w:rPr>
                <w:szCs w:val="25"/>
              </w:rPr>
              <w:tab/>
            </w:r>
            <w:r w:rsidRPr="00BC3F72">
              <w:rPr>
                <w:szCs w:val="25"/>
              </w:rPr>
              <w:t>20a</w:t>
            </w:r>
          </w:p>
          <w:p w14:paraId="730B545D" w14:textId="77777777" w:rsidR="00B36BAB" w:rsidRDefault="00B36BAB" w:rsidP="00B36BAB">
            <w:pPr>
              <w:pStyle w:val="Style"/>
              <w:widowControl/>
              <w:tabs>
                <w:tab w:val="left" w:pos="360"/>
                <w:tab w:val="left" w:pos="720"/>
                <w:tab w:val="left" w:pos="1080"/>
                <w:tab w:val="left" w:pos="1440"/>
                <w:tab w:val="left" w:pos="1800"/>
              </w:tabs>
              <w:jc w:val="both"/>
              <w:textAlignment w:val="baseline"/>
              <w:rPr>
                <w:szCs w:val="25"/>
              </w:rPr>
            </w:pPr>
          </w:p>
          <w:p w14:paraId="14B06DD9" w14:textId="77777777" w:rsidR="00B36BAB" w:rsidRPr="00BC3F72"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1.</w:t>
            </w:r>
            <w:r>
              <w:rPr>
                <w:szCs w:val="25"/>
              </w:rPr>
              <w:tab/>
            </w:r>
            <w:r w:rsidRPr="00BC3F72">
              <w:rPr>
                <w:szCs w:val="25"/>
              </w:rPr>
              <w:t>20-26</w:t>
            </w:r>
          </w:p>
          <w:p w14:paraId="4F72CD43" w14:textId="77777777" w:rsidR="00B36BAB" w:rsidRPr="00BC3F72"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t>1)</w:t>
            </w:r>
            <w:r>
              <w:rPr>
                <w:szCs w:val="25"/>
              </w:rPr>
              <w:tab/>
            </w:r>
            <w:r w:rsidRPr="00BC3F72">
              <w:rPr>
                <w:szCs w:val="25"/>
              </w:rPr>
              <w:t>20b-23</w:t>
            </w:r>
          </w:p>
          <w:p w14:paraId="02395C5C" w14:textId="77777777" w:rsidR="00B36BAB"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t>a)</w:t>
            </w:r>
            <w:r>
              <w:rPr>
                <w:szCs w:val="25"/>
              </w:rPr>
              <w:tab/>
            </w:r>
            <w:r w:rsidRPr="00BC3F72">
              <w:rPr>
                <w:szCs w:val="25"/>
              </w:rPr>
              <w:t>20-21</w:t>
            </w:r>
          </w:p>
          <w:p w14:paraId="6D98E0CE" w14:textId="77777777" w:rsidR="00B36BAB"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r>
            <w:r w:rsidRPr="00BC3F72">
              <w:rPr>
                <w:szCs w:val="25"/>
              </w:rPr>
              <w:t>(1)</w:t>
            </w:r>
            <w:r>
              <w:rPr>
                <w:szCs w:val="25"/>
              </w:rPr>
              <w:tab/>
            </w:r>
            <w:r w:rsidRPr="00BC3F72">
              <w:rPr>
                <w:szCs w:val="25"/>
              </w:rPr>
              <w:t>20b</w:t>
            </w:r>
          </w:p>
          <w:p w14:paraId="1CF51F33" w14:textId="77777777" w:rsidR="00B36BAB"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r>
            <w:r w:rsidRPr="00BC3F72">
              <w:rPr>
                <w:szCs w:val="25"/>
              </w:rPr>
              <w:t>(2)</w:t>
            </w:r>
            <w:r>
              <w:rPr>
                <w:szCs w:val="25"/>
              </w:rPr>
              <w:tab/>
            </w:r>
            <w:r w:rsidRPr="00BC3F72">
              <w:rPr>
                <w:szCs w:val="25"/>
              </w:rPr>
              <w:t>21</w:t>
            </w:r>
          </w:p>
          <w:p w14:paraId="02BAA25A" w14:textId="77777777" w:rsidR="00B36BAB" w:rsidRPr="00BC3F72"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t>b)</w:t>
            </w:r>
            <w:r>
              <w:rPr>
                <w:szCs w:val="25"/>
              </w:rPr>
              <w:tab/>
            </w:r>
            <w:r w:rsidRPr="00BC3F72">
              <w:rPr>
                <w:szCs w:val="25"/>
              </w:rPr>
              <w:t>22-23</w:t>
            </w:r>
          </w:p>
          <w:p w14:paraId="4CF2FA5C" w14:textId="77777777" w:rsidR="00B36BAB" w:rsidRPr="00BC3F72"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t>2)</w:t>
            </w:r>
            <w:r>
              <w:rPr>
                <w:szCs w:val="25"/>
              </w:rPr>
              <w:tab/>
            </w:r>
            <w:r w:rsidRPr="00BC3F72">
              <w:rPr>
                <w:szCs w:val="25"/>
              </w:rPr>
              <w:t>24-26</w:t>
            </w:r>
          </w:p>
          <w:p w14:paraId="207B86F3" w14:textId="77777777" w:rsidR="00B36BAB"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t>a)</w:t>
            </w:r>
            <w:r>
              <w:rPr>
                <w:szCs w:val="25"/>
              </w:rPr>
              <w:tab/>
            </w:r>
            <w:r w:rsidRPr="00BC3F72">
              <w:rPr>
                <w:szCs w:val="25"/>
              </w:rPr>
              <w:t>24-25</w:t>
            </w:r>
          </w:p>
          <w:p w14:paraId="3DF4D57F" w14:textId="77777777" w:rsidR="00B36BAB"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r>
            <w:r w:rsidRPr="00BC3F72">
              <w:rPr>
                <w:szCs w:val="25"/>
              </w:rPr>
              <w:t>(1)</w:t>
            </w:r>
            <w:r>
              <w:rPr>
                <w:szCs w:val="25"/>
              </w:rPr>
              <w:tab/>
            </w:r>
            <w:r w:rsidRPr="00BC3F72">
              <w:rPr>
                <w:szCs w:val="25"/>
              </w:rPr>
              <w:t>24</w:t>
            </w:r>
          </w:p>
          <w:p w14:paraId="74AF2BF8" w14:textId="77777777" w:rsidR="00B36BAB"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r>
            <w:r w:rsidRPr="00BC3F72">
              <w:rPr>
                <w:szCs w:val="25"/>
              </w:rPr>
              <w:t>(2)</w:t>
            </w:r>
            <w:r>
              <w:rPr>
                <w:szCs w:val="25"/>
              </w:rPr>
              <w:tab/>
            </w:r>
            <w:r w:rsidRPr="00BC3F72">
              <w:rPr>
                <w:szCs w:val="25"/>
              </w:rPr>
              <w:t>25</w:t>
            </w:r>
          </w:p>
          <w:p w14:paraId="7F36CA31" w14:textId="77777777" w:rsidR="00B36BAB" w:rsidRPr="00BC3F72"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sidRPr="00BC3F72">
              <w:rPr>
                <w:szCs w:val="25"/>
              </w:rPr>
              <w:t>b)</w:t>
            </w:r>
            <w:r>
              <w:rPr>
                <w:szCs w:val="25"/>
              </w:rPr>
              <w:tab/>
            </w:r>
            <w:r w:rsidRPr="00BC3F72">
              <w:rPr>
                <w:szCs w:val="25"/>
              </w:rPr>
              <w:t>26</w:t>
            </w:r>
          </w:p>
          <w:p w14:paraId="73F7B8CD" w14:textId="77777777" w:rsidR="00B36BAB" w:rsidRDefault="00B36BAB" w:rsidP="00B36BAB">
            <w:pPr>
              <w:pStyle w:val="Style"/>
              <w:widowControl/>
              <w:tabs>
                <w:tab w:val="left" w:pos="360"/>
                <w:tab w:val="left" w:pos="720"/>
                <w:tab w:val="left" w:pos="1080"/>
                <w:tab w:val="left" w:pos="1440"/>
                <w:tab w:val="left" w:pos="1800"/>
              </w:tabs>
              <w:jc w:val="both"/>
              <w:textAlignment w:val="baseline"/>
              <w:rPr>
                <w:szCs w:val="25"/>
              </w:rPr>
            </w:pPr>
          </w:p>
          <w:p w14:paraId="01798C2F" w14:textId="77777777" w:rsidR="00B36BAB" w:rsidRPr="00BC3F72"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2.</w:t>
            </w:r>
            <w:r>
              <w:rPr>
                <w:szCs w:val="25"/>
              </w:rPr>
              <w:tab/>
            </w:r>
            <w:r w:rsidRPr="00BC3F72">
              <w:rPr>
                <w:szCs w:val="25"/>
              </w:rPr>
              <w:t>27-45</w:t>
            </w:r>
          </w:p>
          <w:p w14:paraId="2F03965B" w14:textId="77777777" w:rsidR="00B36BAB" w:rsidRPr="00BC3F72"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t>1)</w:t>
            </w:r>
            <w:r>
              <w:rPr>
                <w:szCs w:val="25"/>
              </w:rPr>
              <w:tab/>
            </w:r>
            <w:r w:rsidRPr="00BC3F72">
              <w:rPr>
                <w:szCs w:val="25"/>
              </w:rPr>
              <w:t>27-36</w:t>
            </w:r>
          </w:p>
          <w:p w14:paraId="37ABEC24" w14:textId="77777777" w:rsidR="00B36BAB" w:rsidRPr="00BC3F72"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t>a</w:t>
            </w:r>
            <w:r w:rsidRPr="00BC3F72">
              <w:rPr>
                <w:szCs w:val="25"/>
              </w:rPr>
              <w:t>)</w:t>
            </w:r>
            <w:r>
              <w:rPr>
                <w:szCs w:val="25"/>
              </w:rPr>
              <w:tab/>
            </w:r>
            <w:r w:rsidRPr="00BC3F72">
              <w:rPr>
                <w:szCs w:val="25"/>
              </w:rPr>
              <w:t>27-28</w:t>
            </w:r>
          </w:p>
          <w:p w14:paraId="598EE034" w14:textId="77777777" w:rsidR="00B36BAB" w:rsidRPr="00BC3F72"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t>(1)</w:t>
            </w:r>
            <w:r>
              <w:rPr>
                <w:szCs w:val="25"/>
              </w:rPr>
              <w:tab/>
            </w:r>
            <w:r w:rsidRPr="00BC3F72">
              <w:rPr>
                <w:szCs w:val="25"/>
              </w:rPr>
              <w:t>27a</w:t>
            </w:r>
          </w:p>
          <w:p w14:paraId="593C192F" w14:textId="77777777" w:rsidR="00B36BAB" w:rsidRPr="00BC3F72"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t>(2)</w:t>
            </w:r>
            <w:r>
              <w:rPr>
                <w:szCs w:val="25"/>
              </w:rPr>
              <w:tab/>
            </w:r>
            <w:r w:rsidRPr="00BC3F72">
              <w:rPr>
                <w:szCs w:val="25"/>
              </w:rPr>
              <w:t>27</w:t>
            </w:r>
            <w:r>
              <w:rPr>
                <w:szCs w:val="25"/>
              </w:rPr>
              <w:t>b</w:t>
            </w:r>
            <w:r w:rsidRPr="00BC3F72">
              <w:rPr>
                <w:szCs w:val="25"/>
              </w:rPr>
              <w:t>-28</w:t>
            </w:r>
          </w:p>
          <w:p w14:paraId="719F084C" w14:textId="77777777" w:rsidR="00B36BAB" w:rsidRPr="00BC3F72"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r>
            <w:r>
              <w:rPr>
                <w:szCs w:val="25"/>
              </w:rPr>
              <w:tab/>
              <w:t>a.</w:t>
            </w:r>
            <w:r>
              <w:rPr>
                <w:szCs w:val="25"/>
              </w:rPr>
              <w:tab/>
            </w:r>
            <w:r w:rsidRPr="00BC3F72">
              <w:rPr>
                <w:szCs w:val="25"/>
              </w:rPr>
              <w:t>27b</w:t>
            </w:r>
          </w:p>
          <w:p w14:paraId="7D0E3ED8" w14:textId="77777777" w:rsidR="00B36BAB"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r>
            <w:r>
              <w:rPr>
                <w:szCs w:val="25"/>
              </w:rPr>
              <w:tab/>
              <w:t>b.</w:t>
            </w:r>
            <w:r>
              <w:rPr>
                <w:szCs w:val="25"/>
              </w:rPr>
              <w:tab/>
            </w:r>
            <w:r w:rsidRPr="00BC3F72">
              <w:rPr>
                <w:szCs w:val="25"/>
              </w:rPr>
              <w:t>27c-28</w:t>
            </w:r>
          </w:p>
          <w:p w14:paraId="268DF2C2" w14:textId="77777777" w:rsidR="00B36BAB" w:rsidRPr="00BC3F72"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t>b</w:t>
            </w:r>
            <w:r w:rsidRPr="00BC3F72">
              <w:rPr>
                <w:szCs w:val="25"/>
              </w:rPr>
              <w:t>)</w:t>
            </w:r>
            <w:r>
              <w:rPr>
                <w:szCs w:val="25"/>
              </w:rPr>
              <w:tab/>
            </w:r>
            <w:r w:rsidRPr="00BC3F72">
              <w:rPr>
                <w:szCs w:val="25"/>
              </w:rPr>
              <w:t>29-31</w:t>
            </w:r>
          </w:p>
          <w:p w14:paraId="2EA6D3EB" w14:textId="77777777" w:rsidR="00B36BAB" w:rsidRPr="00BC3F72"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t>(1)</w:t>
            </w:r>
            <w:r>
              <w:rPr>
                <w:szCs w:val="25"/>
              </w:rPr>
              <w:tab/>
            </w:r>
            <w:r w:rsidRPr="00BC3F72">
              <w:rPr>
                <w:szCs w:val="25"/>
              </w:rPr>
              <w:t>29-30</w:t>
            </w:r>
          </w:p>
          <w:p w14:paraId="511CB73C" w14:textId="77777777" w:rsidR="00B36BAB" w:rsidRPr="00BC3F72"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r>
            <w:r>
              <w:rPr>
                <w:szCs w:val="25"/>
              </w:rPr>
              <w:tab/>
              <w:t>a.</w:t>
            </w:r>
            <w:r>
              <w:rPr>
                <w:szCs w:val="25"/>
              </w:rPr>
              <w:tab/>
            </w:r>
            <w:r w:rsidRPr="00BC3F72">
              <w:rPr>
                <w:szCs w:val="25"/>
              </w:rPr>
              <w:t>29</w:t>
            </w:r>
          </w:p>
          <w:p w14:paraId="55AE62F8" w14:textId="77777777" w:rsidR="00B36BAB" w:rsidRPr="00BC3F72"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r>
            <w:r>
              <w:rPr>
                <w:szCs w:val="25"/>
              </w:rPr>
              <w:tab/>
            </w:r>
            <w:r>
              <w:rPr>
                <w:szCs w:val="25"/>
              </w:rPr>
              <w:tab/>
              <w:t>1)</w:t>
            </w:r>
            <w:r>
              <w:rPr>
                <w:szCs w:val="25"/>
              </w:rPr>
              <w:tab/>
            </w:r>
            <w:r w:rsidRPr="00BC3F72">
              <w:rPr>
                <w:szCs w:val="25"/>
              </w:rPr>
              <w:t>29a</w:t>
            </w:r>
          </w:p>
          <w:p w14:paraId="1E17ACB2" w14:textId="77777777" w:rsidR="00B36BAB" w:rsidRPr="00BC3F72"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r>
            <w:r>
              <w:rPr>
                <w:szCs w:val="25"/>
              </w:rPr>
              <w:tab/>
            </w:r>
            <w:r>
              <w:rPr>
                <w:szCs w:val="25"/>
              </w:rPr>
              <w:tab/>
              <w:t>2)</w:t>
            </w:r>
            <w:r>
              <w:rPr>
                <w:szCs w:val="25"/>
              </w:rPr>
              <w:tab/>
            </w:r>
            <w:r w:rsidRPr="00BC3F72">
              <w:rPr>
                <w:szCs w:val="25"/>
              </w:rPr>
              <w:t>29b</w:t>
            </w:r>
          </w:p>
          <w:p w14:paraId="0D48F206" w14:textId="77777777" w:rsidR="00B36BAB" w:rsidRPr="00BC3F72"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lastRenderedPageBreak/>
              <w:tab/>
            </w:r>
            <w:r>
              <w:rPr>
                <w:szCs w:val="25"/>
              </w:rPr>
              <w:tab/>
            </w:r>
            <w:r>
              <w:rPr>
                <w:szCs w:val="25"/>
              </w:rPr>
              <w:tab/>
            </w:r>
            <w:r>
              <w:rPr>
                <w:szCs w:val="25"/>
              </w:rPr>
              <w:tab/>
              <w:t>b.</w:t>
            </w:r>
            <w:r>
              <w:rPr>
                <w:szCs w:val="25"/>
              </w:rPr>
              <w:tab/>
            </w:r>
            <w:r w:rsidRPr="00BC3F72">
              <w:rPr>
                <w:szCs w:val="25"/>
              </w:rPr>
              <w:t>30</w:t>
            </w:r>
          </w:p>
          <w:p w14:paraId="42797CFD" w14:textId="77777777" w:rsidR="00B36BAB" w:rsidRPr="00BC3F72"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r>
            <w:r>
              <w:rPr>
                <w:szCs w:val="25"/>
              </w:rPr>
              <w:tab/>
            </w:r>
            <w:r>
              <w:rPr>
                <w:szCs w:val="25"/>
              </w:rPr>
              <w:tab/>
              <w:t>1)</w:t>
            </w:r>
            <w:r>
              <w:rPr>
                <w:szCs w:val="25"/>
              </w:rPr>
              <w:tab/>
            </w:r>
            <w:r w:rsidRPr="00BC3F72">
              <w:rPr>
                <w:szCs w:val="25"/>
              </w:rPr>
              <w:t>30a</w:t>
            </w:r>
          </w:p>
          <w:p w14:paraId="49BCC136" w14:textId="77777777" w:rsidR="00B36BAB"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r>
            <w:r>
              <w:rPr>
                <w:szCs w:val="25"/>
              </w:rPr>
              <w:tab/>
            </w:r>
            <w:r>
              <w:rPr>
                <w:szCs w:val="25"/>
              </w:rPr>
              <w:tab/>
              <w:t>2)</w:t>
            </w:r>
            <w:r>
              <w:rPr>
                <w:szCs w:val="25"/>
              </w:rPr>
              <w:tab/>
            </w:r>
            <w:r w:rsidRPr="00BC3F72">
              <w:rPr>
                <w:szCs w:val="25"/>
              </w:rPr>
              <w:t>30b</w:t>
            </w:r>
          </w:p>
          <w:p w14:paraId="0AB6E204" w14:textId="692CB3D0" w:rsidR="00631942"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t>(2)</w:t>
            </w:r>
            <w:r>
              <w:rPr>
                <w:szCs w:val="25"/>
              </w:rPr>
              <w:tab/>
            </w:r>
            <w:r w:rsidRPr="00BC3F72">
              <w:rPr>
                <w:szCs w:val="25"/>
              </w:rPr>
              <w:t>31</w:t>
            </w:r>
          </w:p>
        </w:tc>
        <w:tc>
          <w:tcPr>
            <w:tcW w:w="4788" w:type="dxa"/>
          </w:tcPr>
          <w:p w14:paraId="3C4357D1" w14:textId="77777777" w:rsidR="00B36BAB" w:rsidRPr="00E5413C" w:rsidRDefault="00B36BAB" w:rsidP="00B36BAB">
            <w:pPr>
              <w:pStyle w:val="Style"/>
              <w:widowControl/>
              <w:tabs>
                <w:tab w:val="left" w:pos="360"/>
                <w:tab w:val="left" w:pos="720"/>
                <w:tab w:val="left" w:pos="1080"/>
                <w:tab w:val="left" w:pos="1440"/>
                <w:tab w:val="left" w:pos="1800"/>
              </w:tabs>
              <w:jc w:val="both"/>
              <w:textAlignment w:val="baseline"/>
              <w:rPr>
                <w:szCs w:val="25"/>
                <w:lang w:val="es-ES"/>
              </w:rPr>
            </w:pPr>
            <w:r w:rsidRPr="00E5413C">
              <w:rPr>
                <w:szCs w:val="25"/>
                <w:lang w:val="es-ES"/>
              </w:rPr>
              <w:lastRenderedPageBreak/>
              <w:tab/>
              <w:t>2)</w:t>
            </w:r>
            <w:r w:rsidRPr="00E5413C">
              <w:rPr>
                <w:szCs w:val="25"/>
                <w:lang w:val="es-ES"/>
              </w:rPr>
              <w:tab/>
              <w:t>37-45</w:t>
            </w:r>
          </w:p>
          <w:p w14:paraId="7E8CC437" w14:textId="77777777" w:rsidR="00B36BAB" w:rsidRPr="00E5413C" w:rsidRDefault="00B36BAB" w:rsidP="00B36BAB">
            <w:pPr>
              <w:pStyle w:val="Style"/>
              <w:widowControl/>
              <w:tabs>
                <w:tab w:val="left" w:pos="360"/>
                <w:tab w:val="left" w:pos="720"/>
                <w:tab w:val="left" w:pos="1080"/>
                <w:tab w:val="left" w:pos="1440"/>
                <w:tab w:val="left" w:pos="1800"/>
              </w:tabs>
              <w:jc w:val="both"/>
              <w:textAlignment w:val="baseline"/>
              <w:rPr>
                <w:szCs w:val="25"/>
                <w:lang w:val="es-ES"/>
              </w:rPr>
            </w:pPr>
            <w:r w:rsidRPr="00E5413C">
              <w:rPr>
                <w:szCs w:val="25"/>
                <w:lang w:val="es-ES"/>
              </w:rPr>
              <w:tab/>
            </w:r>
            <w:r w:rsidRPr="00E5413C">
              <w:rPr>
                <w:szCs w:val="25"/>
                <w:lang w:val="es-ES"/>
              </w:rPr>
              <w:tab/>
              <w:t>a)</w:t>
            </w:r>
            <w:r w:rsidRPr="00E5413C">
              <w:rPr>
                <w:szCs w:val="25"/>
                <w:lang w:val="es-ES"/>
              </w:rPr>
              <w:tab/>
              <w:t>37-38</w:t>
            </w:r>
          </w:p>
          <w:p w14:paraId="79506345" w14:textId="77777777" w:rsidR="00B36BAB" w:rsidRPr="00E5413C" w:rsidRDefault="00B36BAB" w:rsidP="00B36BAB">
            <w:pPr>
              <w:pStyle w:val="Style"/>
              <w:widowControl/>
              <w:tabs>
                <w:tab w:val="left" w:pos="360"/>
                <w:tab w:val="left" w:pos="720"/>
                <w:tab w:val="left" w:pos="1080"/>
                <w:tab w:val="left" w:pos="1440"/>
                <w:tab w:val="left" w:pos="1800"/>
              </w:tabs>
              <w:jc w:val="both"/>
              <w:textAlignment w:val="baseline"/>
              <w:rPr>
                <w:szCs w:val="25"/>
                <w:lang w:val="es-ES"/>
              </w:rPr>
            </w:pPr>
            <w:r w:rsidRPr="00E5413C">
              <w:rPr>
                <w:szCs w:val="25"/>
                <w:lang w:val="es-ES"/>
              </w:rPr>
              <w:tab/>
            </w:r>
            <w:r w:rsidRPr="00E5413C">
              <w:rPr>
                <w:szCs w:val="25"/>
                <w:lang w:val="es-ES"/>
              </w:rPr>
              <w:tab/>
            </w:r>
            <w:r w:rsidRPr="00E5413C">
              <w:rPr>
                <w:szCs w:val="25"/>
                <w:lang w:val="es-ES"/>
              </w:rPr>
              <w:tab/>
              <w:t>(1)</w:t>
            </w:r>
            <w:r w:rsidRPr="00E5413C">
              <w:rPr>
                <w:szCs w:val="25"/>
                <w:lang w:val="es-ES"/>
              </w:rPr>
              <w:tab/>
              <w:t>37-38c</w:t>
            </w:r>
          </w:p>
          <w:p w14:paraId="1BFD407C" w14:textId="77777777" w:rsidR="00B36BAB" w:rsidRPr="00E5413C" w:rsidRDefault="00B36BAB" w:rsidP="00B36BAB">
            <w:pPr>
              <w:pStyle w:val="Style"/>
              <w:widowControl/>
              <w:tabs>
                <w:tab w:val="left" w:pos="360"/>
                <w:tab w:val="left" w:pos="720"/>
                <w:tab w:val="left" w:pos="1080"/>
                <w:tab w:val="left" w:pos="1440"/>
                <w:tab w:val="left" w:pos="1800"/>
              </w:tabs>
              <w:jc w:val="both"/>
              <w:textAlignment w:val="baseline"/>
              <w:rPr>
                <w:szCs w:val="25"/>
                <w:lang w:val="es-ES"/>
              </w:rPr>
            </w:pPr>
            <w:r w:rsidRPr="00E5413C">
              <w:rPr>
                <w:szCs w:val="25"/>
                <w:lang w:val="es-ES"/>
              </w:rPr>
              <w:tab/>
            </w:r>
            <w:r w:rsidRPr="00E5413C">
              <w:rPr>
                <w:szCs w:val="25"/>
                <w:lang w:val="es-ES"/>
              </w:rPr>
              <w:tab/>
            </w:r>
            <w:r w:rsidRPr="00E5413C">
              <w:rPr>
                <w:szCs w:val="25"/>
                <w:lang w:val="es-ES"/>
              </w:rPr>
              <w:tab/>
            </w:r>
            <w:r w:rsidRPr="00E5413C">
              <w:rPr>
                <w:szCs w:val="25"/>
                <w:lang w:val="es-ES"/>
              </w:rPr>
              <w:tab/>
              <w:t>a.</w:t>
            </w:r>
            <w:r w:rsidRPr="00E5413C">
              <w:rPr>
                <w:szCs w:val="25"/>
                <w:lang w:val="es-ES"/>
              </w:rPr>
              <w:tab/>
              <w:t>37a-d</w:t>
            </w:r>
          </w:p>
          <w:p w14:paraId="5D9F969C" w14:textId="77777777" w:rsidR="00B36BAB" w:rsidRPr="00E5413C" w:rsidRDefault="00B36BAB" w:rsidP="00B36BAB">
            <w:pPr>
              <w:pStyle w:val="Style"/>
              <w:widowControl/>
              <w:tabs>
                <w:tab w:val="left" w:pos="360"/>
                <w:tab w:val="left" w:pos="720"/>
                <w:tab w:val="left" w:pos="1080"/>
                <w:tab w:val="left" w:pos="1440"/>
                <w:tab w:val="left" w:pos="1800"/>
              </w:tabs>
              <w:jc w:val="both"/>
              <w:textAlignment w:val="baseline"/>
              <w:rPr>
                <w:szCs w:val="25"/>
                <w:lang w:val="es-ES"/>
              </w:rPr>
            </w:pPr>
            <w:r w:rsidRPr="00E5413C">
              <w:rPr>
                <w:szCs w:val="25"/>
                <w:lang w:val="es-ES"/>
              </w:rPr>
              <w:tab/>
            </w:r>
            <w:r w:rsidRPr="00E5413C">
              <w:rPr>
                <w:szCs w:val="25"/>
                <w:lang w:val="es-ES"/>
              </w:rPr>
              <w:tab/>
            </w:r>
            <w:r w:rsidRPr="00E5413C">
              <w:rPr>
                <w:szCs w:val="25"/>
                <w:lang w:val="es-ES"/>
              </w:rPr>
              <w:tab/>
            </w:r>
            <w:r w:rsidRPr="00E5413C">
              <w:rPr>
                <w:szCs w:val="25"/>
                <w:lang w:val="es-ES"/>
              </w:rPr>
              <w:tab/>
            </w:r>
            <w:r w:rsidRPr="00E5413C">
              <w:rPr>
                <w:szCs w:val="25"/>
                <w:lang w:val="es-ES"/>
              </w:rPr>
              <w:tab/>
              <w:t>1)</w:t>
            </w:r>
            <w:r w:rsidRPr="00E5413C">
              <w:rPr>
                <w:szCs w:val="25"/>
                <w:lang w:val="es-ES"/>
              </w:rPr>
              <w:tab/>
              <w:t>37ab</w:t>
            </w:r>
          </w:p>
          <w:p w14:paraId="4E61B60A" w14:textId="77777777" w:rsidR="00B36BAB" w:rsidRPr="00E5413C" w:rsidRDefault="00B36BAB" w:rsidP="00B36BAB">
            <w:pPr>
              <w:pStyle w:val="Style"/>
              <w:widowControl/>
              <w:tabs>
                <w:tab w:val="left" w:pos="360"/>
                <w:tab w:val="left" w:pos="720"/>
                <w:tab w:val="left" w:pos="1080"/>
                <w:tab w:val="left" w:pos="1440"/>
                <w:tab w:val="left" w:pos="1800"/>
              </w:tabs>
              <w:jc w:val="both"/>
              <w:textAlignment w:val="baseline"/>
              <w:rPr>
                <w:szCs w:val="25"/>
                <w:lang w:val="es-ES"/>
              </w:rPr>
            </w:pPr>
            <w:r w:rsidRPr="00E5413C">
              <w:rPr>
                <w:szCs w:val="25"/>
                <w:lang w:val="es-ES"/>
              </w:rPr>
              <w:tab/>
            </w:r>
            <w:r w:rsidRPr="00E5413C">
              <w:rPr>
                <w:szCs w:val="25"/>
                <w:lang w:val="es-ES"/>
              </w:rPr>
              <w:tab/>
            </w:r>
            <w:r w:rsidRPr="00E5413C">
              <w:rPr>
                <w:szCs w:val="25"/>
                <w:lang w:val="es-ES"/>
              </w:rPr>
              <w:tab/>
            </w:r>
            <w:r w:rsidRPr="00E5413C">
              <w:rPr>
                <w:szCs w:val="25"/>
                <w:lang w:val="es-ES"/>
              </w:rPr>
              <w:tab/>
            </w:r>
            <w:r w:rsidRPr="00E5413C">
              <w:rPr>
                <w:szCs w:val="25"/>
                <w:lang w:val="es-ES"/>
              </w:rPr>
              <w:tab/>
              <w:t>2)</w:t>
            </w:r>
            <w:r w:rsidRPr="00E5413C">
              <w:rPr>
                <w:szCs w:val="25"/>
                <w:lang w:val="es-ES"/>
              </w:rPr>
              <w:tab/>
              <w:t>37cd</w:t>
            </w:r>
          </w:p>
          <w:p w14:paraId="15916F88" w14:textId="77777777" w:rsidR="00B36BAB" w:rsidRPr="00E5413C" w:rsidRDefault="00B36BAB" w:rsidP="00B36BAB">
            <w:pPr>
              <w:pStyle w:val="Style"/>
              <w:widowControl/>
              <w:tabs>
                <w:tab w:val="left" w:pos="360"/>
                <w:tab w:val="left" w:pos="720"/>
                <w:tab w:val="left" w:pos="1080"/>
                <w:tab w:val="left" w:pos="1440"/>
                <w:tab w:val="left" w:pos="1800"/>
              </w:tabs>
              <w:jc w:val="both"/>
              <w:textAlignment w:val="baseline"/>
              <w:rPr>
                <w:szCs w:val="25"/>
                <w:lang w:val="es-ES"/>
              </w:rPr>
            </w:pPr>
            <w:r w:rsidRPr="00E5413C">
              <w:rPr>
                <w:szCs w:val="25"/>
                <w:lang w:val="es-ES"/>
              </w:rPr>
              <w:tab/>
            </w:r>
            <w:r w:rsidRPr="00E5413C">
              <w:rPr>
                <w:szCs w:val="25"/>
                <w:lang w:val="es-ES"/>
              </w:rPr>
              <w:tab/>
            </w:r>
            <w:r w:rsidRPr="00E5413C">
              <w:rPr>
                <w:szCs w:val="25"/>
                <w:lang w:val="es-ES"/>
              </w:rPr>
              <w:tab/>
            </w:r>
            <w:r w:rsidRPr="00E5413C">
              <w:rPr>
                <w:szCs w:val="25"/>
                <w:lang w:val="es-ES"/>
              </w:rPr>
              <w:tab/>
              <w:t>b.</w:t>
            </w:r>
            <w:r w:rsidRPr="00E5413C">
              <w:rPr>
                <w:szCs w:val="25"/>
                <w:lang w:val="es-ES"/>
              </w:rPr>
              <w:tab/>
              <w:t>37e-38c</w:t>
            </w:r>
          </w:p>
          <w:p w14:paraId="07707C57" w14:textId="77777777" w:rsidR="00B36BAB" w:rsidRPr="00BC3F72" w:rsidRDefault="00B36BAB" w:rsidP="00B36BAB">
            <w:pPr>
              <w:pStyle w:val="Style"/>
              <w:widowControl/>
              <w:tabs>
                <w:tab w:val="left" w:pos="360"/>
                <w:tab w:val="left" w:pos="720"/>
                <w:tab w:val="left" w:pos="1080"/>
                <w:tab w:val="left" w:pos="1440"/>
                <w:tab w:val="left" w:pos="1800"/>
              </w:tabs>
              <w:jc w:val="both"/>
              <w:textAlignment w:val="baseline"/>
              <w:rPr>
                <w:szCs w:val="25"/>
              </w:rPr>
            </w:pPr>
            <w:r w:rsidRPr="00E5413C">
              <w:rPr>
                <w:szCs w:val="25"/>
                <w:lang w:val="es-ES"/>
              </w:rPr>
              <w:tab/>
            </w:r>
            <w:r w:rsidRPr="00E5413C">
              <w:rPr>
                <w:szCs w:val="25"/>
                <w:lang w:val="es-ES"/>
              </w:rPr>
              <w:tab/>
            </w:r>
            <w:r w:rsidRPr="00E5413C">
              <w:rPr>
                <w:szCs w:val="25"/>
                <w:lang w:val="es-ES"/>
              </w:rPr>
              <w:tab/>
            </w:r>
            <w:r w:rsidRPr="00E5413C">
              <w:rPr>
                <w:szCs w:val="25"/>
                <w:lang w:val="es-ES"/>
              </w:rPr>
              <w:tab/>
            </w:r>
            <w:r w:rsidRPr="00E5413C">
              <w:rPr>
                <w:szCs w:val="25"/>
                <w:lang w:val="es-ES"/>
              </w:rPr>
              <w:tab/>
            </w:r>
            <w:r>
              <w:rPr>
                <w:szCs w:val="25"/>
              </w:rPr>
              <w:t>1)</w:t>
            </w:r>
            <w:r>
              <w:rPr>
                <w:szCs w:val="25"/>
              </w:rPr>
              <w:tab/>
            </w:r>
            <w:r w:rsidRPr="00BC3F72">
              <w:rPr>
                <w:szCs w:val="25"/>
              </w:rPr>
              <w:t>37ef</w:t>
            </w:r>
          </w:p>
          <w:p w14:paraId="015ED779" w14:textId="77777777" w:rsidR="00B36BAB"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r>
            <w:r>
              <w:rPr>
                <w:szCs w:val="25"/>
              </w:rPr>
              <w:tab/>
            </w:r>
            <w:r>
              <w:rPr>
                <w:szCs w:val="25"/>
              </w:rPr>
              <w:tab/>
              <w:t>2)</w:t>
            </w:r>
            <w:r>
              <w:rPr>
                <w:szCs w:val="25"/>
              </w:rPr>
              <w:tab/>
            </w:r>
            <w:r w:rsidRPr="00BC3F72">
              <w:rPr>
                <w:szCs w:val="25"/>
              </w:rPr>
              <w:t>38abc</w:t>
            </w:r>
          </w:p>
          <w:p w14:paraId="2E7CE379" w14:textId="77777777" w:rsidR="00B36BAB"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r>
            <w:r>
              <w:rPr>
                <w:szCs w:val="25"/>
              </w:rPr>
              <w:tab/>
            </w:r>
            <w:r w:rsidRPr="00BC3F72">
              <w:rPr>
                <w:szCs w:val="25"/>
              </w:rPr>
              <w:t>a)</w:t>
            </w:r>
            <w:r>
              <w:rPr>
                <w:szCs w:val="25"/>
              </w:rPr>
              <w:tab/>
            </w:r>
            <w:r w:rsidRPr="00BC3F72">
              <w:rPr>
                <w:szCs w:val="25"/>
              </w:rPr>
              <w:t>38ab</w:t>
            </w:r>
          </w:p>
          <w:p w14:paraId="082F5A60" w14:textId="77777777" w:rsidR="00B36BAB"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r>
            <w:r>
              <w:rPr>
                <w:szCs w:val="25"/>
              </w:rPr>
              <w:tab/>
            </w:r>
            <w:r w:rsidRPr="00BC3F72">
              <w:rPr>
                <w:szCs w:val="25"/>
              </w:rPr>
              <w:t>b)</w:t>
            </w:r>
            <w:r>
              <w:rPr>
                <w:szCs w:val="25"/>
              </w:rPr>
              <w:tab/>
            </w:r>
            <w:r w:rsidRPr="00BC3F72">
              <w:rPr>
                <w:szCs w:val="25"/>
              </w:rPr>
              <w:t>38c</w:t>
            </w:r>
          </w:p>
          <w:p w14:paraId="1BAAC372" w14:textId="77777777" w:rsidR="00B36BAB" w:rsidRPr="00BC3F72"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r>
            <w:r w:rsidRPr="00BC3F72">
              <w:rPr>
                <w:szCs w:val="25"/>
              </w:rPr>
              <w:t>(2)</w:t>
            </w:r>
            <w:r>
              <w:rPr>
                <w:szCs w:val="25"/>
              </w:rPr>
              <w:tab/>
            </w:r>
            <w:r w:rsidRPr="00BC3F72">
              <w:rPr>
                <w:szCs w:val="25"/>
              </w:rPr>
              <w:t>38d</w:t>
            </w:r>
          </w:p>
          <w:p w14:paraId="0118AED8" w14:textId="77777777" w:rsidR="00B36BAB"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t>b)</w:t>
            </w:r>
            <w:r>
              <w:rPr>
                <w:szCs w:val="25"/>
              </w:rPr>
              <w:tab/>
            </w:r>
            <w:r w:rsidRPr="00BC3F72">
              <w:rPr>
                <w:szCs w:val="25"/>
              </w:rPr>
              <w:t>39-40</w:t>
            </w:r>
          </w:p>
          <w:p w14:paraId="2AF835B3" w14:textId="77777777" w:rsidR="00B36BAB"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r>
            <w:r w:rsidRPr="00BC3F72">
              <w:rPr>
                <w:szCs w:val="25"/>
              </w:rPr>
              <w:t>(1)</w:t>
            </w:r>
            <w:r>
              <w:rPr>
                <w:szCs w:val="25"/>
              </w:rPr>
              <w:tab/>
            </w:r>
            <w:r w:rsidRPr="00BC3F72">
              <w:rPr>
                <w:szCs w:val="25"/>
              </w:rPr>
              <w:t>39a</w:t>
            </w:r>
          </w:p>
          <w:p w14:paraId="0F30F015" w14:textId="77777777" w:rsidR="00B36BAB"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r>
            <w:r w:rsidRPr="00BC3F72">
              <w:rPr>
                <w:szCs w:val="25"/>
              </w:rPr>
              <w:t>(2)</w:t>
            </w:r>
            <w:r>
              <w:rPr>
                <w:szCs w:val="25"/>
              </w:rPr>
              <w:tab/>
            </w:r>
            <w:r w:rsidRPr="00BC3F72">
              <w:rPr>
                <w:szCs w:val="25"/>
              </w:rPr>
              <w:t>39bc</w:t>
            </w:r>
          </w:p>
          <w:p w14:paraId="63770701" w14:textId="77777777" w:rsidR="00B36BAB" w:rsidRPr="00BC3F72"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r>
            <w:r w:rsidRPr="00BC3F72">
              <w:rPr>
                <w:szCs w:val="25"/>
              </w:rPr>
              <w:t>(3)</w:t>
            </w:r>
            <w:r>
              <w:rPr>
                <w:szCs w:val="25"/>
              </w:rPr>
              <w:tab/>
            </w:r>
            <w:r w:rsidRPr="00BC3F72">
              <w:rPr>
                <w:szCs w:val="25"/>
              </w:rPr>
              <w:t>40</w:t>
            </w:r>
          </w:p>
          <w:p w14:paraId="6854A619" w14:textId="77777777" w:rsidR="00B36BAB" w:rsidRPr="00BC3F72"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t>c)</w:t>
            </w:r>
            <w:r>
              <w:rPr>
                <w:szCs w:val="25"/>
              </w:rPr>
              <w:tab/>
            </w:r>
            <w:r w:rsidRPr="00BC3F72">
              <w:rPr>
                <w:szCs w:val="25"/>
              </w:rPr>
              <w:t>41-42</w:t>
            </w:r>
          </w:p>
          <w:p w14:paraId="12750D23" w14:textId="77777777" w:rsidR="00B36BAB"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r>
            <w:r w:rsidRPr="00BC3F72">
              <w:rPr>
                <w:szCs w:val="25"/>
              </w:rPr>
              <w:t>(1)</w:t>
            </w:r>
            <w:r>
              <w:rPr>
                <w:szCs w:val="25"/>
              </w:rPr>
              <w:tab/>
            </w:r>
            <w:r w:rsidRPr="00BC3F72">
              <w:rPr>
                <w:szCs w:val="25"/>
              </w:rPr>
              <w:t>41</w:t>
            </w:r>
          </w:p>
          <w:p w14:paraId="2F85BB74" w14:textId="77777777" w:rsidR="00B36BAB"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r>
            <w:r w:rsidRPr="00BC3F72">
              <w:rPr>
                <w:szCs w:val="25"/>
              </w:rPr>
              <w:t>(2)</w:t>
            </w:r>
            <w:r>
              <w:rPr>
                <w:szCs w:val="25"/>
              </w:rPr>
              <w:tab/>
            </w:r>
            <w:r w:rsidRPr="00BC3F72">
              <w:rPr>
                <w:szCs w:val="25"/>
              </w:rPr>
              <w:t>42ab</w:t>
            </w:r>
          </w:p>
          <w:p w14:paraId="38750C69" w14:textId="77777777" w:rsidR="00B36BAB" w:rsidRPr="00BC3F72"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r>
            <w:r w:rsidRPr="00BC3F72">
              <w:rPr>
                <w:szCs w:val="25"/>
              </w:rPr>
              <w:t>(3)</w:t>
            </w:r>
            <w:r>
              <w:rPr>
                <w:szCs w:val="25"/>
              </w:rPr>
              <w:tab/>
            </w:r>
            <w:r w:rsidRPr="00BC3F72">
              <w:rPr>
                <w:szCs w:val="25"/>
              </w:rPr>
              <w:t>42cd</w:t>
            </w:r>
          </w:p>
          <w:p w14:paraId="7D69E59E" w14:textId="77777777" w:rsidR="00B36BAB"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t>d)</w:t>
            </w:r>
            <w:r>
              <w:rPr>
                <w:szCs w:val="25"/>
              </w:rPr>
              <w:tab/>
            </w:r>
            <w:r w:rsidRPr="00BC3F72">
              <w:rPr>
                <w:szCs w:val="25"/>
              </w:rPr>
              <w:t>43-45</w:t>
            </w:r>
          </w:p>
          <w:p w14:paraId="629AD78E" w14:textId="77777777" w:rsidR="00B36BAB"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r>
            <w:r w:rsidRPr="00BC3F72">
              <w:rPr>
                <w:szCs w:val="25"/>
              </w:rPr>
              <w:t>(1)</w:t>
            </w:r>
            <w:r>
              <w:rPr>
                <w:szCs w:val="25"/>
              </w:rPr>
              <w:tab/>
            </w:r>
            <w:r w:rsidRPr="00BC3F72">
              <w:rPr>
                <w:szCs w:val="25"/>
              </w:rPr>
              <w:t>43</w:t>
            </w:r>
          </w:p>
          <w:p w14:paraId="694C57D9" w14:textId="77777777" w:rsidR="00B36BAB"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r>
            <w:r w:rsidRPr="00BC3F72">
              <w:rPr>
                <w:szCs w:val="25"/>
              </w:rPr>
              <w:t>(2)</w:t>
            </w:r>
            <w:r>
              <w:rPr>
                <w:szCs w:val="25"/>
              </w:rPr>
              <w:tab/>
            </w:r>
            <w:r w:rsidRPr="00BC3F72">
              <w:rPr>
                <w:szCs w:val="25"/>
              </w:rPr>
              <w:t>44a</w:t>
            </w:r>
          </w:p>
          <w:p w14:paraId="30D303F0" w14:textId="77777777" w:rsidR="00B36BAB"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r>
            <w:r w:rsidRPr="00BC3F72">
              <w:rPr>
                <w:szCs w:val="25"/>
              </w:rPr>
              <w:t>(3)</w:t>
            </w:r>
            <w:r>
              <w:rPr>
                <w:szCs w:val="25"/>
              </w:rPr>
              <w:tab/>
            </w:r>
            <w:r w:rsidRPr="00BC3F72">
              <w:rPr>
                <w:szCs w:val="25"/>
              </w:rPr>
              <w:t>44bc</w:t>
            </w:r>
          </w:p>
          <w:p w14:paraId="2A4ADB71" w14:textId="77777777" w:rsidR="00B36BAB"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r>
            <w:r w:rsidRPr="00BC3F72">
              <w:rPr>
                <w:szCs w:val="25"/>
              </w:rPr>
              <w:t>(4)</w:t>
            </w:r>
            <w:r>
              <w:rPr>
                <w:szCs w:val="25"/>
              </w:rPr>
              <w:tab/>
            </w:r>
            <w:r w:rsidRPr="00BC3F72">
              <w:rPr>
                <w:szCs w:val="25"/>
              </w:rPr>
              <w:t>45ab</w:t>
            </w:r>
          </w:p>
          <w:p w14:paraId="14D13BF2" w14:textId="77777777" w:rsidR="00B36BAB" w:rsidRPr="00BC3F72"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Pr>
                <w:szCs w:val="25"/>
              </w:rPr>
              <w:tab/>
            </w:r>
            <w:r w:rsidRPr="00BC3F72">
              <w:rPr>
                <w:szCs w:val="25"/>
              </w:rPr>
              <w:t>(5)</w:t>
            </w:r>
            <w:r>
              <w:rPr>
                <w:szCs w:val="25"/>
              </w:rPr>
              <w:tab/>
            </w:r>
            <w:r w:rsidRPr="00BC3F72">
              <w:rPr>
                <w:szCs w:val="25"/>
              </w:rPr>
              <w:t>45c</w:t>
            </w:r>
          </w:p>
          <w:p w14:paraId="39F567BD" w14:textId="77777777" w:rsidR="00B36BAB" w:rsidRDefault="00B36BAB" w:rsidP="00B36BAB">
            <w:pPr>
              <w:pStyle w:val="Style"/>
              <w:widowControl/>
              <w:tabs>
                <w:tab w:val="left" w:pos="360"/>
                <w:tab w:val="left" w:pos="720"/>
                <w:tab w:val="left" w:pos="1080"/>
                <w:tab w:val="left" w:pos="1440"/>
                <w:tab w:val="left" w:pos="1800"/>
              </w:tabs>
              <w:jc w:val="both"/>
              <w:textAlignment w:val="baseline"/>
              <w:rPr>
                <w:szCs w:val="25"/>
              </w:rPr>
            </w:pPr>
          </w:p>
          <w:p w14:paraId="169999AD" w14:textId="77777777" w:rsidR="00B36BAB" w:rsidRPr="00BC3F72"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3.</w:t>
            </w:r>
            <w:r>
              <w:rPr>
                <w:szCs w:val="25"/>
              </w:rPr>
              <w:tab/>
            </w:r>
            <w:r w:rsidRPr="00BC3F72">
              <w:rPr>
                <w:szCs w:val="25"/>
              </w:rPr>
              <w:t>46-49</w:t>
            </w:r>
          </w:p>
          <w:p w14:paraId="1DA9376C" w14:textId="77777777" w:rsidR="00B36BAB" w:rsidRPr="00BC3F72"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t>1)</w:t>
            </w:r>
            <w:r>
              <w:rPr>
                <w:szCs w:val="25"/>
              </w:rPr>
              <w:tab/>
            </w:r>
            <w:r w:rsidRPr="00BC3F72">
              <w:rPr>
                <w:szCs w:val="25"/>
              </w:rPr>
              <w:t>46</w:t>
            </w:r>
          </w:p>
          <w:p w14:paraId="7FBFFF33" w14:textId="77777777" w:rsidR="00B36BAB" w:rsidRPr="00BC3F72"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t>2)</w:t>
            </w:r>
            <w:r>
              <w:rPr>
                <w:szCs w:val="25"/>
              </w:rPr>
              <w:tab/>
            </w:r>
            <w:r w:rsidRPr="00BC3F72">
              <w:rPr>
                <w:szCs w:val="25"/>
              </w:rPr>
              <w:t>47-49</w:t>
            </w:r>
          </w:p>
          <w:p w14:paraId="03AE46FC" w14:textId="77777777" w:rsidR="00B36BAB"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r>
            <w:r w:rsidRPr="00BC3F72">
              <w:rPr>
                <w:szCs w:val="25"/>
              </w:rPr>
              <w:t>a)</w:t>
            </w:r>
            <w:r>
              <w:rPr>
                <w:szCs w:val="25"/>
              </w:rPr>
              <w:tab/>
            </w:r>
            <w:r w:rsidRPr="00BC3F72">
              <w:rPr>
                <w:szCs w:val="25"/>
              </w:rPr>
              <w:t>47-48</w:t>
            </w:r>
          </w:p>
          <w:p w14:paraId="25097A6A" w14:textId="6C9DFCAF" w:rsidR="00631942" w:rsidRDefault="00B36BAB" w:rsidP="00B36BAB">
            <w:pPr>
              <w:pStyle w:val="Style"/>
              <w:widowControl/>
              <w:tabs>
                <w:tab w:val="left" w:pos="360"/>
                <w:tab w:val="left" w:pos="720"/>
                <w:tab w:val="left" w:pos="1080"/>
                <w:tab w:val="left" w:pos="1440"/>
                <w:tab w:val="left" w:pos="1800"/>
              </w:tabs>
              <w:jc w:val="both"/>
              <w:textAlignment w:val="baseline"/>
              <w:rPr>
                <w:szCs w:val="25"/>
              </w:rPr>
            </w:pPr>
            <w:r>
              <w:rPr>
                <w:szCs w:val="25"/>
              </w:rPr>
              <w:tab/>
            </w:r>
            <w:r>
              <w:rPr>
                <w:szCs w:val="25"/>
              </w:rPr>
              <w:tab/>
              <w:t>b)</w:t>
            </w:r>
            <w:r>
              <w:rPr>
                <w:szCs w:val="25"/>
              </w:rPr>
              <w:tab/>
              <w:t>49</w:t>
            </w:r>
          </w:p>
        </w:tc>
      </w:tr>
      <w:tr w:rsidR="00B36BAB" w14:paraId="0588B4D1" w14:textId="77777777" w:rsidTr="002C2DD6">
        <w:tc>
          <w:tcPr>
            <w:tcW w:w="9576" w:type="dxa"/>
            <w:gridSpan w:val="2"/>
          </w:tcPr>
          <w:p w14:paraId="3F71A30B" w14:textId="316FBF99" w:rsidR="00B36BAB" w:rsidRDefault="00B36BAB" w:rsidP="00B36BAB">
            <w:pPr>
              <w:pStyle w:val="Style"/>
              <w:widowControl/>
              <w:tabs>
                <w:tab w:val="left" w:pos="360"/>
                <w:tab w:val="left" w:pos="720"/>
                <w:tab w:val="left" w:pos="1080"/>
                <w:tab w:val="left" w:pos="1440"/>
              </w:tabs>
              <w:jc w:val="center"/>
              <w:textAlignment w:val="baseline"/>
              <w:rPr>
                <w:szCs w:val="25"/>
              </w:rPr>
            </w:pPr>
            <w:r w:rsidRPr="00BC3F72">
              <w:rPr>
                <w:i/>
                <w:iCs/>
                <w:szCs w:val="25"/>
              </w:rPr>
              <w:lastRenderedPageBreak/>
              <w:t xml:space="preserve">Figure </w:t>
            </w:r>
            <w:r w:rsidR="00083B56">
              <w:rPr>
                <w:i/>
                <w:iCs/>
                <w:szCs w:val="25"/>
              </w:rPr>
              <w:t>9</w:t>
            </w:r>
            <w:r w:rsidRPr="00BC3F72">
              <w:rPr>
                <w:iCs/>
                <w:szCs w:val="25"/>
              </w:rPr>
              <w:t>.</w:t>
            </w:r>
            <w:r w:rsidRPr="00BC3F72">
              <w:rPr>
                <w:i/>
                <w:iCs/>
                <w:szCs w:val="25"/>
              </w:rPr>
              <w:t>1</w:t>
            </w:r>
          </w:p>
        </w:tc>
      </w:tr>
    </w:tbl>
    <w:p w14:paraId="53053248" w14:textId="77777777" w:rsidR="00631942" w:rsidRDefault="00631942" w:rsidP="0018433B">
      <w:pPr>
        <w:pStyle w:val="Style"/>
        <w:widowControl/>
        <w:jc w:val="both"/>
        <w:textAlignment w:val="baseline"/>
        <w:rPr>
          <w:szCs w:val="25"/>
        </w:rPr>
      </w:pPr>
    </w:p>
    <w:p w14:paraId="3ECB61CB" w14:textId="77777777" w:rsidR="00D3796C" w:rsidRPr="00BC3F72" w:rsidRDefault="00D3796C" w:rsidP="00D3796C">
      <w:pPr>
        <w:pStyle w:val="Style"/>
        <w:widowControl/>
        <w:jc w:val="both"/>
        <w:textAlignment w:val="baseline"/>
        <w:rPr>
          <w:szCs w:val="25"/>
        </w:rPr>
      </w:pPr>
      <w:r>
        <w:rPr>
          <w:szCs w:val="25"/>
        </w:rPr>
        <w:tab/>
      </w:r>
      <w:r w:rsidRPr="00BC3F72">
        <w:rPr>
          <w:szCs w:val="25"/>
        </w:rPr>
        <w:t>We have reached the conclusion of our investigation of the logical structure of Luke’s sermon on the plain. In concluding</w:t>
      </w:r>
      <w:r w:rsidRPr="006F304D">
        <w:rPr>
          <w:szCs w:val="25"/>
        </w:rPr>
        <w:t xml:space="preserve">, </w:t>
      </w:r>
      <w:r w:rsidRPr="00BC3F72">
        <w:rPr>
          <w:szCs w:val="25"/>
        </w:rPr>
        <w:t>however</w:t>
      </w:r>
      <w:r w:rsidRPr="006F304D">
        <w:rPr>
          <w:szCs w:val="25"/>
        </w:rPr>
        <w:t xml:space="preserve">, </w:t>
      </w:r>
      <w:r w:rsidRPr="00BC3F72">
        <w:rPr>
          <w:szCs w:val="25"/>
        </w:rPr>
        <w:t>I would like to add a final comment in support of the understanding of the structure which I have proposed in this chapter.</w:t>
      </w:r>
    </w:p>
    <w:p w14:paraId="2C0D5CB0" w14:textId="7B4D006F" w:rsidR="0018433B" w:rsidRPr="00BC3F72" w:rsidRDefault="00D3796C" w:rsidP="0018433B">
      <w:pPr>
        <w:pStyle w:val="Style"/>
        <w:widowControl/>
        <w:jc w:val="both"/>
        <w:textAlignment w:val="baseline"/>
        <w:rPr>
          <w:szCs w:val="25"/>
        </w:rPr>
      </w:pPr>
      <w:r>
        <w:rPr>
          <w:szCs w:val="25"/>
        </w:rPr>
        <w:tab/>
      </w:r>
      <w:r w:rsidR="0018433B" w:rsidRPr="00BC3F72">
        <w:rPr>
          <w:szCs w:val="25"/>
        </w:rPr>
        <w:t>The divisions of the minority of the commentators</w:t>
      </w:r>
      <w:r w:rsidR="006F304D" w:rsidRPr="006F304D">
        <w:rPr>
          <w:szCs w:val="25"/>
        </w:rPr>
        <w:t xml:space="preserve">, </w:t>
      </w:r>
      <w:r w:rsidR="0018433B" w:rsidRPr="00BC3F72">
        <w:rPr>
          <w:szCs w:val="25"/>
        </w:rPr>
        <w:t>which we have adopted</w:t>
      </w:r>
      <w:r w:rsidR="006F304D" w:rsidRPr="006F304D">
        <w:rPr>
          <w:szCs w:val="25"/>
        </w:rPr>
        <w:t xml:space="preserve">, </w:t>
      </w:r>
      <w:r w:rsidR="0018433B" w:rsidRPr="00BC3F72">
        <w:rPr>
          <w:szCs w:val="25"/>
        </w:rPr>
        <w:t xml:space="preserve">show more respect for the historical development of the sermon than do the divisions of the majority. Everything is </w:t>
      </w:r>
      <w:r w:rsidR="0018433B" w:rsidRPr="00BC3F72">
        <w:rPr>
          <w:i/>
          <w:iCs/>
          <w:szCs w:val="25"/>
        </w:rPr>
        <w:t>not</w:t>
      </w:r>
      <w:r w:rsidR="0018433B" w:rsidRPr="00D3796C">
        <w:rPr>
          <w:szCs w:val="25"/>
        </w:rPr>
        <w:t xml:space="preserve"> </w:t>
      </w:r>
      <w:r w:rsidR="0018433B" w:rsidRPr="00BC3F72">
        <w:rPr>
          <w:szCs w:val="25"/>
        </w:rPr>
        <w:t xml:space="preserve">neat in the sermon: there are </w:t>
      </w:r>
      <w:proofErr w:type="spellStart"/>
      <w:r w:rsidR="0018433B" w:rsidRPr="00BC3F72">
        <w:rPr>
          <w:szCs w:val="25"/>
        </w:rPr>
        <w:t>rufflings</w:t>
      </w:r>
      <w:proofErr w:type="spellEnd"/>
      <w:r w:rsidR="0018433B" w:rsidRPr="00BC3F72">
        <w:rPr>
          <w:szCs w:val="25"/>
        </w:rPr>
        <w:t xml:space="preserve"> of its surface that have resulted both from the period of oral tradition which came before its composition (</w:t>
      </w:r>
      <w:r>
        <w:rPr>
          <w:szCs w:val="25"/>
        </w:rPr>
        <w:t xml:space="preserve">before and </w:t>
      </w:r>
      <w:r w:rsidR="0018433B" w:rsidRPr="00BC3F72">
        <w:rPr>
          <w:szCs w:val="25"/>
        </w:rPr>
        <w:t>during the creation</w:t>
      </w:r>
      <w:r>
        <w:rPr>
          <w:szCs w:val="25"/>
        </w:rPr>
        <w:t xml:space="preserve">, </w:t>
      </w:r>
      <w:r w:rsidRPr="00BC3F72">
        <w:rPr>
          <w:szCs w:val="25"/>
        </w:rPr>
        <w:t>presumably</w:t>
      </w:r>
      <w:r>
        <w:rPr>
          <w:szCs w:val="25"/>
        </w:rPr>
        <w:t>,</w:t>
      </w:r>
      <w:r w:rsidR="0018433B" w:rsidRPr="00BC3F72">
        <w:rPr>
          <w:szCs w:val="25"/>
        </w:rPr>
        <w:t xml:space="preserve"> of the </w:t>
      </w:r>
      <w:r w:rsidR="0018433B" w:rsidRPr="00BC3F72">
        <w:rPr>
          <w:rFonts w:eastAsia="Arial"/>
          <w:szCs w:val="25"/>
        </w:rPr>
        <w:t xml:space="preserve">Q </w:t>
      </w:r>
      <w:r w:rsidR="0018433B" w:rsidRPr="00BC3F72">
        <w:rPr>
          <w:szCs w:val="25"/>
        </w:rPr>
        <w:t>document) and from the period of written redaction which came after it. The expansions of the beatitude and the woe that deal with persecution (verses 22-23 and 26); the intrusion of the ethics of material possessions in verses 30</w:t>
      </w:r>
      <w:r w:rsidR="006F304D" w:rsidRPr="006F304D">
        <w:rPr>
          <w:szCs w:val="25"/>
        </w:rPr>
        <w:t xml:space="preserve">, </w:t>
      </w:r>
      <w:r w:rsidR="0018433B" w:rsidRPr="00BC3F72">
        <w:rPr>
          <w:szCs w:val="25"/>
        </w:rPr>
        <w:t>34</w:t>
      </w:r>
      <w:r w:rsidR="006F304D" w:rsidRPr="006F304D">
        <w:rPr>
          <w:szCs w:val="25"/>
        </w:rPr>
        <w:t xml:space="preserve">, </w:t>
      </w:r>
      <w:r w:rsidR="0018433B" w:rsidRPr="00BC3F72">
        <w:rPr>
          <w:szCs w:val="25"/>
        </w:rPr>
        <w:t>35a</w:t>
      </w:r>
      <w:r w:rsidR="006F304D" w:rsidRPr="006F304D">
        <w:rPr>
          <w:szCs w:val="25"/>
        </w:rPr>
        <w:t xml:space="preserve">, </w:t>
      </w:r>
      <w:r w:rsidR="0018433B" w:rsidRPr="00BC3F72">
        <w:rPr>
          <w:szCs w:val="25"/>
        </w:rPr>
        <w:t>and 38a; the two motivations for love</w:t>
      </w:r>
      <w:r>
        <w:rPr>
          <w:szCs w:val="25"/>
        </w:rPr>
        <w:t xml:space="preserve"> </w:t>
      </w:r>
      <w:r w:rsidR="0018433B" w:rsidRPr="00BC3F72">
        <w:rPr>
          <w:szCs w:val="25"/>
        </w:rPr>
        <w:t>of enemies</w:t>
      </w:r>
      <w:r>
        <w:rPr>
          <w:szCs w:val="25"/>
        </w:rPr>
        <w:t xml:space="preserve"> (31, 35-36)</w:t>
      </w:r>
      <w:r w:rsidR="0018433B" w:rsidRPr="00BC3F72">
        <w:rPr>
          <w:szCs w:val="25"/>
        </w:rPr>
        <w:t>; the insertion of the “blind man” and the “disciple and teacher” sayings</w:t>
      </w:r>
      <w:r>
        <w:rPr>
          <w:szCs w:val="25"/>
        </w:rPr>
        <w:t xml:space="preserve"> (39, 40)</w:t>
      </w:r>
      <w:r w:rsidR="0018433B" w:rsidRPr="00BC3F72">
        <w:rPr>
          <w:szCs w:val="25"/>
        </w:rPr>
        <w:t>; the clumsy movements from general to specific and from specific to general in verses 43-45: these and other traces of the text’s history must not be ignored</w:t>
      </w:r>
      <w:r w:rsidR="006F304D" w:rsidRPr="006F304D">
        <w:rPr>
          <w:szCs w:val="25"/>
        </w:rPr>
        <w:t xml:space="preserve">, </w:t>
      </w:r>
      <w:r w:rsidR="0018433B" w:rsidRPr="00BC3F72">
        <w:rPr>
          <w:szCs w:val="25"/>
        </w:rPr>
        <w:t>whether from a desire for symmetry or whether from a reveren</w:t>
      </w:r>
      <w:r w:rsidR="0018433B">
        <w:rPr>
          <w:szCs w:val="25"/>
        </w:rPr>
        <w:t>ce</w:t>
      </w:r>
      <w:r w:rsidR="006F304D" w:rsidRPr="006F304D">
        <w:rPr>
          <w:szCs w:val="25"/>
        </w:rPr>
        <w:t xml:space="preserve">, </w:t>
      </w:r>
      <w:proofErr w:type="spellStart"/>
      <w:r w:rsidR="0018433B">
        <w:rPr>
          <w:szCs w:val="25"/>
        </w:rPr>
        <w:t>laudible</w:t>
      </w:r>
      <w:proofErr w:type="spellEnd"/>
      <w:r w:rsidR="0018433B">
        <w:rPr>
          <w:szCs w:val="25"/>
        </w:rPr>
        <w:t xml:space="preserve"> </w:t>
      </w:r>
      <w:r>
        <w:rPr>
          <w:szCs w:val="25"/>
        </w:rPr>
        <w:t>but</w:t>
      </w:r>
      <w:r w:rsidR="0018433B">
        <w:rPr>
          <w:szCs w:val="25"/>
        </w:rPr>
        <w:t xml:space="preserve"> na</w:t>
      </w:r>
      <w:r>
        <w:rPr>
          <w:szCs w:val="25"/>
        </w:rPr>
        <w:t>ï</w:t>
      </w:r>
      <w:r w:rsidR="0018433B">
        <w:rPr>
          <w:szCs w:val="25"/>
        </w:rPr>
        <w:t>ve</w:t>
      </w:r>
      <w:r w:rsidR="006F304D" w:rsidRPr="006F304D">
        <w:rPr>
          <w:szCs w:val="25"/>
        </w:rPr>
        <w:t xml:space="preserve">, </w:t>
      </w:r>
      <w:r w:rsidR="0018433B">
        <w:rPr>
          <w:szCs w:val="25"/>
        </w:rPr>
        <w:t>which au</w:t>
      </w:r>
      <w:r w:rsidR="0018433B" w:rsidRPr="00BC3F72">
        <w:rPr>
          <w:szCs w:val="25"/>
        </w:rPr>
        <w:t>tomatically excludes aesthetic flaws from a text merely on the basis of its inerrancy.</w:t>
      </w:r>
      <w:r>
        <w:rPr>
          <w:szCs w:val="25"/>
        </w:rPr>
        <w:t xml:space="preserve"> </w:t>
      </w:r>
      <w:r w:rsidR="0018433B" w:rsidRPr="00BC3F72">
        <w:rPr>
          <w:szCs w:val="25"/>
        </w:rPr>
        <w:t xml:space="preserve">And granted that the text with which we must deal is the biblical passage in its final form </w:t>
      </w:r>
      <w:r w:rsidR="0018433B">
        <w:rPr>
          <w:szCs w:val="25"/>
        </w:rPr>
        <w:t>(</w:t>
      </w:r>
      <w:r w:rsidR="0018433B" w:rsidRPr="00BC3F72">
        <w:rPr>
          <w:szCs w:val="25"/>
        </w:rPr>
        <w:t>as the canonical and narrative critics tirelessly remind us)</w:t>
      </w:r>
      <w:r w:rsidR="006F304D" w:rsidRPr="006F304D">
        <w:rPr>
          <w:szCs w:val="25"/>
        </w:rPr>
        <w:t xml:space="preserve">, </w:t>
      </w:r>
      <w:r w:rsidR="0018433B" w:rsidRPr="00BC3F72">
        <w:rPr>
          <w:szCs w:val="25"/>
        </w:rPr>
        <w:t>still</w:t>
      </w:r>
      <w:r w:rsidR="006F304D" w:rsidRPr="006F304D">
        <w:rPr>
          <w:szCs w:val="25"/>
        </w:rPr>
        <w:t xml:space="preserve">, </w:t>
      </w:r>
      <w:r w:rsidR="0018433B" w:rsidRPr="00BC3F72">
        <w:rPr>
          <w:szCs w:val="25"/>
        </w:rPr>
        <w:t xml:space="preserve">Luke has not smoothed away the </w:t>
      </w:r>
      <w:proofErr w:type="spellStart"/>
      <w:r w:rsidR="0018433B" w:rsidRPr="00BC3F72">
        <w:rPr>
          <w:szCs w:val="25"/>
        </w:rPr>
        <w:t>roughnesses</w:t>
      </w:r>
      <w:proofErr w:type="spellEnd"/>
      <w:r w:rsidR="0018433B" w:rsidRPr="00BC3F72">
        <w:rPr>
          <w:szCs w:val="25"/>
        </w:rPr>
        <w:t xml:space="preserve"> of his sermon. We</w:t>
      </w:r>
      <w:r w:rsidR="006F304D" w:rsidRPr="006F304D">
        <w:rPr>
          <w:szCs w:val="25"/>
        </w:rPr>
        <w:t xml:space="preserve">, </w:t>
      </w:r>
      <w:r w:rsidR="0018433B" w:rsidRPr="00BC3F72">
        <w:rPr>
          <w:szCs w:val="25"/>
        </w:rPr>
        <w:t>too</w:t>
      </w:r>
      <w:r w:rsidR="006F304D" w:rsidRPr="006F304D">
        <w:rPr>
          <w:szCs w:val="25"/>
        </w:rPr>
        <w:t xml:space="preserve">, </w:t>
      </w:r>
      <w:r w:rsidR="0018433B" w:rsidRPr="00BC3F72">
        <w:rPr>
          <w:szCs w:val="25"/>
        </w:rPr>
        <w:t>should go and do likewise.</w:t>
      </w:r>
    </w:p>
    <w:p w14:paraId="17A9A448" w14:textId="77777777" w:rsidR="0018433B" w:rsidRDefault="0018433B">
      <w:r>
        <w:br w:type="page"/>
      </w:r>
    </w:p>
    <w:p w14:paraId="7356E3C8" w14:textId="51BF65DA" w:rsidR="0018433B" w:rsidRPr="008F699A" w:rsidRDefault="0018433B" w:rsidP="008F699A">
      <w:pPr>
        <w:pStyle w:val="Heading1"/>
      </w:pPr>
      <w:r w:rsidRPr="008F699A">
        <w:lastRenderedPageBreak/>
        <w:fldChar w:fldCharType="begin"/>
      </w:r>
      <w:r w:rsidRPr="008F699A">
        <w:rPr>
          <w:sz w:val="22"/>
        </w:rPr>
        <w:instrText xml:space="preserve"> SEQ CHAPTER \h \r 1</w:instrText>
      </w:r>
      <w:r w:rsidRPr="008F699A">
        <w:rPr>
          <w:sz w:val="22"/>
        </w:rPr>
        <w:fldChar w:fldCharType="end"/>
      </w:r>
      <w:bookmarkStart w:id="73" w:name="_Toc147618644"/>
      <w:r w:rsidR="008F699A" w:rsidRPr="008F699A">
        <w:t xml:space="preserve">Chapter </w:t>
      </w:r>
      <w:r w:rsidRPr="008F699A">
        <w:t>10</w:t>
      </w:r>
      <w:r w:rsidR="008F699A" w:rsidRPr="008F699A">
        <w:t>: Contentual Criteria</w:t>
      </w:r>
      <w:r w:rsidRPr="008F699A">
        <w:t>:</w:t>
      </w:r>
      <w:bookmarkEnd w:id="73"/>
    </w:p>
    <w:p w14:paraId="676D581B" w14:textId="36618054" w:rsidR="0018433B" w:rsidRPr="008F699A" w:rsidRDefault="008F699A" w:rsidP="008F699A">
      <w:pPr>
        <w:pStyle w:val="Heading1"/>
      </w:pPr>
      <w:bookmarkStart w:id="74" w:name="_Toc147618645"/>
      <w:r w:rsidRPr="008F699A">
        <w:t xml:space="preserve">Parallelism </w:t>
      </w:r>
      <w:r>
        <w:t>a</w:t>
      </w:r>
      <w:r w:rsidRPr="008F699A">
        <w:t>nd Catchwords</w:t>
      </w:r>
      <w:bookmarkEnd w:id="74"/>
    </w:p>
    <w:p w14:paraId="68D9E5BD" w14:textId="77777777" w:rsidR="0018433B" w:rsidRPr="00402A73" w:rsidRDefault="0018433B" w:rsidP="0018433B">
      <w:pPr>
        <w:widowControl w:val="0"/>
        <w:tabs>
          <w:tab w:val="center" w:pos="4680"/>
        </w:tabs>
      </w:pPr>
    </w:p>
    <w:p w14:paraId="0A4F6D03" w14:textId="77777777" w:rsidR="0018433B" w:rsidRPr="00402A73" w:rsidRDefault="0018433B" w:rsidP="0018433B">
      <w:pPr>
        <w:widowControl w:val="0"/>
      </w:pPr>
    </w:p>
    <w:p w14:paraId="739C15BD" w14:textId="55B70775" w:rsidR="0018433B" w:rsidRDefault="0018433B" w:rsidP="0018433B">
      <w:pPr>
        <w:widowControl w:val="0"/>
      </w:pPr>
      <w:r w:rsidRPr="00402A73">
        <w:tab/>
        <w:t>Logical outlining of the sermon on the plain—that is</w:t>
      </w:r>
      <w:r w:rsidR="006F304D" w:rsidRPr="006F304D">
        <w:t xml:space="preserve">, </w:t>
      </w:r>
      <w:r w:rsidRPr="00402A73">
        <w:t>dividing it on the basis of continuity or change of subject matter</w:t>
      </w:r>
      <w:r w:rsidR="006F304D" w:rsidRPr="006F304D">
        <w:t xml:space="preserve">, </w:t>
      </w:r>
      <w:r w:rsidRPr="00402A73">
        <w:t>as in the two preceding chapters—is the most obvious and the most common way to decide the sermon’s structure.</w:t>
      </w:r>
      <w:r w:rsidR="000151C8" w:rsidRPr="000151C8">
        <w:rPr>
          <w:iCs/>
        </w:rPr>
        <w:t xml:space="preserve"> </w:t>
      </w:r>
      <w:r w:rsidRPr="00402A73">
        <w:t xml:space="preserve">But there are other </w:t>
      </w:r>
      <w:proofErr w:type="spellStart"/>
      <w:r w:rsidRPr="00402A73">
        <w:t>contentual</w:t>
      </w:r>
      <w:proofErr w:type="spellEnd"/>
      <w:r w:rsidRPr="00402A73">
        <w:t xml:space="preserve"> criteria for determining the structure of the sermon</w:t>
      </w:r>
      <w:r w:rsidR="006F304D" w:rsidRPr="006F304D">
        <w:t xml:space="preserve">, </w:t>
      </w:r>
      <w:r w:rsidRPr="00402A73">
        <w:t>as we found in our elaboration of a typology of rhetorical structures.</w:t>
      </w:r>
      <w:r w:rsidRPr="00402A73">
        <w:rPr>
          <w:vertAlign w:val="superscript"/>
        </w:rPr>
        <w:footnoteReference w:id="696"/>
      </w:r>
      <w:r w:rsidR="000151C8" w:rsidRPr="000151C8">
        <w:rPr>
          <w:iCs/>
        </w:rPr>
        <w:t xml:space="preserve"> </w:t>
      </w:r>
      <w:r w:rsidRPr="00402A73">
        <w:t>Dupont counsels that in assessing the structure of the sermon</w:t>
      </w:r>
      <w:r w:rsidR="006F304D" w:rsidRPr="006F304D">
        <w:t xml:space="preserve">, </w:t>
      </w:r>
      <w:r w:rsidRPr="00402A73">
        <w:t>one should begin</w:t>
      </w:r>
    </w:p>
    <w:p w14:paraId="394E49A5" w14:textId="77777777" w:rsidR="005C0AF9" w:rsidRPr="00402A73" w:rsidRDefault="005C0AF9" w:rsidP="0018433B">
      <w:pPr>
        <w:widowControl w:val="0"/>
      </w:pPr>
    </w:p>
    <w:p w14:paraId="45FAE913" w14:textId="1D5B5CF9" w:rsidR="0018433B" w:rsidRPr="00402A73" w:rsidRDefault="0018433B" w:rsidP="0018433B">
      <w:pPr>
        <w:widowControl w:val="0"/>
        <w:ind w:left="720" w:right="720"/>
      </w:pPr>
      <w:r w:rsidRPr="00402A73">
        <w:t>by determining the criteria for a plan which have some chance of being objective.</w:t>
      </w:r>
      <w:r w:rsidR="000151C8" w:rsidRPr="000151C8">
        <w:rPr>
          <w:iCs/>
        </w:rPr>
        <w:t xml:space="preserve"> </w:t>
      </w:r>
      <w:r w:rsidRPr="00402A73">
        <w:t>We know that one must seek for these criteria</w:t>
      </w:r>
      <w:r w:rsidR="006F304D" w:rsidRPr="006F304D">
        <w:t xml:space="preserve">, </w:t>
      </w:r>
      <w:r w:rsidRPr="00402A73">
        <w:t>not among our own tastes or the preoccupations of our time</w:t>
      </w:r>
      <w:r w:rsidR="006F304D" w:rsidRPr="006F304D">
        <w:t xml:space="preserve">, </w:t>
      </w:r>
      <w:r w:rsidRPr="00402A73">
        <w:t>but in the preoccupations which were prevalent at the time of the text’s composition.</w:t>
      </w:r>
      <w:r w:rsidR="00E04A26">
        <w:t xml:space="preserve"> . . . </w:t>
      </w:r>
      <w:r w:rsidRPr="00402A73">
        <w:t>A logical classification of the subjects treated does not necessarily correspond better to the idea that Luke made use of in [the sermon’s] organization.</w:t>
      </w:r>
      <w:r w:rsidRPr="00402A73">
        <w:rPr>
          <w:vertAlign w:val="superscript"/>
        </w:rPr>
        <w:footnoteReference w:id="697"/>
      </w:r>
    </w:p>
    <w:p w14:paraId="4D97DB79" w14:textId="77777777" w:rsidR="005C0AF9" w:rsidRDefault="005C0AF9" w:rsidP="0018433B">
      <w:pPr>
        <w:widowControl w:val="0"/>
      </w:pPr>
    </w:p>
    <w:p w14:paraId="45CC49A8" w14:textId="0A50BB07" w:rsidR="0018433B" w:rsidRPr="00402A73" w:rsidRDefault="0018433B" w:rsidP="0018433B">
      <w:pPr>
        <w:widowControl w:val="0"/>
      </w:pPr>
      <w:r w:rsidRPr="00402A73">
        <w:tab/>
        <w:t>These “preoccupations” or “ideas” of organization</w:t>
      </w:r>
      <w:r w:rsidR="006F304D" w:rsidRPr="006F304D">
        <w:t xml:space="preserve">, </w:t>
      </w:r>
      <w:r w:rsidRPr="00402A73">
        <w:t>thought to be especially common in Luke’s day</w:t>
      </w:r>
      <w:r w:rsidR="006F304D" w:rsidRPr="006F304D">
        <w:t xml:space="preserve">, </w:t>
      </w:r>
      <w:r w:rsidRPr="00402A73">
        <w:t xml:space="preserve">will be dealt with in this chapter; we will consider whether or not </w:t>
      </w:r>
      <w:proofErr w:type="spellStart"/>
      <w:r w:rsidRPr="00402A73">
        <w:t>contentual</w:t>
      </w:r>
      <w:proofErr w:type="spellEnd"/>
      <w:r w:rsidRPr="00402A73">
        <w:t xml:space="preserve"> principles of structuring other than logical outlining may have been at work in Luke’s design of the sermon on the plain. The content-based criteria in chapter 5,</w:t>
      </w:r>
      <w:commentRangeStart w:id="75"/>
      <w:commentRangeEnd w:id="75"/>
      <w:r w:rsidRPr="00402A73">
        <w:rPr>
          <w:vanish/>
        </w:rPr>
        <w:commentReference w:id="75"/>
      </w:r>
      <w:r w:rsidRPr="00402A73">
        <w:t xml:space="preserve"> in addition to logical outlining</w:t>
      </w:r>
      <w:r w:rsidR="006F304D" w:rsidRPr="006F304D">
        <w:t xml:space="preserve">, </w:t>
      </w:r>
      <w:r w:rsidRPr="00402A73">
        <w:t>were parallelism and catchwords.</w:t>
      </w:r>
      <w:commentRangeStart w:id="76"/>
      <w:commentRangeEnd w:id="76"/>
      <w:r w:rsidRPr="00402A73">
        <w:rPr>
          <w:vanish/>
        </w:rPr>
        <w:commentReference w:id="76"/>
      </w:r>
    </w:p>
    <w:p w14:paraId="49327E02" w14:textId="31A228A1" w:rsidR="0018433B" w:rsidRPr="00402A73" w:rsidRDefault="0018433B" w:rsidP="0018433B">
      <w:pPr>
        <w:widowControl w:val="0"/>
      </w:pPr>
    </w:p>
    <w:p w14:paraId="3118F39C" w14:textId="0C01FAAC" w:rsidR="0018433B" w:rsidRPr="00402A73" w:rsidRDefault="0018433B" w:rsidP="008F699A">
      <w:pPr>
        <w:pStyle w:val="Heading2"/>
      </w:pPr>
      <w:bookmarkStart w:id="77" w:name="_Toc147618646"/>
      <w:r w:rsidRPr="00402A73">
        <w:t>1.</w:t>
      </w:r>
      <w:r w:rsidR="000151C8" w:rsidRPr="000151C8">
        <w:rPr>
          <w:iCs/>
        </w:rPr>
        <w:t xml:space="preserve"> </w:t>
      </w:r>
      <w:r w:rsidRPr="00402A73">
        <w:t>Parallelism</w:t>
      </w:r>
      <w:bookmarkEnd w:id="77"/>
    </w:p>
    <w:p w14:paraId="25467C31" w14:textId="77777777" w:rsidR="0018433B" w:rsidRPr="00402A73" w:rsidRDefault="0018433B" w:rsidP="0018433B">
      <w:pPr>
        <w:widowControl w:val="0"/>
      </w:pPr>
    </w:p>
    <w:p w14:paraId="1C173972" w14:textId="221D6110" w:rsidR="0018433B" w:rsidRPr="00402A73" w:rsidRDefault="0018433B" w:rsidP="0018433B">
      <w:pPr>
        <w:widowControl w:val="0"/>
      </w:pPr>
      <w:r w:rsidRPr="00402A73">
        <w:tab/>
        <w:t>We have already considered Jesus’ use of parallelism in our theoretical discussion of parallelism.</w:t>
      </w:r>
      <w:r w:rsidRPr="00402A73">
        <w:rPr>
          <w:vertAlign w:val="superscript"/>
        </w:rPr>
        <w:footnoteReference w:id="698"/>
      </w:r>
      <w:r w:rsidRPr="00402A73">
        <w:t xml:space="preserve"> There we concluded that Jesus frequently used antithetic parallelism</w:t>
      </w:r>
      <w:r w:rsidR="006F304D" w:rsidRPr="006F304D">
        <w:t xml:space="preserve">, </w:t>
      </w:r>
      <w:r w:rsidRPr="00402A73">
        <w:t>sometimes used synonymous parallelism</w:t>
      </w:r>
      <w:r w:rsidR="006F304D" w:rsidRPr="006F304D">
        <w:t xml:space="preserve">, </w:t>
      </w:r>
      <w:r w:rsidRPr="00402A73">
        <w:t>but rarely used synthetic or step parallelism.</w:t>
      </w:r>
    </w:p>
    <w:p w14:paraId="4203957E" w14:textId="35B0A502" w:rsidR="0018433B" w:rsidRPr="00402A73" w:rsidRDefault="0018433B" w:rsidP="0018433B">
      <w:pPr>
        <w:widowControl w:val="0"/>
      </w:pPr>
      <w:r w:rsidRPr="00402A73">
        <w:tab/>
        <w:t>Might some of the instances of parallelism in Jesus’ sayings be attributable to Luke?</w:t>
      </w:r>
      <w:r w:rsidR="000151C8" w:rsidRPr="000151C8">
        <w:rPr>
          <w:iCs/>
        </w:rPr>
        <w:t xml:space="preserve"> </w:t>
      </w:r>
      <w:r w:rsidRPr="00402A73">
        <w:t>Morgenthaler has noted that “</w:t>
      </w:r>
      <w:proofErr w:type="spellStart"/>
      <w:r w:rsidRPr="00402A73">
        <w:rPr>
          <w:i/>
        </w:rPr>
        <w:t>parallelismus</w:t>
      </w:r>
      <w:proofErr w:type="spellEnd"/>
      <w:r w:rsidRPr="00402A73">
        <w:rPr>
          <w:i/>
        </w:rPr>
        <w:t xml:space="preserve"> </w:t>
      </w:r>
      <w:proofErr w:type="spellStart"/>
      <w:r w:rsidRPr="00402A73">
        <w:rPr>
          <w:i/>
        </w:rPr>
        <w:t>membrorum</w:t>
      </w:r>
      <w:proofErr w:type="spellEnd"/>
      <w:r w:rsidRPr="00402A73">
        <w:t xml:space="preserve"> [can] quite easily form units with four members,”</w:t>
      </w:r>
      <w:r w:rsidRPr="00402A73">
        <w:rPr>
          <w:vertAlign w:val="superscript"/>
        </w:rPr>
        <w:footnoteReference w:id="699"/>
      </w:r>
      <w:r w:rsidRPr="00402A73">
        <w:t xml:space="preserve"> and this can be seen in Jesus’ Q sayings and in Mark as well; since Luke creates more of these </w:t>
      </w:r>
      <w:proofErr w:type="spellStart"/>
      <w:r w:rsidRPr="00402A73">
        <w:rPr>
          <w:i/>
        </w:rPr>
        <w:t>Viererparallelismen</w:t>
      </w:r>
      <w:proofErr w:type="spellEnd"/>
      <w:r w:rsidR="006F304D" w:rsidRPr="006F304D">
        <w:t xml:space="preserve">, </w:t>
      </w:r>
      <w:r w:rsidRPr="00402A73">
        <w:t xml:space="preserve">Morgenthaler assumes a greater influence of Hebrew parallelism on </w:t>
      </w:r>
      <w:r w:rsidRPr="00402A73">
        <w:lastRenderedPageBreak/>
        <w:t>him than on Jesus or Mark.</w:t>
      </w:r>
      <w:r w:rsidRPr="00402A73">
        <w:rPr>
          <w:vertAlign w:val="superscript"/>
        </w:rPr>
        <w:footnoteReference w:id="700"/>
      </w:r>
      <w:r w:rsidRPr="00402A73">
        <w:t xml:space="preserve"> If one asks further</w:t>
      </w:r>
      <w:r w:rsidR="006F304D" w:rsidRPr="006F304D">
        <w:t xml:space="preserve">, </w:t>
      </w:r>
      <w:r w:rsidRPr="00402A73">
        <w:t>whence comes Luke’s penchant for parallelism</w:t>
      </w:r>
      <w:r w:rsidR="006F304D" w:rsidRPr="006F304D">
        <w:t xml:space="preserve">, </w:t>
      </w:r>
      <w:r w:rsidRPr="00402A73">
        <w:t>Morgenthaler replies: from his knowledge of the Septuagint—ultimately</w:t>
      </w:r>
      <w:r w:rsidR="006F304D" w:rsidRPr="006F304D">
        <w:t xml:space="preserve">, </w:t>
      </w:r>
      <w:r w:rsidRPr="00402A73">
        <w:t>then</w:t>
      </w:r>
      <w:r w:rsidR="006F304D" w:rsidRPr="006F304D">
        <w:t xml:space="preserve">, </w:t>
      </w:r>
      <w:r w:rsidRPr="00402A73">
        <w:t xml:space="preserve">from </w:t>
      </w:r>
      <w:proofErr w:type="spellStart"/>
      <w:r w:rsidRPr="00402A73">
        <w:rPr>
          <w:i/>
        </w:rPr>
        <w:t>parallelismus</w:t>
      </w:r>
      <w:proofErr w:type="spellEnd"/>
      <w:r w:rsidRPr="00402A73">
        <w:rPr>
          <w:i/>
        </w:rPr>
        <w:t xml:space="preserve"> </w:t>
      </w:r>
      <w:proofErr w:type="spellStart"/>
      <w:r w:rsidRPr="00402A73">
        <w:rPr>
          <w:i/>
        </w:rPr>
        <w:t>membrorum</w:t>
      </w:r>
      <w:proofErr w:type="spellEnd"/>
      <w:r w:rsidRPr="00402A73">
        <w:t xml:space="preserve"> in the Hebrew Bible.</w:t>
      </w:r>
      <w:r w:rsidRPr="00402A73">
        <w:rPr>
          <w:vertAlign w:val="superscript"/>
        </w:rPr>
        <w:footnoteReference w:id="701"/>
      </w:r>
      <w:r w:rsidR="000151C8" w:rsidRPr="000151C8">
        <w:rPr>
          <w:iCs/>
        </w:rPr>
        <w:t xml:space="preserve"> </w:t>
      </w:r>
      <w:r w:rsidRPr="00402A73">
        <w:t>Thus</w:t>
      </w:r>
      <w:r w:rsidR="006F304D" w:rsidRPr="006F304D">
        <w:t xml:space="preserve">, </w:t>
      </w:r>
      <w:r w:rsidRPr="00402A73">
        <w:t>some of the instances of parallelism in Jesus’ sayings (and therefore perhaps in the sermon on the plain) may be Lukan creations.</w:t>
      </w:r>
    </w:p>
    <w:p w14:paraId="1E8ADCC4" w14:textId="10631817" w:rsidR="0018433B" w:rsidRDefault="0018433B" w:rsidP="0018433B">
      <w:pPr>
        <w:widowControl w:val="0"/>
      </w:pPr>
      <w:r w:rsidRPr="00402A73">
        <w:tab/>
        <w:t>Other scholars have concluded just the opposite: Luke avoided parallelism</w:t>
      </w:r>
      <w:r w:rsidR="006F304D" w:rsidRPr="006F304D">
        <w:t xml:space="preserve">, </w:t>
      </w:r>
      <w:r w:rsidRPr="00402A73">
        <w:t xml:space="preserve">finding it too Semitic either for his own </w:t>
      </w:r>
      <w:r w:rsidR="0027511E" w:rsidRPr="00402A73">
        <w:t xml:space="preserve">taste </w:t>
      </w:r>
      <w:r w:rsidRPr="00402A73">
        <w:t>or his audience’s.</w:t>
      </w:r>
      <w:r w:rsidR="000151C8" w:rsidRPr="000151C8">
        <w:rPr>
          <w:iCs/>
        </w:rPr>
        <w:t xml:space="preserve"> </w:t>
      </w:r>
      <w:r w:rsidRPr="00402A73">
        <w:t>According to Burney,</w:t>
      </w:r>
    </w:p>
    <w:p w14:paraId="07E5E761" w14:textId="77777777" w:rsidR="00084A25" w:rsidRPr="00402A73" w:rsidRDefault="00084A25" w:rsidP="0018433B">
      <w:pPr>
        <w:widowControl w:val="0"/>
      </w:pPr>
    </w:p>
    <w:p w14:paraId="50440473" w14:textId="33279875" w:rsidR="0018433B" w:rsidRPr="00402A73" w:rsidRDefault="0018433B" w:rsidP="0018433B">
      <w:pPr>
        <w:widowControl w:val="0"/>
        <w:ind w:left="720" w:right="720"/>
      </w:pPr>
      <w:r w:rsidRPr="00402A73">
        <w:t xml:space="preserve">characteristic forms of parallelism standing in Matthew </w:t>
      </w:r>
      <w:r w:rsidR="0027511E">
        <w:t xml:space="preserve">. . . </w:t>
      </w:r>
      <w:r w:rsidRPr="00402A73">
        <w:t>are so modified in Luke as to destroy their form. The substance of the saying is there</w:t>
      </w:r>
      <w:r w:rsidR="006F304D" w:rsidRPr="006F304D">
        <w:t xml:space="preserve">, </w:t>
      </w:r>
      <w:r w:rsidRPr="00402A73">
        <w:t>but not its characteristically Semitic form of presentation. It surely follows from this fact that to Luke with his Greek training the Synonymous and Antithetical forms of parallelism appeared in some cases at least to exhibit a redundancy which was somewhat unattractive</w:t>
      </w:r>
      <w:r w:rsidR="0027511E">
        <w:t xml:space="preserve"> . . .</w:t>
      </w:r>
      <w:r w:rsidRPr="00402A73">
        <w:rPr>
          <w:vertAlign w:val="superscript"/>
        </w:rPr>
        <w:footnoteReference w:id="702"/>
      </w:r>
    </w:p>
    <w:p w14:paraId="46617065" w14:textId="30BF162F" w:rsidR="00084A25" w:rsidRDefault="00084A25" w:rsidP="0018433B">
      <w:pPr>
        <w:widowControl w:val="0"/>
      </w:pPr>
    </w:p>
    <w:p w14:paraId="5C6B80EC" w14:textId="7090B41F" w:rsidR="0018433B" w:rsidRPr="00402A73" w:rsidRDefault="0018433B" w:rsidP="0018433B">
      <w:pPr>
        <w:widowControl w:val="0"/>
      </w:pPr>
      <w:r w:rsidRPr="00402A73">
        <w:t>Jeremias is even more explicit: Luke does not create antithetic parallelism on his own; in fact</w:t>
      </w:r>
      <w:r w:rsidR="006F304D" w:rsidRPr="006F304D">
        <w:t xml:space="preserve">, </w:t>
      </w:r>
      <w:r w:rsidRPr="00402A73">
        <w:t>it only appears in his writings when he has inherited it from the tradition.</w:t>
      </w:r>
      <w:r w:rsidRPr="00402A73">
        <w:rPr>
          <w:vertAlign w:val="superscript"/>
        </w:rPr>
        <w:footnoteReference w:id="703"/>
      </w:r>
      <w:r w:rsidRPr="00402A73">
        <w:t xml:space="preserve"> Thus</w:t>
      </w:r>
      <w:r w:rsidR="006F304D" w:rsidRPr="006F304D">
        <w:t xml:space="preserve">, </w:t>
      </w:r>
      <w:r w:rsidRPr="00402A73">
        <w:t>it seems unlikely that instances of parallelism are creations of Luke’s own hand.</w:t>
      </w:r>
      <w:r w:rsidRPr="00402A73">
        <w:rPr>
          <w:vertAlign w:val="superscript"/>
        </w:rPr>
        <w:footnoteReference w:id="704"/>
      </w:r>
    </w:p>
    <w:p w14:paraId="233DD313" w14:textId="2110E9C0" w:rsidR="0018433B" w:rsidRPr="00402A73" w:rsidRDefault="0018433B" w:rsidP="0018433B">
      <w:pPr>
        <w:widowControl w:val="0"/>
      </w:pPr>
      <w:r w:rsidRPr="00402A73">
        <w:tab/>
        <w:t>There is one type of parallelism</w:t>
      </w:r>
      <w:r w:rsidR="006F304D" w:rsidRPr="006F304D">
        <w:t xml:space="preserve">, </w:t>
      </w:r>
      <w:r w:rsidRPr="00402A73">
        <w:t>however</w:t>
      </w:r>
      <w:r w:rsidR="006F304D" w:rsidRPr="006F304D">
        <w:t xml:space="preserve">, </w:t>
      </w:r>
      <w:r w:rsidRPr="00402A73">
        <w:t>which has been repeatedly seen in Luke’s work: alternating parallelism.</w:t>
      </w:r>
      <w:r w:rsidR="0027511E" w:rsidRPr="0027511E">
        <w:rPr>
          <w:iCs/>
        </w:rPr>
        <w:t xml:space="preserve"> </w:t>
      </w:r>
      <w:r w:rsidRPr="00402A73">
        <w:t>This parallelism has the form</w:t>
      </w:r>
      <w:r w:rsidR="006F304D" w:rsidRPr="006F304D">
        <w:t xml:space="preserve">, </w:t>
      </w:r>
      <w:r w:rsidRPr="00402A73">
        <w:t>A B C D</w:t>
      </w:r>
      <w:r w:rsidR="006F304D" w:rsidRPr="006F304D">
        <w:t xml:space="preserve">, </w:t>
      </w:r>
      <w:r w:rsidRPr="00402A73">
        <w:t>A</w:t>
      </w:r>
      <w:r w:rsidR="0027511E">
        <w:t>´</w:t>
      </w:r>
      <w:r w:rsidRPr="00402A73">
        <w:t xml:space="preserve"> B</w:t>
      </w:r>
      <w:r w:rsidR="0027511E">
        <w:t>´</w:t>
      </w:r>
      <w:r w:rsidRPr="00402A73">
        <w:t xml:space="preserve"> C</w:t>
      </w:r>
      <w:r w:rsidR="0027511E">
        <w:t>´</w:t>
      </w:r>
      <w:r w:rsidRPr="00402A73">
        <w:t xml:space="preserve"> D</w:t>
      </w:r>
      <w:r w:rsidR="0027511E">
        <w:t>´</w:t>
      </w:r>
      <w:r w:rsidRPr="00402A73">
        <w:t>.</w:t>
      </w:r>
      <w:r w:rsidR="0027511E" w:rsidRPr="0027511E">
        <w:rPr>
          <w:iCs/>
        </w:rPr>
        <w:t xml:space="preserve"> </w:t>
      </w:r>
      <w:r w:rsidRPr="00402A73">
        <w:t>One instance of alternating parallelism that is frequently cited is the correlation between John the Baptist and Jesus in Luke’s infancy narrative.</w:t>
      </w:r>
      <w:r w:rsidR="0027511E" w:rsidRPr="0027511E">
        <w:rPr>
          <w:iCs/>
        </w:rPr>
        <w:t xml:space="preserve"> </w:t>
      </w:r>
      <w:r w:rsidRPr="00402A73">
        <w:t>There occur in order:</w:t>
      </w:r>
    </w:p>
    <w:p w14:paraId="15D7449D" w14:textId="3CA90EF9" w:rsidR="0018433B" w:rsidRPr="00402A73" w:rsidRDefault="0018433B" w:rsidP="0018433B">
      <w:pPr>
        <w:widowControl w:val="0"/>
      </w:pPr>
      <w:r w:rsidRPr="00402A73">
        <w:tab/>
      </w:r>
      <w:r w:rsidR="0027511E" w:rsidRPr="0027511E">
        <w:rPr>
          <w:iCs/>
        </w:rPr>
        <w:t xml:space="preserve"> </w:t>
      </w:r>
    </w:p>
    <w:p w14:paraId="7E700429" w14:textId="6DA15F72" w:rsidR="0018433B" w:rsidRPr="00402A73" w:rsidRDefault="00AC038F" w:rsidP="00AC038F">
      <w:pPr>
        <w:pStyle w:val="Level2"/>
        <w:numPr>
          <w:ilvl w:val="0"/>
          <w:numId w:val="0"/>
        </w:numPr>
        <w:tabs>
          <w:tab w:val="left" w:pos="1080"/>
        </w:tabs>
        <w:ind w:left="720"/>
        <w:jc w:val="both"/>
        <w:outlineLvl w:val="9"/>
      </w:pPr>
      <w:r>
        <w:t>A.</w:t>
      </w:r>
      <w:r w:rsidR="0018433B" w:rsidRPr="00402A73">
        <w:tab/>
        <w:t>the annunciation of John’s conception (1:5-25);</w:t>
      </w:r>
    </w:p>
    <w:p w14:paraId="3F081335" w14:textId="5A2BCB84" w:rsidR="0018433B" w:rsidRPr="00402A73" w:rsidRDefault="00AC038F" w:rsidP="00AC038F">
      <w:pPr>
        <w:pStyle w:val="Level2"/>
        <w:numPr>
          <w:ilvl w:val="0"/>
          <w:numId w:val="0"/>
        </w:numPr>
        <w:tabs>
          <w:tab w:val="left" w:pos="1080"/>
        </w:tabs>
        <w:ind w:left="720"/>
        <w:jc w:val="both"/>
        <w:outlineLvl w:val="9"/>
      </w:pPr>
      <w:r>
        <w:t>B.</w:t>
      </w:r>
      <w:r>
        <w:tab/>
      </w:r>
      <w:r w:rsidR="0018433B" w:rsidRPr="00402A73">
        <w:t>the annunciation of Jesus’ conception (1:26-38);</w:t>
      </w:r>
    </w:p>
    <w:p w14:paraId="2666482E" w14:textId="73D918D1" w:rsidR="0018433B" w:rsidRPr="00402A73" w:rsidRDefault="00AC038F" w:rsidP="00AC038F">
      <w:pPr>
        <w:pStyle w:val="Level2"/>
        <w:numPr>
          <w:ilvl w:val="0"/>
          <w:numId w:val="0"/>
        </w:numPr>
        <w:tabs>
          <w:tab w:val="left" w:pos="1080"/>
        </w:tabs>
        <w:ind w:left="720"/>
        <w:jc w:val="both"/>
        <w:outlineLvl w:val="9"/>
      </w:pPr>
      <w:r>
        <w:t>C.</w:t>
      </w:r>
      <w:r>
        <w:tab/>
      </w:r>
      <w:r w:rsidR="0018433B" w:rsidRPr="00402A73">
        <w:t>John’s birth (hailed by Zechariah’s canticle) (1:57-80);</w:t>
      </w:r>
    </w:p>
    <w:p w14:paraId="3DA8870C" w14:textId="20E42DAA" w:rsidR="0018433B" w:rsidRPr="00402A73" w:rsidRDefault="00AC038F" w:rsidP="00AC038F">
      <w:pPr>
        <w:pStyle w:val="Level2"/>
        <w:numPr>
          <w:ilvl w:val="0"/>
          <w:numId w:val="0"/>
        </w:numPr>
        <w:tabs>
          <w:tab w:val="left" w:pos="1080"/>
        </w:tabs>
        <w:ind w:left="720"/>
        <w:jc w:val="both"/>
        <w:outlineLvl w:val="9"/>
      </w:pPr>
      <w:r>
        <w:lastRenderedPageBreak/>
        <w:t>D.</w:t>
      </w:r>
      <w:r>
        <w:tab/>
      </w:r>
      <w:r w:rsidR="0018433B" w:rsidRPr="00402A73">
        <w:t>Jesus’ birth (hailed by Simeon’s canticle) (2:1-21)</w:t>
      </w:r>
      <w:r>
        <w:t>.</w:t>
      </w:r>
    </w:p>
    <w:p w14:paraId="612DF522" w14:textId="77777777" w:rsidR="00AC038F" w:rsidRDefault="00AC038F" w:rsidP="0018433B">
      <w:pPr>
        <w:widowControl w:val="0"/>
      </w:pPr>
    </w:p>
    <w:p w14:paraId="0551A4D7" w14:textId="70FA1D8F" w:rsidR="0018433B" w:rsidRPr="00402A73" w:rsidRDefault="0018433B" w:rsidP="0018433B">
      <w:pPr>
        <w:widowControl w:val="0"/>
      </w:pPr>
      <w:r w:rsidRPr="00402A73">
        <w:t>According to Brown</w:t>
      </w:r>
      <w:r w:rsidR="006F304D" w:rsidRPr="006F304D">
        <w:t xml:space="preserve">, </w:t>
      </w:r>
      <w:r w:rsidRPr="00402A73">
        <w:t>“This carefully crafted parallelism has often been compared to a diptych painting with its two facing panels.”</w:t>
      </w:r>
      <w:r w:rsidRPr="00402A73">
        <w:rPr>
          <w:vertAlign w:val="superscript"/>
        </w:rPr>
        <w:footnoteReference w:id="705"/>
      </w:r>
      <w:r w:rsidR="0027511E" w:rsidRPr="0027511E">
        <w:rPr>
          <w:iCs/>
        </w:rPr>
        <w:t xml:space="preserve"> </w:t>
      </w:r>
      <w:r w:rsidRPr="00402A73">
        <w:t>Similarly</w:t>
      </w:r>
      <w:r w:rsidR="006F304D" w:rsidRPr="006F304D">
        <w:t xml:space="preserve">, </w:t>
      </w:r>
      <w:r w:rsidRPr="00402A73">
        <w:t>Xavier Léon-Dufour has detected alternating parallelism between Luke 24:13-33 and Acts 8:26-39</w:t>
      </w:r>
      <w:r w:rsidR="00750871">
        <w:t>.</w:t>
      </w:r>
      <w:r w:rsidRPr="00402A73">
        <w:rPr>
          <w:vertAlign w:val="superscript"/>
        </w:rPr>
        <w:footnoteReference w:id="706"/>
      </w:r>
      <w:r w:rsidRPr="00402A73">
        <w:t xml:space="preserve"> </w:t>
      </w:r>
      <w:r w:rsidR="00750871" w:rsidRPr="00402A73">
        <w:t xml:space="preserve">And </w:t>
      </w:r>
      <w:r w:rsidRPr="00402A73">
        <w:t>Charles Talbert has discovered numerous instances of alternating parallelism</w:t>
      </w:r>
      <w:r w:rsidR="006F304D" w:rsidRPr="006F304D">
        <w:t xml:space="preserve">, </w:t>
      </w:r>
      <w:r w:rsidRPr="00402A73">
        <w:t>both in the gospel and in Acts.</w:t>
      </w:r>
      <w:r w:rsidRPr="00402A73">
        <w:rPr>
          <w:vertAlign w:val="superscript"/>
        </w:rPr>
        <w:footnoteReference w:id="707"/>
      </w:r>
    </w:p>
    <w:p w14:paraId="282D788A" w14:textId="32671E5D" w:rsidR="0018433B" w:rsidRPr="00402A73" w:rsidRDefault="0018433B" w:rsidP="0018433B">
      <w:pPr>
        <w:widowControl w:val="0"/>
      </w:pPr>
      <w:r w:rsidRPr="00402A73">
        <w:tab/>
        <w:t>None of these examples is relevant at the moment</w:t>
      </w:r>
      <w:r w:rsidR="006F304D" w:rsidRPr="006F304D">
        <w:t xml:space="preserve">, </w:t>
      </w:r>
      <w:r w:rsidRPr="00402A73">
        <w:t xml:space="preserve">but another alternating parallelism </w:t>
      </w:r>
      <w:r w:rsidR="00750871">
        <w:t xml:space="preserve">is claimed for </w:t>
      </w:r>
      <w:r w:rsidRPr="00402A73">
        <w:t>the opening verses of the sermon on the plain.</w:t>
      </w:r>
      <w:r w:rsidR="0027511E" w:rsidRPr="0027511E">
        <w:rPr>
          <w:iCs/>
        </w:rPr>
        <w:t xml:space="preserve"> </w:t>
      </w:r>
      <w:r w:rsidRPr="00402A73">
        <w:t>We begin our treatment of parallelism in the sermon proper with this question of alternating parallelism in Luke’s beatitudes and woes.</w:t>
      </w:r>
    </w:p>
    <w:p w14:paraId="737614F4" w14:textId="77777777" w:rsidR="0018433B" w:rsidRPr="00402A73" w:rsidRDefault="0018433B" w:rsidP="0018433B">
      <w:pPr>
        <w:widowControl w:val="0"/>
      </w:pPr>
    </w:p>
    <w:p w14:paraId="140ED825" w14:textId="023A312A" w:rsidR="0018433B" w:rsidRPr="00402A73" w:rsidRDefault="0018433B" w:rsidP="008F699A">
      <w:pPr>
        <w:pStyle w:val="Heading3"/>
      </w:pPr>
      <w:bookmarkStart w:id="78" w:name="_Toc147618647"/>
      <w:r w:rsidRPr="00402A73">
        <w:t>a.</w:t>
      </w:r>
      <w:r w:rsidR="0027511E" w:rsidRPr="0027511E">
        <w:rPr>
          <w:iCs/>
        </w:rPr>
        <w:t xml:space="preserve"> </w:t>
      </w:r>
      <w:r w:rsidRPr="00402A73">
        <w:t>6:20b-26</w:t>
      </w:r>
      <w:bookmarkEnd w:id="78"/>
    </w:p>
    <w:p w14:paraId="1886AE87" w14:textId="77777777" w:rsidR="0018433B" w:rsidRPr="00402A73" w:rsidRDefault="0018433B" w:rsidP="0018433B">
      <w:pPr>
        <w:widowControl w:val="0"/>
      </w:pPr>
    </w:p>
    <w:p w14:paraId="01E23588" w14:textId="6180E0EE" w:rsidR="0018433B" w:rsidRPr="00402A73" w:rsidRDefault="0018433B" w:rsidP="0018433B">
      <w:pPr>
        <w:widowControl w:val="0"/>
      </w:pPr>
      <w:r w:rsidRPr="00402A73">
        <w:tab/>
        <w:t xml:space="preserve">The second volume of </w:t>
      </w:r>
      <w:proofErr w:type="spellStart"/>
      <w:r w:rsidRPr="00402A73">
        <w:t>Meynet’s</w:t>
      </w:r>
      <w:proofErr w:type="spellEnd"/>
      <w:r w:rsidRPr="00402A73">
        <w:t xml:space="preserve"> </w:t>
      </w:r>
      <w:r w:rsidRPr="00402A73">
        <w:rPr>
          <w:i/>
        </w:rPr>
        <w:t xml:space="preserve">Quelle est </w:t>
      </w:r>
      <w:proofErr w:type="spellStart"/>
      <w:r w:rsidRPr="00402A73">
        <w:rPr>
          <w:i/>
        </w:rPr>
        <w:t>donc</w:t>
      </w:r>
      <w:proofErr w:type="spellEnd"/>
      <w:r w:rsidRPr="00402A73">
        <w:rPr>
          <w:i/>
        </w:rPr>
        <w:t xml:space="preserve"> </w:t>
      </w:r>
      <w:proofErr w:type="spellStart"/>
      <w:r w:rsidRPr="00402A73">
        <w:rPr>
          <w:i/>
        </w:rPr>
        <w:t>cette</w:t>
      </w:r>
      <w:proofErr w:type="spellEnd"/>
      <w:r w:rsidRPr="00402A73">
        <w:rPr>
          <w:i/>
        </w:rPr>
        <w:t xml:space="preserve"> parole?</w:t>
      </w:r>
      <w:r w:rsidRPr="00402A73">
        <w:t xml:space="preserve"> does not consist of continuous prose</w:t>
      </w:r>
      <w:r w:rsidR="006F304D" w:rsidRPr="006F304D">
        <w:t xml:space="preserve">, </w:t>
      </w:r>
      <w:r w:rsidRPr="00402A73">
        <w:t>but of a series of unbound charts</w:t>
      </w:r>
      <w:r w:rsidR="006F304D" w:rsidRPr="006F304D">
        <w:t xml:space="preserve">, </w:t>
      </w:r>
      <w:r w:rsidRPr="00402A73">
        <w:t xml:space="preserve">each of which demonstrates the intricate rhetorical structures which </w:t>
      </w:r>
      <w:proofErr w:type="spellStart"/>
      <w:r w:rsidRPr="00402A73">
        <w:t>Meynet</w:t>
      </w:r>
      <w:proofErr w:type="spellEnd"/>
      <w:r w:rsidRPr="00402A73">
        <w:t xml:space="preserve"> sees in Luke’s text.</w:t>
      </w:r>
      <w:r w:rsidR="0027511E" w:rsidRPr="0027511E">
        <w:rPr>
          <w:iCs/>
        </w:rPr>
        <w:t xml:space="preserve"> </w:t>
      </w:r>
      <w:r w:rsidRPr="00402A73">
        <w:t>Five of these charts deal specifically with the sermon on the plain; they are entitled “B5</w:t>
      </w:r>
      <w:r w:rsidR="00083B56">
        <w:t>´</w:t>
      </w:r>
      <w:r w:rsidRPr="00402A73">
        <w:t>,” “B5</w:t>
      </w:r>
      <w:r w:rsidR="00083B56">
        <w:t>´</w:t>
      </w:r>
      <w:r w:rsidRPr="00402A73">
        <w:t>,” “Planche 2,” “Planche 4,” and “Planche 6.”</w:t>
      </w:r>
      <w:r w:rsidRPr="00402A73">
        <w:rPr>
          <w:vertAlign w:val="superscript"/>
        </w:rPr>
        <w:footnoteReference w:id="708"/>
      </w:r>
      <w:r w:rsidR="0027511E" w:rsidRPr="0027511E">
        <w:rPr>
          <w:iCs/>
        </w:rPr>
        <w:t xml:space="preserve"> </w:t>
      </w:r>
      <w:r w:rsidRPr="00402A73">
        <w:t>The first two share the title</w:t>
      </w:r>
      <w:r w:rsidR="006F304D" w:rsidRPr="006F304D">
        <w:t xml:space="preserve"> </w:t>
      </w:r>
      <w:r w:rsidRPr="00402A73">
        <w:t>“B5</w:t>
      </w:r>
      <w:r w:rsidR="00083B56">
        <w:t>´</w:t>
      </w:r>
      <w:r w:rsidRPr="00402A73">
        <w:t>,” which refers to one subsection—namely</w:t>
      </w:r>
      <w:r w:rsidR="006F304D" w:rsidRPr="006F304D">
        <w:t xml:space="preserve">, </w:t>
      </w:r>
      <w:r w:rsidRPr="00402A73">
        <w:t>the sermon on the plain—of the “</w:t>
      </w:r>
      <w:proofErr w:type="spellStart"/>
      <w:r w:rsidRPr="00402A73">
        <w:t>Unité</w:t>
      </w:r>
      <w:proofErr w:type="spellEnd"/>
      <w:r w:rsidRPr="00402A73">
        <w:t>” B5</w:t>
      </w:r>
      <w:r w:rsidR="006F304D" w:rsidRPr="006F304D">
        <w:t xml:space="preserve">, </w:t>
      </w:r>
      <w:r w:rsidRPr="00402A73">
        <w:t>Luke 6:17-7:17.</w:t>
      </w:r>
      <w:r w:rsidR="0027511E" w:rsidRPr="0027511E">
        <w:rPr>
          <w:iCs/>
        </w:rPr>
        <w:t xml:space="preserve"> </w:t>
      </w:r>
      <w:r w:rsidRPr="00402A73">
        <w:t>The first chart entitled “B5</w:t>
      </w:r>
      <w:r w:rsidR="00083B56">
        <w:t>´</w:t>
      </w:r>
      <w:r w:rsidRPr="00402A73">
        <w:t>” has no subtitle but is an overview of the whole of the sermon.</w:t>
      </w:r>
      <w:r w:rsidR="0027511E" w:rsidRPr="0027511E">
        <w:rPr>
          <w:iCs/>
        </w:rPr>
        <w:t xml:space="preserve"> </w:t>
      </w:r>
      <w:r w:rsidRPr="00402A73">
        <w:t>The second is subtitled</w:t>
      </w:r>
      <w:r w:rsidR="006F304D" w:rsidRPr="006F304D">
        <w:t xml:space="preserve">, </w:t>
      </w:r>
      <w:r w:rsidRPr="00402A73">
        <w:t>“Relations Between the Different Persons in the Refrains and the Couplets.”</w:t>
      </w:r>
      <w:r w:rsidRPr="00402A73">
        <w:rPr>
          <w:vertAlign w:val="superscript"/>
        </w:rPr>
        <w:footnoteReference w:id="709"/>
      </w:r>
      <w:r w:rsidR="0027511E" w:rsidRPr="0027511E">
        <w:rPr>
          <w:iCs/>
        </w:rPr>
        <w:t xml:space="preserve"> </w:t>
      </w:r>
      <w:r w:rsidRPr="00402A73">
        <w:t>Since we are interested in parallelism at the moment</w:t>
      </w:r>
      <w:r w:rsidR="006F304D" w:rsidRPr="006F304D">
        <w:t xml:space="preserve">, </w:t>
      </w:r>
      <w:r w:rsidRPr="00402A73">
        <w:t xml:space="preserve">we may consider both of these charts as introductory and concentrate our attention in this chapter on </w:t>
      </w:r>
      <w:proofErr w:type="spellStart"/>
      <w:r w:rsidRPr="00402A73">
        <w:t>Meynet’s</w:t>
      </w:r>
      <w:proofErr w:type="spellEnd"/>
      <w:r w:rsidRPr="00402A73">
        <w:t xml:space="preserve"> last three charts</w:t>
      </w:r>
      <w:r w:rsidR="006F304D" w:rsidRPr="006F304D">
        <w:t xml:space="preserve">, </w:t>
      </w:r>
      <w:r w:rsidRPr="00402A73">
        <w:t>“Planche 2,” “Planche 4,” and “Planche 6.”</w:t>
      </w:r>
    </w:p>
    <w:p w14:paraId="5E2C56A1" w14:textId="036F6795" w:rsidR="0018433B" w:rsidRDefault="0018433B" w:rsidP="0018433B">
      <w:pPr>
        <w:widowControl w:val="0"/>
      </w:pPr>
      <w:r w:rsidRPr="00402A73">
        <w:tab/>
        <w:t>The first of these</w:t>
      </w:r>
      <w:r w:rsidR="006F304D" w:rsidRPr="006F304D">
        <w:t xml:space="preserve">, </w:t>
      </w:r>
      <w:r w:rsidRPr="00402A73">
        <w:t>“Planche 2,” displays the Lukan beatitudes and woes in alternating parallelism.</w:t>
      </w:r>
      <w:r w:rsidR="0027511E" w:rsidRPr="0027511E">
        <w:rPr>
          <w:iCs/>
        </w:rPr>
        <w:t xml:space="preserve"> </w:t>
      </w:r>
      <w:proofErr w:type="spellStart"/>
      <w:r w:rsidRPr="00402A73">
        <w:t>Meynet</w:t>
      </w:r>
      <w:proofErr w:type="spellEnd"/>
      <w:r w:rsidRPr="00402A73">
        <w:t xml:space="preserve"> arrays the four beatitudes down the left-hand side of the page and the four woes down the right-hand side.</w:t>
      </w:r>
      <w:commentRangeStart w:id="79"/>
      <w:commentRangeEnd w:id="79"/>
      <w:r w:rsidRPr="00402A73">
        <w:rPr>
          <w:vanish/>
        </w:rPr>
        <w:commentReference w:id="79"/>
      </w:r>
    </w:p>
    <w:p w14:paraId="7430F890" w14:textId="77777777" w:rsidR="00CA1A30" w:rsidRDefault="00CA1A30" w:rsidP="0018433B">
      <w:pPr>
        <w:widowControl w:val="0"/>
      </w:pPr>
    </w:p>
    <w:p w14:paraId="02FC4CA7" w14:textId="4988DBAC" w:rsidR="00CA1A30" w:rsidRDefault="00CA1A30" w:rsidP="00CA1A30">
      <w:pPr>
        <w:widowControl w:val="0"/>
        <w:tabs>
          <w:tab w:val="left" w:pos="720"/>
          <w:tab w:val="left" w:pos="4320"/>
        </w:tabs>
      </w:pPr>
      <w:r>
        <w:t>20b</w:t>
      </w:r>
      <w:r>
        <w:tab/>
        <w:t>BLESSED</w:t>
      </w:r>
      <w:r>
        <w:tab/>
        <w:t>24</w:t>
      </w:r>
      <w:r>
        <w:tab/>
        <w:t>But WOE</w:t>
      </w:r>
    </w:p>
    <w:p w14:paraId="611DDCA3" w14:textId="57311067" w:rsidR="00CA1A30" w:rsidRDefault="00CA1A30" w:rsidP="00CA1A30">
      <w:pPr>
        <w:widowControl w:val="0"/>
        <w:tabs>
          <w:tab w:val="left" w:pos="720"/>
          <w:tab w:val="left" w:pos="4320"/>
        </w:tabs>
      </w:pPr>
      <w:r>
        <w:tab/>
        <w:t>are you POOR,</w:t>
      </w:r>
      <w:r>
        <w:tab/>
      </w:r>
      <w:r>
        <w:tab/>
        <w:t xml:space="preserve">to </w:t>
      </w:r>
      <w:r>
        <w:rPr>
          <w:i/>
          <w:iCs/>
        </w:rPr>
        <w:t>you</w:t>
      </w:r>
      <w:r>
        <w:t xml:space="preserve"> that are rich,</w:t>
      </w:r>
    </w:p>
    <w:p w14:paraId="5435C919" w14:textId="111D5410" w:rsidR="00CA1A30" w:rsidRPr="00CA1A30" w:rsidRDefault="00CA1A30" w:rsidP="00CA1A30">
      <w:pPr>
        <w:widowControl w:val="0"/>
        <w:tabs>
          <w:tab w:val="left" w:pos="720"/>
          <w:tab w:val="left" w:pos="4320"/>
        </w:tabs>
      </w:pPr>
      <w:r>
        <w:tab/>
        <w:t>for</w:t>
      </w:r>
      <w:r>
        <w:tab/>
      </w:r>
      <w:r>
        <w:tab/>
      </w:r>
      <w:proofErr w:type="spellStart"/>
      <w:r>
        <w:t>for</w:t>
      </w:r>
      <w:proofErr w:type="spellEnd"/>
    </w:p>
    <w:p w14:paraId="6EF08197" w14:textId="4F158597" w:rsidR="00CA1A30" w:rsidRDefault="00CA1A30" w:rsidP="00CA1A30">
      <w:pPr>
        <w:widowControl w:val="0"/>
        <w:tabs>
          <w:tab w:val="left" w:pos="720"/>
          <w:tab w:val="left" w:pos="4320"/>
        </w:tabs>
      </w:pPr>
      <w:r>
        <w:lastRenderedPageBreak/>
        <w:tab/>
        <w:t>yours</w:t>
      </w:r>
      <w:r>
        <w:tab/>
      </w:r>
      <w:r>
        <w:tab/>
        <w:t>you</w:t>
      </w:r>
    </w:p>
    <w:p w14:paraId="02FBFEEE" w14:textId="6781BFE9" w:rsidR="00CA1A30" w:rsidRDefault="00CA1A30" w:rsidP="00CA1A30">
      <w:pPr>
        <w:widowControl w:val="0"/>
        <w:tabs>
          <w:tab w:val="left" w:pos="720"/>
          <w:tab w:val="left" w:pos="4320"/>
        </w:tabs>
      </w:pPr>
      <w:r>
        <w:tab/>
        <w:t>is the kingdom of God.</w:t>
      </w:r>
      <w:r>
        <w:tab/>
      </w:r>
      <w:r>
        <w:tab/>
        <w:t>have received your consolation.</w:t>
      </w:r>
    </w:p>
    <w:p w14:paraId="2398C488" w14:textId="77777777" w:rsidR="00CA1A30" w:rsidRDefault="00CA1A30" w:rsidP="00CA1A30">
      <w:pPr>
        <w:widowControl w:val="0"/>
        <w:tabs>
          <w:tab w:val="left" w:pos="720"/>
          <w:tab w:val="left" w:pos="4320"/>
        </w:tabs>
      </w:pPr>
    </w:p>
    <w:p w14:paraId="56FED5B4" w14:textId="10B382BA" w:rsidR="00CA1A30" w:rsidRDefault="00CA1A30" w:rsidP="00CA1A30">
      <w:pPr>
        <w:widowControl w:val="0"/>
        <w:tabs>
          <w:tab w:val="left" w:pos="720"/>
          <w:tab w:val="left" w:pos="4320"/>
        </w:tabs>
      </w:pPr>
      <w:r>
        <w:t>21a</w:t>
      </w:r>
      <w:r>
        <w:tab/>
        <w:t>BLESSED</w:t>
      </w:r>
      <w:r>
        <w:tab/>
        <w:t>25a</w:t>
      </w:r>
      <w:r>
        <w:tab/>
        <w:t>WOE</w:t>
      </w:r>
    </w:p>
    <w:p w14:paraId="21E7C741" w14:textId="054AD318" w:rsidR="00CA1A30" w:rsidRPr="00CA1A30" w:rsidRDefault="00CA1A30" w:rsidP="00CA1A30">
      <w:pPr>
        <w:widowControl w:val="0"/>
        <w:tabs>
          <w:tab w:val="left" w:pos="720"/>
          <w:tab w:val="left" w:pos="4320"/>
        </w:tabs>
        <w:rPr>
          <w:i/>
          <w:iCs/>
        </w:rPr>
      </w:pPr>
      <w:r>
        <w:tab/>
        <w:t>are you</w:t>
      </w:r>
      <w:r>
        <w:tab/>
      </w:r>
      <w:r>
        <w:tab/>
        <w:t xml:space="preserve">to </w:t>
      </w:r>
      <w:r>
        <w:rPr>
          <w:i/>
          <w:iCs/>
        </w:rPr>
        <w:t>you</w:t>
      </w:r>
    </w:p>
    <w:p w14:paraId="50A4D87F" w14:textId="11AD8E60" w:rsidR="00CA1A30" w:rsidRDefault="00CA1A30" w:rsidP="00CA1A30">
      <w:pPr>
        <w:widowControl w:val="0"/>
        <w:tabs>
          <w:tab w:val="left" w:pos="720"/>
          <w:tab w:val="left" w:pos="4320"/>
        </w:tabs>
      </w:pPr>
      <w:r>
        <w:tab/>
        <w:t>that hunger</w:t>
      </w:r>
      <w:r>
        <w:tab/>
      </w:r>
      <w:r>
        <w:tab/>
        <w:t>that are full</w:t>
      </w:r>
    </w:p>
    <w:p w14:paraId="300C913C" w14:textId="66A1CC4C" w:rsidR="00CA1A30" w:rsidRDefault="00CA1A30" w:rsidP="00CA1A30">
      <w:pPr>
        <w:widowControl w:val="0"/>
        <w:tabs>
          <w:tab w:val="left" w:pos="720"/>
          <w:tab w:val="left" w:pos="4320"/>
        </w:tabs>
      </w:pPr>
      <w:r>
        <w:tab/>
      </w:r>
      <w:r>
        <w:rPr>
          <w:i/>
          <w:iCs/>
        </w:rPr>
        <w:t>now</w:t>
      </w:r>
      <w:r>
        <w:t>,</w:t>
      </w:r>
      <w:r>
        <w:tab/>
      </w:r>
      <w:r>
        <w:tab/>
      </w:r>
      <w:r>
        <w:rPr>
          <w:i/>
          <w:iCs/>
        </w:rPr>
        <w:t>now</w:t>
      </w:r>
      <w:r>
        <w:t>,</w:t>
      </w:r>
    </w:p>
    <w:p w14:paraId="4A710D80" w14:textId="2B7185B9" w:rsidR="00CA1A30" w:rsidRPr="00CA1A30" w:rsidRDefault="00CA1A30" w:rsidP="00CA1A30">
      <w:pPr>
        <w:widowControl w:val="0"/>
        <w:jc w:val="center"/>
      </w:pPr>
      <w:r>
        <w:rPr>
          <w:i/>
          <w:iCs/>
        </w:rPr>
        <w:t>Figure 10</w:t>
      </w:r>
      <w:r>
        <w:t>.</w:t>
      </w:r>
      <w:r>
        <w:rPr>
          <w:i/>
          <w:iCs/>
        </w:rPr>
        <w:t>1</w:t>
      </w:r>
    </w:p>
    <w:p w14:paraId="2BDD4D36" w14:textId="77777777" w:rsidR="00CA1A30" w:rsidRPr="00402A73" w:rsidRDefault="00CA1A30" w:rsidP="00786ADB">
      <w:pPr>
        <w:widowControl w:val="0"/>
      </w:pPr>
    </w:p>
    <w:p w14:paraId="66044F7B" w14:textId="504AC2FA" w:rsidR="0018433B" w:rsidRPr="00402A73" w:rsidRDefault="0018433B" w:rsidP="00786ADB">
      <w:pPr>
        <w:widowControl w:val="0"/>
      </w:pPr>
      <w:r w:rsidRPr="00402A73">
        <w:tab/>
      </w:r>
      <w:proofErr w:type="spellStart"/>
      <w:r w:rsidRPr="00402A73">
        <w:t>Meynet</w:t>
      </w:r>
      <w:proofErr w:type="spellEnd"/>
      <w:r w:rsidRPr="00402A73">
        <w:t xml:space="preserve"> devotes a special section of his notes at the bottom of “</w:t>
      </w:r>
      <w:proofErr w:type="spellStart"/>
      <w:r w:rsidRPr="00402A73">
        <w:t>planche</w:t>
      </w:r>
      <w:proofErr w:type="spellEnd"/>
      <w:r w:rsidRPr="00402A73">
        <w:t xml:space="preserve"> 2” to the question of the tenses of the beatitudes and the woes.</w:t>
      </w:r>
      <w:r w:rsidR="0027511E" w:rsidRPr="0027511E">
        <w:rPr>
          <w:iCs/>
        </w:rPr>
        <w:t xml:space="preserve"> </w:t>
      </w:r>
      <w:r w:rsidRPr="00402A73">
        <w:t>He says that the tense in the first set (i.e.</w:t>
      </w:r>
      <w:r w:rsidR="006F304D" w:rsidRPr="006F304D">
        <w:t xml:space="preserve">, </w:t>
      </w:r>
      <w:r w:rsidRPr="00402A73">
        <w:t>the first beatitude and the first woe) is present</w:t>
      </w:r>
      <w:r w:rsidR="006F304D" w:rsidRPr="006F304D">
        <w:t xml:space="preserve">, </w:t>
      </w:r>
      <w:r w:rsidRPr="00402A73">
        <w:t>that the tenses in the second and third sets oppose the present to the future,</w:t>
      </w:r>
      <w:r w:rsidRPr="00402A73">
        <w:rPr>
          <w:vertAlign w:val="superscript"/>
        </w:rPr>
        <w:footnoteReference w:id="710"/>
      </w:r>
      <w:r w:rsidRPr="00402A73">
        <w:t xml:space="preserve"> and that the tense in the fourth set is completely future</w:t>
      </w:r>
      <w:r w:rsidR="006F304D" w:rsidRPr="006F304D">
        <w:t xml:space="preserve">, </w:t>
      </w:r>
      <w:r w:rsidRPr="00402A73">
        <w:t>except for a reference to the past of the fathers.</w:t>
      </w:r>
      <w:r w:rsidR="0027511E" w:rsidRPr="0027511E">
        <w:rPr>
          <w:iCs/>
        </w:rPr>
        <w:t xml:space="preserve"> </w:t>
      </w:r>
      <w:r w:rsidRPr="00402A73">
        <w:t xml:space="preserve">He is correct </w:t>
      </w:r>
      <w:r w:rsidR="004C4F48">
        <w:t xml:space="preserve">about </w:t>
      </w:r>
      <w:r w:rsidRPr="00402A73">
        <w:t>the middle two sets</w:t>
      </w:r>
      <w:r w:rsidR="004C4F48">
        <w:t xml:space="preserve"> (the hungry and the full, 21ab and 25ab; and the </w:t>
      </w:r>
      <w:r w:rsidR="004C4F48" w:rsidRPr="00CD75A6">
        <w:t>weep</w:t>
      </w:r>
      <w:r w:rsidR="004C4F48">
        <w:t>ing and the</w:t>
      </w:r>
      <w:r w:rsidR="004C4F48" w:rsidRPr="00CD75A6">
        <w:t xml:space="preserve"> laughing</w:t>
      </w:r>
      <w:r w:rsidR="004C4F48">
        <w:t>, 21cd and 25cd).</w:t>
      </w:r>
      <w:r w:rsidRPr="00402A73">
        <w:rPr>
          <w:vertAlign w:val="superscript"/>
        </w:rPr>
        <w:footnoteReference w:id="711"/>
      </w:r>
      <w:r w:rsidRPr="00402A73">
        <w:t xml:space="preserve"> </w:t>
      </w:r>
      <w:r w:rsidR="004C4F48" w:rsidRPr="00402A73">
        <w:t xml:space="preserve">But </w:t>
      </w:r>
      <w:r w:rsidRPr="00402A73">
        <w:t>in the first set (</w:t>
      </w:r>
      <w:r w:rsidR="004C4F48">
        <w:t xml:space="preserve">poor and rich, </w:t>
      </w:r>
      <w:r w:rsidRPr="00402A73">
        <w:t xml:space="preserve">20bc and 24) and the fourth </w:t>
      </w:r>
      <w:r w:rsidR="001D4F27">
        <w:t xml:space="preserve">set </w:t>
      </w:r>
      <w:r w:rsidRPr="00402A73">
        <w:t>(</w:t>
      </w:r>
      <w:r w:rsidR="001D4F27">
        <w:t xml:space="preserve">the persecuted and the praised, </w:t>
      </w:r>
      <w:r w:rsidRPr="00402A73">
        <w:t>22-23 and 26)</w:t>
      </w:r>
      <w:r w:rsidR="001D4F27">
        <w:t>,</w:t>
      </w:r>
      <w:r w:rsidR="006F304D" w:rsidRPr="006F304D">
        <w:t xml:space="preserve"> </w:t>
      </w:r>
      <w:r w:rsidRPr="00402A73">
        <w:t>the tenses are more complex.</w:t>
      </w:r>
    </w:p>
    <w:p w14:paraId="4E6A0F3A" w14:textId="38DA057D" w:rsidR="0018433B" w:rsidRPr="00402A73" w:rsidRDefault="0018433B" w:rsidP="00786ADB">
      <w:pPr>
        <w:widowControl w:val="0"/>
      </w:pPr>
      <w:r w:rsidRPr="00402A73">
        <w:tab/>
        <w:t>No verb occurs in the first clause of the first beatitude or in the first woe; a present (not a future) copulative is therefore implied.</w:t>
      </w:r>
      <w:r w:rsidR="0027511E" w:rsidRPr="0027511E">
        <w:rPr>
          <w:iCs/>
        </w:rPr>
        <w:t xml:space="preserve"> </w:t>
      </w:r>
      <w:r w:rsidRPr="00402A73">
        <w:t>In the second clauses of 20bc and 24</w:t>
      </w:r>
      <w:r w:rsidR="006F304D" w:rsidRPr="006F304D">
        <w:t xml:space="preserve">, </w:t>
      </w:r>
      <w:r w:rsidRPr="00402A73">
        <w:t xml:space="preserve">present verbs occur: </w:t>
      </w:r>
      <w:r w:rsidR="001D4F27" w:rsidRPr="00CE06CA">
        <w:rPr>
          <w:bCs/>
          <w:szCs w:val="22"/>
          <w:lang w:val="el-GR"/>
        </w:rPr>
        <w:t>ἐστὶν</w:t>
      </w:r>
      <w:r w:rsidR="001D4F27" w:rsidRPr="00402A73">
        <w:t xml:space="preserve"> </w:t>
      </w:r>
      <w:r w:rsidRPr="00402A73">
        <w:t>and</w:t>
      </w:r>
      <w:r w:rsidR="001D4F27">
        <w:t xml:space="preserve"> </w:t>
      </w:r>
      <w:r w:rsidR="001D4F27" w:rsidRPr="00CE06CA">
        <w:rPr>
          <w:bCs/>
          <w:szCs w:val="22"/>
          <w:lang w:val="el-GR"/>
        </w:rPr>
        <w:t>ἀπέχετε</w:t>
      </w:r>
      <w:r w:rsidRPr="00402A73">
        <w:t>.</w:t>
      </w:r>
      <w:r w:rsidR="0027511E" w:rsidRPr="0027511E">
        <w:rPr>
          <w:iCs/>
        </w:rPr>
        <w:t xml:space="preserve"> </w:t>
      </w:r>
      <w:r w:rsidRPr="00402A73">
        <w:t>In the fourth beatitude</w:t>
      </w:r>
      <w:r w:rsidR="001D4F27">
        <w:t xml:space="preserve"> (</w:t>
      </w:r>
      <w:r w:rsidR="001D4F27" w:rsidRPr="00402A73">
        <w:t>22-23</w:t>
      </w:r>
      <w:r w:rsidRPr="00402A73">
        <w:t>)</w:t>
      </w:r>
      <w:r w:rsidR="006F304D" w:rsidRPr="006F304D">
        <w:t xml:space="preserve">, </w:t>
      </w:r>
      <w:r w:rsidRPr="00402A73">
        <w:t>the blessing</w:t>
      </w:r>
      <w:r w:rsidR="001D4F27">
        <w:t xml:space="preserve"> </w:t>
      </w:r>
      <w:r w:rsidRPr="00402A73">
        <w:t>is followed by the copulative</w:t>
      </w:r>
      <w:r w:rsidR="006F304D" w:rsidRPr="006F304D">
        <w:t xml:space="preserve"> </w:t>
      </w:r>
      <w:r w:rsidR="001D4F27">
        <w:t>(</w:t>
      </w:r>
      <w:r w:rsidR="001D4F27" w:rsidRPr="00CE06CA">
        <w:rPr>
          <w:bCs/>
          <w:szCs w:val="22"/>
          <w:lang w:val="el-GR"/>
        </w:rPr>
        <w:t>μακάριοί ἐστε</w:t>
      </w:r>
      <w:r w:rsidR="001D4F27">
        <w:rPr>
          <w:bCs/>
          <w:szCs w:val="22"/>
        </w:rPr>
        <w:t>, 22a)</w:t>
      </w:r>
      <w:r w:rsidR="006F304D" w:rsidRPr="006F304D">
        <w:t xml:space="preserve">, </w:t>
      </w:r>
      <w:r w:rsidRPr="00402A73">
        <w:t>and this is not future but present tense.</w:t>
      </w:r>
      <w:r w:rsidR="0027511E" w:rsidRPr="0027511E">
        <w:rPr>
          <w:iCs/>
        </w:rPr>
        <w:t xml:space="preserve"> </w:t>
      </w:r>
      <w:r w:rsidRPr="00402A73">
        <w:t>The four verbs which then follow (22b</w:t>
      </w:r>
      <w:r w:rsidR="001D4F27">
        <w:t>c</w:t>
      </w:r>
      <w:r w:rsidRPr="00402A73">
        <w:t>) are not futures but aorist subjunctives:</w:t>
      </w:r>
      <w:r w:rsidR="001D4F27">
        <w:t xml:space="preserve"> </w:t>
      </w:r>
      <w:r w:rsidR="001D4F27" w:rsidRPr="00CE06CA">
        <w:rPr>
          <w:bCs/>
          <w:szCs w:val="22"/>
          <w:lang w:val="el-GR"/>
        </w:rPr>
        <w:t>μισήσωσιν</w:t>
      </w:r>
      <w:r w:rsidR="006F304D" w:rsidRPr="006F304D">
        <w:t xml:space="preserve">, </w:t>
      </w:r>
      <w:r w:rsidR="001D4F27" w:rsidRPr="00CE06CA">
        <w:rPr>
          <w:bCs/>
          <w:szCs w:val="22"/>
          <w:lang w:val="el-GR"/>
        </w:rPr>
        <w:t>ἀφορίσωσιν</w:t>
      </w:r>
      <w:r w:rsidR="006F304D" w:rsidRPr="006F304D">
        <w:t xml:space="preserve">, </w:t>
      </w:r>
      <w:r w:rsidR="001D4F27" w:rsidRPr="00CE06CA">
        <w:rPr>
          <w:bCs/>
          <w:szCs w:val="22"/>
          <w:lang w:val="el-GR"/>
        </w:rPr>
        <w:t>ὀνειδίσωσιν</w:t>
      </w:r>
      <w:r w:rsidR="006F304D" w:rsidRPr="006F304D">
        <w:t>,</w:t>
      </w:r>
      <w:r w:rsidR="001D4F27">
        <w:t xml:space="preserve"> </w:t>
      </w:r>
      <w:r w:rsidR="001D4F27" w:rsidRPr="00CE06CA">
        <w:rPr>
          <w:bCs/>
          <w:szCs w:val="22"/>
          <w:lang w:val="el-GR"/>
        </w:rPr>
        <w:t>ἐκβάλωσιν</w:t>
      </w:r>
      <w:r w:rsidRPr="00402A73">
        <w:t>.</w:t>
      </w:r>
      <w:r w:rsidRPr="00402A73">
        <w:rPr>
          <w:vertAlign w:val="superscript"/>
        </w:rPr>
        <w:footnoteReference w:id="712"/>
      </w:r>
      <w:r w:rsidR="0027511E" w:rsidRPr="0027511E">
        <w:rPr>
          <w:iCs/>
        </w:rPr>
        <w:t xml:space="preserve"> </w:t>
      </w:r>
      <w:r w:rsidRPr="00402A73">
        <w:t>The imperative verb in 23a</w:t>
      </w:r>
      <w:r w:rsidR="006F304D" w:rsidRPr="006F304D">
        <w:t xml:space="preserve">, </w:t>
      </w:r>
      <w:r w:rsidR="008A0E2A" w:rsidRPr="00CE06CA">
        <w:rPr>
          <w:bCs/>
          <w:szCs w:val="22"/>
          <w:lang w:val="el-GR"/>
        </w:rPr>
        <w:t>χάρητε</w:t>
      </w:r>
      <w:r w:rsidR="008A0E2A">
        <w:rPr>
          <w:bCs/>
          <w:szCs w:val="22"/>
        </w:rPr>
        <w:t xml:space="preserve"> (“Rejoice”)</w:t>
      </w:r>
      <w:r w:rsidR="006F304D" w:rsidRPr="006F304D">
        <w:t xml:space="preserve">, </w:t>
      </w:r>
      <w:r w:rsidRPr="00402A73">
        <w:t>also is not future but aorist</w:t>
      </w:r>
      <w:r w:rsidR="006F304D" w:rsidRPr="006F304D">
        <w:t xml:space="preserve">, </w:t>
      </w:r>
      <w:r w:rsidRPr="00402A73">
        <w:t>and in this context refers to “a particular reaction of joy.”</w:t>
      </w:r>
      <w:r w:rsidRPr="00402A73">
        <w:rPr>
          <w:vertAlign w:val="superscript"/>
        </w:rPr>
        <w:footnoteReference w:id="713"/>
      </w:r>
      <w:r w:rsidR="0027511E" w:rsidRPr="0027511E">
        <w:rPr>
          <w:iCs/>
        </w:rPr>
        <w:t xml:space="preserve"> </w:t>
      </w:r>
      <w:r w:rsidR="004B5D59" w:rsidRPr="00CE06CA">
        <w:rPr>
          <w:bCs/>
          <w:szCs w:val="22"/>
          <w:lang w:val="el-GR"/>
        </w:rPr>
        <w:t>Σκιρτήσατε</w:t>
      </w:r>
      <w:r w:rsidR="004B5D59">
        <w:t xml:space="preserve"> </w:t>
      </w:r>
      <w:r w:rsidRPr="00402A73">
        <w:t>(23a</w:t>
      </w:r>
      <w:r w:rsidR="006F304D" w:rsidRPr="006F304D">
        <w:t xml:space="preserve">, </w:t>
      </w:r>
      <w:r w:rsidRPr="00402A73">
        <w:t>“leap [for joy]”) also is an aorist imperative.</w:t>
      </w:r>
      <w:r w:rsidR="0027511E" w:rsidRPr="0027511E">
        <w:rPr>
          <w:iCs/>
        </w:rPr>
        <w:t xml:space="preserve"> </w:t>
      </w:r>
      <w:r w:rsidRPr="00402A73">
        <w:t>In the next clause (23b</w:t>
      </w:r>
      <w:r w:rsidR="006F304D" w:rsidRPr="006F304D">
        <w:t>,</w:t>
      </w:r>
      <w:r w:rsidR="004B5D59">
        <w:t xml:space="preserve"> </w:t>
      </w:r>
      <w:r w:rsidR="004B5D59" w:rsidRPr="00CE06CA">
        <w:rPr>
          <w:bCs/>
          <w:szCs w:val="22"/>
          <w:lang w:val="el-GR"/>
        </w:rPr>
        <w:t>ἰδοὺ γὰρ ὁ μισθὸς ὑμῶν πολὺς ἐν τῷ οὐρανῷ</w:t>
      </w:r>
      <w:r w:rsidRPr="00402A73">
        <w:t>)</w:t>
      </w:r>
      <w:r w:rsidR="006F304D" w:rsidRPr="006F304D">
        <w:t xml:space="preserve">, </w:t>
      </w:r>
      <w:r w:rsidRPr="00402A73">
        <w:t>the verb is absent</w:t>
      </w:r>
      <w:r w:rsidR="006F304D" w:rsidRPr="006F304D">
        <w:t xml:space="preserve">, </w:t>
      </w:r>
      <w:r w:rsidRPr="00402A73">
        <w:t xml:space="preserve">and so a present copulative is again </w:t>
      </w:r>
      <w:r w:rsidR="004B5D59">
        <w:t>implied</w:t>
      </w:r>
      <w:r w:rsidRPr="00402A73">
        <w:t>.</w:t>
      </w:r>
      <w:r w:rsidR="0027511E" w:rsidRPr="0027511E">
        <w:rPr>
          <w:iCs/>
        </w:rPr>
        <w:t xml:space="preserve"> </w:t>
      </w:r>
      <w:r w:rsidRPr="00402A73">
        <w:t>And in the last clause in v</w:t>
      </w:r>
      <w:r w:rsidR="004B5D59">
        <w:t>.</w:t>
      </w:r>
      <w:r w:rsidRPr="00402A73">
        <w:t xml:space="preserve"> 23 (</w:t>
      </w:r>
      <w:r w:rsidR="004B5D59" w:rsidRPr="00CE06CA">
        <w:rPr>
          <w:bCs/>
          <w:szCs w:val="22"/>
          <w:lang w:val="el-GR"/>
        </w:rPr>
        <w:t>κατὰ τὰ αὐτὰ γὰρ ἐποίουν τοῖς προφήταις οἱ πατέρες αὐτῶν</w:t>
      </w:r>
      <w:r w:rsidRPr="00402A73">
        <w:t>)</w:t>
      </w:r>
      <w:r w:rsidR="006F304D" w:rsidRPr="006F304D">
        <w:t xml:space="preserve">, </w:t>
      </w:r>
      <w:r w:rsidRPr="00402A73">
        <w:t>the tense is imperfect.</w:t>
      </w:r>
      <w:r w:rsidR="0027511E" w:rsidRPr="0027511E">
        <w:rPr>
          <w:iCs/>
        </w:rPr>
        <w:t xml:space="preserve"> </w:t>
      </w:r>
      <w:r w:rsidRPr="00402A73">
        <w:t>All of these non-future tenses occur in the fourth set’s beatitude; but in the fourth woe</w:t>
      </w:r>
      <w:r w:rsidR="006F304D" w:rsidRPr="006F304D">
        <w:t xml:space="preserve">, </w:t>
      </w:r>
      <w:r w:rsidRPr="00402A73">
        <w:t>the situation is similar.</w:t>
      </w:r>
      <w:r w:rsidR="0027511E" w:rsidRPr="0027511E">
        <w:rPr>
          <w:iCs/>
        </w:rPr>
        <w:t xml:space="preserve"> </w:t>
      </w:r>
      <w:r w:rsidRPr="00402A73">
        <w:t>The tense of the verb in the first half</w:t>
      </w:r>
      <w:r w:rsidR="004B5D59">
        <w:t xml:space="preserve"> (</w:t>
      </w:r>
      <w:r w:rsidR="004B5D59" w:rsidRPr="00CE06CA">
        <w:rPr>
          <w:bCs/>
          <w:szCs w:val="22"/>
          <w:lang w:val="el-GR"/>
        </w:rPr>
        <w:t>ἐποίουν</w:t>
      </w:r>
      <w:r w:rsidRPr="00402A73">
        <w:t>) is again aorist subjunctive</w:t>
      </w:r>
      <w:r w:rsidR="006F304D" w:rsidRPr="006F304D">
        <w:t xml:space="preserve">, </w:t>
      </w:r>
      <w:r w:rsidRPr="00402A73">
        <w:t>and the tense of the verb in the second half (</w:t>
      </w:r>
      <w:r w:rsidR="005724E5" w:rsidRPr="00CE06CA">
        <w:rPr>
          <w:bCs/>
          <w:szCs w:val="22"/>
          <w:lang w:val="el-GR"/>
        </w:rPr>
        <w:t>ἐποίουν</w:t>
      </w:r>
      <w:r w:rsidRPr="00402A73">
        <w:t>) is again imperfect.</w:t>
      </w:r>
    </w:p>
    <w:p w14:paraId="55D71356" w14:textId="33D71834" w:rsidR="0018433B" w:rsidRPr="00402A73" w:rsidRDefault="0018433B" w:rsidP="00786ADB">
      <w:pPr>
        <w:widowControl w:val="0"/>
      </w:pPr>
      <w:r w:rsidRPr="00402A73">
        <w:lastRenderedPageBreak/>
        <w:tab/>
        <w:t xml:space="preserve">It is a mistake for </w:t>
      </w:r>
      <w:proofErr w:type="spellStart"/>
      <w:r w:rsidRPr="00402A73">
        <w:t>Meynet</w:t>
      </w:r>
      <w:proofErr w:type="spellEnd"/>
      <w:r w:rsidRPr="00402A73">
        <w:t xml:space="preserve"> to suggest</w:t>
      </w:r>
      <w:r w:rsidR="006F304D" w:rsidRPr="006F304D">
        <w:t xml:space="preserve">, </w:t>
      </w:r>
      <w:r w:rsidRPr="00402A73">
        <w:t>then</w:t>
      </w:r>
      <w:r w:rsidR="006F304D" w:rsidRPr="006F304D">
        <w:t xml:space="preserve">, </w:t>
      </w:r>
      <w:r w:rsidRPr="00402A73">
        <w:t>that Luke’s beatitudes and woes are so neat a pattern of tenses as his “present</w:t>
      </w:r>
      <w:r w:rsidR="006F304D" w:rsidRPr="006F304D">
        <w:t xml:space="preserve">, </w:t>
      </w:r>
      <w:r w:rsidRPr="00402A73">
        <w:t>present-versus-future</w:t>
      </w:r>
      <w:r w:rsidR="006F304D" w:rsidRPr="006F304D">
        <w:t xml:space="preserve">, </w:t>
      </w:r>
      <w:r w:rsidRPr="00402A73">
        <w:t>future” pattern.</w:t>
      </w:r>
      <w:r w:rsidR="0027511E" w:rsidRPr="0027511E">
        <w:rPr>
          <w:iCs/>
        </w:rPr>
        <w:t xml:space="preserve"> </w:t>
      </w:r>
      <w:r w:rsidRPr="00402A73">
        <w:t>The variety of tenses means that no simplistic pattern of parallelism</w:t>
      </w:r>
      <w:r w:rsidR="006F304D" w:rsidRPr="006F304D">
        <w:t xml:space="preserve">, </w:t>
      </w:r>
      <w:r w:rsidRPr="00402A73">
        <w:t xml:space="preserve">such as </w:t>
      </w:r>
      <w:proofErr w:type="spellStart"/>
      <w:r w:rsidRPr="00402A73">
        <w:t>Meynet</w:t>
      </w:r>
      <w:proofErr w:type="spellEnd"/>
      <w:r w:rsidRPr="00402A73">
        <w:t xml:space="preserve"> proposes</w:t>
      </w:r>
      <w:r w:rsidR="006F304D" w:rsidRPr="006F304D">
        <w:t xml:space="preserve">, </w:t>
      </w:r>
      <w:r w:rsidRPr="00402A73">
        <w:t>can be sustained in the beatitudes and woes.</w:t>
      </w:r>
      <w:r w:rsidR="0027511E" w:rsidRPr="0027511E">
        <w:rPr>
          <w:iCs/>
        </w:rPr>
        <w:t xml:space="preserve"> </w:t>
      </w:r>
      <w:r w:rsidRPr="00402A73">
        <w:t>It is true</w:t>
      </w:r>
      <w:r w:rsidR="006F304D" w:rsidRPr="006F304D">
        <w:t xml:space="preserve">, </w:t>
      </w:r>
      <w:r w:rsidRPr="00402A73">
        <w:t>of course</w:t>
      </w:r>
      <w:r w:rsidR="006F304D" w:rsidRPr="006F304D">
        <w:t xml:space="preserve">, </w:t>
      </w:r>
      <w:r w:rsidRPr="00402A73">
        <w:t>that thought about the future is implied in the beatitudes and woes</w:t>
      </w:r>
      <w:r w:rsidR="006F304D" w:rsidRPr="006F304D">
        <w:t xml:space="preserve">, </w:t>
      </w:r>
      <w:r w:rsidRPr="00402A73">
        <w:t>even where the tense is not future: the positions of the poor and the rich</w:t>
      </w:r>
      <w:r w:rsidR="006F304D" w:rsidRPr="006F304D">
        <w:t xml:space="preserve">, </w:t>
      </w:r>
      <w:r w:rsidRPr="00402A73">
        <w:t>the hungry and the full</w:t>
      </w:r>
      <w:r w:rsidR="006F304D" w:rsidRPr="006F304D">
        <w:t xml:space="preserve">, </w:t>
      </w:r>
      <w:r w:rsidRPr="00402A73">
        <w:t>the weeping and the laughing</w:t>
      </w:r>
      <w:r w:rsidR="006F304D" w:rsidRPr="006F304D">
        <w:t xml:space="preserve">, </w:t>
      </w:r>
      <w:r w:rsidRPr="00402A73">
        <w:t>the reviled and the praised will in the future be the opposite of what they are now.</w:t>
      </w:r>
      <w:r w:rsidR="0027511E" w:rsidRPr="0027511E">
        <w:rPr>
          <w:iCs/>
        </w:rPr>
        <w:t xml:space="preserve"> </w:t>
      </w:r>
      <w:r w:rsidRPr="00402A73">
        <w:t>In fact</w:t>
      </w:r>
      <w:r w:rsidR="006F304D" w:rsidRPr="006F304D">
        <w:t xml:space="preserve">, </w:t>
      </w:r>
      <w:r w:rsidRPr="00402A73">
        <w:t>groups in the middle two sets will undergo an exact exchange of conditions: the hungry will be full and the full will be hungry</w:t>
      </w:r>
      <w:r w:rsidR="006F304D" w:rsidRPr="006F304D">
        <w:t xml:space="preserve">, </w:t>
      </w:r>
      <w:r w:rsidRPr="00402A73">
        <w:t>the weeping will laugh and the laughing will weep.</w:t>
      </w:r>
      <w:r w:rsidR="0027511E" w:rsidRPr="0027511E">
        <w:rPr>
          <w:iCs/>
        </w:rPr>
        <w:t xml:space="preserve"> </w:t>
      </w:r>
      <w:r w:rsidRPr="00402A73">
        <w:t>But groups in the first and fourth sets do not exchange conditions: they do not assume the circumstances now endured or enjoyed by the opposite member of their set.</w:t>
      </w:r>
      <w:r w:rsidR="0027511E" w:rsidRPr="0027511E">
        <w:rPr>
          <w:iCs/>
        </w:rPr>
        <w:t xml:space="preserve"> </w:t>
      </w:r>
      <w:r w:rsidRPr="00402A73">
        <w:t>Thus the poor will not become materially wealthy but have received the kingdom; the wealthy will not become materially poor but have received their consolation (and therefore will miss out on a future reward).</w:t>
      </w:r>
      <w:r w:rsidR="0027511E" w:rsidRPr="0027511E">
        <w:rPr>
          <w:iCs/>
        </w:rPr>
        <w:t xml:space="preserve"> </w:t>
      </w:r>
      <w:r w:rsidRPr="00402A73">
        <w:t>Similarly in the last pair: the reviled will not be praised but have</w:t>
      </w:r>
      <w:r w:rsidR="006F304D" w:rsidRPr="006F304D">
        <w:t xml:space="preserve">, </w:t>
      </w:r>
      <w:r w:rsidRPr="00402A73">
        <w:t>already</w:t>
      </w:r>
      <w:r w:rsidR="006F304D" w:rsidRPr="006F304D">
        <w:t xml:space="preserve">, </w:t>
      </w:r>
      <w:r w:rsidRPr="00402A73">
        <w:t>a reward in heaven; the praised will not be reviled but are</w:t>
      </w:r>
      <w:r w:rsidR="006F304D" w:rsidRPr="006F304D">
        <w:t xml:space="preserve">, </w:t>
      </w:r>
      <w:r w:rsidRPr="00402A73">
        <w:t>presently</w:t>
      </w:r>
      <w:r w:rsidR="006F304D" w:rsidRPr="006F304D">
        <w:t xml:space="preserve">, </w:t>
      </w:r>
      <w:r w:rsidRPr="00402A73">
        <w:t>like the false prophets.</w:t>
      </w:r>
    </w:p>
    <w:p w14:paraId="370DC054" w14:textId="01C75989" w:rsidR="0018433B" w:rsidRPr="00402A73" w:rsidRDefault="0018433B" w:rsidP="00786ADB">
      <w:pPr>
        <w:widowControl w:val="0"/>
      </w:pPr>
      <w:r w:rsidRPr="00402A73">
        <w:tab/>
        <w:t>Nor can it be said that the members of each group exchange status</w:t>
      </w:r>
      <w:r w:rsidR="006F304D" w:rsidRPr="006F304D">
        <w:t xml:space="preserve">, </w:t>
      </w:r>
      <w:r w:rsidRPr="00402A73">
        <w:t>the high becoming low and the low high</w:t>
      </w:r>
      <w:r w:rsidR="006F304D" w:rsidRPr="006F304D">
        <w:t xml:space="preserve">, </w:t>
      </w:r>
      <w:r w:rsidRPr="00402A73">
        <w:t>though this is often said by commentators.</w:t>
      </w:r>
      <w:r w:rsidRPr="00402A73">
        <w:rPr>
          <w:vertAlign w:val="superscript"/>
        </w:rPr>
        <w:footnoteReference w:id="714"/>
      </w:r>
      <w:r w:rsidR="0027511E" w:rsidRPr="0027511E">
        <w:rPr>
          <w:iCs/>
        </w:rPr>
        <w:t xml:space="preserve"> </w:t>
      </w:r>
      <w:r w:rsidRPr="00402A73">
        <w:t>The outward appearance or degree of approval of others does not change: the poor remain the poor and the rich the rich</w:t>
      </w:r>
      <w:r w:rsidR="006F304D" w:rsidRPr="006F304D">
        <w:t xml:space="preserve">, </w:t>
      </w:r>
      <w:r w:rsidRPr="00402A73">
        <w:t>the reviled remain the reviled and the praised the praised.</w:t>
      </w:r>
      <w:r w:rsidR="0027511E" w:rsidRPr="0027511E">
        <w:rPr>
          <w:iCs/>
        </w:rPr>
        <w:t xml:space="preserve"> </w:t>
      </w:r>
      <w:r w:rsidRPr="00402A73">
        <w:t>Rather</w:t>
      </w:r>
      <w:r w:rsidR="006F304D" w:rsidRPr="006F304D">
        <w:t xml:space="preserve">, </w:t>
      </w:r>
      <w:r w:rsidRPr="00402A73">
        <w:t>the opposition is one of apparent condition and real condition.</w:t>
      </w:r>
      <w:r w:rsidR="0027511E" w:rsidRPr="0027511E">
        <w:rPr>
          <w:iCs/>
        </w:rPr>
        <w:t xml:space="preserve"> </w:t>
      </w:r>
      <w:r w:rsidRPr="00402A73">
        <w:t>The appearance is present fact</w:t>
      </w:r>
      <w:r w:rsidR="006F304D" w:rsidRPr="006F304D">
        <w:t xml:space="preserve">, </w:t>
      </w:r>
      <w:r w:rsidRPr="00402A73">
        <w:t>but the reality is present fact also; hence the present tense.</w:t>
      </w:r>
      <w:r w:rsidR="0027511E" w:rsidRPr="0027511E">
        <w:rPr>
          <w:iCs/>
        </w:rPr>
        <w:t xml:space="preserve"> </w:t>
      </w:r>
      <w:r w:rsidRPr="00402A73">
        <w:t xml:space="preserve">But the </w:t>
      </w:r>
      <w:r w:rsidRPr="00402A73">
        <w:rPr>
          <w:i/>
        </w:rPr>
        <w:t>present</w:t>
      </w:r>
      <w:r w:rsidRPr="00402A73">
        <w:t xml:space="preserve"> schism between appearance and reality must inevitably result in a </w:t>
      </w:r>
      <w:r w:rsidRPr="00402A73">
        <w:rPr>
          <w:i/>
        </w:rPr>
        <w:t>future</w:t>
      </w:r>
      <w:r w:rsidRPr="00402A73">
        <w:t xml:space="preserve"> reward or punishment.</w:t>
      </w:r>
      <w:r w:rsidR="0027511E" w:rsidRPr="0027511E">
        <w:rPr>
          <w:iCs/>
        </w:rPr>
        <w:t xml:space="preserve"> </w:t>
      </w:r>
      <w:r w:rsidRPr="00402A73">
        <w:t>The discrepancy bodes well or ill</w:t>
      </w:r>
      <w:r w:rsidR="006F304D" w:rsidRPr="006F304D">
        <w:t xml:space="preserve">, </w:t>
      </w:r>
      <w:r w:rsidRPr="00402A73">
        <w:t>depending on the group.</w:t>
      </w:r>
      <w:r w:rsidR="0027511E" w:rsidRPr="0027511E">
        <w:rPr>
          <w:iCs/>
        </w:rPr>
        <w:t xml:space="preserve"> </w:t>
      </w:r>
      <w:r w:rsidRPr="00402A73">
        <w:t>The poor and the reviled</w:t>
      </w:r>
      <w:r w:rsidR="006F304D" w:rsidRPr="006F304D">
        <w:t xml:space="preserve">, </w:t>
      </w:r>
      <w:r w:rsidRPr="00402A73">
        <w:t>though their condition does not change in the present and apparently will not change in the near future</w:t>
      </w:r>
      <w:r w:rsidR="006F304D" w:rsidRPr="006F304D">
        <w:t xml:space="preserve">, </w:t>
      </w:r>
      <w:r w:rsidRPr="00402A73">
        <w:t xml:space="preserve">are blessed: theirs </w:t>
      </w:r>
      <w:r w:rsidRPr="00402A73">
        <w:rPr>
          <w:i/>
        </w:rPr>
        <w:t>is</w:t>
      </w:r>
      <w:r w:rsidRPr="00402A73">
        <w:t xml:space="preserve"> the kingdom of heaven</w:t>
      </w:r>
      <w:r w:rsidR="006F304D" w:rsidRPr="006F304D">
        <w:t xml:space="preserve">, </w:t>
      </w:r>
      <w:r w:rsidRPr="00402A73">
        <w:t xml:space="preserve">and therefore their condition </w:t>
      </w:r>
      <w:r w:rsidRPr="00402A73">
        <w:rPr>
          <w:i/>
        </w:rPr>
        <w:t>will</w:t>
      </w:r>
      <w:r w:rsidR="006F304D" w:rsidRPr="006F304D">
        <w:t xml:space="preserve">, </w:t>
      </w:r>
      <w:r w:rsidRPr="00402A73">
        <w:t>someday and inevitably</w:t>
      </w:r>
      <w:r w:rsidR="006F304D" w:rsidRPr="006F304D">
        <w:t xml:space="preserve">, </w:t>
      </w:r>
      <w:r w:rsidRPr="00402A73">
        <w:t>change; they are congratulated beforehand for an occurrence which present fact makes certain.</w:t>
      </w:r>
      <w:r w:rsidR="0027511E" w:rsidRPr="0027511E">
        <w:rPr>
          <w:iCs/>
        </w:rPr>
        <w:t xml:space="preserve"> </w:t>
      </w:r>
      <w:r w:rsidRPr="00402A73">
        <w:t>Likewise</w:t>
      </w:r>
      <w:r w:rsidR="006F304D" w:rsidRPr="006F304D">
        <w:t xml:space="preserve">, </w:t>
      </w:r>
      <w:r w:rsidRPr="00402A73">
        <w:t>the rich and the praised have prophetic woe pronounced upon them because their present reality</w:t>
      </w:r>
      <w:r w:rsidR="006F304D" w:rsidRPr="006F304D">
        <w:t xml:space="preserve">, </w:t>
      </w:r>
      <w:r w:rsidRPr="00402A73">
        <w:t>despite appearances</w:t>
      </w:r>
      <w:r w:rsidR="006F304D" w:rsidRPr="006F304D">
        <w:t xml:space="preserve">, </w:t>
      </w:r>
      <w:r w:rsidRPr="00402A73">
        <w:t>will inevitably bring punishment upon them.</w:t>
      </w:r>
    </w:p>
    <w:p w14:paraId="25983A8C" w14:textId="5EF948FD" w:rsidR="0018433B" w:rsidRPr="00402A73" w:rsidRDefault="0018433B" w:rsidP="00786ADB">
      <w:pPr>
        <w:widowControl w:val="0"/>
      </w:pPr>
      <w:r w:rsidRPr="00402A73">
        <w:tab/>
        <w:t>Misrepresentation of the tenses of the beatitudes and woes is not the only problem with Meynet’s scheme of “alternating parallelism” in his second chart.</w:t>
      </w:r>
      <w:r w:rsidR="0027511E" w:rsidRPr="0027511E">
        <w:rPr>
          <w:iCs/>
        </w:rPr>
        <w:t xml:space="preserve"> </w:t>
      </w:r>
      <w:r w:rsidRPr="00402A73">
        <w:t xml:space="preserve">Enough other difficulties occur in </w:t>
      </w:r>
      <w:proofErr w:type="spellStart"/>
      <w:r w:rsidRPr="00402A73">
        <w:t>Meynet’s</w:t>
      </w:r>
      <w:proofErr w:type="spellEnd"/>
      <w:r w:rsidRPr="00402A73">
        <w:t xml:space="preserve"> layout that it will be most efficient simply to list them.</w:t>
      </w:r>
    </w:p>
    <w:p w14:paraId="5C0AD324" w14:textId="19906718" w:rsidR="0018433B" w:rsidRPr="00402A73" w:rsidRDefault="0018433B" w:rsidP="00786ADB">
      <w:pPr>
        <w:widowControl w:val="0"/>
      </w:pPr>
      <w:r w:rsidRPr="00402A73">
        <w:tab/>
      </w:r>
      <w:r w:rsidR="005724E5">
        <w:t xml:space="preserve">1) </w:t>
      </w:r>
      <w:r w:rsidRPr="00402A73">
        <w:t>The crossings in sets 2 and 3 are appropriate: the hungry and the filled trade conditions</w:t>
      </w:r>
      <w:r w:rsidR="006F304D" w:rsidRPr="006F304D">
        <w:t xml:space="preserve">, </w:t>
      </w:r>
      <w:r w:rsidRPr="00402A73">
        <w:t>and the weeping and the laughing trade conditions.</w:t>
      </w:r>
      <w:r w:rsidR="0027511E" w:rsidRPr="0027511E">
        <w:rPr>
          <w:iCs/>
        </w:rPr>
        <w:t xml:space="preserve"> </w:t>
      </w:r>
      <w:r w:rsidRPr="00402A73">
        <w:t>But the crossing in set 1 is between reward (kingdom</w:t>
      </w:r>
      <w:r w:rsidR="006F304D" w:rsidRPr="006F304D">
        <w:t xml:space="preserve">, </w:t>
      </w:r>
      <w:r w:rsidRPr="00402A73">
        <w:t>consolation) and “your” or “you”—hardly a matched set.</w:t>
      </w:r>
      <w:r w:rsidR="0027511E" w:rsidRPr="0027511E">
        <w:rPr>
          <w:iCs/>
        </w:rPr>
        <w:t xml:space="preserve"> </w:t>
      </w:r>
      <w:r w:rsidRPr="00402A73">
        <w:t>Similarly</w:t>
      </w:r>
      <w:r w:rsidR="006F304D" w:rsidRPr="006F304D">
        <w:t xml:space="preserve">, </w:t>
      </w:r>
      <w:r w:rsidRPr="00402A73">
        <w:t>the crossing in set 4 is between “good” and “evil,” on the one hand</w:t>
      </w:r>
      <w:r w:rsidR="006F304D" w:rsidRPr="006F304D">
        <w:t xml:space="preserve">, </w:t>
      </w:r>
      <w:r w:rsidRPr="00402A73">
        <w:t>and “men” and “men” on the other—again</w:t>
      </w:r>
      <w:r w:rsidR="006F304D" w:rsidRPr="006F304D">
        <w:t xml:space="preserve">, </w:t>
      </w:r>
      <w:r w:rsidRPr="00402A73">
        <w:t>apples and oranges.</w:t>
      </w:r>
    </w:p>
    <w:p w14:paraId="2652F475" w14:textId="166F2D9C" w:rsidR="0018433B" w:rsidRPr="00402A73" w:rsidRDefault="0018433B" w:rsidP="00786ADB">
      <w:pPr>
        <w:widowControl w:val="0"/>
      </w:pPr>
      <w:r w:rsidRPr="00402A73">
        <w:tab/>
      </w:r>
      <w:r w:rsidR="005724E5">
        <w:t xml:space="preserve">2) </w:t>
      </w:r>
      <w:r w:rsidRPr="00402A73">
        <w:t xml:space="preserve">Another problem is </w:t>
      </w:r>
      <w:proofErr w:type="spellStart"/>
      <w:r w:rsidRPr="00402A73">
        <w:t>Meynet’s</w:t>
      </w:r>
      <w:proofErr w:type="spellEnd"/>
      <w:r w:rsidRPr="00402A73">
        <w:t xml:space="preserve"> comment that the four “now’s” (</w:t>
      </w:r>
      <w:r w:rsidR="005724E5" w:rsidRPr="00CE06CA">
        <w:rPr>
          <w:bCs/>
          <w:szCs w:val="22"/>
          <w:lang w:val="el-GR"/>
        </w:rPr>
        <w:t>νῦν</w:t>
      </w:r>
      <w:r w:rsidR="006F304D" w:rsidRPr="006F304D">
        <w:t xml:space="preserve">, </w:t>
      </w:r>
      <w:r w:rsidRPr="00402A73">
        <w:t>21a</w:t>
      </w:r>
      <w:r w:rsidR="006F304D" w:rsidRPr="006F304D">
        <w:t xml:space="preserve">, </w:t>
      </w:r>
      <w:r w:rsidRPr="00402A73">
        <w:t>21c</w:t>
      </w:r>
      <w:r w:rsidR="006F304D" w:rsidRPr="006F304D">
        <w:t xml:space="preserve">, </w:t>
      </w:r>
      <w:r w:rsidRPr="00402A73">
        <w:t>25a</w:t>
      </w:r>
      <w:r w:rsidR="006F304D" w:rsidRPr="006F304D">
        <w:t xml:space="preserve">, </w:t>
      </w:r>
      <w:r w:rsidRPr="00402A73">
        <w:t>25c) are opposed to “in that day” (6:23a).</w:t>
      </w:r>
      <w:r w:rsidR="0027511E" w:rsidRPr="0027511E">
        <w:rPr>
          <w:iCs/>
        </w:rPr>
        <w:t xml:space="preserve"> </w:t>
      </w:r>
      <w:r w:rsidRPr="00402A73">
        <w:t>This is surely impossible: the four “now’s” oppose one another</w:t>
      </w:r>
      <w:r w:rsidR="006F304D" w:rsidRPr="006F304D">
        <w:t xml:space="preserve">, </w:t>
      </w:r>
      <w:r w:rsidRPr="00402A73">
        <w:t>i.e.</w:t>
      </w:r>
      <w:r w:rsidR="006F304D" w:rsidRPr="006F304D">
        <w:t xml:space="preserve">, </w:t>
      </w:r>
      <w:r w:rsidRPr="00402A73">
        <w:t>they are opposites in sets 2 and 3</w:t>
      </w:r>
      <w:r w:rsidR="006F304D" w:rsidRPr="006F304D">
        <w:t xml:space="preserve">, </w:t>
      </w:r>
      <w:r w:rsidRPr="00402A73">
        <w:t>and hardly form an antithesis with one small phrase in one half of set 4.</w:t>
      </w:r>
    </w:p>
    <w:p w14:paraId="5778E0F4" w14:textId="47BFF8B2" w:rsidR="0018433B" w:rsidRPr="00402A73" w:rsidRDefault="0018433B" w:rsidP="00786ADB">
      <w:pPr>
        <w:widowControl w:val="0"/>
      </w:pPr>
      <w:r w:rsidRPr="00402A73">
        <w:tab/>
      </w:r>
      <w:r w:rsidR="005724E5">
        <w:t xml:space="preserve">3) </w:t>
      </w:r>
      <w:r w:rsidRPr="00402A73">
        <w:t>The fifth section seems to have two centers.</w:t>
      </w:r>
      <w:r w:rsidR="0027511E" w:rsidRPr="0027511E">
        <w:rPr>
          <w:iCs/>
        </w:rPr>
        <w:t xml:space="preserve"> </w:t>
      </w:r>
      <w:r w:rsidRPr="00402A73">
        <w:t>There is “because of the Son of man,” and there is “Rejoice in that day</w:t>
      </w:r>
      <w:r w:rsidR="006F304D" w:rsidRPr="006F304D">
        <w:t xml:space="preserve">, </w:t>
      </w:r>
      <w:r w:rsidRPr="00402A73">
        <w:t>and leap for joy</w:t>
      </w:r>
      <w:r w:rsidR="006F304D" w:rsidRPr="006F304D">
        <w:t xml:space="preserve">, </w:t>
      </w:r>
      <w:r w:rsidRPr="00402A73">
        <w:t>for behold: your reward is great in heaven.”</w:t>
      </w:r>
    </w:p>
    <w:p w14:paraId="535AD02C" w14:textId="3A044B8E" w:rsidR="0018433B" w:rsidRPr="00402A73" w:rsidRDefault="0018433B" w:rsidP="00786ADB">
      <w:pPr>
        <w:widowControl w:val="0"/>
      </w:pPr>
      <w:r w:rsidRPr="00402A73">
        <w:lastRenderedPageBreak/>
        <w:tab/>
      </w:r>
      <w:r w:rsidR="005724E5">
        <w:t xml:space="preserve">4) </w:t>
      </w:r>
      <w:r w:rsidRPr="00402A73">
        <w:t>The second half of the fifth section opposes prophets and false prophets; but these are not two sets coordinate with the preceding four</w:t>
      </w:r>
      <w:r w:rsidR="006F304D" w:rsidRPr="006F304D">
        <w:t xml:space="preserve">, </w:t>
      </w:r>
      <w:r w:rsidRPr="00402A73">
        <w:t>as if there were five beatitudes-woes.</w:t>
      </w:r>
    </w:p>
    <w:p w14:paraId="5DF11886" w14:textId="465F6EF4" w:rsidR="0018433B" w:rsidRPr="00402A73" w:rsidRDefault="0018433B" w:rsidP="00786ADB">
      <w:pPr>
        <w:widowControl w:val="0"/>
      </w:pPr>
      <w:r w:rsidRPr="00402A73">
        <w:tab/>
      </w:r>
      <w:r w:rsidR="005724E5">
        <w:t xml:space="preserve">5) </w:t>
      </w:r>
      <w:r w:rsidRPr="00402A73">
        <w:t>Concerning “you”: (a) The “you” in 6:22 is spoken three times; “you” in 26 is spoken once.</w:t>
      </w:r>
      <w:r w:rsidR="0027511E" w:rsidRPr="0027511E">
        <w:rPr>
          <w:iCs/>
        </w:rPr>
        <w:t xml:space="preserve"> </w:t>
      </w:r>
      <w:r w:rsidRPr="00402A73">
        <w:t xml:space="preserve">Yet </w:t>
      </w:r>
      <w:proofErr w:type="spellStart"/>
      <w:r w:rsidR="006C54ED">
        <w:t>Meynet</w:t>
      </w:r>
      <w:proofErr w:type="spellEnd"/>
      <w:r w:rsidR="006C54ED">
        <w:t xml:space="preserve"> </w:t>
      </w:r>
      <w:r w:rsidR="006C54ED" w:rsidRPr="00402A73">
        <w:t>link</w:t>
      </w:r>
      <w:r w:rsidR="006C54ED">
        <w:t xml:space="preserve">s </w:t>
      </w:r>
      <w:r w:rsidRPr="00402A73">
        <w:t>all of the occurrences by means of equal signs</w:t>
      </w:r>
      <w:r w:rsidR="006F304D" w:rsidRPr="006F304D">
        <w:t xml:space="preserve">, </w:t>
      </w:r>
      <w:r w:rsidRPr="00402A73">
        <w:t>which indicate “</w:t>
      </w:r>
      <w:proofErr w:type="spellStart"/>
      <w:r w:rsidRPr="00402A73">
        <w:t>identité</w:t>
      </w:r>
      <w:proofErr w:type="spellEnd"/>
      <w:r w:rsidRPr="00402A73">
        <w:t>.”</w:t>
      </w:r>
      <w:r w:rsidR="0027511E" w:rsidRPr="0027511E">
        <w:rPr>
          <w:iCs/>
        </w:rPr>
        <w:t xml:space="preserve"> </w:t>
      </w:r>
      <w:r w:rsidRPr="00402A73">
        <w:t>(b) By means of typography</w:t>
      </w:r>
      <w:r w:rsidR="006F304D" w:rsidRPr="006F304D">
        <w:t xml:space="preserve">, </w:t>
      </w:r>
      <w:proofErr w:type="spellStart"/>
      <w:r w:rsidRPr="00402A73">
        <w:t>Meynet</w:t>
      </w:r>
      <w:proofErr w:type="spellEnd"/>
      <w:r w:rsidRPr="00402A73">
        <w:t xml:space="preserve"> indicates that the occurrences of “you” in set 4 are somehow related to the occurrences of “you” in set 1 (the related “</w:t>
      </w:r>
      <w:proofErr w:type="spellStart"/>
      <w:r w:rsidRPr="00402A73">
        <w:t>you’s</w:t>
      </w:r>
      <w:proofErr w:type="spellEnd"/>
      <w:r w:rsidRPr="00402A73">
        <w:t>” are printed with extra spacing between the letters</w:t>
      </w:r>
      <w:r w:rsidR="006F304D" w:rsidRPr="006F304D">
        <w:t xml:space="preserve">, </w:t>
      </w:r>
      <w:r w:rsidRPr="00402A73">
        <w:t xml:space="preserve">a </w:t>
      </w:r>
      <w:r w:rsidR="006C54ED">
        <w:t>not un</w:t>
      </w:r>
      <w:r w:rsidRPr="00402A73">
        <w:t>common form of emphasis in European writing).</w:t>
      </w:r>
      <w:r w:rsidR="0027511E" w:rsidRPr="0027511E">
        <w:rPr>
          <w:iCs/>
        </w:rPr>
        <w:t xml:space="preserve"> </w:t>
      </w:r>
      <w:r w:rsidRPr="00402A73">
        <w:t>But what is the relationship?</w:t>
      </w:r>
      <w:r w:rsidR="0027511E" w:rsidRPr="0027511E">
        <w:rPr>
          <w:iCs/>
        </w:rPr>
        <w:t xml:space="preserve"> </w:t>
      </w:r>
      <w:r w:rsidRPr="00402A73">
        <w:t>And what about the “</w:t>
      </w:r>
      <w:proofErr w:type="spellStart"/>
      <w:r w:rsidRPr="00402A73">
        <w:t>you’s</w:t>
      </w:r>
      <w:proofErr w:type="spellEnd"/>
      <w:r w:rsidRPr="00402A73">
        <w:t>” which are not so related</w:t>
      </w:r>
      <w:r w:rsidR="006F304D" w:rsidRPr="006F304D">
        <w:t xml:space="preserve">, </w:t>
      </w:r>
      <w:r w:rsidRPr="00402A73">
        <w:t>namely</w:t>
      </w:r>
      <w:r w:rsidR="006F304D" w:rsidRPr="006F304D">
        <w:t xml:space="preserve">, </w:t>
      </w:r>
      <w:r w:rsidRPr="00402A73">
        <w:t>those in the first</w:t>
      </w:r>
      <w:r w:rsidR="006F304D" w:rsidRPr="006F304D">
        <w:t xml:space="preserve">, </w:t>
      </w:r>
      <w:r w:rsidRPr="00402A73">
        <w:t>second</w:t>
      </w:r>
      <w:r w:rsidR="006F304D" w:rsidRPr="006F304D">
        <w:t xml:space="preserve">, </w:t>
      </w:r>
      <w:r w:rsidRPr="00402A73">
        <w:t>and third beatitudes</w:t>
      </w:r>
      <w:r w:rsidR="006F304D" w:rsidRPr="006F304D">
        <w:t xml:space="preserve">, </w:t>
      </w:r>
      <w:r w:rsidRPr="00402A73">
        <w:t xml:space="preserve">which </w:t>
      </w:r>
      <w:proofErr w:type="spellStart"/>
      <w:r w:rsidRPr="00402A73">
        <w:t>Meynet</w:t>
      </w:r>
      <w:proofErr w:type="spellEnd"/>
      <w:r w:rsidRPr="00402A73">
        <w:t xml:space="preserve"> has underlined?</w:t>
      </w:r>
    </w:p>
    <w:p w14:paraId="072C176B" w14:textId="180DE88B" w:rsidR="0018433B" w:rsidRPr="00402A73" w:rsidRDefault="0018433B" w:rsidP="00786ADB">
      <w:pPr>
        <w:widowControl w:val="0"/>
      </w:pPr>
      <w:r w:rsidRPr="00402A73">
        <w:tab/>
      </w:r>
      <w:r w:rsidR="006C54ED">
        <w:t>6</w:t>
      </w:r>
      <w:r w:rsidR="005724E5">
        <w:t xml:space="preserve">) </w:t>
      </w:r>
      <w:r w:rsidRPr="00402A73">
        <w:t>Why does the fourth beatitude say</w:t>
      </w:r>
      <w:r w:rsidR="006F304D" w:rsidRPr="006F304D">
        <w:t xml:space="preserve">, </w:t>
      </w:r>
      <w:r w:rsidRPr="00402A73">
        <w:t>“Blessed are you” (</w:t>
      </w:r>
      <w:bookmarkStart w:id="80" w:name="_Hlk145450912"/>
      <w:r w:rsidR="006C54ED" w:rsidRPr="00CE06CA">
        <w:rPr>
          <w:bCs/>
          <w:szCs w:val="22"/>
          <w:lang w:val="el-GR"/>
        </w:rPr>
        <w:t xml:space="preserve">μακάριοί </w:t>
      </w:r>
      <w:bookmarkStart w:id="81" w:name="_Hlk145450757"/>
      <w:bookmarkEnd w:id="80"/>
      <w:r w:rsidR="006C54ED" w:rsidRPr="00CE06CA">
        <w:rPr>
          <w:bCs/>
          <w:szCs w:val="22"/>
          <w:lang w:val="el-GR"/>
        </w:rPr>
        <w:t>ἐστε</w:t>
      </w:r>
      <w:bookmarkEnd w:id="81"/>
      <w:r w:rsidRPr="00402A73">
        <w:t>)</w:t>
      </w:r>
      <w:r w:rsidR="006F304D" w:rsidRPr="006F304D">
        <w:t xml:space="preserve">, </w:t>
      </w:r>
      <w:r w:rsidRPr="00402A73">
        <w:t>when the other three beatitudes do not add</w:t>
      </w:r>
      <w:r w:rsidR="006F304D" w:rsidRPr="006F304D">
        <w:t xml:space="preserve"> </w:t>
      </w:r>
      <w:r w:rsidRPr="00402A73">
        <w:t>“are you”</w:t>
      </w:r>
      <w:r w:rsidR="006C54ED">
        <w:t xml:space="preserve"> (</w:t>
      </w:r>
      <w:r w:rsidR="006C54ED" w:rsidRPr="00CE06CA">
        <w:rPr>
          <w:bCs/>
          <w:szCs w:val="22"/>
          <w:lang w:val="el-GR"/>
        </w:rPr>
        <w:t>ἐστε</w:t>
      </w:r>
      <w:r w:rsidR="006C54ED">
        <w:rPr>
          <w:bCs/>
          <w:szCs w:val="22"/>
        </w:rPr>
        <w:t>)?</w:t>
      </w:r>
      <w:r w:rsidRPr="00402A73">
        <w:t xml:space="preserve"> </w:t>
      </w:r>
      <w:r w:rsidR="006C54ED">
        <w:t xml:space="preserve">They </w:t>
      </w:r>
      <w:r w:rsidRPr="00402A73">
        <w:t>literally</w:t>
      </w:r>
      <w:r w:rsidR="006C54ED">
        <w:t xml:space="preserve"> say</w:t>
      </w:r>
      <w:r w:rsidR="006F304D" w:rsidRPr="006F304D">
        <w:t xml:space="preserve">, </w:t>
      </w:r>
      <w:r w:rsidRPr="00402A73">
        <w:t>“Blessed the poor,” “Blessed the hungering,” “Blessed the weeping</w:t>
      </w:r>
      <w:r w:rsidR="006C54ED">
        <w:t>.</w:t>
      </w:r>
      <w:r w:rsidRPr="00402A73">
        <w:t>”</w:t>
      </w:r>
      <w:r w:rsidR="0027511E" w:rsidRPr="0027511E">
        <w:rPr>
          <w:iCs/>
        </w:rPr>
        <w:t xml:space="preserve"> </w:t>
      </w:r>
      <w:r w:rsidRPr="00402A73">
        <w:t xml:space="preserve">There is a temporal clause after </w:t>
      </w:r>
      <w:r w:rsidR="006C54ED" w:rsidRPr="00CE06CA">
        <w:rPr>
          <w:bCs/>
          <w:szCs w:val="22"/>
          <w:lang w:val="el-GR"/>
        </w:rPr>
        <w:t>ἐστε</w:t>
      </w:r>
      <w:r w:rsidR="006C54ED" w:rsidRPr="00402A73">
        <w:t xml:space="preserve"> </w:t>
      </w:r>
      <w:r w:rsidRPr="00402A73">
        <w:t>in the fourth beatitude</w:t>
      </w:r>
      <w:r w:rsidR="006F304D" w:rsidRPr="006F304D">
        <w:t xml:space="preserve">, </w:t>
      </w:r>
      <w:r w:rsidRPr="00402A73">
        <w:t>it is true; but that clause does not seem to require</w:t>
      </w:r>
      <w:r w:rsidR="006C54ED">
        <w:t xml:space="preserve"> </w:t>
      </w:r>
      <w:r w:rsidR="006C54ED" w:rsidRPr="00CE06CA">
        <w:rPr>
          <w:bCs/>
          <w:szCs w:val="22"/>
          <w:lang w:val="el-GR"/>
        </w:rPr>
        <w:t>ἐστε</w:t>
      </w:r>
      <w:r w:rsidRPr="00402A73">
        <w:t>: the fourth woe has a temporal clause</w:t>
      </w:r>
      <w:r w:rsidR="006F304D" w:rsidRPr="006F304D">
        <w:t xml:space="preserve">, </w:t>
      </w:r>
      <w:r w:rsidRPr="00402A73">
        <w:t>with the same subordinating conjunction (</w:t>
      </w:r>
      <w:r w:rsidR="006C54ED" w:rsidRPr="00CE06CA">
        <w:rPr>
          <w:bCs/>
          <w:szCs w:val="22"/>
          <w:lang w:val="el-GR"/>
        </w:rPr>
        <w:t>ὅταν</w:t>
      </w:r>
      <w:r w:rsidR="006C54ED">
        <w:rPr>
          <w:bCs/>
          <w:szCs w:val="22"/>
        </w:rPr>
        <w:t>, “when”</w:t>
      </w:r>
      <w:r w:rsidRPr="00402A73">
        <w:t>) to begin it</w:t>
      </w:r>
      <w:r w:rsidR="006F304D" w:rsidRPr="006F304D">
        <w:t xml:space="preserve">, </w:t>
      </w:r>
      <w:r w:rsidRPr="00402A73">
        <w:t xml:space="preserve">yet no </w:t>
      </w:r>
      <w:r w:rsidR="006C54ED">
        <w:rPr>
          <w:bCs/>
          <w:szCs w:val="22"/>
          <w:lang w:val="el-GR"/>
        </w:rPr>
        <w:t>ἐστε</w:t>
      </w:r>
      <w:r w:rsidR="006C54ED" w:rsidRPr="00402A73">
        <w:t xml:space="preserve"> </w:t>
      </w:r>
      <w:r w:rsidRPr="00402A73">
        <w:t>falls between “woe” and the clause.</w:t>
      </w:r>
    </w:p>
    <w:p w14:paraId="418B0A29" w14:textId="6544636B" w:rsidR="0018433B" w:rsidRPr="00402A73" w:rsidRDefault="0018433B" w:rsidP="00786ADB">
      <w:pPr>
        <w:widowControl w:val="0"/>
      </w:pPr>
      <w:r w:rsidRPr="00402A73">
        <w:tab/>
      </w:r>
      <w:r w:rsidR="006C54ED">
        <w:t>7</w:t>
      </w:r>
      <w:r w:rsidR="005724E5">
        <w:t xml:space="preserve">) </w:t>
      </w:r>
      <w:r w:rsidRPr="00402A73">
        <w:t>In the third woe</w:t>
      </w:r>
      <w:r w:rsidR="006F304D" w:rsidRPr="006F304D">
        <w:t>,</w:t>
      </w:r>
      <w:r w:rsidR="006C54ED">
        <w:t xml:space="preserve"> </w:t>
      </w:r>
      <w:r w:rsidR="006C54ED" w:rsidRPr="00CE06CA">
        <w:rPr>
          <w:bCs/>
          <w:szCs w:val="22"/>
          <w:lang w:val="el-GR"/>
        </w:rPr>
        <w:t>πενθήσετε καὶ</w:t>
      </w:r>
      <w:r w:rsidR="006C54ED">
        <w:rPr>
          <w:bCs/>
          <w:szCs w:val="22"/>
        </w:rPr>
        <w:t xml:space="preserve"> (“</w:t>
      </w:r>
      <w:r w:rsidR="006C54ED" w:rsidRPr="00CD75A6">
        <w:t>you will mourn and</w:t>
      </w:r>
      <w:r w:rsidR="006C54ED">
        <w:t>”)</w:t>
      </w:r>
      <w:r w:rsidR="006F304D" w:rsidRPr="006F304D">
        <w:t xml:space="preserve"> </w:t>
      </w:r>
      <w:r w:rsidRPr="00402A73">
        <w:t>disturbs the chiasm.</w:t>
      </w:r>
      <w:r w:rsidR="0027511E" w:rsidRPr="0027511E">
        <w:rPr>
          <w:iCs/>
        </w:rPr>
        <w:t xml:space="preserve"> </w:t>
      </w:r>
      <w:proofErr w:type="spellStart"/>
      <w:r w:rsidRPr="00402A73">
        <w:t>Meynet</w:t>
      </w:r>
      <w:proofErr w:type="spellEnd"/>
      <w:r w:rsidRPr="00402A73">
        <w:t xml:space="preserve"> seems to try to heal the disturbance by saying that </w:t>
      </w:r>
      <w:r w:rsidR="006C54ED" w:rsidRPr="00CE06CA">
        <w:rPr>
          <w:bCs/>
          <w:szCs w:val="22"/>
          <w:lang w:val="el-GR"/>
        </w:rPr>
        <w:t>πενθήσετε καὶ</w:t>
      </w:r>
      <w:r w:rsidR="006C54ED">
        <w:rPr>
          <w:bCs/>
          <w:szCs w:val="22"/>
        </w:rPr>
        <w:t xml:space="preserve"> </w:t>
      </w:r>
      <w:r w:rsidRPr="00402A73">
        <w:t xml:space="preserve">is opposed to “rejoice” in 6:23a; but that relationship is impossible to imagine within the bounds of </w:t>
      </w:r>
      <w:proofErr w:type="spellStart"/>
      <w:r w:rsidRPr="00402A73">
        <w:t>Meynet’s</w:t>
      </w:r>
      <w:proofErr w:type="spellEnd"/>
      <w:r w:rsidRPr="00402A73">
        <w:t xml:space="preserve"> chiasm.</w:t>
      </w:r>
    </w:p>
    <w:p w14:paraId="0E1199C5" w14:textId="5A58C6E7" w:rsidR="0018433B" w:rsidRPr="00402A73" w:rsidRDefault="0018433B" w:rsidP="00786ADB">
      <w:pPr>
        <w:widowControl w:val="0"/>
      </w:pPr>
      <w:r w:rsidRPr="00402A73">
        <w:tab/>
      </w:r>
      <w:r w:rsidR="006C54ED">
        <w:t>8</w:t>
      </w:r>
      <w:r w:rsidR="005724E5">
        <w:t xml:space="preserve">) </w:t>
      </w:r>
      <w:r w:rsidRPr="00402A73">
        <w:t>The items involved in the crossings are sometimes items in “opposition” and sometimes items in “identity.”</w:t>
      </w:r>
      <w:r w:rsidR="0027511E" w:rsidRPr="0027511E">
        <w:rPr>
          <w:iCs/>
        </w:rPr>
        <w:t xml:space="preserve"> </w:t>
      </w:r>
      <w:r w:rsidRPr="00402A73">
        <w:t>In the first beatitude and woe</w:t>
      </w:r>
      <w:r w:rsidR="006F304D" w:rsidRPr="006F304D">
        <w:t xml:space="preserve">, </w:t>
      </w:r>
      <w:r w:rsidRPr="00402A73">
        <w:t>for example</w:t>
      </w:r>
      <w:r w:rsidR="006F304D" w:rsidRPr="006F304D">
        <w:t xml:space="preserve">, </w:t>
      </w:r>
      <w:r w:rsidRPr="00402A73">
        <w:t>two members of the crossing</w:t>
      </w:r>
      <w:r w:rsidR="006F304D" w:rsidRPr="006F304D">
        <w:t xml:space="preserve">, </w:t>
      </w:r>
      <w:r w:rsidRPr="00402A73">
        <w:t>“is the kingdom of God” and “you have received your consolation,” are said to be opposed items</w:t>
      </w:r>
      <w:r w:rsidR="006F304D" w:rsidRPr="006F304D">
        <w:t xml:space="preserve">, </w:t>
      </w:r>
      <w:r w:rsidRPr="00402A73">
        <w:t>while the other two members of the crossing</w:t>
      </w:r>
      <w:r w:rsidR="006F304D" w:rsidRPr="006F304D">
        <w:t xml:space="preserve">, </w:t>
      </w:r>
      <w:r w:rsidRPr="00402A73">
        <w:t>“to you” and “you,” are said to be identical items.</w:t>
      </w:r>
      <w:r w:rsidR="0027511E" w:rsidRPr="0027511E">
        <w:rPr>
          <w:iCs/>
        </w:rPr>
        <w:t xml:space="preserve"> </w:t>
      </w:r>
      <w:r w:rsidRPr="00402A73">
        <w:t>In the second set</w:t>
      </w:r>
      <w:r w:rsidR="006F304D" w:rsidRPr="006F304D">
        <w:t xml:space="preserve">, </w:t>
      </w:r>
      <w:r w:rsidRPr="00402A73">
        <w:t>the pattern is the same: the second item on the beatitude side (“you shall be satisfied”) opposes the first item on the woe side (“that are full now”),</w:t>
      </w:r>
      <w:r w:rsidRPr="00402A73">
        <w:rPr>
          <w:vertAlign w:val="superscript"/>
        </w:rPr>
        <w:footnoteReference w:id="715"/>
      </w:r>
      <w:r w:rsidRPr="00402A73">
        <w:t xml:space="preserve"> while the first item on the beatitude side identifies with the second item on the woe side.</w:t>
      </w:r>
      <w:r w:rsidR="0027511E" w:rsidRPr="0027511E">
        <w:rPr>
          <w:iCs/>
        </w:rPr>
        <w:t xml:space="preserve"> </w:t>
      </w:r>
      <w:r w:rsidRPr="00402A73">
        <w:t>So far the pattern has held good.</w:t>
      </w:r>
      <w:r w:rsidR="0027511E" w:rsidRPr="0027511E">
        <w:rPr>
          <w:iCs/>
        </w:rPr>
        <w:t xml:space="preserve"> </w:t>
      </w:r>
      <w:r w:rsidRPr="00402A73">
        <w:t>But in the third set</w:t>
      </w:r>
      <w:r w:rsidR="006F304D" w:rsidRPr="006F304D">
        <w:t xml:space="preserve">, </w:t>
      </w:r>
      <w:r w:rsidRPr="00402A73">
        <w:t>both sets of items have a relation of identity; the second beatitude item and the first woe item are identical</w:t>
      </w:r>
      <w:r w:rsidR="006F304D" w:rsidRPr="006F304D">
        <w:t xml:space="preserve">, </w:t>
      </w:r>
      <w:r w:rsidRPr="00402A73">
        <w:t>and the first beatitude item and the second woe item are identical.</w:t>
      </w:r>
      <w:r w:rsidR="0027511E" w:rsidRPr="0027511E">
        <w:rPr>
          <w:iCs/>
        </w:rPr>
        <w:t xml:space="preserve"> </w:t>
      </w:r>
      <w:r w:rsidRPr="00402A73">
        <w:t>In the fourth set</w:t>
      </w:r>
      <w:r w:rsidR="006F304D" w:rsidRPr="006F304D">
        <w:t xml:space="preserve">, </w:t>
      </w:r>
      <w:r w:rsidRPr="00402A73">
        <w:t>the pattern returns to that of the first two sets: items two and three cross in opposition</w:t>
      </w:r>
      <w:r w:rsidR="006F304D" w:rsidRPr="006F304D">
        <w:t xml:space="preserve">, </w:t>
      </w:r>
      <w:r w:rsidRPr="00402A73">
        <w:t>items one and four cross in identity.</w:t>
      </w:r>
    </w:p>
    <w:p w14:paraId="5444C9FF" w14:textId="680814D0" w:rsidR="0018433B" w:rsidRPr="00402A73" w:rsidRDefault="0018433B" w:rsidP="00786ADB">
      <w:pPr>
        <w:widowControl w:val="0"/>
      </w:pPr>
      <w:r w:rsidRPr="00402A73">
        <w:tab/>
      </w:r>
      <w:r w:rsidR="006C54ED">
        <w:t>9</w:t>
      </w:r>
      <w:r w:rsidR="005724E5">
        <w:t xml:space="preserve">) </w:t>
      </w:r>
      <w:r w:rsidRPr="00402A73">
        <w:t>The disturbance of the chiasm that is caused by expansion of the fourth beatitude is turned into an asset: the four verbs in 6:22</w:t>
      </w:r>
      <w:r w:rsidR="006F304D" w:rsidRPr="006F304D">
        <w:t xml:space="preserve">, </w:t>
      </w:r>
      <w:proofErr w:type="spellStart"/>
      <w:r w:rsidRPr="00402A73">
        <w:t>Meynet</w:t>
      </w:r>
      <w:proofErr w:type="spellEnd"/>
      <w:r w:rsidRPr="00402A73">
        <w:t xml:space="preserve"> says</w:t>
      </w:r>
      <w:r w:rsidR="006F304D" w:rsidRPr="006F304D">
        <w:t xml:space="preserve">, </w:t>
      </w:r>
      <w:r w:rsidRPr="00402A73">
        <w:t xml:space="preserve">“echo” the </w:t>
      </w:r>
      <w:proofErr w:type="spellStart"/>
      <w:r w:rsidRPr="00402A73">
        <w:t>fourfoldness</w:t>
      </w:r>
      <w:proofErr w:type="spellEnd"/>
      <w:r w:rsidRPr="00402A73">
        <w:t xml:space="preserve"> of the beatitudes and woes and thus emphasize the fourth beatitude.</w:t>
      </w:r>
      <w:r w:rsidR="0027511E" w:rsidRPr="0027511E">
        <w:rPr>
          <w:iCs/>
        </w:rPr>
        <w:t xml:space="preserve"> </w:t>
      </w:r>
      <w:r w:rsidRPr="00402A73">
        <w:t>Certainly the expansion of the fourth beatitude adds emphasis to it</w:t>
      </w:r>
      <w:r w:rsidR="006F304D" w:rsidRPr="006F304D">
        <w:t xml:space="preserve">, </w:t>
      </w:r>
      <w:r w:rsidRPr="00402A73">
        <w:t xml:space="preserve">but not in the orderly fashion </w:t>
      </w:r>
      <w:proofErr w:type="spellStart"/>
      <w:r w:rsidRPr="00402A73">
        <w:t>Meynet</w:t>
      </w:r>
      <w:proofErr w:type="spellEnd"/>
      <w:r w:rsidR="00657976">
        <w:t xml:space="preserve"> </w:t>
      </w:r>
      <w:r w:rsidR="00657976" w:rsidRPr="00402A73">
        <w:t>suggest</w:t>
      </w:r>
      <w:r w:rsidR="00657976">
        <w:t>s</w:t>
      </w:r>
      <w:r w:rsidRPr="00402A73">
        <w:t xml:space="preserve">; for </w:t>
      </w:r>
      <w:proofErr w:type="spellStart"/>
      <w:r w:rsidRPr="00402A73">
        <w:t>Meynet</w:t>
      </w:r>
      <w:proofErr w:type="spellEnd"/>
      <w:r w:rsidRPr="00402A73">
        <w:t xml:space="preserve"> neglects to mention that</w:t>
      </w:r>
      <w:r w:rsidR="006F304D" w:rsidRPr="006F304D">
        <w:t xml:space="preserve">, </w:t>
      </w:r>
      <w:r w:rsidRPr="00402A73">
        <w:t>in addition to the four verbs in 6:22 (</w:t>
      </w:r>
      <w:r w:rsidR="00657976" w:rsidRPr="00CE06CA">
        <w:rPr>
          <w:bCs/>
          <w:szCs w:val="22"/>
          <w:lang w:val="el-GR"/>
        </w:rPr>
        <w:t>μισήσωσιν</w:t>
      </w:r>
      <w:r w:rsidR="006F304D" w:rsidRPr="006F304D">
        <w:t xml:space="preserve">, </w:t>
      </w:r>
      <w:bookmarkStart w:id="82" w:name="_Hlk145450809"/>
      <w:r w:rsidR="00657976" w:rsidRPr="00CE06CA">
        <w:rPr>
          <w:bCs/>
          <w:szCs w:val="22"/>
          <w:lang w:val="el-GR"/>
        </w:rPr>
        <w:t>ἀφορίσωσιν</w:t>
      </w:r>
      <w:bookmarkEnd w:id="82"/>
      <w:r w:rsidR="006F304D" w:rsidRPr="006F304D">
        <w:t xml:space="preserve">, </w:t>
      </w:r>
      <w:bookmarkStart w:id="83" w:name="_Hlk145450825"/>
      <w:r w:rsidR="00657976" w:rsidRPr="00CE06CA">
        <w:rPr>
          <w:bCs/>
          <w:szCs w:val="22"/>
          <w:lang w:val="el-GR"/>
        </w:rPr>
        <w:t>ὀνειδίσωσιν</w:t>
      </w:r>
      <w:bookmarkEnd w:id="83"/>
      <w:r w:rsidR="006F304D" w:rsidRPr="006F304D">
        <w:t xml:space="preserve">, </w:t>
      </w:r>
      <w:bookmarkStart w:id="84" w:name="_Hlk145450837"/>
      <w:r w:rsidR="00657976" w:rsidRPr="00CE06CA">
        <w:rPr>
          <w:bCs/>
          <w:szCs w:val="22"/>
          <w:lang w:val="el-GR"/>
        </w:rPr>
        <w:t>ἐκβάλωσιν</w:t>
      </w:r>
      <w:bookmarkEnd w:id="84"/>
      <w:r w:rsidRPr="00402A73">
        <w:t>)</w:t>
      </w:r>
      <w:r w:rsidR="006F304D" w:rsidRPr="006F304D">
        <w:t xml:space="preserve">, </w:t>
      </w:r>
      <w:r w:rsidRPr="00402A73">
        <w:t>there are also added “on account of the Son of man” (22b) and the whole of v</w:t>
      </w:r>
      <w:r w:rsidR="00657976">
        <w:t>erse</w:t>
      </w:r>
      <w:r w:rsidRPr="00402A73">
        <w:t xml:space="preserve"> 23 (“Rejoice in that day</w:t>
      </w:r>
      <w:r w:rsidR="006F304D" w:rsidRPr="006F304D">
        <w:t xml:space="preserve">, </w:t>
      </w:r>
      <w:r w:rsidRPr="00402A73">
        <w:t>and leap for joy</w:t>
      </w:r>
      <w:r w:rsidR="006F304D" w:rsidRPr="006F304D">
        <w:t xml:space="preserve">, </w:t>
      </w:r>
      <w:r w:rsidRPr="00402A73">
        <w:t>for behold</w:t>
      </w:r>
      <w:r w:rsidR="006F304D" w:rsidRPr="006F304D">
        <w:t xml:space="preserve">, </w:t>
      </w:r>
      <w:r w:rsidRPr="00402A73">
        <w:t>your reward is great in heaven; for so their fathers did to the prophets”).</w:t>
      </w:r>
    </w:p>
    <w:p w14:paraId="6E0614A6" w14:textId="06486E26" w:rsidR="0018433B" w:rsidRPr="00402A73" w:rsidRDefault="0018433B" w:rsidP="00786ADB">
      <w:pPr>
        <w:widowControl w:val="0"/>
      </w:pPr>
      <w:r w:rsidRPr="00402A73">
        <w:tab/>
        <w:t>Meynet’s attempt to discern alternating parallelism in Luke 6:20b-26</w:t>
      </w:r>
      <w:r w:rsidR="006F304D" w:rsidRPr="006F304D">
        <w:t xml:space="preserve">, </w:t>
      </w:r>
      <w:r w:rsidRPr="00402A73">
        <w:t>then</w:t>
      </w:r>
      <w:r w:rsidR="006F304D" w:rsidRPr="006F304D">
        <w:t xml:space="preserve">, </w:t>
      </w:r>
      <w:r w:rsidRPr="00402A73">
        <w:t>is unacceptable.</w:t>
      </w:r>
      <w:r w:rsidR="0027511E" w:rsidRPr="0027511E">
        <w:rPr>
          <w:iCs/>
        </w:rPr>
        <w:t xml:space="preserve"> </w:t>
      </w:r>
      <w:r w:rsidRPr="00402A73">
        <w:t xml:space="preserve">But </w:t>
      </w:r>
      <w:proofErr w:type="spellStart"/>
      <w:r w:rsidRPr="00402A73">
        <w:t>Meynet</w:t>
      </w:r>
      <w:proofErr w:type="spellEnd"/>
      <w:r w:rsidRPr="00402A73">
        <w:t xml:space="preserve"> is not the only scholar to treat these verses in terms of parallelism.</w:t>
      </w:r>
      <w:r w:rsidR="0027511E" w:rsidRPr="0027511E">
        <w:rPr>
          <w:iCs/>
        </w:rPr>
        <w:t xml:space="preserve"> </w:t>
      </w:r>
      <w:r w:rsidRPr="00402A73">
        <w:t>Morgenthaler</w:t>
      </w:r>
      <w:r w:rsidR="006F304D" w:rsidRPr="006F304D">
        <w:t xml:space="preserve">, </w:t>
      </w:r>
      <w:r w:rsidRPr="00402A73">
        <w:t>for example</w:t>
      </w:r>
      <w:r w:rsidR="006F304D" w:rsidRPr="006F304D">
        <w:t xml:space="preserve">, </w:t>
      </w:r>
      <w:r w:rsidRPr="00402A73">
        <w:t>notes the parallelism between 20b-23 and 24-26.</w:t>
      </w:r>
      <w:r w:rsidRPr="00402A73">
        <w:rPr>
          <w:vertAlign w:val="superscript"/>
        </w:rPr>
        <w:footnoteReference w:id="716"/>
      </w:r>
      <w:r w:rsidR="0027511E" w:rsidRPr="0027511E">
        <w:rPr>
          <w:iCs/>
        </w:rPr>
        <w:t xml:space="preserve"> </w:t>
      </w:r>
      <w:r w:rsidRPr="00402A73">
        <w:t>And Jeremias comments</w:t>
      </w:r>
      <w:r w:rsidR="00786ADB">
        <w:t xml:space="preserve"> on the same </w:t>
      </w:r>
      <w:r w:rsidR="00786ADB">
        <w:lastRenderedPageBreak/>
        <w:t>verses</w:t>
      </w:r>
      <w:r w:rsidR="006F304D" w:rsidRPr="006F304D">
        <w:t xml:space="preserve">, </w:t>
      </w:r>
      <w:r w:rsidRPr="00402A73">
        <w:t>“these two antithetic strophes are made up of the following four antithetic parallelisms: 20b//24</w:t>
      </w:r>
      <w:r w:rsidR="006F304D" w:rsidRPr="006F304D">
        <w:t xml:space="preserve">, </w:t>
      </w:r>
      <w:r w:rsidRPr="00402A73">
        <w:t>21a//25a</w:t>
      </w:r>
      <w:r w:rsidR="006F304D" w:rsidRPr="006F304D">
        <w:t xml:space="preserve">, </w:t>
      </w:r>
      <w:r w:rsidRPr="00402A73">
        <w:t>21b//25b</w:t>
      </w:r>
      <w:r w:rsidR="006F304D" w:rsidRPr="006F304D">
        <w:t xml:space="preserve">, </w:t>
      </w:r>
      <w:r w:rsidRPr="00402A73">
        <w:t>22f.//26 . . . .”</w:t>
      </w:r>
      <w:r w:rsidRPr="00402A73">
        <w:rPr>
          <w:vertAlign w:val="superscript"/>
        </w:rPr>
        <w:footnoteReference w:id="717"/>
      </w:r>
      <w:r w:rsidR="0027511E" w:rsidRPr="0027511E">
        <w:rPr>
          <w:iCs/>
        </w:rPr>
        <w:t xml:space="preserve"> </w:t>
      </w:r>
      <w:r w:rsidRPr="00402A73">
        <w:t>Luke’s beatitudes and woes are</w:t>
      </w:r>
      <w:r w:rsidR="006F304D" w:rsidRPr="006F304D">
        <w:t xml:space="preserve">, </w:t>
      </w:r>
      <w:r w:rsidRPr="00402A73">
        <w:t>of course</w:t>
      </w:r>
      <w:r w:rsidR="006F304D" w:rsidRPr="006F304D">
        <w:t xml:space="preserve">, </w:t>
      </w:r>
      <w:r w:rsidRPr="00402A73">
        <w:t>antithetically parallel to one another; but</w:t>
      </w:r>
      <w:r w:rsidR="006F304D" w:rsidRPr="006F304D">
        <w:t xml:space="preserve">, </w:t>
      </w:r>
      <w:r w:rsidRPr="00402A73">
        <w:t>since each line in the beatitudes is separated by several lines from its antithesis in the woes</w:t>
      </w:r>
      <w:r w:rsidR="006F304D" w:rsidRPr="006F304D">
        <w:t xml:space="preserve">, </w:t>
      </w:r>
      <w:r w:rsidRPr="00402A73">
        <w:t>it is more accurate to call the entire con</w:t>
      </w:r>
      <w:r w:rsidR="00786ADB">
        <w:t>s</w:t>
      </w:r>
      <w:r w:rsidRPr="00402A73">
        <w:t>truct</w:t>
      </w:r>
      <w:r w:rsidR="00786ADB">
        <w:t xml:space="preserve"> </w:t>
      </w:r>
      <w:r w:rsidRPr="00402A73">
        <w:t>an “alternating parallelism,” rather than four antithetic parallelisms.</w:t>
      </w:r>
      <w:r w:rsidR="0027511E" w:rsidRPr="0027511E">
        <w:rPr>
          <w:iCs/>
        </w:rPr>
        <w:t xml:space="preserve"> </w:t>
      </w:r>
      <w:r w:rsidRPr="00402A73">
        <w:t>At any rate</w:t>
      </w:r>
      <w:r w:rsidR="006F304D" w:rsidRPr="006F304D">
        <w:t xml:space="preserve">, </w:t>
      </w:r>
      <w:r w:rsidRPr="00402A73">
        <w:t>we can grant the influence of parallelism on the construction of the sermon’s introductory section.</w:t>
      </w:r>
      <w:r w:rsidR="0027511E" w:rsidRPr="0027511E">
        <w:rPr>
          <w:iCs/>
        </w:rPr>
        <w:t xml:space="preserve"> </w:t>
      </w:r>
      <w:r w:rsidRPr="00402A73">
        <w:t>What remains unacceptable is an attempt</w:t>
      </w:r>
      <w:r w:rsidR="006F304D" w:rsidRPr="006F304D">
        <w:t xml:space="preserve">, </w:t>
      </w:r>
      <w:r w:rsidRPr="00402A73">
        <w:t>such as Meynet’s</w:t>
      </w:r>
      <w:r w:rsidR="006F304D" w:rsidRPr="006F304D">
        <w:t xml:space="preserve">, </w:t>
      </w:r>
      <w:r w:rsidRPr="00402A73">
        <w:t xml:space="preserve">to force </w:t>
      </w:r>
      <w:r w:rsidR="00F33A7A">
        <w:t xml:space="preserve">all </w:t>
      </w:r>
      <w:r w:rsidRPr="00402A73">
        <w:t>minutia in the sermon into an overly intricate pattern.</w:t>
      </w:r>
    </w:p>
    <w:p w14:paraId="7A531C69" w14:textId="77777777" w:rsidR="0018433B" w:rsidRPr="00402A73" w:rsidRDefault="0018433B" w:rsidP="00786ADB">
      <w:pPr>
        <w:widowControl w:val="0"/>
      </w:pPr>
    </w:p>
    <w:p w14:paraId="6175EEF0" w14:textId="67B05385" w:rsidR="0018433B" w:rsidRPr="00402A73" w:rsidRDefault="0018433B" w:rsidP="008F699A">
      <w:pPr>
        <w:pStyle w:val="Heading3"/>
      </w:pPr>
      <w:bookmarkStart w:id="85" w:name="_Toc147618648"/>
      <w:r w:rsidRPr="00402A73">
        <w:t>b.</w:t>
      </w:r>
      <w:r w:rsidR="0027511E" w:rsidRPr="0027511E">
        <w:rPr>
          <w:iCs/>
        </w:rPr>
        <w:t xml:space="preserve"> </w:t>
      </w:r>
      <w:r w:rsidRPr="00402A73">
        <w:t>6:27-36</w:t>
      </w:r>
      <w:bookmarkEnd w:id="85"/>
    </w:p>
    <w:p w14:paraId="045C64B4" w14:textId="77777777" w:rsidR="0018433B" w:rsidRPr="00402A73" w:rsidRDefault="0018433B" w:rsidP="00786ADB">
      <w:pPr>
        <w:widowControl w:val="0"/>
      </w:pPr>
    </w:p>
    <w:p w14:paraId="678FF600" w14:textId="0C10C327" w:rsidR="0018433B" w:rsidRPr="00402A73" w:rsidRDefault="0018433B" w:rsidP="00786ADB">
      <w:pPr>
        <w:widowControl w:val="0"/>
      </w:pPr>
      <w:r w:rsidRPr="00402A73">
        <w:tab/>
        <w:t>The situation is no better with Meynet’s “Planche 4.”</w:t>
      </w:r>
      <w:r w:rsidR="0027511E" w:rsidRPr="0027511E">
        <w:rPr>
          <w:iCs/>
        </w:rPr>
        <w:t xml:space="preserve"> </w:t>
      </w:r>
      <w:r w:rsidRPr="00402A73">
        <w:t>The difficulties here are as follows.</w:t>
      </w:r>
      <w:r w:rsidRPr="00402A73">
        <w:rPr>
          <w:vertAlign w:val="superscript"/>
        </w:rPr>
        <w:footnoteReference w:id="718"/>
      </w:r>
    </w:p>
    <w:p w14:paraId="18F40F2D" w14:textId="77777777" w:rsidR="00F33A7A" w:rsidRDefault="00F33A7A" w:rsidP="00F33A7A">
      <w:pPr>
        <w:widowControl w:val="0"/>
      </w:pPr>
    </w:p>
    <w:p w14:paraId="18DD4913" w14:textId="6E6419D4" w:rsidR="0018433B" w:rsidRPr="00402A73" w:rsidRDefault="0018433B" w:rsidP="00F33A7A">
      <w:pPr>
        <w:widowControl w:val="0"/>
      </w:pPr>
      <w:r w:rsidRPr="00402A73">
        <w:tab/>
      </w:r>
      <w:r w:rsidR="00F33A7A">
        <w:t xml:space="preserve">1) </w:t>
      </w:r>
      <w:r w:rsidRPr="00402A73">
        <w:t>Series 3 and 4 lack a fourth section.</w:t>
      </w:r>
    </w:p>
    <w:p w14:paraId="7C492707" w14:textId="2B9ACC33" w:rsidR="0018433B" w:rsidRPr="00402A73" w:rsidRDefault="0018433B" w:rsidP="00F33A7A">
      <w:pPr>
        <w:widowControl w:val="0"/>
      </w:pPr>
      <w:r w:rsidRPr="00402A73">
        <w:tab/>
      </w:r>
      <w:r w:rsidR="00F33A7A">
        <w:t xml:space="preserve">2) </w:t>
      </w:r>
      <w:r w:rsidRPr="00402A73">
        <w:t>What has happened to 35c-36?</w:t>
      </w:r>
    </w:p>
    <w:p w14:paraId="1D6B428A" w14:textId="2032E1E6" w:rsidR="0018433B" w:rsidRPr="00402A73" w:rsidRDefault="0018433B" w:rsidP="00F33A7A">
      <w:pPr>
        <w:widowControl w:val="0"/>
      </w:pPr>
      <w:r w:rsidRPr="00402A73">
        <w:tab/>
      </w:r>
      <w:r w:rsidR="00F33A7A">
        <w:t xml:space="preserve">3) </w:t>
      </w:r>
      <w:proofErr w:type="spellStart"/>
      <w:r w:rsidRPr="00402A73">
        <w:t>Meynet</w:t>
      </w:r>
      <w:proofErr w:type="spellEnd"/>
      <w:r w:rsidRPr="00402A73">
        <w:t xml:space="preserve"> notes</w:t>
      </w:r>
      <w:r w:rsidR="006F304D" w:rsidRPr="006F304D">
        <w:t xml:space="preserve">, </w:t>
      </w:r>
      <w:r w:rsidRPr="00402A73">
        <w:t>by means of typography</w:t>
      </w:r>
      <w:r w:rsidR="006F304D" w:rsidRPr="006F304D">
        <w:t xml:space="preserve">, </w:t>
      </w:r>
      <w:r w:rsidRPr="00402A73">
        <w:t>the presence of two positive commands and two negative commands both in series 2 and in series 5.</w:t>
      </w:r>
      <w:r w:rsidR="0027511E" w:rsidRPr="0027511E">
        <w:rPr>
          <w:iCs/>
        </w:rPr>
        <w:t xml:space="preserve"> </w:t>
      </w:r>
      <w:r w:rsidRPr="00402A73">
        <w:t>But the pattern in series 2 is positive-negative-positive</w:t>
      </w:r>
      <w:r w:rsidR="006F304D" w:rsidRPr="006F304D">
        <w:t xml:space="preserve">, </w:t>
      </w:r>
      <w:r w:rsidRPr="00402A73">
        <w:t>while in series 5 it is negative-negative-positive-positive.</w:t>
      </w:r>
      <w:r w:rsidR="0027511E" w:rsidRPr="0027511E">
        <w:rPr>
          <w:iCs/>
        </w:rPr>
        <w:t xml:space="preserve"> </w:t>
      </w:r>
      <w:proofErr w:type="spellStart"/>
      <w:r w:rsidRPr="00402A73">
        <w:t>Meynet</w:t>
      </w:r>
      <w:proofErr w:type="spellEnd"/>
      <w:r w:rsidRPr="00402A73">
        <w:t xml:space="preserve"> does not explain the significance of these observations</w:t>
      </w:r>
      <w:r w:rsidR="006F304D" w:rsidRPr="006F304D">
        <w:t xml:space="preserve">, </w:t>
      </w:r>
      <w:r w:rsidRPr="00402A73">
        <w:t xml:space="preserve">nor </w:t>
      </w:r>
      <w:r w:rsidR="00CC00F9">
        <w:t xml:space="preserve">is </w:t>
      </w:r>
      <w:r w:rsidR="00CC00F9" w:rsidRPr="00402A73">
        <w:t xml:space="preserve">the significance </w:t>
      </w:r>
      <w:r w:rsidRPr="00402A73">
        <w:t xml:space="preserve">obvious in </w:t>
      </w:r>
      <w:r w:rsidR="00CC00F9">
        <w:t>it</w:t>
      </w:r>
      <w:r w:rsidRPr="00402A73">
        <w:t>sel</w:t>
      </w:r>
      <w:r w:rsidR="00CC00F9">
        <w:t>f</w:t>
      </w:r>
      <w:r w:rsidRPr="00402A73">
        <w:t>.</w:t>
      </w:r>
    </w:p>
    <w:p w14:paraId="36E45983" w14:textId="5CE892D4" w:rsidR="0018433B" w:rsidRDefault="0018433B" w:rsidP="00F33A7A">
      <w:pPr>
        <w:widowControl w:val="0"/>
      </w:pPr>
      <w:r w:rsidRPr="00402A73">
        <w:tab/>
      </w:r>
      <w:r w:rsidR="00F33A7A">
        <w:t xml:space="preserve">4) </w:t>
      </w:r>
      <w:proofErr w:type="spellStart"/>
      <w:r w:rsidRPr="00402A73">
        <w:t>Meynet</w:t>
      </w:r>
      <w:proofErr w:type="spellEnd"/>
      <w:r w:rsidRPr="00402A73">
        <w:t xml:space="preserve"> points out</w:t>
      </w:r>
      <w:r w:rsidR="006F304D" w:rsidRPr="006F304D">
        <w:t xml:space="preserve">, </w:t>
      </w:r>
      <w:r w:rsidRPr="00402A73">
        <w:t>in the first of his notes to the chart</w:t>
      </w:r>
      <w:r w:rsidR="006F304D" w:rsidRPr="006F304D">
        <w:t xml:space="preserve">, </w:t>
      </w:r>
      <w:r w:rsidRPr="00402A73">
        <w:t>that the order in series 1 is imperative + object</w:t>
      </w:r>
      <w:r w:rsidR="006F304D" w:rsidRPr="006F304D">
        <w:t xml:space="preserve">, </w:t>
      </w:r>
      <w:r w:rsidRPr="00402A73">
        <w:t>whereas in series 2 it is object + imperative.</w:t>
      </w:r>
      <w:r w:rsidR="0027511E" w:rsidRPr="0027511E">
        <w:rPr>
          <w:iCs/>
        </w:rPr>
        <w:t xml:space="preserve"> </w:t>
      </w:r>
      <w:r w:rsidRPr="00402A73">
        <w:t>This may in fact have some rhetorical effect: a heavier stress (in meaning</w:t>
      </w:r>
      <w:r w:rsidR="006F304D" w:rsidRPr="006F304D">
        <w:t xml:space="preserve">, </w:t>
      </w:r>
      <w:r w:rsidRPr="00402A73">
        <w:t>if not in speech) falls on the verb of command</w:t>
      </w:r>
      <w:r w:rsidR="006F304D" w:rsidRPr="006F304D">
        <w:t xml:space="preserve">, </w:t>
      </w:r>
      <w:r w:rsidRPr="00402A73">
        <w:t>so that series 1 says:</w:t>
      </w:r>
    </w:p>
    <w:p w14:paraId="36F4FACA" w14:textId="77777777" w:rsidR="00CC00F9" w:rsidRPr="00402A73" w:rsidRDefault="00CC00F9" w:rsidP="00F33A7A">
      <w:pPr>
        <w:widowControl w:val="0"/>
      </w:pPr>
    </w:p>
    <w:p w14:paraId="714AC4F6" w14:textId="0360DA5F" w:rsidR="0018433B" w:rsidRPr="00402A73" w:rsidRDefault="0018433B" w:rsidP="00786ADB">
      <w:pPr>
        <w:widowControl w:val="0"/>
      </w:pPr>
      <w:r w:rsidRPr="00402A73">
        <w:tab/>
      </w:r>
      <w:r w:rsidRPr="00402A73">
        <w:rPr>
          <w:i/>
        </w:rPr>
        <w:t>Love</w:t>
      </w:r>
      <w:r w:rsidRPr="00402A73">
        <w:t xml:space="preserve"> your enemies,</w:t>
      </w:r>
    </w:p>
    <w:p w14:paraId="5C73116B" w14:textId="35A62343" w:rsidR="0018433B" w:rsidRPr="00402A73" w:rsidRDefault="0018433B" w:rsidP="00786ADB">
      <w:pPr>
        <w:widowControl w:val="0"/>
      </w:pPr>
      <w:r w:rsidRPr="00402A73">
        <w:tab/>
      </w:r>
      <w:r w:rsidRPr="00402A73">
        <w:rPr>
          <w:i/>
        </w:rPr>
        <w:t>Do good to</w:t>
      </w:r>
      <w:r w:rsidRPr="00402A73">
        <w:t xml:space="preserve"> those who hate you,</w:t>
      </w:r>
    </w:p>
    <w:p w14:paraId="4570200B" w14:textId="41A39662" w:rsidR="0018433B" w:rsidRPr="00402A73" w:rsidRDefault="0018433B" w:rsidP="00786ADB">
      <w:pPr>
        <w:widowControl w:val="0"/>
      </w:pPr>
      <w:r w:rsidRPr="00402A73">
        <w:tab/>
      </w:r>
      <w:r w:rsidRPr="00402A73">
        <w:rPr>
          <w:i/>
        </w:rPr>
        <w:t>Bless</w:t>
      </w:r>
      <w:r w:rsidRPr="00402A73">
        <w:t xml:space="preserve"> those who persecute you,</w:t>
      </w:r>
    </w:p>
    <w:p w14:paraId="798A2E98" w14:textId="3BCD0DA9" w:rsidR="0018433B" w:rsidRPr="00402A73" w:rsidRDefault="0018433B" w:rsidP="00786ADB">
      <w:pPr>
        <w:widowControl w:val="0"/>
      </w:pPr>
      <w:r w:rsidRPr="00402A73">
        <w:tab/>
      </w:r>
      <w:r w:rsidRPr="00402A73">
        <w:rPr>
          <w:i/>
        </w:rPr>
        <w:t>Pray for</w:t>
      </w:r>
      <w:r w:rsidRPr="00402A73">
        <w:t xml:space="preserve"> those who abuse you.</w:t>
      </w:r>
    </w:p>
    <w:p w14:paraId="6724A1D2" w14:textId="77777777" w:rsidR="00CC00F9" w:rsidRDefault="00CC00F9" w:rsidP="00786ADB">
      <w:pPr>
        <w:widowControl w:val="0"/>
      </w:pPr>
    </w:p>
    <w:p w14:paraId="452A6CF0" w14:textId="4A9E9578" w:rsidR="0018433B" w:rsidRPr="00402A73" w:rsidRDefault="0018433B" w:rsidP="00786ADB">
      <w:pPr>
        <w:widowControl w:val="0"/>
      </w:pPr>
      <w:r w:rsidRPr="00402A73">
        <w:t>The rhythm of series 2 reverses the stress: the effect is like a line of trochees (-</w:t>
      </w:r>
      <w:r w:rsidR="00CC00F9">
        <w:t>͝</w:t>
      </w:r>
      <w:r w:rsidR="000151C8" w:rsidRPr="000151C8">
        <w:rPr>
          <w:iCs/>
        </w:rPr>
        <w:t xml:space="preserve"> </w:t>
      </w:r>
      <w:r w:rsidR="00CC00F9">
        <w:t xml:space="preserve">, </w:t>
      </w:r>
      <w:r w:rsidR="004C5E89" w:rsidRPr="00402A73">
        <w:t>-</w:t>
      </w:r>
      <w:r w:rsidR="004C5E89">
        <w:t>͝</w:t>
      </w:r>
      <w:r w:rsidR="000151C8" w:rsidRPr="000151C8">
        <w:rPr>
          <w:iCs/>
        </w:rPr>
        <w:t xml:space="preserve"> </w:t>
      </w:r>
      <w:r w:rsidR="004C5E89">
        <w:t xml:space="preserve">, </w:t>
      </w:r>
      <w:r w:rsidR="004C5E89" w:rsidRPr="00402A73">
        <w:t>-</w:t>
      </w:r>
      <w:r w:rsidR="004C5E89">
        <w:t>͝</w:t>
      </w:r>
      <w:r w:rsidR="000151C8" w:rsidRPr="000151C8">
        <w:rPr>
          <w:iCs/>
        </w:rPr>
        <w:t xml:space="preserve"> </w:t>
      </w:r>
      <w:r w:rsidR="004C5E89">
        <w:t xml:space="preserve">, </w:t>
      </w:r>
      <w:r w:rsidR="004C5E89" w:rsidRPr="00402A73">
        <w:t>-</w:t>
      </w:r>
      <w:r w:rsidR="004C5E89">
        <w:t>͝</w:t>
      </w:r>
      <w:r w:rsidR="004C5E89" w:rsidRPr="006F304D">
        <w:t xml:space="preserve"> </w:t>
      </w:r>
      <w:r w:rsidR="001C646B" w:rsidRPr="001C646B">
        <w:rPr>
          <w:iCs/>
        </w:rPr>
        <w:t>)</w:t>
      </w:r>
      <w:r w:rsidR="006F304D" w:rsidRPr="006F304D">
        <w:t xml:space="preserve">, </w:t>
      </w:r>
      <w:r w:rsidRPr="00402A73">
        <w:t xml:space="preserve">followed by a line of iambs </w:t>
      </w:r>
      <w:r w:rsidR="004C5E89">
        <w:t>(͝</w:t>
      </w:r>
      <w:r w:rsidR="000151C8" w:rsidRPr="000151C8">
        <w:rPr>
          <w:iCs/>
        </w:rPr>
        <w:t xml:space="preserve"> </w:t>
      </w:r>
      <w:r w:rsidR="004C5E89">
        <w:t>-</w:t>
      </w:r>
      <w:r w:rsidR="006F304D" w:rsidRPr="006F304D">
        <w:t>,</w:t>
      </w:r>
      <w:r w:rsidR="004C5E89">
        <w:t xml:space="preserve"> ͝</w:t>
      </w:r>
      <w:r w:rsidR="000151C8" w:rsidRPr="000151C8">
        <w:rPr>
          <w:iCs/>
        </w:rPr>
        <w:t xml:space="preserve"> </w:t>
      </w:r>
      <w:r w:rsidR="004C5E89">
        <w:t>-</w:t>
      </w:r>
      <w:r w:rsidR="004C5E89" w:rsidRPr="006F304D">
        <w:t>,</w:t>
      </w:r>
      <w:r w:rsidR="004C5E89">
        <w:t xml:space="preserve"> ͝</w:t>
      </w:r>
      <w:r w:rsidR="000151C8" w:rsidRPr="000151C8">
        <w:rPr>
          <w:iCs/>
        </w:rPr>
        <w:t xml:space="preserve"> </w:t>
      </w:r>
      <w:r w:rsidR="004C5E89">
        <w:t>-</w:t>
      </w:r>
      <w:r w:rsidR="004C5E89" w:rsidRPr="006F304D">
        <w:t>,</w:t>
      </w:r>
      <w:r w:rsidR="004C5E89">
        <w:t xml:space="preserve"> ͝</w:t>
      </w:r>
      <w:r w:rsidR="000151C8" w:rsidRPr="000151C8">
        <w:rPr>
          <w:iCs/>
        </w:rPr>
        <w:t xml:space="preserve"> </w:t>
      </w:r>
      <w:r w:rsidR="004C5E89">
        <w:t>-</w:t>
      </w:r>
      <w:r w:rsidRPr="00402A73">
        <w:t>); an urgency in the former series gives way to an anticipatory</w:t>
      </w:r>
      <w:r w:rsidR="006F304D" w:rsidRPr="006F304D">
        <w:t xml:space="preserve">, </w:t>
      </w:r>
      <w:r w:rsidRPr="00402A73">
        <w:t>almost periodic feeling in the second.</w:t>
      </w:r>
      <w:r w:rsidR="0027511E" w:rsidRPr="0027511E">
        <w:rPr>
          <w:iCs/>
        </w:rPr>
        <w:t xml:space="preserve"> </w:t>
      </w:r>
      <w:r w:rsidRPr="00402A73">
        <w:t>But—aside from the fact that the Greek of v 30a does not read</w:t>
      </w:r>
      <w:r w:rsidR="006F304D" w:rsidRPr="006F304D">
        <w:t xml:space="preserve">, </w:t>
      </w:r>
      <w:r w:rsidRPr="00402A73">
        <w:t>“to him who asks of you</w:t>
      </w:r>
      <w:r w:rsidR="006F304D" w:rsidRPr="006F304D">
        <w:t xml:space="preserve">, </w:t>
      </w:r>
      <w:r w:rsidRPr="00402A73">
        <w:t xml:space="preserve">give,” as </w:t>
      </w:r>
      <w:proofErr w:type="spellStart"/>
      <w:r w:rsidRPr="00402A73">
        <w:t>Meynet</w:t>
      </w:r>
      <w:proofErr w:type="spellEnd"/>
      <w:r w:rsidRPr="00402A73">
        <w:t xml:space="preserve"> represents it</w:t>
      </w:r>
      <w:r w:rsidR="006F304D" w:rsidRPr="006F304D">
        <w:t xml:space="preserve">, </w:t>
      </w:r>
      <w:r w:rsidRPr="00402A73">
        <w:t xml:space="preserve">but “give to him who asks of you,” which disturbs the neatness of </w:t>
      </w:r>
      <w:proofErr w:type="spellStart"/>
      <w:r w:rsidRPr="00402A73">
        <w:t>Meynet’s</w:t>
      </w:r>
      <w:proofErr w:type="spellEnd"/>
      <w:r w:rsidRPr="00402A73">
        <w:t xml:space="preserve"> pattern (though it virtually accentuates the rhythm)—what significance does this reversal have for the meaning of vv</w:t>
      </w:r>
      <w:r w:rsidR="004C5E89">
        <w:t>.</w:t>
      </w:r>
      <w:r w:rsidRPr="00402A73">
        <w:t xml:space="preserve"> 27-30?</w:t>
      </w:r>
      <w:r w:rsidR="0027511E" w:rsidRPr="0027511E">
        <w:rPr>
          <w:iCs/>
        </w:rPr>
        <w:t xml:space="preserve"> </w:t>
      </w:r>
      <w:proofErr w:type="spellStart"/>
      <w:r w:rsidRPr="00402A73">
        <w:t>Meynet</w:t>
      </w:r>
      <w:proofErr w:type="spellEnd"/>
      <w:r w:rsidRPr="00402A73">
        <w:t xml:space="preserve"> does not say.</w:t>
      </w:r>
      <w:r w:rsidR="0027511E" w:rsidRPr="0027511E">
        <w:rPr>
          <w:iCs/>
        </w:rPr>
        <w:t xml:space="preserve"> </w:t>
      </w:r>
      <w:r w:rsidRPr="00402A73">
        <w:t>Is the reversed pattern to be taken as a chiasm?</w:t>
      </w:r>
      <w:r w:rsidR="0027511E" w:rsidRPr="0027511E">
        <w:rPr>
          <w:iCs/>
        </w:rPr>
        <w:t xml:space="preserve"> </w:t>
      </w:r>
      <w:r w:rsidRPr="00402A73">
        <w:t xml:space="preserve">But the “crossing” does not occur among the individual members of the two series: </w:t>
      </w:r>
      <w:r w:rsidR="00775F9B" w:rsidRPr="00775F9B">
        <w:rPr>
          <w:iCs/>
        </w:rPr>
        <w:t>e.g.</w:t>
      </w:r>
      <w:r w:rsidR="006F304D" w:rsidRPr="006F304D">
        <w:t xml:space="preserve">, </w:t>
      </w:r>
      <w:r w:rsidRPr="00402A73">
        <w:t>“bless” and “give” are not particularly related</w:t>
      </w:r>
      <w:r w:rsidR="006F304D" w:rsidRPr="006F304D">
        <w:t xml:space="preserve">, </w:t>
      </w:r>
      <w:r w:rsidRPr="00402A73">
        <w:t>either as synonyms or as homonyms.</w:t>
      </w:r>
      <w:r w:rsidR="0027511E" w:rsidRPr="0027511E">
        <w:rPr>
          <w:iCs/>
        </w:rPr>
        <w:t xml:space="preserve"> </w:t>
      </w:r>
      <w:r w:rsidRPr="00402A73">
        <w:t>Perhaps the “crossing” is between 27-28 and 29-30 as wholes; but that is hard to envision</w:t>
      </w:r>
      <w:r w:rsidR="006F304D" w:rsidRPr="006F304D">
        <w:t xml:space="preserve">, </w:t>
      </w:r>
      <w:r w:rsidRPr="00402A73">
        <w:t>since the reversal of imperative and object occurs</w:t>
      </w:r>
      <w:r w:rsidR="006F304D" w:rsidRPr="006F304D">
        <w:t xml:space="preserve">, </w:t>
      </w:r>
      <w:r w:rsidRPr="00402A73">
        <w:t>not once between the wholes</w:t>
      </w:r>
      <w:r w:rsidR="006F304D" w:rsidRPr="006F304D">
        <w:t xml:space="preserve">, </w:t>
      </w:r>
      <w:r w:rsidRPr="00402A73">
        <w:t>but four times</w:t>
      </w:r>
      <w:r w:rsidR="006F304D" w:rsidRPr="006F304D">
        <w:t xml:space="preserve">, </w:t>
      </w:r>
      <w:r w:rsidRPr="00402A73">
        <w:t>within each.</w:t>
      </w:r>
    </w:p>
    <w:p w14:paraId="07A20670" w14:textId="4692B538" w:rsidR="0018433B" w:rsidRPr="00402A73" w:rsidRDefault="0018433B" w:rsidP="004C5E89">
      <w:pPr>
        <w:widowControl w:val="0"/>
      </w:pPr>
      <w:r w:rsidRPr="00402A73">
        <w:tab/>
      </w:r>
      <w:r w:rsidR="004C5E89">
        <w:t xml:space="preserve">5) </w:t>
      </w:r>
      <w:r w:rsidRPr="00402A73">
        <w:t>In his second note to the chart</w:t>
      </w:r>
      <w:r w:rsidR="006F304D" w:rsidRPr="006F304D">
        <w:t xml:space="preserve">, </w:t>
      </w:r>
      <w:proofErr w:type="spellStart"/>
      <w:r w:rsidRPr="00402A73">
        <w:t>Meynet</w:t>
      </w:r>
      <w:proofErr w:type="spellEnd"/>
      <w:r w:rsidRPr="00402A73">
        <w:t xml:space="preserve"> notes that each of series 1</w:t>
      </w:r>
      <w:r w:rsidR="006F304D" w:rsidRPr="006F304D">
        <w:t xml:space="preserve">, </w:t>
      </w:r>
      <w:r w:rsidRPr="00402A73">
        <w:t>2</w:t>
      </w:r>
      <w:r w:rsidR="006F304D" w:rsidRPr="006F304D">
        <w:t xml:space="preserve">, </w:t>
      </w:r>
      <w:r w:rsidRPr="00402A73">
        <w:t>and 5 contains a set of imperative verbs; but this does not result in symmetry (as it would</w:t>
      </w:r>
      <w:r w:rsidR="006F304D" w:rsidRPr="006F304D">
        <w:t xml:space="preserve">, </w:t>
      </w:r>
      <w:r w:rsidRPr="00402A73">
        <w:t>for example</w:t>
      </w:r>
      <w:r w:rsidR="006F304D" w:rsidRPr="006F304D">
        <w:t xml:space="preserve">, </w:t>
      </w:r>
      <w:r w:rsidRPr="00402A73">
        <w:t>if 1</w:t>
      </w:r>
      <w:r w:rsidR="006F304D" w:rsidRPr="006F304D">
        <w:t xml:space="preserve">, </w:t>
      </w:r>
      <w:r w:rsidRPr="00402A73">
        <w:t>2</w:t>
      </w:r>
      <w:r w:rsidR="006F304D" w:rsidRPr="006F304D">
        <w:t xml:space="preserve">, </w:t>
      </w:r>
      <w:r w:rsidRPr="00402A73">
        <w:t>4</w:t>
      </w:r>
      <w:r w:rsidR="006F304D" w:rsidRPr="006F304D">
        <w:t xml:space="preserve">, </w:t>
      </w:r>
      <w:r w:rsidRPr="00402A73">
        <w:t>and 5 were a series of imperatives</w:t>
      </w:r>
      <w:r w:rsidR="006F304D" w:rsidRPr="006F304D">
        <w:t xml:space="preserve">, </w:t>
      </w:r>
      <w:r w:rsidRPr="00402A73">
        <w:t>hinging on a central</w:t>
      </w:r>
      <w:r w:rsidR="006F304D" w:rsidRPr="006F304D">
        <w:t xml:space="preserve">, </w:t>
      </w:r>
      <w:r w:rsidRPr="00402A73">
        <w:t>non-imperative series).</w:t>
      </w:r>
      <w:r w:rsidR="0027511E" w:rsidRPr="0027511E">
        <w:rPr>
          <w:iCs/>
        </w:rPr>
        <w:t xml:space="preserve"> </w:t>
      </w:r>
      <w:r w:rsidRPr="00402A73">
        <w:t>The correlation seems irrelevant.</w:t>
      </w:r>
    </w:p>
    <w:p w14:paraId="6DDDA298" w14:textId="5D27D29A" w:rsidR="0018433B" w:rsidRPr="00402A73" w:rsidRDefault="0018433B" w:rsidP="004C5E89">
      <w:pPr>
        <w:widowControl w:val="0"/>
      </w:pPr>
      <w:r w:rsidRPr="00402A73">
        <w:tab/>
      </w:r>
      <w:r w:rsidR="004C5E89">
        <w:t xml:space="preserve">6) </w:t>
      </w:r>
      <w:r w:rsidRPr="00402A73">
        <w:t>In the same note he says that series 1</w:t>
      </w:r>
      <w:r w:rsidR="006F304D" w:rsidRPr="006F304D">
        <w:t xml:space="preserve">, </w:t>
      </w:r>
      <w:r w:rsidRPr="00402A73">
        <w:t>2</w:t>
      </w:r>
      <w:r w:rsidR="006F304D" w:rsidRPr="006F304D">
        <w:t xml:space="preserve">, </w:t>
      </w:r>
      <w:r w:rsidRPr="00402A73">
        <w:t>and 5 each contain four imperative verbs</w:t>
      </w:r>
      <w:r w:rsidR="006F304D" w:rsidRPr="006F304D">
        <w:t xml:space="preserve">, </w:t>
      </w:r>
      <w:r w:rsidRPr="00402A73">
        <w:t>and this repetition at the syntactical level is echoed at the lexical level by the four verbs in 6:22 (“when men hate . . . exclude . . . revile . . . cast out”) and by the four adjectives in 6:38b (“good,” “shaken together,” “pressed down,” “poured”).</w:t>
      </w:r>
      <w:r w:rsidR="0027511E" w:rsidRPr="0027511E">
        <w:rPr>
          <w:iCs/>
        </w:rPr>
        <w:t xml:space="preserve"> </w:t>
      </w:r>
      <w:r w:rsidRPr="00402A73">
        <w:t>(a) But a recurrence of four items is not in itself sufficient to show that Luke intended the three series (and the echoes in 22 and 38b) to be linked together somehow</w:t>
      </w:r>
      <w:r w:rsidR="006F304D" w:rsidRPr="006F304D">
        <w:t xml:space="preserve">, </w:t>
      </w:r>
      <w:r w:rsidRPr="00402A73">
        <w:t xml:space="preserve">or somehow </w:t>
      </w:r>
      <w:r w:rsidR="004C5E89" w:rsidRPr="00402A73">
        <w:t xml:space="preserve">to possess </w:t>
      </w:r>
      <w:r w:rsidRPr="00402A73">
        <w:t>a greater unity with one another than they have with any other verse in the vicinity.</w:t>
      </w:r>
      <w:r w:rsidR="0027511E" w:rsidRPr="0027511E">
        <w:rPr>
          <w:iCs/>
        </w:rPr>
        <w:t xml:space="preserve"> </w:t>
      </w:r>
      <w:r w:rsidRPr="00402A73">
        <w:t>(b) Why bring in the four verbs of v</w:t>
      </w:r>
      <w:r w:rsidR="004C5E89">
        <w:t>erse</w:t>
      </w:r>
      <w:r w:rsidRPr="00402A73">
        <w:t xml:space="preserve"> 22?</w:t>
      </w:r>
      <w:r w:rsidR="0027511E" w:rsidRPr="0027511E">
        <w:rPr>
          <w:iCs/>
        </w:rPr>
        <w:t xml:space="preserve"> </w:t>
      </w:r>
      <w:r w:rsidRPr="00402A73">
        <w:t>V</w:t>
      </w:r>
      <w:r w:rsidR="004C5E89">
        <w:t>erse</w:t>
      </w:r>
      <w:r w:rsidRPr="00402A73">
        <w:t xml:space="preserve"> 22 is not even on the chart.</w:t>
      </w:r>
      <w:r w:rsidR="0027511E" w:rsidRPr="0027511E">
        <w:rPr>
          <w:iCs/>
        </w:rPr>
        <w:t xml:space="preserve"> </w:t>
      </w:r>
      <w:r w:rsidRPr="00402A73">
        <w:t xml:space="preserve">And surely </w:t>
      </w:r>
      <w:proofErr w:type="spellStart"/>
      <w:r w:rsidRPr="00402A73">
        <w:t>Meynet</w:t>
      </w:r>
      <w:proofErr w:type="spellEnd"/>
      <w:r w:rsidRPr="00402A73">
        <w:t xml:space="preserve"> does not want to argue that the four-adjective sequence in 38 is of sufficient “weight” to balance the four-verb sequences in series 1</w:t>
      </w:r>
      <w:r w:rsidR="006F304D" w:rsidRPr="006F304D">
        <w:t xml:space="preserve">, </w:t>
      </w:r>
      <w:r w:rsidRPr="00402A73">
        <w:t>2</w:t>
      </w:r>
      <w:r w:rsidR="006F304D" w:rsidRPr="006F304D">
        <w:t xml:space="preserve">, </w:t>
      </w:r>
      <w:r w:rsidRPr="00402A73">
        <w:t>and 5.</w:t>
      </w:r>
      <w:r w:rsidR="0027511E" w:rsidRPr="0027511E">
        <w:rPr>
          <w:iCs/>
        </w:rPr>
        <w:t xml:space="preserve"> </w:t>
      </w:r>
      <w:r w:rsidRPr="00402A73">
        <w:t>(c) Even if the four adjectives did provide sufficient balance</w:t>
      </w:r>
      <w:r w:rsidR="006F304D" w:rsidRPr="006F304D">
        <w:t xml:space="preserve">, </w:t>
      </w:r>
      <w:r w:rsidRPr="00402A73">
        <w:t>why should this particular sequence of four adjectives be singled out and made parallel to the verb sequences in series 1</w:t>
      </w:r>
      <w:r w:rsidR="006F304D" w:rsidRPr="006F304D">
        <w:t xml:space="preserve">, </w:t>
      </w:r>
      <w:r w:rsidRPr="00402A73">
        <w:t>2</w:t>
      </w:r>
      <w:r w:rsidR="006F304D" w:rsidRPr="006F304D">
        <w:t xml:space="preserve">, </w:t>
      </w:r>
      <w:r w:rsidRPr="00402A73">
        <w:t>and 5?</w:t>
      </w:r>
      <w:r w:rsidR="0027511E" w:rsidRPr="0027511E">
        <w:rPr>
          <w:iCs/>
        </w:rPr>
        <w:t xml:space="preserve"> </w:t>
      </w:r>
      <w:r w:rsidRPr="00402A73">
        <w:t>Why not mention</w:t>
      </w:r>
      <w:r w:rsidR="006F304D" w:rsidRPr="006F304D">
        <w:t xml:space="preserve">, </w:t>
      </w:r>
      <w:r w:rsidRPr="00402A73">
        <w:t xml:space="preserve">instead </w:t>
      </w:r>
      <w:r w:rsidR="00FA7941">
        <w:t xml:space="preserve">or </w:t>
      </w:r>
      <w:r w:rsidRPr="00402A73">
        <w:t>in addition</w:t>
      </w:r>
      <w:r w:rsidR="006F304D" w:rsidRPr="006F304D">
        <w:t xml:space="preserve">, </w:t>
      </w:r>
      <w:r w:rsidRPr="00402A73">
        <w:t>the four “</w:t>
      </w:r>
      <w:proofErr w:type="spellStart"/>
      <w:r w:rsidRPr="00402A73">
        <w:t>blesseds</w:t>
      </w:r>
      <w:proofErr w:type="spellEnd"/>
      <w:r w:rsidRPr="00402A73">
        <w:t>,” the four “woes,” the four “loves” (32)</w:t>
      </w:r>
      <w:r w:rsidR="006F304D" w:rsidRPr="006F304D">
        <w:t xml:space="preserve">, </w:t>
      </w:r>
      <w:r w:rsidRPr="00402A73">
        <w:t>the four “fruits” (43-44)?</w:t>
      </w:r>
    </w:p>
    <w:p w14:paraId="6AB38BFD" w14:textId="364BA399" w:rsidR="0018433B" w:rsidRPr="00402A73" w:rsidRDefault="0018433B" w:rsidP="00786ADB">
      <w:pPr>
        <w:widowControl w:val="0"/>
      </w:pPr>
      <w:r w:rsidRPr="00402A73">
        <w:tab/>
        <w:t>As with the beatitudes and woes</w:t>
      </w:r>
      <w:r w:rsidR="006F304D" w:rsidRPr="006F304D">
        <w:t xml:space="preserve">, </w:t>
      </w:r>
      <w:r w:rsidRPr="00402A73">
        <w:t xml:space="preserve">other scholars have noted parallelism in </w:t>
      </w:r>
      <w:proofErr w:type="spellStart"/>
      <w:r w:rsidRPr="00402A73">
        <w:t>vv</w:t>
      </w:r>
      <w:proofErr w:type="spellEnd"/>
      <w:r w:rsidRPr="00402A73">
        <w:t xml:space="preserve"> 27-36</w:t>
      </w:r>
      <w:r w:rsidR="006F304D" w:rsidRPr="006F304D">
        <w:t xml:space="preserve">, </w:t>
      </w:r>
      <w:r w:rsidRPr="00402A73">
        <w:t>but with greater modesty.</w:t>
      </w:r>
      <w:r w:rsidR="0027511E" w:rsidRPr="0027511E">
        <w:rPr>
          <w:iCs/>
        </w:rPr>
        <w:t xml:space="preserve"> </w:t>
      </w:r>
      <w:r w:rsidRPr="00402A73">
        <w:t>Burney quotes 27-28 as an example of synonymous parallelism</w:t>
      </w:r>
      <w:r w:rsidR="00FA7941">
        <w:t>.</w:t>
      </w:r>
      <w:r w:rsidRPr="00402A73">
        <w:rPr>
          <w:vertAlign w:val="superscript"/>
        </w:rPr>
        <w:footnoteReference w:id="719"/>
      </w:r>
      <w:r w:rsidRPr="00402A73">
        <w:t xml:space="preserve"> Morgenthaler cites 27-28 and 29-30 as instances of </w:t>
      </w:r>
      <w:proofErr w:type="spellStart"/>
      <w:r w:rsidRPr="00402A73">
        <w:rPr>
          <w:i/>
        </w:rPr>
        <w:t>Viererparallelismus</w:t>
      </w:r>
      <w:proofErr w:type="spellEnd"/>
      <w:r w:rsidR="00FA7941">
        <w:t>.</w:t>
      </w:r>
      <w:r w:rsidRPr="00402A73">
        <w:rPr>
          <w:vertAlign w:val="superscript"/>
        </w:rPr>
        <w:footnoteReference w:id="720"/>
      </w:r>
      <w:r w:rsidRPr="00402A73">
        <w:t xml:space="preserve"> </w:t>
      </w:r>
      <w:proofErr w:type="spellStart"/>
      <w:r w:rsidRPr="00402A73">
        <w:t>Unnik</w:t>
      </w:r>
      <w:proofErr w:type="spellEnd"/>
      <w:r w:rsidRPr="00402A73">
        <w:t xml:space="preserve"> says that Luke has “constructed [27-30] almost in </w:t>
      </w:r>
      <w:proofErr w:type="spellStart"/>
      <w:r w:rsidRPr="00402A73">
        <w:rPr>
          <w:i/>
        </w:rPr>
        <w:t>Parallelismus</w:t>
      </w:r>
      <w:proofErr w:type="spellEnd"/>
      <w:r w:rsidRPr="00402A73">
        <w:rPr>
          <w:i/>
        </w:rPr>
        <w:t xml:space="preserve"> </w:t>
      </w:r>
      <w:proofErr w:type="spellStart"/>
      <w:r w:rsidRPr="00402A73">
        <w:rPr>
          <w:i/>
        </w:rPr>
        <w:t>membrorum</w:t>
      </w:r>
      <w:proofErr w:type="spellEnd"/>
      <w:r w:rsidRPr="00402A73">
        <w:t xml:space="preserve"> . . .”</w:t>
      </w:r>
      <w:r w:rsidRPr="00402A73">
        <w:rPr>
          <w:vertAlign w:val="superscript"/>
        </w:rPr>
        <w:footnoteReference w:id="721"/>
      </w:r>
      <w:r w:rsidRPr="00402A73">
        <w:t xml:space="preserve"> Dausch considers 32-34 to be alternating parallelism</w:t>
      </w:r>
      <w:r w:rsidR="00FA7941">
        <w:t>.</w:t>
      </w:r>
      <w:r w:rsidRPr="00402A73">
        <w:rPr>
          <w:vertAlign w:val="superscript"/>
        </w:rPr>
        <w:footnoteReference w:id="722"/>
      </w:r>
      <w:r w:rsidRPr="00402A73">
        <w:t xml:space="preserve"> </w:t>
      </w:r>
      <w:r w:rsidR="00FA7941" w:rsidRPr="00402A73">
        <w:t xml:space="preserve">And </w:t>
      </w:r>
      <w:r w:rsidRPr="00402A73">
        <w:t>Beare says of the entire section</w:t>
      </w:r>
      <w:r w:rsidR="00FA7941">
        <w:t xml:space="preserve"> (</w:t>
      </w:r>
      <w:r w:rsidRPr="00402A73">
        <w:t>27-36</w:t>
      </w:r>
      <w:r w:rsidR="00FA7941">
        <w:t>)</w:t>
      </w:r>
      <w:r w:rsidR="006F304D" w:rsidRPr="006F304D">
        <w:t xml:space="preserve"> </w:t>
      </w:r>
      <w:r w:rsidRPr="00402A73">
        <w:t xml:space="preserve">that it “has a well-defined poetic </w:t>
      </w:r>
      <w:r w:rsidRPr="00402A73">
        <w:lastRenderedPageBreak/>
        <w:t>structure</w:t>
      </w:r>
      <w:r w:rsidR="006F304D" w:rsidRPr="006F304D">
        <w:t xml:space="preserve">, </w:t>
      </w:r>
      <w:r w:rsidRPr="00402A73">
        <w:t>employing the parallelism characteristic of Semitic poetry</w:t>
      </w:r>
      <w:r w:rsidR="00FA7941">
        <w:t xml:space="preserve"> . . .</w:t>
      </w:r>
      <w:r w:rsidRPr="00402A73">
        <w:t>”</w:t>
      </w:r>
      <w:r w:rsidRPr="00402A73">
        <w:rPr>
          <w:vertAlign w:val="superscript"/>
        </w:rPr>
        <w:footnoteReference w:id="723"/>
      </w:r>
    </w:p>
    <w:p w14:paraId="050E62F9" w14:textId="77A9B3ED" w:rsidR="0018433B" w:rsidRDefault="0018433B" w:rsidP="00786ADB">
      <w:pPr>
        <w:widowControl w:val="0"/>
      </w:pPr>
      <w:r w:rsidRPr="00402A73">
        <w:tab/>
        <w:t>Much of this is reasonable.</w:t>
      </w:r>
      <w:r w:rsidR="0027511E" w:rsidRPr="0027511E">
        <w:rPr>
          <w:iCs/>
        </w:rPr>
        <w:t xml:space="preserve"> </w:t>
      </w:r>
      <w:r w:rsidRPr="00402A73">
        <w:t>It is true</w:t>
      </w:r>
      <w:r w:rsidR="006F304D" w:rsidRPr="006F304D">
        <w:t xml:space="preserve">, </w:t>
      </w:r>
      <w:r w:rsidRPr="00402A73">
        <w:t>for example</w:t>
      </w:r>
      <w:r w:rsidR="006F304D" w:rsidRPr="006F304D">
        <w:t xml:space="preserve">, </w:t>
      </w:r>
      <w:r w:rsidRPr="00402A73">
        <w:t>that the four versicles in 27-28 are parallel.</w:t>
      </w:r>
    </w:p>
    <w:p w14:paraId="0272BE1D" w14:textId="77777777" w:rsidR="00FA7941" w:rsidRPr="00402A73" w:rsidRDefault="00FA7941" w:rsidP="00786ADB">
      <w:pPr>
        <w:widowControl w:val="0"/>
      </w:pPr>
    </w:p>
    <w:p w14:paraId="13F799D1" w14:textId="21373FCE" w:rsidR="0018433B" w:rsidRPr="00402A73" w:rsidRDefault="00FA7941" w:rsidP="00FA7941">
      <w:pPr>
        <w:widowControl w:val="0"/>
      </w:pPr>
      <w:r>
        <w:tab/>
      </w:r>
      <w:r w:rsidR="0018433B" w:rsidRPr="00402A73">
        <w:t>27b</w:t>
      </w:r>
      <w:r w:rsidR="0018433B" w:rsidRPr="00402A73">
        <w:tab/>
        <w:t>Love your enemies,</w:t>
      </w:r>
    </w:p>
    <w:p w14:paraId="1CD4929D" w14:textId="77777777" w:rsidR="0018433B" w:rsidRPr="00402A73" w:rsidRDefault="0018433B" w:rsidP="00FA7941">
      <w:pPr>
        <w:widowControl w:val="0"/>
      </w:pPr>
      <w:r w:rsidRPr="00402A73">
        <w:tab/>
        <w:t>27c</w:t>
      </w:r>
      <w:r w:rsidRPr="00402A73">
        <w:tab/>
        <w:t>do good to those who hate you,</w:t>
      </w:r>
    </w:p>
    <w:p w14:paraId="2209408B" w14:textId="77777777" w:rsidR="0018433B" w:rsidRPr="00402A73" w:rsidRDefault="0018433B" w:rsidP="00FA7941">
      <w:pPr>
        <w:widowControl w:val="0"/>
      </w:pPr>
      <w:r w:rsidRPr="00402A73">
        <w:tab/>
        <w:t>28a</w:t>
      </w:r>
      <w:r w:rsidRPr="00402A73">
        <w:tab/>
        <w:t>bless those who curse you,</w:t>
      </w:r>
    </w:p>
    <w:p w14:paraId="57FDCE1D" w14:textId="77777777" w:rsidR="0018433B" w:rsidRPr="00402A73" w:rsidRDefault="0018433B" w:rsidP="00FA7941">
      <w:pPr>
        <w:widowControl w:val="0"/>
      </w:pPr>
      <w:r w:rsidRPr="00402A73">
        <w:tab/>
        <w:t>28b</w:t>
      </w:r>
      <w:r w:rsidRPr="00402A73">
        <w:tab/>
        <w:t>pray for those who abuse you.</w:t>
      </w:r>
    </w:p>
    <w:p w14:paraId="52B29642" w14:textId="77777777" w:rsidR="00FA7941" w:rsidRDefault="00FA7941" w:rsidP="00786ADB">
      <w:pPr>
        <w:widowControl w:val="0"/>
      </w:pPr>
    </w:p>
    <w:p w14:paraId="3ED92286" w14:textId="06F400B5" w:rsidR="0018433B" w:rsidRPr="00402A73" w:rsidRDefault="0018433B" w:rsidP="00786ADB">
      <w:pPr>
        <w:widowControl w:val="0"/>
      </w:pPr>
      <w:r w:rsidRPr="00402A73">
        <w:t>Though “Love,” “do good,” “bless,” and “pray” on the one hand</w:t>
      </w:r>
      <w:r w:rsidR="006F304D" w:rsidRPr="006F304D">
        <w:t xml:space="preserve">, </w:t>
      </w:r>
      <w:r w:rsidRPr="00402A73">
        <w:t>and “enemies,” “those who hate you,” “those who curse you,” and “those who abuse you” on the other</w:t>
      </w:r>
      <w:r w:rsidR="006F304D" w:rsidRPr="006F304D">
        <w:t xml:space="preserve">, </w:t>
      </w:r>
      <w:r w:rsidRPr="00402A73">
        <w:t>are not absolutely equivalent terms</w:t>
      </w:r>
      <w:r w:rsidR="006F304D" w:rsidRPr="006F304D">
        <w:t xml:space="preserve">, </w:t>
      </w:r>
      <w:r w:rsidRPr="00402A73">
        <w:t>they are generally as similar as the terms in couplets of synonymous parallelism tend to be.</w:t>
      </w:r>
    </w:p>
    <w:p w14:paraId="2B0E4F6A" w14:textId="1FC8E38F" w:rsidR="0018433B" w:rsidRDefault="0018433B" w:rsidP="00786ADB">
      <w:pPr>
        <w:widowControl w:val="0"/>
      </w:pPr>
      <w:r w:rsidRPr="00402A73">
        <w:tab/>
        <w:t>What makes 27-28 unusual is the extension of the parallelism beyond the bound of a single couplet.</w:t>
      </w:r>
      <w:r w:rsidR="0027511E" w:rsidRPr="0027511E">
        <w:rPr>
          <w:iCs/>
        </w:rPr>
        <w:t xml:space="preserve"> </w:t>
      </w:r>
      <w:r w:rsidRPr="00402A73">
        <w:t xml:space="preserve">Also unusual is the incorporation of parallel imperative verbs: synonymous parallelism is most frequent in </w:t>
      </w:r>
      <w:r w:rsidR="00FA7941">
        <w:t xml:space="preserve">poetic </w:t>
      </w:r>
      <w:r w:rsidRPr="00402A73">
        <w:t>literature (</w:t>
      </w:r>
      <w:r w:rsidR="00775F9B" w:rsidRPr="00775F9B">
        <w:rPr>
          <w:iCs/>
        </w:rPr>
        <w:t>e.g.</w:t>
      </w:r>
      <w:r w:rsidR="006F304D" w:rsidRPr="006F304D">
        <w:t xml:space="preserve">, </w:t>
      </w:r>
      <w:r w:rsidRPr="00402A73">
        <w:t>the Psalms)</w:t>
      </w:r>
      <w:r w:rsidR="006F304D" w:rsidRPr="006F304D">
        <w:t xml:space="preserve">, </w:t>
      </w:r>
      <w:r w:rsidRPr="00402A73">
        <w:t xml:space="preserve">where commands are </w:t>
      </w:r>
      <w:r w:rsidR="00FA7941">
        <w:t>less common</w:t>
      </w:r>
      <w:r w:rsidRPr="00402A73">
        <w:t>.</w:t>
      </w:r>
      <w:r w:rsidR="0027511E" w:rsidRPr="0027511E">
        <w:rPr>
          <w:iCs/>
        </w:rPr>
        <w:t xml:space="preserve"> </w:t>
      </w:r>
      <w:r w:rsidRPr="00402A73">
        <w:t>The same two uncommon characteristics can be seen in 29-30.</w:t>
      </w:r>
    </w:p>
    <w:p w14:paraId="7A76727A" w14:textId="77777777" w:rsidR="00FA7941" w:rsidRPr="00402A73" w:rsidRDefault="00FA7941" w:rsidP="00786ADB">
      <w:pPr>
        <w:widowControl w:val="0"/>
      </w:pPr>
    </w:p>
    <w:p w14:paraId="5F095C17" w14:textId="71DC2AAE" w:rsidR="0018433B" w:rsidRPr="00402A73" w:rsidRDefault="0018433B" w:rsidP="005B7A2F">
      <w:pPr>
        <w:widowControl w:val="0"/>
        <w:ind w:right="1440"/>
      </w:pPr>
      <w:r w:rsidRPr="00402A73">
        <w:tab/>
        <w:t>29a</w:t>
      </w:r>
      <w:r w:rsidRPr="00402A73">
        <w:tab/>
        <w:t>To him who strikes you on the cheek</w:t>
      </w:r>
      <w:r w:rsidR="006F304D" w:rsidRPr="006F304D">
        <w:t xml:space="preserve">, </w:t>
      </w:r>
      <w:r w:rsidRPr="00402A73">
        <w:t>offer the other also;</w:t>
      </w:r>
    </w:p>
    <w:p w14:paraId="051EBC3F" w14:textId="265E3BA4" w:rsidR="0018433B" w:rsidRPr="00402A73" w:rsidRDefault="0018433B" w:rsidP="005B7A2F">
      <w:pPr>
        <w:widowControl w:val="0"/>
        <w:ind w:right="720"/>
      </w:pPr>
      <w:r w:rsidRPr="00402A73">
        <w:tab/>
        <w:t>29b</w:t>
      </w:r>
      <w:r w:rsidRPr="00402A73">
        <w:tab/>
        <w:t>and from him who takes away your coat do not withhold even your shirt.</w:t>
      </w:r>
    </w:p>
    <w:p w14:paraId="072860DB" w14:textId="77777777" w:rsidR="0018433B" w:rsidRPr="00402A73" w:rsidRDefault="0018433B" w:rsidP="005B7A2F">
      <w:pPr>
        <w:widowControl w:val="0"/>
        <w:ind w:right="1440"/>
      </w:pPr>
      <w:r w:rsidRPr="00402A73">
        <w:tab/>
        <w:t>30a</w:t>
      </w:r>
      <w:r w:rsidRPr="00402A73">
        <w:tab/>
        <w:t>Give to everyone who begs from you;</w:t>
      </w:r>
    </w:p>
    <w:p w14:paraId="33186C3B" w14:textId="0822C1BF" w:rsidR="0018433B" w:rsidRPr="00402A73" w:rsidRDefault="0018433B" w:rsidP="005B7A2F">
      <w:pPr>
        <w:widowControl w:val="0"/>
        <w:ind w:right="1440"/>
      </w:pPr>
      <w:r w:rsidRPr="00402A73">
        <w:tab/>
        <w:t>30b</w:t>
      </w:r>
      <w:r w:rsidRPr="00402A73">
        <w:tab/>
        <w:t>and of him who takes away your goods do not ask them again.</w:t>
      </w:r>
    </w:p>
    <w:p w14:paraId="403AFD28" w14:textId="77777777" w:rsidR="00FA7941" w:rsidRDefault="00FA7941" w:rsidP="00786ADB">
      <w:pPr>
        <w:widowControl w:val="0"/>
      </w:pPr>
    </w:p>
    <w:p w14:paraId="4AFCCF87" w14:textId="7A037907" w:rsidR="0018433B" w:rsidRPr="00402A73" w:rsidRDefault="0018433B" w:rsidP="00786ADB">
      <w:pPr>
        <w:widowControl w:val="0"/>
      </w:pPr>
      <w:r w:rsidRPr="00402A73">
        <w:t>The parallelism here is hardly exact: 30a does not begin with the a</w:t>
      </w:r>
      <w:r w:rsidR="005B7A2F">
        <w:t>g</w:t>
      </w:r>
      <w:r w:rsidRPr="00402A73">
        <w:t xml:space="preserve">gressor as object of a prepositional phrase (indicated in 29b and 30b by the preposition </w:t>
      </w:r>
      <w:r w:rsidR="005B7A2F" w:rsidRPr="00CE06CA">
        <w:rPr>
          <w:bCs/>
          <w:szCs w:val="22"/>
          <w:lang w:val="el-GR"/>
        </w:rPr>
        <w:t>ἀπ</w:t>
      </w:r>
      <w:r w:rsidR="005B7A2F">
        <w:rPr>
          <w:bCs/>
          <w:szCs w:val="22"/>
          <w:lang w:val="el-GR"/>
        </w:rPr>
        <w:t>ό</w:t>
      </w:r>
      <w:r w:rsidRPr="00402A73">
        <w:t xml:space="preserve"> and in 29a by the dative case); and 30b appears to be a lame repetition of 29b whose only purpose is to provide 30a with a counterweight.</w:t>
      </w:r>
      <w:r w:rsidR="0027511E" w:rsidRPr="0027511E">
        <w:rPr>
          <w:iCs/>
        </w:rPr>
        <w:t xml:space="preserve"> </w:t>
      </w:r>
      <w:r w:rsidRPr="00402A73">
        <w:t>Still</w:t>
      </w:r>
      <w:r w:rsidR="006F304D" w:rsidRPr="006F304D">
        <w:t xml:space="preserve">, </w:t>
      </w:r>
      <w:r w:rsidRPr="00402A73">
        <w:t xml:space="preserve">some attempt at parallelism seems </w:t>
      </w:r>
      <w:r w:rsidR="005B7A2F">
        <w:t>apparent</w:t>
      </w:r>
      <w:r w:rsidRPr="00402A73">
        <w:t>.</w:t>
      </w:r>
    </w:p>
    <w:p w14:paraId="5FB23B71" w14:textId="489D25E7" w:rsidR="0018433B" w:rsidRDefault="0018433B" w:rsidP="00786ADB">
      <w:pPr>
        <w:widowControl w:val="0"/>
      </w:pPr>
      <w:r w:rsidRPr="00402A73">
        <w:tab/>
        <w:t>Cadbury</w:t>
      </w:r>
      <w:r w:rsidR="006F304D" w:rsidRPr="006F304D">
        <w:t xml:space="preserve">, </w:t>
      </w:r>
      <w:r w:rsidRPr="00402A73">
        <w:t>citing Easton,</w:t>
      </w:r>
      <w:r w:rsidRPr="00402A73">
        <w:rPr>
          <w:vertAlign w:val="superscript"/>
        </w:rPr>
        <w:footnoteReference w:id="724"/>
      </w:r>
      <w:r w:rsidRPr="00402A73">
        <w:t xml:space="preserve"> has noticed similar occurrences of parallel imperatives in 35 (“love your enemies</w:t>
      </w:r>
      <w:r w:rsidR="006F304D" w:rsidRPr="006F304D">
        <w:t xml:space="preserve">, </w:t>
      </w:r>
      <w:r w:rsidRPr="00402A73">
        <w:t>and do good</w:t>
      </w:r>
      <w:r w:rsidR="006F304D" w:rsidRPr="006F304D">
        <w:t xml:space="preserve">, </w:t>
      </w:r>
      <w:r w:rsidRPr="00402A73">
        <w:t>and lend . . .”—since these are only verbs and not clauses</w:t>
      </w:r>
      <w:r w:rsidR="006F304D" w:rsidRPr="006F304D">
        <w:t xml:space="preserve">, </w:t>
      </w:r>
      <w:r w:rsidRPr="00402A73">
        <w:t>to speak of “parallel</w:t>
      </w:r>
      <w:r w:rsidRPr="00402A73">
        <w:rPr>
          <w:i/>
        </w:rPr>
        <w:t>ism</w:t>
      </w:r>
      <w:r w:rsidRPr="00402A73">
        <w:t>” here would be difficult) and in 37-38:</w:t>
      </w:r>
    </w:p>
    <w:p w14:paraId="2A683F22" w14:textId="77777777" w:rsidR="005B7A2F" w:rsidRPr="00402A73" w:rsidRDefault="005B7A2F" w:rsidP="00786ADB">
      <w:pPr>
        <w:widowControl w:val="0"/>
      </w:pPr>
    </w:p>
    <w:p w14:paraId="539F503E" w14:textId="27556837" w:rsidR="0018433B" w:rsidRPr="00402A73" w:rsidRDefault="0018433B" w:rsidP="005B7A2F">
      <w:pPr>
        <w:widowControl w:val="0"/>
      </w:pPr>
      <w:r w:rsidRPr="00402A73">
        <w:tab/>
        <w:t>37ab</w:t>
      </w:r>
      <w:r w:rsidRPr="00402A73">
        <w:tab/>
        <w:t>Judge not</w:t>
      </w:r>
      <w:r w:rsidR="006F304D" w:rsidRPr="006F304D">
        <w:t xml:space="preserve">, </w:t>
      </w:r>
      <w:r w:rsidRPr="00402A73">
        <w:t>and you will not be judged;</w:t>
      </w:r>
    </w:p>
    <w:p w14:paraId="21D62D79" w14:textId="170E5B64" w:rsidR="0018433B" w:rsidRPr="00402A73" w:rsidRDefault="0018433B" w:rsidP="005B7A2F">
      <w:pPr>
        <w:widowControl w:val="0"/>
      </w:pPr>
      <w:r w:rsidRPr="00402A73">
        <w:tab/>
        <w:t>37cd</w:t>
      </w:r>
      <w:r w:rsidRPr="00402A73">
        <w:tab/>
        <w:t>condemn not</w:t>
      </w:r>
      <w:r w:rsidR="006F304D" w:rsidRPr="006F304D">
        <w:t xml:space="preserve">, </w:t>
      </w:r>
      <w:r w:rsidRPr="00402A73">
        <w:t>and you will not be condemned;</w:t>
      </w:r>
    </w:p>
    <w:p w14:paraId="309B315B" w14:textId="2BD631E9" w:rsidR="0018433B" w:rsidRPr="00402A73" w:rsidRDefault="0018433B" w:rsidP="005B7A2F">
      <w:pPr>
        <w:widowControl w:val="0"/>
      </w:pPr>
      <w:r w:rsidRPr="00402A73">
        <w:tab/>
        <w:t>37ef</w:t>
      </w:r>
      <w:r w:rsidRPr="00402A73">
        <w:tab/>
        <w:t>forgive</w:t>
      </w:r>
      <w:r w:rsidR="006F304D" w:rsidRPr="006F304D">
        <w:t xml:space="preserve">, </w:t>
      </w:r>
      <w:r w:rsidRPr="00402A73">
        <w:t>and you will be forgiven;</w:t>
      </w:r>
    </w:p>
    <w:p w14:paraId="4CC144F4" w14:textId="2C8C8F02" w:rsidR="0018433B" w:rsidRPr="00402A73" w:rsidRDefault="0018433B" w:rsidP="005B7A2F">
      <w:pPr>
        <w:widowControl w:val="0"/>
      </w:pPr>
      <w:r w:rsidRPr="00402A73">
        <w:tab/>
        <w:t>38ab</w:t>
      </w:r>
      <w:r w:rsidRPr="00402A73">
        <w:tab/>
        <w:t>give</w:t>
      </w:r>
      <w:r w:rsidR="006F304D" w:rsidRPr="006F304D">
        <w:t xml:space="preserve">, </w:t>
      </w:r>
      <w:r w:rsidRPr="00402A73">
        <w:t>and it will be given to you . . . .</w:t>
      </w:r>
    </w:p>
    <w:p w14:paraId="5C381D9D" w14:textId="77777777" w:rsidR="005B7A2F" w:rsidRDefault="005B7A2F" w:rsidP="00786ADB">
      <w:pPr>
        <w:widowControl w:val="0"/>
      </w:pPr>
    </w:p>
    <w:p w14:paraId="6701015C" w14:textId="77777777" w:rsidR="005B7A2F" w:rsidRDefault="0018433B" w:rsidP="00786ADB">
      <w:pPr>
        <w:widowControl w:val="0"/>
        <w:rPr>
          <w:iCs/>
        </w:rPr>
      </w:pPr>
      <w:r w:rsidRPr="00402A73">
        <w:t>We have commented in a previous chapter on the fact that</w:t>
      </w:r>
      <w:r w:rsidR="006F304D" w:rsidRPr="006F304D">
        <w:t xml:space="preserve">, </w:t>
      </w:r>
      <w:r w:rsidRPr="00402A73">
        <w:t>in 37-38</w:t>
      </w:r>
      <w:r w:rsidR="006F304D" w:rsidRPr="006F304D">
        <w:t xml:space="preserve">, </w:t>
      </w:r>
      <w:r w:rsidRPr="00402A73">
        <w:t>the parallelism of content strays somewhat in 37ef and wanders even further in 38ab.</w:t>
      </w:r>
      <w:r w:rsidR="0027511E" w:rsidRPr="0027511E">
        <w:rPr>
          <w:iCs/>
        </w:rPr>
        <w:t xml:space="preserve"> </w:t>
      </w:r>
      <w:r w:rsidRPr="00402A73">
        <w:t>Nevertheless</w:t>
      </w:r>
      <w:r w:rsidR="006F304D" w:rsidRPr="006F304D">
        <w:t xml:space="preserve">, </w:t>
      </w:r>
      <w:r w:rsidRPr="00402A73">
        <w:t>similarity of syntax and rhythm argue for parallel lines.</w:t>
      </w:r>
    </w:p>
    <w:p w14:paraId="2D7F16C3" w14:textId="2FF22EE7" w:rsidR="0018433B" w:rsidRPr="005B7A2F" w:rsidRDefault="005B7A2F" w:rsidP="00786ADB">
      <w:pPr>
        <w:widowControl w:val="0"/>
        <w:rPr>
          <w:iCs/>
        </w:rPr>
      </w:pPr>
      <w:r>
        <w:rPr>
          <w:iCs/>
        </w:rPr>
        <w:tab/>
      </w:r>
      <w:r w:rsidR="0018433B" w:rsidRPr="00402A73">
        <w:t>In all three of these cases (27-28</w:t>
      </w:r>
      <w:r w:rsidR="006F304D" w:rsidRPr="006F304D">
        <w:t xml:space="preserve">, </w:t>
      </w:r>
      <w:r w:rsidR="0018433B" w:rsidRPr="00402A73">
        <w:t>29-30</w:t>
      </w:r>
      <w:r w:rsidR="006F304D" w:rsidRPr="006F304D">
        <w:t xml:space="preserve">, </w:t>
      </w:r>
      <w:r w:rsidR="0018433B" w:rsidRPr="00402A73">
        <w:t>37-38)</w:t>
      </w:r>
      <w:r w:rsidR="006F304D" w:rsidRPr="006F304D">
        <w:t xml:space="preserve">, </w:t>
      </w:r>
      <w:r w:rsidR="0018433B" w:rsidRPr="00402A73">
        <w:t>the parallelism is unusual</w:t>
      </w:r>
      <w:r w:rsidR="006F304D" w:rsidRPr="006F304D">
        <w:t xml:space="preserve">, </w:t>
      </w:r>
      <w:r w:rsidR="0018433B" w:rsidRPr="00402A73">
        <w:t xml:space="preserve">both because it </w:t>
      </w:r>
      <w:r w:rsidR="0018433B" w:rsidRPr="00402A73">
        <w:lastRenderedPageBreak/>
        <w:t>extends beyond a couplet and because it is in imperative mood.</w:t>
      </w:r>
    </w:p>
    <w:p w14:paraId="7F9913AC" w14:textId="77216D2C" w:rsidR="0018433B" w:rsidRPr="00402A73" w:rsidRDefault="0018433B" w:rsidP="00786ADB">
      <w:pPr>
        <w:widowControl w:val="0"/>
      </w:pPr>
      <w:r w:rsidRPr="00402A73">
        <w:tab/>
        <w:t>Citation of v</w:t>
      </w:r>
      <w:r w:rsidR="005B7A2F">
        <w:t>erses</w:t>
      </w:r>
      <w:r w:rsidRPr="00402A73">
        <w:t xml:space="preserve"> 37-38 brings us to the next section of the sermon.</w:t>
      </w:r>
    </w:p>
    <w:p w14:paraId="2E94AFB6" w14:textId="77777777" w:rsidR="0018433B" w:rsidRPr="00402A73" w:rsidRDefault="0018433B" w:rsidP="00786ADB">
      <w:pPr>
        <w:widowControl w:val="0"/>
      </w:pPr>
    </w:p>
    <w:p w14:paraId="1925A745" w14:textId="64D8D222" w:rsidR="0018433B" w:rsidRPr="00402A73" w:rsidRDefault="0018433B" w:rsidP="008F699A">
      <w:pPr>
        <w:pStyle w:val="Heading3"/>
      </w:pPr>
      <w:bookmarkStart w:id="86" w:name="_Toc147618649"/>
      <w:r w:rsidRPr="00402A73">
        <w:t>c.</w:t>
      </w:r>
      <w:r w:rsidR="0027511E" w:rsidRPr="0027511E">
        <w:rPr>
          <w:iCs/>
        </w:rPr>
        <w:t xml:space="preserve"> </w:t>
      </w:r>
      <w:r w:rsidRPr="00402A73">
        <w:t>6:37-49</w:t>
      </w:r>
      <w:bookmarkEnd w:id="86"/>
    </w:p>
    <w:p w14:paraId="548EC6DA" w14:textId="77777777" w:rsidR="0018433B" w:rsidRPr="00402A73" w:rsidRDefault="0018433B" w:rsidP="00786ADB">
      <w:pPr>
        <w:widowControl w:val="0"/>
      </w:pPr>
    </w:p>
    <w:p w14:paraId="046F694C" w14:textId="1E13A09C" w:rsidR="0018433B" w:rsidRPr="00402A73" w:rsidRDefault="0018433B" w:rsidP="00786ADB">
      <w:pPr>
        <w:widowControl w:val="0"/>
      </w:pPr>
      <w:r w:rsidRPr="00402A73">
        <w:tab/>
        <w:t>I would prefer treating v</w:t>
      </w:r>
      <w:r w:rsidR="005B7A2F">
        <w:t>erses</w:t>
      </w:r>
      <w:r w:rsidRPr="00402A73">
        <w:t xml:space="preserve"> 37-45 and v</w:t>
      </w:r>
      <w:r w:rsidR="005B7A2F">
        <w:t>erses</w:t>
      </w:r>
      <w:r w:rsidRPr="00402A73">
        <w:t xml:space="preserve"> 46-49 separately</w:t>
      </w:r>
      <w:r w:rsidR="006F304D" w:rsidRPr="006F304D">
        <w:t xml:space="preserve">, </w:t>
      </w:r>
      <w:r w:rsidRPr="00402A73">
        <w:t>since such a procedure would follow the divisions of the logical outline we established in the previous two chapters.</w:t>
      </w:r>
      <w:r w:rsidR="0027511E" w:rsidRPr="0027511E">
        <w:rPr>
          <w:iCs/>
        </w:rPr>
        <w:t xml:space="preserve"> </w:t>
      </w:r>
      <w:r w:rsidRPr="00402A73">
        <w:t xml:space="preserve">But </w:t>
      </w:r>
      <w:proofErr w:type="spellStart"/>
      <w:r w:rsidRPr="00402A73">
        <w:t>Meynet</w:t>
      </w:r>
      <w:proofErr w:type="spellEnd"/>
      <w:r w:rsidRPr="00402A73">
        <w:t xml:space="preserve"> treats 37-49 as one section; since he remains our principal exponent of parallelism in the remaining verses of the sermon</w:t>
      </w:r>
      <w:r w:rsidR="006F304D" w:rsidRPr="006F304D">
        <w:t xml:space="preserve">, </w:t>
      </w:r>
      <w:r w:rsidRPr="00402A73">
        <w:t xml:space="preserve">I am obliged to treat 37-49 together in order to </w:t>
      </w:r>
      <w:r w:rsidR="005B7A2F">
        <w:t>discuss</w:t>
      </w:r>
      <w:r w:rsidRPr="00402A73">
        <w:t xml:space="preserve"> </w:t>
      </w:r>
      <w:proofErr w:type="spellStart"/>
      <w:r w:rsidRPr="00402A73">
        <w:t>Meynet’s</w:t>
      </w:r>
      <w:proofErr w:type="spellEnd"/>
      <w:r w:rsidRPr="00402A73">
        <w:t xml:space="preserve"> parallelisms.</w:t>
      </w:r>
    </w:p>
    <w:p w14:paraId="412742C1" w14:textId="6A359247" w:rsidR="0018433B" w:rsidRDefault="0018433B" w:rsidP="00786ADB">
      <w:pPr>
        <w:widowControl w:val="0"/>
      </w:pPr>
      <w:r w:rsidRPr="00402A73">
        <w:tab/>
      </w:r>
      <w:proofErr w:type="spellStart"/>
      <w:r w:rsidRPr="00402A73">
        <w:t>Meynet</w:t>
      </w:r>
      <w:proofErr w:type="spellEnd"/>
      <w:r w:rsidRPr="00402A73">
        <w:t xml:space="preserve"> sees v</w:t>
      </w:r>
      <w:r w:rsidR="005B7A2F">
        <w:t>erses</w:t>
      </w:r>
      <w:r w:rsidRPr="00402A73">
        <w:t xml:space="preserve"> 39-49 as containing three subsections</w:t>
      </w:r>
      <w:r w:rsidR="006F304D" w:rsidRPr="006F304D">
        <w:t xml:space="preserve">, </w:t>
      </w:r>
      <w:r w:rsidRPr="00402A73">
        <w:t>39-42</w:t>
      </w:r>
      <w:r w:rsidR="006F304D" w:rsidRPr="006F304D">
        <w:t xml:space="preserve">, </w:t>
      </w:r>
      <w:r w:rsidRPr="00402A73">
        <w:t>43-45</w:t>
      </w:r>
      <w:r w:rsidR="006F304D" w:rsidRPr="006F304D">
        <w:t xml:space="preserve">, </w:t>
      </w:r>
      <w:r w:rsidRPr="00402A73">
        <w:t>and 46-49.</w:t>
      </w:r>
      <w:r w:rsidR="0027511E" w:rsidRPr="0027511E">
        <w:rPr>
          <w:iCs/>
        </w:rPr>
        <w:t xml:space="preserve"> </w:t>
      </w:r>
      <w:r w:rsidRPr="00402A73">
        <w:t>He again discovers intricate patterns in the text: the first and third subsections are in alternating parallelism with one another</w:t>
      </w:r>
      <w:r w:rsidR="006F304D" w:rsidRPr="006F304D">
        <w:t xml:space="preserve">, </w:t>
      </w:r>
      <w:r w:rsidRPr="00402A73">
        <w:t>while the second functions as a “hinge”; this “hinge” section itself has three parts</w:t>
      </w:r>
      <w:r w:rsidR="006F304D" w:rsidRPr="006F304D">
        <w:t xml:space="preserve">, </w:t>
      </w:r>
      <w:r w:rsidRPr="00402A73">
        <w:t>43-44a</w:t>
      </w:r>
      <w:r w:rsidR="006F304D" w:rsidRPr="006F304D">
        <w:t xml:space="preserve">, </w:t>
      </w:r>
      <w:r w:rsidRPr="00402A73">
        <w:t>44bc</w:t>
      </w:r>
      <w:r w:rsidR="006F304D" w:rsidRPr="006F304D">
        <w:t xml:space="preserve">, </w:t>
      </w:r>
      <w:r w:rsidRPr="00402A73">
        <w:t>and 45</w:t>
      </w:r>
      <w:r w:rsidR="006F304D" w:rsidRPr="006F304D">
        <w:t xml:space="preserve">, </w:t>
      </w:r>
      <w:r w:rsidRPr="00402A73">
        <w:t>with the first and third in alternating parallelism and the second functioning as a hinge.</w:t>
      </w:r>
      <w:r w:rsidR="0027511E" w:rsidRPr="0027511E">
        <w:rPr>
          <w:iCs/>
        </w:rPr>
        <w:t xml:space="preserve"> </w:t>
      </w:r>
      <w:r w:rsidRPr="00402A73">
        <w:t>Here is the text.</w:t>
      </w:r>
    </w:p>
    <w:p w14:paraId="50DE0373" w14:textId="77777777" w:rsidR="005B7A2F" w:rsidRPr="00402A73" w:rsidRDefault="005B7A2F" w:rsidP="00786ADB">
      <w:pPr>
        <w:widowControl w:val="0"/>
      </w:pPr>
    </w:p>
    <w:p w14:paraId="1A38BE28" w14:textId="574F5F81" w:rsidR="0018433B" w:rsidRPr="00402A73" w:rsidRDefault="0018433B" w:rsidP="0051378A">
      <w:pPr>
        <w:widowControl w:val="0"/>
      </w:pPr>
      <w:r w:rsidRPr="00402A73">
        <w:tab/>
        <w:t>39a</w:t>
      </w:r>
      <w:r w:rsidR="005B7A2F" w:rsidRPr="005B7A2F">
        <w:rPr>
          <w:iCs/>
        </w:rPr>
        <w:tab/>
      </w:r>
      <w:r w:rsidRPr="00402A73">
        <w:t>He also told them a parable:</w:t>
      </w:r>
    </w:p>
    <w:p w14:paraId="0DE3C86B" w14:textId="453ACB63" w:rsidR="0018433B" w:rsidRPr="00402A73" w:rsidRDefault="0018433B" w:rsidP="0051378A">
      <w:pPr>
        <w:widowControl w:val="0"/>
      </w:pPr>
      <w:r w:rsidRPr="00402A73">
        <w:tab/>
        <w:t>39b</w:t>
      </w:r>
      <w:r w:rsidR="005B7A2F" w:rsidRPr="005B7A2F">
        <w:rPr>
          <w:iCs/>
        </w:rPr>
        <w:tab/>
      </w:r>
      <w:r w:rsidRPr="00402A73">
        <w:t>“Can a blind man lead a blind man?</w:t>
      </w:r>
    </w:p>
    <w:p w14:paraId="768C7A13" w14:textId="4AE307FD" w:rsidR="0018433B" w:rsidRPr="00402A73" w:rsidRDefault="0018433B" w:rsidP="0051378A">
      <w:pPr>
        <w:widowControl w:val="0"/>
      </w:pPr>
      <w:r w:rsidRPr="00402A73">
        <w:tab/>
        <w:t>39c</w:t>
      </w:r>
      <w:r w:rsidR="005B7A2F" w:rsidRPr="005B7A2F">
        <w:rPr>
          <w:iCs/>
        </w:rPr>
        <w:tab/>
      </w:r>
      <w:r w:rsidRPr="00402A73">
        <w:t>Will they not both fall into a pit?</w:t>
      </w:r>
    </w:p>
    <w:p w14:paraId="06341681" w14:textId="24E70538" w:rsidR="0018433B" w:rsidRPr="00402A73" w:rsidRDefault="0018433B" w:rsidP="0051378A">
      <w:pPr>
        <w:widowControl w:val="0"/>
      </w:pPr>
      <w:r w:rsidRPr="00402A73">
        <w:tab/>
        <w:t>41a</w:t>
      </w:r>
      <w:r w:rsidR="005B7A2F" w:rsidRPr="005B7A2F">
        <w:rPr>
          <w:iCs/>
        </w:rPr>
        <w:tab/>
      </w:r>
      <w:r w:rsidRPr="00402A73">
        <w:t>Why do you see the speck that is in your brother’s eye,</w:t>
      </w:r>
    </w:p>
    <w:p w14:paraId="1750000C" w14:textId="5AA9370B" w:rsidR="0018433B" w:rsidRPr="00402A73" w:rsidRDefault="0018433B" w:rsidP="0051378A">
      <w:pPr>
        <w:widowControl w:val="0"/>
      </w:pPr>
      <w:r w:rsidRPr="00402A73">
        <w:tab/>
        <w:t>41b</w:t>
      </w:r>
      <w:r w:rsidR="005B7A2F" w:rsidRPr="005B7A2F">
        <w:rPr>
          <w:iCs/>
        </w:rPr>
        <w:tab/>
      </w:r>
      <w:r w:rsidRPr="00402A73">
        <w:t>but do not notice the log that is in your own eye?</w:t>
      </w:r>
    </w:p>
    <w:p w14:paraId="731E9423" w14:textId="3D68C267" w:rsidR="0018433B" w:rsidRPr="00402A73" w:rsidRDefault="0018433B" w:rsidP="0051378A">
      <w:pPr>
        <w:widowControl w:val="0"/>
      </w:pPr>
      <w:r w:rsidRPr="00402A73">
        <w:tab/>
        <w:t>42a</w:t>
      </w:r>
      <w:r w:rsidR="005B7A2F" w:rsidRPr="005B7A2F">
        <w:rPr>
          <w:iCs/>
        </w:rPr>
        <w:tab/>
      </w:r>
      <w:r w:rsidRPr="00402A73">
        <w:t>Or how can you say to your brother,</w:t>
      </w:r>
    </w:p>
    <w:p w14:paraId="7726035D" w14:textId="74CFDF95" w:rsidR="0018433B" w:rsidRPr="00402A73" w:rsidRDefault="0018433B" w:rsidP="0051378A">
      <w:pPr>
        <w:widowControl w:val="0"/>
      </w:pPr>
      <w:r w:rsidRPr="00402A73">
        <w:tab/>
        <w:t>42b</w:t>
      </w:r>
      <w:r w:rsidR="005B7A2F" w:rsidRPr="005B7A2F">
        <w:rPr>
          <w:iCs/>
        </w:rPr>
        <w:tab/>
      </w:r>
      <w:r w:rsidRPr="00402A73">
        <w:t>‘Brother</w:t>
      </w:r>
      <w:r w:rsidR="006F304D" w:rsidRPr="006F304D">
        <w:t xml:space="preserve">, </w:t>
      </w:r>
      <w:r w:rsidRPr="00402A73">
        <w:t>let me take out the speck that is in your eye,’</w:t>
      </w:r>
    </w:p>
    <w:p w14:paraId="085C0258" w14:textId="460F2050" w:rsidR="0018433B" w:rsidRPr="00402A73" w:rsidRDefault="0018433B" w:rsidP="0051378A">
      <w:pPr>
        <w:widowControl w:val="0"/>
      </w:pPr>
      <w:r w:rsidRPr="00402A73">
        <w:tab/>
        <w:t>42c</w:t>
      </w:r>
      <w:r w:rsidR="005B7A2F" w:rsidRPr="005B7A2F">
        <w:rPr>
          <w:iCs/>
        </w:rPr>
        <w:tab/>
      </w:r>
      <w:r w:rsidRPr="00402A73">
        <w:t>when you yourself do not see the log that is in your own eye?</w:t>
      </w:r>
    </w:p>
    <w:p w14:paraId="4CD2B1AD" w14:textId="31FA50C0" w:rsidR="0018433B" w:rsidRPr="00402A73" w:rsidRDefault="0018433B" w:rsidP="0051378A">
      <w:pPr>
        <w:widowControl w:val="0"/>
      </w:pPr>
      <w:r w:rsidRPr="00402A73">
        <w:tab/>
        <w:t>42d</w:t>
      </w:r>
      <w:r w:rsidR="005B7A2F" w:rsidRPr="005B7A2F">
        <w:rPr>
          <w:iCs/>
        </w:rPr>
        <w:tab/>
      </w:r>
      <w:r w:rsidRPr="00402A73">
        <w:t>You hypocrite</w:t>
      </w:r>
      <w:r w:rsidR="006F304D" w:rsidRPr="006F304D">
        <w:t xml:space="preserve">, </w:t>
      </w:r>
      <w:r w:rsidRPr="00402A73">
        <w:t>first take the log out of your own eye,</w:t>
      </w:r>
    </w:p>
    <w:p w14:paraId="49F70D2B" w14:textId="61A5E354" w:rsidR="0018433B" w:rsidRPr="00402A73" w:rsidRDefault="0018433B" w:rsidP="0051378A">
      <w:pPr>
        <w:widowControl w:val="0"/>
      </w:pPr>
      <w:r w:rsidRPr="00402A73">
        <w:tab/>
        <w:t>42e</w:t>
      </w:r>
      <w:r w:rsidR="005B7A2F" w:rsidRPr="005B7A2F">
        <w:rPr>
          <w:iCs/>
        </w:rPr>
        <w:tab/>
      </w:r>
      <w:r w:rsidRPr="00402A73">
        <w:t>and then you will see clearly to take out the speck that is in your brother’s eye.</w:t>
      </w:r>
    </w:p>
    <w:p w14:paraId="0962A848" w14:textId="77777777" w:rsidR="0051378A" w:rsidRPr="00402A73" w:rsidRDefault="0051378A" w:rsidP="0051378A">
      <w:pPr>
        <w:widowControl w:val="0"/>
      </w:pPr>
    </w:p>
    <w:p w14:paraId="25C103DD" w14:textId="3BBFD4DE" w:rsidR="0018433B" w:rsidRPr="00402A73" w:rsidRDefault="0018433B" w:rsidP="0051378A">
      <w:pPr>
        <w:widowControl w:val="0"/>
      </w:pPr>
      <w:r w:rsidRPr="00402A73">
        <w:tab/>
        <w:t>43a</w:t>
      </w:r>
      <w:r w:rsidR="005B7A2F" w:rsidRPr="005B7A2F">
        <w:rPr>
          <w:iCs/>
        </w:rPr>
        <w:tab/>
      </w:r>
      <w:r w:rsidRPr="00402A73">
        <w:t>For no good tree bears bad fruit,</w:t>
      </w:r>
    </w:p>
    <w:p w14:paraId="78BDF592" w14:textId="0842296A" w:rsidR="0018433B" w:rsidRPr="00402A73" w:rsidRDefault="0018433B" w:rsidP="0051378A">
      <w:pPr>
        <w:widowControl w:val="0"/>
      </w:pPr>
      <w:r w:rsidRPr="00402A73">
        <w:tab/>
        <w:t>43b</w:t>
      </w:r>
      <w:r w:rsidR="005B7A2F" w:rsidRPr="005B7A2F">
        <w:rPr>
          <w:iCs/>
        </w:rPr>
        <w:tab/>
      </w:r>
      <w:r w:rsidRPr="00402A73">
        <w:t>nor again does a bad tree bear good fruit;</w:t>
      </w:r>
    </w:p>
    <w:p w14:paraId="2A82DC66" w14:textId="1D76EC65" w:rsidR="0018433B" w:rsidRPr="00402A73" w:rsidRDefault="0018433B" w:rsidP="0051378A">
      <w:pPr>
        <w:widowControl w:val="0"/>
      </w:pPr>
      <w:r w:rsidRPr="00402A73">
        <w:tab/>
        <w:t>44a</w:t>
      </w:r>
      <w:r w:rsidR="005B7A2F" w:rsidRPr="005B7A2F">
        <w:rPr>
          <w:iCs/>
        </w:rPr>
        <w:tab/>
      </w:r>
      <w:r w:rsidRPr="00402A73">
        <w:t>for each tree is known by its own fruit.</w:t>
      </w:r>
    </w:p>
    <w:p w14:paraId="428C9671" w14:textId="77777777" w:rsidR="0051378A" w:rsidRPr="00402A73" w:rsidRDefault="0051378A" w:rsidP="0051378A">
      <w:pPr>
        <w:widowControl w:val="0"/>
      </w:pPr>
    </w:p>
    <w:p w14:paraId="794E005B" w14:textId="1A38BA28" w:rsidR="0018433B" w:rsidRPr="00402A73" w:rsidRDefault="0018433B" w:rsidP="0051378A">
      <w:pPr>
        <w:widowControl w:val="0"/>
      </w:pPr>
      <w:r w:rsidRPr="00402A73">
        <w:tab/>
        <w:t>44b</w:t>
      </w:r>
      <w:r w:rsidR="005B7A2F" w:rsidRPr="005B7A2F">
        <w:rPr>
          <w:iCs/>
        </w:rPr>
        <w:tab/>
      </w:r>
      <w:r w:rsidRPr="00402A73">
        <w:t>For figs are not gathered from thorns,</w:t>
      </w:r>
    </w:p>
    <w:p w14:paraId="407091F4" w14:textId="75A9CC30" w:rsidR="0018433B" w:rsidRPr="00402A73" w:rsidRDefault="0018433B" w:rsidP="0051378A">
      <w:pPr>
        <w:widowControl w:val="0"/>
      </w:pPr>
      <w:r w:rsidRPr="00402A73">
        <w:tab/>
        <w:t>44c</w:t>
      </w:r>
      <w:r w:rsidR="005B7A2F" w:rsidRPr="005B7A2F">
        <w:rPr>
          <w:iCs/>
        </w:rPr>
        <w:tab/>
      </w:r>
      <w:r w:rsidRPr="00402A73">
        <w:t>nor are grapes picked from a bramble bush.</w:t>
      </w:r>
    </w:p>
    <w:p w14:paraId="2A936A8F" w14:textId="77777777" w:rsidR="0051378A" w:rsidRPr="00402A73" w:rsidRDefault="0051378A" w:rsidP="0051378A">
      <w:pPr>
        <w:widowControl w:val="0"/>
      </w:pPr>
    </w:p>
    <w:p w14:paraId="399C10E3" w14:textId="61B72972" w:rsidR="0018433B" w:rsidRPr="00402A73" w:rsidRDefault="0018433B" w:rsidP="0051378A">
      <w:pPr>
        <w:widowControl w:val="0"/>
      </w:pPr>
      <w:r w:rsidRPr="00402A73">
        <w:tab/>
        <w:t>45a</w:t>
      </w:r>
      <w:r w:rsidR="005B7A2F" w:rsidRPr="005B7A2F">
        <w:rPr>
          <w:iCs/>
        </w:rPr>
        <w:tab/>
      </w:r>
      <w:r w:rsidRPr="00402A73">
        <w:t>The good man out of the good treasure of his heart produces good,</w:t>
      </w:r>
    </w:p>
    <w:p w14:paraId="3340A6BD" w14:textId="71DD5841" w:rsidR="0018433B" w:rsidRPr="00402A73" w:rsidRDefault="0018433B" w:rsidP="0051378A">
      <w:pPr>
        <w:widowControl w:val="0"/>
      </w:pPr>
      <w:r w:rsidRPr="00402A73">
        <w:tab/>
        <w:t>45b</w:t>
      </w:r>
      <w:r w:rsidR="005B7A2F" w:rsidRPr="005B7A2F">
        <w:rPr>
          <w:iCs/>
        </w:rPr>
        <w:tab/>
      </w:r>
      <w:r w:rsidRPr="00402A73">
        <w:t>and the evil man out of his evil treasure produces evil;</w:t>
      </w:r>
    </w:p>
    <w:p w14:paraId="52496512" w14:textId="4895A366" w:rsidR="0018433B" w:rsidRPr="00402A73" w:rsidRDefault="0018433B" w:rsidP="0051378A">
      <w:pPr>
        <w:widowControl w:val="0"/>
      </w:pPr>
      <w:r w:rsidRPr="00402A73">
        <w:tab/>
        <w:t>45c</w:t>
      </w:r>
      <w:r w:rsidR="005B7A2F" w:rsidRPr="005B7A2F">
        <w:rPr>
          <w:iCs/>
        </w:rPr>
        <w:tab/>
      </w:r>
      <w:r w:rsidRPr="00402A73">
        <w:t>for out of the abundance of the heart his mouth speaks.</w:t>
      </w:r>
    </w:p>
    <w:p w14:paraId="64B73728" w14:textId="77777777" w:rsidR="0018433B" w:rsidRPr="00402A73" w:rsidRDefault="0018433B" w:rsidP="00786ADB">
      <w:pPr>
        <w:widowControl w:val="0"/>
      </w:pPr>
    </w:p>
    <w:p w14:paraId="63CBEEA4" w14:textId="306A7659" w:rsidR="0018433B" w:rsidRPr="00402A73" w:rsidRDefault="0018433B" w:rsidP="0051378A">
      <w:pPr>
        <w:widowControl w:val="0"/>
      </w:pPr>
      <w:r w:rsidRPr="00402A73">
        <w:tab/>
        <w:t>46a</w:t>
      </w:r>
      <w:r w:rsidRPr="00402A73">
        <w:tab/>
        <w:t>Why do you call me ‘Lord</w:t>
      </w:r>
      <w:r w:rsidR="006F304D" w:rsidRPr="006F304D">
        <w:t xml:space="preserve">, </w:t>
      </w:r>
      <w:r w:rsidRPr="00402A73">
        <w:t>Lord,’</w:t>
      </w:r>
    </w:p>
    <w:p w14:paraId="218F061C" w14:textId="77777777" w:rsidR="0018433B" w:rsidRPr="00402A73" w:rsidRDefault="0018433B" w:rsidP="0051378A">
      <w:pPr>
        <w:widowControl w:val="0"/>
      </w:pPr>
      <w:r w:rsidRPr="00402A73">
        <w:tab/>
        <w:t>46b</w:t>
      </w:r>
      <w:r w:rsidRPr="00402A73">
        <w:tab/>
        <w:t>and not do what I tell you?</w:t>
      </w:r>
    </w:p>
    <w:p w14:paraId="06EA35AB" w14:textId="77777777" w:rsidR="0018433B" w:rsidRPr="00402A73" w:rsidRDefault="0018433B" w:rsidP="0051378A">
      <w:pPr>
        <w:widowControl w:val="0"/>
      </w:pPr>
      <w:r w:rsidRPr="00402A73">
        <w:tab/>
        <w:t>47a</w:t>
      </w:r>
      <w:r w:rsidRPr="00402A73">
        <w:tab/>
      </w:r>
      <w:proofErr w:type="spellStart"/>
      <w:r w:rsidRPr="00402A73">
        <w:t>Every one</w:t>
      </w:r>
      <w:proofErr w:type="spellEnd"/>
      <w:r w:rsidRPr="00402A73">
        <w:t xml:space="preserve"> who comes to me and hears my words and does them,</w:t>
      </w:r>
    </w:p>
    <w:p w14:paraId="62199E43" w14:textId="77777777" w:rsidR="0018433B" w:rsidRPr="00402A73" w:rsidRDefault="0018433B" w:rsidP="0051378A">
      <w:pPr>
        <w:widowControl w:val="0"/>
      </w:pPr>
      <w:r w:rsidRPr="00402A73">
        <w:tab/>
        <w:t>47b</w:t>
      </w:r>
      <w:r w:rsidRPr="00402A73">
        <w:tab/>
        <w:t>I will show you what he is like:</w:t>
      </w:r>
    </w:p>
    <w:p w14:paraId="0BD95293" w14:textId="77777777" w:rsidR="0018433B" w:rsidRPr="00402A73" w:rsidRDefault="0018433B" w:rsidP="0051378A">
      <w:pPr>
        <w:widowControl w:val="0"/>
      </w:pPr>
      <w:r w:rsidRPr="00402A73">
        <w:tab/>
        <w:t>48a</w:t>
      </w:r>
      <w:r w:rsidRPr="00402A73">
        <w:tab/>
        <w:t>he is like a man building a house,</w:t>
      </w:r>
    </w:p>
    <w:p w14:paraId="2B4189E6" w14:textId="7AB0FF14" w:rsidR="0018433B" w:rsidRPr="00402A73" w:rsidRDefault="0018433B" w:rsidP="0051378A">
      <w:pPr>
        <w:widowControl w:val="0"/>
      </w:pPr>
      <w:r w:rsidRPr="00402A73">
        <w:tab/>
        <w:t>48b</w:t>
      </w:r>
      <w:r w:rsidRPr="00402A73">
        <w:tab/>
        <w:t>who dug deep</w:t>
      </w:r>
      <w:r w:rsidR="006F304D" w:rsidRPr="006F304D">
        <w:t xml:space="preserve">, </w:t>
      </w:r>
      <w:r w:rsidRPr="00402A73">
        <w:t>and laid the foundation upon rock;</w:t>
      </w:r>
    </w:p>
    <w:p w14:paraId="0C5414C0" w14:textId="02DEBC0A" w:rsidR="0018433B" w:rsidRPr="00402A73" w:rsidRDefault="0018433B" w:rsidP="0051378A">
      <w:pPr>
        <w:widowControl w:val="0"/>
      </w:pPr>
      <w:r w:rsidRPr="00402A73">
        <w:tab/>
        <w:t>48c</w:t>
      </w:r>
      <w:r w:rsidR="0051378A" w:rsidRPr="0051378A">
        <w:rPr>
          <w:iCs/>
        </w:rPr>
        <w:tab/>
      </w:r>
      <w:r w:rsidRPr="00402A73">
        <w:t>and when a flood arose</w:t>
      </w:r>
      <w:r w:rsidR="006F304D" w:rsidRPr="006F304D">
        <w:t xml:space="preserve">, </w:t>
      </w:r>
      <w:r w:rsidRPr="00402A73">
        <w:t>the stream broke against that house,</w:t>
      </w:r>
    </w:p>
    <w:p w14:paraId="10ACB536" w14:textId="5AAC7B70" w:rsidR="0018433B" w:rsidRPr="00402A73" w:rsidRDefault="0018433B" w:rsidP="0051378A">
      <w:pPr>
        <w:widowControl w:val="0"/>
      </w:pPr>
      <w:r w:rsidRPr="00402A73">
        <w:tab/>
        <w:t>48d</w:t>
      </w:r>
      <w:r w:rsidRPr="00402A73">
        <w:tab/>
        <w:t>and could not shake it</w:t>
      </w:r>
      <w:r w:rsidR="006F304D" w:rsidRPr="006F304D">
        <w:t xml:space="preserve">, </w:t>
      </w:r>
      <w:r w:rsidRPr="00402A73">
        <w:t>because it had been well built.</w:t>
      </w:r>
    </w:p>
    <w:p w14:paraId="4CB09994" w14:textId="7FE3AD91" w:rsidR="0018433B" w:rsidRPr="00402A73" w:rsidRDefault="0018433B" w:rsidP="0051378A">
      <w:pPr>
        <w:widowControl w:val="0"/>
        <w:tabs>
          <w:tab w:val="left" w:pos="720"/>
          <w:tab w:val="left" w:pos="1440"/>
        </w:tabs>
        <w:ind w:left="1800" w:hanging="1800"/>
      </w:pPr>
      <w:r w:rsidRPr="00402A73">
        <w:lastRenderedPageBreak/>
        <w:tab/>
        <w:t>49a</w:t>
      </w:r>
      <w:r w:rsidR="0051378A" w:rsidRPr="0051378A">
        <w:rPr>
          <w:iCs/>
        </w:rPr>
        <w:tab/>
      </w:r>
      <w:r w:rsidRPr="00402A73">
        <w:t>But he who hears and does not do them is like a man who built a house on the ground without a foundation;</w:t>
      </w:r>
    </w:p>
    <w:p w14:paraId="2E00AF1D" w14:textId="77777777" w:rsidR="0018433B" w:rsidRPr="00402A73" w:rsidRDefault="0018433B" w:rsidP="0051378A">
      <w:pPr>
        <w:widowControl w:val="0"/>
      </w:pPr>
      <w:r w:rsidRPr="00402A73">
        <w:tab/>
        <w:t>49b</w:t>
      </w:r>
      <w:r w:rsidRPr="00402A73">
        <w:tab/>
        <w:t>against which the stream broke,</w:t>
      </w:r>
    </w:p>
    <w:p w14:paraId="6B4AB809" w14:textId="77777777" w:rsidR="0018433B" w:rsidRPr="00402A73" w:rsidRDefault="0018433B" w:rsidP="0051378A">
      <w:pPr>
        <w:widowControl w:val="0"/>
      </w:pPr>
      <w:r w:rsidRPr="00402A73">
        <w:tab/>
        <w:t>49c</w:t>
      </w:r>
      <w:r w:rsidRPr="00402A73">
        <w:tab/>
        <w:t>and immediately it fell,</w:t>
      </w:r>
    </w:p>
    <w:p w14:paraId="2C831C91" w14:textId="77777777" w:rsidR="0018433B" w:rsidRPr="00402A73" w:rsidRDefault="0018433B" w:rsidP="0051378A">
      <w:pPr>
        <w:widowControl w:val="0"/>
      </w:pPr>
      <w:r w:rsidRPr="00402A73">
        <w:tab/>
        <w:t>49d</w:t>
      </w:r>
      <w:r w:rsidRPr="00402A73">
        <w:tab/>
        <w:t>and the ruin of that house was great.”</w:t>
      </w:r>
    </w:p>
    <w:p w14:paraId="5A7638D7" w14:textId="77777777" w:rsidR="0051378A" w:rsidRDefault="0051378A" w:rsidP="00786ADB">
      <w:pPr>
        <w:widowControl w:val="0"/>
      </w:pPr>
    </w:p>
    <w:p w14:paraId="3CEBC4B6" w14:textId="3AA4AC64" w:rsidR="0018433B" w:rsidRPr="00402A73" w:rsidRDefault="0018433B" w:rsidP="00786ADB">
      <w:pPr>
        <w:widowControl w:val="0"/>
      </w:pPr>
      <w:r w:rsidRPr="00402A73">
        <w:tab/>
        <w:t>I will treat first the purported parallelism between 39-42 and 46-49</w:t>
      </w:r>
      <w:r w:rsidR="006F304D" w:rsidRPr="006F304D">
        <w:t xml:space="preserve">, </w:t>
      </w:r>
      <w:r w:rsidRPr="00402A73">
        <w:t>and then consider the central section</w:t>
      </w:r>
      <w:r w:rsidR="006F304D" w:rsidRPr="006F304D">
        <w:t xml:space="preserve">, </w:t>
      </w:r>
      <w:r w:rsidRPr="00402A73">
        <w:t>43-45.</w:t>
      </w:r>
    </w:p>
    <w:p w14:paraId="3BE65262" w14:textId="63C1F678" w:rsidR="0018433B" w:rsidRPr="00402A73" w:rsidRDefault="0018433B" w:rsidP="0051378A">
      <w:pPr>
        <w:widowControl w:val="0"/>
      </w:pPr>
      <w:r w:rsidRPr="00402A73">
        <w:tab/>
      </w:r>
      <w:r w:rsidR="0051378A">
        <w:t xml:space="preserve">1) </w:t>
      </w:r>
      <w:r w:rsidRPr="00402A73">
        <w:t>According to the first line (excepting the title) of “Planche 6,” v</w:t>
      </w:r>
      <w:r w:rsidR="0051378A">
        <w:t>erses</w:t>
      </w:r>
      <w:r w:rsidRPr="00402A73">
        <w:t xml:space="preserve"> 39 + 41-42 are equated with 46 + 47-49.</w:t>
      </w:r>
      <w:r w:rsidR="0027511E" w:rsidRPr="0027511E">
        <w:rPr>
          <w:iCs/>
        </w:rPr>
        <w:t xml:space="preserve"> </w:t>
      </w:r>
      <w:r w:rsidRPr="00402A73">
        <w:t>Yet 39 is not a generalized introduction to 41-42</w:t>
      </w:r>
      <w:r w:rsidR="006F304D" w:rsidRPr="006F304D">
        <w:t xml:space="preserve">, </w:t>
      </w:r>
      <w:r w:rsidRPr="00402A73">
        <w:t>as is 46.</w:t>
      </w:r>
      <w:r w:rsidR="0027511E" w:rsidRPr="0027511E">
        <w:rPr>
          <w:iCs/>
        </w:rPr>
        <w:t xml:space="preserve"> </w:t>
      </w:r>
      <w:r w:rsidRPr="00402A73">
        <w:t>V</w:t>
      </w:r>
      <w:r w:rsidR="0051378A">
        <w:t>erse</w:t>
      </w:r>
      <w:r w:rsidRPr="00402A73">
        <w:t xml:space="preserve"> 39 is a synonymous parallelism and can</w:t>
      </w:r>
      <w:r w:rsidR="006F304D" w:rsidRPr="006F304D">
        <w:t xml:space="preserve">, </w:t>
      </w:r>
      <w:r w:rsidRPr="00402A73">
        <w:t>unlike 46</w:t>
      </w:r>
      <w:r w:rsidR="006F304D" w:rsidRPr="006F304D">
        <w:t xml:space="preserve">, </w:t>
      </w:r>
      <w:r w:rsidRPr="00402A73">
        <w:t>stand alone</w:t>
      </w:r>
      <w:r w:rsidR="006F304D" w:rsidRPr="006F304D">
        <w:t xml:space="preserve">, </w:t>
      </w:r>
      <w:r w:rsidRPr="00402A73">
        <w:t>without what follows.</w:t>
      </w:r>
      <w:r w:rsidR="0027511E" w:rsidRPr="0027511E">
        <w:rPr>
          <w:iCs/>
        </w:rPr>
        <w:t xml:space="preserve"> </w:t>
      </w:r>
      <w:r w:rsidRPr="00402A73">
        <w:t>Nor is 39 an abstract statement</w:t>
      </w:r>
      <w:r w:rsidR="006F304D" w:rsidRPr="006F304D">
        <w:t xml:space="preserve">, </w:t>
      </w:r>
      <w:r w:rsidRPr="00402A73">
        <w:t>as is 46; 39 is highly concrete.</w:t>
      </w:r>
      <w:r w:rsidR="0027511E" w:rsidRPr="0027511E">
        <w:rPr>
          <w:iCs/>
        </w:rPr>
        <w:t xml:space="preserve"> </w:t>
      </w:r>
      <w:r w:rsidRPr="00402A73">
        <w:t>Also</w:t>
      </w:r>
      <w:r w:rsidR="006F304D" w:rsidRPr="006F304D">
        <w:t xml:space="preserve">, </w:t>
      </w:r>
      <w:r w:rsidRPr="00402A73">
        <w:t>the two verses</w:t>
      </w:r>
      <w:r w:rsidR="006F304D" w:rsidRPr="006F304D">
        <w:t xml:space="preserve">, </w:t>
      </w:r>
      <w:r w:rsidRPr="00402A73">
        <w:t>41-42</w:t>
      </w:r>
      <w:r w:rsidR="006F304D" w:rsidRPr="006F304D">
        <w:t xml:space="preserve">, </w:t>
      </w:r>
      <w:r w:rsidRPr="00402A73">
        <w:t>repeat one another and are synonymous parallelism.</w:t>
      </w:r>
      <w:r w:rsidR="0027511E" w:rsidRPr="0027511E">
        <w:rPr>
          <w:iCs/>
        </w:rPr>
        <w:t xml:space="preserve"> </w:t>
      </w:r>
      <w:r w:rsidRPr="00402A73">
        <w:t>V</w:t>
      </w:r>
      <w:r w:rsidR="0051378A">
        <w:t>erses</w:t>
      </w:r>
      <w:r w:rsidRPr="00402A73">
        <w:t xml:space="preserve"> 47-49</w:t>
      </w:r>
      <w:r w:rsidR="006F304D" w:rsidRPr="006F304D">
        <w:t xml:space="preserve">, </w:t>
      </w:r>
      <w:r w:rsidRPr="00402A73">
        <w:t>on the contrary</w:t>
      </w:r>
      <w:r w:rsidR="006F304D" w:rsidRPr="006F304D">
        <w:t xml:space="preserve">, </w:t>
      </w:r>
      <w:r w:rsidRPr="00402A73">
        <w:t>are a “reflex” parable.</w:t>
      </w:r>
      <w:r w:rsidRPr="00402A73">
        <w:rPr>
          <w:vertAlign w:val="superscript"/>
        </w:rPr>
        <w:footnoteReference w:id="725"/>
      </w:r>
    </w:p>
    <w:p w14:paraId="0DF35265" w14:textId="37F921A9" w:rsidR="0018433B" w:rsidRPr="00402A73" w:rsidRDefault="0018433B" w:rsidP="0051378A">
      <w:pPr>
        <w:widowControl w:val="0"/>
      </w:pPr>
      <w:r w:rsidRPr="00402A73">
        <w:tab/>
      </w:r>
      <w:r w:rsidR="0051378A">
        <w:t xml:space="preserve">2) </w:t>
      </w:r>
      <w:r w:rsidRPr="00402A73">
        <w:t xml:space="preserve">According to the second line: </w:t>
      </w:r>
      <w:proofErr w:type="spellStart"/>
      <w:r w:rsidRPr="00402A73">
        <w:t>Meynet</w:t>
      </w:r>
      <w:proofErr w:type="spellEnd"/>
      <w:r w:rsidRPr="00402A73">
        <w:t xml:space="preserve"> indicates the similarity of 39-42 and 46-49 by noting that both contain parabolic material.</w:t>
      </w:r>
      <w:r w:rsidR="0027511E" w:rsidRPr="0027511E">
        <w:rPr>
          <w:iCs/>
        </w:rPr>
        <w:t xml:space="preserve"> </w:t>
      </w:r>
      <w:r w:rsidRPr="00402A73">
        <w:t>In fact</w:t>
      </w:r>
      <w:r w:rsidR="006F304D" w:rsidRPr="006F304D">
        <w:t xml:space="preserve">, </w:t>
      </w:r>
      <w:r w:rsidRPr="00402A73">
        <w:t>he highlights their difference: 39-42 contain “</w:t>
      </w:r>
      <w:proofErr w:type="spellStart"/>
      <w:r w:rsidRPr="00402A73">
        <w:t>parabole</w:t>
      </w:r>
      <w:r w:rsidRPr="00402A73">
        <w:rPr>
          <w:i/>
        </w:rPr>
        <w:t>s</w:t>
      </w:r>
      <w:proofErr w:type="spellEnd"/>
      <w:r w:rsidRPr="0051378A">
        <w:rPr>
          <w:iCs/>
        </w:rPr>
        <w:t>,</w:t>
      </w:r>
      <w:r w:rsidRPr="00402A73">
        <w:t>” while 46-49 contains a single “</w:t>
      </w:r>
      <w:proofErr w:type="spellStart"/>
      <w:r w:rsidRPr="00402A73">
        <w:t>parabole</w:t>
      </w:r>
      <w:proofErr w:type="spellEnd"/>
      <w:r w:rsidRPr="00402A73">
        <w:t>.”</w:t>
      </w:r>
    </w:p>
    <w:p w14:paraId="4AACA988" w14:textId="63661095" w:rsidR="0018433B" w:rsidRPr="00402A73" w:rsidRDefault="0018433B" w:rsidP="0051378A">
      <w:pPr>
        <w:widowControl w:val="0"/>
      </w:pPr>
      <w:r w:rsidRPr="00402A73">
        <w:tab/>
      </w:r>
      <w:r w:rsidR="0051378A">
        <w:t xml:space="preserve">3) </w:t>
      </w:r>
      <w:r w:rsidRPr="00402A73">
        <w:t xml:space="preserve">According to lines 3-7: </w:t>
      </w:r>
      <w:proofErr w:type="spellStart"/>
      <w:r w:rsidRPr="00402A73">
        <w:t>Meynet</w:t>
      </w:r>
      <w:proofErr w:type="spellEnd"/>
      <w:r w:rsidRPr="00402A73">
        <w:t xml:space="preserve"> claims that in both 39-42 and 46-49</w:t>
      </w:r>
      <w:r w:rsidR="006F304D" w:rsidRPr="006F304D">
        <w:t xml:space="preserve">, </w:t>
      </w:r>
      <w:r w:rsidRPr="00402A73">
        <w:t>the second part makes the first explicit: 41-42 explain 39</w:t>
      </w:r>
      <w:r w:rsidR="006F304D" w:rsidRPr="006F304D">
        <w:t xml:space="preserve">, </w:t>
      </w:r>
      <w:r w:rsidRPr="00402A73">
        <w:t>and 47-49 explain 46.</w:t>
      </w:r>
      <w:r w:rsidR="0027511E" w:rsidRPr="0027511E">
        <w:rPr>
          <w:iCs/>
        </w:rPr>
        <w:t xml:space="preserve"> </w:t>
      </w:r>
      <w:r w:rsidRPr="00402A73">
        <w:t>But the ways in which the latter verses “make explicit” the former is quite different.</w:t>
      </w:r>
      <w:r w:rsidR="0027511E" w:rsidRPr="0027511E">
        <w:rPr>
          <w:iCs/>
        </w:rPr>
        <w:t xml:space="preserve"> </w:t>
      </w:r>
      <w:r w:rsidRPr="00402A73">
        <w:t>V</w:t>
      </w:r>
      <w:r w:rsidR="0051378A">
        <w:t>erses</w:t>
      </w:r>
      <w:r w:rsidRPr="00402A73">
        <w:t xml:space="preserve"> 41-42 explain 39 by means of parallel images: “not seeing” in 41b parallels the “blind man” in 39b</w:t>
      </w:r>
      <w:r w:rsidR="006F304D" w:rsidRPr="006F304D">
        <w:t xml:space="preserve">, </w:t>
      </w:r>
      <w:r w:rsidRPr="00402A73">
        <w:t>and “let me take out” in 42b parallels “lead” in 39b.</w:t>
      </w:r>
      <w:r w:rsidR="0027511E" w:rsidRPr="0027511E">
        <w:rPr>
          <w:iCs/>
        </w:rPr>
        <w:t xml:space="preserve"> </w:t>
      </w:r>
      <w:r w:rsidRPr="00402A73">
        <w:t>V</w:t>
      </w:r>
      <w:r w:rsidR="0051378A">
        <w:t>erses</w:t>
      </w:r>
      <w:r w:rsidRPr="00402A73">
        <w:t xml:space="preserve"> 47-49 explain 46 by means of identical verbs (“do” in 46b</w:t>
      </w:r>
      <w:r w:rsidR="006F304D" w:rsidRPr="006F304D">
        <w:t xml:space="preserve">, </w:t>
      </w:r>
      <w:r w:rsidRPr="00402A73">
        <w:t>47a</w:t>
      </w:r>
      <w:r w:rsidR="006F304D" w:rsidRPr="006F304D">
        <w:t xml:space="preserve">, </w:t>
      </w:r>
      <w:r w:rsidRPr="00402A73">
        <w:t>49a) or parallel concepts (“tell” in 46b</w:t>
      </w:r>
      <w:r w:rsidR="006F304D" w:rsidRPr="006F304D">
        <w:t xml:space="preserve">, </w:t>
      </w:r>
      <w:r w:rsidRPr="00402A73">
        <w:t>“words” in 47a).</w:t>
      </w:r>
    </w:p>
    <w:p w14:paraId="5CF0B320" w14:textId="68057A23" w:rsidR="0018433B" w:rsidRPr="00402A73" w:rsidRDefault="0018433B" w:rsidP="0051378A">
      <w:pPr>
        <w:widowControl w:val="0"/>
      </w:pPr>
      <w:r w:rsidRPr="00402A73">
        <w:tab/>
      </w:r>
      <w:r w:rsidR="0051378A">
        <w:t xml:space="preserve">4) </w:t>
      </w:r>
      <w:r w:rsidRPr="00402A73">
        <w:t>According to line 8: There are similar interrogatives in 39-42 and 46-49.</w:t>
      </w:r>
      <w:r w:rsidR="0027511E" w:rsidRPr="0027511E">
        <w:rPr>
          <w:iCs/>
        </w:rPr>
        <w:t xml:space="preserve"> </w:t>
      </w:r>
      <w:r w:rsidRPr="00402A73">
        <w:t>But in 39-42</w:t>
      </w:r>
      <w:r w:rsidR="006F304D" w:rsidRPr="006F304D">
        <w:t xml:space="preserve">, </w:t>
      </w:r>
      <w:r w:rsidRPr="00402A73">
        <w:t>there are four questions (39b</w:t>
      </w:r>
      <w:r w:rsidR="006F304D" w:rsidRPr="006F304D">
        <w:t xml:space="preserve">, </w:t>
      </w:r>
      <w:r w:rsidRPr="00402A73">
        <w:t>39c</w:t>
      </w:r>
      <w:r w:rsidR="006F304D" w:rsidRPr="006F304D">
        <w:t xml:space="preserve">, </w:t>
      </w:r>
      <w:r w:rsidRPr="00402A73">
        <w:t>41</w:t>
      </w:r>
      <w:r w:rsidR="006F304D" w:rsidRPr="006F304D">
        <w:t xml:space="preserve">, </w:t>
      </w:r>
      <w:r w:rsidRPr="00402A73">
        <w:t>42ab)</w:t>
      </w:r>
      <w:r w:rsidR="006F304D" w:rsidRPr="006F304D">
        <w:t xml:space="preserve">, </w:t>
      </w:r>
      <w:r w:rsidRPr="00402A73">
        <w:t xml:space="preserve">while in 46 </w:t>
      </w:r>
      <w:proofErr w:type="spellStart"/>
      <w:r w:rsidRPr="00402A73">
        <w:t>Meynet</w:t>
      </w:r>
      <w:proofErr w:type="spellEnd"/>
      <w:r w:rsidRPr="00402A73">
        <w:t xml:space="preserve"> must transform a single clause with a compound verb into a “double question.”</w:t>
      </w:r>
      <w:r w:rsidR="0027511E" w:rsidRPr="0027511E">
        <w:rPr>
          <w:iCs/>
        </w:rPr>
        <w:t xml:space="preserve"> </w:t>
      </w:r>
      <w:r w:rsidR="0051378A">
        <w:t>(</w:t>
      </w:r>
      <w:r w:rsidRPr="00402A73">
        <w:t>It could be argued that</w:t>
      </w:r>
      <w:r w:rsidR="006F304D" w:rsidRPr="006F304D">
        <w:t xml:space="preserve">, </w:t>
      </w:r>
      <w:r w:rsidRPr="00402A73">
        <w:t xml:space="preserve">since the second-person-plural pronoun </w:t>
      </w:r>
      <w:r w:rsidR="0051378A" w:rsidRPr="0051378A">
        <w:rPr>
          <w:iCs/>
        </w:rPr>
        <w:t>[</w:t>
      </w:r>
      <w:r w:rsidRPr="00402A73">
        <w:t>“you”</w:t>
      </w:r>
      <w:r w:rsidR="0051378A" w:rsidRPr="0051378A">
        <w:rPr>
          <w:iCs/>
        </w:rPr>
        <w:t>]</w:t>
      </w:r>
      <w:r w:rsidRPr="00402A73">
        <w:t xml:space="preserve"> is denoted by the endings to the verbs </w:t>
      </w:r>
      <w:r w:rsidR="0051378A" w:rsidRPr="0051378A">
        <w:rPr>
          <w:iCs/>
        </w:rPr>
        <w:t>[</w:t>
      </w:r>
      <w:r w:rsidR="0051378A" w:rsidRPr="00CE06CA">
        <w:rPr>
          <w:bCs/>
          <w:szCs w:val="22"/>
          <w:lang w:val="el-GR"/>
        </w:rPr>
        <w:t>καλεῖτε</w:t>
      </w:r>
      <w:r w:rsidR="006F304D" w:rsidRPr="006F304D">
        <w:t xml:space="preserve">, </w:t>
      </w:r>
      <w:r w:rsidR="0051378A" w:rsidRPr="00CE06CA">
        <w:rPr>
          <w:bCs/>
          <w:szCs w:val="22"/>
          <w:lang w:val="el-GR"/>
        </w:rPr>
        <w:t>ποιεῖτε</w:t>
      </w:r>
      <w:r w:rsidR="0051378A" w:rsidRPr="0051378A">
        <w:rPr>
          <w:iCs/>
        </w:rPr>
        <w:t>]</w:t>
      </w:r>
      <w:r w:rsidRPr="00402A73">
        <w:t xml:space="preserve"> in 46</w:t>
      </w:r>
      <w:r w:rsidR="006F304D" w:rsidRPr="006F304D">
        <w:t xml:space="preserve">, </w:t>
      </w:r>
      <w:r w:rsidRPr="00402A73">
        <w:t>each verb is accompanied by a subject of its own; hence</w:t>
      </w:r>
      <w:r w:rsidR="006F304D" w:rsidRPr="006F304D">
        <w:t xml:space="preserve">, </w:t>
      </w:r>
      <w:r w:rsidRPr="00402A73">
        <w:t>there are two clauses.</w:t>
      </w:r>
      <w:r w:rsidR="0027511E" w:rsidRPr="0027511E">
        <w:rPr>
          <w:iCs/>
        </w:rPr>
        <w:t xml:space="preserve"> </w:t>
      </w:r>
      <w:r w:rsidRPr="00402A73">
        <w:t>But if one argues thus</w:t>
      </w:r>
      <w:r w:rsidR="006F304D" w:rsidRPr="006F304D">
        <w:t xml:space="preserve">, </w:t>
      </w:r>
      <w:r w:rsidRPr="00402A73">
        <w:t>one cannot contend that the second clause is interrogative: the interrogative pronoun</w:t>
      </w:r>
      <w:r w:rsidR="006F304D" w:rsidRPr="006F304D">
        <w:t xml:space="preserve">, </w:t>
      </w:r>
      <w:r w:rsidR="0051378A" w:rsidRPr="00CE06CA">
        <w:rPr>
          <w:bCs/>
          <w:szCs w:val="22"/>
          <w:lang w:val="el-GR"/>
        </w:rPr>
        <w:t>Τί</w:t>
      </w:r>
      <w:r w:rsidRPr="00402A73">
        <w:t xml:space="preserve"> </w:t>
      </w:r>
      <w:r w:rsidR="0051378A" w:rsidRPr="0051378A">
        <w:rPr>
          <w:iCs/>
        </w:rPr>
        <w:t>[</w:t>
      </w:r>
      <w:r w:rsidRPr="00402A73">
        <w:t>“Why”</w:t>
      </w:r>
      <w:r w:rsidR="0051378A" w:rsidRPr="0051378A">
        <w:rPr>
          <w:iCs/>
        </w:rPr>
        <w:t>]</w:t>
      </w:r>
      <w:r w:rsidR="006F304D" w:rsidRPr="006F304D">
        <w:t xml:space="preserve">, </w:t>
      </w:r>
      <w:r w:rsidRPr="00402A73">
        <w:t>appears only once and would govern only the verbs in its clause.</w:t>
      </w:r>
      <w:r w:rsidR="0051378A">
        <w:t>)</w:t>
      </w:r>
    </w:p>
    <w:p w14:paraId="1914C1F9" w14:textId="4E69A0CE" w:rsidR="0018433B" w:rsidRPr="00402A73" w:rsidRDefault="0018433B" w:rsidP="0051378A">
      <w:pPr>
        <w:widowControl w:val="0"/>
      </w:pPr>
      <w:r w:rsidRPr="00402A73">
        <w:tab/>
      </w:r>
      <w:r w:rsidR="0051378A">
        <w:t xml:space="preserve">5) </w:t>
      </w:r>
      <w:r w:rsidRPr="00402A73">
        <w:t>According to line 10: The second half of 39 + 41-42 begins with “Why,” and the first half of 46 + 47-49 begins with “Why.”</w:t>
      </w:r>
      <w:r w:rsidR="0027511E" w:rsidRPr="0027511E">
        <w:rPr>
          <w:iCs/>
        </w:rPr>
        <w:t xml:space="preserve"> </w:t>
      </w:r>
      <w:r w:rsidRPr="00402A73">
        <w:t xml:space="preserve">Presumably </w:t>
      </w:r>
      <w:proofErr w:type="spellStart"/>
      <w:r w:rsidRPr="00402A73">
        <w:t>Meynet</w:t>
      </w:r>
      <w:proofErr w:type="spellEnd"/>
      <w:r w:rsidRPr="00402A73">
        <w:t xml:space="preserve"> intends to point out a chiasm here; more likely</w:t>
      </w:r>
      <w:r w:rsidR="006F304D" w:rsidRPr="006F304D">
        <w:t xml:space="preserve">, </w:t>
      </w:r>
      <w:r w:rsidRPr="00402A73">
        <w:t>he has pointed out a coincidence.</w:t>
      </w:r>
    </w:p>
    <w:p w14:paraId="4C621DC9" w14:textId="6F800F9F" w:rsidR="0018433B" w:rsidRPr="00402A73" w:rsidRDefault="0018433B" w:rsidP="0051378A">
      <w:pPr>
        <w:widowControl w:val="0"/>
      </w:pPr>
      <w:r w:rsidRPr="00402A73">
        <w:tab/>
      </w:r>
      <w:r w:rsidR="0051378A">
        <w:t xml:space="preserve">6) </w:t>
      </w:r>
      <w:r w:rsidRPr="00402A73">
        <w:t>According to lines 11-13: Both passages are characterized by “oppositions.”</w:t>
      </w:r>
      <w:r w:rsidR="0027511E" w:rsidRPr="0027511E">
        <w:rPr>
          <w:iCs/>
        </w:rPr>
        <w:t xml:space="preserve"> </w:t>
      </w:r>
      <w:r w:rsidRPr="00402A73">
        <w:t>In the first text</w:t>
      </w:r>
      <w:r w:rsidR="006F304D" w:rsidRPr="006F304D">
        <w:t xml:space="preserve">, </w:t>
      </w:r>
      <w:r w:rsidRPr="00402A73">
        <w:t>the oppositions are “blind man” versus “guide” and “seeing the brother’s eye” versus “not seeing one’s own eye.”</w:t>
      </w:r>
      <w:r w:rsidR="0027511E" w:rsidRPr="0027511E">
        <w:rPr>
          <w:iCs/>
        </w:rPr>
        <w:t xml:space="preserve"> </w:t>
      </w:r>
      <w:r w:rsidRPr="00402A73">
        <w:t>In the second text</w:t>
      </w:r>
      <w:r w:rsidR="006F304D" w:rsidRPr="006F304D">
        <w:t xml:space="preserve">, </w:t>
      </w:r>
      <w:r w:rsidRPr="00402A73">
        <w:t>they are “do” versus “not do” and “call Jesus Lord” versus “not do.”</w:t>
      </w:r>
      <w:r w:rsidR="0027511E" w:rsidRPr="0027511E">
        <w:rPr>
          <w:iCs/>
        </w:rPr>
        <w:t xml:space="preserve"> </w:t>
      </w:r>
      <w:r w:rsidRPr="00402A73">
        <w:t>So?</w:t>
      </w:r>
    </w:p>
    <w:p w14:paraId="6B1D87ED" w14:textId="7A7EE73A" w:rsidR="0018433B" w:rsidRPr="00402A73" w:rsidRDefault="0018433B" w:rsidP="0051378A">
      <w:pPr>
        <w:widowControl w:val="0"/>
      </w:pPr>
      <w:r w:rsidRPr="00402A73">
        <w:tab/>
      </w:r>
      <w:r w:rsidR="0051378A">
        <w:t xml:space="preserve">7) </w:t>
      </w:r>
      <w:r w:rsidRPr="00402A73">
        <w:t xml:space="preserve">According to lines 14-15: </w:t>
      </w:r>
      <w:r w:rsidR="00DF5811">
        <w:t>verse</w:t>
      </w:r>
      <w:r w:rsidRPr="00402A73">
        <w:t xml:space="preserve"> 39 speaks of a “man” (third person) and 41-42 speak of “you” (second person).</w:t>
      </w:r>
      <w:r w:rsidR="0027511E" w:rsidRPr="0027511E">
        <w:rPr>
          <w:iCs/>
        </w:rPr>
        <w:t xml:space="preserve"> </w:t>
      </w:r>
      <w:r w:rsidRPr="00402A73">
        <w:t>V</w:t>
      </w:r>
      <w:r w:rsidR="00DF5811">
        <w:t>erse</w:t>
      </w:r>
      <w:r w:rsidRPr="00402A73">
        <w:t xml:space="preserve"> 46 speaks of “you” (second person) and 47-49 speak of “he” (third person).</w:t>
      </w:r>
      <w:r w:rsidR="0027511E" w:rsidRPr="0027511E">
        <w:rPr>
          <w:iCs/>
        </w:rPr>
        <w:t xml:space="preserve"> </w:t>
      </w:r>
      <w:r w:rsidRPr="00402A73">
        <w:t>Voilà: chiasm!</w:t>
      </w:r>
      <w:r w:rsidR="0027511E" w:rsidRPr="0027511E">
        <w:rPr>
          <w:iCs/>
        </w:rPr>
        <w:t xml:space="preserve"> </w:t>
      </w:r>
      <w:r w:rsidRPr="00402A73">
        <w:t>But “you” in 41-42 is singular</w:t>
      </w:r>
      <w:r w:rsidR="006F304D" w:rsidRPr="006F304D">
        <w:t xml:space="preserve">, </w:t>
      </w:r>
      <w:r w:rsidRPr="00402A73">
        <w:t>while “you” in 46 is plural.</w:t>
      </w:r>
    </w:p>
    <w:p w14:paraId="66F47C1E" w14:textId="0A8E189E" w:rsidR="0018433B" w:rsidRPr="00402A73" w:rsidRDefault="0018433B" w:rsidP="0051378A">
      <w:pPr>
        <w:widowControl w:val="0"/>
      </w:pPr>
      <w:r w:rsidRPr="00402A73">
        <w:tab/>
      </w:r>
      <w:r w:rsidR="0051378A">
        <w:t xml:space="preserve">8) </w:t>
      </w:r>
      <w:r w:rsidRPr="00402A73">
        <w:t>According to lines 16-19: The two passages share similar words.</w:t>
      </w:r>
      <w:r w:rsidR="0027511E" w:rsidRPr="0027511E">
        <w:rPr>
          <w:iCs/>
        </w:rPr>
        <w:t xml:space="preserve"> </w:t>
      </w:r>
      <w:proofErr w:type="spellStart"/>
      <w:r w:rsidRPr="00402A73">
        <w:t>Vv</w:t>
      </w:r>
      <w:proofErr w:type="spellEnd"/>
      <w:r w:rsidRPr="00402A73">
        <w:t xml:space="preserve"> 39-42 contain “fall,” “pit” (</w:t>
      </w:r>
      <w:r w:rsidR="00DF5811" w:rsidRPr="00CE06CA">
        <w:rPr>
          <w:bCs/>
          <w:szCs w:val="22"/>
          <w:lang w:val="el-GR"/>
        </w:rPr>
        <w:t>βόθυνο</w:t>
      </w:r>
      <w:r w:rsidR="00DF5811">
        <w:rPr>
          <w:bCs/>
          <w:szCs w:val="22"/>
          <w:lang w:val="el-GR"/>
        </w:rPr>
        <w:t>ς</w:t>
      </w:r>
      <w:r w:rsidRPr="00402A73">
        <w:t>)</w:t>
      </w:r>
      <w:r w:rsidR="006F304D" w:rsidRPr="006F304D">
        <w:t xml:space="preserve">, </w:t>
      </w:r>
      <w:r w:rsidRPr="00402A73">
        <w:t xml:space="preserve">“disciple,” and “see,” while </w:t>
      </w:r>
      <w:proofErr w:type="spellStart"/>
      <w:r w:rsidRPr="00402A73">
        <w:t>vv</w:t>
      </w:r>
      <w:proofErr w:type="spellEnd"/>
      <w:r w:rsidRPr="00402A73">
        <w:t xml:space="preserve"> 46-49 have “fall,” “dig” (</w:t>
      </w:r>
      <w:r w:rsidR="00DF5811" w:rsidRPr="00CE06CA">
        <w:rPr>
          <w:bCs/>
          <w:szCs w:val="22"/>
          <w:lang w:val="el-GR"/>
        </w:rPr>
        <w:t>βάθ</w:t>
      </w:r>
      <w:r w:rsidR="00DF5811">
        <w:rPr>
          <w:bCs/>
          <w:szCs w:val="22"/>
          <w:lang w:val="el-GR"/>
        </w:rPr>
        <w:t>ύνω</w:t>
      </w:r>
      <w:r w:rsidRPr="00402A73">
        <w:t>)</w:t>
      </w:r>
      <w:r w:rsidR="006F304D" w:rsidRPr="006F304D">
        <w:t xml:space="preserve">, </w:t>
      </w:r>
      <w:r w:rsidRPr="00402A73">
        <w:t>“come to me,” and “hear.”</w:t>
      </w:r>
      <w:r w:rsidR="0027511E" w:rsidRPr="0027511E">
        <w:rPr>
          <w:iCs/>
        </w:rPr>
        <w:t xml:space="preserve"> </w:t>
      </w:r>
      <w:r w:rsidRPr="00402A73">
        <w:t>Of course</w:t>
      </w:r>
      <w:r w:rsidR="006F304D" w:rsidRPr="006F304D">
        <w:t xml:space="preserve">, </w:t>
      </w:r>
      <w:proofErr w:type="spellStart"/>
      <w:r w:rsidRPr="00402A73">
        <w:t>Meynet</w:t>
      </w:r>
      <w:proofErr w:type="spellEnd"/>
      <w:r w:rsidRPr="00402A73">
        <w:t xml:space="preserve"> does not point out that the subject of “fall” in the one case is two </w:t>
      </w:r>
      <w:r w:rsidRPr="00402A73">
        <w:lastRenderedPageBreak/>
        <w:t>persons (one</w:t>
      </w:r>
      <w:r w:rsidR="006F304D" w:rsidRPr="006F304D">
        <w:t xml:space="preserve">, </w:t>
      </w:r>
      <w:r w:rsidRPr="00402A73">
        <w:t>the leader</w:t>
      </w:r>
      <w:r w:rsidR="006F304D" w:rsidRPr="006F304D">
        <w:t xml:space="preserve">, </w:t>
      </w:r>
      <w:r w:rsidRPr="00402A73">
        <w:t>at fault; the other</w:t>
      </w:r>
      <w:r w:rsidR="006F304D" w:rsidRPr="006F304D">
        <w:t xml:space="preserve">, </w:t>
      </w:r>
      <w:r w:rsidRPr="00402A73">
        <w:t>the led</w:t>
      </w:r>
      <w:r w:rsidR="006F304D" w:rsidRPr="006F304D">
        <w:t xml:space="preserve">, </w:t>
      </w:r>
      <w:r w:rsidRPr="00402A73">
        <w:t>an innocent) and in the other a building.</w:t>
      </w:r>
      <w:r w:rsidR="0027511E" w:rsidRPr="0027511E">
        <w:rPr>
          <w:iCs/>
        </w:rPr>
        <w:t xml:space="preserve"> </w:t>
      </w:r>
      <w:r w:rsidRPr="00402A73">
        <w:t xml:space="preserve">Nor does he </w:t>
      </w:r>
      <w:proofErr w:type="spellStart"/>
      <w:r w:rsidRPr="00402A73">
        <w:t>advertize</w:t>
      </w:r>
      <w:proofErr w:type="spellEnd"/>
      <w:r w:rsidRPr="00402A73">
        <w:t xml:space="preserve"> that the “pit” in the one case has negative connotations</w:t>
      </w:r>
      <w:r w:rsidR="006F304D" w:rsidRPr="006F304D">
        <w:t xml:space="preserve">, </w:t>
      </w:r>
      <w:r w:rsidRPr="00402A73">
        <w:t>while “to dig” in the other is praiseworthy.</w:t>
      </w:r>
      <w:r w:rsidR="0027511E" w:rsidRPr="0027511E">
        <w:rPr>
          <w:iCs/>
        </w:rPr>
        <w:t xml:space="preserve"> </w:t>
      </w:r>
      <w:r w:rsidRPr="00402A73">
        <w:t>Nor does he note that “come to me” and “disciple” are far from equivalent</w:t>
      </w:r>
      <w:r w:rsidR="006F304D" w:rsidRPr="006F304D">
        <w:t xml:space="preserve">, </w:t>
      </w:r>
      <w:r w:rsidRPr="00402A73">
        <w:t>since there are those who “come to me” and do not do Jesus’ words.</w:t>
      </w:r>
      <w:r w:rsidRPr="00402A73">
        <w:rPr>
          <w:vertAlign w:val="superscript"/>
        </w:rPr>
        <w:footnoteReference w:id="726"/>
      </w:r>
      <w:r w:rsidR="0027511E" w:rsidRPr="0027511E">
        <w:rPr>
          <w:iCs/>
        </w:rPr>
        <w:t xml:space="preserve"> </w:t>
      </w:r>
      <w:r w:rsidRPr="00402A73">
        <w:t>And finally</w:t>
      </w:r>
      <w:r w:rsidR="006F304D" w:rsidRPr="006F304D">
        <w:t xml:space="preserve">, </w:t>
      </w:r>
      <w:proofErr w:type="spellStart"/>
      <w:r w:rsidRPr="00402A73">
        <w:t>Meynet</w:t>
      </w:r>
      <w:proofErr w:type="spellEnd"/>
      <w:r w:rsidRPr="00402A73">
        <w:t xml:space="preserve"> ignores the fact that the fourth pair of words (“see,” “hear”) is antithetic: the other three are synonymous.</w:t>
      </w:r>
    </w:p>
    <w:p w14:paraId="4C4A6FD4" w14:textId="7A72D406" w:rsidR="0018433B" w:rsidRPr="00402A73" w:rsidRDefault="0018433B" w:rsidP="00786ADB">
      <w:pPr>
        <w:widowControl w:val="0"/>
      </w:pPr>
      <w:r w:rsidRPr="00402A73">
        <w:tab/>
        <w:t>In addition to treating 39-42 and 46-49 as parallel sections</w:t>
      </w:r>
      <w:r w:rsidR="006F304D" w:rsidRPr="006F304D">
        <w:t xml:space="preserve">, </w:t>
      </w:r>
      <w:proofErr w:type="spellStart"/>
      <w:r w:rsidRPr="00402A73">
        <w:t>Meynet</w:t>
      </w:r>
      <w:proofErr w:type="spellEnd"/>
      <w:r w:rsidRPr="00402A73">
        <w:t xml:space="preserve"> considers 43-45 to be</w:t>
      </w:r>
      <w:r w:rsidR="006F304D" w:rsidRPr="006F304D">
        <w:t xml:space="preserve">, </w:t>
      </w:r>
      <w:r w:rsidRPr="00402A73">
        <w:t>not only a hinge for the outer verses</w:t>
      </w:r>
      <w:r w:rsidR="006F304D" w:rsidRPr="006F304D">
        <w:t xml:space="preserve">, </w:t>
      </w:r>
      <w:r w:rsidRPr="00402A73">
        <w:t>but a duplicate in miniature of the larger pattern</w:t>
      </w:r>
      <w:r w:rsidR="006F304D" w:rsidRPr="006F304D">
        <w:t xml:space="preserve">, </w:t>
      </w:r>
      <w:r w:rsidRPr="00402A73">
        <w:t>with alternating parallelism between 43-44a and 45 and with 44bc as a hinge.</w:t>
      </w:r>
      <w:r w:rsidR="0027511E" w:rsidRPr="0027511E">
        <w:rPr>
          <w:iCs/>
        </w:rPr>
        <w:t xml:space="preserve"> </w:t>
      </w:r>
      <w:r w:rsidRPr="00402A73">
        <w:t>Meynet’s chart of these verses is simple enough that it can be reproduced here.</w:t>
      </w:r>
      <w:r w:rsidRPr="00402A73">
        <w:rPr>
          <w:vertAlign w:val="superscript"/>
        </w:rPr>
        <w:footnoteReference w:id="727"/>
      </w:r>
    </w:p>
    <w:p w14:paraId="3F473598" w14:textId="77777777" w:rsidR="00DF5811" w:rsidRDefault="00DF5811" w:rsidP="00786ADB">
      <w:pPr>
        <w:widowControl w:val="0"/>
      </w:pPr>
    </w:p>
    <w:p w14:paraId="5EB0E531" w14:textId="22FEF898" w:rsidR="0018433B" w:rsidRPr="00402A73" w:rsidRDefault="0018433B" w:rsidP="00B04D3F">
      <w:pPr>
        <w:widowControl w:val="0"/>
        <w:tabs>
          <w:tab w:val="left" w:pos="720"/>
          <w:tab w:val="left" w:pos="1440"/>
          <w:tab w:val="left" w:pos="2160"/>
          <w:tab w:val="left" w:pos="2880"/>
          <w:tab w:val="left" w:pos="6480"/>
          <w:tab w:val="left" w:pos="7560"/>
        </w:tabs>
      </w:pPr>
      <w:r w:rsidRPr="00402A73">
        <w:t>A:</w:t>
      </w:r>
      <w:r w:rsidRPr="00402A73">
        <w:tab/>
        <w:t>43a</w:t>
      </w:r>
      <w:r w:rsidRPr="00402A73">
        <w:tab/>
      </w:r>
      <w:r w:rsidRPr="00402A73">
        <w:rPr>
          <w:i/>
        </w:rPr>
        <w:t>TREE</w:t>
      </w:r>
      <w:r w:rsidRPr="00402A73">
        <w:tab/>
        <w:t>—</w:t>
      </w:r>
      <w:r w:rsidRPr="00402A73">
        <w:tab/>
      </w:r>
      <w:r w:rsidRPr="00402A73">
        <w:rPr>
          <w:i/>
        </w:rPr>
        <w:t>good</w:t>
      </w:r>
      <w:r w:rsidR="00DF5811" w:rsidRPr="00DF5811">
        <w:rPr>
          <w:iCs/>
        </w:rPr>
        <w:tab/>
      </w:r>
      <w:r w:rsidRPr="00402A73">
        <w:t>—</w:t>
      </w:r>
      <w:r w:rsidR="00DF5811">
        <w:t xml:space="preserve"> </w:t>
      </w:r>
      <w:r w:rsidRPr="00402A73">
        <w:t>make FRUIT —</w:t>
      </w:r>
      <w:r w:rsidRPr="00402A73">
        <w:tab/>
        <w:t>bad</w:t>
      </w:r>
    </w:p>
    <w:p w14:paraId="43556616" w14:textId="7E0D1EB1" w:rsidR="0018433B" w:rsidRPr="00402A73" w:rsidRDefault="0018433B" w:rsidP="00B04D3F">
      <w:pPr>
        <w:widowControl w:val="0"/>
        <w:tabs>
          <w:tab w:val="left" w:pos="720"/>
          <w:tab w:val="left" w:pos="1440"/>
          <w:tab w:val="left" w:pos="2160"/>
          <w:tab w:val="left" w:pos="2880"/>
          <w:tab w:val="left" w:pos="6480"/>
          <w:tab w:val="left" w:pos="7560"/>
        </w:tabs>
      </w:pPr>
      <w:r w:rsidRPr="00402A73">
        <w:tab/>
        <w:t>43b</w:t>
      </w:r>
      <w:r w:rsidRPr="00402A73">
        <w:tab/>
        <w:t>TREE</w:t>
      </w:r>
      <w:r w:rsidRPr="00402A73">
        <w:tab/>
        <w:t>—</w:t>
      </w:r>
      <w:r w:rsidRPr="00402A73">
        <w:tab/>
        <w:t>bad</w:t>
      </w:r>
      <w:r w:rsidR="00DF5811" w:rsidRPr="00DF5811">
        <w:rPr>
          <w:iCs/>
        </w:rPr>
        <w:tab/>
      </w:r>
      <w:r w:rsidRPr="00402A73">
        <w:t>—</w:t>
      </w:r>
      <w:r w:rsidR="00DF5811">
        <w:t xml:space="preserve"> </w:t>
      </w:r>
      <w:r w:rsidRPr="00402A73">
        <w:t xml:space="preserve">make </w:t>
      </w:r>
      <w:r w:rsidRPr="00402A73">
        <w:rPr>
          <w:i/>
        </w:rPr>
        <w:t>FRUIT</w:t>
      </w:r>
      <w:r w:rsidRPr="00402A73">
        <w:t xml:space="preserve"> —</w:t>
      </w:r>
      <w:r w:rsidRPr="00402A73">
        <w:tab/>
      </w:r>
      <w:r w:rsidRPr="00402A73">
        <w:rPr>
          <w:i/>
        </w:rPr>
        <w:t>good</w:t>
      </w:r>
    </w:p>
    <w:p w14:paraId="3E3A394D" w14:textId="5C5D0A71" w:rsidR="0018433B" w:rsidRPr="00402A73" w:rsidRDefault="0018433B" w:rsidP="00B04D3F">
      <w:pPr>
        <w:widowControl w:val="0"/>
        <w:tabs>
          <w:tab w:val="left" w:pos="720"/>
          <w:tab w:val="left" w:pos="1440"/>
          <w:tab w:val="left" w:pos="2160"/>
          <w:tab w:val="left" w:pos="2880"/>
          <w:tab w:val="left" w:pos="6480"/>
          <w:tab w:val="left" w:pos="7560"/>
        </w:tabs>
      </w:pPr>
      <w:r w:rsidRPr="00402A73">
        <w:tab/>
        <w:t>44a</w:t>
      </w:r>
      <w:r w:rsidRPr="00402A73">
        <w:tab/>
        <w:t xml:space="preserve">refrain: </w:t>
      </w:r>
      <w:r w:rsidRPr="00402A73">
        <w:rPr>
          <w:i/>
        </w:rPr>
        <w:t>tree</w:t>
      </w:r>
      <w:r w:rsidR="00DF5811" w:rsidRPr="00DF5811">
        <w:rPr>
          <w:iCs/>
        </w:rPr>
        <w:tab/>
      </w:r>
      <w:r w:rsidRPr="00402A73">
        <w:tab/>
      </w:r>
      <w:r w:rsidRPr="00402A73">
        <w:rPr>
          <w:i/>
        </w:rPr>
        <w:t>is known by its fruit</w:t>
      </w:r>
    </w:p>
    <w:p w14:paraId="2678B975" w14:textId="77777777" w:rsidR="00B04D3F" w:rsidRDefault="00B04D3F" w:rsidP="00B04D3F">
      <w:pPr>
        <w:widowControl w:val="0"/>
      </w:pPr>
    </w:p>
    <w:p w14:paraId="70CAB221" w14:textId="0D980D90" w:rsidR="0018433B" w:rsidRPr="00402A73" w:rsidRDefault="0018433B" w:rsidP="00B04D3F">
      <w:pPr>
        <w:widowControl w:val="0"/>
        <w:tabs>
          <w:tab w:val="left" w:pos="720"/>
          <w:tab w:val="left" w:pos="1440"/>
          <w:tab w:val="left" w:pos="2160"/>
          <w:tab w:val="left" w:pos="2880"/>
          <w:tab w:val="left" w:pos="6480"/>
          <w:tab w:val="left" w:pos="7560"/>
        </w:tabs>
      </w:pPr>
      <w:r w:rsidRPr="00402A73">
        <w:tab/>
        <w:t>44b</w:t>
      </w:r>
      <w:r w:rsidRPr="00402A73">
        <w:tab/>
        <w:t>THORNS</w:t>
      </w:r>
      <w:r w:rsidR="00DF5811" w:rsidRPr="00DF5811">
        <w:rPr>
          <w:iCs/>
        </w:rPr>
        <w:tab/>
      </w:r>
      <w:r w:rsidRPr="00402A73">
        <w:tab/>
        <w:t xml:space="preserve">—gather </w:t>
      </w:r>
      <w:r w:rsidRPr="00402A73">
        <w:rPr>
          <w:i/>
        </w:rPr>
        <w:t>FIGS</w:t>
      </w:r>
    </w:p>
    <w:p w14:paraId="2B208590" w14:textId="2DAB5C7D" w:rsidR="0018433B" w:rsidRPr="00402A73" w:rsidRDefault="0018433B" w:rsidP="00B04D3F">
      <w:pPr>
        <w:widowControl w:val="0"/>
        <w:tabs>
          <w:tab w:val="left" w:pos="720"/>
          <w:tab w:val="left" w:pos="1440"/>
          <w:tab w:val="left" w:pos="2160"/>
          <w:tab w:val="left" w:pos="2880"/>
          <w:tab w:val="left" w:pos="6480"/>
          <w:tab w:val="left" w:pos="7560"/>
        </w:tabs>
      </w:pPr>
      <w:r w:rsidRPr="00402A73">
        <w:tab/>
        <w:t>44c</w:t>
      </w:r>
      <w:r w:rsidRPr="00402A73">
        <w:tab/>
        <w:t>BRAMBLE BUSH</w:t>
      </w:r>
      <w:r w:rsidR="00DF5811" w:rsidRPr="00DF5811">
        <w:rPr>
          <w:iCs/>
        </w:rPr>
        <w:tab/>
      </w:r>
      <w:r w:rsidRPr="00402A73">
        <w:t>—pick</w:t>
      </w:r>
      <w:r w:rsidR="0027511E" w:rsidRPr="0027511E">
        <w:rPr>
          <w:iCs/>
        </w:rPr>
        <w:t xml:space="preserve"> </w:t>
      </w:r>
      <w:r w:rsidRPr="00402A73">
        <w:rPr>
          <w:i/>
        </w:rPr>
        <w:t>GRAPES</w:t>
      </w:r>
    </w:p>
    <w:p w14:paraId="3E212917" w14:textId="77777777" w:rsidR="00B04D3F" w:rsidRDefault="00B04D3F" w:rsidP="00B04D3F">
      <w:pPr>
        <w:widowControl w:val="0"/>
      </w:pPr>
    </w:p>
    <w:p w14:paraId="2C40513D" w14:textId="58008362" w:rsidR="0018433B" w:rsidRPr="00402A73" w:rsidRDefault="0018433B" w:rsidP="00B04D3F">
      <w:pPr>
        <w:widowControl w:val="0"/>
        <w:tabs>
          <w:tab w:val="left" w:pos="720"/>
          <w:tab w:val="left" w:pos="1440"/>
          <w:tab w:val="left" w:pos="2160"/>
          <w:tab w:val="left" w:pos="2880"/>
          <w:tab w:val="left" w:pos="6480"/>
          <w:tab w:val="left" w:pos="7560"/>
        </w:tabs>
      </w:pPr>
      <w:r w:rsidRPr="00402A73">
        <w:t>A</w:t>
      </w:r>
      <w:r w:rsidR="00DF5811">
        <w:t>´</w:t>
      </w:r>
      <w:r w:rsidRPr="00402A73">
        <w:t>:</w:t>
      </w:r>
      <w:r w:rsidRPr="00402A73">
        <w:tab/>
        <w:t>45a</w:t>
      </w:r>
      <w:r w:rsidRPr="00402A73">
        <w:tab/>
      </w:r>
      <w:r w:rsidRPr="00402A73">
        <w:rPr>
          <w:i/>
        </w:rPr>
        <w:t>MAN</w:t>
      </w:r>
      <w:r w:rsidRPr="00402A73">
        <w:tab/>
        <w:t>—</w:t>
      </w:r>
      <w:r w:rsidRPr="00402A73">
        <w:tab/>
      </w:r>
      <w:r w:rsidRPr="00402A73">
        <w:rPr>
          <w:i/>
        </w:rPr>
        <w:t>good</w:t>
      </w:r>
      <w:r w:rsidRPr="00402A73">
        <w:t xml:space="preserve"> </w:t>
      </w:r>
      <w:r w:rsidRPr="00402A73">
        <w:rPr>
          <w:i/>
        </w:rPr>
        <w:t>of</w:t>
      </w:r>
      <w:r w:rsidRPr="00402A73">
        <w:t xml:space="preserve"> </w:t>
      </w:r>
      <w:r w:rsidRPr="00402A73">
        <w:rPr>
          <w:i/>
        </w:rPr>
        <w:t>good</w:t>
      </w:r>
      <w:r w:rsidR="0027511E" w:rsidRPr="0027511E">
        <w:rPr>
          <w:iCs/>
        </w:rPr>
        <w:t xml:space="preserve"> </w:t>
      </w:r>
      <w:r w:rsidRPr="00402A73">
        <w:rPr>
          <w:i/>
        </w:rPr>
        <w:t>treasure</w:t>
      </w:r>
      <w:r w:rsidRPr="00402A73">
        <w:t xml:space="preserve"> </w:t>
      </w:r>
      <w:r w:rsidRPr="00402A73">
        <w:rPr>
          <w:i/>
        </w:rPr>
        <w:t>of</w:t>
      </w:r>
      <w:r w:rsidRPr="00402A73">
        <w:t xml:space="preserve"> </w:t>
      </w:r>
      <w:r w:rsidRPr="00402A73">
        <w:rPr>
          <w:i/>
        </w:rPr>
        <w:t>his</w:t>
      </w:r>
      <w:r w:rsidRPr="00402A73">
        <w:t xml:space="preserve"> </w:t>
      </w:r>
      <w:r w:rsidRPr="00402A73">
        <w:rPr>
          <w:i/>
        </w:rPr>
        <w:t>HEART</w:t>
      </w:r>
      <w:r w:rsidRPr="00402A73">
        <w:tab/>
        <w:t>produces</w:t>
      </w:r>
      <w:r w:rsidRPr="00402A73">
        <w:tab/>
      </w:r>
      <w:r w:rsidRPr="00402A73">
        <w:rPr>
          <w:i/>
        </w:rPr>
        <w:t>good</w:t>
      </w:r>
    </w:p>
    <w:p w14:paraId="3A795D37" w14:textId="2544E708" w:rsidR="0018433B" w:rsidRPr="00402A73" w:rsidRDefault="0018433B" w:rsidP="00B04D3F">
      <w:pPr>
        <w:widowControl w:val="0"/>
        <w:tabs>
          <w:tab w:val="left" w:pos="720"/>
          <w:tab w:val="left" w:pos="1440"/>
          <w:tab w:val="left" w:pos="2160"/>
          <w:tab w:val="left" w:pos="2880"/>
          <w:tab w:val="left" w:pos="6480"/>
          <w:tab w:val="left" w:pos="7560"/>
        </w:tabs>
      </w:pPr>
      <w:r w:rsidRPr="00402A73">
        <w:tab/>
        <w:t>45b</w:t>
      </w:r>
      <w:r w:rsidRPr="00402A73">
        <w:tab/>
      </w:r>
      <w:r w:rsidR="00DF5811">
        <w:t>MAN</w:t>
      </w:r>
      <w:r w:rsidRPr="00402A73">
        <w:tab/>
        <w:t>—</w:t>
      </w:r>
      <w:r w:rsidRPr="00402A73">
        <w:tab/>
        <w:t>bad</w:t>
      </w:r>
      <w:r w:rsidR="0027511E" w:rsidRPr="0027511E">
        <w:rPr>
          <w:iCs/>
        </w:rPr>
        <w:t xml:space="preserve"> </w:t>
      </w:r>
      <w:r w:rsidRPr="00402A73">
        <w:t>of bad</w:t>
      </w:r>
      <w:r w:rsidR="00DF5811" w:rsidRPr="00DF5811">
        <w:rPr>
          <w:iCs/>
        </w:rPr>
        <w:tab/>
      </w:r>
      <w:r w:rsidRPr="00402A73">
        <w:t>produces</w:t>
      </w:r>
      <w:r w:rsidRPr="00402A73">
        <w:tab/>
        <w:t>bad</w:t>
      </w:r>
    </w:p>
    <w:p w14:paraId="5CF9C877" w14:textId="548E3554" w:rsidR="0018433B" w:rsidRPr="00402A73" w:rsidRDefault="0018433B" w:rsidP="00B04D3F">
      <w:pPr>
        <w:widowControl w:val="0"/>
        <w:tabs>
          <w:tab w:val="left" w:pos="720"/>
          <w:tab w:val="left" w:pos="1440"/>
          <w:tab w:val="left" w:pos="2160"/>
          <w:tab w:val="left" w:pos="2880"/>
          <w:tab w:val="left" w:pos="6480"/>
          <w:tab w:val="left" w:pos="7560"/>
        </w:tabs>
      </w:pPr>
      <w:r w:rsidRPr="00402A73">
        <w:tab/>
        <w:t>45c</w:t>
      </w:r>
      <w:r w:rsidRPr="00402A73">
        <w:tab/>
        <w:t>refrain:</w:t>
      </w:r>
      <w:r w:rsidR="00DF5811" w:rsidRPr="00DF5811">
        <w:rPr>
          <w:iCs/>
        </w:rPr>
        <w:tab/>
      </w:r>
      <w:r w:rsidRPr="00402A73">
        <w:tab/>
      </w:r>
      <w:r w:rsidRPr="00402A73">
        <w:tab/>
      </w:r>
      <w:r w:rsidR="00B04D3F">
        <w:rPr>
          <w:i/>
          <w:iCs/>
        </w:rPr>
        <w:t>HEART</w:t>
      </w:r>
      <w:r w:rsidR="00B04D3F">
        <w:tab/>
      </w:r>
      <w:r w:rsidRPr="00402A73">
        <w:rPr>
          <w:i/>
        </w:rPr>
        <w:t>speaks</w:t>
      </w:r>
      <w:r w:rsidR="00DF5811">
        <w:rPr>
          <w:i/>
        </w:rPr>
        <w:t xml:space="preserve"> </w:t>
      </w:r>
      <w:r w:rsidRPr="00402A73">
        <w:rPr>
          <w:i/>
        </w:rPr>
        <w:t>the</w:t>
      </w:r>
      <w:r w:rsidRPr="00402A73">
        <w:t xml:space="preserve"> </w:t>
      </w:r>
      <w:r w:rsidRPr="00402A73">
        <w:rPr>
          <w:i/>
        </w:rPr>
        <w:t>mouth</w:t>
      </w:r>
    </w:p>
    <w:p w14:paraId="65C83B21" w14:textId="77777777" w:rsidR="00DF5811" w:rsidRDefault="00DF5811" w:rsidP="00786ADB">
      <w:pPr>
        <w:widowControl w:val="0"/>
        <w:rPr>
          <w:iCs/>
        </w:rPr>
      </w:pPr>
    </w:p>
    <w:p w14:paraId="758C73FD" w14:textId="6C6B75FA" w:rsidR="0018433B" w:rsidRPr="00402A73" w:rsidRDefault="00B04D3F" w:rsidP="00786ADB">
      <w:pPr>
        <w:widowControl w:val="0"/>
      </w:pPr>
      <w:r>
        <w:tab/>
      </w:r>
      <w:proofErr w:type="spellStart"/>
      <w:r w:rsidR="0018433B" w:rsidRPr="00402A73">
        <w:t>Meynet</w:t>
      </w:r>
      <w:proofErr w:type="spellEnd"/>
      <w:r w:rsidR="0018433B" w:rsidRPr="00402A73">
        <w:t xml:space="preserve"> makes several useful observations about these verses.</w:t>
      </w:r>
      <w:r w:rsidR="0027511E" w:rsidRPr="0027511E">
        <w:rPr>
          <w:iCs/>
        </w:rPr>
        <w:t xml:space="preserve"> </w:t>
      </w:r>
      <w:r w:rsidR="0018433B" w:rsidRPr="00402A73">
        <w:t>They are distinguished from 39-42 and 46-49 because they do not directly address the audience as “you.”</w:t>
      </w:r>
      <w:r w:rsidR="0027511E" w:rsidRPr="0027511E">
        <w:rPr>
          <w:iCs/>
        </w:rPr>
        <w:t xml:space="preserve"> </w:t>
      </w:r>
      <w:r w:rsidR="0018433B" w:rsidRPr="00402A73">
        <w:t>Also</w:t>
      </w:r>
      <w:r w:rsidR="006F304D" w:rsidRPr="006F304D">
        <w:t xml:space="preserve">, </w:t>
      </w:r>
      <w:r w:rsidR="0018433B" w:rsidRPr="00402A73">
        <w:t>v</w:t>
      </w:r>
      <w:r>
        <w:t>erse</w:t>
      </w:r>
      <w:r w:rsidR="0018433B" w:rsidRPr="00402A73">
        <w:t xml:space="preserve"> 43ab is antithetic parallelism</w:t>
      </w:r>
      <w:r w:rsidR="006F304D" w:rsidRPr="006F304D">
        <w:t xml:space="preserve">, </w:t>
      </w:r>
      <w:r w:rsidR="0018433B" w:rsidRPr="00402A73">
        <w:t>44bc is synonymous parallelism</w:t>
      </w:r>
      <w:r w:rsidR="006F304D" w:rsidRPr="006F304D">
        <w:t xml:space="preserve">, </w:t>
      </w:r>
      <w:r w:rsidR="0018433B" w:rsidRPr="00402A73">
        <w:t>and 45ab is antithetic parallelism.</w:t>
      </w:r>
      <w:r w:rsidR="0027511E" w:rsidRPr="0027511E">
        <w:rPr>
          <w:iCs/>
        </w:rPr>
        <w:t xml:space="preserve"> </w:t>
      </w:r>
      <w:r w:rsidR="0018433B" w:rsidRPr="00402A73">
        <w:t xml:space="preserve">But </w:t>
      </w:r>
      <w:proofErr w:type="spellStart"/>
      <w:r w:rsidR="0018433B" w:rsidRPr="00402A73">
        <w:t>Meynet’s</w:t>
      </w:r>
      <w:proofErr w:type="spellEnd"/>
      <w:r w:rsidR="0018433B" w:rsidRPr="00402A73">
        <w:t xml:space="preserve"> comments in his notes to the chart stretch too far in attempting to demonstrate the cleverness of Luke.</w:t>
      </w:r>
    </w:p>
    <w:p w14:paraId="284AAD4B" w14:textId="316423EC" w:rsidR="0018433B" w:rsidRPr="00402A73" w:rsidRDefault="0018433B" w:rsidP="00B04D3F">
      <w:pPr>
        <w:widowControl w:val="0"/>
        <w:tabs>
          <w:tab w:val="left" w:pos="-1440"/>
          <w:tab w:val="left" w:pos="-720"/>
        </w:tabs>
      </w:pPr>
      <w:r w:rsidRPr="00402A73">
        <w:tab/>
      </w:r>
      <w:r w:rsidR="00B04D3F">
        <w:t xml:space="preserve">1) </w:t>
      </w:r>
      <w:r w:rsidRPr="00402A73">
        <w:t>“The three couplets are synonyms [because they have] identity of characters,”</w:t>
      </w:r>
      <w:r w:rsidRPr="00402A73">
        <w:rPr>
          <w:vertAlign w:val="superscript"/>
        </w:rPr>
        <w:footnoteReference w:id="728"/>
      </w:r>
      <w:r w:rsidRPr="00402A73">
        <w:t xml:space="preserve"> </w:t>
      </w:r>
      <w:proofErr w:type="spellStart"/>
      <w:r w:rsidRPr="00402A73">
        <w:t>Meyent</w:t>
      </w:r>
      <w:proofErr w:type="spellEnd"/>
      <w:r w:rsidRPr="00402A73">
        <w:t xml:space="preserve"> says.</w:t>
      </w:r>
      <w:r w:rsidR="0027511E" w:rsidRPr="0027511E">
        <w:rPr>
          <w:iCs/>
        </w:rPr>
        <w:t xml:space="preserve"> </w:t>
      </w:r>
      <w:r w:rsidRPr="00402A73">
        <w:t>But this is to be expected: all three verses are concerned with the same subject.</w:t>
      </w:r>
    </w:p>
    <w:p w14:paraId="53E6DDCD" w14:textId="6AA0A77E" w:rsidR="0018433B" w:rsidRPr="00402A73" w:rsidRDefault="0018433B" w:rsidP="00B04D3F">
      <w:pPr>
        <w:widowControl w:val="0"/>
        <w:tabs>
          <w:tab w:val="left" w:pos="-1440"/>
          <w:tab w:val="left" w:pos="-720"/>
        </w:tabs>
      </w:pPr>
      <w:r w:rsidRPr="00402A73">
        <w:tab/>
      </w:r>
      <w:r w:rsidR="00B04D3F">
        <w:t xml:space="preserve">2) </w:t>
      </w:r>
      <w:r w:rsidRPr="00402A73">
        <w:t>“The first two couplets are parabolic (with negation); the third applies to the man (with affirmation).”</w:t>
      </w:r>
      <w:r w:rsidRPr="00402A73">
        <w:rPr>
          <w:vertAlign w:val="superscript"/>
        </w:rPr>
        <w:footnoteReference w:id="729"/>
      </w:r>
      <w:r w:rsidR="0027511E" w:rsidRPr="0027511E">
        <w:rPr>
          <w:iCs/>
        </w:rPr>
        <w:t xml:space="preserve"> </w:t>
      </w:r>
      <w:r w:rsidRPr="00402A73">
        <w:t>The first two couplets</w:t>
      </w:r>
      <w:r w:rsidR="006F304D" w:rsidRPr="006F304D">
        <w:t xml:space="preserve">, </w:t>
      </w:r>
      <w:r w:rsidRPr="00402A73">
        <w:t>43ab and 44bc</w:t>
      </w:r>
      <w:r w:rsidR="006F304D" w:rsidRPr="006F304D">
        <w:t xml:space="preserve">, </w:t>
      </w:r>
      <w:r w:rsidRPr="00402A73">
        <w:t>are parabolic only in the sense that they are figurative (</w:t>
      </w:r>
      <w:r w:rsidR="00775F9B" w:rsidRPr="00775F9B">
        <w:rPr>
          <w:iCs/>
        </w:rPr>
        <w:t>i.e.</w:t>
      </w:r>
      <w:r w:rsidR="006F304D" w:rsidRPr="006F304D">
        <w:t xml:space="preserve">, </w:t>
      </w:r>
      <w:r w:rsidRPr="00402A73">
        <w:t>they are similitudes</w:t>
      </w:r>
      <w:r w:rsidR="006F304D" w:rsidRPr="006F304D">
        <w:t xml:space="preserve">, </w:t>
      </w:r>
      <w:r w:rsidRPr="00402A73">
        <w:t>not full-blown parables); but so is the third figurative (the heart equals a treasure).</w:t>
      </w:r>
      <w:r w:rsidR="0027511E" w:rsidRPr="0027511E">
        <w:rPr>
          <w:iCs/>
        </w:rPr>
        <w:t xml:space="preserve"> </w:t>
      </w:r>
      <w:r w:rsidRPr="00402A73">
        <w:t>Also</w:t>
      </w:r>
      <w:r w:rsidR="006F304D" w:rsidRPr="006F304D">
        <w:t xml:space="preserve">, </w:t>
      </w:r>
      <w:r w:rsidRPr="00402A73">
        <w:t>the pattern of affirmation and negation in these verses does not seem to be a deliberate structural device: 43ab happen to use “not,” but they are stated positively in 44a; 45ab happen to lack “not,” but they incorporate negativity in the second clause: “evil man,” “evil treasure.”</w:t>
      </w:r>
    </w:p>
    <w:p w14:paraId="5AD7ED38" w14:textId="00C64B4A" w:rsidR="0018433B" w:rsidRPr="00402A73" w:rsidRDefault="0018433B" w:rsidP="00B04D3F">
      <w:pPr>
        <w:widowControl w:val="0"/>
        <w:tabs>
          <w:tab w:val="left" w:pos="-1440"/>
          <w:tab w:val="left" w:pos="-720"/>
        </w:tabs>
      </w:pPr>
      <w:r w:rsidRPr="00402A73">
        <w:tab/>
      </w:r>
      <w:r w:rsidR="00B04D3F">
        <w:t xml:space="preserve">3) </w:t>
      </w:r>
      <w:r w:rsidRPr="00402A73">
        <w:t>“The two refrains [44a</w:t>
      </w:r>
      <w:r w:rsidR="006F304D" w:rsidRPr="006F304D">
        <w:t xml:space="preserve">, </w:t>
      </w:r>
      <w:r w:rsidRPr="00402A73">
        <w:t>45c] are generalizing sentences.”</w:t>
      </w:r>
      <w:r w:rsidRPr="00402A73">
        <w:rPr>
          <w:vertAlign w:val="superscript"/>
        </w:rPr>
        <w:footnoteReference w:id="730"/>
      </w:r>
      <w:r w:rsidR="0027511E" w:rsidRPr="0027511E">
        <w:rPr>
          <w:iCs/>
        </w:rPr>
        <w:t xml:space="preserve"> </w:t>
      </w:r>
      <w:r w:rsidRPr="00402A73">
        <w:t xml:space="preserve">True: but then 43ab (“no </w:t>
      </w:r>
      <w:r w:rsidRPr="00402A73">
        <w:lastRenderedPageBreak/>
        <w:t>good tree bears bad fruit,” etc.) is equally as general as 44a (“each tree is known by its own fruit”); and (if one excises the merely decorative metaphor of the “treasure”) 45ab (“the good man out of . . . his heart produces good,” etc.) is equally as general as 45c (“out of the abundance of the heart his mouth speaks”).</w:t>
      </w:r>
    </w:p>
    <w:p w14:paraId="28B45ED4" w14:textId="7FD24172" w:rsidR="0018433B" w:rsidRPr="00402A73" w:rsidRDefault="0018433B" w:rsidP="00B04D3F">
      <w:pPr>
        <w:widowControl w:val="0"/>
        <w:tabs>
          <w:tab w:val="left" w:pos="-1440"/>
          <w:tab w:val="left" w:pos="-720"/>
        </w:tabs>
      </w:pPr>
      <w:r w:rsidRPr="00402A73">
        <w:tab/>
      </w:r>
      <w:r w:rsidR="00B04D3F">
        <w:t xml:space="preserve">4) </w:t>
      </w:r>
      <w:r w:rsidRPr="00402A73">
        <w:t>“The two outside couplets [43 and 45ab] oppose ‘beautiful-good’ to ‘rotten-bad’;</w:t>
      </w:r>
      <w:r w:rsidRPr="00402A73">
        <w:rPr>
          <w:vertAlign w:val="superscript"/>
        </w:rPr>
        <w:footnoteReference w:id="731"/>
      </w:r>
      <w:r w:rsidRPr="00402A73">
        <w:t xml:space="preserve"> the central couplet [has] reduction of the adjective-substantive to a substantive (‘thorns’ and ‘bramble bush’ are the ‘bad trees,’ ‘figs’ and ‘grapes’ are the ‘good fruits’).”</w:t>
      </w:r>
      <w:r w:rsidRPr="00402A73">
        <w:rPr>
          <w:vertAlign w:val="superscript"/>
        </w:rPr>
        <w:footnoteReference w:id="732"/>
      </w:r>
      <w:r w:rsidR="0027511E" w:rsidRPr="0027511E">
        <w:rPr>
          <w:iCs/>
        </w:rPr>
        <w:t xml:space="preserve"> </w:t>
      </w:r>
      <w:r w:rsidRPr="00402A73">
        <w:t>True again: just as “evil man” connotes negativity without using “not” (number 2 above)</w:t>
      </w:r>
      <w:r w:rsidR="006F304D" w:rsidRPr="006F304D">
        <w:t xml:space="preserve">, </w:t>
      </w:r>
      <w:r w:rsidRPr="00402A73">
        <w:t>so “thorns” and “bramble bush” connote negativity without using “bad.”</w:t>
      </w:r>
      <w:r w:rsidR="0027511E" w:rsidRPr="0027511E">
        <w:rPr>
          <w:iCs/>
        </w:rPr>
        <w:t xml:space="preserve"> </w:t>
      </w:r>
      <w:r w:rsidRPr="00402A73">
        <w:t>But is this structurally significant</w:t>
      </w:r>
      <w:r w:rsidR="006F304D" w:rsidRPr="006F304D">
        <w:t xml:space="preserve">, </w:t>
      </w:r>
      <w:r w:rsidRPr="00402A73">
        <w:t>or is it not merely what one might expect from the content of these verses?</w:t>
      </w:r>
      <w:r w:rsidR="0027511E" w:rsidRPr="0027511E">
        <w:rPr>
          <w:iCs/>
        </w:rPr>
        <w:t xml:space="preserve"> </w:t>
      </w:r>
      <w:r w:rsidRPr="00402A73">
        <w:t>Probably Luke omitted “bad” as an adjective for these plants (“bad thorns,” “bad bramble bush”) precisely because they already connote “bad.”</w:t>
      </w:r>
      <w:r w:rsidR="0027511E" w:rsidRPr="0027511E">
        <w:rPr>
          <w:iCs/>
        </w:rPr>
        <w:t xml:space="preserve"> </w:t>
      </w:r>
      <w:r w:rsidRPr="00402A73">
        <w:t>Consequently</w:t>
      </w:r>
      <w:r w:rsidR="006F304D" w:rsidRPr="006F304D">
        <w:t xml:space="preserve">, </w:t>
      </w:r>
      <w:r w:rsidRPr="00402A73">
        <w:t>all three parallelisms equally contrast good to bad.</w:t>
      </w:r>
      <w:r w:rsidR="0027511E" w:rsidRPr="0027511E">
        <w:rPr>
          <w:iCs/>
        </w:rPr>
        <w:t xml:space="preserve"> </w:t>
      </w:r>
      <w:r w:rsidRPr="00402A73">
        <w:t>Grammatical form seems to have no special structural significance.</w:t>
      </w:r>
    </w:p>
    <w:p w14:paraId="2AA6AA8E" w14:textId="101506CD" w:rsidR="0018433B" w:rsidRPr="00402A73" w:rsidRDefault="0018433B" w:rsidP="00605B7E">
      <w:pPr>
        <w:widowControl w:val="0"/>
        <w:tabs>
          <w:tab w:val="left" w:pos="-1440"/>
          <w:tab w:val="left" w:pos="-720"/>
        </w:tabs>
      </w:pPr>
      <w:r w:rsidRPr="00402A73">
        <w:tab/>
      </w:r>
      <w:r w:rsidR="00605B7E">
        <w:t xml:space="preserve">5) </w:t>
      </w:r>
      <w:r w:rsidRPr="00402A73">
        <w:t>“The first two couplets have a two-part structure: subject + (verb + complement).</w:t>
      </w:r>
      <w:r w:rsidR="0027511E" w:rsidRPr="0027511E">
        <w:rPr>
          <w:iCs/>
        </w:rPr>
        <w:t xml:space="preserve"> </w:t>
      </w:r>
      <w:r w:rsidRPr="00402A73">
        <w:t>The third has a three-part structure: subject + complement of place + (verb + complement).</w:t>
      </w:r>
      <w:r w:rsidR="0027511E" w:rsidRPr="0027511E">
        <w:rPr>
          <w:iCs/>
        </w:rPr>
        <w:t xml:space="preserve"> </w:t>
      </w:r>
      <w:r w:rsidRPr="00402A73">
        <w:t>[This is paralleled by a] triple recurrence of the epithets [</w:t>
      </w:r>
      <w:r w:rsidR="00775F9B" w:rsidRPr="00775F9B">
        <w:rPr>
          <w:iCs/>
        </w:rPr>
        <w:t>i.e.</w:t>
      </w:r>
      <w:r w:rsidR="006F304D" w:rsidRPr="006F304D">
        <w:t xml:space="preserve">, </w:t>
      </w:r>
      <w:r w:rsidRPr="00402A73">
        <w:t>“good and “bad”].”</w:t>
      </w:r>
      <w:r w:rsidRPr="00402A73">
        <w:rPr>
          <w:vertAlign w:val="superscript"/>
        </w:rPr>
        <w:footnoteReference w:id="733"/>
      </w:r>
      <w:r w:rsidR="0027511E" w:rsidRPr="0027511E">
        <w:rPr>
          <w:iCs/>
        </w:rPr>
        <w:t xml:space="preserve"> </w:t>
      </w:r>
      <w:r w:rsidRPr="00402A73">
        <w:t>The third parallelism (45ab) does have a three-part structure because the source of good and evil (“heart”) is made explicit</w:t>
      </w:r>
      <w:r w:rsidR="006F304D" w:rsidRPr="006F304D">
        <w:t xml:space="preserve">, </w:t>
      </w:r>
      <w:r w:rsidRPr="00402A73">
        <w:t>and also because the decorative metaphor of the “treasure” has been added.</w:t>
      </w:r>
      <w:r w:rsidR="0027511E" w:rsidRPr="0027511E">
        <w:rPr>
          <w:iCs/>
        </w:rPr>
        <w:t xml:space="preserve"> </w:t>
      </w:r>
      <w:r w:rsidRPr="00402A73">
        <w:t>But the purpose of 45ab is to make explicit—</w:t>
      </w:r>
      <w:r w:rsidR="00775F9B" w:rsidRPr="00775F9B">
        <w:rPr>
          <w:iCs/>
        </w:rPr>
        <w:t>i.e.</w:t>
      </w:r>
      <w:r w:rsidR="006F304D" w:rsidRPr="006F304D">
        <w:t xml:space="preserve">, </w:t>
      </w:r>
      <w:r w:rsidRPr="00402A73">
        <w:t>to point the moral—of the preceding figures.</w:t>
      </w:r>
      <w:r w:rsidR="0027511E" w:rsidRPr="0027511E">
        <w:rPr>
          <w:iCs/>
        </w:rPr>
        <w:t xml:space="preserve"> </w:t>
      </w:r>
      <w:r w:rsidRPr="00402A73">
        <w:t>The adjectives</w:t>
      </w:r>
      <w:r w:rsidR="006F304D" w:rsidRPr="006F304D">
        <w:t xml:space="preserve">, </w:t>
      </w:r>
      <w:r w:rsidRPr="00402A73">
        <w:t>“good” and “bad,” recur three times (rather than twice</w:t>
      </w:r>
      <w:r w:rsidR="006F304D" w:rsidRPr="006F304D">
        <w:t xml:space="preserve">, </w:t>
      </w:r>
      <w:r w:rsidRPr="00402A73">
        <w:t>as in 43 and 44bc) because of the addition of “heart” and “treasure.”</w:t>
      </w:r>
      <w:r w:rsidR="0027511E" w:rsidRPr="0027511E">
        <w:rPr>
          <w:iCs/>
        </w:rPr>
        <w:t xml:space="preserve"> </w:t>
      </w:r>
      <w:r w:rsidRPr="00402A73">
        <w:t>Again</w:t>
      </w:r>
      <w:r w:rsidR="006F304D" w:rsidRPr="006F304D">
        <w:t xml:space="preserve">, </w:t>
      </w:r>
      <w:r w:rsidRPr="00402A73">
        <w:t>the grammar seems structurally unimportant.</w:t>
      </w:r>
    </w:p>
    <w:p w14:paraId="56E9E49F" w14:textId="735E5606" w:rsidR="0018433B" w:rsidRPr="00402A73" w:rsidRDefault="0018433B" w:rsidP="00605B7E">
      <w:pPr>
        <w:widowControl w:val="0"/>
        <w:tabs>
          <w:tab w:val="left" w:pos="-1440"/>
          <w:tab w:val="left" w:pos="-720"/>
        </w:tabs>
      </w:pPr>
      <w:r w:rsidRPr="00402A73">
        <w:tab/>
      </w:r>
      <w:r w:rsidR="00605B7E">
        <w:t xml:space="preserve">6) </w:t>
      </w:r>
      <w:r w:rsidRPr="00402A73">
        <w:t>“In the first couplet</w:t>
      </w:r>
      <w:r w:rsidR="006F304D" w:rsidRPr="006F304D">
        <w:t xml:space="preserve">, </w:t>
      </w:r>
      <w:r w:rsidRPr="00402A73">
        <w:t>the nouns form parallelisms and the adjectives form chiasms.”</w:t>
      </w:r>
      <w:r w:rsidR="0027511E" w:rsidRPr="0027511E">
        <w:rPr>
          <w:iCs/>
        </w:rPr>
        <w:t xml:space="preserve"> </w:t>
      </w:r>
      <w:r w:rsidRPr="00402A73">
        <w:t>The first couplet (43ab) reads</w:t>
      </w:r>
      <w:r w:rsidR="006F304D" w:rsidRPr="006F304D">
        <w:t xml:space="preserve">, </w:t>
      </w:r>
      <w:r w:rsidRPr="00402A73">
        <w:t>“For no good tree bears bad fruit</w:t>
      </w:r>
      <w:r w:rsidR="006F304D" w:rsidRPr="006F304D">
        <w:t xml:space="preserve">, </w:t>
      </w:r>
      <w:r w:rsidRPr="00402A73">
        <w:t>nor again does a bad tree bear good fruit . . . .”</w:t>
      </w:r>
      <w:r w:rsidR="0027511E" w:rsidRPr="0027511E">
        <w:rPr>
          <w:iCs/>
        </w:rPr>
        <w:t xml:space="preserve"> </w:t>
      </w:r>
      <w:r w:rsidRPr="00402A73">
        <w:t>The sequence is</w:t>
      </w:r>
      <w:r w:rsidR="006F304D" w:rsidRPr="006F304D">
        <w:t xml:space="preserve">, </w:t>
      </w:r>
      <w:r w:rsidRPr="00402A73">
        <w:t>“tree” “fruit” “tree” “fruit”; “good” “bad” “bad” “good.”</w:t>
      </w:r>
      <w:r w:rsidR="0027511E" w:rsidRPr="0027511E">
        <w:rPr>
          <w:iCs/>
        </w:rPr>
        <w:t xml:space="preserve"> </w:t>
      </w:r>
      <w:r w:rsidRPr="00402A73">
        <w:t>But is this not the coincidental result of the antithetic parallelism?</w:t>
      </w:r>
      <w:r w:rsidR="0027511E" w:rsidRPr="0027511E">
        <w:rPr>
          <w:iCs/>
        </w:rPr>
        <w:t xml:space="preserve"> </w:t>
      </w:r>
      <w:r w:rsidRPr="00402A73">
        <w:t>Luke could hardly have made the nouns chiastic and the adjectives parallel (“For no good tree bears bad fruit</w:t>
      </w:r>
      <w:r w:rsidR="006F304D" w:rsidRPr="006F304D">
        <w:t xml:space="preserve">, </w:t>
      </w:r>
      <w:r w:rsidRPr="00402A73">
        <w:t>nor again does good fruit bear a bad tree”).</w:t>
      </w:r>
      <w:r w:rsidRPr="00402A73">
        <w:rPr>
          <w:vertAlign w:val="superscript"/>
        </w:rPr>
        <w:footnoteReference w:id="734"/>
      </w:r>
    </w:p>
    <w:p w14:paraId="65F49C33" w14:textId="53729D0B" w:rsidR="0018433B" w:rsidRPr="00402A73" w:rsidRDefault="0018433B" w:rsidP="00786ADB">
      <w:pPr>
        <w:widowControl w:val="0"/>
      </w:pPr>
      <w:r w:rsidRPr="00402A73">
        <w:lastRenderedPageBreak/>
        <w:tab/>
        <w:t>As with his earlier charts</w:t>
      </w:r>
      <w:r w:rsidR="006F304D" w:rsidRPr="006F304D">
        <w:t xml:space="preserve">, </w:t>
      </w:r>
      <w:proofErr w:type="spellStart"/>
      <w:r w:rsidRPr="00402A73">
        <w:t>Meynet</w:t>
      </w:r>
      <w:proofErr w:type="spellEnd"/>
      <w:r w:rsidRPr="00402A73">
        <w:t xml:space="preserve"> strains too much at the gnats</w:t>
      </w:r>
      <w:r w:rsidR="006F304D" w:rsidRPr="006F304D">
        <w:t xml:space="preserve">, </w:t>
      </w:r>
      <w:r w:rsidRPr="00402A73">
        <w:t>making every detail have structural significance.</w:t>
      </w:r>
      <w:r w:rsidR="0027511E" w:rsidRPr="0027511E">
        <w:rPr>
          <w:iCs/>
        </w:rPr>
        <w:t xml:space="preserve"> </w:t>
      </w:r>
      <w:r w:rsidRPr="00402A73">
        <w:t>Nevertheless</w:t>
      </w:r>
      <w:r w:rsidR="006F304D" w:rsidRPr="006F304D">
        <w:t xml:space="preserve">, </w:t>
      </w:r>
      <w:r w:rsidRPr="00402A73">
        <w:t>he is correct to note that 43-45 contain three parallelisms</w:t>
      </w:r>
      <w:r w:rsidR="006F304D" w:rsidRPr="006F304D">
        <w:t xml:space="preserve">, </w:t>
      </w:r>
      <w:r w:rsidRPr="00402A73">
        <w:t>two antithetic (43ab</w:t>
      </w:r>
      <w:r w:rsidR="006F304D" w:rsidRPr="006F304D">
        <w:t xml:space="preserve">, </w:t>
      </w:r>
      <w:r w:rsidRPr="00402A73">
        <w:t>45ab) and one synonymous (44bc).</w:t>
      </w:r>
    </w:p>
    <w:p w14:paraId="741934B4" w14:textId="351E3B5A" w:rsidR="0018433B" w:rsidRPr="00402A73" w:rsidRDefault="0018433B" w:rsidP="00786ADB">
      <w:pPr>
        <w:widowControl w:val="0"/>
      </w:pPr>
      <w:r w:rsidRPr="00402A73">
        <w:tab/>
        <w:t>Others</w:t>
      </w:r>
      <w:r w:rsidR="006F304D" w:rsidRPr="006F304D">
        <w:t xml:space="preserve">, </w:t>
      </w:r>
      <w:r w:rsidRPr="00402A73">
        <w:t>too</w:t>
      </w:r>
      <w:r w:rsidR="006F304D" w:rsidRPr="006F304D">
        <w:t xml:space="preserve">, </w:t>
      </w:r>
      <w:r w:rsidRPr="00402A73">
        <w:t>have noticed parallelisms in v</w:t>
      </w:r>
      <w:r w:rsidR="00A6768D">
        <w:t>erses</w:t>
      </w:r>
      <w:r w:rsidRPr="00402A73">
        <w:t xml:space="preserve"> 37-49.</w:t>
      </w:r>
      <w:r w:rsidR="0027511E" w:rsidRPr="0027511E">
        <w:rPr>
          <w:iCs/>
        </w:rPr>
        <w:t xml:space="preserve"> </w:t>
      </w:r>
      <w:r w:rsidRPr="00402A73">
        <w:t>Morgenthaler</w:t>
      </w:r>
      <w:r w:rsidR="006F304D" w:rsidRPr="006F304D">
        <w:t xml:space="preserve">, </w:t>
      </w:r>
      <w:r w:rsidRPr="00402A73">
        <w:t>for example</w:t>
      </w:r>
      <w:r w:rsidR="006F304D" w:rsidRPr="006F304D">
        <w:t xml:space="preserve">, </w:t>
      </w:r>
      <w:r w:rsidRPr="00402A73">
        <w:t>considers v</w:t>
      </w:r>
      <w:r w:rsidR="00A6768D">
        <w:t>erse</w:t>
      </w:r>
      <w:r w:rsidRPr="00402A73">
        <w:t xml:space="preserve"> 45 to be “a shortened parallelism,”</w:t>
      </w:r>
      <w:r w:rsidRPr="00402A73">
        <w:rPr>
          <w:vertAlign w:val="superscript"/>
        </w:rPr>
        <w:footnoteReference w:id="735"/>
      </w:r>
      <w:r w:rsidRPr="00402A73">
        <w:t xml:space="preserve"> and he recognizes antithetic parallelism in the concluding parable of the two houses.</w:t>
      </w:r>
      <w:r w:rsidRPr="00402A73">
        <w:rPr>
          <w:vertAlign w:val="superscript"/>
        </w:rPr>
        <w:footnoteReference w:id="736"/>
      </w:r>
      <w:r w:rsidR="0027511E" w:rsidRPr="0027511E">
        <w:rPr>
          <w:iCs/>
        </w:rPr>
        <w:t xml:space="preserve"> </w:t>
      </w:r>
      <w:r w:rsidRPr="00402A73">
        <w:t>On the other hand</w:t>
      </w:r>
      <w:r w:rsidR="006F304D" w:rsidRPr="006F304D">
        <w:t xml:space="preserve">, </w:t>
      </w:r>
      <w:r w:rsidRPr="00402A73">
        <w:t>Morgenthaler also tries to argue that the four imperatives in 37-38 are antithetical: 37ab (“judge”) and 37cd (“condemn”) oppose 37ef (“forgive”) and 38ab (“give”).</w:t>
      </w:r>
      <w:r w:rsidRPr="00402A73">
        <w:rPr>
          <w:vertAlign w:val="superscript"/>
        </w:rPr>
        <w:footnoteReference w:id="737"/>
      </w:r>
      <w:r w:rsidR="0027511E" w:rsidRPr="0027511E">
        <w:rPr>
          <w:iCs/>
        </w:rPr>
        <w:t xml:space="preserve"> </w:t>
      </w:r>
      <w:r w:rsidRPr="00402A73">
        <w:t>But it is not obvious that “forgive” and “give” are the antitheses of “judge” and “condemn.”</w:t>
      </w:r>
      <w:r w:rsidR="0027511E" w:rsidRPr="0027511E">
        <w:rPr>
          <w:iCs/>
        </w:rPr>
        <w:t xml:space="preserve"> </w:t>
      </w:r>
      <w:r w:rsidRPr="00402A73">
        <w:t>Perhaps it is better to consider 37-38 an instance of synthetic parallelism—that is</w:t>
      </w:r>
      <w:r w:rsidR="006F304D" w:rsidRPr="006F304D">
        <w:t xml:space="preserve">, </w:t>
      </w:r>
      <w:r w:rsidRPr="00402A73">
        <w:t>parallelism of syntax and rhythm</w:t>
      </w:r>
      <w:r w:rsidR="006F304D" w:rsidRPr="006F304D">
        <w:t xml:space="preserve">, </w:t>
      </w:r>
      <w:r w:rsidRPr="00402A73">
        <w:t>not necessarily of content.</w:t>
      </w:r>
    </w:p>
    <w:p w14:paraId="75F54B96" w14:textId="7261F8DD" w:rsidR="0018433B" w:rsidRDefault="0018433B" w:rsidP="00786ADB">
      <w:pPr>
        <w:widowControl w:val="0"/>
      </w:pPr>
      <w:r w:rsidRPr="00402A73">
        <w:tab/>
        <w:t>Burney</w:t>
      </w:r>
      <w:r w:rsidR="006F304D" w:rsidRPr="006F304D">
        <w:t xml:space="preserve">, </w:t>
      </w:r>
      <w:r w:rsidRPr="00402A73">
        <w:t>too</w:t>
      </w:r>
      <w:r w:rsidR="006F304D" w:rsidRPr="006F304D">
        <w:t xml:space="preserve">, </w:t>
      </w:r>
      <w:r w:rsidRPr="00402A73">
        <w:t>notes several parallelisms in 37-49.</w:t>
      </w:r>
      <w:r w:rsidR="0027511E" w:rsidRPr="0027511E">
        <w:rPr>
          <w:iCs/>
        </w:rPr>
        <w:t xml:space="preserve"> </w:t>
      </w:r>
      <w:r w:rsidRPr="00402A73">
        <w:t>Though he includes neither 37-38 nor 39bc (blind man) among his examples</w:t>
      </w:r>
      <w:r w:rsidR="006F304D" w:rsidRPr="006F304D">
        <w:t xml:space="preserve">, </w:t>
      </w:r>
      <w:r w:rsidRPr="00402A73">
        <w:t>he does cite the former as an instance of four-beat rhythm and the latter as an instance of three-beat rhythm;</w:t>
      </w:r>
      <w:r w:rsidRPr="00402A73">
        <w:rPr>
          <w:vertAlign w:val="superscript"/>
        </w:rPr>
        <w:footnoteReference w:id="738"/>
      </w:r>
      <w:r w:rsidRPr="00402A73">
        <w:t xml:space="preserve"> since at one point he defines synthetic parallelism in a purely formal manner,</w:t>
      </w:r>
      <w:r w:rsidRPr="00402A73">
        <w:rPr>
          <w:vertAlign w:val="superscript"/>
        </w:rPr>
        <w:footnoteReference w:id="739"/>
      </w:r>
      <w:r w:rsidRPr="00402A73">
        <w:t xml:space="preserve"> he might</w:t>
      </w:r>
      <w:r w:rsidR="006F304D" w:rsidRPr="006F304D">
        <w:t xml:space="preserve">, </w:t>
      </w:r>
      <w:r w:rsidRPr="00402A73">
        <w:t>perhaps</w:t>
      </w:r>
      <w:r w:rsidR="006F304D" w:rsidRPr="006F304D">
        <w:t xml:space="preserve">, </w:t>
      </w:r>
      <w:r w:rsidRPr="00402A73">
        <w:t>have included these among his synthetic parallelisms.</w:t>
      </w:r>
      <w:r w:rsidR="00A6768D">
        <w:t xml:space="preserve"> </w:t>
      </w:r>
      <w:r w:rsidRPr="00402A73">
        <w:t>Of v</w:t>
      </w:r>
      <w:r w:rsidR="001D6618">
        <w:t>erses</w:t>
      </w:r>
      <w:r w:rsidRPr="00402A73">
        <w:t xml:space="preserve"> 41-42 he says:</w:t>
      </w:r>
    </w:p>
    <w:p w14:paraId="48B1EF3A" w14:textId="77777777" w:rsidR="001D6618" w:rsidRPr="00402A73" w:rsidRDefault="001D6618" w:rsidP="00786ADB">
      <w:pPr>
        <w:widowControl w:val="0"/>
      </w:pPr>
    </w:p>
    <w:p w14:paraId="5E61BB6B" w14:textId="328D1451" w:rsidR="0018433B" w:rsidRPr="00402A73" w:rsidRDefault="0018433B" w:rsidP="00786ADB">
      <w:pPr>
        <w:widowControl w:val="0"/>
        <w:ind w:left="720" w:right="720"/>
      </w:pPr>
      <w:r w:rsidRPr="00402A73">
        <w:t xml:space="preserve">A special form of Antithetic parallelism is one which involves an argument </w:t>
      </w:r>
      <w:r w:rsidRPr="00402A73">
        <w:rPr>
          <w:i/>
        </w:rPr>
        <w:t xml:space="preserve">a </w:t>
      </w:r>
      <w:proofErr w:type="spellStart"/>
      <w:r w:rsidRPr="00402A73">
        <w:rPr>
          <w:i/>
        </w:rPr>
        <w:t>minori</w:t>
      </w:r>
      <w:proofErr w:type="spellEnd"/>
      <w:r w:rsidRPr="00402A73">
        <w:rPr>
          <w:i/>
        </w:rPr>
        <w:t xml:space="preserve"> ad </w:t>
      </w:r>
      <w:proofErr w:type="spellStart"/>
      <w:r w:rsidRPr="00402A73">
        <w:rPr>
          <w:i/>
        </w:rPr>
        <w:t>maius</w:t>
      </w:r>
      <w:proofErr w:type="spellEnd"/>
      <w:r w:rsidRPr="00402A73">
        <w:rPr>
          <w:i/>
        </w:rPr>
        <w:t>.</w:t>
      </w:r>
      <w:r w:rsidR="0027511E" w:rsidRPr="0027511E">
        <w:rPr>
          <w:iCs/>
        </w:rPr>
        <w:t xml:space="preserve"> </w:t>
      </w:r>
      <w:r w:rsidRPr="00402A73">
        <w:t>This form of argument is included among the seven rules of logic formulated by the great Rabbi Hillel</w:t>
      </w:r>
      <w:r w:rsidR="006F304D" w:rsidRPr="006F304D">
        <w:t xml:space="preserve">, </w:t>
      </w:r>
      <w:r w:rsidRPr="00402A73">
        <w:t>who flourished just before the Christian era.</w:t>
      </w:r>
      <w:r w:rsidR="0027511E" w:rsidRPr="0027511E">
        <w:rPr>
          <w:iCs/>
        </w:rPr>
        <w:t xml:space="preserve"> </w:t>
      </w:r>
      <w:r w:rsidRPr="00402A73">
        <w:t xml:space="preserve">He called it </w:t>
      </w:r>
      <w:proofErr w:type="spellStart"/>
      <w:r w:rsidR="00BA436B" w:rsidRPr="00BA436B">
        <w:rPr>
          <w:i/>
          <w:iCs/>
        </w:rPr>
        <w:t>ḳ</w:t>
      </w:r>
      <w:r w:rsidRPr="00402A73">
        <w:rPr>
          <w:i/>
        </w:rPr>
        <w:t>al</w:t>
      </w:r>
      <w:proofErr w:type="spellEnd"/>
      <w:r w:rsidRPr="00402A73">
        <w:rPr>
          <w:i/>
        </w:rPr>
        <w:t xml:space="preserve"> </w:t>
      </w:r>
      <w:proofErr w:type="spellStart"/>
      <w:r w:rsidRPr="00402A73">
        <w:rPr>
          <w:i/>
        </w:rPr>
        <w:t>w</w:t>
      </w:r>
      <w:r w:rsidR="00BA436B">
        <w:rPr>
          <w:i/>
        </w:rPr>
        <w:t>ā</w:t>
      </w:r>
      <w:r w:rsidR="00BA436B" w:rsidRPr="00BA436B">
        <w:rPr>
          <w:i/>
          <w:iCs/>
        </w:rPr>
        <w:t>ḥ</w:t>
      </w:r>
      <w:r w:rsidR="00BA436B">
        <w:rPr>
          <w:i/>
        </w:rPr>
        <w:t>ō</w:t>
      </w:r>
      <w:r w:rsidRPr="00402A73">
        <w:rPr>
          <w:i/>
        </w:rPr>
        <w:t>mer</w:t>
      </w:r>
      <w:proofErr w:type="spellEnd"/>
      <w:r w:rsidR="006F304D" w:rsidRPr="006F304D">
        <w:t xml:space="preserve">, </w:t>
      </w:r>
      <w:r w:rsidR="00775F9B" w:rsidRPr="00775F9B">
        <w:rPr>
          <w:iCs/>
        </w:rPr>
        <w:t>i.e.</w:t>
      </w:r>
      <w:r w:rsidRPr="00402A73">
        <w:t xml:space="preserve"> ‘light and heavy’ = from the less to the greater.</w:t>
      </w:r>
      <w:r w:rsidRPr="00402A73">
        <w:rPr>
          <w:vertAlign w:val="superscript"/>
        </w:rPr>
        <w:footnoteReference w:id="740"/>
      </w:r>
    </w:p>
    <w:p w14:paraId="6924A89B" w14:textId="77777777" w:rsidR="001D6618" w:rsidRDefault="001D6618" w:rsidP="00786ADB">
      <w:pPr>
        <w:widowControl w:val="0"/>
      </w:pPr>
    </w:p>
    <w:p w14:paraId="665FD082" w14:textId="23C3A766" w:rsidR="0018433B" w:rsidRPr="00402A73" w:rsidRDefault="0018433B" w:rsidP="00786ADB">
      <w:pPr>
        <w:widowControl w:val="0"/>
      </w:pPr>
      <w:r w:rsidRPr="00402A73">
        <w:t>Burney also notes that 43 and 45 are antithetic parallelisms,</w:t>
      </w:r>
      <w:r w:rsidRPr="00402A73">
        <w:rPr>
          <w:vertAlign w:val="superscript"/>
        </w:rPr>
        <w:footnoteReference w:id="741"/>
      </w:r>
      <w:r w:rsidRPr="00402A73">
        <w:t xml:space="preserve"> and that in each case a third line is added to the parallel couplet</w:t>
      </w:r>
      <w:r w:rsidR="006F304D" w:rsidRPr="006F304D">
        <w:t xml:space="preserve">, </w:t>
      </w:r>
      <w:r w:rsidRPr="00402A73">
        <w:t xml:space="preserve">something which happens with some frequency in the traditions of </w:t>
      </w:r>
      <w:r w:rsidRPr="00402A73">
        <w:lastRenderedPageBreak/>
        <w:t>Jesus’ sayings.</w:t>
      </w:r>
      <w:r w:rsidRPr="00402A73">
        <w:rPr>
          <w:vertAlign w:val="superscript"/>
        </w:rPr>
        <w:footnoteReference w:id="742"/>
      </w:r>
      <w:r w:rsidR="0027511E" w:rsidRPr="0027511E">
        <w:rPr>
          <w:iCs/>
        </w:rPr>
        <w:t xml:space="preserve"> </w:t>
      </w:r>
      <w:r w:rsidRPr="00402A73">
        <w:t>Burney’s attempt to argue that v</w:t>
      </w:r>
      <w:r w:rsidR="00BA436B">
        <w:t>erse</w:t>
      </w:r>
      <w:r w:rsidRPr="00402A73">
        <w:t xml:space="preserve"> 40 (“A disciple is not above his teacher</w:t>
      </w:r>
      <w:r w:rsidR="006F304D" w:rsidRPr="006F304D">
        <w:t xml:space="preserve">, </w:t>
      </w:r>
      <w:r w:rsidRPr="00402A73">
        <w:t>but every one when he is fully taught will be like his teacher”) is synonymous parallelism is less successful.</w:t>
      </w:r>
      <w:r w:rsidRPr="00402A73">
        <w:rPr>
          <w:vertAlign w:val="superscript"/>
        </w:rPr>
        <w:footnoteReference w:id="743"/>
      </w:r>
      <w:r w:rsidR="0027511E" w:rsidRPr="0027511E">
        <w:rPr>
          <w:iCs/>
        </w:rPr>
        <w:t xml:space="preserve"> </w:t>
      </w:r>
      <w:r w:rsidRPr="00402A73">
        <w:t>The second clause is not so much a restatement of the first as a second thought on the same topic.</w:t>
      </w:r>
    </w:p>
    <w:p w14:paraId="04CF06DD" w14:textId="4462F635" w:rsidR="0018433B" w:rsidRDefault="0018433B" w:rsidP="00786ADB">
      <w:pPr>
        <w:widowControl w:val="0"/>
      </w:pPr>
      <w:r w:rsidRPr="00402A73">
        <w:tab/>
        <w:t>The most complete treatment of parallelism in v</w:t>
      </w:r>
      <w:r w:rsidR="00BA436B">
        <w:t>erses</w:t>
      </w:r>
      <w:r w:rsidRPr="00402A73">
        <w:t xml:space="preserve"> 37-49</w:t>
      </w:r>
      <w:r w:rsidR="006F304D" w:rsidRPr="006F304D">
        <w:t xml:space="preserve">, </w:t>
      </w:r>
      <w:r w:rsidRPr="00402A73">
        <w:t xml:space="preserve">aside from </w:t>
      </w:r>
      <w:proofErr w:type="spellStart"/>
      <w:r w:rsidRPr="00402A73">
        <w:t>Meynet</w:t>
      </w:r>
      <w:proofErr w:type="spellEnd"/>
      <w:r w:rsidR="006F304D" w:rsidRPr="006F304D">
        <w:t xml:space="preserve">, </w:t>
      </w:r>
      <w:r w:rsidRPr="00402A73">
        <w:t>is Jeremias</w:t>
      </w:r>
      <w:r w:rsidR="00BA436B">
        <w:t>’s</w:t>
      </w:r>
      <w:r w:rsidRPr="00402A73">
        <w:t>.</w:t>
      </w:r>
      <w:r w:rsidR="0027511E" w:rsidRPr="0027511E">
        <w:rPr>
          <w:iCs/>
        </w:rPr>
        <w:t xml:space="preserve"> </w:t>
      </w:r>
      <w:r w:rsidRPr="00402A73">
        <w:t>Since he restricts his discussion to antithetic parallelism</w:t>
      </w:r>
      <w:r w:rsidR="006F304D" w:rsidRPr="006F304D">
        <w:t xml:space="preserve">, </w:t>
      </w:r>
      <w:r w:rsidRPr="00402A73">
        <w:t>he does not consider 37-38 or 39bc</w:t>
      </w:r>
      <w:r w:rsidR="00BA436B">
        <w:t>.</w:t>
      </w:r>
      <w:r w:rsidRPr="00402A73">
        <w:t xml:space="preserve"> </w:t>
      </w:r>
      <w:r w:rsidR="00BA436B">
        <w:t>B</w:t>
      </w:r>
      <w:r w:rsidRPr="00402A73">
        <w:t>ut one very intricate pattern that he does discuss is 41-42.</w:t>
      </w:r>
    </w:p>
    <w:p w14:paraId="789FDCD2" w14:textId="77777777" w:rsidR="00A6768D" w:rsidRPr="00402A73" w:rsidRDefault="00A6768D" w:rsidP="00786ADB">
      <w:pPr>
        <w:widowControl w:val="0"/>
      </w:pPr>
    </w:p>
    <w:p w14:paraId="1546F486" w14:textId="77777777" w:rsidR="0018433B" w:rsidRPr="00402A73" w:rsidRDefault="0018433B" w:rsidP="00A6768D">
      <w:pPr>
        <w:widowControl w:val="0"/>
        <w:ind w:left="1440" w:hanging="720"/>
      </w:pPr>
      <w:r w:rsidRPr="00402A73">
        <w:t>41a</w:t>
      </w:r>
      <w:r w:rsidRPr="00402A73">
        <w:tab/>
        <w:t>Why do you see the speck that is in your brother’s eye,</w:t>
      </w:r>
    </w:p>
    <w:p w14:paraId="5E1F80E9" w14:textId="77777777" w:rsidR="0018433B" w:rsidRPr="00402A73" w:rsidRDefault="0018433B" w:rsidP="00A6768D">
      <w:pPr>
        <w:widowControl w:val="0"/>
        <w:ind w:left="1440" w:hanging="720"/>
      </w:pPr>
      <w:r w:rsidRPr="00402A73">
        <w:t>41b</w:t>
      </w:r>
      <w:r w:rsidRPr="00402A73">
        <w:tab/>
        <w:t>but do not notice the log that is in your own eye?</w:t>
      </w:r>
    </w:p>
    <w:p w14:paraId="79A14860" w14:textId="77777777" w:rsidR="0018433B" w:rsidRPr="00402A73" w:rsidRDefault="0018433B" w:rsidP="00A6768D">
      <w:pPr>
        <w:widowControl w:val="0"/>
        <w:ind w:left="1440" w:hanging="720"/>
      </w:pPr>
      <w:r w:rsidRPr="00402A73">
        <w:t>42a</w:t>
      </w:r>
      <w:r w:rsidRPr="00402A73">
        <w:tab/>
        <w:t>Or how can you say to your brother,</w:t>
      </w:r>
    </w:p>
    <w:p w14:paraId="3B6293FF" w14:textId="6A5B57FA" w:rsidR="0018433B" w:rsidRPr="00402A73" w:rsidRDefault="0018433B" w:rsidP="00A6768D">
      <w:pPr>
        <w:widowControl w:val="0"/>
        <w:ind w:left="1440" w:hanging="720"/>
      </w:pPr>
      <w:r w:rsidRPr="00402A73">
        <w:t>42b</w:t>
      </w:r>
      <w:r w:rsidRPr="00402A73">
        <w:tab/>
        <w:t>“Brother</w:t>
      </w:r>
      <w:r w:rsidR="006F304D" w:rsidRPr="006F304D">
        <w:t xml:space="preserve">, </w:t>
      </w:r>
      <w:r w:rsidRPr="00402A73">
        <w:t>let me take out the speck that is in your eye,”</w:t>
      </w:r>
    </w:p>
    <w:p w14:paraId="4FD460B2" w14:textId="77777777" w:rsidR="0018433B" w:rsidRPr="00402A73" w:rsidRDefault="0018433B" w:rsidP="00A6768D">
      <w:pPr>
        <w:widowControl w:val="0"/>
        <w:ind w:left="1440" w:hanging="720"/>
      </w:pPr>
      <w:r w:rsidRPr="00402A73">
        <w:t>42c</w:t>
      </w:r>
      <w:r w:rsidRPr="00402A73">
        <w:tab/>
        <w:t>when you yourself do not see the log that is in your own eye?</w:t>
      </w:r>
    </w:p>
    <w:p w14:paraId="218E7C4F" w14:textId="51926C2C" w:rsidR="0018433B" w:rsidRPr="00402A73" w:rsidRDefault="0018433B" w:rsidP="00A6768D">
      <w:pPr>
        <w:widowControl w:val="0"/>
        <w:ind w:left="1440" w:hanging="720"/>
      </w:pPr>
      <w:r w:rsidRPr="00402A73">
        <w:t>42d</w:t>
      </w:r>
      <w:r w:rsidRPr="00402A73">
        <w:tab/>
        <w:t>You hypocrite</w:t>
      </w:r>
      <w:r w:rsidR="006F304D" w:rsidRPr="006F304D">
        <w:t xml:space="preserve">, </w:t>
      </w:r>
      <w:r w:rsidRPr="00402A73">
        <w:t>first take the log out of your own eye,</w:t>
      </w:r>
    </w:p>
    <w:p w14:paraId="53A28B0B" w14:textId="33998665" w:rsidR="00A6768D" w:rsidRDefault="000600D2" w:rsidP="000600D2">
      <w:pPr>
        <w:widowControl w:val="0"/>
        <w:tabs>
          <w:tab w:val="left" w:pos="720"/>
          <w:tab w:val="left" w:pos="1440"/>
        </w:tabs>
        <w:ind w:left="1800" w:right="720" w:hanging="1800"/>
      </w:pPr>
      <w:r>
        <w:tab/>
      </w:r>
      <w:r w:rsidRPr="00402A73">
        <w:t>42e</w:t>
      </w:r>
      <w:r w:rsidRPr="00402A73">
        <w:tab/>
        <w:t>and then you will see clearly to take out the speck that is in your brother’s eye.</w:t>
      </w:r>
    </w:p>
    <w:p w14:paraId="2CD2FA23" w14:textId="77777777" w:rsidR="000600D2" w:rsidRDefault="000600D2" w:rsidP="00786ADB">
      <w:pPr>
        <w:widowControl w:val="0"/>
      </w:pPr>
    </w:p>
    <w:p w14:paraId="2999A358" w14:textId="1A9DA516" w:rsidR="0018433B" w:rsidRPr="00402A73" w:rsidRDefault="0018433B" w:rsidP="00786ADB">
      <w:pPr>
        <w:widowControl w:val="0"/>
      </w:pPr>
      <w:r w:rsidRPr="00402A73">
        <w:t>There is</w:t>
      </w:r>
      <w:r w:rsidR="006F304D" w:rsidRPr="006F304D">
        <w:t xml:space="preserve">, </w:t>
      </w:r>
      <w:r w:rsidRPr="00402A73">
        <w:t>Jeremias says</w:t>
      </w:r>
      <w:r w:rsidR="006F304D" w:rsidRPr="006F304D">
        <w:t xml:space="preserve">, </w:t>
      </w:r>
      <w:r w:rsidRPr="00402A73">
        <w:t>antithetic parallelism between: 41a and 41b; 42b and 42c; 41 and 42abc; and 41-42c and 42de.</w:t>
      </w:r>
      <w:r w:rsidRPr="00402A73">
        <w:rPr>
          <w:vertAlign w:val="superscript"/>
        </w:rPr>
        <w:footnoteReference w:id="744"/>
      </w:r>
      <w:r w:rsidR="0027511E" w:rsidRPr="0027511E">
        <w:rPr>
          <w:iCs/>
        </w:rPr>
        <w:t xml:space="preserve"> </w:t>
      </w:r>
      <w:r w:rsidRPr="00402A73">
        <w:t>Jeremias adds that</w:t>
      </w:r>
      <w:r w:rsidR="006F304D" w:rsidRPr="006F304D">
        <w:t xml:space="preserve">, </w:t>
      </w:r>
      <w:r w:rsidRPr="00402A73">
        <w:t>in the counterpoint between 41-42c and 42de</w:t>
      </w:r>
      <w:r w:rsidR="006F304D" w:rsidRPr="006F304D">
        <w:t xml:space="preserve">, </w:t>
      </w:r>
      <w:r w:rsidRPr="00402A73">
        <w:t>“The parallelism is achieved . . . by the contrast of question and statement . . . .”</w:t>
      </w:r>
      <w:r w:rsidRPr="00402A73">
        <w:rPr>
          <w:vertAlign w:val="superscript"/>
        </w:rPr>
        <w:footnoteReference w:id="745"/>
      </w:r>
    </w:p>
    <w:p w14:paraId="061C2F21" w14:textId="642B4396" w:rsidR="0018433B" w:rsidRPr="00402A73" w:rsidRDefault="0018433B" w:rsidP="00786ADB">
      <w:pPr>
        <w:widowControl w:val="0"/>
      </w:pPr>
      <w:r w:rsidRPr="00402A73">
        <w:tab/>
        <w:t>In the next subsection</w:t>
      </w:r>
      <w:r w:rsidR="006F304D" w:rsidRPr="006F304D">
        <w:t xml:space="preserve">, </w:t>
      </w:r>
      <w:r w:rsidRPr="00402A73">
        <w:t>v</w:t>
      </w:r>
      <w:r w:rsidR="00BA436B">
        <w:t>erses</w:t>
      </w:r>
      <w:r w:rsidRPr="00402A73">
        <w:t xml:space="preserve"> 43-45</w:t>
      </w:r>
      <w:r w:rsidR="006F304D" w:rsidRPr="006F304D">
        <w:t xml:space="preserve">, </w:t>
      </w:r>
      <w:r w:rsidRPr="00402A73">
        <w:t>Jeremias notes the parallelism between 43a and 43b</w:t>
      </w:r>
      <w:r w:rsidR="006F304D" w:rsidRPr="006F304D">
        <w:t xml:space="preserve">, </w:t>
      </w:r>
      <w:r w:rsidRPr="00402A73">
        <w:t>and between 45a and 45b (he does not mention the parallelism between 44a and 44b because it is synonymous).</w:t>
      </w:r>
      <w:r w:rsidRPr="00402A73">
        <w:rPr>
          <w:vertAlign w:val="superscript"/>
        </w:rPr>
        <w:footnoteReference w:id="746"/>
      </w:r>
      <w:r w:rsidR="0027511E" w:rsidRPr="0027511E">
        <w:rPr>
          <w:iCs/>
        </w:rPr>
        <w:t xml:space="preserve"> </w:t>
      </w:r>
      <w:r w:rsidRPr="00402A73">
        <w:t>He adds that the parallelism in 43 is “achieved . . . by inversion” and that stress should be laid on its second line;</w:t>
      </w:r>
      <w:r w:rsidRPr="00402A73">
        <w:rPr>
          <w:vertAlign w:val="superscript"/>
        </w:rPr>
        <w:footnoteReference w:id="747"/>
      </w:r>
      <w:r w:rsidRPr="00402A73">
        <w:t xml:space="preserve"> and he remarks that in 45</w:t>
      </w:r>
      <w:r w:rsidR="006F304D" w:rsidRPr="006F304D">
        <w:t xml:space="preserve">, </w:t>
      </w:r>
      <w:r w:rsidRPr="00402A73">
        <w:t>Luke has “weakened the antithetic parallelism . . . by both additions and abbreviations . . . .”</w:t>
      </w:r>
      <w:r w:rsidRPr="00402A73">
        <w:rPr>
          <w:vertAlign w:val="superscript"/>
        </w:rPr>
        <w:footnoteReference w:id="748"/>
      </w:r>
    </w:p>
    <w:p w14:paraId="0248B565" w14:textId="6873A4EF" w:rsidR="0018433B" w:rsidRPr="00402A73" w:rsidRDefault="0018433B" w:rsidP="00786ADB">
      <w:pPr>
        <w:widowControl w:val="0"/>
      </w:pPr>
      <w:r w:rsidRPr="00402A73">
        <w:tab/>
        <w:t>But Jeremias comments most often on the final subsection</w:t>
      </w:r>
      <w:r w:rsidR="006F304D" w:rsidRPr="006F304D">
        <w:t xml:space="preserve">, </w:t>
      </w:r>
      <w:r w:rsidRPr="00402A73">
        <w:t>v</w:t>
      </w:r>
      <w:r w:rsidR="000600D2">
        <w:t>erses</w:t>
      </w:r>
      <w:r w:rsidRPr="00402A73">
        <w:t xml:space="preserve"> 46-49.</w:t>
      </w:r>
      <w:r w:rsidR="0027511E" w:rsidRPr="0027511E">
        <w:rPr>
          <w:iCs/>
        </w:rPr>
        <w:t xml:space="preserve"> </w:t>
      </w:r>
      <w:r w:rsidRPr="00402A73">
        <w:t>He infers that Luke destroyed the parallelism in the introductory v</w:t>
      </w:r>
      <w:r w:rsidR="000600D2">
        <w:t>erse</w:t>
      </w:r>
      <w:r w:rsidRPr="00402A73">
        <w:t xml:space="preserve"> 46 (“Why do you call me ‘Lord</w:t>
      </w:r>
      <w:r w:rsidR="006F304D" w:rsidRPr="006F304D">
        <w:t xml:space="preserve">, </w:t>
      </w:r>
      <w:r w:rsidRPr="00402A73">
        <w:t>Lord,’ and not do what I tell you?”)</w:t>
      </w:r>
      <w:r w:rsidR="006F304D" w:rsidRPr="006F304D">
        <w:t xml:space="preserve">, </w:t>
      </w:r>
      <w:r w:rsidRPr="00402A73">
        <w:t>since its counterpart in Matt 7:21 is antithetical (“Not everyone who says to me</w:t>
      </w:r>
      <w:r w:rsidR="006F304D" w:rsidRPr="006F304D">
        <w:t xml:space="preserve">, </w:t>
      </w:r>
      <w:r w:rsidRPr="00402A73">
        <w:t>‘Lord</w:t>
      </w:r>
      <w:r w:rsidR="006F304D" w:rsidRPr="006F304D">
        <w:t xml:space="preserve">, </w:t>
      </w:r>
      <w:r w:rsidRPr="00402A73">
        <w:t>Lord,’ shall enter the kingdom of heaven</w:t>
      </w:r>
      <w:r w:rsidR="006F304D" w:rsidRPr="006F304D">
        <w:t xml:space="preserve">, </w:t>
      </w:r>
      <w:r w:rsidRPr="00402A73">
        <w:t>but he who does the will of my Father who is in heaven”).</w:t>
      </w:r>
      <w:r w:rsidRPr="00402A73">
        <w:rPr>
          <w:vertAlign w:val="superscript"/>
        </w:rPr>
        <w:footnoteReference w:id="749"/>
      </w:r>
      <w:r w:rsidR="0027511E" w:rsidRPr="0027511E">
        <w:rPr>
          <w:iCs/>
        </w:rPr>
        <w:t xml:space="preserve"> </w:t>
      </w:r>
      <w:r w:rsidRPr="00402A73">
        <w:t>Nevertheless</w:t>
      </w:r>
      <w:r w:rsidR="006F304D" w:rsidRPr="006F304D">
        <w:t xml:space="preserve">, </w:t>
      </w:r>
      <w:r w:rsidRPr="00402A73">
        <w:t>the same sort of parallelism as one finds in Matt 7:21—one “achieved . . . by the combination of an opposition with a negation”</w:t>
      </w:r>
      <w:r w:rsidRPr="00402A73">
        <w:rPr>
          <w:vertAlign w:val="superscript"/>
        </w:rPr>
        <w:footnoteReference w:id="750"/>
      </w:r>
      <w:r w:rsidRPr="00402A73">
        <w:t xml:space="preserve">—still exists in the remainder </w:t>
      </w:r>
      <w:r w:rsidRPr="00402A73">
        <w:lastRenderedPageBreak/>
        <w:t>of 47-49</w:t>
      </w:r>
      <w:r w:rsidR="006F304D" w:rsidRPr="006F304D">
        <w:t xml:space="preserve">, </w:t>
      </w:r>
      <w:r w:rsidRPr="00402A73">
        <w:t>the parable itself.</w:t>
      </w:r>
      <w:r w:rsidRPr="00402A73">
        <w:rPr>
          <w:vertAlign w:val="superscript"/>
        </w:rPr>
        <w:footnoteReference w:id="751"/>
      </w:r>
    </w:p>
    <w:p w14:paraId="208B36A3" w14:textId="77777777" w:rsidR="000600D2" w:rsidRDefault="000600D2" w:rsidP="000600D2">
      <w:pPr>
        <w:widowControl w:val="0"/>
        <w:ind w:right="720"/>
      </w:pPr>
    </w:p>
    <w:p w14:paraId="3A63A435" w14:textId="78BB3A34" w:rsidR="0018433B" w:rsidRPr="00402A73" w:rsidRDefault="0018433B" w:rsidP="000600D2">
      <w:pPr>
        <w:widowControl w:val="0"/>
        <w:tabs>
          <w:tab w:val="left" w:pos="720"/>
          <w:tab w:val="left" w:pos="1440"/>
        </w:tabs>
        <w:ind w:left="1800" w:right="720" w:hanging="1800"/>
      </w:pPr>
      <w:r w:rsidRPr="00402A73">
        <w:tab/>
        <w:t>47a</w:t>
      </w:r>
      <w:r w:rsidR="000600D2" w:rsidRPr="000600D2">
        <w:rPr>
          <w:iCs/>
        </w:rPr>
        <w:tab/>
      </w:r>
      <w:proofErr w:type="spellStart"/>
      <w:r w:rsidRPr="00402A73">
        <w:t>Every one</w:t>
      </w:r>
      <w:proofErr w:type="spellEnd"/>
      <w:r w:rsidRPr="00402A73">
        <w:t xml:space="preserve"> who comes to me and hears my words and does them,</w:t>
      </w:r>
    </w:p>
    <w:p w14:paraId="1B9F47CC" w14:textId="77777777" w:rsidR="0018433B" w:rsidRPr="00402A73" w:rsidRDefault="0018433B" w:rsidP="000600D2">
      <w:pPr>
        <w:widowControl w:val="0"/>
        <w:tabs>
          <w:tab w:val="left" w:pos="720"/>
          <w:tab w:val="left" w:pos="1440"/>
        </w:tabs>
        <w:ind w:left="1800" w:hanging="1800"/>
      </w:pPr>
      <w:r w:rsidRPr="00402A73">
        <w:tab/>
        <w:t>47b</w:t>
      </w:r>
      <w:r w:rsidRPr="00402A73">
        <w:tab/>
        <w:t>I will show you what he is like:</w:t>
      </w:r>
    </w:p>
    <w:p w14:paraId="48920C9D" w14:textId="77777777" w:rsidR="0018433B" w:rsidRPr="00402A73" w:rsidRDefault="0018433B" w:rsidP="000600D2">
      <w:pPr>
        <w:widowControl w:val="0"/>
        <w:tabs>
          <w:tab w:val="left" w:pos="720"/>
          <w:tab w:val="left" w:pos="1440"/>
        </w:tabs>
        <w:ind w:left="1800" w:hanging="1800"/>
      </w:pPr>
      <w:r w:rsidRPr="00402A73">
        <w:tab/>
        <w:t>48a</w:t>
      </w:r>
      <w:r w:rsidRPr="00402A73">
        <w:tab/>
        <w:t>he is like a man building a house,</w:t>
      </w:r>
    </w:p>
    <w:p w14:paraId="25FAC305" w14:textId="53420B80" w:rsidR="0018433B" w:rsidRPr="00402A73" w:rsidRDefault="0018433B" w:rsidP="000600D2">
      <w:pPr>
        <w:widowControl w:val="0"/>
        <w:tabs>
          <w:tab w:val="left" w:pos="720"/>
          <w:tab w:val="left" w:pos="1440"/>
        </w:tabs>
        <w:ind w:left="1800" w:right="720" w:hanging="1800"/>
      </w:pPr>
      <w:r w:rsidRPr="00402A73">
        <w:tab/>
        <w:t>48b</w:t>
      </w:r>
      <w:r w:rsidR="000600D2" w:rsidRPr="000600D2">
        <w:rPr>
          <w:iCs/>
        </w:rPr>
        <w:tab/>
      </w:r>
      <w:r w:rsidRPr="00402A73">
        <w:t>who dug deep</w:t>
      </w:r>
      <w:r w:rsidR="006F304D" w:rsidRPr="006F304D">
        <w:t xml:space="preserve">, </w:t>
      </w:r>
      <w:r w:rsidRPr="00402A73">
        <w:t>and laid the foundation upon rock;</w:t>
      </w:r>
    </w:p>
    <w:p w14:paraId="20186472" w14:textId="5C1C4265" w:rsidR="0018433B" w:rsidRPr="00402A73" w:rsidRDefault="0018433B" w:rsidP="000600D2">
      <w:pPr>
        <w:widowControl w:val="0"/>
        <w:tabs>
          <w:tab w:val="left" w:pos="720"/>
          <w:tab w:val="left" w:pos="1440"/>
        </w:tabs>
        <w:ind w:left="1800" w:right="720" w:hanging="1800"/>
      </w:pPr>
      <w:r w:rsidRPr="00402A73">
        <w:tab/>
        <w:t>48c</w:t>
      </w:r>
      <w:r w:rsidR="000600D2" w:rsidRPr="000600D2">
        <w:rPr>
          <w:iCs/>
        </w:rPr>
        <w:tab/>
      </w:r>
      <w:r w:rsidRPr="00402A73">
        <w:t>and when a flood arose</w:t>
      </w:r>
      <w:r w:rsidR="006F304D" w:rsidRPr="006F304D">
        <w:t xml:space="preserve">, </w:t>
      </w:r>
      <w:r w:rsidRPr="00402A73">
        <w:t>the stream broke against that house,</w:t>
      </w:r>
    </w:p>
    <w:p w14:paraId="62D223C8" w14:textId="22D83585" w:rsidR="0018433B" w:rsidRPr="00402A73" w:rsidRDefault="0018433B" w:rsidP="000600D2">
      <w:pPr>
        <w:widowControl w:val="0"/>
        <w:tabs>
          <w:tab w:val="left" w:pos="720"/>
          <w:tab w:val="left" w:pos="1440"/>
        </w:tabs>
        <w:ind w:left="1800" w:right="720" w:hanging="1800"/>
      </w:pPr>
      <w:r w:rsidRPr="00402A73">
        <w:tab/>
        <w:t>48d</w:t>
      </w:r>
      <w:r w:rsidR="000600D2" w:rsidRPr="000600D2">
        <w:rPr>
          <w:iCs/>
        </w:rPr>
        <w:tab/>
      </w:r>
      <w:r w:rsidRPr="00402A73">
        <w:t>and could not shake it</w:t>
      </w:r>
      <w:r w:rsidR="006F304D" w:rsidRPr="006F304D">
        <w:t xml:space="preserve">, </w:t>
      </w:r>
      <w:r w:rsidRPr="00402A73">
        <w:t>because it had been well built.</w:t>
      </w:r>
    </w:p>
    <w:p w14:paraId="32B39C9A" w14:textId="54BCECAF" w:rsidR="0018433B" w:rsidRPr="00402A73" w:rsidRDefault="0018433B" w:rsidP="000600D2">
      <w:pPr>
        <w:widowControl w:val="0"/>
        <w:tabs>
          <w:tab w:val="left" w:pos="720"/>
          <w:tab w:val="left" w:pos="1440"/>
        </w:tabs>
        <w:ind w:left="1800" w:right="720" w:hanging="1800"/>
      </w:pPr>
      <w:r w:rsidRPr="00402A73">
        <w:tab/>
        <w:t>49a</w:t>
      </w:r>
      <w:r w:rsidR="000600D2" w:rsidRPr="000600D2">
        <w:rPr>
          <w:iCs/>
        </w:rPr>
        <w:tab/>
      </w:r>
      <w:r w:rsidRPr="00402A73">
        <w:t>But he who hears and does not do them is like a man who built a house on the ground without a foundation;</w:t>
      </w:r>
    </w:p>
    <w:p w14:paraId="2F8B9DD5" w14:textId="77777777" w:rsidR="0018433B" w:rsidRPr="00402A73" w:rsidRDefault="0018433B" w:rsidP="000600D2">
      <w:pPr>
        <w:widowControl w:val="0"/>
        <w:tabs>
          <w:tab w:val="left" w:pos="720"/>
          <w:tab w:val="left" w:pos="1440"/>
        </w:tabs>
        <w:ind w:left="1800" w:hanging="1800"/>
      </w:pPr>
      <w:r w:rsidRPr="00402A73">
        <w:tab/>
        <w:t>49b</w:t>
      </w:r>
      <w:r w:rsidRPr="00402A73">
        <w:tab/>
        <w:t>against which the stream broke,</w:t>
      </w:r>
    </w:p>
    <w:p w14:paraId="1A32BEB6" w14:textId="77777777" w:rsidR="0018433B" w:rsidRPr="00402A73" w:rsidRDefault="0018433B" w:rsidP="000600D2">
      <w:pPr>
        <w:widowControl w:val="0"/>
        <w:tabs>
          <w:tab w:val="left" w:pos="720"/>
          <w:tab w:val="left" w:pos="1440"/>
        </w:tabs>
        <w:ind w:left="1800" w:hanging="1800"/>
      </w:pPr>
      <w:r w:rsidRPr="00402A73">
        <w:tab/>
        <w:t>49c</w:t>
      </w:r>
      <w:r w:rsidRPr="00402A73">
        <w:tab/>
        <w:t>and immediately it fell,</w:t>
      </w:r>
    </w:p>
    <w:p w14:paraId="27CB06CA" w14:textId="77777777" w:rsidR="0018433B" w:rsidRPr="00402A73" w:rsidRDefault="0018433B" w:rsidP="000600D2">
      <w:pPr>
        <w:widowControl w:val="0"/>
        <w:tabs>
          <w:tab w:val="left" w:pos="720"/>
          <w:tab w:val="left" w:pos="1440"/>
        </w:tabs>
        <w:ind w:left="1800" w:hanging="1800"/>
      </w:pPr>
      <w:r w:rsidRPr="00402A73">
        <w:tab/>
        <w:t>49d</w:t>
      </w:r>
      <w:r w:rsidRPr="00402A73">
        <w:tab/>
        <w:t>and the ruin of that house was great.</w:t>
      </w:r>
    </w:p>
    <w:p w14:paraId="3273883C" w14:textId="77777777" w:rsidR="000600D2" w:rsidRDefault="000600D2" w:rsidP="00786ADB">
      <w:pPr>
        <w:widowControl w:val="0"/>
      </w:pPr>
    </w:p>
    <w:p w14:paraId="32D02F7A" w14:textId="3AAE99E1" w:rsidR="0018433B" w:rsidRPr="00402A73" w:rsidRDefault="0018433B" w:rsidP="00786ADB">
      <w:pPr>
        <w:widowControl w:val="0"/>
      </w:pPr>
      <w:r w:rsidRPr="00402A73">
        <w:t>The opposition here is between v</w:t>
      </w:r>
      <w:r w:rsidR="000600D2">
        <w:t>erses</w:t>
      </w:r>
      <w:r w:rsidRPr="00402A73">
        <w:t xml:space="preserve"> 47-48 and 49.</w:t>
      </w:r>
      <w:r w:rsidR="0027511E" w:rsidRPr="0027511E">
        <w:rPr>
          <w:iCs/>
        </w:rPr>
        <w:t xml:space="preserve"> </w:t>
      </w:r>
      <w:r w:rsidRPr="00402A73">
        <w:t>While Jeremias is correct to say that these verses as wholes are an instance of antithetic parallelism,</w:t>
      </w:r>
      <w:r w:rsidRPr="00402A73">
        <w:rPr>
          <w:vertAlign w:val="superscript"/>
        </w:rPr>
        <w:footnoteReference w:id="752"/>
      </w:r>
      <w:r w:rsidRPr="00402A73">
        <w:t xml:space="preserve"> still in their detailed sequence they are alternating parallelism.</w:t>
      </w:r>
      <w:r w:rsidR="0027511E" w:rsidRPr="0027511E">
        <w:rPr>
          <w:iCs/>
        </w:rPr>
        <w:t xml:space="preserve"> </w:t>
      </w:r>
      <w:r w:rsidRPr="00402A73">
        <w:t xml:space="preserve">Jeremias adds concerning this final parallelism that (1) it exemplifies “how often antithetic parallelism occurs in metaphors and parables”; (2) the second half should receive the emphasis; and (3) like many antithetic parallelisms in </w:t>
      </w:r>
      <w:r w:rsidR="000600D2">
        <w:t>Old Testament</w:t>
      </w:r>
      <w:r w:rsidRPr="00402A73">
        <w:t xml:space="preserve"> wisdom literature</w:t>
      </w:r>
      <w:r w:rsidR="006F304D" w:rsidRPr="006F304D">
        <w:t xml:space="preserve">, </w:t>
      </w:r>
      <w:r w:rsidRPr="00402A73">
        <w:t xml:space="preserve">the parable is a “vehicle for </w:t>
      </w:r>
      <w:r w:rsidR="000600D2">
        <w:t>. . .</w:t>
      </w:r>
      <w:r w:rsidRPr="00402A73">
        <w:t xml:space="preserve"> warning</w:t>
      </w:r>
      <w:r w:rsidR="000600D2">
        <w:t xml:space="preserve"> . . .</w:t>
      </w:r>
      <w:r w:rsidRPr="00402A73">
        <w:t>”</w:t>
      </w:r>
      <w:r w:rsidRPr="00402A73">
        <w:rPr>
          <w:vertAlign w:val="superscript"/>
        </w:rPr>
        <w:footnoteReference w:id="753"/>
      </w:r>
    </w:p>
    <w:p w14:paraId="77BA28B8" w14:textId="6636D7C1" w:rsidR="0018433B" w:rsidRDefault="0018433B" w:rsidP="00786ADB">
      <w:pPr>
        <w:widowControl w:val="0"/>
      </w:pPr>
      <w:r w:rsidRPr="00402A73">
        <w:tab/>
        <w:t>What then shall we conclude about Luke’s use of parallelism as a principle of structure in the sermon on the plain?</w:t>
      </w:r>
      <w:r w:rsidR="0027511E" w:rsidRPr="0027511E">
        <w:rPr>
          <w:iCs/>
        </w:rPr>
        <w:t xml:space="preserve"> </w:t>
      </w:r>
      <w:r w:rsidRPr="00402A73">
        <w:t>That much of the material in the sermon is in parallel form can scarcely be doubted.</w:t>
      </w:r>
      <w:r w:rsidR="0027511E" w:rsidRPr="0027511E">
        <w:rPr>
          <w:iCs/>
        </w:rPr>
        <w:t xml:space="preserve"> </w:t>
      </w:r>
      <w:r w:rsidRPr="00402A73">
        <w:t>The parallelisms which have been established in the foregoing discussion are the following.</w:t>
      </w:r>
    </w:p>
    <w:p w14:paraId="05CCCB5F" w14:textId="77777777" w:rsidR="000600D2" w:rsidRPr="00402A73" w:rsidRDefault="000600D2" w:rsidP="00786ADB">
      <w:pPr>
        <w:widowControl w:val="0"/>
      </w:pPr>
    </w:p>
    <w:p w14:paraId="3BB90D09" w14:textId="494C3604" w:rsidR="0018433B" w:rsidRPr="00402A73" w:rsidRDefault="000600D2" w:rsidP="000600D2">
      <w:pPr>
        <w:widowControl w:val="0"/>
        <w:tabs>
          <w:tab w:val="left" w:pos="-1440"/>
          <w:tab w:val="left" w:pos="-720"/>
          <w:tab w:val="left" w:pos="720"/>
          <w:tab w:val="left" w:pos="3240"/>
        </w:tabs>
      </w:pPr>
      <w:r>
        <w:tab/>
      </w:r>
      <w:r w:rsidR="0018433B" w:rsidRPr="00402A73">
        <w:t>20b-23//24-26</w:t>
      </w:r>
      <w:r w:rsidRPr="000600D2">
        <w:rPr>
          <w:iCs/>
        </w:rPr>
        <w:tab/>
      </w:r>
      <w:r w:rsidR="0018433B" w:rsidRPr="00402A73">
        <w:t>alternating parallelism</w:t>
      </w:r>
    </w:p>
    <w:p w14:paraId="4535E537" w14:textId="4C6C84C1" w:rsidR="0018433B" w:rsidRPr="00402A73" w:rsidRDefault="000600D2" w:rsidP="000600D2">
      <w:pPr>
        <w:widowControl w:val="0"/>
        <w:tabs>
          <w:tab w:val="left" w:pos="-1440"/>
          <w:tab w:val="left" w:pos="-720"/>
          <w:tab w:val="left" w:pos="720"/>
          <w:tab w:val="left" w:pos="3240"/>
        </w:tabs>
      </w:pPr>
      <w:r>
        <w:tab/>
      </w:r>
      <w:r w:rsidR="0018433B" w:rsidRPr="00402A73">
        <w:t>27b//27c//28a//28b</w:t>
      </w:r>
      <w:r w:rsidRPr="000600D2">
        <w:rPr>
          <w:iCs/>
        </w:rPr>
        <w:tab/>
      </w:r>
      <w:r w:rsidR="0018433B" w:rsidRPr="00402A73">
        <w:t>synonymous parallelism (parallel imperatives)</w:t>
      </w:r>
    </w:p>
    <w:p w14:paraId="3FA74BBE" w14:textId="1A5E3373" w:rsidR="0018433B" w:rsidRPr="00402A73" w:rsidRDefault="000600D2" w:rsidP="000600D2">
      <w:pPr>
        <w:widowControl w:val="0"/>
        <w:tabs>
          <w:tab w:val="left" w:pos="-1440"/>
          <w:tab w:val="left" w:pos="-720"/>
          <w:tab w:val="left" w:pos="720"/>
          <w:tab w:val="left" w:pos="3240"/>
        </w:tabs>
      </w:pPr>
      <w:r>
        <w:tab/>
      </w:r>
      <w:r w:rsidR="0018433B" w:rsidRPr="00402A73">
        <w:t>29a//29b//30a//30b</w:t>
      </w:r>
      <w:r w:rsidRPr="000600D2">
        <w:rPr>
          <w:iCs/>
        </w:rPr>
        <w:tab/>
      </w:r>
      <w:r w:rsidR="0018433B" w:rsidRPr="00402A73">
        <w:t>synonymous parallelism (parallel imperatives)</w:t>
      </w:r>
    </w:p>
    <w:p w14:paraId="10118CEC" w14:textId="35E0E808" w:rsidR="0018433B" w:rsidRPr="00402A73" w:rsidRDefault="000600D2" w:rsidP="000600D2">
      <w:pPr>
        <w:widowControl w:val="0"/>
        <w:tabs>
          <w:tab w:val="left" w:pos="-1440"/>
          <w:tab w:val="left" w:pos="-720"/>
          <w:tab w:val="left" w:pos="720"/>
          <w:tab w:val="left" w:pos="3240"/>
        </w:tabs>
      </w:pPr>
      <w:r>
        <w:tab/>
      </w:r>
      <w:r w:rsidR="0018433B" w:rsidRPr="00402A73">
        <w:t>32//33/34</w:t>
      </w:r>
      <w:r w:rsidRPr="000600D2">
        <w:rPr>
          <w:iCs/>
        </w:rPr>
        <w:tab/>
      </w:r>
      <w:r w:rsidR="0018433B" w:rsidRPr="00402A73">
        <w:t>alternating parallelism</w:t>
      </w:r>
    </w:p>
    <w:p w14:paraId="0C57E57F" w14:textId="4AB7A384" w:rsidR="0018433B" w:rsidRPr="00402A73" w:rsidRDefault="000600D2" w:rsidP="000600D2">
      <w:pPr>
        <w:widowControl w:val="0"/>
        <w:tabs>
          <w:tab w:val="left" w:pos="-1440"/>
          <w:tab w:val="left" w:pos="-720"/>
          <w:tab w:val="left" w:pos="720"/>
          <w:tab w:val="left" w:pos="3240"/>
        </w:tabs>
      </w:pPr>
      <w:r>
        <w:tab/>
      </w:r>
      <w:r w:rsidR="0018433B" w:rsidRPr="00402A73">
        <w:t>37ab//37cd//37ef//38ab</w:t>
      </w:r>
      <w:r w:rsidRPr="000600D2">
        <w:rPr>
          <w:iCs/>
        </w:rPr>
        <w:tab/>
      </w:r>
      <w:r w:rsidR="0018433B" w:rsidRPr="00402A73">
        <w:t>synthetic parallelism (parallel imperatives)</w:t>
      </w:r>
    </w:p>
    <w:p w14:paraId="230BEF9D" w14:textId="6DCC055E" w:rsidR="0018433B" w:rsidRPr="00402A73" w:rsidRDefault="000600D2" w:rsidP="000600D2">
      <w:pPr>
        <w:widowControl w:val="0"/>
        <w:tabs>
          <w:tab w:val="left" w:pos="-1440"/>
          <w:tab w:val="left" w:pos="-720"/>
          <w:tab w:val="left" w:pos="720"/>
          <w:tab w:val="left" w:pos="3240"/>
        </w:tabs>
      </w:pPr>
      <w:r>
        <w:tab/>
      </w:r>
      <w:r w:rsidR="0018433B" w:rsidRPr="00402A73">
        <w:t>39b//39c</w:t>
      </w:r>
      <w:r w:rsidRPr="000600D2">
        <w:rPr>
          <w:iCs/>
        </w:rPr>
        <w:tab/>
      </w:r>
      <w:r w:rsidR="0018433B" w:rsidRPr="00402A73">
        <w:t>synthetic parallelism</w:t>
      </w:r>
    </w:p>
    <w:p w14:paraId="1BF40F89" w14:textId="70B19A9D" w:rsidR="0018433B" w:rsidRPr="00402A73" w:rsidRDefault="000600D2" w:rsidP="000600D2">
      <w:pPr>
        <w:widowControl w:val="0"/>
        <w:tabs>
          <w:tab w:val="left" w:pos="-1440"/>
          <w:tab w:val="left" w:pos="-720"/>
          <w:tab w:val="left" w:pos="720"/>
          <w:tab w:val="left" w:pos="3240"/>
        </w:tabs>
      </w:pPr>
      <w:r>
        <w:tab/>
      </w:r>
      <w:r w:rsidR="0018433B" w:rsidRPr="00402A73">
        <w:t>41a//41b</w:t>
      </w:r>
      <w:r w:rsidRPr="000600D2">
        <w:rPr>
          <w:iCs/>
        </w:rPr>
        <w:tab/>
      </w:r>
      <w:r w:rsidR="0018433B" w:rsidRPr="00402A73">
        <w:t>antithetic parallelism</w:t>
      </w:r>
    </w:p>
    <w:p w14:paraId="7D04C8C4" w14:textId="5ED4B443" w:rsidR="0018433B" w:rsidRPr="00402A73" w:rsidRDefault="000600D2" w:rsidP="000600D2">
      <w:pPr>
        <w:widowControl w:val="0"/>
        <w:tabs>
          <w:tab w:val="left" w:pos="-1440"/>
          <w:tab w:val="left" w:pos="-720"/>
          <w:tab w:val="left" w:pos="720"/>
          <w:tab w:val="left" w:pos="3240"/>
        </w:tabs>
      </w:pPr>
      <w:r>
        <w:tab/>
      </w:r>
      <w:r w:rsidR="0018433B" w:rsidRPr="00402A73">
        <w:t>42b//42c</w:t>
      </w:r>
      <w:r w:rsidRPr="000600D2">
        <w:rPr>
          <w:iCs/>
        </w:rPr>
        <w:tab/>
      </w:r>
      <w:r w:rsidR="0018433B" w:rsidRPr="00402A73">
        <w:t>antithetic parallelism</w:t>
      </w:r>
    </w:p>
    <w:p w14:paraId="3B970AC7" w14:textId="06E69CA6" w:rsidR="0018433B" w:rsidRPr="00402A73" w:rsidRDefault="000600D2" w:rsidP="000600D2">
      <w:pPr>
        <w:widowControl w:val="0"/>
        <w:tabs>
          <w:tab w:val="left" w:pos="-1440"/>
          <w:tab w:val="left" w:pos="-720"/>
          <w:tab w:val="left" w:pos="720"/>
          <w:tab w:val="left" w:pos="3240"/>
        </w:tabs>
      </w:pPr>
      <w:r>
        <w:tab/>
      </w:r>
      <w:r w:rsidR="0018433B" w:rsidRPr="00402A73">
        <w:t>41-42c//42de</w:t>
      </w:r>
      <w:r w:rsidRPr="000600D2">
        <w:rPr>
          <w:iCs/>
        </w:rPr>
        <w:tab/>
      </w:r>
      <w:r w:rsidR="0018433B" w:rsidRPr="00402A73">
        <w:t>antithetic parallelism</w:t>
      </w:r>
    </w:p>
    <w:p w14:paraId="2C854CA3" w14:textId="560009F4" w:rsidR="0018433B" w:rsidRPr="00402A73" w:rsidRDefault="000600D2" w:rsidP="000600D2">
      <w:pPr>
        <w:widowControl w:val="0"/>
        <w:tabs>
          <w:tab w:val="left" w:pos="-1440"/>
          <w:tab w:val="left" w:pos="-720"/>
          <w:tab w:val="left" w:pos="720"/>
          <w:tab w:val="left" w:pos="3240"/>
        </w:tabs>
      </w:pPr>
      <w:r>
        <w:tab/>
      </w:r>
      <w:r w:rsidR="0018433B" w:rsidRPr="00402A73">
        <w:t>43a//43b</w:t>
      </w:r>
      <w:r w:rsidRPr="000600D2">
        <w:rPr>
          <w:iCs/>
        </w:rPr>
        <w:tab/>
      </w:r>
      <w:r w:rsidR="0018433B" w:rsidRPr="00402A73">
        <w:t>antithetic parallelism</w:t>
      </w:r>
    </w:p>
    <w:p w14:paraId="10D9C29D" w14:textId="5B9C30D1" w:rsidR="0018433B" w:rsidRPr="00402A73" w:rsidRDefault="000600D2" w:rsidP="000600D2">
      <w:pPr>
        <w:widowControl w:val="0"/>
        <w:tabs>
          <w:tab w:val="left" w:pos="-1440"/>
          <w:tab w:val="left" w:pos="-720"/>
          <w:tab w:val="left" w:pos="720"/>
          <w:tab w:val="left" w:pos="3240"/>
        </w:tabs>
      </w:pPr>
      <w:r>
        <w:tab/>
      </w:r>
      <w:r w:rsidR="0018433B" w:rsidRPr="00402A73">
        <w:t>45a//45b</w:t>
      </w:r>
      <w:r w:rsidRPr="000600D2">
        <w:rPr>
          <w:iCs/>
        </w:rPr>
        <w:tab/>
      </w:r>
      <w:r w:rsidR="0018433B" w:rsidRPr="00402A73">
        <w:t>synonymous parallelism</w:t>
      </w:r>
    </w:p>
    <w:p w14:paraId="0D0BB9C2" w14:textId="62BE377F" w:rsidR="0018433B" w:rsidRPr="00402A73" w:rsidRDefault="000600D2" w:rsidP="000600D2">
      <w:pPr>
        <w:widowControl w:val="0"/>
        <w:tabs>
          <w:tab w:val="left" w:pos="-1440"/>
          <w:tab w:val="left" w:pos="-720"/>
          <w:tab w:val="left" w:pos="720"/>
          <w:tab w:val="left" w:pos="3240"/>
        </w:tabs>
      </w:pPr>
      <w:r>
        <w:tab/>
      </w:r>
      <w:r w:rsidR="0018433B" w:rsidRPr="00402A73">
        <w:t>45a//45b</w:t>
      </w:r>
      <w:r w:rsidRPr="000600D2">
        <w:rPr>
          <w:iCs/>
        </w:rPr>
        <w:tab/>
      </w:r>
      <w:r w:rsidR="0018433B" w:rsidRPr="00402A73">
        <w:t>antithetic parallelism</w:t>
      </w:r>
    </w:p>
    <w:p w14:paraId="15E20E36" w14:textId="069CE7E1" w:rsidR="0018433B" w:rsidRPr="00402A73" w:rsidRDefault="000600D2" w:rsidP="000600D2">
      <w:pPr>
        <w:widowControl w:val="0"/>
        <w:tabs>
          <w:tab w:val="left" w:pos="-1440"/>
          <w:tab w:val="left" w:pos="-720"/>
          <w:tab w:val="left" w:pos="720"/>
          <w:tab w:val="left" w:pos="3240"/>
        </w:tabs>
      </w:pPr>
      <w:r>
        <w:tab/>
      </w:r>
      <w:r w:rsidR="0018433B" w:rsidRPr="00402A73">
        <w:t>47-48//49</w:t>
      </w:r>
      <w:r w:rsidRPr="000600D2">
        <w:rPr>
          <w:iCs/>
        </w:rPr>
        <w:tab/>
      </w:r>
      <w:r w:rsidR="0018433B" w:rsidRPr="00402A73">
        <w:t>alternating parallelism</w:t>
      </w:r>
    </w:p>
    <w:p w14:paraId="5654FD0F" w14:textId="77777777" w:rsidR="000600D2" w:rsidRDefault="0018433B" w:rsidP="00786ADB">
      <w:pPr>
        <w:widowControl w:val="0"/>
      </w:pPr>
      <w:commentRangeStart w:id="87"/>
      <w:commentRangeEnd w:id="87"/>
      <w:r w:rsidRPr="00402A73">
        <w:rPr>
          <w:vanish/>
        </w:rPr>
        <w:commentReference w:id="87"/>
      </w:r>
    </w:p>
    <w:p w14:paraId="1C47F314" w14:textId="11BB37B6" w:rsidR="0018433B" w:rsidRDefault="0018433B" w:rsidP="00786ADB">
      <w:pPr>
        <w:widowControl w:val="0"/>
      </w:pPr>
      <w:r w:rsidRPr="00402A73">
        <w:tab/>
        <w:t>It remains questionable whether the three instances of parallel imperatives (27b-28b</w:t>
      </w:r>
      <w:r w:rsidR="006F304D" w:rsidRPr="006F304D">
        <w:t xml:space="preserve">, </w:t>
      </w:r>
      <w:r w:rsidRPr="00402A73">
        <w:t>29a-30b</w:t>
      </w:r>
      <w:r w:rsidR="006F304D" w:rsidRPr="006F304D">
        <w:t xml:space="preserve">, </w:t>
      </w:r>
      <w:r w:rsidRPr="00402A73">
        <w:t xml:space="preserve">37-38b—some would add the three imperatives of 35a) are really parallelism in the traditional </w:t>
      </w:r>
      <w:r w:rsidRPr="00402A73">
        <w:lastRenderedPageBreak/>
        <w:t>sense: they are synonymous parallelism</w:t>
      </w:r>
      <w:r w:rsidR="006F304D" w:rsidRPr="006F304D">
        <w:t xml:space="preserve">, </w:t>
      </w:r>
      <w:r w:rsidRPr="00402A73">
        <w:t>yet involve parallel imperatives;</w:t>
      </w:r>
      <w:r w:rsidRPr="00402A73">
        <w:rPr>
          <w:vertAlign w:val="superscript"/>
        </w:rPr>
        <w:footnoteReference w:id="754"/>
      </w:r>
      <w:r w:rsidRPr="00402A73">
        <w:t xml:space="preserve"> and each is four lines</w:t>
      </w:r>
      <w:r w:rsidR="006F304D" w:rsidRPr="006F304D">
        <w:t xml:space="preserve">, </w:t>
      </w:r>
      <w:r w:rsidRPr="00402A73">
        <w:t>extending beyond the traditional couplet.</w:t>
      </w:r>
      <w:r w:rsidR="0027511E" w:rsidRPr="0027511E">
        <w:rPr>
          <w:iCs/>
        </w:rPr>
        <w:t xml:space="preserve"> </w:t>
      </w:r>
      <w:r w:rsidRPr="00402A73">
        <w:t>They retain something of the feel of a traditional couplet if each line is treated as a half-line:</w:t>
      </w:r>
    </w:p>
    <w:p w14:paraId="6A8C2B60" w14:textId="77777777" w:rsidR="00DD660F" w:rsidRDefault="00DD660F" w:rsidP="00786ADB">
      <w:pPr>
        <w:widowControl w:val="0"/>
      </w:pPr>
    </w:p>
    <w:p w14:paraId="313401F5" w14:textId="723A7AB0" w:rsidR="00DD660F" w:rsidRDefault="00DD660F" w:rsidP="00786ADB">
      <w:pPr>
        <w:widowControl w:val="0"/>
      </w:pPr>
      <w:r>
        <w:tab/>
      </w:r>
      <w:r w:rsidRPr="00402A73">
        <w:t>27b</w:t>
      </w:r>
      <w:r w:rsidRPr="00402A73">
        <w:tab/>
        <w:t>Love your enemies</w:t>
      </w:r>
      <w:r w:rsidRPr="006F304D">
        <w:t>,</w:t>
      </w:r>
    </w:p>
    <w:p w14:paraId="7051FC81" w14:textId="2EDD134F" w:rsidR="00DD660F" w:rsidRPr="00402A73" w:rsidRDefault="00DD660F" w:rsidP="00786ADB">
      <w:pPr>
        <w:widowControl w:val="0"/>
      </w:pPr>
      <w:r>
        <w:tab/>
        <w:t>27c</w:t>
      </w:r>
      <w:r>
        <w:tab/>
      </w:r>
      <w:r w:rsidRPr="00402A73">
        <w:t>do good to those who hate you,</w:t>
      </w:r>
    </w:p>
    <w:p w14:paraId="175E85CC" w14:textId="7693F9BC" w:rsidR="00DD660F" w:rsidRDefault="0018433B" w:rsidP="00786ADB">
      <w:pPr>
        <w:widowControl w:val="0"/>
      </w:pPr>
      <w:r w:rsidRPr="00402A73">
        <w:tab/>
        <w:t>28a</w:t>
      </w:r>
      <w:r w:rsidRPr="00402A73">
        <w:tab/>
        <w:t>bless those who curse you</w:t>
      </w:r>
      <w:r w:rsidR="006F304D" w:rsidRPr="006F304D">
        <w:t>,</w:t>
      </w:r>
    </w:p>
    <w:p w14:paraId="665E467A" w14:textId="357C2493" w:rsidR="0018433B" w:rsidRPr="00402A73" w:rsidRDefault="00DD660F" w:rsidP="00786ADB">
      <w:pPr>
        <w:widowControl w:val="0"/>
      </w:pPr>
      <w:r>
        <w:tab/>
        <w:t>28b</w:t>
      </w:r>
      <w:r>
        <w:tab/>
      </w:r>
      <w:r w:rsidR="0018433B" w:rsidRPr="00402A73">
        <w:t>pray for those who abuse you.</w:t>
      </w:r>
    </w:p>
    <w:p w14:paraId="3D874AAE" w14:textId="77777777" w:rsidR="00DD660F" w:rsidRDefault="00DD660F" w:rsidP="00786ADB">
      <w:pPr>
        <w:widowControl w:val="0"/>
      </w:pPr>
    </w:p>
    <w:p w14:paraId="49C291BC" w14:textId="196E9722" w:rsidR="0018433B" w:rsidRPr="00402A73" w:rsidRDefault="0018433B" w:rsidP="00786ADB">
      <w:pPr>
        <w:widowControl w:val="0"/>
      </w:pPr>
      <w:r w:rsidRPr="00402A73">
        <w:t>But clearly such fourfold imperatives are not simply “parallel parallelisms.”</w:t>
      </w:r>
      <w:r w:rsidR="0027511E" w:rsidRPr="0027511E">
        <w:rPr>
          <w:iCs/>
        </w:rPr>
        <w:t xml:space="preserve"> </w:t>
      </w:r>
      <w:r w:rsidRPr="00402A73">
        <w:t>Nothing binds</w:t>
      </w:r>
      <w:r w:rsidR="006F304D" w:rsidRPr="006F304D">
        <w:t xml:space="preserve">, </w:t>
      </w:r>
      <w:r w:rsidRPr="00402A73">
        <w:t>for example</w:t>
      </w:r>
      <w:r w:rsidR="006F304D" w:rsidRPr="006F304D">
        <w:t xml:space="preserve">, </w:t>
      </w:r>
      <w:r w:rsidRPr="00402A73">
        <w:t>27b and 27c more closely to one another than to either 28a or 28b; the four are interchangeable.</w:t>
      </w:r>
      <w:r w:rsidR="0027511E" w:rsidRPr="0027511E">
        <w:rPr>
          <w:iCs/>
        </w:rPr>
        <w:t xml:space="preserve"> </w:t>
      </w:r>
      <w:r w:rsidRPr="00402A73">
        <w:t>Or rather</w:t>
      </w:r>
      <w:r w:rsidR="006F304D" w:rsidRPr="006F304D">
        <w:t xml:space="preserve">, </w:t>
      </w:r>
      <w:r w:rsidRPr="00402A73">
        <w:t>the last three are interchangeable: the first is differentiated both by its greater generality (“love your enemies” is something of a thesis statement for the three following clauses) and by its different grammatical structure (the first imperative is followed by a noun</w:t>
      </w:r>
      <w:r w:rsidR="006F304D" w:rsidRPr="006F304D">
        <w:t xml:space="preserve">, </w:t>
      </w:r>
      <w:r w:rsidR="00DD660F" w:rsidRPr="00CE06CA">
        <w:rPr>
          <w:bCs/>
          <w:szCs w:val="22"/>
          <w:lang w:val="el-GR"/>
        </w:rPr>
        <w:t>ἀγαπᾶτε τοὺς ἐχθροὺς ὑμῶν</w:t>
      </w:r>
      <w:r w:rsidR="006F304D" w:rsidRPr="006F304D">
        <w:t xml:space="preserve">, </w:t>
      </w:r>
      <w:r w:rsidRPr="00402A73">
        <w:t>while the last three are followed by gerunds</w:t>
      </w:r>
      <w:r w:rsidR="006F304D" w:rsidRPr="006F304D">
        <w:t xml:space="preserve">, </w:t>
      </w:r>
      <w:r w:rsidR="00DD660F" w:rsidRPr="00CE06CA">
        <w:rPr>
          <w:bCs/>
          <w:szCs w:val="22"/>
          <w:lang w:val="el-GR"/>
        </w:rPr>
        <w:t>καλῶς ποιεῖτε τοῖς μισοῦσιν ὑμᾶς</w:t>
      </w:r>
      <w:r w:rsidR="006F304D" w:rsidRPr="006F304D">
        <w:t xml:space="preserve">, </w:t>
      </w:r>
      <w:r w:rsidR="00DD660F" w:rsidRPr="00CE06CA">
        <w:rPr>
          <w:bCs/>
          <w:szCs w:val="22"/>
          <w:lang w:val="el-GR"/>
        </w:rPr>
        <w:t>εὐλογεῖτε τοὺς καταρωμένους ὑμᾶς</w:t>
      </w:r>
      <w:r w:rsidR="006F304D" w:rsidRPr="006F304D">
        <w:t>,</w:t>
      </w:r>
      <w:r w:rsidR="00DD660F">
        <w:t xml:space="preserve"> </w:t>
      </w:r>
      <w:r w:rsidR="00DD660F" w:rsidRPr="00CE06CA">
        <w:rPr>
          <w:bCs/>
          <w:szCs w:val="22"/>
          <w:lang w:val="el-GR"/>
        </w:rPr>
        <w:t>προσεύχεσθε περὶ τῶν ἐπηρεαζόντων ὑμᾶς</w:t>
      </w:r>
      <w:r w:rsidRPr="00402A73">
        <w:t>).</w:t>
      </w:r>
      <w:r w:rsidR="0027511E" w:rsidRPr="0027511E">
        <w:rPr>
          <w:iCs/>
        </w:rPr>
        <w:t xml:space="preserve"> </w:t>
      </w:r>
      <w:r w:rsidRPr="00402A73">
        <w:t>But this differentiation of the first member only binds the last three more closely</w:t>
      </w:r>
      <w:r w:rsidR="006F304D" w:rsidRPr="006F304D">
        <w:t xml:space="preserve">, </w:t>
      </w:r>
      <w:r w:rsidRPr="00402A73">
        <w:t>thus accentuating the inadequacy of explaining such sequences as parallel parallelisms.</w:t>
      </w:r>
      <w:r w:rsidR="0027511E" w:rsidRPr="0027511E">
        <w:rPr>
          <w:iCs/>
        </w:rPr>
        <w:t xml:space="preserve"> </w:t>
      </w:r>
      <w:r w:rsidRPr="00402A73">
        <w:t>Probably</w:t>
      </w:r>
      <w:r w:rsidR="006F304D" w:rsidRPr="006F304D">
        <w:t xml:space="preserve">, </w:t>
      </w:r>
      <w:r w:rsidRPr="00402A73">
        <w:t>then</w:t>
      </w:r>
      <w:r w:rsidR="006F304D" w:rsidRPr="006F304D">
        <w:t xml:space="preserve">, </w:t>
      </w:r>
      <w:r w:rsidRPr="00402A73">
        <w:t xml:space="preserve">the proper explanation of these passages is to be found in one of the numerical principles espoused by Morgenthaler: </w:t>
      </w:r>
      <w:proofErr w:type="spellStart"/>
      <w:r w:rsidRPr="00402A73">
        <w:rPr>
          <w:i/>
        </w:rPr>
        <w:t>Viererparallelismus</w:t>
      </w:r>
      <w:proofErr w:type="spellEnd"/>
      <w:r w:rsidR="006F304D" w:rsidRPr="006F304D">
        <w:t xml:space="preserve">, </w:t>
      </w:r>
      <w:r w:rsidRPr="00402A73">
        <w:t xml:space="preserve">the principle of </w:t>
      </w:r>
      <w:proofErr w:type="spellStart"/>
      <w:r w:rsidRPr="00402A73">
        <w:t>fourfoldness</w:t>
      </w:r>
      <w:proofErr w:type="spellEnd"/>
      <w:r w:rsidRPr="00402A73">
        <w:t>.</w:t>
      </w:r>
    </w:p>
    <w:p w14:paraId="485DA3DA" w14:textId="1F0BD919" w:rsidR="0018433B" w:rsidRPr="00402A73" w:rsidRDefault="0018433B" w:rsidP="00786ADB">
      <w:pPr>
        <w:widowControl w:val="0"/>
      </w:pPr>
      <w:r w:rsidRPr="00402A73">
        <w:tab/>
        <w:t>Nevertheless</w:t>
      </w:r>
      <w:r w:rsidR="006F304D" w:rsidRPr="006F304D">
        <w:t xml:space="preserve">, </w:t>
      </w:r>
      <w:r w:rsidRPr="00402A73">
        <w:t>the remaining instances of parallelism do demonstrate satisfactorily that parallelism is an important structural principle in the sermon on the plain.</w:t>
      </w:r>
    </w:p>
    <w:p w14:paraId="4B63B1C5" w14:textId="6AECCC82" w:rsidR="0018433B" w:rsidRPr="00402A73" w:rsidRDefault="0018433B" w:rsidP="00786ADB">
      <w:pPr>
        <w:widowControl w:val="0"/>
      </w:pPr>
      <w:r w:rsidRPr="00402A73">
        <w:tab/>
        <w:t xml:space="preserve">A summary evaluation of </w:t>
      </w:r>
      <w:proofErr w:type="spellStart"/>
      <w:r w:rsidRPr="00402A73">
        <w:t>Meynet’s</w:t>
      </w:r>
      <w:proofErr w:type="spellEnd"/>
      <w:r w:rsidRPr="00402A73">
        <w:t xml:space="preserve"> intricate patterns cannot be as positive.</w:t>
      </w:r>
      <w:r w:rsidR="0027511E" w:rsidRPr="0027511E">
        <w:rPr>
          <w:iCs/>
        </w:rPr>
        <w:t xml:space="preserve"> </w:t>
      </w:r>
      <w:r w:rsidRPr="00402A73">
        <w:t>Though his “Planches” create in the reader</w:t>
      </w:r>
      <w:r w:rsidR="006F304D" w:rsidRPr="006F304D">
        <w:t xml:space="preserve">, </w:t>
      </w:r>
      <w:r w:rsidRPr="00402A73">
        <w:t>at first glance</w:t>
      </w:r>
      <w:r w:rsidR="006F304D" w:rsidRPr="006F304D">
        <w:t xml:space="preserve">, </w:t>
      </w:r>
      <w:r w:rsidRPr="00402A73">
        <w:t>both aesthetic pleasure at their remarkable symmetry and exegetic excitement at their proposed depths of meaning</w:t>
      </w:r>
      <w:r w:rsidR="006F304D" w:rsidRPr="006F304D">
        <w:t xml:space="preserve">, </w:t>
      </w:r>
      <w:r w:rsidRPr="00402A73">
        <w:t>one discovers on close inspection that the symmetry and the depths are not so much the text’s</w:t>
      </w:r>
      <w:r w:rsidR="006F304D" w:rsidRPr="006F304D">
        <w:t xml:space="preserve"> </w:t>
      </w:r>
      <w:r w:rsidRPr="00402A73">
        <w:t xml:space="preserve">as they are </w:t>
      </w:r>
      <w:proofErr w:type="spellStart"/>
      <w:r w:rsidRPr="00402A73">
        <w:t>Meynet’s</w:t>
      </w:r>
      <w:proofErr w:type="spellEnd"/>
      <w:r w:rsidRPr="00402A73">
        <w:t>.</w:t>
      </w:r>
      <w:r w:rsidR="0027511E" w:rsidRPr="0027511E">
        <w:rPr>
          <w:iCs/>
        </w:rPr>
        <w:t xml:space="preserve"> </w:t>
      </w:r>
      <w:r w:rsidRPr="00402A73">
        <w:t>Once again we find the text tortuously splayed out upon a Procrustean bed</w:t>
      </w:r>
      <w:r w:rsidR="006F304D" w:rsidRPr="006F304D">
        <w:t xml:space="preserve">, </w:t>
      </w:r>
      <w:r w:rsidRPr="00402A73">
        <w:t>stretched to fit a pattern not its own.</w:t>
      </w:r>
    </w:p>
    <w:p w14:paraId="4AA7A8A9" w14:textId="77777777" w:rsidR="0018433B" w:rsidRPr="00402A73" w:rsidRDefault="0018433B" w:rsidP="00786ADB">
      <w:pPr>
        <w:widowControl w:val="0"/>
      </w:pPr>
    </w:p>
    <w:p w14:paraId="1CFE29EC" w14:textId="78DDAAC2" w:rsidR="0018433B" w:rsidRPr="00402A73" w:rsidRDefault="0018433B" w:rsidP="008F699A">
      <w:pPr>
        <w:pStyle w:val="Heading2"/>
      </w:pPr>
      <w:bookmarkStart w:id="88" w:name="_Toc147618650"/>
      <w:r w:rsidRPr="00402A73">
        <w:t>2.</w:t>
      </w:r>
      <w:r w:rsidR="0027511E" w:rsidRPr="0027511E">
        <w:rPr>
          <w:iCs/>
        </w:rPr>
        <w:t xml:space="preserve"> </w:t>
      </w:r>
      <w:r w:rsidRPr="00402A73">
        <w:t>Catchwords</w:t>
      </w:r>
      <w:bookmarkEnd w:id="88"/>
    </w:p>
    <w:p w14:paraId="5D9B03FF" w14:textId="77777777" w:rsidR="0018433B" w:rsidRPr="00402A73" w:rsidRDefault="0018433B" w:rsidP="00786ADB">
      <w:pPr>
        <w:widowControl w:val="0"/>
      </w:pPr>
    </w:p>
    <w:p w14:paraId="1EF52F7F" w14:textId="5247975E" w:rsidR="0018433B" w:rsidRPr="00402A73" w:rsidRDefault="0018433B" w:rsidP="00786ADB">
      <w:pPr>
        <w:widowControl w:val="0"/>
      </w:pPr>
      <w:r w:rsidRPr="00402A73">
        <w:tab/>
        <w:t>“Alongside and beneath the systematic composition</w:t>
      </w:r>
      <w:r w:rsidR="006F304D" w:rsidRPr="006F304D">
        <w:t xml:space="preserve">, </w:t>
      </w:r>
      <w:r w:rsidRPr="00402A73">
        <w:t xml:space="preserve">Luke has also arranged the </w:t>
      </w:r>
      <w:r w:rsidRPr="00402A73">
        <w:rPr>
          <w:i/>
        </w:rPr>
        <w:t>logia</w:t>
      </w:r>
      <w:r w:rsidRPr="00402A73">
        <w:t xml:space="preserve"> according to catchwords.”</w:t>
      </w:r>
      <w:r w:rsidRPr="00402A73">
        <w:rPr>
          <w:vertAlign w:val="superscript"/>
        </w:rPr>
        <w:footnoteReference w:id="755"/>
      </w:r>
      <w:r w:rsidR="0027511E" w:rsidRPr="0027511E">
        <w:rPr>
          <w:iCs/>
        </w:rPr>
        <w:t xml:space="preserve"> </w:t>
      </w:r>
      <w:r w:rsidRPr="00402A73">
        <w:t xml:space="preserve">Such is the </w:t>
      </w:r>
      <w:r w:rsidR="00DD660F">
        <w:t>declaration</w:t>
      </w:r>
      <w:r w:rsidRPr="00402A73">
        <w:t xml:space="preserve"> of Thaddäus </w:t>
      </w:r>
      <w:proofErr w:type="spellStart"/>
      <w:r w:rsidRPr="00402A73">
        <w:t>Soiron</w:t>
      </w:r>
      <w:proofErr w:type="spellEnd"/>
      <w:r w:rsidRPr="00402A73">
        <w:t>.</w:t>
      </w:r>
      <w:r w:rsidR="0027511E" w:rsidRPr="0027511E">
        <w:rPr>
          <w:iCs/>
        </w:rPr>
        <w:t xml:space="preserve"> </w:t>
      </w:r>
      <w:r w:rsidRPr="00402A73">
        <w:t>As we saw in our theoretical discussion of catchwords</w:t>
      </w:r>
      <w:r w:rsidR="00DD660F">
        <w:t xml:space="preserve"> (chapter 5</w:t>
      </w:r>
      <w:r w:rsidR="00F806E0">
        <w:t>, third section</w:t>
      </w:r>
      <w:r w:rsidR="00DD660F">
        <w:t>)</w:t>
      </w:r>
      <w:r w:rsidRPr="00402A73">
        <w:t xml:space="preserve">, </w:t>
      </w:r>
      <w:proofErr w:type="spellStart"/>
      <w:r w:rsidRPr="00402A73">
        <w:t>Soiron</w:t>
      </w:r>
      <w:proofErr w:type="spellEnd"/>
      <w:r w:rsidRPr="00402A73">
        <w:t xml:space="preserve"> goes further and assumes that catchwords are an argument against the existence of Q: “This latter principle of composition [catchwords] is so often applied </w:t>
      </w:r>
      <w:r w:rsidR="00DD660F">
        <w:t>. . .</w:t>
      </w:r>
      <w:r w:rsidRPr="00402A73">
        <w:t xml:space="preserve"> that Luke has </w:t>
      </w:r>
      <w:r w:rsidR="00DD660F">
        <w:t>. . .</w:t>
      </w:r>
      <w:r w:rsidRPr="00402A73">
        <w:t xml:space="preserve"> transmitted the </w:t>
      </w:r>
      <w:r w:rsidRPr="00402A73">
        <w:rPr>
          <w:i/>
        </w:rPr>
        <w:t>logia</w:t>
      </w:r>
      <w:r w:rsidRPr="00402A73">
        <w:t xml:space="preserve"> as isolated sayings.”</w:t>
      </w:r>
      <w:r w:rsidRPr="00402A73">
        <w:rPr>
          <w:vertAlign w:val="superscript"/>
        </w:rPr>
        <w:footnoteReference w:id="756"/>
      </w:r>
      <w:r w:rsidR="0027511E" w:rsidRPr="0027511E">
        <w:rPr>
          <w:iCs/>
        </w:rPr>
        <w:t xml:space="preserve"> </w:t>
      </w:r>
      <w:r w:rsidRPr="00402A73">
        <w:t>We need not consider the worth of this latter contention.</w:t>
      </w:r>
      <w:r w:rsidR="0027511E" w:rsidRPr="0027511E">
        <w:rPr>
          <w:iCs/>
        </w:rPr>
        <w:t xml:space="preserve"> </w:t>
      </w:r>
      <w:r w:rsidRPr="00402A73">
        <w:t xml:space="preserve">Our interest at the moment is whether or not </w:t>
      </w:r>
      <w:r w:rsidRPr="00402A73">
        <w:lastRenderedPageBreak/>
        <w:t>catchwords are a structural principle in the sermon on the plain.</w:t>
      </w:r>
    </w:p>
    <w:p w14:paraId="3F2BD728" w14:textId="4BB57D0C" w:rsidR="0018433B" w:rsidRDefault="0018433B" w:rsidP="00786ADB">
      <w:pPr>
        <w:widowControl w:val="0"/>
      </w:pPr>
      <w:r w:rsidRPr="00402A73">
        <w:tab/>
      </w:r>
      <w:r w:rsidR="00F806E0" w:rsidRPr="00F806E0">
        <w:rPr>
          <w:iCs/>
        </w:rPr>
        <w:t>I.H.</w:t>
      </w:r>
      <w:r w:rsidRPr="00402A73">
        <w:t xml:space="preserve"> Marshall</w:t>
      </w:r>
      <w:r w:rsidR="00F806E0">
        <w:t xml:space="preserve"> </w:t>
      </w:r>
      <w:r w:rsidRPr="00402A73">
        <w:t>sees a catchword connection between v</w:t>
      </w:r>
      <w:r w:rsidR="00DD660F">
        <w:t>erses</w:t>
      </w:r>
      <w:r w:rsidRPr="00402A73">
        <w:t xml:space="preserve"> 22 and 27</w:t>
      </w:r>
      <w:r w:rsidR="006F304D" w:rsidRPr="006F304D">
        <w:t xml:space="preserve">, </w:t>
      </w:r>
      <w:r w:rsidRPr="00402A73">
        <w:t xml:space="preserve">since both contain </w:t>
      </w:r>
      <w:r w:rsidR="00F806E0" w:rsidRPr="00CE06CA">
        <w:rPr>
          <w:bCs/>
          <w:szCs w:val="22"/>
          <w:lang w:val="el-GR"/>
        </w:rPr>
        <w:t>μισέω</w:t>
      </w:r>
      <w:r w:rsidRPr="00402A73">
        <w:t>.</w:t>
      </w:r>
    </w:p>
    <w:p w14:paraId="5B70E08C" w14:textId="77777777" w:rsidR="00DD660F" w:rsidRPr="00402A73" w:rsidRDefault="00DD660F" w:rsidP="00786ADB">
      <w:pPr>
        <w:widowControl w:val="0"/>
      </w:pPr>
    </w:p>
    <w:p w14:paraId="0FE9DFF8" w14:textId="22C98E12" w:rsidR="0018433B" w:rsidRPr="00402A73" w:rsidRDefault="0018433B" w:rsidP="00786ADB">
      <w:pPr>
        <w:widowControl w:val="0"/>
        <w:ind w:left="720" w:right="720"/>
      </w:pPr>
      <w:r w:rsidRPr="00402A73">
        <w:t>There is no direct link in thought between vs. 24-26 and 27ff.</w:t>
      </w:r>
      <w:r w:rsidR="0027511E" w:rsidRPr="0027511E">
        <w:rPr>
          <w:iCs/>
        </w:rPr>
        <w:t xml:space="preserve"> </w:t>
      </w:r>
      <w:r w:rsidRPr="00402A73">
        <w:t>One can</w:t>
      </w:r>
      <w:r w:rsidR="006F304D" w:rsidRPr="006F304D">
        <w:t xml:space="preserve">, </w:t>
      </w:r>
      <w:r w:rsidRPr="00402A73">
        <w:t>however</w:t>
      </w:r>
      <w:r w:rsidR="006F304D" w:rsidRPr="006F304D">
        <w:t xml:space="preserve">, </w:t>
      </w:r>
      <w:r w:rsidRPr="00402A73">
        <w:t xml:space="preserve">see a possible catchword link with the beatitudes by means of </w:t>
      </w:r>
      <w:r w:rsidR="00F806E0" w:rsidRPr="00CE06CA">
        <w:rPr>
          <w:bCs/>
          <w:szCs w:val="22"/>
          <w:lang w:val="el-GR"/>
        </w:rPr>
        <w:t>μισέω</w:t>
      </w:r>
      <w:r w:rsidRPr="00402A73">
        <w:t xml:space="preserve"> (v. 22)</w:t>
      </w:r>
      <w:r w:rsidR="006F304D" w:rsidRPr="006F304D">
        <w:t xml:space="preserve">, </w:t>
      </w:r>
      <w:r w:rsidRPr="00402A73">
        <w:t>and this may suggest that Luke has preserved an original form of the tradition</w:t>
      </w:r>
      <w:r w:rsidR="006F304D" w:rsidRPr="006F304D">
        <w:t xml:space="preserve">, </w:t>
      </w:r>
      <w:r w:rsidRPr="00402A73">
        <w:t xml:space="preserve">rather than that he has </w:t>
      </w:r>
      <w:proofErr w:type="spellStart"/>
      <w:r w:rsidRPr="00402A73">
        <w:t>remodelled</w:t>
      </w:r>
      <w:proofErr w:type="spellEnd"/>
      <w:r w:rsidRPr="00402A73">
        <w:t xml:space="preserve"> something like the present form of Mt. 5:38-48 </w:t>
      </w:r>
      <w:r w:rsidR="00F806E0">
        <w:t>. . .</w:t>
      </w:r>
      <w:r w:rsidRPr="00402A73">
        <w:rPr>
          <w:vertAlign w:val="superscript"/>
        </w:rPr>
        <w:footnoteReference w:id="757"/>
      </w:r>
    </w:p>
    <w:p w14:paraId="5761A9DD" w14:textId="77777777" w:rsidR="00F806E0" w:rsidRDefault="00F806E0" w:rsidP="00786ADB">
      <w:pPr>
        <w:widowControl w:val="0"/>
      </w:pPr>
    </w:p>
    <w:p w14:paraId="1A41D6AE" w14:textId="71890BF4" w:rsidR="0018433B" w:rsidRPr="00402A73" w:rsidRDefault="0018433B" w:rsidP="00786ADB">
      <w:pPr>
        <w:widowControl w:val="0"/>
      </w:pPr>
      <w:r w:rsidRPr="00402A73">
        <w:t>This catchword seems a bit farfetched.</w:t>
      </w:r>
      <w:r w:rsidR="0027511E" w:rsidRPr="0027511E">
        <w:rPr>
          <w:iCs/>
        </w:rPr>
        <w:t xml:space="preserve"> </w:t>
      </w:r>
      <w:r w:rsidRPr="00402A73">
        <w:t>Not only are the beatitudes and the clause</w:t>
      </w:r>
      <w:r w:rsidR="006F304D" w:rsidRPr="006F304D">
        <w:t xml:space="preserve">, </w:t>
      </w:r>
      <w:r w:rsidRPr="00402A73">
        <w:t>“do good to those who hate you” (27c)</w:t>
      </w:r>
      <w:r w:rsidR="006F304D" w:rsidRPr="006F304D">
        <w:t xml:space="preserve">, </w:t>
      </w:r>
      <w:r w:rsidRPr="00402A73">
        <w:t>separated by the woes</w:t>
      </w:r>
      <w:r w:rsidR="006F304D" w:rsidRPr="006F304D">
        <w:t xml:space="preserve">, </w:t>
      </w:r>
      <w:r w:rsidRPr="00402A73">
        <w:t>but</w:t>
      </w:r>
      <w:r w:rsidR="00F806E0">
        <w:t xml:space="preserve"> </w:t>
      </w:r>
      <w:r w:rsidR="00F806E0" w:rsidRPr="00CE06CA">
        <w:rPr>
          <w:bCs/>
          <w:szCs w:val="22"/>
          <w:lang w:val="el-GR"/>
        </w:rPr>
        <w:t>μισέω</w:t>
      </w:r>
      <w:r w:rsidRPr="00402A73">
        <w:t xml:space="preserve"> occurs in the last of the series of beatitudes and in the second of the series of imperatives in 27b-28; in neither case is it especially emphatic</w:t>
      </w:r>
      <w:r w:rsidR="006F304D" w:rsidRPr="006F304D">
        <w:t xml:space="preserve">, </w:t>
      </w:r>
      <w:r w:rsidRPr="00402A73">
        <w:t>whereas usually a catchword is more prominent.</w:t>
      </w:r>
      <w:r w:rsidR="0027511E" w:rsidRPr="0027511E">
        <w:rPr>
          <w:iCs/>
        </w:rPr>
        <w:t xml:space="preserve"> </w:t>
      </w:r>
      <w:r w:rsidRPr="00402A73">
        <w:t>Also</w:t>
      </w:r>
      <w:r w:rsidR="006F304D" w:rsidRPr="006F304D">
        <w:t xml:space="preserve">, </w:t>
      </w:r>
      <w:r w:rsidRPr="00402A73">
        <w:t>it is unlikely that the beatitudes on the one hand</w:t>
      </w:r>
      <w:r w:rsidR="006F304D" w:rsidRPr="006F304D">
        <w:t xml:space="preserve"> </w:t>
      </w:r>
      <w:r w:rsidRPr="00402A73">
        <w:t>and the theme of love of enemies on the other</w:t>
      </w:r>
      <w:r w:rsidR="006F304D" w:rsidRPr="006F304D">
        <w:t xml:space="preserve"> </w:t>
      </w:r>
      <w:r w:rsidRPr="00402A73">
        <w:t xml:space="preserve">occur in succession because they share </w:t>
      </w:r>
      <w:r w:rsidR="00F806E0" w:rsidRPr="00CE06CA">
        <w:rPr>
          <w:bCs/>
          <w:szCs w:val="22"/>
          <w:lang w:val="el-GR"/>
        </w:rPr>
        <w:t>μισέω</w:t>
      </w:r>
      <w:r w:rsidRPr="00402A73">
        <w:t>.</w:t>
      </w:r>
      <w:r w:rsidR="0027511E" w:rsidRPr="0027511E">
        <w:rPr>
          <w:iCs/>
        </w:rPr>
        <w:t xml:space="preserve"> </w:t>
      </w:r>
      <w:r w:rsidRPr="00402A73">
        <w:t>After all</w:t>
      </w:r>
      <w:r w:rsidR="006F304D" w:rsidRPr="006F304D">
        <w:t xml:space="preserve">, </w:t>
      </w:r>
      <w:r w:rsidRPr="00402A73">
        <w:t>Matthew’s sermon also has the beatitudes and the love-of-enemies theme in the same succession</w:t>
      </w:r>
      <w:r w:rsidR="006F304D" w:rsidRPr="006F304D">
        <w:t xml:space="preserve">, </w:t>
      </w:r>
      <w:r w:rsidRPr="00402A73">
        <w:t>yet more distantly separated: between the two pericopes in Matthew come salt and light (5:13-16)</w:t>
      </w:r>
      <w:r w:rsidR="006F304D" w:rsidRPr="006F304D">
        <w:t xml:space="preserve">, </w:t>
      </w:r>
      <w:r w:rsidRPr="00402A73">
        <w:t>teaching about the Law (17-20)</w:t>
      </w:r>
      <w:r w:rsidR="006F304D" w:rsidRPr="006F304D">
        <w:t xml:space="preserve">, </w:t>
      </w:r>
      <w:r w:rsidRPr="00402A73">
        <w:t>and the first five antitheses (21-42).</w:t>
      </w:r>
      <w:r w:rsidR="0027511E" w:rsidRPr="0027511E">
        <w:rPr>
          <w:iCs/>
        </w:rPr>
        <w:t xml:space="preserve"> </w:t>
      </w:r>
      <w:r w:rsidRPr="00402A73">
        <w:t>The greater separation in Matthew decreases the likelihood that their connection depends upon a catchword rather than a thematic relationship.</w:t>
      </w:r>
      <w:r w:rsidR="0027511E" w:rsidRPr="0027511E">
        <w:rPr>
          <w:iCs/>
        </w:rPr>
        <w:t xml:space="preserve"> </w:t>
      </w:r>
      <w:r w:rsidRPr="00402A73">
        <w:t>Moreover</w:t>
      </w:r>
      <w:r w:rsidR="006F304D" w:rsidRPr="006F304D">
        <w:t xml:space="preserve">, </w:t>
      </w:r>
      <w:r w:rsidRPr="00402A73">
        <w:t>Matthew’s beatitudes lack the word</w:t>
      </w:r>
      <w:r w:rsidR="001E4053">
        <w:t xml:space="preserve"> </w:t>
      </w:r>
      <w:r w:rsidR="001E4053" w:rsidRPr="00CE06CA">
        <w:rPr>
          <w:bCs/>
          <w:szCs w:val="22"/>
          <w:lang w:val="el-GR"/>
        </w:rPr>
        <w:t>μισέω</w:t>
      </w:r>
      <w:r w:rsidRPr="00402A73">
        <w:t>.</w:t>
      </w:r>
    </w:p>
    <w:p w14:paraId="6AD5A3C8" w14:textId="46FAA3B8" w:rsidR="0018433B" w:rsidRPr="00402A73" w:rsidRDefault="0018433B" w:rsidP="00786ADB">
      <w:pPr>
        <w:widowControl w:val="0"/>
      </w:pPr>
      <w:r w:rsidRPr="00402A73">
        <w:tab/>
        <w:t>Another catchword</w:t>
      </w:r>
      <w:r w:rsidR="006F304D" w:rsidRPr="006F304D">
        <w:t xml:space="preserve">, </w:t>
      </w:r>
      <w:r w:rsidR="001E4053">
        <w:t>proposed</w:t>
      </w:r>
      <w:r w:rsidRPr="00402A73">
        <w:t xml:space="preserve"> by Dupont</w:t>
      </w:r>
      <w:r w:rsidR="006F304D" w:rsidRPr="006F304D">
        <w:t xml:space="preserve">, </w:t>
      </w:r>
      <w:r w:rsidRPr="00402A73">
        <w:t>connects 38c (“good measure</w:t>
      </w:r>
      <w:r w:rsidR="006F304D" w:rsidRPr="006F304D">
        <w:t xml:space="preserve">, </w:t>
      </w:r>
      <w:r w:rsidRPr="00402A73">
        <w:t>pressed down</w:t>
      </w:r>
      <w:r w:rsidR="006F304D" w:rsidRPr="006F304D">
        <w:t xml:space="preserve">, </w:t>
      </w:r>
      <w:r w:rsidRPr="00402A73">
        <w:t>shaken together</w:t>
      </w:r>
      <w:r w:rsidR="006F304D" w:rsidRPr="006F304D">
        <w:t xml:space="preserve">, </w:t>
      </w:r>
      <w:r w:rsidRPr="00402A73">
        <w:t>running over</w:t>
      </w:r>
      <w:r w:rsidR="006F304D" w:rsidRPr="006F304D">
        <w:t xml:space="preserve">, </w:t>
      </w:r>
      <w:r w:rsidRPr="00402A73">
        <w:t>will be put into your lap”) and 38d (“For the measure you give will be the measure you get back”).</w:t>
      </w:r>
      <w:r w:rsidRPr="00402A73">
        <w:rPr>
          <w:vertAlign w:val="superscript"/>
        </w:rPr>
        <w:footnoteReference w:id="758"/>
      </w:r>
      <w:r w:rsidR="0027511E" w:rsidRPr="0027511E">
        <w:rPr>
          <w:iCs/>
        </w:rPr>
        <w:t xml:space="preserve"> </w:t>
      </w:r>
      <w:r w:rsidRPr="00402A73">
        <w:t>Yet both of Dupont’s arguments for a catchword here are negative.</w:t>
      </w:r>
      <w:r w:rsidR="0027511E" w:rsidRPr="0027511E">
        <w:rPr>
          <w:iCs/>
        </w:rPr>
        <w:t xml:space="preserve"> </w:t>
      </w:r>
      <w:r w:rsidRPr="00402A73">
        <w:t>On the one hand</w:t>
      </w:r>
      <w:r w:rsidR="006F304D" w:rsidRPr="006F304D">
        <w:t xml:space="preserve">, </w:t>
      </w:r>
      <w:r w:rsidRPr="00402A73">
        <w:t>he “hesitates to attribute to Luke linkages so typical of oral Semitic style”; and</w:t>
      </w:r>
      <w:r w:rsidR="006F304D" w:rsidRPr="006F304D">
        <w:t xml:space="preserve">, </w:t>
      </w:r>
      <w:r w:rsidRPr="00402A73">
        <w:t>on the other</w:t>
      </w:r>
      <w:r w:rsidR="006F304D" w:rsidRPr="006F304D">
        <w:t xml:space="preserve">, </w:t>
      </w:r>
      <w:r w:rsidRPr="00402A73">
        <w:t>he does not have “the impression that Matthew would have recoiled before the dissonance created by the connection of the two sentences on ‘measure’ if he had found them united in his source.”</w:t>
      </w:r>
      <w:r w:rsidRPr="00402A73">
        <w:rPr>
          <w:vertAlign w:val="superscript"/>
        </w:rPr>
        <w:footnoteReference w:id="759"/>
      </w:r>
      <w:r w:rsidR="0027511E" w:rsidRPr="0027511E">
        <w:rPr>
          <w:iCs/>
        </w:rPr>
        <w:t xml:space="preserve"> </w:t>
      </w:r>
      <w:r w:rsidRPr="00402A73">
        <w:t>It is possible that the agricultural metaphor submerged in 38c</w:t>
      </w:r>
      <w:r w:rsidR="0013796C">
        <w:t xml:space="preserve"> (the “good measure” seems to be grain)</w:t>
      </w:r>
      <w:r w:rsidRPr="00402A73">
        <w:t xml:space="preserve"> indicates a traditional saying which Luke attached to 38d: grain may disclose a Palestinian background.</w:t>
      </w:r>
      <w:r w:rsidR="0027511E" w:rsidRPr="0027511E">
        <w:rPr>
          <w:iCs/>
        </w:rPr>
        <w:t xml:space="preserve"> </w:t>
      </w:r>
      <w:r w:rsidRPr="00402A73">
        <w:t>But everyone in Luke’s day</w:t>
      </w:r>
      <w:r w:rsidR="006F304D" w:rsidRPr="006F304D">
        <w:t xml:space="preserve">, </w:t>
      </w:r>
      <w:r w:rsidRPr="00402A73">
        <w:t>no matter how urbane</w:t>
      </w:r>
      <w:r w:rsidR="006F304D" w:rsidRPr="006F304D">
        <w:t xml:space="preserve">, </w:t>
      </w:r>
      <w:r w:rsidRPr="00402A73">
        <w:t>lived relatively close to the soil; Luke</w:t>
      </w:r>
      <w:r w:rsidR="006F304D" w:rsidRPr="006F304D">
        <w:t xml:space="preserve">, </w:t>
      </w:r>
      <w:r w:rsidRPr="00402A73">
        <w:t xml:space="preserve">whatever his </w:t>
      </w:r>
      <w:r w:rsidR="0013796C">
        <w:t>lifestyle</w:t>
      </w:r>
      <w:r w:rsidR="006F304D" w:rsidRPr="006F304D">
        <w:t xml:space="preserve">, </w:t>
      </w:r>
      <w:r w:rsidRPr="00402A73">
        <w:t>was capable of imagining the grain metaphor.</w:t>
      </w:r>
      <w:r w:rsidR="0027511E" w:rsidRPr="0027511E">
        <w:rPr>
          <w:iCs/>
        </w:rPr>
        <w:t xml:space="preserve"> </w:t>
      </w:r>
      <w:r w:rsidRPr="00402A73">
        <w:t>I must agree with the majority of authors: Luke is likely to have created the good-measure saying—not in order to make a catchword</w:t>
      </w:r>
      <w:r w:rsidR="006F304D" w:rsidRPr="006F304D">
        <w:t xml:space="preserve">, </w:t>
      </w:r>
      <w:r w:rsidRPr="00402A73">
        <w:t xml:space="preserve">but more likely to make emphatic that command in 37-38 </w:t>
      </w:r>
      <w:r w:rsidR="0013796C">
        <w:t>so</w:t>
      </w:r>
      <w:r w:rsidRPr="00402A73">
        <w:t xml:space="preserve"> dear to his heart</w:t>
      </w:r>
      <w:r w:rsidR="0013796C">
        <w:t>:</w:t>
      </w:r>
      <w:r w:rsidRPr="00402A73">
        <w:t xml:space="preserve"> “give” </w:t>
      </w:r>
      <w:r w:rsidR="0013796C">
        <w:t>(</w:t>
      </w:r>
      <w:r w:rsidRPr="00402A73">
        <w:t>38a).</w:t>
      </w:r>
      <w:r w:rsidRPr="00402A73">
        <w:rPr>
          <w:vertAlign w:val="superscript"/>
        </w:rPr>
        <w:footnoteReference w:id="760"/>
      </w:r>
    </w:p>
    <w:p w14:paraId="20F90FF1" w14:textId="5FF03848" w:rsidR="0018433B" w:rsidRPr="00402A73" w:rsidRDefault="0018433B" w:rsidP="00786ADB">
      <w:pPr>
        <w:widowControl w:val="0"/>
      </w:pPr>
      <w:r w:rsidRPr="00402A73">
        <w:lastRenderedPageBreak/>
        <w:tab/>
        <w:t>The possibility of a catchword in the sermon on the plain has been most often suggested for the difficult v</w:t>
      </w:r>
      <w:r w:rsidR="0013796C">
        <w:t>erses</w:t>
      </w:r>
      <w:r w:rsidRPr="00402A73">
        <w:t xml:space="preserve"> 39 and 40 (blind leading blind</w:t>
      </w:r>
      <w:r w:rsidR="006F304D" w:rsidRPr="006F304D">
        <w:t xml:space="preserve">, </w:t>
      </w:r>
      <w:r w:rsidRPr="00402A73">
        <w:t>teacher and disciple).</w:t>
      </w:r>
      <w:r w:rsidR="0027511E" w:rsidRPr="0027511E">
        <w:rPr>
          <w:iCs/>
        </w:rPr>
        <w:t xml:space="preserve"> </w:t>
      </w:r>
      <w:r w:rsidRPr="00402A73">
        <w:t>Here there are two questions.</w:t>
      </w:r>
      <w:r w:rsidR="0027511E" w:rsidRPr="0027511E">
        <w:rPr>
          <w:iCs/>
        </w:rPr>
        <w:t xml:space="preserve"> </w:t>
      </w:r>
      <w:r w:rsidRPr="00402A73">
        <w:t>Are 39-40 connected to their context (37-38 and 41-42) by catchword?</w:t>
      </w:r>
      <w:r w:rsidR="0027511E" w:rsidRPr="0027511E">
        <w:rPr>
          <w:iCs/>
        </w:rPr>
        <w:t xml:space="preserve"> </w:t>
      </w:r>
      <w:r w:rsidRPr="00402A73">
        <w:t>And</w:t>
      </w:r>
      <w:r w:rsidR="0013796C">
        <w:t>:</w:t>
      </w:r>
      <w:r w:rsidRPr="00402A73">
        <w:t xml:space="preserve"> </w:t>
      </w:r>
      <w:r w:rsidR="0013796C" w:rsidRPr="00402A73">
        <w:t xml:space="preserve">Are </w:t>
      </w:r>
      <w:r w:rsidRPr="00402A73">
        <w:t>39 and 40 themselves connected by catchword?</w:t>
      </w:r>
      <w:r w:rsidRPr="00402A73">
        <w:rPr>
          <w:vertAlign w:val="superscript"/>
        </w:rPr>
        <w:footnoteReference w:id="761"/>
      </w:r>
    </w:p>
    <w:p w14:paraId="0DE553C4" w14:textId="498DEF89" w:rsidR="0018433B" w:rsidRDefault="0018433B" w:rsidP="00786ADB">
      <w:pPr>
        <w:widowControl w:val="0"/>
      </w:pPr>
      <w:r w:rsidRPr="00402A73">
        <w:tab/>
        <w:t>Schürmann believes that “blind” in 39 and “eye” in 41-42 are close enough to constitute a catchword.</w:t>
      </w:r>
      <w:r w:rsidRPr="00402A73">
        <w:rPr>
          <w:vertAlign w:val="superscript"/>
        </w:rPr>
        <w:footnoteReference w:id="762"/>
      </w:r>
      <w:r w:rsidR="0027511E" w:rsidRPr="0027511E">
        <w:rPr>
          <w:iCs/>
        </w:rPr>
        <w:t xml:space="preserve"> </w:t>
      </w:r>
      <w:r w:rsidRPr="00402A73">
        <w:t>Easton and Beare assume that Luke has situated v</w:t>
      </w:r>
      <w:r w:rsidR="00F411B2">
        <w:t>erse</w:t>
      </w:r>
      <w:r w:rsidRPr="00402A73">
        <w:t xml:space="preserve"> 39 in its present position</w:t>
      </w:r>
      <w:r w:rsidR="006F304D" w:rsidRPr="006F304D">
        <w:t xml:space="preserve">, </w:t>
      </w:r>
      <w:r w:rsidRPr="00402A73">
        <w:t>specifically because of an image-association.</w:t>
      </w:r>
      <w:r w:rsidRPr="00402A73">
        <w:rPr>
          <w:vertAlign w:val="superscript"/>
        </w:rPr>
        <w:footnoteReference w:id="763"/>
      </w:r>
      <w:r w:rsidR="0027511E" w:rsidRPr="0027511E">
        <w:rPr>
          <w:iCs/>
        </w:rPr>
        <w:t xml:space="preserve"> </w:t>
      </w:r>
      <w:r w:rsidRPr="00402A73">
        <w:t>Easton cites Holtzmann approvingly in this regard,</w:t>
      </w:r>
      <w:r w:rsidRPr="00402A73">
        <w:rPr>
          <w:vertAlign w:val="superscript"/>
        </w:rPr>
        <w:footnoteReference w:id="764"/>
      </w:r>
      <w:r w:rsidRPr="00402A73">
        <w:t xml:space="preserve"> and Beare speculates that</w:t>
      </w:r>
    </w:p>
    <w:p w14:paraId="441E26E6" w14:textId="77777777" w:rsidR="00F411B2" w:rsidRPr="00402A73" w:rsidRDefault="00F411B2" w:rsidP="00786ADB">
      <w:pPr>
        <w:widowControl w:val="0"/>
      </w:pPr>
    </w:p>
    <w:p w14:paraId="31CB370F" w14:textId="1A914267" w:rsidR="0018433B" w:rsidRPr="00402A73" w:rsidRDefault="0018433B" w:rsidP="00F411B2">
      <w:pPr>
        <w:widowControl w:val="0"/>
        <w:ind w:left="720" w:right="720"/>
      </w:pPr>
      <w:r w:rsidRPr="00402A73">
        <w:t>For Luke</w:t>
      </w:r>
      <w:r w:rsidR="006F304D" w:rsidRPr="006F304D">
        <w:t xml:space="preserve">, </w:t>
      </w:r>
      <w:r w:rsidRPr="00402A73">
        <w:t>the saying ‘Can the blind lead the blind?’ seemed to form a natural parallel to the theme: ‘Can the unworthy judge the unworthy?’</w:t>
      </w:r>
      <w:r w:rsidR="006F304D" w:rsidRPr="006F304D">
        <w:t xml:space="preserve">, </w:t>
      </w:r>
      <w:r w:rsidRPr="00402A73">
        <w:t>especially in relation to the picture of the man with impaired vision (a log in his eye)</w:t>
      </w:r>
      <w:r w:rsidR="00F411B2">
        <w:t xml:space="preserve"> . . .</w:t>
      </w:r>
      <w:r w:rsidRPr="00402A73">
        <w:rPr>
          <w:vertAlign w:val="superscript"/>
        </w:rPr>
        <w:footnoteReference w:id="765"/>
      </w:r>
    </w:p>
    <w:p w14:paraId="178B08B2" w14:textId="77777777" w:rsidR="00F411B2" w:rsidRDefault="00F411B2" w:rsidP="00786ADB">
      <w:pPr>
        <w:widowControl w:val="0"/>
      </w:pPr>
    </w:p>
    <w:p w14:paraId="5C0BFE68" w14:textId="1D2C27F9" w:rsidR="0018433B" w:rsidRDefault="0018433B" w:rsidP="00786ADB">
      <w:pPr>
        <w:widowControl w:val="0"/>
      </w:pPr>
      <w:r w:rsidRPr="00402A73">
        <w:t>But Beare actually explains the connection primarily in terms of shared theme rather than shared image.</w:t>
      </w:r>
      <w:r w:rsidR="0027511E" w:rsidRPr="0027511E">
        <w:rPr>
          <w:iCs/>
        </w:rPr>
        <w:t xml:space="preserve"> </w:t>
      </w:r>
      <w:r w:rsidRPr="00402A73">
        <w:t>Dupont is similar: though he argues more than once for an image-association between 39 and 41-42,</w:t>
      </w:r>
      <w:r w:rsidRPr="00402A73">
        <w:rPr>
          <w:vertAlign w:val="superscript"/>
        </w:rPr>
        <w:footnoteReference w:id="766"/>
      </w:r>
      <w:r w:rsidRPr="00402A73">
        <w:t xml:space="preserve"> he elsewhere explains the connection on thematic grounds.</w:t>
      </w:r>
      <w:r w:rsidR="0027511E" w:rsidRPr="0027511E">
        <w:rPr>
          <w:iCs/>
        </w:rPr>
        <w:t xml:space="preserve"> </w:t>
      </w:r>
      <w:r w:rsidR="00ED108C">
        <w:rPr>
          <w:iCs/>
        </w:rPr>
        <w:t xml:space="preserve">He says that, </w:t>
      </w:r>
      <w:r w:rsidR="00ED108C">
        <w:t>i</w:t>
      </w:r>
      <w:r w:rsidRPr="00402A73">
        <w:t>n both 39 and 40,</w:t>
      </w:r>
    </w:p>
    <w:p w14:paraId="7B485731" w14:textId="77777777" w:rsidR="00F411B2" w:rsidRPr="00402A73" w:rsidRDefault="00F411B2" w:rsidP="00786ADB">
      <w:pPr>
        <w:widowControl w:val="0"/>
      </w:pPr>
    </w:p>
    <w:p w14:paraId="532BD251" w14:textId="685C9CF8" w:rsidR="0018433B" w:rsidRPr="00402A73" w:rsidRDefault="0018433B" w:rsidP="00786ADB">
      <w:pPr>
        <w:widowControl w:val="0"/>
        <w:ind w:left="720" w:right="720"/>
      </w:pPr>
      <w:r w:rsidRPr="00402A73">
        <w:t>it is a question of incapability.</w:t>
      </w:r>
      <w:r w:rsidR="0027511E" w:rsidRPr="0027511E">
        <w:rPr>
          <w:iCs/>
        </w:rPr>
        <w:t xml:space="preserve"> </w:t>
      </w:r>
      <w:r w:rsidRPr="00402A73">
        <w:t>But this idea modifies the interpretation of the following verses (speck and log parable</w:t>
      </w:r>
      <w:r w:rsidR="006F304D" w:rsidRPr="006F304D">
        <w:t xml:space="preserve">, </w:t>
      </w:r>
      <w:r w:rsidRPr="00402A73">
        <w:t xml:space="preserve">41-42) in an undesirable direction: a person </w:t>
      </w:r>
      <w:r w:rsidRPr="00402A73">
        <w:lastRenderedPageBreak/>
        <w:t>with a log in his eye cannot direct the affairs of another who has a speck; whereas taken in itself</w:t>
      </w:r>
      <w:r w:rsidR="006F304D" w:rsidRPr="006F304D">
        <w:t xml:space="preserve">, </w:t>
      </w:r>
      <w:r w:rsidRPr="00402A73">
        <w:t>Jesus does not speak in the parable of incapacity</w:t>
      </w:r>
      <w:r w:rsidR="006F304D" w:rsidRPr="006F304D">
        <w:t xml:space="preserve">, </w:t>
      </w:r>
      <w:r w:rsidRPr="00402A73">
        <w:t xml:space="preserve">but of hypocrisy (42b </w:t>
      </w:r>
      <w:r w:rsidR="00ED108C">
        <w:t>. . .</w:t>
      </w:r>
      <w:r w:rsidRPr="00402A73">
        <w:t>).</w:t>
      </w:r>
      <w:r w:rsidRPr="00402A73">
        <w:rPr>
          <w:vertAlign w:val="superscript"/>
        </w:rPr>
        <w:footnoteReference w:id="767"/>
      </w:r>
    </w:p>
    <w:p w14:paraId="156E092F" w14:textId="77777777" w:rsidR="00F411B2" w:rsidRDefault="00F411B2" w:rsidP="00786ADB">
      <w:pPr>
        <w:widowControl w:val="0"/>
      </w:pPr>
    </w:p>
    <w:p w14:paraId="533054E7" w14:textId="7FB4CA4D" w:rsidR="0018433B" w:rsidRPr="00402A73" w:rsidRDefault="0018433B" w:rsidP="00786ADB">
      <w:pPr>
        <w:widowControl w:val="0"/>
      </w:pPr>
      <w:r w:rsidRPr="00402A73">
        <w:t>It seems</w:t>
      </w:r>
      <w:r w:rsidR="006F304D" w:rsidRPr="006F304D">
        <w:t xml:space="preserve">, </w:t>
      </w:r>
      <w:r w:rsidRPr="00402A73">
        <w:t>then</w:t>
      </w:r>
      <w:r w:rsidR="006F304D" w:rsidRPr="006F304D">
        <w:t xml:space="preserve">, </w:t>
      </w:r>
      <w:r w:rsidRPr="00402A73">
        <w:t>that whether or not the relation between v</w:t>
      </w:r>
      <w:r w:rsidR="00ED108C">
        <w:t>erses</w:t>
      </w:r>
      <w:r w:rsidRPr="00402A73">
        <w:t xml:space="preserve"> 39-40 and 41-42 began as a catchword or image-association</w:t>
      </w:r>
      <w:r w:rsidR="006F304D" w:rsidRPr="006F304D">
        <w:t xml:space="preserve">, </w:t>
      </w:r>
      <w:r w:rsidR="00ED108C">
        <w:t xml:space="preserve">the connection is now primarily a </w:t>
      </w:r>
      <w:r w:rsidRPr="00402A73">
        <w:t>thematic relation: 39-40 are explicable in their present context in Luke on the basis of their content.</w:t>
      </w:r>
      <w:r w:rsidRPr="00402A73">
        <w:rPr>
          <w:vertAlign w:val="superscript"/>
        </w:rPr>
        <w:footnoteReference w:id="768"/>
      </w:r>
    </w:p>
    <w:p w14:paraId="0035F5D8" w14:textId="1947D01F" w:rsidR="0018433B" w:rsidRDefault="0018433B" w:rsidP="00786ADB">
      <w:pPr>
        <w:widowControl w:val="0"/>
      </w:pPr>
      <w:r w:rsidRPr="00402A73">
        <w:tab/>
        <w:t>The same can be said for the relation between 39 and 40 themselves.</w:t>
      </w:r>
      <w:r w:rsidR="0027511E" w:rsidRPr="0027511E">
        <w:rPr>
          <w:iCs/>
        </w:rPr>
        <w:t xml:space="preserve"> </w:t>
      </w:r>
      <w:r w:rsidRPr="00402A73">
        <w:t>This too Dupont explains either as a thematic connection (“One can understand easily enough the transition from the idea of a guide for the blind and one for disciples”</w:t>
      </w:r>
      <w:r w:rsidRPr="00402A73">
        <w:rPr>
          <w:vertAlign w:val="superscript"/>
        </w:rPr>
        <w:footnoteReference w:id="769"/>
      </w:r>
      <w:r w:rsidR="008926CD">
        <w:t xml:space="preserve">) </w:t>
      </w:r>
      <w:r w:rsidRPr="00402A73">
        <w:t>or as an image-association (“it is not their content which has provoked the connection</w:t>
      </w:r>
      <w:r w:rsidR="006F304D" w:rsidRPr="006F304D">
        <w:t xml:space="preserve">, </w:t>
      </w:r>
      <w:r w:rsidRPr="00402A73">
        <w:t>but a certain analogy of images”</w:t>
      </w:r>
      <w:r w:rsidRPr="00402A73">
        <w:rPr>
          <w:vertAlign w:val="superscript"/>
        </w:rPr>
        <w:footnoteReference w:id="770"/>
      </w:r>
      <w:r w:rsidR="008926CD">
        <w:t>).</w:t>
      </w:r>
      <w:r w:rsidR="0027511E" w:rsidRPr="0027511E">
        <w:rPr>
          <w:iCs/>
        </w:rPr>
        <w:t xml:space="preserve"> </w:t>
      </w:r>
      <w:r w:rsidRPr="00402A73">
        <w:t>His fullest explanation is the following.</w:t>
      </w:r>
    </w:p>
    <w:p w14:paraId="2597B4E4" w14:textId="77777777" w:rsidR="00F411B2" w:rsidRPr="00402A73" w:rsidRDefault="00F411B2" w:rsidP="00786ADB">
      <w:pPr>
        <w:widowControl w:val="0"/>
      </w:pPr>
    </w:p>
    <w:p w14:paraId="3124FD5E" w14:textId="128F30A2" w:rsidR="0018433B" w:rsidRPr="00402A73" w:rsidRDefault="0018433B" w:rsidP="00786ADB">
      <w:pPr>
        <w:widowControl w:val="0"/>
        <w:ind w:left="720" w:right="720"/>
      </w:pPr>
      <w:r w:rsidRPr="00402A73">
        <w:t>The placement of v</w:t>
      </w:r>
      <w:r w:rsidR="008926CD">
        <w:t>erse</w:t>
      </w:r>
      <w:r w:rsidRPr="00402A73">
        <w:t xml:space="preserve"> 40 is to be explained by its connection to v</w:t>
      </w:r>
      <w:r w:rsidR="008926CD">
        <w:t>erse</w:t>
      </w:r>
      <w:r w:rsidRPr="00402A73">
        <w:t xml:space="preserve"> 39.</w:t>
      </w:r>
      <w:r w:rsidR="0027511E" w:rsidRPr="0027511E">
        <w:rPr>
          <w:iCs/>
        </w:rPr>
        <w:t xml:space="preserve"> </w:t>
      </w:r>
      <w:r w:rsidRPr="00402A73">
        <w:t>This connection results either from the link between two antitheses (blind man/blind guide and disciple/teacher)</w:t>
      </w:r>
      <w:r w:rsidR="006F304D" w:rsidRPr="006F304D">
        <w:t xml:space="preserve">, </w:t>
      </w:r>
      <w:r w:rsidRPr="00402A73">
        <w:t xml:space="preserve">or from an image-association between </w:t>
      </w:r>
      <w:bookmarkStart w:id="89" w:name="_Hlk145543273"/>
      <w:r w:rsidR="008926CD" w:rsidRPr="00CE06CA">
        <w:rPr>
          <w:bCs/>
          <w:szCs w:val="22"/>
          <w:lang w:val="el-GR"/>
        </w:rPr>
        <w:t>ὁδηγεῖν</w:t>
      </w:r>
      <w:bookmarkEnd w:id="89"/>
      <w:r w:rsidRPr="00402A73">
        <w:t xml:space="preserve"> [“to lead”] and </w:t>
      </w:r>
      <w:proofErr w:type="spellStart"/>
      <w:r w:rsidR="008926CD">
        <w:rPr>
          <w:kern w:val="0"/>
        </w:rPr>
        <w:t>διδάσκ</w:t>
      </w:r>
      <w:proofErr w:type="spellEnd"/>
      <w:r w:rsidR="008926CD">
        <w:rPr>
          <w:kern w:val="0"/>
        </w:rPr>
        <w:t>αλος</w:t>
      </w:r>
      <w:r w:rsidR="008926CD">
        <w:t xml:space="preserve"> </w:t>
      </w:r>
      <w:r w:rsidRPr="00402A73">
        <w:t>[“teacher”].</w:t>
      </w:r>
      <w:r w:rsidR="008926CD">
        <w:t xml:space="preserve"> . . . </w:t>
      </w:r>
      <w:r w:rsidR="008926CD" w:rsidRPr="008926CD">
        <w:t>There is, however, a certain parallelism between the two verses</w:t>
      </w:r>
      <w:r w:rsidR="008926CD">
        <w:t>: a blind man is not able to conduct another blind man, a disciple [is not able] to surpass his teacher.</w:t>
      </w:r>
      <w:r w:rsidRPr="00402A73">
        <w:rPr>
          <w:vertAlign w:val="superscript"/>
        </w:rPr>
        <w:footnoteReference w:id="771"/>
      </w:r>
    </w:p>
    <w:p w14:paraId="40C2D41F" w14:textId="77777777" w:rsidR="00F411B2" w:rsidRDefault="00F411B2" w:rsidP="00786ADB">
      <w:pPr>
        <w:widowControl w:val="0"/>
      </w:pPr>
    </w:p>
    <w:p w14:paraId="7318C4D5" w14:textId="480346E0" w:rsidR="0018433B" w:rsidRPr="00402A73" w:rsidRDefault="0018433B" w:rsidP="00786ADB">
      <w:pPr>
        <w:widowControl w:val="0"/>
      </w:pPr>
      <w:r w:rsidRPr="00402A73">
        <w:t>Once again</w:t>
      </w:r>
      <w:r w:rsidR="006F304D" w:rsidRPr="006F304D">
        <w:t xml:space="preserve">, </w:t>
      </w:r>
      <w:r w:rsidRPr="00402A73">
        <w:t>the connection between verses in the sermon is easily explicable on the basis of thematic connection; though the connection may</w:t>
      </w:r>
      <w:r w:rsidR="006F304D" w:rsidRPr="006F304D">
        <w:t xml:space="preserve">, </w:t>
      </w:r>
      <w:r w:rsidRPr="00402A73">
        <w:t>in the redaction history of the passage</w:t>
      </w:r>
      <w:r w:rsidR="006F304D" w:rsidRPr="006F304D">
        <w:t xml:space="preserve">, </w:t>
      </w:r>
      <w:r w:rsidRPr="00402A73">
        <w:t>have begun as a catchword or image-association</w:t>
      </w:r>
      <w:r w:rsidR="006F304D" w:rsidRPr="006F304D">
        <w:t xml:space="preserve">, </w:t>
      </w:r>
      <w:r w:rsidRPr="00402A73">
        <w:t>it is now connected on the basis of its meaning.</w:t>
      </w:r>
    </w:p>
    <w:p w14:paraId="184404C2" w14:textId="00D3E116" w:rsidR="0018433B" w:rsidRDefault="0018433B" w:rsidP="00786ADB">
      <w:pPr>
        <w:widowControl w:val="0"/>
      </w:pPr>
      <w:r w:rsidRPr="00402A73">
        <w:tab/>
        <w:t>One other verse in the sermon on the plain has been treated as a possible catchword: v</w:t>
      </w:r>
      <w:r w:rsidR="008926CD">
        <w:t>erse</w:t>
      </w:r>
      <w:r w:rsidRPr="00402A73">
        <w:t xml:space="preserve"> 45.</w:t>
      </w:r>
      <w:r w:rsidR="0027511E" w:rsidRPr="0027511E">
        <w:rPr>
          <w:iCs/>
        </w:rPr>
        <w:t xml:space="preserve"> </w:t>
      </w:r>
      <w:r w:rsidRPr="00402A73">
        <w:t>Reproducing v</w:t>
      </w:r>
      <w:r w:rsidR="008926CD">
        <w:t>erses</w:t>
      </w:r>
      <w:r w:rsidRPr="00402A73">
        <w:t xml:space="preserve"> 43-44 along with </w:t>
      </w:r>
      <w:r w:rsidR="008926CD">
        <w:t>45</w:t>
      </w:r>
      <w:r w:rsidRPr="00402A73">
        <w:t xml:space="preserve"> </w:t>
      </w:r>
      <w:r w:rsidR="00D633C6">
        <w:t>will</w:t>
      </w:r>
      <w:r w:rsidRPr="00402A73">
        <w:t xml:space="preserve"> be helpful.</w:t>
      </w:r>
    </w:p>
    <w:p w14:paraId="53499741" w14:textId="77777777" w:rsidR="008926CD" w:rsidRPr="00402A73" w:rsidRDefault="008926CD" w:rsidP="00786ADB">
      <w:pPr>
        <w:widowControl w:val="0"/>
      </w:pPr>
    </w:p>
    <w:p w14:paraId="0477572E" w14:textId="77777777" w:rsidR="0018433B" w:rsidRPr="00402A73" w:rsidRDefault="0018433B" w:rsidP="008926CD">
      <w:pPr>
        <w:widowControl w:val="0"/>
      </w:pPr>
      <w:r w:rsidRPr="00402A73">
        <w:tab/>
        <w:t>43a</w:t>
      </w:r>
      <w:r w:rsidRPr="00402A73">
        <w:tab/>
        <w:t>For no good tree bears bad fruit,</w:t>
      </w:r>
    </w:p>
    <w:p w14:paraId="715824DF" w14:textId="77777777" w:rsidR="0018433B" w:rsidRPr="00402A73" w:rsidRDefault="0018433B" w:rsidP="008926CD">
      <w:pPr>
        <w:widowControl w:val="0"/>
      </w:pPr>
      <w:r w:rsidRPr="00402A73">
        <w:tab/>
        <w:t>43b</w:t>
      </w:r>
      <w:r w:rsidRPr="00402A73">
        <w:tab/>
        <w:t>nor again does a bad tree bear good fruit;</w:t>
      </w:r>
    </w:p>
    <w:p w14:paraId="5D8B82CF" w14:textId="77777777" w:rsidR="0018433B" w:rsidRPr="00402A73" w:rsidRDefault="0018433B" w:rsidP="008926CD">
      <w:pPr>
        <w:widowControl w:val="0"/>
      </w:pPr>
      <w:r w:rsidRPr="00402A73">
        <w:tab/>
        <w:t>44a</w:t>
      </w:r>
      <w:r w:rsidRPr="00402A73">
        <w:tab/>
        <w:t>for each tree is known by its own fruit.</w:t>
      </w:r>
    </w:p>
    <w:p w14:paraId="4C262C85" w14:textId="77777777" w:rsidR="0018433B" w:rsidRPr="00402A73" w:rsidRDefault="0018433B" w:rsidP="008926CD">
      <w:pPr>
        <w:widowControl w:val="0"/>
      </w:pPr>
      <w:r w:rsidRPr="00402A73">
        <w:tab/>
        <w:t>44b</w:t>
      </w:r>
      <w:r w:rsidRPr="00402A73">
        <w:tab/>
        <w:t>For figs are not gathered from thorns,</w:t>
      </w:r>
    </w:p>
    <w:p w14:paraId="6F86C4AD" w14:textId="77777777" w:rsidR="0018433B" w:rsidRPr="00402A73" w:rsidRDefault="0018433B" w:rsidP="008926CD">
      <w:pPr>
        <w:widowControl w:val="0"/>
      </w:pPr>
      <w:r w:rsidRPr="00402A73">
        <w:lastRenderedPageBreak/>
        <w:tab/>
        <w:t>44c</w:t>
      </w:r>
      <w:r w:rsidRPr="00402A73">
        <w:tab/>
        <w:t>nor are grapes picked from a bramble bush.</w:t>
      </w:r>
    </w:p>
    <w:p w14:paraId="2034234D" w14:textId="0002E02D" w:rsidR="0018433B" w:rsidRPr="00402A73" w:rsidRDefault="0018433B" w:rsidP="008926CD">
      <w:pPr>
        <w:widowControl w:val="0"/>
      </w:pPr>
      <w:r w:rsidRPr="00402A73">
        <w:tab/>
        <w:t>45a</w:t>
      </w:r>
      <w:r w:rsidRPr="00402A73">
        <w:tab/>
        <w:t>The good man out of the good treasure of his heart produces good,</w:t>
      </w:r>
    </w:p>
    <w:p w14:paraId="0B3AFD98" w14:textId="5C4C8E7B" w:rsidR="0018433B" w:rsidRPr="00402A73" w:rsidRDefault="0018433B" w:rsidP="008926CD">
      <w:pPr>
        <w:widowControl w:val="0"/>
      </w:pPr>
      <w:r w:rsidRPr="00402A73">
        <w:tab/>
        <w:t>45b</w:t>
      </w:r>
      <w:r w:rsidRPr="00402A73">
        <w:tab/>
        <w:t>and the evil man out of his evil treasure produces evil;</w:t>
      </w:r>
    </w:p>
    <w:p w14:paraId="711F61AB" w14:textId="5F83BF3E" w:rsidR="0018433B" w:rsidRPr="00402A73" w:rsidRDefault="0018433B" w:rsidP="008926CD">
      <w:pPr>
        <w:widowControl w:val="0"/>
      </w:pPr>
      <w:r w:rsidRPr="00402A73">
        <w:tab/>
        <w:t>45c</w:t>
      </w:r>
      <w:r w:rsidRPr="00402A73">
        <w:tab/>
        <w:t>for out of the abundance of the heart his mouth speaks.</w:t>
      </w:r>
    </w:p>
    <w:p w14:paraId="2DFA0995" w14:textId="77777777" w:rsidR="008926CD" w:rsidRDefault="008926CD" w:rsidP="00786ADB">
      <w:pPr>
        <w:widowControl w:val="0"/>
      </w:pPr>
    </w:p>
    <w:p w14:paraId="5BF2D8D4" w14:textId="5B6EB0EE" w:rsidR="0018433B" w:rsidRPr="00402A73" w:rsidRDefault="0018433B" w:rsidP="00786ADB">
      <w:pPr>
        <w:widowControl w:val="0"/>
      </w:pPr>
      <w:r w:rsidRPr="00402A73">
        <w:t>Here</w:t>
      </w:r>
      <w:r w:rsidR="00D633C6">
        <w:t>,</w:t>
      </w:r>
      <w:r w:rsidRPr="00402A73">
        <w:t xml:space="preserve"> too</w:t>
      </w:r>
      <w:r w:rsidR="006F304D" w:rsidRPr="006F304D">
        <w:t xml:space="preserve">, </w:t>
      </w:r>
      <w:r w:rsidRPr="00402A73">
        <w:t>there are two possible catchwords: one between 45 and its context (43-44)</w:t>
      </w:r>
      <w:r w:rsidR="006F304D" w:rsidRPr="006F304D">
        <w:t xml:space="preserve">, </w:t>
      </w:r>
      <w:r w:rsidRPr="00402A73">
        <w:t>and one between the clauses in 45 itself.</w:t>
      </w:r>
    </w:p>
    <w:p w14:paraId="0E7512A9" w14:textId="29D74D18" w:rsidR="0018433B" w:rsidRPr="00402A73" w:rsidRDefault="0018433B" w:rsidP="00786ADB">
      <w:pPr>
        <w:widowControl w:val="0"/>
      </w:pPr>
      <w:r w:rsidRPr="00402A73">
        <w:tab/>
        <w:t>Dupont notes “a certain parallelism between the images” of 43-44 and 45.</w:t>
      </w:r>
      <w:r w:rsidRPr="00402A73">
        <w:rPr>
          <w:vertAlign w:val="superscript"/>
        </w:rPr>
        <w:footnoteReference w:id="772"/>
      </w:r>
      <w:r w:rsidR="0027511E" w:rsidRPr="0027511E">
        <w:rPr>
          <w:iCs/>
        </w:rPr>
        <w:t xml:space="preserve"> </w:t>
      </w:r>
      <w:r w:rsidRPr="00402A73">
        <w:t>Presumably he means the parallelisms between “bearing” (43</w:t>
      </w:r>
      <w:r w:rsidR="006F304D" w:rsidRPr="006F304D">
        <w:t>,</w:t>
      </w:r>
      <w:r w:rsidR="00D633C6">
        <w:t xml:space="preserve"> </w:t>
      </w:r>
      <w:r w:rsidR="00D633C6" w:rsidRPr="00CE06CA">
        <w:rPr>
          <w:bCs/>
          <w:szCs w:val="22"/>
          <w:lang w:val="el-GR"/>
        </w:rPr>
        <w:t>ποι</w:t>
      </w:r>
      <w:r w:rsidR="00D633C6">
        <w:rPr>
          <w:bCs/>
          <w:szCs w:val="22"/>
          <w:lang w:val="el-GR"/>
        </w:rPr>
        <w:t>έω</w:t>
      </w:r>
      <w:r w:rsidRPr="00402A73">
        <w:t>) and “producing” (45ab</w:t>
      </w:r>
      <w:r w:rsidR="006F304D" w:rsidRPr="006F304D">
        <w:t xml:space="preserve">, </w:t>
      </w:r>
      <w:r w:rsidR="00D633C6" w:rsidRPr="00CE06CA">
        <w:rPr>
          <w:bCs/>
          <w:szCs w:val="22"/>
          <w:lang w:val="el-GR"/>
        </w:rPr>
        <w:t>προφέρ</w:t>
      </w:r>
      <w:r w:rsidR="00D633C6">
        <w:rPr>
          <w:bCs/>
          <w:szCs w:val="22"/>
          <w:lang w:val="el-GR"/>
        </w:rPr>
        <w:t>ω</w:t>
      </w:r>
      <w:r w:rsidR="00D633C6">
        <w:rPr>
          <w:bCs/>
          <w:szCs w:val="22"/>
        </w:rPr>
        <w:t>)</w:t>
      </w:r>
      <w:r w:rsidRPr="00402A73">
        <w:t xml:space="preserve"> and between good resulting in good and bad resulting in bad.</w:t>
      </w:r>
      <w:r w:rsidR="0027511E" w:rsidRPr="0027511E">
        <w:rPr>
          <w:iCs/>
        </w:rPr>
        <w:t xml:space="preserve"> </w:t>
      </w:r>
      <w:r w:rsidRPr="00402A73">
        <w:t>This seems reasonable enough</w:t>
      </w:r>
      <w:r w:rsidR="00D633C6">
        <w:t>; b</w:t>
      </w:r>
      <w:r w:rsidRPr="00402A73">
        <w:t>ut no less reasonable is Schmid’s observation that v</w:t>
      </w:r>
      <w:r w:rsidR="00D633C6">
        <w:t>erse</w:t>
      </w:r>
      <w:r w:rsidRPr="00402A73">
        <w:t xml:space="preserve"> 45 “is used as the application of the similitudes of the two types of tree.”</w:t>
      </w:r>
      <w:r w:rsidRPr="00402A73">
        <w:rPr>
          <w:vertAlign w:val="superscript"/>
        </w:rPr>
        <w:footnoteReference w:id="773"/>
      </w:r>
      <w:r w:rsidR="0027511E" w:rsidRPr="0027511E">
        <w:rPr>
          <w:iCs/>
        </w:rPr>
        <w:t xml:space="preserve"> </w:t>
      </w:r>
      <w:r w:rsidRPr="00402A73">
        <w:t>In other words</w:t>
      </w:r>
      <w:r w:rsidR="006F304D" w:rsidRPr="006F304D">
        <w:t xml:space="preserve">, </w:t>
      </w:r>
      <w:r w:rsidRPr="00402A73">
        <w:t>a connection between 43-44 and 45 can be seen</w:t>
      </w:r>
      <w:r w:rsidR="006F304D" w:rsidRPr="006F304D">
        <w:t xml:space="preserve">, </w:t>
      </w:r>
      <w:r w:rsidRPr="00402A73">
        <w:t>either on the basis of a catchword (in the broad sense) or on the basis of theme.</w:t>
      </w:r>
    </w:p>
    <w:p w14:paraId="3C59A879" w14:textId="0D393A5C" w:rsidR="0018433B" w:rsidRDefault="0018433B" w:rsidP="00786ADB">
      <w:pPr>
        <w:widowControl w:val="0"/>
      </w:pPr>
      <w:r w:rsidRPr="00402A73">
        <w:tab/>
        <w:t>Concerning a catchword connection within v</w:t>
      </w:r>
      <w:r w:rsidR="00D633C6">
        <w:t>erse</w:t>
      </w:r>
      <w:r w:rsidRPr="00402A73">
        <w:t xml:space="preserve"> 45: it might be argued that “heart” is the image connecting the two halves of the verse (“The good man out of the good treasure of his heart produces good</w:t>
      </w:r>
      <w:r w:rsidR="006F304D" w:rsidRPr="006F304D">
        <w:t xml:space="preserve">, </w:t>
      </w:r>
      <w:r w:rsidRPr="00402A73">
        <w:t>and the evil man out of his evil treasure produces evil; for out of the abundance of the heart his mouth speaks”).</w:t>
      </w:r>
      <w:r w:rsidR="0027511E" w:rsidRPr="0027511E">
        <w:rPr>
          <w:iCs/>
        </w:rPr>
        <w:t xml:space="preserve"> </w:t>
      </w:r>
      <w:r w:rsidRPr="00402A73">
        <w:t>But v</w:t>
      </w:r>
      <w:r w:rsidR="00F027E3">
        <w:t>erses</w:t>
      </w:r>
      <w:r w:rsidRPr="00402A73">
        <w:t xml:space="preserve"> 45ab and 45c are also found adjacent to one another (albeit reversed) in Matt 12:34b-35</w:t>
      </w:r>
      <w:r w:rsidR="006F304D" w:rsidRPr="006F304D">
        <w:t xml:space="preserve">, </w:t>
      </w:r>
      <w:r w:rsidRPr="00402A73">
        <w:t>and there the reference to the treasure as the “heart” is missing.</w:t>
      </w:r>
    </w:p>
    <w:p w14:paraId="527F0754" w14:textId="77777777" w:rsidR="00D633C6" w:rsidRPr="00402A73" w:rsidRDefault="00D633C6" w:rsidP="00786ADB">
      <w:pPr>
        <w:widowControl w:val="0"/>
      </w:pPr>
    </w:p>
    <w:p w14:paraId="56A103F2" w14:textId="09134DAC" w:rsidR="0018433B" w:rsidRPr="00402A73" w:rsidRDefault="0018433B" w:rsidP="00786ADB">
      <w:pPr>
        <w:widowControl w:val="0"/>
        <w:ind w:left="1440" w:hanging="720"/>
      </w:pPr>
      <w:r w:rsidRPr="00402A73">
        <w:rPr>
          <w:vertAlign w:val="superscript"/>
        </w:rPr>
        <w:t>34</w:t>
      </w:r>
      <w:r w:rsidR="00D633C6">
        <w:t xml:space="preserve"> F</w:t>
      </w:r>
      <w:r w:rsidRPr="00402A73">
        <w:t>or out of the abundance of the heart the mouth speaks.</w:t>
      </w:r>
    </w:p>
    <w:p w14:paraId="7A213A85" w14:textId="5ADF1AC3" w:rsidR="0018433B" w:rsidRPr="00402A73" w:rsidRDefault="0018433B" w:rsidP="00786ADB">
      <w:pPr>
        <w:widowControl w:val="0"/>
        <w:ind w:left="1440" w:right="720" w:hanging="720"/>
      </w:pPr>
      <w:r w:rsidRPr="00402A73">
        <w:rPr>
          <w:vertAlign w:val="superscript"/>
        </w:rPr>
        <w:t>35a</w:t>
      </w:r>
      <w:r w:rsidR="00D633C6">
        <w:t xml:space="preserve"> T</w:t>
      </w:r>
      <w:r w:rsidRPr="00402A73">
        <w:t>he good man out of his good treasure brings forth good,</w:t>
      </w:r>
    </w:p>
    <w:p w14:paraId="67CEF7D3" w14:textId="6257CAB1" w:rsidR="0018433B" w:rsidRPr="00402A73" w:rsidRDefault="0018433B" w:rsidP="00786ADB">
      <w:pPr>
        <w:widowControl w:val="0"/>
        <w:ind w:left="1440" w:right="720" w:hanging="720"/>
      </w:pPr>
      <w:r w:rsidRPr="00402A73">
        <w:rPr>
          <w:vertAlign w:val="superscript"/>
        </w:rPr>
        <w:t>35b</w:t>
      </w:r>
      <w:r w:rsidR="00D633C6">
        <w:t xml:space="preserve"> a</w:t>
      </w:r>
      <w:r w:rsidRPr="00402A73">
        <w:t>nd the evil man out of his evil treasure brings forth evil.</w:t>
      </w:r>
      <w:r w:rsidRPr="00402A73">
        <w:rPr>
          <w:vertAlign w:val="superscript"/>
        </w:rPr>
        <w:footnoteReference w:id="774"/>
      </w:r>
    </w:p>
    <w:p w14:paraId="4D5DD80A" w14:textId="77777777" w:rsidR="00F027E3" w:rsidRDefault="00F027E3" w:rsidP="00786ADB">
      <w:pPr>
        <w:widowControl w:val="0"/>
      </w:pPr>
    </w:p>
    <w:p w14:paraId="0A064F12" w14:textId="330FB163" w:rsidR="0018433B" w:rsidRPr="00402A73" w:rsidRDefault="0018433B" w:rsidP="00786ADB">
      <w:pPr>
        <w:widowControl w:val="0"/>
      </w:pPr>
      <w:r w:rsidRPr="00402A73">
        <w:t>It seems more likely</w:t>
      </w:r>
      <w:r w:rsidR="006F304D" w:rsidRPr="006F304D">
        <w:t xml:space="preserve">, </w:t>
      </w:r>
      <w:r w:rsidRPr="00402A73">
        <w:t>then</w:t>
      </w:r>
      <w:r w:rsidR="006F304D" w:rsidRPr="006F304D">
        <w:t xml:space="preserve">, </w:t>
      </w:r>
      <w:r w:rsidRPr="00402A73">
        <w:t>that “of his heart” was added to Luke 6:45a to bond the two halves of 45 more closely together</w:t>
      </w:r>
      <w:r w:rsidR="006F304D" w:rsidRPr="006F304D">
        <w:t xml:space="preserve">, </w:t>
      </w:r>
      <w:r w:rsidRPr="00402A73">
        <w:t>than that the two halves were originally associated on the basis of “heart” as a catchword.</w:t>
      </w:r>
      <w:r w:rsidR="0027511E" w:rsidRPr="0027511E">
        <w:rPr>
          <w:iCs/>
        </w:rPr>
        <w:t xml:space="preserve"> </w:t>
      </w:r>
      <w:r w:rsidRPr="00402A73">
        <w:t>Once again</w:t>
      </w:r>
      <w:r w:rsidR="006F304D" w:rsidRPr="006F304D">
        <w:t xml:space="preserve">, </w:t>
      </w:r>
      <w:r w:rsidRPr="00402A73">
        <w:t>we see that the connection is ultimately a thematic one</w:t>
      </w:r>
      <w:r w:rsidR="006F304D" w:rsidRPr="006F304D">
        <w:t xml:space="preserve">, </w:t>
      </w:r>
      <w:r w:rsidRPr="00402A73">
        <w:t>rather than an artificial one.</w:t>
      </w:r>
      <w:r w:rsidR="0027511E" w:rsidRPr="0027511E">
        <w:rPr>
          <w:iCs/>
        </w:rPr>
        <w:t xml:space="preserve"> </w:t>
      </w:r>
      <w:r w:rsidRPr="00402A73">
        <w:t>Gerhard Schneider has stated the thematic connection well: “The concluding versicle</w:t>
      </w:r>
      <w:r w:rsidR="006F304D" w:rsidRPr="006F304D">
        <w:t xml:space="preserve">, </w:t>
      </w:r>
      <w:r w:rsidRPr="00402A73">
        <w:t>45b [our 45c] contains a proverb that is grounded by v</w:t>
      </w:r>
      <w:r w:rsidR="00F027E3">
        <w:t>ersicle</w:t>
      </w:r>
      <w:r w:rsidRPr="00402A73">
        <w:t xml:space="preserve"> 45a [our 45ab].”</w:t>
      </w:r>
      <w:r w:rsidRPr="00402A73">
        <w:rPr>
          <w:vertAlign w:val="superscript"/>
        </w:rPr>
        <w:footnoteReference w:id="775"/>
      </w:r>
      <w:r w:rsidR="0027511E" w:rsidRPr="0027511E">
        <w:rPr>
          <w:iCs/>
        </w:rPr>
        <w:t xml:space="preserve"> </w:t>
      </w:r>
      <w:r w:rsidRPr="00402A73">
        <w:t>It is significant that his word here is “</w:t>
      </w:r>
      <w:proofErr w:type="spellStart"/>
      <w:r w:rsidRPr="00402A73">
        <w:t>Sprichwort</w:t>
      </w:r>
      <w:proofErr w:type="spellEnd"/>
      <w:r w:rsidRPr="00402A73">
        <w:t>” (“proverb”) rather than “</w:t>
      </w:r>
      <w:proofErr w:type="spellStart"/>
      <w:r w:rsidRPr="00402A73">
        <w:t>Stichwort</w:t>
      </w:r>
      <w:proofErr w:type="spellEnd"/>
      <w:r w:rsidRPr="00402A73">
        <w:t>” (“catchword”).</w:t>
      </w:r>
    </w:p>
    <w:p w14:paraId="2F140ADB" w14:textId="24522DF7" w:rsidR="0018433B" w:rsidRDefault="0018433B" w:rsidP="00786ADB">
      <w:pPr>
        <w:widowControl w:val="0"/>
      </w:pPr>
      <w:r w:rsidRPr="00402A73">
        <w:tab/>
      </w:r>
      <w:r w:rsidR="00F869DF">
        <w:t>In summary, then, the following c</w:t>
      </w:r>
      <w:r w:rsidRPr="00402A73">
        <w:t xml:space="preserve">atchwords </w:t>
      </w:r>
      <w:r w:rsidR="00F869DF">
        <w:t xml:space="preserve">have been </w:t>
      </w:r>
      <w:r w:rsidRPr="00402A73">
        <w:t xml:space="preserve">proposed for Luke’s sermon </w:t>
      </w:r>
      <w:r w:rsidR="00F869DF">
        <w:t>on the plain</w:t>
      </w:r>
      <w:r w:rsidRPr="00402A73">
        <w:t>.</w:t>
      </w:r>
    </w:p>
    <w:p w14:paraId="4A9DEEBE" w14:textId="77777777" w:rsidR="00F027E3" w:rsidRPr="00402A73" w:rsidRDefault="00F027E3" w:rsidP="00786ADB">
      <w:pPr>
        <w:widowControl w:val="0"/>
      </w:pPr>
    </w:p>
    <w:p w14:paraId="2EF13892" w14:textId="2ED1D931" w:rsidR="0018433B" w:rsidRPr="00402A73" w:rsidRDefault="00F027E3" w:rsidP="00F027E3">
      <w:pPr>
        <w:widowControl w:val="0"/>
      </w:pPr>
      <w:r>
        <w:tab/>
      </w:r>
      <w:r w:rsidR="0018433B" w:rsidRPr="00402A73">
        <w:t>22</w:t>
      </w:r>
      <w:r w:rsidR="0018433B" w:rsidRPr="00402A73">
        <w:tab/>
        <w:t>+</w:t>
      </w:r>
      <w:r w:rsidR="0018433B" w:rsidRPr="00402A73">
        <w:tab/>
        <w:t>27</w:t>
      </w:r>
      <w:r w:rsidR="0018433B" w:rsidRPr="00402A73">
        <w:tab/>
      </w:r>
      <w:r w:rsidR="00F86BF3" w:rsidRPr="00CE06CA">
        <w:rPr>
          <w:bCs/>
          <w:szCs w:val="22"/>
          <w:lang w:val="el-GR"/>
        </w:rPr>
        <w:t>μισ</w:t>
      </w:r>
      <w:r w:rsidR="00F86BF3">
        <w:rPr>
          <w:bCs/>
          <w:szCs w:val="22"/>
          <w:lang w:val="el-GR"/>
        </w:rPr>
        <w:t>έω</w:t>
      </w:r>
      <w:r w:rsidR="0018433B" w:rsidRPr="00402A73">
        <w:t xml:space="preserve"> (“hate”)</w:t>
      </w:r>
    </w:p>
    <w:p w14:paraId="7713F7AD" w14:textId="01547C60" w:rsidR="0018433B" w:rsidRPr="00402A73" w:rsidRDefault="0018433B" w:rsidP="00786ADB">
      <w:pPr>
        <w:widowControl w:val="0"/>
      </w:pPr>
      <w:r w:rsidRPr="00402A73">
        <w:tab/>
        <w:t>38c</w:t>
      </w:r>
      <w:r w:rsidRPr="00402A73">
        <w:tab/>
        <w:t>+</w:t>
      </w:r>
      <w:r w:rsidRPr="00402A73">
        <w:tab/>
        <w:t>38d</w:t>
      </w:r>
      <w:r w:rsidRPr="00402A73">
        <w:tab/>
      </w:r>
      <w:proofErr w:type="spellStart"/>
      <w:r w:rsidR="00F86BF3">
        <w:t>μετρόν</w:t>
      </w:r>
      <w:proofErr w:type="spellEnd"/>
      <w:r w:rsidRPr="00402A73">
        <w:t xml:space="preserve"> (“measure”)</w:t>
      </w:r>
    </w:p>
    <w:p w14:paraId="5411A25B" w14:textId="3D315C4D" w:rsidR="0018433B" w:rsidRPr="00402A73" w:rsidRDefault="0018433B" w:rsidP="00786ADB">
      <w:pPr>
        <w:widowControl w:val="0"/>
      </w:pPr>
      <w:r w:rsidRPr="00402A73">
        <w:tab/>
        <w:t>39-40</w:t>
      </w:r>
      <w:r w:rsidRPr="00402A73">
        <w:tab/>
        <w:t>+</w:t>
      </w:r>
      <w:r w:rsidRPr="00402A73">
        <w:tab/>
        <w:t>41-42</w:t>
      </w:r>
      <w:r w:rsidRPr="00402A73">
        <w:tab/>
      </w:r>
      <w:r w:rsidR="00F86BF3" w:rsidRPr="00CE06CA">
        <w:rPr>
          <w:bCs/>
          <w:szCs w:val="22"/>
          <w:lang w:val="el-GR"/>
        </w:rPr>
        <w:t>τυφλ</w:t>
      </w:r>
      <w:r w:rsidR="00F86BF3">
        <w:rPr>
          <w:bCs/>
          <w:szCs w:val="22"/>
          <w:lang w:val="el-GR"/>
        </w:rPr>
        <w:t>ό</w:t>
      </w:r>
      <w:r w:rsidR="00F86BF3" w:rsidRPr="00CE06CA">
        <w:rPr>
          <w:bCs/>
          <w:szCs w:val="22"/>
          <w:lang w:val="el-GR"/>
        </w:rPr>
        <w:t>ς</w:t>
      </w:r>
      <w:r w:rsidRPr="00402A73">
        <w:t xml:space="preserve"> (“blind man”)</w:t>
      </w:r>
      <w:r w:rsidR="006F304D" w:rsidRPr="006F304D">
        <w:t xml:space="preserve">, </w:t>
      </w:r>
      <w:r w:rsidR="00F86BF3" w:rsidRPr="00CE06CA">
        <w:rPr>
          <w:bCs/>
          <w:szCs w:val="22"/>
          <w:lang w:val="el-GR"/>
        </w:rPr>
        <w:t>ὀφθαλμ</w:t>
      </w:r>
      <w:r w:rsidR="00F86BF3">
        <w:rPr>
          <w:bCs/>
          <w:szCs w:val="22"/>
          <w:lang w:val="el-GR"/>
        </w:rPr>
        <w:t>ός</w:t>
      </w:r>
      <w:r w:rsidRPr="00402A73">
        <w:t xml:space="preserve"> (“eye”)</w:t>
      </w:r>
    </w:p>
    <w:p w14:paraId="46918843" w14:textId="2F04F2EF" w:rsidR="0018433B" w:rsidRPr="00402A73" w:rsidRDefault="0018433B" w:rsidP="00786ADB">
      <w:pPr>
        <w:widowControl w:val="0"/>
      </w:pPr>
      <w:r w:rsidRPr="00402A73">
        <w:tab/>
        <w:t>39</w:t>
      </w:r>
      <w:r w:rsidRPr="00402A73">
        <w:tab/>
        <w:t>+</w:t>
      </w:r>
      <w:r w:rsidRPr="00402A73">
        <w:tab/>
        <w:t>40</w:t>
      </w:r>
      <w:r w:rsidRPr="00402A73">
        <w:tab/>
      </w:r>
      <w:r w:rsidR="00F86BF3" w:rsidRPr="00CE06CA">
        <w:rPr>
          <w:bCs/>
          <w:szCs w:val="22"/>
          <w:lang w:val="el-GR"/>
        </w:rPr>
        <w:t>τυφλ</w:t>
      </w:r>
      <w:r w:rsidR="00F86BF3">
        <w:rPr>
          <w:bCs/>
          <w:szCs w:val="22"/>
          <w:lang w:val="el-GR"/>
        </w:rPr>
        <w:t>ό</w:t>
      </w:r>
      <w:r w:rsidR="00F86BF3" w:rsidRPr="00CE06CA">
        <w:rPr>
          <w:bCs/>
          <w:szCs w:val="22"/>
          <w:lang w:val="el-GR"/>
        </w:rPr>
        <w:t>ς</w:t>
      </w:r>
      <w:r w:rsidR="00F86BF3" w:rsidRPr="00402A73">
        <w:t xml:space="preserve"> </w:t>
      </w:r>
      <w:r w:rsidRPr="00402A73">
        <w:t>(“blind man”)</w:t>
      </w:r>
      <w:r w:rsidR="006F304D" w:rsidRPr="006F304D">
        <w:t xml:space="preserve">, </w:t>
      </w:r>
      <w:r w:rsidR="00F86BF3">
        <w:t>μα</w:t>
      </w:r>
      <w:proofErr w:type="spellStart"/>
      <w:r w:rsidR="00F86BF3">
        <w:t>θητής</w:t>
      </w:r>
      <w:proofErr w:type="spellEnd"/>
      <w:r w:rsidRPr="00402A73">
        <w:t xml:space="preserve"> (“disciple”)</w:t>
      </w:r>
      <w:r w:rsidRPr="00402A73">
        <w:tab/>
      </w:r>
      <w:r w:rsidRPr="00402A73">
        <w:tab/>
      </w:r>
      <w:r w:rsidRPr="00402A73">
        <w:tab/>
      </w:r>
      <w:r w:rsidRPr="00402A73">
        <w:tab/>
      </w:r>
      <w:r w:rsidR="00F86BF3">
        <w:tab/>
      </w:r>
      <w:r w:rsidR="00F86BF3">
        <w:tab/>
      </w:r>
      <w:r w:rsidR="00F86BF3">
        <w:tab/>
      </w:r>
      <w:r w:rsidR="00F86BF3">
        <w:tab/>
      </w:r>
      <w:r w:rsidRPr="00402A73">
        <w:t xml:space="preserve">or </w:t>
      </w:r>
      <w:r w:rsidR="00F86BF3" w:rsidRPr="00CE06CA">
        <w:rPr>
          <w:bCs/>
          <w:szCs w:val="22"/>
          <w:lang w:val="el-GR"/>
        </w:rPr>
        <w:t>ὁδηγεῖν</w:t>
      </w:r>
      <w:r w:rsidRPr="00402A73">
        <w:t xml:space="preserve"> (“lead”)</w:t>
      </w:r>
      <w:r w:rsidR="006F304D" w:rsidRPr="006F304D">
        <w:t xml:space="preserve">, </w:t>
      </w:r>
      <w:proofErr w:type="spellStart"/>
      <w:r w:rsidR="00F86BF3">
        <w:t>διδάσκ</w:t>
      </w:r>
      <w:proofErr w:type="spellEnd"/>
      <w:r w:rsidR="00F86BF3">
        <w:t xml:space="preserve">αλος </w:t>
      </w:r>
      <w:r w:rsidRPr="00402A73">
        <w:t>(“teacher”)</w:t>
      </w:r>
    </w:p>
    <w:p w14:paraId="58254655" w14:textId="5ED4031D" w:rsidR="0018433B" w:rsidRPr="00402A73" w:rsidRDefault="0018433B" w:rsidP="00786ADB">
      <w:pPr>
        <w:widowControl w:val="0"/>
      </w:pPr>
      <w:r w:rsidRPr="00402A73">
        <w:tab/>
        <w:t>43-44</w:t>
      </w:r>
      <w:r w:rsidRPr="00402A73">
        <w:tab/>
        <w:t>+</w:t>
      </w:r>
      <w:r w:rsidRPr="00402A73">
        <w:tab/>
        <w:t>45</w:t>
      </w:r>
      <w:r w:rsidRPr="00402A73">
        <w:tab/>
      </w:r>
      <w:r w:rsidR="00F86BF3">
        <w:t>π</w:t>
      </w:r>
      <w:proofErr w:type="spellStart"/>
      <w:r w:rsidR="00F86BF3">
        <w:t>οι</w:t>
      </w:r>
      <w:proofErr w:type="spellEnd"/>
      <w:r w:rsidR="00F86BF3">
        <w:rPr>
          <w:bCs/>
          <w:szCs w:val="22"/>
          <w:lang w:val="el-GR"/>
        </w:rPr>
        <w:t>έω</w:t>
      </w:r>
      <w:r w:rsidRPr="00402A73">
        <w:t xml:space="preserve"> (“bear [fruit]”)</w:t>
      </w:r>
      <w:r w:rsidR="006F304D" w:rsidRPr="006F304D">
        <w:t xml:space="preserve">, </w:t>
      </w:r>
      <w:r w:rsidR="00F86BF3">
        <w:t>π</w:t>
      </w:r>
      <w:proofErr w:type="spellStart"/>
      <w:r w:rsidR="00F86BF3">
        <w:t>ροφέρ</w:t>
      </w:r>
      <w:proofErr w:type="spellEnd"/>
      <w:r w:rsidR="00F86BF3">
        <w:rPr>
          <w:bCs/>
          <w:szCs w:val="22"/>
          <w:lang w:val="el-GR"/>
        </w:rPr>
        <w:t>ω</w:t>
      </w:r>
      <w:r w:rsidRPr="00402A73">
        <w:t xml:space="preserve"> (“produce”)</w:t>
      </w:r>
    </w:p>
    <w:p w14:paraId="29081C79" w14:textId="0F0767D5" w:rsidR="0018433B" w:rsidRPr="00402A73" w:rsidRDefault="0018433B" w:rsidP="00786ADB">
      <w:pPr>
        <w:widowControl w:val="0"/>
      </w:pPr>
      <w:r w:rsidRPr="00402A73">
        <w:tab/>
        <w:t>45ab</w:t>
      </w:r>
      <w:r w:rsidRPr="00402A73">
        <w:tab/>
        <w:t>+</w:t>
      </w:r>
      <w:r w:rsidRPr="00402A73">
        <w:tab/>
        <w:t>45c</w:t>
      </w:r>
      <w:r w:rsidRPr="00402A73">
        <w:tab/>
      </w:r>
      <w:r w:rsidR="00F86BF3">
        <w:t>κα</w:t>
      </w:r>
      <w:proofErr w:type="spellStart"/>
      <w:r w:rsidR="00F86BF3">
        <w:t>ρδί</w:t>
      </w:r>
      <w:proofErr w:type="spellEnd"/>
      <w:r w:rsidR="00F86BF3">
        <w:t xml:space="preserve">α </w:t>
      </w:r>
      <w:r w:rsidRPr="00402A73">
        <w:t>(“heart”)</w:t>
      </w:r>
    </w:p>
    <w:p w14:paraId="60327424" w14:textId="77777777" w:rsidR="00F86BF3" w:rsidRDefault="00F86BF3" w:rsidP="00786ADB"/>
    <w:p w14:paraId="37390F85" w14:textId="363D13EE" w:rsidR="00BD14B1" w:rsidRDefault="0018433B" w:rsidP="00786ADB">
      <w:r w:rsidRPr="00402A73">
        <w:t>The likelihood that a catchword connection initially caused the association of these verses ranges from highly suspect (</w:t>
      </w:r>
      <w:r w:rsidR="00775F9B" w:rsidRPr="00775F9B">
        <w:rPr>
          <w:iCs/>
        </w:rPr>
        <w:t>e.g.</w:t>
      </w:r>
      <w:r w:rsidR="006F304D" w:rsidRPr="006F304D">
        <w:t xml:space="preserve">, </w:t>
      </w:r>
      <w:r w:rsidRPr="00402A73">
        <w:t>22 + 27) to probable (</w:t>
      </w:r>
      <w:r w:rsidR="00775F9B" w:rsidRPr="00775F9B">
        <w:rPr>
          <w:iCs/>
        </w:rPr>
        <w:t>e.g.</w:t>
      </w:r>
      <w:r w:rsidR="006F304D" w:rsidRPr="006F304D">
        <w:t xml:space="preserve">, </w:t>
      </w:r>
      <w:r w:rsidRPr="00402A73">
        <w:t>43-44 + 45).</w:t>
      </w:r>
      <w:r w:rsidR="0027511E" w:rsidRPr="0027511E">
        <w:rPr>
          <w:iCs/>
        </w:rPr>
        <w:t xml:space="preserve"> </w:t>
      </w:r>
      <w:r w:rsidRPr="00402A73">
        <w:t>But what is consistently the case is that</w:t>
      </w:r>
      <w:r w:rsidR="006F304D" w:rsidRPr="006F304D">
        <w:t xml:space="preserve">, </w:t>
      </w:r>
      <w:r w:rsidRPr="00402A73">
        <w:t>whether or not the verses were originally associated on the basis of catchword</w:t>
      </w:r>
      <w:r w:rsidR="006F304D" w:rsidRPr="006F304D">
        <w:t xml:space="preserve">, </w:t>
      </w:r>
      <w:r w:rsidRPr="00402A73">
        <w:rPr>
          <w:i/>
        </w:rPr>
        <w:t>they now make sense thematically.</w:t>
      </w:r>
      <w:r w:rsidR="0027511E" w:rsidRPr="0027511E">
        <w:rPr>
          <w:iCs/>
        </w:rPr>
        <w:t xml:space="preserve"> </w:t>
      </w:r>
      <w:r w:rsidRPr="00402A73">
        <w:t xml:space="preserve">This has already been extensively demonstrated in our discussion of logical connections in the sermon (chapters 8 and 9 </w:t>
      </w:r>
      <w:commentRangeStart w:id="90"/>
      <w:commentRangeEnd w:id="90"/>
      <w:r w:rsidRPr="00402A73">
        <w:rPr>
          <w:vanish/>
        </w:rPr>
        <w:commentReference w:id="90"/>
      </w:r>
      <w:r w:rsidRPr="00402A73">
        <w:t>above).</w:t>
      </w:r>
      <w:r w:rsidR="0027511E" w:rsidRPr="0027511E">
        <w:rPr>
          <w:iCs/>
        </w:rPr>
        <w:t xml:space="preserve"> </w:t>
      </w:r>
      <w:r w:rsidRPr="00402A73">
        <w:t>Thus</w:t>
      </w:r>
      <w:r w:rsidR="006F304D" w:rsidRPr="006F304D">
        <w:t xml:space="preserve">, </w:t>
      </w:r>
      <w:r w:rsidRPr="00402A73">
        <w:t>the possible presence of catchwords in the sermon</w:t>
      </w:r>
      <w:r w:rsidR="006F304D" w:rsidRPr="006F304D">
        <w:t xml:space="preserve">, </w:t>
      </w:r>
      <w:r w:rsidRPr="00402A73">
        <w:t>while it may be of primary interest to those whose preoccupation is the redaction history of the text</w:t>
      </w:r>
      <w:r w:rsidR="006F304D" w:rsidRPr="006F304D">
        <w:t xml:space="preserve">, </w:t>
      </w:r>
      <w:r w:rsidRPr="00402A73">
        <w:t>is only of secondary interest to those whose concern is the structure of the sermon in its present form.</w:t>
      </w:r>
      <w:r w:rsidR="0027511E" w:rsidRPr="0027511E">
        <w:rPr>
          <w:iCs/>
        </w:rPr>
        <w:t xml:space="preserve"> </w:t>
      </w:r>
      <w:r w:rsidRPr="00402A73">
        <w:t>In every proposed instance of catchword</w:t>
      </w:r>
      <w:r w:rsidR="006F304D" w:rsidRPr="006F304D">
        <w:t xml:space="preserve">, </w:t>
      </w:r>
      <w:r w:rsidRPr="00402A73">
        <w:t>present thematic considerations are sufficient—indeed</w:t>
      </w:r>
      <w:r w:rsidR="006F304D" w:rsidRPr="006F304D">
        <w:t xml:space="preserve">, </w:t>
      </w:r>
      <w:r w:rsidRPr="00402A73">
        <w:t>necessary—to explain the sermon’s structure.</w:t>
      </w:r>
    </w:p>
    <w:p w14:paraId="231538AF" w14:textId="77777777" w:rsidR="0018433B" w:rsidRDefault="0018433B" w:rsidP="00786ADB">
      <w:r>
        <w:br w:type="page"/>
      </w:r>
    </w:p>
    <w:p w14:paraId="50F04CB1" w14:textId="15DB1CBF" w:rsidR="0018433B" w:rsidRDefault="0018433B" w:rsidP="008F699A">
      <w:pPr>
        <w:pStyle w:val="Heading1"/>
      </w:pPr>
      <w:r>
        <w:lastRenderedPageBreak/>
        <w:fldChar w:fldCharType="begin"/>
      </w:r>
      <w:r>
        <w:instrText xml:space="preserve"> SEQ CHAPTER \h \r 1</w:instrText>
      </w:r>
      <w:r>
        <w:fldChar w:fldCharType="end"/>
      </w:r>
      <w:bookmarkStart w:id="91" w:name="_Toc147618651"/>
      <w:r w:rsidR="008F699A">
        <w:t xml:space="preserve">Chapter </w:t>
      </w:r>
      <w:r>
        <w:t>11</w:t>
      </w:r>
      <w:r w:rsidR="008F699A">
        <w:t>: Conclusion</w:t>
      </w:r>
      <w:bookmarkEnd w:id="91"/>
    </w:p>
    <w:p w14:paraId="2DBAFD91" w14:textId="77777777" w:rsidR="0018433B" w:rsidRDefault="0018433B" w:rsidP="00786ADB">
      <w:pPr>
        <w:widowControl w:val="0"/>
      </w:pPr>
    </w:p>
    <w:p w14:paraId="799E604A" w14:textId="2838F151" w:rsidR="0018433B" w:rsidRDefault="0018433B" w:rsidP="00786ADB">
      <w:pPr>
        <w:widowControl w:val="0"/>
      </w:pPr>
    </w:p>
    <w:p w14:paraId="4BE0F510" w14:textId="7FBA2F39" w:rsidR="0018433B" w:rsidRDefault="0018433B" w:rsidP="00B3722B">
      <w:pPr>
        <w:pStyle w:val="Heading2"/>
      </w:pPr>
      <w:bookmarkStart w:id="92" w:name="_Toc147618652"/>
      <w:r>
        <w:t>1.</w:t>
      </w:r>
      <w:r w:rsidR="0027511E" w:rsidRPr="0027511E">
        <w:rPr>
          <w:iCs/>
        </w:rPr>
        <w:t xml:space="preserve"> </w:t>
      </w:r>
      <w:r>
        <w:t>Positive and Negative Assessments</w:t>
      </w:r>
      <w:bookmarkEnd w:id="92"/>
    </w:p>
    <w:p w14:paraId="10263C29" w14:textId="77777777" w:rsidR="0018433B" w:rsidRDefault="0018433B" w:rsidP="00786ADB">
      <w:pPr>
        <w:widowControl w:val="0"/>
      </w:pPr>
    </w:p>
    <w:p w14:paraId="25DEA01A" w14:textId="6EFE707A" w:rsidR="0018433B" w:rsidRDefault="0018433B" w:rsidP="00786ADB">
      <w:pPr>
        <w:widowControl w:val="0"/>
      </w:pPr>
      <w:r>
        <w:tab/>
        <w:t>What perspectives present themselves</w:t>
      </w:r>
      <w:r w:rsidR="006F304D" w:rsidRPr="006F304D">
        <w:t xml:space="preserve">, </w:t>
      </w:r>
      <w:r>
        <w:t>as we now turn and survey the terrain we have traversed?</w:t>
      </w:r>
      <w:r w:rsidR="0027511E" w:rsidRPr="0027511E">
        <w:rPr>
          <w:iCs/>
        </w:rPr>
        <w:t xml:space="preserve"> </w:t>
      </w:r>
      <w:r w:rsidR="0097463B">
        <w:t xml:space="preserve">There </w:t>
      </w:r>
      <w:r>
        <w:t xml:space="preserve">have been both positive and negative </w:t>
      </w:r>
      <w:r w:rsidR="0097463B">
        <w:t>conclusions</w:t>
      </w:r>
      <w:r>
        <w:t>.</w:t>
      </w:r>
    </w:p>
    <w:p w14:paraId="68B0C98E" w14:textId="35A012FB" w:rsidR="0018433B" w:rsidRDefault="0018433B" w:rsidP="0097463B">
      <w:pPr>
        <w:widowControl w:val="0"/>
      </w:pPr>
      <w:r>
        <w:tab/>
      </w:r>
      <w:r w:rsidR="0097463B">
        <w:t xml:space="preserve">1) </w:t>
      </w:r>
      <w:r>
        <w:t>In chapter 6</w:t>
      </w:r>
      <w:r w:rsidR="006F304D" w:rsidRPr="006F304D">
        <w:t xml:space="preserve">, </w:t>
      </w:r>
      <w:r>
        <w:t>on numerical principles—the first chapter in which principles of structure were applied to the sermon on the plain—we discovered in the sermon some tendency toward a grouping of thoughts in fourfold units.</w:t>
      </w:r>
      <w:r w:rsidR="0027511E" w:rsidRPr="0027511E">
        <w:rPr>
          <w:iCs/>
        </w:rPr>
        <w:t xml:space="preserve"> </w:t>
      </w:r>
      <w:r>
        <w:t>The chief groups of four appear among the sermon’s earl</w:t>
      </w:r>
      <w:r w:rsidR="0097463B">
        <w:t>ier</w:t>
      </w:r>
      <w:r>
        <w:t xml:space="preserve"> verses: 6:20b-23</w:t>
      </w:r>
      <w:r w:rsidR="006F304D" w:rsidRPr="006F304D">
        <w:t xml:space="preserve">, </w:t>
      </w:r>
      <w:r>
        <w:t>24-26</w:t>
      </w:r>
      <w:r w:rsidR="006F304D" w:rsidRPr="006F304D">
        <w:t xml:space="preserve">, </w:t>
      </w:r>
      <w:r>
        <w:t>27b-28</w:t>
      </w:r>
      <w:r w:rsidR="006F304D" w:rsidRPr="006F304D">
        <w:t xml:space="preserve">, </w:t>
      </w:r>
      <w:r>
        <w:t>and 29a-30b.</w:t>
      </w:r>
      <w:r w:rsidR="0027511E" w:rsidRPr="0027511E">
        <w:rPr>
          <w:iCs/>
        </w:rPr>
        <w:t xml:space="preserve"> </w:t>
      </w:r>
      <w:r>
        <w:t xml:space="preserve">Despite Morgenthaler’s attempt to prove that each fourfold unit is simply the principle of </w:t>
      </w:r>
      <w:proofErr w:type="spellStart"/>
      <w:r>
        <w:t>twofoldness</w:t>
      </w:r>
      <w:proofErr w:type="spellEnd"/>
      <w:r>
        <w:t xml:space="preserve"> applied twice</w:t>
      </w:r>
      <w:r w:rsidR="006F304D" w:rsidRPr="006F304D">
        <w:t xml:space="preserve">, </w:t>
      </w:r>
      <w:r>
        <w:t>the units are genuinely fourfold units</w:t>
      </w:r>
      <w:r w:rsidR="006F304D" w:rsidRPr="006F304D">
        <w:t xml:space="preserve">, </w:t>
      </w:r>
      <w:r>
        <w:t>not duplicated twofold units.</w:t>
      </w:r>
      <w:r w:rsidR="0027511E" w:rsidRPr="0027511E">
        <w:rPr>
          <w:iCs/>
        </w:rPr>
        <w:t xml:space="preserve"> </w:t>
      </w:r>
      <w:r>
        <w:t>Grundmann’s and</w:t>
      </w:r>
      <w:r w:rsidR="006F304D" w:rsidRPr="006F304D">
        <w:t xml:space="preserve">, </w:t>
      </w:r>
      <w:r>
        <w:t>especially</w:t>
      </w:r>
      <w:r w:rsidR="006F304D" w:rsidRPr="006F304D">
        <w:t xml:space="preserve">, </w:t>
      </w:r>
      <w:r>
        <w:t xml:space="preserve">Ellis’ discussions of these series of four demonstrate that one can acknowledge instances of </w:t>
      </w:r>
      <w:proofErr w:type="spellStart"/>
      <w:r>
        <w:t>fourfoldness</w:t>
      </w:r>
      <w:proofErr w:type="spellEnd"/>
      <w:r>
        <w:t xml:space="preserve"> without succumbing to numerical obstinacy.</w:t>
      </w:r>
    </w:p>
    <w:p w14:paraId="363FCDE6" w14:textId="54B6A39E" w:rsidR="0018433B" w:rsidRDefault="0018433B" w:rsidP="00786ADB">
      <w:pPr>
        <w:widowControl w:val="0"/>
      </w:pPr>
      <w:r>
        <w:tab/>
        <w:t xml:space="preserve">But these fourfold units are </w:t>
      </w:r>
      <w:r w:rsidR="0097463B">
        <w:t xml:space="preserve">not </w:t>
      </w:r>
      <w:r>
        <w:t>merely instances of Semitic parallelism applied twice.</w:t>
      </w:r>
      <w:r w:rsidR="0027511E" w:rsidRPr="0027511E">
        <w:rPr>
          <w:iCs/>
        </w:rPr>
        <w:t xml:space="preserve"> </w:t>
      </w:r>
      <w:r>
        <w:t>V</w:t>
      </w:r>
      <w:r w:rsidR="0097463B">
        <w:t>erses</w:t>
      </w:r>
      <w:r>
        <w:t xml:space="preserve"> 27b-28 and 29a-30b contain four parallel members because they consist of short</w:t>
      </w:r>
      <w:r w:rsidR="006F304D" w:rsidRPr="006F304D">
        <w:t xml:space="preserve">, </w:t>
      </w:r>
      <w:r>
        <w:t>imperative clauses (the verbs are “love,” “do good,” “bless,” “pray”; “offer,” “withhold,” “give,” “ask”).</w:t>
      </w:r>
      <w:r w:rsidR="0027511E" w:rsidRPr="0027511E">
        <w:rPr>
          <w:iCs/>
        </w:rPr>
        <w:t xml:space="preserve"> </w:t>
      </w:r>
      <w:r>
        <w:t>The beatitudes and woes also</w:t>
      </w:r>
      <w:r w:rsidR="006F304D" w:rsidRPr="006F304D">
        <w:t xml:space="preserve">, </w:t>
      </w:r>
      <w:r>
        <w:t>though not imperative in a technical</w:t>
      </w:r>
      <w:r w:rsidR="006F304D" w:rsidRPr="006F304D">
        <w:t xml:space="preserve">, </w:t>
      </w:r>
      <w:r>
        <w:t>grammatical sense</w:t>
      </w:r>
      <w:r w:rsidR="006F304D" w:rsidRPr="006F304D">
        <w:t xml:space="preserve">, </w:t>
      </w:r>
      <w:r>
        <w:t>are prophetic admonitions which excite in the hearer a sense of urgency similar to that of the imperatives in 27-30.</w:t>
      </w:r>
      <w:r w:rsidR="0027511E" w:rsidRPr="0027511E">
        <w:rPr>
          <w:iCs/>
        </w:rPr>
        <w:t xml:space="preserve"> </w:t>
      </w:r>
      <w:r>
        <w:t>Nor are these verses the only series of imperative or admonitory clauses in the sermon: similar phenomena occur in 37-38 (“judge not,” “condemn not,” “forgive,” “give”) and 35a (“love your enemies</w:t>
      </w:r>
      <w:r w:rsidR="006F304D" w:rsidRPr="006F304D">
        <w:t xml:space="preserve">, </w:t>
      </w:r>
      <w:r>
        <w:t>and do good</w:t>
      </w:r>
      <w:r w:rsidR="006F304D" w:rsidRPr="006F304D">
        <w:t xml:space="preserve">, </w:t>
      </w:r>
      <w:r>
        <w:t>and lend”).</w:t>
      </w:r>
      <w:r w:rsidR="0097463B">
        <w:t xml:space="preserve"> </w:t>
      </w:r>
      <w:r>
        <w:t>This last example is especially instructive</w:t>
      </w:r>
      <w:r w:rsidR="006F304D" w:rsidRPr="006F304D">
        <w:t xml:space="preserve">, </w:t>
      </w:r>
      <w:r>
        <w:t xml:space="preserve">since its </w:t>
      </w:r>
      <w:r>
        <w:rPr>
          <w:i/>
        </w:rPr>
        <w:t>three</w:t>
      </w:r>
      <w:r>
        <w:t xml:space="preserve"> imperative verbs demonstrate that the device employed here is not so much a numerical principle as a </w:t>
      </w:r>
      <w:proofErr w:type="spellStart"/>
      <w:r>
        <w:t>contentual</w:t>
      </w:r>
      <w:proofErr w:type="spellEnd"/>
      <w:r>
        <w:t xml:space="preserve"> one: the aim is not mechanical adherence to a number but arousal of urgency by rapid hammer-blow clauses.</w:t>
      </w:r>
    </w:p>
    <w:p w14:paraId="48CAC539" w14:textId="5275F860" w:rsidR="0018433B" w:rsidRDefault="0018433B" w:rsidP="0097463B">
      <w:pPr>
        <w:widowControl w:val="0"/>
      </w:pPr>
      <w:r>
        <w:tab/>
      </w:r>
      <w:r w:rsidR="0097463B">
        <w:t xml:space="preserve">2) </w:t>
      </w:r>
      <w:r>
        <w:t>Another positive result of our investigation of the sermon’s structure is the determination of several instances of parallelism in the sermon.</w:t>
      </w:r>
      <w:r w:rsidR="0027511E" w:rsidRPr="0027511E">
        <w:rPr>
          <w:iCs/>
        </w:rPr>
        <w:t xml:space="preserve"> </w:t>
      </w:r>
      <w:r>
        <w:t>Excluding 27-30 and 37-38—which some label as synonymous and synthetic parallelism respectively</w:t>
      </w:r>
      <w:r w:rsidR="006F304D" w:rsidRPr="006F304D">
        <w:t xml:space="preserve">, </w:t>
      </w:r>
      <w:r>
        <w:t>but which</w:t>
      </w:r>
      <w:r w:rsidR="006F304D" w:rsidRPr="006F304D">
        <w:t xml:space="preserve">, </w:t>
      </w:r>
      <w:r>
        <w:t>as we have just seen</w:t>
      </w:r>
      <w:r w:rsidR="006F304D" w:rsidRPr="006F304D">
        <w:t xml:space="preserve">, </w:t>
      </w:r>
      <w:r>
        <w:t>result from a different principle—we have detected in the sermon: one instance of synonymous parallelism (45a//45b); two instances of synthetic (39b//39c); three instances of alternating</w:t>
      </w:r>
      <w:r w:rsidR="0097463B">
        <w:t xml:space="preserve"> </w:t>
      </w:r>
      <w:r>
        <w:t xml:space="preserve">(20b-23//24-26; 32//33//34; 47-48//49); and five </w:t>
      </w:r>
      <w:r w:rsidR="0097463B">
        <w:t xml:space="preserve">instances </w:t>
      </w:r>
      <w:r>
        <w:t>of antithetic (41a//41b</w:t>
      </w:r>
      <w:r w:rsidR="006F304D" w:rsidRPr="006F304D">
        <w:t xml:space="preserve">, </w:t>
      </w:r>
      <w:r>
        <w:t>42b//42c</w:t>
      </w:r>
      <w:r w:rsidR="006F304D" w:rsidRPr="006F304D">
        <w:t xml:space="preserve">, </w:t>
      </w:r>
      <w:r>
        <w:t>41-42c//42de</w:t>
      </w:r>
      <w:r w:rsidR="006F304D" w:rsidRPr="006F304D">
        <w:t xml:space="preserve">, </w:t>
      </w:r>
      <w:r>
        <w:t>43a//43b</w:t>
      </w:r>
      <w:r w:rsidR="006F304D" w:rsidRPr="006F304D">
        <w:t xml:space="preserve">, </w:t>
      </w:r>
      <w:r>
        <w:t>45a//45b).</w:t>
      </w:r>
      <w:r w:rsidR="0027511E" w:rsidRPr="0027511E">
        <w:rPr>
          <w:iCs/>
        </w:rPr>
        <w:t xml:space="preserve"> </w:t>
      </w:r>
      <w:r>
        <w:t xml:space="preserve">The proportions among these forms of parallelism are what might be expected from Jeremias’ examination of parallelism in all of Jesus’ logia: antithetic parallelism so predominates in Jesus’ sayings as to be virtually an indication of authenticity (if only a </w:t>
      </w:r>
      <w:r w:rsidR="0097463B">
        <w:t>confirming</w:t>
      </w:r>
      <w:r>
        <w:t xml:space="preserve"> one).</w:t>
      </w:r>
    </w:p>
    <w:p w14:paraId="25FCFF4A" w14:textId="7DD0238F" w:rsidR="0018433B" w:rsidRDefault="0018433B" w:rsidP="00786ADB">
      <w:pPr>
        <w:widowControl w:val="0"/>
      </w:pPr>
      <w:r>
        <w:tab/>
        <w:t>The instances of parallelism in the sermon which we have just listed</w:t>
      </w:r>
      <w:r w:rsidR="006F304D" w:rsidRPr="006F304D">
        <w:t xml:space="preserve">, </w:t>
      </w:r>
      <w:r>
        <w:t xml:space="preserve">it should be </w:t>
      </w:r>
      <w:r w:rsidR="0097463B">
        <w:t>added</w:t>
      </w:r>
      <w:r w:rsidR="006F304D" w:rsidRPr="006F304D">
        <w:t xml:space="preserve">, </w:t>
      </w:r>
      <w:r>
        <w:t xml:space="preserve">incorporate most of the instances of </w:t>
      </w:r>
      <w:proofErr w:type="spellStart"/>
      <w:r>
        <w:t>twofoldness</w:t>
      </w:r>
      <w:proofErr w:type="spellEnd"/>
      <w:r>
        <w:t xml:space="preserve"> that Morgenthaler finds in the sermon (e.g.</w:t>
      </w:r>
      <w:r w:rsidR="006F304D" w:rsidRPr="006F304D">
        <w:t xml:space="preserve">, </w:t>
      </w:r>
      <w:r>
        <w:t>6:23a</w:t>
      </w:r>
      <w:r w:rsidR="006F304D" w:rsidRPr="006F304D">
        <w:t xml:space="preserve">, </w:t>
      </w:r>
      <w:r>
        <w:t>27b-28</w:t>
      </w:r>
      <w:r w:rsidR="006F304D" w:rsidRPr="006F304D">
        <w:t xml:space="preserve">, </w:t>
      </w:r>
      <w:r>
        <w:t>29</w:t>
      </w:r>
      <w:r w:rsidR="006F304D" w:rsidRPr="006F304D">
        <w:t xml:space="preserve">, </w:t>
      </w:r>
      <w:r>
        <w:t>37ab</w:t>
      </w:r>
      <w:r w:rsidR="006F304D" w:rsidRPr="006F304D">
        <w:t xml:space="preserve">, </w:t>
      </w:r>
      <w:r>
        <w:t>43</w:t>
      </w:r>
      <w:r w:rsidR="006F304D" w:rsidRPr="006F304D">
        <w:t xml:space="preserve">, </w:t>
      </w:r>
      <w:r>
        <w:t>44b</w:t>
      </w:r>
      <w:r w:rsidR="006F304D" w:rsidRPr="006F304D">
        <w:t xml:space="preserve">, </w:t>
      </w:r>
      <w:r>
        <w:t>45).</w:t>
      </w:r>
      <w:r w:rsidR="0027511E" w:rsidRPr="0027511E">
        <w:rPr>
          <w:iCs/>
        </w:rPr>
        <w:t xml:space="preserve"> </w:t>
      </w:r>
      <w:r>
        <w:t xml:space="preserve">Parallelism explains the </w:t>
      </w:r>
      <w:proofErr w:type="spellStart"/>
      <w:r>
        <w:t>twofoldness</w:t>
      </w:r>
      <w:proofErr w:type="spellEnd"/>
      <w:r>
        <w:t xml:space="preserve"> in these verses; there is no need to resort to a </w:t>
      </w:r>
      <w:proofErr w:type="spellStart"/>
      <w:r>
        <w:rPr>
          <w:i/>
        </w:rPr>
        <w:t>Zweiheitsgesetz</w:t>
      </w:r>
      <w:proofErr w:type="spellEnd"/>
      <w:r>
        <w:t xml:space="preserve"> to explain them.</w:t>
      </w:r>
    </w:p>
    <w:p w14:paraId="75DA7CB7" w14:textId="3B212447" w:rsidR="0018433B" w:rsidRDefault="0018433B" w:rsidP="0097463B">
      <w:pPr>
        <w:widowControl w:val="0"/>
      </w:pPr>
      <w:r>
        <w:tab/>
      </w:r>
      <w:r w:rsidR="0097463B">
        <w:t xml:space="preserve">3) </w:t>
      </w:r>
      <w:r>
        <w:t xml:space="preserve">Most important of all among our positive results is the recognition that </w:t>
      </w:r>
      <w:r w:rsidR="00FE5E13">
        <w:t xml:space="preserve">we have arrived at a determination of the </w:t>
      </w:r>
      <w:r>
        <w:t>structure of the sermon on the plain.</w:t>
      </w:r>
      <w:r w:rsidR="0027511E" w:rsidRPr="0027511E">
        <w:rPr>
          <w:iCs/>
        </w:rPr>
        <w:t xml:space="preserve"> </w:t>
      </w:r>
      <w:r>
        <w:t>The details of our outline of the sermon are of course open to question</w:t>
      </w:r>
      <w:r w:rsidR="006F304D" w:rsidRPr="006F304D">
        <w:t xml:space="preserve">, </w:t>
      </w:r>
      <w:r>
        <w:t>and considerations may arise in the future that have not been taken into account.</w:t>
      </w:r>
      <w:r w:rsidR="0027511E" w:rsidRPr="0027511E">
        <w:rPr>
          <w:iCs/>
        </w:rPr>
        <w:t xml:space="preserve"> </w:t>
      </w:r>
      <w:r>
        <w:t>But I think we can safely say that</w:t>
      </w:r>
      <w:r w:rsidR="006F304D" w:rsidRPr="006F304D">
        <w:t xml:space="preserve">, </w:t>
      </w:r>
      <w:r>
        <w:t>so far as considerations of structure up to the present are concerned</w:t>
      </w:r>
      <w:r w:rsidR="006F304D" w:rsidRPr="006F304D">
        <w:t xml:space="preserve">, </w:t>
      </w:r>
      <w:r>
        <w:t>the outline of the sermon that we have deduced in chapters 8 and 9 has a good chance of being the correct one.</w:t>
      </w:r>
    </w:p>
    <w:p w14:paraId="59EF7995" w14:textId="493F43C5" w:rsidR="0018433B" w:rsidRDefault="0018433B" w:rsidP="00786ADB">
      <w:pPr>
        <w:widowControl w:val="0"/>
      </w:pPr>
      <w:r>
        <w:tab/>
        <w:t>Primarily</w:t>
      </w:r>
      <w:r w:rsidR="006F304D" w:rsidRPr="006F304D">
        <w:t xml:space="preserve">, </w:t>
      </w:r>
      <w:r>
        <w:t>we concluded</w:t>
      </w:r>
      <w:r w:rsidR="006F304D" w:rsidRPr="006F304D">
        <w:t xml:space="preserve">, </w:t>
      </w:r>
      <w:r>
        <w:t>the sermon on the plain has four major parts: an introduction</w:t>
      </w:r>
      <w:r w:rsidR="006F304D" w:rsidRPr="006F304D">
        <w:t xml:space="preserve">, </w:t>
      </w:r>
      <w:r>
        <w:t xml:space="preserve">a </w:t>
      </w:r>
      <w:r>
        <w:lastRenderedPageBreak/>
        <w:t>two-part middle</w:t>
      </w:r>
      <w:r w:rsidR="00FE5E13">
        <w:t>, and a conclusion</w:t>
      </w:r>
      <w:r>
        <w:t>.</w:t>
      </w:r>
      <w:r w:rsidR="0027511E" w:rsidRPr="0027511E">
        <w:rPr>
          <w:iCs/>
        </w:rPr>
        <w:t xml:space="preserve"> </w:t>
      </w:r>
      <w:r>
        <w:t xml:space="preserve">Nevertheless: </w:t>
      </w:r>
      <w:r>
        <w:rPr>
          <w:i/>
        </w:rPr>
        <w:t>the efforts by the majority of</w:t>
      </w:r>
      <w:r w:rsidRPr="00FE5E13">
        <w:rPr>
          <w:iCs/>
        </w:rPr>
        <w:t xml:space="preserve"> “</w:t>
      </w:r>
      <w:r>
        <w:rPr>
          <w:i/>
        </w:rPr>
        <w:t xml:space="preserve">two-part </w:t>
      </w:r>
      <w:proofErr w:type="spellStart"/>
      <w:r>
        <w:rPr>
          <w:i/>
        </w:rPr>
        <w:t>middlers</w:t>
      </w:r>
      <w:proofErr w:type="spellEnd"/>
      <w:r w:rsidRPr="00FE5E13">
        <w:rPr>
          <w:iCs/>
        </w:rPr>
        <w:t xml:space="preserve">” </w:t>
      </w:r>
      <w:r>
        <w:rPr>
          <w:i/>
        </w:rPr>
        <w:t>to establish a major break between v</w:t>
      </w:r>
      <w:r w:rsidR="00FE5E13">
        <w:rPr>
          <w:i/>
        </w:rPr>
        <w:t>erses</w:t>
      </w:r>
      <w:r>
        <w:rPr>
          <w:i/>
        </w:rPr>
        <w:t xml:space="preserve"> 38 and 39 are not compelling</w:t>
      </w:r>
      <w:r w:rsidRPr="00FE5E13">
        <w:rPr>
          <w:iCs/>
        </w:rPr>
        <w:t>.</w:t>
      </w:r>
      <w:r w:rsidR="0027511E" w:rsidRPr="0027511E">
        <w:rPr>
          <w:iCs/>
        </w:rPr>
        <w:t xml:space="preserve"> </w:t>
      </w:r>
      <w:r>
        <w:t xml:space="preserve">Not </w:t>
      </w:r>
      <w:r w:rsidR="00FE5E13">
        <w:t>a</w:t>
      </w:r>
      <w:r>
        <w:t xml:space="preserve"> division of the sermon according to “formulae of introduction” (Talbert</w:t>
      </w:r>
      <w:r w:rsidR="006F304D" w:rsidRPr="006F304D">
        <w:t xml:space="preserve">, </w:t>
      </w:r>
      <w:r>
        <w:t>Plummer</w:t>
      </w:r>
      <w:r w:rsidR="006F304D" w:rsidRPr="006F304D">
        <w:t xml:space="preserve">, </w:t>
      </w:r>
      <w:r>
        <w:t>Burnside</w:t>
      </w:r>
      <w:r w:rsidR="006F304D" w:rsidRPr="006F304D">
        <w:t xml:space="preserve">, </w:t>
      </w:r>
      <w:r>
        <w:t xml:space="preserve">Geldenhuys); nor </w:t>
      </w:r>
      <w:r w:rsidR="00FE5E13">
        <w:t xml:space="preserve">a </w:t>
      </w:r>
      <w:r>
        <w:t>division according to “prophetic,” “parenetic,” and “parabolic” genres (</w:t>
      </w:r>
      <w:proofErr w:type="spellStart"/>
      <w:r>
        <w:t>Heinrici</w:t>
      </w:r>
      <w:proofErr w:type="spellEnd"/>
      <w:r w:rsidR="006F304D" w:rsidRPr="006F304D">
        <w:t xml:space="preserve">, </w:t>
      </w:r>
      <w:r>
        <w:t>Klostermann</w:t>
      </w:r>
      <w:r w:rsidR="006F304D" w:rsidRPr="006F304D">
        <w:t xml:space="preserve">, </w:t>
      </w:r>
      <w:r>
        <w:t>Hauck</w:t>
      </w:r>
      <w:r w:rsidR="006F304D" w:rsidRPr="006F304D">
        <w:t xml:space="preserve">, </w:t>
      </w:r>
      <w:r>
        <w:t>Stöger</w:t>
      </w:r>
      <w:r w:rsidR="006F304D" w:rsidRPr="006F304D">
        <w:t xml:space="preserve">, </w:t>
      </w:r>
      <w:r>
        <w:t>Bundy</w:t>
      </w:r>
      <w:r w:rsidR="006F304D" w:rsidRPr="006F304D">
        <w:t xml:space="preserve">, </w:t>
      </w:r>
      <w:r>
        <w:t xml:space="preserve">Jeremias); nor </w:t>
      </w:r>
      <w:r w:rsidR="00FE5E13">
        <w:t xml:space="preserve">a </w:t>
      </w:r>
      <w:r>
        <w:t>restriction of v</w:t>
      </w:r>
      <w:r w:rsidR="00FE5E13">
        <w:t>erses</w:t>
      </w:r>
      <w:r>
        <w:t xml:space="preserve"> 39-49 to Christian leaders (Grundmann</w:t>
      </w:r>
      <w:r w:rsidR="006F304D" w:rsidRPr="006F304D">
        <w:t xml:space="preserve">, </w:t>
      </w:r>
      <w:proofErr w:type="spellStart"/>
      <w:r>
        <w:t>Dillersberger</w:t>
      </w:r>
      <w:proofErr w:type="spellEnd"/>
      <w:r w:rsidR="006F304D" w:rsidRPr="006F304D">
        <w:t xml:space="preserve">, </w:t>
      </w:r>
      <w:r>
        <w:t>Rengstorf</w:t>
      </w:r>
      <w:r w:rsidR="006F304D" w:rsidRPr="006F304D">
        <w:t xml:space="preserve">, </w:t>
      </w:r>
      <w:r>
        <w:t>Reiling</w:t>
      </w:r>
      <w:r w:rsidR="006F304D" w:rsidRPr="006F304D">
        <w:t xml:space="preserve">, </w:t>
      </w:r>
      <w:proofErr w:type="spellStart"/>
      <w:r>
        <w:t>Swellengrebel</w:t>
      </w:r>
      <w:proofErr w:type="spellEnd"/>
      <w:r>
        <w:t xml:space="preserve">) or false Christian teachers (Schürmann)—none of these </w:t>
      </w:r>
      <w:r w:rsidR="00FE5E13">
        <w:t xml:space="preserve">attempts to make the break between 38 and 39 pivotal </w:t>
      </w:r>
      <w:r>
        <w:t>adequately explains all aspects of the text of the sermon as Luke has left it to us.</w:t>
      </w:r>
    </w:p>
    <w:p w14:paraId="531821C5" w14:textId="33AC7212" w:rsidR="0018433B" w:rsidRDefault="0018433B" w:rsidP="00786ADB">
      <w:pPr>
        <w:widowControl w:val="0"/>
      </w:pPr>
      <w:r>
        <w:tab/>
      </w:r>
      <w:r w:rsidR="00FE5E13">
        <w:t xml:space="preserve">It </w:t>
      </w:r>
      <w:r>
        <w:t>does not follow</w:t>
      </w:r>
      <w:r w:rsidR="00FE5E13">
        <w:t>, on the other hand,</w:t>
      </w:r>
      <w:r>
        <w:t xml:space="preserve"> that all of the arguments advanced by the “three-part </w:t>
      </w:r>
      <w:proofErr w:type="spellStart"/>
      <w:r>
        <w:t>middlers</w:t>
      </w:r>
      <w:proofErr w:type="spellEnd"/>
      <w:r>
        <w:t>” are correct.</w:t>
      </w:r>
      <w:r w:rsidR="0027511E" w:rsidRPr="0027511E">
        <w:rPr>
          <w:iCs/>
        </w:rPr>
        <w:t xml:space="preserve"> </w:t>
      </w:r>
      <w:r>
        <w:t>In fact</w:t>
      </w:r>
      <w:r w:rsidR="006F304D" w:rsidRPr="006F304D">
        <w:t xml:space="preserve">, </w:t>
      </w:r>
      <w:r>
        <w:t>they cannot be: the variety of explications they have put forth—for v</w:t>
      </w:r>
      <w:r w:rsidR="00FE5E13">
        <w:t>erses</w:t>
      </w:r>
      <w:r>
        <w:t xml:space="preserve"> 39 and 40</w:t>
      </w:r>
      <w:r w:rsidR="006F304D" w:rsidRPr="006F304D">
        <w:t xml:space="preserve">, </w:t>
      </w:r>
      <w:r>
        <w:t>for example—is contradictory.</w:t>
      </w:r>
      <w:r>
        <w:rPr>
          <w:vertAlign w:val="superscript"/>
        </w:rPr>
        <w:footnoteReference w:id="776"/>
      </w:r>
      <w:r w:rsidR="0027511E" w:rsidRPr="0027511E">
        <w:rPr>
          <w:iCs/>
        </w:rPr>
        <w:t xml:space="preserve"> </w:t>
      </w:r>
      <w:r>
        <w:t>But their principal difficulty is that the major divisions they propose for the body of the sermon (27-36</w:t>
      </w:r>
      <w:r w:rsidR="006F304D" w:rsidRPr="006F304D">
        <w:t xml:space="preserve">, </w:t>
      </w:r>
      <w:r>
        <w:t>37-42</w:t>
      </w:r>
      <w:r w:rsidR="006F304D" w:rsidRPr="006F304D">
        <w:t xml:space="preserve">, </w:t>
      </w:r>
      <w:r>
        <w:t>43-45) contradict their stated understanding of v</w:t>
      </w:r>
      <w:r w:rsidR="00147269">
        <w:t>erses</w:t>
      </w:r>
      <w:r>
        <w:t xml:space="preserve"> 43-45.</w:t>
      </w:r>
      <w:r w:rsidR="0027511E" w:rsidRPr="0027511E">
        <w:rPr>
          <w:iCs/>
        </w:rPr>
        <w:t xml:space="preserve"> </w:t>
      </w:r>
      <w:r>
        <w:t xml:space="preserve">The best logical outline of the sermon’s middle sees in it only two major sections: not the two sections recommended by the “two-part </w:t>
      </w:r>
      <w:proofErr w:type="spellStart"/>
      <w:r>
        <w:t>middlers</w:t>
      </w:r>
      <w:proofErr w:type="spellEnd"/>
      <w:r>
        <w:t>” (27-38 and 39-45)</w:t>
      </w:r>
      <w:r w:rsidR="006F304D" w:rsidRPr="006F304D">
        <w:t xml:space="preserve">, </w:t>
      </w:r>
      <w:r>
        <w:t>but the two major sections</w:t>
      </w:r>
      <w:r w:rsidR="006F304D" w:rsidRPr="006F304D">
        <w:t xml:space="preserve">, </w:t>
      </w:r>
      <w:r>
        <w:t>27-36 and 37-45.</w:t>
      </w:r>
    </w:p>
    <w:p w14:paraId="5FD457D5" w14:textId="0A5DD58E" w:rsidR="0018433B" w:rsidRDefault="0018433B" w:rsidP="00786ADB">
      <w:pPr>
        <w:widowControl w:val="0"/>
      </w:pPr>
      <w:r>
        <w:tab/>
        <w:t>These two major sections</w:t>
      </w:r>
      <w:r w:rsidR="006F304D" w:rsidRPr="006F304D">
        <w:t xml:space="preserve">, </w:t>
      </w:r>
      <w:r>
        <w:t xml:space="preserve">which </w:t>
      </w:r>
      <w:r w:rsidR="00147269">
        <w:t xml:space="preserve">comprise </w:t>
      </w:r>
      <w:r>
        <w:t>the body of the sermon</w:t>
      </w:r>
      <w:r w:rsidR="006F304D" w:rsidRPr="006F304D">
        <w:t xml:space="preserve">, </w:t>
      </w:r>
      <w:r>
        <w:t>form</w:t>
      </w:r>
      <w:r w:rsidR="006F304D" w:rsidRPr="006F304D">
        <w:t xml:space="preserve">, </w:t>
      </w:r>
      <w:r>
        <w:t>with the introduction and conclusion</w:t>
      </w:r>
      <w:r w:rsidR="006F304D" w:rsidRPr="006F304D">
        <w:t xml:space="preserve">, </w:t>
      </w:r>
      <w:r>
        <w:t>the major sections of the sermon’s structure.</w:t>
      </w:r>
      <w:r w:rsidR="0027511E" w:rsidRPr="0027511E">
        <w:rPr>
          <w:iCs/>
        </w:rPr>
        <w:t xml:space="preserve"> </w:t>
      </w:r>
      <w:r>
        <w:t>If one adds the major subdivisions to the sections within the body</w:t>
      </w:r>
      <w:r w:rsidR="006F304D" w:rsidRPr="006F304D">
        <w:t xml:space="preserve">, </w:t>
      </w:r>
      <w:r>
        <w:t>then the structure of the sermon on the plain can be summarized as follows.</w:t>
      </w:r>
    </w:p>
    <w:p w14:paraId="7501A932" w14:textId="77777777" w:rsidR="00FE5E13" w:rsidRDefault="00FE5E13" w:rsidP="00786ADB">
      <w:pPr>
        <w:widowControl w:val="0"/>
      </w:pPr>
    </w:p>
    <w:p w14:paraId="703A7B57" w14:textId="2C6AEDDC" w:rsidR="0018433B" w:rsidRDefault="00147269" w:rsidP="00147269">
      <w:pPr>
        <w:widowControl w:val="0"/>
        <w:tabs>
          <w:tab w:val="left" w:pos="720"/>
          <w:tab w:val="left" w:pos="1080"/>
          <w:tab w:val="left" w:pos="1440"/>
          <w:tab w:val="left" w:pos="1800"/>
          <w:tab w:val="left" w:pos="2880"/>
        </w:tabs>
      </w:pPr>
      <w:r>
        <w:tab/>
        <w:t>1.</w:t>
      </w:r>
      <w:r w:rsidR="0018433B">
        <w:tab/>
        <w:t>20b-26</w:t>
      </w:r>
      <w:r>
        <w:tab/>
      </w:r>
      <w:r>
        <w:tab/>
      </w:r>
      <w:r w:rsidR="0018433B">
        <w:t>introduction</w:t>
      </w:r>
    </w:p>
    <w:p w14:paraId="0E9AA734" w14:textId="1D33D94E" w:rsidR="0018433B" w:rsidRDefault="00147269" w:rsidP="00147269">
      <w:pPr>
        <w:widowControl w:val="0"/>
        <w:tabs>
          <w:tab w:val="left" w:pos="720"/>
          <w:tab w:val="left" w:pos="1080"/>
          <w:tab w:val="left" w:pos="1440"/>
          <w:tab w:val="left" w:pos="1800"/>
          <w:tab w:val="left" w:pos="2880"/>
        </w:tabs>
      </w:pPr>
      <w:r>
        <w:tab/>
        <w:t>2.</w:t>
      </w:r>
      <w:r w:rsidRPr="00147269">
        <w:rPr>
          <w:iCs/>
        </w:rPr>
        <w:tab/>
      </w:r>
      <w:r w:rsidR="0018433B">
        <w:t>27-45</w:t>
      </w:r>
      <w:r w:rsidRPr="00147269">
        <w:rPr>
          <w:iCs/>
        </w:rPr>
        <w:tab/>
      </w:r>
      <w:r>
        <w:rPr>
          <w:iCs/>
        </w:rPr>
        <w:tab/>
      </w:r>
      <w:r w:rsidR="0018433B">
        <w:t>ethical exhortations</w:t>
      </w:r>
    </w:p>
    <w:p w14:paraId="5E0D2D43" w14:textId="568AA017" w:rsidR="0018433B" w:rsidRDefault="00147269" w:rsidP="00147269">
      <w:pPr>
        <w:widowControl w:val="0"/>
        <w:tabs>
          <w:tab w:val="left" w:pos="720"/>
          <w:tab w:val="left" w:pos="1080"/>
          <w:tab w:val="left" w:pos="1440"/>
          <w:tab w:val="left" w:pos="1800"/>
          <w:tab w:val="left" w:pos="2880"/>
        </w:tabs>
      </w:pPr>
      <w:r>
        <w:tab/>
      </w:r>
      <w:r>
        <w:tab/>
        <w:t>a.</w:t>
      </w:r>
      <w:r w:rsidRPr="00147269">
        <w:rPr>
          <w:iCs/>
        </w:rPr>
        <w:tab/>
      </w:r>
      <w:r w:rsidR="0018433B">
        <w:t>27-36</w:t>
      </w:r>
      <w:r w:rsidR="0018433B">
        <w:tab/>
        <w:t>on love of enemies</w:t>
      </w:r>
    </w:p>
    <w:p w14:paraId="3A8E4619" w14:textId="222EDC5D" w:rsidR="0018433B" w:rsidRDefault="00147269" w:rsidP="00147269">
      <w:pPr>
        <w:widowControl w:val="0"/>
        <w:tabs>
          <w:tab w:val="left" w:pos="720"/>
          <w:tab w:val="left" w:pos="1080"/>
          <w:tab w:val="left" w:pos="1440"/>
          <w:tab w:val="left" w:pos="1800"/>
          <w:tab w:val="left" w:pos="2880"/>
        </w:tabs>
      </w:pPr>
      <w:r>
        <w:tab/>
      </w:r>
      <w:r>
        <w:tab/>
      </w:r>
      <w:r>
        <w:tab/>
        <w:t>1)</w:t>
      </w:r>
      <w:r w:rsidRPr="00147269">
        <w:rPr>
          <w:iCs/>
        </w:rPr>
        <w:tab/>
      </w:r>
      <w:r w:rsidR="0018433B">
        <w:t>27-31</w:t>
      </w:r>
      <w:r w:rsidR="0018433B">
        <w:tab/>
        <w:t>non-retaliation</w:t>
      </w:r>
    </w:p>
    <w:p w14:paraId="7F23EFFD" w14:textId="77C94C13" w:rsidR="0018433B" w:rsidRDefault="00147269" w:rsidP="00147269">
      <w:pPr>
        <w:widowControl w:val="0"/>
        <w:tabs>
          <w:tab w:val="left" w:pos="720"/>
          <w:tab w:val="left" w:pos="1080"/>
          <w:tab w:val="left" w:pos="1440"/>
          <w:tab w:val="left" w:pos="1800"/>
          <w:tab w:val="left" w:pos="2880"/>
        </w:tabs>
      </w:pPr>
      <w:r>
        <w:tab/>
      </w:r>
      <w:r>
        <w:tab/>
      </w:r>
      <w:r>
        <w:tab/>
        <w:t>2)</w:t>
      </w:r>
      <w:r w:rsidRPr="00147269">
        <w:rPr>
          <w:iCs/>
        </w:rPr>
        <w:tab/>
      </w:r>
      <w:r w:rsidR="0018433B">
        <w:t>32-36</w:t>
      </w:r>
      <w:r w:rsidR="0018433B">
        <w:tab/>
        <w:t>love of enemies</w:t>
      </w:r>
    </w:p>
    <w:p w14:paraId="20BAC4FB" w14:textId="03170F7E" w:rsidR="0018433B" w:rsidRDefault="00147269" w:rsidP="00147269">
      <w:pPr>
        <w:widowControl w:val="0"/>
        <w:tabs>
          <w:tab w:val="left" w:pos="720"/>
          <w:tab w:val="left" w:pos="1080"/>
          <w:tab w:val="left" w:pos="1440"/>
          <w:tab w:val="left" w:pos="1800"/>
          <w:tab w:val="left" w:pos="2880"/>
        </w:tabs>
      </w:pPr>
      <w:r>
        <w:tab/>
      </w:r>
      <w:r>
        <w:tab/>
        <w:t>b.</w:t>
      </w:r>
      <w:r w:rsidRPr="00147269">
        <w:rPr>
          <w:iCs/>
        </w:rPr>
        <w:tab/>
      </w:r>
      <w:r w:rsidR="0018433B">
        <w:t>37-45</w:t>
      </w:r>
      <w:r w:rsidR="0018433B">
        <w:tab/>
        <w:t>on judging</w:t>
      </w:r>
    </w:p>
    <w:p w14:paraId="3823A5A1" w14:textId="02E318F0" w:rsidR="0018433B" w:rsidRDefault="00147269" w:rsidP="00147269">
      <w:pPr>
        <w:widowControl w:val="0"/>
        <w:tabs>
          <w:tab w:val="left" w:pos="720"/>
          <w:tab w:val="left" w:pos="1080"/>
          <w:tab w:val="left" w:pos="1440"/>
          <w:tab w:val="left" w:pos="1800"/>
          <w:tab w:val="left" w:pos="2880"/>
        </w:tabs>
      </w:pPr>
      <w:r>
        <w:tab/>
      </w:r>
      <w:r>
        <w:tab/>
      </w:r>
      <w:r>
        <w:tab/>
        <w:t>1)</w:t>
      </w:r>
      <w:r w:rsidRPr="00147269">
        <w:rPr>
          <w:iCs/>
        </w:rPr>
        <w:tab/>
      </w:r>
      <w:r w:rsidR="0018433B">
        <w:t>37-38</w:t>
      </w:r>
      <w:r w:rsidR="0018433B">
        <w:tab/>
        <w:t>judge not</w:t>
      </w:r>
    </w:p>
    <w:p w14:paraId="72C57A74" w14:textId="2308331E" w:rsidR="0018433B" w:rsidRDefault="00147269" w:rsidP="00147269">
      <w:pPr>
        <w:widowControl w:val="0"/>
        <w:tabs>
          <w:tab w:val="left" w:pos="720"/>
          <w:tab w:val="left" w:pos="1080"/>
          <w:tab w:val="left" w:pos="1440"/>
          <w:tab w:val="left" w:pos="1800"/>
          <w:tab w:val="left" w:pos="2880"/>
        </w:tabs>
      </w:pPr>
      <w:r>
        <w:tab/>
      </w:r>
      <w:r>
        <w:tab/>
      </w:r>
      <w:r>
        <w:tab/>
        <w:t>2)</w:t>
      </w:r>
      <w:r w:rsidRPr="00147269">
        <w:rPr>
          <w:iCs/>
        </w:rPr>
        <w:tab/>
      </w:r>
      <w:r w:rsidR="0018433B">
        <w:t>39-40</w:t>
      </w:r>
      <w:r w:rsidR="0018433B">
        <w:tab/>
        <w:t>blind leading blind;</w:t>
      </w:r>
      <w:r>
        <w:t xml:space="preserve"> </w:t>
      </w:r>
      <w:r w:rsidR="0018433B">
        <w:t>disciple and teacher</w:t>
      </w:r>
    </w:p>
    <w:p w14:paraId="1CF7B41F" w14:textId="149218F3" w:rsidR="0018433B" w:rsidRDefault="00147269" w:rsidP="00147269">
      <w:pPr>
        <w:widowControl w:val="0"/>
        <w:tabs>
          <w:tab w:val="left" w:pos="720"/>
          <w:tab w:val="left" w:pos="1080"/>
          <w:tab w:val="left" w:pos="1440"/>
          <w:tab w:val="left" w:pos="1800"/>
          <w:tab w:val="left" w:pos="2880"/>
        </w:tabs>
      </w:pPr>
      <w:r>
        <w:tab/>
      </w:r>
      <w:r>
        <w:tab/>
      </w:r>
      <w:r>
        <w:tab/>
        <w:t>3)</w:t>
      </w:r>
      <w:r w:rsidRPr="00147269">
        <w:rPr>
          <w:iCs/>
        </w:rPr>
        <w:tab/>
      </w:r>
      <w:r w:rsidR="0018433B">
        <w:t>41-42</w:t>
      </w:r>
      <w:r w:rsidR="0018433B">
        <w:tab/>
        <w:t>speck and log</w:t>
      </w:r>
    </w:p>
    <w:p w14:paraId="65C5C607" w14:textId="17C76B86" w:rsidR="0018433B" w:rsidRDefault="00147269" w:rsidP="00147269">
      <w:pPr>
        <w:widowControl w:val="0"/>
        <w:tabs>
          <w:tab w:val="left" w:pos="720"/>
          <w:tab w:val="left" w:pos="1080"/>
          <w:tab w:val="left" w:pos="1440"/>
          <w:tab w:val="left" w:pos="1800"/>
          <w:tab w:val="left" w:pos="2880"/>
        </w:tabs>
      </w:pPr>
      <w:r>
        <w:tab/>
      </w:r>
      <w:r>
        <w:tab/>
      </w:r>
      <w:r>
        <w:tab/>
        <w:t>4)</w:t>
      </w:r>
      <w:r w:rsidRPr="00147269">
        <w:rPr>
          <w:iCs/>
        </w:rPr>
        <w:tab/>
      </w:r>
      <w:r w:rsidR="0018433B">
        <w:t>43-45</w:t>
      </w:r>
      <w:r w:rsidR="0018433B">
        <w:tab/>
        <w:t>trees and fruits</w:t>
      </w:r>
    </w:p>
    <w:p w14:paraId="6F4AE04B" w14:textId="19DD2A2B" w:rsidR="0018433B" w:rsidRDefault="00147269" w:rsidP="00147269">
      <w:pPr>
        <w:widowControl w:val="0"/>
        <w:tabs>
          <w:tab w:val="left" w:pos="-600"/>
          <w:tab w:val="left" w:pos="720"/>
          <w:tab w:val="left" w:pos="1080"/>
          <w:tab w:val="left" w:pos="1440"/>
          <w:tab w:val="left" w:pos="1800"/>
          <w:tab w:val="left" w:pos="2880"/>
        </w:tabs>
      </w:pPr>
      <w:r>
        <w:tab/>
        <w:t>3.</w:t>
      </w:r>
      <w:r w:rsidRPr="00147269">
        <w:rPr>
          <w:iCs/>
        </w:rPr>
        <w:tab/>
      </w:r>
      <w:r w:rsidR="0018433B">
        <w:t>46-49</w:t>
      </w:r>
      <w:r>
        <w:rPr>
          <w:iCs/>
        </w:rPr>
        <w:tab/>
      </w:r>
      <w:r>
        <w:rPr>
          <w:iCs/>
        </w:rPr>
        <w:tab/>
      </w:r>
      <w:r w:rsidR="0018433B">
        <w:t>conclusion</w:t>
      </w:r>
    </w:p>
    <w:p w14:paraId="268B90B6" w14:textId="77777777" w:rsidR="0018433B" w:rsidRDefault="0018433B" w:rsidP="00786ADB">
      <w:pPr>
        <w:widowControl w:val="0"/>
      </w:pPr>
    </w:p>
    <w:p w14:paraId="533B6C82" w14:textId="15A42A14" w:rsidR="0018433B" w:rsidRDefault="0018433B" w:rsidP="00786ADB">
      <w:pPr>
        <w:widowControl w:val="0"/>
      </w:pPr>
      <w:r>
        <w:tab/>
        <w:t>The three conclusions we have presented are our principal positive gains.</w:t>
      </w:r>
      <w:r w:rsidR="0027511E" w:rsidRPr="0027511E">
        <w:rPr>
          <w:iCs/>
        </w:rPr>
        <w:t xml:space="preserve"> </w:t>
      </w:r>
      <w:r>
        <w:t>But there are negative gains as well.</w:t>
      </w:r>
      <w:r w:rsidR="0027511E" w:rsidRPr="0027511E">
        <w:rPr>
          <w:iCs/>
        </w:rPr>
        <w:t xml:space="preserve"> </w:t>
      </w:r>
      <w:r>
        <w:t>We have demonstrated that the structure of the sermon is not based on a numerical principle.</w:t>
      </w:r>
      <w:r w:rsidR="0027511E" w:rsidRPr="0027511E">
        <w:rPr>
          <w:iCs/>
        </w:rPr>
        <w:t xml:space="preserve"> </w:t>
      </w:r>
      <w:r>
        <w:t xml:space="preserve">Neither a law of </w:t>
      </w:r>
      <w:proofErr w:type="spellStart"/>
      <w:r>
        <w:t>twofoldness</w:t>
      </w:r>
      <w:proofErr w:type="spellEnd"/>
      <w:r>
        <w:t xml:space="preserve"> (</w:t>
      </w:r>
      <w:proofErr w:type="spellStart"/>
      <w:r>
        <w:t>Dobschütz</w:t>
      </w:r>
      <w:proofErr w:type="spellEnd"/>
      <w:r w:rsidR="006F304D" w:rsidRPr="006F304D">
        <w:t xml:space="preserve">, </w:t>
      </w:r>
      <w:r>
        <w:t>Brun</w:t>
      </w:r>
      <w:r w:rsidR="006F304D" w:rsidRPr="006F304D">
        <w:t xml:space="preserve">, </w:t>
      </w:r>
      <w:r>
        <w:t>Morgenthaler</w:t>
      </w:r>
      <w:r w:rsidR="006F304D" w:rsidRPr="006F304D">
        <w:t xml:space="preserve">, </w:t>
      </w:r>
      <w:r>
        <w:t>Talbert)</w:t>
      </w:r>
      <w:r w:rsidR="006F304D" w:rsidRPr="006F304D">
        <w:t xml:space="preserve">, </w:t>
      </w:r>
      <w:r>
        <w:t xml:space="preserve">nor a law of </w:t>
      </w:r>
      <w:proofErr w:type="spellStart"/>
      <w:r>
        <w:t>threefoldness</w:t>
      </w:r>
      <w:proofErr w:type="spellEnd"/>
      <w:r>
        <w:t xml:space="preserve"> (</w:t>
      </w:r>
      <w:proofErr w:type="spellStart"/>
      <w:r>
        <w:t>Dobschütz</w:t>
      </w:r>
      <w:proofErr w:type="spellEnd"/>
      <w:r w:rsidR="006F304D" w:rsidRPr="006F304D">
        <w:t xml:space="preserve">, </w:t>
      </w:r>
      <w:r>
        <w:t>Sparks</w:t>
      </w:r>
      <w:r w:rsidR="006F304D" w:rsidRPr="006F304D">
        <w:t xml:space="preserve">, </w:t>
      </w:r>
      <w:r>
        <w:t>Ellis</w:t>
      </w:r>
      <w:r w:rsidR="006F304D" w:rsidRPr="006F304D">
        <w:t xml:space="preserve">, </w:t>
      </w:r>
      <w:proofErr w:type="spellStart"/>
      <w:r>
        <w:t>Unnik</w:t>
      </w:r>
      <w:proofErr w:type="spellEnd"/>
      <w:r w:rsidR="006F304D" w:rsidRPr="006F304D">
        <w:t xml:space="preserve">, </w:t>
      </w:r>
      <w:r>
        <w:t>Wilkens</w:t>
      </w:r>
      <w:r w:rsidR="006F304D" w:rsidRPr="006F304D">
        <w:t xml:space="preserve">, </w:t>
      </w:r>
      <w:r>
        <w:t>Horn)</w:t>
      </w:r>
      <w:r w:rsidR="006F304D" w:rsidRPr="006F304D">
        <w:t xml:space="preserve">, </w:t>
      </w:r>
      <w:r>
        <w:t xml:space="preserve">nor a law of </w:t>
      </w:r>
      <w:proofErr w:type="spellStart"/>
      <w:r>
        <w:t>fourfoldness</w:t>
      </w:r>
      <w:proofErr w:type="spellEnd"/>
      <w:r>
        <w:t xml:space="preserve"> (Grundmann</w:t>
      </w:r>
      <w:r w:rsidR="006F304D" w:rsidRPr="006F304D">
        <w:t xml:space="preserve">, </w:t>
      </w:r>
      <w:r>
        <w:t>Ellis</w:t>
      </w:r>
      <w:r w:rsidR="006F304D" w:rsidRPr="006F304D">
        <w:t xml:space="preserve">, </w:t>
      </w:r>
      <w:r>
        <w:t>Talbert</w:t>
      </w:r>
      <w:r w:rsidR="006F304D" w:rsidRPr="006F304D">
        <w:t xml:space="preserve">, </w:t>
      </w:r>
      <w:r>
        <w:t xml:space="preserve">Horn) has been established as </w:t>
      </w:r>
      <w:proofErr w:type="spellStart"/>
      <w:r>
        <w:t>a</w:t>
      </w:r>
      <w:proofErr w:type="spellEnd"/>
      <w:r>
        <w:t xml:space="preserve"> organizational principle used by Luke to structure the sermon.</w:t>
      </w:r>
      <w:r w:rsidR="0027511E" w:rsidRPr="0027511E">
        <w:rPr>
          <w:iCs/>
        </w:rPr>
        <w:t xml:space="preserve"> </w:t>
      </w:r>
      <w:r>
        <w:t xml:space="preserve">Nor is the case any better for the </w:t>
      </w:r>
      <w:r w:rsidR="00674828">
        <w:t xml:space="preserve">many </w:t>
      </w:r>
      <w:r>
        <w:t xml:space="preserve">chiasms proposed for the sermon </w:t>
      </w:r>
      <w:r>
        <w:lastRenderedPageBreak/>
        <w:t xml:space="preserve">by Morgenthaler and </w:t>
      </w:r>
      <w:proofErr w:type="spellStart"/>
      <w:r>
        <w:t>Meynet</w:t>
      </w:r>
      <w:proofErr w:type="spellEnd"/>
      <w:r w:rsidR="006F304D" w:rsidRPr="006F304D">
        <w:t xml:space="preserve">, </w:t>
      </w:r>
      <w:r>
        <w:t>or the occasional inclusions proposed by Morgenthaler and Talbert.</w:t>
      </w:r>
      <w:r w:rsidR="0027511E" w:rsidRPr="0027511E">
        <w:rPr>
          <w:iCs/>
        </w:rPr>
        <w:t xml:space="preserve"> </w:t>
      </w:r>
      <w:r>
        <w:t>Attempts to discern rhythmic patterns in the sermon (Burney</w:t>
      </w:r>
      <w:r w:rsidR="006F304D" w:rsidRPr="006F304D">
        <w:t xml:space="preserve">, </w:t>
      </w:r>
      <w:r>
        <w:t>Ernst</w:t>
      </w:r>
      <w:r w:rsidR="006F304D" w:rsidRPr="006F304D">
        <w:t xml:space="preserve">, </w:t>
      </w:r>
      <w:r>
        <w:t>Topel) have also prove</w:t>
      </w:r>
      <w:r w:rsidR="00674828">
        <w:t>d</w:t>
      </w:r>
      <w:r>
        <w:t xml:space="preserve"> inadequate.</w:t>
      </w:r>
      <w:r w:rsidR="0027511E" w:rsidRPr="0027511E">
        <w:rPr>
          <w:iCs/>
        </w:rPr>
        <w:t xml:space="preserve"> </w:t>
      </w:r>
      <w:r>
        <w:t>The sermon</w:t>
      </w:r>
      <w:r w:rsidR="006F304D" w:rsidRPr="006F304D">
        <w:t xml:space="preserve">, </w:t>
      </w:r>
      <w:r>
        <w:t>then</w:t>
      </w:r>
      <w:r w:rsidR="006F304D" w:rsidRPr="006F304D">
        <w:t xml:space="preserve">, </w:t>
      </w:r>
      <w:r>
        <w:t xml:space="preserve">is </w:t>
      </w:r>
      <w:r>
        <w:rPr>
          <w:i/>
        </w:rPr>
        <w:t>not</w:t>
      </w:r>
      <w:r>
        <w:t xml:space="preserve"> structured according to a numerical principle</w:t>
      </w:r>
      <w:r w:rsidR="006F304D" w:rsidRPr="006F304D">
        <w:t xml:space="preserve">, </w:t>
      </w:r>
      <w:r>
        <w:t>rigidly applied throughout; nor is it structured according to chiasms</w:t>
      </w:r>
      <w:r w:rsidR="006F304D" w:rsidRPr="006F304D">
        <w:t xml:space="preserve">, </w:t>
      </w:r>
      <w:r>
        <w:t>or inclusions</w:t>
      </w:r>
      <w:r w:rsidR="006F304D" w:rsidRPr="006F304D">
        <w:t xml:space="preserve">, </w:t>
      </w:r>
      <w:r>
        <w:t>or rhythms; nor is it</w:t>
      </w:r>
      <w:r w:rsidR="006F304D" w:rsidRPr="006F304D">
        <w:t xml:space="preserve">, </w:t>
      </w:r>
      <w:r>
        <w:t>despite their presence in the sermon</w:t>
      </w:r>
      <w:r w:rsidR="006F304D" w:rsidRPr="006F304D">
        <w:t xml:space="preserve">, </w:t>
      </w:r>
      <w:r>
        <w:t>fundamentally structured according to parallelisms or catchwords.</w:t>
      </w:r>
      <w:r w:rsidR="0027511E" w:rsidRPr="0027511E">
        <w:rPr>
          <w:iCs/>
        </w:rPr>
        <w:t xml:space="preserve"> </w:t>
      </w:r>
      <w:r>
        <w:t>The sermon’s structure</w:t>
      </w:r>
      <w:r w:rsidR="006F304D" w:rsidRPr="006F304D">
        <w:t xml:space="preserve">, </w:t>
      </w:r>
      <w:r>
        <w:t>in short</w:t>
      </w:r>
      <w:r w:rsidR="006F304D" w:rsidRPr="006F304D">
        <w:t xml:space="preserve">, </w:t>
      </w:r>
      <w:r>
        <w:t>is thematic; and the proper method by which to determine that structure is logical outlining.</w:t>
      </w:r>
    </w:p>
    <w:p w14:paraId="29BEA1A0" w14:textId="77777777" w:rsidR="0018433B" w:rsidRDefault="0018433B" w:rsidP="00786ADB">
      <w:pPr>
        <w:widowControl w:val="0"/>
      </w:pPr>
    </w:p>
    <w:p w14:paraId="114B4E45" w14:textId="4BE226AD" w:rsidR="0018433B" w:rsidRDefault="0018433B" w:rsidP="00B3722B">
      <w:pPr>
        <w:pStyle w:val="Heading2"/>
      </w:pPr>
      <w:bookmarkStart w:id="93" w:name="_Toc147618653"/>
      <w:r>
        <w:t>2.</w:t>
      </w:r>
      <w:r w:rsidR="0027511E" w:rsidRPr="0027511E">
        <w:rPr>
          <w:iCs/>
        </w:rPr>
        <w:t xml:space="preserve"> </w:t>
      </w:r>
      <w:r>
        <w:t>Bedeviling Subjectivism</w:t>
      </w:r>
      <w:bookmarkEnd w:id="93"/>
    </w:p>
    <w:p w14:paraId="11066A10" w14:textId="77777777" w:rsidR="0018433B" w:rsidRDefault="0018433B" w:rsidP="00786ADB">
      <w:pPr>
        <w:widowControl w:val="0"/>
      </w:pPr>
    </w:p>
    <w:p w14:paraId="3E1F95BE" w14:textId="3F0FA3AA" w:rsidR="0018433B" w:rsidRDefault="0018433B" w:rsidP="00786ADB">
      <w:pPr>
        <w:widowControl w:val="0"/>
      </w:pPr>
      <w:r>
        <w:tab/>
        <w:t>Yet even these negative conclusions can positively advance our understanding</w:t>
      </w:r>
      <w:r w:rsidR="006F304D" w:rsidRPr="006F304D">
        <w:t xml:space="preserve">, </w:t>
      </w:r>
      <w:r>
        <w:t>not only of the structure of the sermon on the plain</w:t>
      </w:r>
      <w:r w:rsidR="006F304D" w:rsidRPr="006F304D">
        <w:t xml:space="preserve">, </w:t>
      </w:r>
      <w:r>
        <w:t>but also of the process of rhetorical criticism.</w:t>
      </w:r>
      <w:r w:rsidR="0027511E" w:rsidRPr="0027511E">
        <w:rPr>
          <w:iCs/>
        </w:rPr>
        <w:t xml:space="preserve"> </w:t>
      </w:r>
      <w:r>
        <w:t>For</w:t>
      </w:r>
      <w:r w:rsidR="006F304D" w:rsidRPr="006F304D">
        <w:t xml:space="preserve">, </w:t>
      </w:r>
      <w:r>
        <w:t>given the variety of proposals which have prove</w:t>
      </w:r>
      <w:r w:rsidR="00674828">
        <w:t>d</w:t>
      </w:r>
      <w:r>
        <w:t xml:space="preserve"> to be without foundation</w:t>
      </w:r>
      <w:r w:rsidR="006F304D" w:rsidRPr="006F304D">
        <w:t xml:space="preserve">, </w:t>
      </w:r>
      <w:r>
        <w:t xml:space="preserve">one must wonder how it can be that so many suggestions </w:t>
      </w:r>
      <w:r w:rsidR="00674828">
        <w:t xml:space="preserve">have </w:t>
      </w:r>
      <w:r>
        <w:t>be proposed.</w:t>
      </w:r>
      <w:r w:rsidR="0027511E" w:rsidRPr="0027511E">
        <w:rPr>
          <w:iCs/>
        </w:rPr>
        <w:t xml:space="preserve"> </w:t>
      </w:r>
      <w:r>
        <w:t>The problem vexing most of these attempts to discern the sermon’s structure seems to be subjectivism.</w:t>
      </w:r>
    </w:p>
    <w:p w14:paraId="5CC08120" w14:textId="09F0E868" w:rsidR="0018433B" w:rsidRDefault="0018433B" w:rsidP="00786ADB">
      <w:pPr>
        <w:widowControl w:val="0"/>
      </w:pPr>
      <w:r>
        <w:tab/>
        <w:t>The subjectivity of these proposals has not gone unnoticed; in fact</w:t>
      </w:r>
      <w:r w:rsidR="006F304D" w:rsidRPr="006F304D">
        <w:t xml:space="preserve">, </w:t>
      </w:r>
      <w:r>
        <w:t>it has brought forth denunciations from several authors.</w:t>
      </w:r>
      <w:r w:rsidR="0027511E" w:rsidRPr="0027511E">
        <w:rPr>
          <w:iCs/>
        </w:rPr>
        <w:t xml:space="preserve"> </w:t>
      </w:r>
      <w:r>
        <w:t>The enthusiasm with which numerical principles</w:t>
      </w:r>
      <w:r w:rsidR="006F304D" w:rsidRPr="006F304D">
        <w:t xml:space="preserve">, </w:t>
      </w:r>
      <w:r>
        <w:t>for example</w:t>
      </w:r>
      <w:r w:rsidR="006F304D" w:rsidRPr="006F304D">
        <w:t xml:space="preserve">, </w:t>
      </w:r>
      <w:r>
        <w:t xml:space="preserve">have been applied to Luke and Acts has brought forth a rather harsh castigation from </w:t>
      </w:r>
      <w:r w:rsidR="00674828" w:rsidRPr="00674828">
        <w:rPr>
          <w:iCs/>
        </w:rPr>
        <w:t>H.J.</w:t>
      </w:r>
      <w:r>
        <w:t xml:space="preserve"> Cadbury:</w:t>
      </w:r>
    </w:p>
    <w:p w14:paraId="2021DFE3" w14:textId="77777777" w:rsidR="00674828" w:rsidRDefault="00674828" w:rsidP="00786ADB">
      <w:pPr>
        <w:widowControl w:val="0"/>
      </w:pPr>
    </w:p>
    <w:p w14:paraId="60268011" w14:textId="7B2F4CFC" w:rsidR="0018433B" w:rsidRDefault="0018433B" w:rsidP="00786ADB">
      <w:pPr>
        <w:widowControl w:val="0"/>
        <w:ind w:left="605" w:right="605"/>
      </w:pPr>
      <w:r>
        <w:t>the modern efforts to detect a subtle plan in the author's arrangement are doubtless misplaced.</w:t>
      </w:r>
      <w:r w:rsidR="0027511E" w:rsidRPr="0027511E">
        <w:rPr>
          <w:iCs/>
        </w:rPr>
        <w:t xml:space="preserve"> </w:t>
      </w:r>
      <w:r>
        <w:t>The triplications which a recent discoverer finds in the gospel</w:t>
      </w:r>
      <w:r w:rsidR="006F304D" w:rsidRPr="006F304D">
        <w:t xml:space="preserve">, </w:t>
      </w:r>
      <w:r>
        <w:t>and the six panels which Turner created for a chronological analysis of Acts</w:t>
      </w:r>
      <w:r w:rsidR="006F304D" w:rsidRPr="006F304D">
        <w:t xml:space="preserve">, </w:t>
      </w:r>
      <w:r>
        <w:t xml:space="preserve">are a discovery that would surprise no one more than the author of these volumes. . . . [Too many credit] the author with subtle schematization or a far-fetched plan such as delights the modern commentator who invents it </w:t>
      </w:r>
      <w:r w:rsidR="00674828">
        <w:t>. . .</w:t>
      </w:r>
      <w:r>
        <w:rPr>
          <w:vertAlign w:val="superscript"/>
        </w:rPr>
        <w:footnoteReference w:id="777"/>
      </w:r>
    </w:p>
    <w:p w14:paraId="0738451B" w14:textId="77777777" w:rsidR="00674828" w:rsidRDefault="00674828" w:rsidP="00786ADB">
      <w:pPr>
        <w:widowControl w:val="0"/>
      </w:pPr>
    </w:p>
    <w:p w14:paraId="400BE50B" w14:textId="4E96B8B1" w:rsidR="0018433B" w:rsidRDefault="0018433B" w:rsidP="00786ADB">
      <w:pPr>
        <w:widowControl w:val="0"/>
      </w:pPr>
      <w:r>
        <w:t>A similar observation</w:t>
      </w:r>
      <w:r w:rsidR="006F304D" w:rsidRPr="006F304D">
        <w:t xml:space="preserve">, </w:t>
      </w:r>
      <w:r>
        <w:t>more tempered but</w:t>
      </w:r>
      <w:r w:rsidR="006F304D" w:rsidRPr="006F304D">
        <w:t xml:space="preserve">, </w:t>
      </w:r>
      <w:r>
        <w:t>given the profusion of speculations we have now witnessed</w:t>
      </w:r>
      <w:r w:rsidR="006F304D" w:rsidRPr="006F304D">
        <w:t xml:space="preserve">, </w:t>
      </w:r>
      <w:r>
        <w:t>equally justifiable</w:t>
      </w:r>
      <w:r w:rsidR="006F304D" w:rsidRPr="006F304D">
        <w:t xml:space="preserve">, </w:t>
      </w:r>
      <w:r>
        <w:t>is that of Joseph Fitzmyer.</w:t>
      </w:r>
    </w:p>
    <w:p w14:paraId="1EDCC43A" w14:textId="77777777" w:rsidR="00674828" w:rsidRDefault="00674828" w:rsidP="00786ADB">
      <w:pPr>
        <w:widowControl w:val="0"/>
      </w:pPr>
    </w:p>
    <w:p w14:paraId="235E9ACF" w14:textId="3B1ACCA2" w:rsidR="0018433B" w:rsidRDefault="0018433B" w:rsidP="00786ADB">
      <w:pPr>
        <w:widowControl w:val="0"/>
        <w:ind w:left="605" w:right="605"/>
      </w:pPr>
      <w:r>
        <w:t xml:space="preserve">The literary aspect of Luke's writings was never wholly neglected </w:t>
      </w:r>
      <w:r w:rsidR="00674828">
        <w:t>. . .</w:t>
      </w:r>
      <w:r>
        <w:t xml:space="preserve"> the writings of R. Morgenthaler </w:t>
      </w:r>
      <w:r w:rsidR="00674828">
        <w:t>. . .</w:t>
      </w:r>
      <w:r>
        <w:t xml:space="preserve"> and of </w:t>
      </w:r>
      <w:r w:rsidR="00674828" w:rsidRPr="00674828">
        <w:rPr>
          <w:iCs/>
        </w:rPr>
        <w:t>C.H.</w:t>
      </w:r>
      <w:r>
        <w:t xml:space="preserve"> Talbert </w:t>
      </w:r>
      <w:r w:rsidR="00674828">
        <w:t>. . .</w:t>
      </w:r>
      <w:r>
        <w:t xml:space="preserve"> have been devoted to it.</w:t>
      </w:r>
      <w:r w:rsidR="0027511E" w:rsidRPr="0027511E">
        <w:rPr>
          <w:iCs/>
        </w:rPr>
        <w:t xml:space="preserve"> </w:t>
      </w:r>
      <w:r>
        <w:t>This aspect of Lucan writings is clearly important</w:t>
      </w:r>
      <w:r w:rsidR="006F304D" w:rsidRPr="006F304D">
        <w:t xml:space="preserve">, </w:t>
      </w:r>
      <w:r>
        <w:t xml:space="preserve">but what is valid in studies devoted to it is constantly bedeviled by </w:t>
      </w:r>
      <w:r w:rsidR="00674828">
        <w:t>. . .</w:t>
      </w:r>
      <w:r>
        <w:t xml:space="preserve"> subjectivism </w:t>
      </w:r>
      <w:r w:rsidR="00674828">
        <w:t>. . .</w:t>
      </w:r>
      <w:r>
        <w:rPr>
          <w:vertAlign w:val="superscript"/>
        </w:rPr>
        <w:footnoteReference w:id="778"/>
      </w:r>
    </w:p>
    <w:p w14:paraId="383CA950" w14:textId="77777777" w:rsidR="00674828" w:rsidRDefault="00674828" w:rsidP="00786ADB">
      <w:pPr>
        <w:widowControl w:val="0"/>
      </w:pPr>
    </w:p>
    <w:p w14:paraId="7F65B96F" w14:textId="4018B086" w:rsidR="0018433B" w:rsidRDefault="00674828" w:rsidP="00786ADB">
      <w:pPr>
        <w:widowControl w:val="0"/>
      </w:pPr>
      <w:r>
        <w:t xml:space="preserve">The </w:t>
      </w:r>
      <w:r w:rsidR="0018433B">
        <w:t>practitioners of rhetorical criticism have themselves noted the ease with which their method can incline toward subjectivity.</w:t>
      </w:r>
      <w:r w:rsidR="0027511E" w:rsidRPr="0027511E">
        <w:rPr>
          <w:iCs/>
        </w:rPr>
        <w:t xml:space="preserve"> </w:t>
      </w:r>
      <w:r w:rsidR="0018433B">
        <w:t>Talbert</w:t>
      </w:r>
      <w:r w:rsidR="006F304D" w:rsidRPr="006F304D">
        <w:t xml:space="preserve">, </w:t>
      </w:r>
      <w:r w:rsidR="0018433B">
        <w:t>for example</w:t>
      </w:r>
      <w:r w:rsidR="006F304D" w:rsidRPr="006F304D">
        <w:t xml:space="preserve">, </w:t>
      </w:r>
      <w:r w:rsidR="0018433B">
        <w:t>acknowledges that subjectivi</w:t>
      </w:r>
      <w:r>
        <w:t>sm</w:t>
      </w:r>
      <w:r w:rsidR="0018433B">
        <w:t xml:space="preserve"> is a “specter which hovers over any approach to the New Testament writings that focuses on the architectonic patterns . . . .”</w:t>
      </w:r>
      <w:r w:rsidR="0018433B">
        <w:rPr>
          <w:vertAlign w:val="superscript"/>
        </w:rPr>
        <w:footnoteReference w:id="779"/>
      </w:r>
    </w:p>
    <w:p w14:paraId="7C87C70A" w14:textId="6DA557E9" w:rsidR="0018433B" w:rsidRDefault="0018433B" w:rsidP="00786ADB">
      <w:pPr>
        <w:widowControl w:val="0"/>
      </w:pPr>
      <w:r>
        <w:tab/>
        <w:t>The subjectivism of which architectonic patterns are often guilty is no less prevalent in one formal criterion than in another.</w:t>
      </w:r>
      <w:r w:rsidR="0027511E" w:rsidRPr="0027511E">
        <w:rPr>
          <w:iCs/>
        </w:rPr>
        <w:t xml:space="preserve"> </w:t>
      </w:r>
      <w:r>
        <w:t>Addison G. Wright</w:t>
      </w:r>
      <w:r w:rsidR="00674828">
        <w:t>’</w:t>
      </w:r>
      <w:r>
        <w:t xml:space="preserve">s outline of The Wisdom of Solomon is an </w:t>
      </w:r>
      <w:r>
        <w:lastRenderedPageBreak/>
        <w:t>example of subjectivity in the use of numerical principles (though Wright does not confine himself to this principle).</w:t>
      </w:r>
      <w:r w:rsidR="0027511E" w:rsidRPr="0027511E">
        <w:rPr>
          <w:iCs/>
        </w:rPr>
        <w:t xml:space="preserve"> </w:t>
      </w:r>
      <w:r>
        <w:t>According to Wright</w:t>
      </w:r>
      <w:r w:rsidR="006F304D" w:rsidRPr="006F304D">
        <w:t xml:space="preserve">, </w:t>
      </w:r>
      <w:r>
        <w:t>the philosopher that compiled Wisdom used several techniques to structure his work.</w:t>
      </w:r>
    </w:p>
    <w:p w14:paraId="7F26D855" w14:textId="77777777" w:rsidR="00674828" w:rsidRDefault="00674828" w:rsidP="00786ADB">
      <w:pPr>
        <w:widowControl w:val="0"/>
      </w:pPr>
    </w:p>
    <w:p w14:paraId="7FEBC43D" w14:textId="3E785B0B" w:rsidR="0018433B" w:rsidRDefault="0018433B" w:rsidP="00786ADB">
      <w:pPr>
        <w:widowControl w:val="0"/>
        <w:ind w:left="605" w:right="605"/>
      </w:pPr>
      <w:r>
        <w:t>First</w:t>
      </w:r>
      <w:r w:rsidR="006F304D" w:rsidRPr="006F304D">
        <w:t xml:space="preserve">, </w:t>
      </w:r>
      <w:r>
        <w:t xml:space="preserve">the author has marked the limits of each paragraph with inclusions </w:t>
      </w:r>
      <w:r w:rsidR="006414EC">
        <w:t>. . .</w:t>
      </w:r>
      <w:r>
        <w:t xml:space="preserve"> Some [of the paragraphs] are arranged in a concentric symmetry </w:t>
      </w:r>
      <w:r w:rsidR="006414EC">
        <w:t>. . .</w:t>
      </w:r>
      <w:r w:rsidR="006F304D" w:rsidRPr="006F304D">
        <w:t xml:space="preserve">, </w:t>
      </w:r>
      <w:r>
        <w:t>others in a parallel symmetry (</w:t>
      </w:r>
      <w:proofErr w:type="spellStart"/>
      <w:r>
        <w:t>ch.</w:t>
      </w:r>
      <w:proofErr w:type="spellEnd"/>
      <w:r>
        <w:t xml:space="preserve"> 9); still others have been arranged in a linear fashion </w:t>
      </w:r>
      <w:r w:rsidR="006414EC">
        <w:t>. . .</w:t>
      </w:r>
      <w:r>
        <w:t xml:space="preserve"> In the symmetrical sections </w:t>
      </w:r>
      <w:r w:rsidR="006414EC">
        <w:t>. . .</w:t>
      </w:r>
      <w:r>
        <w:t xml:space="preserve"> the number of verses in each smaller section stands to the number of verses in its neighboring larger one in the same ratio as the larger stands to the sum of the two (m/M = M/m + M)—i.e.</w:t>
      </w:r>
      <w:r w:rsidR="006F304D" w:rsidRPr="006F304D">
        <w:t xml:space="preserve">, </w:t>
      </w:r>
      <w:r>
        <w:t xml:space="preserve">in the neighborhood of 0.618. </w:t>
      </w:r>
      <w:r w:rsidR="006414EC">
        <w:t>. . .</w:t>
      </w:r>
      <w:r>
        <w:t xml:space="preserve"> This ratio is the well-known golden mean or divine proportion </w:t>
      </w:r>
      <w:r w:rsidR="006414EC">
        <w:t>. . .</w:t>
      </w:r>
      <w:r>
        <w:rPr>
          <w:vertAlign w:val="superscript"/>
        </w:rPr>
        <w:footnoteReference w:id="780"/>
      </w:r>
    </w:p>
    <w:p w14:paraId="7124504D" w14:textId="77777777" w:rsidR="00674828" w:rsidRDefault="00674828" w:rsidP="00786ADB">
      <w:pPr>
        <w:widowControl w:val="0"/>
      </w:pPr>
    </w:p>
    <w:p w14:paraId="12D450DF" w14:textId="6097F6FD" w:rsidR="0018433B" w:rsidRDefault="0018433B" w:rsidP="00786ADB">
      <w:pPr>
        <w:widowControl w:val="0"/>
      </w:pPr>
      <w:r>
        <w:t>This analysis of Wisdom's structure may seem too exacting to have been conceived by a biblical author: did the writer of Wisdom really intend his material to fall into so precise a mathematical pattern?</w:t>
      </w:r>
      <w:r w:rsidR="0027511E" w:rsidRPr="0027511E">
        <w:rPr>
          <w:iCs/>
        </w:rPr>
        <w:t xml:space="preserve"> </w:t>
      </w:r>
      <w:r>
        <w:t>Yet Wright cites Duckworth</w:t>
      </w:r>
      <w:r>
        <w:rPr>
          <w:vertAlign w:val="superscript"/>
        </w:rPr>
        <w:footnoteReference w:id="781"/>
      </w:r>
      <w:r>
        <w:t xml:space="preserve"> for evidence of the use of the golden mean in the works of Vergil</w:t>
      </w:r>
      <w:r w:rsidR="006F304D" w:rsidRPr="006F304D">
        <w:t xml:space="preserve">, </w:t>
      </w:r>
      <w:r>
        <w:t>Catullus</w:t>
      </w:r>
      <w:r w:rsidR="006F304D" w:rsidRPr="006F304D">
        <w:t xml:space="preserve">, </w:t>
      </w:r>
      <w:r>
        <w:t>Lucretius</w:t>
      </w:r>
      <w:r w:rsidR="006F304D" w:rsidRPr="006F304D">
        <w:t xml:space="preserve">, </w:t>
      </w:r>
      <w:r>
        <w:t>Horace</w:t>
      </w:r>
      <w:r w:rsidR="006F304D" w:rsidRPr="006F304D">
        <w:t xml:space="preserve">, </w:t>
      </w:r>
      <w:r>
        <w:t>Ennius</w:t>
      </w:r>
      <w:r w:rsidR="006F304D" w:rsidRPr="006F304D">
        <w:t xml:space="preserve">, </w:t>
      </w:r>
      <w:r>
        <w:t>Lucan</w:t>
      </w:r>
      <w:r w:rsidR="006F304D" w:rsidRPr="006F304D">
        <w:t xml:space="preserve">, </w:t>
      </w:r>
      <w:r>
        <w:t>and Aratus; and even if it be suspected that Duckworth's analyses in turn are fanciful</w:t>
      </w:r>
      <w:r w:rsidR="006F304D" w:rsidRPr="006F304D">
        <w:t xml:space="preserve">, </w:t>
      </w:r>
      <w:r>
        <w:t>still</w:t>
      </w:r>
      <w:r w:rsidR="006F304D" w:rsidRPr="006F304D">
        <w:t xml:space="preserve">, </w:t>
      </w:r>
      <w:r>
        <w:t>one can hardly contend with the columns of the Parthenon.</w:t>
      </w:r>
      <w:r>
        <w:rPr>
          <w:vertAlign w:val="superscript"/>
        </w:rPr>
        <w:footnoteReference w:id="782"/>
      </w:r>
      <w:r w:rsidR="0027511E" w:rsidRPr="0027511E">
        <w:rPr>
          <w:iCs/>
        </w:rPr>
        <w:t xml:space="preserve"> </w:t>
      </w:r>
      <w:r>
        <w:t>And if the golden mean was a principle of organization in literary works in ancient times</w:t>
      </w:r>
      <w:r w:rsidR="006F304D" w:rsidRPr="006F304D">
        <w:t xml:space="preserve">, </w:t>
      </w:r>
      <w:r>
        <w:t>why not the much simpler architectonic principles of</w:t>
      </w:r>
      <w:r w:rsidR="006F304D" w:rsidRPr="006F304D">
        <w:t xml:space="preserve">, </w:t>
      </w:r>
      <w:r>
        <w:t>say</w:t>
      </w:r>
      <w:r w:rsidR="006F304D" w:rsidRPr="006F304D">
        <w:t xml:space="preserve">, </w:t>
      </w:r>
      <w:r>
        <w:t>a repeated use of the number two</w:t>
      </w:r>
      <w:r w:rsidR="006F304D" w:rsidRPr="006F304D">
        <w:t xml:space="preserve">, </w:t>
      </w:r>
      <w:r>
        <w:t>or the principle of chiasm</w:t>
      </w:r>
      <w:r w:rsidR="006F304D" w:rsidRPr="006F304D">
        <w:t xml:space="preserve">, </w:t>
      </w:r>
      <w:r>
        <w:t>or the principle of inclusion</w:t>
      </w:r>
      <w:r w:rsidR="00C83F73">
        <w:t>?</w:t>
      </w:r>
    </w:p>
    <w:p w14:paraId="762F4676" w14:textId="1E4B1530" w:rsidR="0018433B" w:rsidRDefault="0018433B" w:rsidP="00786ADB">
      <w:pPr>
        <w:widowControl w:val="0"/>
      </w:pPr>
      <w:r>
        <w:tab/>
        <w:t>The problem is no less apparent in rhythmical analyses than in those using numerical principles.</w:t>
      </w:r>
      <w:r w:rsidR="0027511E" w:rsidRPr="0027511E">
        <w:rPr>
          <w:iCs/>
        </w:rPr>
        <w:t xml:space="preserve"> </w:t>
      </w:r>
      <w:r>
        <w:t>Burney was aware that one will “sometimes find scholars forcing passages into a preconceived scheme of rhythm.”</w:t>
      </w:r>
      <w:r>
        <w:rPr>
          <w:vertAlign w:val="superscript"/>
        </w:rPr>
        <w:footnoteReference w:id="783"/>
      </w:r>
      <w:r w:rsidR="0027511E" w:rsidRPr="0027511E">
        <w:rPr>
          <w:iCs/>
        </w:rPr>
        <w:t xml:space="preserve"> </w:t>
      </w:r>
      <w:r>
        <w:t>He himself warns</w:t>
      </w:r>
      <w:r w:rsidR="006F304D" w:rsidRPr="006F304D">
        <w:t xml:space="preserve">, </w:t>
      </w:r>
      <w:r>
        <w:t>concerning his own analyses</w:t>
      </w:r>
      <w:r w:rsidR="006F304D" w:rsidRPr="006F304D">
        <w:t xml:space="preserve">, </w:t>
      </w:r>
      <w:r>
        <w:t>that the reader must not “expect to find perfect rhythmical regularity maintained throughout lengthy passages.</w:t>
      </w:r>
      <w:r w:rsidR="0027511E" w:rsidRPr="0027511E">
        <w:rPr>
          <w:iCs/>
        </w:rPr>
        <w:t xml:space="preserve"> </w:t>
      </w:r>
      <w:r>
        <w:t>It will suffice to prove the case if the Hebrew forms of rhythm are found to be exhibited over short passages</w:t>
      </w:r>
      <w:r w:rsidR="006F304D" w:rsidRPr="006F304D">
        <w:t xml:space="preserve">, </w:t>
      </w:r>
      <w:r>
        <w:t>and exhibited with alterations and occasional irregularities.”</w:t>
      </w:r>
      <w:r>
        <w:rPr>
          <w:vertAlign w:val="superscript"/>
        </w:rPr>
        <w:footnoteReference w:id="784"/>
      </w:r>
    </w:p>
    <w:p w14:paraId="0EAF19B3" w14:textId="211ECAFA" w:rsidR="0018433B" w:rsidRDefault="0018433B" w:rsidP="00786ADB">
      <w:pPr>
        <w:widowControl w:val="0"/>
      </w:pPr>
      <w:r>
        <w:tab/>
        <w:t>Inclusions</w:t>
      </w:r>
      <w:r w:rsidR="006F304D" w:rsidRPr="006F304D">
        <w:t xml:space="preserve">, </w:t>
      </w:r>
      <w:r>
        <w:t>too</w:t>
      </w:r>
      <w:r w:rsidR="006F304D" w:rsidRPr="006F304D">
        <w:t xml:space="preserve">, </w:t>
      </w:r>
      <w:r>
        <w:t>are often subjective.</w:t>
      </w:r>
      <w:r w:rsidR="0027511E" w:rsidRPr="0027511E">
        <w:rPr>
          <w:iCs/>
        </w:rPr>
        <w:t xml:space="preserve"> </w:t>
      </w:r>
      <w:r>
        <w:t>For example</w:t>
      </w:r>
      <w:r w:rsidR="006F304D" w:rsidRPr="006F304D">
        <w:t xml:space="preserve">, </w:t>
      </w:r>
      <w:r>
        <w:t>Raymond Brown suggests that the original ending of Luke’s infancy narrative was 2:39-40</w:t>
      </w:r>
      <w:r w:rsidR="006F304D" w:rsidRPr="006F304D">
        <w:t xml:space="preserve">, </w:t>
      </w:r>
      <w:r>
        <w:t>the proclamations of Simeon and Anna in the temple over the child Jesus.</w:t>
      </w:r>
      <w:r>
        <w:rPr>
          <w:vertAlign w:val="superscript"/>
        </w:rPr>
        <w:footnoteReference w:id="785"/>
      </w:r>
      <w:r w:rsidR="0027511E" w:rsidRPr="0027511E">
        <w:rPr>
          <w:iCs/>
        </w:rPr>
        <w:t xml:space="preserve"> </w:t>
      </w:r>
      <w:r>
        <w:t>In this way</w:t>
      </w:r>
      <w:r w:rsidR="006F304D" w:rsidRPr="006F304D">
        <w:t xml:space="preserve">, </w:t>
      </w:r>
      <w:r>
        <w:t>Luke 1:5-7</w:t>
      </w:r>
      <w:r w:rsidR="006F304D" w:rsidRPr="006F304D">
        <w:t xml:space="preserve">, </w:t>
      </w:r>
      <w:r>
        <w:t>with Elizabeth and the Spirit-filled Zechariah (1:5-7) proclaiming the good news about John the Baptist</w:t>
      </w:r>
      <w:r w:rsidR="006F304D" w:rsidRPr="006F304D">
        <w:t xml:space="preserve">, </w:t>
      </w:r>
      <w:r>
        <w:t>prophet of the Most High (1:67</w:t>
      </w:r>
      <w:r w:rsidR="006F304D" w:rsidRPr="006F304D">
        <w:t xml:space="preserve">, </w:t>
      </w:r>
      <w:r>
        <w:t>76)</w:t>
      </w:r>
      <w:r w:rsidR="006F304D" w:rsidRPr="006F304D">
        <w:t xml:space="preserve">, </w:t>
      </w:r>
      <w:r>
        <w:t xml:space="preserve">can form an </w:t>
      </w:r>
      <w:proofErr w:type="spellStart"/>
      <w:r>
        <w:rPr>
          <w:i/>
        </w:rPr>
        <w:t>inclusio</w:t>
      </w:r>
      <w:proofErr w:type="spellEnd"/>
      <w:r>
        <w:t xml:space="preserve"> with Anna and the Spirit-filled Simeon proclaiming the good news about the Son of the Most High (1:32).</w:t>
      </w:r>
      <w:r>
        <w:rPr>
          <w:vertAlign w:val="superscript"/>
        </w:rPr>
        <w:footnoteReference w:id="786"/>
      </w:r>
      <w:r w:rsidR="0027511E" w:rsidRPr="0027511E">
        <w:rPr>
          <w:iCs/>
        </w:rPr>
        <w:t xml:space="preserve"> </w:t>
      </w:r>
      <w:r>
        <w:t>As Elizabeth gave thanks (1:24-25)</w:t>
      </w:r>
      <w:r w:rsidR="006F304D" w:rsidRPr="006F304D">
        <w:t xml:space="preserve">, </w:t>
      </w:r>
      <w:r>
        <w:t>and after John's birth the good news reached her neighbors (1:57-58)</w:t>
      </w:r>
      <w:r w:rsidR="006F304D" w:rsidRPr="006F304D">
        <w:t xml:space="preserve">, </w:t>
      </w:r>
      <w:r>
        <w:t>so Anna “gave thanks to God</w:t>
      </w:r>
      <w:r w:rsidR="006F304D" w:rsidRPr="006F304D">
        <w:t xml:space="preserve">, </w:t>
      </w:r>
      <w:r>
        <w:t xml:space="preserve">and spoke of him to all </w:t>
      </w:r>
      <w:r>
        <w:lastRenderedPageBreak/>
        <w:t>who were looking for the redemption of Jerusalem” (2:38).</w:t>
      </w:r>
      <w:r>
        <w:rPr>
          <w:vertAlign w:val="superscript"/>
        </w:rPr>
        <w:footnoteReference w:id="787"/>
      </w:r>
    </w:p>
    <w:p w14:paraId="6E79B32E" w14:textId="51D69B07" w:rsidR="0018433B" w:rsidRDefault="0018433B" w:rsidP="00786ADB">
      <w:pPr>
        <w:widowControl w:val="0"/>
      </w:pPr>
      <w:r>
        <w:tab/>
        <w:t>Now</w:t>
      </w:r>
      <w:r w:rsidR="006F304D" w:rsidRPr="006F304D">
        <w:t xml:space="preserve">, </w:t>
      </w:r>
      <w:r>
        <w:t>this seems quite straightforward: the parallels are rather striking.</w:t>
      </w:r>
      <w:r w:rsidR="0027511E" w:rsidRPr="0027511E">
        <w:rPr>
          <w:iCs/>
        </w:rPr>
        <w:t xml:space="preserve"> </w:t>
      </w:r>
      <w:r>
        <w:t>But what in this instances raises the “specter” of subjectivity is Brown’s further claim that Luke 2:40 is also the beginning of a chiasm.</w:t>
      </w:r>
      <w:r w:rsidR="0027511E" w:rsidRPr="0027511E">
        <w:rPr>
          <w:iCs/>
        </w:rPr>
        <w:t xml:space="preserve"> </w:t>
      </w:r>
      <w:r>
        <w:t>Here is its form:</w:t>
      </w:r>
    </w:p>
    <w:p w14:paraId="625D3FF3" w14:textId="77777777" w:rsidR="007E48DA" w:rsidRDefault="007E48DA" w:rsidP="00786ADB">
      <w:pPr>
        <w:widowControl w:val="0"/>
      </w:pPr>
    </w:p>
    <w:p w14:paraId="4DDBCCAB" w14:textId="7EE5C426" w:rsidR="0018433B" w:rsidRDefault="0018433B" w:rsidP="00E35B75">
      <w:pPr>
        <w:widowControl w:val="0"/>
        <w:ind w:left="1080" w:hanging="1080"/>
      </w:pPr>
      <w:r>
        <w:t>2:40</w:t>
      </w:r>
      <w:r w:rsidR="007E48DA" w:rsidRPr="007E48DA">
        <w:rPr>
          <w:iCs/>
        </w:rPr>
        <w:tab/>
      </w:r>
      <w:r>
        <w:rPr>
          <w:i/>
        </w:rPr>
        <w:t>Framework Statement</w:t>
      </w:r>
      <w:r>
        <w:t xml:space="preserve"> about Jesus</w:t>
      </w:r>
      <w:r w:rsidR="00E35B75">
        <w:t>’</w:t>
      </w:r>
      <w:r>
        <w:t xml:space="preserve"> growth</w:t>
      </w:r>
      <w:r w:rsidR="006F304D" w:rsidRPr="006F304D">
        <w:t xml:space="preserve">, </w:t>
      </w:r>
      <w:r>
        <w:t>his wisdom and favor</w:t>
      </w:r>
    </w:p>
    <w:p w14:paraId="044797C3" w14:textId="18D06DD1" w:rsidR="0018433B" w:rsidRDefault="0018433B" w:rsidP="00E35B75">
      <w:pPr>
        <w:widowControl w:val="0"/>
        <w:ind w:left="1800" w:hanging="1800"/>
      </w:pPr>
      <w:r>
        <w:t>2:41-42</w:t>
      </w:r>
      <w:r w:rsidR="007E48DA" w:rsidRPr="007E48DA">
        <w:rPr>
          <w:iCs/>
        </w:rPr>
        <w:tab/>
      </w:r>
      <w:r>
        <w:rPr>
          <w:i/>
        </w:rPr>
        <w:t>Geographical Introduction:</w:t>
      </w:r>
      <w:r>
        <w:t xml:space="preserve"> Jesus and his parents had gone up to Jerusalem</w:t>
      </w:r>
    </w:p>
    <w:p w14:paraId="4995CCEF" w14:textId="35A593AD" w:rsidR="0018433B" w:rsidRDefault="0018433B" w:rsidP="00E35B75">
      <w:pPr>
        <w:widowControl w:val="0"/>
        <w:ind w:left="2520" w:hanging="2520"/>
      </w:pPr>
      <w:r>
        <w:t>2:43-45</w:t>
      </w:r>
      <w:r w:rsidR="007E48DA" w:rsidRPr="007E48DA">
        <w:rPr>
          <w:iCs/>
        </w:rPr>
        <w:tab/>
      </w:r>
      <w:r>
        <w:rPr>
          <w:i/>
        </w:rPr>
        <w:t>Setting:</w:t>
      </w:r>
      <w:r>
        <w:t xml:space="preserve"> The parents lost Jesus and searched for him</w:t>
      </w:r>
    </w:p>
    <w:p w14:paraId="12E3D667" w14:textId="7026165E" w:rsidR="0018433B" w:rsidRDefault="0018433B" w:rsidP="00E35B75">
      <w:pPr>
        <w:widowControl w:val="0"/>
        <w:tabs>
          <w:tab w:val="left" w:pos="-600"/>
        </w:tabs>
        <w:ind w:left="2520" w:hanging="2520"/>
      </w:pPr>
      <w:r>
        <w:t>2:46-50</w:t>
      </w:r>
      <w:r w:rsidR="007E48DA" w:rsidRPr="007E48DA">
        <w:rPr>
          <w:iCs/>
        </w:rPr>
        <w:tab/>
      </w:r>
      <w:r>
        <w:rPr>
          <w:i/>
        </w:rPr>
        <w:t>Core of the Story:</w:t>
      </w:r>
      <w:r>
        <w:t xml:space="preserve"> The parents found the child and were amazed; Jesus answered them by stressing his Father</w:t>
      </w:r>
      <w:r w:rsidR="00E35B75">
        <w:t>’</w:t>
      </w:r>
      <w:r>
        <w:t>s claim</w:t>
      </w:r>
    </w:p>
    <w:p w14:paraId="49A4DE45" w14:textId="47E93DF4" w:rsidR="0018433B" w:rsidRDefault="0018433B" w:rsidP="00E35B75">
      <w:pPr>
        <w:widowControl w:val="0"/>
        <w:ind w:left="1800" w:hanging="1800"/>
      </w:pPr>
      <w:r>
        <w:t>2:51</w:t>
      </w:r>
      <w:r w:rsidR="007E48DA" w:rsidRPr="007E48DA">
        <w:rPr>
          <w:iCs/>
        </w:rPr>
        <w:tab/>
      </w:r>
      <w:r>
        <w:rPr>
          <w:i/>
        </w:rPr>
        <w:t>Geographical Conclusion:</w:t>
      </w:r>
      <w:r>
        <w:t xml:space="preserve"> Jesus went down with his parents to Nazareth</w:t>
      </w:r>
    </w:p>
    <w:p w14:paraId="54EFE764" w14:textId="4C41F942" w:rsidR="0018433B" w:rsidRDefault="0018433B" w:rsidP="00E35B75">
      <w:pPr>
        <w:widowControl w:val="0"/>
        <w:ind w:left="1080" w:hanging="1080"/>
      </w:pPr>
      <w:r>
        <w:t>2:52</w:t>
      </w:r>
      <w:r w:rsidR="007E48DA" w:rsidRPr="007E48DA">
        <w:rPr>
          <w:iCs/>
        </w:rPr>
        <w:tab/>
      </w:r>
      <w:r>
        <w:rPr>
          <w:i/>
        </w:rPr>
        <w:t>Framework Statement</w:t>
      </w:r>
      <w:r>
        <w:t xml:space="preserve"> about Jesus</w:t>
      </w:r>
      <w:r w:rsidR="00E35B75">
        <w:t>’</w:t>
      </w:r>
      <w:r>
        <w:t xml:space="preserve"> progress in wisdom</w:t>
      </w:r>
      <w:r w:rsidR="006F304D" w:rsidRPr="006F304D">
        <w:t xml:space="preserve">, </w:t>
      </w:r>
      <w:r>
        <w:t>maturity</w:t>
      </w:r>
      <w:r w:rsidR="006F304D" w:rsidRPr="006F304D">
        <w:t xml:space="preserve">, </w:t>
      </w:r>
      <w:r>
        <w:t>and favor.</w:t>
      </w:r>
    </w:p>
    <w:p w14:paraId="63325441" w14:textId="77777777" w:rsidR="007E48DA" w:rsidRDefault="007E48DA" w:rsidP="00786ADB">
      <w:pPr>
        <w:widowControl w:val="0"/>
      </w:pPr>
    </w:p>
    <w:p w14:paraId="128CB781" w14:textId="6CED2FC8" w:rsidR="0018433B" w:rsidRDefault="0018433B" w:rsidP="00786ADB">
      <w:pPr>
        <w:widowControl w:val="0"/>
      </w:pPr>
      <w:r>
        <w:t>Note the contradiction: Brown wants to use Luke 2:40 to prove that the verses before it (1:5-2:40) are an inclusion; but also</w:t>
      </w:r>
      <w:r w:rsidR="006F304D" w:rsidRPr="006F304D">
        <w:t xml:space="preserve">, </w:t>
      </w:r>
      <w:r>
        <w:t>he wants to use 2:40 to prove that the verses after it (2:40-52) are a chiasm.</w:t>
      </w:r>
      <w:r w:rsidR="0027511E" w:rsidRPr="0027511E">
        <w:rPr>
          <w:iCs/>
        </w:rPr>
        <w:t xml:space="preserve"> </w:t>
      </w:r>
      <w:r>
        <w:t>But surely to suppose that 2:40 is both the end of an inclusion and the beginning of a chiasm is to believe that the author of Luke not only created intricate architectonic patterns with</w:t>
      </w:r>
      <w:r w:rsidR="00E35B75">
        <w:t>in</w:t>
      </w:r>
      <w:r>
        <w:t xml:space="preserve"> his text but ingeniously chained his subtle figures together as well.</w:t>
      </w:r>
    </w:p>
    <w:p w14:paraId="3B6890FA" w14:textId="7F3219D0" w:rsidR="0018433B" w:rsidRDefault="0018433B" w:rsidP="00786ADB">
      <w:pPr>
        <w:widowControl w:val="0"/>
      </w:pPr>
      <w:r>
        <w:tab/>
        <w:t>Those who engage in the discovery of intricate patterns are well aware of the charge of subjectivity to which they are exposed; and as a defense</w:t>
      </w:r>
      <w:r w:rsidR="006F304D" w:rsidRPr="006F304D">
        <w:t xml:space="preserve">, </w:t>
      </w:r>
      <w:r>
        <w:t>they have devised a number of arguments which</w:t>
      </w:r>
      <w:r w:rsidR="006F304D" w:rsidRPr="006F304D">
        <w:t xml:space="preserve">, </w:t>
      </w:r>
      <w:r>
        <w:t>they maintain</w:t>
      </w:r>
      <w:r w:rsidR="006F304D" w:rsidRPr="006F304D">
        <w:t xml:space="preserve">, </w:t>
      </w:r>
      <w:r>
        <w:t>ensure the objectivity of their creations.</w:t>
      </w:r>
      <w:r w:rsidR="0027511E" w:rsidRPr="0027511E">
        <w:rPr>
          <w:iCs/>
        </w:rPr>
        <w:t xml:space="preserve"> </w:t>
      </w:r>
      <w:r>
        <w:t>These arguments are: independence of discovery; use as a mnemonic device; internal and external controls; and convergence of arguments.</w:t>
      </w:r>
    </w:p>
    <w:p w14:paraId="358E9ABE" w14:textId="5B69B1FD" w:rsidR="0018433B" w:rsidRDefault="0018433B" w:rsidP="00786ADB">
      <w:pPr>
        <w:widowControl w:val="0"/>
      </w:pPr>
      <w:r>
        <w:tab/>
        <w:t>The discoverers of architectonic patterns make occasional</w:t>
      </w:r>
      <w:r w:rsidR="006F304D" w:rsidRPr="006F304D">
        <w:t xml:space="preserve">, </w:t>
      </w:r>
      <w:r>
        <w:t>rather nervous avowals of having unearthed their patterns independently of the investigations of others.</w:t>
      </w:r>
      <w:r w:rsidR="0027511E" w:rsidRPr="0027511E">
        <w:rPr>
          <w:iCs/>
        </w:rPr>
        <w:t xml:space="preserve"> </w:t>
      </w:r>
      <w:r>
        <w:t>Lund</w:t>
      </w:r>
      <w:r w:rsidR="006F304D" w:rsidRPr="006F304D">
        <w:t xml:space="preserve">, </w:t>
      </w:r>
      <w:r>
        <w:t>for example</w:t>
      </w:r>
      <w:r w:rsidR="006F304D" w:rsidRPr="006F304D">
        <w:t xml:space="preserve">, </w:t>
      </w:r>
      <w:r>
        <w:t>is careful to declare that “The present writer had</w:t>
      </w:r>
      <w:r w:rsidR="006F304D" w:rsidRPr="006F304D">
        <w:t xml:space="preserve">, </w:t>
      </w:r>
      <w:r>
        <w:t>quite independently and through other influences</w:t>
      </w:r>
      <w:r w:rsidR="006F304D" w:rsidRPr="006F304D">
        <w:t xml:space="preserve">, </w:t>
      </w:r>
      <w:r>
        <w:t>entered upon this line of research</w:t>
      </w:r>
      <w:r w:rsidR="006F304D" w:rsidRPr="006F304D">
        <w:t xml:space="preserve">, </w:t>
      </w:r>
      <w:r>
        <w:t>when he discovered predecessors . . . .”</w:t>
      </w:r>
      <w:r>
        <w:rPr>
          <w:vertAlign w:val="superscript"/>
        </w:rPr>
        <w:footnoteReference w:id="788"/>
      </w:r>
      <w:r w:rsidR="0027511E" w:rsidRPr="0027511E">
        <w:rPr>
          <w:iCs/>
        </w:rPr>
        <w:t xml:space="preserve"> </w:t>
      </w:r>
      <w:proofErr w:type="spellStart"/>
      <w:r>
        <w:t>Meynet</w:t>
      </w:r>
      <w:proofErr w:type="spellEnd"/>
      <w:r w:rsidR="006F304D" w:rsidRPr="006F304D">
        <w:t xml:space="preserve">, </w:t>
      </w:r>
      <w:r>
        <w:t>too</w:t>
      </w:r>
      <w:r w:rsidR="006F304D" w:rsidRPr="006F304D">
        <w:t xml:space="preserve">, </w:t>
      </w:r>
      <w:r>
        <w:t>underscores independence as a proof of objectivity:</w:t>
      </w:r>
    </w:p>
    <w:p w14:paraId="0A704C29" w14:textId="77777777" w:rsidR="00E35B75" w:rsidRDefault="00E35B75" w:rsidP="00786ADB">
      <w:pPr>
        <w:widowControl w:val="0"/>
      </w:pPr>
    </w:p>
    <w:p w14:paraId="3AD32F49" w14:textId="1D1095E8" w:rsidR="0018433B" w:rsidRDefault="0018433B" w:rsidP="00786ADB">
      <w:pPr>
        <w:widowControl w:val="0"/>
        <w:ind w:left="720" w:right="720"/>
      </w:pPr>
      <w:r>
        <w:t>this deserves to be emphasized: that researchers</w:t>
      </w:r>
      <w:r w:rsidR="006F304D" w:rsidRPr="006F304D">
        <w:t xml:space="preserve">, </w:t>
      </w:r>
      <w:r>
        <w:t>working independently and without knowledge of the works of others</w:t>
      </w:r>
      <w:r w:rsidR="006F304D" w:rsidRPr="006F304D">
        <w:t xml:space="preserve">, </w:t>
      </w:r>
      <w:r>
        <w:t>conclude with the same results permits one to think that the structures which they have discovered are not pure projection . . .</w:t>
      </w:r>
      <w:r>
        <w:rPr>
          <w:vertAlign w:val="superscript"/>
        </w:rPr>
        <w:footnoteReference w:id="789"/>
      </w:r>
    </w:p>
    <w:p w14:paraId="0E562F24" w14:textId="77777777" w:rsidR="00E35B75" w:rsidRDefault="00E35B75" w:rsidP="00786ADB">
      <w:pPr>
        <w:widowControl w:val="0"/>
      </w:pPr>
    </w:p>
    <w:p w14:paraId="52C9C934" w14:textId="112688AE" w:rsidR="0018433B" w:rsidRDefault="0018433B" w:rsidP="00786ADB">
      <w:pPr>
        <w:widowControl w:val="0"/>
      </w:pPr>
      <w:r>
        <w:t xml:space="preserve">Yet the only instance that </w:t>
      </w:r>
      <w:proofErr w:type="spellStart"/>
      <w:r>
        <w:t>Meynet</w:t>
      </w:r>
      <w:proofErr w:type="spellEnd"/>
      <w:r>
        <w:t xml:space="preserve"> mentions of this happening is his claim that </w:t>
      </w:r>
      <w:proofErr w:type="spellStart"/>
      <w:r>
        <w:t>Condamin</w:t>
      </w:r>
      <w:proofErr w:type="spellEnd"/>
      <w:r>
        <w:t xml:space="preserve"> and Lund arrived at their chiastic conclusions independently.</w:t>
      </w:r>
      <w:r w:rsidR="0027511E" w:rsidRPr="0027511E">
        <w:rPr>
          <w:iCs/>
        </w:rPr>
        <w:t xml:space="preserve"> </w:t>
      </w:r>
      <w:r>
        <w:t>He does not state which of their chiastic conclusions</w:t>
      </w:r>
      <w:r w:rsidR="006F304D" w:rsidRPr="006F304D">
        <w:t xml:space="preserve">, </w:t>
      </w:r>
      <w:r>
        <w:t>nor even whether the chiasms were the same ones.</w:t>
      </w:r>
      <w:r w:rsidR="0027511E" w:rsidRPr="0027511E">
        <w:rPr>
          <w:iCs/>
        </w:rPr>
        <w:t xml:space="preserve"> </w:t>
      </w:r>
      <w:r>
        <w:t>Furthermore</w:t>
      </w:r>
      <w:r w:rsidR="006F304D" w:rsidRPr="006F304D">
        <w:t xml:space="preserve">, </w:t>
      </w:r>
      <w:r>
        <w:t xml:space="preserve">it seems that his belief that Lund was independent of </w:t>
      </w:r>
      <w:proofErr w:type="spellStart"/>
      <w:r>
        <w:t>Condamin</w:t>
      </w:r>
      <w:proofErr w:type="spellEnd"/>
      <w:r>
        <w:t xml:space="preserve"> is a speculation rather than a certainty.</w:t>
      </w:r>
      <w:r>
        <w:rPr>
          <w:vertAlign w:val="superscript"/>
        </w:rPr>
        <w:footnoteReference w:id="790"/>
      </w:r>
      <w:r w:rsidR="0027511E" w:rsidRPr="0027511E">
        <w:rPr>
          <w:iCs/>
        </w:rPr>
        <w:t xml:space="preserve"> </w:t>
      </w:r>
      <w:r>
        <w:t>Finally</w:t>
      </w:r>
      <w:r w:rsidR="006F304D" w:rsidRPr="006F304D">
        <w:t xml:space="preserve">, </w:t>
      </w:r>
      <w:r>
        <w:t xml:space="preserve">for </w:t>
      </w:r>
      <w:proofErr w:type="spellStart"/>
      <w:r>
        <w:lastRenderedPageBreak/>
        <w:t>Meynet</w:t>
      </w:r>
      <w:proofErr w:type="spellEnd"/>
      <w:r>
        <w:t xml:space="preserve"> to assert that “Lund discovered</w:t>
      </w:r>
      <w:r w:rsidR="006F304D" w:rsidRPr="006F304D">
        <w:t xml:space="preserve">, </w:t>
      </w:r>
      <w:r>
        <w:t>well before me</w:t>
      </w:r>
      <w:r w:rsidR="006F304D" w:rsidRPr="006F304D">
        <w:t xml:space="preserve">, </w:t>
      </w:r>
      <w:r>
        <w:t>the lexical chiasm in Unit B1”</w:t>
      </w:r>
      <w:r>
        <w:rPr>
          <w:vertAlign w:val="superscript"/>
        </w:rPr>
        <w:footnoteReference w:id="791"/>
      </w:r>
      <w:r>
        <w:t xml:space="preserve"> cannot be</w:t>
      </w:r>
      <w:r w:rsidR="006F304D" w:rsidRPr="006F304D">
        <w:t xml:space="preserve">, </w:t>
      </w:r>
      <w:r>
        <w:t>despite appearances</w:t>
      </w:r>
      <w:r w:rsidR="006F304D" w:rsidRPr="006F304D">
        <w:t xml:space="preserve">, </w:t>
      </w:r>
      <w:r>
        <w:t>an assertion of independent discovery</w:t>
      </w:r>
      <w:r w:rsidR="006F304D" w:rsidRPr="006F304D">
        <w:t xml:space="preserve">, </w:t>
      </w:r>
      <w:r>
        <w:t xml:space="preserve">for </w:t>
      </w:r>
      <w:proofErr w:type="spellStart"/>
      <w:r>
        <w:t>Meynet</w:t>
      </w:r>
      <w:proofErr w:type="spellEnd"/>
      <w:r>
        <w:t xml:space="preserve"> certainly had Lund’s work available during his own analyses.</w:t>
      </w:r>
    </w:p>
    <w:p w14:paraId="2238A6E2" w14:textId="5EA5AB19" w:rsidR="0018433B" w:rsidRDefault="0018433B" w:rsidP="00786ADB">
      <w:pPr>
        <w:widowControl w:val="0"/>
      </w:pPr>
      <w:r>
        <w:tab/>
        <w:t>A second safeguard proposed by the “architects” to demonstrate their objectivity is the contention that architectonic patterns are useful mnemonic devices.</w:t>
      </w:r>
      <w:r w:rsidR="0027511E" w:rsidRPr="0027511E">
        <w:rPr>
          <w:iCs/>
        </w:rPr>
        <w:t xml:space="preserve"> </w:t>
      </w:r>
      <w:r>
        <w:t>Why</w:t>
      </w:r>
      <w:r w:rsidR="006F304D" w:rsidRPr="006F304D">
        <w:t xml:space="preserve">, </w:t>
      </w:r>
      <w:proofErr w:type="spellStart"/>
      <w:r>
        <w:t>Meynet</w:t>
      </w:r>
      <w:proofErr w:type="spellEnd"/>
      <w:r>
        <w:t xml:space="preserve"> asks</w:t>
      </w:r>
      <w:r w:rsidR="006F304D" w:rsidRPr="006F304D">
        <w:t xml:space="preserve">, </w:t>
      </w:r>
      <w:r>
        <w:t>have biblical authors built up such edifices in their texts as inclusions</w:t>
      </w:r>
      <w:r w:rsidR="006F304D" w:rsidRPr="006F304D">
        <w:t xml:space="preserve">, </w:t>
      </w:r>
      <w:r>
        <w:t>chiasms</w:t>
      </w:r>
      <w:r w:rsidR="006F304D" w:rsidRPr="006F304D">
        <w:t xml:space="preserve">, </w:t>
      </w:r>
      <w:r>
        <w:t>and so on?</w:t>
      </w:r>
      <w:r w:rsidR="0027511E" w:rsidRPr="0027511E">
        <w:rPr>
          <w:iCs/>
        </w:rPr>
        <w:t xml:space="preserve"> </w:t>
      </w:r>
      <w:r>
        <w:t>His units</w:t>
      </w:r>
      <w:r w:rsidR="006F304D" w:rsidRPr="006F304D">
        <w:t xml:space="preserve">, </w:t>
      </w:r>
      <w:r>
        <w:t>he notes</w:t>
      </w:r>
      <w:r w:rsidR="006F304D" w:rsidRPr="006F304D">
        <w:t xml:space="preserve">, </w:t>
      </w:r>
      <w:r>
        <w:t>vary remarkably in length; thus it is unlikely that the patterns had a liturgical use in the early Church.</w:t>
      </w:r>
      <w:r>
        <w:rPr>
          <w:vertAlign w:val="superscript"/>
        </w:rPr>
        <w:footnoteReference w:id="792"/>
      </w:r>
      <w:r w:rsidR="0027511E" w:rsidRPr="0027511E">
        <w:rPr>
          <w:iCs/>
        </w:rPr>
        <w:t xml:space="preserve"> </w:t>
      </w:r>
      <w:r>
        <w:t>But</w:t>
      </w:r>
      <w:r w:rsidR="006F304D" w:rsidRPr="006F304D">
        <w:t xml:space="preserve">, </w:t>
      </w:r>
      <w:r>
        <w:t>he asks</w:t>
      </w:r>
      <w:r w:rsidR="006F304D" w:rsidRPr="006F304D">
        <w:t xml:space="preserve">, </w:t>
      </w:r>
      <w:r>
        <w:t>“can one not imagine that their function was precisely to favor memorization of the text?”</w:t>
      </w:r>
      <w:r>
        <w:rPr>
          <w:vertAlign w:val="superscript"/>
        </w:rPr>
        <w:footnoteReference w:id="793"/>
      </w:r>
      <w:r w:rsidR="0027511E" w:rsidRPr="0027511E">
        <w:rPr>
          <w:iCs/>
        </w:rPr>
        <w:t xml:space="preserve"> </w:t>
      </w:r>
      <w:r>
        <w:t xml:space="preserve">The Units </w:t>
      </w:r>
      <w:proofErr w:type="spellStart"/>
      <w:r>
        <w:t>Meynet</w:t>
      </w:r>
      <w:proofErr w:type="spellEnd"/>
      <w:r>
        <w:t xml:space="preserve"> has discovered</w:t>
      </w:r>
      <w:r w:rsidR="006F304D" w:rsidRPr="006F304D">
        <w:t xml:space="preserve">, </w:t>
      </w:r>
      <w:r>
        <w:t>he says</w:t>
      </w:r>
      <w:r w:rsidR="006F304D" w:rsidRPr="006F304D">
        <w:t xml:space="preserve">, </w:t>
      </w:r>
      <w:r>
        <w:t>“permit easy memorization of the text”</w:t>
      </w:r>
      <w:r>
        <w:rPr>
          <w:vertAlign w:val="superscript"/>
        </w:rPr>
        <w:footnoteReference w:id="794"/>
      </w:r>
      <w:r>
        <w:t>—not</w:t>
      </w:r>
      <w:r w:rsidR="006F304D" w:rsidRPr="006F304D">
        <w:t xml:space="preserve">, </w:t>
      </w:r>
      <w:r>
        <w:t>he adds hastily</w:t>
      </w:r>
      <w:r w:rsidR="006F304D" w:rsidRPr="006F304D">
        <w:t xml:space="preserve">, </w:t>
      </w:r>
      <w:r>
        <w:t>rote</w:t>
      </w:r>
      <w:r w:rsidR="006F304D" w:rsidRPr="006F304D">
        <w:t xml:space="preserve">, </w:t>
      </w:r>
      <w:r>
        <w:t>word-for-word</w:t>
      </w:r>
      <w:r w:rsidR="0027511E" w:rsidRPr="0027511E">
        <w:rPr>
          <w:iCs/>
        </w:rPr>
        <w:t xml:space="preserve"> </w:t>
      </w:r>
      <w:r>
        <w:t>memorization,</w:t>
      </w:r>
      <w:r>
        <w:rPr>
          <w:vertAlign w:val="superscript"/>
        </w:rPr>
        <w:footnoteReference w:id="795"/>
      </w:r>
      <w:r>
        <w:t xml:space="preserve"> but remembrance of the order of passages.</w:t>
      </w:r>
      <w:r w:rsidR="0027511E" w:rsidRPr="0027511E">
        <w:rPr>
          <w:iCs/>
        </w:rPr>
        <w:t xml:space="preserve"> </w:t>
      </w:r>
      <w:r>
        <w:t>We have seen</w:t>
      </w:r>
      <w:r w:rsidR="006F304D" w:rsidRPr="006F304D">
        <w:t xml:space="preserve">, </w:t>
      </w:r>
      <w:r>
        <w:t>however</w:t>
      </w:r>
      <w:r w:rsidR="006F304D" w:rsidRPr="006F304D">
        <w:t xml:space="preserve">, </w:t>
      </w:r>
      <w:r>
        <w:t xml:space="preserve">the complexity of </w:t>
      </w:r>
      <w:proofErr w:type="spellStart"/>
      <w:r>
        <w:t>Meynet’s</w:t>
      </w:r>
      <w:proofErr w:type="spellEnd"/>
      <w:r>
        <w:t xml:space="preserve"> patterns; a glance at his chart</w:t>
      </w:r>
      <w:r w:rsidR="006F304D" w:rsidRPr="006F304D">
        <w:t xml:space="preserve"> </w:t>
      </w:r>
      <w:r w:rsidR="00E35B75">
        <w:t>“</w:t>
      </w:r>
      <w:r>
        <w:t>B5</w:t>
      </w:r>
      <w:r w:rsidR="00E35B75">
        <w:t>´”</w:t>
      </w:r>
      <w:r>
        <w:t xml:space="preserve"> (the first presented in Appendix 3),</w:t>
      </w:r>
      <w:commentRangeStart w:id="94"/>
      <w:commentRangeEnd w:id="94"/>
      <w:r>
        <w:rPr>
          <w:vanish/>
        </w:rPr>
        <w:commentReference w:id="94"/>
      </w:r>
      <w:r>
        <w:t xml:space="preserve"> will suffice to demonstrate that such a tangled skein was not likely to have been intended to simplify memorization.</w:t>
      </w:r>
    </w:p>
    <w:p w14:paraId="7EC736E2" w14:textId="4E704E33" w:rsidR="003536F8" w:rsidRDefault="003536F8" w:rsidP="00786ADB">
      <w:pPr>
        <w:widowControl w:val="0"/>
        <w:rPr>
          <w:kern w:val="0"/>
        </w:rPr>
      </w:pPr>
      <w:r>
        <w:rPr>
          <w:kern w:val="0"/>
        </w:rPr>
        <w:tab/>
        <w:t xml:space="preserve">As for </w:t>
      </w:r>
      <w:r>
        <w:t xml:space="preserve">internal and external controls: </w:t>
      </w:r>
      <w:proofErr w:type="spellStart"/>
      <w:r>
        <w:t>Meynet</w:t>
      </w:r>
      <w:proofErr w:type="spellEnd"/>
      <w:r>
        <w:rPr>
          <w:kern w:val="0"/>
        </w:rPr>
        <w:t xml:space="preserve"> has especially emphasized the “proof from OT examples.”</w:t>
      </w:r>
    </w:p>
    <w:p w14:paraId="36995AC0" w14:textId="77777777" w:rsidR="003536F8" w:rsidRDefault="003536F8" w:rsidP="00786ADB">
      <w:pPr>
        <w:widowControl w:val="0"/>
      </w:pPr>
    </w:p>
    <w:p w14:paraId="59585F06" w14:textId="17CDD959" w:rsidR="003536F8" w:rsidRDefault="003536F8" w:rsidP="003536F8">
      <w:pPr>
        <w:widowControl w:val="0"/>
        <w:ind w:left="720" w:right="720"/>
        <w:rPr>
          <w:kern w:val="0"/>
        </w:rPr>
      </w:pPr>
      <w:r w:rsidRPr="00674828">
        <w:rPr>
          <w:kern w:val="0"/>
        </w:rPr>
        <w:t xml:space="preserve">It has been irrefutably established that a great number of texts, clearly distinguished, in the Old Testament are constructed on the model of parallelism or chiasm </w:t>
      </w:r>
      <w:r>
        <w:rPr>
          <w:kern w:val="0"/>
        </w:rPr>
        <w:t>. . .</w:t>
      </w:r>
      <w:r w:rsidRPr="00674828">
        <w:rPr>
          <w:kern w:val="0"/>
        </w:rPr>
        <w:t xml:space="preserve"> If such is in fact </w:t>
      </w:r>
      <w:r w:rsidRPr="00674828">
        <w:rPr>
          <w:i/>
          <w:kern w:val="0"/>
        </w:rPr>
        <w:t>the</w:t>
      </w:r>
      <w:r w:rsidRPr="00674828">
        <w:rPr>
          <w:kern w:val="0"/>
        </w:rPr>
        <w:t xml:space="preserve"> structure of these texts—and in particular of the Psalms, where the problems of distinguishing [passages] hardly exists—how can we deny </w:t>
      </w:r>
      <w:r>
        <w:rPr>
          <w:kern w:val="0"/>
        </w:rPr>
        <w:t>. . .</w:t>
      </w:r>
      <w:r w:rsidRPr="00674828">
        <w:rPr>
          <w:kern w:val="0"/>
        </w:rPr>
        <w:t xml:space="preserve"> that they represent the structural principles of the text of Luke </w:t>
      </w:r>
      <w:r>
        <w:rPr>
          <w:kern w:val="0"/>
        </w:rPr>
        <w:t>. . .</w:t>
      </w:r>
      <w:r w:rsidRPr="00674828">
        <w:rPr>
          <w:kern w:val="0"/>
        </w:rPr>
        <w:t>?</w:t>
      </w:r>
      <w:r>
        <w:rPr>
          <w:rStyle w:val="FootnoteReference"/>
          <w:kern w:val="0"/>
        </w:rPr>
        <w:footnoteReference w:id="796"/>
      </w:r>
    </w:p>
    <w:p w14:paraId="63B893E3" w14:textId="77777777" w:rsidR="003536F8" w:rsidRDefault="003536F8" w:rsidP="00786ADB">
      <w:pPr>
        <w:widowControl w:val="0"/>
      </w:pPr>
    </w:p>
    <w:p w14:paraId="2F5CFDCD" w14:textId="207068CA" w:rsidR="003536F8" w:rsidRDefault="003536F8" w:rsidP="00786ADB">
      <w:pPr>
        <w:widowControl w:val="0"/>
        <w:rPr>
          <w:kern w:val="0"/>
        </w:rPr>
      </w:pPr>
      <w:r w:rsidRPr="00674828">
        <w:rPr>
          <w:kern w:val="0"/>
        </w:rPr>
        <w:t xml:space="preserve">But </w:t>
      </w:r>
      <w:proofErr w:type="spellStart"/>
      <w:r w:rsidRPr="00674828">
        <w:rPr>
          <w:kern w:val="0"/>
        </w:rPr>
        <w:t>Meynet</w:t>
      </w:r>
      <w:proofErr w:type="spellEnd"/>
      <w:r w:rsidRPr="00674828">
        <w:rPr>
          <w:kern w:val="0"/>
        </w:rPr>
        <w:t xml:space="preserve"> does not cite these OT passages.</w:t>
      </w:r>
      <w:r w:rsidRPr="00674828">
        <w:rPr>
          <w:iCs/>
          <w:kern w:val="0"/>
        </w:rPr>
        <w:t xml:space="preserve"> </w:t>
      </w:r>
      <w:r w:rsidRPr="00674828">
        <w:rPr>
          <w:kern w:val="0"/>
        </w:rPr>
        <w:t>He is content merely to say that “It would take a long time to list the set of biblical passages constructed in this fashion</w:t>
      </w:r>
      <w:r>
        <w:rPr>
          <w:kern w:val="0"/>
        </w:rPr>
        <w:t>.</w:t>
      </w:r>
      <w:r w:rsidRPr="00674828">
        <w:rPr>
          <w:kern w:val="0"/>
        </w:rPr>
        <w:t>”</w:t>
      </w:r>
      <w:r>
        <w:rPr>
          <w:rStyle w:val="FootnoteReference"/>
          <w:kern w:val="0"/>
        </w:rPr>
        <w:footnoteReference w:id="797"/>
      </w:r>
    </w:p>
    <w:p w14:paraId="72670184" w14:textId="615E305F" w:rsidR="0018433B" w:rsidRDefault="003536F8" w:rsidP="00786ADB">
      <w:pPr>
        <w:widowControl w:val="0"/>
      </w:pPr>
      <w:r>
        <w:tab/>
        <w:t xml:space="preserve">Talbert has proposed both internal and external controls to </w:t>
      </w:r>
      <w:r w:rsidR="0018433B">
        <w:t xml:space="preserve">support </w:t>
      </w:r>
      <w:r w:rsidR="00333BED">
        <w:t xml:space="preserve">the </w:t>
      </w:r>
      <w:r w:rsidR="0018433B">
        <w:t xml:space="preserve">contention that architectonic patterns in </w:t>
      </w:r>
      <w:r>
        <w:t>s</w:t>
      </w:r>
      <w:r w:rsidR="0018433B">
        <w:t>cripture can be objective.</w:t>
      </w:r>
      <w:r w:rsidR="0027511E" w:rsidRPr="0027511E">
        <w:rPr>
          <w:iCs/>
        </w:rPr>
        <w:t xml:space="preserve"> </w:t>
      </w:r>
      <w:r>
        <w:t xml:space="preserve">As internal </w:t>
      </w:r>
      <w:r w:rsidR="0018433B">
        <w:t>controls</w:t>
      </w:r>
      <w:r>
        <w:t>, he suggests that</w:t>
      </w:r>
      <w:r w:rsidR="0018433B">
        <w:t xml:space="preserve"> a</w:t>
      </w:r>
      <w:r w:rsidR="000151C8" w:rsidRPr="000151C8">
        <w:rPr>
          <w:iCs/>
        </w:rPr>
        <w:t xml:space="preserve"> </w:t>
      </w:r>
      <w:r w:rsidR="0018433B">
        <w:t>pattern should be demonstrable throughout an author</w:t>
      </w:r>
      <w:r>
        <w:t>’</w:t>
      </w:r>
      <w:r w:rsidR="0018433B">
        <w:t>s work</w:t>
      </w:r>
      <w:r>
        <w:t>;</w:t>
      </w:r>
      <w:r w:rsidR="0018433B">
        <w:t xml:space="preserve"> </w:t>
      </w:r>
      <w:r w:rsidR="00333BED">
        <w:t xml:space="preserve">that </w:t>
      </w:r>
      <w:r>
        <w:t xml:space="preserve">it should be demonstrable </w:t>
      </w:r>
      <w:r w:rsidR="0018433B">
        <w:t>in sections both large and small; and</w:t>
      </w:r>
      <w:r w:rsidR="00333BED">
        <w:t xml:space="preserve"> that</w:t>
      </w:r>
      <w:r w:rsidR="006F304D" w:rsidRPr="006F304D">
        <w:t xml:space="preserve">, </w:t>
      </w:r>
      <w:r w:rsidR="0018433B">
        <w:t>at least in the gospels</w:t>
      </w:r>
      <w:r w:rsidR="006F304D" w:rsidRPr="006F304D">
        <w:t xml:space="preserve">, </w:t>
      </w:r>
      <w:r w:rsidR="0018433B">
        <w:t xml:space="preserve">a pattern should be part of the redaction rather </w:t>
      </w:r>
      <w:r w:rsidR="0018433B">
        <w:lastRenderedPageBreak/>
        <w:t>than part of the tradition.</w:t>
      </w:r>
      <w:r w:rsidR="0027511E" w:rsidRPr="0027511E">
        <w:rPr>
          <w:iCs/>
        </w:rPr>
        <w:t xml:space="preserve"> </w:t>
      </w:r>
      <w:r>
        <w:t xml:space="preserve">As </w:t>
      </w:r>
      <w:r w:rsidR="0018433B">
        <w:t>external controls</w:t>
      </w:r>
      <w:r>
        <w:t>, he suggests that</w:t>
      </w:r>
      <w:r w:rsidR="0018433B">
        <w:t xml:space="preserve"> one should be able to cite parallel instances of the pattern both in contemporary literature</w:t>
      </w:r>
      <w:r w:rsidR="006F304D" w:rsidRPr="006F304D">
        <w:t xml:space="preserve">, </w:t>
      </w:r>
      <w:r w:rsidR="0018433B">
        <w:t>in the visual arts of the period</w:t>
      </w:r>
      <w:r w:rsidR="006F304D" w:rsidRPr="006F304D">
        <w:t xml:space="preserve">, </w:t>
      </w:r>
      <w:r w:rsidR="0018433B">
        <w:t>and in the “cultural mentality” of the times.</w:t>
      </w:r>
      <w:r w:rsidR="0018433B">
        <w:rPr>
          <w:vertAlign w:val="superscript"/>
        </w:rPr>
        <w:footnoteReference w:id="798"/>
      </w:r>
    </w:p>
    <w:p w14:paraId="74B227DA" w14:textId="42386672" w:rsidR="0018433B" w:rsidRDefault="0018433B" w:rsidP="00786ADB">
      <w:pPr>
        <w:widowControl w:val="0"/>
      </w:pPr>
      <w:r>
        <w:tab/>
        <w:t xml:space="preserve">Concerning the </w:t>
      </w:r>
      <w:r w:rsidR="00333BED">
        <w:t xml:space="preserve">third </w:t>
      </w:r>
      <w:r>
        <w:t xml:space="preserve">of </w:t>
      </w:r>
      <w:r w:rsidR="00333BED">
        <w:t xml:space="preserve">Talbert’s </w:t>
      </w:r>
      <w:r>
        <w:t>internal controls: would a pattern not equally be present in a text if it arrives there through tradition rather than redaction?</w:t>
      </w:r>
      <w:r w:rsidR="0027511E" w:rsidRPr="0027511E">
        <w:rPr>
          <w:iCs/>
        </w:rPr>
        <w:t xml:space="preserve"> </w:t>
      </w:r>
      <w:r>
        <w:t xml:space="preserve">The other controls (the first </w:t>
      </w:r>
      <w:r w:rsidR="00333BED">
        <w:t xml:space="preserve">and second </w:t>
      </w:r>
      <w:r>
        <w:t>internal control</w:t>
      </w:r>
      <w:r w:rsidR="00333BED">
        <w:t>s</w:t>
      </w:r>
      <w:r>
        <w:t xml:space="preserve"> and all three of the external controls)</w:t>
      </w:r>
      <w:r w:rsidR="00333BED">
        <w:t>, however, have some relevance.</w:t>
      </w:r>
      <w:r>
        <w:t xml:space="preserve"> </w:t>
      </w:r>
      <w:r w:rsidR="00333BED">
        <w:t xml:space="preserve">They </w:t>
      </w:r>
      <w:r>
        <w:t>are variations on a single point</w:t>
      </w:r>
      <w:r w:rsidR="006F304D" w:rsidRPr="006F304D">
        <w:t xml:space="preserve">, </w:t>
      </w:r>
      <w:r>
        <w:t>namely</w:t>
      </w:r>
      <w:r w:rsidR="006F304D" w:rsidRPr="006F304D">
        <w:t xml:space="preserve">, </w:t>
      </w:r>
      <w:r>
        <w:t xml:space="preserve">that parallels (whether in the same text or in contemporary culture) </w:t>
      </w:r>
      <w:r w:rsidR="00333BED">
        <w:t xml:space="preserve">to a pattern </w:t>
      </w:r>
      <w:r>
        <w:t>discerned in a text stren</w:t>
      </w:r>
      <w:r w:rsidR="00333BED">
        <w:t>g</w:t>
      </w:r>
      <w:r>
        <w:t>t</w:t>
      </w:r>
      <w:r w:rsidR="00333BED">
        <w:t>h</w:t>
      </w:r>
      <w:r>
        <w:t>en</w:t>
      </w:r>
      <w:r w:rsidR="00333BED">
        <w:t xml:space="preserve"> </w:t>
      </w:r>
      <w:r>
        <w:t>the probability that the author did indeed use the pattern in that text.</w:t>
      </w:r>
      <w:r w:rsidR="0027511E" w:rsidRPr="0027511E">
        <w:rPr>
          <w:iCs/>
        </w:rPr>
        <w:t xml:space="preserve"> </w:t>
      </w:r>
      <w:r w:rsidR="00333BED">
        <w:t xml:space="preserve">Of course, </w:t>
      </w:r>
      <w:r>
        <w:t>the final arbiter of whether or not a pattern exists in a given text—no matter how common it may be elsewhere in the work or throughout the culture—must be the text itself.</w:t>
      </w:r>
      <w:r w:rsidR="0027511E" w:rsidRPr="0027511E">
        <w:rPr>
          <w:iCs/>
        </w:rPr>
        <w:t xml:space="preserve"> </w:t>
      </w:r>
      <w:r>
        <w:t xml:space="preserve">Increasing one’s citations of parallels cannot deepen a pattern’s existence if the pattern cannot be shown to be </w:t>
      </w:r>
      <w:r w:rsidR="00333BED">
        <w:t xml:space="preserve">in the text </w:t>
      </w:r>
      <w:r>
        <w:t>on the basis of the text alone.</w:t>
      </w:r>
      <w:r w:rsidR="00333BED">
        <w:t xml:space="preserve"> Nevertheless, the existence of parallels does go some way toward increasing the probability that a discerned pattern was in fact intended.</w:t>
      </w:r>
    </w:p>
    <w:p w14:paraId="71AFBC9F" w14:textId="12D6F932" w:rsidR="0018433B" w:rsidRDefault="0018433B" w:rsidP="00786ADB">
      <w:pPr>
        <w:widowControl w:val="0"/>
      </w:pPr>
      <w:r>
        <w:tab/>
        <w:t>One’s confidence in cultural parallels is also somewhat shaken by the inability of scholars to agree concerning them.</w:t>
      </w:r>
      <w:r w:rsidR="0027511E" w:rsidRPr="0027511E">
        <w:rPr>
          <w:iCs/>
        </w:rPr>
        <w:t xml:space="preserve"> </w:t>
      </w:r>
      <w:r>
        <w:t>On the one hand</w:t>
      </w:r>
      <w:r w:rsidR="006F304D" w:rsidRPr="006F304D">
        <w:t xml:space="preserve">, </w:t>
      </w:r>
      <w:proofErr w:type="spellStart"/>
      <w:r>
        <w:t>Meynet</w:t>
      </w:r>
      <w:proofErr w:type="spellEnd"/>
      <w:r w:rsidR="0027511E" w:rsidRPr="0027511E">
        <w:rPr>
          <w:iCs/>
        </w:rPr>
        <w:t xml:space="preserve"> </w:t>
      </w:r>
      <w:r>
        <w:t>claims that “Luke probably observed the rule of chiasm in the same way that we observe the rules of language when we speak.</w:t>
      </w:r>
      <w:r w:rsidR="0027511E" w:rsidRPr="0027511E">
        <w:rPr>
          <w:iCs/>
        </w:rPr>
        <w:t xml:space="preserve"> </w:t>
      </w:r>
      <w:r>
        <w:t>If we were to become aware of all the laws</w:t>
      </w:r>
      <w:r w:rsidR="006F304D" w:rsidRPr="006F304D">
        <w:t xml:space="preserve">, </w:t>
      </w:r>
      <w:r>
        <w:t>phonological</w:t>
      </w:r>
      <w:r w:rsidR="006F304D" w:rsidRPr="006F304D">
        <w:t xml:space="preserve">, </w:t>
      </w:r>
      <w:r>
        <w:t>morphological</w:t>
      </w:r>
      <w:r w:rsidR="006F304D" w:rsidRPr="006F304D">
        <w:t xml:space="preserve">, </w:t>
      </w:r>
      <w:r>
        <w:t>and syntactic</w:t>
      </w:r>
      <w:r w:rsidR="006F304D" w:rsidRPr="006F304D">
        <w:t xml:space="preserve">, </w:t>
      </w:r>
      <w:r w:rsidR="00EF10DB">
        <w:t>. . .</w:t>
      </w:r>
      <w:r>
        <w:t xml:space="preserve"> we would remain mute</w:t>
      </w:r>
      <w:r w:rsidR="00333BED">
        <w:t xml:space="preserve"> </w:t>
      </w:r>
      <w:r w:rsidR="00EF10DB">
        <w:t>. . .</w:t>
      </w:r>
      <w:r>
        <w:t>”</w:t>
      </w:r>
      <w:r>
        <w:rPr>
          <w:vertAlign w:val="superscript"/>
        </w:rPr>
        <w:footnoteReference w:id="799"/>
      </w:r>
      <w:r w:rsidR="0027511E" w:rsidRPr="0027511E">
        <w:rPr>
          <w:iCs/>
        </w:rPr>
        <w:t xml:space="preserve"> </w:t>
      </w:r>
      <w:r>
        <w:t>Here Luke is supposed to be so thoroughly imbued with the habit of chiasm that he created them without thinking.</w:t>
      </w:r>
      <w:r w:rsidR="0027511E" w:rsidRPr="0027511E">
        <w:rPr>
          <w:iCs/>
        </w:rPr>
        <w:t xml:space="preserve"> </w:t>
      </w:r>
      <w:r>
        <w:t>On the other hand</w:t>
      </w:r>
      <w:r w:rsidR="006F304D" w:rsidRPr="006F304D">
        <w:t xml:space="preserve">, </w:t>
      </w:r>
      <w:r>
        <w:t>Eduard Norden</w:t>
      </w:r>
      <w:r w:rsidR="00EF10DB">
        <w:t xml:space="preserve"> </w:t>
      </w:r>
      <w:r>
        <w:t>has maintained the opposite: “The Greek had a proclivity to create artful patterns on a small scale [e.g.</w:t>
      </w:r>
      <w:r w:rsidR="006F304D" w:rsidRPr="006F304D">
        <w:t xml:space="preserve">, </w:t>
      </w:r>
      <w:r>
        <w:t>at the level of the sentence]</w:t>
      </w:r>
      <w:r w:rsidR="006F304D" w:rsidRPr="006F304D">
        <w:t xml:space="preserve">, </w:t>
      </w:r>
      <w:r>
        <w:t>but he lacked the monumentality of architectonic patterns.”</w:t>
      </w:r>
      <w:r>
        <w:rPr>
          <w:vertAlign w:val="superscript"/>
        </w:rPr>
        <w:footnoteReference w:id="800"/>
      </w:r>
    </w:p>
    <w:p w14:paraId="7DE40549" w14:textId="008EC18D" w:rsidR="0018433B" w:rsidRDefault="0018433B" w:rsidP="00786ADB">
      <w:pPr>
        <w:widowControl w:val="0"/>
      </w:pPr>
      <w:r>
        <w:tab/>
        <w:t>A final argument that the architects use to magnify the objectivity of their patterns is the confluence of details within a pattern.</w:t>
      </w:r>
      <w:r w:rsidR="0027511E" w:rsidRPr="0027511E">
        <w:rPr>
          <w:iCs/>
        </w:rPr>
        <w:t xml:space="preserve"> </w:t>
      </w:r>
      <w:r>
        <w:t xml:space="preserve">Thus </w:t>
      </w:r>
      <w:proofErr w:type="spellStart"/>
      <w:r>
        <w:t>Meynet</w:t>
      </w:r>
      <w:proofErr w:type="spellEnd"/>
      <w:r>
        <w:t xml:space="preserve"> says,</w:t>
      </w:r>
    </w:p>
    <w:p w14:paraId="2D99D041" w14:textId="77777777" w:rsidR="00EF10DB" w:rsidRDefault="00EF10DB" w:rsidP="00786ADB">
      <w:pPr>
        <w:widowControl w:val="0"/>
      </w:pPr>
    </w:p>
    <w:p w14:paraId="2FABC685" w14:textId="467A68C9" w:rsidR="0018433B" w:rsidRDefault="0018433B" w:rsidP="00786ADB">
      <w:pPr>
        <w:widowControl w:val="0"/>
        <w:ind w:left="720" w:right="720"/>
      </w:pPr>
      <w:r>
        <w:t>it is the coherence of these indications and their mutual reinforcement that guarantees their validity.</w:t>
      </w:r>
      <w:r w:rsidR="00EF10DB">
        <w:t xml:space="preserve"> . . .</w:t>
      </w:r>
      <w:r>
        <w:t xml:space="preserve"> The convergence of these indications and their coherence at several levels at the same time is certainly a better guarantee of their validity.</w:t>
      </w:r>
      <w:r>
        <w:rPr>
          <w:vertAlign w:val="superscript"/>
        </w:rPr>
        <w:footnoteReference w:id="801"/>
      </w:r>
    </w:p>
    <w:p w14:paraId="4C6B1367" w14:textId="77777777" w:rsidR="00EF10DB" w:rsidRDefault="00EF10DB" w:rsidP="00786ADB">
      <w:pPr>
        <w:widowControl w:val="0"/>
      </w:pPr>
    </w:p>
    <w:p w14:paraId="6BEB9FAD" w14:textId="55ED0621" w:rsidR="0018433B" w:rsidRDefault="0018433B" w:rsidP="00786ADB">
      <w:pPr>
        <w:widowControl w:val="0"/>
      </w:pPr>
      <w:r>
        <w:t xml:space="preserve">But if it </w:t>
      </w:r>
      <w:r w:rsidR="00EF10DB">
        <w:t xml:space="preserve">be </w:t>
      </w:r>
      <w:r>
        <w:t xml:space="preserve">true that “A single indication is often insufficient to establish the presumption that a </w:t>
      </w:r>
      <w:r>
        <w:lastRenderedPageBreak/>
        <w:t>rhetorical structure is present,”</w:t>
      </w:r>
      <w:r>
        <w:rPr>
          <w:vertAlign w:val="superscript"/>
        </w:rPr>
        <w:footnoteReference w:id="802"/>
      </w:r>
      <w:r>
        <w:t xml:space="preserve"> an accumulation of them </w:t>
      </w:r>
      <w:r w:rsidR="00EF10DB">
        <w:t xml:space="preserve">need not </w:t>
      </w:r>
      <w:r>
        <w:t>establish that presumption</w:t>
      </w:r>
      <w:r w:rsidR="00EF10DB">
        <w:t>:</w:t>
      </w:r>
      <w:r w:rsidR="0027511E" w:rsidRPr="0027511E">
        <w:rPr>
          <w:iCs/>
        </w:rPr>
        <w:t xml:space="preserve"> </w:t>
      </w:r>
      <w:r w:rsidR="00EF10DB">
        <w:t>a</w:t>
      </w:r>
      <w:r>
        <w:t xml:space="preserve">n accretion of insufficiencies </w:t>
      </w:r>
      <w:r w:rsidR="00EF10DB">
        <w:t xml:space="preserve">need </w:t>
      </w:r>
      <w:r>
        <w:t>not a sufficiency make.</w:t>
      </w:r>
      <w:r w:rsidR="00EF10DB">
        <w:t xml:space="preserve"> Nevertheless, accumulated evidence may go some way toward increasing probability.</w:t>
      </w:r>
    </w:p>
    <w:p w14:paraId="49599500" w14:textId="223E4C0B" w:rsidR="0018433B" w:rsidRDefault="0018433B" w:rsidP="00786ADB">
      <w:pPr>
        <w:widowControl w:val="0"/>
      </w:pPr>
      <w:r>
        <w:tab/>
      </w:r>
      <w:r w:rsidR="00EF10DB">
        <w:t>But i</w:t>
      </w:r>
      <w:r>
        <w:t>n opposition to these attempts by the architects to demonstrate their objectivity are the serious objections that must be raised against their more fanciful edifices.</w:t>
      </w:r>
      <w:r w:rsidR="0027511E" w:rsidRPr="0027511E">
        <w:rPr>
          <w:iCs/>
        </w:rPr>
        <w:t xml:space="preserve"> </w:t>
      </w:r>
      <w:r>
        <w:t>One such reproach is opposed to the architects’ claim to have discovered the exact patterns which ancient authors intended.</w:t>
      </w:r>
      <w:r w:rsidR="0027511E" w:rsidRPr="0027511E">
        <w:rPr>
          <w:iCs/>
        </w:rPr>
        <w:t xml:space="preserve"> </w:t>
      </w:r>
      <w:proofErr w:type="spellStart"/>
      <w:r>
        <w:t>Meynet</w:t>
      </w:r>
      <w:proofErr w:type="spellEnd"/>
      <w:r>
        <w:t xml:space="preserve"> himself acknowledges that “one </w:t>
      </w:r>
      <w:r w:rsidR="00EF10DB">
        <w:t>. . .</w:t>
      </w:r>
      <w:r>
        <w:t xml:space="preserve"> question is often posed by more critical spirits: ‘Are these </w:t>
      </w:r>
      <w:r>
        <w:rPr>
          <w:i/>
        </w:rPr>
        <w:t>the</w:t>
      </w:r>
      <w:r>
        <w:t xml:space="preserve"> structures of the text</w:t>
      </w:r>
      <w:r w:rsidR="006F304D" w:rsidRPr="006F304D">
        <w:t xml:space="preserve">, </w:t>
      </w:r>
      <w:r>
        <w:t xml:space="preserve">or only </w:t>
      </w:r>
      <w:r>
        <w:rPr>
          <w:i/>
        </w:rPr>
        <w:t>one</w:t>
      </w:r>
      <w:r>
        <w:t xml:space="preserve"> possible way of structuring it?’ </w:t>
      </w:r>
      <w:r w:rsidR="00EF10DB">
        <w:t>. . .</w:t>
      </w:r>
      <w:r>
        <w:t xml:space="preserve"> This question is fundamental </w:t>
      </w:r>
      <w:r w:rsidR="00EF10DB">
        <w:t>. . .</w:t>
      </w:r>
      <w:r>
        <w:t>”</w:t>
      </w:r>
      <w:r>
        <w:rPr>
          <w:vertAlign w:val="superscript"/>
        </w:rPr>
        <w:footnoteReference w:id="803"/>
      </w:r>
      <w:r w:rsidR="0027511E" w:rsidRPr="0027511E">
        <w:rPr>
          <w:iCs/>
        </w:rPr>
        <w:t xml:space="preserve"> </w:t>
      </w:r>
      <w:proofErr w:type="spellStart"/>
      <w:r>
        <w:t>Meynet</w:t>
      </w:r>
      <w:proofErr w:type="spellEnd"/>
      <w:r>
        <w:t xml:space="preserve"> does not answer with a blunt affirmative.</w:t>
      </w:r>
      <w:r>
        <w:rPr>
          <w:vertAlign w:val="superscript"/>
        </w:rPr>
        <w:footnoteReference w:id="804"/>
      </w:r>
      <w:r w:rsidR="0027511E" w:rsidRPr="0027511E">
        <w:rPr>
          <w:iCs/>
        </w:rPr>
        <w:t xml:space="preserve"> </w:t>
      </w:r>
      <w:r w:rsidR="00EF10DB">
        <w:t>H</w:t>
      </w:r>
      <w:r>
        <w:t>is only response to this charge is a counter-challenge: “if another division could be performed that were composed of Units different [from mine]</w:t>
      </w:r>
      <w:r w:rsidR="006F304D" w:rsidRPr="006F304D">
        <w:t xml:space="preserve">, </w:t>
      </w:r>
      <w:r>
        <w:t>that analysis would have to be equally as coherent [as mine]</w:t>
      </w:r>
      <w:r w:rsidR="006F304D" w:rsidRPr="006F304D">
        <w:t xml:space="preserve">, </w:t>
      </w:r>
      <w:r>
        <w:t>both in theory and in practice.”</w:t>
      </w:r>
      <w:r>
        <w:rPr>
          <w:vertAlign w:val="superscript"/>
        </w:rPr>
        <w:footnoteReference w:id="805"/>
      </w:r>
      <w:r w:rsidR="0027511E" w:rsidRPr="0027511E">
        <w:rPr>
          <w:iCs/>
        </w:rPr>
        <w:t xml:space="preserve"> </w:t>
      </w:r>
      <w:r>
        <w:t xml:space="preserve">By “coherence in theory,” presumably he means the logical rigor of his “Biblical Rhetoric” (a scheme we have </w:t>
      </w:r>
      <w:r w:rsidR="00212244">
        <w:t xml:space="preserve">presented </w:t>
      </w:r>
      <w:r>
        <w:t>in Appendix 1); by “coherence in practice,” presumably he means the detail with which he has analyzed the biblical text.</w:t>
      </w:r>
      <w:r w:rsidR="0027511E" w:rsidRPr="0027511E">
        <w:rPr>
          <w:iCs/>
        </w:rPr>
        <w:t xml:space="preserve"> </w:t>
      </w:r>
      <w:r>
        <w:t>But we have already seen that as far as “practice” goes</w:t>
      </w:r>
      <w:r w:rsidR="006F304D" w:rsidRPr="006F304D">
        <w:t xml:space="preserve">, </w:t>
      </w:r>
      <w:r>
        <w:t>his minute analyses</w:t>
      </w:r>
      <w:r w:rsidR="006F304D" w:rsidRPr="006F304D">
        <w:t xml:space="preserve">, </w:t>
      </w:r>
      <w:r>
        <w:t>at least those he has proposed for the sermon on the plain</w:t>
      </w:r>
      <w:r w:rsidR="006F304D" w:rsidRPr="006F304D">
        <w:t xml:space="preserve">, </w:t>
      </w:r>
      <w:r>
        <w:t>do not demonstrate great coherence.</w:t>
      </w:r>
      <w:r w:rsidR="0027511E" w:rsidRPr="0027511E">
        <w:rPr>
          <w:iCs/>
        </w:rPr>
        <w:t xml:space="preserve"> </w:t>
      </w:r>
      <w:r>
        <w:t>Perhaps more importantly (because more far-reaching in its influence)</w:t>
      </w:r>
      <w:r w:rsidR="006F304D" w:rsidRPr="006F304D">
        <w:t xml:space="preserve">, </w:t>
      </w:r>
      <w:r>
        <w:t xml:space="preserve">the extreme rigor of </w:t>
      </w:r>
      <w:proofErr w:type="spellStart"/>
      <w:r>
        <w:t>Meynet’s</w:t>
      </w:r>
      <w:proofErr w:type="spellEnd"/>
      <w:r>
        <w:t xml:space="preserve"> theory may in fact cause him to overlook a lack of rigor in Luke’s sermon.</w:t>
      </w:r>
    </w:p>
    <w:p w14:paraId="0CB6033C" w14:textId="32C828F5" w:rsidR="0018433B" w:rsidRDefault="0018433B" w:rsidP="00786ADB">
      <w:pPr>
        <w:widowControl w:val="0"/>
      </w:pPr>
      <w:r>
        <w:tab/>
        <w:t>Another objection that must be raised against the architects</w:t>
      </w:r>
      <w:r w:rsidR="006F304D" w:rsidRPr="006F304D">
        <w:t xml:space="preserve">, </w:t>
      </w:r>
      <w:r>
        <w:t>or at least against their more forbidding constructions</w:t>
      </w:r>
      <w:r w:rsidR="006F304D" w:rsidRPr="006F304D">
        <w:t xml:space="preserve">, </w:t>
      </w:r>
      <w:r>
        <w:t>is the question whether ancient authors are likely to have built such whimsical structures.</w:t>
      </w:r>
      <w:r w:rsidR="0027511E" w:rsidRPr="0027511E">
        <w:rPr>
          <w:iCs/>
        </w:rPr>
        <w:t xml:space="preserve"> </w:t>
      </w:r>
      <w:r>
        <w:t>According to Lund</w:t>
      </w:r>
      <w:r w:rsidR="006F304D" w:rsidRPr="006F304D">
        <w:t xml:space="preserve">, </w:t>
      </w:r>
      <w:r>
        <w:t>the authors consciously constructed their large structures</w:t>
      </w:r>
      <w:r w:rsidR="006F304D" w:rsidRPr="006F304D">
        <w:t xml:space="preserve">, </w:t>
      </w:r>
      <w:r>
        <w:t>but were unaware of their small</w:t>
      </w:r>
      <w:r w:rsidR="00212244">
        <w:t>er</w:t>
      </w:r>
      <w:r>
        <w:t xml:space="preserve"> </w:t>
      </w:r>
      <w:r w:rsidR="00212244">
        <w:t>ones</w:t>
      </w:r>
      <w:r>
        <w:t>.</w:t>
      </w:r>
      <w:r>
        <w:rPr>
          <w:vertAlign w:val="superscript"/>
        </w:rPr>
        <w:footnoteReference w:id="806"/>
      </w:r>
      <w:r w:rsidR="0027511E" w:rsidRPr="0027511E">
        <w:rPr>
          <w:iCs/>
        </w:rPr>
        <w:t xml:space="preserve"> </w:t>
      </w:r>
      <w:r>
        <w:t>Considering that small architectures are quicker and easier to build</w:t>
      </w:r>
      <w:r w:rsidR="006F304D" w:rsidRPr="006F304D">
        <w:t xml:space="preserve">, </w:t>
      </w:r>
      <w:r>
        <w:t>this seems unlikely.</w:t>
      </w:r>
      <w:r w:rsidR="0027511E" w:rsidRPr="0027511E">
        <w:rPr>
          <w:iCs/>
        </w:rPr>
        <w:t xml:space="preserve"> </w:t>
      </w:r>
      <w:proofErr w:type="spellStart"/>
      <w:r>
        <w:t>Meynet</w:t>
      </w:r>
      <w:proofErr w:type="spellEnd"/>
      <w:r w:rsidR="006F304D" w:rsidRPr="006F304D">
        <w:t xml:space="preserve">, </w:t>
      </w:r>
      <w:r>
        <w:t>of course</w:t>
      </w:r>
      <w:r w:rsidR="006F304D" w:rsidRPr="006F304D">
        <w:t xml:space="preserve">, </w:t>
      </w:r>
      <w:r>
        <w:t>has to assert his author’s consciousness of his constructions: “It is certainly unthinkable that the author was completely unaware of what he was making.”</w:t>
      </w:r>
      <w:r>
        <w:rPr>
          <w:vertAlign w:val="superscript"/>
        </w:rPr>
        <w:footnoteReference w:id="807"/>
      </w:r>
      <w:r w:rsidR="0027511E" w:rsidRPr="0027511E">
        <w:rPr>
          <w:iCs/>
        </w:rPr>
        <w:t xml:space="preserve"> </w:t>
      </w:r>
      <w:r>
        <w:t>But if Luke</w:t>
      </w:r>
      <w:r w:rsidR="006F304D" w:rsidRPr="006F304D">
        <w:t xml:space="preserve">, </w:t>
      </w:r>
      <w:r>
        <w:t>or any other ancient writer</w:t>
      </w:r>
      <w:r w:rsidR="006F304D" w:rsidRPr="006F304D">
        <w:t xml:space="preserve">, </w:t>
      </w:r>
      <w:r>
        <w:t>were conscious of the chiasms</w:t>
      </w:r>
      <w:r w:rsidR="006F304D" w:rsidRPr="006F304D">
        <w:t xml:space="preserve">, </w:t>
      </w:r>
      <w:r>
        <w:t>inclusions</w:t>
      </w:r>
      <w:r w:rsidR="006F304D" w:rsidRPr="006F304D">
        <w:t xml:space="preserve">, </w:t>
      </w:r>
      <w:r>
        <w:t>numerical elaborations</w:t>
      </w:r>
      <w:r w:rsidR="006F304D" w:rsidRPr="006F304D">
        <w:t xml:space="preserve">, </w:t>
      </w:r>
      <w:r>
        <w:t xml:space="preserve">and so on that </w:t>
      </w:r>
      <w:r w:rsidR="00212244">
        <w:t>he</w:t>
      </w:r>
      <w:r>
        <w:t xml:space="preserve"> were building</w:t>
      </w:r>
      <w:r w:rsidR="006F304D" w:rsidRPr="006F304D">
        <w:t xml:space="preserve">, </w:t>
      </w:r>
      <w:r>
        <w:t>then why is there no discussion of these principles in the ancient world?</w:t>
      </w:r>
      <w:r w:rsidR="0027511E" w:rsidRPr="0027511E">
        <w:rPr>
          <w:iCs/>
        </w:rPr>
        <w:t xml:space="preserve"> </w:t>
      </w:r>
      <w:r>
        <w:t>Why is “chiasm,” for example</w:t>
      </w:r>
      <w:r w:rsidR="006F304D" w:rsidRPr="006F304D">
        <w:t xml:space="preserve">, </w:t>
      </w:r>
      <w:r>
        <w:t xml:space="preserve">only referred to in Greek rhetoric in the third century </w:t>
      </w:r>
      <w:r>
        <w:rPr>
          <w:smallCaps/>
        </w:rPr>
        <w:t>AD</w:t>
      </w:r>
      <w:r w:rsidR="006F304D" w:rsidRPr="006F304D">
        <w:t xml:space="preserve">, </w:t>
      </w:r>
      <w:r>
        <w:t>and then only to speak of chiasms no longer than a sentence?</w:t>
      </w:r>
      <w:r>
        <w:rPr>
          <w:vertAlign w:val="superscript"/>
        </w:rPr>
        <w:footnoteReference w:id="808"/>
      </w:r>
    </w:p>
    <w:p w14:paraId="3DA6CD4B" w14:textId="6AD7799A" w:rsidR="0018433B" w:rsidRDefault="0018433B" w:rsidP="00786ADB">
      <w:pPr>
        <w:widowControl w:val="0"/>
      </w:pPr>
      <w:r>
        <w:tab/>
        <w:t>This raises a further objection: why is it that the discernment of architectonic patterns in Scripture did not begin until approximately two centuries ago (and not really in earnest</w:t>
      </w:r>
      <w:r w:rsidR="006F304D" w:rsidRPr="006F304D">
        <w:t xml:space="preserve">, </w:t>
      </w:r>
      <w:r>
        <w:t xml:space="preserve">according </w:t>
      </w:r>
      <w:r>
        <w:lastRenderedPageBreak/>
        <w:t>to Meynet</w:t>
      </w:r>
      <w:r w:rsidR="006F304D" w:rsidRPr="006F304D">
        <w:t xml:space="preserve">, </w:t>
      </w:r>
      <w:r>
        <w:t>until Lund’s book in 1943!)?</w:t>
      </w:r>
      <w:r>
        <w:rPr>
          <w:vertAlign w:val="superscript"/>
        </w:rPr>
        <w:footnoteReference w:id="809"/>
      </w:r>
      <w:r w:rsidR="0027511E" w:rsidRPr="0027511E">
        <w:rPr>
          <w:iCs/>
        </w:rPr>
        <w:t xml:space="preserve"> </w:t>
      </w:r>
      <w:r>
        <w:t>After all</w:t>
      </w:r>
      <w:r w:rsidR="006F304D" w:rsidRPr="006F304D">
        <w:t xml:space="preserve">, </w:t>
      </w:r>
      <w:r>
        <w:t xml:space="preserve">the Bible has been the object of innumerable </w:t>
      </w:r>
      <w:proofErr w:type="spellStart"/>
      <w:r w:rsidR="00212244">
        <w:t>scrutinies</w:t>
      </w:r>
      <w:proofErr w:type="spellEnd"/>
      <w:r>
        <w:t xml:space="preserve"> for twenty centuries now.</w:t>
      </w:r>
      <w:r w:rsidR="0027511E" w:rsidRPr="0027511E">
        <w:rPr>
          <w:iCs/>
        </w:rPr>
        <w:t xml:space="preserve"> </w:t>
      </w:r>
      <w:r>
        <w:t>Meynet’s defense here—“It is only in the present epoch that linguists have ceased to project the categories of Greek and Latin grammar on non-Indo-European languages”</w:t>
      </w:r>
      <w:r>
        <w:rPr>
          <w:vertAlign w:val="superscript"/>
        </w:rPr>
        <w:footnoteReference w:id="810"/>
      </w:r>
      <w:r>
        <w:t>—seems simplistic.</w:t>
      </w:r>
      <w:r w:rsidR="00C504D6">
        <w:rPr>
          <w:rStyle w:val="FootnoteReference"/>
        </w:rPr>
        <w:footnoteReference w:id="811"/>
      </w:r>
    </w:p>
    <w:p w14:paraId="431E8E70" w14:textId="77120963" w:rsidR="0018433B" w:rsidRDefault="0018433B" w:rsidP="00786ADB">
      <w:pPr>
        <w:widowControl w:val="0"/>
      </w:pPr>
      <w:r>
        <w:tab/>
        <w:t>These objections at the very least raise the question</w:t>
      </w:r>
      <w:r w:rsidR="006F304D" w:rsidRPr="006F304D">
        <w:t xml:space="preserve">, </w:t>
      </w:r>
      <w:r>
        <w:t>why architectonic analyses are so notoriously vulnerable to the charge of subjectivity.</w:t>
      </w:r>
      <w:r w:rsidR="0027511E" w:rsidRPr="0027511E">
        <w:rPr>
          <w:iCs/>
        </w:rPr>
        <w:t xml:space="preserve"> </w:t>
      </w:r>
      <w:r>
        <w:t>For the charge of subjectivity is a serious one.</w:t>
      </w:r>
      <w:r w:rsidR="0027511E" w:rsidRPr="0027511E">
        <w:rPr>
          <w:iCs/>
        </w:rPr>
        <w:t xml:space="preserve"> </w:t>
      </w:r>
      <w:r>
        <w:t xml:space="preserve">Not only does it cast suspicion on the structures that architectonic </w:t>
      </w:r>
      <w:r w:rsidR="00173DE6">
        <w:t>analysts</w:t>
      </w:r>
      <w:r>
        <w:t xml:space="preserve"> propose</w:t>
      </w:r>
      <w:r w:rsidR="006F304D" w:rsidRPr="006F304D">
        <w:t xml:space="preserve">, </w:t>
      </w:r>
      <w:r>
        <w:t>but it has far-reaching ramifications as well.</w:t>
      </w:r>
      <w:r w:rsidR="0027511E" w:rsidRPr="0027511E">
        <w:rPr>
          <w:iCs/>
        </w:rPr>
        <w:t xml:space="preserve"> </w:t>
      </w:r>
      <w:r>
        <w:t>If the structures which Lund</w:t>
      </w:r>
      <w:r w:rsidR="006F304D" w:rsidRPr="006F304D">
        <w:t xml:space="preserve">, </w:t>
      </w:r>
      <w:proofErr w:type="spellStart"/>
      <w:r>
        <w:t>Meynet</w:t>
      </w:r>
      <w:proofErr w:type="spellEnd"/>
      <w:r w:rsidR="006F304D" w:rsidRPr="006F304D">
        <w:t xml:space="preserve">, </w:t>
      </w:r>
      <w:r>
        <w:t>et alia</w:t>
      </w:r>
      <w:r w:rsidR="006F304D" w:rsidRPr="006F304D">
        <w:t xml:space="preserve">, </w:t>
      </w:r>
      <w:r>
        <w:t>have discovered truly are present in the text</w:t>
      </w:r>
      <w:r w:rsidR="006F304D" w:rsidRPr="006F304D">
        <w:t xml:space="preserve">, </w:t>
      </w:r>
      <w:r>
        <w:t xml:space="preserve">then we are </w:t>
      </w:r>
      <w:r>
        <w:rPr>
          <w:i/>
        </w:rPr>
        <w:t>obliged</w:t>
      </w:r>
      <w:r>
        <w:t xml:space="preserve"> to consider their existence when performing other critical tasks.</w:t>
      </w:r>
      <w:r w:rsidR="0027511E" w:rsidRPr="0027511E">
        <w:rPr>
          <w:iCs/>
        </w:rPr>
        <w:t xml:space="preserve"> </w:t>
      </w:r>
      <w:r>
        <w:t>Lund</w:t>
      </w:r>
      <w:r w:rsidR="006F304D" w:rsidRPr="006F304D">
        <w:t xml:space="preserve">, </w:t>
      </w:r>
      <w:r>
        <w:t>for example</w:t>
      </w:r>
      <w:r w:rsidR="006F304D" w:rsidRPr="006F304D">
        <w:t xml:space="preserve">, </w:t>
      </w:r>
      <w:r>
        <w:t>uses completion of a chiasm to determine the original state of the text:</w:t>
      </w:r>
    </w:p>
    <w:p w14:paraId="4856E6F5" w14:textId="77777777" w:rsidR="00C504D6" w:rsidRDefault="00C504D6" w:rsidP="00786ADB">
      <w:pPr>
        <w:widowControl w:val="0"/>
      </w:pPr>
    </w:p>
    <w:p w14:paraId="064B3083" w14:textId="3BBBC3FB" w:rsidR="0018433B" w:rsidRDefault="00173DE6" w:rsidP="00786ADB">
      <w:pPr>
        <w:widowControl w:val="0"/>
        <w:ind w:left="720" w:right="720"/>
      </w:pPr>
      <w:r>
        <w:t xml:space="preserve">. . . </w:t>
      </w:r>
      <w:r w:rsidR="0018433B">
        <w:t>since [Matt] 5:19</w:t>
      </w:r>
      <w:r w:rsidR="006F304D" w:rsidRPr="006F304D">
        <w:t xml:space="preserve">, </w:t>
      </w:r>
      <w:r w:rsidR="0018433B">
        <w:t>though brief and simple in construction</w:t>
      </w:r>
      <w:r w:rsidR="006F304D" w:rsidRPr="006F304D">
        <w:t xml:space="preserve">, </w:t>
      </w:r>
      <w:r w:rsidR="0018433B">
        <w:t xml:space="preserve">makes a perfect counterpart both in regard to its alternating </w:t>
      </w:r>
      <w:r w:rsidR="0018433B">
        <w:rPr>
          <w:i/>
        </w:rPr>
        <w:t>lines</w:t>
      </w:r>
      <w:r w:rsidR="006F304D" w:rsidRPr="006F304D">
        <w:t xml:space="preserve">, </w:t>
      </w:r>
      <w:r w:rsidR="0018433B">
        <w:t xml:space="preserve">and the inverted order of its </w:t>
      </w:r>
      <w:r w:rsidR="0018433B">
        <w:rPr>
          <w:i/>
        </w:rPr>
        <w:t>sections</w:t>
      </w:r>
      <w:r w:rsidR="006F304D" w:rsidRPr="006F304D">
        <w:t xml:space="preserve">, </w:t>
      </w:r>
      <w:r w:rsidR="0018433B">
        <w:t>we conclude that our literary analysis may be regarded as expressing the original state of the Greek text of the sermon as it occurred in the Common Source.</w:t>
      </w:r>
      <w:r w:rsidR="0018433B">
        <w:rPr>
          <w:vertAlign w:val="superscript"/>
        </w:rPr>
        <w:footnoteReference w:id="812"/>
      </w:r>
    </w:p>
    <w:p w14:paraId="63219276" w14:textId="77777777" w:rsidR="00C504D6" w:rsidRDefault="00C504D6" w:rsidP="00786ADB">
      <w:pPr>
        <w:widowControl w:val="0"/>
      </w:pPr>
    </w:p>
    <w:p w14:paraId="0D90D28E" w14:textId="5F5F58ED" w:rsidR="0018433B" w:rsidRDefault="0018433B" w:rsidP="00786ADB">
      <w:pPr>
        <w:widowControl w:val="0"/>
      </w:pPr>
      <w:r>
        <w:t>Not only would the existence of elaborate architectonic structures influence textual criticism</w:t>
      </w:r>
      <w:r w:rsidR="006F304D" w:rsidRPr="006F304D">
        <w:t xml:space="preserve">, </w:t>
      </w:r>
      <w:r>
        <w:t>and rightly so</w:t>
      </w:r>
      <w:r w:rsidR="006F304D" w:rsidRPr="006F304D">
        <w:t xml:space="preserve">, </w:t>
      </w:r>
      <w:r>
        <w:t>but it would modify the practice of source criticism as well.</w:t>
      </w:r>
      <w:r w:rsidR="0027511E" w:rsidRPr="0027511E">
        <w:rPr>
          <w:iCs/>
        </w:rPr>
        <w:t xml:space="preserve"> </w:t>
      </w:r>
      <w:r>
        <w:t>For if chiasms are characteristic of a biblical author</w:t>
      </w:r>
      <w:r w:rsidR="006F304D" w:rsidRPr="006F304D">
        <w:t xml:space="preserve">, </w:t>
      </w:r>
      <w:r>
        <w:t>but not of his source</w:t>
      </w:r>
      <w:r w:rsidR="006F304D" w:rsidRPr="006F304D">
        <w:t xml:space="preserve">, </w:t>
      </w:r>
      <w:r>
        <w:t>or vice versa</w:t>
      </w:r>
      <w:r w:rsidR="006F304D" w:rsidRPr="006F304D">
        <w:t xml:space="preserve">, </w:t>
      </w:r>
      <w:r>
        <w:t>then the distinguishing of tradition from redaction will have gained a new criterion.</w:t>
      </w:r>
      <w:r w:rsidR="0027511E" w:rsidRPr="0027511E">
        <w:rPr>
          <w:iCs/>
        </w:rPr>
        <w:t xml:space="preserve"> </w:t>
      </w:r>
      <w:r>
        <w:t>In fact</w:t>
      </w:r>
      <w:r w:rsidR="006F304D" w:rsidRPr="006F304D">
        <w:t xml:space="preserve">, </w:t>
      </w:r>
      <w:r>
        <w:t xml:space="preserve">both Lund and </w:t>
      </w:r>
      <w:proofErr w:type="spellStart"/>
      <w:r>
        <w:t>Meynet</w:t>
      </w:r>
      <w:proofErr w:type="spellEnd"/>
      <w:r>
        <w:t xml:space="preserve"> use chiasm as the basis for source-critical conclusions.</w:t>
      </w:r>
      <w:r w:rsidR="0027511E" w:rsidRPr="0027511E">
        <w:rPr>
          <w:iCs/>
        </w:rPr>
        <w:t xml:space="preserve"> </w:t>
      </w:r>
      <w:r>
        <w:t>Unfortunately</w:t>
      </w:r>
      <w:r w:rsidR="006F304D" w:rsidRPr="006F304D">
        <w:t xml:space="preserve">, </w:t>
      </w:r>
      <w:r>
        <w:t xml:space="preserve">Lund is convinced that the author of Luke </w:t>
      </w:r>
      <w:r w:rsidR="00173DE6">
        <w:t xml:space="preserve">so </w:t>
      </w:r>
      <w:r>
        <w:t xml:space="preserve">disliked chiasms </w:t>
      </w:r>
      <w:r w:rsidR="00173DE6">
        <w:t xml:space="preserve">that he </w:t>
      </w:r>
      <w:r>
        <w:t>deliberately smashed those he found in his sources</w:t>
      </w:r>
      <w:r>
        <w:rPr>
          <w:vertAlign w:val="superscript"/>
        </w:rPr>
        <w:footnoteReference w:id="813"/>
      </w:r>
      <w:r w:rsidR="00173DE6">
        <w:t>;</w:t>
      </w:r>
      <w:r>
        <w:t xml:space="preserve"> </w:t>
      </w:r>
      <w:proofErr w:type="spellStart"/>
      <w:r>
        <w:t>Meynet</w:t>
      </w:r>
      <w:proofErr w:type="spellEnd"/>
      <w:r>
        <w:t xml:space="preserve"> is equally certain that Luke so loved chiasms </w:t>
      </w:r>
      <w:r w:rsidR="00173DE6">
        <w:t xml:space="preserve">that </w:t>
      </w:r>
      <w:r>
        <w:t xml:space="preserve">he created them practically </w:t>
      </w:r>
      <w:r w:rsidR="00173DE6">
        <w:t>without noticing</w:t>
      </w:r>
      <w:r>
        <w:t>.</w:t>
      </w:r>
      <w:r>
        <w:rPr>
          <w:vertAlign w:val="superscript"/>
        </w:rPr>
        <w:footnoteReference w:id="814"/>
      </w:r>
    </w:p>
    <w:p w14:paraId="442E488A" w14:textId="10B06BDC" w:rsidR="0018433B" w:rsidRDefault="00173DE6" w:rsidP="00786ADB">
      <w:pPr>
        <w:widowControl w:val="0"/>
      </w:pPr>
      <w:r>
        <w:lastRenderedPageBreak/>
        <w:tab/>
      </w:r>
      <w:r w:rsidR="0018433B">
        <w:t>So much for the objectivity of architectonic patterns.</w:t>
      </w:r>
      <w:r>
        <w:t xml:space="preserve"> </w:t>
      </w:r>
      <w:r w:rsidR="0018433B">
        <w:t xml:space="preserve">We come now to the crucial question in this matter: </w:t>
      </w:r>
      <w:r w:rsidR="0018433B">
        <w:rPr>
          <w:i/>
        </w:rPr>
        <w:t>why</w:t>
      </w:r>
      <w:r w:rsidR="0018433B">
        <w:t xml:space="preserve"> are architectonic patterns so susceptible to subjectivity?</w:t>
      </w:r>
    </w:p>
    <w:p w14:paraId="3EA1C16E" w14:textId="4889C00F" w:rsidR="0018433B" w:rsidRDefault="0018433B" w:rsidP="00786ADB">
      <w:pPr>
        <w:widowControl w:val="0"/>
      </w:pPr>
      <w:r>
        <w:tab/>
        <w:t>The answer</w:t>
      </w:r>
      <w:r w:rsidR="006F304D" w:rsidRPr="006F304D">
        <w:t xml:space="preserve">, </w:t>
      </w:r>
      <w:r>
        <w:t>it seems to me</w:t>
      </w:r>
      <w:r w:rsidR="006F304D" w:rsidRPr="006F304D">
        <w:t xml:space="preserve">, </w:t>
      </w:r>
      <w:r>
        <w:t xml:space="preserve">is that virtually </w:t>
      </w:r>
      <w:r>
        <w:rPr>
          <w:i/>
        </w:rPr>
        <w:t>any</w:t>
      </w:r>
      <w:r>
        <w:t xml:space="preserve"> element in the text can be used in the construction of an architectonic pattern.</w:t>
      </w:r>
      <w:r w:rsidR="0027511E" w:rsidRPr="0027511E">
        <w:rPr>
          <w:iCs/>
        </w:rPr>
        <w:t xml:space="preserve"> </w:t>
      </w:r>
      <w:proofErr w:type="spellStart"/>
      <w:r>
        <w:t>Meynet</w:t>
      </w:r>
      <w:proofErr w:type="spellEnd"/>
      <w:r>
        <w:t xml:space="preserve"> speaks at one point of “the great variety of elements that can be in correspondence . . . .”</w:t>
      </w:r>
      <w:r>
        <w:rPr>
          <w:vertAlign w:val="superscript"/>
        </w:rPr>
        <w:footnoteReference w:id="815"/>
      </w:r>
      <w:r w:rsidR="0027511E" w:rsidRPr="0027511E">
        <w:rPr>
          <w:iCs/>
        </w:rPr>
        <w:t xml:space="preserve"> </w:t>
      </w:r>
      <w:r>
        <w:t>The corresponding elements in a passage chiasm</w:t>
      </w:r>
      <w:r w:rsidR="006F304D" w:rsidRPr="006F304D">
        <w:t xml:space="preserve">, </w:t>
      </w:r>
      <w:r>
        <w:t>he says</w:t>
      </w:r>
      <w:r w:rsidR="006F304D" w:rsidRPr="006F304D">
        <w:t xml:space="preserve">, </w:t>
      </w:r>
      <w:r>
        <w:t>can be either entire narratives (no matter whether their genre or their content corresponds) or parts of narratives.</w:t>
      </w:r>
      <w:r w:rsidR="0027511E" w:rsidRPr="0027511E">
        <w:rPr>
          <w:iCs/>
        </w:rPr>
        <w:t xml:space="preserve"> </w:t>
      </w:r>
      <w:r>
        <w:t>In the latter case</w:t>
      </w:r>
      <w:r w:rsidR="006F304D" w:rsidRPr="006F304D">
        <w:t xml:space="preserve">, </w:t>
      </w:r>
      <w:r>
        <w:t>the parts in correlation may be the two halves of a miracle (manifestation of power and confession); or two references to the OT (as in the rejection at Nazareth [Luke 4:16-30]</w:t>
      </w:r>
      <w:r w:rsidR="006F304D" w:rsidRPr="006F304D">
        <w:t xml:space="preserve">, </w:t>
      </w:r>
      <w:r>
        <w:t>where the quotation from Isaiah can be matched to the references to Elijah and Elisha)</w:t>
      </w:r>
      <w:r w:rsidR="006F304D" w:rsidRPr="006F304D">
        <w:t xml:space="preserve">, </w:t>
      </w:r>
      <w:r>
        <w:t>or any of a number of other elements: similar questions</w:t>
      </w:r>
      <w:r w:rsidR="006F304D" w:rsidRPr="006F304D">
        <w:t xml:space="preserve">, </w:t>
      </w:r>
      <w:r>
        <w:t>or similar titles of Jesus</w:t>
      </w:r>
      <w:r w:rsidR="006F304D" w:rsidRPr="006F304D">
        <w:t xml:space="preserve">, </w:t>
      </w:r>
      <w:r>
        <w:t>or even similar rhythms.</w:t>
      </w:r>
      <w:r>
        <w:rPr>
          <w:vertAlign w:val="superscript"/>
        </w:rPr>
        <w:footnoteReference w:id="816"/>
      </w:r>
    </w:p>
    <w:p w14:paraId="5E8676FF" w14:textId="1132087B" w:rsidR="0018433B" w:rsidRDefault="0018433B" w:rsidP="00786ADB">
      <w:pPr>
        <w:widowControl w:val="0"/>
      </w:pPr>
      <w:r>
        <w:tab/>
        <w:t>Lexical chiasms are somewhat less varied in their components</w:t>
      </w:r>
      <w:r w:rsidR="006F304D" w:rsidRPr="006F304D">
        <w:t xml:space="preserve">, </w:t>
      </w:r>
      <w:r>
        <w:t>since they are chiefly determined by recurrences of words.</w:t>
      </w:r>
      <w:r w:rsidR="0027511E" w:rsidRPr="0027511E">
        <w:rPr>
          <w:iCs/>
        </w:rPr>
        <w:t xml:space="preserve"> </w:t>
      </w:r>
      <w:r>
        <w:t>Nevertheless</w:t>
      </w:r>
      <w:r w:rsidR="006F304D" w:rsidRPr="006F304D">
        <w:t xml:space="preserve">, </w:t>
      </w:r>
      <w:r>
        <w:t>a lack of limits seems again to be the root of the problem.</w:t>
      </w:r>
      <w:r w:rsidR="0027511E" w:rsidRPr="0027511E">
        <w:rPr>
          <w:iCs/>
        </w:rPr>
        <w:t xml:space="preserve"> </w:t>
      </w:r>
      <w:r>
        <w:t xml:space="preserve">Here is </w:t>
      </w:r>
      <w:proofErr w:type="spellStart"/>
      <w:r>
        <w:t>Meynet’s</w:t>
      </w:r>
      <w:proofErr w:type="spellEnd"/>
      <w:r>
        <w:t xml:space="preserve"> prescription for discovering lexical chiasms</w:t>
      </w:r>
      <w:r w:rsidR="006F304D" w:rsidRPr="006F304D">
        <w:t xml:space="preserve">, </w:t>
      </w:r>
      <w:r>
        <w:t>and presumably a description of his own procedure:</w:t>
      </w:r>
    </w:p>
    <w:p w14:paraId="71618AAD" w14:textId="77777777" w:rsidR="00173DE6" w:rsidRDefault="00173DE6" w:rsidP="00786ADB">
      <w:pPr>
        <w:widowControl w:val="0"/>
      </w:pPr>
    </w:p>
    <w:p w14:paraId="678FECE6" w14:textId="2562263F" w:rsidR="0018433B" w:rsidRDefault="0018433B" w:rsidP="00786ADB">
      <w:pPr>
        <w:widowControl w:val="0"/>
        <w:ind w:left="720" w:right="720"/>
      </w:pPr>
      <w:r>
        <w:t>in establishing a lexical chiasm</w:t>
      </w:r>
      <w:r w:rsidR="006F304D" w:rsidRPr="006F304D">
        <w:t xml:space="preserve">, </w:t>
      </w:r>
      <w:r>
        <w:t>one must be exhaustive</w:t>
      </w:r>
      <w:r w:rsidR="006F304D" w:rsidRPr="006F304D">
        <w:t xml:space="preserve">, </w:t>
      </w:r>
      <w:r>
        <w:t>that is</w:t>
      </w:r>
      <w:r w:rsidR="006F304D" w:rsidRPr="006F304D">
        <w:t xml:space="preserve">, </w:t>
      </w:r>
      <w:r>
        <w:t>one must take into consideration all recurrences.</w:t>
      </w:r>
      <w:r w:rsidR="0027511E" w:rsidRPr="0027511E">
        <w:rPr>
          <w:iCs/>
        </w:rPr>
        <w:t xml:space="preserve"> </w:t>
      </w:r>
      <w:r>
        <w:t xml:space="preserve">The best procedure is to begin by making a list of the words </w:t>
      </w:r>
      <w:r w:rsidR="00173DE6">
        <w:t>. . .</w:t>
      </w:r>
      <w:r>
        <w:t xml:space="preserve"> used in the text two or more times</w:t>
      </w:r>
      <w:r w:rsidR="006F304D" w:rsidRPr="006F304D">
        <w:t xml:space="preserve">, </w:t>
      </w:r>
      <w:r>
        <w:t>then to determine how they are organized—taking great care to integrate all those [correspondences] which can be found</w:t>
      </w:r>
      <w:r w:rsidR="00173DE6">
        <w:t xml:space="preserve"> . . .</w:t>
      </w:r>
      <w:r>
        <w:rPr>
          <w:vertAlign w:val="superscript"/>
        </w:rPr>
        <w:footnoteReference w:id="817"/>
      </w:r>
    </w:p>
    <w:p w14:paraId="396E8A5F" w14:textId="77777777" w:rsidR="00173DE6" w:rsidRDefault="00173DE6" w:rsidP="00786ADB">
      <w:pPr>
        <w:widowControl w:val="0"/>
      </w:pPr>
    </w:p>
    <w:p w14:paraId="178032B6" w14:textId="38531A2C" w:rsidR="0018433B" w:rsidRDefault="0018433B" w:rsidP="00786ADB">
      <w:pPr>
        <w:widowControl w:val="0"/>
      </w:pPr>
      <w:proofErr w:type="spellStart"/>
      <w:r>
        <w:t>Meynet</w:t>
      </w:r>
      <w:proofErr w:type="spellEnd"/>
      <w:r>
        <w:t xml:space="preserve"> does not stop with what you and I would mean by “identical words”: </w:t>
      </w:r>
      <w:r w:rsidR="00173DE6">
        <w:t xml:space="preserve">by that phrase, </w:t>
      </w:r>
      <w:r>
        <w:t xml:space="preserve">he does not mean “identical lexemes” but any sort of correspondence: “in </w:t>
      </w:r>
      <w:r w:rsidR="00ED622B">
        <w:t>. . .</w:t>
      </w:r>
      <w:r>
        <w:t xml:space="preserve"> lexical chiasms</w:t>
      </w:r>
      <w:r w:rsidR="006F304D" w:rsidRPr="006F304D">
        <w:t xml:space="preserve">, </w:t>
      </w:r>
      <w:r>
        <w:t xml:space="preserve">the proportion of identical words is largely greater than the synonyms </w:t>
      </w:r>
      <w:r w:rsidR="00ED622B">
        <w:t>. . .</w:t>
      </w:r>
      <w:r>
        <w:t>”</w:t>
      </w:r>
      <w:r>
        <w:rPr>
          <w:vertAlign w:val="superscript"/>
        </w:rPr>
        <w:footnoteReference w:id="818"/>
      </w:r>
      <w:r w:rsidR="0027511E" w:rsidRPr="0027511E">
        <w:rPr>
          <w:iCs/>
        </w:rPr>
        <w:t xml:space="preserve"> </w:t>
      </w:r>
      <w:r>
        <w:t>Even this is not</w:t>
      </w:r>
      <w:r w:rsidR="006F304D" w:rsidRPr="006F304D">
        <w:t xml:space="preserve">, </w:t>
      </w:r>
      <w:r>
        <w:t>for him</w:t>
      </w:r>
      <w:r w:rsidR="006F304D" w:rsidRPr="006F304D">
        <w:t xml:space="preserve">, </w:t>
      </w:r>
      <w:r>
        <w:t>sufficiently exhaustive.</w:t>
      </w:r>
      <w:r w:rsidR="0027511E" w:rsidRPr="0027511E">
        <w:rPr>
          <w:iCs/>
        </w:rPr>
        <w:t xml:space="preserve"> </w:t>
      </w:r>
      <w:r>
        <w:t>Elsewhere he advises one to list all oppositions as well: “first of all list all the words that are identical or opposed.”</w:t>
      </w:r>
      <w:r>
        <w:rPr>
          <w:vertAlign w:val="superscript"/>
        </w:rPr>
        <w:footnoteReference w:id="819"/>
      </w:r>
    </w:p>
    <w:p w14:paraId="2C262CF6" w14:textId="4B322151" w:rsidR="0018433B" w:rsidRDefault="0018433B" w:rsidP="00786ADB">
      <w:pPr>
        <w:widowControl w:val="0"/>
      </w:pPr>
      <w:r>
        <w:lastRenderedPageBreak/>
        <w:tab/>
        <w:t>What is the use of the resulting sea of data?</w:t>
      </w:r>
      <w:r w:rsidR="0027511E" w:rsidRPr="0027511E">
        <w:rPr>
          <w:iCs/>
        </w:rPr>
        <w:t xml:space="preserve"> </w:t>
      </w:r>
      <w:r>
        <w:t xml:space="preserve">Here is what </w:t>
      </w:r>
      <w:proofErr w:type="spellStart"/>
      <w:r>
        <w:t>Meynet</w:t>
      </w:r>
      <w:proofErr w:type="spellEnd"/>
      <w:r>
        <w:t xml:space="preserve"> discovered</w:t>
      </w:r>
      <w:r w:rsidR="00ED622B">
        <w:t>:</w:t>
      </w:r>
    </w:p>
    <w:p w14:paraId="275B3B7D" w14:textId="77777777" w:rsidR="00173DE6" w:rsidRDefault="00173DE6" w:rsidP="00786ADB">
      <w:pPr>
        <w:widowControl w:val="0"/>
      </w:pPr>
    </w:p>
    <w:p w14:paraId="4F979FB9" w14:textId="6C0D352B" w:rsidR="0018433B" w:rsidRDefault="0018433B" w:rsidP="00786ADB">
      <w:pPr>
        <w:widowControl w:val="0"/>
        <w:ind w:left="720" w:right="720"/>
      </w:pPr>
      <w:r>
        <w:t>It will often be the case that not all of the identical words can be integrated into the chiasm</w:t>
      </w:r>
      <w:r w:rsidR="006F304D" w:rsidRPr="006F304D">
        <w:t xml:space="preserve">, </w:t>
      </w:r>
      <w:r>
        <w:t>or that one hesitates over those which are integrable.</w:t>
      </w:r>
      <w:r w:rsidR="0027511E" w:rsidRPr="0027511E">
        <w:rPr>
          <w:iCs/>
        </w:rPr>
        <w:t xml:space="preserve"> </w:t>
      </w:r>
      <w:r>
        <w:t>Hence it is necessary to choose the figure which can integrate the greatest number of words.</w:t>
      </w:r>
      <w:r w:rsidR="0027511E" w:rsidRPr="0027511E">
        <w:rPr>
          <w:iCs/>
        </w:rPr>
        <w:t xml:space="preserve"> </w:t>
      </w:r>
      <w:r>
        <w:t>Since it is usually impossible to speak of absolute exhaustivity</w:t>
      </w:r>
      <w:r w:rsidR="006F304D" w:rsidRPr="006F304D">
        <w:t xml:space="preserve">, </w:t>
      </w:r>
      <w:r>
        <w:t xml:space="preserve">one speaks instead of </w:t>
      </w:r>
      <w:r>
        <w:rPr>
          <w:i/>
        </w:rPr>
        <w:t>profitability</w:t>
      </w:r>
      <w:r>
        <w:t>: a chiasm is profitable if it puts into relation a large number of elements.”</w:t>
      </w:r>
      <w:r>
        <w:rPr>
          <w:vertAlign w:val="superscript"/>
        </w:rPr>
        <w:footnoteReference w:id="820"/>
      </w:r>
    </w:p>
    <w:p w14:paraId="69DE33F1" w14:textId="77777777" w:rsidR="00173DE6" w:rsidRDefault="00173DE6" w:rsidP="00786ADB">
      <w:pPr>
        <w:widowControl w:val="0"/>
      </w:pPr>
    </w:p>
    <w:p w14:paraId="06D76B8E" w14:textId="7205F6E9" w:rsidR="0018433B" w:rsidRDefault="0018433B" w:rsidP="00786ADB">
      <w:pPr>
        <w:widowControl w:val="0"/>
      </w:pPr>
      <w:r>
        <w:t>Can it surprise anyone that such a procedure evokes a charge of subjectivity?</w:t>
      </w:r>
    </w:p>
    <w:p w14:paraId="1145D6EB" w14:textId="27322222" w:rsidR="0018433B" w:rsidRDefault="0018433B" w:rsidP="00786ADB">
      <w:pPr>
        <w:widowControl w:val="0"/>
      </w:pPr>
      <w:r>
        <w:tab/>
        <w:t xml:space="preserve">Part of the problem with “architectonic criticism” is an uncertainty whether the elements in a pattern are formal or </w:t>
      </w:r>
      <w:proofErr w:type="spellStart"/>
      <w:r>
        <w:t>contentual</w:t>
      </w:r>
      <w:proofErr w:type="spellEnd"/>
      <w:r>
        <w:t>.</w:t>
      </w:r>
      <w:r w:rsidR="0027511E" w:rsidRPr="0027511E">
        <w:rPr>
          <w:iCs/>
        </w:rPr>
        <w:t xml:space="preserve"> </w:t>
      </w:r>
      <w:r>
        <w:t>In his analysis of the Emmaus pericope</w:t>
      </w:r>
      <w:r w:rsidR="006F304D" w:rsidRPr="006F304D">
        <w:t xml:space="preserve">, </w:t>
      </w:r>
      <w:r>
        <w:t>for example</w:t>
      </w:r>
      <w:r w:rsidR="006F304D" w:rsidRPr="006F304D">
        <w:t xml:space="preserve">, </w:t>
      </w:r>
      <w:r>
        <w:t>Xavier Léon-Dufour does not balk at saying that “Of course some of the parallels and oppositions are formal</w:t>
      </w:r>
      <w:r w:rsidR="006F304D" w:rsidRPr="006F304D">
        <w:t xml:space="preserve">, </w:t>
      </w:r>
      <w:r>
        <w:t>but a good many of them are meaningful.”</w:t>
      </w:r>
      <w:r>
        <w:rPr>
          <w:vertAlign w:val="superscript"/>
        </w:rPr>
        <w:footnoteReference w:id="821"/>
      </w:r>
      <w:r w:rsidR="0027511E" w:rsidRPr="0027511E">
        <w:rPr>
          <w:iCs/>
        </w:rPr>
        <w:t xml:space="preserve"> </w:t>
      </w:r>
      <w:r>
        <w:t>William H. Shea</w:t>
      </w:r>
      <w:r w:rsidR="006F304D" w:rsidRPr="006F304D">
        <w:t xml:space="preserve">, </w:t>
      </w:r>
      <w:r>
        <w:t>in a more recent publication</w:t>
      </w:r>
      <w:r w:rsidR="006F304D" w:rsidRPr="006F304D">
        <w:t xml:space="preserve">, </w:t>
      </w:r>
      <w:r>
        <w:t>agrees: “Chiasmus can operate on two main levels</w:t>
      </w:r>
      <w:r w:rsidR="006F304D" w:rsidRPr="006F304D">
        <w:t xml:space="preserve">, </w:t>
      </w:r>
      <w:r>
        <w:t>form and theme.”</w:t>
      </w:r>
      <w:r>
        <w:rPr>
          <w:vertAlign w:val="superscript"/>
        </w:rPr>
        <w:footnoteReference w:id="822"/>
      </w:r>
      <w:r w:rsidR="0027511E" w:rsidRPr="0027511E">
        <w:rPr>
          <w:iCs/>
        </w:rPr>
        <w:t xml:space="preserve"> </w:t>
      </w:r>
      <w:r>
        <w:t xml:space="preserve">Lund and </w:t>
      </w:r>
      <w:proofErr w:type="spellStart"/>
      <w:r>
        <w:t>Meynet</w:t>
      </w:r>
      <w:proofErr w:type="spellEnd"/>
      <w:r w:rsidR="006F304D" w:rsidRPr="006F304D">
        <w:t xml:space="preserve">, </w:t>
      </w:r>
      <w:r>
        <w:t>on the other hand</w:t>
      </w:r>
      <w:r w:rsidR="006F304D" w:rsidRPr="006F304D">
        <w:t xml:space="preserve">, </w:t>
      </w:r>
      <w:r>
        <w:t>tend to embrace only one type of element.</w:t>
      </w:r>
      <w:r w:rsidR="0027511E" w:rsidRPr="0027511E">
        <w:rPr>
          <w:iCs/>
        </w:rPr>
        <w:t xml:space="preserve"> </w:t>
      </w:r>
      <w:r>
        <w:t>One would expect this to be a clarification of the methodology.</w:t>
      </w:r>
      <w:r w:rsidR="0027511E" w:rsidRPr="0027511E">
        <w:rPr>
          <w:iCs/>
        </w:rPr>
        <w:t xml:space="preserve"> </w:t>
      </w:r>
      <w:r>
        <w:t>Unfortunately</w:t>
      </w:r>
      <w:r w:rsidR="006F304D" w:rsidRPr="006F304D">
        <w:t xml:space="preserve">, </w:t>
      </w:r>
      <w:r>
        <w:t>as in their opinions on whether Luke destroyed or created chiasms</w:t>
      </w:r>
      <w:r w:rsidR="006F304D" w:rsidRPr="006F304D">
        <w:t xml:space="preserve">, </w:t>
      </w:r>
      <w:r>
        <w:t xml:space="preserve">these giants among architectonic critics opt for opposite elements: Lund concentrates upon </w:t>
      </w:r>
      <w:proofErr w:type="spellStart"/>
      <w:r>
        <w:t>contentual</w:t>
      </w:r>
      <w:proofErr w:type="spellEnd"/>
      <w:r>
        <w:t xml:space="preserve"> criteria</w:t>
      </w:r>
      <w:r w:rsidR="006F304D" w:rsidRPr="006F304D">
        <w:t xml:space="preserve">, </w:t>
      </w:r>
      <w:proofErr w:type="spellStart"/>
      <w:r>
        <w:t>Meynet</w:t>
      </w:r>
      <w:proofErr w:type="spellEnd"/>
      <w:r>
        <w:t xml:space="preserve"> upon formal criteria.</w:t>
      </w:r>
    </w:p>
    <w:p w14:paraId="3F52AEEB" w14:textId="77777777" w:rsidR="0018433B" w:rsidRDefault="0018433B" w:rsidP="00786ADB">
      <w:pPr>
        <w:widowControl w:val="0"/>
      </w:pPr>
      <w:r>
        <w:tab/>
        <w:t>Thus Lund says:</w:t>
      </w:r>
    </w:p>
    <w:p w14:paraId="73B34F4B" w14:textId="77777777" w:rsidR="00ED622B" w:rsidRDefault="00ED622B" w:rsidP="00786ADB">
      <w:pPr>
        <w:widowControl w:val="0"/>
      </w:pPr>
    </w:p>
    <w:p w14:paraId="620D3407" w14:textId="324E98D1" w:rsidR="0018433B" w:rsidRDefault="0018433B" w:rsidP="00786ADB">
      <w:pPr>
        <w:widowControl w:val="0"/>
        <w:ind w:left="720" w:right="720"/>
      </w:pPr>
      <w:r>
        <w:t>These passages [i.e.</w:t>
      </w:r>
      <w:r w:rsidR="006F304D" w:rsidRPr="006F304D">
        <w:t xml:space="preserve">, </w:t>
      </w:r>
      <w:r>
        <w:t>the sections of the sermon on the mount] offer some splendid illustrations of the basic proposition of this treatise</w:t>
      </w:r>
      <w:r w:rsidR="006F304D" w:rsidRPr="006F304D">
        <w:t xml:space="preserve">, </w:t>
      </w:r>
      <w:r>
        <w:t>namely</w:t>
      </w:r>
      <w:r w:rsidR="006F304D" w:rsidRPr="006F304D">
        <w:t xml:space="preserve">, </w:t>
      </w:r>
      <w:r>
        <w:t>that in this form of writing neither length nor number of lines are essential; the order of the ideas is the only necessary consideration.</w:t>
      </w:r>
      <w:r w:rsidR="0027511E" w:rsidRPr="0027511E">
        <w:rPr>
          <w:iCs/>
        </w:rPr>
        <w:t xml:space="preserve"> </w:t>
      </w:r>
      <w:r>
        <w:t>Some sections have many lines and some few; some lines are long and others short; some are chiastic and some alternating.</w:t>
      </w:r>
      <w:r w:rsidR="0027511E" w:rsidRPr="0027511E">
        <w:rPr>
          <w:iCs/>
        </w:rPr>
        <w:t xml:space="preserve"> </w:t>
      </w:r>
      <w:r>
        <w:t>There is a great deal of flexibility in all these [formal] respects</w:t>
      </w:r>
      <w:r w:rsidR="006F304D" w:rsidRPr="006F304D">
        <w:t xml:space="preserve">, </w:t>
      </w:r>
      <w:r>
        <w:t>but amidst all these variations the parallelism of ideas is maintained.</w:t>
      </w:r>
      <w:r>
        <w:rPr>
          <w:vertAlign w:val="superscript"/>
        </w:rPr>
        <w:footnoteReference w:id="823"/>
      </w:r>
    </w:p>
    <w:p w14:paraId="340DF502" w14:textId="77777777" w:rsidR="00ED622B" w:rsidRDefault="00ED622B" w:rsidP="00786ADB">
      <w:pPr>
        <w:widowControl w:val="0"/>
      </w:pPr>
    </w:p>
    <w:p w14:paraId="2F91D566" w14:textId="40F5E2E3" w:rsidR="0018433B" w:rsidRDefault="0018433B" w:rsidP="00786ADB">
      <w:pPr>
        <w:widowControl w:val="0"/>
      </w:pPr>
      <w:r>
        <w:t>Similarly:</w:t>
      </w:r>
    </w:p>
    <w:p w14:paraId="5935E4ED" w14:textId="77777777" w:rsidR="00ED622B" w:rsidRDefault="00ED622B" w:rsidP="00786ADB">
      <w:pPr>
        <w:widowControl w:val="0"/>
      </w:pPr>
    </w:p>
    <w:p w14:paraId="08B47044" w14:textId="745D40B4" w:rsidR="0018433B" w:rsidRDefault="0018433B" w:rsidP="00786ADB">
      <w:pPr>
        <w:widowControl w:val="0"/>
        <w:ind w:left="720" w:right="720"/>
      </w:pPr>
      <w:r>
        <w:t xml:space="preserve">One who is thinking merely in terms of </w:t>
      </w:r>
      <w:proofErr w:type="spellStart"/>
      <w:r>
        <w:rPr>
          <w:i/>
        </w:rPr>
        <w:t>parallelismus</w:t>
      </w:r>
      <w:proofErr w:type="spellEnd"/>
      <w:r>
        <w:rPr>
          <w:i/>
        </w:rPr>
        <w:t xml:space="preserve"> </w:t>
      </w:r>
      <w:proofErr w:type="spellStart"/>
      <w:r>
        <w:rPr>
          <w:i/>
        </w:rPr>
        <w:t>membrorum</w:t>
      </w:r>
      <w:proofErr w:type="spellEnd"/>
      <w:r>
        <w:t xml:space="preserve"> and rhythm</w:t>
      </w:r>
      <w:r w:rsidR="006F304D" w:rsidRPr="006F304D">
        <w:t xml:space="preserve">, </w:t>
      </w:r>
      <w:r>
        <w:t>would proceed to arrange such a passage [Isa 60:1-3] in a strophe of four couplets</w:t>
      </w:r>
      <w:r w:rsidR="006F304D" w:rsidRPr="006F304D">
        <w:t xml:space="preserve">, </w:t>
      </w:r>
      <w:r>
        <w:t>or eight lines.</w:t>
      </w:r>
      <w:r w:rsidR="0027511E" w:rsidRPr="0027511E">
        <w:rPr>
          <w:iCs/>
        </w:rPr>
        <w:t xml:space="preserve"> </w:t>
      </w:r>
      <w:r>
        <w:t>However acceptable such an arrangement might be</w:t>
      </w:r>
      <w:r w:rsidR="006F304D" w:rsidRPr="006F304D">
        <w:t xml:space="preserve">, </w:t>
      </w:r>
      <w:r>
        <w:t xml:space="preserve">it is clear that we have in this passage something more than ordinary parallelism and rhythm; here there is a </w:t>
      </w:r>
      <w:r>
        <w:rPr>
          <w:i/>
        </w:rPr>
        <w:t>thought-pattern</w:t>
      </w:r>
      <w:r w:rsidR="006F304D" w:rsidRPr="006F304D">
        <w:t xml:space="preserve">, </w:t>
      </w:r>
      <w:r>
        <w:t>which is chiastic in form and obeys the laws of such constructions.</w:t>
      </w:r>
      <w:r>
        <w:rPr>
          <w:vertAlign w:val="superscript"/>
        </w:rPr>
        <w:footnoteReference w:id="824"/>
      </w:r>
    </w:p>
    <w:p w14:paraId="7A307E2E" w14:textId="77777777" w:rsidR="00ED622B" w:rsidRDefault="00ED622B" w:rsidP="00786ADB">
      <w:pPr>
        <w:widowControl w:val="0"/>
      </w:pPr>
    </w:p>
    <w:p w14:paraId="0D439BC0" w14:textId="3165A6B8" w:rsidR="0018433B" w:rsidRDefault="0018433B" w:rsidP="00786ADB">
      <w:pPr>
        <w:widowControl w:val="0"/>
      </w:pPr>
      <w:r>
        <w:t>Yet</w:t>
      </w:r>
      <w:r w:rsidR="006F304D" w:rsidRPr="006F304D">
        <w:t xml:space="preserve">, </w:t>
      </w:r>
      <w:r>
        <w:t xml:space="preserve">even though he attends only to </w:t>
      </w:r>
      <w:proofErr w:type="spellStart"/>
      <w:r>
        <w:t>contentual</w:t>
      </w:r>
      <w:proofErr w:type="spellEnd"/>
      <w:r>
        <w:t xml:space="preserve"> elements</w:t>
      </w:r>
      <w:r w:rsidR="006F304D" w:rsidRPr="006F304D">
        <w:t xml:space="preserve">, </w:t>
      </w:r>
      <w:r>
        <w:t xml:space="preserve">a further ambiguity plagues Lund’s analyses: are the architectures he “discovers” based on identical </w:t>
      </w:r>
      <w:r>
        <w:rPr>
          <w:i/>
        </w:rPr>
        <w:t>words</w:t>
      </w:r>
      <w:r>
        <w:t xml:space="preserve"> or identical </w:t>
      </w:r>
      <w:r>
        <w:rPr>
          <w:i/>
        </w:rPr>
        <w:t>ideas</w:t>
      </w:r>
      <w:r>
        <w:t>?</w:t>
      </w:r>
      <w:r w:rsidR="0027511E" w:rsidRPr="0027511E">
        <w:rPr>
          <w:iCs/>
        </w:rPr>
        <w:t xml:space="preserve"> </w:t>
      </w:r>
      <w:r>
        <w:t>Referring again to Isa 60:1-3</w:t>
      </w:r>
      <w:r w:rsidR="006F304D" w:rsidRPr="006F304D">
        <w:t xml:space="preserve">, </w:t>
      </w:r>
      <w:r>
        <w:t>he writes:</w:t>
      </w:r>
    </w:p>
    <w:p w14:paraId="25083699" w14:textId="77777777" w:rsidR="00ED622B" w:rsidRDefault="00ED622B" w:rsidP="00786ADB">
      <w:pPr>
        <w:widowControl w:val="0"/>
      </w:pPr>
    </w:p>
    <w:p w14:paraId="75BACD51" w14:textId="79128504" w:rsidR="0018433B" w:rsidRDefault="0018433B" w:rsidP="00786ADB">
      <w:pPr>
        <w:widowControl w:val="0"/>
        <w:ind w:left="720" w:right="720"/>
      </w:pPr>
      <w:r>
        <w:t>In the first two and last two lines</w:t>
      </w:r>
      <w:r w:rsidR="006F304D" w:rsidRPr="006F304D">
        <w:t xml:space="preserve">, </w:t>
      </w:r>
      <w:r>
        <w:t>as well as in the two central lines</w:t>
      </w:r>
      <w:r w:rsidR="006F304D" w:rsidRPr="006F304D">
        <w:t xml:space="preserve">, </w:t>
      </w:r>
      <w:r>
        <w:t xml:space="preserve">we have a parallelism of </w:t>
      </w:r>
      <w:r>
        <w:rPr>
          <w:i/>
        </w:rPr>
        <w:t>ideas</w:t>
      </w:r>
      <w:r w:rsidR="006F304D" w:rsidRPr="006F304D">
        <w:t xml:space="preserve">, </w:t>
      </w:r>
      <w:r>
        <w:t>but not of words. . . . In all the other lines of the system</w:t>
      </w:r>
      <w:r w:rsidR="006F304D" w:rsidRPr="006F304D">
        <w:t xml:space="preserve">, </w:t>
      </w:r>
      <w:r>
        <w:t>however</w:t>
      </w:r>
      <w:r w:rsidR="006F304D" w:rsidRPr="006F304D">
        <w:t xml:space="preserve">, </w:t>
      </w:r>
      <w:r>
        <w:t>there exists</w:t>
      </w:r>
      <w:r w:rsidR="006F304D" w:rsidRPr="006F304D">
        <w:t xml:space="preserve">, </w:t>
      </w:r>
      <w:r>
        <w:t>not only a parallelism of ideas</w:t>
      </w:r>
      <w:r w:rsidR="006F304D" w:rsidRPr="006F304D">
        <w:t xml:space="preserve">, </w:t>
      </w:r>
      <w:r>
        <w:t xml:space="preserve">but also a parallelism of </w:t>
      </w:r>
      <w:r>
        <w:rPr>
          <w:i/>
        </w:rPr>
        <w:t>words</w:t>
      </w:r>
      <w:r>
        <w:t>.</w:t>
      </w:r>
      <w:r>
        <w:rPr>
          <w:vertAlign w:val="superscript"/>
        </w:rPr>
        <w:footnoteReference w:id="825"/>
      </w:r>
    </w:p>
    <w:p w14:paraId="2E763147" w14:textId="77777777" w:rsidR="00ED622B" w:rsidRDefault="00ED622B" w:rsidP="00786ADB">
      <w:pPr>
        <w:widowControl w:val="0"/>
      </w:pPr>
    </w:p>
    <w:p w14:paraId="1A63A1F3" w14:textId="3FDACF6A" w:rsidR="0018433B" w:rsidRDefault="0018433B" w:rsidP="00786ADB">
      <w:pPr>
        <w:widowControl w:val="0"/>
      </w:pPr>
      <w:r>
        <w:tab/>
      </w:r>
      <w:proofErr w:type="spellStart"/>
      <w:r>
        <w:t>Meynet</w:t>
      </w:r>
      <w:proofErr w:type="spellEnd"/>
      <w:r w:rsidR="006F304D" w:rsidRPr="006F304D">
        <w:t xml:space="preserve">, </w:t>
      </w:r>
      <w:r>
        <w:t>on the other hand</w:t>
      </w:r>
      <w:r w:rsidR="006F304D" w:rsidRPr="006F304D">
        <w:t xml:space="preserve">, </w:t>
      </w:r>
      <w:r>
        <w:t>seems no less certain that chiasms</w:t>
      </w:r>
      <w:r w:rsidR="006F304D" w:rsidRPr="006F304D">
        <w:t xml:space="preserve">, </w:t>
      </w:r>
      <w:r>
        <w:t>inclusions</w:t>
      </w:r>
      <w:r w:rsidR="006F304D" w:rsidRPr="006F304D">
        <w:t xml:space="preserve">, </w:t>
      </w:r>
      <w:r>
        <w:t>and so on should be based solely on formal criteria: “the chiasm . . . is purely formal</w:t>
      </w:r>
      <w:r w:rsidR="006F304D" w:rsidRPr="006F304D">
        <w:t xml:space="preserve">, </w:t>
      </w:r>
      <w:r>
        <w:t>abstract: it is a model of organization</w:t>
      </w:r>
      <w:r w:rsidR="006F304D" w:rsidRPr="006F304D">
        <w:t xml:space="preserve">, </w:t>
      </w:r>
      <w:r>
        <w:t>of composition of the text</w:t>
      </w:r>
      <w:r w:rsidR="006F304D" w:rsidRPr="006F304D">
        <w:t xml:space="preserve">, </w:t>
      </w:r>
      <w:r>
        <w:t>that is independent of its content.”</w:t>
      </w:r>
      <w:r>
        <w:rPr>
          <w:vertAlign w:val="superscript"/>
        </w:rPr>
        <w:footnoteReference w:id="826"/>
      </w:r>
      <w:r w:rsidR="0027511E" w:rsidRPr="0027511E">
        <w:rPr>
          <w:iCs/>
        </w:rPr>
        <w:t xml:space="preserve"> </w:t>
      </w:r>
      <w:r>
        <w:t>Similarly</w:t>
      </w:r>
      <w:r w:rsidR="006F304D" w:rsidRPr="006F304D">
        <w:t xml:space="preserve">, </w:t>
      </w:r>
      <w:r>
        <w:t>he says at another point: “the structures we have evidenced—refrains</w:t>
      </w:r>
      <w:r w:rsidR="006F304D" w:rsidRPr="006F304D">
        <w:t xml:space="preserve">, </w:t>
      </w:r>
      <w:r>
        <w:t>inclusions</w:t>
      </w:r>
      <w:r w:rsidR="006F304D" w:rsidRPr="006F304D">
        <w:t xml:space="preserve">, </w:t>
      </w:r>
      <w:r>
        <w:t>chiasms</w:t>
      </w:r>
      <w:r w:rsidR="006F304D" w:rsidRPr="006F304D">
        <w:t xml:space="preserve">, </w:t>
      </w:r>
      <w:r>
        <w:t>[etc.] . . . are for the most part only [formal] markers</w:t>
      </w:r>
      <w:r w:rsidR="00ED622B">
        <w:t xml:space="preserve"> . . .</w:t>
      </w:r>
      <w:r>
        <w:t>”</w:t>
      </w:r>
      <w:r>
        <w:rPr>
          <w:vertAlign w:val="superscript"/>
        </w:rPr>
        <w:footnoteReference w:id="827"/>
      </w:r>
    </w:p>
    <w:p w14:paraId="7B48B520" w14:textId="700FEB6D" w:rsidR="0018433B" w:rsidRDefault="0018433B" w:rsidP="00786ADB">
      <w:pPr>
        <w:widowControl w:val="0"/>
      </w:pPr>
      <w:r>
        <w:tab/>
      </w:r>
      <w:r w:rsidR="00ED622B">
        <w:t xml:space="preserve">Yet </w:t>
      </w:r>
      <w:proofErr w:type="spellStart"/>
      <w:r>
        <w:t>Meynet</w:t>
      </w:r>
      <w:proofErr w:type="spellEnd"/>
      <w:r w:rsidR="00ED622B">
        <w:t xml:space="preserve"> sullies</w:t>
      </w:r>
      <w:r>
        <w:t xml:space="preserve"> </w:t>
      </w:r>
      <w:r w:rsidR="00ED622B">
        <w:t>such pure</w:t>
      </w:r>
      <w:r>
        <w:t xml:space="preserve"> formal</w:t>
      </w:r>
      <w:r w:rsidR="00ED622B">
        <w:t>ism</w:t>
      </w:r>
      <w:r>
        <w:t xml:space="preserve"> </w:t>
      </w:r>
      <w:r w:rsidR="00ED622B">
        <w:t xml:space="preserve">with </w:t>
      </w:r>
      <w:proofErr w:type="spellStart"/>
      <w:r>
        <w:t>contentual</w:t>
      </w:r>
      <w:proofErr w:type="spellEnd"/>
      <w:r>
        <w:t xml:space="preserve"> elements as well.</w:t>
      </w:r>
      <w:r w:rsidR="0027511E" w:rsidRPr="0027511E">
        <w:rPr>
          <w:iCs/>
        </w:rPr>
        <w:t xml:space="preserve"> </w:t>
      </w:r>
      <w:r w:rsidR="00ED622B">
        <w:t>For example</w:t>
      </w:r>
      <w:r>
        <w:t xml:space="preserve">: “Two passages will be correlated if </w:t>
      </w:r>
      <w:r w:rsidR="00ED622B">
        <w:t>. . .</w:t>
      </w:r>
      <w:r>
        <w:t xml:space="preserve"> their content is the same</w:t>
      </w:r>
      <w:r w:rsidR="00ED622B">
        <w:t>.</w:t>
      </w:r>
      <w:r>
        <w:t>”</w:t>
      </w:r>
      <w:r>
        <w:rPr>
          <w:vertAlign w:val="superscript"/>
        </w:rPr>
        <w:footnoteReference w:id="828"/>
      </w:r>
      <w:r w:rsidR="00ED622B">
        <w:t xml:space="preserve"> Similarly:</w:t>
      </w:r>
      <w:r>
        <w:t xml:space="preserve"> “section C </w:t>
      </w:r>
      <w:r w:rsidR="00ED622B">
        <w:t>. . .</w:t>
      </w:r>
      <w:r>
        <w:t xml:space="preserve"> seems to be well organized around the question of the identity of the disciple</w:t>
      </w:r>
      <w:r w:rsidR="006F304D" w:rsidRPr="006F304D">
        <w:t xml:space="preserve">, </w:t>
      </w:r>
      <w:r>
        <w:t>both in his relation to his master and</w:t>
      </w:r>
      <w:r w:rsidR="006F304D" w:rsidRPr="006F304D">
        <w:t xml:space="preserve">, </w:t>
      </w:r>
      <w:r>
        <w:t>through his master</w:t>
      </w:r>
      <w:r w:rsidR="006F304D" w:rsidRPr="006F304D">
        <w:t xml:space="preserve">, </w:t>
      </w:r>
      <w:r>
        <w:t>to the Father.”</w:t>
      </w:r>
      <w:r>
        <w:rPr>
          <w:vertAlign w:val="superscript"/>
        </w:rPr>
        <w:footnoteReference w:id="829"/>
      </w:r>
    </w:p>
    <w:p w14:paraId="2F598244" w14:textId="1B242076" w:rsidR="0018433B" w:rsidRDefault="0018433B" w:rsidP="00786ADB">
      <w:pPr>
        <w:widowControl w:val="0"/>
      </w:pPr>
      <w:r>
        <w:tab/>
        <w:t>Moreover</w:t>
      </w:r>
      <w:r w:rsidR="006F304D" w:rsidRPr="006F304D">
        <w:t xml:space="preserve">, </w:t>
      </w:r>
      <w:r>
        <w:t xml:space="preserve">the indiscriminate variety of </w:t>
      </w:r>
      <w:proofErr w:type="spellStart"/>
      <w:r>
        <w:t>contentual</w:t>
      </w:r>
      <w:proofErr w:type="spellEnd"/>
      <w:r>
        <w:t xml:space="preserve"> elements which </w:t>
      </w:r>
      <w:proofErr w:type="spellStart"/>
      <w:r>
        <w:t>Meynet</w:t>
      </w:r>
      <w:proofErr w:type="spellEnd"/>
      <w:r>
        <w:t xml:space="preserve"> allows into his structures is alarming.</w:t>
      </w:r>
      <w:r w:rsidR="0027511E" w:rsidRPr="0027511E">
        <w:rPr>
          <w:iCs/>
        </w:rPr>
        <w:t xml:space="preserve"> </w:t>
      </w:r>
      <w:r>
        <w:t>They include: (1) the parallelism between some units (e.g.</w:t>
      </w:r>
      <w:r w:rsidR="006F304D" w:rsidRPr="006F304D">
        <w:t xml:space="preserve">, </w:t>
      </w:r>
      <w:r>
        <w:t>the reference in Luke 4:25-27 to Elijah's multiplication of meal</w:t>
      </w:r>
      <w:r w:rsidR="006F304D" w:rsidRPr="006F304D">
        <w:t xml:space="preserve">, </w:t>
      </w:r>
      <w:r>
        <w:t>and Jesus' multiplication of the fish in Luke 5:4-7); (2) the location of several pericopes in one locale (e.g.</w:t>
      </w:r>
      <w:r w:rsidR="006F304D" w:rsidRPr="006F304D">
        <w:t xml:space="preserve">, </w:t>
      </w:r>
      <w:r>
        <w:t xml:space="preserve">Luke 4:31-44 [= </w:t>
      </w:r>
      <w:proofErr w:type="spellStart"/>
      <w:r>
        <w:t>Meynet's</w:t>
      </w:r>
      <w:proofErr w:type="spellEnd"/>
      <w:r>
        <w:t xml:space="preserve"> B2] in Capernaum); (3) the presence of certain persons</w:t>
      </w:r>
      <w:r w:rsidR="006F304D" w:rsidRPr="006F304D">
        <w:t xml:space="preserve">, </w:t>
      </w:r>
      <w:r>
        <w:t>which can mark the beginning or end of a unit (e.g.</w:t>
      </w:r>
      <w:r w:rsidR="006F304D" w:rsidRPr="006F304D">
        <w:t xml:space="preserve">, </w:t>
      </w:r>
      <w:r>
        <w:t>the Pharisees in Luke 5:17-6:11 [B4]); and so on.</w:t>
      </w:r>
      <w:r>
        <w:rPr>
          <w:vertAlign w:val="superscript"/>
        </w:rPr>
        <w:footnoteReference w:id="830"/>
      </w:r>
    </w:p>
    <w:p w14:paraId="17E72513" w14:textId="1E1814C0" w:rsidR="0018433B" w:rsidRDefault="0018433B" w:rsidP="00786ADB">
      <w:pPr>
        <w:widowControl w:val="0"/>
      </w:pPr>
      <w:r>
        <w:lastRenderedPageBreak/>
        <w:tab/>
        <w:t xml:space="preserve">What is especially curious about </w:t>
      </w:r>
      <w:proofErr w:type="spellStart"/>
      <w:r>
        <w:t>Meynet</w:t>
      </w:r>
      <w:proofErr w:type="spellEnd"/>
      <w:r>
        <w:t xml:space="preserve"> using such elements is that they are precisely the criteria by which scriptural texts have traditionally been divided.</w:t>
      </w:r>
      <w:r w:rsidR="0027511E" w:rsidRPr="0027511E">
        <w:rPr>
          <w:iCs/>
        </w:rPr>
        <w:t xml:space="preserve"> </w:t>
      </w:r>
      <w:proofErr w:type="spellStart"/>
      <w:r>
        <w:t>Meynet</w:t>
      </w:r>
      <w:proofErr w:type="spellEnd"/>
      <w:r>
        <w:t xml:space="preserve"> is not unaware of his reliance on </w:t>
      </w:r>
      <w:proofErr w:type="spellStart"/>
      <w:r>
        <w:t>contentual</w:t>
      </w:r>
      <w:proofErr w:type="spellEnd"/>
      <w:r>
        <w:t xml:space="preserve"> models.</w:t>
      </w:r>
      <w:r w:rsidR="0027511E" w:rsidRPr="0027511E">
        <w:rPr>
          <w:iCs/>
        </w:rPr>
        <w:t xml:space="preserve"> </w:t>
      </w:r>
      <w:r>
        <w:t>But he explains that they are “optional criteria,”</w:t>
      </w:r>
      <w:r>
        <w:rPr>
          <w:vertAlign w:val="superscript"/>
        </w:rPr>
        <w:footnoteReference w:id="831"/>
      </w:r>
      <w:r>
        <w:t xml:space="preserve"> only to be used to reinforce divisions arrived at by formal means</w:t>
      </w:r>
      <w:r w:rsidR="002E050A">
        <w:t>:</w:t>
      </w:r>
    </w:p>
    <w:p w14:paraId="60C655C6" w14:textId="77777777" w:rsidR="00ED622B" w:rsidRDefault="00ED622B" w:rsidP="00786ADB">
      <w:pPr>
        <w:widowControl w:val="0"/>
      </w:pPr>
    </w:p>
    <w:p w14:paraId="1986107D" w14:textId="040FB3FE" w:rsidR="0018433B" w:rsidRDefault="0018433B" w:rsidP="00786ADB">
      <w:pPr>
        <w:widowControl w:val="0"/>
        <w:ind w:left="720" w:right="720"/>
      </w:pPr>
      <w:r>
        <w:t>They [the traditional criteria] are chronological and thematic . . . The criteria of our analysis . . . are neither chronological</w:t>
      </w:r>
      <w:r w:rsidR="006F304D" w:rsidRPr="006F304D">
        <w:t xml:space="preserve">, </w:t>
      </w:r>
      <w:r>
        <w:t>nor spatial</w:t>
      </w:r>
      <w:r w:rsidR="006F304D" w:rsidRPr="006F304D">
        <w:t xml:space="preserve">, </w:t>
      </w:r>
      <w:r>
        <w:t>nor comparative: they are not by subject</w:t>
      </w:r>
      <w:r w:rsidR="006F304D" w:rsidRPr="006F304D">
        <w:t xml:space="preserve">, </w:t>
      </w:r>
      <w:r>
        <w:t>or characters</w:t>
      </w:r>
      <w:r w:rsidR="006F304D" w:rsidRPr="006F304D">
        <w:t xml:space="preserve">, </w:t>
      </w:r>
      <w:r>
        <w:t>or setting</w:t>
      </w:r>
      <w:r w:rsidR="006F304D" w:rsidRPr="006F304D">
        <w:t xml:space="preserve">, </w:t>
      </w:r>
      <w:r>
        <w:t>or content.</w:t>
      </w:r>
      <w:r w:rsidR="0027511E" w:rsidRPr="0027511E">
        <w:rPr>
          <w:iCs/>
        </w:rPr>
        <w:t xml:space="preserve"> </w:t>
      </w:r>
      <w:r>
        <w:t>At the most</w:t>
      </w:r>
      <w:r w:rsidR="006F304D" w:rsidRPr="006F304D">
        <w:t xml:space="preserve">, </w:t>
      </w:r>
      <w:r>
        <w:t>such criteria only come into play a posteriori</w:t>
      </w:r>
      <w:r w:rsidR="006F304D" w:rsidRPr="006F304D">
        <w:t xml:space="preserve">, </w:t>
      </w:r>
      <w:r>
        <w:t>and are optional.</w:t>
      </w:r>
      <w:r>
        <w:rPr>
          <w:vertAlign w:val="superscript"/>
        </w:rPr>
        <w:footnoteReference w:id="832"/>
      </w:r>
    </w:p>
    <w:p w14:paraId="1EB46FA5" w14:textId="77777777" w:rsidR="00ED622B" w:rsidRDefault="00ED622B" w:rsidP="00786ADB">
      <w:pPr>
        <w:widowControl w:val="0"/>
      </w:pPr>
    </w:p>
    <w:p w14:paraId="473342EF" w14:textId="33D57348" w:rsidR="0018433B" w:rsidRDefault="0018433B" w:rsidP="00786ADB">
      <w:pPr>
        <w:widowControl w:val="0"/>
      </w:pPr>
      <w:r>
        <w:t>Supposedly</w:t>
      </w:r>
      <w:r w:rsidR="006F304D" w:rsidRPr="006F304D">
        <w:t xml:space="preserve">, </w:t>
      </w:r>
      <w:proofErr w:type="spellStart"/>
      <w:r>
        <w:t>Meynet</w:t>
      </w:r>
      <w:proofErr w:type="spellEnd"/>
      <w:r>
        <w:t xml:space="preserve"> remains uninfluenced by these criteria; his is a superior method:</w:t>
      </w:r>
    </w:p>
    <w:p w14:paraId="28C97750" w14:textId="77777777" w:rsidR="00ED622B" w:rsidRDefault="00ED622B" w:rsidP="00786ADB">
      <w:pPr>
        <w:widowControl w:val="0"/>
      </w:pPr>
    </w:p>
    <w:p w14:paraId="149B9528" w14:textId="5C1501C1" w:rsidR="0018433B" w:rsidRDefault="0018433B" w:rsidP="00786ADB">
      <w:pPr>
        <w:widowControl w:val="0"/>
        <w:ind w:left="720" w:right="720"/>
      </w:pPr>
      <w:r>
        <w:t>the traditional division into pericopes</w:t>
      </w:r>
      <w:r w:rsidR="006F304D" w:rsidRPr="006F304D">
        <w:t xml:space="preserve">, </w:t>
      </w:r>
      <w:r>
        <w:t>speeches</w:t>
      </w:r>
      <w:r w:rsidR="006F304D" w:rsidRPr="006F304D">
        <w:t xml:space="preserve">, </w:t>
      </w:r>
      <w:r>
        <w:t>parables</w:t>
      </w:r>
      <w:r w:rsidR="006F304D" w:rsidRPr="006F304D">
        <w:t xml:space="preserve">, </w:t>
      </w:r>
      <w:r>
        <w:t>teachings</w:t>
      </w:r>
      <w:r w:rsidR="006F304D" w:rsidRPr="006F304D">
        <w:t xml:space="preserve">, </w:t>
      </w:r>
      <w:r>
        <w:t>has its value: one can read sense there</w:t>
      </w:r>
      <w:r w:rsidR="006F304D" w:rsidRPr="006F304D">
        <w:t xml:space="preserve">, </w:t>
      </w:r>
      <w:r>
        <w:t>as in the words of a sentence.</w:t>
      </w:r>
      <w:r w:rsidR="0027511E" w:rsidRPr="0027511E">
        <w:rPr>
          <w:iCs/>
        </w:rPr>
        <w:t xml:space="preserve"> </w:t>
      </w:r>
      <w:r>
        <w:t>But there exists another organization</w:t>
      </w:r>
      <w:r w:rsidR="006F304D" w:rsidRPr="006F304D">
        <w:t xml:space="preserve">, </w:t>
      </w:r>
      <w:r>
        <w:t>at a superior level</w:t>
      </w:r>
      <w:r w:rsidR="006F304D" w:rsidRPr="006F304D">
        <w:t xml:space="preserve">, </w:t>
      </w:r>
      <w:r>
        <w:t>. . . “the construction of the Unit.”</w:t>
      </w:r>
      <w:r>
        <w:rPr>
          <w:vertAlign w:val="superscript"/>
        </w:rPr>
        <w:footnoteReference w:id="833"/>
      </w:r>
    </w:p>
    <w:p w14:paraId="2B006AC3" w14:textId="77777777" w:rsidR="00ED622B" w:rsidRDefault="00ED622B" w:rsidP="00786ADB">
      <w:pPr>
        <w:widowControl w:val="0"/>
      </w:pPr>
    </w:p>
    <w:p w14:paraId="2FB5DA34" w14:textId="53F2F727" w:rsidR="0018433B" w:rsidRDefault="0018433B" w:rsidP="00786ADB">
      <w:pPr>
        <w:widowControl w:val="0"/>
      </w:pPr>
      <w:r>
        <w:t>Traditional divisions are unimportant</w:t>
      </w:r>
      <w:r w:rsidR="006F304D" w:rsidRPr="006F304D">
        <w:t xml:space="preserve">, </w:t>
      </w:r>
      <w:r>
        <w:t xml:space="preserve">says </w:t>
      </w:r>
      <w:proofErr w:type="spellStart"/>
      <w:r>
        <w:t>Meynet</w:t>
      </w:r>
      <w:proofErr w:type="spellEnd"/>
      <w:r>
        <w:t>: lexical chiasms can structure a traditional pericope (e.g.</w:t>
      </w:r>
      <w:r w:rsidR="006F304D" w:rsidRPr="006F304D">
        <w:t xml:space="preserve">, </w:t>
      </w:r>
      <w:r>
        <w:t>the centurion's son</w:t>
      </w:r>
      <w:r w:rsidR="006F304D" w:rsidRPr="006F304D">
        <w:t xml:space="preserve">, </w:t>
      </w:r>
      <w:r>
        <w:t>Luke 7) or they can structure part of a pericope</w:t>
      </w:r>
      <w:r w:rsidR="006F304D" w:rsidRPr="006F304D">
        <w:t xml:space="preserve">, </w:t>
      </w:r>
      <w:r>
        <w:t>or they can lie across the boundary of two or more pericopes.</w:t>
      </w:r>
      <w:r>
        <w:rPr>
          <w:vertAlign w:val="superscript"/>
        </w:rPr>
        <w:footnoteReference w:id="834"/>
      </w:r>
    </w:p>
    <w:p w14:paraId="6E80B8FB" w14:textId="3E422DBF" w:rsidR="0018433B" w:rsidRDefault="0018433B" w:rsidP="00786ADB">
      <w:pPr>
        <w:widowControl w:val="0"/>
      </w:pPr>
      <w:r>
        <w:tab/>
        <w:t>But</w:t>
      </w:r>
      <w:r w:rsidR="006F304D" w:rsidRPr="006F304D">
        <w:t xml:space="preserve">, </w:t>
      </w:r>
      <w:r>
        <w:t>as we have seen</w:t>
      </w:r>
      <w:r w:rsidR="006F304D" w:rsidRPr="006F304D">
        <w:t xml:space="preserve">, </w:t>
      </w:r>
      <w:proofErr w:type="spellStart"/>
      <w:r>
        <w:t>Meynet</w:t>
      </w:r>
      <w:proofErr w:type="spellEnd"/>
      <w:r>
        <w:t xml:space="preserve"> is not above using </w:t>
      </w:r>
      <w:proofErr w:type="spellStart"/>
      <w:r>
        <w:t>contentual</w:t>
      </w:r>
      <w:proofErr w:type="spellEnd"/>
      <w:r>
        <w:t xml:space="preserve"> criteria for his divisions; and it is especially interesting that in his interpretations of passages (it is his habit</w:t>
      </w:r>
      <w:r w:rsidR="006F304D" w:rsidRPr="006F304D">
        <w:t xml:space="preserve">, </w:t>
      </w:r>
      <w:r>
        <w:t>after isolating a section</w:t>
      </w:r>
      <w:r w:rsidR="006F304D" w:rsidRPr="006F304D">
        <w:t xml:space="preserve">, </w:t>
      </w:r>
      <w:r>
        <w:t>to say a few words of explication or exposition about it)</w:t>
      </w:r>
      <w:r w:rsidR="006F304D" w:rsidRPr="006F304D">
        <w:t xml:space="preserve">, </w:t>
      </w:r>
      <w:r>
        <w:t xml:space="preserve">he easily reverts to terms which denote passages delimited on </w:t>
      </w:r>
      <w:proofErr w:type="spellStart"/>
      <w:r>
        <w:t>contentual</w:t>
      </w:r>
      <w:proofErr w:type="spellEnd"/>
      <w:r>
        <w:t xml:space="preserve"> grounds</w:t>
      </w:r>
      <w:r w:rsidR="006F304D" w:rsidRPr="006F304D">
        <w:t xml:space="preserve">, </w:t>
      </w:r>
      <w:r>
        <w:t>such as “speeches” and “other genres of discourse</w:t>
      </w:r>
      <w:r w:rsidR="006F304D" w:rsidRPr="006F304D">
        <w:t xml:space="preserve">, </w:t>
      </w:r>
      <w:r>
        <w:t>such as parables</w:t>
      </w:r>
      <w:r w:rsidR="006F304D" w:rsidRPr="006F304D">
        <w:t xml:space="preserve">, </w:t>
      </w:r>
      <w:r>
        <w:t>commandments</w:t>
      </w:r>
      <w:r w:rsidR="002E050A">
        <w:t xml:space="preserve"> . . .</w:t>
      </w:r>
      <w:r>
        <w:t>”</w:t>
      </w:r>
      <w:r>
        <w:rPr>
          <w:vertAlign w:val="superscript"/>
        </w:rPr>
        <w:footnoteReference w:id="835"/>
      </w:r>
    </w:p>
    <w:p w14:paraId="5B4568F2" w14:textId="34FA270D" w:rsidR="0018433B" w:rsidRDefault="0018433B" w:rsidP="00786ADB">
      <w:pPr>
        <w:widowControl w:val="0"/>
      </w:pPr>
      <w:r>
        <w:tab/>
      </w:r>
      <w:r w:rsidR="002E050A">
        <w:t xml:space="preserve">In my opinion, </w:t>
      </w:r>
      <w:proofErr w:type="spellStart"/>
      <w:r>
        <w:t>Meynet</w:t>
      </w:r>
      <w:proofErr w:type="spellEnd"/>
      <w:r>
        <w:t xml:space="preserve"> might have avoided</w:t>
      </w:r>
      <w:r w:rsidR="006F304D" w:rsidRPr="006F304D">
        <w:t xml:space="preserve">, </w:t>
      </w:r>
      <w:r>
        <w:t>or at least lessened the likelihood of</w:t>
      </w:r>
      <w:r w:rsidR="006F304D" w:rsidRPr="006F304D">
        <w:t xml:space="preserve">, </w:t>
      </w:r>
      <w:r>
        <w:t>the charge of subjectivity</w:t>
      </w:r>
      <w:r w:rsidR="006F304D" w:rsidRPr="006F304D">
        <w:t xml:space="preserve">, </w:t>
      </w:r>
      <w:r w:rsidR="002E050A">
        <w:t xml:space="preserve">had </w:t>
      </w:r>
      <w:r>
        <w:t xml:space="preserve">he </w:t>
      </w:r>
      <w:r w:rsidR="002E050A">
        <w:t xml:space="preserve">attended more to </w:t>
      </w:r>
      <w:proofErr w:type="spellStart"/>
      <w:r w:rsidR="002E050A">
        <w:t>contentual</w:t>
      </w:r>
      <w:proofErr w:type="spellEnd"/>
      <w:r w:rsidR="002E050A">
        <w:t xml:space="preserve"> criteria, rather than disparage them</w:t>
      </w:r>
      <w:r>
        <w:t>.</w:t>
      </w:r>
      <w:r w:rsidR="0027511E" w:rsidRPr="0027511E">
        <w:rPr>
          <w:iCs/>
        </w:rPr>
        <w:t xml:space="preserve"> </w:t>
      </w:r>
      <w:r w:rsidR="002E050A">
        <w:t xml:space="preserve">He </w:t>
      </w:r>
      <w:r>
        <w:t xml:space="preserve">and his fellow architectonic critics </w:t>
      </w:r>
      <w:r w:rsidR="002E050A">
        <w:t xml:space="preserve">might </w:t>
      </w:r>
      <w:r>
        <w:t>have heeded the warning of Jacques Dupont</w:t>
      </w:r>
      <w:r w:rsidR="006F304D" w:rsidRPr="006F304D">
        <w:t xml:space="preserve">, </w:t>
      </w:r>
      <w:r>
        <w:t>a “traditional” critic.</w:t>
      </w:r>
      <w:r w:rsidR="0027511E" w:rsidRPr="0027511E">
        <w:rPr>
          <w:iCs/>
        </w:rPr>
        <w:t xml:space="preserve"> </w:t>
      </w:r>
      <w:r>
        <w:t>To determine the structure of a biblical passage (Dupont himself is referring at this point to the sermon on the plain)</w:t>
      </w:r>
      <w:r w:rsidR="006F304D" w:rsidRPr="006F304D">
        <w:t xml:space="preserve">, </w:t>
      </w:r>
      <w:r>
        <w:t>one must begin</w:t>
      </w:r>
    </w:p>
    <w:p w14:paraId="032633AB" w14:textId="77777777" w:rsidR="002E050A" w:rsidRDefault="002E050A" w:rsidP="00786ADB">
      <w:pPr>
        <w:widowControl w:val="0"/>
      </w:pPr>
    </w:p>
    <w:p w14:paraId="10D7FE2F" w14:textId="0F9EAC16" w:rsidR="0018433B" w:rsidRDefault="0018433B" w:rsidP="00786ADB">
      <w:pPr>
        <w:widowControl w:val="0"/>
        <w:ind w:left="720" w:right="720"/>
      </w:pPr>
      <w:r>
        <w:t>by determining the criteria of an outline which has some chance of being objective.</w:t>
      </w:r>
      <w:r w:rsidR="0027511E" w:rsidRPr="0027511E">
        <w:rPr>
          <w:iCs/>
        </w:rPr>
        <w:t xml:space="preserve"> </w:t>
      </w:r>
      <w:r>
        <w:lastRenderedPageBreak/>
        <w:t>These criteria must be sought</w:t>
      </w:r>
      <w:r w:rsidR="006F304D" w:rsidRPr="006F304D">
        <w:t xml:space="preserve">, </w:t>
      </w:r>
      <w:r>
        <w:t>we think</w:t>
      </w:r>
      <w:r w:rsidR="006F304D" w:rsidRPr="006F304D">
        <w:t xml:space="preserve">, </w:t>
      </w:r>
      <w:r>
        <w:t xml:space="preserve">not in our own tastes or in the </w:t>
      </w:r>
      <w:proofErr w:type="spellStart"/>
      <w:r>
        <w:t>preoccuations</w:t>
      </w:r>
      <w:proofErr w:type="spellEnd"/>
      <w:r>
        <w:t xml:space="preserve"> of our time</w:t>
      </w:r>
      <w:r w:rsidR="006F304D" w:rsidRPr="006F304D">
        <w:t xml:space="preserve">, </w:t>
      </w:r>
      <w:r>
        <w:t>but in the preoccupations which were dominant when the text was composed.</w:t>
      </w:r>
      <w:r>
        <w:rPr>
          <w:vertAlign w:val="superscript"/>
        </w:rPr>
        <w:footnoteReference w:id="836"/>
      </w:r>
    </w:p>
    <w:p w14:paraId="6199B62B" w14:textId="77777777" w:rsidR="002E050A" w:rsidRDefault="002E050A" w:rsidP="00786ADB">
      <w:pPr>
        <w:widowControl w:val="0"/>
      </w:pPr>
    </w:p>
    <w:p w14:paraId="493F04A0" w14:textId="1D242711" w:rsidR="0018433B" w:rsidRDefault="0018433B" w:rsidP="00786ADB">
      <w:pPr>
        <w:widowControl w:val="0"/>
      </w:pPr>
      <w:r>
        <w:t xml:space="preserve">Evidence of the importance to Luke of </w:t>
      </w:r>
      <w:proofErr w:type="spellStart"/>
      <w:r>
        <w:t>contentual</w:t>
      </w:r>
      <w:proofErr w:type="spellEnd"/>
      <w:r>
        <w:t xml:space="preserve"> criteria occupies the bulk of the preceding pages.</w:t>
      </w:r>
      <w:r w:rsidR="0027511E" w:rsidRPr="0027511E">
        <w:rPr>
          <w:iCs/>
        </w:rPr>
        <w:t xml:space="preserve"> </w:t>
      </w:r>
      <w:r>
        <w:t xml:space="preserve">There seems to me no need to belabor further </w:t>
      </w:r>
      <w:r w:rsidR="002E050A">
        <w:t>that</w:t>
      </w:r>
      <w:r>
        <w:t xml:space="preserve"> point</w:t>
      </w:r>
      <w:r w:rsidR="002E050A">
        <w:t>,</w:t>
      </w:r>
      <w:r>
        <w:t xml:space="preserve"> which</w:t>
      </w:r>
      <w:r w:rsidR="006F304D" w:rsidRPr="006F304D">
        <w:t xml:space="preserve">, </w:t>
      </w:r>
      <w:r>
        <w:t>in my estimation</w:t>
      </w:r>
      <w:r w:rsidR="006F304D" w:rsidRPr="006F304D">
        <w:t xml:space="preserve">, </w:t>
      </w:r>
      <w:r>
        <w:t>has now been adequately demonstrated.</w:t>
      </w:r>
    </w:p>
    <w:p w14:paraId="4B4711E8" w14:textId="0086CF3F" w:rsidR="001C646B" w:rsidRDefault="001C646B">
      <w:r>
        <w:br w:type="page"/>
      </w:r>
    </w:p>
    <w:p w14:paraId="1AAC462E" w14:textId="77777777" w:rsidR="001C646B" w:rsidRPr="00C22B32" w:rsidRDefault="001C646B" w:rsidP="00B3722B">
      <w:pPr>
        <w:pStyle w:val="Heading1"/>
      </w:pPr>
      <w:bookmarkStart w:id="95" w:name="_Toc147618654"/>
      <w:r w:rsidRPr="00C22B32">
        <w:lastRenderedPageBreak/>
        <w:t>APPENDICES</w:t>
      </w:r>
      <w:bookmarkEnd w:id="95"/>
    </w:p>
    <w:p w14:paraId="5E0D067C" w14:textId="77777777" w:rsidR="001C646B" w:rsidRDefault="001C646B" w:rsidP="001C646B">
      <w:pPr>
        <w:rPr>
          <w:rFonts w:eastAsiaTheme="minorEastAsia"/>
          <w:bCs/>
          <w:lang w:eastAsia="zh-CN"/>
        </w:rPr>
      </w:pPr>
      <w:r>
        <w:rPr>
          <w:bCs/>
        </w:rPr>
        <w:br w:type="page"/>
      </w:r>
    </w:p>
    <w:p w14:paraId="39DF46A5" w14:textId="407E1880" w:rsidR="0018433B" w:rsidRDefault="00B3722B" w:rsidP="00B3722B">
      <w:pPr>
        <w:pStyle w:val="Heading1"/>
      </w:pPr>
      <w:bookmarkStart w:id="96" w:name="_Toc147618655"/>
      <w:r>
        <w:lastRenderedPageBreak/>
        <w:t xml:space="preserve">Appendix </w:t>
      </w:r>
      <w:r w:rsidR="0018433B">
        <w:t>1:</w:t>
      </w:r>
      <w:bookmarkStart w:id="97" w:name="_Hlk145828613"/>
      <w:r>
        <w:t xml:space="preserve"> </w:t>
      </w:r>
      <w:r w:rsidRPr="00DE6F89">
        <w:t>The Text of</w:t>
      </w:r>
      <w:r>
        <w:t xml:space="preserve"> </w:t>
      </w:r>
      <w:r w:rsidRPr="00DE6F89">
        <w:t>the Sermon on the Plain</w:t>
      </w:r>
      <w:r w:rsidR="00B47A48">
        <w:t>,</w:t>
      </w:r>
      <w:bookmarkEnd w:id="96"/>
    </w:p>
    <w:p w14:paraId="45A5F125" w14:textId="26539AF4" w:rsidR="0018433B" w:rsidRDefault="00B3722B" w:rsidP="00B3722B">
      <w:pPr>
        <w:pStyle w:val="Heading1"/>
      </w:pPr>
      <w:bookmarkStart w:id="98" w:name="_Toc147618656"/>
      <w:r>
        <w:t xml:space="preserve">Greek and English </w:t>
      </w:r>
      <w:r w:rsidR="0018433B" w:rsidRPr="00DE6F89">
        <w:t>(</w:t>
      </w:r>
      <w:r w:rsidRPr="00DE6F89">
        <w:t xml:space="preserve">Luke </w:t>
      </w:r>
      <w:r w:rsidR="0018433B" w:rsidRPr="00DE6F89">
        <w:t>6:20-49)</w:t>
      </w:r>
      <w:bookmarkEnd w:id="98"/>
    </w:p>
    <w:bookmarkEnd w:id="97"/>
    <w:p w14:paraId="0A21040B" w14:textId="77777777" w:rsidR="0018433B" w:rsidRDefault="0018433B" w:rsidP="00786ADB"/>
    <w:p w14:paraId="6518770F" w14:textId="77777777" w:rsidR="0018433B" w:rsidRPr="00DE6F89" w:rsidRDefault="0018433B" w:rsidP="00786ADB">
      <w:pPr>
        <w:jc w:val="center"/>
      </w:pPr>
      <w:r w:rsidRPr="00DE6F89">
        <w:t>(Aland</w:t>
      </w:r>
      <w:r w:rsidRPr="00DE6F89">
        <w:rPr>
          <w:vertAlign w:val="superscript"/>
        </w:rPr>
        <w:t>2</w:t>
      </w:r>
      <w:r>
        <w:rPr>
          <w:vertAlign w:val="superscript"/>
        </w:rPr>
        <w:t>7</w:t>
      </w:r>
      <w:r w:rsidRPr="00DE6F89">
        <w:t xml:space="preserve"> and </w:t>
      </w:r>
      <w:proofErr w:type="spellStart"/>
      <w:r w:rsidRPr="00DE6F89">
        <w:rPr>
          <w:smallCaps/>
        </w:rPr>
        <w:t>nrsv</w:t>
      </w:r>
      <w:proofErr w:type="spellEnd"/>
      <w:r w:rsidRPr="00DE6F89">
        <w:t>)</w:t>
      </w:r>
    </w:p>
    <w:p w14:paraId="769C75EE" w14:textId="77777777" w:rsidR="0018433B" w:rsidRPr="00DE6F89" w:rsidRDefault="0018433B" w:rsidP="00786ADB">
      <w:pPr>
        <w:jc w:val="center"/>
      </w:pPr>
      <w:r w:rsidRPr="00DE6F89">
        <w:t>Divided into Versicles</w:t>
      </w:r>
      <w:r>
        <w:rPr>
          <w:rStyle w:val="FootnoteReference"/>
        </w:rPr>
        <w:footnoteReference w:id="837"/>
      </w:r>
    </w:p>
    <w:p w14:paraId="6B65127C" w14:textId="77777777" w:rsidR="0018433B" w:rsidRPr="00DE6F89" w:rsidRDefault="0018433B" w:rsidP="00786ADB"/>
    <w:p w14:paraId="1F8315F6" w14:textId="77777777" w:rsidR="0018433B" w:rsidRPr="00DE6F89" w:rsidRDefault="0018433B" w:rsidP="00786ADB"/>
    <w:tbl>
      <w:tblPr>
        <w:tblStyle w:val="TableGrid"/>
        <w:tblW w:w="0" w:type="auto"/>
        <w:tblLook w:val="04A0" w:firstRow="1" w:lastRow="0" w:firstColumn="1" w:lastColumn="0" w:noHBand="0" w:noVBand="1"/>
      </w:tblPr>
      <w:tblGrid>
        <w:gridCol w:w="645"/>
        <w:gridCol w:w="4371"/>
        <w:gridCol w:w="4334"/>
      </w:tblGrid>
      <w:tr w:rsidR="0018433B" w:rsidRPr="00CD75A6" w14:paraId="7157A763" w14:textId="77777777" w:rsidTr="00A44C2E">
        <w:tc>
          <w:tcPr>
            <w:tcW w:w="648" w:type="dxa"/>
          </w:tcPr>
          <w:p w14:paraId="02EE3C0A" w14:textId="77777777" w:rsidR="0018433B" w:rsidRPr="00CD75A6" w:rsidRDefault="0018433B" w:rsidP="00786ADB">
            <w:r w:rsidRPr="00CD75A6">
              <w:t>20a</w:t>
            </w:r>
          </w:p>
        </w:tc>
        <w:tc>
          <w:tcPr>
            <w:tcW w:w="4464" w:type="dxa"/>
          </w:tcPr>
          <w:p w14:paraId="0881EB8E" w14:textId="77777777" w:rsidR="0018433B" w:rsidRPr="00CD75A6" w:rsidRDefault="0018433B" w:rsidP="00B47A48">
            <w:pPr>
              <w:jc w:val="left"/>
            </w:pPr>
            <w:r w:rsidRPr="00CE06CA">
              <w:rPr>
                <w:bCs/>
                <w:szCs w:val="22"/>
                <w:lang w:val="el-GR"/>
              </w:rPr>
              <w:t>Καὶ αὐτὸς ἐπάρας τοὺς ὀφθαλμοὺς αὐτοῦ εἰς τοὺς μαθητὰς αὐτοῦ ἔλεγεν·</w:t>
            </w:r>
          </w:p>
        </w:tc>
        <w:tc>
          <w:tcPr>
            <w:tcW w:w="4464" w:type="dxa"/>
          </w:tcPr>
          <w:p w14:paraId="7B366899" w14:textId="77777777" w:rsidR="0018433B" w:rsidRPr="00CD75A6" w:rsidRDefault="0018433B" w:rsidP="00B47A48">
            <w:pPr>
              <w:jc w:val="left"/>
            </w:pPr>
            <w:r w:rsidRPr="00CD75A6">
              <w:t>Then he looked up at his disciples and said:</w:t>
            </w:r>
          </w:p>
        </w:tc>
      </w:tr>
      <w:tr w:rsidR="0018433B" w:rsidRPr="00CD75A6" w14:paraId="0F94110C" w14:textId="77777777" w:rsidTr="00A44C2E">
        <w:tc>
          <w:tcPr>
            <w:tcW w:w="648" w:type="dxa"/>
          </w:tcPr>
          <w:p w14:paraId="4ABD6E96" w14:textId="77777777" w:rsidR="0018433B" w:rsidRPr="00CD75A6" w:rsidRDefault="0018433B" w:rsidP="00786ADB">
            <w:r w:rsidRPr="00CD75A6">
              <w:t>20b</w:t>
            </w:r>
          </w:p>
        </w:tc>
        <w:tc>
          <w:tcPr>
            <w:tcW w:w="4464" w:type="dxa"/>
          </w:tcPr>
          <w:p w14:paraId="60484070" w14:textId="77777777" w:rsidR="0018433B" w:rsidRPr="00CD75A6" w:rsidRDefault="0018433B" w:rsidP="00B47A48">
            <w:pPr>
              <w:jc w:val="left"/>
            </w:pPr>
            <w:r w:rsidRPr="00CE06CA">
              <w:rPr>
                <w:bCs/>
                <w:szCs w:val="22"/>
                <w:lang w:val="el-GR"/>
              </w:rPr>
              <w:t>Μακάριοι οἱ πτωχοί,</w:t>
            </w:r>
          </w:p>
        </w:tc>
        <w:tc>
          <w:tcPr>
            <w:tcW w:w="4464" w:type="dxa"/>
          </w:tcPr>
          <w:p w14:paraId="4EDD019F" w14:textId="77777777" w:rsidR="0018433B" w:rsidRPr="00CD75A6" w:rsidRDefault="0018433B" w:rsidP="00B47A48">
            <w:pPr>
              <w:jc w:val="left"/>
            </w:pPr>
            <w:r w:rsidRPr="00CD75A6">
              <w:t>“Blessed are you who are poor,</w:t>
            </w:r>
          </w:p>
        </w:tc>
      </w:tr>
      <w:tr w:rsidR="0018433B" w:rsidRPr="00CD75A6" w14:paraId="32BD4629" w14:textId="77777777" w:rsidTr="00A44C2E">
        <w:tc>
          <w:tcPr>
            <w:tcW w:w="648" w:type="dxa"/>
          </w:tcPr>
          <w:p w14:paraId="3E5EBC7F" w14:textId="77777777" w:rsidR="0018433B" w:rsidRPr="00CD75A6" w:rsidRDefault="0018433B" w:rsidP="00786ADB">
            <w:r w:rsidRPr="00CD75A6">
              <w:t>20c</w:t>
            </w:r>
          </w:p>
        </w:tc>
        <w:tc>
          <w:tcPr>
            <w:tcW w:w="4464" w:type="dxa"/>
          </w:tcPr>
          <w:p w14:paraId="53722462" w14:textId="77777777" w:rsidR="0018433B" w:rsidRPr="00CD75A6" w:rsidRDefault="0018433B" w:rsidP="00B47A48">
            <w:pPr>
              <w:jc w:val="left"/>
            </w:pPr>
            <w:r w:rsidRPr="00CE06CA">
              <w:rPr>
                <w:bCs/>
                <w:szCs w:val="22"/>
                <w:lang w:val="el-GR"/>
              </w:rPr>
              <w:t>ὅτι ὑμετέρα ἐστὶν ἡ βασιλεία τοῦ θεοῦ.</w:t>
            </w:r>
          </w:p>
        </w:tc>
        <w:tc>
          <w:tcPr>
            <w:tcW w:w="4464" w:type="dxa"/>
          </w:tcPr>
          <w:p w14:paraId="5CEAB20B" w14:textId="77777777" w:rsidR="0018433B" w:rsidRPr="00CD75A6" w:rsidRDefault="0018433B" w:rsidP="00B47A48">
            <w:pPr>
              <w:jc w:val="left"/>
            </w:pPr>
            <w:r w:rsidRPr="00CD75A6">
              <w:t>for yours is the kingdom of God.</w:t>
            </w:r>
          </w:p>
        </w:tc>
      </w:tr>
      <w:tr w:rsidR="0018433B" w:rsidRPr="00CD75A6" w14:paraId="27D691E4" w14:textId="77777777" w:rsidTr="00A44C2E">
        <w:tc>
          <w:tcPr>
            <w:tcW w:w="648" w:type="dxa"/>
          </w:tcPr>
          <w:p w14:paraId="22395788" w14:textId="77777777" w:rsidR="0018433B" w:rsidRPr="00CD75A6" w:rsidRDefault="0018433B" w:rsidP="00786ADB">
            <w:r w:rsidRPr="00CD75A6">
              <w:t>21a</w:t>
            </w:r>
          </w:p>
        </w:tc>
        <w:tc>
          <w:tcPr>
            <w:tcW w:w="4464" w:type="dxa"/>
          </w:tcPr>
          <w:p w14:paraId="0CDFBE92" w14:textId="77777777" w:rsidR="0018433B" w:rsidRPr="00CD75A6" w:rsidRDefault="0018433B" w:rsidP="00B47A48">
            <w:pPr>
              <w:jc w:val="left"/>
            </w:pPr>
            <w:r w:rsidRPr="00CE06CA">
              <w:rPr>
                <w:bCs/>
                <w:szCs w:val="22"/>
                <w:lang w:val="el-GR"/>
              </w:rPr>
              <w:t>μακάριοι οἱ πεινῶντες νῦν,</w:t>
            </w:r>
          </w:p>
        </w:tc>
        <w:tc>
          <w:tcPr>
            <w:tcW w:w="4464" w:type="dxa"/>
          </w:tcPr>
          <w:p w14:paraId="7E9EA96C" w14:textId="77777777" w:rsidR="0018433B" w:rsidRPr="00CD75A6" w:rsidRDefault="0018433B" w:rsidP="00B47A48">
            <w:pPr>
              <w:jc w:val="left"/>
            </w:pPr>
            <w:r w:rsidRPr="00CD75A6">
              <w:t>Blessed are you who are hungry now,</w:t>
            </w:r>
          </w:p>
        </w:tc>
      </w:tr>
      <w:tr w:rsidR="0018433B" w:rsidRPr="00CD75A6" w14:paraId="642C43CA" w14:textId="77777777" w:rsidTr="00A44C2E">
        <w:tc>
          <w:tcPr>
            <w:tcW w:w="648" w:type="dxa"/>
          </w:tcPr>
          <w:p w14:paraId="6DA7A2D4" w14:textId="77777777" w:rsidR="0018433B" w:rsidRPr="00CD75A6" w:rsidRDefault="0018433B" w:rsidP="00786ADB">
            <w:r w:rsidRPr="00CD75A6">
              <w:t>21b</w:t>
            </w:r>
          </w:p>
        </w:tc>
        <w:tc>
          <w:tcPr>
            <w:tcW w:w="4464" w:type="dxa"/>
          </w:tcPr>
          <w:p w14:paraId="531E9866" w14:textId="77777777" w:rsidR="0018433B" w:rsidRPr="00CD75A6" w:rsidRDefault="0018433B" w:rsidP="00B47A48">
            <w:pPr>
              <w:jc w:val="left"/>
            </w:pPr>
            <w:r w:rsidRPr="00CE06CA">
              <w:rPr>
                <w:bCs/>
                <w:szCs w:val="22"/>
                <w:lang w:val="el-GR"/>
              </w:rPr>
              <w:t>ὅτι χορτασθήσεσθε.</w:t>
            </w:r>
          </w:p>
        </w:tc>
        <w:tc>
          <w:tcPr>
            <w:tcW w:w="4464" w:type="dxa"/>
          </w:tcPr>
          <w:p w14:paraId="57C964C8" w14:textId="77777777" w:rsidR="0018433B" w:rsidRPr="00CD75A6" w:rsidRDefault="0018433B" w:rsidP="00B47A48">
            <w:pPr>
              <w:jc w:val="left"/>
            </w:pPr>
            <w:r w:rsidRPr="00CD75A6">
              <w:t>for you will be filled.</w:t>
            </w:r>
          </w:p>
        </w:tc>
      </w:tr>
      <w:tr w:rsidR="0018433B" w:rsidRPr="00CD75A6" w14:paraId="42E5C6A9" w14:textId="77777777" w:rsidTr="00A44C2E">
        <w:tc>
          <w:tcPr>
            <w:tcW w:w="648" w:type="dxa"/>
          </w:tcPr>
          <w:p w14:paraId="1131953F" w14:textId="77777777" w:rsidR="0018433B" w:rsidRPr="00CD75A6" w:rsidRDefault="0018433B" w:rsidP="00786ADB">
            <w:r w:rsidRPr="00CD75A6">
              <w:t>21c</w:t>
            </w:r>
          </w:p>
        </w:tc>
        <w:tc>
          <w:tcPr>
            <w:tcW w:w="4464" w:type="dxa"/>
          </w:tcPr>
          <w:p w14:paraId="363744D7" w14:textId="77777777" w:rsidR="0018433B" w:rsidRPr="00CD75A6" w:rsidRDefault="0018433B" w:rsidP="00B47A48">
            <w:pPr>
              <w:jc w:val="left"/>
            </w:pPr>
            <w:r w:rsidRPr="00CE06CA">
              <w:rPr>
                <w:bCs/>
                <w:szCs w:val="22"/>
                <w:lang w:val="el-GR"/>
              </w:rPr>
              <w:t>μακάριοι οἱ κλαίοντες νῦν,</w:t>
            </w:r>
          </w:p>
        </w:tc>
        <w:tc>
          <w:tcPr>
            <w:tcW w:w="4464" w:type="dxa"/>
          </w:tcPr>
          <w:p w14:paraId="0158B35E" w14:textId="77777777" w:rsidR="0018433B" w:rsidRPr="00CD75A6" w:rsidRDefault="0018433B" w:rsidP="00B47A48">
            <w:pPr>
              <w:jc w:val="left"/>
            </w:pPr>
            <w:r w:rsidRPr="00CD75A6">
              <w:t>Blessed are you who weep now,</w:t>
            </w:r>
          </w:p>
        </w:tc>
      </w:tr>
      <w:tr w:rsidR="0018433B" w:rsidRPr="00CD75A6" w14:paraId="0F696685" w14:textId="77777777" w:rsidTr="00A44C2E">
        <w:tc>
          <w:tcPr>
            <w:tcW w:w="648" w:type="dxa"/>
          </w:tcPr>
          <w:p w14:paraId="04030D01" w14:textId="77777777" w:rsidR="0018433B" w:rsidRPr="00CD75A6" w:rsidRDefault="0018433B" w:rsidP="00786ADB">
            <w:r w:rsidRPr="00CD75A6">
              <w:t>21d</w:t>
            </w:r>
          </w:p>
        </w:tc>
        <w:tc>
          <w:tcPr>
            <w:tcW w:w="4464" w:type="dxa"/>
          </w:tcPr>
          <w:p w14:paraId="04168282" w14:textId="77777777" w:rsidR="0018433B" w:rsidRPr="00CD75A6" w:rsidRDefault="0018433B" w:rsidP="00B47A48">
            <w:pPr>
              <w:jc w:val="left"/>
            </w:pPr>
            <w:r w:rsidRPr="00CE06CA">
              <w:rPr>
                <w:bCs/>
                <w:szCs w:val="22"/>
                <w:lang w:val="el-GR"/>
              </w:rPr>
              <w:t>ὅτι γελάσετε.</w:t>
            </w:r>
          </w:p>
        </w:tc>
        <w:tc>
          <w:tcPr>
            <w:tcW w:w="4464" w:type="dxa"/>
          </w:tcPr>
          <w:p w14:paraId="6E996FF8" w14:textId="77777777" w:rsidR="0018433B" w:rsidRPr="00CD75A6" w:rsidRDefault="0018433B" w:rsidP="00B47A48">
            <w:pPr>
              <w:jc w:val="left"/>
            </w:pPr>
            <w:r w:rsidRPr="00CD75A6">
              <w:t>for you will laugh.</w:t>
            </w:r>
          </w:p>
        </w:tc>
      </w:tr>
      <w:tr w:rsidR="0018433B" w:rsidRPr="00CD75A6" w14:paraId="3AA9BDC6" w14:textId="77777777" w:rsidTr="00A44C2E">
        <w:tc>
          <w:tcPr>
            <w:tcW w:w="648" w:type="dxa"/>
          </w:tcPr>
          <w:p w14:paraId="598EC5AC" w14:textId="77777777" w:rsidR="0018433B" w:rsidRPr="00CD75A6" w:rsidRDefault="0018433B" w:rsidP="00786ADB">
            <w:r w:rsidRPr="00CD75A6">
              <w:t>22a</w:t>
            </w:r>
          </w:p>
        </w:tc>
        <w:tc>
          <w:tcPr>
            <w:tcW w:w="4464" w:type="dxa"/>
          </w:tcPr>
          <w:p w14:paraId="55422AA7" w14:textId="77777777" w:rsidR="0018433B" w:rsidRPr="00CD75A6" w:rsidRDefault="0018433B" w:rsidP="00B47A48">
            <w:pPr>
              <w:jc w:val="left"/>
            </w:pPr>
            <w:r w:rsidRPr="00CE06CA">
              <w:rPr>
                <w:bCs/>
                <w:szCs w:val="22"/>
                <w:lang w:val="el-GR"/>
              </w:rPr>
              <w:t>μακάριοί ἐστε</w:t>
            </w:r>
          </w:p>
        </w:tc>
        <w:tc>
          <w:tcPr>
            <w:tcW w:w="4464" w:type="dxa"/>
          </w:tcPr>
          <w:p w14:paraId="666B3A55" w14:textId="77777777" w:rsidR="0018433B" w:rsidRPr="00CD75A6" w:rsidRDefault="0018433B" w:rsidP="00B47A48">
            <w:pPr>
              <w:jc w:val="left"/>
            </w:pPr>
            <w:r w:rsidRPr="00CD75A6">
              <w:t>Blessed are you</w:t>
            </w:r>
          </w:p>
        </w:tc>
      </w:tr>
      <w:tr w:rsidR="0018433B" w:rsidRPr="00CD75A6" w14:paraId="41457B9B" w14:textId="77777777" w:rsidTr="00A44C2E">
        <w:tc>
          <w:tcPr>
            <w:tcW w:w="648" w:type="dxa"/>
          </w:tcPr>
          <w:p w14:paraId="1CE2282D" w14:textId="77777777" w:rsidR="0018433B" w:rsidRPr="00CD75A6" w:rsidRDefault="0018433B" w:rsidP="00786ADB">
            <w:r w:rsidRPr="00CD75A6">
              <w:t>22b</w:t>
            </w:r>
          </w:p>
        </w:tc>
        <w:tc>
          <w:tcPr>
            <w:tcW w:w="4464" w:type="dxa"/>
          </w:tcPr>
          <w:p w14:paraId="2B2C189F" w14:textId="77777777" w:rsidR="0018433B" w:rsidRPr="00CD75A6" w:rsidRDefault="0018433B" w:rsidP="00B47A48">
            <w:pPr>
              <w:jc w:val="left"/>
            </w:pPr>
            <w:r w:rsidRPr="00CE06CA">
              <w:rPr>
                <w:bCs/>
                <w:szCs w:val="22"/>
                <w:lang w:val="el-GR"/>
              </w:rPr>
              <w:t>ὅταν μισήσωσιν ὑμᾶς οἱ ἄνθρωποι</w:t>
            </w:r>
          </w:p>
        </w:tc>
        <w:tc>
          <w:tcPr>
            <w:tcW w:w="4464" w:type="dxa"/>
          </w:tcPr>
          <w:p w14:paraId="55B9502C" w14:textId="77777777" w:rsidR="0018433B" w:rsidRPr="00CD75A6" w:rsidRDefault="0018433B" w:rsidP="00B47A48">
            <w:pPr>
              <w:jc w:val="left"/>
            </w:pPr>
            <w:r w:rsidRPr="00CD75A6">
              <w:t>when people hate you,</w:t>
            </w:r>
          </w:p>
        </w:tc>
      </w:tr>
      <w:tr w:rsidR="0018433B" w:rsidRPr="00CD75A6" w14:paraId="27095D56" w14:textId="77777777" w:rsidTr="00A44C2E">
        <w:tc>
          <w:tcPr>
            <w:tcW w:w="648" w:type="dxa"/>
          </w:tcPr>
          <w:p w14:paraId="21A3B80F" w14:textId="77777777" w:rsidR="0018433B" w:rsidRPr="00CD75A6" w:rsidRDefault="0018433B" w:rsidP="00786ADB">
            <w:r w:rsidRPr="00CD75A6">
              <w:t>22c</w:t>
            </w:r>
          </w:p>
        </w:tc>
        <w:tc>
          <w:tcPr>
            <w:tcW w:w="4464" w:type="dxa"/>
          </w:tcPr>
          <w:p w14:paraId="20D8ED9E" w14:textId="77777777" w:rsidR="0018433B" w:rsidRPr="00B434BD" w:rsidRDefault="0018433B" w:rsidP="00B47A48">
            <w:pPr>
              <w:jc w:val="left"/>
            </w:pPr>
            <w:r w:rsidRPr="00CE06CA">
              <w:rPr>
                <w:bCs/>
                <w:szCs w:val="22"/>
                <w:lang w:val="el-GR"/>
              </w:rPr>
              <w:t>καὶ ὅταν ἀφορίσωσιν ὑμᾶς</w:t>
            </w:r>
            <w:r>
              <w:rPr>
                <w:bCs/>
                <w:szCs w:val="22"/>
              </w:rPr>
              <w:t xml:space="preserve"> </w:t>
            </w:r>
            <w:r w:rsidRPr="00CE06CA">
              <w:rPr>
                <w:bCs/>
                <w:szCs w:val="22"/>
                <w:lang w:val="el-GR"/>
              </w:rPr>
              <w:t>καὶ ὀνειδίσωσιν καὶ ἐκβάλωσιν τὸ ὄνομα ὑμῶν ὡς πονηρὸν ἕνεκα τοῦ υἱοῦ τοῦ ἀνθρώπου·</w:t>
            </w:r>
          </w:p>
        </w:tc>
        <w:tc>
          <w:tcPr>
            <w:tcW w:w="4464" w:type="dxa"/>
          </w:tcPr>
          <w:p w14:paraId="3D209BE4" w14:textId="6FCB5721" w:rsidR="0018433B" w:rsidRPr="00CD75A6" w:rsidRDefault="0018433B" w:rsidP="00B47A48">
            <w:pPr>
              <w:jc w:val="left"/>
            </w:pPr>
            <w:r w:rsidRPr="00CD75A6">
              <w:t>and when they exclude you</w:t>
            </w:r>
            <w:r w:rsidR="006F304D" w:rsidRPr="006F304D">
              <w:t xml:space="preserve">, </w:t>
            </w:r>
            <w:r w:rsidRPr="00CD75A6">
              <w:t>revile you</w:t>
            </w:r>
            <w:r w:rsidR="006F304D" w:rsidRPr="006F304D">
              <w:t xml:space="preserve">, </w:t>
            </w:r>
            <w:r w:rsidRPr="00CD75A6">
              <w:t>and defame you</w:t>
            </w:r>
            <w:r>
              <w:t xml:space="preserve"> </w:t>
            </w:r>
            <w:r w:rsidRPr="00CD75A6">
              <w:t>on account of the Son of Man.</w:t>
            </w:r>
          </w:p>
        </w:tc>
      </w:tr>
      <w:tr w:rsidR="0018433B" w:rsidRPr="00CD75A6" w14:paraId="6987F0E7" w14:textId="77777777" w:rsidTr="00A44C2E">
        <w:tc>
          <w:tcPr>
            <w:tcW w:w="648" w:type="dxa"/>
          </w:tcPr>
          <w:p w14:paraId="2D4E681D" w14:textId="77777777" w:rsidR="0018433B" w:rsidRPr="00CD75A6" w:rsidRDefault="0018433B" w:rsidP="00786ADB">
            <w:r w:rsidRPr="00CD75A6">
              <w:t>23a</w:t>
            </w:r>
          </w:p>
        </w:tc>
        <w:tc>
          <w:tcPr>
            <w:tcW w:w="4464" w:type="dxa"/>
          </w:tcPr>
          <w:p w14:paraId="33FCD908" w14:textId="77777777" w:rsidR="0018433B" w:rsidRPr="00CD75A6" w:rsidRDefault="0018433B" w:rsidP="00B47A48">
            <w:pPr>
              <w:jc w:val="left"/>
            </w:pPr>
            <w:r w:rsidRPr="00CE06CA">
              <w:rPr>
                <w:bCs/>
                <w:szCs w:val="22"/>
                <w:lang w:val="el-GR"/>
              </w:rPr>
              <w:t>χάρητε ἐν ἐκείνῃ τῇ ἡμέρᾳ καὶ σκιρτήσατε,</w:t>
            </w:r>
          </w:p>
        </w:tc>
        <w:tc>
          <w:tcPr>
            <w:tcW w:w="4464" w:type="dxa"/>
          </w:tcPr>
          <w:p w14:paraId="061EE01A" w14:textId="77777777" w:rsidR="0018433B" w:rsidRPr="00CD75A6" w:rsidRDefault="0018433B" w:rsidP="00B47A48">
            <w:pPr>
              <w:jc w:val="left"/>
            </w:pPr>
            <w:r w:rsidRPr="00CD75A6">
              <w:t>Rejoice in that day and leap for joy,</w:t>
            </w:r>
          </w:p>
        </w:tc>
      </w:tr>
      <w:tr w:rsidR="0018433B" w:rsidRPr="00CD75A6" w14:paraId="6BC376E3" w14:textId="77777777" w:rsidTr="00A44C2E">
        <w:tc>
          <w:tcPr>
            <w:tcW w:w="648" w:type="dxa"/>
          </w:tcPr>
          <w:p w14:paraId="1F31B53F" w14:textId="77777777" w:rsidR="0018433B" w:rsidRPr="00CD75A6" w:rsidRDefault="0018433B" w:rsidP="00786ADB">
            <w:r w:rsidRPr="00CD75A6">
              <w:t>23b</w:t>
            </w:r>
          </w:p>
        </w:tc>
        <w:tc>
          <w:tcPr>
            <w:tcW w:w="4464" w:type="dxa"/>
          </w:tcPr>
          <w:p w14:paraId="5102F7DE" w14:textId="77777777" w:rsidR="0018433B" w:rsidRPr="00CD75A6" w:rsidRDefault="0018433B" w:rsidP="00B47A48">
            <w:pPr>
              <w:jc w:val="left"/>
            </w:pPr>
            <w:r w:rsidRPr="00CE06CA">
              <w:rPr>
                <w:bCs/>
                <w:szCs w:val="22"/>
                <w:lang w:val="el-GR"/>
              </w:rPr>
              <w:t>ἰδοὺ γὰρ ὁ μισθὸς ὑμῶν πολὺς ἐν τῷ οὐρανῷ·</w:t>
            </w:r>
          </w:p>
        </w:tc>
        <w:tc>
          <w:tcPr>
            <w:tcW w:w="4464" w:type="dxa"/>
          </w:tcPr>
          <w:p w14:paraId="79EBF283" w14:textId="77777777" w:rsidR="0018433B" w:rsidRPr="00CD75A6" w:rsidRDefault="0018433B" w:rsidP="00B47A48">
            <w:pPr>
              <w:jc w:val="left"/>
            </w:pPr>
            <w:r w:rsidRPr="00CD75A6">
              <w:t>for surely your reward is great in heaven;</w:t>
            </w:r>
          </w:p>
        </w:tc>
      </w:tr>
      <w:tr w:rsidR="0018433B" w:rsidRPr="00CD75A6" w14:paraId="6413CE5E" w14:textId="77777777" w:rsidTr="00A44C2E">
        <w:tc>
          <w:tcPr>
            <w:tcW w:w="648" w:type="dxa"/>
          </w:tcPr>
          <w:p w14:paraId="44B4C080" w14:textId="77777777" w:rsidR="0018433B" w:rsidRPr="00CD75A6" w:rsidRDefault="0018433B" w:rsidP="00786ADB">
            <w:r w:rsidRPr="00CD75A6">
              <w:t>23c</w:t>
            </w:r>
          </w:p>
        </w:tc>
        <w:tc>
          <w:tcPr>
            <w:tcW w:w="4464" w:type="dxa"/>
          </w:tcPr>
          <w:p w14:paraId="6549C6D7" w14:textId="77777777" w:rsidR="0018433B" w:rsidRPr="00CD75A6" w:rsidRDefault="0018433B" w:rsidP="00B47A48">
            <w:pPr>
              <w:jc w:val="left"/>
            </w:pPr>
            <w:r w:rsidRPr="00CE06CA">
              <w:rPr>
                <w:bCs/>
                <w:szCs w:val="22"/>
                <w:lang w:val="el-GR"/>
              </w:rPr>
              <w:t>κατὰ τὰ αὐτὰ γὰρ ἐποίουν τοῖς προφήταις οἱ πατέρες αὐτῶν.</w:t>
            </w:r>
          </w:p>
        </w:tc>
        <w:tc>
          <w:tcPr>
            <w:tcW w:w="4464" w:type="dxa"/>
          </w:tcPr>
          <w:p w14:paraId="5A5E05DD" w14:textId="77777777" w:rsidR="0018433B" w:rsidRPr="00CD75A6" w:rsidRDefault="0018433B" w:rsidP="00B47A48">
            <w:pPr>
              <w:jc w:val="left"/>
            </w:pPr>
            <w:r w:rsidRPr="00CD75A6">
              <w:t>for that is what their ancestors did to the prophets.</w:t>
            </w:r>
          </w:p>
        </w:tc>
      </w:tr>
      <w:tr w:rsidR="0018433B" w:rsidRPr="00CD75A6" w14:paraId="4E6245A7" w14:textId="77777777" w:rsidTr="00A44C2E">
        <w:tc>
          <w:tcPr>
            <w:tcW w:w="648" w:type="dxa"/>
          </w:tcPr>
          <w:p w14:paraId="66E0D93E" w14:textId="77777777" w:rsidR="0018433B" w:rsidRPr="00CD75A6" w:rsidRDefault="0018433B" w:rsidP="00786ADB">
            <w:r w:rsidRPr="00CD75A6">
              <w:t>24a</w:t>
            </w:r>
          </w:p>
        </w:tc>
        <w:tc>
          <w:tcPr>
            <w:tcW w:w="4464" w:type="dxa"/>
          </w:tcPr>
          <w:p w14:paraId="5AFB0B58" w14:textId="77777777" w:rsidR="0018433B" w:rsidRPr="00CD75A6" w:rsidRDefault="0018433B" w:rsidP="00B47A48">
            <w:pPr>
              <w:jc w:val="left"/>
            </w:pPr>
            <w:r w:rsidRPr="00CE06CA">
              <w:rPr>
                <w:bCs/>
                <w:szCs w:val="22"/>
                <w:lang w:val="el-GR"/>
              </w:rPr>
              <w:t>Πλὴν οὐαὶ ὑμῖν τοῖς πλουσίοις,</w:t>
            </w:r>
          </w:p>
        </w:tc>
        <w:tc>
          <w:tcPr>
            <w:tcW w:w="4464" w:type="dxa"/>
          </w:tcPr>
          <w:p w14:paraId="6BEF176B" w14:textId="77777777" w:rsidR="0018433B" w:rsidRPr="00CD75A6" w:rsidRDefault="0018433B" w:rsidP="00B47A48">
            <w:pPr>
              <w:jc w:val="left"/>
            </w:pPr>
            <w:r w:rsidRPr="00CD75A6">
              <w:t>But woe to you who are rich,</w:t>
            </w:r>
          </w:p>
        </w:tc>
      </w:tr>
      <w:tr w:rsidR="0018433B" w:rsidRPr="00CD75A6" w14:paraId="0902679B" w14:textId="77777777" w:rsidTr="00A44C2E">
        <w:tc>
          <w:tcPr>
            <w:tcW w:w="648" w:type="dxa"/>
          </w:tcPr>
          <w:p w14:paraId="2B16F328" w14:textId="77777777" w:rsidR="0018433B" w:rsidRPr="00CD75A6" w:rsidRDefault="0018433B" w:rsidP="00786ADB">
            <w:r w:rsidRPr="00CD75A6">
              <w:t>24b</w:t>
            </w:r>
          </w:p>
        </w:tc>
        <w:tc>
          <w:tcPr>
            <w:tcW w:w="4464" w:type="dxa"/>
          </w:tcPr>
          <w:p w14:paraId="2A7B170E" w14:textId="77777777" w:rsidR="0018433B" w:rsidRPr="00CD75A6" w:rsidRDefault="0018433B" w:rsidP="00B47A48">
            <w:pPr>
              <w:jc w:val="left"/>
            </w:pPr>
            <w:r w:rsidRPr="00CE06CA">
              <w:rPr>
                <w:bCs/>
                <w:szCs w:val="22"/>
                <w:lang w:val="el-GR"/>
              </w:rPr>
              <w:t>ὅτι ἀπέχετε τὴν παράκλησιν ὑμῶν.</w:t>
            </w:r>
          </w:p>
        </w:tc>
        <w:tc>
          <w:tcPr>
            <w:tcW w:w="4464" w:type="dxa"/>
          </w:tcPr>
          <w:p w14:paraId="4F303F8A" w14:textId="77777777" w:rsidR="0018433B" w:rsidRPr="00CD75A6" w:rsidRDefault="0018433B" w:rsidP="00B47A48">
            <w:pPr>
              <w:jc w:val="left"/>
            </w:pPr>
            <w:r w:rsidRPr="00CD75A6">
              <w:t>for you have received your consolation.</w:t>
            </w:r>
          </w:p>
        </w:tc>
      </w:tr>
      <w:tr w:rsidR="0018433B" w:rsidRPr="00CD75A6" w14:paraId="7DB1F773" w14:textId="77777777" w:rsidTr="00A44C2E">
        <w:tc>
          <w:tcPr>
            <w:tcW w:w="648" w:type="dxa"/>
          </w:tcPr>
          <w:p w14:paraId="3C4D49F3" w14:textId="77777777" w:rsidR="0018433B" w:rsidRPr="00CD75A6" w:rsidRDefault="0018433B" w:rsidP="00786ADB">
            <w:r w:rsidRPr="00CD75A6">
              <w:t>25a</w:t>
            </w:r>
          </w:p>
        </w:tc>
        <w:tc>
          <w:tcPr>
            <w:tcW w:w="4464" w:type="dxa"/>
          </w:tcPr>
          <w:p w14:paraId="7C1AC24B" w14:textId="676D794F" w:rsidR="0018433B" w:rsidRPr="00CD75A6" w:rsidRDefault="0018433B" w:rsidP="00B47A48">
            <w:pPr>
              <w:jc w:val="left"/>
            </w:pPr>
            <w:r w:rsidRPr="00CE06CA">
              <w:rPr>
                <w:bCs/>
                <w:szCs w:val="22"/>
                <w:lang w:val="el-GR"/>
              </w:rPr>
              <w:t>οὐαὶ ὑμῖν</w:t>
            </w:r>
            <w:r w:rsidR="006F304D" w:rsidRPr="006F304D">
              <w:rPr>
                <w:bCs/>
                <w:szCs w:val="22"/>
                <w:lang w:val="el-GR"/>
              </w:rPr>
              <w:t xml:space="preserve">, </w:t>
            </w:r>
            <w:r w:rsidRPr="00CE06CA">
              <w:rPr>
                <w:bCs/>
                <w:szCs w:val="22"/>
                <w:lang w:val="el-GR"/>
              </w:rPr>
              <w:t>οἱ ἐμπεπλησμένοι νῦν,</w:t>
            </w:r>
          </w:p>
        </w:tc>
        <w:tc>
          <w:tcPr>
            <w:tcW w:w="4464" w:type="dxa"/>
          </w:tcPr>
          <w:p w14:paraId="299CC157" w14:textId="77777777" w:rsidR="0018433B" w:rsidRPr="00CD75A6" w:rsidRDefault="0018433B" w:rsidP="00B47A48">
            <w:pPr>
              <w:jc w:val="left"/>
            </w:pPr>
            <w:r w:rsidRPr="00CD75A6">
              <w:t>Woe to you who are full now,</w:t>
            </w:r>
          </w:p>
        </w:tc>
      </w:tr>
      <w:tr w:rsidR="0018433B" w:rsidRPr="00CD75A6" w14:paraId="153C6946" w14:textId="77777777" w:rsidTr="00A44C2E">
        <w:tc>
          <w:tcPr>
            <w:tcW w:w="648" w:type="dxa"/>
          </w:tcPr>
          <w:p w14:paraId="2F6EF69B" w14:textId="77777777" w:rsidR="0018433B" w:rsidRPr="00CD75A6" w:rsidRDefault="0018433B" w:rsidP="00786ADB">
            <w:r w:rsidRPr="00CD75A6">
              <w:t>25b</w:t>
            </w:r>
          </w:p>
        </w:tc>
        <w:tc>
          <w:tcPr>
            <w:tcW w:w="4464" w:type="dxa"/>
          </w:tcPr>
          <w:p w14:paraId="4EF76DA7" w14:textId="77777777" w:rsidR="0018433B" w:rsidRPr="00CD75A6" w:rsidRDefault="0018433B" w:rsidP="00B47A48">
            <w:pPr>
              <w:jc w:val="left"/>
            </w:pPr>
            <w:r w:rsidRPr="00CE06CA">
              <w:rPr>
                <w:bCs/>
                <w:szCs w:val="22"/>
                <w:lang w:val="el-GR"/>
              </w:rPr>
              <w:t>ὅτι πεινάσετε.</w:t>
            </w:r>
          </w:p>
        </w:tc>
        <w:tc>
          <w:tcPr>
            <w:tcW w:w="4464" w:type="dxa"/>
          </w:tcPr>
          <w:p w14:paraId="0536753D" w14:textId="77777777" w:rsidR="0018433B" w:rsidRPr="00CD75A6" w:rsidRDefault="0018433B" w:rsidP="00B47A48">
            <w:pPr>
              <w:jc w:val="left"/>
            </w:pPr>
            <w:r w:rsidRPr="00CD75A6">
              <w:t>for you will be hungry.</w:t>
            </w:r>
          </w:p>
        </w:tc>
      </w:tr>
      <w:tr w:rsidR="0018433B" w:rsidRPr="00CD75A6" w14:paraId="2B9D04B1" w14:textId="77777777" w:rsidTr="00A44C2E">
        <w:tc>
          <w:tcPr>
            <w:tcW w:w="648" w:type="dxa"/>
          </w:tcPr>
          <w:p w14:paraId="499F5A2D" w14:textId="77777777" w:rsidR="0018433B" w:rsidRPr="00CD75A6" w:rsidRDefault="0018433B" w:rsidP="00786ADB">
            <w:r w:rsidRPr="00CD75A6">
              <w:t>25c</w:t>
            </w:r>
          </w:p>
        </w:tc>
        <w:tc>
          <w:tcPr>
            <w:tcW w:w="4464" w:type="dxa"/>
          </w:tcPr>
          <w:p w14:paraId="01534F96" w14:textId="6BF28BC2" w:rsidR="0018433B" w:rsidRPr="00CD75A6" w:rsidRDefault="0018433B" w:rsidP="00B47A48">
            <w:pPr>
              <w:jc w:val="left"/>
            </w:pPr>
            <w:r w:rsidRPr="00CE06CA">
              <w:rPr>
                <w:bCs/>
                <w:szCs w:val="22"/>
                <w:lang w:val="el-GR"/>
              </w:rPr>
              <w:t>οὐαί</w:t>
            </w:r>
            <w:r w:rsidR="006F304D" w:rsidRPr="006F304D">
              <w:rPr>
                <w:bCs/>
                <w:szCs w:val="22"/>
                <w:lang w:val="el-GR"/>
              </w:rPr>
              <w:t xml:space="preserve">, </w:t>
            </w:r>
            <w:r w:rsidRPr="00CE06CA">
              <w:rPr>
                <w:bCs/>
                <w:szCs w:val="22"/>
                <w:lang w:val="el-GR"/>
              </w:rPr>
              <w:t>οἱ γελῶντες νῦν,</w:t>
            </w:r>
          </w:p>
        </w:tc>
        <w:tc>
          <w:tcPr>
            <w:tcW w:w="4464" w:type="dxa"/>
          </w:tcPr>
          <w:p w14:paraId="7420DBCC" w14:textId="77777777" w:rsidR="0018433B" w:rsidRPr="00CD75A6" w:rsidRDefault="0018433B" w:rsidP="00B47A48">
            <w:pPr>
              <w:jc w:val="left"/>
            </w:pPr>
            <w:r w:rsidRPr="00CD75A6">
              <w:t>Woe to you who are laughing now,</w:t>
            </w:r>
          </w:p>
        </w:tc>
      </w:tr>
      <w:tr w:rsidR="0018433B" w:rsidRPr="00CD75A6" w14:paraId="6136E18E" w14:textId="77777777" w:rsidTr="00A44C2E">
        <w:tc>
          <w:tcPr>
            <w:tcW w:w="648" w:type="dxa"/>
          </w:tcPr>
          <w:p w14:paraId="41C9C8C0" w14:textId="77777777" w:rsidR="0018433B" w:rsidRPr="00CD75A6" w:rsidRDefault="0018433B" w:rsidP="00786ADB">
            <w:r w:rsidRPr="00CD75A6">
              <w:t>25d</w:t>
            </w:r>
          </w:p>
        </w:tc>
        <w:tc>
          <w:tcPr>
            <w:tcW w:w="4464" w:type="dxa"/>
          </w:tcPr>
          <w:p w14:paraId="75274E68" w14:textId="77777777" w:rsidR="0018433B" w:rsidRPr="00CD75A6" w:rsidRDefault="0018433B" w:rsidP="00B47A48">
            <w:pPr>
              <w:jc w:val="left"/>
            </w:pPr>
            <w:r w:rsidRPr="00CE06CA">
              <w:rPr>
                <w:bCs/>
                <w:szCs w:val="22"/>
                <w:lang w:val="el-GR"/>
              </w:rPr>
              <w:t>ὅτι πενθήσετε καὶ κλαύσετε.</w:t>
            </w:r>
          </w:p>
        </w:tc>
        <w:tc>
          <w:tcPr>
            <w:tcW w:w="4464" w:type="dxa"/>
          </w:tcPr>
          <w:p w14:paraId="7FF7D1C1" w14:textId="77777777" w:rsidR="0018433B" w:rsidRPr="00CD75A6" w:rsidRDefault="0018433B" w:rsidP="00B47A48">
            <w:pPr>
              <w:jc w:val="left"/>
            </w:pPr>
            <w:r w:rsidRPr="00CD75A6">
              <w:t>for you will mourn and weep.</w:t>
            </w:r>
          </w:p>
        </w:tc>
      </w:tr>
      <w:tr w:rsidR="0018433B" w:rsidRPr="00CD75A6" w14:paraId="56942B9E" w14:textId="77777777" w:rsidTr="00A44C2E">
        <w:tc>
          <w:tcPr>
            <w:tcW w:w="648" w:type="dxa"/>
          </w:tcPr>
          <w:p w14:paraId="1177FBF3" w14:textId="77777777" w:rsidR="0018433B" w:rsidRPr="00CD75A6" w:rsidRDefault="0018433B" w:rsidP="00786ADB">
            <w:r w:rsidRPr="00CD75A6">
              <w:t>26a</w:t>
            </w:r>
          </w:p>
        </w:tc>
        <w:tc>
          <w:tcPr>
            <w:tcW w:w="4464" w:type="dxa"/>
          </w:tcPr>
          <w:p w14:paraId="43095A51" w14:textId="77777777" w:rsidR="0018433B" w:rsidRPr="00CD75A6" w:rsidRDefault="0018433B" w:rsidP="00B47A48">
            <w:pPr>
              <w:jc w:val="left"/>
            </w:pPr>
            <w:r w:rsidRPr="00CE06CA">
              <w:rPr>
                <w:bCs/>
                <w:szCs w:val="22"/>
                <w:lang w:val="el-GR"/>
              </w:rPr>
              <w:t>οὐαὶ</w:t>
            </w:r>
          </w:p>
        </w:tc>
        <w:tc>
          <w:tcPr>
            <w:tcW w:w="4464" w:type="dxa"/>
          </w:tcPr>
          <w:p w14:paraId="58DAA260" w14:textId="77777777" w:rsidR="0018433B" w:rsidRPr="00CD75A6" w:rsidRDefault="0018433B" w:rsidP="00B47A48">
            <w:pPr>
              <w:jc w:val="left"/>
            </w:pPr>
            <w:r w:rsidRPr="00CD75A6">
              <w:t>Woe to you</w:t>
            </w:r>
          </w:p>
        </w:tc>
      </w:tr>
      <w:tr w:rsidR="0018433B" w:rsidRPr="00CD75A6" w14:paraId="7809330C" w14:textId="77777777" w:rsidTr="00A44C2E">
        <w:tc>
          <w:tcPr>
            <w:tcW w:w="648" w:type="dxa"/>
          </w:tcPr>
          <w:p w14:paraId="0D5A3813" w14:textId="77777777" w:rsidR="0018433B" w:rsidRPr="00CD75A6" w:rsidRDefault="0018433B" w:rsidP="00786ADB">
            <w:r w:rsidRPr="00CD75A6">
              <w:t>26b</w:t>
            </w:r>
          </w:p>
        </w:tc>
        <w:tc>
          <w:tcPr>
            <w:tcW w:w="4464" w:type="dxa"/>
          </w:tcPr>
          <w:p w14:paraId="5925E50D" w14:textId="77777777" w:rsidR="0018433B" w:rsidRPr="00CD75A6" w:rsidRDefault="0018433B" w:rsidP="00B47A48">
            <w:pPr>
              <w:jc w:val="left"/>
            </w:pPr>
            <w:r w:rsidRPr="00CE06CA">
              <w:rPr>
                <w:bCs/>
                <w:szCs w:val="22"/>
                <w:lang w:val="el-GR"/>
              </w:rPr>
              <w:t>ὅταν ὑμᾶς καλῶς εἴπωσιν πάντες οἱ ἄνθρωποι·</w:t>
            </w:r>
          </w:p>
        </w:tc>
        <w:tc>
          <w:tcPr>
            <w:tcW w:w="4464" w:type="dxa"/>
          </w:tcPr>
          <w:p w14:paraId="1DD10DC0" w14:textId="77777777" w:rsidR="0018433B" w:rsidRPr="00CD75A6" w:rsidRDefault="0018433B" w:rsidP="00B47A48">
            <w:pPr>
              <w:jc w:val="left"/>
            </w:pPr>
            <w:r w:rsidRPr="00CD75A6">
              <w:t>when all speak well of you,</w:t>
            </w:r>
          </w:p>
        </w:tc>
      </w:tr>
      <w:tr w:rsidR="0018433B" w:rsidRPr="00CD75A6" w14:paraId="5E7B50FF" w14:textId="77777777" w:rsidTr="00A44C2E">
        <w:tc>
          <w:tcPr>
            <w:tcW w:w="648" w:type="dxa"/>
          </w:tcPr>
          <w:p w14:paraId="13F84B53" w14:textId="77777777" w:rsidR="0018433B" w:rsidRPr="00CD75A6" w:rsidRDefault="0018433B" w:rsidP="00786ADB">
            <w:r w:rsidRPr="00CD75A6">
              <w:t>26c</w:t>
            </w:r>
          </w:p>
        </w:tc>
        <w:tc>
          <w:tcPr>
            <w:tcW w:w="4464" w:type="dxa"/>
          </w:tcPr>
          <w:p w14:paraId="376E5B49" w14:textId="77777777" w:rsidR="0018433B" w:rsidRPr="00CD75A6" w:rsidRDefault="0018433B" w:rsidP="00B47A48">
            <w:pPr>
              <w:jc w:val="left"/>
            </w:pPr>
            <w:r w:rsidRPr="00CE06CA">
              <w:rPr>
                <w:bCs/>
                <w:szCs w:val="22"/>
                <w:lang w:val="el-GR"/>
              </w:rPr>
              <w:t>κατὰ τὰ αὐτὰ γὰρ ἐποίουν τοῖς ψευδοπροφήταις οἱ πατέρες αὐτῶν.</w:t>
            </w:r>
          </w:p>
        </w:tc>
        <w:tc>
          <w:tcPr>
            <w:tcW w:w="4464" w:type="dxa"/>
          </w:tcPr>
          <w:p w14:paraId="1FB0D8D6" w14:textId="77777777" w:rsidR="0018433B" w:rsidRPr="00CD75A6" w:rsidRDefault="0018433B" w:rsidP="00B47A48">
            <w:pPr>
              <w:jc w:val="left"/>
            </w:pPr>
            <w:r w:rsidRPr="00CD75A6">
              <w:t>for that is what their ancestors did to the false prophets.</w:t>
            </w:r>
          </w:p>
        </w:tc>
      </w:tr>
      <w:tr w:rsidR="0018433B" w:rsidRPr="00CD75A6" w14:paraId="3170EAD5" w14:textId="77777777" w:rsidTr="00A44C2E">
        <w:tc>
          <w:tcPr>
            <w:tcW w:w="648" w:type="dxa"/>
          </w:tcPr>
          <w:p w14:paraId="3BDF3CE0" w14:textId="77777777" w:rsidR="0018433B" w:rsidRPr="00CD75A6" w:rsidRDefault="0018433B" w:rsidP="00786ADB">
            <w:r w:rsidRPr="00CD75A6">
              <w:t>27a</w:t>
            </w:r>
          </w:p>
        </w:tc>
        <w:tc>
          <w:tcPr>
            <w:tcW w:w="4464" w:type="dxa"/>
          </w:tcPr>
          <w:p w14:paraId="7E2F28F9" w14:textId="77777777" w:rsidR="0018433B" w:rsidRPr="00CD75A6" w:rsidRDefault="0018433B" w:rsidP="00B47A48">
            <w:pPr>
              <w:jc w:val="left"/>
            </w:pPr>
            <w:r w:rsidRPr="00CE06CA">
              <w:rPr>
                <w:bCs/>
                <w:szCs w:val="22"/>
                <w:lang w:val="el-GR"/>
              </w:rPr>
              <w:t>Ἀλλὰ ὑμῖν λέγω τοῖς ἀκούουσιν·</w:t>
            </w:r>
          </w:p>
        </w:tc>
        <w:tc>
          <w:tcPr>
            <w:tcW w:w="4464" w:type="dxa"/>
          </w:tcPr>
          <w:p w14:paraId="7243E339" w14:textId="77777777" w:rsidR="0018433B" w:rsidRPr="00CD75A6" w:rsidRDefault="0018433B" w:rsidP="00B47A48">
            <w:pPr>
              <w:jc w:val="left"/>
            </w:pPr>
            <w:r w:rsidRPr="00CD75A6">
              <w:t>But I say to you that listen,</w:t>
            </w:r>
          </w:p>
        </w:tc>
      </w:tr>
      <w:tr w:rsidR="0018433B" w:rsidRPr="00CD75A6" w14:paraId="08C4CF7A" w14:textId="77777777" w:rsidTr="00A44C2E">
        <w:tc>
          <w:tcPr>
            <w:tcW w:w="648" w:type="dxa"/>
          </w:tcPr>
          <w:p w14:paraId="53EDC139" w14:textId="77777777" w:rsidR="0018433B" w:rsidRPr="00CD75A6" w:rsidRDefault="0018433B" w:rsidP="00786ADB">
            <w:r w:rsidRPr="00CD75A6">
              <w:t>27b</w:t>
            </w:r>
          </w:p>
        </w:tc>
        <w:tc>
          <w:tcPr>
            <w:tcW w:w="4464" w:type="dxa"/>
          </w:tcPr>
          <w:p w14:paraId="631A8B5C" w14:textId="77777777" w:rsidR="0018433B" w:rsidRPr="00CD75A6" w:rsidRDefault="0018433B" w:rsidP="00B47A48">
            <w:pPr>
              <w:jc w:val="left"/>
            </w:pPr>
            <w:r w:rsidRPr="00CE06CA">
              <w:rPr>
                <w:bCs/>
                <w:szCs w:val="22"/>
                <w:lang w:val="el-GR"/>
              </w:rPr>
              <w:t>ἀγαπᾶτε τοὺς ἐχθροὺς ὑμῶν,</w:t>
            </w:r>
          </w:p>
        </w:tc>
        <w:tc>
          <w:tcPr>
            <w:tcW w:w="4464" w:type="dxa"/>
          </w:tcPr>
          <w:p w14:paraId="0C613898" w14:textId="77777777" w:rsidR="0018433B" w:rsidRPr="00CD75A6" w:rsidRDefault="0018433B" w:rsidP="00B47A48">
            <w:pPr>
              <w:jc w:val="left"/>
            </w:pPr>
            <w:r w:rsidRPr="00CD75A6">
              <w:t>Love your enemies,</w:t>
            </w:r>
          </w:p>
        </w:tc>
      </w:tr>
      <w:tr w:rsidR="0018433B" w:rsidRPr="00CD75A6" w14:paraId="3C05CEA7" w14:textId="77777777" w:rsidTr="00A44C2E">
        <w:tc>
          <w:tcPr>
            <w:tcW w:w="648" w:type="dxa"/>
          </w:tcPr>
          <w:p w14:paraId="01582DE7" w14:textId="77777777" w:rsidR="0018433B" w:rsidRPr="00CD75A6" w:rsidRDefault="0018433B" w:rsidP="00786ADB">
            <w:r w:rsidRPr="00CD75A6">
              <w:lastRenderedPageBreak/>
              <w:t>27c</w:t>
            </w:r>
          </w:p>
        </w:tc>
        <w:tc>
          <w:tcPr>
            <w:tcW w:w="4464" w:type="dxa"/>
          </w:tcPr>
          <w:p w14:paraId="2EE59B56" w14:textId="77777777" w:rsidR="0018433B" w:rsidRPr="00CD75A6" w:rsidRDefault="0018433B" w:rsidP="00B47A48">
            <w:pPr>
              <w:jc w:val="left"/>
            </w:pPr>
            <w:r w:rsidRPr="00CE06CA">
              <w:rPr>
                <w:bCs/>
                <w:szCs w:val="22"/>
                <w:lang w:val="el-GR"/>
              </w:rPr>
              <w:t>καλῶς ποιεῖτε τοῖς μισοῦσιν ὑμᾶς,</w:t>
            </w:r>
          </w:p>
        </w:tc>
        <w:tc>
          <w:tcPr>
            <w:tcW w:w="4464" w:type="dxa"/>
          </w:tcPr>
          <w:p w14:paraId="3984F05C" w14:textId="77777777" w:rsidR="0018433B" w:rsidRPr="00CD75A6" w:rsidRDefault="0018433B" w:rsidP="00B47A48">
            <w:pPr>
              <w:jc w:val="left"/>
            </w:pPr>
            <w:r w:rsidRPr="00CD75A6">
              <w:t>do good to those who hate you,</w:t>
            </w:r>
          </w:p>
        </w:tc>
      </w:tr>
      <w:tr w:rsidR="0018433B" w:rsidRPr="00CD75A6" w14:paraId="71ABD81A" w14:textId="77777777" w:rsidTr="00A44C2E">
        <w:tc>
          <w:tcPr>
            <w:tcW w:w="648" w:type="dxa"/>
          </w:tcPr>
          <w:p w14:paraId="45D5BAED" w14:textId="77777777" w:rsidR="0018433B" w:rsidRPr="00CD75A6" w:rsidRDefault="0018433B" w:rsidP="00786ADB">
            <w:r w:rsidRPr="00CD75A6">
              <w:t>28a</w:t>
            </w:r>
          </w:p>
        </w:tc>
        <w:tc>
          <w:tcPr>
            <w:tcW w:w="4464" w:type="dxa"/>
          </w:tcPr>
          <w:p w14:paraId="33710345" w14:textId="77777777" w:rsidR="0018433B" w:rsidRPr="00CD75A6" w:rsidRDefault="0018433B" w:rsidP="00B47A48">
            <w:pPr>
              <w:jc w:val="left"/>
            </w:pPr>
            <w:r w:rsidRPr="00CE06CA">
              <w:rPr>
                <w:bCs/>
                <w:szCs w:val="22"/>
                <w:lang w:val="el-GR"/>
              </w:rPr>
              <w:t>εὐλογεῖτε τοὺς καταρωμένους ὑμᾶς,</w:t>
            </w:r>
          </w:p>
        </w:tc>
        <w:tc>
          <w:tcPr>
            <w:tcW w:w="4464" w:type="dxa"/>
          </w:tcPr>
          <w:p w14:paraId="11973A7F" w14:textId="77777777" w:rsidR="0018433B" w:rsidRPr="00CD75A6" w:rsidRDefault="0018433B" w:rsidP="00B47A48">
            <w:pPr>
              <w:jc w:val="left"/>
            </w:pPr>
            <w:r w:rsidRPr="00CD75A6">
              <w:t>bless those who curse you,</w:t>
            </w:r>
          </w:p>
        </w:tc>
      </w:tr>
      <w:tr w:rsidR="0018433B" w:rsidRPr="00CD75A6" w14:paraId="43F3F250" w14:textId="77777777" w:rsidTr="00A44C2E">
        <w:tc>
          <w:tcPr>
            <w:tcW w:w="648" w:type="dxa"/>
          </w:tcPr>
          <w:p w14:paraId="688E3F99" w14:textId="77777777" w:rsidR="0018433B" w:rsidRPr="00CD75A6" w:rsidRDefault="0018433B" w:rsidP="00786ADB">
            <w:r w:rsidRPr="00CD75A6">
              <w:t>28b</w:t>
            </w:r>
          </w:p>
        </w:tc>
        <w:tc>
          <w:tcPr>
            <w:tcW w:w="4464" w:type="dxa"/>
          </w:tcPr>
          <w:p w14:paraId="342ACEFD" w14:textId="77777777" w:rsidR="0018433B" w:rsidRPr="00CD75A6" w:rsidRDefault="0018433B" w:rsidP="00B47A48">
            <w:pPr>
              <w:jc w:val="left"/>
            </w:pPr>
            <w:r w:rsidRPr="00CE06CA">
              <w:rPr>
                <w:bCs/>
                <w:szCs w:val="22"/>
                <w:lang w:val="el-GR"/>
              </w:rPr>
              <w:t>προσεύχεσθε περὶ τῶν ἐπηρεαζόντων ὑμᾶς.</w:t>
            </w:r>
          </w:p>
        </w:tc>
        <w:tc>
          <w:tcPr>
            <w:tcW w:w="4464" w:type="dxa"/>
          </w:tcPr>
          <w:p w14:paraId="695383CB" w14:textId="77777777" w:rsidR="0018433B" w:rsidRPr="00CD75A6" w:rsidRDefault="0018433B" w:rsidP="00B47A48">
            <w:pPr>
              <w:jc w:val="left"/>
            </w:pPr>
            <w:r w:rsidRPr="00CD75A6">
              <w:t>pray for those who abuse you.</w:t>
            </w:r>
          </w:p>
        </w:tc>
      </w:tr>
      <w:tr w:rsidR="0018433B" w:rsidRPr="00CD75A6" w14:paraId="281FC3AC" w14:textId="77777777" w:rsidTr="00A44C2E">
        <w:tc>
          <w:tcPr>
            <w:tcW w:w="648" w:type="dxa"/>
          </w:tcPr>
          <w:p w14:paraId="00A3D2AA" w14:textId="77777777" w:rsidR="0018433B" w:rsidRPr="00CD75A6" w:rsidRDefault="0018433B" w:rsidP="00786ADB">
            <w:r w:rsidRPr="00CD75A6">
              <w:t>29a</w:t>
            </w:r>
          </w:p>
        </w:tc>
        <w:tc>
          <w:tcPr>
            <w:tcW w:w="4464" w:type="dxa"/>
          </w:tcPr>
          <w:p w14:paraId="27D570F1" w14:textId="77777777" w:rsidR="0018433B" w:rsidRPr="00CD75A6" w:rsidRDefault="0018433B" w:rsidP="00B47A48">
            <w:pPr>
              <w:jc w:val="left"/>
            </w:pPr>
            <w:r w:rsidRPr="00CE06CA">
              <w:rPr>
                <w:bCs/>
                <w:szCs w:val="22"/>
                <w:lang w:val="el-GR"/>
              </w:rPr>
              <w:t>τῷ τύπτοντί σε ἐπὶ τὴν σιαγόνα πάρεχε καὶ τὴν ἄλλην,</w:t>
            </w:r>
          </w:p>
        </w:tc>
        <w:tc>
          <w:tcPr>
            <w:tcW w:w="4464" w:type="dxa"/>
          </w:tcPr>
          <w:p w14:paraId="425A9555" w14:textId="3E045F26" w:rsidR="0018433B" w:rsidRPr="00CD75A6" w:rsidRDefault="0018433B" w:rsidP="00B47A48">
            <w:pPr>
              <w:jc w:val="left"/>
            </w:pPr>
            <w:r w:rsidRPr="00CD75A6">
              <w:t>If anyone strikes you on the cheek</w:t>
            </w:r>
            <w:r w:rsidR="006F304D" w:rsidRPr="006F304D">
              <w:t xml:space="preserve">, </w:t>
            </w:r>
            <w:r w:rsidRPr="00CD75A6">
              <w:t>offer the other also;</w:t>
            </w:r>
          </w:p>
        </w:tc>
      </w:tr>
      <w:tr w:rsidR="0018433B" w:rsidRPr="00CD75A6" w14:paraId="1B00AB60" w14:textId="77777777" w:rsidTr="00A44C2E">
        <w:tc>
          <w:tcPr>
            <w:tcW w:w="648" w:type="dxa"/>
          </w:tcPr>
          <w:p w14:paraId="65A25AEC" w14:textId="77777777" w:rsidR="0018433B" w:rsidRPr="00CD75A6" w:rsidRDefault="0018433B" w:rsidP="00786ADB">
            <w:r w:rsidRPr="00CD75A6">
              <w:t>29b</w:t>
            </w:r>
          </w:p>
        </w:tc>
        <w:tc>
          <w:tcPr>
            <w:tcW w:w="4464" w:type="dxa"/>
          </w:tcPr>
          <w:p w14:paraId="20870DD7" w14:textId="77777777" w:rsidR="0018433B" w:rsidRPr="00CD75A6" w:rsidRDefault="0018433B" w:rsidP="00B47A48">
            <w:pPr>
              <w:jc w:val="left"/>
            </w:pPr>
            <w:r w:rsidRPr="00CE06CA">
              <w:rPr>
                <w:bCs/>
                <w:szCs w:val="22"/>
                <w:lang w:val="el-GR"/>
              </w:rPr>
              <w:t>καὶ ἀπὸ τοῦ αἴροντός σου τὸ ἱμάτιον καὶ τὸν χιτῶνα μὴ κωλύσῃς.</w:t>
            </w:r>
          </w:p>
        </w:tc>
        <w:tc>
          <w:tcPr>
            <w:tcW w:w="4464" w:type="dxa"/>
          </w:tcPr>
          <w:p w14:paraId="782ABF7A" w14:textId="77777777" w:rsidR="0018433B" w:rsidRPr="00CD75A6" w:rsidRDefault="0018433B" w:rsidP="00B47A48">
            <w:pPr>
              <w:jc w:val="left"/>
            </w:pPr>
            <w:r w:rsidRPr="00CD75A6">
              <w:t>and from anyone who takes away your coat do not</w:t>
            </w:r>
            <w:r>
              <w:t xml:space="preserve"> </w:t>
            </w:r>
            <w:r w:rsidRPr="00CD75A6">
              <w:t>withhold even your shirt.</w:t>
            </w:r>
          </w:p>
        </w:tc>
      </w:tr>
      <w:tr w:rsidR="0018433B" w:rsidRPr="00CD75A6" w14:paraId="2AADE290" w14:textId="77777777" w:rsidTr="00A44C2E">
        <w:tc>
          <w:tcPr>
            <w:tcW w:w="648" w:type="dxa"/>
          </w:tcPr>
          <w:p w14:paraId="03BB45B0" w14:textId="77777777" w:rsidR="0018433B" w:rsidRPr="00CD75A6" w:rsidRDefault="0018433B" w:rsidP="00786ADB">
            <w:r w:rsidRPr="00CD75A6">
              <w:t>30a</w:t>
            </w:r>
          </w:p>
        </w:tc>
        <w:tc>
          <w:tcPr>
            <w:tcW w:w="4464" w:type="dxa"/>
          </w:tcPr>
          <w:p w14:paraId="426D332D" w14:textId="77777777" w:rsidR="0018433B" w:rsidRPr="00CD75A6" w:rsidRDefault="0018433B" w:rsidP="00B47A48">
            <w:pPr>
              <w:jc w:val="left"/>
            </w:pPr>
            <w:r w:rsidRPr="00CE06CA">
              <w:rPr>
                <w:bCs/>
                <w:szCs w:val="22"/>
                <w:lang w:val="el-GR"/>
              </w:rPr>
              <w:t>παντὶ αἰτοῦντί σε δίδου,</w:t>
            </w:r>
          </w:p>
        </w:tc>
        <w:tc>
          <w:tcPr>
            <w:tcW w:w="4464" w:type="dxa"/>
          </w:tcPr>
          <w:p w14:paraId="72510EB3" w14:textId="77777777" w:rsidR="0018433B" w:rsidRPr="00CD75A6" w:rsidRDefault="0018433B" w:rsidP="00B47A48">
            <w:pPr>
              <w:jc w:val="left"/>
            </w:pPr>
            <w:r w:rsidRPr="00CD75A6">
              <w:t>Give to everyone who begs from you;</w:t>
            </w:r>
          </w:p>
        </w:tc>
      </w:tr>
      <w:tr w:rsidR="0018433B" w:rsidRPr="00CD75A6" w14:paraId="76B9F52B" w14:textId="77777777" w:rsidTr="00A44C2E">
        <w:tc>
          <w:tcPr>
            <w:tcW w:w="648" w:type="dxa"/>
          </w:tcPr>
          <w:p w14:paraId="6BD979C3" w14:textId="77777777" w:rsidR="0018433B" w:rsidRPr="00CD75A6" w:rsidRDefault="0018433B" w:rsidP="00786ADB">
            <w:r w:rsidRPr="00CD75A6">
              <w:t>30b</w:t>
            </w:r>
          </w:p>
        </w:tc>
        <w:tc>
          <w:tcPr>
            <w:tcW w:w="4464" w:type="dxa"/>
          </w:tcPr>
          <w:p w14:paraId="11212AAC" w14:textId="77777777" w:rsidR="0018433B" w:rsidRPr="00CD75A6" w:rsidRDefault="0018433B" w:rsidP="00B47A48">
            <w:pPr>
              <w:jc w:val="left"/>
            </w:pPr>
            <w:r w:rsidRPr="00CE06CA">
              <w:rPr>
                <w:bCs/>
                <w:szCs w:val="22"/>
                <w:lang w:val="el-GR"/>
              </w:rPr>
              <w:t>καὶ ἀπὸ τοῦ αἴροντος τὰ σὰ μὴ ἀπαίτει.</w:t>
            </w:r>
          </w:p>
        </w:tc>
        <w:tc>
          <w:tcPr>
            <w:tcW w:w="4464" w:type="dxa"/>
          </w:tcPr>
          <w:p w14:paraId="406ED3A3" w14:textId="7ED07934" w:rsidR="0018433B" w:rsidRPr="00CD75A6" w:rsidRDefault="0018433B" w:rsidP="00B47A48">
            <w:pPr>
              <w:jc w:val="left"/>
            </w:pPr>
            <w:r w:rsidRPr="00CD75A6">
              <w:t>and if anyone takes away your goods</w:t>
            </w:r>
            <w:r w:rsidR="006F304D" w:rsidRPr="006F304D">
              <w:t xml:space="preserve">, </w:t>
            </w:r>
            <w:r w:rsidRPr="00CD75A6">
              <w:t>do not ask for them again.</w:t>
            </w:r>
          </w:p>
        </w:tc>
      </w:tr>
      <w:tr w:rsidR="0018433B" w:rsidRPr="00CD75A6" w14:paraId="599DA012" w14:textId="77777777" w:rsidTr="00A44C2E">
        <w:tc>
          <w:tcPr>
            <w:tcW w:w="648" w:type="dxa"/>
          </w:tcPr>
          <w:p w14:paraId="56FF7479" w14:textId="77777777" w:rsidR="0018433B" w:rsidRPr="00CD75A6" w:rsidRDefault="0018433B" w:rsidP="00786ADB">
            <w:r w:rsidRPr="00CD75A6">
              <w:t>31a</w:t>
            </w:r>
          </w:p>
        </w:tc>
        <w:tc>
          <w:tcPr>
            <w:tcW w:w="4464" w:type="dxa"/>
          </w:tcPr>
          <w:p w14:paraId="2124178E" w14:textId="77777777" w:rsidR="0018433B" w:rsidRPr="00CD75A6" w:rsidRDefault="0018433B" w:rsidP="00B47A48">
            <w:pPr>
              <w:jc w:val="left"/>
            </w:pPr>
            <w:r w:rsidRPr="00CE06CA">
              <w:rPr>
                <w:bCs/>
                <w:szCs w:val="22"/>
                <w:lang w:val="el-GR"/>
              </w:rPr>
              <w:t>Καὶ καθὼς θέλετε</w:t>
            </w:r>
          </w:p>
        </w:tc>
        <w:tc>
          <w:tcPr>
            <w:tcW w:w="4464" w:type="dxa"/>
          </w:tcPr>
          <w:p w14:paraId="00A87503" w14:textId="77777777" w:rsidR="0018433B" w:rsidRPr="00CD75A6" w:rsidRDefault="0018433B" w:rsidP="00B47A48">
            <w:pPr>
              <w:jc w:val="left"/>
            </w:pPr>
            <w:r w:rsidRPr="00CD75A6">
              <w:t>Do to others</w:t>
            </w:r>
          </w:p>
        </w:tc>
      </w:tr>
      <w:tr w:rsidR="0018433B" w:rsidRPr="00CD75A6" w14:paraId="5C569B72" w14:textId="77777777" w:rsidTr="00A44C2E">
        <w:tc>
          <w:tcPr>
            <w:tcW w:w="648" w:type="dxa"/>
          </w:tcPr>
          <w:p w14:paraId="0F12C449" w14:textId="77777777" w:rsidR="0018433B" w:rsidRPr="00CD75A6" w:rsidRDefault="0018433B" w:rsidP="00786ADB">
            <w:r w:rsidRPr="00CD75A6">
              <w:t>31b</w:t>
            </w:r>
          </w:p>
        </w:tc>
        <w:tc>
          <w:tcPr>
            <w:tcW w:w="4464" w:type="dxa"/>
          </w:tcPr>
          <w:p w14:paraId="5E00D91E" w14:textId="77777777" w:rsidR="0018433B" w:rsidRPr="00CD75A6" w:rsidRDefault="0018433B" w:rsidP="00B47A48">
            <w:pPr>
              <w:jc w:val="left"/>
            </w:pPr>
            <w:r w:rsidRPr="00CE06CA">
              <w:rPr>
                <w:bCs/>
                <w:szCs w:val="22"/>
                <w:lang w:val="el-GR"/>
              </w:rPr>
              <w:t>ἵνα ποιῶσιν ὑμῖν οἱ ἄνθρωποι ποιεῖτε αὐτοῖς ὁμοίως.</w:t>
            </w:r>
          </w:p>
        </w:tc>
        <w:tc>
          <w:tcPr>
            <w:tcW w:w="4464" w:type="dxa"/>
          </w:tcPr>
          <w:p w14:paraId="6196415E" w14:textId="77777777" w:rsidR="0018433B" w:rsidRPr="00CD75A6" w:rsidRDefault="0018433B" w:rsidP="00B47A48">
            <w:pPr>
              <w:jc w:val="left"/>
            </w:pPr>
            <w:r w:rsidRPr="00CD75A6">
              <w:t>as you would have them do to you.</w:t>
            </w:r>
            <w:r>
              <w:rPr>
                <w:rStyle w:val="FootnoteReference"/>
              </w:rPr>
              <w:footnoteReference w:id="838"/>
            </w:r>
          </w:p>
        </w:tc>
      </w:tr>
      <w:tr w:rsidR="0018433B" w:rsidRPr="00CD75A6" w14:paraId="2B199DF7" w14:textId="77777777" w:rsidTr="00A44C2E">
        <w:tc>
          <w:tcPr>
            <w:tcW w:w="648" w:type="dxa"/>
          </w:tcPr>
          <w:p w14:paraId="01965EA0" w14:textId="77777777" w:rsidR="0018433B" w:rsidRPr="00CD75A6" w:rsidRDefault="0018433B" w:rsidP="00786ADB">
            <w:r w:rsidRPr="00CD75A6">
              <w:t>32a</w:t>
            </w:r>
          </w:p>
        </w:tc>
        <w:tc>
          <w:tcPr>
            <w:tcW w:w="4464" w:type="dxa"/>
          </w:tcPr>
          <w:p w14:paraId="00B8DD6C" w14:textId="77777777" w:rsidR="0018433B" w:rsidRPr="00CD75A6" w:rsidRDefault="0018433B" w:rsidP="00B47A48">
            <w:pPr>
              <w:jc w:val="left"/>
            </w:pPr>
            <w:r w:rsidRPr="00CE06CA">
              <w:rPr>
                <w:bCs/>
                <w:szCs w:val="22"/>
                <w:lang w:val="el-GR"/>
              </w:rPr>
              <w:t>καὶ εἰ ἀγαπᾶτε τοὺς ἀγαπῶντας ὑμᾶς,</w:t>
            </w:r>
          </w:p>
        </w:tc>
        <w:tc>
          <w:tcPr>
            <w:tcW w:w="4464" w:type="dxa"/>
          </w:tcPr>
          <w:p w14:paraId="4F131BAD" w14:textId="77777777" w:rsidR="0018433B" w:rsidRPr="00CD75A6" w:rsidRDefault="0018433B" w:rsidP="00B47A48">
            <w:pPr>
              <w:jc w:val="left"/>
            </w:pPr>
            <w:r w:rsidRPr="00CD75A6">
              <w:t>If you love those who love you,</w:t>
            </w:r>
          </w:p>
        </w:tc>
      </w:tr>
      <w:tr w:rsidR="0018433B" w:rsidRPr="00CD75A6" w14:paraId="53004383" w14:textId="77777777" w:rsidTr="00A44C2E">
        <w:tc>
          <w:tcPr>
            <w:tcW w:w="648" w:type="dxa"/>
          </w:tcPr>
          <w:p w14:paraId="10CDDD5B" w14:textId="77777777" w:rsidR="0018433B" w:rsidRPr="00CD75A6" w:rsidRDefault="0018433B" w:rsidP="00786ADB">
            <w:r w:rsidRPr="00CD75A6">
              <w:t>32b</w:t>
            </w:r>
          </w:p>
        </w:tc>
        <w:tc>
          <w:tcPr>
            <w:tcW w:w="4464" w:type="dxa"/>
          </w:tcPr>
          <w:p w14:paraId="44B1B09E" w14:textId="77777777" w:rsidR="0018433B" w:rsidRPr="00CD75A6" w:rsidRDefault="0018433B" w:rsidP="00B47A48">
            <w:pPr>
              <w:jc w:val="left"/>
            </w:pPr>
            <w:r w:rsidRPr="00CE06CA">
              <w:rPr>
                <w:bCs/>
                <w:szCs w:val="22"/>
                <w:lang w:val="el-GR"/>
              </w:rPr>
              <w:t>ποία ὑμῖν χάρις ἐστίν;</w:t>
            </w:r>
          </w:p>
        </w:tc>
        <w:tc>
          <w:tcPr>
            <w:tcW w:w="4464" w:type="dxa"/>
          </w:tcPr>
          <w:p w14:paraId="6FD17EF4" w14:textId="77777777" w:rsidR="0018433B" w:rsidRPr="00CD75A6" w:rsidRDefault="0018433B" w:rsidP="00B47A48">
            <w:pPr>
              <w:jc w:val="left"/>
            </w:pPr>
            <w:r w:rsidRPr="00CD75A6">
              <w:t>what credit is that to you?</w:t>
            </w:r>
          </w:p>
        </w:tc>
      </w:tr>
      <w:tr w:rsidR="0018433B" w:rsidRPr="00CD75A6" w14:paraId="62BF600B" w14:textId="77777777" w:rsidTr="00A44C2E">
        <w:tc>
          <w:tcPr>
            <w:tcW w:w="648" w:type="dxa"/>
          </w:tcPr>
          <w:p w14:paraId="4C2ACF95" w14:textId="77777777" w:rsidR="0018433B" w:rsidRPr="00CD75A6" w:rsidRDefault="0018433B" w:rsidP="00786ADB">
            <w:r w:rsidRPr="00CD75A6">
              <w:t>32c</w:t>
            </w:r>
          </w:p>
        </w:tc>
        <w:tc>
          <w:tcPr>
            <w:tcW w:w="4464" w:type="dxa"/>
          </w:tcPr>
          <w:p w14:paraId="216A5C8D" w14:textId="77777777" w:rsidR="0018433B" w:rsidRPr="00CD75A6" w:rsidRDefault="0018433B" w:rsidP="00B47A48">
            <w:pPr>
              <w:jc w:val="left"/>
            </w:pPr>
            <w:r w:rsidRPr="00CE06CA">
              <w:rPr>
                <w:bCs/>
                <w:szCs w:val="22"/>
                <w:lang w:val="el-GR"/>
              </w:rPr>
              <w:t>καὶ γὰρ οἱ ἁμαρτωλοὶ τοὺς ἀγαπῶντας αὐτοὺς ἀγαπῶσιν.</w:t>
            </w:r>
          </w:p>
        </w:tc>
        <w:tc>
          <w:tcPr>
            <w:tcW w:w="4464" w:type="dxa"/>
          </w:tcPr>
          <w:p w14:paraId="086D4366" w14:textId="77777777" w:rsidR="0018433B" w:rsidRPr="00CD75A6" w:rsidRDefault="0018433B" w:rsidP="00B47A48">
            <w:pPr>
              <w:jc w:val="left"/>
            </w:pPr>
            <w:r w:rsidRPr="00CD75A6">
              <w:t>For even sinners love those who love them.</w:t>
            </w:r>
          </w:p>
        </w:tc>
      </w:tr>
      <w:tr w:rsidR="0018433B" w:rsidRPr="00CD75A6" w14:paraId="010FB75B" w14:textId="77777777" w:rsidTr="00A44C2E">
        <w:tc>
          <w:tcPr>
            <w:tcW w:w="648" w:type="dxa"/>
          </w:tcPr>
          <w:p w14:paraId="62D4647B" w14:textId="77777777" w:rsidR="0018433B" w:rsidRPr="00CD75A6" w:rsidRDefault="0018433B" w:rsidP="00786ADB">
            <w:r w:rsidRPr="00CD75A6">
              <w:t>33a</w:t>
            </w:r>
          </w:p>
        </w:tc>
        <w:tc>
          <w:tcPr>
            <w:tcW w:w="4464" w:type="dxa"/>
          </w:tcPr>
          <w:p w14:paraId="091F9E66" w14:textId="77777777" w:rsidR="0018433B" w:rsidRPr="00CD75A6" w:rsidRDefault="0018433B" w:rsidP="00B47A48">
            <w:pPr>
              <w:jc w:val="left"/>
            </w:pPr>
            <w:r w:rsidRPr="00CE06CA">
              <w:rPr>
                <w:bCs/>
                <w:szCs w:val="22"/>
                <w:lang w:val="el-GR"/>
              </w:rPr>
              <w:t>καὶ [γὰρ] ἐὰν ἀγαθοποιῆτε τοὺς ἀγαθοποιοῦντας ὑμᾶς,</w:t>
            </w:r>
          </w:p>
        </w:tc>
        <w:tc>
          <w:tcPr>
            <w:tcW w:w="4464" w:type="dxa"/>
          </w:tcPr>
          <w:p w14:paraId="1D0C6F1F" w14:textId="77777777" w:rsidR="0018433B" w:rsidRPr="00CD75A6" w:rsidRDefault="0018433B" w:rsidP="00B47A48">
            <w:pPr>
              <w:jc w:val="left"/>
            </w:pPr>
            <w:r w:rsidRPr="00CD75A6">
              <w:t>And if you do good to those who do good to you,</w:t>
            </w:r>
          </w:p>
        </w:tc>
      </w:tr>
      <w:tr w:rsidR="0018433B" w:rsidRPr="00CD75A6" w14:paraId="5F72C168" w14:textId="77777777" w:rsidTr="00A44C2E">
        <w:tc>
          <w:tcPr>
            <w:tcW w:w="648" w:type="dxa"/>
          </w:tcPr>
          <w:p w14:paraId="52F9CF49" w14:textId="77777777" w:rsidR="0018433B" w:rsidRPr="00CD75A6" w:rsidRDefault="0018433B" w:rsidP="00786ADB">
            <w:r w:rsidRPr="00CD75A6">
              <w:t>33b</w:t>
            </w:r>
          </w:p>
        </w:tc>
        <w:tc>
          <w:tcPr>
            <w:tcW w:w="4464" w:type="dxa"/>
          </w:tcPr>
          <w:p w14:paraId="54920A52" w14:textId="77777777" w:rsidR="0018433B" w:rsidRPr="00CD75A6" w:rsidRDefault="0018433B" w:rsidP="00B47A48">
            <w:pPr>
              <w:jc w:val="left"/>
            </w:pPr>
            <w:r w:rsidRPr="00CE06CA">
              <w:rPr>
                <w:bCs/>
                <w:szCs w:val="22"/>
                <w:lang w:val="el-GR"/>
              </w:rPr>
              <w:t>ποία ὑμῖν χάρις ἐστίν;</w:t>
            </w:r>
          </w:p>
        </w:tc>
        <w:tc>
          <w:tcPr>
            <w:tcW w:w="4464" w:type="dxa"/>
          </w:tcPr>
          <w:p w14:paraId="01A2D930" w14:textId="77777777" w:rsidR="0018433B" w:rsidRPr="00CD75A6" w:rsidRDefault="0018433B" w:rsidP="00B47A48">
            <w:pPr>
              <w:jc w:val="left"/>
            </w:pPr>
            <w:r w:rsidRPr="00CD75A6">
              <w:t>what credit is that to you?</w:t>
            </w:r>
          </w:p>
        </w:tc>
      </w:tr>
      <w:tr w:rsidR="0018433B" w:rsidRPr="00CD75A6" w14:paraId="56F4A6E8" w14:textId="77777777" w:rsidTr="00A44C2E">
        <w:tc>
          <w:tcPr>
            <w:tcW w:w="648" w:type="dxa"/>
          </w:tcPr>
          <w:p w14:paraId="50728ABF" w14:textId="77777777" w:rsidR="0018433B" w:rsidRPr="00CD75A6" w:rsidRDefault="0018433B" w:rsidP="00786ADB">
            <w:r w:rsidRPr="00CD75A6">
              <w:t>33c</w:t>
            </w:r>
          </w:p>
        </w:tc>
        <w:tc>
          <w:tcPr>
            <w:tcW w:w="4464" w:type="dxa"/>
          </w:tcPr>
          <w:p w14:paraId="5541B021" w14:textId="77777777" w:rsidR="0018433B" w:rsidRPr="00CD75A6" w:rsidRDefault="0018433B" w:rsidP="00B47A48">
            <w:pPr>
              <w:jc w:val="left"/>
            </w:pPr>
            <w:r w:rsidRPr="00CE06CA">
              <w:rPr>
                <w:bCs/>
                <w:szCs w:val="22"/>
                <w:lang w:val="el-GR"/>
              </w:rPr>
              <w:t>καὶ οἱ ἁμαρτωλοὶ τὸ αὐτὸ ποιοῦσιν.</w:t>
            </w:r>
          </w:p>
        </w:tc>
        <w:tc>
          <w:tcPr>
            <w:tcW w:w="4464" w:type="dxa"/>
          </w:tcPr>
          <w:p w14:paraId="540ECDA9" w14:textId="77777777" w:rsidR="0018433B" w:rsidRPr="00CD75A6" w:rsidRDefault="0018433B" w:rsidP="00B47A48">
            <w:pPr>
              <w:jc w:val="left"/>
            </w:pPr>
            <w:r w:rsidRPr="00CD75A6">
              <w:t>For even sinners do the same.</w:t>
            </w:r>
          </w:p>
        </w:tc>
      </w:tr>
      <w:tr w:rsidR="0018433B" w:rsidRPr="00CD75A6" w14:paraId="4E19D301" w14:textId="77777777" w:rsidTr="00A44C2E">
        <w:tc>
          <w:tcPr>
            <w:tcW w:w="648" w:type="dxa"/>
          </w:tcPr>
          <w:p w14:paraId="02B3FC4F" w14:textId="77777777" w:rsidR="0018433B" w:rsidRPr="00CD75A6" w:rsidRDefault="0018433B" w:rsidP="00786ADB">
            <w:r w:rsidRPr="00CD75A6">
              <w:t>34a</w:t>
            </w:r>
          </w:p>
        </w:tc>
        <w:tc>
          <w:tcPr>
            <w:tcW w:w="4464" w:type="dxa"/>
          </w:tcPr>
          <w:p w14:paraId="4DE31700" w14:textId="77777777" w:rsidR="0018433B" w:rsidRPr="00CD75A6" w:rsidRDefault="0018433B" w:rsidP="00B47A48">
            <w:pPr>
              <w:jc w:val="left"/>
            </w:pPr>
            <w:r w:rsidRPr="00CE06CA">
              <w:rPr>
                <w:bCs/>
                <w:szCs w:val="22"/>
                <w:lang w:val="el-GR"/>
              </w:rPr>
              <w:t>καὶ ἐὰν δανίσητε παρ᾽ ὧν ἐλπίζετε λαβεῖν,</w:t>
            </w:r>
          </w:p>
        </w:tc>
        <w:tc>
          <w:tcPr>
            <w:tcW w:w="4464" w:type="dxa"/>
          </w:tcPr>
          <w:p w14:paraId="1BF62C9A" w14:textId="77777777" w:rsidR="0018433B" w:rsidRPr="00CD75A6" w:rsidRDefault="0018433B" w:rsidP="00B47A48">
            <w:pPr>
              <w:jc w:val="left"/>
            </w:pPr>
            <w:r w:rsidRPr="00CD75A6">
              <w:t>If you lend to those from whom you hope to receive,</w:t>
            </w:r>
          </w:p>
        </w:tc>
      </w:tr>
      <w:tr w:rsidR="0018433B" w:rsidRPr="00CD75A6" w14:paraId="672C4A9E" w14:textId="77777777" w:rsidTr="00A44C2E">
        <w:tc>
          <w:tcPr>
            <w:tcW w:w="648" w:type="dxa"/>
          </w:tcPr>
          <w:p w14:paraId="4FC0BD01" w14:textId="77777777" w:rsidR="0018433B" w:rsidRPr="00CD75A6" w:rsidRDefault="0018433B" w:rsidP="00786ADB">
            <w:r w:rsidRPr="00CD75A6">
              <w:t>34b</w:t>
            </w:r>
          </w:p>
        </w:tc>
        <w:tc>
          <w:tcPr>
            <w:tcW w:w="4464" w:type="dxa"/>
          </w:tcPr>
          <w:p w14:paraId="301FC1EE" w14:textId="77777777" w:rsidR="0018433B" w:rsidRPr="00CD75A6" w:rsidRDefault="0018433B" w:rsidP="00B47A48">
            <w:pPr>
              <w:jc w:val="left"/>
            </w:pPr>
            <w:r w:rsidRPr="00CE06CA">
              <w:rPr>
                <w:bCs/>
                <w:szCs w:val="22"/>
                <w:lang w:val="el-GR"/>
              </w:rPr>
              <w:t>ποία ὑμῖν χάρις [ἐστίν];</w:t>
            </w:r>
          </w:p>
        </w:tc>
        <w:tc>
          <w:tcPr>
            <w:tcW w:w="4464" w:type="dxa"/>
          </w:tcPr>
          <w:p w14:paraId="4D5F96E2" w14:textId="77777777" w:rsidR="0018433B" w:rsidRPr="00CD75A6" w:rsidRDefault="0018433B" w:rsidP="00B47A48">
            <w:pPr>
              <w:jc w:val="left"/>
            </w:pPr>
            <w:r w:rsidRPr="00CD75A6">
              <w:t>what credit is that to you?</w:t>
            </w:r>
          </w:p>
        </w:tc>
      </w:tr>
      <w:tr w:rsidR="0018433B" w:rsidRPr="00CD75A6" w14:paraId="1928814C" w14:textId="77777777" w:rsidTr="00A44C2E">
        <w:tc>
          <w:tcPr>
            <w:tcW w:w="648" w:type="dxa"/>
          </w:tcPr>
          <w:p w14:paraId="29378C88" w14:textId="77777777" w:rsidR="0018433B" w:rsidRPr="00CD75A6" w:rsidRDefault="0018433B" w:rsidP="00786ADB">
            <w:r w:rsidRPr="00CD75A6">
              <w:t>34c</w:t>
            </w:r>
          </w:p>
        </w:tc>
        <w:tc>
          <w:tcPr>
            <w:tcW w:w="4464" w:type="dxa"/>
          </w:tcPr>
          <w:p w14:paraId="5316FDEB" w14:textId="77777777" w:rsidR="0018433B" w:rsidRPr="00CD75A6" w:rsidRDefault="0018433B" w:rsidP="00B47A48">
            <w:pPr>
              <w:jc w:val="left"/>
            </w:pPr>
            <w:r w:rsidRPr="00CE06CA">
              <w:rPr>
                <w:bCs/>
                <w:szCs w:val="22"/>
                <w:lang w:val="el-GR"/>
              </w:rPr>
              <w:t>καὶ ἁμαρτωλοὶ ἁμαρτωλοῖς δανίζουσιν ἵνα ἀπολάβωσιν τὰ ἴσα.</w:t>
            </w:r>
          </w:p>
        </w:tc>
        <w:tc>
          <w:tcPr>
            <w:tcW w:w="4464" w:type="dxa"/>
          </w:tcPr>
          <w:p w14:paraId="34180946" w14:textId="49CCCA27" w:rsidR="0018433B" w:rsidRPr="00CD75A6" w:rsidRDefault="0018433B" w:rsidP="00B47A48">
            <w:pPr>
              <w:jc w:val="left"/>
            </w:pPr>
            <w:r w:rsidRPr="00CD75A6">
              <w:t>Even sinners lend to sinners</w:t>
            </w:r>
            <w:r w:rsidR="006F304D" w:rsidRPr="006F304D">
              <w:t xml:space="preserve">, </w:t>
            </w:r>
            <w:r w:rsidRPr="00CD75A6">
              <w:t>to receive as much again.</w:t>
            </w:r>
          </w:p>
        </w:tc>
      </w:tr>
      <w:tr w:rsidR="0018433B" w:rsidRPr="00CD75A6" w14:paraId="524CC931" w14:textId="77777777" w:rsidTr="00A44C2E">
        <w:tc>
          <w:tcPr>
            <w:tcW w:w="648" w:type="dxa"/>
          </w:tcPr>
          <w:p w14:paraId="41F5034C" w14:textId="77777777" w:rsidR="0018433B" w:rsidRPr="00CD75A6" w:rsidRDefault="0018433B" w:rsidP="00786ADB">
            <w:r w:rsidRPr="00CD75A6">
              <w:t>35a</w:t>
            </w:r>
          </w:p>
        </w:tc>
        <w:tc>
          <w:tcPr>
            <w:tcW w:w="4464" w:type="dxa"/>
          </w:tcPr>
          <w:p w14:paraId="6F8C4769" w14:textId="77777777" w:rsidR="0018433B" w:rsidRPr="00CD75A6" w:rsidRDefault="0018433B" w:rsidP="00B47A48">
            <w:pPr>
              <w:jc w:val="left"/>
            </w:pPr>
            <w:r w:rsidRPr="00CE06CA">
              <w:rPr>
                <w:bCs/>
                <w:szCs w:val="22"/>
                <w:lang w:val="el-GR"/>
              </w:rPr>
              <w:t>πλὴν ἀγαπᾶτε τοὺς ἐχθροὺς ὑμῶν</w:t>
            </w:r>
          </w:p>
        </w:tc>
        <w:tc>
          <w:tcPr>
            <w:tcW w:w="4464" w:type="dxa"/>
          </w:tcPr>
          <w:p w14:paraId="739C67F3" w14:textId="77777777" w:rsidR="0018433B" w:rsidRPr="00CD75A6" w:rsidRDefault="0018433B" w:rsidP="00B47A48">
            <w:pPr>
              <w:jc w:val="left"/>
            </w:pPr>
            <w:r w:rsidRPr="00CD75A6">
              <w:t>But love your enemies,</w:t>
            </w:r>
          </w:p>
        </w:tc>
      </w:tr>
      <w:tr w:rsidR="0018433B" w:rsidRPr="00CD75A6" w14:paraId="74156CCD" w14:textId="77777777" w:rsidTr="00A44C2E">
        <w:tc>
          <w:tcPr>
            <w:tcW w:w="648" w:type="dxa"/>
          </w:tcPr>
          <w:p w14:paraId="66CF36A3" w14:textId="77777777" w:rsidR="0018433B" w:rsidRPr="00CD75A6" w:rsidRDefault="0018433B" w:rsidP="00786ADB">
            <w:r w:rsidRPr="00CD75A6">
              <w:t>35b</w:t>
            </w:r>
          </w:p>
        </w:tc>
        <w:tc>
          <w:tcPr>
            <w:tcW w:w="4464" w:type="dxa"/>
          </w:tcPr>
          <w:p w14:paraId="36700340" w14:textId="77777777" w:rsidR="0018433B" w:rsidRPr="00CD75A6" w:rsidRDefault="0018433B" w:rsidP="00B47A48">
            <w:pPr>
              <w:jc w:val="left"/>
            </w:pPr>
            <w:r w:rsidRPr="00CE06CA">
              <w:rPr>
                <w:bCs/>
                <w:szCs w:val="22"/>
                <w:lang w:val="el-GR"/>
              </w:rPr>
              <w:t>καὶ ἀγαθοποιεῖτε</w:t>
            </w:r>
          </w:p>
        </w:tc>
        <w:tc>
          <w:tcPr>
            <w:tcW w:w="4464" w:type="dxa"/>
          </w:tcPr>
          <w:p w14:paraId="023987A5" w14:textId="77777777" w:rsidR="0018433B" w:rsidRPr="00CD75A6" w:rsidRDefault="0018433B" w:rsidP="00B47A48">
            <w:pPr>
              <w:jc w:val="left"/>
            </w:pPr>
            <w:r w:rsidRPr="00CD75A6">
              <w:t>do good,</w:t>
            </w:r>
          </w:p>
        </w:tc>
      </w:tr>
      <w:tr w:rsidR="0018433B" w:rsidRPr="00CD75A6" w14:paraId="0F40213E" w14:textId="77777777" w:rsidTr="00A44C2E">
        <w:tc>
          <w:tcPr>
            <w:tcW w:w="648" w:type="dxa"/>
          </w:tcPr>
          <w:p w14:paraId="74FBE696" w14:textId="77777777" w:rsidR="0018433B" w:rsidRPr="00CD75A6" w:rsidRDefault="0018433B" w:rsidP="00786ADB">
            <w:r w:rsidRPr="00CD75A6">
              <w:t>35c</w:t>
            </w:r>
          </w:p>
        </w:tc>
        <w:tc>
          <w:tcPr>
            <w:tcW w:w="4464" w:type="dxa"/>
          </w:tcPr>
          <w:p w14:paraId="7ECA11D5" w14:textId="77777777" w:rsidR="0018433B" w:rsidRPr="00CD75A6" w:rsidRDefault="0018433B" w:rsidP="00B47A48">
            <w:pPr>
              <w:jc w:val="left"/>
            </w:pPr>
            <w:r w:rsidRPr="00CE06CA">
              <w:rPr>
                <w:bCs/>
                <w:szCs w:val="22"/>
                <w:lang w:val="el-GR"/>
              </w:rPr>
              <w:t>καὶ δανίζετε μηδὲν ἀπελπίζοντες·</w:t>
            </w:r>
          </w:p>
        </w:tc>
        <w:tc>
          <w:tcPr>
            <w:tcW w:w="4464" w:type="dxa"/>
          </w:tcPr>
          <w:p w14:paraId="291B16A3" w14:textId="105B8076" w:rsidR="0018433B" w:rsidRPr="00CD75A6" w:rsidRDefault="0018433B" w:rsidP="00B47A48">
            <w:pPr>
              <w:jc w:val="left"/>
            </w:pPr>
            <w:r w:rsidRPr="00CD75A6">
              <w:t>and lend</w:t>
            </w:r>
            <w:r w:rsidR="006F304D" w:rsidRPr="006F304D">
              <w:t xml:space="preserve">, </w:t>
            </w:r>
            <w:r w:rsidRPr="00CD75A6">
              <w:t>expecting nothing in return.</w:t>
            </w:r>
          </w:p>
        </w:tc>
      </w:tr>
      <w:tr w:rsidR="0018433B" w:rsidRPr="00CD75A6" w14:paraId="08032EC0" w14:textId="77777777" w:rsidTr="00A44C2E">
        <w:tc>
          <w:tcPr>
            <w:tcW w:w="648" w:type="dxa"/>
          </w:tcPr>
          <w:p w14:paraId="2A47F994" w14:textId="77777777" w:rsidR="0018433B" w:rsidRPr="00CD75A6" w:rsidRDefault="0018433B" w:rsidP="00786ADB">
            <w:r w:rsidRPr="00CD75A6">
              <w:t>35d</w:t>
            </w:r>
          </w:p>
        </w:tc>
        <w:tc>
          <w:tcPr>
            <w:tcW w:w="4464" w:type="dxa"/>
          </w:tcPr>
          <w:p w14:paraId="263E6322" w14:textId="77777777" w:rsidR="0018433B" w:rsidRPr="00CD75A6" w:rsidRDefault="0018433B" w:rsidP="00B47A48">
            <w:pPr>
              <w:jc w:val="left"/>
            </w:pPr>
            <w:r w:rsidRPr="00CE06CA">
              <w:rPr>
                <w:bCs/>
                <w:szCs w:val="22"/>
                <w:lang w:val="el-GR"/>
              </w:rPr>
              <w:t>καὶ ἔσται ὁ μισθὸς ὑμῶν πολύς,</w:t>
            </w:r>
          </w:p>
        </w:tc>
        <w:tc>
          <w:tcPr>
            <w:tcW w:w="4464" w:type="dxa"/>
          </w:tcPr>
          <w:p w14:paraId="426DC3F4" w14:textId="77777777" w:rsidR="0018433B" w:rsidRPr="00CD75A6" w:rsidRDefault="0018433B" w:rsidP="00B47A48">
            <w:pPr>
              <w:jc w:val="left"/>
            </w:pPr>
            <w:r w:rsidRPr="00CD75A6">
              <w:t>Your reward will be great,</w:t>
            </w:r>
          </w:p>
        </w:tc>
      </w:tr>
      <w:tr w:rsidR="0018433B" w:rsidRPr="00CD75A6" w14:paraId="7625CEBC" w14:textId="77777777" w:rsidTr="00A44C2E">
        <w:tc>
          <w:tcPr>
            <w:tcW w:w="648" w:type="dxa"/>
          </w:tcPr>
          <w:p w14:paraId="7D253DAF" w14:textId="77777777" w:rsidR="0018433B" w:rsidRPr="00CD75A6" w:rsidRDefault="0018433B" w:rsidP="00786ADB">
            <w:r w:rsidRPr="00CD75A6">
              <w:t>35e</w:t>
            </w:r>
          </w:p>
        </w:tc>
        <w:tc>
          <w:tcPr>
            <w:tcW w:w="4464" w:type="dxa"/>
          </w:tcPr>
          <w:p w14:paraId="18BC5CC9" w14:textId="77777777" w:rsidR="0018433B" w:rsidRPr="00CD75A6" w:rsidRDefault="0018433B" w:rsidP="00B47A48">
            <w:pPr>
              <w:jc w:val="left"/>
            </w:pPr>
            <w:r w:rsidRPr="00CE06CA">
              <w:rPr>
                <w:bCs/>
                <w:szCs w:val="22"/>
                <w:lang w:val="el-GR"/>
              </w:rPr>
              <w:t>καὶ ἔσεσθε υἱοὶ ὑψίστου,</w:t>
            </w:r>
          </w:p>
        </w:tc>
        <w:tc>
          <w:tcPr>
            <w:tcW w:w="4464" w:type="dxa"/>
          </w:tcPr>
          <w:p w14:paraId="0D404864" w14:textId="77777777" w:rsidR="0018433B" w:rsidRPr="00CD75A6" w:rsidRDefault="0018433B" w:rsidP="00B47A48">
            <w:pPr>
              <w:jc w:val="left"/>
            </w:pPr>
            <w:r w:rsidRPr="00CD75A6">
              <w:t>and you will be children of the Most High;</w:t>
            </w:r>
          </w:p>
        </w:tc>
      </w:tr>
      <w:tr w:rsidR="0018433B" w:rsidRPr="00CD75A6" w14:paraId="4C0DFE1F" w14:textId="77777777" w:rsidTr="00A44C2E">
        <w:tc>
          <w:tcPr>
            <w:tcW w:w="648" w:type="dxa"/>
          </w:tcPr>
          <w:p w14:paraId="2378FB29" w14:textId="77777777" w:rsidR="0018433B" w:rsidRPr="00CD75A6" w:rsidRDefault="0018433B" w:rsidP="00786ADB">
            <w:r w:rsidRPr="00CD75A6">
              <w:t>35f</w:t>
            </w:r>
          </w:p>
        </w:tc>
        <w:tc>
          <w:tcPr>
            <w:tcW w:w="4464" w:type="dxa"/>
          </w:tcPr>
          <w:p w14:paraId="734806EB" w14:textId="77777777" w:rsidR="0018433B" w:rsidRPr="00CD75A6" w:rsidRDefault="0018433B" w:rsidP="00B47A48">
            <w:pPr>
              <w:jc w:val="left"/>
            </w:pPr>
            <w:r w:rsidRPr="00CE06CA">
              <w:rPr>
                <w:bCs/>
                <w:szCs w:val="22"/>
                <w:lang w:val="el-GR"/>
              </w:rPr>
              <w:t>ὅτι αὐτὸς χρηστός ἐστιν ἐπὶ τοὺς ἀχαρίστους καὶ πονηρούς.</w:t>
            </w:r>
          </w:p>
        </w:tc>
        <w:tc>
          <w:tcPr>
            <w:tcW w:w="4464" w:type="dxa"/>
          </w:tcPr>
          <w:p w14:paraId="2D3E59F6" w14:textId="77777777" w:rsidR="0018433B" w:rsidRPr="00CD75A6" w:rsidRDefault="0018433B" w:rsidP="00B47A48">
            <w:pPr>
              <w:jc w:val="left"/>
            </w:pPr>
            <w:r w:rsidRPr="00CD75A6">
              <w:t>for he is kind to the ungrateful and the wicked.</w:t>
            </w:r>
          </w:p>
        </w:tc>
      </w:tr>
      <w:tr w:rsidR="0018433B" w:rsidRPr="00CD75A6" w14:paraId="19B76F99" w14:textId="77777777" w:rsidTr="00A44C2E">
        <w:tc>
          <w:tcPr>
            <w:tcW w:w="648" w:type="dxa"/>
          </w:tcPr>
          <w:p w14:paraId="4FDAB73D" w14:textId="77777777" w:rsidR="0018433B" w:rsidRPr="00CD75A6" w:rsidRDefault="0018433B" w:rsidP="00786ADB">
            <w:r w:rsidRPr="00CD75A6">
              <w:t>36a</w:t>
            </w:r>
          </w:p>
        </w:tc>
        <w:tc>
          <w:tcPr>
            <w:tcW w:w="4464" w:type="dxa"/>
          </w:tcPr>
          <w:p w14:paraId="14B4800C" w14:textId="77777777" w:rsidR="0018433B" w:rsidRPr="00CD75A6" w:rsidRDefault="0018433B" w:rsidP="00B47A48">
            <w:pPr>
              <w:jc w:val="left"/>
            </w:pPr>
            <w:r w:rsidRPr="00CE06CA">
              <w:rPr>
                <w:bCs/>
                <w:szCs w:val="22"/>
                <w:lang w:val="el-GR"/>
              </w:rPr>
              <w:t>Γίνεσθε οἰκτίρμονες</w:t>
            </w:r>
          </w:p>
        </w:tc>
        <w:tc>
          <w:tcPr>
            <w:tcW w:w="4464" w:type="dxa"/>
          </w:tcPr>
          <w:p w14:paraId="6BA0FA83" w14:textId="77777777" w:rsidR="0018433B" w:rsidRPr="00CD75A6" w:rsidRDefault="0018433B" w:rsidP="00B47A48">
            <w:pPr>
              <w:jc w:val="left"/>
            </w:pPr>
            <w:r w:rsidRPr="00CD75A6">
              <w:t>Be merciful,</w:t>
            </w:r>
          </w:p>
        </w:tc>
      </w:tr>
      <w:tr w:rsidR="0018433B" w:rsidRPr="00CD75A6" w14:paraId="65ADB7F7" w14:textId="77777777" w:rsidTr="00A44C2E">
        <w:tc>
          <w:tcPr>
            <w:tcW w:w="648" w:type="dxa"/>
          </w:tcPr>
          <w:p w14:paraId="2D410BBD" w14:textId="77777777" w:rsidR="0018433B" w:rsidRPr="00CD75A6" w:rsidRDefault="0018433B" w:rsidP="00786ADB">
            <w:r w:rsidRPr="00CD75A6">
              <w:t>36b</w:t>
            </w:r>
          </w:p>
        </w:tc>
        <w:tc>
          <w:tcPr>
            <w:tcW w:w="4464" w:type="dxa"/>
          </w:tcPr>
          <w:p w14:paraId="336C0C41" w14:textId="77777777" w:rsidR="0018433B" w:rsidRPr="00CD75A6" w:rsidRDefault="0018433B" w:rsidP="00B47A48">
            <w:pPr>
              <w:jc w:val="left"/>
            </w:pPr>
            <w:r w:rsidRPr="00CE06CA">
              <w:rPr>
                <w:bCs/>
                <w:szCs w:val="22"/>
                <w:lang w:val="el-GR"/>
              </w:rPr>
              <w:t>καθὼς [καὶ] ὁ πατὴρ ὑμῶν οἰκτίρμων ἐστίν.</w:t>
            </w:r>
          </w:p>
        </w:tc>
        <w:tc>
          <w:tcPr>
            <w:tcW w:w="4464" w:type="dxa"/>
          </w:tcPr>
          <w:p w14:paraId="531EF51A" w14:textId="77777777" w:rsidR="0018433B" w:rsidRPr="00CD75A6" w:rsidRDefault="0018433B" w:rsidP="00B47A48">
            <w:pPr>
              <w:jc w:val="left"/>
            </w:pPr>
            <w:r w:rsidRPr="00CD75A6">
              <w:t>just as your Father is merciful.</w:t>
            </w:r>
          </w:p>
        </w:tc>
      </w:tr>
      <w:tr w:rsidR="0018433B" w:rsidRPr="00CD75A6" w14:paraId="316E4757" w14:textId="77777777" w:rsidTr="00A44C2E">
        <w:tc>
          <w:tcPr>
            <w:tcW w:w="648" w:type="dxa"/>
          </w:tcPr>
          <w:p w14:paraId="5477708C" w14:textId="77777777" w:rsidR="0018433B" w:rsidRPr="00CD75A6" w:rsidRDefault="0018433B" w:rsidP="00786ADB">
            <w:r w:rsidRPr="00CD75A6">
              <w:t>37a</w:t>
            </w:r>
          </w:p>
        </w:tc>
        <w:tc>
          <w:tcPr>
            <w:tcW w:w="4464" w:type="dxa"/>
          </w:tcPr>
          <w:p w14:paraId="05258155" w14:textId="77777777" w:rsidR="0018433B" w:rsidRPr="009153E5" w:rsidRDefault="0018433B" w:rsidP="00B47A48">
            <w:pPr>
              <w:jc w:val="left"/>
            </w:pPr>
            <w:r w:rsidRPr="00CE06CA">
              <w:rPr>
                <w:bCs/>
                <w:szCs w:val="22"/>
                <w:lang w:val="el-GR"/>
              </w:rPr>
              <w:t>Καὶ μὴ κρίνετε,</w:t>
            </w:r>
          </w:p>
        </w:tc>
        <w:tc>
          <w:tcPr>
            <w:tcW w:w="4464" w:type="dxa"/>
          </w:tcPr>
          <w:p w14:paraId="0ADF3E86" w14:textId="77777777" w:rsidR="0018433B" w:rsidRPr="00CD75A6" w:rsidRDefault="0018433B" w:rsidP="00B47A48">
            <w:pPr>
              <w:jc w:val="left"/>
            </w:pPr>
            <w:r w:rsidRPr="00CD75A6">
              <w:t>Do not judge,</w:t>
            </w:r>
          </w:p>
        </w:tc>
      </w:tr>
      <w:tr w:rsidR="0018433B" w:rsidRPr="00CD75A6" w14:paraId="1AAD6698" w14:textId="77777777" w:rsidTr="00A44C2E">
        <w:tc>
          <w:tcPr>
            <w:tcW w:w="648" w:type="dxa"/>
          </w:tcPr>
          <w:p w14:paraId="6EB391F8" w14:textId="77777777" w:rsidR="0018433B" w:rsidRPr="00CD75A6" w:rsidRDefault="0018433B" w:rsidP="00786ADB">
            <w:r w:rsidRPr="00CD75A6">
              <w:t>37b</w:t>
            </w:r>
          </w:p>
        </w:tc>
        <w:tc>
          <w:tcPr>
            <w:tcW w:w="4464" w:type="dxa"/>
          </w:tcPr>
          <w:p w14:paraId="79F3CE3A" w14:textId="77777777" w:rsidR="0018433B" w:rsidRPr="00CD75A6" w:rsidRDefault="0018433B" w:rsidP="00B47A48">
            <w:pPr>
              <w:jc w:val="left"/>
            </w:pPr>
            <w:r w:rsidRPr="00CE06CA">
              <w:rPr>
                <w:bCs/>
                <w:szCs w:val="22"/>
                <w:lang w:val="el-GR"/>
              </w:rPr>
              <w:t>καὶ οὐ μὴ κριθῆτε·</w:t>
            </w:r>
          </w:p>
        </w:tc>
        <w:tc>
          <w:tcPr>
            <w:tcW w:w="4464" w:type="dxa"/>
          </w:tcPr>
          <w:p w14:paraId="193B8015" w14:textId="77777777" w:rsidR="0018433B" w:rsidRPr="00CD75A6" w:rsidRDefault="0018433B" w:rsidP="00B47A48">
            <w:pPr>
              <w:jc w:val="left"/>
            </w:pPr>
            <w:r w:rsidRPr="00CD75A6">
              <w:t>and you will not be judged;</w:t>
            </w:r>
          </w:p>
        </w:tc>
      </w:tr>
      <w:tr w:rsidR="0018433B" w:rsidRPr="00CD75A6" w14:paraId="08AB592A" w14:textId="77777777" w:rsidTr="00A44C2E">
        <w:tc>
          <w:tcPr>
            <w:tcW w:w="648" w:type="dxa"/>
          </w:tcPr>
          <w:p w14:paraId="09459B35" w14:textId="77777777" w:rsidR="0018433B" w:rsidRPr="00CD75A6" w:rsidRDefault="0018433B" w:rsidP="00786ADB">
            <w:r w:rsidRPr="00CD75A6">
              <w:t>37c</w:t>
            </w:r>
          </w:p>
        </w:tc>
        <w:tc>
          <w:tcPr>
            <w:tcW w:w="4464" w:type="dxa"/>
          </w:tcPr>
          <w:p w14:paraId="4E5FE664" w14:textId="77777777" w:rsidR="0018433B" w:rsidRPr="00CD75A6" w:rsidRDefault="0018433B" w:rsidP="00B47A48">
            <w:pPr>
              <w:jc w:val="left"/>
            </w:pPr>
            <w:r w:rsidRPr="00CE06CA">
              <w:rPr>
                <w:bCs/>
                <w:szCs w:val="22"/>
                <w:lang w:val="el-GR"/>
              </w:rPr>
              <w:t>καὶ μὴ καταδικάζετε,</w:t>
            </w:r>
          </w:p>
        </w:tc>
        <w:tc>
          <w:tcPr>
            <w:tcW w:w="4464" w:type="dxa"/>
          </w:tcPr>
          <w:p w14:paraId="501675A0" w14:textId="77777777" w:rsidR="0018433B" w:rsidRPr="00CD75A6" w:rsidRDefault="0018433B" w:rsidP="00B47A48">
            <w:pPr>
              <w:jc w:val="left"/>
            </w:pPr>
            <w:r w:rsidRPr="00CD75A6">
              <w:t>do not condemn,</w:t>
            </w:r>
          </w:p>
        </w:tc>
      </w:tr>
      <w:tr w:rsidR="0018433B" w:rsidRPr="00CD75A6" w14:paraId="58F32A03" w14:textId="77777777" w:rsidTr="00A44C2E">
        <w:tc>
          <w:tcPr>
            <w:tcW w:w="648" w:type="dxa"/>
          </w:tcPr>
          <w:p w14:paraId="30885229" w14:textId="77777777" w:rsidR="0018433B" w:rsidRPr="00CD75A6" w:rsidRDefault="0018433B" w:rsidP="00786ADB">
            <w:r w:rsidRPr="00CD75A6">
              <w:t>37d</w:t>
            </w:r>
          </w:p>
        </w:tc>
        <w:tc>
          <w:tcPr>
            <w:tcW w:w="4464" w:type="dxa"/>
          </w:tcPr>
          <w:p w14:paraId="78C4C7AE" w14:textId="77777777" w:rsidR="0018433B" w:rsidRPr="00CD75A6" w:rsidRDefault="0018433B" w:rsidP="00B47A48">
            <w:pPr>
              <w:jc w:val="left"/>
            </w:pPr>
            <w:r w:rsidRPr="00CE06CA">
              <w:rPr>
                <w:bCs/>
                <w:szCs w:val="22"/>
                <w:lang w:val="el-GR"/>
              </w:rPr>
              <w:t>καὶ οὐ μὴ καταδικασθῆτε.</w:t>
            </w:r>
          </w:p>
        </w:tc>
        <w:tc>
          <w:tcPr>
            <w:tcW w:w="4464" w:type="dxa"/>
          </w:tcPr>
          <w:p w14:paraId="302D67C8" w14:textId="77777777" w:rsidR="0018433B" w:rsidRPr="00CD75A6" w:rsidRDefault="0018433B" w:rsidP="00B47A48">
            <w:pPr>
              <w:jc w:val="left"/>
            </w:pPr>
            <w:r w:rsidRPr="00CD75A6">
              <w:t>and you will not be condemned.</w:t>
            </w:r>
          </w:p>
        </w:tc>
      </w:tr>
      <w:tr w:rsidR="0018433B" w:rsidRPr="00CD75A6" w14:paraId="38ACE071" w14:textId="77777777" w:rsidTr="00A44C2E">
        <w:tc>
          <w:tcPr>
            <w:tcW w:w="648" w:type="dxa"/>
          </w:tcPr>
          <w:p w14:paraId="039FA470" w14:textId="77777777" w:rsidR="0018433B" w:rsidRPr="00CD75A6" w:rsidRDefault="0018433B" w:rsidP="00786ADB">
            <w:r w:rsidRPr="00CD75A6">
              <w:t>37e</w:t>
            </w:r>
          </w:p>
        </w:tc>
        <w:tc>
          <w:tcPr>
            <w:tcW w:w="4464" w:type="dxa"/>
          </w:tcPr>
          <w:p w14:paraId="1E740D05" w14:textId="77777777" w:rsidR="0018433B" w:rsidRPr="00CD75A6" w:rsidRDefault="0018433B" w:rsidP="00B47A48">
            <w:pPr>
              <w:jc w:val="left"/>
            </w:pPr>
            <w:r w:rsidRPr="00CE06CA">
              <w:rPr>
                <w:bCs/>
                <w:szCs w:val="22"/>
                <w:lang w:val="el-GR"/>
              </w:rPr>
              <w:t>ἀπολύετε,</w:t>
            </w:r>
          </w:p>
        </w:tc>
        <w:tc>
          <w:tcPr>
            <w:tcW w:w="4464" w:type="dxa"/>
          </w:tcPr>
          <w:p w14:paraId="6524325C" w14:textId="77777777" w:rsidR="0018433B" w:rsidRPr="00CD75A6" w:rsidRDefault="0018433B" w:rsidP="00B47A48">
            <w:pPr>
              <w:jc w:val="left"/>
            </w:pPr>
            <w:r w:rsidRPr="00CD75A6">
              <w:t>Forgive,</w:t>
            </w:r>
          </w:p>
        </w:tc>
      </w:tr>
      <w:tr w:rsidR="0018433B" w:rsidRPr="00CD75A6" w14:paraId="1EB535DD" w14:textId="77777777" w:rsidTr="00A44C2E">
        <w:tc>
          <w:tcPr>
            <w:tcW w:w="648" w:type="dxa"/>
          </w:tcPr>
          <w:p w14:paraId="5B2B33E7" w14:textId="77777777" w:rsidR="0018433B" w:rsidRPr="00CD75A6" w:rsidRDefault="0018433B" w:rsidP="00786ADB">
            <w:r w:rsidRPr="00CD75A6">
              <w:t>37f</w:t>
            </w:r>
          </w:p>
        </w:tc>
        <w:tc>
          <w:tcPr>
            <w:tcW w:w="4464" w:type="dxa"/>
          </w:tcPr>
          <w:p w14:paraId="2373117E" w14:textId="77777777" w:rsidR="0018433B" w:rsidRPr="009153E5" w:rsidRDefault="0018433B" w:rsidP="00B47A48">
            <w:pPr>
              <w:jc w:val="left"/>
            </w:pPr>
            <w:r w:rsidRPr="00CE06CA">
              <w:rPr>
                <w:bCs/>
                <w:szCs w:val="22"/>
                <w:lang w:val="el-GR"/>
              </w:rPr>
              <w:t>καὶ ἀπολυθήσεσθε·</w:t>
            </w:r>
          </w:p>
        </w:tc>
        <w:tc>
          <w:tcPr>
            <w:tcW w:w="4464" w:type="dxa"/>
          </w:tcPr>
          <w:p w14:paraId="1072C9D2" w14:textId="77777777" w:rsidR="0018433B" w:rsidRPr="00CD75A6" w:rsidRDefault="0018433B" w:rsidP="00B47A48">
            <w:pPr>
              <w:jc w:val="left"/>
            </w:pPr>
            <w:r w:rsidRPr="00CD75A6">
              <w:t>and you will be forgiven;</w:t>
            </w:r>
          </w:p>
        </w:tc>
      </w:tr>
      <w:tr w:rsidR="0018433B" w:rsidRPr="00CD75A6" w14:paraId="36192FCE" w14:textId="77777777" w:rsidTr="00A44C2E">
        <w:tc>
          <w:tcPr>
            <w:tcW w:w="648" w:type="dxa"/>
          </w:tcPr>
          <w:p w14:paraId="28E01815" w14:textId="77777777" w:rsidR="0018433B" w:rsidRPr="00CD75A6" w:rsidRDefault="0018433B" w:rsidP="00786ADB">
            <w:r w:rsidRPr="00CD75A6">
              <w:lastRenderedPageBreak/>
              <w:t>38a</w:t>
            </w:r>
          </w:p>
        </w:tc>
        <w:tc>
          <w:tcPr>
            <w:tcW w:w="4464" w:type="dxa"/>
          </w:tcPr>
          <w:p w14:paraId="3808AB55" w14:textId="77777777" w:rsidR="0018433B" w:rsidRPr="009153E5" w:rsidRDefault="0018433B" w:rsidP="00B47A48">
            <w:pPr>
              <w:jc w:val="left"/>
            </w:pPr>
            <w:r w:rsidRPr="00CE06CA">
              <w:rPr>
                <w:bCs/>
                <w:szCs w:val="22"/>
                <w:lang w:val="el-GR"/>
              </w:rPr>
              <w:t>δίδοτε,</w:t>
            </w:r>
          </w:p>
        </w:tc>
        <w:tc>
          <w:tcPr>
            <w:tcW w:w="4464" w:type="dxa"/>
          </w:tcPr>
          <w:p w14:paraId="3FA19D37" w14:textId="77777777" w:rsidR="0018433B" w:rsidRPr="00CD75A6" w:rsidRDefault="0018433B" w:rsidP="00B47A48">
            <w:pPr>
              <w:jc w:val="left"/>
            </w:pPr>
            <w:r w:rsidRPr="00CD75A6">
              <w:t>give,</w:t>
            </w:r>
          </w:p>
        </w:tc>
      </w:tr>
      <w:tr w:rsidR="0018433B" w:rsidRPr="00CD75A6" w14:paraId="47F7B9D0" w14:textId="77777777" w:rsidTr="00A44C2E">
        <w:tc>
          <w:tcPr>
            <w:tcW w:w="648" w:type="dxa"/>
          </w:tcPr>
          <w:p w14:paraId="7F4BD018" w14:textId="77777777" w:rsidR="0018433B" w:rsidRPr="00CD75A6" w:rsidRDefault="0018433B" w:rsidP="00786ADB">
            <w:r w:rsidRPr="00CD75A6">
              <w:t>38b</w:t>
            </w:r>
          </w:p>
        </w:tc>
        <w:tc>
          <w:tcPr>
            <w:tcW w:w="4464" w:type="dxa"/>
          </w:tcPr>
          <w:p w14:paraId="1A7B15E4" w14:textId="77777777" w:rsidR="0018433B" w:rsidRPr="005F1B53" w:rsidRDefault="0018433B" w:rsidP="00B47A48">
            <w:pPr>
              <w:jc w:val="left"/>
            </w:pPr>
            <w:r w:rsidRPr="00CE06CA">
              <w:rPr>
                <w:bCs/>
                <w:szCs w:val="22"/>
                <w:lang w:val="el-GR"/>
              </w:rPr>
              <w:t>καὶ δοθήσεται ὑμῖν·</w:t>
            </w:r>
          </w:p>
        </w:tc>
        <w:tc>
          <w:tcPr>
            <w:tcW w:w="4464" w:type="dxa"/>
          </w:tcPr>
          <w:p w14:paraId="7F039854" w14:textId="77777777" w:rsidR="0018433B" w:rsidRPr="00CD75A6" w:rsidRDefault="0018433B" w:rsidP="00B47A48">
            <w:pPr>
              <w:jc w:val="left"/>
            </w:pPr>
            <w:r w:rsidRPr="00CD75A6">
              <w:t>and it will be given to you.</w:t>
            </w:r>
          </w:p>
        </w:tc>
      </w:tr>
      <w:tr w:rsidR="0018433B" w:rsidRPr="00CD75A6" w14:paraId="4F85630B" w14:textId="77777777" w:rsidTr="00A44C2E">
        <w:tc>
          <w:tcPr>
            <w:tcW w:w="648" w:type="dxa"/>
          </w:tcPr>
          <w:p w14:paraId="05A03E9A" w14:textId="77777777" w:rsidR="0018433B" w:rsidRPr="00CD75A6" w:rsidRDefault="0018433B" w:rsidP="00786ADB">
            <w:r w:rsidRPr="00CD75A6">
              <w:t>38c</w:t>
            </w:r>
          </w:p>
        </w:tc>
        <w:tc>
          <w:tcPr>
            <w:tcW w:w="4464" w:type="dxa"/>
          </w:tcPr>
          <w:p w14:paraId="6F8E4BD8" w14:textId="77777777" w:rsidR="0018433B" w:rsidRPr="009153E5" w:rsidRDefault="0018433B" w:rsidP="00B47A48">
            <w:pPr>
              <w:jc w:val="left"/>
            </w:pPr>
            <w:r w:rsidRPr="00CE06CA">
              <w:rPr>
                <w:bCs/>
                <w:szCs w:val="22"/>
                <w:lang w:val="el-GR"/>
              </w:rPr>
              <w:t>μέτρον καλὸν πεπιεσμένον σεσαλευμένον ὑπερεκχυννόμενον δώσουσιν εἰς τὸν κόλπον ὑμῶν·</w:t>
            </w:r>
          </w:p>
        </w:tc>
        <w:tc>
          <w:tcPr>
            <w:tcW w:w="4464" w:type="dxa"/>
          </w:tcPr>
          <w:p w14:paraId="41009C9F" w14:textId="4C2444EF" w:rsidR="0018433B" w:rsidRPr="00CD75A6" w:rsidRDefault="0018433B" w:rsidP="00B47A48">
            <w:pPr>
              <w:jc w:val="left"/>
            </w:pPr>
            <w:r w:rsidRPr="00CD75A6">
              <w:t>A good measure</w:t>
            </w:r>
            <w:r w:rsidR="006F304D" w:rsidRPr="006F304D">
              <w:t xml:space="preserve">, </w:t>
            </w:r>
            <w:r w:rsidRPr="00CD75A6">
              <w:t>pressed down</w:t>
            </w:r>
            <w:r w:rsidR="006F304D" w:rsidRPr="006F304D">
              <w:t xml:space="preserve">, </w:t>
            </w:r>
            <w:r w:rsidRPr="00CD75A6">
              <w:t>shaken together</w:t>
            </w:r>
            <w:r w:rsidR="006F304D" w:rsidRPr="006F304D">
              <w:t xml:space="preserve">, </w:t>
            </w:r>
            <w:r w:rsidRPr="00CD75A6">
              <w:t>running over</w:t>
            </w:r>
            <w:r w:rsidR="006F304D" w:rsidRPr="006F304D">
              <w:t xml:space="preserve">, </w:t>
            </w:r>
            <w:r w:rsidRPr="00CD75A6">
              <w:t>will be put into your lap;</w:t>
            </w:r>
          </w:p>
        </w:tc>
      </w:tr>
      <w:tr w:rsidR="0018433B" w:rsidRPr="00CD75A6" w14:paraId="66A96BEA" w14:textId="77777777" w:rsidTr="00A44C2E">
        <w:tc>
          <w:tcPr>
            <w:tcW w:w="648" w:type="dxa"/>
          </w:tcPr>
          <w:p w14:paraId="4B356A52" w14:textId="77777777" w:rsidR="0018433B" w:rsidRPr="00CD75A6" w:rsidRDefault="0018433B" w:rsidP="00786ADB">
            <w:r w:rsidRPr="00CD75A6">
              <w:t>38d</w:t>
            </w:r>
          </w:p>
        </w:tc>
        <w:tc>
          <w:tcPr>
            <w:tcW w:w="4464" w:type="dxa"/>
          </w:tcPr>
          <w:p w14:paraId="5B3CB703" w14:textId="77777777" w:rsidR="0018433B" w:rsidRPr="009153E5" w:rsidRDefault="0018433B" w:rsidP="00B47A48">
            <w:pPr>
              <w:jc w:val="left"/>
            </w:pPr>
            <w:r w:rsidRPr="00CE06CA">
              <w:rPr>
                <w:bCs/>
                <w:szCs w:val="22"/>
                <w:lang w:val="el-GR"/>
              </w:rPr>
              <w:t>ᾧ γὰρ μέτρῳ μετρεῖτε ἀντιμετρηθήσεται ὑμῖν.</w:t>
            </w:r>
          </w:p>
        </w:tc>
        <w:tc>
          <w:tcPr>
            <w:tcW w:w="4464" w:type="dxa"/>
          </w:tcPr>
          <w:p w14:paraId="4345C528" w14:textId="77777777" w:rsidR="0018433B" w:rsidRPr="00CD75A6" w:rsidRDefault="0018433B" w:rsidP="00B47A48">
            <w:pPr>
              <w:jc w:val="left"/>
            </w:pPr>
            <w:r w:rsidRPr="00CD75A6">
              <w:t>for the measure you give will be the measure you get back.”</w:t>
            </w:r>
          </w:p>
        </w:tc>
      </w:tr>
      <w:tr w:rsidR="0018433B" w:rsidRPr="00CD75A6" w14:paraId="3EC528CD" w14:textId="77777777" w:rsidTr="00A44C2E">
        <w:tc>
          <w:tcPr>
            <w:tcW w:w="648" w:type="dxa"/>
          </w:tcPr>
          <w:p w14:paraId="0C9DEECA" w14:textId="77777777" w:rsidR="0018433B" w:rsidRPr="00CD75A6" w:rsidRDefault="0018433B" w:rsidP="00786ADB">
            <w:r w:rsidRPr="00CD75A6">
              <w:t>39a</w:t>
            </w:r>
          </w:p>
        </w:tc>
        <w:tc>
          <w:tcPr>
            <w:tcW w:w="4464" w:type="dxa"/>
          </w:tcPr>
          <w:p w14:paraId="21DE7BC0" w14:textId="77777777" w:rsidR="0018433B" w:rsidRPr="009153E5" w:rsidRDefault="0018433B" w:rsidP="00B47A48">
            <w:pPr>
              <w:jc w:val="left"/>
            </w:pPr>
            <w:r w:rsidRPr="00CE06CA">
              <w:rPr>
                <w:bCs/>
                <w:szCs w:val="22"/>
                <w:lang w:val="el-GR"/>
              </w:rPr>
              <w:t>Εἶπεν δὲ καὶ παραβολὴν αὐτοῖς·</w:t>
            </w:r>
          </w:p>
        </w:tc>
        <w:tc>
          <w:tcPr>
            <w:tcW w:w="4464" w:type="dxa"/>
          </w:tcPr>
          <w:p w14:paraId="6F3E2959" w14:textId="77777777" w:rsidR="0018433B" w:rsidRPr="00CD75A6" w:rsidRDefault="0018433B" w:rsidP="00B47A48">
            <w:pPr>
              <w:jc w:val="left"/>
            </w:pPr>
            <w:r w:rsidRPr="00CD75A6">
              <w:t>He also told them a parable:</w:t>
            </w:r>
          </w:p>
        </w:tc>
      </w:tr>
      <w:tr w:rsidR="0018433B" w:rsidRPr="00CD75A6" w14:paraId="52280680" w14:textId="77777777" w:rsidTr="00A44C2E">
        <w:tc>
          <w:tcPr>
            <w:tcW w:w="648" w:type="dxa"/>
          </w:tcPr>
          <w:p w14:paraId="2CBB28D9" w14:textId="77777777" w:rsidR="0018433B" w:rsidRPr="00CD75A6" w:rsidRDefault="0018433B" w:rsidP="00786ADB">
            <w:r w:rsidRPr="00CD75A6">
              <w:t>39b</w:t>
            </w:r>
          </w:p>
        </w:tc>
        <w:tc>
          <w:tcPr>
            <w:tcW w:w="4464" w:type="dxa"/>
          </w:tcPr>
          <w:p w14:paraId="231AE7A6" w14:textId="77777777" w:rsidR="0018433B" w:rsidRPr="009153E5" w:rsidRDefault="0018433B" w:rsidP="00B47A48">
            <w:pPr>
              <w:jc w:val="left"/>
            </w:pPr>
            <w:r w:rsidRPr="00CE06CA">
              <w:rPr>
                <w:bCs/>
                <w:szCs w:val="22"/>
                <w:lang w:val="el-GR"/>
              </w:rPr>
              <w:t>μήτι δύναται τυφλὸς τυφλὸν ὁδηγεῖν;</w:t>
            </w:r>
          </w:p>
        </w:tc>
        <w:tc>
          <w:tcPr>
            <w:tcW w:w="4464" w:type="dxa"/>
          </w:tcPr>
          <w:p w14:paraId="5A358479" w14:textId="77777777" w:rsidR="0018433B" w:rsidRPr="00CD75A6" w:rsidRDefault="0018433B" w:rsidP="00B47A48">
            <w:pPr>
              <w:jc w:val="left"/>
            </w:pPr>
            <w:r w:rsidRPr="00CD75A6">
              <w:t>“Can a blind person guide a blind person?</w:t>
            </w:r>
          </w:p>
        </w:tc>
      </w:tr>
      <w:tr w:rsidR="0018433B" w:rsidRPr="00CD75A6" w14:paraId="1C49110E" w14:textId="77777777" w:rsidTr="00A44C2E">
        <w:tc>
          <w:tcPr>
            <w:tcW w:w="648" w:type="dxa"/>
          </w:tcPr>
          <w:p w14:paraId="648E2F98" w14:textId="77777777" w:rsidR="0018433B" w:rsidRPr="00CD75A6" w:rsidRDefault="0018433B" w:rsidP="00786ADB">
            <w:r w:rsidRPr="00CD75A6">
              <w:t>39c</w:t>
            </w:r>
          </w:p>
        </w:tc>
        <w:tc>
          <w:tcPr>
            <w:tcW w:w="4464" w:type="dxa"/>
          </w:tcPr>
          <w:p w14:paraId="3DC4C4EB" w14:textId="77777777" w:rsidR="0018433B" w:rsidRPr="009153E5" w:rsidRDefault="0018433B" w:rsidP="00B47A48">
            <w:pPr>
              <w:jc w:val="left"/>
            </w:pPr>
            <w:r w:rsidRPr="00CE06CA">
              <w:rPr>
                <w:bCs/>
                <w:szCs w:val="22"/>
                <w:lang w:val="el-GR"/>
              </w:rPr>
              <w:t>οὐχὶ ἀμφότεροι εἰς βόθυνον ἐμπεσοῦνται;</w:t>
            </w:r>
          </w:p>
        </w:tc>
        <w:tc>
          <w:tcPr>
            <w:tcW w:w="4464" w:type="dxa"/>
          </w:tcPr>
          <w:p w14:paraId="40C33806" w14:textId="77777777" w:rsidR="0018433B" w:rsidRPr="00CD75A6" w:rsidRDefault="0018433B" w:rsidP="00B47A48">
            <w:pPr>
              <w:jc w:val="left"/>
            </w:pPr>
            <w:r w:rsidRPr="00CD75A6">
              <w:t>Will not both fall into a pit?</w:t>
            </w:r>
          </w:p>
        </w:tc>
      </w:tr>
      <w:tr w:rsidR="0018433B" w:rsidRPr="00CD75A6" w14:paraId="335CB08A" w14:textId="77777777" w:rsidTr="00A44C2E">
        <w:tc>
          <w:tcPr>
            <w:tcW w:w="648" w:type="dxa"/>
          </w:tcPr>
          <w:p w14:paraId="3A1FF584" w14:textId="77777777" w:rsidR="0018433B" w:rsidRPr="00CD75A6" w:rsidRDefault="0018433B" w:rsidP="00786ADB">
            <w:r w:rsidRPr="00CD75A6">
              <w:t>40a</w:t>
            </w:r>
          </w:p>
        </w:tc>
        <w:tc>
          <w:tcPr>
            <w:tcW w:w="4464" w:type="dxa"/>
          </w:tcPr>
          <w:p w14:paraId="771AA1F7" w14:textId="77777777" w:rsidR="0018433B" w:rsidRPr="009153E5" w:rsidRDefault="0018433B" w:rsidP="00B47A48">
            <w:pPr>
              <w:jc w:val="left"/>
            </w:pPr>
            <w:r w:rsidRPr="00CE06CA">
              <w:rPr>
                <w:bCs/>
                <w:szCs w:val="22"/>
                <w:lang w:val="el-GR"/>
              </w:rPr>
              <w:t>οὐκ ἔστιν μαθητὴς ὑπὲρ τὸν διδάσκαλον·</w:t>
            </w:r>
          </w:p>
        </w:tc>
        <w:tc>
          <w:tcPr>
            <w:tcW w:w="4464" w:type="dxa"/>
          </w:tcPr>
          <w:p w14:paraId="53C478D7" w14:textId="77777777" w:rsidR="0018433B" w:rsidRPr="00CD75A6" w:rsidRDefault="0018433B" w:rsidP="00B47A48">
            <w:pPr>
              <w:jc w:val="left"/>
            </w:pPr>
            <w:r w:rsidRPr="00CD75A6">
              <w:t>A disciple is not above the teacher,</w:t>
            </w:r>
          </w:p>
        </w:tc>
      </w:tr>
      <w:tr w:rsidR="0018433B" w:rsidRPr="00CD75A6" w14:paraId="05E573BF" w14:textId="77777777" w:rsidTr="00A44C2E">
        <w:tc>
          <w:tcPr>
            <w:tcW w:w="648" w:type="dxa"/>
          </w:tcPr>
          <w:p w14:paraId="05ED6F36" w14:textId="77777777" w:rsidR="0018433B" w:rsidRPr="00CD75A6" w:rsidRDefault="0018433B" w:rsidP="00786ADB">
            <w:r w:rsidRPr="00CD75A6">
              <w:t>40b</w:t>
            </w:r>
          </w:p>
        </w:tc>
        <w:tc>
          <w:tcPr>
            <w:tcW w:w="4464" w:type="dxa"/>
          </w:tcPr>
          <w:p w14:paraId="00D00C44" w14:textId="77777777" w:rsidR="0018433B" w:rsidRPr="009153E5" w:rsidRDefault="0018433B" w:rsidP="00B47A48">
            <w:pPr>
              <w:jc w:val="left"/>
            </w:pPr>
            <w:r w:rsidRPr="00CE06CA">
              <w:rPr>
                <w:bCs/>
                <w:szCs w:val="22"/>
                <w:lang w:val="el-GR"/>
              </w:rPr>
              <w:t>κατηρτισμένος δὲ πᾶς ἔσται ὡς ὁ διδάσκαλος αὐτοῦ.</w:t>
            </w:r>
          </w:p>
        </w:tc>
        <w:tc>
          <w:tcPr>
            <w:tcW w:w="4464" w:type="dxa"/>
          </w:tcPr>
          <w:p w14:paraId="48732F2C" w14:textId="77777777" w:rsidR="0018433B" w:rsidRPr="00CD75A6" w:rsidRDefault="0018433B" w:rsidP="00B47A48">
            <w:pPr>
              <w:jc w:val="left"/>
            </w:pPr>
            <w:r w:rsidRPr="00CD75A6">
              <w:t>but everyone who is fully qualified will be like</w:t>
            </w:r>
            <w:r>
              <w:t xml:space="preserve"> </w:t>
            </w:r>
            <w:r w:rsidRPr="00CD75A6">
              <w:t>the teacher.</w:t>
            </w:r>
          </w:p>
        </w:tc>
      </w:tr>
      <w:tr w:rsidR="0018433B" w:rsidRPr="00CD75A6" w14:paraId="2662C2EE" w14:textId="77777777" w:rsidTr="00A44C2E">
        <w:tc>
          <w:tcPr>
            <w:tcW w:w="648" w:type="dxa"/>
          </w:tcPr>
          <w:p w14:paraId="4E960D46" w14:textId="77777777" w:rsidR="0018433B" w:rsidRPr="00CD75A6" w:rsidRDefault="0018433B" w:rsidP="00786ADB">
            <w:r w:rsidRPr="00CD75A6">
              <w:t>41a</w:t>
            </w:r>
          </w:p>
        </w:tc>
        <w:tc>
          <w:tcPr>
            <w:tcW w:w="4464" w:type="dxa"/>
          </w:tcPr>
          <w:p w14:paraId="6D881AAE" w14:textId="77777777" w:rsidR="0018433B" w:rsidRPr="009153E5" w:rsidRDefault="0018433B" w:rsidP="00B47A48">
            <w:pPr>
              <w:jc w:val="left"/>
            </w:pPr>
            <w:r w:rsidRPr="00CE06CA">
              <w:rPr>
                <w:bCs/>
                <w:szCs w:val="22"/>
                <w:lang w:val="el-GR"/>
              </w:rPr>
              <w:t>Τί δὲ βλέπεις τὸ κάρφος τὸ ἐν τῷ ὀφθαλμῷ τοῦ ἀδελφοῦ σου,</w:t>
            </w:r>
          </w:p>
        </w:tc>
        <w:tc>
          <w:tcPr>
            <w:tcW w:w="4464" w:type="dxa"/>
          </w:tcPr>
          <w:p w14:paraId="197486C4" w14:textId="77777777" w:rsidR="0018433B" w:rsidRPr="00CD75A6" w:rsidRDefault="0018433B" w:rsidP="00B47A48">
            <w:pPr>
              <w:jc w:val="left"/>
            </w:pPr>
            <w:r w:rsidRPr="00CD75A6">
              <w:t>Why do you see the speck in your neighbor’s eye,</w:t>
            </w:r>
          </w:p>
        </w:tc>
      </w:tr>
      <w:tr w:rsidR="0018433B" w:rsidRPr="00CD75A6" w14:paraId="3612DBF9" w14:textId="77777777" w:rsidTr="00A44C2E">
        <w:tc>
          <w:tcPr>
            <w:tcW w:w="648" w:type="dxa"/>
          </w:tcPr>
          <w:p w14:paraId="35DCE101" w14:textId="77777777" w:rsidR="0018433B" w:rsidRPr="00CD75A6" w:rsidRDefault="0018433B" w:rsidP="00786ADB">
            <w:r w:rsidRPr="00CD75A6">
              <w:t>41b</w:t>
            </w:r>
          </w:p>
        </w:tc>
        <w:tc>
          <w:tcPr>
            <w:tcW w:w="4464" w:type="dxa"/>
          </w:tcPr>
          <w:p w14:paraId="75B0B435" w14:textId="77777777" w:rsidR="0018433B" w:rsidRPr="009153E5" w:rsidRDefault="0018433B" w:rsidP="00B47A48">
            <w:pPr>
              <w:jc w:val="left"/>
            </w:pPr>
            <w:r w:rsidRPr="00CE06CA">
              <w:rPr>
                <w:bCs/>
                <w:szCs w:val="22"/>
                <w:lang w:val="el-GR"/>
              </w:rPr>
              <w:t>τὴν δὲ δοκὸν τὴν ἐν τῷ ἰδίῳ ὀφθαλμῷ οὐ κατανοεῖς;</w:t>
            </w:r>
          </w:p>
        </w:tc>
        <w:tc>
          <w:tcPr>
            <w:tcW w:w="4464" w:type="dxa"/>
          </w:tcPr>
          <w:p w14:paraId="16FE5516" w14:textId="77777777" w:rsidR="0018433B" w:rsidRPr="00CD75A6" w:rsidRDefault="0018433B" w:rsidP="00B47A48">
            <w:pPr>
              <w:jc w:val="left"/>
            </w:pPr>
            <w:r w:rsidRPr="00CD75A6">
              <w:t>but do not notice the log in your own eye?</w:t>
            </w:r>
          </w:p>
        </w:tc>
      </w:tr>
      <w:tr w:rsidR="0018433B" w:rsidRPr="00CD75A6" w14:paraId="5B5B5E87" w14:textId="77777777" w:rsidTr="00A44C2E">
        <w:tc>
          <w:tcPr>
            <w:tcW w:w="648" w:type="dxa"/>
          </w:tcPr>
          <w:p w14:paraId="0C8DB507" w14:textId="77777777" w:rsidR="0018433B" w:rsidRPr="00CD75A6" w:rsidRDefault="0018433B" w:rsidP="00786ADB">
            <w:r w:rsidRPr="00CD75A6">
              <w:t>42a</w:t>
            </w:r>
          </w:p>
        </w:tc>
        <w:tc>
          <w:tcPr>
            <w:tcW w:w="4464" w:type="dxa"/>
          </w:tcPr>
          <w:p w14:paraId="336691A7" w14:textId="77777777" w:rsidR="0018433B" w:rsidRPr="009153E5" w:rsidRDefault="0018433B" w:rsidP="00B47A48">
            <w:pPr>
              <w:jc w:val="left"/>
            </w:pPr>
            <w:r w:rsidRPr="00CE06CA">
              <w:rPr>
                <w:bCs/>
                <w:szCs w:val="22"/>
                <w:lang w:val="el-GR"/>
              </w:rPr>
              <w:t>πῶς δύνασαι λέγειν τῷ ἀδελφῷ σου·</w:t>
            </w:r>
          </w:p>
        </w:tc>
        <w:tc>
          <w:tcPr>
            <w:tcW w:w="4464" w:type="dxa"/>
          </w:tcPr>
          <w:p w14:paraId="00EE91C8" w14:textId="77777777" w:rsidR="0018433B" w:rsidRPr="00CD75A6" w:rsidRDefault="0018433B" w:rsidP="00B47A48">
            <w:pPr>
              <w:jc w:val="left"/>
            </w:pPr>
            <w:r w:rsidRPr="00CD75A6">
              <w:t>Or how can you say to your neighbor,</w:t>
            </w:r>
          </w:p>
        </w:tc>
      </w:tr>
      <w:tr w:rsidR="0018433B" w:rsidRPr="00CD75A6" w14:paraId="21569D4C" w14:textId="77777777" w:rsidTr="00A44C2E">
        <w:tc>
          <w:tcPr>
            <w:tcW w:w="648" w:type="dxa"/>
          </w:tcPr>
          <w:p w14:paraId="5B4635B6" w14:textId="77777777" w:rsidR="0018433B" w:rsidRPr="00CD75A6" w:rsidRDefault="0018433B" w:rsidP="00786ADB">
            <w:r w:rsidRPr="00CD75A6">
              <w:t>42b</w:t>
            </w:r>
          </w:p>
        </w:tc>
        <w:tc>
          <w:tcPr>
            <w:tcW w:w="4464" w:type="dxa"/>
          </w:tcPr>
          <w:p w14:paraId="2F87762A" w14:textId="7F6A152D" w:rsidR="0018433B" w:rsidRPr="009153E5" w:rsidRDefault="0018433B" w:rsidP="00B47A48">
            <w:pPr>
              <w:jc w:val="left"/>
            </w:pPr>
            <w:r w:rsidRPr="00CE06CA">
              <w:rPr>
                <w:bCs/>
                <w:szCs w:val="22"/>
                <w:lang w:val="el-GR"/>
              </w:rPr>
              <w:t>ἀδελφέ</w:t>
            </w:r>
            <w:r w:rsidR="006F304D" w:rsidRPr="006F304D">
              <w:rPr>
                <w:bCs/>
                <w:szCs w:val="22"/>
                <w:lang w:val="el-GR"/>
              </w:rPr>
              <w:t xml:space="preserve">, </w:t>
            </w:r>
            <w:r w:rsidRPr="00CE06CA">
              <w:rPr>
                <w:bCs/>
                <w:szCs w:val="22"/>
                <w:lang w:val="el-GR"/>
              </w:rPr>
              <w:t>ἄφες ἐκβάλω τὸ κάρφος τὸ ἐν τῷ ὀφθαλμῷ σου,</w:t>
            </w:r>
          </w:p>
        </w:tc>
        <w:tc>
          <w:tcPr>
            <w:tcW w:w="4464" w:type="dxa"/>
          </w:tcPr>
          <w:p w14:paraId="7ACCE413" w14:textId="66E5CF0A" w:rsidR="0018433B" w:rsidRPr="00CD75A6" w:rsidRDefault="0018433B" w:rsidP="00B47A48">
            <w:pPr>
              <w:jc w:val="left"/>
            </w:pPr>
            <w:r w:rsidRPr="00CD75A6">
              <w:t>‘Friend</w:t>
            </w:r>
            <w:r w:rsidR="006F304D" w:rsidRPr="006F304D">
              <w:t xml:space="preserve">, </w:t>
            </w:r>
            <w:r w:rsidRPr="00CD75A6">
              <w:t>let me take out the speck in your eye,’</w:t>
            </w:r>
          </w:p>
        </w:tc>
      </w:tr>
      <w:tr w:rsidR="0018433B" w:rsidRPr="00CD75A6" w14:paraId="7A0BFBE1" w14:textId="77777777" w:rsidTr="00A44C2E">
        <w:tc>
          <w:tcPr>
            <w:tcW w:w="648" w:type="dxa"/>
          </w:tcPr>
          <w:p w14:paraId="12DD31C5" w14:textId="77777777" w:rsidR="0018433B" w:rsidRPr="00CD75A6" w:rsidRDefault="0018433B" w:rsidP="00786ADB">
            <w:r w:rsidRPr="00CD75A6">
              <w:t>42c</w:t>
            </w:r>
          </w:p>
        </w:tc>
        <w:tc>
          <w:tcPr>
            <w:tcW w:w="4464" w:type="dxa"/>
          </w:tcPr>
          <w:p w14:paraId="4ACB1F25" w14:textId="77777777" w:rsidR="0018433B" w:rsidRPr="009153E5" w:rsidRDefault="0018433B" w:rsidP="00B47A48">
            <w:pPr>
              <w:jc w:val="left"/>
            </w:pPr>
            <w:r w:rsidRPr="00CE06CA">
              <w:rPr>
                <w:bCs/>
                <w:szCs w:val="22"/>
                <w:lang w:val="el-GR"/>
              </w:rPr>
              <w:t>αὐτὸς τὴν ἐν τῷ ὀφθαλμῷ σου δοκὸν οὐ βλέπων;</w:t>
            </w:r>
          </w:p>
        </w:tc>
        <w:tc>
          <w:tcPr>
            <w:tcW w:w="4464" w:type="dxa"/>
          </w:tcPr>
          <w:p w14:paraId="6D769A57" w14:textId="77777777" w:rsidR="0018433B" w:rsidRPr="00CD75A6" w:rsidRDefault="0018433B" w:rsidP="00B47A48">
            <w:pPr>
              <w:jc w:val="left"/>
            </w:pPr>
            <w:r w:rsidRPr="00CD75A6">
              <w:t>when you yourself do not see the log in your own eye?</w:t>
            </w:r>
          </w:p>
        </w:tc>
      </w:tr>
      <w:tr w:rsidR="0018433B" w:rsidRPr="00CD75A6" w14:paraId="54B46CF4" w14:textId="77777777" w:rsidTr="00A44C2E">
        <w:tc>
          <w:tcPr>
            <w:tcW w:w="648" w:type="dxa"/>
          </w:tcPr>
          <w:p w14:paraId="38CAE5BE" w14:textId="77777777" w:rsidR="0018433B" w:rsidRPr="00CD75A6" w:rsidRDefault="0018433B" w:rsidP="00786ADB">
            <w:r w:rsidRPr="00CD75A6">
              <w:t>42d</w:t>
            </w:r>
          </w:p>
        </w:tc>
        <w:tc>
          <w:tcPr>
            <w:tcW w:w="4464" w:type="dxa"/>
          </w:tcPr>
          <w:p w14:paraId="5ADC7F5E" w14:textId="777FDC19" w:rsidR="0018433B" w:rsidRPr="009153E5" w:rsidRDefault="0018433B" w:rsidP="00B47A48">
            <w:pPr>
              <w:jc w:val="left"/>
            </w:pPr>
            <w:r w:rsidRPr="00CE06CA">
              <w:rPr>
                <w:bCs/>
                <w:szCs w:val="22"/>
                <w:lang w:val="el-GR"/>
              </w:rPr>
              <w:t>ὑποκριτά</w:t>
            </w:r>
            <w:r w:rsidR="006F304D" w:rsidRPr="006F304D">
              <w:rPr>
                <w:bCs/>
                <w:szCs w:val="22"/>
                <w:lang w:val="el-GR"/>
              </w:rPr>
              <w:t xml:space="preserve">, </w:t>
            </w:r>
            <w:r w:rsidRPr="00CE06CA">
              <w:rPr>
                <w:bCs/>
                <w:szCs w:val="22"/>
                <w:lang w:val="el-GR"/>
              </w:rPr>
              <w:t>ἔκβαλε πρῶτον τὴν δοκὸν ἐκ τοῦ ὀφθαλμοῦ σου,</w:t>
            </w:r>
          </w:p>
        </w:tc>
        <w:tc>
          <w:tcPr>
            <w:tcW w:w="4464" w:type="dxa"/>
          </w:tcPr>
          <w:p w14:paraId="580F0EB7" w14:textId="4800D095" w:rsidR="0018433B" w:rsidRPr="00CD75A6" w:rsidRDefault="0018433B" w:rsidP="00B47A48">
            <w:pPr>
              <w:jc w:val="left"/>
            </w:pPr>
            <w:r w:rsidRPr="00CD75A6">
              <w:t>You hypocrite</w:t>
            </w:r>
            <w:r w:rsidR="006F304D" w:rsidRPr="006F304D">
              <w:t xml:space="preserve">, </w:t>
            </w:r>
            <w:r w:rsidRPr="00CD75A6">
              <w:t>first take the log out of your own eye,</w:t>
            </w:r>
          </w:p>
        </w:tc>
      </w:tr>
      <w:tr w:rsidR="0018433B" w:rsidRPr="00CD75A6" w14:paraId="7B736F8F" w14:textId="77777777" w:rsidTr="00A44C2E">
        <w:tc>
          <w:tcPr>
            <w:tcW w:w="648" w:type="dxa"/>
          </w:tcPr>
          <w:p w14:paraId="28C4AAC1" w14:textId="77777777" w:rsidR="0018433B" w:rsidRPr="00CD75A6" w:rsidRDefault="0018433B" w:rsidP="00786ADB">
            <w:r w:rsidRPr="00CD75A6">
              <w:t>42e</w:t>
            </w:r>
          </w:p>
        </w:tc>
        <w:tc>
          <w:tcPr>
            <w:tcW w:w="4464" w:type="dxa"/>
          </w:tcPr>
          <w:p w14:paraId="1BD766FD" w14:textId="77777777" w:rsidR="0018433B" w:rsidRPr="009153E5" w:rsidRDefault="0018433B" w:rsidP="00B47A48">
            <w:pPr>
              <w:jc w:val="left"/>
            </w:pPr>
            <w:r w:rsidRPr="00CE06CA">
              <w:rPr>
                <w:bCs/>
                <w:szCs w:val="22"/>
                <w:lang w:val="el-GR"/>
              </w:rPr>
              <w:t>καὶ τότε διαβλέψεις τὸ κάρφος τὸ ἐν τῷ ὀφθαλμῷ τοῦ ἀδελφοῦ σου ἐκβαλεῖν.</w:t>
            </w:r>
          </w:p>
        </w:tc>
        <w:tc>
          <w:tcPr>
            <w:tcW w:w="4464" w:type="dxa"/>
          </w:tcPr>
          <w:p w14:paraId="3196A638" w14:textId="77777777" w:rsidR="0018433B" w:rsidRPr="00CD75A6" w:rsidRDefault="0018433B" w:rsidP="00B47A48">
            <w:pPr>
              <w:jc w:val="left"/>
            </w:pPr>
            <w:r w:rsidRPr="00CD75A6">
              <w:t>and then you will see clearly to take the speck out of</w:t>
            </w:r>
            <w:r>
              <w:t xml:space="preserve"> </w:t>
            </w:r>
            <w:r w:rsidRPr="00CD75A6">
              <w:t>your neighbor’s eye.</w:t>
            </w:r>
          </w:p>
        </w:tc>
      </w:tr>
      <w:tr w:rsidR="0018433B" w:rsidRPr="00CD75A6" w14:paraId="086F4B1E" w14:textId="77777777" w:rsidTr="00A44C2E">
        <w:tc>
          <w:tcPr>
            <w:tcW w:w="648" w:type="dxa"/>
          </w:tcPr>
          <w:p w14:paraId="168BAA27" w14:textId="77777777" w:rsidR="0018433B" w:rsidRPr="00CD75A6" w:rsidRDefault="0018433B" w:rsidP="00786ADB">
            <w:r w:rsidRPr="00CD75A6">
              <w:t>43a</w:t>
            </w:r>
          </w:p>
        </w:tc>
        <w:tc>
          <w:tcPr>
            <w:tcW w:w="4464" w:type="dxa"/>
          </w:tcPr>
          <w:p w14:paraId="070B4E8C" w14:textId="77777777" w:rsidR="0018433B" w:rsidRPr="009153E5" w:rsidRDefault="0018433B" w:rsidP="00B47A48">
            <w:pPr>
              <w:jc w:val="left"/>
            </w:pPr>
            <w:r w:rsidRPr="00CE06CA">
              <w:rPr>
                <w:bCs/>
                <w:szCs w:val="22"/>
                <w:lang w:val="el-GR"/>
              </w:rPr>
              <w:t>Οὐ γάρ ἐστιν δένδρον καλὸν ποιοῦν καρπὸν σαπρόν,</w:t>
            </w:r>
          </w:p>
        </w:tc>
        <w:tc>
          <w:tcPr>
            <w:tcW w:w="4464" w:type="dxa"/>
          </w:tcPr>
          <w:p w14:paraId="57D1030F" w14:textId="77777777" w:rsidR="0018433B" w:rsidRPr="00CD75A6" w:rsidRDefault="0018433B" w:rsidP="00B47A48">
            <w:pPr>
              <w:jc w:val="left"/>
            </w:pPr>
            <w:r w:rsidRPr="00CD75A6">
              <w:t>No good tree bears bad fruit,</w:t>
            </w:r>
          </w:p>
        </w:tc>
      </w:tr>
      <w:tr w:rsidR="0018433B" w:rsidRPr="00CD75A6" w14:paraId="22B5AF37" w14:textId="77777777" w:rsidTr="00A44C2E">
        <w:tc>
          <w:tcPr>
            <w:tcW w:w="648" w:type="dxa"/>
          </w:tcPr>
          <w:p w14:paraId="30A16A42" w14:textId="77777777" w:rsidR="0018433B" w:rsidRPr="00CD75A6" w:rsidRDefault="0018433B" w:rsidP="00786ADB">
            <w:r w:rsidRPr="00CD75A6">
              <w:t>43b</w:t>
            </w:r>
          </w:p>
        </w:tc>
        <w:tc>
          <w:tcPr>
            <w:tcW w:w="4464" w:type="dxa"/>
          </w:tcPr>
          <w:p w14:paraId="3B762DD5" w14:textId="77777777" w:rsidR="0018433B" w:rsidRPr="009153E5" w:rsidRDefault="0018433B" w:rsidP="00B47A48">
            <w:pPr>
              <w:jc w:val="left"/>
            </w:pPr>
            <w:r w:rsidRPr="00CE06CA">
              <w:rPr>
                <w:bCs/>
                <w:szCs w:val="22"/>
                <w:lang w:val="el-GR"/>
              </w:rPr>
              <w:t>οὐδὲ πάλιν δένδρον σαπρὸν ποιοῦν καρπὸν καλόν.</w:t>
            </w:r>
          </w:p>
        </w:tc>
        <w:tc>
          <w:tcPr>
            <w:tcW w:w="4464" w:type="dxa"/>
          </w:tcPr>
          <w:p w14:paraId="3FC925A3" w14:textId="77777777" w:rsidR="0018433B" w:rsidRPr="00CD75A6" w:rsidRDefault="0018433B" w:rsidP="00B47A48">
            <w:pPr>
              <w:jc w:val="left"/>
            </w:pPr>
            <w:r w:rsidRPr="00CD75A6">
              <w:t>nor again does a bad tree bear good fruit;</w:t>
            </w:r>
          </w:p>
        </w:tc>
      </w:tr>
      <w:tr w:rsidR="0018433B" w:rsidRPr="00CD75A6" w14:paraId="5E59EE96" w14:textId="77777777" w:rsidTr="00A44C2E">
        <w:tc>
          <w:tcPr>
            <w:tcW w:w="648" w:type="dxa"/>
          </w:tcPr>
          <w:p w14:paraId="2F0F9205" w14:textId="77777777" w:rsidR="0018433B" w:rsidRPr="00CD75A6" w:rsidRDefault="0018433B" w:rsidP="00786ADB">
            <w:r w:rsidRPr="00CD75A6">
              <w:t>44a</w:t>
            </w:r>
          </w:p>
        </w:tc>
        <w:tc>
          <w:tcPr>
            <w:tcW w:w="4464" w:type="dxa"/>
          </w:tcPr>
          <w:p w14:paraId="036196C6" w14:textId="77777777" w:rsidR="0018433B" w:rsidRPr="009153E5" w:rsidRDefault="0018433B" w:rsidP="00B47A48">
            <w:pPr>
              <w:jc w:val="left"/>
            </w:pPr>
            <w:r w:rsidRPr="00CE06CA">
              <w:rPr>
                <w:bCs/>
                <w:szCs w:val="22"/>
                <w:lang w:val="el-GR"/>
              </w:rPr>
              <w:t>ἕκαστον γὰρ δένδρον ἐκ τοῦ ἰδίου καρποῦ γινώσκεται·</w:t>
            </w:r>
          </w:p>
        </w:tc>
        <w:tc>
          <w:tcPr>
            <w:tcW w:w="4464" w:type="dxa"/>
          </w:tcPr>
          <w:p w14:paraId="51E1CBF2" w14:textId="77777777" w:rsidR="0018433B" w:rsidRPr="00CD75A6" w:rsidRDefault="0018433B" w:rsidP="00B47A48">
            <w:pPr>
              <w:jc w:val="left"/>
            </w:pPr>
            <w:r w:rsidRPr="00CD75A6">
              <w:t>for each tree is known by its own fruit.</w:t>
            </w:r>
          </w:p>
        </w:tc>
      </w:tr>
      <w:tr w:rsidR="0018433B" w:rsidRPr="00CD75A6" w14:paraId="09AB6917" w14:textId="77777777" w:rsidTr="00A44C2E">
        <w:tc>
          <w:tcPr>
            <w:tcW w:w="648" w:type="dxa"/>
          </w:tcPr>
          <w:p w14:paraId="3B22CB02" w14:textId="77777777" w:rsidR="0018433B" w:rsidRPr="00CD75A6" w:rsidRDefault="0018433B" w:rsidP="00786ADB">
            <w:r w:rsidRPr="00CD75A6">
              <w:t>44b</w:t>
            </w:r>
          </w:p>
        </w:tc>
        <w:tc>
          <w:tcPr>
            <w:tcW w:w="4464" w:type="dxa"/>
          </w:tcPr>
          <w:p w14:paraId="40D2CF63" w14:textId="77777777" w:rsidR="0018433B" w:rsidRPr="009153E5" w:rsidRDefault="0018433B" w:rsidP="00B47A48">
            <w:pPr>
              <w:jc w:val="left"/>
            </w:pPr>
            <w:r w:rsidRPr="00CE06CA">
              <w:rPr>
                <w:bCs/>
                <w:szCs w:val="22"/>
                <w:lang w:val="el-GR"/>
              </w:rPr>
              <w:t>οὐ γὰρ ἐξ ἀκανθῶν συλλέγουσιν σῦκα</w:t>
            </w:r>
          </w:p>
        </w:tc>
        <w:tc>
          <w:tcPr>
            <w:tcW w:w="4464" w:type="dxa"/>
          </w:tcPr>
          <w:p w14:paraId="726AE3A0" w14:textId="77777777" w:rsidR="0018433B" w:rsidRPr="00CD75A6" w:rsidRDefault="0018433B" w:rsidP="00B47A48">
            <w:pPr>
              <w:jc w:val="left"/>
            </w:pPr>
            <w:r w:rsidRPr="00CD75A6">
              <w:t>Figs are not gathered from thorns,</w:t>
            </w:r>
          </w:p>
        </w:tc>
      </w:tr>
      <w:tr w:rsidR="0018433B" w:rsidRPr="00CD75A6" w14:paraId="5E9465E3" w14:textId="77777777" w:rsidTr="00A44C2E">
        <w:tc>
          <w:tcPr>
            <w:tcW w:w="648" w:type="dxa"/>
          </w:tcPr>
          <w:p w14:paraId="0FEB437E" w14:textId="77777777" w:rsidR="0018433B" w:rsidRPr="00CD75A6" w:rsidRDefault="0018433B" w:rsidP="00786ADB">
            <w:r w:rsidRPr="00CD75A6">
              <w:t>44c</w:t>
            </w:r>
          </w:p>
        </w:tc>
        <w:tc>
          <w:tcPr>
            <w:tcW w:w="4464" w:type="dxa"/>
          </w:tcPr>
          <w:p w14:paraId="4F88EBB9" w14:textId="77777777" w:rsidR="0018433B" w:rsidRPr="009153E5" w:rsidRDefault="0018433B" w:rsidP="00B47A48">
            <w:pPr>
              <w:jc w:val="left"/>
            </w:pPr>
            <w:r w:rsidRPr="00CE06CA">
              <w:rPr>
                <w:bCs/>
                <w:szCs w:val="22"/>
                <w:lang w:val="el-GR"/>
              </w:rPr>
              <w:t>οὐδὲ ἐκ βάτου σταφυλὴν τρυγῶσιν.</w:t>
            </w:r>
          </w:p>
        </w:tc>
        <w:tc>
          <w:tcPr>
            <w:tcW w:w="4464" w:type="dxa"/>
          </w:tcPr>
          <w:p w14:paraId="52C805D4" w14:textId="77777777" w:rsidR="0018433B" w:rsidRPr="00CD75A6" w:rsidRDefault="0018433B" w:rsidP="00B47A48">
            <w:pPr>
              <w:jc w:val="left"/>
            </w:pPr>
            <w:r w:rsidRPr="00CD75A6">
              <w:t>nor are grapes picked from a bramble bush.</w:t>
            </w:r>
          </w:p>
        </w:tc>
      </w:tr>
      <w:tr w:rsidR="0018433B" w:rsidRPr="00CD75A6" w14:paraId="0FD4D96B" w14:textId="77777777" w:rsidTr="00A44C2E">
        <w:tc>
          <w:tcPr>
            <w:tcW w:w="648" w:type="dxa"/>
          </w:tcPr>
          <w:p w14:paraId="7E15A76D" w14:textId="77777777" w:rsidR="0018433B" w:rsidRPr="00CD75A6" w:rsidRDefault="0018433B" w:rsidP="00786ADB">
            <w:r w:rsidRPr="00CD75A6">
              <w:t>45a</w:t>
            </w:r>
          </w:p>
        </w:tc>
        <w:tc>
          <w:tcPr>
            <w:tcW w:w="4464" w:type="dxa"/>
          </w:tcPr>
          <w:p w14:paraId="1FC50B5E" w14:textId="77777777" w:rsidR="0018433B" w:rsidRPr="009153E5" w:rsidRDefault="0018433B" w:rsidP="00B47A48">
            <w:pPr>
              <w:jc w:val="left"/>
            </w:pPr>
            <w:r w:rsidRPr="00CE06CA">
              <w:rPr>
                <w:bCs/>
                <w:szCs w:val="22"/>
                <w:lang w:val="el-GR"/>
              </w:rPr>
              <w:t>ὁ ἀγαθὸς ἄνθρωπος ἐκ τοῦ ἀγαθοῦ θησαυροῦ τῆς καρδίας προφέρει τὸ ἀγαθόν,</w:t>
            </w:r>
          </w:p>
        </w:tc>
        <w:tc>
          <w:tcPr>
            <w:tcW w:w="4464" w:type="dxa"/>
          </w:tcPr>
          <w:p w14:paraId="6551D7E8" w14:textId="77777777" w:rsidR="0018433B" w:rsidRPr="00CD75A6" w:rsidRDefault="0018433B" w:rsidP="00B47A48">
            <w:pPr>
              <w:jc w:val="left"/>
            </w:pPr>
            <w:r w:rsidRPr="00CD75A6">
              <w:t>The good person out of the good treasure of the heart</w:t>
            </w:r>
            <w:r>
              <w:t xml:space="preserve"> </w:t>
            </w:r>
            <w:r w:rsidRPr="00CD75A6">
              <w:t>produces good,</w:t>
            </w:r>
          </w:p>
        </w:tc>
      </w:tr>
      <w:tr w:rsidR="0018433B" w:rsidRPr="00CD75A6" w14:paraId="67A5820B" w14:textId="77777777" w:rsidTr="00A44C2E">
        <w:tc>
          <w:tcPr>
            <w:tcW w:w="648" w:type="dxa"/>
          </w:tcPr>
          <w:p w14:paraId="73A59431" w14:textId="77777777" w:rsidR="0018433B" w:rsidRPr="00CD75A6" w:rsidRDefault="0018433B" w:rsidP="00786ADB">
            <w:r w:rsidRPr="00CD75A6">
              <w:t>45b</w:t>
            </w:r>
          </w:p>
        </w:tc>
        <w:tc>
          <w:tcPr>
            <w:tcW w:w="4464" w:type="dxa"/>
          </w:tcPr>
          <w:p w14:paraId="32331017" w14:textId="77777777" w:rsidR="0018433B" w:rsidRPr="009153E5" w:rsidRDefault="0018433B" w:rsidP="00B47A48">
            <w:pPr>
              <w:jc w:val="left"/>
            </w:pPr>
            <w:r w:rsidRPr="00CE06CA">
              <w:rPr>
                <w:bCs/>
                <w:szCs w:val="22"/>
                <w:lang w:val="el-GR"/>
              </w:rPr>
              <w:t>καὶ ὁ πονηρὸς ἐκ τοῦ πονηροῦ προφέρει τὸ πονηρόν·</w:t>
            </w:r>
          </w:p>
        </w:tc>
        <w:tc>
          <w:tcPr>
            <w:tcW w:w="4464" w:type="dxa"/>
          </w:tcPr>
          <w:p w14:paraId="6BFD1898" w14:textId="77777777" w:rsidR="0018433B" w:rsidRPr="00CD75A6" w:rsidRDefault="0018433B" w:rsidP="00B47A48">
            <w:pPr>
              <w:jc w:val="left"/>
            </w:pPr>
            <w:r w:rsidRPr="00CD75A6">
              <w:t>and the evil person out of evil treasure produces evil;</w:t>
            </w:r>
          </w:p>
        </w:tc>
      </w:tr>
      <w:tr w:rsidR="0018433B" w:rsidRPr="00CD75A6" w14:paraId="06CBDC32" w14:textId="77777777" w:rsidTr="00A44C2E">
        <w:tc>
          <w:tcPr>
            <w:tcW w:w="648" w:type="dxa"/>
          </w:tcPr>
          <w:p w14:paraId="537ABF87" w14:textId="77777777" w:rsidR="0018433B" w:rsidRPr="00CD75A6" w:rsidRDefault="0018433B" w:rsidP="00786ADB">
            <w:r w:rsidRPr="00CD75A6">
              <w:t>45c</w:t>
            </w:r>
          </w:p>
        </w:tc>
        <w:tc>
          <w:tcPr>
            <w:tcW w:w="4464" w:type="dxa"/>
          </w:tcPr>
          <w:p w14:paraId="27128E96" w14:textId="77777777" w:rsidR="0018433B" w:rsidRPr="009153E5" w:rsidRDefault="0018433B" w:rsidP="00B47A48">
            <w:pPr>
              <w:jc w:val="left"/>
            </w:pPr>
            <w:r w:rsidRPr="00CE06CA">
              <w:rPr>
                <w:bCs/>
                <w:szCs w:val="22"/>
                <w:lang w:val="el-GR"/>
              </w:rPr>
              <w:t>ἐκ γὰρ περισσεύματος καρδίας λαλεῖ τὸ στόμα αὐτοῦ.</w:t>
            </w:r>
          </w:p>
        </w:tc>
        <w:tc>
          <w:tcPr>
            <w:tcW w:w="4464" w:type="dxa"/>
          </w:tcPr>
          <w:p w14:paraId="0DF4E397" w14:textId="77777777" w:rsidR="0018433B" w:rsidRPr="00CD75A6" w:rsidRDefault="0018433B" w:rsidP="00B47A48">
            <w:pPr>
              <w:jc w:val="left"/>
            </w:pPr>
            <w:r w:rsidRPr="00CD75A6">
              <w:t>for it is out of the abundance of the heart that the mouth</w:t>
            </w:r>
            <w:r>
              <w:t xml:space="preserve"> </w:t>
            </w:r>
            <w:r w:rsidRPr="00CD75A6">
              <w:t>speaks.</w:t>
            </w:r>
          </w:p>
        </w:tc>
      </w:tr>
      <w:tr w:rsidR="0018433B" w:rsidRPr="00CD75A6" w14:paraId="0C01CC1F" w14:textId="77777777" w:rsidTr="00A44C2E">
        <w:tc>
          <w:tcPr>
            <w:tcW w:w="648" w:type="dxa"/>
          </w:tcPr>
          <w:p w14:paraId="55CB1074" w14:textId="77777777" w:rsidR="0018433B" w:rsidRPr="00CD75A6" w:rsidRDefault="0018433B" w:rsidP="00786ADB">
            <w:r w:rsidRPr="00CD75A6">
              <w:t>46a</w:t>
            </w:r>
          </w:p>
        </w:tc>
        <w:tc>
          <w:tcPr>
            <w:tcW w:w="4464" w:type="dxa"/>
          </w:tcPr>
          <w:p w14:paraId="6A430502" w14:textId="77777777" w:rsidR="0018433B" w:rsidRPr="000310C0" w:rsidRDefault="0018433B" w:rsidP="00B47A48">
            <w:pPr>
              <w:jc w:val="left"/>
            </w:pPr>
            <w:r w:rsidRPr="00CE06CA">
              <w:rPr>
                <w:bCs/>
                <w:szCs w:val="22"/>
                <w:lang w:val="el-GR"/>
              </w:rPr>
              <w:t>Τί δέ με καλεῖτε· κύριε κύριε,</w:t>
            </w:r>
          </w:p>
        </w:tc>
        <w:tc>
          <w:tcPr>
            <w:tcW w:w="4464" w:type="dxa"/>
          </w:tcPr>
          <w:p w14:paraId="282419E2" w14:textId="008D33C6" w:rsidR="0018433B" w:rsidRPr="00CD75A6" w:rsidRDefault="0018433B" w:rsidP="00B47A48">
            <w:pPr>
              <w:jc w:val="left"/>
            </w:pPr>
            <w:r w:rsidRPr="00CD75A6">
              <w:t>Why do you call me ‘Lord</w:t>
            </w:r>
            <w:r w:rsidR="006F304D" w:rsidRPr="006F304D">
              <w:t xml:space="preserve">, </w:t>
            </w:r>
            <w:r w:rsidRPr="00CD75A6">
              <w:t>Lord,’</w:t>
            </w:r>
          </w:p>
        </w:tc>
      </w:tr>
      <w:tr w:rsidR="0018433B" w:rsidRPr="00CD75A6" w14:paraId="0CF85579" w14:textId="77777777" w:rsidTr="00A44C2E">
        <w:tc>
          <w:tcPr>
            <w:tcW w:w="648" w:type="dxa"/>
          </w:tcPr>
          <w:p w14:paraId="3C006CA5" w14:textId="77777777" w:rsidR="0018433B" w:rsidRPr="00CD75A6" w:rsidRDefault="0018433B" w:rsidP="00786ADB">
            <w:r w:rsidRPr="00CD75A6">
              <w:t>46b</w:t>
            </w:r>
          </w:p>
        </w:tc>
        <w:tc>
          <w:tcPr>
            <w:tcW w:w="4464" w:type="dxa"/>
          </w:tcPr>
          <w:p w14:paraId="7754D64C" w14:textId="77777777" w:rsidR="0018433B" w:rsidRPr="009153E5" w:rsidRDefault="0018433B" w:rsidP="00B47A48">
            <w:pPr>
              <w:jc w:val="left"/>
            </w:pPr>
            <w:r w:rsidRPr="00CE06CA">
              <w:rPr>
                <w:bCs/>
                <w:szCs w:val="22"/>
                <w:lang w:val="el-GR"/>
              </w:rPr>
              <w:t>καὶ οὐ ποιεῖτε ἃ λέγω;</w:t>
            </w:r>
          </w:p>
        </w:tc>
        <w:tc>
          <w:tcPr>
            <w:tcW w:w="4464" w:type="dxa"/>
          </w:tcPr>
          <w:p w14:paraId="0CAE1215" w14:textId="77777777" w:rsidR="0018433B" w:rsidRPr="00CD75A6" w:rsidRDefault="0018433B" w:rsidP="00B47A48">
            <w:pPr>
              <w:jc w:val="left"/>
            </w:pPr>
            <w:r w:rsidRPr="00CD75A6">
              <w:t>and not do what I tell you?</w:t>
            </w:r>
          </w:p>
        </w:tc>
      </w:tr>
      <w:tr w:rsidR="0018433B" w:rsidRPr="00CD75A6" w14:paraId="6983F7BB" w14:textId="77777777" w:rsidTr="00A44C2E">
        <w:tc>
          <w:tcPr>
            <w:tcW w:w="648" w:type="dxa"/>
          </w:tcPr>
          <w:p w14:paraId="2DF3AC05" w14:textId="77777777" w:rsidR="0018433B" w:rsidRPr="00CD75A6" w:rsidRDefault="0018433B" w:rsidP="00786ADB">
            <w:r w:rsidRPr="00CD75A6">
              <w:lastRenderedPageBreak/>
              <w:t>47a</w:t>
            </w:r>
          </w:p>
        </w:tc>
        <w:tc>
          <w:tcPr>
            <w:tcW w:w="4464" w:type="dxa"/>
          </w:tcPr>
          <w:p w14:paraId="781B03F8" w14:textId="77777777" w:rsidR="0018433B" w:rsidRPr="009153E5" w:rsidRDefault="0018433B" w:rsidP="00B47A48">
            <w:pPr>
              <w:jc w:val="left"/>
            </w:pPr>
            <w:r w:rsidRPr="00CE06CA">
              <w:rPr>
                <w:bCs/>
                <w:szCs w:val="22"/>
                <w:lang w:val="el-GR"/>
              </w:rPr>
              <w:t>Πᾶς ὁ ἐρχόμενος πρός με καὶ ἀκούων μου τῶν λόγων καὶ ποιῶν αὐτούς,</w:t>
            </w:r>
          </w:p>
        </w:tc>
        <w:tc>
          <w:tcPr>
            <w:tcW w:w="4464" w:type="dxa"/>
          </w:tcPr>
          <w:p w14:paraId="3F743E39" w14:textId="77777777" w:rsidR="0018433B" w:rsidRPr="00CD75A6" w:rsidRDefault="0018433B" w:rsidP="00B47A48">
            <w:pPr>
              <w:jc w:val="left"/>
            </w:pPr>
            <w:r w:rsidRPr="00CD75A6">
              <w:t>I will show you what someone is like</w:t>
            </w:r>
          </w:p>
        </w:tc>
      </w:tr>
      <w:tr w:rsidR="0018433B" w:rsidRPr="00CD75A6" w14:paraId="1E792FF1" w14:textId="77777777" w:rsidTr="00A44C2E">
        <w:tc>
          <w:tcPr>
            <w:tcW w:w="648" w:type="dxa"/>
          </w:tcPr>
          <w:p w14:paraId="06C3B7C6" w14:textId="77777777" w:rsidR="0018433B" w:rsidRPr="00CD75A6" w:rsidRDefault="0018433B" w:rsidP="00786ADB">
            <w:r w:rsidRPr="00CD75A6">
              <w:t>47b</w:t>
            </w:r>
          </w:p>
        </w:tc>
        <w:tc>
          <w:tcPr>
            <w:tcW w:w="4464" w:type="dxa"/>
          </w:tcPr>
          <w:p w14:paraId="1D6DDD8E" w14:textId="77777777" w:rsidR="0018433B" w:rsidRPr="009153E5" w:rsidRDefault="0018433B" w:rsidP="00B47A48">
            <w:pPr>
              <w:jc w:val="left"/>
            </w:pPr>
            <w:r w:rsidRPr="00CE06CA">
              <w:rPr>
                <w:bCs/>
                <w:szCs w:val="22"/>
                <w:lang w:val="el-GR"/>
              </w:rPr>
              <w:t>ὑποδείξω ὑμῖν τίνι ἐστὶν ὅμοιος·</w:t>
            </w:r>
          </w:p>
        </w:tc>
        <w:tc>
          <w:tcPr>
            <w:tcW w:w="4464" w:type="dxa"/>
          </w:tcPr>
          <w:p w14:paraId="1AD95406" w14:textId="7DB56EA9" w:rsidR="0018433B" w:rsidRPr="00CD75A6" w:rsidRDefault="0018433B" w:rsidP="00B47A48">
            <w:pPr>
              <w:jc w:val="left"/>
            </w:pPr>
            <w:r w:rsidRPr="00CD75A6">
              <w:t>who comes to me</w:t>
            </w:r>
            <w:r w:rsidR="006F304D" w:rsidRPr="006F304D">
              <w:t xml:space="preserve">, </w:t>
            </w:r>
            <w:r w:rsidRPr="00CD75A6">
              <w:t>hears my words</w:t>
            </w:r>
            <w:r w:rsidR="006F304D" w:rsidRPr="006F304D">
              <w:t xml:space="preserve">, </w:t>
            </w:r>
            <w:r w:rsidRPr="00CD75A6">
              <w:t>and acts on them.</w:t>
            </w:r>
            <w:r>
              <w:rPr>
                <w:rStyle w:val="FootnoteReference"/>
              </w:rPr>
              <w:footnoteReference w:id="839"/>
            </w:r>
          </w:p>
        </w:tc>
      </w:tr>
      <w:tr w:rsidR="0018433B" w:rsidRPr="00CD75A6" w14:paraId="567162E3" w14:textId="77777777" w:rsidTr="00A44C2E">
        <w:tc>
          <w:tcPr>
            <w:tcW w:w="648" w:type="dxa"/>
          </w:tcPr>
          <w:p w14:paraId="2A30E826" w14:textId="77777777" w:rsidR="0018433B" w:rsidRPr="00CD75A6" w:rsidRDefault="0018433B" w:rsidP="00786ADB">
            <w:r w:rsidRPr="00CD75A6">
              <w:t>48a</w:t>
            </w:r>
          </w:p>
        </w:tc>
        <w:tc>
          <w:tcPr>
            <w:tcW w:w="4464" w:type="dxa"/>
          </w:tcPr>
          <w:p w14:paraId="3146CB1A" w14:textId="77777777" w:rsidR="0018433B" w:rsidRPr="009153E5" w:rsidRDefault="0018433B" w:rsidP="00B47A48">
            <w:pPr>
              <w:jc w:val="left"/>
            </w:pPr>
            <w:r w:rsidRPr="00CE06CA">
              <w:rPr>
                <w:bCs/>
                <w:szCs w:val="22"/>
                <w:lang w:val="el-GR"/>
              </w:rPr>
              <w:t>ὅμοιός ἐστιν ἀνθρώπῳ οἰκοδομοῦντι οἰκίαν</w:t>
            </w:r>
          </w:p>
        </w:tc>
        <w:tc>
          <w:tcPr>
            <w:tcW w:w="4464" w:type="dxa"/>
          </w:tcPr>
          <w:p w14:paraId="03EA815C" w14:textId="77777777" w:rsidR="0018433B" w:rsidRPr="00CD75A6" w:rsidRDefault="0018433B" w:rsidP="00B47A48">
            <w:pPr>
              <w:jc w:val="left"/>
            </w:pPr>
            <w:r w:rsidRPr="00CD75A6">
              <w:t>That one is like a man building a house,</w:t>
            </w:r>
          </w:p>
        </w:tc>
      </w:tr>
      <w:tr w:rsidR="0018433B" w:rsidRPr="00CD75A6" w14:paraId="292F31C1" w14:textId="77777777" w:rsidTr="00A44C2E">
        <w:tc>
          <w:tcPr>
            <w:tcW w:w="648" w:type="dxa"/>
          </w:tcPr>
          <w:p w14:paraId="56EB8EB5" w14:textId="77777777" w:rsidR="0018433B" w:rsidRPr="00CD75A6" w:rsidRDefault="0018433B" w:rsidP="00786ADB">
            <w:r w:rsidRPr="00CD75A6">
              <w:t>48b</w:t>
            </w:r>
          </w:p>
        </w:tc>
        <w:tc>
          <w:tcPr>
            <w:tcW w:w="4464" w:type="dxa"/>
          </w:tcPr>
          <w:p w14:paraId="25CE9357" w14:textId="77777777" w:rsidR="0018433B" w:rsidRPr="009153E5" w:rsidRDefault="0018433B" w:rsidP="00B47A48">
            <w:pPr>
              <w:jc w:val="left"/>
            </w:pPr>
            <w:r w:rsidRPr="00CE06CA">
              <w:rPr>
                <w:bCs/>
                <w:szCs w:val="22"/>
                <w:lang w:val="el-GR"/>
              </w:rPr>
              <w:t>ὃς ἔσκαψεν καὶ ἐβάθυνεν καὶ ἔθηκεν θεμέλιον ἐπὶ τὴν πέτραν·</w:t>
            </w:r>
          </w:p>
        </w:tc>
        <w:tc>
          <w:tcPr>
            <w:tcW w:w="4464" w:type="dxa"/>
          </w:tcPr>
          <w:p w14:paraId="00F7456E" w14:textId="77777777" w:rsidR="0018433B" w:rsidRPr="00CD75A6" w:rsidRDefault="0018433B" w:rsidP="00B47A48">
            <w:pPr>
              <w:jc w:val="left"/>
            </w:pPr>
            <w:r w:rsidRPr="00CD75A6">
              <w:t>who dug deeply and laid the foundation on rock;</w:t>
            </w:r>
          </w:p>
        </w:tc>
      </w:tr>
      <w:tr w:rsidR="0018433B" w:rsidRPr="00CD75A6" w14:paraId="14E893FF" w14:textId="77777777" w:rsidTr="00A44C2E">
        <w:tc>
          <w:tcPr>
            <w:tcW w:w="648" w:type="dxa"/>
          </w:tcPr>
          <w:p w14:paraId="129473B6" w14:textId="77777777" w:rsidR="0018433B" w:rsidRPr="00CD75A6" w:rsidRDefault="0018433B" w:rsidP="00786ADB">
            <w:r w:rsidRPr="00CD75A6">
              <w:t>48c</w:t>
            </w:r>
          </w:p>
        </w:tc>
        <w:tc>
          <w:tcPr>
            <w:tcW w:w="4464" w:type="dxa"/>
          </w:tcPr>
          <w:p w14:paraId="6427CDBE" w14:textId="77777777" w:rsidR="0018433B" w:rsidRPr="009153E5" w:rsidRDefault="0018433B" w:rsidP="00B47A48">
            <w:pPr>
              <w:jc w:val="left"/>
            </w:pPr>
            <w:r w:rsidRPr="00CE06CA">
              <w:rPr>
                <w:bCs/>
                <w:szCs w:val="22"/>
                <w:lang w:val="el-GR"/>
              </w:rPr>
              <w:t>πλημμύρης δὲ γενομένης προσέρηξεν ὁ ποταμὸς τῇ οἰκίᾳ ἐκείνῃ,</w:t>
            </w:r>
          </w:p>
        </w:tc>
        <w:tc>
          <w:tcPr>
            <w:tcW w:w="4464" w:type="dxa"/>
          </w:tcPr>
          <w:p w14:paraId="660CD231" w14:textId="6086DED7" w:rsidR="0018433B" w:rsidRPr="00CD75A6" w:rsidRDefault="0018433B" w:rsidP="00B47A48">
            <w:pPr>
              <w:jc w:val="left"/>
            </w:pPr>
            <w:r w:rsidRPr="00CD75A6">
              <w:t>when a flood arose</w:t>
            </w:r>
            <w:r w:rsidR="006F304D" w:rsidRPr="006F304D">
              <w:t xml:space="preserve">, </w:t>
            </w:r>
            <w:r w:rsidRPr="00CD75A6">
              <w:t>the river burst against that house</w:t>
            </w:r>
          </w:p>
        </w:tc>
      </w:tr>
      <w:tr w:rsidR="0018433B" w:rsidRPr="00CD75A6" w14:paraId="4C91A683" w14:textId="77777777" w:rsidTr="00A44C2E">
        <w:tc>
          <w:tcPr>
            <w:tcW w:w="648" w:type="dxa"/>
          </w:tcPr>
          <w:p w14:paraId="39824A38" w14:textId="77777777" w:rsidR="0018433B" w:rsidRPr="00CD75A6" w:rsidRDefault="0018433B" w:rsidP="00786ADB">
            <w:r w:rsidRPr="00CD75A6">
              <w:t>48d</w:t>
            </w:r>
          </w:p>
        </w:tc>
        <w:tc>
          <w:tcPr>
            <w:tcW w:w="4464" w:type="dxa"/>
          </w:tcPr>
          <w:p w14:paraId="5666231B" w14:textId="77777777" w:rsidR="0018433B" w:rsidRPr="009153E5" w:rsidRDefault="0018433B" w:rsidP="00B47A48">
            <w:pPr>
              <w:jc w:val="left"/>
            </w:pPr>
            <w:r w:rsidRPr="00CE06CA">
              <w:rPr>
                <w:bCs/>
                <w:szCs w:val="22"/>
                <w:lang w:val="el-GR"/>
              </w:rPr>
              <w:t>καὶ οὐκ ἴσχυσεν σαλεῦσαι αὐτὴν διὰ τὸ καλῶς οἰκοδομῆσθαι αὐτήν.</w:t>
            </w:r>
          </w:p>
        </w:tc>
        <w:tc>
          <w:tcPr>
            <w:tcW w:w="4464" w:type="dxa"/>
          </w:tcPr>
          <w:p w14:paraId="275D97B4" w14:textId="2D168017" w:rsidR="0018433B" w:rsidRPr="00CD75A6" w:rsidRDefault="0018433B" w:rsidP="00B47A48">
            <w:pPr>
              <w:jc w:val="left"/>
            </w:pPr>
            <w:r w:rsidRPr="00CD75A6">
              <w:t>but could not shake it</w:t>
            </w:r>
            <w:r w:rsidR="006F304D" w:rsidRPr="006F304D">
              <w:t xml:space="preserve">, </w:t>
            </w:r>
            <w:r w:rsidRPr="00CD75A6">
              <w:t>because it had been well built.</w:t>
            </w:r>
          </w:p>
        </w:tc>
      </w:tr>
      <w:tr w:rsidR="0018433B" w:rsidRPr="00CD75A6" w14:paraId="0286A2DD" w14:textId="77777777" w:rsidTr="00A44C2E">
        <w:tc>
          <w:tcPr>
            <w:tcW w:w="648" w:type="dxa"/>
          </w:tcPr>
          <w:p w14:paraId="0AADCC6E" w14:textId="77777777" w:rsidR="0018433B" w:rsidRPr="00CD75A6" w:rsidRDefault="0018433B" w:rsidP="00786ADB">
            <w:r w:rsidRPr="00CD75A6">
              <w:t>49a</w:t>
            </w:r>
          </w:p>
        </w:tc>
        <w:tc>
          <w:tcPr>
            <w:tcW w:w="4464" w:type="dxa"/>
          </w:tcPr>
          <w:p w14:paraId="48884D76" w14:textId="77777777" w:rsidR="0018433B" w:rsidRPr="000310C0" w:rsidRDefault="0018433B" w:rsidP="00B47A48">
            <w:pPr>
              <w:jc w:val="left"/>
              <w:rPr>
                <w:b/>
              </w:rPr>
            </w:pPr>
            <w:r w:rsidRPr="00CE06CA">
              <w:rPr>
                <w:bCs/>
                <w:szCs w:val="22"/>
                <w:lang w:val="el-GR"/>
              </w:rPr>
              <w:t>ὁ δὲ ἀκούσας καὶ μὴ ποιήσας ὅμοιός ἐστιν ἀνθρώπῳ</w:t>
            </w:r>
          </w:p>
        </w:tc>
        <w:tc>
          <w:tcPr>
            <w:tcW w:w="4464" w:type="dxa"/>
          </w:tcPr>
          <w:p w14:paraId="301075DE" w14:textId="77777777" w:rsidR="0018433B" w:rsidRPr="00CD75A6" w:rsidRDefault="0018433B" w:rsidP="00B47A48">
            <w:pPr>
              <w:jc w:val="left"/>
            </w:pPr>
            <w:r w:rsidRPr="00CD75A6">
              <w:t>But the one who hears and does not act is like a man</w:t>
            </w:r>
          </w:p>
        </w:tc>
      </w:tr>
      <w:tr w:rsidR="0018433B" w:rsidRPr="00CD75A6" w14:paraId="6E3FF4A9" w14:textId="77777777" w:rsidTr="00A44C2E">
        <w:tc>
          <w:tcPr>
            <w:tcW w:w="648" w:type="dxa"/>
          </w:tcPr>
          <w:p w14:paraId="0222AA44" w14:textId="77777777" w:rsidR="0018433B" w:rsidRPr="00CD75A6" w:rsidRDefault="0018433B" w:rsidP="00786ADB">
            <w:r w:rsidRPr="00CD75A6">
              <w:t>49b</w:t>
            </w:r>
          </w:p>
        </w:tc>
        <w:tc>
          <w:tcPr>
            <w:tcW w:w="4464" w:type="dxa"/>
          </w:tcPr>
          <w:p w14:paraId="06EAAC1B" w14:textId="77777777" w:rsidR="0018433B" w:rsidRPr="009153E5" w:rsidRDefault="0018433B" w:rsidP="00B47A48">
            <w:pPr>
              <w:jc w:val="left"/>
            </w:pPr>
            <w:r w:rsidRPr="00CE06CA">
              <w:rPr>
                <w:bCs/>
                <w:szCs w:val="22"/>
                <w:lang w:val="el-GR"/>
              </w:rPr>
              <w:t>οἰκοδομήσαντι οἰκίαν ἐπὶ τὴν γῆν χωρὶς θεμελίου,</w:t>
            </w:r>
          </w:p>
        </w:tc>
        <w:tc>
          <w:tcPr>
            <w:tcW w:w="4464" w:type="dxa"/>
          </w:tcPr>
          <w:p w14:paraId="73D93129" w14:textId="77777777" w:rsidR="0018433B" w:rsidRPr="00CD75A6" w:rsidRDefault="0018433B" w:rsidP="00B47A48">
            <w:pPr>
              <w:jc w:val="left"/>
            </w:pPr>
            <w:r w:rsidRPr="00CD75A6">
              <w:t>who built a house on the ground without a foundation.</w:t>
            </w:r>
          </w:p>
        </w:tc>
      </w:tr>
      <w:tr w:rsidR="0018433B" w:rsidRPr="00CD75A6" w14:paraId="7BA1CABD" w14:textId="77777777" w:rsidTr="00A44C2E">
        <w:tc>
          <w:tcPr>
            <w:tcW w:w="648" w:type="dxa"/>
          </w:tcPr>
          <w:p w14:paraId="2699EE75" w14:textId="77777777" w:rsidR="0018433B" w:rsidRPr="00CD75A6" w:rsidRDefault="0018433B" w:rsidP="00786ADB">
            <w:r w:rsidRPr="00CD75A6">
              <w:t>49c</w:t>
            </w:r>
          </w:p>
        </w:tc>
        <w:tc>
          <w:tcPr>
            <w:tcW w:w="4464" w:type="dxa"/>
          </w:tcPr>
          <w:p w14:paraId="7A5DCA1A" w14:textId="77777777" w:rsidR="0018433B" w:rsidRPr="009153E5" w:rsidRDefault="0018433B" w:rsidP="00B47A48">
            <w:pPr>
              <w:jc w:val="left"/>
            </w:pPr>
            <w:r w:rsidRPr="00CE06CA">
              <w:rPr>
                <w:bCs/>
                <w:szCs w:val="22"/>
                <w:lang w:val="el-GR"/>
              </w:rPr>
              <w:t>ᾗ προσέρηξεν ὁ ποταμός,</w:t>
            </w:r>
          </w:p>
        </w:tc>
        <w:tc>
          <w:tcPr>
            <w:tcW w:w="4464" w:type="dxa"/>
          </w:tcPr>
          <w:p w14:paraId="7B1F5236" w14:textId="77777777" w:rsidR="0018433B" w:rsidRPr="00CD75A6" w:rsidRDefault="0018433B" w:rsidP="00B47A48">
            <w:pPr>
              <w:jc w:val="left"/>
            </w:pPr>
            <w:r w:rsidRPr="00CD75A6">
              <w:t>When the river burst against it,</w:t>
            </w:r>
          </w:p>
        </w:tc>
      </w:tr>
      <w:tr w:rsidR="0018433B" w:rsidRPr="00CD75A6" w14:paraId="7CA8C595" w14:textId="77777777" w:rsidTr="00A44C2E">
        <w:tc>
          <w:tcPr>
            <w:tcW w:w="648" w:type="dxa"/>
          </w:tcPr>
          <w:p w14:paraId="08EBAEDF" w14:textId="77777777" w:rsidR="0018433B" w:rsidRPr="00CD75A6" w:rsidRDefault="0018433B" w:rsidP="00786ADB">
            <w:r w:rsidRPr="00CD75A6">
              <w:t>49d</w:t>
            </w:r>
          </w:p>
        </w:tc>
        <w:tc>
          <w:tcPr>
            <w:tcW w:w="4464" w:type="dxa"/>
          </w:tcPr>
          <w:p w14:paraId="54A05E61" w14:textId="77777777" w:rsidR="0018433B" w:rsidRPr="000310C0" w:rsidRDefault="0018433B" w:rsidP="00B47A48">
            <w:pPr>
              <w:jc w:val="left"/>
            </w:pPr>
            <w:r w:rsidRPr="00CE06CA">
              <w:rPr>
                <w:bCs/>
                <w:szCs w:val="22"/>
                <w:lang w:val="el-GR"/>
              </w:rPr>
              <w:t>καὶ εὐθὺς συνέπεσεν</w:t>
            </w:r>
          </w:p>
        </w:tc>
        <w:tc>
          <w:tcPr>
            <w:tcW w:w="4464" w:type="dxa"/>
          </w:tcPr>
          <w:p w14:paraId="27518003" w14:textId="77777777" w:rsidR="0018433B" w:rsidRPr="00CD75A6" w:rsidRDefault="0018433B" w:rsidP="00B47A48">
            <w:pPr>
              <w:jc w:val="left"/>
            </w:pPr>
            <w:r w:rsidRPr="00CD75A6">
              <w:t>immediately it fell,</w:t>
            </w:r>
          </w:p>
        </w:tc>
      </w:tr>
      <w:tr w:rsidR="0018433B" w:rsidRPr="00CD75A6" w14:paraId="2BC7CCB7" w14:textId="77777777" w:rsidTr="00A44C2E">
        <w:tc>
          <w:tcPr>
            <w:tcW w:w="648" w:type="dxa"/>
          </w:tcPr>
          <w:p w14:paraId="71B0E4CE" w14:textId="77777777" w:rsidR="0018433B" w:rsidRPr="00CD75A6" w:rsidRDefault="0018433B" w:rsidP="00786ADB">
            <w:r w:rsidRPr="00CD75A6">
              <w:t>49e</w:t>
            </w:r>
          </w:p>
        </w:tc>
        <w:tc>
          <w:tcPr>
            <w:tcW w:w="4464" w:type="dxa"/>
          </w:tcPr>
          <w:p w14:paraId="2A46A075" w14:textId="77777777" w:rsidR="0018433B" w:rsidRPr="009153E5" w:rsidRDefault="0018433B" w:rsidP="00B47A48">
            <w:pPr>
              <w:jc w:val="left"/>
            </w:pPr>
            <w:r w:rsidRPr="00CE06CA">
              <w:rPr>
                <w:bCs/>
                <w:szCs w:val="22"/>
                <w:lang w:val="el-GR"/>
              </w:rPr>
              <w:t>καὶ ἐγένετο τὸ ῥῆγμα τῆς οἰκίας ἐκείνης μέγα.</w:t>
            </w:r>
          </w:p>
        </w:tc>
        <w:tc>
          <w:tcPr>
            <w:tcW w:w="4464" w:type="dxa"/>
          </w:tcPr>
          <w:p w14:paraId="72867873" w14:textId="77777777" w:rsidR="0018433B" w:rsidRPr="00CD75A6" w:rsidRDefault="0018433B" w:rsidP="00B47A48">
            <w:pPr>
              <w:jc w:val="left"/>
            </w:pPr>
            <w:r w:rsidRPr="00CD75A6">
              <w:t>and great was the ruin of that house.”</w:t>
            </w:r>
          </w:p>
        </w:tc>
      </w:tr>
    </w:tbl>
    <w:p w14:paraId="2B05428D" w14:textId="56725281" w:rsidR="00B47A48" w:rsidRDefault="00B47A48" w:rsidP="00786ADB"/>
    <w:p w14:paraId="7AD3FE8B" w14:textId="77777777" w:rsidR="00B47A48" w:rsidRDefault="00B47A48">
      <w:r>
        <w:br w:type="page"/>
      </w:r>
    </w:p>
    <w:p w14:paraId="66FBF1A7" w14:textId="0ED80849" w:rsidR="00B47A48" w:rsidRPr="00C22B32" w:rsidRDefault="00B3722B" w:rsidP="00B3722B">
      <w:pPr>
        <w:pStyle w:val="Heading1"/>
      </w:pPr>
      <w:bookmarkStart w:id="99" w:name="_Toc147618657"/>
      <w:r w:rsidRPr="00C22B32">
        <w:lastRenderedPageBreak/>
        <w:t xml:space="preserve">Appendix </w:t>
      </w:r>
      <w:r w:rsidR="00B47A48">
        <w:t>2</w:t>
      </w:r>
      <w:r>
        <w:t xml:space="preserve">: </w:t>
      </w:r>
      <w:r w:rsidRPr="00C22B32">
        <w:t xml:space="preserve">Meynet’s </w:t>
      </w:r>
      <w:r w:rsidR="00B47A48" w:rsidRPr="00C22B32">
        <w:t>‘</w:t>
      </w:r>
      <w:r w:rsidRPr="00C22B32">
        <w:t>Biblical Rhetoric</w:t>
      </w:r>
      <w:r w:rsidR="00B47A48" w:rsidRPr="00C22B32">
        <w:t>”</w:t>
      </w:r>
      <w:bookmarkEnd w:id="99"/>
    </w:p>
    <w:p w14:paraId="6A727094" w14:textId="77777777" w:rsidR="00B47A48" w:rsidRDefault="00B47A48" w:rsidP="00B47A48">
      <w:pPr>
        <w:pStyle w:val="Style"/>
        <w:widowControl/>
        <w:jc w:val="both"/>
        <w:textAlignment w:val="baseline"/>
        <w:rPr>
          <w:bCs/>
          <w:szCs w:val="25"/>
        </w:rPr>
      </w:pPr>
    </w:p>
    <w:p w14:paraId="4355C099" w14:textId="77777777" w:rsidR="00B47A48" w:rsidRDefault="00B47A48" w:rsidP="00B47A48">
      <w:pPr>
        <w:pStyle w:val="Style"/>
        <w:widowControl/>
        <w:jc w:val="both"/>
        <w:textAlignment w:val="baseline"/>
        <w:rPr>
          <w:bCs/>
          <w:szCs w:val="25"/>
        </w:rPr>
      </w:pPr>
    </w:p>
    <w:p w14:paraId="4BCA7776" w14:textId="77777777" w:rsidR="00B47A48" w:rsidRPr="00FF36C8" w:rsidRDefault="00B47A48" w:rsidP="00B47A48">
      <w:pPr>
        <w:pStyle w:val="Style"/>
        <w:widowControl/>
        <w:jc w:val="both"/>
        <w:textAlignment w:val="baseline"/>
        <w:rPr>
          <w:bCs/>
          <w:szCs w:val="25"/>
        </w:rPr>
      </w:pPr>
      <w:r>
        <w:rPr>
          <w:bCs/>
          <w:szCs w:val="25"/>
        </w:rPr>
        <w:tab/>
      </w:r>
      <w:r w:rsidRPr="00C22B32">
        <w:rPr>
          <w:bCs/>
          <w:szCs w:val="25"/>
        </w:rPr>
        <w:t xml:space="preserve">In </w:t>
      </w:r>
      <w:r w:rsidRPr="00C22B32">
        <w:rPr>
          <w:bCs/>
          <w:i/>
          <w:iCs/>
          <w:szCs w:val="25"/>
        </w:rPr>
        <w:t xml:space="preserve">Quelle est </w:t>
      </w:r>
      <w:proofErr w:type="spellStart"/>
      <w:r w:rsidRPr="00C22B32">
        <w:rPr>
          <w:bCs/>
          <w:i/>
          <w:iCs/>
          <w:szCs w:val="25"/>
        </w:rPr>
        <w:t>donc</w:t>
      </w:r>
      <w:proofErr w:type="spellEnd"/>
      <w:r w:rsidRPr="00C22B32">
        <w:rPr>
          <w:bCs/>
          <w:i/>
          <w:iCs/>
          <w:szCs w:val="25"/>
        </w:rPr>
        <w:t xml:space="preserve"> </w:t>
      </w:r>
      <w:proofErr w:type="spellStart"/>
      <w:r w:rsidRPr="00C22B32">
        <w:rPr>
          <w:bCs/>
          <w:i/>
          <w:iCs/>
          <w:szCs w:val="25"/>
        </w:rPr>
        <w:t>cette</w:t>
      </w:r>
      <w:proofErr w:type="spellEnd"/>
      <w:r w:rsidRPr="00C22B32">
        <w:rPr>
          <w:bCs/>
          <w:i/>
          <w:iCs/>
          <w:szCs w:val="25"/>
        </w:rPr>
        <w:t xml:space="preserve"> parole</w:t>
      </w:r>
      <w:r w:rsidRPr="00FF36C8">
        <w:rPr>
          <w:bCs/>
          <w:i/>
          <w:szCs w:val="25"/>
        </w:rPr>
        <w:t>?</w:t>
      </w:r>
      <w:r w:rsidRPr="00C22B32">
        <w:rPr>
          <w:bCs/>
          <w:iCs/>
          <w:szCs w:val="25"/>
        </w:rPr>
        <w:t xml:space="preserve">, </w:t>
      </w:r>
      <w:r w:rsidRPr="00C22B32">
        <w:rPr>
          <w:bCs/>
          <w:szCs w:val="25"/>
        </w:rPr>
        <w:t>Roland Meynet attempts to describe the aspects of Hebrew rhetoric in a comprehensive manner. We begin this overview of his “scriptural rhetoric” with an outline of section two of chapter 1 of his work (pp. 38-62)</w:t>
      </w:r>
      <w:r w:rsidRPr="00C22B32">
        <w:rPr>
          <w:bCs/>
          <w:iCs/>
          <w:szCs w:val="25"/>
        </w:rPr>
        <w:t xml:space="preserve">, </w:t>
      </w:r>
      <w:r w:rsidRPr="00C22B32">
        <w:rPr>
          <w:bCs/>
          <w:szCs w:val="25"/>
        </w:rPr>
        <w:t xml:space="preserve">a section which </w:t>
      </w:r>
      <w:proofErr w:type="spellStart"/>
      <w:r w:rsidRPr="00C22B32">
        <w:rPr>
          <w:bCs/>
          <w:szCs w:val="25"/>
        </w:rPr>
        <w:t>Meynet</w:t>
      </w:r>
      <w:proofErr w:type="spellEnd"/>
      <w:r w:rsidRPr="00C22B32">
        <w:rPr>
          <w:bCs/>
          <w:szCs w:val="25"/>
        </w:rPr>
        <w:t xml:space="preserve"> entitles</w:t>
      </w:r>
      <w:r w:rsidRPr="00C22B32">
        <w:rPr>
          <w:bCs/>
          <w:iCs/>
          <w:szCs w:val="25"/>
        </w:rPr>
        <w:t xml:space="preserve">, </w:t>
      </w:r>
      <w:r>
        <w:rPr>
          <w:bCs/>
          <w:szCs w:val="25"/>
        </w:rPr>
        <w:t>“</w:t>
      </w:r>
      <w:r w:rsidRPr="00C22B32">
        <w:rPr>
          <w:bCs/>
          <w:szCs w:val="25"/>
        </w:rPr>
        <w:t>Aspects of Biblical Rhetoric.</w:t>
      </w:r>
      <w:r>
        <w:rPr>
          <w:bCs/>
          <w:szCs w:val="25"/>
        </w:rPr>
        <w:t>”</w:t>
      </w:r>
      <w:r>
        <w:rPr>
          <w:rStyle w:val="FootnoteReference"/>
          <w:bCs/>
          <w:szCs w:val="25"/>
        </w:rPr>
        <w:footnoteReference w:id="840"/>
      </w:r>
    </w:p>
    <w:p w14:paraId="3155C774" w14:textId="77777777" w:rsidR="00B47A48" w:rsidRDefault="00B47A48" w:rsidP="00B47A48">
      <w:pPr>
        <w:pStyle w:val="Style"/>
        <w:widowControl/>
        <w:jc w:val="both"/>
        <w:textAlignment w:val="baseline"/>
        <w:rPr>
          <w:bCs/>
          <w:szCs w:val="25"/>
        </w:rPr>
      </w:pPr>
    </w:p>
    <w:p w14:paraId="42D181F6" w14:textId="77777777" w:rsidR="00B47A48" w:rsidRPr="00C22B32" w:rsidRDefault="00B47A48" w:rsidP="00B47A48">
      <w:pPr>
        <w:pStyle w:val="Style"/>
        <w:widowControl/>
        <w:ind w:left="360" w:hanging="360"/>
        <w:jc w:val="both"/>
        <w:textAlignment w:val="baseline"/>
        <w:rPr>
          <w:bCs/>
          <w:szCs w:val="25"/>
        </w:rPr>
      </w:pPr>
      <w:r w:rsidRPr="00C22B32">
        <w:rPr>
          <w:bCs/>
          <w:szCs w:val="25"/>
        </w:rPr>
        <w:t>A</w:t>
      </w:r>
      <w:r>
        <w:rPr>
          <w:bCs/>
          <w:szCs w:val="25"/>
        </w:rPr>
        <w:tab/>
      </w:r>
      <w:r w:rsidRPr="00C22B32">
        <w:rPr>
          <w:bCs/>
          <w:szCs w:val="25"/>
        </w:rPr>
        <w:t>Different types of relationship between linguistic elements that can have a rhetorical function [38]</w:t>
      </w:r>
    </w:p>
    <w:p w14:paraId="7A738584" w14:textId="77777777" w:rsidR="00B47A48" w:rsidRDefault="00B47A48" w:rsidP="00B47A48">
      <w:pPr>
        <w:pStyle w:val="Style"/>
        <w:widowControl/>
        <w:jc w:val="both"/>
        <w:textAlignment w:val="baseline"/>
        <w:rPr>
          <w:bCs/>
          <w:szCs w:val="25"/>
        </w:rPr>
      </w:pPr>
    </w:p>
    <w:p w14:paraId="3CD62046" w14:textId="77777777" w:rsidR="00B47A48" w:rsidRDefault="00B47A48" w:rsidP="00B47A48">
      <w:pPr>
        <w:pStyle w:val="Style"/>
        <w:widowControl/>
        <w:ind w:left="720" w:hanging="360"/>
        <w:jc w:val="both"/>
        <w:textAlignment w:val="baseline"/>
        <w:rPr>
          <w:bCs/>
          <w:szCs w:val="25"/>
        </w:rPr>
      </w:pPr>
      <w:r>
        <w:rPr>
          <w:bCs/>
          <w:szCs w:val="25"/>
        </w:rPr>
        <w:t>1.</w:t>
      </w:r>
      <w:r>
        <w:rPr>
          <w:bCs/>
          <w:szCs w:val="25"/>
        </w:rPr>
        <w:tab/>
      </w:r>
      <w:r w:rsidRPr="00C22B32">
        <w:rPr>
          <w:bCs/>
          <w:szCs w:val="25"/>
        </w:rPr>
        <w:t>the relation of identity</w:t>
      </w:r>
    </w:p>
    <w:p w14:paraId="7DA0F910" w14:textId="77777777" w:rsidR="00B47A48" w:rsidRDefault="00B47A48" w:rsidP="00B47A48">
      <w:pPr>
        <w:pStyle w:val="Style"/>
        <w:widowControl/>
        <w:jc w:val="both"/>
        <w:textAlignment w:val="baseline"/>
        <w:rPr>
          <w:bCs/>
          <w:szCs w:val="25"/>
        </w:rPr>
      </w:pPr>
    </w:p>
    <w:p w14:paraId="237FE0A3" w14:textId="77777777" w:rsidR="00B47A48" w:rsidRPr="00C22B32" w:rsidRDefault="00B47A48" w:rsidP="00B47A48">
      <w:pPr>
        <w:pStyle w:val="Style"/>
        <w:widowControl/>
        <w:ind w:left="1080" w:hanging="360"/>
        <w:jc w:val="both"/>
        <w:textAlignment w:val="baseline"/>
        <w:rPr>
          <w:bCs/>
          <w:szCs w:val="25"/>
        </w:rPr>
      </w:pPr>
      <w:r>
        <w:rPr>
          <w:bCs/>
          <w:szCs w:val="25"/>
        </w:rPr>
        <w:t>a.</w:t>
      </w:r>
      <w:r>
        <w:rPr>
          <w:bCs/>
          <w:szCs w:val="25"/>
        </w:rPr>
        <w:tab/>
      </w:r>
      <w:r w:rsidRPr="00C22B32">
        <w:rPr>
          <w:bCs/>
          <w:szCs w:val="25"/>
        </w:rPr>
        <w:t>at the lexical level</w:t>
      </w:r>
    </w:p>
    <w:p w14:paraId="7BD99092" w14:textId="77777777" w:rsidR="00B47A48" w:rsidRPr="00C22B32" w:rsidRDefault="00B47A48" w:rsidP="00B47A48">
      <w:pPr>
        <w:pStyle w:val="Style"/>
        <w:widowControl/>
        <w:ind w:left="1440" w:hanging="360"/>
        <w:jc w:val="both"/>
        <w:textAlignment w:val="baseline"/>
        <w:rPr>
          <w:bCs/>
          <w:szCs w:val="25"/>
        </w:rPr>
      </w:pPr>
      <w:r>
        <w:rPr>
          <w:bCs/>
          <w:szCs w:val="25"/>
        </w:rPr>
        <w:t>1)</w:t>
      </w:r>
      <w:r>
        <w:rPr>
          <w:bCs/>
          <w:szCs w:val="25"/>
        </w:rPr>
        <w:tab/>
      </w:r>
      <w:r w:rsidRPr="00C22B32">
        <w:rPr>
          <w:bCs/>
          <w:szCs w:val="25"/>
        </w:rPr>
        <w:t>identification of both the words and the meanings (e.g.</w:t>
      </w:r>
      <w:r w:rsidRPr="00C22B32">
        <w:rPr>
          <w:bCs/>
          <w:iCs/>
          <w:szCs w:val="25"/>
        </w:rPr>
        <w:t>, “</w:t>
      </w:r>
      <w:r w:rsidRPr="00C22B32">
        <w:rPr>
          <w:bCs/>
          <w:szCs w:val="25"/>
        </w:rPr>
        <w:t>Jesus” in 5:8 and 5:12)</w:t>
      </w:r>
    </w:p>
    <w:p w14:paraId="648C3C8E" w14:textId="77777777" w:rsidR="00B47A48" w:rsidRPr="00C22B32" w:rsidRDefault="00B47A48" w:rsidP="00B47A48">
      <w:pPr>
        <w:pStyle w:val="Style"/>
        <w:widowControl/>
        <w:ind w:left="1440" w:hanging="360"/>
        <w:jc w:val="both"/>
        <w:textAlignment w:val="baseline"/>
        <w:rPr>
          <w:bCs/>
          <w:szCs w:val="25"/>
        </w:rPr>
      </w:pPr>
      <w:r>
        <w:rPr>
          <w:bCs/>
          <w:szCs w:val="25"/>
        </w:rPr>
        <w:t>2)</w:t>
      </w:r>
      <w:r>
        <w:rPr>
          <w:bCs/>
          <w:szCs w:val="25"/>
        </w:rPr>
        <w:tab/>
      </w:r>
      <w:r w:rsidRPr="00C22B32">
        <w:rPr>
          <w:bCs/>
          <w:szCs w:val="25"/>
        </w:rPr>
        <w:t xml:space="preserve">identification of the words but not of the meanings (homonymy) </w:t>
      </w:r>
      <w:r w:rsidRPr="001C646B">
        <w:rPr>
          <w:bCs/>
          <w:iCs/>
          <w:szCs w:val="25"/>
        </w:rPr>
        <w:t>(</w:t>
      </w:r>
      <w:r w:rsidRPr="00C22B32">
        <w:rPr>
          <w:bCs/>
          <w:szCs w:val="25"/>
        </w:rPr>
        <w:t>e.g.</w:t>
      </w:r>
      <w:r w:rsidRPr="00C22B32">
        <w:rPr>
          <w:bCs/>
          <w:iCs/>
          <w:szCs w:val="25"/>
        </w:rPr>
        <w:t xml:space="preserve">, </w:t>
      </w:r>
      <w:r w:rsidRPr="00C22B32">
        <w:rPr>
          <w:bCs/>
          <w:szCs w:val="25"/>
        </w:rPr>
        <w:t>earth” in 2:14 and 6:49</w:t>
      </w:r>
      <w:r w:rsidRPr="00C22B32">
        <w:rPr>
          <w:bCs/>
          <w:iCs/>
          <w:szCs w:val="25"/>
        </w:rPr>
        <w:t xml:space="preserve">, </w:t>
      </w:r>
      <w:r w:rsidRPr="00C22B32">
        <w:rPr>
          <w:bCs/>
          <w:szCs w:val="25"/>
        </w:rPr>
        <w:t xml:space="preserve">which contrasts with </w:t>
      </w:r>
      <w:r>
        <w:rPr>
          <w:bCs/>
          <w:szCs w:val="25"/>
        </w:rPr>
        <w:t>“</w:t>
      </w:r>
      <w:r w:rsidRPr="00C22B32">
        <w:rPr>
          <w:bCs/>
          <w:szCs w:val="25"/>
        </w:rPr>
        <w:t>sky” in the former but with “rock” in the latter) [39]</w:t>
      </w:r>
    </w:p>
    <w:p w14:paraId="72FBF5D0" w14:textId="77777777" w:rsidR="00B47A48" w:rsidRPr="00C22B32" w:rsidRDefault="00B47A48" w:rsidP="00B47A48">
      <w:pPr>
        <w:pStyle w:val="Style"/>
        <w:widowControl/>
        <w:ind w:left="1440" w:hanging="360"/>
        <w:jc w:val="both"/>
        <w:textAlignment w:val="baseline"/>
        <w:rPr>
          <w:bCs/>
          <w:szCs w:val="25"/>
        </w:rPr>
      </w:pPr>
      <w:r>
        <w:rPr>
          <w:bCs/>
          <w:szCs w:val="25"/>
        </w:rPr>
        <w:t>3)</w:t>
      </w:r>
      <w:r>
        <w:rPr>
          <w:bCs/>
          <w:szCs w:val="25"/>
        </w:rPr>
        <w:tab/>
      </w:r>
      <w:r w:rsidRPr="00C22B32">
        <w:rPr>
          <w:bCs/>
          <w:szCs w:val="25"/>
        </w:rPr>
        <w:t xml:space="preserve">identification of the meanings but not of the words </w:t>
      </w:r>
      <w:r w:rsidRPr="001C646B">
        <w:rPr>
          <w:bCs/>
          <w:iCs/>
          <w:szCs w:val="25"/>
        </w:rPr>
        <w:t>(</w:t>
      </w:r>
      <w:r w:rsidRPr="00C22B32">
        <w:rPr>
          <w:bCs/>
          <w:szCs w:val="25"/>
        </w:rPr>
        <w:t xml:space="preserve">synonymy) </w:t>
      </w:r>
      <w:r w:rsidRPr="001C646B">
        <w:rPr>
          <w:bCs/>
          <w:iCs/>
          <w:szCs w:val="25"/>
        </w:rPr>
        <w:t>(</w:t>
      </w:r>
      <w:r w:rsidRPr="00C22B32">
        <w:rPr>
          <w:bCs/>
          <w:szCs w:val="25"/>
        </w:rPr>
        <w:t>e.g.</w:t>
      </w:r>
      <w:r w:rsidRPr="00C22B32">
        <w:rPr>
          <w:bCs/>
          <w:iCs/>
          <w:szCs w:val="25"/>
        </w:rPr>
        <w:t>, “</w:t>
      </w:r>
      <w:r w:rsidRPr="00C22B32">
        <w:rPr>
          <w:bCs/>
          <w:szCs w:val="25"/>
        </w:rPr>
        <w:t xml:space="preserve">son of the most high” in 1:32 and “son of God” in 1:35) </w:t>
      </w:r>
      <w:r w:rsidRPr="001C646B">
        <w:rPr>
          <w:bCs/>
          <w:iCs/>
          <w:szCs w:val="25"/>
        </w:rPr>
        <w:t>[</w:t>
      </w:r>
      <w:r w:rsidRPr="00C22B32">
        <w:rPr>
          <w:bCs/>
          <w:szCs w:val="25"/>
        </w:rPr>
        <w:t>40]</w:t>
      </w:r>
    </w:p>
    <w:p w14:paraId="471231C9" w14:textId="77777777" w:rsidR="00B47A48" w:rsidRPr="00C22B32" w:rsidRDefault="00B47A48" w:rsidP="00B47A48">
      <w:pPr>
        <w:pStyle w:val="Style"/>
        <w:widowControl/>
        <w:ind w:left="1800" w:hanging="360"/>
        <w:jc w:val="both"/>
        <w:textAlignment w:val="baseline"/>
        <w:rPr>
          <w:bCs/>
          <w:szCs w:val="25"/>
        </w:rPr>
      </w:pPr>
      <w:r>
        <w:rPr>
          <w:bCs/>
          <w:szCs w:val="25"/>
        </w:rPr>
        <w:t>a)</w:t>
      </w:r>
      <w:r>
        <w:rPr>
          <w:bCs/>
          <w:szCs w:val="25"/>
        </w:rPr>
        <w:tab/>
      </w:r>
      <w:r w:rsidRPr="00C22B32">
        <w:rPr>
          <w:bCs/>
          <w:szCs w:val="25"/>
        </w:rPr>
        <w:t xml:space="preserve">known by </w:t>
      </w:r>
      <w:r w:rsidRPr="00C22B32">
        <w:rPr>
          <w:bCs/>
          <w:i/>
          <w:iCs/>
          <w:szCs w:val="25"/>
        </w:rPr>
        <w:t>permutation</w:t>
      </w:r>
      <w:r w:rsidRPr="00C22B32">
        <w:rPr>
          <w:bCs/>
          <w:iCs/>
          <w:szCs w:val="25"/>
        </w:rPr>
        <w:t xml:space="preserve">: </w:t>
      </w:r>
      <w:r w:rsidRPr="00C22B32">
        <w:rPr>
          <w:bCs/>
          <w:szCs w:val="25"/>
        </w:rPr>
        <w:t xml:space="preserve">two different words are known to be synonymous because they are in similar contexts </w:t>
      </w:r>
      <w:r w:rsidRPr="001C646B">
        <w:rPr>
          <w:bCs/>
          <w:iCs/>
          <w:szCs w:val="25"/>
        </w:rPr>
        <w:t>(</w:t>
      </w:r>
      <w:r w:rsidRPr="00C22B32">
        <w:rPr>
          <w:bCs/>
          <w:szCs w:val="25"/>
        </w:rPr>
        <w:t>e.g.</w:t>
      </w:r>
      <w:r w:rsidRPr="00C22B32">
        <w:rPr>
          <w:bCs/>
          <w:iCs/>
          <w:szCs w:val="25"/>
        </w:rPr>
        <w:t xml:space="preserve">, </w:t>
      </w:r>
      <w:r w:rsidRPr="00C22B32">
        <w:rPr>
          <w:bCs/>
          <w:szCs w:val="25"/>
        </w:rPr>
        <w:t>in Luke 8:1 and 9:60</w:t>
      </w:r>
      <w:r w:rsidRPr="00C22B32">
        <w:rPr>
          <w:bCs/>
          <w:iCs/>
          <w:szCs w:val="25"/>
        </w:rPr>
        <w:t>, “</w:t>
      </w:r>
      <w:r w:rsidRPr="00C22B32">
        <w:rPr>
          <w:bCs/>
          <w:szCs w:val="25"/>
        </w:rPr>
        <w:t xml:space="preserve">proclaim” and </w:t>
      </w:r>
      <w:r>
        <w:rPr>
          <w:bCs/>
          <w:szCs w:val="25"/>
        </w:rPr>
        <w:t>“</w:t>
      </w:r>
      <w:r w:rsidRPr="00C22B32">
        <w:rPr>
          <w:bCs/>
          <w:szCs w:val="25"/>
        </w:rPr>
        <w:t>announce” have the same object</w:t>
      </w:r>
      <w:r w:rsidRPr="00C22B32">
        <w:rPr>
          <w:bCs/>
          <w:iCs/>
          <w:szCs w:val="25"/>
        </w:rPr>
        <w:t>, “</w:t>
      </w:r>
      <w:r w:rsidRPr="00C22B32">
        <w:rPr>
          <w:bCs/>
          <w:szCs w:val="25"/>
        </w:rPr>
        <w:t>kingdom of God”)</w:t>
      </w:r>
    </w:p>
    <w:p w14:paraId="200CC45D" w14:textId="77777777" w:rsidR="00B47A48" w:rsidRPr="00C22B32" w:rsidRDefault="00B47A48" w:rsidP="00B47A48">
      <w:pPr>
        <w:pStyle w:val="Style"/>
        <w:widowControl/>
        <w:ind w:left="1800" w:hanging="360"/>
        <w:jc w:val="both"/>
        <w:textAlignment w:val="baseline"/>
        <w:rPr>
          <w:bCs/>
          <w:szCs w:val="25"/>
        </w:rPr>
      </w:pPr>
      <w:r>
        <w:rPr>
          <w:bCs/>
          <w:szCs w:val="25"/>
        </w:rPr>
        <w:t>b)</w:t>
      </w:r>
      <w:r>
        <w:rPr>
          <w:bCs/>
          <w:szCs w:val="25"/>
        </w:rPr>
        <w:tab/>
      </w:r>
      <w:r w:rsidRPr="00C22B32">
        <w:rPr>
          <w:bCs/>
          <w:szCs w:val="25"/>
        </w:rPr>
        <w:t xml:space="preserve">known by </w:t>
      </w:r>
      <w:r w:rsidRPr="00C22B32">
        <w:rPr>
          <w:bCs/>
          <w:i/>
          <w:iCs/>
          <w:szCs w:val="25"/>
        </w:rPr>
        <w:t>coordination</w:t>
      </w:r>
      <w:r w:rsidRPr="00C22B32">
        <w:rPr>
          <w:bCs/>
          <w:iCs/>
          <w:szCs w:val="25"/>
        </w:rPr>
        <w:t xml:space="preserve">: </w:t>
      </w:r>
      <w:r w:rsidRPr="00C22B32">
        <w:rPr>
          <w:bCs/>
          <w:szCs w:val="25"/>
        </w:rPr>
        <w:t>two different words are known to be</w:t>
      </w:r>
      <w:r>
        <w:rPr>
          <w:bCs/>
          <w:szCs w:val="25"/>
        </w:rPr>
        <w:t xml:space="preserve"> </w:t>
      </w:r>
      <w:r w:rsidRPr="00C22B32">
        <w:rPr>
          <w:bCs/>
          <w:szCs w:val="25"/>
        </w:rPr>
        <w:t xml:space="preserve">synonymous because they are coordinate </w:t>
      </w:r>
      <w:r w:rsidRPr="001C646B">
        <w:rPr>
          <w:bCs/>
          <w:iCs/>
          <w:szCs w:val="25"/>
        </w:rPr>
        <w:t>(</w:t>
      </w:r>
      <w:r w:rsidRPr="00C22B32">
        <w:rPr>
          <w:bCs/>
          <w:szCs w:val="25"/>
        </w:rPr>
        <w:t>e.g.</w:t>
      </w:r>
      <w:r w:rsidRPr="00C22B32">
        <w:rPr>
          <w:bCs/>
          <w:iCs/>
          <w:szCs w:val="25"/>
        </w:rPr>
        <w:t>, “</w:t>
      </w:r>
      <w:r w:rsidRPr="00C22B32">
        <w:rPr>
          <w:bCs/>
          <w:szCs w:val="25"/>
        </w:rPr>
        <w:t xml:space="preserve">proclaim” and </w:t>
      </w:r>
      <w:r>
        <w:rPr>
          <w:bCs/>
          <w:szCs w:val="25"/>
        </w:rPr>
        <w:t>“</w:t>
      </w:r>
      <w:r w:rsidRPr="00C22B32">
        <w:rPr>
          <w:bCs/>
          <w:szCs w:val="25"/>
        </w:rPr>
        <w:t xml:space="preserve">announce the good news” in 8:2) </w:t>
      </w:r>
      <w:r w:rsidRPr="001C646B">
        <w:rPr>
          <w:bCs/>
          <w:iCs/>
          <w:szCs w:val="25"/>
        </w:rPr>
        <w:t>[</w:t>
      </w:r>
      <w:r w:rsidRPr="00C22B32">
        <w:rPr>
          <w:bCs/>
          <w:szCs w:val="25"/>
        </w:rPr>
        <w:t>41]</w:t>
      </w:r>
    </w:p>
    <w:p w14:paraId="24D5DD2F" w14:textId="77777777" w:rsidR="00B47A48" w:rsidRPr="00C22B32" w:rsidRDefault="00B47A48" w:rsidP="00B47A48">
      <w:pPr>
        <w:pStyle w:val="Style"/>
        <w:widowControl/>
        <w:ind w:left="1440" w:hanging="360"/>
        <w:jc w:val="both"/>
        <w:textAlignment w:val="baseline"/>
        <w:rPr>
          <w:bCs/>
          <w:szCs w:val="25"/>
        </w:rPr>
      </w:pPr>
      <w:r>
        <w:rPr>
          <w:bCs/>
          <w:szCs w:val="25"/>
        </w:rPr>
        <w:t>4)</w:t>
      </w:r>
      <w:r>
        <w:rPr>
          <w:bCs/>
          <w:szCs w:val="25"/>
        </w:rPr>
        <w:tab/>
      </w:r>
      <w:r w:rsidRPr="00C22B32">
        <w:rPr>
          <w:bCs/>
          <w:szCs w:val="25"/>
        </w:rPr>
        <w:t>identity in the semantic field (i.e.</w:t>
      </w:r>
      <w:r w:rsidRPr="00C22B32">
        <w:rPr>
          <w:bCs/>
          <w:iCs/>
          <w:szCs w:val="25"/>
        </w:rPr>
        <w:t xml:space="preserve">, </w:t>
      </w:r>
      <w:r w:rsidRPr="00C22B32">
        <w:rPr>
          <w:bCs/>
          <w:szCs w:val="25"/>
        </w:rPr>
        <w:t xml:space="preserve">lists) </w:t>
      </w:r>
      <w:r w:rsidRPr="001C646B">
        <w:rPr>
          <w:bCs/>
          <w:iCs/>
          <w:szCs w:val="25"/>
        </w:rPr>
        <w:t>(</w:t>
      </w:r>
      <w:r w:rsidRPr="00C22B32">
        <w:rPr>
          <w:bCs/>
          <w:szCs w:val="25"/>
        </w:rPr>
        <w:t>e.g.</w:t>
      </w:r>
      <w:r w:rsidRPr="00C22B32">
        <w:rPr>
          <w:bCs/>
          <w:iCs/>
          <w:szCs w:val="25"/>
        </w:rPr>
        <w:t xml:space="preserve">, </w:t>
      </w:r>
      <w:r w:rsidRPr="00C22B32">
        <w:rPr>
          <w:bCs/>
          <w:szCs w:val="25"/>
        </w:rPr>
        <w:t>8:1-56 contains several references to death: 8:24</w:t>
      </w:r>
      <w:r w:rsidRPr="00C22B32">
        <w:rPr>
          <w:bCs/>
          <w:iCs/>
          <w:szCs w:val="25"/>
        </w:rPr>
        <w:t>, “</w:t>
      </w:r>
      <w:r w:rsidRPr="00C22B32">
        <w:rPr>
          <w:bCs/>
          <w:szCs w:val="25"/>
        </w:rPr>
        <w:t>perishing”; 27</w:t>
      </w:r>
      <w:r w:rsidRPr="00C22B32">
        <w:rPr>
          <w:bCs/>
          <w:iCs/>
          <w:szCs w:val="25"/>
        </w:rPr>
        <w:t xml:space="preserve">, </w:t>
      </w:r>
      <w:r>
        <w:rPr>
          <w:bCs/>
          <w:iCs/>
          <w:szCs w:val="25"/>
        </w:rPr>
        <w:t>“</w:t>
      </w:r>
      <w:r w:rsidRPr="00C22B32">
        <w:rPr>
          <w:bCs/>
          <w:szCs w:val="25"/>
        </w:rPr>
        <w:t>tombs”; 42</w:t>
      </w:r>
      <w:r w:rsidRPr="00C22B32">
        <w:rPr>
          <w:bCs/>
          <w:iCs/>
          <w:szCs w:val="25"/>
        </w:rPr>
        <w:t xml:space="preserve">, </w:t>
      </w:r>
      <w:r w:rsidRPr="00C22B32">
        <w:rPr>
          <w:bCs/>
          <w:szCs w:val="25"/>
        </w:rPr>
        <w:t>dying”; 43</w:t>
      </w:r>
      <w:r w:rsidRPr="00C22B32">
        <w:rPr>
          <w:bCs/>
          <w:iCs/>
          <w:szCs w:val="25"/>
        </w:rPr>
        <w:t xml:space="preserve">, </w:t>
      </w:r>
      <w:r>
        <w:rPr>
          <w:bCs/>
          <w:iCs/>
          <w:szCs w:val="25"/>
        </w:rPr>
        <w:t>“</w:t>
      </w:r>
      <w:r>
        <w:rPr>
          <w:bCs/>
          <w:szCs w:val="25"/>
        </w:rPr>
        <w:t>fl</w:t>
      </w:r>
      <w:r w:rsidRPr="00C22B32">
        <w:rPr>
          <w:bCs/>
          <w:szCs w:val="25"/>
        </w:rPr>
        <w:t>ow of blood</w:t>
      </w:r>
      <w:r>
        <w:rPr>
          <w:bCs/>
          <w:szCs w:val="25"/>
        </w:rPr>
        <w:t>”</w:t>
      </w:r>
      <w:r w:rsidRPr="00C22B32">
        <w:rPr>
          <w:bCs/>
          <w:szCs w:val="25"/>
        </w:rPr>
        <w:t>; 49</w:t>
      </w:r>
      <w:r w:rsidRPr="00C22B32">
        <w:rPr>
          <w:bCs/>
          <w:iCs/>
          <w:szCs w:val="25"/>
        </w:rPr>
        <w:t xml:space="preserve">, </w:t>
      </w:r>
      <w:r w:rsidRPr="00C22B32">
        <w:rPr>
          <w:bCs/>
          <w:szCs w:val="25"/>
        </w:rPr>
        <w:t>52</w:t>
      </w:r>
      <w:r w:rsidRPr="00C22B32">
        <w:rPr>
          <w:bCs/>
          <w:iCs/>
          <w:szCs w:val="25"/>
        </w:rPr>
        <w:t xml:space="preserve">, </w:t>
      </w:r>
      <w:r w:rsidRPr="00C22B32">
        <w:rPr>
          <w:bCs/>
          <w:szCs w:val="25"/>
        </w:rPr>
        <w:t>53</w:t>
      </w:r>
      <w:r w:rsidRPr="00C22B32">
        <w:rPr>
          <w:bCs/>
          <w:iCs/>
          <w:szCs w:val="25"/>
        </w:rPr>
        <w:t xml:space="preserve">, </w:t>
      </w:r>
      <w:r>
        <w:rPr>
          <w:bCs/>
          <w:iCs/>
          <w:szCs w:val="25"/>
        </w:rPr>
        <w:t>“</w:t>
      </w:r>
      <w:r w:rsidRPr="00C22B32">
        <w:rPr>
          <w:bCs/>
          <w:szCs w:val="25"/>
        </w:rPr>
        <w:t>dead</w:t>
      </w:r>
      <w:r>
        <w:rPr>
          <w:bCs/>
          <w:szCs w:val="25"/>
        </w:rPr>
        <w:t>”</w:t>
      </w:r>
      <w:r w:rsidRPr="00C22B32">
        <w:rPr>
          <w:bCs/>
          <w:szCs w:val="25"/>
        </w:rPr>
        <w:t>) [42]</w:t>
      </w:r>
    </w:p>
    <w:p w14:paraId="3B930CCC" w14:textId="77777777" w:rsidR="00B47A48" w:rsidRPr="00C22B32" w:rsidRDefault="00B47A48" w:rsidP="00B47A48">
      <w:pPr>
        <w:pStyle w:val="Style"/>
        <w:widowControl/>
        <w:ind w:left="1080" w:hanging="360"/>
        <w:jc w:val="both"/>
        <w:textAlignment w:val="baseline"/>
        <w:rPr>
          <w:bCs/>
          <w:szCs w:val="25"/>
        </w:rPr>
      </w:pPr>
      <w:r>
        <w:rPr>
          <w:bCs/>
          <w:szCs w:val="25"/>
        </w:rPr>
        <w:t>b.</w:t>
      </w:r>
      <w:r>
        <w:rPr>
          <w:bCs/>
          <w:szCs w:val="25"/>
        </w:rPr>
        <w:tab/>
      </w:r>
      <w:r w:rsidRPr="00C22B32">
        <w:rPr>
          <w:bCs/>
          <w:szCs w:val="25"/>
        </w:rPr>
        <w:t>at the morphological level (i.e.</w:t>
      </w:r>
      <w:r w:rsidRPr="00C22B32">
        <w:rPr>
          <w:bCs/>
          <w:iCs/>
          <w:szCs w:val="25"/>
        </w:rPr>
        <w:t xml:space="preserve">, </w:t>
      </w:r>
      <w:r w:rsidRPr="00C22B32">
        <w:rPr>
          <w:bCs/>
          <w:szCs w:val="25"/>
        </w:rPr>
        <w:t>tense</w:t>
      </w:r>
      <w:r w:rsidRPr="00C22B32">
        <w:rPr>
          <w:bCs/>
          <w:iCs/>
          <w:szCs w:val="25"/>
        </w:rPr>
        <w:t xml:space="preserve">, </w:t>
      </w:r>
      <w:r w:rsidRPr="00C22B32">
        <w:rPr>
          <w:bCs/>
          <w:szCs w:val="25"/>
        </w:rPr>
        <w:t>mood</w:t>
      </w:r>
      <w:r w:rsidRPr="00C22B32">
        <w:rPr>
          <w:bCs/>
          <w:iCs/>
          <w:szCs w:val="25"/>
        </w:rPr>
        <w:t xml:space="preserve">, </w:t>
      </w:r>
      <w:r w:rsidRPr="00C22B32">
        <w:rPr>
          <w:bCs/>
          <w:szCs w:val="25"/>
        </w:rPr>
        <w:t>person</w:t>
      </w:r>
      <w:r w:rsidRPr="00C22B32">
        <w:rPr>
          <w:bCs/>
          <w:iCs/>
          <w:szCs w:val="25"/>
        </w:rPr>
        <w:t xml:space="preserve">, </w:t>
      </w:r>
      <w:r w:rsidRPr="00C22B32">
        <w:rPr>
          <w:bCs/>
          <w:szCs w:val="25"/>
        </w:rPr>
        <w:t>number</w:t>
      </w:r>
      <w:r w:rsidRPr="00C22B32">
        <w:rPr>
          <w:bCs/>
          <w:iCs/>
          <w:szCs w:val="25"/>
        </w:rPr>
        <w:t xml:space="preserve">, </w:t>
      </w:r>
      <w:r w:rsidRPr="00C22B32">
        <w:rPr>
          <w:bCs/>
          <w:szCs w:val="25"/>
        </w:rPr>
        <w:t>etc.)</w:t>
      </w:r>
    </w:p>
    <w:p w14:paraId="135EB4D8" w14:textId="77777777" w:rsidR="00B47A48" w:rsidRPr="00C22B32" w:rsidRDefault="00B47A48" w:rsidP="00B47A48">
      <w:pPr>
        <w:pStyle w:val="Style"/>
        <w:widowControl/>
        <w:ind w:left="1440" w:hanging="360"/>
        <w:jc w:val="both"/>
        <w:textAlignment w:val="baseline"/>
        <w:rPr>
          <w:bCs/>
          <w:szCs w:val="25"/>
        </w:rPr>
      </w:pPr>
      <w:r>
        <w:rPr>
          <w:bCs/>
          <w:szCs w:val="25"/>
        </w:rPr>
        <w:t>1)</w:t>
      </w:r>
      <w:r>
        <w:rPr>
          <w:bCs/>
          <w:szCs w:val="25"/>
        </w:rPr>
        <w:tab/>
      </w:r>
      <w:r w:rsidRPr="00C22B32">
        <w:rPr>
          <w:bCs/>
          <w:szCs w:val="25"/>
        </w:rPr>
        <w:t>identical morphemes (e.g.</w:t>
      </w:r>
      <w:r w:rsidRPr="00C22B32">
        <w:rPr>
          <w:bCs/>
          <w:iCs/>
          <w:szCs w:val="25"/>
        </w:rPr>
        <w:t xml:space="preserve">, </w:t>
      </w:r>
      <w:r w:rsidRPr="00C22B32">
        <w:rPr>
          <w:bCs/>
          <w:szCs w:val="25"/>
        </w:rPr>
        <w:t>in 1:51-55</w:t>
      </w:r>
      <w:r w:rsidRPr="00C22B32">
        <w:rPr>
          <w:bCs/>
          <w:iCs/>
          <w:szCs w:val="25"/>
        </w:rPr>
        <w:t xml:space="preserve">, </w:t>
      </w:r>
      <w:r w:rsidRPr="00C22B32">
        <w:rPr>
          <w:bCs/>
          <w:szCs w:val="25"/>
        </w:rPr>
        <w:t xml:space="preserve">all the sentences begin with </w:t>
      </w:r>
      <w:r>
        <w:rPr>
          <w:bCs/>
          <w:szCs w:val="25"/>
        </w:rPr>
        <w:t>“</w:t>
      </w:r>
      <w:r w:rsidRPr="00C22B32">
        <w:rPr>
          <w:bCs/>
          <w:szCs w:val="25"/>
        </w:rPr>
        <w:t>he”)</w:t>
      </w:r>
    </w:p>
    <w:p w14:paraId="334C87EE" w14:textId="77777777" w:rsidR="00B47A48" w:rsidRPr="00C22B32" w:rsidRDefault="00B47A48" w:rsidP="00B47A48">
      <w:pPr>
        <w:pStyle w:val="Style"/>
        <w:widowControl/>
        <w:ind w:left="1440" w:hanging="360"/>
        <w:jc w:val="both"/>
        <w:textAlignment w:val="baseline"/>
        <w:rPr>
          <w:bCs/>
          <w:szCs w:val="25"/>
        </w:rPr>
      </w:pPr>
      <w:r>
        <w:rPr>
          <w:bCs/>
          <w:szCs w:val="25"/>
        </w:rPr>
        <w:t>2)</w:t>
      </w:r>
      <w:r>
        <w:rPr>
          <w:bCs/>
          <w:szCs w:val="25"/>
        </w:rPr>
        <w:tab/>
      </w:r>
      <w:r w:rsidRPr="00C22B32">
        <w:rPr>
          <w:bCs/>
          <w:szCs w:val="25"/>
        </w:rPr>
        <w:t xml:space="preserve">morphemes having common </w:t>
      </w:r>
      <w:proofErr w:type="spellStart"/>
      <w:r w:rsidRPr="00C22B32">
        <w:rPr>
          <w:bCs/>
          <w:szCs w:val="25"/>
        </w:rPr>
        <w:t>signifieds</w:t>
      </w:r>
      <w:proofErr w:type="spellEnd"/>
      <w:r w:rsidRPr="00C22B32">
        <w:rPr>
          <w:bCs/>
          <w:szCs w:val="25"/>
        </w:rPr>
        <w:t xml:space="preserve"> </w:t>
      </w:r>
      <w:r w:rsidRPr="001C646B">
        <w:rPr>
          <w:bCs/>
          <w:iCs/>
          <w:szCs w:val="25"/>
        </w:rPr>
        <w:t>(</w:t>
      </w:r>
      <w:r w:rsidRPr="00C22B32">
        <w:rPr>
          <w:bCs/>
          <w:szCs w:val="25"/>
        </w:rPr>
        <w:t>e.g.</w:t>
      </w:r>
      <w:r w:rsidRPr="00C22B32">
        <w:rPr>
          <w:bCs/>
          <w:iCs/>
          <w:szCs w:val="25"/>
        </w:rPr>
        <w:t xml:space="preserve">, </w:t>
      </w:r>
      <w:r w:rsidRPr="00C22B32">
        <w:rPr>
          <w:bCs/>
          <w:szCs w:val="25"/>
        </w:rPr>
        <w:t>in 1:46-49</w:t>
      </w:r>
      <w:r w:rsidRPr="00C22B32">
        <w:rPr>
          <w:bCs/>
          <w:iCs/>
          <w:szCs w:val="25"/>
        </w:rPr>
        <w:t xml:space="preserve">, </w:t>
      </w:r>
      <w:r w:rsidRPr="00C22B32">
        <w:rPr>
          <w:bCs/>
          <w:szCs w:val="25"/>
        </w:rPr>
        <w:t xml:space="preserve">all of the pronouns have in common the </w:t>
      </w:r>
      <w:proofErr w:type="spellStart"/>
      <w:r w:rsidRPr="00C22B32">
        <w:rPr>
          <w:bCs/>
          <w:szCs w:val="25"/>
        </w:rPr>
        <w:t>signifieds</w:t>
      </w:r>
      <w:proofErr w:type="spellEnd"/>
      <w:r w:rsidRPr="00C22B32">
        <w:rPr>
          <w:bCs/>
          <w:iCs/>
          <w:szCs w:val="25"/>
        </w:rPr>
        <w:t>, “</w:t>
      </w:r>
      <w:r w:rsidRPr="00C22B32">
        <w:rPr>
          <w:bCs/>
          <w:szCs w:val="25"/>
        </w:rPr>
        <w:t>first person” and “singular”)</w:t>
      </w:r>
    </w:p>
    <w:p w14:paraId="1A07778D" w14:textId="77777777" w:rsidR="00B47A48" w:rsidRPr="00C22B32" w:rsidRDefault="00B47A48" w:rsidP="00B47A48">
      <w:pPr>
        <w:pStyle w:val="Style"/>
        <w:widowControl/>
        <w:ind w:left="1440" w:hanging="360"/>
        <w:jc w:val="both"/>
        <w:textAlignment w:val="baseline"/>
        <w:rPr>
          <w:bCs/>
          <w:szCs w:val="25"/>
        </w:rPr>
      </w:pPr>
      <w:r>
        <w:rPr>
          <w:bCs/>
          <w:szCs w:val="25"/>
        </w:rPr>
        <w:t>3)</w:t>
      </w:r>
      <w:r>
        <w:rPr>
          <w:bCs/>
          <w:szCs w:val="25"/>
        </w:rPr>
        <w:tab/>
      </w:r>
      <w:r w:rsidRPr="00C22B32">
        <w:rPr>
          <w:bCs/>
          <w:szCs w:val="25"/>
        </w:rPr>
        <w:t>the modalities</w:t>
      </w:r>
      <w:r w:rsidRPr="00C22B32">
        <w:rPr>
          <w:bCs/>
          <w:iCs/>
          <w:szCs w:val="25"/>
        </w:rPr>
        <w:t xml:space="preserve">, </w:t>
      </w:r>
      <w:r>
        <w:rPr>
          <w:bCs/>
          <w:iCs/>
          <w:szCs w:val="25"/>
        </w:rPr>
        <w:t>“</w:t>
      </w:r>
      <w:r w:rsidRPr="00C22B32">
        <w:rPr>
          <w:bCs/>
          <w:szCs w:val="25"/>
        </w:rPr>
        <w:t xml:space="preserve">nominal” or </w:t>
      </w:r>
      <w:r>
        <w:rPr>
          <w:bCs/>
          <w:szCs w:val="25"/>
        </w:rPr>
        <w:t>“</w:t>
      </w:r>
      <w:r w:rsidRPr="00C22B32">
        <w:rPr>
          <w:bCs/>
          <w:szCs w:val="25"/>
        </w:rPr>
        <w:t>verbal” [43]</w:t>
      </w:r>
    </w:p>
    <w:p w14:paraId="2B8217A4" w14:textId="77777777" w:rsidR="00B47A48" w:rsidRPr="00C22B32" w:rsidRDefault="00B47A48" w:rsidP="00B47A48">
      <w:pPr>
        <w:pStyle w:val="Style"/>
        <w:widowControl/>
        <w:ind w:left="1080" w:hanging="360"/>
        <w:jc w:val="both"/>
        <w:textAlignment w:val="baseline"/>
        <w:rPr>
          <w:bCs/>
          <w:szCs w:val="25"/>
        </w:rPr>
      </w:pPr>
      <w:r>
        <w:rPr>
          <w:bCs/>
          <w:szCs w:val="25"/>
        </w:rPr>
        <w:t>c.</w:t>
      </w:r>
      <w:r>
        <w:rPr>
          <w:bCs/>
          <w:szCs w:val="25"/>
        </w:rPr>
        <w:tab/>
      </w:r>
      <w:r w:rsidRPr="00C22B32">
        <w:rPr>
          <w:bCs/>
          <w:szCs w:val="25"/>
        </w:rPr>
        <w:t>at the level of syntax (repeated syntactic patterns: e.g.</w:t>
      </w:r>
      <w:r w:rsidRPr="00C22B32">
        <w:rPr>
          <w:bCs/>
          <w:iCs/>
          <w:szCs w:val="25"/>
        </w:rPr>
        <w:t xml:space="preserve">, </w:t>
      </w:r>
      <w:r w:rsidRPr="00C22B32">
        <w:rPr>
          <w:bCs/>
          <w:szCs w:val="25"/>
        </w:rPr>
        <w:t>1:34 [</w:t>
      </w:r>
      <w:r>
        <w:rPr>
          <w:bCs/>
          <w:szCs w:val="25"/>
        </w:rPr>
        <w:t>“</w:t>
      </w:r>
      <w:r w:rsidRPr="00C22B32">
        <w:rPr>
          <w:bCs/>
          <w:szCs w:val="25"/>
        </w:rPr>
        <w:t>How can this be</w:t>
      </w:r>
      <w:r w:rsidRPr="00C22B32">
        <w:rPr>
          <w:bCs/>
          <w:iCs/>
          <w:szCs w:val="25"/>
        </w:rPr>
        <w:t xml:space="preserve">, </w:t>
      </w:r>
      <w:r w:rsidRPr="00C22B32">
        <w:rPr>
          <w:bCs/>
          <w:szCs w:val="25"/>
        </w:rPr>
        <w:t>since I have no husband?”] and 1:43 [</w:t>
      </w:r>
      <w:r>
        <w:rPr>
          <w:bCs/>
          <w:szCs w:val="25"/>
        </w:rPr>
        <w:t>“</w:t>
      </w:r>
      <w:r w:rsidRPr="00C22B32">
        <w:rPr>
          <w:bCs/>
          <w:szCs w:val="25"/>
        </w:rPr>
        <w:t>And why is this granted to me</w:t>
      </w:r>
      <w:r w:rsidRPr="00C22B32">
        <w:rPr>
          <w:bCs/>
          <w:iCs/>
          <w:szCs w:val="25"/>
        </w:rPr>
        <w:t xml:space="preserve">, </w:t>
      </w:r>
      <w:r w:rsidRPr="00C22B32">
        <w:rPr>
          <w:bCs/>
          <w:szCs w:val="25"/>
        </w:rPr>
        <w:t xml:space="preserve">that the mother of my Lord should come to me?”] are both questions) </w:t>
      </w:r>
      <w:r w:rsidRPr="001C646B">
        <w:rPr>
          <w:bCs/>
          <w:iCs/>
          <w:szCs w:val="25"/>
        </w:rPr>
        <w:t>[</w:t>
      </w:r>
      <w:r w:rsidRPr="00C22B32">
        <w:rPr>
          <w:bCs/>
          <w:szCs w:val="25"/>
        </w:rPr>
        <w:t>45]</w:t>
      </w:r>
    </w:p>
    <w:p w14:paraId="38D1C9FE" w14:textId="77777777" w:rsidR="00B47A48" w:rsidRPr="00C22B32" w:rsidRDefault="00B47A48" w:rsidP="00B47A48">
      <w:pPr>
        <w:pStyle w:val="Style"/>
        <w:widowControl/>
        <w:ind w:left="1080" w:hanging="360"/>
        <w:jc w:val="both"/>
        <w:textAlignment w:val="baseline"/>
        <w:rPr>
          <w:bCs/>
          <w:szCs w:val="25"/>
        </w:rPr>
      </w:pPr>
      <w:proofErr w:type="spellStart"/>
      <w:r>
        <w:rPr>
          <w:bCs/>
          <w:szCs w:val="25"/>
        </w:rPr>
        <w:t>d.</w:t>
      </w:r>
      <w:proofErr w:type="spellEnd"/>
      <w:r>
        <w:rPr>
          <w:bCs/>
          <w:szCs w:val="25"/>
        </w:rPr>
        <w:tab/>
      </w:r>
      <w:r w:rsidRPr="00C22B32">
        <w:rPr>
          <w:bCs/>
          <w:szCs w:val="25"/>
        </w:rPr>
        <w:t>at the level of passages (“</w:t>
      </w:r>
      <w:proofErr w:type="spellStart"/>
      <w:r w:rsidRPr="00C22B32">
        <w:rPr>
          <w:bCs/>
          <w:szCs w:val="25"/>
        </w:rPr>
        <w:t>discours</w:t>
      </w:r>
      <w:proofErr w:type="spellEnd"/>
      <w:r w:rsidRPr="00C22B32">
        <w:rPr>
          <w:bCs/>
          <w:szCs w:val="25"/>
        </w:rPr>
        <w:t xml:space="preserve">”) </w:t>
      </w:r>
      <w:r w:rsidRPr="001C646B">
        <w:rPr>
          <w:bCs/>
          <w:iCs/>
          <w:szCs w:val="25"/>
        </w:rPr>
        <w:t>(</w:t>
      </w:r>
      <w:r w:rsidRPr="00C22B32">
        <w:rPr>
          <w:bCs/>
          <w:szCs w:val="25"/>
        </w:rPr>
        <w:t>e.g.</w:t>
      </w:r>
      <w:r w:rsidRPr="00C22B32">
        <w:rPr>
          <w:bCs/>
          <w:iCs/>
          <w:szCs w:val="25"/>
        </w:rPr>
        <w:t xml:space="preserve">, </w:t>
      </w:r>
      <w:r w:rsidRPr="00C22B32">
        <w:rPr>
          <w:bCs/>
          <w:szCs w:val="25"/>
        </w:rPr>
        <w:t>two direct quotations by the same person will form a unity [the two confessions of demons</w:t>
      </w:r>
      <w:r w:rsidRPr="00C22B32">
        <w:rPr>
          <w:bCs/>
          <w:iCs/>
          <w:szCs w:val="25"/>
        </w:rPr>
        <w:t xml:space="preserve">, </w:t>
      </w:r>
      <w:r w:rsidRPr="00C22B32">
        <w:rPr>
          <w:bCs/>
          <w:szCs w:val="25"/>
        </w:rPr>
        <w:t>4:34 and 4:41</w:t>
      </w:r>
      <w:r w:rsidRPr="00C22B32">
        <w:rPr>
          <w:bCs/>
          <w:iCs/>
          <w:szCs w:val="25"/>
        </w:rPr>
        <w:t xml:space="preserve">, </w:t>
      </w:r>
      <w:r w:rsidRPr="00C22B32">
        <w:rPr>
          <w:bCs/>
          <w:szCs w:val="25"/>
        </w:rPr>
        <w:t>for example])</w:t>
      </w:r>
    </w:p>
    <w:p w14:paraId="633EDFD3" w14:textId="77777777" w:rsidR="00B47A48" w:rsidRDefault="00B47A48" w:rsidP="00B47A48">
      <w:pPr>
        <w:pStyle w:val="Style"/>
        <w:widowControl/>
        <w:jc w:val="both"/>
        <w:textAlignment w:val="baseline"/>
        <w:rPr>
          <w:bCs/>
          <w:szCs w:val="25"/>
        </w:rPr>
      </w:pPr>
    </w:p>
    <w:p w14:paraId="7E1D9796" w14:textId="77777777" w:rsidR="00B47A48" w:rsidRPr="00C22B32" w:rsidRDefault="00B47A48" w:rsidP="00B47A48">
      <w:pPr>
        <w:pStyle w:val="Style"/>
        <w:widowControl/>
        <w:ind w:left="720" w:hanging="360"/>
        <w:jc w:val="both"/>
        <w:textAlignment w:val="baseline"/>
        <w:rPr>
          <w:bCs/>
          <w:szCs w:val="25"/>
        </w:rPr>
      </w:pPr>
      <w:r>
        <w:rPr>
          <w:bCs/>
          <w:szCs w:val="25"/>
        </w:rPr>
        <w:t>2.</w:t>
      </w:r>
      <w:r>
        <w:rPr>
          <w:bCs/>
          <w:szCs w:val="25"/>
        </w:rPr>
        <w:tab/>
      </w:r>
      <w:r w:rsidRPr="00C22B32">
        <w:rPr>
          <w:bCs/>
          <w:szCs w:val="25"/>
        </w:rPr>
        <w:t xml:space="preserve">the relation of opposition </w:t>
      </w:r>
      <w:r w:rsidRPr="001C646B">
        <w:rPr>
          <w:bCs/>
          <w:iCs/>
          <w:szCs w:val="25"/>
        </w:rPr>
        <w:t>[</w:t>
      </w:r>
      <w:r w:rsidRPr="00C22B32">
        <w:rPr>
          <w:bCs/>
          <w:szCs w:val="25"/>
        </w:rPr>
        <w:t>46]</w:t>
      </w:r>
    </w:p>
    <w:p w14:paraId="504D51F3" w14:textId="77777777" w:rsidR="00B47A48" w:rsidRDefault="00B47A48" w:rsidP="00B47A48">
      <w:pPr>
        <w:pStyle w:val="Style"/>
        <w:widowControl/>
        <w:jc w:val="both"/>
        <w:textAlignment w:val="baseline"/>
        <w:rPr>
          <w:bCs/>
          <w:szCs w:val="25"/>
        </w:rPr>
      </w:pPr>
    </w:p>
    <w:p w14:paraId="414DA5E1" w14:textId="77777777" w:rsidR="00B47A48" w:rsidRPr="00C22B32" w:rsidRDefault="00B47A48" w:rsidP="00B47A48">
      <w:pPr>
        <w:pStyle w:val="Style"/>
        <w:widowControl/>
        <w:ind w:left="1080" w:hanging="360"/>
        <w:jc w:val="both"/>
        <w:textAlignment w:val="baseline"/>
        <w:rPr>
          <w:bCs/>
          <w:szCs w:val="25"/>
        </w:rPr>
      </w:pPr>
      <w:r>
        <w:rPr>
          <w:bCs/>
          <w:szCs w:val="25"/>
        </w:rPr>
        <w:lastRenderedPageBreak/>
        <w:t>a.</w:t>
      </w:r>
      <w:r>
        <w:rPr>
          <w:bCs/>
          <w:szCs w:val="25"/>
        </w:rPr>
        <w:tab/>
      </w:r>
      <w:r w:rsidRPr="00C22B32">
        <w:rPr>
          <w:bCs/>
          <w:szCs w:val="25"/>
        </w:rPr>
        <w:t>at the lexical level (e.g.</w:t>
      </w:r>
      <w:r w:rsidRPr="00C22B32">
        <w:rPr>
          <w:bCs/>
          <w:iCs/>
          <w:szCs w:val="25"/>
        </w:rPr>
        <w:t>, “</w:t>
      </w:r>
      <w:r w:rsidRPr="00C22B32">
        <w:rPr>
          <w:bCs/>
          <w:szCs w:val="25"/>
        </w:rPr>
        <w:t xml:space="preserve">enter” and “leave” in 1:9 and 1:22; “sight” versus “understanding” throughout Luke) </w:t>
      </w:r>
      <w:r w:rsidRPr="001C646B">
        <w:rPr>
          <w:bCs/>
          <w:iCs/>
          <w:szCs w:val="25"/>
        </w:rPr>
        <w:t>[</w:t>
      </w:r>
      <w:r w:rsidRPr="00C22B32">
        <w:rPr>
          <w:bCs/>
          <w:szCs w:val="25"/>
        </w:rPr>
        <w:t>47]</w:t>
      </w:r>
    </w:p>
    <w:p w14:paraId="5AE170F8" w14:textId="77777777" w:rsidR="00B47A48" w:rsidRPr="00C22B32" w:rsidRDefault="00B47A48" w:rsidP="00B47A48">
      <w:pPr>
        <w:pStyle w:val="Style"/>
        <w:widowControl/>
        <w:ind w:left="1080" w:hanging="360"/>
        <w:jc w:val="both"/>
        <w:textAlignment w:val="baseline"/>
        <w:rPr>
          <w:bCs/>
          <w:szCs w:val="25"/>
        </w:rPr>
      </w:pPr>
      <w:r>
        <w:rPr>
          <w:bCs/>
          <w:szCs w:val="25"/>
        </w:rPr>
        <w:t>b.</w:t>
      </w:r>
      <w:r>
        <w:rPr>
          <w:bCs/>
          <w:szCs w:val="25"/>
        </w:rPr>
        <w:tab/>
      </w:r>
      <w:r w:rsidRPr="00C22B32">
        <w:rPr>
          <w:bCs/>
          <w:szCs w:val="25"/>
        </w:rPr>
        <w:t xml:space="preserve">at the morphological level </w:t>
      </w:r>
      <w:r w:rsidRPr="001C646B">
        <w:rPr>
          <w:bCs/>
          <w:iCs/>
          <w:szCs w:val="25"/>
        </w:rPr>
        <w:t>(</w:t>
      </w:r>
      <w:r w:rsidRPr="00C22B32">
        <w:rPr>
          <w:bCs/>
          <w:szCs w:val="25"/>
        </w:rPr>
        <w:t>e.g.</w:t>
      </w:r>
      <w:r w:rsidRPr="00C22B32">
        <w:rPr>
          <w:bCs/>
          <w:iCs/>
          <w:szCs w:val="25"/>
        </w:rPr>
        <w:t xml:space="preserve">, </w:t>
      </w:r>
      <w:r w:rsidRPr="00C22B32">
        <w:rPr>
          <w:bCs/>
          <w:szCs w:val="25"/>
        </w:rPr>
        <w:t xml:space="preserve">two passages in which one is in second person and the other in third person; or in which one is affirmative and the other negative) </w:t>
      </w:r>
      <w:r w:rsidRPr="001C646B">
        <w:rPr>
          <w:bCs/>
          <w:iCs/>
          <w:szCs w:val="25"/>
        </w:rPr>
        <w:t>[</w:t>
      </w:r>
      <w:r w:rsidRPr="00C22B32">
        <w:rPr>
          <w:bCs/>
          <w:szCs w:val="25"/>
        </w:rPr>
        <w:t>48]</w:t>
      </w:r>
    </w:p>
    <w:p w14:paraId="15B7B7D5" w14:textId="77777777" w:rsidR="00B47A48" w:rsidRPr="00C22B32" w:rsidRDefault="00B47A48" w:rsidP="00B47A48">
      <w:pPr>
        <w:pStyle w:val="Style"/>
        <w:widowControl/>
        <w:ind w:left="1080" w:hanging="360"/>
        <w:jc w:val="both"/>
        <w:textAlignment w:val="baseline"/>
        <w:rPr>
          <w:bCs/>
          <w:szCs w:val="25"/>
        </w:rPr>
      </w:pPr>
      <w:r>
        <w:rPr>
          <w:bCs/>
          <w:szCs w:val="25"/>
        </w:rPr>
        <w:t>c.</w:t>
      </w:r>
      <w:r>
        <w:rPr>
          <w:bCs/>
          <w:szCs w:val="25"/>
        </w:rPr>
        <w:tab/>
      </w:r>
      <w:r w:rsidRPr="00C22B32">
        <w:rPr>
          <w:bCs/>
          <w:szCs w:val="25"/>
        </w:rPr>
        <w:t>at the level of syntax (e.g.</w:t>
      </w:r>
      <w:r w:rsidRPr="00C22B32">
        <w:rPr>
          <w:bCs/>
          <w:iCs/>
          <w:szCs w:val="25"/>
        </w:rPr>
        <w:t xml:space="preserve">, </w:t>
      </w:r>
      <w:r w:rsidRPr="00C22B32">
        <w:rPr>
          <w:bCs/>
          <w:szCs w:val="25"/>
        </w:rPr>
        <w:t xml:space="preserve">1:66 </w:t>
      </w:r>
      <w:r>
        <w:rPr>
          <w:bCs/>
          <w:szCs w:val="25"/>
        </w:rPr>
        <w:t>[“</w:t>
      </w:r>
      <w:r w:rsidRPr="00C22B32">
        <w:rPr>
          <w:bCs/>
          <w:szCs w:val="25"/>
        </w:rPr>
        <w:t xml:space="preserve">What then </w:t>
      </w:r>
      <w:r w:rsidRPr="00C22B32">
        <w:rPr>
          <w:bCs/>
          <w:szCs w:val="22"/>
        </w:rPr>
        <w:t xml:space="preserve">will </w:t>
      </w:r>
      <w:r w:rsidRPr="00C22B32">
        <w:rPr>
          <w:bCs/>
          <w:szCs w:val="25"/>
        </w:rPr>
        <w:t>this child be?”] is in opposition to 1:60 [</w:t>
      </w:r>
      <w:r>
        <w:rPr>
          <w:bCs/>
          <w:szCs w:val="25"/>
        </w:rPr>
        <w:t>“</w:t>
      </w:r>
      <w:r w:rsidRPr="00C22B32">
        <w:rPr>
          <w:bCs/>
          <w:szCs w:val="25"/>
        </w:rPr>
        <w:t>Not so; he shall be called John”] and 1:76 [</w:t>
      </w:r>
      <w:r>
        <w:rPr>
          <w:bCs/>
          <w:szCs w:val="25"/>
        </w:rPr>
        <w:t>“</w:t>
      </w:r>
      <w:r w:rsidRPr="00C22B32">
        <w:rPr>
          <w:bCs/>
          <w:szCs w:val="25"/>
        </w:rPr>
        <w:t>And you</w:t>
      </w:r>
      <w:r w:rsidRPr="00C22B32">
        <w:rPr>
          <w:bCs/>
          <w:iCs/>
          <w:szCs w:val="25"/>
        </w:rPr>
        <w:t xml:space="preserve">, </w:t>
      </w:r>
      <w:r w:rsidRPr="00C22B32">
        <w:rPr>
          <w:bCs/>
          <w:szCs w:val="25"/>
        </w:rPr>
        <w:t>child</w:t>
      </w:r>
      <w:r w:rsidRPr="00C22B32">
        <w:rPr>
          <w:bCs/>
          <w:iCs/>
          <w:szCs w:val="25"/>
        </w:rPr>
        <w:t xml:space="preserve">, </w:t>
      </w:r>
      <w:r w:rsidRPr="00C22B32">
        <w:rPr>
          <w:bCs/>
          <w:szCs w:val="25"/>
        </w:rPr>
        <w:t>will be called the prophet of the Most High”] because the syntax differs</w:t>
      </w:r>
      <w:r w:rsidRPr="00C22B32">
        <w:rPr>
          <w:bCs/>
          <w:iCs/>
          <w:szCs w:val="25"/>
        </w:rPr>
        <w:t xml:space="preserve">, </w:t>
      </w:r>
      <w:r w:rsidRPr="00C22B32">
        <w:rPr>
          <w:bCs/>
          <w:szCs w:val="25"/>
        </w:rPr>
        <w:t xml:space="preserve">while the person referred to and the future tense of the verbs remain the same) </w:t>
      </w:r>
      <w:r w:rsidRPr="001C646B">
        <w:rPr>
          <w:bCs/>
          <w:iCs/>
          <w:szCs w:val="25"/>
        </w:rPr>
        <w:t>[</w:t>
      </w:r>
      <w:r w:rsidRPr="00C22B32">
        <w:rPr>
          <w:bCs/>
          <w:szCs w:val="25"/>
        </w:rPr>
        <w:t>48]</w:t>
      </w:r>
    </w:p>
    <w:p w14:paraId="441422C5" w14:textId="77777777" w:rsidR="00B47A48" w:rsidRDefault="00B47A48" w:rsidP="00B47A48">
      <w:pPr>
        <w:pStyle w:val="Style"/>
        <w:widowControl/>
        <w:jc w:val="both"/>
        <w:textAlignment w:val="baseline"/>
        <w:rPr>
          <w:bCs/>
          <w:szCs w:val="25"/>
        </w:rPr>
      </w:pPr>
    </w:p>
    <w:p w14:paraId="5386C8D7" w14:textId="77777777" w:rsidR="00B47A48" w:rsidRPr="00C22B32" w:rsidRDefault="00B47A48" w:rsidP="00B47A48">
      <w:pPr>
        <w:pStyle w:val="Style"/>
        <w:widowControl/>
        <w:ind w:left="360" w:hanging="360"/>
        <w:jc w:val="both"/>
        <w:textAlignment w:val="baseline"/>
        <w:rPr>
          <w:bCs/>
          <w:szCs w:val="25"/>
        </w:rPr>
      </w:pPr>
      <w:r>
        <w:rPr>
          <w:bCs/>
          <w:szCs w:val="25"/>
        </w:rPr>
        <w:t>B.</w:t>
      </w:r>
      <w:r>
        <w:rPr>
          <w:bCs/>
          <w:szCs w:val="25"/>
        </w:rPr>
        <w:tab/>
      </w:r>
      <w:r w:rsidRPr="00C22B32">
        <w:rPr>
          <w:bCs/>
          <w:szCs w:val="25"/>
        </w:rPr>
        <w:t>Figures formed by recurrences and oppositions</w:t>
      </w:r>
    </w:p>
    <w:p w14:paraId="74D3C1CF" w14:textId="77777777" w:rsidR="00B47A48" w:rsidRDefault="00B47A48" w:rsidP="00B47A48">
      <w:pPr>
        <w:pStyle w:val="Style"/>
        <w:widowControl/>
        <w:jc w:val="both"/>
        <w:textAlignment w:val="baseline"/>
        <w:rPr>
          <w:bCs/>
          <w:szCs w:val="25"/>
        </w:rPr>
      </w:pPr>
    </w:p>
    <w:p w14:paraId="7ABF1D01" w14:textId="77777777" w:rsidR="00B47A48" w:rsidRPr="00C22B32" w:rsidRDefault="00B47A48" w:rsidP="00B47A48">
      <w:pPr>
        <w:pStyle w:val="Style"/>
        <w:widowControl/>
        <w:ind w:left="720" w:hanging="360"/>
        <w:jc w:val="both"/>
        <w:textAlignment w:val="baseline"/>
        <w:rPr>
          <w:bCs/>
          <w:szCs w:val="25"/>
        </w:rPr>
      </w:pPr>
      <w:r>
        <w:rPr>
          <w:bCs/>
          <w:szCs w:val="25"/>
        </w:rPr>
        <w:t>1.</w:t>
      </w:r>
      <w:r>
        <w:rPr>
          <w:bCs/>
          <w:szCs w:val="25"/>
        </w:rPr>
        <w:tab/>
      </w:r>
      <w:r w:rsidRPr="00C22B32">
        <w:rPr>
          <w:bCs/>
          <w:szCs w:val="25"/>
        </w:rPr>
        <w:t xml:space="preserve">The basic figure is </w:t>
      </w:r>
      <w:r w:rsidRPr="00C22B32">
        <w:rPr>
          <w:rFonts w:eastAsia="Arial"/>
          <w:bCs/>
          <w:i/>
          <w:iCs/>
        </w:rPr>
        <w:t>symmetry</w:t>
      </w:r>
      <w:r w:rsidRPr="00C22B32">
        <w:rPr>
          <w:rFonts w:eastAsia="Arial"/>
          <w:bCs/>
          <w:iCs/>
        </w:rPr>
        <w:t xml:space="preserve">; </w:t>
      </w:r>
      <w:r w:rsidRPr="00C22B32">
        <w:rPr>
          <w:bCs/>
          <w:szCs w:val="25"/>
        </w:rPr>
        <w:t>the forms of symmetry are the rhetorical figures of parallelism</w:t>
      </w:r>
      <w:r w:rsidRPr="00C22B32">
        <w:rPr>
          <w:bCs/>
          <w:iCs/>
          <w:szCs w:val="25"/>
        </w:rPr>
        <w:t xml:space="preserve">, </w:t>
      </w:r>
      <w:r w:rsidRPr="00C22B32">
        <w:rPr>
          <w:bCs/>
          <w:szCs w:val="25"/>
        </w:rPr>
        <w:t>inclusion</w:t>
      </w:r>
      <w:r w:rsidRPr="00C22B32">
        <w:rPr>
          <w:bCs/>
          <w:iCs/>
          <w:szCs w:val="25"/>
        </w:rPr>
        <w:t xml:space="preserve">, </w:t>
      </w:r>
      <w:r w:rsidRPr="00C22B32">
        <w:rPr>
          <w:bCs/>
          <w:szCs w:val="25"/>
        </w:rPr>
        <w:t xml:space="preserve">and chiasm. </w:t>
      </w:r>
      <w:r w:rsidRPr="001C646B">
        <w:rPr>
          <w:bCs/>
          <w:iCs/>
          <w:szCs w:val="25"/>
        </w:rPr>
        <w:t>[</w:t>
      </w:r>
      <w:r w:rsidRPr="00C22B32">
        <w:rPr>
          <w:bCs/>
          <w:szCs w:val="25"/>
        </w:rPr>
        <w:t>49]</w:t>
      </w:r>
    </w:p>
    <w:p w14:paraId="10C8A47B" w14:textId="77777777" w:rsidR="00B47A48" w:rsidRDefault="00B47A48" w:rsidP="00B47A48">
      <w:pPr>
        <w:pStyle w:val="Style"/>
        <w:widowControl/>
        <w:jc w:val="both"/>
        <w:textAlignment w:val="baseline"/>
        <w:rPr>
          <w:bCs/>
          <w:szCs w:val="25"/>
        </w:rPr>
      </w:pPr>
    </w:p>
    <w:p w14:paraId="7C5AB28F" w14:textId="77777777" w:rsidR="00B47A48" w:rsidRPr="00C22B32" w:rsidRDefault="00B47A48" w:rsidP="00B47A48">
      <w:pPr>
        <w:pStyle w:val="Style"/>
        <w:widowControl/>
        <w:ind w:left="720" w:hanging="360"/>
        <w:jc w:val="both"/>
        <w:textAlignment w:val="baseline"/>
        <w:rPr>
          <w:bCs/>
          <w:szCs w:val="25"/>
        </w:rPr>
      </w:pPr>
      <w:r>
        <w:rPr>
          <w:bCs/>
          <w:szCs w:val="25"/>
        </w:rPr>
        <w:t>2.</w:t>
      </w:r>
      <w:r>
        <w:rPr>
          <w:bCs/>
          <w:szCs w:val="25"/>
        </w:rPr>
        <w:tab/>
      </w:r>
      <w:r w:rsidRPr="00C22B32">
        <w:rPr>
          <w:bCs/>
          <w:szCs w:val="25"/>
        </w:rPr>
        <w:t>parallel symmetry</w:t>
      </w:r>
      <w:r w:rsidRPr="00C22B32">
        <w:rPr>
          <w:bCs/>
          <w:iCs/>
          <w:szCs w:val="25"/>
        </w:rPr>
        <w:t xml:space="preserve">, </w:t>
      </w:r>
      <w:r w:rsidRPr="00C22B32">
        <w:rPr>
          <w:bCs/>
          <w:szCs w:val="25"/>
        </w:rPr>
        <w:t>or parallelism (i.e.</w:t>
      </w:r>
      <w:r w:rsidRPr="00C22B32">
        <w:rPr>
          <w:bCs/>
          <w:iCs/>
          <w:szCs w:val="25"/>
        </w:rPr>
        <w:t xml:space="preserve">, </w:t>
      </w:r>
      <w:r w:rsidRPr="00C22B32">
        <w:rPr>
          <w:bCs/>
          <w:szCs w:val="25"/>
        </w:rPr>
        <w:t>ABC DA’ B’ C’ D’) [50]</w:t>
      </w:r>
    </w:p>
    <w:p w14:paraId="3E811AC6" w14:textId="77777777" w:rsidR="00B47A48" w:rsidRDefault="00B47A48" w:rsidP="00B47A48">
      <w:pPr>
        <w:pStyle w:val="Style"/>
        <w:widowControl/>
        <w:jc w:val="both"/>
        <w:textAlignment w:val="baseline"/>
        <w:rPr>
          <w:bCs/>
          <w:szCs w:val="25"/>
        </w:rPr>
      </w:pPr>
    </w:p>
    <w:p w14:paraId="79ECFD76" w14:textId="77777777" w:rsidR="00B47A48" w:rsidRPr="00C22B32" w:rsidRDefault="00B47A48" w:rsidP="00B47A48">
      <w:pPr>
        <w:pStyle w:val="Style"/>
        <w:widowControl/>
        <w:ind w:left="1080" w:hanging="360"/>
        <w:jc w:val="both"/>
        <w:textAlignment w:val="baseline"/>
        <w:rPr>
          <w:bCs/>
          <w:szCs w:val="25"/>
        </w:rPr>
      </w:pPr>
      <w:r>
        <w:rPr>
          <w:bCs/>
          <w:szCs w:val="25"/>
        </w:rPr>
        <w:t>a.</w:t>
      </w:r>
      <w:r>
        <w:rPr>
          <w:bCs/>
          <w:szCs w:val="25"/>
        </w:rPr>
        <w:tab/>
      </w:r>
      <w:r w:rsidRPr="00C22B32">
        <w:rPr>
          <w:bCs/>
          <w:szCs w:val="25"/>
        </w:rPr>
        <w:t xml:space="preserve">One has a </w:t>
      </w:r>
      <w:r w:rsidRPr="00C22B32">
        <w:rPr>
          <w:bCs/>
          <w:i/>
          <w:iCs/>
          <w:szCs w:val="25"/>
        </w:rPr>
        <w:t>strophe</w:t>
      </w:r>
      <w:r w:rsidRPr="000151C8">
        <w:rPr>
          <w:bCs/>
          <w:szCs w:val="25"/>
        </w:rPr>
        <w:t xml:space="preserve"> </w:t>
      </w:r>
      <w:r w:rsidRPr="00C22B32">
        <w:rPr>
          <w:bCs/>
          <w:szCs w:val="25"/>
        </w:rPr>
        <w:t xml:space="preserve">or </w:t>
      </w:r>
      <w:r w:rsidRPr="00C22B32">
        <w:rPr>
          <w:bCs/>
          <w:i/>
          <w:iCs/>
          <w:szCs w:val="25"/>
        </w:rPr>
        <w:t>couplets</w:t>
      </w:r>
      <w:r w:rsidRPr="000151C8">
        <w:rPr>
          <w:bCs/>
          <w:szCs w:val="25"/>
        </w:rPr>
        <w:t xml:space="preserve"> </w:t>
      </w:r>
      <w:r w:rsidRPr="00C22B32">
        <w:rPr>
          <w:bCs/>
          <w:szCs w:val="25"/>
        </w:rPr>
        <w:t xml:space="preserve">when the parallel sentences are contiguous </w:t>
      </w:r>
      <w:r w:rsidRPr="001C646B">
        <w:rPr>
          <w:bCs/>
          <w:iCs/>
          <w:szCs w:val="25"/>
        </w:rPr>
        <w:t>(</w:t>
      </w:r>
      <w:r w:rsidRPr="00C22B32">
        <w:rPr>
          <w:bCs/>
          <w:szCs w:val="25"/>
        </w:rPr>
        <w:t>e.g.</w:t>
      </w:r>
      <w:r w:rsidRPr="00C22B32">
        <w:rPr>
          <w:bCs/>
          <w:iCs/>
          <w:szCs w:val="25"/>
        </w:rPr>
        <w:t xml:space="preserve">, </w:t>
      </w:r>
      <w:r w:rsidRPr="00C22B32">
        <w:rPr>
          <w:bCs/>
          <w:szCs w:val="25"/>
        </w:rPr>
        <w:t>sermon on the plain).</w:t>
      </w:r>
    </w:p>
    <w:p w14:paraId="13C4886A" w14:textId="77777777" w:rsidR="00B47A48" w:rsidRDefault="00B47A48" w:rsidP="00B47A48">
      <w:pPr>
        <w:pStyle w:val="Style"/>
        <w:widowControl/>
        <w:ind w:left="1080" w:hanging="360"/>
        <w:jc w:val="both"/>
        <w:textAlignment w:val="baseline"/>
        <w:rPr>
          <w:bCs/>
          <w:szCs w:val="25"/>
        </w:rPr>
      </w:pPr>
      <w:r>
        <w:rPr>
          <w:bCs/>
          <w:szCs w:val="25"/>
        </w:rPr>
        <w:t>b.</w:t>
      </w:r>
      <w:r>
        <w:rPr>
          <w:bCs/>
          <w:szCs w:val="25"/>
        </w:rPr>
        <w:tab/>
      </w:r>
      <w:r w:rsidRPr="00C22B32">
        <w:rPr>
          <w:bCs/>
          <w:szCs w:val="25"/>
        </w:rPr>
        <w:t xml:space="preserve">One has a </w:t>
      </w:r>
      <w:r w:rsidRPr="00C22B32">
        <w:rPr>
          <w:bCs/>
          <w:i/>
          <w:iCs/>
          <w:szCs w:val="25"/>
        </w:rPr>
        <w:t>refrain</w:t>
      </w:r>
      <w:r w:rsidRPr="000151C8">
        <w:rPr>
          <w:bCs/>
          <w:szCs w:val="25"/>
        </w:rPr>
        <w:t xml:space="preserve"> </w:t>
      </w:r>
      <w:r w:rsidRPr="00C22B32">
        <w:rPr>
          <w:bCs/>
          <w:szCs w:val="25"/>
        </w:rPr>
        <w:t xml:space="preserve">when parallel utterances are distant from one another. </w:t>
      </w:r>
    </w:p>
    <w:p w14:paraId="75B1F763" w14:textId="77777777" w:rsidR="00B47A48" w:rsidRPr="00C22B32" w:rsidRDefault="00B47A48" w:rsidP="00B47A48">
      <w:pPr>
        <w:pStyle w:val="Style"/>
        <w:widowControl/>
        <w:ind w:left="1440" w:hanging="360"/>
        <w:jc w:val="both"/>
        <w:textAlignment w:val="baseline"/>
        <w:rPr>
          <w:bCs/>
          <w:szCs w:val="25"/>
        </w:rPr>
      </w:pPr>
      <w:r w:rsidRPr="00C22B32">
        <w:rPr>
          <w:bCs/>
          <w:szCs w:val="25"/>
        </w:rPr>
        <w:t>1)</w:t>
      </w:r>
      <w:r>
        <w:rPr>
          <w:bCs/>
          <w:szCs w:val="25"/>
        </w:rPr>
        <w:tab/>
      </w:r>
      <w:r w:rsidRPr="00C22B32">
        <w:rPr>
          <w:bCs/>
          <w:szCs w:val="25"/>
        </w:rPr>
        <w:t xml:space="preserve">A refrain is </w:t>
      </w:r>
      <w:r w:rsidRPr="00C22B32">
        <w:rPr>
          <w:bCs/>
          <w:i/>
          <w:iCs/>
          <w:szCs w:val="25"/>
        </w:rPr>
        <w:t>external</w:t>
      </w:r>
      <w:r w:rsidRPr="000151C8">
        <w:rPr>
          <w:bCs/>
          <w:szCs w:val="25"/>
        </w:rPr>
        <w:t xml:space="preserve"> </w:t>
      </w:r>
      <w:r w:rsidRPr="00C22B32">
        <w:rPr>
          <w:bCs/>
          <w:szCs w:val="25"/>
        </w:rPr>
        <w:t>if it is exterior to the units that it limits. [51]</w:t>
      </w:r>
    </w:p>
    <w:p w14:paraId="476C8999" w14:textId="77777777" w:rsidR="00B47A48" w:rsidRPr="00C22B32" w:rsidRDefault="00B47A48" w:rsidP="00B47A48">
      <w:pPr>
        <w:pStyle w:val="Style"/>
        <w:widowControl/>
        <w:ind w:left="1440" w:hanging="360"/>
        <w:jc w:val="both"/>
        <w:textAlignment w:val="baseline"/>
        <w:rPr>
          <w:bCs/>
          <w:szCs w:val="25"/>
        </w:rPr>
      </w:pPr>
      <w:r>
        <w:rPr>
          <w:bCs/>
          <w:szCs w:val="25"/>
        </w:rPr>
        <w:t>2)</w:t>
      </w:r>
      <w:r>
        <w:rPr>
          <w:bCs/>
          <w:szCs w:val="25"/>
        </w:rPr>
        <w:tab/>
      </w:r>
      <w:r w:rsidRPr="00C22B32">
        <w:rPr>
          <w:bCs/>
          <w:szCs w:val="25"/>
        </w:rPr>
        <w:t xml:space="preserve">A refrain is </w:t>
      </w:r>
      <w:r w:rsidRPr="00C22B32">
        <w:rPr>
          <w:bCs/>
          <w:i/>
          <w:iCs/>
          <w:szCs w:val="23"/>
        </w:rPr>
        <w:t>internal</w:t>
      </w:r>
      <w:r w:rsidRPr="000151C8">
        <w:rPr>
          <w:bCs/>
          <w:szCs w:val="23"/>
        </w:rPr>
        <w:t xml:space="preserve"> </w:t>
      </w:r>
      <w:r w:rsidRPr="00C22B32">
        <w:rPr>
          <w:bCs/>
          <w:szCs w:val="25"/>
        </w:rPr>
        <w:t xml:space="preserve">if it is part of the units that it puts into relationship. </w:t>
      </w:r>
      <w:r>
        <w:rPr>
          <w:bCs/>
          <w:szCs w:val="25"/>
        </w:rPr>
        <w:t>“</w:t>
      </w:r>
      <w:r w:rsidRPr="00C22B32">
        <w:rPr>
          <w:bCs/>
          <w:szCs w:val="25"/>
        </w:rPr>
        <w:t xml:space="preserve">The internal refrain marks the organization of the text” </w:t>
      </w:r>
      <w:r>
        <w:rPr>
          <w:bCs/>
          <w:szCs w:val="25"/>
        </w:rPr>
        <w:t>(“</w:t>
      </w:r>
      <w:r w:rsidRPr="00C22B32">
        <w:rPr>
          <w:bCs/>
          <w:szCs w:val="26"/>
        </w:rPr>
        <w:t xml:space="preserve">Le </w:t>
      </w:r>
      <w:r w:rsidRPr="00C22B32">
        <w:rPr>
          <w:bCs/>
          <w:szCs w:val="25"/>
        </w:rPr>
        <w:t xml:space="preserve">refrain interieur </w:t>
      </w:r>
      <w:r>
        <w:rPr>
          <w:bCs/>
          <w:szCs w:val="25"/>
        </w:rPr>
        <w:t xml:space="preserve">. . . </w:t>
      </w:r>
      <w:r w:rsidRPr="00C22B32">
        <w:rPr>
          <w:bCs/>
          <w:szCs w:val="25"/>
        </w:rPr>
        <w:t xml:space="preserve">marque </w:t>
      </w:r>
      <w:proofErr w:type="spellStart"/>
      <w:r w:rsidRPr="00C22B32">
        <w:rPr>
          <w:bCs/>
          <w:szCs w:val="25"/>
        </w:rPr>
        <w:t>l’organisation</w:t>
      </w:r>
      <w:proofErr w:type="spellEnd"/>
      <w:r w:rsidRPr="00C22B32">
        <w:rPr>
          <w:bCs/>
          <w:szCs w:val="25"/>
        </w:rPr>
        <w:t xml:space="preserve"> du </w:t>
      </w:r>
      <w:proofErr w:type="spellStart"/>
      <w:r w:rsidRPr="00C22B32">
        <w:rPr>
          <w:bCs/>
          <w:szCs w:val="25"/>
        </w:rPr>
        <w:t>texte</w:t>
      </w:r>
      <w:proofErr w:type="spellEnd"/>
      <w:r w:rsidRPr="00C22B32">
        <w:rPr>
          <w:bCs/>
          <w:szCs w:val="25"/>
        </w:rPr>
        <w:t xml:space="preserve"> </w:t>
      </w:r>
      <w:r>
        <w:rPr>
          <w:bCs/>
          <w:szCs w:val="34"/>
        </w:rPr>
        <w:t>. . .”).</w:t>
      </w:r>
      <w:r w:rsidRPr="00C22B32">
        <w:rPr>
          <w:bCs/>
          <w:szCs w:val="34"/>
        </w:rPr>
        <w:t xml:space="preserve"> (</w:t>
      </w:r>
      <w:r w:rsidRPr="00C22B32">
        <w:rPr>
          <w:bCs/>
          <w:szCs w:val="25"/>
        </w:rPr>
        <w:t>52)</w:t>
      </w:r>
    </w:p>
    <w:p w14:paraId="29E79D82" w14:textId="77777777" w:rsidR="00B47A48" w:rsidRPr="00C22B32" w:rsidRDefault="00B47A48" w:rsidP="00B47A48">
      <w:pPr>
        <w:pStyle w:val="Style"/>
        <w:widowControl/>
        <w:ind w:left="1080" w:hanging="360"/>
        <w:jc w:val="both"/>
        <w:textAlignment w:val="baseline"/>
        <w:rPr>
          <w:bCs/>
          <w:szCs w:val="25"/>
        </w:rPr>
      </w:pPr>
      <w:r>
        <w:rPr>
          <w:bCs/>
          <w:szCs w:val="25"/>
        </w:rPr>
        <w:t>c.</w:t>
      </w:r>
      <w:r>
        <w:rPr>
          <w:bCs/>
          <w:szCs w:val="25"/>
        </w:rPr>
        <w:tab/>
      </w:r>
      <w:r w:rsidRPr="00C22B32">
        <w:rPr>
          <w:bCs/>
          <w:szCs w:val="25"/>
        </w:rPr>
        <w:t>One can have parallelism of meanings</w:t>
      </w:r>
      <w:r w:rsidRPr="00C22B32">
        <w:rPr>
          <w:bCs/>
          <w:iCs/>
          <w:szCs w:val="25"/>
        </w:rPr>
        <w:t xml:space="preserve">, </w:t>
      </w:r>
      <w:r w:rsidRPr="00C22B32">
        <w:rPr>
          <w:bCs/>
          <w:szCs w:val="25"/>
        </w:rPr>
        <w:t>morphology</w:t>
      </w:r>
      <w:r w:rsidRPr="00C22B32">
        <w:rPr>
          <w:bCs/>
          <w:iCs/>
          <w:szCs w:val="25"/>
        </w:rPr>
        <w:t xml:space="preserve">, </w:t>
      </w:r>
      <w:r w:rsidRPr="00C22B32">
        <w:rPr>
          <w:bCs/>
          <w:szCs w:val="25"/>
        </w:rPr>
        <w:t xml:space="preserve">and syntax without any recurrence of words themselves </w:t>
      </w:r>
      <w:r w:rsidRPr="001C646B">
        <w:rPr>
          <w:bCs/>
          <w:iCs/>
          <w:szCs w:val="25"/>
        </w:rPr>
        <w:t>(</w:t>
      </w:r>
      <w:r w:rsidRPr="00C22B32">
        <w:rPr>
          <w:bCs/>
          <w:szCs w:val="25"/>
        </w:rPr>
        <w:t>e.g.</w:t>
      </w:r>
      <w:r w:rsidRPr="00C22B32">
        <w:rPr>
          <w:bCs/>
          <w:iCs/>
          <w:szCs w:val="25"/>
        </w:rPr>
        <w:t xml:space="preserve">, </w:t>
      </w:r>
      <w:r w:rsidRPr="00C22B32">
        <w:rPr>
          <w:bCs/>
          <w:szCs w:val="25"/>
        </w:rPr>
        <w:t>13:30 [</w:t>
      </w:r>
      <w:r>
        <w:rPr>
          <w:bCs/>
          <w:szCs w:val="25"/>
        </w:rPr>
        <w:t>“</w:t>
      </w:r>
      <w:r w:rsidRPr="00C22B32">
        <w:rPr>
          <w:bCs/>
          <w:szCs w:val="25"/>
        </w:rPr>
        <w:t>some are last who will be first</w:t>
      </w:r>
      <w:r w:rsidRPr="00C22B32">
        <w:rPr>
          <w:bCs/>
          <w:iCs/>
          <w:szCs w:val="25"/>
        </w:rPr>
        <w:t xml:space="preserve">, </w:t>
      </w:r>
      <w:r w:rsidRPr="00C22B32">
        <w:rPr>
          <w:bCs/>
          <w:szCs w:val="25"/>
        </w:rPr>
        <w:t>and some are first who will be last”] and 14:11 [</w:t>
      </w:r>
      <w:r>
        <w:rPr>
          <w:bCs/>
          <w:szCs w:val="25"/>
        </w:rPr>
        <w:t>“</w:t>
      </w:r>
      <w:r w:rsidRPr="00C22B32">
        <w:rPr>
          <w:bCs/>
          <w:szCs w:val="25"/>
        </w:rPr>
        <w:t>For everyone who exalts himself will be humbled</w:t>
      </w:r>
      <w:r w:rsidRPr="00C22B32">
        <w:rPr>
          <w:bCs/>
          <w:iCs/>
          <w:szCs w:val="25"/>
        </w:rPr>
        <w:t xml:space="preserve">, </w:t>
      </w:r>
      <w:r w:rsidRPr="00C22B32">
        <w:rPr>
          <w:bCs/>
          <w:szCs w:val="25"/>
        </w:rPr>
        <w:t>and he who humbles himself will be exalted</w:t>
      </w:r>
      <w:r>
        <w:rPr>
          <w:bCs/>
          <w:szCs w:val="25"/>
        </w:rPr>
        <w:t>”</w:t>
      </w:r>
      <w:r w:rsidRPr="00C22B32">
        <w:rPr>
          <w:bCs/>
          <w:szCs w:val="25"/>
        </w:rPr>
        <w:t>]). [55]</w:t>
      </w:r>
    </w:p>
    <w:p w14:paraId="35923F6C" w14:textId="77777777" w:rsidR="00B47A48" w:rsidRDefault="00B47A48" w:rsidP="00B47A48">
      <w:pPr>
        <w:pStyle w:val="Style"/>
        <w:widowControl/>
        <w:jc w:val="both"/>
        <w:textAlignment w:val="baseline"/>
        <w:rPr>
          <w:bCs/>
          <w:szCs w:val="25"/>
        </w:rPr>
      </w:pPr>
    </w:p>
    <w:p w14:paraId="4697D8BE" w14:textId="77777777" w:rsidR="00B47A48" w:rsidRPr="00C22B32" w:rsidRDefault="00B47A48" w:rsidP="00B47A48">
      <w:pPr>
        <w:pStyle w:val="Style"/>
        <w:widowControl/>
        <w:ind w:left="720" w:hanging="360"/>
        <w:jc w:val="both"/>
        <w:textAlignment w:val="baseline"/>
        <w:rPr>
          <w:bCs/>
          <w:szCs w:val="25"/>
        </w:rPr>
      </w:pPr>
      <w:r>
        <w:rPr>
          <w:bCs/>
          <w:szCs w:val="25"/>
        </w:rPr>
        <w:t>3.</w:t>
      </w:r>
      <w:r>
        <w:rPr>
          <w:bCs/>
          <w:szCs w:val="25"/>
        </w:rPr>
        <w:tab/>
      </w:r>
      <w:r w:rsidRPr="00C22B32">
        <w:rPr>
          <w:bCs/>
          <w:szCs w:val="25"/>
        </w:rPr>
        <w:t>enclosing symmetry</w:t>
      </w:r>
      <w:r w:rsidRPr="00C22B32">
        <w:rPr>
          <w:bCs/>
          <w:iCs/>
          <w:szCs w:val="25"/>
        </w:rPr>
        <w:t xml:space="preserve">, </w:t>
      </w:r>
      <w:r w:rsidRPr="00C22B32">
        <w:rPr>
          <w:bCs/>
          <w:szCs w:val="25"/>
        </w:rPr>
        <w:t>or inclusion [56]</w:t>
      </w:r>
    </w:p>
    <w:p w14:paraId="4A62C7F1" w14:textId="77777777" w:rsidR="00B47A48" w:rsidRDefault="00B47A48" w:rsidP="00B47A48">
      <w:pPr>
        <w:pStyle w:val="Style"/>
        <w:widowControl/>
        <w:jc w:val="both"/>
        <w:textAlignment w:val="baseline"/>
        <w:rPr>
          <w:bCs/>
          <w:szCs w:val="25"/>
        </w:rPr>
      </w:pPr>
    </w:p>
    <w:p w14:paraId="4A9D3700" w14:textId="77777777" w:rsidR="00B47A48" w:rsidRPr="00C22B32" w:rsidRDefault="00B47A48" w:rsidP="00B47A48">
      <w:pPr>
        <w:pStyle w:val="Style"/>
        <w:widowControl/>
        <w:ind w:left="1080" w:hanging="360"/>
        <w:jc w:val="both"/>
        <w:textAlignment w:val="baseline"/>
        <w:rPr>
          <w:bCs/>
          <w:szCs w:val="25"/>
        </w:rPr>
      </w:pPr>
      <w:r>
        <w:rPr>
          <w:bCs/>
          <w:szCs w:val="25"/>
        </w:rPr>
        <w:t>a.</w:t>
      </w:r>
      <w:r>
        <w:rPr>
          <w:bCs/>
          <w:szCs w:val="25"/>
        </w:rPr>
        <w:tab/>
      </w:r>
      <w:r w:rsidRPr="00C22B32">
        <w:rPr>
          <w:bCs/>
          <w:szCs w:val="25"/>
        </w:rPr>
        <w:t>micro-units (e.g.</w:t>
      </w:r>
      <w:r w:rsidRPr="00C22B32">
        <w:rPr>
          <w:bCs/>
          <w:iCs/>
          <w:szCs w:val="25"/>
        </w:rPr>
        <w:t xml:space="preserve">, </w:t>
      </w:r>
      <w:r w:rsidRPr="00C22B32">
        <w:rPr>
          <w:bCs/>
          <w:szCs w:val="25"/>
        </w:rPr>
        <w:t xml:space="preserve">1:57-66 [= </w:t>
      </w:r>
      <w:proofErr w:type="spellStart"/>
      <w:r w:rsidRPr="00C22B32">
        <w:rPr>
          <w:bCs/>
          <w:szCs w:val="25"/>
        </w:rPr>
        <w:t>Meynet’s</w:t>
      </w:r>
      <w:proofErr w:type="spellEnd"/>
      <w:r w:rsidRPr="00C22B32">
        <w:rPr>
          <w:bCs/>
          <w:szCs w:val="25"/>
        </w:rPr>
        <w:t xml:space="preserve"> longest example</w:t>
      </w:r>
      <w:r w:rsidRPr="00C22B32">
        <w:rPr>
          <w:bCs/>
          <w:iCs/>
          <w:szCs w:val="25"/>
        </w:rPr>
        <w:t xml:space="preserve">, </w:t>
      </w:r>
      <w:r w:rsidRPr="00C22B32">
        <w:rPr>
          <w:bCs/>
          <w:szCs w:val="25"/>
        </w:rPr>
        <w:t xml:space="preserve">13 </w:t>
      </w:r>
      <w:r w:rsidRPr="00C22B32">
        <w:rPr>
          <w:bCs/>
          <w:szCs w:val="26"/>
        </w:rPr>
        <w:t>v</w:t>
      </w:r>
      <w:r>
        <w:rPr>
          <w:bCs/>
          <w:szCs w:val="26"/>
        </w:rPr>
        <w:t>erses</w:t>
      </w:r>
      <w:r w:rsidRPr="00C22B32">
        <w:rPr>
          <w:bCs/>
          <w:szCs w:val="26"/>
        </w:rPr>
        <w:t xml:space="preserve">] </w:t>
      </w:r>
      <w:r w:rsidRPr="00C22B32">
        <w:rPr>
          <w:bCs/>
          <w:szCs w:val="25"/>
        </w:rPr>
        <w:t xml:space="preserve">is enclosed by the repetition of </w:t>
      </w:r>
      <w:r>
        <w:rPr>
          <w:bCs/>
          <w:szCs w:val="25"/>
        </w:rPr>
        <w:t>“</w:t>
      </w:r>
      <w:r w:rsidRPr="00C22B32">
        <w:rPr>
          <w:bCs/>
          <w:szCs w:val="25"/>
        </w:rPr>
        <w:t>neighbors” and “heard” in verses 58 and 66)</w:t>
      </w:r>
    </w:p>
    <w:p w14:paraId="0C53DBA9" w14:textId="77777777" w:rsidR="00B47A48" w:rsidRPr="00C22B32" w:rsidRDefault="00B47A48" w:rsidP="00B47A48">
      <w:pPr>
        <w:pStyle w:val="Style"/>
        <w:widowControl/>
        <w:ind w:left="1080" w:hanging="360"/>
        <w:jc w:val="both"/>
        <w:textAlignment w:val="baseline"/>
        <w:rPr>
          <w:bCs/>
          <w:szCs w:val="25"/>
        </w:rPr>
      </w:pPr>
      <w:r>
        <w:rPr>
          <w:bCs/>
          <w:szCs w:val="25"/>
        </w:rPr>
        <w:t>b.</w:t>
      </w:r>
      <w:r>
        <w:rPr>
          <w:bCs/>
          <w:szCs w:val="25"/>
        </w:rPr>
        <w:tab/>
      </w:r>
      <w:r w:rsidRPr="00C22B32">
        <w:rPr>
          <w:bCs/>
          <w:szCs w:val="25"/>
        </w:rPr>
        <w:t xml:space="preserve">medium-length units </w:t>
      </w:r>
      <w:r w:rsidRPr="001C646B">
        <w:rPr>
          <w:bCs/>
          <w:iCs/>
          <w:szCs w:val="25"/>
        </w:rPr>
        <w:t>(</w:t>
      </w:r>
      <w:r w:rsidRPr="00C22B32">
        <w:rPr>
          <w:bCs/>
          <w:szCs w:val="25"/>
        </w:rPr>
        <w:t>e.g.</w:t>
      </w:r>
      <w:r w:rsidRPr="00C22B32">
        <w:rPr>
          <w:bCs/>
          <w:iCs/>
          <w:szCs w:val="25"/>
        </w:rPr>
        <w:t xml:space="preserve">, </w:t>
      </w:r>
      <w:r w:rsidRPr="00C22B32">
        <w:rPr>
          <w:bCs/>
          <w:szCs w:val="25"/>
        </w:rPr>
        <w:t>1:5 [</w:t>
      </w:r>
      <w:r>
        <w:rPr>
          <w:bCs/>
          <w:szCs w:val="25"/>
        </w:rPr>
        <w:t>“</w:t>
      </w:r>
      <w:r w:rsidRPr="00C22B32">
        <w:rPr>
          <w:bCs/>
          <w:szCs w:val="25"/>
        </w:rPr>
        <w:t xml:space="preserve">It happened (that) in the days of Herod </w:t>
      </w:r>
      <w:r>
        <w:rPr>
          <w:bCs/>
          <w:szCs w:val="25"/>
        </w:rPr>
        <w:t xml:space="preserve">. . . </w:t>
      </w:r>
      <w:r w:rsidRPr="00C22B32">
        <w:rPr>
          <w:bCs/>
          <w:szCs w:val="25"/>
        </w:rPr>
        <w:t xml:space="preserve">there was a priest named Zechariah </w:t>
      </w:r>
      <w:r>
        <w:rPr>
          <w:bCs/>
          <w:szCs w:val="25"/>
        </w:rPr>
        <w:t xml:space="preserve">. . . </w:t>
      </w:r>
      <w:r w:rsidRPr="00C22B32">
        <w:rPr>
          <w:bCs/>
          <w:szCs w:val="25"/>
        </w:rPr>
        <w:t xml:space="preserve">and he had a wife </w:t>
      </w:r>
      <w:r>
        <w:rPr>
          <w:bCs/>
          <w:szCs w:val="25"/>
        </w:rPr>
        <w:t xml:space="preserve">. . . </w:t>
      </w:r>
      <w:r w:rsidRPr="00C22B32">
        <w:rPr>
          <w:bCs/>
          <w:szCs w:val="25"/>
        </w:rPr>
        <w:t>and her name was Elizabeth”] forms inclusions with 1:7 [“both were advanced in their days”]</w:t>
      </w:r>
      <w:r w:rsidRPr="00C22B32">
        <w:rPr>
          <w:bCs/>
          <w:iCs/>
          <w:szCs w:val="25"/>
        </w:rPr>
        <w:t xml:space="preserve">, </w:t>
      </w:r>
      <w:r w:rsidRPr="00C22B32">
        <w:rPr>
          <w:bCs/>
          <w:szCs w:val="25"/>
        </w:rPr>
        <w:t>1:23 [</w:t>
      </w:r>
      <w:r>
        <w:rPr>
          <w:bCs/>
          <w:szCs w:val="25"/>
        </w:rPr>
        <w:t>“</w:t>
      </w:r>
      <w:r w:rsidRPr="00C22B32">
        <w:rPr>
          <w:bCs/>
          <w:szCs w:val="25"/>
        </w:rPr>
        <w:t>And it happened”]</w:t>
      </w:r>
      <w:r w:rsidRPr="00C22B32">
        <w:rPr>
          <w:bCs/>
          <w:iCs/>
          <w:szCs w:val="25"/>
        </w:rPr>
        <w:t xml:space="preserve">, </w:t>
      </w:r>
      <w:r w:rsidRPr="00C22B32">
        <w:rPr>
          <w:bCs/>
          <w:szCs w:val="25"/>
        </w:rPr>
        <w:t>and 1:24 [</w:t>
      </w:r>
      <w:r>
        <w:rPr>
          <w:bCs/>
          <w:szCs w:val="25"/>
        </w:rPr>
        <w:t>“</w:t>
      </w:r>
      <w:r w:rsidRPr="00C22B32">
        <w:rPr>
          <w:bCs/>
          <w:szCs w:val="25"/>
        </w:rPr>
        <w:t>wife”]) [57]</w:t>
      </w:r>
    </w:p>
    <w:p w14:paraId="081EA203" w14:textId="77777777" w:rsidR="00B47A48" w:rsidRPr="00C22B32" w:rsidRDefault="00B47A48" w:rsidP="00B47A48">
      <w:pPr>
        <w:pStyle w:val="Style"/>
        <w:widowControl/>
        <w:ind w:left="1080" w:hanging="360"/>
        <w:jc w:val="both"/>
        <w:textAlignment w:val="baseline"/>
        <w:rPr>
          <w:bCs/>
          <w:szCs w:val="25"/>
        </w:rPr>
      </w:pPr>
      <w:r>
        <w:rPr>
          <w:bCs/>
          <w:szCs w:val="25"/>
        </w:rPr>
        <w:t>c.</w:t>
      </w:r>
      <w:r>
        <w:rPr>
          <w:bCs/>
          <w:szCs w:val="25"/>
        </w:rPr>
        <w:tab/>
      </w:r>
      <w:r w:rsidRPr="00C22B32">
        <w:rPr>
          <w:bCs/>
          <w:szCs w:val="25"/>
        </w:rPr>
        <w:t>macro-units (e.g.</w:t>
      </w:r>
      <w:r w:rsidRPr="00C22B32">
        <w:rPr>
          <w:bCs/>
          <w:iCs/>
          <w:szCs w:val="25"/>
        </w:rPr>
        <w:t xml:space="preserve">, </w:t>
      </w:r>
      <w:r w:rsidRPr="00C22B32">
        <w:rPr>
          <w:bCs/>
          <w:szCs w:val="25"/>
        </w:rPr>
        <w:t xml:space="preserve">4:14-9:50 is enclosed both by the recurrence of </w:t>
      </w:r>
      <w:r>
        <w:rPr>
          <w:bCs/>
          <w:szCs w:val="25"/>
        </w:rPr>
        <w:t>“</w:t>
      </w:r>
      <w:r w:rsidRPr="00C22B32">
        <w:rPr>
          <w:bCs/>
          <w:szCs w:val="25"/>
        </w:rPr>
        <w:t>mountain</w:t>
      </w:r>
      <w:r>
        <w:rPr>
          <w:bCs/>
          <w:szCs w:val="25"/>
        </w:rPr>
        <w:t>”</w:t>
      </w:r>
      <w:r w:rsidRPr="00C22B32">
        <w:rPr>
          <w:bCs/>
          <w:szCs w:val="25"/>
        </w:rPr>
        <w:t xml:space="preserve"> [of Nazareth in 4:29 and of the transfiguration in 9:28] and by the opposition of “son of Joseph” in 4:22 and </w:t>
      </w:r>
      <w:r>
        <w:rPr>
          <w:bCs/>
          <w:szCs w:val="25"/>
        </w:rPr>
        <w:t>“</w:t>
      </w:r>
      <w:r w:rsidRPr="00C22B32">
        <w:rPr>
          <w:bCs/>
          <w:szCs w:val="25"/>
        </w:rPr>
        <w:t xml:space="preserve">this is my son” </w:t>
      </w:r>
      <w:r w:rsidRPr="00C22B32">
        <w:rPr>
          <w:bCs/>
          <w:szCs w:val="33"/>
        </w:rPr>
        <w:t>= “</w:t>
      </w:r>
      <w:r w:rsidRPr="00C22B32">
        <w:rPr>
          <w:bCs/>
          <w:szCs w:val="25"/>
        </w:rPr>
        <w:t>son of God</w:t>
      </w:r>
      <w:r>
        <w:rPr>
          <w:bCs/>
          <w:szCs w:val="25"/>
        </w:rPr>
        <w:t>”</w:t>
      </w:r>
      <w:r w:rsidRPr="00C22B32">
        <w:rPr>
          <w:bCs/>
          <w:szCs w:val="25"/>
        </w:rPr>
        <w:t xml:space="preserve"> in 9:35)</w:t>
      </w:r>
    </w:p>
    <w:p w14:paraId="1A3A08BC" w14:textId="77777777" w:rsidR="00B47A48" w:rsidRDefault="00B47A48" w:rsidP="00B47A48">
      <w:pPr>
        <w:pStyle w:val="Style"/>
        <w:widowControl/>
        <w:jc w:val="both"/>
        <w:textAlignment w:val="baseline"/>
        <w:rPr>
          <w:bCs/>
          <w:szCs w:val="25"/>
        </w:rPr>
      </w:pPr>
    </w:p>
    <w:p w14:paraId="3F6DDE40" w14:textId="77777777" w:rsidR="00B47A48" w:rsidRPr="00C22B32" w:rsidRDefault="00B47A48" w:rsidP="00B47A48">
      <w:pPr>
        <w:pStyle w:val="Style"/>
        <w:widowControl/>
        <w:ind w:left="720" w:hanging="360"/>
        <w:jc w:val="both"/>
        <w:textAlignment w:val="baseline"/>
        <w:rPr>
          <w:bCs/>
          <w:szCs w:val="25"/>
        </w:rPr>
      </w:pPr>
      <w:r>
        <w:rPr>
          <w:bCs/>
          <w:szCs w:val="25"/>
        </w:rPr>
        <w:t>4.</w:t>
      </w:r>
      <w:r>
        <w:rPr>
          <w:bCs/>
          <w:szCs w:val="25"/>
        </w:rPr>
        <w:tab/>
      </w:r>
      <w:r w:rsidRPr="00C22B32">
        <w:rPr>
          <w:bCs/>
          <w:szCs w:val="25"/>
        </w:rPr>
        <w:t>concentric symmetry</w:t>
      </w:r>
      <w:r w:rsidRPr="00C22B32">
        <w:rPr>
          <w:bCs/>
          <w:iCs/>
          <w:szCs w:val="25"/>
        </w:rPr>
        <w:t xml:space="preserve">, </w:t>
      </w:r>
      <w:r w:rsidRPr="00C22B32">
        <w:rPr>
          <w:bCs/>
          <w:szCs w:val="25"/>
        </w:rPr>
        <w:t>or chiasm</w:t>
      </w:r>
    </w:p>
    <w:p w14:paraId="74F421CD" w14:textId="77777777" w:rsidR="00B47A48" w:rsidRDefault="00B47A48" w:rsidP="00B47A48">
      <w:pPr>
        <w:pStyle w:val="Style"/>
        <w:widowControl/>
        <w:jc w:val="both"/>
        <w:textAlignment w:val="baseline"/>
        <w:rPr>
          <w:bCs/>
          <w:szCs w:val="25"/>
        </w:rPr>
      </w:pPr>
    </w:p>
    <w:p w14:paraId="54C1AC88" w14:textId="77777777" w:rsidR="00B47A48" w:rsidRPr="00C22B32" w:rsidRDefault="00B47A48" w:rsidP="00B47A48">
      <w:pPr>
        <w:pStyle w:val="Style"/>
        <w:widowControl/>
        <w:ind w:left="1080" w:hanging="360"/>
        <w:jc w:val="both"/>
        <w:textAlignment w:val="baseline"/>
        <w:rPr>
          <w:bCs/>
          <w:szCs w:val="25"/>
        </w:rPr>
      </w:pPr>
      <w:r>
        <w:rPr>
          <w:bCs/>
          <w:szCs w:val="25"/>
        </w:rPr>
        <w:t>a.</w:t>
      </w:r>
      <w:r>
        <w:rPr>
          <w:bCs/>
          <w:szCs w:val="25"/>
        </w:rPr>
        <w:tab/>
      </w:r>
      <w:r w:rsidRPr="00C22B32">
        <w:rPr>
          <w:bCs/>
          <w:szCs w:val="25"/>
        </w:rPr>
        <w:t>stylistic chiasm</w:t>
      </w:r>
      <w:r w:rsidRPr="00C22B32">
        <w:rPr>
          <w:bCs/>
          <w:iCs/>
          <w:szCs w:val="25"/>
        </w:rPr>
        <w:t xml:space="preserve">, </w:t>
      </w:r>
      <w:r w:rsidRPr="00C22B32">
        <w:rPr>
          <w:bCs/>
          <w:szCs w:val="25"/>
        </w:rPr>
        <w:t>which does not extend beyond a sentence (e.g.</w:t>
      </w:r>
      <w:r w:rsidRPr="00C22B32">
        <w:rPr>
          <w:bCs/>
          <w:iCs/>
          <w:szCs w:val="25"/>
        </w:rPr>
        <w:t xml:space="preserve">, </w:t>
      </w:r>
      <w:r w:rsidRPr="00C22B32">
        <w:rPr>
          <w:bCs/>
          <w:szCs w:val="25"/>
        </w:rPr>
        <w:t>13:10 [</w:t>
      </w:r>
      <w:r>
        <w:rPr>
          <w:bCs/>
          <w:szCs w:val="25"/>
        </w:rPr>
        <w:t>“</w:t>
      </w:r>
      <w:r w:rsidRPr="00C22B32">
        <w:rPr>
          <w:bCs/>
          <w:szCs w:val="25"/>
        </w:rPr>
        <w:t>some are last who will be first</w:t>
      </w:r>
      <w:r w:rsidRPr="00C22B32">
        <w:rPr>
          <w:bCs/>
          <w:iCs/>
          <w:szCs w:val="25"/>
        </w:rPr>
        <w:t xml:space="preserve">, </w:t>
      </w:r>
      <w:r w:rsidRPr="00C22B32">
        <w:rPr>
          <w:bCs/>
          <w:szCs w:val="25"/>
        </w:rPr>
        <w:t>and some are first who will be last</w:t>
      </w:r>
      <w:r>
        <w:rPr>
          <w:bCs/>
          <w:szCs w:val="25"/>
        </w:rPr>
        <w:t>”</w:t>
      </w:r>
      <w:r w:rsidRPr="00C22B32">
        <w:rPr>
          <w:bCs/>
          <w:szCs w:val="25"/>
        </w:rPr>
        <w:t>])</w:t>
      </w:r>
    </w:p>
    <w:p w14:paraId="2504CF60" w14:textId="77777777" w:rsidR="00B47A48" w:rsidRPr="00C22B32" w:rsidRDefault="00B47A48" w:rsidP="00B47A48">
      <w:pPr>
        <w:pStyle w:val="Style"/>
        <w:widowControl/>
        <w:ind w:left="1080" w:hanging="360"/>
        <w:jc w:val="both"/>
        <w:textAlignment w:val="baseline"/>
        <w:rPr>
          <w:bCs/>
          <w:szCs w:val="25"/>
        </w:rPr>
      </w:pPr>
      <w:r>
        <w:rPr>
          <w:bCs/>
          <w:szCs w:val="25"/>
        </w:rPr>
        <w:t>b.</w:t>
      </w:r>
      <w:r>
        <w:rPr>
          <w:bCs/>
          <w:szCs w:val="25"/>
        </w:rPr>
        <w:tab/>
      </w:r>
      <w:r w:rsidRPr="00C22B32">
        <w:rPr>
          <w:bCs/>
          <w:szCs w:val="25"/>
        </w:rPr>
        <w:t>rhetorical chiasm [58]</w:t>
      </w:r>
    </w:p>
    <w:p w14:paraId="449453EA" w14:textId="77777777" w:rsidR="00B47A48" w:rsidRPr="00C22B32" w:rsidRDefault="00B47A48" w:rsidP="00B47A48">
      <w:pPr>
        <w:pStyle w:val="Style"/>
        <w:widowControl/>
        <w:ind w:left="1440" w:hanging="360"/>
        <w:jc w:val="both"/>
        <w:textAlignment w:val="baseline"/>
        <w:rPr>
          <w:bCs/>
          <w:szCs w:val="25"/>
        </w:rPr>
      </w:pPr>
      <w:r>
        <w:rPr>
          <w:bCs/>
          <w:szCs w:val="25"/>
        </w:rPr>
        <w:t>1)</w:t>
      </w:r>
      <w:r>
        <w:rPr>
          <w:bCs/>
          <w:szCs w:val="25"/>
        </w:rPr>
        <w:tab/>
      </w:r>
      <w:r w:rsidRPr="00C22B32">
        <w:rPr>
          <w:bCs/>
          <w:szCs w:val="25"/>
        </w:rPr>
        <w:t>lexical chiasm</w:t>
      </w:r>
    </w:p>
    <w:p w14:paraId="09642123" w14:textId="77777777" w:rsidR="00B47A48" w:rsidRPr="00C22B32" w:rsidRDefault="00B47A48" w:rsidP="00B47A48">
      <w:pPr>
        <w:pStyle w:val="Style"/>
        <w:widowControl/>
        <w:ind w:left="1800" w:hanging="360"/>
        <w:jc w:val="both"/>
        <w:textAlignment w:val="baseline"/>
        <w:rPr>
          <w:bCs/>
          <w:szCs w:val="25"/>
        </w:rPr>
      </w:pPr>
      <w:r>
        <w:rPr>
          <w:bCs/>
          <w:szCs w:val="25"/>
        </w:rPr>
        <w:lastRenderedPageBreak/>
        <w:t>a)</w:t>
      </w:r>
      <w:r>
        <w:rPr>
          <w:bCs/>
          <w:szCs w:val="25"/>
        </w:rPr>
        <w:tab/>
      </w:r>
      <w:r w:rsidRPr="00C22B32">
        <w:rPr>
          <w:bCs/>
          <w:szCs w:val="25"/>
        </w:rPr>
        <w:t>in a micro-unit (e.g.</w:t>
      </w:r>
      <w:r w:rsidRPr="00C22B32">
        <w:rPr>
          <w:bCs/>
          <w:iCs/>
          <w:szCs w:val="25"/>
        </w:rPr>
        <w:t xml:space="preserve">, </w:t>
      </w:r>
      <w:r w:rsidRPr="00C22B32">
        <w:rPr>
          <w:bCs/>
          <w:szCs w:val="25"/>
        </w:rPr>
        <w:t>4:16-20) [59]</w:t>
      </w:r>
    </w:p>
    <w:p w14:paraId="6157E91F" w14:textId="77777777" w:rsidR="00B47A48" w:rsidRPr="00C22B32" w:rsidRDefault="00B47A48" w:rsidP="00B47A48">
      <w:pPr>
        <w:pStyle w:val="Style"/>
        <w:widowControl/>
        <w:ind w:left="1800" w:hanging="360"/>
        <w:jc w:val="both"/>
        <w:textAlignment w:val="baseline"/>
        <w:rPr>
          <w:bCs/>
          <w:szCs w:val="25"/>
        </w:rPr>
      </w:pPr>
      <w:r>
        <w:rPr>
          <w:bCs/>
          <w:szCs w:val="25"/>
        </w:rPr>
        <w:t>b)</w:t>
      </w:r>
      <w:r>
        <w:rPr>
          <w:bCs/>
          <w:szCs w:val="25"/>
        </w:rPr>
        <w:tab/>
      </w:r>
      <w:r w:rsidRPr="00C22B32">
        <w:rPr>
          <w:bCs/>
          <w:szCs w:val="25"/>
        </w:rPr>
        <w:t>in a medium-length unit (only three instances: in 1:57-80</w:t>
      </w:r>
      <w:r w:rsidRPr="00C22B32">
        <w:rPr>
          <w:bCs/>
          <w:iCs/>
          <w:szCs w:val="25"/>
        </w:rPr>
        <w:t xml:space="preserve">, </w:t>
      </w:r>
      <w:r w:rsidRPr="00C22B32">
        <w:rPr>
          <w:bCs/>
          <w:szCs w:val="25"/>
        </w:rPr>
        <w:t>6:17-7:17</w:t>
      </w:r>
      <w:r w:rsidRPr="00C22B32">
        <w:rPr>
          <w:bCs/>
          <w:iCs/>
          <w:szCs w:val="25"/>
        </w:rPr>
        <w:t xml:space="preserve">, </w:t>
      </w:r>
      <w:r w:rsidRPr="00C22B32">
        <w:rPr>
          <w:bCs/>
          <w:szCs w:val="25"/>
        </w:rPr>
        <w:t>and 24:1-53)</w:t>
      </w:r>
    </w:p>
    <w:p w14:paraId="049726F4" w14:textId="77777777" w:rsidR="00B47A48" w:rsidRPr="00C22B32" w:rsidRDefault="00B47A48" w:rsidP="00B47A48">
      <w:pPr>
        <w:pStyle w:val="Style"/>
        <w:widowControl/>
        <w:ind w:left="1440" w:hanging="360"/>
        <w:jc w:val="both"/>
        <w:textAlignment w:val="baseline"/>
        <w:rPr>
          <w:bCs/>
          <w:szCs w:val="25"/>
        </w:rPr>
      </w:pPr>
      <w:r>
        <w:rPr>
          <w:bCs/>
          <w:szCs w:val="25"/>
        </w:rPr>
        <w:t>2)</w:t>
      </w:r>
      <w:r>
        <w:rPr>
          <w:bCs/>
          <w:szCs w:val="25"/>
        </w:rPr>
        <w:tab/>
      </w:r>
      <w:r w:rsidRPr="00C22B32">
        <w:rPr>
          <w:bCs/>
          <w:szCs w:val="25"/>
        </w:rPr>
        <w:t>passage chiasm [“</w:t>
      </w:r>
      <w:proofErr w:type="spellStart"/>
      <w:r w:rsidRPr="00C22B32">
        <w:rPr>
          <w:bCs/>
          <w:szCs w:val="25"/>
        </w:rPr>
        <w:t>chiasme</w:t>
      </w:r>
      <w:proofErr w:type="spellEnd"/>
      <w:r w:rsidRPr="00C22B32">
        <w:rPr>
          <w:bCs/>
          <w:szCs w:val="25"/>
        </w:rPr>
        <w:t xml:space="preserve"> de </w:t>
      </w:r>
      <w:proofErr w:type="spellStart"/>
      <w:r w:rsidRPr="00C22B32">
        <w:rPr>
          <w:bCs/>
          <w:szCs w:val="25"/>
        </w:rPr>
        <w:t>discours</w:t>
      </w:r>
      <w:proofErr w:type="spellEnd"/>
      <w:r w:rsidRPr="00C22B32">
        <w:rPr>
          <w:bCs/>
          <w:szCs w:val="25"/>
        </w:rPr>
        <w:t>”] (e.g.</w:t>
      </w:r>
      <w:r w:rsidRPr="00C22B32">
        <w:rPr>
          <w:bCs/>
          <w:iCs/>
          <w:szCs w:val="25"/>
        </w:rPr>
        <w:t xml:space="preserve">, </w:t>
      </w:r>
      <w:r w:rsidRPr="00C22B32">
        <w:rPr>
          <w:bCs/>
          <w:szCs w:val="25"/>
        </w:rPr>
        <w:t>in 5:17-6:11 one finds A healing</w:t>
      </w:r>
      <w:r w:rsidRPr="00C22B32">
        <w:rPr>
          <w:bCs/>
          <w:iCs/>
          <w:szCs w:val="25"/>
        </w:rPr>
        <w:t xml:space="preserve">, </w:t>
      </w:r>
      <w:r w:rsidRPr="00C22B32">
        <w:rPr>
          <w:bCs/>
          <w:szCs w:val="25"/>
        </w:rPr>
        <w:t>B controversy</w:t>
      </w:r>
      <w:r w:rsidRPr="00C22B32">
        <w:rPr>
          <w:bCs/>
          <w:iCs/>
          <w:szCs w:val="25"/>
        </w:rPr>
        <w:t xml:space="preserve">, </w:t>
      </w:r>
      <w:r w:rsidRPr="00C22B32">
        <w:rPr>
          <w:bCs/>
          <w:szCs w:val="25"/>
        </w:rPr>
        <w:t xml:space="preserve">C </w:t>
      </w:r>
      <w:proofErr w:type="spellStart"/>
      <w:r w:rsidRPr="00C22B32">
        <w:rPr>
          <w:bCs/>
          <w:szCs w:val="25"/>
        </w:rPr>
        <w:t>parabole</w:t>
      </w:r>
      <w:proofErr w:type="spellEnd"/>
      <w:r w:rsidRPr="00C22B32">
        <w:rPr>
          <w:bCs/>
          <w:iCs/>
          <w:szCs w:val="25"/>
        </w:rPr>
        <w:t xml:space="preserve">, </w:t>
      </w:r>
      <w:r w:rsidRPr="00C22B32">
        <w:rPr>
          <w:bCs/>
          <w:szCs w:val="25"/>
        </w:rPr>
        <w:t>B</w:t>
      </w:r>
      <w:r>
        <w:rPr>
          <w:bCs/>
          <w:szCs w:val="25"/>
        </w:rPr>
        <w:t>´</w:t>
      </w:r>
      <w:r w:rsidRPr="00C22B32">
        <w:rPr>
          <w:bCs/>
          <w:szCs w:val="25"/>
        </w:rPr>
        <w:t xml:space="preserve"> controversy</w:t>
      </w:r>
      <w:r w:rsidRPr="00C22B32">
        <w:rPr>
          <w:bCs/>
          <w:iCs/>
          <w:szCs w:val="25"/>
        </w:rPr>
        <w:t xml:space="preserve">, </w:t>
      </w:r>
      <w:r w:rsidRPr="00C22B32">
        <w:rPr>
          <w:bCs/>
          <w:szCs w:val="25"/>
        </w:rPr>
        <w:t>A</w:t>
      </w:r>
      <w:r>
        <w:rPr>
          <w:bCs/>
          <w:szCs w:val="25"/>
        </w:rPr>
        <w:t>´</w:t>
      </w:r>
      <w:r w:rsidRPr="00C22B32">
        <w:rPr>
          <w:bCs/>
          <w:szCs w:val="25"/>
        </w:rPr>
        <w:t xml:space="preserve"> healing)</w:t>
      </w:r>
    </w:p>
    <w:p w14:paraId="35BE0634" w14:textId="77777777" w:rsidR="00B47A48" w:rsidRDefault="00B47A48" w:rsidP="00B47A48">
      <w:pPr>
        <w:pStyle w:val="Style"/>
        <w:widowControl/>
        <w:jc w:val="both"/>
        <w:textAlignment w:val="baseline"/>
        <w:rPr>
          <w:bCs/>
          <w:szCs w:val="25"/>
        </w:rPr>
      </w:pPr>
    </w:p>
    <w:p w14:paraId="5600CF22" w14:textId="77777777" w:rsidR="00B47A48" w:rsidRPr="00C22B32" w:rsidRDefault="00B47A48" w:rsidP="00B47A48">
      <w:pPr>
        <w:pStyle w:val="Style"/>
        <w:widowControl/>
        <w:ind w:left="360" w:hanging="360"/>
        <w:jc w:val="both"/>
        <w:textAlignment w:val="baseline"/>
        <w:rPr>
          <w:bCs/>
          <w:szCs w:val="25"/>
        </w:rPr>
      </w:pPr>
      <w:r w:rsidRPr="00C22B32">
        <w:rPr>
          <w:bCs/>
          <w:szCs w:val="25"/>
        </w:rPr>
        <w:t>5. combination of symmetries [61</w:t>
      </w:r>
      <w:r>
        <w:rPr>
          <w:bCs/>
          <w:szCs w:val="25"/>
        </w:rPr>
        <w:t>]</w:t>
      </w:r>
    </w:p>
    <w:p w14:paraId="781727CF" w14:textId="77777777" w:rsidR="00B47A48" w:rsidRDefault="00B47A48" w:rsidP="00B47A48">
      <w:pPr>
        <w:pStyle w:val="Style"/>
        <w:widowControl/>
        <w:jc w:val="both"/>
        <w:textAlignment w:val="baseline"/>
        <w:rPr>
          <w:bCs/>
          <w:szCs w:val="25"/>
        </w:rPr>
      </w:pPr>
    </w:p>
    <w:p w14:paraId="2B5F35F3" w14:textId="77777777" w:rsidR="00B47A48" w:rsidRPr="00C22B32" w:rsidRDefault="00B47A48" w:rsidP="00B47A48">
      <w:pPr>
        <w:pStyle w:val="Style"/>
        <w:widowControl/>
        <w:jc w:val="both"/>
        <w:textAlignment w:val="baseline"/>
        <w:rPr>
          <w:bCs/>
          <w:szCs w:val="25"/>
        </w:rPr>
      </w:pPr>
      <w:r>
        <w:rPr>
          <w:bCs/>
          <w:szCs w:val="25"/>
        </w:rPr>
        <w:tab/>
      </w:r>
      <w:r w:rsidRPr="00C22B32">
        <w:rPr>
          <w:bCs/>
          <w:szCs w:val="25"/>
        </w:rPr>
        <w:t>As this outline shows</w:t>
      </w:r>
      <w:r w:rsidRPr="00C22B32">
        <w:rPr>
          <w:bCs/>
          <w:iCs/>
          <w:szCs w:val="25"/>
        </w:rPr>
        <w:t xml:space="preserve">, </w:t>
      </w:r>
      <w:proofErr w:type="spellStart"/>
      <w:r w:rsidRPr="00C22B32">
        <w:rPr>
          <w:bCs/>
          <w:szCs w:val="25"/>
        </w:rPr>
        <w:t>Meynet</w:t>
      </w:r>
      <w:proofErr w:type="spellEnd"/>
      <w:r w:rsidRPr="00C22B32">
        <w:rPr>
          <w:bCs/>
          <w:szCs w:val="25"/>
        </w:rPr>
        <w:t xml:space="preserve"> deals not only with parallelism</w:t>
      </w:r>
      <w:r w:rsidRPr="00C22B32">
        <w:rPr>
          <w:bCs/>
          <w:iCs/>
          <w:szCs w:val="25"/>
        </w:rPr>
        <w:t xml:space="preserve">, </w:t>
      </w:r>
      <w:r w:rsidRPr="00C22B32">
        <w:rPr>
          <w:bCs/>
          <w:szCs w:val="25"/>
        </w:rPr>
        <w:t>inclusion</w:t>
      </w:r>
      <w:r w:rsidRPr="00C22B32">
        <w:rPr>
          <w:bCs/>
          <w:iCs/>
          <w:szCs w:val="25"/>
        </w:rPr>
        <w:t xml:space="preserve">, </w:t>
      </w:r>
      <w:r w:rsidRPr="00C22B32">
        <w:rPr>
          <w:bCs/>
          <w:szCs w:val="25"/>
        </w:rPr>
        <w:t>and chiasm</w:t>
      </w:r>
      <w:r w:rsidRPr="00C22B32">
        <w:rPr>
          <w:bCs/>
          <w:iCs/>
          <w:szCs w:val="25"/>
        </w:rPr>
        <w:t xml:space="preserve">, </w:t>
      </w:r>
      <w:r w:rsidRPr="00C22B32">
        <w:rPr>
          <w:bCs/>
          <w:szCs w:val="25"/>
        </w:rPr>
        <w:t xml:space="preserve">but with the underlying linguistic phenomena upon which these rhetorical figures in the </w:t>
      </w:r>
      <w:r>
        <w:rPr>
          <w:bCs/>
          <w:szCs w:val="25"/>
        </w:rPr>
        <w:t>s</w:t>
      </w:r>
      <w:r w:rsidRPr="00C22B32">
        <w:rPr>
          <w:bCs/>
          <w:szCs w:val="25"/>
        </w:rPr>
        <w:t>criptures are based.</w:t>
      </w:r>
    </w:p>
    <w:p w14:paraId="7EA56797" w14:textId="77777777" w:rsidR="00B47A48" w:rsidRPr="00C22B32" w:rsidRDefault="00B47A48" w:rsidP="00B47A48">
      <w:pPr>
        <w:pStyle w:val="Style"/>
        <w:widowControl/>
        <w:jc w:val="both"/>
        <w:textAlignment w:val="baseline"/>
        <w:rPr>
          <w:bCs/>
          <w:szCs w:val="2"/>
          <w:vertAlign w:val="superscript"/>
        </w:rPr>
      </w:pPr>
      <w:r>
        <w:rPr>
          <w:bCs/>
          <w:szCs w:val="25"/>
        </w:rPr>
        <w:tab/>
      </w:r>
      <w:proofErr w:type="spellStart"/>
      <w:r w:rsidRPr="00C22B32">
        <w:rPr>
          <w:bCs/>
          <w:szCs w:val="25"/>
        </w:rPr>
        <w:t>Meynet</w:t>
      </w:r>
      <w:proofErr w:type="spellEnd"/>
      <w:r w:rsidRPr="00C22B32">
        <w:rPr>
          <w:bCs/>
          <w:szCs w:val="25"/>
        </w:rPr>
        <w:t xml:space="preserve"> notes that the Bible</w:t>
      </w:r>
      <w:r w:rsidRPr="00C22B32">
        <w:rPr>
          <w:bCs/>
          <w:iCs/>
          <w:szCs w:val="25"/>
        </w:rPr>
        <w:t xml:space="preserve">, </w:t>
      </w:r>
      <w:r w:rsidRPr="00C22B32">
        <w:rPr>
          <w:bCs/>
          <w:szCs w:val="25"/>
        </w:rPr>
        <w:t>as it exists in our early manuscripts</w:t>
      </w:r>
      <w:r w:rsidRPr="00C22B32">
        <w:rPr>
          <w:bCs/>
          <w:iCs/>
          <w:szCs w:val="25"/>
        </w:rPr>
        <w:t xml:space="preserve">, </w:t>
      </w:r>
      <w:r w:rsidRPr="00C22B32">
        <w:rPr>
          <w:bCs/>
          <w:szCs w:val="25"/>
        </w:rPr>
        <w:t>contains no</w:t>
      </w:r>
      <w:r>
        <w:rPr>
          <w:bCs/>
          <w:szCs w:val="25"/>
        </w:rPr>
        <w:t xml:space="preserve"> </w:t>
      </w:r>
      <w:r w:rsidRPr="00C22B32">
        <w:rPr>
          <w:bCs/>
          <w:szCs w:val="25"/>
        </w:rPr>
        <w:t>external marks of division: no verses</w:t>
      </w:r>
      <w:r w:rsidRPr="00C22B32">
        <w:rPr>
          <w:bCs/>
          <w:iCs/>
          <w:szCs w:val="25"/>
        </w:rPr>
        <w:t xml:space="preserve">, </w:t>
      </w:r>
      <w:r w:rsidRPr="00C22B32">
        <w:rPr>
          <w:bCs/>
          <w:szCs w:val="25"/>
        </w:rPr>
        <w:t>paragraphs</w:t>
      </w:r>
      <w:r w:rsidRPr="00C22B32">
        <w:rPr>
          <w:bCs/>
          <w:iCs/>
          <w:szCs w:val="25"/>
        </w:rPr>
        <w:t xml:space="preserve">, </w:t>
      </w:r>
      <w:r w:rsidRPr="00C22B32">
        <w:rPr>
          <w:bCs/>
          <w:szCs w:val="25"/>
        </w:rPr>
        <w:t>chapters</w:t>
      </w:r>
      <w:r w:rsidRPr="00C22B32">
        <w:rPr>
          <w:bCs/>
          <w:iCs/>
          <w:szCs w:val="25"/>
        </w:rPr>
        <w:t xml:space="preserve">, </w:t>
      </w:r>
      <w:r w:rsidRPr="00C22B32">
        <w:rPr>
          <w:bCs/>
          <w:szCs w:val="25"/>
        </w:rPr>
        <w:t>etc.</w:t>
      </w:r>
      <w:r>
        <w:rPr>
          <w:rStyle w:val="FootnoteReference"/>
          <w:bCs/>
          <w:szCs w:val="25"/>
        </w:rPr>
        <w:footnoteReference w:id="841"/>
      </w:r>
      <w:r w:rsidRPr="00671DEF">
        <w:rPr>
          <w:bCs/>
          <w:iCs/>
          <w:szCs w:val="25"/>
        </w:rPr>
        <w:t xml:space="preserve"> </w:t>
      </w:r>
      <w:r w:rsidRPr="00C22B32">
        <w:rPr>
          <w:bCs/>
          <w:szCs w:val="25"/>
        </w:rPr>
        <w:t>The divisions within biblical books</w:t>
      </w:r>
      <w:r w:rsidRPr="00C22B32">
        <w:rPr>
          <w:bCs/>
          <w:iCs/>
          <w:szCs w:val="25"/>
        </w:rPr>
        <w:t xml:space="preserve">, </w:t>
      </w:r>
      <w:r w:rsidRPr="00C22B32">
        <w:rPr>
          <w:bCs/>
          <w:szCs w:val="25"/>
        </w:rPr>
        <w:t>he concludes</w:t>
      </w:r>
      <w:r w:rsidRPr="00C22B32">
        <w:rPr>
          <w:bCs/>
          <w:iCs/>
          <w:szCs w:val="25"/>
        </w:rPr>
        <w:t xml:space="preserve">, </w:t>
      </w:r>
      <w:r w:rsidRPr="00C22B32">
        <w:rPr>
          <w:bCs/>
          <w:szCs w:val="25"/>
        </w:rPr>
        <w:t>must therefore have been communicated to ancient readers by internal means</w:t>
      </w:r>
      <w:r w:rsidRPr="00671DEF">
        <w:rPr>
          <w:bCs/>
          <w:iCs/>
          <w:szCs w:val="25"/>
        </w:rPr>
        <w:t>—</w:t>
      </w:r>
      <w:r w:rsidRPr="00C22B32">
        <w:rPr>
          <w:bCs/>
          <w:szCs w:val="25"/>
        </w:rPr>
        <w:t>and if internal</w:t>
      </w:r>
      <w:r w:rsidRPr="00C22B32">
        <w:rPr>
          <w:bCs/>
          <w:iCs/>
          <w:szCs w:val="25"/>
        </w:rPr>
        <w:t xml:space="preserve">, </w:t>
      </w:r>
      <w:r w:rsidRPr="00C22B32">
        <w:rPr>
          <w:bCs/>
          <w:szCs w:val="25"/>
        </w:rPr>
        <w:t>then necessarily linguistic.</w:t>
      </w:r>
      <w:r>
        <w:rPr>
          <w:rStyle w:val="FootnoteReference"/>
          <w:bCs/>
          <w:szCs w:val="25"/>
        </w:rPr>
        <w:footnoteReference w:id="842"/>
      </w:r>
      <w:r w:rsidRPr="00C22B32">
        <w:rPr>
          <w:bCs/>
          <w:szCs w:val="25"/>
        </w:rPr>
        <w:t xml:space="preserve"> What sort of linguistic phenomena might indicate</w:t>
      </w:r>
      <w:r>
        <w:rPr>
          <w:bCs/>
          <w:szCs w:val="25"/>
        </w:rPr>
        <w:t xml:space="preserve"> </w:t>
      </w:r>
      <w:r w:rsidRPr="00C22B32">
        <w:rPr>
          <w:bCs/>
          <w:szCs w:val="25"/>
        </w:rPr>
        <w:t xml:space="preserve">the divisions of biblical books? Meynet’s answer is straightforward: </w:t>
      </w:r>
      <w:r w:rsidRPr="00C22B32">
        <w:rPr>
          <w:bCs/>
          <w:i/>
          <w:iCs/>
          <w:szCs w:val="26"/>
        </w:rPr>
        <w:t>every</w:t>
      </w:r>
      <w:r w:rsidRPr="003A3B2E">
        <w:rPr>
          <w:bCs/>
          <w:szCs w:val="26"/>
        </w:rPr>
        <w:t xml:space="preserve"> </w:t>
      </w:r>
      <w:r w:rsidRPr="00C22B32">
        <w:rPr>
          <w:bCs/>
          <w:szCs w:val="25"/>
        </w:rPr>
        <w:t>linguistic phenomenon can be significant for determining a work’s divisions</w:t>
      </w:r>
      <w:r w:rsidRPr="00C22B32">
        <w:rPr>
          <w:bCs/>
          <w:iCs/>
          <w:szCs w:val="25"/>
        </w:rPr>
        <w:t xml:space="preserve">, </w:t>
      </w:r>
      <w:r w:rsidRPr="00C22B32">
        <w:rPr>
          <w:bCs/>
          <w:szCs w:val="25"/>
        </w:rPr>
        <w:t xml:space="preserve">be it individual words (“lexemes”) or their meanings </w:t>
      </w:r>
      <w:r>
        <w:rPr>
          <w:bCs/>
          <w:szCs w:val="25"/>
        </w:rPr>
        <w:t>(“</w:t>
      </w:r>
      <w:r w:rsidRPr="00C22B32">
        <w:rPr>
          <w:bCs/>
          <w:szCs w:val="25"/>
        </w:rPr>
        <w:t>sememes”)</w:t>
      </w:r>
      <w:r>
        <w:rPr>
          <w:bCs/>
          <w:iCs/>
          <w:szCs w:val="25"/>
        </w:rPr>
        <w:t>,</w:t>
      </w:r>
      <w:r w:rsidRPr="00C22B32">
        <w:rPr>
          <w:bCs/>
          <w:iCs/>
          <w:szCs w:val="25"/>
        </w:rPr>
        <w:t xml:space="preserve"> </w:t>
      </w:r>
      <w:r w:rsidRPr="00C22B32">
        <w:rPr>
          <w:bCs/>
          <w:szCs w:val="25"/>
        </w:rPr>
        <w:t>morphological categories (tense</w:t>
      </w:r>
      <w:r w:rsidRPr="00C22B32">
        <w:rPr>
          <w:bCs/>
          <w:iCs/>
          <w:szCs w:val="25"/>
        </w:rPr>
        <w:t xml:space="preserve">, </w:t>
      </w:r>
      <w:r w:rsidRPr="00C22B32">
        <w:rPr>
          <w:bCs/>
          <w:szCs w:val="25"/>
        </w:rPr>
        <w:t>person</w:t>
      </w:r>
      <w:r w:rsidRPr="00C22B32">
        <w:rPr>
          <w:bCs/>
          <w:iCs/>
          <w:szCs w:val="25"/>
        </w:rPr>
        <w:t xml:space="preserve">, </w:t>
      </w:r>
      <w:r w:rsidRPr="00C22B32">
        <w:rPr>
          <w:bCs/>
          <w:szCs w:val="25"/>
        </w:rPr>
        <w:t>number</w:t>
      </w:r>
      <w:r w:rsidRPr="00C22B32">
        <w:rPr>
          <w:bCs/>
          <w:iCs/>
          <w:szCs w:val="25"/>
        </w:rPr>
        <w:t xml:space="preserve">, </w:t>
      </w:r>
      <w:r w:rsidRPr="00C22B32">
        <w:rPr>
          <w:bCs/>
          <w:szCs w:val="25"/>
        </w:rPr>
        <w:t>etc.)</w:t>
      </w:r>
      <w:r w:rsidRPr="00C22B32">
        <w:rPr>
          <w:bCs/>
          <w:iCs/>
          <w:szCs w:val="25"/>
        </w:rPr>
        <w:t xml:space="preserve">, </w:t>
      </w:r>
      <w:r w:rsidRPr="00C22B32">
        <w:rPr>
          <w:bCs/>
          <w:szCs w:val="25"/>
        </w:rPr>
        <w:t>syntactic patterns</w:t>
      </w:r>
      <w:r w:rsidRPr="00C22B32">
        <w:rPr>
          <w:bCs/>
          <w:iCs/>
          <w:szCs w:val="25"/>
        </w:rPr>
        <w:t xml:space="preserve">, </w:t>
      </w:r>
      <w:r w:rsidRPr="00C22B32">
        <w:rPr>
          <w:bCs/>
          <w:szCs w:val="25"/>
        </w:rPr>
        <w:t>or patterns of pericopes. The relation between any two words</w:t>
      </w:r>
      <w:r w:rsidRPr="00C22B32">
        <w:rPr>
          <w:bCs/>
          <w:iCs/>
          <w:szCs w:val="25"/>
        </w:rPr>
        <w:t xml:space="preserve">, </w:t>
      </w:r>
      <w:r w:rsidRPr="00C22B32">
        <w:rPr>
          <w:bCs/>
          <w:szCs w:val="25"/>
        </w:rPr>
        <w:t>meanings</w:t>
      </w:r>
      <w:r w:rsidRPr="00C22B32">
        <w:rPr>
          <w:bCs/>
          <w:iCs/>
          <w:szCs w:val="25"/>
        </w:rPr>
        <w:t xml:space="preserve">, </w:t>
      </w:r>
      <w:r w:rsidRPr="00C22B32">
        <w:rPr>
          <w:bCs/>
          <w:szCs w:val="25"/>
        </w:rPr>
        <w:t>morphemes</w:t>
      </w:r>
      <w:r w:rsidRPr="00C22B32">
        <w:rPr>
          <w:bCs/>
          <w:iCs/>
          <w:szCs w:val="25"/>
        </w:rPr>
        <w:t xml:space="preserve">, </w:t>
      </w:r>
      <w:r w:rsidRPr="00C22B32">
        <w:rPr>
          <w:bCs/>
          <w:szCs w:val="25"/>
        </w:rPr>
        <w:t>or patterns</w:t>
      </w:r>
      <w:r w:rsidRPr="00C22B32">
        <w:rPr>
          <w:bCs/>
          <w:iCs/>
          <w:szCs w:val="25"/>
        </w:rPr>
        <w:t xml:space="preserve">, </w:t>
      </w:r>
      <w:r w:rsidRPr="00C22B32">
        <w:rPr>
          <w:bCs/>
          <w:szCs w:val="25"/>
        </w:rPr>
        <w:t>moreover</w:t>
      </w:r>
      <w:r w:rsidRPr="00C22B32">
        <w:rPr>
          <w:bCs/>
          <w:iCs/>
          <w:szCs w:val="25"/>
        </w:rPr>
        <w:t xml:space="preserve">, </w:t>
      </w:r>
      <w:r w:rsidRPr="00C22B32">
        <w:rPr>
          <w:bCs/>
          <w:szCs w:val="25"/>
        </w:rPr>
        <w:t>can be either similarity or opposition.</w:t>
      </w:r>
      <w:r>
        <w:rPr>
          <w:bCs/>
          <w:szCs w:val="25"/>
        </w:rPr>
        <w:t xml:space="preserve"> </w:t>
      </w:r>
      <w:r w:rsidRPr="00C22B32">
        <w:rPr>
          <w:bCs/>
          <w:szCs w:val="25"/>
        </w:rPr>
        <w:t>These similarities and oppositions are the basis</w:t>
      </w:r>
      <w:r w:rsidRPr="00C22B32">
        <w:rPr>
          <w:bCs/>
          <w:iCs/>
          <w:szCs w:val="25"/>
        </w:rPr>
        <w:t xml:space="preserve">, </w:t>
      </w:r>
      <w:proofErr w:type="spellStart"/>
      <w:r w:rsidRPr="00C22B32">
        <w:rPr>
          <w:bCs/>
          <w:szCs w:val="25"/>
        </w:rPr>
        <w:t>Meynet</w:t>
      </w:r>
      <w:proofErr w:type="spellEnd"/>
      <w:r w:rsidRPr="00C22B32">
        <w:rPr>
          <w:bCs/>
          <w:szCs w:val="25"/>
        </w:rPr>
        <w:t xml:space="preserve"> </w:t>
      </w:r>
      <w:r w:rsidRPr="00C22B32">
        <w:rPr>
          <w:bCs/>
        </w:rPr>
        <w:t>asserts</w:t>
      </w:r>
      <w:r w:rsidRPr="00C22B32">
        <w:rPr>
          <w:bCs/>
          <w:iCs/>
        </w:rPr>
        <w:t xml:space="preserve">, </w:t>
      </w:r>
      <w:r w:rsidRPr="00C22B32">
        <w:rPr>
          <w:bCs/>
          <w:szCs w:val="25"/>
        </w:rPr>
        <w:t>for the common</w:t>
      </w:r>
      <w:r>
        <w:rPr>
          <w:bCs/>
          <w:szCs w:val="25"/>
        </w:rPr>
        <w:t xml:space="preserve"> </w:t>
      </w:r>
      <w:r w:rsidRPr="00C22B32">
        <w:rPr>
          <w:bCs/>
          <w:szCs w:val="25"/>
        </w:rPr>
        <w:t>“figures” of Hebrew rhetoric: parallelism</w:t>
      </w:r>
      <w:r w:rsidRPr="00C22B32">
        <w:rPr>
          <w:bCs/>
          <w:iCs/>
          <w:szCs w:val="25"/>
        </w:rPr>
        <w:t xml:space="preserve">, </w:t>
      </w:r>
      <w:r w:rsidRPr="00C22B32">
        <w:rPr>
          <w:bCs/>
          <w:szCs w:val="25"/>
        </w:rPr>
        <w:t>inclusion</w:t>
      </w:r>
      <w:r w:rsidRPr="00C22B32">
        <w:rPr>
          <w:bCs/>
          <w:iCs/>
          <w:szCs w:val="25"/>
        </w:rPr>
        <w:t xml:space="preserve">, </w:t>
      </w:r>
      <w:r w:rsidRPr="00C22B32">
        <w:rPr>
          <w:bCs/>
          <w:szCs w:val="25"/>
        </w:rPr>
        <w:t>and chiasm.</w:t>
      </w:r>
      <w:r>
        <w:rPr>
          <w:rStyle w:val="FootnoteReference"/>
          <w:bCs/>
          <w:szCs w:val="25"/>
        </w:rPr>
        <w:footnoteReference w:id="843"/>
      </w:r>
    </w:p>
    <w:p w14:paraId="2A841487" w14:textId="77777777" w:rsidR="00B47A48" w:rsidRPr="003A3B2E" w:rsidRDefault="00B47A48" w:rsidP="00B47A48">
      <w:pPr>
        <w:pStyle w:val="Style"/>
        <w:widowControl/>
        <w:jc w:val="both"/>
        <w:textAlignment w:val="baseline"/>
        <w:rPr>
          <w:bCs/>
          <w:szCs w:val="25"/>
        </w:rPr>
      </w:pPr>
      <w:r>
        <w:rPr>
          <w:bCs/>
          <w:szCs w:val="25"/>
        </w:rPr>
        <w:tab/>
      </w:r>
      <w:r w:rsidRPr="00C22B32">
        <w:rPr>
          <w:bCs/>
          <w:szCs w:val="25"/>
        </w:rPr>
        <w:t>Though these three figures have similar linguistic foundations</w:t>
      </w:r>
      <w:r w:rsidRPr="00C22B32">
        <w:rPr>
          <w:bCs/>
          <w:iCs/>
          <w:szCs w:val="25"/>
        </w:rPr>
        <w:t xml:space="preserve">, </w:t>
      </w:r>
      <w:r w:rsidRPr="00C22B32">
        <w:rPr>
          <w:bCs/>
          <w:szCs w:val="25"/>
        </w:rPr>
        <w:t>parallelism and</w:t>
      </w:r>
      <w:r>
        <w:rPr>
          <w:bCs/>
          <w:szCs w:val="25"/>
        </w:rPr>
        <w:t xml:space="preserve"> </w:t>
      </w:r>
      <w:r w:rsidRPr="00C22B32">
        <w:rPr>
          <w:bCs/>
          <w:szCs w:val="25"/>
        </w:rPr>
        <w:t>inclusion generally play only a minor role</w:t>
      </w:r>
      <w:r w:rsidRPr="00C22B32">
        <w:rPr>
          <w:bCs/>
          <w:iCs/>
          <w:szCs w:val="25"/>
        </w:rPr>
        <w:t xml:space="preserve">, </w:t>
      </w:r>
      <w:r w:rsidRPr="00C22B32">
        <w:rPr>
          <w:bCs/>
          <w:szCs w:val="25"/>
        </w:rPr>
        <w:t xml:space="preserve">according to </w:t>
      </w:r>
      <w:proofErr w:type="spellStart"/>
      <w:r w:rsidRPr="00C22B32">
        <w:rPr>
          <w:bCs/>
          <w:szCs w:val="25"/>
        </w:rPr>
        <w:t>Meynet</w:t>
      </w:r>
      <w:proofErr w:type="spellEnd"/>
      <w:r w:rsidRPr="00C22B32">
        <w:rPr>
          <w:bCs/>
          <w:szCs w:val="25"/>
        </w:rPr>
        <w:t>. In</w:t>
      </w:r>
      <w:r>
        <w:rPr>
          <w:bCs/>
          <w:szCs w:val="25"/>
        </w:rPr>
        <w:t xml:space="preserve"> his analysis of</w:t>
      </w:r>
      <w:r w:rsidRPr="00C22B32">
        <w:rPr>
          <w:bCs/>
          <w:szCs w:val="25"/>
        </w:rPr>
        <w:t xml:space="preserve"> the structure of Luke</w:t>
      </w:r>
      <w:r w:rsidRPr="00C22B32">
        <w:rPr>
          <w:bCs/>
          <w:iCs/>
          <w:szCs w:val="25"/>
        </w:rPr>
        <w:t xml:space="preserve">, </w:t>
      </w:r>
      <w:r w:rsidRPr="00C22B32">
        <w:rPr>
          <w:bCs/>
          <w:szCs w:val="25"/>
        </w:rPr>
        <w:t>he generally refers to them only when working at the detailed level of individual pericopes.</w:t>
      </w:r>
      <w:r>
        <w:rPr>
          <w:rStyle w:val="FootnoteReference"/>
          <w:bCs/>
          <w:szCs w:val="25"/>
        </w:rPr>
        <w:footnoteReference w:id="844"/>
      </w:r>
    </w:p>
    <w:p w14:paraId="28143E82" w14:textId="77777777" w:rsidR="00B47A48" w:rsidRPr="00D4478F" w:rsidRDefault="00B47A48" w:rsidP="00B47A48">
      <w:pPr>
        <w:pStyle w:val="Style"/>
        <w:widowControl/>
        <w:jc w:val="both"/>
        <w:textAlignment w:val="baseline"/>
        <w:rPr>
          <w:bCs/>
          <w:szCs w:val="25"/>
        </w:rPr>
      </w:pPr>
      <w:r>
        <w:rPr>
          <w:bCs/>
          <w:szCs w:val="25"/>
        </w:rPr>
        <w:lastRenderedPageBreak/>
        <w:tab/>
      </w:r>
      <w:proofErr w:type="spellStart"/>
      <w:r w:rsidRPr="00C22B32">
        <w:rPr>
          <w:bCs/>
          <w:szCs w:val="25"/>
        </w:rPr>
        <w:t>Meynet</w:t>
      </w:r>
      <w:proofErr w:type="spellEnd"/>
      <w:r w:rsidRPr="00C22B32">
        <w:rPr>
          <w:bCs/>
          <w:szCs w:val="25"/>
        </w:rPr>
        <w:t xml:space="preserve"> focuses</w:t>
      </w:r>
      <w:r w:rsidRPr="00C22B32">
        <w:rPr>
          <w:bCs/>
          <w:iCs/>
          <w:szCs w:val="25"/>
        </w:rPr>
        <w:t xml:space="preserve">, </w:t>
      </w:r>
      <w:r w:rsidRPr="00C22B32">
        <w:rPr>
          <w:bCs/>
          <w:szCs w:val="25"/>
        </w:rPr>
        <w:t>then</w:t>
      </w:r>
      <w:r w:rsidRPr="00C22B32">
        <w:rPr>
          <w:bCs/>
          <w:iCs/>
          <w:szCs w:val="25"/>
        </w:rPr>
        <w:t xml:space="preserve">, </w:t>
      </w:r>
      <w:r w:rsidRPr="00C22B32">
        <w:rPr>
          <w:bCs/>
          <w:szCs w:val="25"/>
        </w:rPr>
        <w:t>on chiasm in his effort to dissect Luke’s structure. For him</w:t>
      </w:r>
      <w:r w:rsidRPr="00C22B32">
        <w:rPr>
          <w:bCs/>
          <w:iCs/>
          <w:szCs w:val="25"/>
        </w:rPr>
        <w:t xml:space="preserve">, </w:t>
      </w:r>
      <w:r w:rsidRPr="00C22B32">
        <w:rPr>
          <w:bCs/>
          <w:szCs w:val="25"/>
        </w:rPr>
        <w:t>chiasm is a “</w:t>
      </w:r>
      <w:proofErr w:type="spellStart"/>
      <w:r w:rsidRPr="00C22B32">
        <w:rPr>
          <w:bCs/>
          <w:szCs w:val="25"/>
        </w:rPr>
        <w:t>syntagmic</w:t>
      </w:r>
      <w:proofErr w:type="spellEnd"/>
      <w:r w:rsidRPr="00C22B32">
        <w:rPr>
          <w:bCs/>
          <w:szCs w:val="25"/>
        </w:rPr>
        <w:t xml:space="preserve"> model” for structural analysis</w:t>
      </w:r>
      <w:r w:rsidRPr="00C22B32">
        <w:rPr>
          <w:bCs/>
          <w:iCs/>
          <w:szCs w:val="25"/>
        </w:rPr>
        <w:t xml:space="preserve">, </w:t>
      </w:r>
      <w:r w:rsidRPr="00C22B32">
        <w:rPr>
          <w:bCs/>
          <w:szCs w:val="25"/>
        </w:rPr>
        <w:t>the most important for the analysis of Luke.</w:t>
      </w:r>
      <w:r>
        <w:rPr>
          <w:rStyle w:val="FootnoteReference"/>
          <w:bCs/>
          <w:szCs w:val="25"/>
        </w:rPr>
        <w:footnoteReference w:id="845"/>
      </w:r>
      <w:r w:rsidRPr="00671DEF">
        <w:rPr>
          <w:rFonts w:eastAsia="Arial"/>
          <w:bCs/>
          <w:iCs/>
          <w:szCs w:val="25"/>
        </w:rPr>
        <w:t xml:space="preserve"> </w:t>
      </w:r>
      <w:r w:rsidRPr="00C22B32">
        <w:rPr>
          <w:bCs/>
          <w:szCs w:val="25"/>
        </w:rPr>
        <w:t>Meynet’s discussion of this figure has already been examined in chapter 4.</w:t>
      </w:r>
    </w:p>
    <w:p w14:paraId="2BAED54C" w14:textId="77777777" w:rsidR="00B47A48" w:rsidRPr="00C22B32" w:rsidRDefault="00B47A48" w:rsidP="00B47A48">
      <w:pPr>
        <w:pStyle w:val="Style"/>
        <w:widowControl/>
        <w:jc w:val="both"/>
        <w:textAlignment w:val="baseline"/>
        <w:rPr>
          <w:bCs/>
          <w:szCs w:val="25"/>
        </w:rPr>
      </w:pPr>
      <w:r>
        <w:rPr>
          <w:bCs/>
          <w:szCs w:val="25"/>
        </w:rPr>
        <w:tab/>
      </w:r>
      <w:r w:rsidRPr="00C22B32">
        <w:rPr>
          <w:bCs/>
          <w:szCs w:val="25"/>
        </w:rPr>
        <w:t>Despite this emphasis on chiasm</w:t>
      </w:r>
      <w:r w:rsidRPr="00C22B32">
        <w:rPr>
          <w:bCs/>
          <w:iCs/>
          <w:szCs w:val="25"/>
        </w:rPr>
        <w:t xml:space="preserve">, </w:t>
      </w:r>
      <w:proofErr w:type="spellStart"/>
      <w:r w:rsidRPr="00C22B32">
        <w:rPr>
          <w:bCs/>
          <w:szCs w:val="25"/>
        </w:rPr>
        <w:t>Meynet</w:t>
      </w:r>
      <w:proofErr w:type="spellEnd"/>
      <w:r w:rsidRPr="00C22B32">
        <w:rPr>
          <w:bCs/>
          <w:szCs w:val="25"/>
        </w:rPr>
        <w:t xml:space="preserve"> employs two other </w:t>
      </w:r>
      <w:r>
        <w:rPr>
          <w:bCs/>
          <w:szCs w:val="25"/>
        </w:rPr>
        <w:t>“</w:t>
      </w:r>
      <w:r w:rsidRPr="00C22B32">
        <w:rPr>
          <w:bCs/>
          <w:szCs w:val="25"/>
        </w:rPr>
        <w:t>models</w:t>
      </w:r>
      <w:r>
        <w:rPr>
          <w:bCs/>
          <w:szCs w:val="25"/>
        </w:rPr>
        <w:t>”</w:t>
      </w:r>
      <w:r w:rsidRPr="00C22B32">
        <w:rPr>
          <w:bCs/>
          <w:szCs w:val="25"/>
        </w:rPr>
        <w:t xml:space="preserve"> to demarcate Luke’s structural units.</w:t>
      </w:r>
    </w:p>
    <w:p w14:paraId="6D3996CE" w14:textId="77777777" w:rsidR="00B47A48" w:rsidRDefault="00B47A48" w:rsidP="00B47A48">
      <w:pPr>
        <w:pStyle w:val="Style"/>
        <w:widowControl/>
        <w:jc w:val="both"/>
        <w:textAlignment w:val="baseline"/>
        <w:rPr>
          <w:bCs/>
          <w:szCs w:val="25"/>
        </w:rPr>
      </w:pPr>
      <w:r>
        <w:rPr>
          <w:bCs/>
          <w:szCs w:val="25"/>
        </w:rPr>
        <w:tab/>
      </w:r>
      <w:r w:rsidRPr="00C22B32">
        <w:rPr>
          <w:bCs/>
          <w:szCs w:val="25"/>
        </w:rPr>
        <w:t xml:space="preserve">In his “paradigmatic model,” </w:t>
      </w:r>
      <w:proofErr w:type="spellStart"/>
      <w:r w:rsidRPr="00C22B32">
        <w:rPr>
          <w:bCs/>
          <w:szCs w:val="25"/>
        </w:rPr>
        <w:t>Meynet</w:t>
      </w:r>
      <w:proofErr w:type="spellEnd"/>
      <w:r w:rsidRPr="00C22B32">
        <w:rPr>
          <w:bCs/>
          <w:szCs w:val="25"/>
        </w:rPr>
        <w:t xml:space="preserve"> concentrates on two particular features that reappear often in Luke: references to Jesus’ </w:t>
      </w:r>
      <w:r>
        <w:rPr>
          <w:bCs/>
          <w:szCs w:val="25"/>
        </w:rPr>
        <w:t>“</w:t>
      </w:r>
      <w:r w:rsidRPr="00C22B32">
        <w:rPr>
          <w:bCs/>
          <w:szCs w:val="25"/>
        </w:rPr>
        <w:t>teaching” and “healing” (Luke 4:31</w:t>
      </w:r>
      <w:r w:rsidRPr="00C22B32">
        <w:rPr>
          <w:bCs/>
          <w:iCs/>
          <w:szCs w:val="25"/>
        </w:rPr>
        <w:t xml:space="preserve">, </w:t>
      </w:r>
      <w:r w:rsidRPr="00C22B32">
        <w:rPr>
          <w:bCs/>
          <w:szCs w:val="25"/>
        </w:rPr>
        <w:t>5:3</w:t>
      </w:r>
      <w:r w:rsidRPr="00C22B32">
        <w:rPr>
          <w:bCs/>
          <w:iCs/>
          <w:szCs w:val="25"/>
        </w:rPr>
        <w:t xml:space="preserve">, </w:t>
      </w:r>
      <w:r w:rsidRPr="00C22B32">
        <w:rPr>
          <w:bCs/>
          <w:szCs w:val="25"/>
        </w:rPr>
        <w:t>5:15</w:t>
      </w:r>
      <w:r w:rsidRPr="00C22B32">
        <w:rPr>
          <w:bCs/>
          <w:iCs/>
          <w:szCs w:val="25"/>
        </w:rPr>
        <w:t xml:space="preserve">, </w:t>
      </w:r>
      <w:r w:rsidRPr="00C22B32">
        <w:rPr>
          <w:bCs/>
          <w:szCs w:val="25"/>
        </w:rPr>
        <w:t>5:17</w:t>
      </w:r>
      <w:r w:rsidRPr="00C22B32">
        <w:rPr>
          <w:bCs/>
          <w:iCs/>
          <w:szCs w:val="25"/>
        </w:rPr>
        <w:t xml:space="preserve">, </w:t>
      </w:r>
      <w:r w:rsidRPr="00C22B32">
        <w:rPr>
          <w:bCs/>
          <w:szCs w:val="25"/>
        </w:rPr>
        <w:t>6:6-7</w:t>
      </w:r>
      <w:r w:rsidRPr="00C22B32">
        <w:rPr>
          <w:bCs/>
          <w:iCs/>
          <w:szCs w:val="25"/>
        </w:rPr>
        <w:t xml:space="preserve">, </w:t>
      </w:r>
      <w:r w:rsidRPr="00C22B32">
        <w:rPr>
          <w:bCs/>
          <w:szCs w:val="25"/>
        </w:rPr>
        <w:t>6:18</w:t>
      </w:r>
      <w:r w:rsidRPr="00C22B32">
        <w:rPr>
          <w:bCs/>
          <w:iCs/>
          <w:szCs w:val="25"/>
        </w:rPr>
        <w:t xml:space="preserve">, </w:t>
      </w:r>
      <w:r w:rsidRPr="00C22B32">
        <w:rPr>
          <w:bCs/>
          <w:szCs w:val="25"/>
        </w:rPr>
        <w:t>7</w:t>
      </w:r>
      <w:r>
        <w:rPr>
          <w:bCs/>
          <w:szCs w:val="25"/>
        </w:rPr>
        <w:t>:</w:t>
      </w:r>
      <w:r w:rsidRPr="00C22B32">
        <w:rPr>
          <w:bCs/>
          <w:szCs w:val="25"/>
        </w:rPr>
        <w:t>22</w:t>
      </w:r>
      <w:r w:rsidRPr="00C22B32">
        <w:rPr>
          <w:bCs/>
          <w:iCs/>
          <w:szCs w:val="25"/>
        </w:rPr>
        <w:t xml:space="preserve">, </w:t>
      </w:r>
      <w:r w:rsidRPr="00C22B32">
        <w:rPr>
          <w:bCs/>
          <w:szCs w:val="25"/>
        </w:rPr>
        <w:t>8:1-2</w:t>
      </w:r>
      <w:r w:rsidRPr="00C22B32">
        <w:rPr>
          <w:bCs/>
          <w:iCs/>
          <w:szCs w:val="25"/>
        </w:rPr>
        <w:t xml:space="preserve">, </w:t>
      </w:r>
      <w:r w:rsidRPr="00C22B32">
        <w:rPr>
          <w:bCs/>
          <w:szCs w:val="25"/>
        </w:rPr>
        <w:t>9:1-2</w:t>
      </w:r>
      <w:r w:rsidRPr="00C22B32">
        <w:rPr>
          <w:bCs/>
          <w:iCs/>
          <w:szCs w:val="25"/>
        </w:rPr>
        <w:t xml:space="preserve">, </w:t>
      </w:r>
      <w:r w:rsidRPr="00C22B32">
        <w:rPr>
          <w:bCs/>
          <w:szCs w:val="25"/>
        </w:rPr>
        <w:t>9:6</w:t>
      </w:r>
      <w:r w:rsidRPr="00C22B32">
        <w:rPr>
          <w:bCs/>
          <w:iCs/>
          <w:szCs w:val="25"/>
        </w:rPr>
        <w:t xml:space="preserve">, </w:t>
      </w:r>
      <w:r w:rsidRPr="00C22B32">
        <w:rPr>
          <w:bCs/>
          <w:szCs w:val="25"/>
        </w:rPr>
        <w:t>9:11)</w:t>
      </w:r>
      <w:r w:rsidRPr="00C22B32">
        <w:rPr>
          <w:bCs/>
          <w:iCs/>
          <w:szCs w:val="25"/>
        </w:rPr>
        <w:t xml:space="preserve">, </w:t>
      </w:r>
      <w:r w:rsidRPr="00C22B32">
        <w:rPr>
          <w:bCs/>
          <w:szCs w:val="25"/>
        </w:rPr>
        <w:t>and questions concerning Jesus’ identity (Luke 4:11</w:t>
      </w:r>
      <w:r w:rsidRPr="00C22B32">
        <w:rPr>
          <w:bCs/>
          <w:iCs/>
          <w:szCs w:val="25"/>
        </w:rPr>
        <w:t xml:space="preserve">, </w:t>
      </w:r>
      <w:r w:rsidRPr="00C22B32">
        <w:rPr>
          <w:bCs/>
          <w:szCs w:val="25"/>
        </w:rPr>
        <w:t>4:12-14</w:t>
      </w:r>
      <w:r w:rsidRPr="00C22B32">
        <w:rPr>
          <w:bCs/>
          <w:iCs/>
          <w:szCs w:val="25"/>
        </w:rPr>
        <w:t xml:space="preserve">, </w:t>
      </w:r>
      <w:r w:rsidRPr="00C22B32">
        <w:rPr>
          <w:bCs/>
          <w:szCs w:val="25"/>
        </w:rPr>
        <w:t>4:22</w:t>
      </w:r>
      <w:r w:rsidRPr="00C22B32">
        <w:rPr>
          <w:bCs/>
          <w:iCs/>
          <w:szCs w:val="25"/>
        </w:rPr>
        <w:t xml:space="preserve">, </w:t>
      </w:r>
      <w:r w:rsidRPr="00C22B32">
        <w:rPr>
          <w:bCs/>
          <w:szCs w:val="25"/>
        </w:rPr>
        <w:t>4:33</w:t>
      </w:r>
      <w:r w:rsidRPr="00C22B32">
        <w:rPr>
          <w:bCs/>
          <w:iCs/>
          <w:szCs w:val="25"/>
        </w:rPr>
        <w:t xml:space="preserve">, </w:t>
      </w:r>
      <w:r w:rsidRPr="00C22B32">
        <w:rPr>
          <w:bCs/>
          <w:szCs w:val="25"/>
        </w:rPr>
        <w:t>4:36</w:t>
      </w:r>
      <w:r w:rsidRPr="00C22B32">
        <w:rPr>
          <w:bCs/>
          <w:iCs/>
          <w:szCs w:val="25"/>
        </w:rPr>
        <w:t xml:space="preserve">, </w:t>
      </w:r>
      <w:r w:rsidRPr="00C22B32">
        <w:rPr>
          <w:bCs/>
          <w:szCs w:val="25"/>
        </w:rPr>
        <w:t>4:41</w:t>
      </w:r>
      <w:r w:rsidRPr="00C22B32">
        <w:rPr>
          <w:bCs/>
          <w:iCs/>
          <w:szCs w:val="25"/>
        </w:rPr>
        <w:t xml:space="preserve">, </w:t>
      </w:r>
      <w:r w:rsidRPr="00C22B32">
        <w:rPr>
          <w:bCs/>
          <w:szCs w:val="25"/>
        </w:rPr>
        <w:t>5:12</w:t>
      </w:r>
      <w:r w:rsidRPr="00C22B32">
        <w:rPr>
          <w:bCs/>
          <w:iCs/>
          <w:szCs w:val="25"/>
        </w:rPr>
        <w:t xml:space="preserve">, </w:t>
      </w:r>
      <w:r w:rsidRPr="00C22B32">
        <w:rPr>
          <w:bCs/>
          <w:szCs w:val="25"/>
        </w:rPr>
        <w:t>5:21</w:t>
      </w:r>
      <w:r w:rsidRPr="00C22B32">
        <w:rPr>
          <w:bCs/>
          <w:iCs/>
          <w:szCs w:val="25"/>
        </w:rPr>
        <w:t xml:space="preserve">, </w:t>
      </w:r>
      <w:r w:rsidRPr="00C22B32">
        <w:rPr>
          <w:bCs/>
          <w:szCs w:val="25"/>
        </w:rPr>
        <w:t>6:2</w:t>
      </w:r>
      <w:r w:rsidRPr="00C22B32">
        <w:rPr>
          <w:bCs/>
          <w:iCs/>
          <w:szCs w:val="25"/>
        </w:rPr>
        <w:t xml:space="preserve">, </w:t>
      </w:r>
      <w:r w:rsidRPr="00C22B32">
        <w:rPr>
          <w:bCs/>
          <w:szCs w:val="25"/>
        </w:rPr>
        <w:t>6:6</w:t>
      </w:r>
      <w:r w:rsidRPr="00C22B32">
        <w:rPr>
          <w:bCs/>
          <w:iCs/>
          <w:szCs w:val="25"/>
        </w:rPr>
        <w:t xml:space="preserve">, </w:t>
      </w:r>
      <w:r w:rsidRPr="00C22B32">
        <w:rPr>
          <w:bCs/>
          <w:szCs w:val="25"/>
        </w:rPr>
        <w:t>7:7</w:t>
      </w:r>
      <w:r w:rsidRPr="00C22B32">
        <w:rPr>
          <w:bCs/>
          <w:iCs/>
          <w:szCs w:val="25"/>
        </w:rPr>
        <w:t xml:space="preserve">, </w:t>
      </w:r>
      <w:r w:rsidRPr="00C22B32">
        <w:rPr>
          <w:bCs/>
          <w:szCs w:val="25"/>
        </w:rPr>
        <w:t>7:19</w:t>
      </w:r>
      <w:r w:rsidRPr="00C22B32">
        <w:rPr>
          <w:bCs/>
          <w:iCs/>
          <w:szCs w:val="25"/>
        </w:rPr>
        <w:t xml:space="preserve">, </w:t>
      </w:r>
      <w:r w:rsidRPr="00C22B32">
        <w:rPr>
          <w:bCs/>
          <w:szCs w:val="25"/>
        </w:rPr>
        <w:t>7:20</w:t>
      </w:r>
      <w:r w:rsidRPr="00C22B32">
        <w:rPr>
          <w:bCs/>
          <w:iCs/>
          <w:szCs w:val="25"/>
        </w:rPr>
        <w:t xml:space="preserve">, </w:t>
      </w:r>
      <w:r w:rsidRPr="00C22B32">
        <w:rPr>
          <w:bCs/>
          <w:szCs w:val="25"/>
        </w:rPr>
        <w:t>7:39</w:t>
      </w:r>
      <w:r w:rsidRPr="00C22B32">
        <w:rPr>
          <w:bCs/>
          <w:iCs/>
          <w:szCs w:val="25"/>
        </w:rPr>
        <w:t xml:space="preserve">, </w:t>
      </w:r>
      <w:r w:rsidRPr="00C22B32">
        <w:rPr>
          <w:bCs/>
          <w:szCs w:val="25"/>
        </w:rPr>
        <w:t>7:49</w:t>
      </w:r>
      <w:r w:rsidRPr="00C22B32">
        <w:rPr>
          <w:bCs/>
          <w:iCs/>
          <w:szCs w:val="25"/>
        </w:rPr>
        <w:t xml:space="preserve">, </w:t>
      </w:r>
      <w:r w:rsidRPr="00C22B32">
        <w:rPr>
          <w:bCs/>
          <w:szCs w:val="25"/>
        </w:rPr>
        <w:t>8:25</w:t>
      </w:r>
      <w:r w:rsidRPr="00C22B32">
        <w:rPr>
          <w:bCs/>
          <w:iCs/>
          <w:szCs w:val="25"/>
        </w:rPr>
        <w:t xml:space="preserve">, </w:t>
      </w:r>
      <w:r w:rsidRPr="00C22B32">
        <w:rPr>
          <w:bCs/>
          <w:szCs w:val="25"/>
        </w:rPr>
        <w:t>9:9</w:t>
      </w:r>
      <w:r w:rsidRPr="00C22B32">
        <w:rPr>
          <w:bCs/>
          <w:iCs/>
          <w:szCs w:val="25"/>
        </w:rPr>
        <w:t xml:space="preserve">, </w:t>
      </w:r>
      <w:r w:rsidRPr="00C22B32">
        <w:rPr>
          <w:bCs/>
          <w:szCs w:val="25"/>
        </w:rPr>
        <w:t>9:35). The first element</w:t>
      </w:r>
      <w:r w:rsidRPr="00C22B32">
        <w:rPr>
          <w:bCs/>
          <w:iCs/>
          <w:szCs w:val="25"/>
        </w:rPr>
        <w:t xml:space="preserve">, </w:t>
      </w:r>
      <w:proofErr w:type="spellStart"/>
      <w:r w:rsidRPr="00C22B32">
        <w:rPr>
          <w:bCs/>
          <w:szCs w:val="25"/>
        </w:rPr>
        <w:t>Meynet</w:t>
      </w:r>
      <w:proofErr w:type="spellEnd"/>
      <w:r w:rsidRPr="00C22B32">
        <w:rPr>
          <w:bCs/>
          <w:szCs w:val="25"/>
        </w:rPr>
        <w:t xml:space="preserve"> explains</w:t>
      </w:r>
      <w:r w:rsidRPr="00C22B32">
        <w:rPr>
          <w:bCs/>
          <w:iCs/>
          <w:szCs w:val="25"/>
        </w:rPr>
        <w:t xml:space="preserve">, </w:t>
      </w:r>
      <w:r w:rsidRPr="00C22B32">
        <w:rPr>
          <w:bCs/>
          <w:szCs w:val="25"/>
        </w:rPr>
        <w:t>marks the</w:t>
      </w:r>
      <w:r>
        <w:rPr>
          <w:bCs/>
          <w:szCs w:val="25"/>
        </w:rPr>
        <w:t xml:space="preserve"> </w:t>
      </w:r>
      <w:r w:rsidRPr="00C22B32">
        <w:rPr>
          <w:bCs/>
          <w:szCs w:val="25"/>
        </w:rPr>
        <w:t>beginning and sometimes the end of Luke’s structural units (hence the use of this</w:t>
      </w:r>
      <w:r>
        <w:rPr>
          <w:bCs/>
          <w:szCs w:val="25"/>
        </w:rPr>
        <w:t xml:space="preserve"> </w:t>
      </w:r>
      <w:r w:rsidRPr="00C22B32">
        <w:rPr>
          <w:bCs/>
          <w:szCs w:val="25"/>
        </w:rPr>
        <w:t>element to determine inclusions); the second element is found at the center of most of the resulting units. These two elements can thus be used as a “paradigmatic model” for the investigation of the structure of Luke’s gospel.</w:t>
      </w:r>
      <w:r>
        <w:rPr>
          <w:rStyle w:val="FootnoteReference"/>
          <w:bCs/>
          <w:szCs w:val="25"/>
        </w:rPr>
        <w:footnoteReference w:id="846"/>
      </w:r>
      <w:r w:rsidRPr="00C22B32">
        <w:rPr>
          <w:bCs/>
          <w:szCs w:val="25"/>
        </w:rPr>
        <w:t xml:space="preserve"> On the basis of these elements</w:t>
      </w:r>
      <w:r w:rsidRPr="00C22B32">
        <w:rPr>
          <w:bCs/>
          <w:iCs/>
          <w:szCs w:val="25"/>
        </w:rPr>
        <w:t xml:space="preserve">, </w:t>
      </w:r>
      <w:proofErr w:type="spellStart"/>
      <w:r w:rsidRPr="00C22B32">
        <w:rPr>
          <w:bCs/>
          <w:szCs w:val="25"/>
        </w:rPr>
        <w:t>Meynet</w:t>
      </w:r>
      <w:proofErr w:type="spellEnd"/>
      <w:r w:rsidRPr="00C22B32">
        <w:rPr>
          <w:bCs/>
          <w:szCs w:val="25"/>
        </w:rPr>
        <w:t xml:space="preserve"> distinguishes four major sections in Luke (1:5-4:13</w:t>
      </w:r>
      <w:r w:rsidRPr="00C22B32">
        <w:rPr>
          <w:bCs/>
          <w:iCs/>
          <w:szCs w:val="25"/>
        </w:rPr>
        <w:t xml:space="preserve">, </w:t>
      </w:r>
      <w:r w:rsidRPr="00C22B32">
        <w:rPr>
          <w:bCs/>
          <w:szCs w:val="25"/>
        </w:rPr>
        <w:t>4:14-9:50</w:t>
      </w:r>
      <w:r w:rsidRPr="00C22B32">
        <w:rPr>
          <w:bCs/>
          <w:iCs/>
          <w:szCs w:val="25"/>
        </w:rPr>
        <w:t xml:space="preserve">, </w:t>
      </w:r>
      <w:r w:rsidRPr="00C22B32">
        <w:rPr>
          <w:bCs/>
          <w:szCs w:val="25"/>
        </w:rPr>
        <w:t>9:51-21:38</w:t>
      </w:r>
      <w:r w:rsidRPr="00C22B32">
        <w:rPr>
          <w:bCs/>
          <w:iCs/>
          <w:szCs w:val="25"/>
        </w:rPr>
        <w:t xml:space="preserve">, </w:t>
      </w:r>
      <w:r w:rsidRPr="00C22B32">
        <w:rPr>
          <w:bCs/>
          <w:szCs w:val="25"/>
        </w:rPr>
        <w:t>and 22:1-24:53</w:t>
      </w:r>
      <w:r w:rsidRPr="00671DEF">
        <w:rPr>
          <w:bCs/>
          <w:iCs/>
          <w:szCs w:val="25"/>
        </w:rPr>
        <w:t>—</w:t>
      </w:r>
      <w:r w:rsidRPr="00C22B32">
        <w:rPr>
          <w:bCs/>
          <w:szCs w:val="25"/>
        </w:rPr>
        <w:t xml:space="preserve">labeled </w:t>
      </w:r>
      <w:r>
        <w:rPr>
          <w:bCs/>
          <w:szCs w:val="25"/>
        </w:rPr>
        <w:t>“</w:t>
      </w:r>
      <w:r w:rsidRPr="00C22B32">
        <w:rPr>
          <w:bCs/>
          <w:szCs w:val="25"/>
        </w:rPr>
        <w:t>A,</w:t>
      </w:r>
      <w:r>
        <w:rPr>
          <w:bCs/>
          <w:szCs w:val="25"/>
        </w:rPr>
        <w:t>”</w:t>
      </w:r>
      <w:r w:rsidRPr="00C22B32">
        <w:rPr>
          <w:bCs/>
          <w:szCs w:val="25"/>
        </w:rPr>
        <w:t xml:space="preserve"> </w:t>
      </w:r>
      <w:r>
        <w:rPr>
          <w:bCs/>
          <w:szCs w:val="25"/>
        </w:rPr>
        <w:t>“</w:t>
      </w:r>
      <w:r w:rsidRPr="00C22B32">
        <w:rPr>
          <w:bCs/>
          <w:szCs w:val="25"/>
        </w:rPr>
        <w:t>B,</w:t>
      </w:r>
      <w:r>
        <w:rPr>
          <w:bCs/>
          <w:szCs w:val="25"/>
        </w:rPr>
        <w:t>”</w:t>
      </w:r>
      <w:r w:rsidRPr="00C22B32">
        <w:rPr>
          <w:bCs/>
          <w:szCs w:val="25"/>
        </w:rPr>
        <w:t xml:space="preserve"> “</w:t>
      </w:r>
      <w:r w:rsidRPr="00D4478F">
        <w:rPr>
          <w:bCs/>
          <w:szCs w:val="25"/>
        </w:rPr>
        <w:t>C</w:t>
      </w:r>
      <w:r w:rsidRPr="00C22B32">
        <w:rPr>
          <w:bCs/>
          <w:iCs/>
          <w:szCs w:val="25"/>
        </w:rPr>
        <w:t xml:space="preserve">,” </w:t>
      </w:r>
      <w:r w:rsidRPr="00C22B32">
        <w:rPr>
          <w:bCs/>
          <w:szCs w:val="25"/>
        </w:rPr>
        <w:t xml:space="preserve">and </w:t>
      </w:r>
      <w:r>
        <w:rPr>
          <w:bCs/>
          <w:szCs w:val="25"/>
        </w:rPr>
        <w:t>“</w:t>
      </w:r>
      <w:r w:rsidRPr="00C22B32">
        <w:rPr>
          <w:bCs/>
          <w:szCs w:val="26"/>
        </w:rPr>
        <w:t>D</w:t>
      </w:r>
      <w:r>
        <w:rPr>
          <w:bCs/>
          <w:szCs w:val="26"/>
        </w:rPr>
        <w:t>”</w:t>
      </w:r>
      <w:r w:rsidRPr="00C22B32">
        <w:rPr>
          <w:bCs/>
          <w:szCs w:val="26"/>
        </w:rPr>
        <w:t xml:space="preserve">) </w:t>
      </w:r>
      <w:r w:rsidRPr="00C22B32">
        <w:rPr>
          <w:bCs/>
          <w:szCs w:val="25"/>
        </w:rPr>
        <w:t>and a number of subdivisions</w:t>
      </w:r>
      <w:r w:rsidRPr="00C22B32">
        <w:rPr>
          <w:bCs/>
          <w:iCs/>
          <w:szCs w:val="25"/>
        </w:rPr>
        <w:t xml:space="preserve">, </w:t>
      </w:r>
      <w:r w:rsidRPr="00C22B32">
        <w:rPr>
          <w:bCs/>
          <w:szCs w:val="25"/>
        </w:rPr>
        <w:t xml:space="preserve">or units </w:t>
      </w:r>
      <w:r>
        <w:rPr>
          <w:bCs/>
          <w:szCs w:val="25"/>
        </w:rPr>
        <w:t>(</w:t>
      </w:r>
      <w:r w:rsidRPr="00C22B32">
        <w:rPr>
          <w:bCs/>
          <w:szCs w:val="25"/>
        </w:rPr>
        <w:t>“</w:t>
      </w:r>
      <w:proofErr w:type="spellStart"/>
      <w:r w:rsidRPr="00C22B32">
        <w:rPr>
          <w:bCs/>
          <w:szCs w:val="25"/>
        </w:rPr>
        <w:t>Unit</w:t>
      </w:r>
      <w:r>
        <w:rPr>
          <w:bCs/>
          <w:szCs w:val="25"/>
        </w:rPr>
        <w:t>é</w:t>
      </w:r>
      <w:r w:rsidRPr="00C22B32">
        <w:rPr>
          <w:bCs/>
          <w:szCs w:val="25"/>
        </w:rPr>
        <w:t>s</w:t>
      </w:r>
      <w:proofErr w:type="spellEnd"/>
      <w:r w:rsidRPr="00C22B32">
        <w:rPr>
          <w:bCs/>
          <w:szCs w:val="25"/>
        </w:rPr>
        <w:t>”):</w:t>
      </w:r>
    </w:p>
    <w:p w14:paraId="555B40A4" w14:textId="77777777" w:rsidR="00B47A48" w:rsidRPr="00C22B32" w:rsidRDefault="00B47A48" w:rsidP="00B47A48">
      <w:pPr>
        <w:pStyle w:val="Style"/>
        <w:widowControl/>
        <w:jc w:val="both"/>
        <w:textAlignment w:val="baseline"/>
        <w:rPr>
          <w:bCs/>
        </w:rPr>
      </w:pPr>
    </w:p>
    <w:p w14:paraId="28CBAB52" w14:textId="77777777" w:rsidR="00B47A48" w:rsidRPr="000D5928" w:rsidRDefault="00B47A48" w:rsidP="00B47A48">
      <w:pPr>
        <w:pStyle w:val="Style"/>
        <w:widowControl/>
        <w:tabs>
          <w:tab w:val="left" w:pos="720"/>
          <w:tab w:val="left" w:pos="1440"/>
          <w:tab w:val="left" w:pos="4320"/>
          <w:tab w:val="left" w:pos="5760"/>
        </w:tabs>
        <w:textAlignment w:val="baseline"/>
        <w:rPr>
          <w:bCs/>
          <w:szCs w:val="25"/>
        </w:rPr>
      </w:pPr>
      <w:r>
        <w:rPr>
          <w:bCs/>
          <w:szCs w:val="25"/>
        </w:rPr>
        <w:tab/>
      </w:r>
      <w:r w:rsidRPr="00C22B32">
        <w:rPr>
          <w:bCs/>
          <w:szCs w:val="25"/>
        </w:rPr>
        <w:t>0</w:t>
      </w:r>
      <w:r w:rsidRPr="00C22B32">
        <w:rPr>
          <w:bCs/>
        </w:rPr>
        <w:tab/>
      </w:r>
      <w:r w:rsidRPr="00C22B32">
        <w:rPr>
          <w:bCs/>
          <w:szCs w:val="25"/>
        </w:rPr>
        <w:t>1:1-4</w:t>
      </w:r>
      <w:r w:rsidRPr="00C22B32">
        <w:rPr>
          <w:bCs/>
        </w:rPr>
        <w:tab/>
      </w:r>
      <w:r w:rsidRPr="00C22B32">
        <w:rPr>
          <w:bCs/>
          <w:szCs w:val="25"/>
        </w:rPr>
        <w:t>B4</w:t>
      </w:r>
      <w:r w:rsidRPr="00C22B32">
        <w:rPr>
          <w:bCs/>
        </w:rPr>
        <w:tab/>
      </w:r>
      <w:r w:rsidRPr="00C22B32">
        <w:rPr>
          <w:bCs/>
          <w:szCs w:val="25"/>
        </w:rPr>
        <w:t>5:17-6:11</w:t>
      </w:r>
    </w:p>
    <w:p w14:paraId="2878372A" w14:textId="77777777" w:rsidR="00B47A48" w:rsidRPr="000D5928" w:rsidRDefault="00B47A48" w:rsidP="00B47A48">
      <w:pPr>
        <w:pStyle w:val="Style"/>
        <w:widowControl/>
        <w:tabs>
          <w:tab w:val="left" w:pos="720"/>
          <w:tab w:val="left" w:pos="1440"/>
          <w:tab w:val="left" w:pos="4320"/>
          <w:tab w:val="left" w:pos="5760"/>
        </w:tabs>
        <w:textAlignment w:val="baseline"/>
        <w:rPr>
          <w:bCs/>
          <w:szCs w:val="25"/>
        </w:rPr>
      </w:pPr>
      <w:r>
        <w:rPr>
          <w:bCs/>
          <w:szCs w:val="25"/>
        </w:rPr>
        <w:tab/>
      </w:r>
      <w:r w:rsidRPr="00C22B32">
        <w:rPr>
          <w:bCs/>
          <w:szCs w:val="25"/>
        </w:rPr>
        <w:t>A</w:t>
      </w:r>
      <w:r>
        <w:rPr>
          <w:bCs/>
          <w:szCs w:val="25"/>
        </w:rPr>
        <w:t>1</w:t>
      </w:r>
      <w:r w:rsidRPr="00C22B32">
        <w:rPr>
          <w:bCs/>
        </w:rPr>
        <w:tab/>
      </w:r>
      <w:r w:rsidRPr="00C22B32">
        <w:rPr>
          <w:bCs/>
          <w:szCs w:val="25"/>
        </w:rPr>
        <w:t>1:5-25</w:t>
      </w:r>
      <w:r w:rsidRPr="00C22B32">
        <w:rPr>
          <w:bCs/>
        </w:rPr>
        <w:tab/>
      </w:r>
      <w:r w:rsidRPr="00C22B32">
        <w:rPr>
          <w:bCs/>
          <w:szCs w:val="25"/>
        </w:rPr>
        <w:t>heart</w:t>
      </w:r>
      <w:r>
        <w:rPr>
          <w:bCs/>
          <w:szCs w:val="25"/>
        </w:rPr>
        <w:t xml:space="preserve"> </w:t>
      </w:r>
      <w:r w:rsidRPr="00C22B32">
        <w:rPr>
          <w:bCs/>
          <w:szCs w:val="25"/>
        </w:rPr>
        <w:t>of</w:t>
      </w:r>
      <w:r w:rsidRPr="000D5928">
        <w:rPr>
          <w:bCs/>
          <w:iCs/>
          <w:szCs w:val="25"/>
        </w:rPr>
        <w:t xml:space="preserve"> </w:t>
      </w:r>
      <w:r w:rsidRPr="00C22B32">
        <w:rPr>
          <w:bCs/>
          <w:szCs w:val="25"/>
        </w:rPr>
        <w:t>B:</w:t>
      </w:r>
      <w:r w:rsidRPr="00C22B32">
        <w:rPr>
          <w:bCs/>
        </w:rPr>
        <w:tab/>
      </w:r>
      <w:r w:rsidRPr="00C22B32">
        <w:rPr>
          <w:bCs/>
          <w:szCs w:val="25"/>
        </w:rPr>
        <w:t>6:12-16</w:t>
      </w:r>
    </w:p>
    <w:p w14:paraId="26E91FF3" w14:textId="77777777" w:rsidR="00B47A48" w:rsidRPr="000D5928" w:rsidRDefault="00B47A48" w:rsidP="00B47A48">
      <w:pPr>
        <w:pStyle w:val="Style"/>
        <w:widowControl/>
        <w:tabs>
          <w:tab w:val="left" w:pos="720"/>
          <w:tab w:val="left" w:pos="1440"/>
          <w:tab w:val="left" w:pos="4320"/>
          <w:tab w:val="left" w:pos="5760"/>
        </w:tabs>
        <w:textAlignment w:val="baseline"/>
        <w:rPr>
          <w:bCs/>
          <w:szCs w:val="25"/>
        </w:rPr>
      </w:pPr>
      <w:r>
        <w:rPr>
          <w:bCs/>
          <w:szCs w:val="25"/>
        </w:rPr>
        <w:tab/>
      </w:r>
      <w:r w:rsidRPr="00C22B32">
        <w:rPr>
          <w:bCs/>
          <w:szCs w:val="25"/>
        </w:rPr>
        <w:t>A2</w:t>
      </w:r>
      <w:r w:rsidRPr="00C22B32">
        <w:rPr>
          <w:bCs/>
        </w:rPr>
        <w:tab/>
      </w:r>
      <w:r w:rsidRPr="00C22B32">
        <w:rPr>
          <w:bCs/>
          <w:szCs w:val="25"/>
        </w:rPr>
        <w:t>1:26-56</w:t>
      </w:r>
      <w:r w:rsidRPr="00C22B32">
        <w:rPr>
          <w:bCs/>
        </w:rPr>
        <w:tab/>
      </w:r>
      <w:r w:rsidRPr="00C22B32">
        <w:rPr>
          <w:bCs/>
          <w:szCs w:val="25"/>
        </w:rPr>
        <w:t>B</w:t>
      </w:r>
      <w:r>
        <w:rPr>
          <w:bCs/>
          <w:szCs w:val="25"/>
        </w:rPr>
        <w:t>5</w:t>
      </w:r>
      <w:r w:rsidRPr="00C22B32">
        <w:rPr>
          <w:bCs/>
        </w:rPr>
        <w:tab/>
      </w:r>
      <w:r w:rsidRPr="00C22B32">
        <w:rPr>
          <w:bCs/>
          <w:szCs w:val="25"/>
        </w:rPr>
        <w:t>6:17-7:17</w:t>
      </w:r>
    </w:p>
    <w:p w14:paraId="587B7103" w14:textId="77777777" w:rsidR="00B47A48" w:rsidRPr="000D5928" w:rsidRDefault="00B47A48" w:rsidP="00B47A48">
      <w:pPr>
        <w:pStyle w:val="Style"/>
        <w:widowControl/>
        <w:tabs>
          <w:tab w:val="left" w:pos="720"/>
          <w:tab w:val="left" w:pos="1440"/>
          <w:tab w:val="left" w:pos="4320"/>
          <w:tab w:val="left" w:pos="5760"/>
        </w:tabs>
        <w:textAlignment w:val="baseline"/>
        <w:rPr>
          <w:bCs/>
          <w:szCs w:val="25"/>
        </w:rPr>
      </w:pPr>
      <w:r>
        <w:rPr>
          <w:bCs/>
          <w:szCs w:val="25"/>
        </w:rPr>
        <w:tab/>
      </w:r>
      <w:r w:rsidRPr="00C22B32">
        <w:rPr>
          <w:bCs/>
          <w:szCs w:val="25"/>
        </w:rPr>
        <w:t>A3</w:t>
      </w:r>
      <w:r w:rsidRPr="00C22B32">
        <w:rPr>
          <w:bCs/>
        </w:rPr>
        <w:tab/>
      </w:r>
      <w:r w:rsidRPr="00C22B32">
        <w:rPr>
          <w:bCs/>
          <w:szCs w:val="25"/>
        </w:rPr>
        <w:t>1:57-80</w:t>
      </w:r>
      <w:r w:rsidRPr="00C22B32">
        <w:rPr>
          <w:bCs/>
        </w:rPr>
        <w:tab/>
      </w:r>
      <w:r w:rsidRPr="00C22B32">
        <w:rPr>
          <w:bCs/>
          <w:szCs w:val="25"/>
        </w:rPr>
        <w:t>B6</w:t>
      </w:r>
      <w:r w:rsidRPr="00C22B32">
        <w:rPr>
          <w:bCs/>
        </w:rPr>
        <w:tab/>
      </w:r>
      <w:r w:rsidRPr="00C22B32">
        <w:rPr>
          <w:bCs/>
          <w:szCs w:val="25"/>
        </w:rPr>
        <w:t>7:18-50</w:t>
      </w:r>
    </w:p>
    <w:p w14:paraId="12AB61B9" w14:textId="77777777" w:rsidR="00B47A48" w:rsidRPr="000D5928" w:rsidRDefault="00B47A48" w:rsidP="00B47A48">
      <w:pPr>
        <w:pStyle w:val="Style"/>
        <w:widowControl/>
        <w:tabs>
          <w:tab w:val="left" w:pos="720"/>
          <w:tab w:val="left" w:pos="1440"/>
          <w:tab w:val="left" w:pos="4320"/>
          <w:tab w:val="left" w:pos="5760"/>
        </w:tabs>
        <w:textAlignment w:val="baseline"/>
        <w:rPr>
          <w:bCs/>
          <w:szCs w:val="25"/>
        </w:rPr>
      </w:pPr>
      <w:r>
        <w:rPr>
          <w:bCs/>
          <w:szCs w:val="25"/>
        </w:rPr>
        <w:tab/>
      </w:r>
      <w:r w:rsidRPr="00C22B32">
        <w:rPr>
          <w:bCs/>
          <w:szCs w:val="25"/>
        </w:rPr>
        <w:t>A4</w:t>
      </w:r>
      <w:r w:rsidRPr="00C22B32">
        <w:rPr>
          <w:bCs/>
        </w:rPr>
        <w:tab/>
      </w:r>
      <w:r w:rsidRPr="00C22B32">
        <w:rPr>
          <w:bCs/>
          <w:szCs w:val="25"/>
        </w:rPr>
        <w:t>2:1-21</w:t>
      </w:r>
      <w:r w:rsidRPr="00C22B32">
        <w:rPr>
          <w:bCs/>
        </w:rPr>
        <w:tab/>
      </w:r>
      <w:r w:rsidRPr="00C22B32">
        <w:rPr>
          <w:bCs/>
          <w:szCs w:val="25"/>
        </w:rPr>
        <w:t>B7</w:t>
      </w:r>
      <w:r w:rsidRPr="00C22B32">
        <w:rPr>
          <w:bCs/>
        </w:rPr>
        <w:tab/>
      </w:r>
      <w:r w:rsidRPr="00C22B32">
        <w:rPr>
          <w:bCs/>
          <w:szCs w:val="25"/>
        </w:rPr>
        <w:t>8:1-56</w:t>
      </w:r>
    </w:p>
    <w:p w14:paraId="53D0C3AF" w14:textId="77777777" w:rsidR="00B47A48" w:rsidRPr="00C22B32" w:rsidRDefault="00B47A48" w:rsidP="00B47A48">
      <w:pPr>
        <w:pStyle w:val="Style"/>
        <w:widowControl/>
        <w:tabs>
          <w:tab w:val="left" w:pos="720"/>
          <w:tab w:val="left" w:pos="1440"/>
          <w:tab w:val="left" w:pos="4320"/>
          <w:tab w:val="left" w:pos="5760"/>
        </w:tabs>
        <w:textAlignment w:val="baseline"/>
        <w:rPr>
          <w:bCs/>
        </w:rPr>
      </w:pPr>
      <w:r>
        <w:rPr>
          <w:bCs/>
        </w:rPr>
        <w:tab/>
      </w:r>
      <w:r w:rsidRPr="00C22B32">
        <w:rPr>
          <w:bCs/>
        </w:rPr>
        <w:t>A5</w:t>
      </w:r>
      <w:r w:rsidRPr="00C22B32">
        <w:rPr>
          <w:bCs/>
        </w:rPr>
        <w:tab/>
      </w:r>
      <w:r w:rsidRPr="00C22B32">
        <w:rPr>
          <w:bCs/>
          <w:szCs w:val="25"/>
        </w:rPr>
        <w:t>2:22-40</w:t>
      </w:r>
      <w:r w:rsidRPr="00C22B32">
        <w:rPr>
          <w:bCs/>
        </w:rPr>
        <w:tab/>
      </w:r>
      <w:r w:rsidRPr="00C22B32">
        <w:rPr>
          <w:bCs/>
          <w:szCs w:val="25"/>
        </w:rPr>
        <w:t>B</w:t>
      </w:r>
      <w:r>
        <w:rPr>
          <w:bCs/>
          <w:szCs w:val="25"/>
        </w:rPr>
        <w:t>8</w:t>
      </w:r>
      <w:r w:rsidRPr="00C22B32">
        <w:rPr>
          <w:bCs/>
        </w:rPr>
        <w:tab/>
      </w:r>
      <w:r w:rsidRPr="00C22B32">
        <w:rPr>
          <w:bCs/>
          <w:szCs w:val="25"/>
        </w:rPr>
        <w:t>9:1-50</w:t>
      </w:r>
    </w:p>
    <w:p w14:paraId="0AEFE360" w14:textId="77777777" w:rsidR="00B47A48" w:rsidRPr="000D5928" w:rsidRDefault="00B47A48" w:rsidP="00B47A48">
      <w:pPr>
        <w:pStyle w:val="Style"/>
        <w:widowControl/>
        <w:tabs>
          <w:tab w:val="left" w:pos="720"/>
          <w:tab w:val="left" w:pos="1440"/>
          <w:tab w:val="left" w:pos="4320"/>
          <w:tab w:val="left" w:pos="5760"/>
        </w:tabs>
        <w:textAlignment w:val="baseline"/>
        <w:rPr>
          <w:bCs/>
          <w:szCs w:val="25"/>
        </w:rPr>
      </w:pPr>
      <w:r>
        <w:rPr>
          <w:bCs/>
          <w:szCs w:val="25"/>
        </w:rPr>
        <w:tab/>
      </w:r>
      <w:r w:rsidRPr="00C22B32">
        <w:rPr>
          <w:bCs/>
          <w:szCs w:val="25"/>
        </w:rPr>
        <w:t>A6</w:t>
      </w:r>
      <w:r w:rsidRPr="00C22B32">
        <w:rPr>
          <w:bCs/>
        </w:rPr>
        <w:tab/>
      </w:r>
      <w:r w:rsidRPr="00C22B32">
        <w:rPr>
          <w:bCs/>
          <w:szCs w:val="25"/>
        </w:rPr>
        <w:t>2:41-52</w:t>
      </w:r>
    </w:p>
    <w:p w14:paraId="2FF28256" w14:textId="77777777" w:rsidR="00B47A48" w:rsidRPr="000D5928" w:rsidRDefault="00B47A48" w:rsidP="00B47A48">
      <w:pPr>
        <w:pStyle w:val="Style"/>
        <w:widowControl/>
        <w:tabs>
          <w:tab w:val="left" w:pos="720"/>
          <w:tab w:val="left" w:pos="1440"/>
          <w:tab w:val="left" w:pos="4320"/>
          <w:tab w:val="left" w:pos="5760"/>
        </w:tabs>
        <w:textAlignment w:val="baseline"/>
        <w:rPr>
          <w:bCs/>
          <w:szCs w:val="25"/>
        </w:rPr>
      </w:pPr>
      <w:r>
        <w:rPr>
          <w:bCs/>
          <w:szCs w:val="25"/>
        </w:rPr>
        <w:tab/>
      </w:r>
      <w:r w:rsidRPr="00C22B32">
        <w:rPr>
          <w:bCs/>
          <w:szCs w:val="25"/>
        </w:rPr>
        <w:t>A7</w:t>
      </w:r>
      <w:r w:rsidRPr="00C22B32">
        <w:rPr>
          <w:bCs/>
        </w:rPr>
        <w:tab/>
      </w:r>
      <w:r w:rsidRPr="00C22B32">
        <w:rPr>
          <w:bCs/>
          <w:szCs w:val="25"/>
        </w:rPr>
        <w:t>3:1-20</w:t>
      </w:r>
      <w:r w:rsidRPr="00C22B32">
        <w:rPr>
          <w:bCs/>
        </w:rPr>
        <w:tab/>
      </w:r>
      <w:r w:rsidRPr="00C22B32">
        <w:rPr>
          <w:bCs/>
          <w:szCs w:val="25"/>
        </w:rPr>
        <w:t>C</w:t>
      </w:r>
      <w:r w:rsidRPr="00C22B32">
        <w:rPr>
          <w:bCs/>
        </w:rPr>
        <w:tab/>
      </w:r>
      <w:r w:rsidRPr="00C22B32">
        <w:rPr>
          <w:bCs/>
          <w:szCs w:val="25"/>
        </w:rPr>
        <w:t>9:51-21:38</w:t>
      </w:r>
    </w:p>
    <w:p w14:paraId="057EFA62" w14:textId="77777777" w:rsidR="00B47A48" w:rsidRPr="000D5928" w:rsidRDefault="00B47A48" w:rsidP="00B47A48">
      <w:pPr>
        <w:pStyle w:val="Style"/>
        <w:widowControl/>
        <w:tabs>
          <w:tab w:val="left" w:pos="720"/>
          <w:tab w:val="left" w:pos="1440"/>
          <w:tab w:val="left" w:pos="4320"/>
          <w:tab w:val="left" w:pos="5760"/>
        </w:tabs>
        <w:textAlignment w:val="baseline"/>
        <w:rPr>
          <w:bCs/>
          <w:szCs w:val="25"/>
        </w:rPr>
      </w:pPr>
      <w:r>
        <w:rPr>
          <w:bCs/>
          <w:szCs w:val="25"/>
        </w:rPr>
        <w:tab/>
      </w:r>
      <w:r w:rsidRPr="00C22B32">
        <w:rPr>
          <w:bCs/>
          <w:szCs w:val="25"/>
        </w:rPr>
        <w:t>A</w:t>
      </w:r>
      <w:r>
        <w:rPr>
          <w:bCs/>
          <w:szCs w:val="25"/>
        </w:rPr>
        <w:t>8</w:t>
      </w:r>
      <w:r w:rsidRPr="00C22B32">
        <w:rPr>
          <w:bCs/>
        </w:rPr>
        <w:tab/>
      </w:r>
      <w:r w:rsidRPr="00C22B32">
        <w:rPr>
          <w:bCs/>
          <w:szCs w:val="25"/>
        </w:rPr>
        <w:t>3:21-4:13</w:t>
      </w:r>
      <w:r w:rsidRPr="00C22B32">
        <w:rPr>
          <w:bCs/>
        </w:rPr>
        <w:tab/>
      </w:r>
      <w:r w:rsidRPr="00C22B32">
        <w:rPr>
          <w:bCs/>
          <w:szCs w:val="25"/>
        </w:rPr>
        <w:t>D1</w:t>
      </w:r>
      <w:r w:rsidRPr="00C22B32">
        <w:rPr>
          <w:bCs/>
        </w:rPr>
        <w:tab/>
      </w:r>
      <w:r w:rsidRPr="00C22B32">
        <w:rPr>
          <w:bCs/>
          <w:szCs w:val="25"/>
        </w:rPr>
        <w:t>22:1-53</w:t>
      </w:r>
    </w:p>
    <w:p w14:paraId="73582C9C" w14:textId="77777777" w:rsidR="00B47A48" w:rsidRPr="00C22B32" w:rsidRDefault="00B47A48" w:rsidP="00B47A48">
      <w:pPr>
        <w:pStyle w:val="Style"/>
        <w:widowControl/>
        <w:tabs>
          <w:tab w:val="left" w:pos="720"/>
          <w:tab w:val="left" w:pos="1440"/>
          <w:tab w:val="left" w:pos="4320"/>
          <w:tab w:val="left" w:pos="5760"/>
        </w:tabs>
        <w:textAlignment w:val="baseline"/>
        <w:rPr>
          <w:bCs/>
        </w:rPr>
      </w:pPr>
      <w:r>
        <w:rPr>
          <w:bCs/>
        </w:rPr>
        <w:tab/>
      </w:r>
      <w:r w:rsidRPr="00C22B32">
        <w:rPr>
          <w:bCs/>
        </w:rPr>
        <w:tab/>
      </w:r>
      <w:r w:rsidRPr="00C22B32">
        <w:rPr>
          <w:bCs/>
        </w:rPr>
        <w:tab/>
      </w:r>
      <w:r w:rsidRPr="00C22B32">
        <w:rPr>
          <w:bCs/>
          <w:szCs w:val="25"/>
        </w:rPr>
        <w:t>D2</w:t>
      </w:r>
      <w:r w:rsidRPr="00C22B32">
        <w:rPr>
          <w:bCs/>
        </w:rPr>
        <w:tab/>
      </w:r>
      <w:r w:rsidRPr="00C22B32">
        <w:rPr>
          <w:bCs/>
          <w:szCs w:val="25"/>
        </w:rPr>
        <w:t>22:54-23:25</w:t>
      </w:r>
    </w:p>
    <w:p w14:paraId="18B4408E" w14:textId="77777777" w:rsidR="00B47A48" w:rsidRPr="000D5928" w:rsidRDefault="00B47A48" w:rsidP="00B47A48">
      <w:pPr>
        <w:pStyle w:val="Style"/>
        <w:widowControl/>
        <w:tabs>
          <w:tab w:val="left" w:pos="720"/>
          <w:tab w:val="left" w:pos="1440"/>
          <w:tab w:val="left" w:pos="4320"/>
          <w:tab w:val="left" w:pos="5760"/>
        </w:tabs>
        <w:textAlignment w:val="baseline"/>
        <w:rPr>
          <w:bCs/>
          <w:szCs w:val="25"/>
        </w:rPr>
      </w:pPr>
      <w:r>
        <w:rPr>
          <w:bCs/>
          <w:szCs w:val="25"/>
        </w:rPr>
        <w:tab/>
      </w:r>
      <w:r w:rsidRPr="00C22B32">
        <w:rPr>
          <w:bCs/>
          <w:szCs w:val="25"/>
        </w:rPr>
        <w:t>B</w:t>
      </w:r>
      <w:r>
        <w:rPr>
          <w:bCs/>
          <w:szCs w:val="25"/>
        </w:rPr>
        <w:t>1</w:t>
      </w:r>
      <w:r w:rsidRPr="00C22B32">
        <w:rPr>
          <w:bCs/>
        </w:rPr>
        <w:tab/>
      </w:r>
      <w:r w:rsidRPr="00C22B32">
        <w:rPr>
          <w:bCs/>
          <w:szCs w:val="25"/>
        </w:rPr>
        <w:t>4:14-30</w:t>
      </w:r>
      <w:r w:rsidRPr="00C22B32">
        <w:rPr>
          <w:bCs/>
        </w:rPr>
        <w:tab/>
      </w:r>
      <w:r w:rsidRPr="00C22B32">
        <w:rPr>
          <w:bCs/>
          <w:szCs w:val="25"/>
        </w:rPr>
        <w:t>D3</w:t>
      </w:r>
      <w:r w:rsidRPr="00C22B32">
        <w:rPr>
          <w:bCs/>
        </w:rPr>
        <w:tab/>
      </w:r>
      <w:r w:rsidRPr="00C22B32">
        <w:rPr>
          <w:bCs/>
          <w:szCs w:val="25"/>
        </w:rPr>
        <w:t>23:26-56</w:t>
      </w:r>
    </w:p>
    <w:p w14:paraId="561D4002" w14:textId="77777777" w:rsidR="00B47A48" w:rsidRPr="000D5928" w:rsidRDefault="00B47A48" w:rsidP="00B47A48">
      <w:pPr>
        <w:pStyle w:val="Style"/>
        <w:widowControl/>
        <w:tabs>
          <w:tab w:val="left" w:pos="720"/>
          <w:tab w:val="left" w:pos="1440"/>
          <w:tab w:val="left" w:pos="4320"/>
          <w:tab w:val="left" w:pos="5760"/>
        </w:tabs>
        <w:textAlignment w:val="baseline"/>
        <w:rPr>
          <w:bCs/>
          <w:szCs w:val="25"/>
        </w:rPr>
      </w:pPr>
      <w:r>
        <w:rPr>
          <w:bCs/>
          <w:szCs w:val="25"/>
        </w:rPr>
        <w:tab/>
      </w:r>
      <w:r w:rsidRPr="00C22B32">
        <w:rPr>
          <w:bCs/>
          <w:szCs w:val="25"/>
        </w:rPr>
        <w:t>B2</w:t>
      </w:r>
      <w:r w:rsidRPr="00C22B32">
        <w:rPr>
          <w:bCs/>
        </w:rPr>
        <w:tab/>
      </w:r>
      <w:r w:rsidRPr="00C22B32">
        <w:rPr>
          <w:bCs/>
          <w:szCs w:val="25"/>
        </w:rPr>
        <w:t>4:31-44</w:t>
      </w:r>
      <w:r w:rsidRPr="00C22B32">
        <w:rPr>
          <w:bCs/>
        </w:rPr>
        <w:tab/>
      </w:r>
      <w:r w:rsidRPr="00C22B32">
        <w:rPr>
          <w:bCs/>
          <w:szCs w:val="25"/>
        </w:rPr>
        <w:t>D4</w:t>
      </w:r>
      <w:r w:rsidRPr="00C22B32">
        <w:rPr>
          <w:bCs/>
        </w:rPr>
        <w:tab/>
      </w:r>
      <w:r w:rsidRPr="00C22B32">
        <w:rPr>
          <w:bCs/>
          <w:szCs w:val="25"/>
        </w:rPr>
        <w:t>24:1-53</w:t>
      </w:r>
    </w:p>
    <w:p w14:paraId="3B2D5DF3" w14:textId="77777777" w:rsidR="00B47A48" w:rsidRPr="000D5928" w:rsidRDefault="00B47A48" w:rsidP="00B47A48">
      <w:pPr>
        <w:pStyle w:val="Style"/>
        <w:widowControl/>
        <w:tabs>
          <w:tab w:val="left" w:pos="720"/>
          <w:tab w:val="left" w:pos="1440"/>
          <w:tab w:val="left" w:pos="4320"/>
          <w:tab w:val="left" w:pos="5760"/>
        </w:tabs>
        <w:textAlignment w:val="baseline"/>
        <w:rPr>
          <w:bCs/>
          <w:szCs w:val="25"/>
        </w:rPr>
      </w:pPr>
      <w:r>
        <w:rPr>
          <w:bCs/>
          <w:szCs w:val="25"/>
        </w:rPr>
        <w:tab/>
      </w:r>
      <w:r w:rsidRPr="00C22B32">
        <w:rPr>
          <w:bCs/>
          <w:szCs w:val="25"/>
        </w:rPr>
        <w:t>B3</w:t>
      </w:r>
      <w:r w:rsidRPr="00C22B32">
        <w:rPr>
          <w:bCs/>
        </w:rPr>
        <w:tab/>
      </w:r>
      <w:r w:rsidRPr="00C22B32">
        <w:rPr>
          <w:bCs/>
          <w:szCs w:val="25"/>
        </w:rPr>
        <w:t>5:1-16</w:t>
      </w:r>
    </w:p>
    <w:p w14:paraId="567A0938" w14:textId="77777777" w:rsidR="00B47A48" w:rsidRDefault="00B47A48" w:rsidP="00B47A48">
      <w:pPr>
        <w:pStyle w:val="Style"/>
        <w:widowControl/>
        <w:jc w:val="both"/>
        <w:textAlignment w:val="baseline"/>
        <w:rPr>
          <w:bCs/>
          <w:szCs w:val="25"/>
        </w:rPr>
      </w:pPr>
    </w:p>
    <w:p w14:paraId="22C0904C" w14:textId="77777777" w:rsidR="00B47A48" w:rsidRPr="00C22B32" w:rsidRDefault="00B47A48" w:rsidP="00B47A48">
      <w:pPr>
        <w:pStyle w:val="Style"/>
        <w:widowControl/>
        <w:jc w:val="both"/>
        <w:textAlignment w:val="baseline"/>
        <w:rPr>
          <w:bCs/>
          <w:szCs w:val="34"/>
        </w:rPr>
      </w:pPr>
      <w:r>
        <w:rPr>
          <w:bCs/>
          <w:szCs w:val="25"/>
        </w:rPr>
        <w:tab/>
      </w:r>
      <w:r w:rsidRPr="00C22B32">
        <w:rPr>
          <w:bCs/>
          <w:szCs w:val="25"/>
        </w:rPr>
        <w:t>A paradigmati</w:t>
      </w:r>
      <w:r>
        <w:rPr>
          <w:bCs/>
          <w:szCs w:val="25"/>
        </w:rPr>
        <w:t>c</w:t>
      </w:r>
      <w:r w:rsidRPr="00C22B32">
        <w:rPr>
          <w:bCs/>
          <w:szCs w:val="25"/>
        </w:rPr>
        <w:t xml:space="preserve"> model consists</w:t>
      </w:r>
      <w:r w:rsidRPr="00C22B32">
        <w:rPr>
          <w:bCs/>
          <w:iCs/>
          <w:szCs w:val="25"/>
        </w:rPr>
        <w:t xml:space="preserve">, </w:t>
      </w:r>
      <w:r w:rsidRPr="00C22B32">
        <w:rPr>
          <w:bCs/>
          <w:szCs w:val="25"/>
        </w:rPr>
        <w:t>then</w:t>
      </w:r>
      <w:r w:rsidRPr="00C22B32">
        <w:rPr>
          <w:bCs/>
          <w:iCs/>
          <w:szCs w:val="25"/>
        </w:rPr>
        <w:t xml:space="preserve">, </w:t>
      </w:r>
      <w:r w:rsidRPr="00C22B32">
        <w:rPr>
          <w:bCs/>
          <w:szCs w:val="25"/>
        </w:rPr>
        <w:t xml:space="preserve">of </w:t>
      </w:r>
      <w:r>
        <w:rPr>
          <w:bCs/>
          <w:szCs w:val="25"/>
        </w:rPr>
        <w:t>“</w:t>
      </w:r>
      <w:r w:rsidRPr="00C22B32">
        <w:rPr>
          <w:bCs/>
          <w:szCs w:val="25"/>
        </w:rPr>
        <w:t xml:space="preserve">recurrences of certain elements at the same places in the </w:t>
      </w:r>
      <w:r>
        <w:rPr>
          <w:bCs/>
          <w:szCs w:val="33"/>
        </w:rPr>
        <w:t>u</w:t>
      </w:r>
      <w:r w:rsidRPr="00C22B32">
        <w:rPr>
          <w:bCs/>
          <w:szCs w:val="33"/>
        </w:rPr>
        <w:t>ni</w:t>
      </w:r>
      <w:r>
        <w:rPr>
          <w:bCs/>
          <w:szCs w:val="33"/>
        </w:rPr>
        <w:t>t</w:t>
      </w:r>
      <w:r w:rsidRPr="00C22B32">
        <w:rPr>
          <w:bCs/>
          <w:szCs w:val="33"/>
        </w:rPr>
        <w:t>s</w:t>
      </w:r>
      <w:r>
        <w:rPr>
          <w:bCs/>
          <w:szCs w:val="33"/>
        </w:rPr>
        <w:t>.”</w:t>
      </w:r>
      <w:r>
        <w:rPr>
          <w:rStyle w:val="FootnoteReference"/>
          <w:bCs/>
          <w:szCs w:val="33"/>
        </w:rPr>
        <w:footnoteReference w:id="847"/>
      </w:r>
      <w:r w:rsidRPr="00C22B32">
        <w:rPr>
          <w:bCs/>
          <w:szCs w:val="33"/>
        </w:rPr>
        <w:t xml:space="preserve"> </w:t>
      </w:r>
      <w:r>
        <w:rPr>
          <w:bCs/>
          <w:szCs w:val="33"/>
        </w:rPr>
        <w:t xml:space="preserve">Meynet’s </w:t>
      </w:r>
      <w:r w:rsidRPr="00C22B32">
        <w:rPr>
          <w:bCs/>
          <w:szCs w:val="25"/>
        </w:rPr>
        <w:t>paradigmati</w:t>
      </w:r>
      <w:r>
        <w:rPr>
          <w:bCs/>
          <w:szCs w:val="25"/>
        </w:rPr>
        <w:t>c</w:t>
      </w:r>
      <w:r w:rsidRPr="00C22B32">
        <w:rPr>
          <w:bCs/>
          <w:szCs w:val="25"/>
        </w:rPr>
        <w:t xml:space="preserve"> model </w:t>
      </w:r>
      <w:r>
        <w:rPr>
          <w:bCs/>
          <w:szCs w:val="33"/>
        </w:rPr>
        <w:t xml:space="preserve">consists of the elements, </w:t>
      </w:r>
      <w:r w:rsidRPr="00C22B32">
        <w:rPr>
          <w:bCs/>
          <w:szCs w:val="25"/>
        </w:rPr>
        <w:t xml:space="preserve">“teaching-healing” and </w:t>
      </w:r>
      <w:r>
        <w:rPr>
          <w:bCs/>
          <w:szCs w:val="25"/>
        </w:rPr>
        <w:t>“</w:t>
      </w:r>
      <w:r w:rsidRPr="00C22B32">
        <w:rPr>
          <w:bCs/>
          <w:szCs w:val="25"/>
        </w:rPr>
        <w:t xml:space="preserve">questions of Jesus’ identity.” But there are items that recur in the text of Luke other than </w:t>
      </w:r>
      <w:r>
        <w:rPr>
          <w:bCs/>
          <w:szCs w:val="25"/>
        </w:rPr>
        <w:t xml:space="preserve">these two elements. </w:t>
      </w:r>
      <w:proofErr w:type="spellStart"/>
      <w:r w:rsidRPr="00C22B32">
        <w:rPr>
          <w:bCs/>
          <w:szCs w:val="25"/>
        </w:rPr>
        <w:t>Meynet</w:t>
      </w:r>
      <w:proofErr w:type="spellEnd"/>
      <w:r>
        <w:rPr>
          <w:bCs/>
          <w:szCs w:val="25"/>
        </w:rPr>
        <w:t xml:space="preserve"> </w:t>
      </w:r>
      <w:r w:rsidRPr="00C22B32">
        <w:rPr>
          <w:bCs/>
          <w:szCs w:val="25"/>
        </w:rPr>
        <w:t>recognizes this fact and even proposes as a second possible paradigmatic model</w:t>
      </w:r>
      <w:r>
        <w:rPr>
          <w:bCs/>
          <w:szCs w:val="25"/>
        </w:rPr>
        <w:t>,</w:t>
      </w:r>
      <w:r w:rsidRPr="00C22B32">
        <w:rPr>
          <w:bCs/>
          <w:szCs w:val="25"/>
        </w:rPr>
        <w:t xml:space="preserve"> that</w:t>
      </w:r>
      <w:r>
        <w:rPr>
          <w:bCs/>
          <w:szCs w:val="25"/>
        </w:rPr>
        <w:t xml:space="preserve"> </w:t>
      </w:r>
      <w:r w:rsidRPr="00C22B32">
        <w:rPr>
          <w:bCs/>
          <w:szCs w:val="25"/>
        </w:rPr>
        <w:t xml:space="preserve">of Jesus’ manifestations of power. But he prefers to rely upon </w:t>
      </w:r>
      <w:r>
        <w:rPr>
          <w:bCs/>
          <w:szCs w:val="25"/>
        </w:rPr>
        <w:t>his</w:t>
      </w:r>
      <w:r w:rsidRPr="00C22B32">
        <w:rPr>
          <w:bCs/>
          <w:szCs w:val="25"/>
        </w:rPr>
        <w:t xml:space="preserve"> two-element model</w:t>
      </w:r>
      <w:r w:rsidRPr="00C22B32">
        <w:rPr>
          <w:bCs/>
          <w:iCs/>
          <w:szCs w:val="25"/>
        </w:rPr>
        <w:t xml:space="preserve"> </w:t>
      </w:r>
      <w:r>
        <w:rPr>
          <w:bCs/>
          <w:szCs w:val="25"/>
        </w:rPr>
        <w:t>because</w:t>
      </w:r>
      <w:r w:rsidRPr="00C22B32">
        <w:rPr>
          <w:bCs/>
          <w:iCs/>
          <w:szCs w:val="25"/>
        </w:rPr>
        <w:t xml:space="preserve">, </w:t>
      </w:r>
      <w:r w:rsidRPr="00C22B32">
        <w:rPr>
          <w:bCs/>
          <w:szCs w:val="25"/>
        </w:rPr>
        <w:t>according to him</w:t>
      </w:r>
      <w:r w:rsidRPr="00C22B32">
        <w:rPr>
          <w:bCs/>
          <w:iCs/>
          <w:szCs w:val="25"/>
        </w:rPr>
        <w:t xml:space="preserve">, </w:t>
      </w:r>
      <w:r w:rsidRPr="00C22B32">
        <w:rPr>
          <w:bCs/>
          <w:szCs w:val="25"/>
        </w:rPr>
        <w:t>the two elements apply very neatly to his section B (4:14-9:50)</w:t>
      </w:r>
      <w:r w:rsidRPr="00C22B32">
        <w:rPr>
          <w:bCs/>
          <w:iCs/>
          <w:szCs w:val="25"/>
        </w:rPr>
        <w:t xml:space="preserve"> </w:t>
      </w:r>
      <w:r w:rsidRPr="00C22B32">
        <w:rPr>
          <w:bCs/>
          <w:szCs w:val="25"/>
        </w:rPr>
        <w:t xml:space="preserve">and </w:t>
      </w:r>
      <w:r>
        <w:rPr>
          <w:bCs/>
          <w:szCs w:val="25"/>
        </w:rPr>
        <w:lastRenderedPageBreak/>
        <w:t>because</w:t>
      </w:r>
      <w:r w:rsidRPr="00C22B32">
        <w:rPr>
          <w:bCs/>
          <w:szCs w:val="25"/>
        </w:rPr>
        <w:t xml:space="preserve"> the second element (questions about Jesus’ identity) occurs also in his section C (9:51-22:53).</w:t>
      </w:r>
      <w:r>
        <w:rPr>
          <w:rStyle w:val="FootnoteReference"/>
          <w:bCs/>
          <w:szCs w:val="25"/>
        </w:rPr>
        <w:footnoteReference w:id="848"/>
      </w:r>
    </w:p>
    <w:p w14:paraId="506C7D1D" w14:textId="77777777" w:rsidR="00B47A48" w:rsidRPr="00C22B32" w:rsidRDefault="00B47A48" w:rsidP="00B47A48">
      <w:pPr>
        <w:pStyle w:val="Style"/>
        <w:widowControl/>
        <w:jc w:val="both"/>
        <w:textAlignment w:val="baseline"/>
        <w:rPr>
          <w:bCs/>
          <w:szCs w:val="25"/>
        </w:rPr>
      </w:pPr>
      <w:r>
        <w:rPr>
          <w:bCs/>
          <w:szCs w:val="25"/>
        </w:rPr>
        <w:tab/>
      </w:r>
      <w:r w:rsidRPr="00C22B32">
        <w:rPr>
          <w:bCs/>
          <w:szCs w:val="25"/>
        </w:rPr>
        <w:t>In addition to the “</w:t>
      </w:r>
      <w:proofErr w:type="spellStart"/>
      <w:r w:rsidRPr="00C22B32">
        <w:rPr>
          <w:bCs/>
          <w:szCs w:val="25"/>
        </w:rPr>
        <w:t>syntagmic</w:t>
      </w:r>
      <w:proofErr w:type="spellEnd"/>
      <w:r w:rsidRPr="00C22B32">
        <w:rPr>
          <w:bCs/>
          <w:szCs w:val="25"/>
        </w:rPr>
        <w:t xml:space="preserve"> model” and the “paradigmatic model,” </w:t>
      </w:r>
      <w:proofErr w:type="spellStart"/>
      <w:r w:rsidRPr="00C22B32">
        <w:rPr>
          <w:bCs/>
          <w:szCs w:val="25"/>
        </w:rPr>
        <w:t>Meynet</w:t>
      </w:r>
      <w:proofErr w:type="spellEnd"/>
      <w:r w:rsidRPr="00C22B32">
        <w:rPr>
          <w:bCs/>
          <w:szCs w:val="25"/>
        </w:rPr>
        <w:t xml:space="preserve"> uses a third model in his inquiry into Luke’s structure. This model is not given a label but is simply desc</w:t>
      </w:r>
      <w:r>
        <w:rPr>
          <w:bCs/>
          <w:szCs w:val="25"/>
        </w:rPr>
        <w:t>ri</w:t>
      </w:r>
      <w:r w:rsidRPr="00C22B32">
        <w:rPr>
          <w:bCs/>
          <w:szCs w:val="25"/>
        </w:rPr>
        <w:t xml:space="preserve">bed as </w:t>
      </w:r>
      <w:r>
        <w:rPr>
          <w:bCs/>
          <w:szCs w:val="25"/>
        </w:rPr>
        <w:t>“</w:t>
      </w:r>
      <w:r w:rsidRPr="00C22B32">
        <w:rPr>
          <w:bCs/>
          <w:szCs w:val="25"/>
        </w:rPr>
        <w:t>the resumption by the gospel text of the scheme of an Old Testament text,” i.e.</w:t>
      </w:r>
      <w:r w:rsidRPr="00C22B32">
        <w:rPr>
          <w:bCs/>
          <w:iCs/>
          <w:szCs w:val="25"/>
        </w:rPr>
        <w:t xml:space="preserve">, </w:t>
      </w:r>
      <w:r w:rsidRPr="00C22B32">
        <w:rPr>
          <w:bCs/>
          <w:szCs w:val="25"/>
        </w:rPr>
        <w:t>the arrangement of gospel pericopes according to a pattern provided by a sequence of Old Testament pericopes.</w:t>
      </w:r>
      <w:r>
        <w:rPr>
          <w:rStyle w:val="FootnoteReference"/>
          <w:bCs/>
          <w:szCs w:val="25"/>
        </w:rPr>
        <w:footnoteReference w:id="849"/>
      </w:r>
      <w:r w:rsidRPr="00C22B32">
        <w:rPr>
          <w:bCs/>
          <w:szCs w:val="25"/>
        </w:rPr>
        <w:t xml:space="preserve"> The puzzling order of the narratives in BS</w:t>
      </w:r>
      <w:r w:rsidRPr="00C22B32">
        <w:rPr>
          <w:bCs/>
          <w:iCs/>
          <w:szCs w:val="25"/>
        </w:rPr>
        <w:t xml:space="preserve">, </w:t>
      </w:r>
      <w:r w:rsidRPr="00C22B32">
        <w:rPr>
          <w:bCs/>
          <w:szCs w:val="25"/>
        </w:rPr>
        <w:t>for example (Luke 9:1-50)</w:t>
      </w:r>
      <w:r w:rsidRPr="00C22B32">
        <w:rPr>
          <w:bCs/>
          <w:iCs/>
          <w:szCs w:val="25"/>
        </w:rPr>
        <w:t xml:space="preserve">, </w:t>
      </w:r>
      <w:r w:rsidRPr="00C22B32">
        <w:rPr>
          <w:bCs/>
          <w:szCs w:val="25"/>
        </w:rPr>
        <w:t>can be explained if one assumes that Luke used the order of pericopes in Numbers 11 as a model.</w:t>
      </w:r>
    </w:p>
    <w:p w14:paraId="6D08A2A4" w14:textId="77777777" w:rsidR="00B47A48" w:rsidRPr="00C22B32" w:rsidRDefault="00B47A48" w:rsidP="00B47A48">
      <w:pPr>
        <w:pStyle w:val="Style"/>
        <w:widowControl/>
        <w:jc w:val="both"/>
        <w:textAlignment w:val="baseline"/>
        <w:rPr>
          <w:bCs/>
          <w:szCs w:val="25"/>
        </w:rPr>
      </w:pPr>
      <w:r>
        <w:rPr>
          <w:bCs/>
          <w:szCs w:val="25"/>
        </w:rPr>
        <w:tab/>
      </w:r>
      <w:proofErr w:type="spellStart"/>
      <w:r w:rsidRPr="00C22B32">
        <w:rPr>
          <w:bCs/>
          <w:szCs w:val="25"/>
        </w:rPr>
        <w:t>Meynet</w:t>
      </w:r>
      <w:proofErr w:type="spellEnd"/>
      <w:r w:rsidRPr="00C22B32">
        <w:rPr>
          <w:bCs/>
          <w:szCs w:val="25"/>
        </w:rPr>
        <w:t xml:space="preserve"> summarizes his three models thus:</w:t>
      </w:r>
    </w:p>
    <w:p w14:paraId="7F545700" w14:textId="77777777" w:rsidR="00B47A48" w:rsidRDefault="00B47A48" w:rsidP="00B47A48">
      <w:pPr>
        <w:pStyle w:val="Style"/>
        <w:widowControl/>
        <w:jc w:val="both"/>
        <w:textAlignment w:val="baseline"/>
        <w:rPr>
          <w:bCs/>
          <w:szCs w:val="25"/>
        </w:rPr>
      </w:pPr>
    </w:p>
    <w:p w14:paraId="619A8AB7" w14:textId="77777777" w:rsidR="00B47A48" w:rsidRPr="00A16EEB" w:rsidRDefault="00B47A48" w:rsidP="00B47A48">
      <w:pPr>
        <w:pStyle w:val="Style"/>
        <w:widowControl/>
        <w:ind w:left="720" w:right="720"/>
        <w:jc w:val="both"/>
        <w:textAlignment w:val="baseline"/>
        <w:rPr>
          <w:bCs/>
          <w:szCs w:val="25"/>
        </w:rPr>
      </w:pPr>
      <w:r>
        <w:rPr>
          <w:bCs/>
          <w:szCs w:val="25"/>
        </w:rPr>
        <w:t xml:space="preserve">. . . </w:t>
      </w:r>
      <w:r w:rsidRPr="00C22B32">
        <w:rPr>
          <w:bCs/>
          <w:szCs w:val="25"/>
        </w:rPr>
        <w:t>the three models which have been used in the analysis [are] the</w:t>
      </w:r>
      <w:r>
        <w:rPr>
          <w:bCs/>
          <w:szCs w:val="25"/>
        </w:rPr>
        <w:t xml:space="preserve"> </w:t>
      </w:r>
      <w:r w:rsidRPr="00C22B32">
        <w:rPr>
          <w:bCs/>
          <w:szCs w:val="25"/>
        </w:rPr>
        <w:t>paradigmatic model (</w:t>
      </w:r>
      <w:r>
        <w:rPr>
          <w:bCs/>
          <w:szCs w:val="25"/>
        </w:rPr>
        <w:t>“</w:t>
      </w:r>
      <w:r w:rsidRPr="00C22B32">
        <w:rPr>
          <w:bCs/>
          <w:szCs w:val="25"/>
        </w:rPr>
        <w:t>teach-heal</w:t>
      </w:r>
      <w:r>
        <w:rPr>
          <w:bCs/>
          <w:szCs w:val="25"/>
        </w:rPr>
        <w:t>”</w:t>
      </w:r>
      <w:r w:rsidRPr="00C22B32">
        <w:rPr>
          <w:bCs/>
          <w:szCs w:val="25"/>
        </w:rPr>
        <w:t xml:space="preserve"> in co-occurrence with “question or affirmation concerning the identity of Jesus” in section B); the </w:t>
      </w:r>
      <w:proofErr w:type="spellStart"/>
      <w:r w:rsidRPr="00C22B32">
        <w:rPr>
          <w:bCs/>
          <w:szCs w:val="25"/>
        </w:rPr>
        <w:t>syntagmic</w:t>
      </w:r>
      <w:proofErr w:type="spellEnd"/>
      <w:r w:rsidRPr="00C22B32">
        <w:rPr>
          <w:bCs/>
          <w:szCs w:val="25"/>
        </w:rPr>
        <w:t xml:space="preserve"> model</w:t>
      </w:r>
      <w:r w:rsidRPr="00C22B32">
        <w:rPr>
          <w:bCs/>
          <w:iCs/>
          <w:szCs w:val="25"/>
        </w:rPr>
        <w:t xml:space="preserve">, </w:t>
      </w:r>
      <w:r w:rsidRPr="00C22B32">
        <w:rPr>
          <w:bCs/>
          <w:szCs w:val="25"/>
        </w:rPr>
        <w:t>that of the passage chiasm which structures each</w:t>
      </w:r>
      <w:r>
        <w:rPr>
          <w:bCs/>
          <w:szCs w:val="25"/>
        </w:rPr>
        <w:t xml:space="preserve"> </w:t>
      </w:r>
      <w:r w:rsidRPr="00C22B32">
        <w:rPr>
          <w:bCs/>
          <w:szCs w:val="25"/>
        </w:rPr>
        <w:t>unit; and finally the model which finds in a text of Luke a text or event</w:t>
      </w:r>
      <w:r>
        <w:rPr>
          <w:bCs/>
          <w:szCs w:val="25"/>
        </w:rPr>
        <w:t xml:space="preserve"> </w:t>
      </w:r>
      <w:r w:rsidRPr="00C22B32">
        <w:rPr>
          <w:bCs/>
          <w:szCs w:val="25"/>
        </w:rPr>
        <w:t>of the Old Testament used as a patte</w:t>
      </w:r>
      <w:r>
        <w:rPr>
          <w:bCs/>
          <w:szCs w:val="25"/>
        </w:rPr>
        <w:t>rn</w:t>
      </w:r>
      <w:r w:rsidRPr="00C22B32">
        <w:rPr>
          <w:bCs/>
          <w:szCs w:val="25"/>
        </w:rPr>
        <w:t>.</w:t>
      </w:r>
      <w:r>
        <w:rPr>
          <w:rStyle w:val="FootnoteReference"/>
          <w:bCs/>
          <w:szCs w:val="25"/>
        </w:rPr>
        <w:footnoteReference w:id="850"/>
      </w:r>
    </w:p>
    <w:p w14:paraId="00C88818" w14:textId="77777777" w:rsidR="00B47A48" w:rsidRDefault="00B47A48" w:rsidP="00B47A48">
      <w:pPr>
        <w:pStyle w:val="Style"/>
        <w:widowControl/>
        <w:jc w:val="both"/>
        <w:textAlignment w:val="baseline"/>
        <w:rPr>
          <w:bCs/>
          <w:szCs w:val="25"/>
        </w:rPr>
      </w:pPr>
    </w:p>
    <w:p w14:paraId="2819ACA1" w14:textId="77777777" w:rsidR="00B47A48" w:rsidRPr="00A93947" w:rsidRDefault="00B47A48" w:rsidP="00B47A48">
      <w:pPr>
        <w:pStyle w:val="Style"/>
        <w:widowControl/>
        <w:jc w:val="both"/>
        <w:textAlignment w:val="baseline"/>
        <w:rPr>
          <w:bCs/>
          <w:szCs w:val="25"/>
        </w:rPr>
      </w:pPr>
      <w:r>
        <w:rPr>
          <w:bCs/>
          <w:szCs w:val="25"/>
        </w:rPr>
        <w:tab/>
      </w:r>
      <w:r w:rsidRPr="00C22B32">
        <w:rPr>
          <w:bCs/>
          <w:szCs w:val="25"/>
        </w:rPr>
        <w:t xml:space="preserve">It should be noted that the paradigmatic and third models involve criteria for the determination of structure that are not formal but rather </w:t>
      </w:r>
      <w:proofErr w:type="spellStart"/>
      <w:r w:rsidRPr="00C22B32">
        <w:rPr>
          <w:bCs/>
          <w:szCs w:val="25"/>
        </w:rPr>
        <w:t>contentual</w:t>
      </w:r>
      <w:proofErr w:type="spellEnd"/>
      <w:r w:rsidRPr="00C22B32">
        <w:rPr>
          <w:bCs/>
          <w:szCs w:val="25"/>
        </w:rPr>
        <w:t xml:space="preserve">. </w:t>
      </w:r>
      <w:r w:rsidRPr="00C22B32">
        <w:rPr>
          <w:bCs/>
          <w:szCs w:val="44"/>
        </w:rPr>
        <w:t xml:space="preserve">In </w:t>
      </w:r>
      <w:r w:rsidRPr="00C22B32">
        <w:rPr>
          <w:bCs/>
          <w:szCs w:val="25"/>
        </w:rPr>
        <w:t>addition</w:t>
      </w:r>
      <w:r>
        <w:rPr>
          <w:bCs/>
          <w:szCs w:val="25"/>
        </w:rPr>
        <w:t xml:space="preserve"> </w:t>
      </w:r>
      <w:r w:rsidRPr="00C22B32">
        <w:rPr>
          <w:bCs/>
          <w:szCs w:val="25"/>
        </w:rPr>
        <w:t>to these three models,</w:t>
      </w:r>
      <w:r>
        <w:rPr>
          <w:bCs/>
          <w:szCs w:val="25"/>
        </w:rPr>
        <w:t xml:space="preserve"> </w:t>
      </w:r>
      <w:r w:rsidRPr="00C22B32">
        <w:rPr>
          <w:bCs/>
          <w:szCs w:val="25"/>
        </w:rPr>
        <w:t>moreover,</w:t>
      </w:r>
      <w:r>
        <w:rPr>
          <w:bCs/>
          <w:szCs w:val="25"/>
        </w:rPr>
        <w:t xml:space="preserve"> </w:t>
      </w:r>
      <w:proofErr w:type="spellStart"/>
      <w:r w:rsidRPr="00C22B32">
        <w:rPr>
          <w:bCs/>
          <w:szCs w:val="25"/>
        </w:rPr>
        <w:t>Meynet</w:t>
      </w:r>
      <w:proofErr w:type="spellEnd"/>
      <w:r w:rsidRPr="00C22B32">
        <w:rPr>
          <w:bCs/>
          <w:szCs w:val="25"/>
        </w:rPr>
        <w:t xml:space="preserve"> admits to a need t</w:t>
      </w:r>
      <w:r>
        <w:rPr>
          <w:bCs/>
          <w:szCs w:val="25"/>
        </w:rPr>
        <w:t>o</w:t>
      </w:r>
      <w:r w:rsidRPr="00C22B32">
        <w:rPr>
          <w:bCs/>
          <w:szCs w:val="25"/>
        </w:rPr>
        <w:t xml:space="preserve"> rely occasionally on</w:t>
      </w:r>
      <w:r>
        <w:rPr>
          <w:bCs/>
          <w:szCs w:val="25"/>
        </w:rPr>
        <w:t xml:space="preserve"> </w:t>
      </w:r>
      <w:r w:rsidRPr="00C22B32">
        <w:rPr>
          <w:bCs/>
          <w:szCs w:val="25"/>
        </w:rPr>
        <w:t xml:space="preserve">“optional criteria” </w:t>
      </w:r>
      <w:r>
        <w:rPr>
          <w:bCs/>
          <w:szCs w:val="25"/>
        </w:rPr>
        <w:t>(“</w:t>
      </w:r>
      <w:proofErr w:type="spellStart"/>
      <w:r w:rsidRPr="00C22B32">
        <w:rPr>
          <w:bCs/>
          <w:szCs w:val="25"/>
        </w:rPr>
        <w:t>crit</w:t>
      </w:r>
      <w:r>
        <w:rPr>
          <w:bCs/>
          <w:szCs w:val="25"/>
        </w:rPr>
        <w:t>è</w:t>
      </w:r>
      <w:r w:rsidRPr="00C22B32">
        <w:rPr>
          <w:bCs/>
          <w:szCs w:val="25"/>
        </w:rPr>
        <w:t>res</w:t>
      </w:r>
      <w:proofErr w:type="spellEnd"/>
      <w:r w:rsidRPr="00C22B32">
        <w:rPr>
          <w:bCs/>
          <w:szCs w:val="25"/>
        </w:rPr>
        <w:t xml:space="preserve"> </w:t>
      </w:r>
      <w:proofErr w:type="spellStart"/>
      <w:r w:rsidRPr="00C22B32">
        <w:rPr>
          <w:bCs/>
          <w:szCs w:val="25"/>
        </w:rPr>
        <w:t>facultatifs</w:t>
      </w:r>
      <w:proofErr w:type="spellEnd"/>
      <w:r w:rsidRPr="00C22B32">
        <w:rPr>
          <w:bCs/>
          <w:szCs w:val="25"/>
        </w:rPr>
        <w:t>”</w:t>
      </w:r>
      <w:r>
        <w:rPr>
          <w:bCs/>
          <w:szCs w:val="25"/>
        </w:rPr>
        <w:t>)</w:t>
      </w:r>
      <w:r w:rsidRPr="00C22B32">
        <w:rPr>
          <w:bCs/>
          <w:szCs w:val="25"/>
        </w:rPr>
        <w:t>. He mentions three of these. (1) The</w:t>
      </w:r>
      <w:r>
        <w:rPr>
          <w:bCs/>
          <w:szCs w:val="25"/>
        </w:rPr>
        <w:t xml:space="preserve"> </w:t>
      </w:r>
      <w:r w:rsidRPr="00C22B32">
        <w:rPr>
          <w:bCs/>
          <w:szCs w:val="25"/>
        </w:rPr>
        <w:t>parallelism</w:t>
      </w:r>
      <w:r>
        <w:rPr>
          <w:bCs/>
          <w:szCs w:val="25"/>
        </w:rPr>
        <w:t>s</w:t>
      </w:r>
      <w:r w:rsidRPr="00C22B32">
        <w:rPr>
          <w:bCs/>
          <w:szCs w:val="25"/>
        </w:rPr>
        <w:t xml:space="preserve"> between some units show that in the structure of Luke the</w:t>
      </w:r>
      <w:r>
        <w:rPr>
          <w:bCs/>
          <w:szCs w:val="25"/>
        </w:rPr>
        <w:t xml:space="preserve"> units</w:t>
      </w:r>
      <w:r w:rsidRPr="00C22B32">
        <w:rPr>
          <w:bCs/>
          <w:szCs w:val="25"/>
        </w:rPr>
        <w:t xml:space="preserve"> are meant</w:t>
      </w:r>
      <w:r>
        <w:rPr>
          <w:bCs/>
          <w:szCs w:val="25"/>
        </w:rPr>
        <w:t xml:space="preserve"> </w:t>
      </w:r>
      <w:r w:rsidRPr="00C22B32">
        <w:rPr>
          <w:bCs/>
          <w:szCs w:val="25"/>
        </w:rPr>
        <w:t xml:space="preserve">to be seen as coordinate </w:t>
      </w:r>
      <w:r w:rsidRPr="001C646B">
        <w:rPr>
          <w:bCs/>
          <w:iCs/>
          <w:szCs w:val="25"/>
        </w:rPr>
        <w:t>(</w:t>
      </w:r>
      <w:r w:rsidRPr="00C22B32">
        <w:rPr>
          <w:bCs/>
          <w:szCs w:val="25"/>
        </w:rPr>
        <w:t>e.g.</w:t>
      </w:r>
      <w:r w:rsidRPr="00C22B32">
        <w:rPr>
          <w:bCs/>
          <w:iCs/>
          <w:szCs w:val="25"/>
        </w:rPr>
        <w:t xml:space="preserve">, </w:t>
      </w:r>
      <w:r w:rsidRPr="00C22B32">
        <w:rPr>
          <w:bCs/>
          <w:szCs w:val="25"/>
        </w:rPr>
        <w:t>the reference in Luke 4:25-27 to Elijah’s multiplication of meal</w:t>
      </w:r>
      <w:r w:rsidRPr="00C22B32">
        <w:rPr>
          <w:bCs/>
          <w:iCs/>
          <w:szCs w:val="25"/>
        </w:rPr>
        <w:t xml:space="preserve">, </w:t>
      </w:r>
      <w:r w:rsidRPr="00C22B32">
        <w:rPr>
          <w:bCs/>
          <w:szCs w:val="25"/>
        </w:rPr>
        <w:t xml:space="preserve">and Jesus’ multiplication of fish in Luke 5:4-7). (2) The occurrence of several pericopes in one locale can indicate that these pericopes are structurally one unit </w:t>
      </w:r>
      <w:r w:rsidRPr="00C22B32">
        <w:rPr>
          <w:bCs/>
          <w:szCs w:val="25"/>
        </w:rPr>
        <w:lastRenderedPageBreak/>
        <w:t>(e.g.</w:t>
      </w:r>
      <w:r w:rsidRPr="00C22B32">
        <w:rPr>
          <w:bCs/>
          <w:iCs/>
          <w:szCs w:val="25"/>
        </w:rPr>
        <w:t xml:space="preserve">, </w:t>
      </w:r>
      <w:r w:rsidRPr="00C22B32">
        <w:rPr>
          <w:bCs/>
          <w:szCs w:val="25"/>
        </w:rPr>
        <w:t>the incidents in B2 [Luke 4:31-44] all occur in Capernaum.) (3) The presence of certain persons can mark the beginning or end of a unit (e.g.</w:t>
      </w:r>
      <w:r w:rsidRPr="00C22B32">
        <w:rPr>
          <w:bCs/>
          <w:iCs/>
          <w:szCs w:val="25"/>
        </w:rPr>
        <w:t xml:space="preserve">, </w:t>
      </w:r>
      <w:r w:rsidRPr="00C22B32">
        <w:rPr>
          <w:bCs/>
          <w:szCs w:val="25"/>
        </w:rPr>
        <w:t>the Pharisees in B4</w:t>
      </w:r>
      <w:r w:rsidRPr="00C22B32">
        <w:rPr>
          <w:bCs/>
          <w:iCs/>
          <w:szCs w:val="25"/>
        </w:rPr>
        <w:t xml:space="preserve">, </w:t>
      </w:r>
      <w:r w:rsidRPr="00C22B32">
        <w:rPr>
          <w:bCs/>
          <w:szCs w:val="25"/>
        </w:rPr>
        <w:t>Luke 5:17-6:11).</w:t>
      </w:r>
      <w:r>
        <w:rPr>
          <w:rStyle w:val="FootnoteReference"/>
          <w:bCs/>
          <w:szCs w:val="25"/>
        </w:rPr>
        <w:footnoteReference w:id="851"/>
      </w:r>
    </w:p>
    <w:p w14:paraId="7C0060E5" w14:textId="77777777" w:rsidR="00B47A48" w:rsidRDefault="00B47A48" w:rsidP="00B47A48">
      <w:pPr>
        <w:rPr>
          <w:rFonts w:eastAsiaTheme="minorEastAsia"/>
          <w:bCs/>
          <w:kern w:val="0"/>
          <w:szCs w:val="25"/>
          <w:lang w:eastAsia="zh-CN"/>
        </w:rPr>
      </w:pPr>
      <w:r>
        <w:rPr>
          <w:bCs/>
          <w:szCs w:val="25"/>
        </w:rPr>
        <w:br w:type="page"/>
      </w:r>
    </w:p>
    <w:p w14:paraId="05D57F68" w14:textId="03626ED3" w:rsidR="00B47A48" w:rsidRPr="00C22B32" w:rsidRDefault="00B3722B" w:rsidP="00B3722B">
      <w:pPr>
        <w:pStyle w:val="Heading1"/>
      </w:pPr>
      <w:bookmarkStart w:id="100" w:name="_Toc147618658"/>
      <w:r w:rsidRPr="00C22B32">
        <w:lastRenderedPageBreak/>
        <w:t xml:space="preserve">Appendix </w:t>
      </w:r>
      <w:r w:rsidR="00B47A48">
        <w:t>3</w:t>
      </w:r>
      <w:r>
        <w:t xml:space="preserve">: </w:t>
      </w:r>
      <w:r w:rsidRPr="00C22B32">
        <w:t>The Audience of</w:t>
      </w:r>
      <w:r>
        <w:t xml:space="preserve"> </w:t>
      </w:r>
      <w:r w:rsidRPr="00C22B32">
        <w:t>the Sermon on the Plain</w:t>
      </w:r>
      <w:bookmarkEnd w:id="100"/>
    </w:p>
    <w:p w14:paraId="6A8565D0" w14:textId="77777777" w:rsidR="00B47A48" w:rsidRDefault="00B47A48" w:rsidP="00B47A48">
      <w:pPr>
        <w:pStyle w:val="Style"/>
        <w:widowControl/>
        <w:jc w:val="both"/>
        <w:textAlignment w:val="baseline"/>
        <w:rPr>
          <w:bCs/>
          <w:szCs w:val="25"/>
        </w:rPr>
      </w:pPr>
    </w:p>
    <w:p w14:paraId="1A9FBCC6" w14:textId="77777777" w:rsidR="00B47A48" w:rsidRDefault="00B47A48" w:rsidP="00B47A48">
      <w:pPr>
        <w:pStyle w:val="Style"/>
        <w:widowControl/>
        <w:jc w:val="both"/>
        <w:textAlignment w:val="baseline"/>
        <w:rPr>
          <w:bCs/>
          <w:szCs w:val="25"/>
        </w:rPr>
      </w:pPr>
    </w:p>
    <w:p w14:paraId="7D19B418" w14:textId="77777777" w:rsidR="00B47A48" w:rsidRPr="00A93947" w:rsidRDefault="00B47A48" w:rsidP="00B47A48">
      <w:pPr>
        <w:pStyle w:val="Style"/>
        <w:widowControl/>
        <w:jc w:val="both"/>
        <w:textAlignment w:val="baseline"/>
        <w:rPr>
          <w:bCs/>
          <w:szCs w:val="25"/>
        </w:rPr>
      </w:pPr>
      <w:r>
        <w:rPr>
          <w:bCs/>
          <w:szCs w:val="25"/>
        </w:rPr>
        <w:tab/>
      </w:r>
      <w:r w:rsidRPr="00C22B32">
        <w:rPr>
          <w:bCs/>
          <w:szCs w:val="25"/>
        </w:rPr>
        <w:t>To whom does Jesus address the sermon on the plain? Specifying the audience of the sermon is important for ascertaining the sermon’s structure.</w:t>
      </w:r>
      <w:r>
        <w:rPr>
          <w:rStyle w:val="FootnoteReference"/>
          <w:bCs/>
          <w:szCs w:val="25"/>
        </w:rPr>
        <w:footnoteReference w:id="852"/>
      </w:r>
    </w:p>
    <w:p w14:paraId="5E1EF773" w14:textId="77777777" w:rsidR="00B47A48" w:rsidRPr="00C22B32" w:rsidRDefault="00B47A48" w:rsidP="00B47A48">
      <w:pPr>
        <w:pStyle w:val="Style"/>
        <w:widowControl/>
        <w:jc w:val="both"/>
        <w:textAlignment w:val="baseline"/>
        <w:rPr>
          <w:bCs/>
          <w:szCs w:val="25"/>
        </w:rPr>
      </w:pPr>
      <w:r>
        <w:rPr>
          <w:bCs/>
          <w:szCs w:val="25"/>
        </w:rPr>
        <w:tab/>
      </w:r>
      <w:r w:rsidRPr="00C22B32">
        <w:rPr>
          <w:bCs/>
          <w:szCs w:val="25"/>
        </w:rPr>
        <w:t>I will restrict the present discussion of audience to the level of the surface narrative. There is</w:t>
      </w:r>
      <w:r w:rsidRPr="00C22B32">
        <w:rPr>
          <w:bCs/>
          <w:iCs/>
          <w:szCs w:val="25"/>
        </w:rPr>
        <w:t xml:space="preserve">, </w:t>
      </w:r>
      <w:r w:rsidRPr="00C22B32">
        <w:rPr>
          <w:bCs/>
          <w:szCs w:val="25"/>
        </w:rPr>
        <w:t>of course</w:t>
      </w:r>
      <w:r w:rsidRPr="00C22B32">
        <w:rPr>
          <w:bCs/>
          <w:iCs/>
          <w:szCs w:val="25"/>
        </w:rPr>
        <w:t xml:space="preserve">, </w:t>
      </w:r>
      <w:r w:rsidRPr="00C22B32">
        <w:rPr>
          <w:bCs/>
          <w:szCs w:val="25"/>
        </w:rPr>
        <w:t>a sense in which the sermon on the plain has other audiences at other levels. In addition to a character (Jesus) addressing an audience within the narrative</w:t>
      </w:r>
      <w:r w:rsidRPr="00C22B32">
        <w:rPr>
          <w:bCs/>
          <w:iCs/>
          <w:szCs w:val="25"/>
        </w:rPr>
        <w:t xml:space="preserve">, </w:t>
      </w:r>
      <w:r w:rsidRPr="00C22B32">
        <w:rPr>
          <w:bCs/>
          <w:szCs w:val="25"/>
        </w:rPr>
        <w:t>there are at least two other audiences</w:t>
      </w:r>
      <w:r w:rsidRPr="00C22B32">
        <w:rPr>
          <w:bCs/>
          <w:iCs/>
          <w:szCs w:val="25"/>
        </w:rPr>
        <w:t xml:space="preserve">, </w:t>
      </w:r>
      <w:r w:rsidRPr="00C22B32">
        <w:rPr>
          <w:bCs/>
          <w:szCs w:val="25"/>
        </w:rPr>
        <w:t>at two other levels of address: the narrator addressing the implied reader</w:t>
      </w:r>
      <w:r w:rsidRPr="00C22B32">
        <w:rPr>
          <w:bCs/>
          <w:iCs/>
          <w:szCs w:val="25"/>
        </w:rPr>
        <w:t xml:space="preserve">, </w:t>
      </w:r>
      <w:r w:rsidRPr="00C22B32">
        <w:rPr>
          <w:bCs/>
          <w:szCs w:val="25"/>
        </w:rPr>
        <w:t>and the real author addressing the real readers of his time. (One can add</w:t>
      </w:r>
      <w:r w:rsidRPr="00C22B32">
        <w:rPr>
          <w:bCs/>
          <w:iCs/>
          <w:szCs w:val="25"/>
        </w:rPr>
        <w:t xml:space="preserve">, </w:t>
      </w:r>
      <w:r w:rsidRPr="00C22B32">
        <w:rPr>
          <w:bCs/>
          <w:szCs w:val="25"/>
        </w:rPr>
        <w:t>perhaps</w:t>
      </w:r>
      <w:r w:rsidRPr="00C22B32">
        <w:rPr>
          <w:bCs/>
          <w:iCs/>
          <w:szCs w:val="25"/>
        </w:rPr>
        <w:t xml:space="preserve">, </w:t>
      </w:r>
      <w:r w:rsidRPr="00C22B32">
        <w:rPr>
          <w:bCs/>
          <w:szCs w:val="25"/>
        </w:rPr>
        <w:t>the author</w:t>
      </w:r>
      <w:r w:rsidRPr="00C22B32">
        <w:rPr>
          <w:bCs/>
          <w:iCs/>
          <w:szCs w:val="25"/>
        </w:rPr>
        <w:t xml:space="preserve">, </w:t>
      </w:r>
      <w:r w:rsidRPr="00C22B32">
        <w:rPr>
          <w:bCs/>
          <w:szCs w:val="25"/>
        </w:rPr>
        <w:t>real or implied</w:t>
      </w:r>
      <w:r w:rsidRPr="00C22B32">
        <w:rPr>
          <w:bCs/>
          <w:iCs/>
          <w:szCs w:val="25"/>
        </w:rPr>
        <w:t xml:space="preserve">, </w:t>
      </w:r>
      <w:r w:rsidRPr="00C22B32">
        <w:rPr>
          <w:bCs/>
          <w:szCs w:val="25"/>
        </w:rPr>
        <w:t>addressing the real readers of our time.) This is not the place to delve into the</w:t>
      </w:r>
      <w:r>
        <w:rPr>
          <w:bCs/>
          <w:szCs w:val="25"/>
        </w:rPr>
        <w:t>or</w:t>
      </w:r>
      <w:r w:rsidRPr="00C22B32">
        <w:rPr>
          <w:bCs/>
          <w:szCs w:val="25"/>
        </w:rPr>
        <w:t>etical questions concerning the nature of narrative</w:t>
      </w:r>
      <w:r>
        <w:rPr>
          <w:rStyle w:val="FootnoteReference"/>
          <w:bCs/>
          <w:szCs w:val="25"/>
        </w:rPr>
        <w:footnoteReference w:id="853"/>
      </w:r>
      <w:r w:rsidRPr="00C22B32">
        <w:rPr>
          <w:bCs/>
          <w:szCs w:val="25"/>
        </w:rPr>
        <w:t xml:space="preserve">; nor is there need to </w:t>
      </w:r>
      <w:r>
        <w:rPr>
          <w:bCs/>
          <w:szCs w:val="25"/>
        </w:rPr>
        <w:t xml:space="preserve">determine the real or </w:t>
      </w:r>
      <w:r w:rsidRPr="00C22B32">
        <w:rPr>
          <w:bCs/>
          <w:szCs w:val="25"/>
        </w:rPr>
        <w:t>generic nature of Theophilus</w:t>
      </w:r>
      <w:r>
        <w:rPr>
          <w:rStyle w:val="FootnoteReference"/>
          <w:bCs/>
          <w:szCs w:val="25"/>
        </w:rPr>
        <w:footnoteReference w:id="854"/>
      </w:r>
      <w:r w:rsidRPr="00C22B32">
        <w:rPr>
          <w:bCs/>
          <w:szCs w:val="20"/>
        </w:rPr>
        <w:t xml:space="preserve">; </w:t>
      </w:r>
      <w:r w:rsidRPr="00C22B32">
        <w:rPr>
          <w:bCs/>
          <w:szCs w:val="25"/>
        </w:rPr>
        <w:t>nor are we now concerned with the nature of Luke’s community</w:t>
      </w:r>
      <w:r>
        <w:rPr>
          <w:bCs/>
          <w:szCs w:val="25"/>
        </w:rPr>
        <w:t>.</w:t>
      </w:r>
      <w:r>
        <w:rPr>
          <w:rStyle w:val="FootnoteReference"/>
          <w:bCs/>
          <w:szCs w:val="25"/>
        </w:rPr>
        <w:footnoteReference w:id="855"/>
      </w:r>
      <w:r>
        <w:rPr>
          <w:bCs/>
          <w:szCs w:val="25"/>
        </w:rPr>
        <w:t xml:space="preserve"> </w:t>
      </w:r>
      <w:r w:rsidRPr="00C22B32">
        <w:rPr>
          <w:bCs/>
          <w:szCs w:val="25"/>
        </w:rPr>
        <w:t>Suffice it to say that the audience whose discovery is basic to the resolution of all others is the immediate</w:t>
      </w:r>
      <w:r w:rsidRPr="00C22B32">
        <w:rPr>
          <w:bCs/>
          <w:iCs/>
          <w:szCs w:val="25"/>
        </w:rPr>
        <w:t xml:space="preserve">, </w:t>
      </w:r>
      <w:r w:rsidRPr="00C22B32">
        <w:rPr>
          <w:bCs/>
          <w:szCs w:val="25"/>
        </w:rPr>
        <w:t>narrative one; and this is the audience we intend at present to determine.</w:t>
      </w:r>
    </w:p>
    <w:p w14:paraId="6507E4FF" w14:textId="77777777" w:rsidR="00B47A48" w:rsidRPr="00C22B32" w:rsidRDefault="00B47A48" w:rsidP="00B47A48">
      <w:pPr>
        <w:pStyle w:val="Style"/>
        <w:widowControl/>
        <w:jc w:val="both"/>
        <w:textAlignment w:val="baseline"/>
        <w:rPr>
          <w:bCs/>
          <w:szCs w:val="25"/>
        </w:rPr>
      </w:pPr>
      <w:r>
        <w:rPr>
          <w:bCs/>
          <w:szCs w:val="25"/>
        </w:rPr>
        <w:tab/>
      </w:r>
      <w:r w:rsidRPr="00C22B32">
        <w:rPr>
          <w:bCs/>
          <w:szCs w:val="25"/>
        </w:rPr>
        <w:t>Of the various groups that belong to the dramatis personae of Luke’s gospel (the twelve</w:t>
      </w:r>
      <w:r w:rsidRPr="00C22B32">
        <w:rPr>
          <w:bCs/>
          <w:iCs/>
          <w:szCs w:val="25"/>
        </w:rPr>
        <w:t xml:space="preserve">, </w:t>
      </w:r>
      <w:r w:rsidRPr="00C22B32">
        <w:rPr>
          <w:bCs/>
          <w:szCs w:val="25"/>
        </w:rPr>
        <w:t>the Jews</w:t>
      </w:r>
      <w:r w:rsidRPr="00C22B32">
        <w:rPr>
          <w:bCs/>
          <w:iCs/>
          <w:szCs w:val="25"/>
        </w:rPr>
        <w:t xml:space="preserve">, </w:t>
      </w:r>
      <w:r w:rsidRPr="00C22B32">
        <w:rPr>
          <w:bCs/>
          <w:szCs w:val="25"/>
        </w:rPr>
        <w:t>the Jewish leaders</w:t>
      </w:r>
      <w:r w:rsidRPr="00C22B32">
        <w:rPr>
          <w:bCs/>
          <w:iCs/>
          <w:szCs w:val="25"/>
        </w:rPr>
        <w:t xml:space="preserve">, </w:t>
      </w:r>
      <w:r w:rsidRPr="00C22B32">
        <w:rPr>
          <w:bCs/>
          <w:szCs w:val="25"/>
        </w:rPr>
        <w:t>etc.)</w:t>
      </w:r>
      <w:r w:rsidRPr="00C22B32">
        <w:rPr>
          <w:bCs/>
          <w:iCs/>
          <w:szCs w:val="25"/>
        </w:rPr>
        <w:t xml:space="preserve">, </w:t>
      </w:r>
      <w:r w:rsidRPr="00C22B32">
        <w:rPr>
          <w:bCs/>
          <w:szCs w:val="25"/>
        </w:rPr>
        <w:t>only two are serious candidates for</w:t>
      </w:r>
      <w:r>
        <w:rPr>
          <w:bCs/>
          <w:szCs w:val="25"/>
        </w:rPr>
        <w:t xml:space="preserve"> </w:t>
      </w:r>
      <w:r w:rsidRPr="00C22B32">
        <w:rPr>
          <w:bCs/>
          <w:szCs w:val="25"/>
        </w:rPr>
        <w:t>the sermon’s audience: the multitude</w:t>
      </w:r>
      <w:r w:rsidRPr="00C22B32">
        <w:rPr>
          <w:bCs/>
          <w:iCs/>
          <w:szCs w:val="25"/>
        </w:rPr>
        <w:t xml:space="preserve">, </w:t>
      </w:r>
      <w:r w:rsidRPr="00C22B32">
        <w:rPr>
          <w:bCs/>
          <w:szCs w:val="25"/>
        </w:rPr>
        <w:t xml:space="preserve">mentioned in the introduction to the sermon </w:t>
      </w:r>
      <w:r w:rsidRPr="00C22B32">
        <w:rPr>
          <w:bCs/>
        </w:rPr>
        <w:t>(6:17-19),</w:t>
      </w:r>
      <w:r>
        <w:rPr>
          <w:bCs/>
        </w:rPr>
        <w:t xml:space="preserve"> </w:t>
      </w:r>
      <w:r w:rsidRPr="00C22B32">
        <w:rPr>
          <w:bCs/>
        </w:rPr>
        <w:t xml:space="preserve">and </w:t>
      </w:r>
      <w:r w:rsidRPr="00C22B32">
        <w:rPr>
          <w:bCs/>
          <w:szCs w:val="25"/>
        </w:rPr>
        <w:t>the disciples</w:t>
      </w:r>
      <w:r w:rsidRPr="00C22B32">
        <w:rPr>
          <w:bCs/>
          <w:iCs/>
          <w:szCs w:val="25"/>
        </w:rPr>
        <w:t xml:space="preserve">, </w:t>
      </w:r>
      <w:r w:rsidRPr="00C22B32">
        <w:rPr>
          <w:bCs/>
          <w:szCs w:val="25"/>
        </w:rPr>
        <w:t>also mentioned in the introduction</w:t>
      </w:r>
      <w:r>
        <w:rPr>
          <w:bCs/>
          <w:szCs w:val="25"/>
        </w:rPr>
        <w:t>.</w:t>
      </w:r>
      <w:r>
        <w:rPr>
          <w:rStyle w:val="FootnoteReference"/>
          <w:bCs/>
          <w:szCs w:val="25"/>
        </w:rPr>
        <w:footnoteReference w:id="856"/>
      </w:r>
      <w:r w:rsidRPr="00C22B32">
        <w:rPr>
          <w:bCs/>
          <w:szCs w:val="25"/>
        </w:rPr>
        <w:t xml:space="preserve"> </w:t>
      </w:r>
      <w:r w:rsidRPr="00C22B32">
        <w:rPr>
          <w:bCs/>
        </w:rPr>
        <w:t xml:space="preserve">Though </w:t>
      </w:r>
      <w:r w:rsidRPr="00C22B32">
        <w:rPr>
          <w:bCs/>
          <w:szCs w:val="25"/>
        </w:rPr>
        <w:t>the multi</w:t>
      </w:r>
      <w:r w:rsidRPr="00C22B32">
        <w:rPr>
          <w:bCs/>
        </w:rPr>
        <w:t xml:space="preserve">tude </w:t>
      </w:r>
      <w:r w:rsidRPr="00C22B32">
        <w:rPr>
          <w:bCs/>
          <w:szCs w:val="25"/>
        </w:rPr>
        <w:t>as the audience is a reasonable conjecture</w:t>
      </w:r>
      <w:r w:rsidRPr="00C22B32">
        <w:rPr>
          <w:bCs/>
          <w:iCs/>
          <w:szCs w:val="25"/>
        </w:rPr>
        <w:t xml:space="preserve">, </w:t>
      </w:r>
      <w:r w:rsidRPr="00C22B32">
        <w:rPr>
          <w:bCs/>
          <w:szCs w:val="25"/>
        </w:rPr>
        <w:t xml:space="preserve">it seems to </w:t>
      </w:r>
      <w:r w:rsidRPr="00C22B32">
        <w:rPr>
          <w:bCs/>
          <w:szCs w:val="25"/>
        </w:rPr>
        <w:lastRenderedPageBreak/>
        <w:t>me more likely that the</w:t>
      </w:r>
      <w:r>
        <w:rPr>
          <w:bCs/>
          <w:szCs w:val="25"/>
        </w:rPr>
        <w:t xml:space="preserve"> </w:t>
      </w:r>
      <w:r w:rsidRPr="00C22B32">
        <w:rPr>
          <w:bCs/>
          <w:szCs w:val="25"/>
        </w:rPr>
        <w:t>disciples are the audience</w:t>
      </w:r>
      <w:r w:rsidRPr="00C22B32">
        <w:rPr>
          <w:bCs/>
          <w:iCs/>
          <w:szCs w:val="25"/>
        </w:rPr>
        <w:t xml:space="preserve">, </w:t>
      </w:r>
      <w:r w:rsidRPr="00C22B32">
        <w:rPr>
          <w:bCs/>
          <w:szCs w:val="25"/>
        </w:rPr>
        <w:t>with the multitude merely overhearing the sermon.</w:t>
      </w:r>
    </w:p>
    <w:p w14:paraId="7AE8EBE4" w14:textId="77777777" w:rsidR="00B47A48" w:rsidRDefault="00B47A48" w:rsidP="00B47A48">
      <w:pPr>
        <w:pStyle w:val="Style"/>
        <w:widowControl/>
        <w:jc w:val="both"/>
        <w:textAlignment w:val="baseline"/>
        <w:rPr>
          <w:bCs/>
          <w:szCs w:val="30"/>
        </w:rPr>
      </w:pPr>
      <w:r>
        <w:rPr>
          <w:bCs/>
          <w:szCs w:val="30"/>
        </w:rPr>
        <w:tab/>
        <w:t>W</w:t>
      </w:r>
      <w:r w:rsidRPr="00C22B32">
        <w:rPr>
          <w:bCs/>
          <w:szCs w:val="25"/>
        </w:rPr>
        <w:t>e begin with the arguments in favor of the multitude as the audience.</w:t>
      </w:r>
    </w:p>
    <w:p w14:paraId="54AE8130" w14:textId="77777777" w:rsidR="00B47A48" w:rsidRDefault="00B47A48" w:rsidP="00B47A48">
      <w:pPr>
        <w:pStyle w:val="Style"/>
        <w:widowControl/>
        <w:jc w:val="both"/>
        <w:textAlignment w:val="baseline"/>
        <w:rPr>
          <w:bCs/>
          <w:szCs w:val="25"/>
        </w:rPr>
      </w:pPr>
      <w:r>
        <w:rPr>
          <w:bCs/>
          <w:szCs w:val="25"/>
        </w:rPr>
        <w:tab/>
        <w:t xml:space="preserve">1) </w:t>
      </w:r>
      <w:r w:rsidRPr="00C22B32">
        <w:rPr>
          <w:bCs/>
          <w:szCs w:val="25"/>
        </w:rPr>
        <w:t>According to Adolf von Ha</w:t>
      </w:r>
      <w:r>
        <w:rPr>
          <w:bCs/>
          <w:szCs w:val="25"/>
        </w:rPr>
        <w:t>rn</w:t>
      </w:r>
      <w:r w:rsidRPr="00C22B32">
        <w:rPr>
          <w:bCs/>
          <w:szCs w:val="25"/>
        </w:rPr>
        <w:t>a</w:t>
      </w:r>
      <w:r>
        <w:rPr>
          <w:bCs/>
          <w:szCs w:val="25"/>
        </w:rPr>
        <w:t>c</w:t>
      </w:r>
      <w:r w:rsidRPr="00C22B32">
        <w:rPr>
          <w:bCs/>
          <w:szCs w:val="25"/>
        </w:rPr>
        <w:t>k</w:t>
      </w:r>
      <w:r w:rsidRPr="00C22B32">
        <w:rPr>
          <w:bCs/>
          <w:iCs/>
          <w:szCs w:val="25"/>
        </w:rPr>
        <w:t xml:space="preserve">, </w:t>
      </w:r>
      <w:r>
        <w:rPr>
          <w:bCs/>
          <w:szCs w:val="25"/>
        </w:rPr>
        <w:t xml:space="preserve">a </w:t>
      </w:r>
      <w:r w:rsidRPr="00C22B32">
        <w:rPr>
          <w:bCs/>
          <w:szCs w:val="25"/>
        </w:rPr>
        <w:t>sermon to the disciple</w:t>
      </w:r>
      <w:r>
        <w:rPr>
          <w:bCs/>
          <w:szCs w:val="25"/>
        </w:rPr>
        <w:t>s pre</w:t>
      </w:r>
      <w:r w:rsidRPr="00C22B32">
        <w:rPr>
          <w:bCs/>
          <w:szCs w:val="25"/>
        </w:rPr>
        <w:t>suppose</w:t>
      </w:r>
      <w:r>
        <w:rPr>
          <w:bCs/>
          <w:szCs w:val="25"/>
        </w:rPr>
        <w:t>s</w:t>
      </w:r>
      <w:r w:rsidRPr="00C22B32">
        <w:rPr>
          <w:bCs/>
          <w:szCs w:val="25"/>
        </w:rPr>
        <w:t xml:space="preserve"> that the Christians have become a distinct society. Such a society at this early stage in the public ministry</w:t>
      </w:r>
      <w:r w:rsidRPr="00C22B32">
        <w:rPr>
          <w:bCs/>
          <w:iCs/>
          <w:szCs w:val="25"/>
        </w:rPr>
        <w:t xml:space="preserve">, </w:t>
      </w:r>
      <w:r w:rsidRPr="00C22B32">
        <w:rPr>
          <w:bCs/>
          <w:szCs w:val="25"/>
        </w:rPr>
        <w:t>however</w:t>
      </w:r>
      <w:r w:rsidRPr="00C22B32">
        <w:rPr>
          <w:bCs/>
          <w:iCs/>
          <w:szCs w:val="25"/>
        </w:rPr>
        <w:t xml:space="preserve">, </w:t>
      </w:r>
      <w:r w:rsidRPr="00C22B32">
        <w:rPr>
          <w:bCs/>
          <w:szCs w:val="25"/>
        </w:rPr>
        <w:t>would be anachronistic; the sermon</w:t>
      </w:r>
      <w:r w:rsidRPr="00C22B32">
        <w:rPr>
          <w:bCs/>
          <w:iCs/>
          <w:szCs w:val="25"/>
        </w:rPr>
        <w:t xml:space="preserve">, </w:t>
      </w:r>
      <w:r w:rsidRPr="00C22B32">
        <w:rPr>
          <w:bCs/>
          <w:szCs w:val="25"/>
        </w:rPr>
        <w:t>then</w:t>
      </w:r>
      <w:r w:rsidRPr="00C22B32">
        <w:rPr>
          <w:bCs/>
          <w:iCs/>
          <w:szCs w:val="25"/>
        </w:rPr>
        <w:t xml:space="preserve">, </w:t>
      </w:r>
      <w:r w:rsidRPr="00C22B32">
        <w:rPr>
          <w:bCs/>
          <w:szCs w:val="25"/>
        </w:rPr>
        <w:t>must have had the multitude for an audience.</w:t>
      </w:r>
      <w:r>
        <w:rPr>
          <w:rStyle w:val="FootnoteReference"/>
          <w:bCs/>
          <w:szCs w:val="25"/>
        </w:rPr>
        <w:footnoteReference w:id="857"/>
      </w:r>
    </w:p>
    <w:p w14:paraId="459EF5EA" w14:textId="77777777" w:rsidR="00B47A48" w:rsidRPr="00C22B32" w:rsidRDefault="00B47A48" w:rsidP="00B47A48">
      <w:pPr>
        <w:pStyle w:val="Style"/>
        <w:widowControl/>
        <w:jc w:val="both"/>
        <w:textAlignment w:val="baseline"/>
        <w:rPr>
          <w:bCs/>
          <w:szCs w:val="25"/>
        </w:rPr>
      </w:pPr>
      <w:r>
        <w:rPr>
          <w:bCs/>
          <w:szCs w:val="25"/>
        </w:rPr>
        <w:tab/>
      </w:r>
      <w:r w:rsidRPr="00C22B32">
        <w:rPr>
          <w:bCs/>
          <w:szCs w:val="25"/>
        </w:rPr>
        <w:t>2) Anoth</w:t>
      </w:r>
      <w:r>
        <w:rPr>
          <w:bCs/>
          <w:szCs w:val="25"/>
        </w:rPr>
        <w:t>er</w:t>
      </w:r>
      <w:r w:rsidRPr="00C22B32">
        <w:rPr>
          <w:bCs/>
          <w:szCs w:val="25"/>
        </w:rPr>
        <w:t xml:space="preserve"> argument in favor of the multitude is put forward by George Kennedy</w:t>
      </w:r>
      <w:r w:rsidRPr="00C22B32">
        <w:rPr>
          <w:bCs/>
          <w:iCs/>
          <w:szCs w:val="25"/>
        </w:rPr>
        <w:t xml:space="preserve">, </w:t>
      </w:r>
      <w:r w:rsidRPr="00C22B32">
        <w:rPr>
          <w:bCs/>
          <w:szCs w:val="25"/>
        </w:rPr>
        <w:t>who suggests</w:t>
      </w:r>
      <w:r>
        <w:rPr>
          <w:bCs/>
          <w:szCs w:val="25"/>
        </w:rPr>
        <w:t xml:space="preserve"> </w:t>
      </w:r>
      <w:r w:rsidRPr="00C22B32">
        <w:rPr>
          <w:bCs/>
          <w:szCs w:val="25"/>
        </w:rPr>
        <w:t>that</w:t>
      </w:r>
      <w:r>
        <w:rPr>
          <w:bCs/>
          <w:szCs w:val="25"/>
        </w:rPr>
        <w:t xml:space="preserve"> </w:t>
      </w:r>
      <w:r w:rsidRPr="00C22B32">
        <w:rPr>
          <w:bCs/>
          <w:szCs w:val="25"/>
        </w:rPr>
        <w:t xml:space="preserve">the </w:t>
      </w:r>
      <w:r>
        <w:rPr>
          <w:bCs/>
          <w:szCs w:val="25"/>
        </w:rPr>
        <w:t>“</w:t>
      </w:r>
      <w:r w:rsidRPr="00C22B32">
        <w:rPr>
          <w:bCs/>
          <w:szCs w:val="25"/>
        </w:rPr>
        <w:t xml:space="preserve">rhetorical situation” of the sermon </w:t>
      </w:r>
      <w:r>
        <w:rPr>
          <w:bCs/>
          <w:szCs w:val="25"/>
        </w:rPr>
        <w:t>ind</w:t>
      </w:r>
      <w:r w:rsidRPr="00C22B32">
        <w:rPr>
          <w:bCs/>
          <w:szCs w:val="25"/>
        </w:rPr>
        <w:t>icat</w:t>
      </w:r>
      <w:r>
        <w:rPr>
          <w:bCs/>
          <w:szCs w:val="25"/>
        </w:rPr>
        <w:t>es</w:t>
      </w:r>
      <w:r w:rsidRPr="00C22B32">
        <w:rPr>
          <w:bCs/>
          <w:szCs w:val="25"/>
        </w:rPr>
        <w:t xml:space="preserve"> that the multitude is the</w:t>
      </w:r>
      <w:r>
        <w:rPr>
          <w:bCs/>
          <w:szCs w:val="25"/>
        </w:rPr>
        <w:t xml:space="preserve"> </w:t>
      </w:r>
      <w:r w:rsidRPr="00C22B32">
        <w:rPr>
          <w:bCs/>
          <w:szCs w:val="25"/>
        </w:rPr>
        <w:t>audience.</w:t>
      </w:r>
    </w:p>
    <w:p w14:paraId="7E4CE5ED" w14:textId="77777777" w:rsidR="00B47A48" w:rsidRDefault="00B47A48" w:rsidP="00B47A48">
      <w:pPr>
        <w:pStyle w:val="Style"/>
        <w:widowControl/>
        <w:jc w:val="both"/>
        <w:textAlignment w:val="baseline"/>
        <w:rPr>
          <w:bCs/>
          <w:szCs w:val="25"/>
        </w:rPr>
      </w:pPr>
    </w:p>
    <w:p w14:paraId="671D9FB8" w14:textId="77777777" w:rsidR="00B47A48" w:rsidRPr="00C22B32" w:rsidRDefault="00B47A48" w:rsidP="00B47A48">
      <w:pPr>
        <w:pStyle w:val="Style"/>
        <w:widowControl/>
        <w:ind w:left="720" w:right="720"/>
        <w:jc w:val="both"/>
        <w:textAlignment w:val="baseline"/>
        <w:rPr>
          <w:bCs/>
          <w:szCs w:val="2"/>
          <w:vertAlign w:val="superscript"/>
        </w:rPr>
      </w:pPr>
      <w:r w:rsidRPr="00C22B32">
        <w:rPr>
          <w:bCs/>
          <w:szCs w:val="25"/>
        </w:rPr>
        <w:t>In most rhetorical situations there is a formal addressee</w:t>
      </w:r>
      <w:r w:rsidRPr="00C22B32">
        <w:rPr>
          <w:bCs/>
          <w:iCs/>
          <w:szCs w:val="25"/>
        </w:rPr>
        <w:t xml:space="preserve">, </w:t>
      </w:r>
      <w:r w:rsidRPr="00C22B32">
        <w:rPr>
          <w:bCs/>
          <w:szCs w:val="25"/>
        </w:rPr>
        <w:t>for example a chairman in a meeting</w:t>
      </w:r>
      <w:r w:rsidRPr="00C22B32">
        <w:rPr>
          <w:bCs/>
          <w:iCs/>
          <w:szCs w:val="25"/>
        </w:rPr>
        <w:t xml:space="preserve">, </w:t>
      </w:r>
      <w:r w:rsidRPr="00C22B32">
        <w:rPr>
          <w:bCs/>
          <w:szCs w:val="25"/>
        </w:rPr>
        <w:t>who is nominally addressed</w:t>
      </w:r>
      <w:r w:rsidRPr="00C22B32">
        <w:rPr>
          <w:bCs/>
          <w:iCs/>
          <w:szCs w:val="25"/>
        </w:rPr>
        <w:t xml:space="preserve">, </w:t>
      </w:r>
      <w:r w:rsidRPr="00C22B32">
        <w:rPr>
          <w:bCs/>
          <w:szCs w:val="25"/>
        </w:rPr>
        <w:t xml:space="preserve">though practically speaking the speaker is addressing all those present </w:t>
      </w:r>
      <w:r>
        <w:rPr>
          <w:bCs/>
          <w:szCs w:val="25"/>
        </w:rPr>
        <w:t xml:space="preserve">. . . </w:t>
      </w:r>
      <w:r w:rsidRPr="00C22B32">
        <w:rPr>
          <w:bCs/>
          <w:szCs w:val="25"/>
        </w:rPr>
        <w:t>What perhaps should be envisaged in Matthew</w:t>
      </w:r>
      <w:r w:rsidRPr="00C22B32">
        <w:rPr>
          <w:bCs/>
          <w:iCs/>
          <w:szCs w:val="25"/>
        </w:rPr>
        <w:t xml:space="preserve">, </w:t>
      </w:r>
      <w:r w:rsidRPr="00C22B32">
        <w:rPr>
          <w:bCs/>
          <w:szCs w:val="25"/>
        </w:rPr>
        <w:t>as in Luke</w:t>
      </w:r>
      <w:r w:rsidRPr="00C22B32">
        <w:rPr>
          <w:bCs/>
          <w:iCs/>
          <w:szCs w:val="25"/>
        </w:rPr>
        <w:t xml:space="preserve">, </w:t>
      </w:r>
      <w:r w:rsidRPr="00C22B32">
        <w:rPr>
          <w:bCs/>
          <w:szCs w:val="25"/>
        </w:rPr>
        <w:t xml:space="preserve">is that Jesus first looks at the disciples and then begins to refer to the crowd </w:t>
      </w:r>
      <w:r>
        <w:rPr>
          <w:bCs/>
          <w:szCs w:val="25"/>
        </w:rPr>
        <w:t>. . .</w:t>
      </w:r>
      <w:r>
        <w:rPr>
          <w:rStyle w:val="FootnoteReference"/>
          <w:bCs/>
          <w:szCs w:val="25"/>
        </w:rPr>
        <w:footnoteReference w:id="858"/>
      </w:r>
    </w:p>
    <w:p w14:paraId="768541F6" w14:textId="77777777" w:rsidR="00B47A48" w:rsidRDefault="00B47A48" w:rsidP="00B47A48">
      <w:pPr>
        <w:pStyle w:val="Style"/>
        <w:widowControl/>
        <w:jc w:val="both"/>
        <w:textAlignment w:val="baseline"/>
        <w:rPr>
          <w:bCs/>
          <w:szCs w:val="25"/>
        </w:rPr>
      </w:pPr>
    </w:p>
    <w:p w14:paraId="71407EB0" w14:textId="77777777" w:rsidR="00B47A48" w:rsidRPr="00C22B32" w:rsidRDefault="00B47A48" w:rsidP="00B47A48">
      <w:pPr>
        <w:pStyle w:val="Style"/>
        <w:widowControl/>
        <w:jc w:val="both"/>
        <w:textAlignment w:val="baseline"/>
        <w:rPr>
          <w:bCs/>
          <w:szCs w:val="25"/>
        </w:rPr>
      </w:pPr>
      <w:r>
        <w:rPr>
          <w:bCs/>
          <w:szCs w:val="25"/>
        </w:rPr>
        <w:tab/>
      </w:r>
      <w:r w:rsidRPr="00C22B32">
        <w:rPr>
          <w:bCs/>
          <w:szCs w:val="25"/>
        </w:rPr>
        <w:t xml:space="preserve">3) </w:t>
      </w:r>
      <w:r>
        <w:rPr>
          <w:bCs/>
          <w:szCs w:val="25"/>
        </w:rPr>
        <w:t>T</w:t>
      </w:r>
      <w:r w:rsidRPr="00C22B32">
        <w:rPr>
          <w:bCs/>
          <w:szCs w:val="25"/>
        </w:rPr>
        <w:t>here is also the setting of the sermon t</w:t>
      </w:r>
      <w:r>
        <w:rPr>
          <w:bCs/>
          <w:szCs w:val="25"/>
        </w:rPr>
        <w:t>o</w:t>
      </w:r>
      <w:r w:rsidRPr="00C22B32">
        <w:rPr>
          <w:bCs/>
          <w:szCs w:val="25"/>
        </w:rPr>
        <w:t xml:space="preserve"> consider</w:t>
      </w:r>
      <w:r w:rsidRPr="00C22B32">
        <w:rPr>
          <w:bCs/>
          <w:iCs/>
          <w:szCs w:val="25"/>
        </w:rPr>
        <w:t xml:space="preserve">, </w:t>
      </w:r>
      <w:r w:rsidRPr="00C22B32">
        <w:rPr>
          <w:bCs/>
        </w:rPr>
        <w:t>the “</w:t>
      </w:r>
      <w:r w:rsidRPr="00C22B32">
        <w:rPr>
          <w:bCs/>
          <w:szCs w:val="25"/>
        </w:rPr>
        <w:t>level place” (</w:t>
      </w:r>
      <w:proofErr w:type="spellStart"/>
      <w:r>
        <w:rPr>
          <w:bCs/>
          <w:szCs w:val="25"/>
        </w:rPr>
        <w:t>τό</w:t>
      </w:r>
      <w:proofErr w:type="spellEnd"/>
      <w:r>
        <w:rPr>
          <w:bCs/>
          <w:szCs w:val="25"/>
        </w:rPr>
        <w:t>πος π</w:t>
      </w:r>
      <w:proofErr w:type="spellStart"/>
      <w:r>
        <w:rPr>
          <w:bCs/>
          <w:szCs w:val="25"/>
        </w:rPr>
        <w:t>εδινός</w:t>
      </w:r>
      <w:proofErr w:type="spellEnd"/>
      <w:r w:rsidRPr="00C22B32">
        <w:rPr>
          <w:bCs/>
          <w:szCs w:val="25"/>
        </w:rPr>
        <w:t>)</w:t>
      </w:r>
      <w:r>
        <w:rPr>
          <w:bCs/>
          <w:szCs w:val="25"/>
        </w:rPr>
        <w:t xml:space="preserve"> </w:t>
      </w:r>
      <w:r w:rsidRPr="00C22B32">
        <w:rPr>
          <w:bCs/>
          <w:szCs w:val="25"/>
        </w:rPr>
        <w:t>at whic</w:t>
      </w:r>
      <w:r>
        <w:rPr>
          <w:bCs/>
          <w:szCs w:val="25"/>
        </w:rPr>
        <w:t xml:space="preserve">h </w:t>
      </w:r>
      <w:r w:rsidRPr="00C22B32">
        <w:rPr>
          <w:bCs/>
          <w:szCs w:val="25"/>
        </w:rPr>
        <w:t xml:space="preserve">Jesus delivers </w:t>
      </w:r>
      <w:r w:rsidRPr="006A5D16">
        <w:rPr>
          <w:bCs/>
          <w:szCs w:val="27"/>
        </w:rPr>
        <w:t>it</w:t>
      </w:r>
      <w:r w:rsidRPr="00C22B32">
        <w:rPr>
          <w:bCs/>
          <w:iCs/>
          <w:szCs w:val="27"/>
        </w:rPr>
        <w:t xml:space="preserve"> (</w:t>
      </w:r>
      <w:r w:rsidRPr="00C22B32">
        <w:rPr>
          <w:bCs/>
          <w:szCs w:val="26"/>
        </w:rPr>
        <w:t>6:17a</w:t>
      </w:r>
      <w:r>
        <w:rPr>
          <w:bCs/>
          <w:szCs w:val="26"/>
        </w:rPr>
        <w:t>,</w:t>
      </w:r>
      <w:r w:rsidRPr="00C22B32">
        <w:rPr>
          <w:bCs/>
          <w:szCs w:val="26"/>
        </w:rPr>
        <w:t xml:space="preserve"> “</w:t>
      </w:r>
      <w:r w:rsidRPr="00C22B32">
        <w:rPr>
          <w:bCs/>
          <w:szCs w:val="25"/>
        </w:rPr>
        <w:t>And he came down with them and</w:t>
      </w:r>
      <w:r>
        <w:rPr>
          <w:bCs/>
          <w:szCs w:val="25"/>
        </w:rPr>
        <w:t xml:space="preserve"> </w:t>
      </w:r>
      <w:r w:rsidRPr="00C22B32">
        <w:rPr>
          <w:bCs/>
          <w:szCs w:val="25"/>
        </w:rPr>
        <w:t xml:space="preserve">stood on a level place </w:t>
      </w:r>
      <w:r>
        <w:rPr>
          <w:bCs/>
          <w:szCs w:val="25"/>
        </w:rPr>
        <w:t xml:space="preserve">. . . </w:t>
      </w:r>
      <w:r w:rsidRPr="00C22B32">
        <w:rPr>
          <w:bCs/>
          <w:szCs w:val="25"/>
        </w:rPr>
        <w:t>and said</w:t>
      </w:r>
      <w:r>
        <w:rPr>
          <w:bCs/>
          <w:szCs w:val="25"/>
        </w:rPr>
        <w:t xml:space="preserve"> . . .” </w:t>
      </w:r>
      <w:r w:rsidRPr="00C22B32">
        <w:rPr>
          <w:bCs/>
          <w:szCs w:val="25"/>
        </w:rPr>
        <w:t>Conzelmann</w:t>
      </w:r>
      <w:r>
        <w:rPr>
          <w:bCs/>
          <w:szCs w:val="25"/>
        </w:rPr>
        <w:t xml:space="preserve"> contrasts mountain and plain: </w:t>
      </w:r>
      <w:r w:rsidRPr="00C22B32">
        <w:rPr>
          <w:bCs/>
          <w:szCs w:val="25"/>
        </w:rPr>
        <w:t xml:space="preserve">the mountain is </w:t>
      </w:r>
      <w:r>
        <w:rPr>
          <w:bCs/>
          <w:szCs w:val="25"/>
        </w:rPr>
        <w:t>“</w:t>
      </w:r>
      <w:r w:rsidRPr="00C22B32">
        <w:rPr>
          <w:rFonts w:eastAsia="Arial"/>
          <w:bCs/>
          <w:szCs w:val="30"/>
        </w:rPr>
        <w:t xml:space="preserve">a </w:t>
      </w:r>
      <w:r w:rsidRPr="00C22B32">
        <w:rPr>
          <w:bCs/>
          <w:szCs w:val="25"/>
        </w:rPr>
        <w:t>mythical place</w:t>
      </w:r>
      <w:r w:rsidRPr="00C22B32">
        <w:rPr>
          <w:bCs/>
          <w:iCs/>
          <w:szCs w:val="25"/>
        </w:rPr>
        <w:t xml:space="preserve">, </w:t>
      </w:r>
      <w:r w:rsidRPr="00C22B32">
        <w:rPr>
          <w:bCs/>
          <w:szCs w:val="25"/>
        </w:rPr>
        <w:t>to which ‘the people’ cannot come.</w:t>
      </w:r>
      <w:r>
        <w:rPr>
          <w:bCs/>
          <w:szCs w:val="25"/>
        </w:rPr>
        <w:t xml:space="preserve"> . . . </w:t>
      </w:r>
      <w:r w:rsidRPr="00C22B32">
        <w:rPr>
          <w:bCs/>
          <w:szCs w:val="25"/>
        </w:rPr>
        <w:t xml:space="preserve">It has become the type of the place of prayer and heavenly proclamation </w:t>
      </w:r>
      <w:r>
        <w:rPr>
          <w:bCs/>
          <w:szCs w:val="25"/>
        </w:rPr>
        <w:t xml:space="preserve">. . . </w:t>
      </w:r>
      <w:r w:rsidRPr="00C22B32">
        <w:rPr>
          <w:bCs/>
          <w:szCs w:val="25"/>
        </w:rPr>
        <w:t>Consequently the plain also attains a special character as the place of meeting with the people</w:t>
      </w:r>
      <w:r>
        <w:rPr>
          <w:bCs/>
          <w:szCs w:val="25"/>
        </w:rPr>
        <w:t>.</w:t>
      </w:r>
      <w:r w:rsidRPr="00C22B32">
        <w:rPr>
          <w:bCs/>
          <w:szCs w:val="25"/>
        </w:rPr>
        <w:t>”</w:t>
      </w:r>
      <w:r>
        <w:rPr>
          <w:rStyle w:val="FootnoteReference"/>
          <w:bCs/>
          <w:szCs w:val="25"/>
        </w:rPr>
        <w:footnoteReference w:id="859"/>
      </w:r>
      <w:r>
        <w:rPr>
          <w:bCs/>
          <w:szCs w:val="25"/>
        </w:rPr>
        <w:t xml:space="preserve"> Bartsch agrees:</w:t>
      </w:r>
    </w:p>
    <w:p w14:paraId="52491DBF" w14:textId="77777777" w:rsidR="00B47A48" w:rsidRDefault="00B47A48" w:rsidP="00B47A48">
      <w:pPr>
        <w:pStyle w:val="Style"/>
        <w:widowControl/>
        <w:jc w:val="both"/>
        <w:textAlignment w:val="baseline"/>
        <w:rPr>
          <w:bCs/>
          <w:szCs w:val="25"/>
        </w:rPr>
      </w:pPr>
    </w:p>
    <w:p w14:paraId="5A07134F" w14:textId="77777777" w:rsidR="00B47A48" w:rsidRPr="006A5D16" w:rsidRDefault="00B47A48" w:rsidP="00B47A48">
      <w:pPr>
        <w:pStyle w:val="Style"/>
        <w:widowControl/>
        <w:ind w:left="720" w:right="720"/>
        <w:jc w:val="both"/>
        <w:textAlignment w:val="baseline"/>
        <w:rPr>
          <w:bCs/>
          <w:iCs/>
          <w:szCs w:val="25"/>
        </w:rPr>
      </w:pPr>
      <w:r>
        <w:rPr>
          <w:bCs/>
          <w:szCs w:val="25"/>
        </w:rPr>
        <w:t xml:space="preserve">. . . </w:t>
      </w:r>
      <w:r w:rsidRPr="00C22B32">
        <w:rPr>
          <w:bCs/>
          <w:szCs w:val="25"/>
        </w:rPr>
        <w:t>the mountain is the place of revelation to the disciples</w:t>
      </w:r>
      <w:r w:rsidRPr="00C22B32">
        <w:rPr>
          <w:bCs/>
          <w:iCs/>
          <w:szCs w:val="25"/>
        </w:rPr>
        <w:t xml:space="preserve">, </w:t>
      </w:r>
      <w:r w:rsidRPr="00C22B32">
        <w:rPr>
          <w:bCs/>
          <w:szCs w:val="25"/>
        </w:rPr>
        <w:t>the community</w:t>
      </w:r>
      <w:r w:rsidRPr="00C22B32">
        <w:rPr>
          <w:bCs/>
          <w:iCs/>
          <w:szCs w:val="25"/>
        </w:rPr>
        <w:t xml:space="preserve">, </w:t>
      </w:r>
      <w:r w:rsidRPr="00C22B32">
        <w:rPr>
          <w:bCs/>
          <w:szCs w:val="25"/>
        </w:rPr>
        <w:t>while the open area is the place of proclamation to the</w:t>
      </w:r>
      <w:r>
        <w:rPr>
          <w:bCs/>
          <w:szCs w:val="25"/>
        </w:rPr>
        <w:t xml:space="preserve"> </w:t>
      </w:r>
      <w:r w:rsidRPr="00C22B32">
        <w:rPr>
          <w:bCs/>
          <w:szCs w:val="25"/>
        </w:rPr>
        <w:t xml:space="preserve">multitude. </w:t>
      </w:r>
      <w:r>
        <w:rPr>
          <w:bCs/>
          <w:szCs w:val="25"/>
        </w:rPr>
        <w:t xml:space="preserve">. . . </w:t>
      </w:r>
      <w:r w:rsidRPr="00C22B32">
        <w:rPr>
          <w:bCs/>
          <w:szCs w:val="25"/>
        </w:rPr>
        <w:t xml:space="preserve">the mountain characterizes the preaching to the community </w:t>
      </w:r>
      <w:r w:rsidRPr="001C646B">
        <w:rPr>
          <w:bCs/>
          <w:iCs/>
          <w:szCs w:val="25"/>
        </w:rPr>
        <w:t>(</w:t>
      </w:r>
      <w:r w:rsidRPr="00C22B32">
        <w:rPr>
          <w:bCs/>
          <w:szCs w:val="25"/>
        </w:rPr>
        <w:t>especially parenesis but also the missionary instructions to the community) while the open area</w:t>
      </w:r>
      <w:r w:rsidRPr="00671DEF">
        <w:rPr>
          <w:bCs/>
          <w:iCs/>
          <w:szCs w:val="25"/>
        </w:rPr>
        <w:t>—</w:t>
      </w:r>
      <w:r w:rsidRPr="00C22B32">
        <w:rPr>
          <w:bCs/>
          <w:szCs w:val="25"/>
        </w:rPr>
        <w:t>like the public place of gathering</w:t>
      </w:r>
      <w:r w:rsidRPr="00C22B32">
        <w:rPr>
          <w:bCs/>
          <w:iCs/>
          <w:szCs w:val="25"/>
        </w:rPr>
        <w:t>,</w:t>
      </w:r>
      <w:r>
        <w:rPr>
          <w:bCs/>
          <w:iCs/>
          <w:szCs w:val="25"/>
        </w:rPr>
        <w:t xml:space="preserve"> </w:t>
      </w:r>
      <w:r w:rsidRPr="00C22B32">
        <w:rPr>
          <w:bCs/>
          <w:szCs w:val="25"/>
        </w:rPr>
        <w:t>the synagogue</w:t>
      </w:r>
      <w:r w:rsidRPr="00671DEF">
        <w:rPr>
          <w:bCs/>
          <w:iCs/>
          <w:szCs w:val="25"/>
        </w:rPr>
        <w:t>—</w:t>
      </w:r>
      <w:r w:rsidRPr="00C22B32">
        <w:rPr>
          <w:bCs/>
          <w:szCs w:val="25"/>
        </w:rPr>
        <w:t xml:space="preserve">characterizes the preaching during the mission </w:t>
      </w:r>
      <w:r>
        <w:rPr>
          <w:bCs/>
          <w:szCs w:val="25"/>
        </w:rPr>
        <w:t>. . .</w:t>
      </w:r>
      <w:r>
        <w:rPr>
          <w:rStyle w:val="FootnoteReference"/>
          <w:bCs/>
          <w:szCs w:val="25"/>
        </w:rPr>
        <w:footnoteReference w:id="860"/>
      </w:r>
    </w:p>
    <w:p w14:paraId="5C7C9F41" w14:textId="77777777" w:rsidR="00B47A48" w:rsidRPr="00C22B32" w:rsidRDefault="00B47A48" w:rsidP="00B47A48">
      <w:pPr>
        <w:pStyle w:val="Style"/>
        <w:widowControl/>
        <w:jc w:val="both"/>
        <w:textAlignment w:val="baseline"/>
        <w:rPr>
          <w:bCs/>
          <w:szCs w:val="20"/>
        </w:rPr>
      </w:pPr>
    </w:p>
    <w:p w14:paraId="33F66D7C" w14:textId="77777777" w:rsidR="00B47A48" w:rsidRDefault="00B47A48" w:rsidP="00B47A48">
      <w:pPr>
        <w:pStyle w:val="Style"/>
        <w:widowControl/>
        <w:jc w:val="both"/>
        <w:textAlignment w:val="baseline"/>
        <w:rPr>
          <w:bCs/>
          <w:szCs w:val="25"/>
        </w:rPr>
      </w:pPr>
      <w:r>
        <w:rPr>
          <w:bCs/>
          <w:szCs w:val="25"/>
        </w:rPr>
        <w:tab/>
      </w:r>
      <w:r w:rsidRPr="00C22B32">
        <w:rPr>
          <w:bCs/>
          <w:szCs w:val="25"/>
        </w:rPr>
        <w:t xml:space="preserve">4) In </w:t>
      </w:r>
      <w:r>
        <w:rPr>
          <w:bCs/>
          <w:szCs w:val="25"/>
        </w:rPr>
        <w:t>c</w:t>
      </w:r>
      <w:r w:rsidRPr="00C22B32">
        <w:rPr>
          <w:bCs/>
          <w:szCs w:val="25"/>
        </w:rPr>
        <w:t>ontrast to Matthew’s beatitudes in third</w:t>
      </w:r>
      <w:r>
        <w:rPr>
          <w:bCs/>
          <w:szCs w:val="25"/>
        </w:rPr>
        <w:t xml:space="preserve"> person,</w:t>
      </w:r>
      <w:r w:rsidRPr="00C22B32">
        <w:rPr>
          <w:bCs/>
          <w:szCs w:val="25"/>
        </w:rPr>
        <w:t xml:space="preserve"> </w:t>
      </w:r>
      <w:r w:rsidRPr="00C22B32">
        <w:rPr>
          <w:rFonts w:eastAsia="Arial"/>
          <w:bCs/>
          <w:szCs w:val="23"/>
        </w:rPr>
        <w:t>Luke</w:t>
      </w:r>
      <w:r>
        <w:rPr>
          <w:rFonts w:eastAsia="Arial"/>
          <w:bCs/>
          <w:szCs w:val="23"/>
        </w:rPr>
        <w:t>’s</w:t>
      </w:r>
      <w:r w:rsidRPr="00C22B32">
        <w:rPr>
          <w:rFonts w:eastAsia="Arial"/>
          <w:bCs/>
          <w:szCs w:val="23"/>
        </w:rPr>
        <w:t xml:space="preserve"> </w:t>
      </w:r>
      <w:r w:rsidRPr="00C22B32">
        <w:rPr>
          <w:bCs/>
          <w:szCs w:val="25"/>
        </w:rPr>
        <w:t>beatitudes</w:t>
      </w:r>
      <w:r>
        <w:rPr>
          <w:bCs/>
          <w:szCs w:val="25"/>
        </w:rPr>
        <w:t xml:space="preserve"> </w:t>
      </w:r>
      <w:r w:rsidRPr="00C22B32">
        <w:rPr>
          <w:bCs/>
          <w:szCs w:val="25"/>
        </w:rPr>
        <w:t xml:space="preserve">and woes </w:t>
      </w:r>
      <w:r>
        <w:rPr>
          <w:bCs/>
          <w:szCs w:val="25"/>
        </w:rPr>
        <w:t xml:space="preserve">are </w:t>
      </w:r>
      <w:r w:rsidRPr="00C22B32">
        <w:rPr>
          <w:bCs/>
          <w:szCs w:val="25"/>
        </w:rPr>
        <w:t>in second person,</w:t>
      </w:r>
      <w:r>
        <w:rPr>
          <w:bCs/>
          <w:szCs w:val="25"/>
        </w:rPr>
        <w:t xml:space="preserve"> and so are directly addressed to persons in Jesus’ audience. </w:t>
      </w:r>
      <w:r w:rsidRPr="00C22B32">
        <w:rPr>
          <w:bCs/>
          <w:szCs w:val="25"/>
        </w:rPr>
        <w:t xml:space="preserve">It </w:t>
      </w:r>
      <w:r>
        <w:rPr>
          <w:bCs/>
          <w:szCs w:val="25"/>
        </w:rPr>
        <w:t xml:space="preserve">is </w:t>
      </w:r>
      <w:r w:rsidRPr="00C22B32">
        <w:rPr>
          <w:bCs/>
          <w:szCs w:val="25"/>
        </w:rPr>
        <w:t xml:space="preserve">more likely that </w:t>
      </w:r>
      <w:r>
        <w:rPr>
          <w:bCs/>
          <w:szCs w:val="25"/>
        </w:rPr>
        <w:t>those condemned in t</w:t>
      </w:r>
      <w:r w:rsidRPr="00C22B32">
        <w:rPr>
          <w:bCs/>
          <w:szCs w:val="25"/>
        </w:rPr>
        <w:t>he woes are</w:t>
      </w:r>
      <w:r>
        <w:rPr>
          <w:bCs/>
          <w:szCs w:val="25"/>
        </w:rPr>
        <w:t xml:space="preserve"> members of the u</w:t>
      </w:r>
      <w:r w:rsidRPr="00C22B32">
        <w:rPr>
          <w:bCs/>
          <w:szCs w:val="25"/>
        </w:rPr>
        <w:t>nco</w:t>
      </w:r>
      <w:r>
        <w:rPr>
          <w:bCs/>
          <w:szCs w:val="25"/>
        </w:rPr>
        <w:t>m</w:t>
      </w:r>
      <w:r w:rsidRPr="00C22B32">
        <w:rPr>
          <w:bCs/>
          <w:szCs w:val="25"/>
        </w:rPr>
        <w:t>mitted m</w:t>
      </w:r>
      <w:r>
        <w:rPr>
          <w:bCs/>
          <w:szCs w:val="25"/>
        </w:rPr>
        <w:t xml:space="preserve">ultitude, not committed disciples. </w:t>
      </w:r>
      <w:r>
        <w:rPr>
          <w:bCs/>
          <w:szCs w:val="25"/>
        </w:rPr>
        <w:lastRenderedPageBreak/>
        <w:t>Moreover, Luke 6:</w:t>
      </w:r>
      <w:r w:rsidRPr="00C22B32">
        <w:rPr>
          <w:bCs/>
          <w:szCs w:val="25"/>
        </w:rPr>
        <w:t>27a</w:t>
      </w:r>
      <w:r w:rsidRPr="00C22B32">
        <w:rPr>
          <w:bCs/>
          <w:iCs/>
          <w:szCs w:val="25"/>
        </w:rPr>
        <w:t xml:space="preserve">, </w:t>
      </w:r>
      <w:r>
        <w:rPr>
          <w:bCs/>
          <w:iCs/>
          <w:szCs w:val="25"/>
        </w:rPr>
        <w:t>“</w:t>
      </w:r>
      <w:r w:rsidRPr="00C22B32">
        <w:rPr>
          <w:bCs/>
          <w:szCs w:val="25"/>
        </w:rPr>
        <w:t>But I</w:t>
      </w:r>
      <w:r>
        <w:rPr>
          <w:bCs/>
          <w:szCs w:val="25"/>
        </w:rPr>
        <w:t xml:space="preserve"> </w:t>
      </w:r>
      <w:r w:rsidRPr="00C22B32">
        <w:rPr>
          <w:bCs/>
          <w:szCs w:val="25"/>
        </w:rPr>
        <w:t>say to you that hear,</w:t>
      </w:r>
      <w:r>
        <w:rPr>
          <w:rFonts w:eastAsia="Arial Unicode MS"/>
          <w:bCs/>
          <w:szCs w:val="15"/>
        </w:rPr>
        <w:t xml:space="preserve">” </w:t>
      </w:r>
      <w:r w:rsidRPr="00C22B32">
        <w:rPr>
          <w:bCs/>
          <w:szCs w:val="25"/>
        </w:rPr>
        <w:t>suggests that Jesus</w:t>
      </w:r>
      <w:r w:rsidRPr="00C22B32">
        <w:rPr>
          <w:bCs/>
          <w:iCs/>
          <w:szCs w:val="25"/>
        </w:rPr>
        <w:t xml:space="preserve">, </w:t>
      </w:r>
      <w:r w:rsidRPr="00C22B32">
        <w:rPr>
          <w:bCs/>
          <w:szCs w:val="25"/>
        </w:rPr>
        <w:t>having finished addressing those who do not listen to him</w:t>
      </w:r>
      <w:r w:rsidRPr="00C22B32">
        <w:rPr>
          <w:bCs/>
          <w:iCs/>
          <w:szCs w:val="25"/>
        </w:rPr>
        <w:t xml:space="preserve">, </w:t>
      </w:r>
      <w:r w:rsidRPr="00C22B32">
        <w:rPr>
          <w:bCs/>
          <w:szCs w:val="25"/>
        </w:rPr>
        <w:t>now returns his attention to those who do.</w:t>
      </w:r>
      <w:r>
        <w:rPr>
          <w:rStyle w:val="FootnoteReference"/>
          <w:bCs/>
          <w:szCs w:val="25"/>
        </w:rPr>
        <w:footnoteReference w:id="861"/>
      </w:r>
    </w:p>
    <w:p w14:paraId="0FD304F8" w14:textId="77777777" w:rsidR="00B47A48" w:rsidRDefault="00B47A48" w:rsidP="00B47A48">
      <w:pPr>
        <w:pStyle w:val="Style"/>
        <w:widowControl/>
        <w:jc w:val="both"/>
        <w:textAlignment w:val="baseline"/>
        <w:rPr>
          <w:bCs/>
          <w:szCs w:val="25"/>
        </w:rPr>
      </w:pPr>
      <w:r>
        <w:rPr>
          <w:bCs/>
          <w:szCs w:val="25"/>
        </w:rPr>
        <w:tab/>
      </w:r>
      <w:r w:rsidRPr="00C22B32">
        <w:rPr>
          <w:bCs/>
          <w:szCs w:val="25"/>
        </w:rPr>
        <w:t xml:space="preserve">5) Most important of all is the statement in Luke 6:17 that Jesus </w:t>
      </w:r>
      <w:r>
        <w:rPr>
          <w:bCs/>
          <w:szCs w:val="25"/>
        </w:rPr>
        <w:t>“</w:t>
      </w:r>
      <w:r w:rsidRPr="00C22B32">
        <w:rPr>
          <w:bCs/>
          <w:szCs w:val="25"/>
        </w:rPr>
        <w:t xml:space="preserve">came down </w:t>
      </w:r>
      <w:r>
        <w:rPr>
          <w:bCs/>
          <w:szCs w:val="25"/>
        </w:rPr>
        <w:t xml:space="preserve">. . . </w:t>
      </w:r>
      <w:r w:rsidRPr="00C22B32">
        <w:rPr>
          <w:bCs/>
          <w:szCs w:val="25"/>
        </w:rPr>
        <w:t>with a great crowd [</w:t>
      </w:r>
      <w:proofErr w:type="spellStart"/>
      <w:r w:rsidRPr="00CB0999">
        <w:rPr>
          <w:szCs w:val="22"/>
          <w:lang w:bidi="he-IL"/>
        </w:rPr>
        <w:t>ὀ</w:t>
      </w:r>
      <w:r>
        <w:rPr>
          <w:szCs w:val="22"/>
          <w:lang w:bidi="he-IL"/>
        </w:rPr>
        <w:t>χλος</w:t>
      </w:r>
      <w:proofErr w:type="spellEnd"/>
      <w:r w:rsidRPr="00C22B32">
        <w:rPr>
          <w:bCs/>
          <w:szCs w:val="25"/>
        </w:rPr>
        <w:t>] of his disciples and a great multitude [</w:t>
      </w:r>
      <w:r>
        <w:rPr>
          <w:bCs/>
          <w:szCs w:val="25"/>
        </w:rPr>
        <w:t>π</w:t>
      </w:r>
      <w:proofErr w:type="spellStart"/>
      <w:r>
        <w:rPr>
          <w:bCs/>
          <w:szCs w:val="25"/>
        </w:rPr>
        <w:t>λήθος</w:t>
      </w:r>
      <w:proofErr w:type="spellEnd"/>
      <w:r w:rsidRPr="00C22B32">
        <w:rPr>
          <w:bCs/>
          <w:szCs w:val="25"/>
        </w:rPr>
        <w:t>] of people</w:t>
      </w:r>
      <w:r>
        <w:rPr>
          <w:bCs/>
          <w:szCs w:val="25"/>
        </w:rPr>
        <w:t xml:space="preserve"> . . .”</w:t>
      </w:r>
      <w:r w:rsidRPr="00C22B32">
        <w:rPr>
          <w:bCs/>
          <w:szCs w:val="25"/>
        </w:rPr>
        <w:t xml:space="preserve"> This suggests that the sermon is addressed to a crowd larger than the disciples alone. At the end of the sermon</w:t>
      </w:r>
      <w:r w:rsidRPr="00C22B32">
        <w:rPr>
          <w:bCs/>
          <w:iCs/>
          <w:szCs w:val="25"/>
        </w:rPr>
        <w:t xml:space="preserve">, </w:t>
      </w:r>
      <w:r w:rsidRPr="00C22B32">
        <w:rPr>
          <w:bCs/>
          <w:szCs w:val="25"/>
        </w:rPr>
        <w:t>too</w:t>
      </w:r>
      <w:r w:rsidRPr="00C22B32">
        <w:rPr>
          <w:bCs/>
          <w:iCs/>
          <w:szCs w:val="25"/>
        </w:rPr>
        <w:t xml:space="preserve">, </w:t>
      </w:r>
      <w:r w:rsidRPr="00C22B32">
        <w:rPr>
          <w:bCs/>
          <w:szCs w:val="25"/>
        </w:rPr>
        <w:t>one finds the statement (</w:t>
      </w:r>
      <w:r>
        <w:rPr>
          <w:bCs/>
          <w:szCs w:val="25"/>
        </w:rPr>
        <w:t>7:1</w:t>
      </w:r>
      <w:r w:rsidRPr="00C22B32">
        <w:rPr>
          <w:bCs/>
          <w:szCs w:val="25"/>
        </w:rPr>
        <w:t>) that</w:t>
      </w:r>
      <w:r>
        <w:rPr>
          <w:bCs/>
          <w:szCs w:val="25"/>
        </w:rPr>
        <w:t xml:space="preserve"> </w:t>
      </w:r>
      <w:r w:rsidRPr="00C22B32">
        <w:rPr>
          <w:bCs/>
          <w:szCs w:val="25"/>
        </w:rPr>
        <w:t xml:space="preserve">Jesus </w:t>
      </w:r>
      <w:r>
        <w:rPr>
          <w:bCs/>
          <w:szCs w:val="25"/>
        </w:rPr>
        <w:t>“</w:t>
      </w:r>
      <w:r w:rsidRPr="00C22B32">
        <w:rPr>
          <w:bCs/>
          <w:szCs w:val="25"/>
        </w:rPr>
        <w:t xml:space="preserve">ended all his sayings in the hearing of the people </w:t>
      </w:r>
      <w:r>
        <w:rPr>
          <w:bCs/>
          <w:szCs w:val="25"/>
        </w:rPr>
        <w:t>. . .”</w:t>
      </w:r>
    </w:p>
    <w:p w14:paraId="2D72462F" w14:textId="77777777" w:rsidR="00B47A48" w:rsidRPr="00C22B32" w:rsidRDefault="00B47A48" w:rsidP="00B47A48">
      <w:pPr>
        <w:pStyle w:val="Style"/>
        <w:widowControl/>
        <w:jc w:val="both"/>
        <w:textAlignment w:val="baseline"/>
        <w:rPr>
          <w:bCs/>
          <w:szCs w:val="2"/>
          <w:vertAlign w:val="superscript"/>
        </w:rPr>
      </w:pPr>
      <w:r>
        <w:rPr>
          <w:bCs/>
          <w:szCs w:val="59"/>
        </w:rPr>
        <w:tab/>
      </w:r>
      <w:r w:rsidRPr="00C22B32">
        <w:rPr>
          <w:bCs/>
          <w:szCs w:val="59"/>
        </w:rPr>
        <w:t xml:space="preserve">Let </w:t>
      </w:r>
      <w:r w:rsidRPr="00C22B32">
        <w:rPr>
          <w:bCs/>
          <w:szCs w:val="85"/>
        </w:rPr>
        <w:t xml:space="preserve">us </w:t>
      </w:r>
      <w:r>
        <w:rPr>
          <w:bCs/>
          <w:szCs w:val="45"/>
        </w:rPr>
        <w:t>assess each of these ar</w:t>
      </w:r>
      <w:r w:rsidRPr="00C22B32">
        <w:rPr>
          <w:bCs/>
          <w:szCs w:val="25"/>
        </w:rPr>
        <w:t xml:space="preserve">guments </w:t>
      </w:r>
      <w:r>
        <w:rPr>
          <w:bCs/>
          <w:szCs w:val="25"/>
        </w:rPr>
        <w:t>i</w:t>
      </w:r>
      <w:r w:rsidRPr="00C22B32">
        <w:rPr>
          <w:bCs/>
          <w:szCs w:val="25"/>
        </w:rPr>
        <w:t>n tur</w:t>
      </w:r>
      <w:r>
        <w:rPr>
          <w:bCs/>
          <w:szCs w:val="25"/>
        </w:rPr>
        <w:t>n</w:t>
      </w:r>
      <w:r w:rsidRPr="00C22B32">
        <w:rPr>
          <w:bCs/>
          <w:szCs w:val="25"/>
        </w:rPr>
        <w:t xml:space="preserve">. </w:t>
      </w:r>
      <w:r>
        <w:rPr>
          <w:bCs/>
          <w:szCs w:val="23"/>
        </w:rPr>
        <w:t xml:space="preserve">The </w:t>
      </w:r>
      <w:r w:rsidRPr="00C22B32">
        <w:rPr>
          <w:bCs/>
          <w:szCs w:val="25"/>
        </w:rPr>
        <w:t xml:space="preserve">first two require </w:t>
      </w:r>
      <w:r>
        <w:rPr>
          <w:bCs/>
        </w:rPr>
        <w:t>l</w:t>
      </w:r>
      <w:r w:rsidRPr="00C22B32">
        <w:rPr>
          <w:bCs/>
        </w:rPr>
        <w:t>ittle</w:t>
      </w:r>
      <w:r>
        <w:rPr>
          <w:bCs/>
        </w:rPr>
        <w:t xml:space="preserve"> </w:t>
      </w:r>
      <w:r w:rsidRPr="00C22B32">
        <w:rPr>
          <w:bCs/>
          <w:szCs w:val="25"/>
        </w:rPr>
        <w:t>consideration</w:t>
      </w:r>
      <w:r>
        <w:rPr>
          <w:bCs/>
          <w:szCs w:val="25"/>
        </w:rPr>
        <w:t>.</w:t>
      </w:r>
      <w:r w:rsidRPr="00C22B32">
        <w:rPr>
          <w:bCs/>
          <w:szCs w:val="25"/>
        </w:rPr>
        <w:t xml:space="preserve"> The opinion that a sermon to </w:t>
      </w:r>
      <w:r>
        <w:rPr>
          <w:bCs/>
          <w:szCs w:val="25"/>
        </w:rPr>
        <w:t xml:space="preserve">the </w:t>
      </w:r>
      <w:r w:rsidRPr="00C22B32">
        <w:rPr>
          <w:bCs/>
          <w:szCs w:val="25"/>
        </w:rPr>
        <w:t>disciple</w:t>
      </w:r>
      <w:r>
        <w:rPr>
          <w:bCs/>
          <w:szCs w:val="25"/>
        </w:rPr>
        <w:t>s</w:t>
      </w:r>
      <w:r w:rsidRPr="00C22B32">
        <w:rPr>
          <w:bCs/>
          <w:szCs w:val="25"/>
        </w:rPr>
        <w:t xml:space="preserve"> </w:t>
      </w:r>
      <w:r>
        <w:rPr>
          <w:bCs/>
          <w:szCs w:val="25"/>
        </w:rPr>
        <w:t>wo</w:t>
      </w:r>
      <w:r w:rsidRPr="00C22B32">
        <w:rPr>
          <w:bCs/>
          <w:szCs w:val="25"/>
        </w:rPr>
        <w:t>uld be anachronistic at</w:t>
      </w:r>
      <w:r>
        <w:rPr>
          <w:bCs/>
          <w:szCs w:val="25"/>
        </w:rPr>
        <w:t xml:space="preserve"> this </w:t>
      </w:r>
      <w:r w:rsidRPr="00C22B32">
        <w:rPr>
          <w:bCs/>
          <w:szCs w:val="25"/>
        </w:rPr>
        <w:t xml:space="preserve">stage is a </w:t>
      </w:r>
      <w:r>
        <w:rPr>
          <w:bCs/>
          <w:szCs w:val="25"/>
        </w:rPr>
        <w:t xml:space="preserve">view </w:t>
      </w:r>
      <w:r w:rsidRPr="00C22B32">
        <w:rPr>
          <w:bCs/>
          <w:szCs w:val="25"/>
        </w:rPr>
        <w:t>dismissed</w:t>
      </w:r>
      <w:r>
        <w:rPr>
          <w:bCs/>
          <w:szCs w:val="25"/>
        </w:rPr>
        <w:t xml:space="preserve"> </w:t>
      </w:r>
      <w:r w:rsidRPr="00C22B32">
        <w:rPr>
          <w:bCs/>
          <w:szCs w:val="25"/>
        </w:rPr>
        <w:t xml:space="preserve">by </w:t>
      </w:r>
      <w:r w:rsidRPr="00C22B32">
        <w:rPr>
          <w:rFonts w:eastAsia="Arial"/>
          <w:bCs/>
        </w:rPr>
        <w:t xml:space="preserve">Harnack </w:t>
      </w:r>
      <w:r w:rsidRPr="00C22B32">
        <w:rPr>
          <w:bCs/>
          <w:szCs w:val="25"/>
        </w:rPr>
        <w:t>himself</w:t>
      </w:r>
      <w:r>
        <w:rPr>
          <w:bCs/>
          <w:szCs w:val="25"/>
        </w:rPr>
        <w:t>:</w:t>
      </w:r>
      <w:r w:rsidRPr="00C22B32">
        <w:rPr>
          <w:bCs/>
          <w:szCs w:val="25"/>
        </w:rPr>
        <w:t xml:space="preserve"> </w:t>
      </w:r>
      <w:r>
        <w:rPr>
          <w:bCs/>
          <w:szCs w:val="25"/>
        </w:rPr>
        <w:t>“</w:t>
      </w:r>
      <w:r w:rsidRPr="00C22B32">
        <w:rPr>
          <w:bCs/>
        </w:rPr>
        <w:t>it</w:t>
      </w:r>
      <w:r>
        <w:rPr>
          <w:bCs/>
        </w:rPr>
        <w:t xml:space="preserve"> </w:t>
      </w:r>
      <w:r w:rsidRPr="00C22B32">
        <w:rPr>
          <w:bCs/>
        </w:rPr>
        <w:t xml:space="preserve">is </w:t>
      </w:r>
      <w:r w:rsidRPr="00C22B32">
        <w:rPr>
          <w:bCs/>
          <w:szCs w:val="25"/>
        </w:rPr>
        <w:t>not strange that</w:t>
      </w:r>
      <w:r>
        <w:rPr>
          <w:bCs/>
          <w:szCs w:val="25"/>
        </w:rPr>
        <w:t xml:space="preserve"> </w:t>
      </w:r>
      <w:r w:rsidRPr="00C22B32">
        <w:rPr>
          <w:bCs/>
          <w:szCs w:val="25"/>
        </w:rPr>
        <w:t>this great</w:t>
      </w:r>
      <w:r>
        <w:rPr>
          <w:bCs/>
          <w:szCs w:val="25"/>
        </w:rPr>
        <w:t xml:space="preserve"> </w:t>
      </w:r>
      <w:r w:rsidRPr="00C22B32">
        <w:rPr>
          <w:bCs/>
          <w:szCs w:val="25"/>
        </w:rPr>
        <w:t xml:space="preserve">discourse </w:t>
      </w:r>
      <w:r w:rsidRPr="00C22B32">
        <w:rPr>
          <w:rFonts w:eastAsia="Arial"/>
          <w:bCs/>
          <w:szCs w:val="20"/>
        </w:rPr>
        <w:t xml:space="preserve">to </w:t>
      </w:r>
      <w:r w:rsidRPr="00C22B32">
        <w:rPr>
          <w:bCs/>
          <w:szCs w:val="25"/>
        </w:rPr>
        <w:t>the disciples</w:t>
      </w:r>
      <w:r>
        <w:rPr>
          <w:bCs/>
          <w:szCs w:val="25"/>
        </w:rPr>
        <w:t xml:space="preserve"> </w:t>
      </w:r>
      <w:r w:rsidRPr="00C22B32">
        <w:rPr>
          <w:bCs/>
          <w:szCs w:val="25"/>
        </w:rPr>
        <w:t>was set in the forefront [i.e.</w:t>
      </w:r>
      <w:r w:rsidRPr="00C22B32">
        <w:rPr>
          <w:bCs/>
          <w:iCs/>
          <w:szCs w:val="25"/>
        </w:rPr>
        <w:t xml:space="preserve">, </w:t>
      </w:r>
      <w:r w:rsidRPr="00C22B32">
        <w:rPr>
          <w:bCs/>
          <w:szCs w:val="25"/>
        </w:rPr>
        <w:t xml:space="preserve">early in the </w:t>
      </w:r>
      <w:r w:rsidRPr="00C22B32">
        <w:rPr>
          <w:rFonts w:eastAsia="Arial"/>
          <w:bCs/>
        </w:rPr>
        <w:t xml:space="preserve">public- </w:t>
      </w:r>
      <w:r w:rsidRPr="00C22B32">
        <w:rPr>
          <w:bCs/>
          <w:szCs w:val="25"/>
        </w:rPr>
        <w:t>ministry]</w:t>
      </w:r>
      <w:r>
        <w:rPr>
          <w:bCs/>
          <w:szCs w:val="25"/>
        </w:rPr>
        <w:t xml:space="preserve"> </w:t>
      </w:r>
      <w:r w:rsidRPr="00C22B32">
        <w:rPr>
          <w:bCs/>
          <w:szCs w:val="25"/>
        </w:rPr>
        <w:t xml:space="preserve">as being </w:t>
      </w:r>
      <w:r w:rsidRPr="00C22B32">
        <w:rPr>
          <w:bCs/>
          <w:i/>
          <w:iCs/>
          <w:szCs w:val="25"/>
        </w:rPr>
        <w:t>the most important of a</w:t>
      </w:r>
      <w:r>
        <w:rPr>
          <w:bCs/>
          <w:i/>
          <w:iCs/>
          <w:szCs w:val="25"/>
        </w:rPr>
        <w:t>ll</w:t>
      </w:r>
      <w:r>
        <w:rPr>
          <w:bCs/>
          <w:iCs/>
          <w:szCs w:val="25"/>
        </w:rPr>
        <w:t>.”</w:t>
      </w:r>
      <w:r>
        <w:rPr>
          <w:rStyle w:val="FootnoteReference"/>
          <w:bCs/>
          <w:iCs/>
          <w:szCs w:val="25"/>
        </w:rPr>
        <w:footnoteReference w:id="862"/>
      </w:r>
      <w:r>
        <w:rPr>
          <w:bCs/>
          <w:iCs/>
          <w:szCs w:val="25"/>
        </w:rPr>
        <w:t xml:space="preserve"> </w:t>
      </w:r>
      <w:r w:rsidRPr="00C22B32">
        <w:rPr>
          <w:bCs/>
          <w:szCs w:val="25"/>
        </w:rPr>
        <w:t>The second claim</w:t>
      </w:r>
      <w:r w:rsidRPr="00C22B32">
        <w:rPr>
          <w:bCs/>
          <w:iCs/>
          <w:szCs w:val="25"/>
        </w:rPr>
        <w:t xml:space="preserve">, </w:t>
      </w:r>
      <w:r w:rsidRPr="00C22B32">
        <w:rPr>
          <w:bCs/>
          <w:szCs w:val="25"/>
        </w:rPr>
        <w:t>that ordinar</w:t>
      </w:r>
      <w:r>
        <w:rPr>
          <w:bCs/>
          <w:szCs w:val="25"/>
        </w:rPr>
        <w:t>i</w:t>
      </w:r>
      <w:r w:rsidRPr="00C22B32">
        <w:rPr>
          <w:bCs/>
          <w:szCs w:val="25"/>
        </w:rPr>
        <w:t>ly a speaker</w:t>
      </w:r>
      <w:r>
        <w:rPr>
          <w:bCs/>
          <w:iCs/>
          <w:szCs w:val="25"/>
        </w:rPr>
        <w:t xml:space="preserve"> </w:t>
      </w:r>
      <w:r w:rsidRPr="00C22B32">
        <w:rPr>
          <w:bCs/>
          <w:szCs w:val="25"/>
        </w:rPr>
        <w:t>addresses a formal addressee while intending everyone presen</w:t>
      </w:r>
      <w:r>
        <w:rPr>
          <w:bCs/>
          <w:szCs w:val="25"/>
        </w:rPr>
        <w:t>t</w:t>
      </w:r>
      <w:r w:rsidRPr="00C22B32">
        <w:rPr>
          <w:bCs/>
          <w:szCs w:val="25"/>
        </w:rPr>
        <w:t xml:space="preserve"> as the audience</w:t>
      </w:r>
      <w:r w:rsidRPr="00C22B32">
        <w:rPr>
          <w:bCs/>
          <w:iCs/>
          <w:szCs w:val="25"/>
        </w:rPr>
        <w:t xml:space="preserve">, </w:t>
      </w:r>
      <w:r w:rsidRPr="00C22B32">
        <w:rPr>
          <w:bCs/>
          <w:szCs w:val="25"/>
        </w:rPr>
        <w:t>is</w:t>
      </w:r>
      <w:r>
        <w:rPr>
          <w:bCs/>
          <w:szCs w:val="25"/>
        </w:rPr>
        <w:t xml:space="preserve"> </w:t>
      </w:r>
      <w:r w:rsidRPr="00C22B32">
        <w:rPr>
          <w:bCs/>
          <w:szCs w:val="25"/>
        </w:rPr>
        <w:t>argument by analogy</w:t>
      </w:r>
      <w:r>
        <w:rPr>
          <w:bCs/>
          <w:iCs/>
          <w:szCs w:val="25"/>
        </w:rPr>
        <w:t>;</w:t>
      </w:r>
      <w:r w:rsidRPr="00C22B32">
        <w:rPr>
          <w:bCs/>
          <w:iCs/>
          <w:szCs w:val="25"/>
        </w:rPr>
        <w:t xml:space="preserve"> </w:t>
      </w:r>
      <w:r w:rsidRPr="00C22B32">
        <w:rPr>
          <w:bCs/>
          <w:szCs w:val="25"/>
        </w:rPr>
        <w:t>but</w:t>
      </w:r>
      <w:r>
        <w:rPr>
          <w:bCs/>
          <w:szCs w:val="25"/>
        </w:rPr>
        <w:t>,</w:t>
      </w:r>
      <w:r w:rsidRPr="00C22B32">
        <w:rPr>
          <w:bCs/>
          <w:szCs w:val="25"/>
        </w:rPr>
        <w:t xml:space="preserve"> more significantly</w:t>
      </w:r>
      <w:r>
        <w:rPr>
          <w:bCs/>
          <w:szCs w:val="25"/>
        </w:rPr>
        <w:t>,</w:t>
      </w:r>
      <w:r w:rsidRPr="00C22B32">
        <w:rPr>
          <w:bCs/>
          <w:szCs w:val="25"/>
        </w:rPr>
        <w:t xml:space="preserve"> one gathers that Kennedy’s real motive in declaring the multitude to be the audience is his desire to assimilate the rhetorical situation of Luke’s sermon to that of Matthew’s.</w:t>
      </w:r>
      <w:r>
        <w:rPr>
          <w:rStyle w:val="FootnoteReference"/>
          <w:bCs/>
          <w:szCs w:val="25"/>
        </w:rPr>
        <w:footnoteReference w:id="863"/>
      </w:r>
    </w:p>
    <w:p w14:paraId="13FB335F" w14:textId="77777777" w:rsidR="00B47A48" w:rsidRPr="00C22B32" w:rsidRDefault="00B47A48" w:rsidP="00B47A48">
      <w:pPr>
        <w:pStyle w:val="Style"/>
        <w:widowControl/>
        <w:jc w:val="both"/>
        <w:textAlignment w:val="baseline"/>
        <w:rPr>
          <w:bCs/>
          <w:szCs w:val="25"/>
        </w:rPr>
      </w:pPr>
      <w:r>
        <w:rPr>
          <w:bCs/>
          <w:szCs w:val="25"/>
        </w:rPr>
        <w:tab/>
      </w:r>
      <w:r w:rsidRPr="00C22B32">
        <w:rPr>
          <w:bCs/>
          <w:szCs w:val="25"/>
        </w:rPr>
        <w:t>The third argument</w:t>
      </w:r>
      <w:r w:rsidRPr="00C22B32">
        <w:rPr>
          <w:bCs/>
          <w:iCs/>
          <w:szCs w:val="25"/>
        </w:rPr>
        <w:t xml:space="preserve">, </w:t>
      </w:r>
      <w:r w:rsidRPr="00C22B32">
        <w:rPr>
          <w:bCs/>
          <w:szCs w:val="25"/>
        </w:rPr>
        <w:t>based on the setting of the sermon</w:t>
      </w:r>
      <w:r w:rsidRPr="00C22B32">
        <w:rPr>
          <w:bCs/>
          <w:iCs/>
          <w:szCs w:val="25"/>
        </w:rPr>
        <w:t xml:space="preserve">, </w:t>
      </w:r>
      <w:r w:rsidRPr="00C22B32">
        <w:rPr>
          <w:bCs/>
          <w:szCs w:val="25"/>
        </w:rPr>
        <w:t xml:space="preserve">requires that we examine the fifteen references to </w:t>
      </w:r>
      <w:r>
        <w:rPr>
          <w:bCs/>
          <w:szCs w:val="25"/>
        </w:rPr>
        <w:t>“</w:t>
      </w:r>
      <w:r w:rsidRPr="00C22B32">
        <w:rPr>
          <w:bCs/>
          <w:szCs w:val="25"/>
        </w:rPr>
        <w:t>mountain</w:t>
      </w:r>
      <w:r>
        <w:rPr>
          <w:bCs/>
          <w:szCs w:val="25"/>
        </w:rPr>
        <w:t>”</w:t>
      </w:r>
      <w:r w:rsidRPr="00C22B32">
        <w:rPr>
          <w:bCs/>
          <w:szCs w:val="25"/>
        </w:rPr>
        <w:t xml:space="preserve"> (</w:t>
      </w:r>
      <w:proofErr w:type="spellStart"/>
      <w:r w:rsidRPr="00CB0999">
        <w:rPr>
          <w:szCs w:val="22"/>
          <w:lang w:bidi="he-IL"/>
        </w:rPr>
        <w:t>ὄ</w:t>
      </w:r>
      <w:r>
        <w:rPr>
          <w:szCs w:val="22"/>
          <w:lang w:bidi="he-IL"/>
        </w:rPr>
        <w:t>ρος</w:t>
      </w:r>
      <w:proofErr w:type="spellEnd"/>
      <w:r w:rsidRPr="00C22B32">
        <w:rPr>
          <w:bCs/>
          <w:szCs w:val="25"/>
        </w:rPr>
        <w:t>) in Luke-Acts.</w:t>
      </w:r>
      <w:r>
        <w:rPr>
          <w:rStyle w:val="FootnoteReference"/>
          <w:bCs/>
          <w:szCs w:val="25"/>
        </w:rPr>
        <w:footnoteReference w:id="864"/>
      </w:r>
      <w:r w:rsidRPr="00671DEF">
        <w:rPr>
          <w:bCs/>
          <w:iCs/>
          <w:szCs w:val="25"/>
        </w:rPr>
        <w:t xml:space="preserve"> </w:t>
      </w:r>
      <w:r w:rsidRPr="00C22B32">
        <w:rPr>
          <w:bCs/>
          <w:szCs w:val="25"/>
        </w:rPr>
        <w:t>Several of these references are in speeches: Luke 3:5</w:t>
      </w:r>
      <w:r w:rsidRPr="00C22B32">
        <w:rPr>
          <w:bCs/>
          <w:iCs/>
          <w:szCs w:val="25"/>
        </w:rPr>
        <w:t xml:space="preserve">, </w:t>
      </w:r>
      <w:r w:rsidRPr="00C22B32">
        <w:rPr>
          <w:bCs/>
          <w:szCs w:val="25"/>
        </w:rPr>
        <w:t xml:space="preserve">John the Baptist’s preaching: </w:t>
      </w:r>
      <w:r>
        <w:rPr>
          <w:bCs/>
          <w:szCs w:val="25"/>
        </w:rPr>
        <w:t>“</w:t>
      </w:r>
      <w:r w:rsidRPr="00C22B32">
        <w:rPr>
          <w:bCs/>
          <w:szCs w:val="25"/>
        </w:rPr>
        <w:t>every mountain [</w:t>
      </w:r>
      <w:proofErr w:type="spellStart"/>
      <w:r w:rsidRPr="00CB0999">
        <w:rPr>
          <w:szCs w:val="22"/>
          <w:lang w:bidi="he-IL"/>
        </w:rPr>
        <w:t>ὄ</w:t>
      </w:r>
      <w:r>
        <w:rPr>
          <w:szCs w:val="22"/>
          <w:lang w:bidi="he-IL"/>
        </w:rPr>
        <w:t>ρος</w:t>
      </w:r>
      <w:proofErr w:type="spellEnd"/>
      <w:r w:rsidRPr="00C22B32">
        <w:rPr>
          <w:bCs/>
          <w:szCs w:val="25"/>
        </w:rPr>
        <w:t>] and hill [</w:t>
      </w:r>
      <w:r>
        <w:rPr>
          <w:bCs/>
          <w:szCs w:val="25"/>
        </w:rPr>
        <w:t>β</w:t>
      </w:r>
      <w:proofErr w:type="spellStart"/>
      <w:r>
        <w:rPr>
          <w:bCs/>
          <w:szCs w:val="25"/>
        </w:rPr>
        <w:t>ουνός</w:t>
      </w:r>
      <w:proofErr w:type="spellEnd"/>
      <w:r w:rsidRPr="00C22B32">
        <w:rPr>
          <w:bCs/>
          <w:szCs w:val="25"/>
        </w:rPr>
        <w:t xml:space="preserve">] shall be brought </w:t>
      </w:r>
      <w:proofErr w:type="spellStart"/>
      <w:r w:rsidRPr="00C22B32">
        <w:rPr>
          <w:bCs/>
          <w:szCs w:val="25"/>
        </w:rPr>
        <w:t>Iow</w:t>
      </w:r>
      <w:proofErr w:type="spellEnd"/>
      <w:r>
        <w:rPr>
          <w:bCs/>
          <w:szCs w:val="25"/>
        </w:rPr>
        <w:t>”</w:t>
      </w:r>
      <w:r w:rsidRPr="00C22B32">
        <w:rPr>
          <w:bCs/>
          <w:szCs w:val="25"/>
        </w:rPr>
        <w:t>; 21:21</w:t>
      </w:r>
      <w:r w:rsidRPr="00C22B32">
        <w:rPr>
          <w:bCs/>
          <w:iCs/>
          <w:szCs w:val="25"/>
        </w:rPr>
        <w:t xml:space="preserve">, </w:t>
      </w:r>
      <w:r w:rsidRPr="00C22B32">
        <w:rPr>
          <w:bCs/>
          <w:szCs w:val="25"/>
        </w:rPr>
        <w:t xml:space="preserve">the eschatological discourse: “let those </w:t>
      </w:r>
      <w:r>
        <w:rPr>
          <w:bCs/>
          <w:szCs w:val="25"/>
        </w:rPr>
        <w:t xml:space="preserve">. . . </w:t>
      </w:r>
      <w:r w:rsidRPr="00C22B32">
        <w:rPr>
          <w:bCs/>
          <w:szCs w:val="25"/>
        </w:rPr>
        <w:t>in Judea flee to the mountains</w:t>
      </w:r>
      <w:r>
        <w:rPr>
          <w:bCs/>
          <w:szCs w:val="25"/>
        </w:rPr>
        <w:t>”</w:t>
      </w:r>
      <w:r w:rsidRPr="00C22B32">
        <w:rPr>
          <w:bCs/>
          <w:szCs w:val="25"/>
        </w:rPr>
        <w:t>; and 23:30</w:t>
      </w:r>
      <w:r w:rsidRPr="00C22B32">
        <w:rPr>
          <w:bCs/>
          <w:iCs/>
          <w:szCs w:val="25"/>
        </w:rPr>
        <w:t xml:space="preserve">, </w:t>
      </w:r>
      <w:r w:rsidRPr="00C22B32">
        <w:rPr>
          <w:bCs/>
          <w:szCs w:val="25"/>
        </w:rPr>
        <w:t xml:space="preserve">the speech to the daughters of Jerusalem: </w:t>
      </w:r>
      <w:r>
        <w:rPr>
          <w:bCs/>
          <w:szCs w:val="25"/>
        </w:rPr>
        <w:t xml:space="preserve">“Then </w:t>
      </w:r>
      <w:r w:rsidRPr="00C22B32">
        <w:rPr>
          <w:bCs/>
          <w:szCs w:val="25"/>
        </w:rPr>
        <w:t>they will begin to say to the mountains [</w:t>
      </w:r>
      <w:proofErr w:type="spellStart"/>
      <w:r w:rsidRPr="00520B45">
        <w:rPr>
          <w:szCs w:val="22"/>
          <w:lang w:bidi="he-IL"/>
        </w:rPr>
        <w:t>τοῖς</w:t>
      </w:r>
      <w:proofErr w:type="spellEnd"/>
      <w:r w:rsidRPr="00520B45">
        <w:rPr>
          <w:szCs w:val="22"/>
          <w:lang w:bidi="he-IL"/>
        </w:rPr>
        <w:t xml:space="preserve"> </w:t>
      </w:r>
      <w:proofErr w:type="spellStart"/>
      <w:r w:rsidRPr="00520B45">
        <w:rPr>
          <w:szCs w:val="22"/>
          <w:lang w:bidi="he-IL"/>
        </w:rPr>
        <w:t>ὄρεσιν</w:t>
      </w:r>
      <w:proofErr w:type="spellEnd"/>
      <w:r w:rsidRPr="00C22B32">
        <w:rPr>
          <w:bCs/>
          <w:szCs w:val="25"/>
        </w:rPr>
        <w:t>]</w:t>
      </w:r>
      <w:r w:rsidRPr="00C22B32">
        <w:rPr>
          <w:bCs/>
          <w:iCs/>
          <w:szCs w:val="25"/>
        </w:rPr>
        <w:t>, ‘</w:t>
      </w:r>
      <w:r w:rsidRPr="00C22B32">
        <w:rPr>
          <w:bCs/>
          <w:szCs w:val="25"/>
        </w:rPr>
        <w:t>Fall on</w:t>
      </w:r>
      <w:r>
        <w:rPr>
          <w:bCs/>
          <w:szCs w:val="25"/>
        </w:rPr>
        <w:t xml:space="preserve"> </w:t>
      </w:r>
      <w:r w:rsidRPr="00C22B32">
        <w:rPr>
          <w:bCs/>
          <w:szCs w:val="25"/>
        </w:rPr>
        <w:t>us’; and to the hills [</w:t>
      </w:r>
      <w:proofErr w:type="spellStart"/>
      <w:r w:rsidRPr="00520B45">
        <w:rPr>
          <w:bCs/>
          <w:szCs w:val="25"/>
        </w:rPr>
        <w:t>τοῖς</w:t>
      </w:r>
      <w:proofErr w:type="spellEnd"/>
      <w:r w:rsidRPr="00520B45">
        <w:rPr>
          <w:bCs/>
          <w:szCs w:val="25"/>
        </w:rPr>
        <w:t xml:space="preserve"> β</w:t>
      </w:r>
      <w:proofErr w:type="spellStart"/>
      <w:r w:rsidRPr="00520B45">
        <w:rPr>
          <w:bCs/>
          <w:szCs w:val="25"/>
        </w:rPr>
        <w:t>ουνοῖς</w:t>
      </w:r>
      <w:proofErr w:type="spellEnd"/>
      <w:r w:rsidRPr="00C22B32">
        <w:rPr>
          <w:bCs/>
          <w:szCs w:val="27"/>
        </w:rPr>
        <w:t>]</w:t>
      </w:r>
      <w:r w:rsidRPr="00C22B32">
        <w:rPr>
          <w:bCs/>
          <w:iCs/>
          <w:szCs w:val="27"/>
        </w:rPr>
        <w:t>, ‘</w:t>
      </w:r>
      <w:r w:rsidRPr="00C22B32">
        <w:rPr>
          <w:bCs/>
          <w:szCs w:val="25"/>
        </w:rPr>
        <w:t>Cover us’.</w:t>
      </w:r>
      <w:r>
        <w:rPr>
          <w:bCs/>
          <w:szCs w:val="25"/>
        </w:rPr>
        <w:t>”</w:t>
      </w:r>
      <w:r>
        <w:rPr>
          <w:rStyle w:val="FootnoteReference"/>
          <w:bCs/>
          <w:szCs w:val="25"/>
        </w:rPr>
        <w:footnoteReference w:id="865"/>
      </w:r>
      <w:r w:rsidRPr="00C22B32">
        <w:rPr>
          <w:bCs/>
          <w:szCs w:val="25"/>
        </w:rPr>
        <w:t xml:space="preserve"> Though the first and last of these</w:t>
      </w:r>
      <w:r>
        <w:rPr>
          <w:bCs/>
          <w:szCs w:val="25"/>
        </w:rPr>
        <w:t xml:space="preserve"> </w:t>
      </w:r>
      <w:r w:rsidRPr="00C22B32">
        <w:rPr>
          <w:bCs/>
          <w:szCs w:val="25"/>
        </w:rPr>
        <w:t xml:space="preserve">references to </w:t>
      </w:r>
      <w:proofErr w:type="spellStart"/>
      <w:r>
        <w:rPr>
          <w:szCs w:val="22"/>
          <w:lang w:bidi="he-IL"/>
        </w:rPr>
        <w:t>ὄρος</w:t>
      </w:r>
      <w:proofErr w:type="spellEnd"/>
      <w:r w:rsidRPr="00C22B32">
        <w:rPr>
          <w:bCs/>
          <w:szCs w:val="25"/>
        </w:rPr>
        <w:t xml:space="preserve"> are found only in Luke</w:t>
      </w:r>
      <w:r w:rsidRPr="00C22B32">
        <w:rPr>
          <w:bCs/>
          <w:iCs/>
          <w:szCs w:val="25"/>
        </w:rPr>
        <w:t xml:space="preserve">, </w:t>
      </w:r>
      <w:r w:rsidRPr="00C22B32">
        <w:rPr>
          <w:bCs/>
          <w:szCs w:val="25"/>
        </w:rPr>
        <w:t xml:space="preserve">none suggests a distinction between mountains as the place of revelation to disciples and the </w:t>
      </w:r>
      <w:r>
        <w:rPr>
          <w:bCs/>
          <w:szCs w:val="25"/>
        </w:rPr>
        <w:t>“</w:t>
      </w:r>
      <w:r w:rsidRPr="00C22B32">
        <w:rPr>
          <w:bCs/>
          <w:szCs w:val="25"/>
        </w:rPr>
        <w:t>lower world” as the place of public revelation.</w:t>
      </w:r>
    </w:p>
    <w:p w14:paraId="26EE8321" w14:textId="77777777" w:rsidR="00B47A48" w:rsidRPr="00C22B32" w:rsidRDefault="00B47A48" w:rsidP="00B47A48">
      <w:pPr>
        <w:pStyle w:val="Style"/>
        <w:widowControl/>
        <w:jc w:val="both"/>
        <w:textAlignment w:val="baseline"/>
        <w:rPr>
          <w:bCs/>
          <w:szCs w:val="25"/>
        </w:rPr>
      </w:pPr>
      <w:r>
        <w:rPr>
          <w:bCs/>
          <w:szCs w:val="25"/>
        </w:rPr>
        <w:tab/>
      </w:r>
      <w:r w:rsidRPr="00C22B32">
        <w:rPr>
          <w:bCs/>
          <w:szCs w:val="25"/>
        </w:rPr>
        <w:t>Another set of references certainly shows that the mountain in Luke is a place at which spiritually significant events happen. Four such events occur in the narrative: the choosing of the twelve (Luke 6:12)</w:t>
      </w:r>
      <w:r w:rsidRPr="00C22B32">
        <w:rPr>
          <w:bCs/>
          <w:iCs/>
          <w:szCs w:val="25"/>
        </w:rPr>
        <w:t xml:space="preserve">, </w:t>
      </w:r>
      <w:r w:rsidRPr="00C22B32">
        <w:rPr>
          <w:bCs/>
          <w:szCs w:val="25"/>
        </w:rPr>
        <w:t>which occurs immediately prior to the sermon in Luke;</w:t>
      </w:r>
      <w:r>
        <w:rPr>
          <w:rStyle w:val="FootnoteReference"/>
          <w:bCs/>
          <w:szCs w:val="25"/>
        </w:rPr>
        <w:footnoteReference w:id="866"/>
      </w:r>
      <w:r w:rsidRPr="00C22B32">
        <w:rPr>
          <w:bCs/>
          <w:szCs w:val="25"/>
        </w:rPr>
        <w:t xml:space="preserve"> the transfiguration </w:t>
      </w:r>
      <w:r w:rsidRPr="00C22B32">
        <w:rPr>
          <w:bCs/>
          <w:szCs w:val="25"/>
        </w:rPr>
        <w:lastRenderedPageBreak/>
        <w:t>(9:28</w:t>
      </w:r>
      <w:r w:rsidRPr="00C22B32">
        <w:rPr>
          <w:bCs/>
          <w:iCs/>
          <w:szCs w:val="25"/>
        </w:rPr>
        <w:t xml:space="preserve">, </w:t>
      </w:r>
      <w:r w:rsidRPr="00C22B32">
        <w:rPr>
          <w:bCs/>
          <w:szCs w:val="25"/>
        </w:rPr>
        <w:t>going up; 9:37</w:t>
      </w:r>
      <w:r w:rsidRPr="00C22B32">
        <w:rPr>
          <w:bCs/>
          <w:iCs/>
          <w:szCs w:val="25"/>
        </w:rPr>
        <w:t xml:space="preserve">, </w:t>
      </w:r>
      <w:r w:rsidRPr="00C22B32">
        <w:rPr>
          <w:bCs/>
          <w:szCs w:val="25"/>
        </w:rPr>
        <w:t>coming down); the agony in the garden (22:39);</w:t>
      </w:r>
      <w:r>
        <w:rPr>
          <w:rStyle w:val="FootnoteReference"/>
          <w:bCs/>
          <w:szCs w:val="25"/>
        </w:rPr>
        <w:footnoteReference w:id="867"/>
      </w:r>
      <w:r w:rsidRPr="00671DEF">
        <w:rPr>
          <w:bCs/>
          <w:iCs/>
          <w:szCs w:val="25"/>
        </w:rPr>
        <w:t xml:space="preserve"> </w:t>
      </w:r>
      <w:r w:rsidRPr="00C22B32">
        <w:rPr>
          <w:bCs/>
          <w:szCs w:val="25"/>
        </w:rPr>
        <w:t>and the ascension (Acts 1:12).</w:t>
      </w:r>
      <w:r>
        <w:rPr>
          <w:rStyle w:val="FootnoteReference"/>
          <w:bCs/>
          <w:szCs w:val="25"/>
        </w:rPr>
        <w:footnoteReference w:id="868"/>
      </w:r>
      <w:r w:rsidRPr="00671DEF">
        <w:rPr>
          <w:bCs/>
          <w:iCs/>
          <w:szCs w:val="25"/>
        </w:rPr>
        <w:t xml:space="preserve"> </w:t>
      </w:r>
      <w:r w:rsidRPr="00C22B32">
        <w:rPr>
          <w:bCs/>
          <w:szCs w:val="25"/>
        </w:rPr>
        <w:t>It is true that the</w:t>
      </w:r>
      <w:r>
        <w:rPr>
          <w:bCs/>
          <w:szCs w:val="25"/>
        </w:rPr>
        <w:t xml:space="preserve"> </w:t>
      </w:r>
      <w:r w:rsidRPr="00C22B32">
        <w:rPr>
          <w:bCs/>
          <w:szCs w:val="25"/>
        </w:rPr>
        <w:t>“audiences” at these four events are disciples. But it is natural that only disciples</w:t>
      </w:r>
      <w:r>
        <w:rPr>
          <w:bCs/>
          <w:szCs w:val="25"/>
        </w:rPr>
        <w:t xml:space="preserve"> </w:t>
      </w:r>
      <w:r w:rsidRPr="00C22B32">
        <w:rPr>
          <w:bCs/>
          <w:szCs w:val="25"/>
        </w:rPr>
        <w:t>be present at the choosing of the twelve</w:t>
      </w:r>
      <w:r w:rsidRPr="00C22B32">
        <w:rPr>
          <w:bCs/>
          <w:iCs/>
          <w:szCs w:val="25"/>
        </w:rPr>
        <w:t xml:space="preserve">, </w:t>
      </w:r>
      <w:r w:rsidRPr="00C22B32">
        <w:rPr>
          <w:bCs/>
          <w:szCs w:val="25"/>
        </w:rPr>
        <w:t>the agony</w:t>
      </w:r>
      <w:r w:rsidRPr="00C22B32">
        <w:rPr>
          <w:bCs/>
          <w:iCs/>
          <w:szCs w:val="25"/>
        </w:rPr>
        <w:t xml:space="preserve">, </w:t>
      </w:r>
      <w:r w:rsidRPr="00C22B32">
        <w:rPr>
          <w:bCs/>
          <w:szCs w:val="25"/>
        </w:rPr>
        <w:t>and the ascension</w:t>
      </w:r>
      <w:r>
        <w:rPr>
          <w:bCs/>
          <w:iCs/>
          <w:szCs w:val="25"/>
        </w:rPr>
        <w:t>;</w:t>
      </w:r>
      <w:r w:rsidRPr="00C22B32">
        <w:rPr>
          <w:bCs/>
          <w:iCs/>
          <w:szCs w:val="25"/>
        </w:rPr>
        <w:t xml:space="preserve"> </w:t>
      </w:r>
      <w:r w:rsidRPr="00C22B32">
        <w:rPr>
          <w:bCs/>
          <w:szCs w:val="25"/>
        </w:rPr>
        <w:t xml:space="preserve">nor do those events involve </w:t>
      </w:r>
      <w:r>
        <w:rPr>
          <w:bCs/>
          <w:szCs w:val="25"/>
        </w:rPr>
        <w:t>“</w:t>
      </w:r>
      <w:r w:rsidRPr="00C22B32">
        <w:rPr>
          <w:bCs/>
          <w:szCs w:val="25"/>
        </w:rPr>
        <w:t>revelation” on a mountain.</w:t>
      </w:r>
      <w:r>
        <w:rPr>
          <w:rStyle w:val="FootnoteReference"/>
          <w:bCs/>
          <w:szCs w:val="25"/>
        </w:rPr>
        <w:footnoteReference w:id="869"/>
      </w:r>
      <w:r w:rsidRPr="00671DEF">
        <w:rPr>
          <w:bCs/>
          <w:iCs/>
          <w:szCs w:val="25"/>
        </w:rPr>
        <w:t xml:space="preserve"> </w:t>
      </w:r>
      <w:r w:rsidRPr="00C22B32">
        <w:rPr>
          <w:bCs/>
          <w:szCs w:val="25"/>
        </w:rPr>
        <w:t xml:space="preserve">The transfiguration </w:t>
      </w:r>
      <w:r w:rsidRPr="00C22B32">
        <w:rPr>
          <w:bCs/>
          <w:i/>
          <w:iCs/>
          <w:szCs w:val="27"/>
        </w:rPr>
        <w:t>is</w:t>
      </w:r>
      <w:r w:rsidRPr="00961351">
        <w:rPr>
          <w:bCs/>
          <w:szCs w:val="27"/>
        </w:rPr>
        <w:t xml:space="preserve"> </w:t>
      </w:r>
      <w:r w:rsidRPr="00C22B32">
        <w:rPr>
          <w:bCs/>
          <w:szCs w:val="25"/>
        </w:rPr>
        <w:t>a revelation</w:t>
      </w:r>
      <w:r>
        <w:rPr>
          <w:bCs/>
          <w:iCs/>
          <w:szCs w:val="25"/>
        </w:rPr>
        <w:t>;</w:t>
      </w:r>
      <w:r w:rsidRPr="00C22B32">
        <w:rPr>
          <w:bCs/>
          <w:iCs/>
          <w:szCs w:val="25"/>
        </w:rPr>
        <w:t xml:space="preserve"> </w:t>
      </w:r>
      <w:r w:rsidRPr="00C22B32">
        <w:rPr>
          <w:bCs/>
          <w:szCs w:val="25"/>
        </w:rPr>
        <w:t>but again</w:t>
      </w:r>
      <w:r w:rsidRPr="00C22B32">
        <w:rPr>
          <w:bCs/>
          <w:iCs/>
          <w:szCs w:val="25"/>
        </w:rPr>
        <w:t xml:space="preserve">, </w:t>
      </w:r>
      <w:r w:rsidRPr="00C22B32">
        <w:rPr>
          <w:bCs/>
          <w:szCs w:val="25"/>
        </w:rPr>
        <w:t>at this point in Jesus’ career</w:t>
      </w:r>
      <w:r w:rsidRPr="00C22B32">
        <w:rPr>
          <w:bCs/>
          <w:iCs/>
          <w:szCs w:val="25"/>
        </w:rPr>
        <w:t xml:space="preserve">, </w:t>
      </w:r>
      <w:r w:rsidRPr="00C22B32">
        <w:rPr>
          <w:bCs/>
          <w:szCs w:val="25"/>
        </w:rPr>
        <w:t>it is not surprising that it occurs with only disciples present (in fact</w:t>
      </w:r>
      <w:r w:rsidRPr="00C22B32">
        <w:rPr>
          <w:bCs/>
          <w:iCs/>
          <w:szCs w:val="25"/>
        </w:rPr>
        <w:t xml:space="preserve">, </w:t>
      </w:r>
      <w:r w:rsidRPr="00C22B32">
        <w:rPr>
          <w:bCs/>
          <w:szCs w:val="25"/>
        </w:rPr>
        <w:t>only three of them); nor is it surprising that the transfiguration occurs on a mountain</w:t>
      </w:r>
      <w:r w:rsidRPr="00C22B32">
        <w:rPr>
          <w:bCs/>
          <w:iCs/>
          <w:szCs w:val="25"/>
        </w:rPr>
        <w:t xml:space="preserve">, </w:t>
      </w:r>
      <w:r w:rsidRPr="00C22B32">
        <w:rPr>
          <w:bCs/>
          <w:szCs w:val="25"/>
        </w:rPr>
        <w:t>since this makes sense within the system of biblical symbols (Conzelmann refers especially to the “Sinai typology”</w:t>
      </w:r>
      <w:r>
        <w:rPr>
          <w:rStyle w:val="FootnoteReference"/>
          <w:bCs/>
          <w:szCs w:val="25"/>
        </w:rPr>
        <w:footnoteReference w:id="870"/>
      </w:r>
      <w:r w:rsidRPr="00C22B32">
        <w:rPr>
          <w:bCs/>
          <w:szCs w:val="25"/>
        </w:rPr>
        <w:t>). The connection</w:t>
      </w:r>
      <w:r w:rsidRPr="00C22B32">
        <w:rPr>
          <w:bCs/>
          <w:iCs/>
          <w:szCs w:val="25"/>
        </w:rPr>
        <w:t xml:space="preserve">, </w:t>
      </w:r>
      <w:r w:rsidRPr="00C22B32">
        <w:rPr>
          <w:bCs/>
          <w:szCs w:val="25"/>
        </w:rPr>
        <w:t>on the one hand</w:t>
      </w:r>
      <w:r w:rsidRPr="00C22B32">
        <w:rPr>
          <w:bCs/>
          <w:iCs/>
          <w:szCs w:val="25"/>
        </w:rPr>
        <w:t xml:space="preserve">, </w:t>
      </w:r>
      <w:r w:rsidRPr="00C22B32">
        <w:rPr>
          <w:bCs/>
          <w:szCs w:val="25"/>
        </w:rPr>
        <w:t>between transfiguration and a revelation to disciples</w:t>
      </w:r>
      <w:r w:rsidRPr="00C22B32">
        <w:rPr>
          <w:bCs/>
          <w:iCs/>
          <w:szCs w:val="25"/>
        </w:rPr>
        <w:t xml:space="preserve">, </w:t>
      </w:r>
      <w:r w:rsidRPr="00C22B32">
        <w:rPr>
          <w:bCs/>
          <w:szCs w:val="25"/>
        </w:rPr>
        <w:t>and</w:t>
      </w:r>
      <w:r w:rsidRPr="00C22B32">
        <w:rPr>
          <w:bCs/>
          <w:iCs/>
          <w:szCs w:val="25"/>
        </w:rPr>
        <w:t xml:space="preserve">, </w:t>
      </w:r>
      <w:r w:rsidRPr="00C22B32">
        <w:rPr>
          <w:bCs/>
          <w:szCs w:val="25"/>
        </w:rPr>
        <w:t>on the other hand</w:t>
      </w:r>
      <w:r w:rsidRPr="00C22B32">
        <w:rPr>
          <w:bCs/>
          <w:iCs/>
          <w:szCs w:val="25"/>
        </w:rPr>
        <w:t xml:space="preserve">, </w:t>
      </w:r>
      <w:r w:rsidRPr="00C22B32">
        <w:rPr>
          <w:bCs/>
          <w:szCs w:val="25"/>
        </w:rPr>
        <w:t>between transfiguration and the mountain motif</w:t>
      </w:r>
      <w:r w:rsidRPr="00C22B32">
        <w:rPr>
          <w:bCs/>
          <w:iCs/>
          <w:szCs w:val="25"/>
        </w:rPr>
        <w:t xml:space="preserve">, </w:t>
      </w:r>
      <w:r w:rsidRPr="00C22B32">
        <w:rPr>
          <w:bCs/>
          <w:szCs w:val="25"/>
        </w:rPr>
        <w:t>does not necessarily point to a consciously intended connection between a revelation to the disciples and</w:t>
      </w:r>
      <w:r>
        <w:rPr>
          <w:bCs/>
          <w:szCs w:val="25"/>
        </w:rPr>
        <w:t xml:space="preserve"> </w:t>
      </w:r>
      <w:r w:rsidRPr="00C22B32">
        <w:rPr>
          <w:bCs/>
          <w:szCs w:val="25"/>
        </w:rPr>
        <w:t>the mountain motif; the two sides of a right angle</w:t>
      </w:r>
      <w:r w:rsidRPr="00C22B32">
        <w:rPr>
          <w:bCs/>
          <w:iCs/>
          <w:szCs w:val="25"/>
        </w:rPr>
        <w:t xml:space="preserve">, </w:t>
      </w:r>
      <w:r w:rsidRPr="00C22B32">
        <w:rPr>
          <w:bCs/>
          <w:szCs w:val="25"/>
        </w:rPr>
        <w:t>so to speak</w:t>
      </w:r>
      <w:r w:rsidRPr="00C22B32">
        <w:rPr>
          <w:bCs/>
          <w:iCs/>
          <w:szCs w:val="25"/>
        </w:rPr>
        <w:t xml:space="preserve">, </w:t>
      </w:r>
      <w:r w:rsidRPr="00C22B32">
        <w:rPr>
          <w:bCs/>
          <w:szCs w:val="25"/>
        </w:rPr>
        <w:t>do not compel a</w:t>
      </w:r>
      <w:r>
        <w:rPr>
          <w:bCs/>
          <w:szCs w:val="25"/>
        </w:rPr>
        <w:t xml:space="preserve"> </w:t>
      </w:r>
      <w:r w:rsidRPr="00C22B32">
        <w:rPr>
          <w:bCs/>
          <w:szCs w:val="25"/>
        </w:rPr>
        <w:t>hypotenuse.</w:t>
      </w:r>
    </w:p>
    <w:p w14:paraId="272944A2" w14:textId="77777777" w:rsidR="00B47A48" w:rsidRPr="00C22B32" w:rsidRDefault="00B47A48" w:rsidP="00B47A48">
      <w:pPr>
        <w:pStyle w:val="Style"/>
        <w:widowControl/>
        <w:jc w:val="both"/>
        <w:textAlignment w:val="baseline"/>
        <w:rPr>
          <w:bCs/>
          <w:szCs w:val="25"/>
        </w:rPr>
      </w:pPr>
      <w:r>
        <w:rPr>
          <w:bCs/>
          <w:szCs w:val="25"/>
        </w:rPr>
        <w:tab/>
      </w:r>
      <w:r w:rsidRPr="00C22B32">
        <w:rPr>
          <w:bCs/>
          <w:szCs w:val="25"/>
        </w:rPr>
        <w:t xml:space="preserve">The remaining references to </w:t>
      </w:r>
      <w:proofErr w:type="spellStart"/>
      <w:r>
        <w:rPr>
          <w:szCs w:val="22"/>
          <w:lang w:bidi="he-IL"/>
        </w:rPr>
        <w:t>ὄρος</w:t>
      </w:r>
      <w:proofErr w:type="spellEnd"/>
      <w:r>
        <w:rPr>
          <w:szCs w:val="22"/>
          <w:lang w:bidi="he-IL"/>
        </w:rPr>
        <w:t xml:space="preserve"> </w:t>
      </w:r>
      <w:r w:rsidRPr="00C22B32">
        <w:rPr>
          <w:bCs/>
          <w:szCs w:val="25"/>
        </w:rPr>
        <w:t>in Luke-Acts are not persuasive either.</w:t>
      </w:r>
      <w:r>
        <w:rPr>
          <w:bCs/>
          <w:szCs w:val="25"/>
        </w:rPr>
        <w:t xml:space="preserve"> </w:t>
      </w:r>
      <w:r w:rsidRPr="00C22B32">
        <w:rPr>
          <w:bCs/>
          <w:szCs w:val="25"/>
        </w:rPr>
        <w:t>The attempt of the Nazarenes to cast Jesus from the brow of their hill (Luke 4:29) does not concern private revelation to disciples (particularly since Jesus has not yet chosen any disciples). The three remaining references to the Mount of Olives (Luke 19:29</w:t>
      </w:r>
      <w:r w:rsidRPr="00C22B32">
        <w:rPr>
          <w:bCs/>
          <w:iCs/>
          <w:szCs w:val="25"/>
        </w:rPr>
        <w:t xml:space="preserve">, </w:t>
      </w:r>
      <w:r w:rsidRPr="00C22B32">
        <w:rPr>
          <w:bCs/>
          <w:szCs w:val="25"/>
        </w:rPr>
        <w:t>19:37</w:t>
      </w:r>
      <w:r w:rsidRPr="00C22B32">
        <w:rPr>
          <w:bCs/>
          <w:iCs/>
          <w:szCs w:val="25"/>
        </w:rPr>
        <w:t xml:space="preserve">, </w:t>
      </w:r>
      <w:r w:rsidRPr="00C22B32">
        <w:rPr>
          <w:bCs/>
          <w:szCs w:val="25"/>
        </w:rPr>
        <w:t>21:37) refer respectively to sending for the colt</w:t>
      </w:r>
      <w:r w:rsidRPr="00C22B32">
        <w:rPr>
          <w:bCs/>
          <w:iCs/>
          <w:szCs w:val="25"/>
        </w:rPr>
        <w:t xml:space="preserve">, </w:t>
      </w:r>
      <w:r w:rsidRPr="00C22B32">
        <w:rPr>
          <w:bCs/>
          <w:szCs w:val="25"/>
        </w:rPr>
        <w:t xml:space="preserve">the triumphal entry </w:t>
      </w:r>
      <w:r w:rsidRPr="001C646B">
        <w:rPr>
          <w:bCs/>
          <w:iCs/>
          <w:szCs w:val="25"/>
        </w:rPr>
        <w:t>(</w:t>
      </w:r>
      <w:r w:rsidRPr="00C22B32">
        <w:rPr>
          <w:bCs/>
          <w:szCs w:val="25"/>
        </w:rPr>
        <w:t>even if revelatory</w:t>
      </w:r>
      <w:r w:rsidRPr="00C22B32">
        <w:rPr>
          <w:bCs/>
          <w:iCs/>
          <w:szCs w:val="25"/>
        </w:rPr>
        <w:t xml:space="preserve">, </w:t>
      </w:r>
      <w:r w:rsidRPr="00C22B32">
        <w:rPr>
          <w:bCs/>
          <w:szCs w:val="25"/>
        </w:rPr>
        <w:t xml:space="preserve">this takes place </w:t>
      </w:r>
      <w:r>
        <w:rPr>
          <w:bCs/>
          <w:szCs w:val="25"/>
        </w:rPr>
        <w:t>“</w:t>
      </w:r>
      <w:r w:rsidRPr="00C22B32">
        <w:rPr>
          <w:bCs/>
          <w:szCs w:val="25"/>
        </w:rPr>
        <w:t>at the descent of the Mount of Olives,” and with the multitude present)</w:t>
      </w:r>
      <w:r w:rsidRPr="00C22B32">
        <w:rPr>
          <w:bCs/>
          <w:iCs/>
          <w:szCs w:val="25"/>
        </w:rPr>
        <w:t xml:space="preserve">, </w:t>
      </w:r>
      <w:r w:rsidRPr="00C22B32">
        <w:rPr>
          <w:bCs/>
          <w:szCs w:val="25"/>
        </w:rPr>
        <w:t>and Jesus’ lodging on the Mount of Olives. In addition</w:t>
      </w:r>
      <w:r w:rsidRPr="00C22B32">
        <w:rPr>
          <w:bCs/>
          <w:iCs/>
          <w:szCs w:val="25"/>
        </w:rPr>
        <w:t xml:space="preserve">, </w:t>
      </w:r>
      <w:r w:rsidRPr="00C22B32">
        <w:rPr>
          <w:bCs/>
          <w:szCs w:val="25"/>
        </w:rPr>
        <w:t>Stephen mentions Mount Sinai twice (Acts 7:30</w:t>
      </w:r>
      <w:r w:rsidRPr="00C22B32">
        <w:rPr>
          <w:bCs/>
          <w:iCs/>
          <w:szCs w:val="25"/>
        </w:rPr>
        <w:t xml:space="preserve">, </w:t>
      </w:r>
      <w:r w:rsidRPr="00C22B32">
        <w:rPr>
          <w:bCs/>
          <w:szCs w:val="25"/>
        </w:rPr>
        <w:t>7:38)</w:t>
      </w:r>
      <w:r w:rsidRPr="00C22B32">
        <w:rPr>
          <w:bCs/>
          <w:iCs/>
          <w:szCs w:val="25"/>
        </w:rPr>
        <w:t xml:space="preserve">, </w:t>
      </w:r>
      <w:r w:rsidRPr="00C22B32">
        <w:rPr>
          <w:bCs/>
          <w:szCs w:val="25"/>
        </w:rPr>
        <w:t xml:space="preserve">but these references are beside the point. </w:t>
      </w:r>
      <w:r w:rsidRPr="00C22B32">
        <w:rPr>
          <w:bCs/>
          <w:szCs w:val="25"/>
        </w:rPr>
        <w:lastRenderedPageBreak/>
        <w:t xml:space="preserve">The only instance of </w:t>
      </w:r>
      <w:proofErr w:type="spellStart"/>
      <w:r>
        <w:rPr>
          <w:szCs w:val="22"/>
          <w:lang w:bidi="he-IL"/>
        </w:rPr>
        <w:t>ὄρος</w:t>
      </w:r>
      <w:proofErr w:type="spellEnd"/>
      <w:r w:rsidRPr="00C22B32">
        <w:rPr>
          <w:bCs/>
          <w:szCs w:val="25"/>
        </w:rPr>
        <w:t xml:space="preserve"> in Luke-Acts that remains to be mentioned is Luke 8:32</w:t>
      </w:r>
      <w:r w:rsidRPr="00C22B32">
        <w:rPr>
          <w:bCs/>
          <w:iCs/>
          <w:szCs w:val="25"/>
        </w:rPr>
        <w:t>, “</w:t>
      </w:r>
      <w:r w:rsidRPr="00C22B32">
        <w:rPr>
          <w:bCs/>
          <w:szCs w:val="25"/>
        </w:rPr>
        <w:t>a large herd of swine was feeding there on the hillside”</w:t>
      </w:r>
      <w:r w:rsidRPr="00671DEF">
        <w:rPr>
          <w:bCs/>
          <w:iCs/>
          <w:szCs w:val="25"/>
        </w:rPr>
        <w:t>—</w:t>
      </w:r>
      <w:r w:rsidRPr="00C22B32">
        <w:rPr>
          <w:bCs/>
          <w:szCs w:val="25"/>
        </w:rPr>
        <w:t>not an especially apt example of private revelation to the disciples.</w:t>
      </w:r>
    </w:p>
    <w:p w14:paraId="753AC4CE" w14:textId="77777777" w:rsidR="00B47A48" w:rsidRPr="00C22B32" w:rsidRDefault="00B47A48" w:rsidP="00B47A48">
      <w:pPr>
        <w:pStyle w:val="Style"/>
        <w:widowControl/>
        <w:jc w:val="both"/>
        <w:textAlignment w:val="baseline"/>
        <w:rPr>
          <w:bCs/>
          <w:szCs w:val="25"/>
        </w:rPr>
      </w:pPr>
      <w:r>
        <w:rPr>
          <w:bCs/>
          <w:szCs w:val="25"/>
        </w:rPr>
        <w:tab/>
      </w:r>
      <w:r w:rsidRPr="00C22B32">
        <w:rPr>
          <w:bCs/>
          <w:szCs w:val="25"/>
        </w:rPr>
        <w:t>Luke may have chosen a plain as the setting of his sermon for reasons other than to indicate an address to the public at large rather than to disciples. For example</w:t>
      </w:r>
      <w:r w:rsidRPr="00C22B32">
        <w:rPr>
          <w:bCs/>
          <w:iCs/>
          <w:szCs w:val="25"/>
        </w:rPr>
        <w:t xml:space="preserve">, </w:t>
      </w:r>
      <w:r w:rsidRPr="00C22B32">
        <w:rPr>
          <w:bCs/>
          <w:szCs w:val="25"/>
        </w:rPr>
        <w:t>just as Matthew may have placed the sermon on a mountain to heighten its significance</w:t>
      </w:r>
      <w:r w:rsidRPr="00C22B32">
        <w:rPr>
          <w:bCs/>
          <w:iCs/>
          <w:szCs w:val="25"/>
        </w:rPr>
        <w:t xml:space="preserve">, </w:t>
      </w:r>
      <w:r w:rsidRPr="00C22B32">
        <w:rPr>
          <w:bCs/>
          <w:szCs w:val="25"/>
        </w:rPr>
        <w:t>so Luke may have wished to de-emphasize the sermon (unlike Matthew</w:t>
      </w:r>
      <w:r w:rsidRPr="00C22B32">
        <w:rPr>
          <w:bCs/>
          <w:iCs/>
          <w:szCs w:val="25"/>
        </w:rPr>
        <w:t xml:space="preserve">, </w:t>
      </w:r>
      <w:r w:rsidRPr="00C22B32">
        <w:rPr>
          <w:bCs/>
          <w:szCs w:val="25"/>
        </w:rPr>
        <w:t>Luke has already attributed a programmatic discourse to Jesus in Luke 4:16-30</w:t>
      </w:r>
      <w:r w:rsidRPr="00C22B32">
        <w:rPr>
          <w:bCs/>
          <w:iCs/>
          <w:szCs w:val="25"/>
        </w:rPr>
        <w:t xml:space="preserve">, </w:t>
      </w:r>
      <w:r w:rsidRPr="00C22B32">
        <w:rPr>
          <w:bCs/>
          <w:szCs w:val="25"/>
        </w:rPr>
        <w:t>the Nazareth sermon). Alternatively</w:t>
      </w:r>
      <w:r w:rsidRPr="00C22B32">
        <w:rPr>
          <w:bCs/>
          <w:iCs/>
          <w:szCs w:val="25"/>
        </w:rPr>
        <w:t xml:space="preserve">, </w:t>
      </w:r>
      <w:r w:rsidRPr="00C22B32">
        <w:rPr>
          <w:bCs/>
          <w:szCs w:val="25"/>
        </w:rPr>
        <w:t>it may be that a mountain setting never occurred to him</w:t>
      </w:r>
      <w:r w:rsidRPr="00C22B32">
        <w:rPr>
          <w:bCs/>
          <w:iCs/>
          <w:szCs w:val="25"/>
        </w:rPr>
        <w:t xml:space="preserve">, </w:t>
      </w:r>
      <w:r w:rsidRPr="00C22B32">
        <w:rPr>
          <w:bCs/>
          <w:szCs w:val="25"/>
        </w:rPr>
        <w:t>since he retains the choosing of the twelve in the place Mark had it and so naturally keeps Mark’s mountain as the setting of the choosing. Thus he may have Jesus descend to a level place simply because the choosing of the twelve is now over</w:t>
      </w:r>
      <w:r>
        <w:rPr>
          <w:bCs/>
          <w:szCs w:val="25"/>
        </w:rPr>
        <w:t xml:space="preserve"> (j</w:t>
      </w:r>
      <w:r w:rsidRPr="00C22B32">
        <w:rPr>
          <w:bCs/>
          <w:szCs w:val="25"/>
        </w:rPr>
        <w:t>ust as going up and coming down mark the beginning and ending of the transfiguration). We may</w:t>
      </w:r>
      <w:r>
        <w:rPr>
          <w:bCs/>
          <w:szCs w:val="25"/>
        </w:rPr>
        <w:t xml:space="preserve">, </w:t>
      </w:r>
      <w:r w:rsidRPr="00C22B32">
        <w:rPr>
          <w:bCs/>
          <w:szCs w:val="25"/>
        </w:rPr>
        <w:t>then</w:t>
      </w:r>
      <w:r w:rsidRPr="00C22B32">
        <w:rPr>
          <w:bCs/>
          <w:iCs/>
          <w:szCs w:val="25"/>
        </w:rPr>
        <w:t>,</w:t>
      </w:r>
      <w:r w:rsidRPr="00C22B32">
        <w:rPr>
          <w:bCs/>
          <w:szCs w:val="25"/>
        </w:rPr>
        <w:t xml:space="preserve"> safely dismiss</w:t>
      </w:r>
      <w:r>
        <w:rPr>
          <w:bCs/>
          <w:szCs w:val="25"/>
        </w:rPr>
        <w:t xml:space="preserve"> </w:t>
      </w:r>
      <w:r w:rsidRPr="00C22B32">
        <w:rPr>
          <w:bCs/>
          <w:szCs w:val="25"/>
        </w:rPr>
        <w:t xml:space="preserve">the attempt to prove that the multitude is </w:t>
      </w:r>
      <w:r>
        <w:rPr>
          <w:bCs/>
          <w:szCs w:val="25"/>
        </w:rPr>
        <w:t xml:space="preserve">the </w:t>
      </w:r>
      <w:r w:rsidRPr="00C22B32">
        <w:rPr>
          <w:bCs/>
          <w:szCs w:val="25"/>
        </w:rPr>
        <w:t>audience</w:t>
      </w:r>
      <w:r w:rsidRPr="00C22B32">
        <w:rPr>
          <w:bCs/>
          <w:iCs/>
          <w:szCs w:val="25"/>
        </w:rPr>
        <w:t xml:space="preserve">, </w:t>
      </w:r>
      <w:r w:rsidRPr="00C22B32">
        <w:rPr>
          <w:bCs/>
          <w:szCs w:val="25"/>
        </w:rPr>
        <w:t xml:space="preserve">based on the reference to the </w:t>
      </w:r>
      <w:r>
        <w:rPr>
          <w:bCs/>
          <w:szCs w:val="25"/>
        </w:rPr>
        <w:t>“</w:t>
      </w:r>
      <w:r w:rsidRPr="00C22B32">
        <w:rPr>
          <w:bCs/>
          <w:szCs w:val="25"/>
        </w:rPr>
        <w:t>level place” in 6:17a.</w:t>
      </w:r>
    </w:p>
    <w:p w14:paraId="6A9CF763" w14:textId="77777777" w:rsidR="00B47A48" w:rsidRPr="00C22B32" w:rsidRDefault="00B47A48" w:rsidP="00B47A48">
      <w:pPr>
        <w:pStyle w:val="Style"/>
        <w:widowControl/>
        <w:jc w:val="both"/>
        <w:textAlignment w:val="baseline"/>
        <w:rPr>
          <w:bCs/>
          <w:szCs w:val="25"/>
        </w:rPr>
      </w:pPr>
      <w:r>
        <w:rPr>
          <w:bCs/>
          <w:szCs w:val="25"/>
        </w:rPr>
        <w:tab/>
      </w:r>
      <w:r w:rsidRPr="00C22B32">
        <w:rPr>
          <w:bCs/>
          <w:szCs w:val="25"/>
        </w:rPr>
        <w:t>The fourth argument we mentioned above in favor of the multitude as the audience of the sermon has to do with the woes (6:24-26): it is troubling at first glance to imagine these as addressed to the disciples. Having blessed the poor</w:t>
      </w:r>
      <w:r w:rsidRPr="00C22B32">
        <w:rPr>
          <w:bCs/>
          <w:iCs/>
          <w:szCs w:val="25"/>
        </w:rPr>
        <w:t xml:space="preserve">, </w:t>
      </w:r>
      <w:r w:rsidRPr="00C22B32">
        <w:rPr>
          <w:bCs/>
          <w:szCs w:val="25"/>
        </w:rPr>
        <w:t>the hungry</w:t>
      </w:r>
      <w:r w:rsidRPr="00C22B32">
        <w:rPr>
          <w:bCs/>
          <w:iCs/>
          <w:szCs w:val="25"/>
        </w:rPr>
        <w:t xml:space="preserve">, </w:t>
      </w:r>
      <w:r w:rsidRPr="00C22B32">
        <w:rPr>
          <w:bCs/>
          <w:szCs w:val="25"/>
        </w:rPr>
        <w:t>the weeping</w:t>
      </w:r>
      <w:r w:rsidRPr="00C22B32">
        <w:rPr>
          <w:bCs/>
          <w:iCs/>
          <w:szCs w:val="25"/>
        </w:rPr>
        <w:t xml:space="preserve">, </w:t>
      </w:r>
      <w:r w:rsidRPr="00C22B32">
        <w:rPr>
          <w:bCs/>
          <w:szCs w:val="25"/>
        </w:rPr>
        <w:t>and the hated</w:t>
      </w:r>
      <w:r w:rsidRPr="00C22B32">
        <w:rPr>
          <w:bCs/>
          <w:iCs/>
          <w:szCs w:val="25"/>
        </w:rPr>
        <w:t xml:space="preserve">, </w:t>
      </w:r>
      <w:r w:rsidRPr="00C22B32">
        <w:rPr>
          <w:bCs/>
          <w:szCs w:val="25"/>
        </w:rPr>
        <w:t>Jesus turns his attention to a</w:t>
      </w:r>
      <w:r>
        <w:rPr>
          <w:bCs/>
          <w:szCs w:val="25"/>
        </w:rPr>
        <w:t>n</w:t>
      </w:r>
      <w:r w:rsidRPr="00C22B32">
        <w:rPr>
          <w:bCs/>
          <w:szCs w:val="25"/>
        </w:rPr>
        <w:t xml:space="preserve"> </w:t>
      </w:r>
      <w:r>
        <w:rPr>
          <w:bCs/>
          <w:szCs w:val="25"/>
        </w:rPr>
        <w:t xml:space="preserve">antithetical </w:t>
      </w:r>
      <w:r w:rsidRPr="00C22B32">
        <w:rPr>
          <w:bCs/>
          <w:szCs w:val="25"/>
        </w:rPr>
        <w:t>subgroup in his audience: the rich</w:t>
      </w:r>
      <w:r w:rsidRPr="00C22B32">
        <w:rPr>
          <w:bCs/>
          <w:iCs/>
          <w:szCs w:val="25"/>
        </w:rPr>
        <w:t xml:space="preserve">, </w:t>
      </w:r>
      <w:r w:rsidRPr="00C22B32">
        <w:rPr>
          <w:bCs/>
          <w:szCs w:val="25"/>
        </w:rPr>
        <w:t>the full</w:t>
      </w:r>
      <w:r w:rsidRPr="00C22B32">
        <w:rPr>
          <w:bCs/>
          <w:iCs/>
          <w:szCs w:val="25"/>
        </w:rPr>
        <w:t xml:space="preserve">, </w:t>
      </w:r>
      <w:r w:rsidRPr="00C22B32">
        <w:rPr>
          <w:bCs/>
          <w:szCs w:val="25"/>
        </w:rPr>
        <w:t>the laughing</w:t>
      </w:r>
      <w:r w:rsidRPr="00C22B32">
        <w:rPr>
          <w:bCs/>
          <w:iCs/>
          <w:szCs w:val="25"/>
        </w:rPr>
        <w:t xml:space="preserve">, </w:t>
      </w:r>
      <w:r w:rsidRPr="00C22B32">
        <w:rPr>
          <w:bCs/>
          <w:szCs w:val="25"/>
        </w:rPr>
        <w:t xml:space="preserve">and the praised. The </w:t>
      </w:r>
      <w:r>
        <w:rPr>
          <w:bCs/>
          <w:szCs w:val="25"/>
        </w:rPr>
        <w:t xml:space="preserve">contrast </w:t>
      </w:r>
      <w:r w:rsidRPr="00C22B32">
        <w:rPr>
          <w:bCs/>
          <w:szCs w:val="25"/>
        </w:rPr>
        <w:t>between the two sub-groups is so acute</w:t>
      </w:r>
      <w:r w:rsidRPr="00C22B32">
        <w:rPr>
          <w:bCs/>
          <w:iCs/>
          <w:szCs w:val="25"/>
        </w:rPr>
        <w:t xml:space="preserve">, </w:t>
      </w:r>
      <w:r w:rsidRPr="00C22B32">
        <w:rPr>
          <w:bCs/>
          <w:szCs w:val="25"/>
        </w:rPr>
        <w:t>and the segregation so pronounced (</w:t>
      </w:r>
      <w:r>
        <w:rPr>
          <w:bCs/>
          <w:szCs w:val="25"/>
        </w:rPr>
        <w:t>“</w:t>
      </w:r>
      <w:r w:rsidRPr="00C22B32">
        <w:rPr>
          <w:bCs/>
          <w:szCs w:val="25"/>
        </w:rPr>
        <w:t>But [</w:t>
      </w:r>
      <w:r>
        <w:rPr>
          <w:bCs/>
          <w:szCs w:val="25"/>
        </w:rPr>
        <w:t>π</w:t>
      </w:r>
      <w:proofErr w:type="spellStart"/>
      <w:r>
        <w:rPr>
          <w:bCs/>
          <w:szCs w:val="25"/>
        </w:rPr>
        <w:t>λήν</w:t>
      </w:r>
      <w:proofErr w:type="spellEnd"/>
      <w:r w:rsidRPr="00C22B32">
        <w:rPr>
          <w:bCs/>
          <w:szCs w:val="25"/>
        </w:rPr>
        <w:t>] woe to you,</w:t>
      </w:r>
      <w:r>
        <w:rPr>
          <w:bCs/>
          <w:szCs w:val="25"/>
        </w:rPr>
        <w:t>”</w:t>
      </w:r>
      <w:r w:rsidRPr="00C22B32">
        <w:rPr>
          <w:bCs/>
          <w:szCs w:val="25"/>
        </w:rPr>
        <w:t xml:space="preserve"> 6:24a)</w:t>
      </w:r>
      <w:r w:rsidRPr="00C22B32">
        <w:rPr>
          <w:bCs/>
          <w:iCs/>
          <w:szCs w:val="25"/>
        </w:rPr>
        <w:t xml:space="preserve">, </w:t>
      </w:r>
      <w:r w:rsidRPr="00C22B32">
        <w:rPr>
          <w:bCs/>
          <w:szCs w:val="25"/>
        </w:rPr>
        <w:t>that to imagine both passages addressed to the same group</w:t>
      </w:r>
      <w:r w:rsidRPr="00C22B32">
        <w:rPr>
          <w:bCs/>
          <w:iCs/>
          <w:szCs w:val="25"/>
        </w:rPr>
        <w:t xml:space="preserve">, </w:t>
      </w:r>
      <w:r w:rsidRPr="00C22B32">
        <w:rPr>
          <w:bCs/>
          <w:szCs w:val="25"/>
        </w:rPr>
        <w:t>the disciples</w:t>
      </w:r>
      <w:r w:rsidRPr="00C22B32">
        <w:rPr>
          <w:bCs/>
          <w:iCs/>
          <w:szCs w:val="25"/>
        </w:rPr>
        <w:t xml:space="preserve">, </w:t>
      </w:r>
      <w:r>
        <w:rPr>
          <w:bCs/>
          <w:szCs w:val="25"/>
        </w:rPr>
        <w:t>seems</w:t>
      </w:r>
      <w:r w:rsidRPr="00C22B32">
        <w:rPr>
          <w:bCs/>
          <w:szCs w:val="25"/>
        </w:rPr>
        <w:t xml:space="preserve"> difficult.</w:t>
      </w:r>
    </w:p>
    <w:p w14:paraId="22CB882E" w14:textId="77777777" w:rsidR="00B47A48" w:rsidRPr="00C22B32" w:rsidRDefault="00B47A48" w:rsidP="00B47A48">
      <w:pPr>
        <w:pStyle w:val="Style"/>
        <w:widowControl/>
        <w:jc w:val="both"/>
        <w:textAlignment w:val="baseline"/>
        <w:rPr>
          <w:bCs/>
          <w:szCs w:val="25"/>
        </w:rPr>
      </w:pPr>
      <w:r>
        <w:rPr>
          <w:bCs/>
          <w:szCs w:val="25"/>
        </w:rPr>
        <w:tab/>
      </w:r>
      <w:r w:rsidRPr="00C22B32">
        <w:rPr>
          <w:bCs/>
          <w:szCs w:val="25"/>
        </w:rPr>
        <w:t>Certainly it is improbable that the Lukan Jesus would address the woes to the twelve</w:t>
      </w:r>
      <w:r w:rsidRPr="00C22B32">
        <w:rPr>
          <w:bCs/>
          <w:iCs/>
          <w:szCs w:val="25"/>
        </w:rPr>
        <w:t xml:space="preserve">, </w:t>
      </w:r>
      <w:r w:rsidRPr="00C22B32">
        <w:rPr>
          <w:bCs/>
          <w:szCs w:val="25"/>
        </w:rPr>
        <w:t xml:space="preserve">for their position in Luke’s gospel </w:t>
      </w:r>
      <w:r w:rsidRPr="001C646B">
        <w:rPr>
          <w:bCs/>
          <w:iCs/>
          <w:szCs w:val="25"/>
        </w:rPr>
        <w:t>(</w:t>
      </w:r>
      <w:r w:rsidRPr="00C22B32">
        <w:rPr>
          <w:bCs/>
          <w:szCs w:val="25"/>
        </w:rPr>
        <w:t>especially in comparison with Mark’s) is a relatively exalted one.</w:t>
      </w:r>
      <w:r>
        <w:rPr>
          <w:rStyle w:val="FootnoteReference"/>
          <w:bCs/>
          <w:szCs w:val="25"/>
        </w:rPr>
        <w:footnoteReference w:id="871"/>
      </w:r>
      <w:r w:rsidRPr="00671DEF">
        <w:rPr>
          <w:bCs/>
          <w:iCs/>
          <w:szCs w:val="25"/>
        </w:rPr>
        <w:t xml:space="preserve"> </w:t>
      </w:r>
      <w:r w:rsidRPr="00C22B32">
        <w:rPr>
          <w:bCs/>
          <w:szCs w:val="25"/>
        </w:rPr>
        <w:t>But</w:t>
      </w:r>
      <w:r w:rsidRPr="00C22B32">
        <w:rPr>
          <w:bCs/>
          <w:iCs/>
          <w:szCs w:val="25"/>
        </w:rPr>
        <w:t xml:space="preserve">, </w:t>
      </w:r>
      <w:r w:rsidRPr="00C22B32">
        <w:rPr>
          <w:bCs/>
          <w:szCs w:val="25"/>
        </w:rPr>
        <w:t>although Jesus has just chosen the twelve at this</w:t>
      </w:r>
      <w:r>
        <w:rPr>
          <w:bCs/>
          <w:szCs w:val="25"/>
        </w:rPr>
        <w:t xml:space="preserve"> </w:t>
      </w:r>
      <w:r w:rsidRPr="00C22B32">
        <w:rPr>
          <w:bCs/>
          <w:szCs w:val="25"/>
        </w:rPr>
        <w:t>point in the narrative</w:t>
      </w:r>
      <w:r w:rsidRPr="00C22B32">
        <w:rPr>
          <w:bCs/>
          <w:iCs/>
          <w:szCs w:val="25"/>
        </w:rPr>
        <w:t xml:space="preserve">, </w:t>
      </w:r>
      <w:r w:rsidRPr="00C22B32">
        <w:rPr>
          <w:bCs/>
          <w:szCs w:val="25"/>
        </w:rPr>
        <w:t>Luke does not say in 6:20a that Jesus addressed the “twelve,”</w:t>
      </w:r>
      <w:r>
        <w:rPr>
          <w:bCs/>
          <w:szCs w:val="25"/>
        </w:rPr>
        <w:t xml:space="preserve"> </w:t>
      </w:r>
      <w:r w:rsidRPr="00C22B32">
        <w:rPr>
          <w:bCs/>
          <w:szCs w:val="25"/>
        </w:rPr>
        <w:t>only that he addressed “his disciples”; and we know that they are a “great crowd of his disciples” (6:17)</w:t>
      </w:r>
      <w:r w:rsidRPr="00C22B32">
        <w:rPr>
          <w:bCs/>
          <w:iCs/>
          <w:szCs w:val="25"/>
        </w:rPr>
        <w:t xml:space="preserve">, </w:t>
      </w:r>
      <w:r w:rsidRPr="00C22B32">
        <w:rPr>
          <w:bCs/>
          <w:szCs w:val="25"/>
        </w:rPr>
        <w:t>likely to contain a variety of characters.</w:t>
      </w:r>
    </w:p>
    <w:p w14:paraId="7533FFCF" w14:textId="77777777" w:rsidR="00B47A48" w:rsidRPr="00C22B32" w:rsidRDefault="00B47A48" w:rsidP="00B47A48">
      <w:pPr>
        <w:pStyle w:val="Style"/>
        <w:widowControl/>
        <w:jc w:val="both"/>
        <w:textAlignment w:val="baseline"/>
        <w:rPr>
          <w:bCs/>
          <w:szCs w:val="25"/>
        </w:rPr>
      </w:pPr>
      <w:r>
        <w:rPr>
          <w:bCs/>
          <w:szCs w:val="25"/>
        </w:rPr>
        <w:tab/>
      </w:r>
      <w:r w:rsidRPr="00C22B32">
        <w:rPr>
          <w:bCs/>
          <w:szCs w:val="25"/>
        </w:rPr>
        <w:t>There also exists in the woes themselves one datum</w:t>
      </w:r>
      <w:r w:rsidRPr="00671DEF">
        <w:rPr>
          <w:bCs/>
          <w:iCs/>
          <w:szCs w:val="25"/>
        </w:rPr>
        <w:t>—</w:t>
      </w:r>
      <w:r w:rsidRPr="00C22B32">
        <w:rPr>
          <w:bCs/>
          <w:szCs w:val="25"/>
        </w:rPr>
        <w:t>admittedly a rather subtle one</w:t>
      </w:r>
      <w:r w:rsidRPr="00671DEF">
        <w:rPr>
          <w:bCs/>
          <w:iCs/>
          <w:szCs w:val="25"/>
        </w:rPr>
        <w:t>—</w:t>
      </w:r>
      <w:r w:rsidRPr="00C22B32">
        <w:rPr>
          <w:bCs/>
          <w:szCs w:val="25"/>
        </w:rPr>
        <w:t xml:space="preserve">which suggests that even here the audience of the sermon remains the disciples. This element is the third-person references in the woes. After presenting the beatitudes and the woes by means of direct address (Blessed are </w:t>
      </w:r>
      <w:r w:rsidRPr="00C22B32">
        <w:rPr>
          <w:rFonts w:eastAsia="Arial"/>
          <w:bCs/>
          <w:i/>
          <w:iCs/>
          <w:szCs w:val="23"/>
        </w:rPr>
        <w:t>you</w:t>
      </w:r>
      <w:r w:rsidRPr="00C22B32">
        <w:rPr>
          <w:rFonts w:eastAsia="Arial"/>
          <w:bCs/>
          <w:iCs/>
          <w:szCs w:val="23"/>
        </w:rPr>
        <w:t>,” “</w:t>
      </w:r>
      <w:r w:rsidRPr="00C22B32">
        <w:rPr>
          <w:bCs/>
          <w:szCs w:val="25"/>
        </w:rPr>
        <w:t xml:space="preserve">Woe to </w:t>
      </w:r>
      <w:r w:rsidRPr="00C22B32">
        <w:rPr>
          <w:rFonts w:eastAsia="Arial"/>
          <w:bCs/>
          <w:i/>
          <w:iCs/>
          <w:szCs w:val="23"/>
        </w:rPr>
        <w:t>you</w:t>
      </w:r>
      <w:r w:rsidRPr="00C22B32">
        <w:rPr>
          <w:rFonts w:eastAsia="Arial"/>
          <w:bCs/>
          <w:iCs/>
          <w:szCs w:val="23"/>
        </w:rPr>
        <w:t xml:space="preserve">”), </w:t>
      </w:r>
      <w:r w:rsidRPr="00C22B32">
        <w:rPr>
          <w:bCs/>
          <w:szCs w:val="25"/>
        </w:rPr>
        <w:t>Jesus alludes to those outside the circle of addressees by using the third person: 6:23b</w:t>
      </w:r>
      <w:r>
        <w:rPr>
          <w:bCs/>
          <w:szCs w:val="25"/>
        </w:rPr>
        <w:t>β</w:t>
      </w:r>
      <w:r w:rsidRPr="00C22B32">
        <w:rPr>
          <w:bCs/>
          <w:iCs/>
          <w:szCs w:val="25"/>
        </w:rPr>
        <w:t xml:space="preserve">, </w:t>
      </w:r>
      <w:r>
        <w:rPr>
          <w:bCs/>
          <w:iCs/>
          <w:szCs w:val="25"/>
        </w:rPr>
        <w:t>“</w:t>
      </w:r>
      <w:r w:rsidRPr="00C22B32">
        <w:rPr>
          <w:bCs/>
          <w:szCs w:val="25"/>
        </w:rPr>
        <w:t xml:space="preserve">for so </w:t>
      </w:r>
      <w:r w:rsidRPr="00C22B32">
        <w:rPr>
          <w:bCs/>
          <w:i/>
          <w:iCs/>
          <w:szCs w:val="23"/>
        </w:rPr>
        <w:t>their</w:t>
      </w:r>
      <w:r w:rsidRPr="001225FD">
        <w:rPr>
          <w:bCs/>
          <w:szCs w:val="23"/>
        </w:rPr>
        <w:t xml:space="preserve"> </w:t>
      </w:r>
      <w:r w:rsidRPr="00C22B32">
        <w:rPr>
          <w:bCs/>
          <w:szCs w:val="25"/>
        </w:rPr>
        <w:t>fathers did to the prophets”; 6:26b</w:t>
      </w:r>
      <w:r w:rsidRPr="00C22B32">
        <w:rPr>
          <w:bCs/>
          <w:iCs/>
          <w:szCs w:val="25"/>
        </w:rPr>
        <w:t xml:space="preserve">, </w:t>
      </w:r>
      <w:r>
        <w:rPr>
          <w:bCs/>
          <w:iCs/>
          <w:szCs w:val="25"/>
        </w:rPr>
        <w:t>“</w:t>
      </w:r>
      <w:r w:rsidRPr="00C22B32">
        <w:rPr>
          <w:bCs/>
          <w:szCs w:val="25"/>
        </w:rPr>
        <w:t xml:space="preserve">for so </w:t>
      </w:r>
      <w:r w:rsidRPr="00C22B32">
        <w:rPr>
          <w:bCs/>
          <w:i/>
          <w:iCs/>
          <w:szCs w:val="23"/>
        </w:rPr>
        <w:t>their</w:t>
      </w:r>
      <w:r w:rsidRPr="001225FD">
        <w:rPr>
          <w:bCs/>
          <w:szCs w:val="23"/>
        </w:rPr>
        <w:t xml:space="preserve"> </w:t>
      </w:r>
      <w:r w:rsidRPr="00C22B32">
        <w:rPr>
          <w:bCs/>
          <w:szCs w:val="25"/>
        </w:rPr>
        <w:t xml:space="preserve">fathers did to the false prophets.” To whom does “their” refer? Establishing the referent of this pronoun should help to determine the referent of </w:t>
      </w:r>
      <w:r>
        <w:rPr>
          <w:bCs/>
          <w:szCs w:val="25"/>
        </w:rPr>
        <w:t>“</w:t>
      </w:r>
      <w:r w:rsidRPr="00C22B32">
        <w:rPr>
          <w:bCs/>
          <w:szCs w:val="25"/>
        </w:rPr>
        <w:t>you”</w:t>
      </w:r>
      <w:r w:rsidRPr="00671DEF">
        <w:rPr>
          <w:bCs/>
          <w:iCs/>
          <w:szCs w:val="25"/>
        </w:rPr>
        <w:t>—</w:t>
      </w:r>
      <w:r w:rsidRPr="00C22B32">
        <w:rPr>
          <w:bCs/>
          <w:szCs w:val="25"/>
        </w:rPr>
        <w:t>i.e.</w:t>
      </w:r>
      <w:r w:rsidRPr="00C22B32">
        <w:rPr>
          <w:bCs/>
          <w:iCs/>
          <w:szCs w:val="25"/>
        </w:rPr>
        <w:t xml:space="preserve">, </w:t>
      </w:r>
      <w:r w:rsidRPr="00C22B32">
        <w:rPr>
          <w:bCs/>
          <w:szCs w:val="25"/>
        </w:rPr>
        <w:t>the audience of the woes.</w:t>
      </w:r>
    </w:p>
    <w:p w14:paraId="66E9A3C1" w14:textId="77777777" w:rsidR="00B47A48" w:rsidRPr="00C22B32" w:rsidRDefault="00B47A48" w:rsidP="00B47A48">
      <w:pPr>
        <w:pStyle w:val="Style"/>
        <w:widowControl/>
        <w:jc w:val="both"/>
        <w:textAlignment w:val="baseline"/>
        <w:rPr>
          <w:bCs/>
          <w:szCs w:val="25"/>
        </w:rPr>
      </w:pPr>
      <w:r>
        <w:rPr>
          <w:bCs/>
          <w:szCs w:val="25"/>
        </w:rPr>
        <w:lastRenderedPageBreak/>
        <w:tab/>
      </w:r>
      <w:r w:rsidRPr="00C22B32">
        <w:rPr>
          <w:bCs/>
          <w:szCs w:val="25"/>
        </w:rPr>
        <w:t>No antecedent of “their” is explicitly provided in 23b</w:t>
      </w:r>
      <w:r>
        <w:rPr>
          <w:bCs/>
          <w:szCs w:val="25"/>
        </w:rPr>
        <w:t>β</w:t>
      </w:r>
      <w:r w:rsidRPr="00C22B32">
        <w:rPr>
          <w:bCs/>
          <w:szCs w:val="25"/>
        </w:rPr>
        <w:t xml:space="preserve"> and 26b</w:t>
      </w:r>
      <w:r w:rsidRPr="00C22B32">
        <w:rPr>
          <w:bCs/>
          <w:iCs/>
          <w:szCs w:val="25"/>
        </w:rPr>
        <w:t xml:space="preserve">, </w:t>
      </w:r>
      <w:r w:rsidRPr="00C22B32">
        <w:rPr>
          <w:bCs/>
          <w:szCs w:val="25"/>
        </w:rPr>
        <w:t>but of course the reference is to the Jews: it is to this community that the prophets belonged.</w:t>
      </w:r>
      <w:r>
        <w:rPr>
          <w:rStyle w:val="FootnoteReference"/>
          <w:bCs/>
          <w:szCs w:val="25"/>
        </w:rPr>
        <w:footnoteReference w:id="872"/>
      </w:r>
      <w:r w:rsidRPr="00C22B32">
        <w:rPr>
          <w:bCs/>
          <w:szCs w:val="25"/>
        </w:rPr>
        <w:t xml:space="preserve"> Since those represented by </w:t>
      </w:r>
      <w:r>
        <w:rPr>
          <w:bCs/>
          <w:szCs w:val="25"/>
        </w:rPr>
        <w:t>“</w:t>
      </w:r>
      <w:r w:rsidRPr="00C22B32">
        <w:rPr>
          <w:bCs/>
          <w:szCs w:val="25"/>
        </w:rPr>
        <w:t>you</w:t>
      </w:r>
      <w:r>
        <w:rPr>
          <w:bCs/>
          <w:szCs w:val="25"/>
        </w:rPr>
        <w:t>”</w:t>
      </w:r>
      <w:r w:rsidRPr="00C22B32">
        <w:rPr>
          <w:bCs/>
          <w:szCs w:val="25"/>
        </w:rPr>
        <w:t xml:space="preserve"> in the woes contrast with those represented by</w:t>
      </w:r>
      <w:r>
        <w:rPr>
          <w:bCs/>
          <w:szCs w:val="25"/>
        </w:rPr>
        <w:t xml:space="preserve"> “</w:t>
      </w:r>
      <w:proofErr w:type="spellStart"/>
      <w:r w:rsidRPr="00C22B32">
        <w:rPr>
          <w:bCs/>
          <w:szCs w:val="25"/>
        </w:rPr>
        <w:t>their</w:t>
      </w:r>
      <w:proofErr w:type="spellEnd"/>
      <w:r w:rsidRPr="00C22B32">
        <w:rPr>
          <w:bCs/>
          <w:szCs w:val="25"/>
        </w:rPr>
        <w:t xml:space="preserve">,” and since </w:t>
      </w:r>
      <w:r>
        <w:rPr>
          <w:bCs/>
          <w:szCs w:val="25"/>
        </w:rPr>
        <w:t>“</w:t>
      </w:r>
      <w:r w:rsidRPr="00C22B32">
        <w:rPr>
          <w:bCs/>
          <w:szCs w:val="25"/>
        </w:rPr>
        <w:t>their” represents the Jews,</w:t>
      </w:r>
      <w:r>
        <w:rPr>
          <w:rStyle w:val="FootnoteReference"/>
          <w:bCs/>
          <w:szCs w:val="25"/>
        </w:rPr>
        <w:footnoteReference w:id="873"/>
      </w:r>
      <w:r w:rsidRPr="00C22B32">
        <w:rPr>
          <w:bCs/>
          <w:szCs w:val="25"/>
        </w:rPr>
        <w:t xml:space="preserve"> the audience of the woes is</w:t>
      </w:r>
      <w:r>
        <w:rPr>
          <w:bCs/>
          <w:szCs w:val="25"/>
        </w:rPr>
        <w:t xml:space="preserve"> </w:t>
      </w:r>
      <w:r w:rsidRPr="00C22B32">
        <w:rPr>
          <w:bCs/>
          <w:szCs w:val="25"/>
        </w:rPr>
        <w:t>probably composed of non-Jews</w:t>
      </w:r>
      <w:r w:rsidRPr="00C22B32">
        <w:rPr>
          <w:bCs/>
          <w:iCs/>
          <w:szCs w:val="25"/>
        </w:rPr>
        <w:t xml:space="preserve">, </w:t>
      </w:r>
      <w:r w:rsidRPr="00C22B32">
        <w:rPr>
          <w:bCs/>
          <w:szCs w:val="25"/>
        </w:rPr>
        <w:t>either in an ethnic or an ideological sense.</w:t>
      </w:r>
    </w:p>
    <w:p w14:paraId="2C3C112F" w14:textId="77777777" w:rsidR="00B47A48" w:rsidRPr="00C22B32" w:rsidRDefault="00B47A48" w:rsidP="00B47A48">
      <w:pPr>
        <w:pStyle w:val="Style"/>
        <w:widowControl/>
        <w:jc w:val="both"/>
        <w:textAlignment w:val="baseline"/>
        <w:rPr>
          <w:bCs/>
          <w:szCs w:val="25"/>
        </w:rPr>
      </w:pPr>
      <w:r>
        <w:rPr>
          <w:bCs/>
          <w:szCs w:val="25"/>
        </w:rPr>
        <w:tab/>
      </w:r>
      <w:r w:rsidRPr="00C22B32">
        <w:rPr>
          <w:bCs/>
          <w:szCs w:val="25"/>
        </w:rPr>
        <w:t xml:space="preserve">But here we face a tricky problem: is not the multitude a group distinct from the Jews and therefore just as possibly the </w:t>
      </w:r>
      <w:r>
        <w:rPr>
          <w:bCs/>
          <w:szCs w:val="25"/>
        </w:rPr>
        <w:t>“</w:t>
      </w:r>
      <w:r w:rsidRPr="00C22B32">
        <w:rPr>
          <w:bCs/>
          <w:szCs w:val="25"/>
        </w:rPr>
        <w:t xml:space="preserve">non-Jews” represented by </w:t>
      </w:r>
      <w:r>
        <w:rPr>
          <w:bCs/>
          <w:szCs w:val="25"/>
        </w:rPr>
        <w:t>“</w:t>
      </w:r>
      <w:r w:rsidRPr="00C22B32">
        <w:rPr>
          <w:bCs/>
          <w:szCs w:val="25"/>
        </w:rPr>
        <w:t>you” as the disciples? That the multitude is not entirely Jewish seems apparent from the reference to Gentiles within it</w:t>
      </w:r>
      <w:r w:rsidRPr="00C22B32">
        <w:rPr>
          <w:bCs/>
          <w:iCs/>
          <w:szCs w:val="25"/>
        </w:rPr>
        <w:t xml:space="preserve">, </w:t>
      </w:r>
      <w:r w:rsidRPr="00C22B32">
        <w:rPr>
          <w:bCs/>
          <w:szCs w:val="25"/>
        </w:rPr>
        <w:t xml:space="preserve">people from </w:t>
      </w:r>
      <w:r>
        <w:rPr>
          <w:bCs/>
          <w:szCs w:val="25"/>
        </w:rPr>
        <w:t>“</w:t>
      </w:r>
      <w:r w:rsidRPr="00C22B32">
        <w:rPr>
          <w:bCs/>
          <w:szCs w:val="25"/>
        </w:rPr>
        <w:t xml:space="preserve">the seacoast of </w:t>
      </w:r>
      <w:proofErr w:type="spellStart"/>
      <w:r w:rsidRPr="00C22B32">
        <w:rPr>
          <w:bCs/>
          <w:szCs w:val="25"/>
        </w:rPr>
        <w:t>Tyre</w:t>
      </w:r>
      <w:proofErr w:type="spellEnd"/>
      <w:r w:rsidRPr="00C22B32">
        <w:rPr>
          <w:bCs/>
          <w:szCs w:val="25"/>
        </w:rPr>
        <w:t xml:space="preserve"> and Sidon” (6:17). True</w:t>
      </w:r>
      <w:r w:rsidRPr="00C22B32">
        <w:rPr>
          <w:bCs/>
          <w:iCs/>
          <w:szCs w:val="25"/>
        </w:rPr>
        <w:t xml:space="preserve">, </w:t>
      </w:r>
      <w:r w:rsidRPr="00C22B32">
        <w:rPr>
          <w:bCs/>
          <w:szCs w:val="25"/>
        </w:rPr>
        <w:t>the people from the seacoast could be Jews rather than Gentiles</w:t>
      </w:r>
      <w:r w:rsidRPr="00C22B32">
        <w:rPr>
          <w:bCs/>
          <w:iCs/>
          <w:szCs w:val="25"/>
        </w:rPr>
        <w:t xml:space="preserve">, </w:t>
      </w:r>
      <w:r w:rsidRPr="00C22B32">
        <w:rPr>
          <w:bCs/>
          <w:szCs w:val="25"/>
        </w:rPr>
        <w:t>perhaps those living in Jewish quarters of the cities or Jews sojourning in the countryside; and in fact it is more likely that Jews from the seacoast would be attuned to rumors from Galilee and would hear of and seek out the curious new “prophet” than that non</w:t>
      </w:r>
      <w:r>
        <w:rPr>
          <w:bCs/>
          <w:szCs w:val="25"/>
        </w:rPr>
        <w:t>-</w:t>
      </w:r>
      <w:r w:rsidRPr="00C22B32">
        <w:rPr>
          <w:bCs/>
          <w:szCs w:val="25"/>
        </w:rPr>
        <w:t>Jews from the seacoast would do so. Nevertheless</w:t>
      </w:r>
      <w:r w:rsidRPr="00C22B32">
        <w:rPr>
          <w:bCs/>
          <w:iCs/>
          <w:szCs w:val="25"/>
        </w:rPr>
        <w:t xml:space="preserve">, </w:t>
      </w:r>
      <w:r w:rsidRPr="00C22B32">
        <w:rPr>
          <w:bCs/>
          <w:szCs w:val="25"/>
        </w:rPr>
        <w:t xml:space="preserve">it remains probable that the portion of the multitude from Phoenicia in 6:17 is non-Jewish. This is evident from the fact that Luke thinks of </w:t>
      </w:r>
      <w:proofErr w:type="spellStart"/>
      <w:r w:rsidRPr="00C22B32">
        <w:rPr>
          <w:bCs/>
          <w:szCs w:val="25"/>
        </w:rPr>
        <w:t>Tyre</w:t>
      </w:r>
      <w:proofErr w:type="spellEnd"/>
      <w:r w:rsidRPr="00C22B32">
        <w:rPr>
          <w:bCs/>
          <w:szCs w:val="25"/>
        </w:rPr>
        <w:t xml:space="preserve"> and Sidon as Gentile territory. Considering this area to be Gentile seems to be Luke’s reason for omitting the Markan journey of Jesus to “the region of </w:t>
      </w:r>
      <w:proofErr w:type="spellStart"/>
      <w:r w:rsidRPr="00C22B32">
        <w:rPr>
          <w:bCs/>
          <w:szCs w:val="25"/>
        </w:rPr>
        <w:t>Tyre</w:t>
      </w:r>
      <w:proofErr w:type="spellEnd"/>
      <w:r w:rsidRPr="00C22B32">
        <w:rPr>
          <w:bCs/>
          <w:szCs w:val="25"/>
        </w:rPr>
        <w:t xml:space="preserve"> and Sidon</w:t>
      </w:r>
      <w:r>
        <w:rPr>
          <w:bCs/>
          <w:szCs w:val="25"/>
        </w:rPr>
        <w:t>”</w:t>
      </w:r>
      <w:r w:rsidRPr="00C22B32">
        <w:rPr>
          <w:bCs/>
          <w:szCs w:val="25"/>
        </w:rPr>
        <w:t xml:space="preserve"> (Mark 7:24 [the Syrophoenician woman])</w:t>
      </w:r>
      <w:r w:rsidRPr="00C22B32">
        <w:rPr>
          <w:bCs/>
          <w:iCs/>
          <w:szCs w:val="25"/>
        </w:rPr>
        <w:t xml:space="preserve">, </w:t>
      </w:r>
      <w:r w:rsidRPr="00C22B32">
        <w:rPr>
          <w:bCs/>
          <w:szCs w:val="25"/>
        </w:rPr>
        <w:t>presumably because</w:t>
      </w:r>
      <w:r w:rsidRPr="00C22B32">
        <w:rPr>
          <w:bCs/>
          <w:iCs/>
          <w:szCs w:val="25"/>
        </w:rPr>
        <w:t xml:space="preserve">, </w:t>
      </w:r>
      <w:r w:rsidRPr="00C22B32">
        <w:rPr>
          <w:bCs/>
          <w:szCs w:val="25"/>
        </w:rPr>
        <w:t>as Conzelmann says</w:t>
      </w:r>
      <w:r w:rsidRPr="00C22B32">
        <w:rPr>
          <w:bCs/>
          <w:iCs/>
          <w:szCs w:val="25"/>
        </w:rPr>
        <w:t xml:space="preserve">, </w:t>
      </w:r>
      <w:r>
        <w:rPr>
          <w:bCs/>
          <w:iCs/>
          <w:szCs w:val="25"/>
        </w:rPr>
        <w:t>“</w:t>
      </w:r>
      <w:r w:rsidRPr="00C22B32">
        <w:rPr>
          <w:rFonts w:eastAsia="Arial"/>
          <w:bCs/>
          <w:szCs w:val="31"/>
        </w:rPr>
        <w:t xml:space="preserve">a </w:t>
      </w:r>
      <w:r w:rsidRPr="00C22B32">
        <w:rPr>
          <w:bCs/>
          <w:szCs w:val="25"/>
        </w:rPr>
        <w:t>journey outside Jewish territory is</w:t>
      </w:r>
      <w:r>
        <w:rPr>
          <w:bCs/>
          <w:szCs w:val="25"/>
        </w:rPr>
        <w:t xml:space="preserve"> </w:t>
      </w:r>
      <w:r w:rsidRPr="00C22B32">
        <w:rPr>
          <w:bCs/>
          <w:szCs w:val="25"/>
        </w:rPr>
        <w:t xml:space="preserve">unthinkable </w:t>
      </w:r>
      <w:r>
        <w:rPr>
          <w:bCs/>
          <w:szCs w:val="25"/>
        </w:rPr>
        <w:t>. . .”</w:t>
      </w:r>
      <w:r>
        <w:rPr>
          <w:rStyle w:val="FootnoteReference"/>
          <w:bCs/>
          <w:szCs w:val="25"/>
        </w:rPr>
        <w:footnoteReference w:id="874"/>
      </w:r>
      <w:r w:rsidRPr="00671DEF">
        <w:rPr>
          <w:bCs/>
          <w:iCs/>
          <w:szCs w:val="25"/>
        </w:rPr>
        <w:t xml:space="preserve"> </w:t>
      </w:r>
      <w:r w:rsidRPr="00C22B32">
        <w:rPr>
          <w:bCs/>
          <w:szCs w:val="25"/>
        </w:rPr>
        <w:t xml:space="preserve">Consider too the statement in Luke 10:13-14: </w:t>
      </w:r>
      <w:r>
        <w:rPr>
          <w:bCs/>
          <w:szCs w:val="25"/>
        </w:rPr>
        <w:t>“</w:t>
      </w:r>
      <w:r w:rsidRPr="00C22B32">
        <w:rPr>
          <w:bCs/>
          <w:szCs w:val="25"/>
        </w:rPr>
        <w:t>if the mighty</w:t>
      </w:r>
      <w:r>
        <w:rPr>
          <w:bCs/>
          <w:szCs w:val="25"/>
        </w:rPr>
        <w:t xml:space="preserve"> </w:t>
      </w:r>
      <w:r w:rsidRPr="00C22B32">
        <w:rPr>
          <w:bCs/>
          <w:szCs w:val="25"/>
        </w:rPr>
        <w:t xml:space="preserve">works done in you [Chorazin and Bethsaida] had been done in </w:t>
      </w:r>
      <w:proofErr w:type="spellStart"/>
      <w:r w:rsidRPr="00C22B32">
        <w:rPr>
          <w:bCs/>
          <w:szCs w:val="25"/>
        </w:rPr>
        <w:t>Tyre</w:t>
      </w:r>
      <w:proofErr w:type="spellEnd"/>
      <w:r w:rsidRPr="00C22B32">
        <w:rPr>
          <w:bCs/>
          <w:szCs w:val="25"/>
        </w:rPr>
        <w:t xml:space="preserve"> and Sidon</w:t>
      </w:r>
      <w:r w:rsidRPr="00C22B32">
        <w:rPr>
          <w:bCs/>
          <w:iCs/>
          <w:szCs w:val="25"/>
        </w:rPr>
        <w:t xml:space="preserve">, </w:t>
      </w:r>
      <w:r w:rsidRPr="00C22B32">
        <w:rPr>
          <w:bCs/>
          <w:szCs w:val="25"/>
        </w:rPr>
        <w:t>they would have repented long ago</w:t>
      </w:r>
      <w:r w:rsidRPr="00C22B32">
        <w:rPr>
          <w:bCs/>
          <w:iCs/>
          <w:szCs w:val="25"/>
        </w:rPr>
        <w:t xml:space="preserve">, </w:t>
      </w:r>
      <w:r w:rsidRPr="00C22B32">
        <w:rPr>
          <w:bCs/>
          <w:szCs w:val="25"/>
        </w:rPr>
        <w:t xml:space="preserve">sitting in sackcloth and ashes </w:t>
      </w:r>
      <w:r>
        <w:rPr>
          <w:bCs/>
          <w:szCs w:val="25"/>
        </w:rPr>
        <w:t>. . .”</w:t>
      </w:r>
      <w:r w:rsidRPr="00C22B32">
        <w:rPr>
          <w:bCs/>
          <w:szCs w:val="25"/>
        </w:rPr>
        <w:t xml:space="preserve"> Here </w:t>
      </w:r>
      <w:proofErr w:type="spellStart"/>
      <w:r w:rsidRPr="00C22B32">
        <w:rPr>
          <w:bCs/>
          <w:szCs w:val="25"/>
        </w:rPr>
        <w:t>Tyre</w:t>
      </w:r>
      <w:proofErr w:type="spellEnd"/>
      <w:r w:rsidRPr="00C22B32">
        <w:rPr>
          <w:bCs/>
          <w:szCs w:val="25"/>
        </w:rPr>
        <w:t xml:space="preserve"> and Sidon are implicitly compared to Jonah’s Nineveh (Jonah 3:6</w:t>
      </w:r>
      <w:r w:rsidRPr="00C22B32">
        <w:rPr>
          <w:bCs/>
          <w:iCs/>
          <w:szCs w:val="25"/>
        </w:rPr>
        <w:t xml:space="preserve">, </w:t>
      </w:r>
      <w:r w:rsidRPr="00C22B32">
        <w:rPr>
          <w:bCs/>
          <w:szCs w:val="25"/>
        </w:rPr>
        <w:t>8); and in Jonah</w:t>
      </w:r>
      <w:r w:rsidRPr="00C22B32">
        <w:rPr>
          <w:bCs/>
          <w:iCs/>
          <w:szCs w:val="25"/>
        </w:rPr>
        <w:t xml:space="preserve">, </w:t>
      </w:r>
      <w:r w:rsidRPr="00C22B32">
        <w:rPr>
          <w:bCs/>
          <w:szCs w:val="25"/>
        </w:rPr>
        <w:t>Nineveh is the epitome of a foreign</w:t>
      </w:r>
      <w:r w:rsidRPr="00C22B32">
        <w:rPr>
          <w:bCs/>
          <w:iCs/>
          <w:szCs w:val="25"/>
        </w:rPr>
        <w:t xml:space="preserve">, </w:t>
      </w:r>
      <w:r w:rsidRPr="00C22B32">
        <w:rPr>
          <w:bCs/>
          <w:szCs w:val="25"/>
        </w:rPr>
        <w:t xml:space="preserve">pagan metropolis. Since Luke thinks of </w:t>
      </w:r>
      <w:proofErr w:type="spellStart"/>
      <w:r w:rsidRPr="00C22B32">
        <w:rPr>
          <w:bCs/>
          <w:szCs w:val="25"/>
        </w:rPr>
        <w:t>Tyre</w:t>
      </w:r>
      <w:proofErr w:type="spellEnd"/>
      <w:r w:rsidRPr="00C22B32">
        <w:rPr>
          <w:bCs/>
          <w:szCs w:val="25"/>
        </w:rPr>
        <w:t xml:space="preserve"> and Sidon as Gentile</w:t>
      </w:r>
      <w:r w:rsidRPr="00C22B32">
        <w:rPr>
          <w:bCs/>
          <w:iCs/>
          <w:szCs w:val="25"/>
        </w:rPr>
        <w:t xml:space="preserve">, </w:t>
      </w:r>
      <w:r w:rsidRPr="00C22B32">
        <w:rPr>
          <w:bCs/>
          <w:szCs w:val="25"/>
        </w:rPr>
        <w:t xml:space="preserve">it is accordingly probable that the people </w:t>
      </w:r>
      <w:r>
        <w:rPr>
          <w:bCs/>
          <w:szCs w:val="25"/>
        </w:rPr>
        <w:t>“</w:t>
      </w:r>
      <w:r w:rsidRPr="00C22B32">
        <w:rPr>
          <w:bCs/>
          <w:szCs w:val="25"/>
        </w:rPr>
        <w:t xml:space="preserve">from the region of </w:t>
      </w:r>
      <w:proofErr w:type="spellStart"/>
      <w:r w:rsidRPr="00C22B32">
        <w:rPr>
          <w:bCs/>
          <w:szCs w:val="25"/>
        </w:rPr>
        <w:t>Tyre</w:t>
      </w:r>
      <w:proofErr w:type="spellEnd"/>
      <w:r w:rsidRPr="00C22B32">
        <w:rPr>
          <w:bCs/>
          <w:szCs w:val="25"/>
        </w:rPr>
        <w:t xml:space="preserve"> and Sidon</w:t>
      </w:r>
      <w:r>
        <w:rPr>
          <w:bCs/>
          <w:szCs w:val="25"/>
        </w:rPr>
        <w:t>”</w:t>
      </w:r>
      <w:r w:rsidRPr="00C22B32">
        <w:rPr>
          <w:bCs/>
          <w:szCs w:val="25"/>
        </w:rPr>
        <w:t xml:space="preserve"> in 6:17 are Gentiles</w:t>
      </w:r>
      <w:r w:rsidRPr="00C22B32">
        <w:rPr>
          <w:bCs/>
          <w:iCs/>
          <w:szCs w:val="25"/>
        </w:rPr>
        <w:t xml:space="preserve">, </w:t>
      </w:r>
      <w:r w:rsidRPr="00C22B32">
        <w:rPr>
          <w:bCs/>
          <w:szCs w:val="25"/>
        </w:rPr>
        <w:t>rather than Jews. Thus the multitude</w:t>
      </w:r>
      <w:r w:rsidRPr="00C22B32">
        <w:rPr>
          <w:bCs/>
          <w:iCs/>
          <w:szCs w:val="25"/>
        </w:rPr>
        <w:t xml:space="preserve">, </w:t>
      </w:r>
      <w:r w:rsidRPr="00C22B32">
        <w:rPr>
          <w:bCs/>
          <w:szCs w:val="25"/>
        </w:rPr>
        <w:t>being partly Gentile</w:t>
      </w:r>
      <w:r w:rsidRPr="00C22B32">
        <w:rPr>
          <w:bCs/>
          <w:iCs/>
          <w:szCs w:val="25"/>
        </w:rPr>
        <w:t xml:space="preserve">, </w:t>
      </w:r>
      <w:r w:rsidRPr="00C22B32">
        <w:rPr>
          <w:bCs/>
          <w:szCs w:val="25"/>
        </w:rPr>
        <w:t>is distinct from the Jews and remains a possible antecedent of “you.”</w:t>
      </w:r>
    </w:p>
    <w:p w14:paraId="176C0B66" w14:textId="77777777" w:rsidR="00B47A48" w:rsidRPr="00C22B32" w:rsidRDefault="00B47A48" w:rsidP="00B47A48">
      <w:pPr>
        <w:pStyle w:val="Style"/>
        <w:widowControl/>
        <w:jc w:val="both"/>
        <w:textAlignment w:val="baseline"/>
        <w:rPr>
          <w:bCs/>
          <w:szCs w:val="25"/>
        </w:rPr>
      </w:pPr>
      <w:r>
        <w:rPr>
          <w:bCs/>
          <w:szCs w:val="25"/>
        </w:rPr>
        <w:lastRenderedPageBreak/>
        <w:tab/>
      </w:r>
      <w:r w:rsidRPr="00C22B32">
        <w:rPr>
          <w:bCs/>
          <w:szCs w:val="25"/>
        </w:rPr>
        <w:t xml:space="preserve">Even the Jews within the multitude (“people from all Judea and Jerusalem,” 6:17) are probably for the most part from the </w:t>
      </w:r>
      <w:r>
        <w:rPr>
          <w:bCs/>
          <w:szCs w:val="25"/>
        </w:rPr>
        <w:t>`</w:t>
      </w:r>
      <w:r w:rsidRPr="00C22B32">
        <w:rPr>
          <w:bCs/>
          <w:i/>
          <w:iCs/>
          <w:szCs w:val="25"/>
        </w:rPr>
        <w:t>am ha-</w:t>
      </w:r>
      <w:proofErr w:type="spellStart"/>
      <w:r w:rsidRPr="00C22B32">
        <w:rPr>
          <w:bCs/>
          <w:i/>
          <w:iCs/>
          <w:szCs w:val="25"/>
        </w:rPr>
        <w:t>aretz</w:t>
      </w:r>
      <w:proofErr w:type="spellEnd"/>
      <w:r w:rsidRPr="00C22B32">
        <w:rPr>
          <w:bCs/>
          <w:iCs/>
          <w:szCs w:val="25"/>
        </w:rPr>
        <w:t xml:space="preserve">, </w:t>
      </w:r>
      <w:r w:rsidRPr="00C22B32">
        <w:rPr>
          <w:bCs/>
          <w:szCs w:val="25"/>
        </w:rPr>
        <w:t>the least “Jewish” of the Je</w:t>
      </w:r>
      <w:r>
        <w:rPr>
          <w:bCs/>
          <w:szCs w:val="25"/>
        </w:rPr>
        <w:t>w</w:t>
      </w:r>
      <w:r w:rsidRPr="00C22B32">
        <w:rPr>
          <w:bCs/>
          <w:szCs w:val="25"/>
        </w:rPr>
        <w:t>s.</w:t>
      </w:r>
      <w:r>
        <w:rPr>
          <w:rStyle w:val="FootnoteReference"/>
          <w:bCs/>
          <w:szCs w:val="25"/>
        </w:rPr>
        <w:footnoteReference w:id="875"/>
      </w:r>
      <w:r w:rsidRPr="00C22B32">
        <w:rPr>
          <w:bCs/>
          <w:szCs w:val="25"/>
        </w:rPr>
        <w:t xml:space="preserve"> Since the multitude and the Jews are not identical</w:t>
      </w:r>
      <w:r w:rsidRPr="00C22B32">
        <w:rPr>
          <w:bCs/>
          <w:iCs/>
          <w:szCs w:val="25"/>
        </w:rPr>
        <w:t xml:space="preserve">, </w:t>
      </w:r>
      <w:r w:rsidRPr="00C22B32">
        <w:rPr>
          <w:bCs/>
          <w:szCs w:val="25"/>
        </w:rPr>
        <w:t>the group contrasted to the Jews in the woes could be the multitude. Not only that</w:t>
      </w:r>
      <w:r w:rsidRPr="00C22B32">
        <w:rPr>
          <w:bCs/>
          <w:iCs/>
          <w:szCs w:val="25"/>
        </w:rPr>
        <w:t xml:space="preserve">, </w:t>
      </w:r>
      <w:r w:rsidRPr="00C22B32">
        <w:rPr>
          <w:bCs/>
          <w:szCs w:val="25"/>
        </w:rPr>
        <w:t xml:space="preserve">but the multitude can even be said to have a better claim to be the antecedent of </w:t>
      </w:r>
      <w:r>
        <w:rPr>
          <w:bCs/>
          <w:szCs w:val="25"/>
        </w:rPr>
        <w:t>“</w:t>
      </w:r>
      <w:r w:rsidRPr="00C22B32">
        <w:rPr>
          <w:bCs/>
          <w:szCs w:val="25"/>
        </w:rPr>
        <w:t>you</w:t>
      </w:r>
      <w:r>
        <w:rPr>
          <w:bCs/>
          <w:szCs w:val="25"/>
        </w:rPr>
        <w:t>”</w:t>
      </w:r>
      <w:r w:rsidRPr="00C22B32">
        <w:rPr>
          <w:bCs/>
          <w:szCs w:val="25"/>
        </w:rPr>
        <w:t>: though the</w:t>
      </w:r>
      <w:r>
        <w:rPr>
          <w:bCs/>
          <w:szCs w:val="25"/>
        </w:rPr>
        <w:t xml:space="preserve"> </w:t>
      </w:r>
      <w:r w:rsidRPr="00C22B32">
        <w:rPr>
          <w:bCs/>
          <w:szCs w:val="25"/>
        </w:rPr>
        <w:t>disciples</w:t>
      </w:r>
      <w:r w:rsidRPr="00C22B32">
        <w:rPr>
          <w:bCs/>
          <w:iCs/>
          <w:szCs w:val="25"/>
        </w:rPr>
        <w:t xml:space="preserve">, </w:t>
      </w:r>
      <w:r w:rsidRPr="00C22B32">
        <w:rPr>
          <w:bCs/>
          <w:szCs w:val="25"/>
        </w:rPr>
        <w:t>like the Jews in the multitude</w:t>
      </w:r>
      <w:r w:rsidRPr="00C22B32">
        <w:rPr>
          <w:bCs/>
          <w:iCs/>
          <w:szCs w:val="25"/>
        </w:rPr>
        <w:t xml:space="preserve">, </w:t>
      </w:r>
      <w:r w:rsidRPr="00C22B32">
        <w:rPr>
          <w:bCs/>
          <w:szCs w:val="25"/>
        </w:rPr>
        <w:t>may be equally distant from Pharisaical</w:t>
      </w:r>
      <w:r>
        <w:rPr>
          <w:bCs/>
          <w:szCs w:val="25"/>
        </w:rPr>
        <w:t xml:space="preserve"> </w:t>
      </w:r>
      <w:r w:rsidRPr="00C22B32">
        <w:rPr>
          <w:bCs/>
          <w:szCs w:val="25"/>
        </w:rPr>
        <w:t>Judaism</w:t>
      </w:r>
      <w:r w:rsidRPr="00C22B32">
        <w:rPr>
          <w:bCs/>
          <w:iCs/>
          <w:szCs w:val="25"/>
        </w:rPr>
        <w:t xml:space="preserve">, </w:t>
      </w:r>
      <w:r w:rsidRPr="00C22B32">
        <w:rPr>
          <w:bCs/>
          <w:szCs w:val="25"/>
        </w:rPr>
        <w:t>the crowd</w:t>
      </w:r>
      <w:r w:rsidRPr="00C22B32">
        <w:rPr>
          <w:bCs/>
          <w:iCs/>
          <w:szCs w:val="25"/>
        </w:rPr>
        <w:t xml:space="preserve">, </w:t>
      </w:r>
      <w:r w:rsidRPr="00C22B32">
        <w:rPr>
          <w:bCs/>
          <w:szCs w:val="25"/>
        </w:rPr>
        <w:t>unlike the disciples</w:t>
      </w:r>
      <w:r w:rsidRPr="00C22B32">
        <w:rPr>
          <w:bCs/>
          <w:iCs/>
          <w:szCs w:val="25"/>
        </w:rPr>
        <w:t xml:space="preserve">, </w:t>
      </w:r>
      <w:r w:rsidRPr="00C22B32">
        <w:rPr>
          <w:bCs/>
          <w:szCs w:val="25"/>
        </w:rPr>
        <w:t>contains Gentiles as well</w:t>
      </w:r>
      <w:r w:rsidRPr="00C22B32">
        <w:rPr>
          <w:bCs/>
          <w:iCs/>
          <w:szCs w:val="25"/>
        </w:rPr>
        <w:t xml:space="preserve">, </w:t>
      </w:r>
      <w:r w:rsidRPr="00C22B32">
        <w:rPr>
          <w:bCs/>
          <w:szCs w:val="25"/>
        </w:rPr>
        <w:t>and thus is in part ethnically</w:t>
      </w:r>
      <w:r w:rsidRPr="00C22B32">
        <w:rPr>
          <w:bCs/>
          <w:iCs/>
          <w:szCs w:val="25"/>
        </w:rPr>
        <w:t xml:space="preserve">, </w:t>
      </w:r>
      <w:r w:rsidRPr="00C22B32">
        <w:rPr>
          <w:bCs/>
          <w:szCs w:val="25"/>
        </w:rPr>
        <w:t>and not merely ideologically</w:t>
      </w:r>
      <w:r w:rsidRPr="00C22B32">
        <w:rPr>
          <w:bCs/>
          <w:iCs/>
          <w:szCs w:val="25"/>
        </w:rPr>
        <w:t xml:space="preserve">, </w:t>
      </w:r>
      <w:r w:rsidRPr="00C22B32">
        <w:rPr>
          <w:bCs/>
          <w:szCs w:val="25"/>
        </w:rPr>
        <w:t>in contrast to the Jews.</w:t>
      </w:r>
    </w:p>
    <w:p w14:paraId="26FDFAEF" w14:textId="77777777" w:rsidR="00B47A48" w:rsidRPr="00C22B32" w:rsidRDefault="00B47A48" w:rsidP="00B47A48">
      <w:pPr>
        <w:pStyle w:val="Style"/>
        <w:widowControl/>
        <w:jc w:val="both"/>
        <w:textAlignment w:val="baseline"/>
        <w:rPr>
          <w:bCs/>
          <w:szCs w:val="25"/>
        </w:rPr>
      </w:pPr>
      <w:r>
        <w:rPr>
          <w:bCs/>
          <w:szCs w:val="25"/>
        </w:rPr>
        <w:tab/>
      </w:r>
      <w:r w:rsidRPr="00C22B32">
        <w:rPr>
          <w:bCs/>
          <w:szCs w:val="25"/>
        </w:rPr>
        <w:t>But the fact that the multitude</w:t>
      </w:r>
      <w:r w:rsidRPr="00C22B32">
        <w:rPr>
          <w:bCs/>
          <w:iCs/>
          <w:szCs w:val="25"/>
        </w:rPr>
        <w:t xml:space="preserve">, </w:t>
      </w:r>
      <w:r w:rsidRPr="00C22B32">
        <w:rPr>
          <w:bCs/>
          <w:szCs w:val="25"/>
        </w:rPr>
        <w:t>while it contains Gentiles</w:t>
      </w:r>
      <w:r w:rsidRPr="00C22B32">
        <w:rPr>
          <w:bCs/>
          <w:iCs/>
          <w:szCs w:val="25"/>
        </w:rPr>
        <w:t xml:space="preserve">, </w:t>
      </w:r>
      <w:r w:rsidRPr="00C22B32">
        <w:rPr>
          <w:bCs/>
          <w:szCs w:val="25"/>
        </w:rPr>
        <w:t>also contains Jews</w:t>
      </w:r>
      <w:r w:rsidRPr="00C22B32">
        <w:rPr>
          <w:bCs/>
          <w:iCs/>
          <w:szCs w:val="25"/>
        </w:rPr>
        <w:t xml:space="preserve">, </w:t>
      </w:r>
      <w:r w:rsidRPr="00C22B32">
        <w:rPr>
          <w:bCs/>
          <w:szCs w:val="25"/>
        </w:rPr>
        <w:t xml:space="preserve">is really a mark against its being the antecedent of </w:t>
      </w:r>
      <w:r>
        <w:rPr>
          <w:bCs/>
          <w:szCs w:val="25"/>
        </w:rPr>
        <w:t>“</w:t>
      </w:r>
      <w:r w:rsidRPr="00C22B32">
        <w:rPr>
          <w:bCs/>
          <w:szCs w:val="25"/>
        </w:rPr>
        <w:t xml:space="preserve">you.” That the multitude itself is in part Jewish makes it unlikely that the groups contrasted in the references to </w:t>
      </w:r>
      <w:r>
        <w:rPr>
          <w:bCs/>
          <w:szCs w:val="25"/>
        </w:rPr>
        <w:t>“</w:t>
      </w:r>
      <w:r w:rsidRPr="00C22B32">
        <w:rPr>
          <w:bCs/>
          <w:szCs w:val="25"/>
        </w:rPr>
        <w:t>your” and their” are the multitude versus the Jews; an opposition between the disciples and the Jews is much more likely. True</w:t>
      </w:r>
      <w:r w:rsidRPr="00C22B32">
        <w:rPr>
          <w:bCs/>
          <w:iCs/>
          <w:szCs w:val="25"/>
        </w:rPr>
        <w:t xml:space="preserve">, </w:t>
      </w:r>
      <w:r w:rsidRPr="00C22B32">
        <w:rPr>
          <w:bCs/>
          <w:szCs w:val="25"/>
        </w:rPr>
        <w:t xml:space="preserve">the disciples are ethnically Jews to the same extent as the Jews of the multitude; but the contrast between </w:t>
      </w:r>
      <w:r>
        <w:rPr>
          <w:bCs/>
          <w:szCs w:val="25"/>
        </w:rPr>
        <w:t>“</w:t>
      </w:r>
      <w:r w:rsidRPr="00C22B32">
        <w:rPr>
          <w:bCs/>
          <w:szCs w:val="25"/>
        </w:rPr>
        <w:t>you</w:t>
      </w:r>
      <w:r>
        <w:rPr>
          <w:bCs/>
          <w:szCs w:val="25"/>
        </w:rPr>
        <w:t>”</w:t>
      </w:r>
      <w:r w:rsidRPr="00C22B32">
        <w:rPr>
          <w:bCs/>
          <w:szCs w:val="25"/>
        </w:rPr>
        <w:t xml:space="preserve"> and “their” is a contrast between </w:t>
      </w:r>
      <w:r>
        <w:rPr>
          <w:bCs/>
          <w:szCs w:val="25"/>
        </w:rPr>
        <w:t>“</w:t>
      </w:r>
      <w:r w:rsidRPr="00C22B32">
        <w:rPr>
          <w:bCs/>
          <w:szCs w:val="25"/>
        </w:rPr>
        <w:t xml:space="preserve">insiders” and </w:t>
      </w:r>
      <w:r>
        <w:rPr>
          <w:bCs/>
          <w:szCs w:val="25"/>
        </w:rPr>
        <w:t>“</w:t>
      </w:r>
      <w:r w:rsidRPr="00C22B32">
        <w:rPr>
          <w:bCs/>
          <w:szCs w:val="25"/>
        </w:rPr>
        <w:t>outsiders,” and this insider attitude toward the Jews is more probable in the disciples than in the multitude.</w:t>
      </w:r>
      <w:r>
        <w:rPr>
          <w:rStyle w:val="FootnoteReference"/>
          <w:bCs/>
          <w:szCs w:val="25"/>
        </w:rPr>
        <w:footnoteReference w:id="876"/>
      </w:r>
      <w:r w:rsidRPr="00671DEF">
        <w:rPr>
          <w:bCs/>
          <w:iCs/>
          <w:szCs w:val="25"/>
        </w:rPr>
        <w:t xml:space="preserve"> </w:t>
      </w:r>
      <w:r w:rsidRPr="00C22B32">
        <w:rPr>
          <w:bCs/>
          <w:szCs w:val="25"/>
        </w:rPr>
        <w:t>Though the argument cannot be conclusive</w:t>
      </w:r>
      <w:r w:rsidRPr="00C22B32">
        <w:rPr>
          <w:bCs/>
          <w:iCs/>
          <w:szCs w:val="25"/>
        </w:rPr>
        <w:t xml:space="preserve">, </w:t>
      </w:r>
      <w:r w:rsidRPr="00C22B32">
        <w:rPr>
          <w:bCs/>
          <w:szCs w:val="25"/>
        </w:rPr>
        <w:t>the contrast between “you” and “their” still suggests an audience of disciples more than it implies an audience of the multitude.</w:t>
      </w:r>
    </w:p>
    <w:p w14:paraId="7890631C" w14:textId="77777777" w:rsidR="00B47A48" w:rsidRPr="00C22B32" w:rsidRDefault="00B47A48" w:rsidP="00B47A48">
      <w:pPr>
        <w:pStyle w:val="Style"/>
        <w:widowControl/>
        <w:jc w:val="both"/>
        <w:textAlignment w:val="baseline"/>
        <w:rPr>
          <w:bCs/>
          <w:szCs w:val="25"/>
        </w:rPr>
      </w:pPr>
      <w:r>
        <w:rPr>
          <w:bCs/>
          <w:szCs w:val="25"/>
        </w:rPr>
        <w:tab/>
      </w:r>
      <w:r w:rsidRPr="00C22B32">
        <w:rPr>
          <w:bCs/>
          <w:szCs w:val="25"/>
        </w:rPr>
        <w:t xml:space="preserve">The only real difficulty that remains concerning the woes results from the </w:t>
      </w:r>
      <w:r>
        <w:rPr>
          <w:bCs/>
          <w:szCs w:val="25"/>
        </w:rPr>
        <w:t xml:space="preserve">opening statement </w:t>
      </w:r>
      <w:r w:rsidRPr="00C22B32">
        <w:rPr>
          <w:bCs/>
          <w:szCs w:val="25"/>
        </w:rPr>
        <w:t>immediately follow</w:t>
      </w:r>
      <w:r>
        <w:rPr>
          <w:bCs/>
          <w:szCs w:val="25"/>
        </w:rPr>
        <w:t>ing</w:t>
      </w:r>
      <w:r w:rsidRPr="00C22B32">
        <w:rPr>
          <w:bCs/>
          <w:szCs w:val="25"/>
        </w:rPr>
        <w:t xml:space="preserve"> them (6:27a): But I say to you that hear </w:t>
      </w:r>
      <w:r>
        <w:rPr>
          <w:bCs/>
          <w:szCs w:val="25"/>
        </w:rPr>
        <w:t xml:space="preserve">. . .” </w:t>
      </w:r>
      <w:r w:rsidRPr="00C22B32">
        <w:rPr>
          <w:bCs/>
          <w:szCs w:val="25"/>
        </w:rPr>
        <w:t>I</w:t>
      </w:r>
      <w:r>
        <w:rPr>
          <w:bCs/>
          <w:szCs w:val="25"/>
        </w:rPr>
        <w:t>f</w:t>
      </w:r>
      <w:r w:rsidRPr="00C22B32">
        <w:rPr>
          <w:bCs/>
          <w:szCs w:val="25"/>
        </w:rPr>
        <w:t xml:space="preserve"> we assert that the woes are addressed to disciples</w:t>
      </w:r>
      <w:r w:rsidRPr="00C22B32">
        <w:rPr>
          <w:bCs/>
          <w:iCs/>
          <w:szCs w:val="25"/>
        </w:rPr>
        <w:t xml:space="preserve">, </w:t>
      </w:r>
      <w:r w:rsidRPr="00C22B32">
        <w:rPr>
          <w:bCs/>
          <w:szCs w:val="25"/>
        </w:rPr>
        <w:t xml:space="preserve">then we are in the apparently embarrassing position of proposing the existence of a group of disciples who do not “hear”; </w:t>
      </w:r>
      <w:r>
        <w:rPr>
          <w:bCs/>
          <w:szCs w:val="25"/>
        </w:rPr>
        <w:t xml:space="preserve">yet </w:t>
      </w:r>
      <w:r w:rsidRPr="00C22B32">
        <w:rPr>
          <w:bCs/>
          <w:szCs w:val="25"/>
        </w:rPr>
        <w:t xml:space="preserve">hearing Jesus would seem to be a </w:t>
      </w:r>
      <w:r w:rsidRPr="00C22B32">
        <w:rPr>
          <w:bCs/>
          <w:i/>
          <w:iCs/>
        </w:rPr>
        <w:t>sine qua non</w:t>
      </w:r>
      <w:r w:rsidRPr="000854DB">
        <w:rPr>
          <w:bCs/>
        </w:rPr>
        <w:t xml:space="preserve"> </w:t>
      </w:r>
      <w:r w:rsidRPr="00C22B32">
        <w:rPr>
          <w:bCs/>
          <w:szCs w:val="25"/>
        </w:rPr>
        <w:t xml:space="preserve">for discipleship. Even in the typology of disciples found in the allegorical interpretation of the </w:t>
      </w:r>
      <w:proofErr w:type="spellStart"/>
      <w:r w:rsidRPr="00C22B32">
        <w:rPr>
          <w:bCs/>
          <w:szCs w:val="25"/>
        </w:rPr>
        <w:t>sower</w:t>
      </w:r>
      <w:proofErr w:type="spellEnd"/>
      <w:r w:rsidRPr="00C22B32">
        <w:rPr>
          <w:bCs/>
          <w:szCs w:val="25"/>
        </w:rPr>
        <w:t xml:space="preserve"> parable (Luke 8:11-15)</w:t>
      </w:r>
      <w:r w:rsidRPr="00C22B32">
        <w:rPr>
          <w:bCs/>
          <w:iCs/>
          <w:szCs w:val="25"/>
        </w:rPr>
        <w:t xml:space="preserve">, </w:t>
      </w:r>
      <w:r w:rsidRPr="00C22B32">
        <w:rPr>
          <w:bCs/>
          <w:szCs w:val="25"/>
        </w:rPr>
        <w:t>all four of the groups mentioned belong among those who “hear.”</w:t>
      </w:r>
    </w:p>
    <w:p w14:paraId="56372387" w14:textId="77777777" w:rsidR="00B47A48" w:rsidRPr="000854DB" w:rsidRDefault="00B47A48" w:rsidP="00B47A48">
      <w:pPr>
        <w:pStyle w:val="Style"/>
        <w:widowControl/>
        <w:jc w:val="both"/>
        <w:textAlignment w:val="baseline"/>
        <w:rPr>
          <w:bCs/>
          <w:szCs w:val="25"/>
        </w:rPr>
      </w:pPr>
      <w:r>
        <w:rPr>
          <w:bCs/>
          <w:szCs w:val="25"/>
        </w:rPr>
        <w:tab/>
      </w:r>
      <w:r w:rsidRPr="00C22B32">
        <w:rPr>
          <w:bCs/>
          <w:szCs w:val="25"/>
        </w:rPr>
        <w:t>Perhaps a solution lies in the fact that Luke 6:27a does not provide a direct object for its verb of hearing: “But I say to you that hear</w:t>
      </w:r>
      <w:r w:rsidRPr="00C22B32">
        <w:rPr>
          <w:bCs/>
          <w:iCs/>
          <w:szCs w:val="25"/>
        </w:rPr>
        <w:t xml:space="preserve">, </w:t>
      </w:r>
      <w:r w:rsidRPr="00C22B32">
        <w:rPr>
          <w:bCs/>
          <w:szCs w:val="25"/>
        </w:rPr>
        <w:t xml:space="preserve">Love your enemies,” etc. Whereas the object heard in the interpretation of the </w:t>
      </w:r>
      <w:proofErr w:type="spellStart"/>
      <w:r w:rsidRPr="00C22B32">
        <w:rPr>
          <w:bCs/>
          <w:szCs w:val="25"/>
        </w:rPr>
        <w:t>sower</w:t>
      </w:r>
      <w:proofErr w:type="spellEnd"/>
      <w:r w:rsidRPr="00C22B32">
        <w:rPr>
          <w:bCs/>
          <w:szCs w:val="25"/>
        </w:rPr>
        <w:t xml:space="preserve"> is the word (</w:t>
      </w:r>
      <w:r>
        <w:rPr>
          <w:bCs/>
          <w:szCs w:val="25"/>
        </w:rPr>
        <w:t>“</w:t>
      </w:r>
      <w:r w:rsidRPr="00C22B32">
        <w:rPr>
          <w:bCs/>
          <w:szCs w:val="25"/>
        </w:rPr>
        <w:t>The seed is the word of God</w:t>
      </w:r>
      <w:r w:rsidRPr="00C22B32">
        <w:rPr>
          <w:bCs/>
          <w:iCs/>
          <w:szCs w:val="25"/>
        </w:rPr>
        <w:t>,</w:t>
      </w:r>
      <w:r>
        <w:rPr>
          <w:bCs/>
          <w:iCs/>
          <w:szCs w:val="25"/>
        </w:rPr>
        <w:t>”</w:t>
      </w:r>
      <w:r w:rsidRPr="00671DEF">
        <w:rPr>
          <w:bCs/>
          <w:iCs/>
          <w:szCs w:val="25"/>
        </w:rPr>
        <w:t xml:space="preserve"> </w:t>
      </w:r>
      <w:r>
        <w:rPr>
          <w:bCs/>
          <w:iCs/>
          <w:szCs w:val="25"/>
        </w:rPr>
        <w:t xml:space="preserve">Luke </w:t>
      </w:r>
      <w:r w:rsidRPr="00C22B32">
        <w:rPr>
          <w:bCs/>
          <w:szCs w:val="25"/>
        </w:rPr>
        <w:t>8:11b)</w:t>
      </w:r>
      <w:r w:rsidRPr="00C22B32">
        <w:rPr>
          <w:bCs/>
          <w:iCs/>
          <w:szCs w:val="25"/>
        </w:rPr>
        <w:t xml:space="preserve">, </w:t>
      </w:r>
      <w:r w:rsidRPr="00C22B32">
        <w:rPr>
          <w:bCs/>
          <w:szCs w:val="25"/>
        </w:rPr>
        <w:t>the object of hearing in the woes</w:t>
      </w:r>
      <w:r w:rsidRPr="00671DEF">
        <w:rPr>
          <w:bCs/>
          <w:iCs/>
          <w:szCs w:val="25"/>
        </w:rPr>
        <w:t>—</w:t>
      </w:r>
      <w:r w:rsidRPr="00C22B32">
        <w:rPr>
          <w:bCs/>
          <w:szCs w:val="25"/>
        </w:rPr>
        <w:t>that which the recipients of the woes have failed to hear</w:t>
      </w:r>
      <w:r w:rsidRPr="00671DEF">
        <w:rPr>
          <w:bCs/>
          <w:iCs/>
          <w:szCs w:val="25"/>
        </w:rPr>
        <w:t>—</w:t>
      </w:r>
      <w:r w:rsidRPr="00C22B32">
        <w:rPr>
          <w:bCs/>
          <w:szCs w:val="25"/>
        </w:rPr>
        <w:t>seems more specifically to be Jesus’ ethical teaching</w:t>
      </w:r>
      <w:r w:rsidRPr="00C22B32">
        <w:rPr>
          <w:bCs/>
          <w:iCs/>
          <w:szCs w:val="25"/>
        </w:rPr>
        <w:t xml:space="preserve">, </w:t>
      </w:r>
      <w:r w:rsidRPr="00C22B32">
        <w:rPr>
          <w:bCs/>
          <w:szCs w:val="25"/>
        </w:rPr>
        <w:t>in particular that portion concerned with material possessions</w:t>
      </w:r>
      <w:r>
        <w:rPr>
          <w:bCs/>
          <w:szCs w:val="25"/>
        </w:rPr>
        <w:t xml:space="preserve"> and praise</w:t>
      </w:r>
      <w:r w:rsidRPr="00C22B32">
        <w:rPr>
          <w:bCs/>
          <w:szCs w:val="25"/>
        </w:rPr>
        <w:t xml:space="preserve"> </w:t>
      </w:r>
      <w:r w:rsidRPr="001C646B">
        <w:rPr>
          <w:bCs/>
          <w:iCs/>
          <w:szCs w:val="25"/>
        </w:rPr>
        <w:t>(</w:t>
      </w:r>
      <w:r w:rsidRPr="00C22B32">
        <w:rPr>
          <w:bCs/>
          <w:szCs w:val="25"/>
        </w:rPr>
        <w:t>since those condemned are the rich</w:t>
      </w:r>
      <w:r w:rsidRPr="00C22B32">
        <w:rPr>
          <w:bCs/>
          <w:iCs/>
          <w:szCs w:val="25"/>
        </w:rPr>
        <w:t xml:space="preserve">, </w:t>
      </w:r>
      <w:r w:rsidRPr="00C22B32">
        <w:rPr>
          <w:bCs/>
          <w:szCs w:val="25"/>
        </w:rPr>
        <w:t>the full</w:t>
      </w:r>
      <w:r w:rsidRPr="00C22B32">
        <w:rPr>
          <w:bCs/>
          <w:iCs/>
          <w:szCs w:val="25"/>
        </w:rPr>
        <w:t xml:space="preserve">, </w:t>
      </w:r>
      <w:r w:rsidRPr="00C22B32">
        <w:rPr>
          <w:bCs/>
          <w:szCs w:val="25"/>
        </w:rPr>
        <w:t>the laughing</w:t>
      </w:r>
      <w:r w:rsidRPr="00C22B32">
        <w:rPr>
          <w:bCs/>
          <w:iCs/>
          <w:szCs w:val="25"/>
        </w:rPr>
        <w:t xml:space="preserve">, </w:t>
      </w:r>
      <w:r w:rsidRPr="00C22B32">
        <w:rPr>
          <w:bCs/>
          <w:szCs w:val="25"/>
        </w:rPr>
        <w:t xml:space="preserve">and the praised). Hence those who </w:t>
      </w:r>
      <w:r>
        <w:rPr>
          <w:bCs/>
          <w:szCs w:val="25"/>
        </w:rPr>
        <w:t>“</w:t>
      </w:r>
      <w:r w:rsidRPr="00C22B32">
        <w:rPr>
          <w:bCs/>
          <w:szCs w:val="25"/>
        </w:rPr>
        <w:t xml:space="preserve">hear” in the sense of hearing the basic message of the gospel (the sort of hearing </w:t>
      </w:r>
      <w:r w:rsidRPr="00C22B32">
        <w:rPr>
          <w:bCs/>
          <w:szCs w:val="25"/>
        </w:rPr>
        <w:lastRenderedPageBreak/>
        <w:t xml:space="preserve">which is the </w:t>
      </w:r>
      <w:proofErr w:type="spellStart"/>
      <w:r w:rsidRPr="00C22B32">
        <w:rPr>
          <w:bCs/>
          <w:szCs w:val="25"/>
        </w:rPr>
        <w:t>threshhold</w:t>
      </w:r>
      <w:proofErr w:type="spellEnd"/>
      <w:r w:rsidRPr="00C22B32">
        <w:rPr>
          <w:bCs/>
          <w:szCs w:val="25"/>
        </w:rPr>
        <w:t xml:space="preserve"> of discipleship) still may not “hear” in the sense of grasping the totality of Jesus’ ethical demands. Even the disciples who are explicitly said to hear (those addressed in 6:27a and following) do not </w:t>
      </w:r>
      <w:r>
        <w:rPr>
          <w:bCs/>
          <w:szCs w:val="25"/>
        </w:rPr>
        <w:t xml:space="preserve">fully </w:t>
      </w:r>
      <w:r w:rsidRPr="00C22B32">
        <w:rPr>
          <w:bCs/>
          <w:szCs w:val="25"/>
        </w:rPr>
        <w:t>love their enemies</w:t>
      </w:r>
      <w:r w:rsidRPr="00C22B32">
        <w:rPr>
          <w:bCs/>
          <w:iCs/>
          <w:szCs w:val="25"/>
        </w:rPr>
        <w:t xml:space="preserve">, </w:t>
      </w:r>
      <w:r w:rsidRPr="00C22B32">
        <w:rPr>
          <w:bCs/>
          <w:szCs w:val="25"/>
        </w:rPr>
        <w:t>lend</w:t>
      </w:r>
      <w:r w:rsidRPr="00C22B32">
        <w:rPr>
          <w:bCs/>
          <w:iCs/>
          <w:szCs w:val="25"/>
        </w:rPr>
        <w:t xml:space="preserve">, </w:t>
      </w:r>
      <w:r w:rsidRPr="00C22B32">
        <w:rPr>
          <w:bCs/>
          <w:szCs w:val="25"/>
        </w:rPr>
        <w:t xml:space="preserve">etc. (the exhortations after 27a would be pointless if addressed to those who </w:t>
      </w:r>
      <w:r>
        <w:rPr>
          <w:bCs/>
          <w:szCs w:val="25"/>
        </w:rPr>
        <w:t xml:space="preserve">perfectly </w:t>
      </w:r>
      <w:r w:rsidRPr="00C22B32">
        <w:rPr>
          <w:bCs/>
          <w:szCs w:val="25"/>
        </w:rPr>
        <w:t>abide by them). Since some disciples who do hear still do not love and lend</w:t>
      </w:r>
      <w:r w:rsidRPr="00C22B32">
        <w:rPr>
          <w:bCs/>
          <w:iCs/>
          <w:szCs w:val="25"/>
        </w:rPr>
        <w:t xml:space="preserve">, </w:t>
      </w:r>
      <w:r w:rsidRPr="00C22B32">
        <w:rPr>
          <w:bCs/>
          <w:szCs w:val="25"/>
        </w:rPr>
        <w:t>it is not so incongruous that some disciples who do not hear should be rich</w:t>
      </w:r>
      <w:r w:rsidRPr="00C22B32">
        <w:rPr>
          <w:bCs/>
          <w:iCs/>
          <w:szCs w:val="25"/>
        </w:rPr>
        <w:t xml:space="preserve">, </w:t>
      </w:r>
      <w:r w:rsidRPr="00C22B32">
        <w:rPr>
          <w:bCs/>
          <w:szCs w:val="25"/>
        </w:rPr>
        <w:t>full</w:t>
      </w:r>
      <w:r w:rsidRPr="00C22B32">
        <w:rPr>
          <w:bCs/>
          <w:iCs/>
          <w:szCs w:val="25"/>
        </w:rPr>
        <w:t xml:space="preserve">, </w:t>
      </w:r>
      <w:r w:rsidRPr="00C22B32">
        <w:rPr>
          <w:bCs/>
          <w:szCs w:val="25"/>
        </w:rPr>
        <w:t>and so on.</w:t>
      </w:r>
      <w:r>
        <w:rPr>
          <w:rStyle w:val="FootnoteReference"/>
          <w:bCs/>
          <w:szCs w:val="25"/>
        </w:rPr>
        <w:footnoteReference w:id="877"/>
      </w:r>
    </w:p>
    <w:p w14:paraId="1C5AE3B6" w14:textId="77777777" w:rsidR="00B47A48" w:rsidRPr="00C22B32" w:rsidRDefault="00B47A48" w:rsidP="00B47A48">
      <w:pPr>
        <w:pStyle w:val="Style"/>
        <w:widowControl/>
        <w:jc w:val="both"/>
        <w:textAlignment w:val="baseline"/>
        <w:rPr>
          <w:bCs/>
          <w:szCs w:val="25"/>
        </w:rPr>
      </w:pPr>
      <w:r>
        <w:rPr>
          <w:bCs/>
          <w:szCs w:val="25"/>
        </w:rPr>
        <w:tab/>
      </w:r>
      <w:r w:rsidRPr="00C22B32">
        <w:rPr>
          <w:bCs/>
          <w:szCs w:val="25"/>
        </w:rPr>
        <w:t>Even the woes</w:t>
      </w:r>
      <w:r w:rsidRPr="00C22B32">
        <w:rPr>
          <w:bCs/>
          <w:iCs/>
          <w:szCs w:val="25"/>
        </w:rPr>
        <w:t xml:space="preserve">, </w:t>
      </w:r>
      <w:r w:rsidRPr="00C22B32">
        <w:rPr>
          <w:bCs/>
          <w:szCs w:val="25"/>
        </w:rPr>
        <w:t>then</w:t>
      </w:r>
      <w:r w:rsidRPr="00C22B32">
        <w:rPr>
          <w:bCs/>
          <w:iCs/>
          <w:szCs w:val="25"/>
        </w:rPr>
        <w:t xml:space="preserve">, </w:t>
      </w:r>
      <w:r w:rsidRPr="00C22B32">
        <w:rPr>
          <w:bCs/>
          <w:szCs w:val="25"/>
        </w:rPr>
        <w:t>which of all sections in the sermon can best lay claim to an audience of non-disciples</w:t>
      </w:r>
      <w:r w:rsidRPr="00C22B32">
        <w:rPr>
          <w:bCs/>
          <w:iCs/>
          <w:szCs w:val="25"/>
        </w:rPr>
        <w:t xml:space="preserve">, </w:t>
      </w:r>
      <w:r w:rsidRPr="00C22B32">
        <w:rPr>
          <w:bCs/>
          <w:szCs w:val="25"/>
        </w:rPr>
        <w:t>seem to be addressed to Jesus’ followers.</w:t>
      </w:r>
    </w:p>
    <w:p w14:paraId="65DE85A5" w14:textId="77777777" w:rsidR="00B47A48" w:rsidRPr="00C22B32" w:rsidRDefault="00B47A48" w:rsidP="00B47A48">
      <w:pPr>
        <w:pStyle w:val="Style"/>
        <w:widowControl/>
        <w:jc w:val="both"/>
        <w:textAlignment w:val="baseline"/>
        <w:rPr>
          <w:bCs/>
          <w:szCs w:val="25"/>
        </w:rPr>
      </w:pPr>
      <w:r>
        <w:rPr>
          <w:bCs/>
          <w:szCs w:val="25"/>
        </w:rPr>
        <w:tab/>
      </w:r>
      <w:r w:rsidRPr="00C22B32">
        <w:rPr>
          <w:bCs/>
          <w:szCs w:val="25"/>
        </w:rPr>
        <w:t>The final argument in the list of reasons given above for concluding that the audience is the multitude is based on the explicit references to the multitude in the</w:t>
      </w:r>
      <w:r>
        <w:rPr>
          <w:bCs/>
          <w:szCs w:val="25"/>
        </w:rPr>
        <w:t xml:space="preserve"> </w:t>
      </w:r>
      <w:r w:rsidRPr="00C22B32">
        <w:rPr>
          <w:bCs/>
          <w:szCs w:val="25"/>
        </w:rPr>
        <w:t xml:space="preserve">text. This is undoubtedly the strongest argument for the multitude: Luke </w:t>
      </w:r>
      <w:r w:rsidRPr="00C22B32">
        <w:rPr>
          <w:bCs/>
          <w:i/>
          <w:iCs/>
          <w:szCs w:val="26"/>
        </w:rPr>
        <w:t>says</w:t>
      </w:r>
      <w:r w:rsidRPr="00C83361">
        <w:rPr>
          <w:bCs/>
          <w:szCs w:val="26"/>
        </w:rPr>
        <w:t xml:space="preserve"> </w:t>
      </w:r>
      <w:r w:rsidRPr="00C22B32">
        <w:rPr>
          <w:bCs/>
          <w:szCs w:val="25"/>
        </w:rPr>
        <w:t>that</w:t>
      </w:r>
      <w:r>
        <w:rPr>
          <w:bCs/>
          <w:szCs w:val="25"/>
        </w:rPr>
        <w:t xml:space="preserve"> “</w:t>
      </w:r>
      <w:r w:rsidRPr="00C22B32">
        <w:rPr>
          <w:bCs/>
          <w:szCs w:val="35"/>
        </w:rPr>
        <w:t xml:space="preserve">a </w:t>
      </w:r>
      <w:r w:rsidRPr="00C22B32">
        <w:rPr>
          <w:bCs/>
          <w:szCs w:val="25"/>
        </w:rPr>
        <w:t xml:space="preserve">great multitude </w:t>
      </w:r>
      <w:r>
        <w:rPr>
          <w:bCs/>
          <w:szCs w:val="25"/>
        </w:rPr>
        <w:t xml:space="preserve">. . . </w:t>
      </w:r>
      <w:r w:rsidRPr="00C22B32">
        <w:rPr>
          <w:bCs/>
          <w:szCs w:val="25"/>
        </w:rPr>
        <w:t>came to hear him” (6:17) and that Jesus “ended all his sayings in the hearing of the people” (7:1a). Yet the presence of the people does not necessitate their presence among those directly addressed; and other aspects of the sermon suggest that it is addressed only to disciples. One finds</w:t>
      </w:r>
      <w:r w:rsidRPr="00C22B32">
        <w:rPr>
          <w:bCs/>
          <w:iCs/>
          <w:szCs w:val="25"/>
        </w:rPr>
        <w:t xml:space="preserve">, </w:t>
      </w:r>
      <w:r w:rsidRPr="00C22B32">
        <w:rPr>
          <w:bCs/>
          <w:szCs w:val="25"/>
        </w:rPr>
        <w:t>for example</w:t>
      </w:r>
      <w:r w:rsidRPr="00C22B32">
        <w:rPr>
          <w:bCs/>
          <w:iCs/>
          <w:szCs w:val="25"/>
        </w:rPr>
        <w:t xml:space="preserve">, </w:t>
      </w:r>
      <w:r w:rsidRPr="00C22B32">
        <w:rPr>
          <w:bCs/>
          <w:szCs w:val="25"/>
        </w:rPr>
        <w:t xml:space="preserve">references to the disciples during the course of the sermon: </w:t>
      </w:r>
      <w:r>
        <w:rPr>
          <w:bCs/>
          <w:szCs w:val="25"/>
        </w:rPr>
        <w:t>“</w:t>
      </w:r>
      <w:r w:rsidRPr="00C22B32">
        <w:rPr>
          <w:bCs/>
          <w:szCs w:val="26"/>
        </w:rPr>
        <w:t xml:space="preserve">A </w:t>
      </w:r>
      <w:r w:rsidRPr="00C22B32">
        <w:rPr>
          <w:bCs/>
          <w:szCs w:val="25"/>
        </w:rPr>
        <w:t>disciple is not above his teacher</w:t>
      </w:r>
      <w:r>
        <w:rPr>
          <w:bCs/>
          <w:szCs w:val="25"/>
        </w:rPr>
        <w:t>”</w:t>
      </w:r>
      <w:r w:rsidRPr="00C22B32">
        <w:rPr>
          <w:bCs/>
          <w:szCs w:val="25"/>
        </w:rPr>
        <w:t xml:space="preserve"> (6:40); </w:t>
      </w:r>
      <w:r>
        <w:rPr>
          <w:bCs/>
          <w:szCs w:val="25"/>
        </w:rPr>
        <w:t>“</w:t>
      </w:r>
      <w:r w:rsidRPr="00C22B32">
        <w:rPr>
          <w:bCs/>
          <w:szCs w:val="25"/>
        </w:rPr>
        <w:t>Why do you call me ‘Lord</w:t>
      </w:r>
      <w:r w:rsidRPr="00C22B32">
        <w:rPr>
          <w:bCs/>
          <w:iCs/>
          <w:szCs w:val="25"/>
        </w:rPr>
        <w:t xml:space="preserve">, </w:t>
      </w:r>
      <w:r w:rsidRPr="00C22B32">
        <w:rPr>
          <w:bCs/>
          <w:szCs w:val="25"/>
        </w:rPr>
        <w:t>Lord’” (6:46)</w:t>
      </w:r>
      <w:r>
        <w:rPr>
          <w:bCs/>
          <w:szCs w:val="25"/>
        </w:rPr>
        <w:t>.</w:t>
      </w:r>
      <w:r w:rsidRPr="00C22B32">
        <w:rPr>
          <w:bCs/>
          <w:szCs w:val="25"/>
        </w:rPr>
        <w:t xml:space="preserve"> </w:t>
      </w:r>
      <w:r>
        <w:rPr>
          <w:bCs/>
          <w:szCs w:val="25"/>
        </w:rPr>
        <w:t xml:space="preserve">Moreover, </w:t>
      </w:r>
      <w:r w:rsidRPr="00C22B32">
        <w:rPr>
          <w:bCs/>
          <w:szCs w:val="25"/>
        </w:rPr>
        <w:t>those addressed in 6:32-36</w:t>
      </w:r>
      <w:r w:rsidRPr="00C22B32">
        <w:rPr>
          <w:bCs/>
          <w:iCs/>
          <w:szCs w:val="25"/>
        </w:rPr>
        <w:t xml:space="preserve">, </w:t>
      </w:r>
      <w:r w:rsidRPr="00C22B32">
        <w:rPr>
          <w:bCs/>
          <w:szCs w:val="25"/>
        </w:rPr>
        <w:t xml:space="preserve">since they are contrasted with </w:t>
      </w:r>
      <w:r>
        <w:rPr>
          <w:bCs/>
          <w:szCs w:val="25"/>
        </w:rPr>
        <w:t>“</w:t>
      </w:r>
      <w:r w:rsidRPr="00C22B32">
        <w:rPr>
          <w:bCs/>
          <w:szCs w:val="25"/>
        </w:rPr>
        <w:t>sinners” (</w:t>
      </w:r>
      <w:r>
        <w:rPr>
          <w:bCs/>
          <w:szCs w:val="25"/>
        </w:rPr>
        <w:t>“</w:t>
      </w:r>
      <w:r w:rsidRPr="00C22B32">
        <w:rPr>
          <w:bCs/>
          <w:szCs w:val="25"/>
        </w:rPr>
        <w:t>If you love those who love you</w:t>
      </w:r>
      <w:r w:rsidRPr="00C22B32">
        <w:rPr>
          <w:bCs/>
          <w:iCs/>
          <w:szCs w:val="25"/>
        </w:rPr>
        <w:t xml:space="preserve">, </w:t>
      </w:r>
      <w:r w:rsidRPr="00C22B32">
        <w:rPr>
          <w:bCs/>
          <w:szCs w:val="25"/>
        </w:rPr>
        <w:t>what credit is that to you? For even sinners”)</w:t>
      </w:r>
      <w:r w:rsidRPr="00C22B32">
        <w:rPr>
          <w:bCs/>
          <w:iCs/>
          <w:szCs w:val="25"/>
        </w:rPr>
        <w:t xml:space="preserve">, </w:t>
      </w:r>
      <w:r w:rsidRPr="00C22B32">
        <w:rPr>
          <w:bCs/>
          <w:szCs w:val="25"/>
        </w:rPr>
        <w:t>are probably disciples rather than the multitude. Thus the very content of the sermon suggests an audience of disciples.</w:t>
      </w:r>
    </w:p>
    <w:p w14:paraId="24BA048D" w14:textId="77777777" w:rsidR="00B47A48" w:rsidRPr="00C22B32" w:rsidRDefault="00B47A48" w:rsidP="00B47A48">
      <w:pPr>
        <w:pStyle w:val="Style"/>
        <w:widowControl/>
        <w:jc w:val="both"/>
        <w:textAlignment w:val="baseline"/>
        <w:rPr>
          <w:bCs/>
          <w:szCs w:val="25"/>
        </w:rPr>
      </w:pPr>
      <w:r>
        <w:rPr>
          <w:bCs/>
          <w:szCs w:val="25"/>
        </w:rPr>
        <w:tab/>
      </w:r>
      <w:r w:rsidRPr="00C22B32">
        <w:rPr>
          <w:bCs/>
          <w:szCs w:val="25"/>
        </w:rPr>
        <w:t>Even more important as an indication that disciples are the audience is the reference in Luke 6:20a</w:t>
      </w:r>
      <w:r w:rsidRPr="00C22B32">
        <w:rPr>
          <w:bCs/>
          <w:iCs/>
          <w:szCs w:val="25"/>
        </w:rPr>
        <w:t>, “</w:t>
      </w:r>
      <w:r w:rsidRPr="00C22B32">
        <w:rPr>
          <w:bCs/>
          <w:szCs w:val="25"/>
        </w:rPr>
        <w:t>And he lifted up his eyes on his disciples</w:t>
      </w:r>
      <w:r w:rsidRPr="00C22B32">
        <w:rPr>
          <w:bCs/>
          <w:iCs/>
          <w:szCs w:val="25"/>
        </w:rPr>
        <w:t xml:space="preserve">, </w:t>
      </w:r>
      <w:r w:rsidRPr="00C22B32">
        <w:rPr>
          <w:bCs/>
          <w:szCs w:val="25"/>
        </w:rPr>
        <w:t xml:space="preserve">and said </w:t>
      </w:r>
      <w:r>
        <w:rPr>
          <w:bCs/>
          <w:szCs w:val="25"/>
        </w:rPr>
        <w:t>. . .”</w:t>
      </w:r>
      <w:r w:rsidRPr="00C22B32">
        <w:rPr>
          <w:bCs/>
          <w:szCs w:val="25"/>
        </w:rPr>
        <w:t xml:space="preserve"> Luke has just explained that those present to Jesus are </w:t>
      </w:r>
      <w:r>
        <w:rPr>
          <w:bCs/>
          <w:szCs w:val="25"/>
        </w:rPr>
        <w:t>“</w:t>
      </w:r>
      <w:r w:rsidRPr="00C22B32">
        <w:rPr>
          <w:bCs/>
          <w:szCs w:val="35"/>
        </w:rPr>
        <w:t xml:space="preserve">a </w:t>
      </w:r>
      <w:r w:rsidRPr="00C22B32">
        <w:rPr>
          <w:bCs/>
          <w:szCs w:val="25"/>
        </w:rPr>
        <w:t>great crowd of his disciples [including the twelve</w:t>
      </w:r>
      <w:r w:rsidRPr="00C22B32">
        <w:rPr>
          <w:bCs/>
          <w:iCs/>
          <w:szCs w:val="25"/>
        </w:rPr>
        <w:t xml:space="preserve">, </w:t>
      </w:r>
      <w:r w:rsidRPr="00C22B32">
        <w:rPr>
          <w:bCs/>
          <w:szCs w:val="25"/>
        </w:rPr>
        <w:t xml:space="preserve">whom he has just chosen] and a great multitude of people </w:t>
      </w:r>
      <w:r>
        <w:rPr>
          <w:bCs/>
          <w:szCs w:val="25"/>
        </w:rPr>
        <w:t>. . .”</w:t>
      </w:r>
      <w:r w:rsidRPr="00C22B32">
        <w:rPr>
          <w:bCs/>
          <w:szCs w:val="25"/>
        </w:rPr>
        <w:t xml:space="preserve"> In 6:20a Luke could as easily have written</w:t>
      </w:r>
      <w:r w:rsidRPr="00C22B32">
        <w:rPr>
          <w:bCs/>
          <w:iCs/>
          <w:szCs w:val="25"/>
        </w:rPr>
        <w:t>, “</w:t>
      </w:r>
      <w:r w:rsidRPr="00C22B32">
        <w:rPr>
          <w:bCs/>
          <w:szCs w:val="25"/>
        </w:rPr>
        <w:t xml:space="preserve">He lifted up his eyes on the multitude,” or </w:t>
      </w:r>
      <w:r>
        <w:rPr>
          <w:bCs/>
          <w:szCs w:val="25"/>
        </w:rPr>
        <w:t>“</w:t>
      </w:r>
      <w:r w:rsidRPr="00C22B32">
        <w:rPr>
          <w:bCs/>
          <w:szCs w:val="25"/>
        </w:rPr>
        <w:t xml:space="preserve">on the multitude and the disciples,” or have omitted the half-verse altogether. One may also note concerning 6:20a that ordinarily a speaker’s eye contact is restricted to those whom he addresses directly (“he lifted up his </w:t>
      </w:r>
      <w:r w:rsidRPr="00C22B32">
        <w:rPr>
          <w:bCs/>
          <w:i/>
          <w:iCs/>
          <w:szCs w:val="26"/>
        </w:rPr>
        <w:t>eyes</w:t>
      </w:r>
      <w:r w:rsidRPr="005F3A98">
        <w:rPr>
          <w:bCs/>
          <w:szCs w:val="26"/>
        </w:rPr>
        <w:t xml:space="preserve"> </w:t>
      </w:r>
      <w:r w:rsidRPr="00C22B32">
        <w:rPr>
          <w:bCs/>
          <w:szCs w:val="25"/>
        </w:rPr>
        <w:t>on his disciples”)</w:t>
      </w:r>
      <w:r w:rsidRPr="00C22B32">
        <w:rPr>
          <w:bCs/>
          <w:iCs/>
          <w:szCs w:val="25"/>
        </w:rPr>
        <w:t xml:space="preserve">, </w:t>
      </w:r>
      <w:r w:rsidRPr="00C22B32">
        <w:rPr>
          <w:bCs/>
          <w:szCs w:val="25"/>
        </w:rPr>
        <w:t>and this too suggests that the addressees of the sermon are the disciples.</w:t>
      </w:r>
    </w:p>
    <w:p w14:paraId="0F4D677F" w14:textId="77777777" w:rsidR="00B47A48" w:rsidRPr="00C22B32" w:rsidRDefault="00B47A48" w:rsidP="00B47A48">
      <w:pPr>
        <w:pStyle w:val="Style"/>
        <w:widowControl/>
        <w:jc w:val="both"/>
        <w:textAlignment w:val="baseline"/>
        <w:rPr>
          <w:bCs/>
          <w:szCs w:val="25"/>
        </w:rPr>
      </w:pPr>
      <w:r>
        <w:rPr>
          <w:bCs/>
          <w:szCs w:val="25"/>
        </w:rPr>
        <w:tab/>
      </w:r>
      <w:r w:rsidRPr="00C22B32">
        <w:rPr>
          <w:bCs/>
          <w:szCs w:val="25"/>
        </w:rPr>
        <w:t xml:space="preserve">Perhaps the strongest argument for the conclusion that the audience </w:t>
      </w:r>
      <w:r w:rsidRPr="00C22B32">
        <w:rPr>
          <w:bCs/>
          <w:szCs w:val="23"/>
        </w:rPr>
        <w:t xml:space="preserve">is </w:t>
      </w:r>
      <w:r w:rsidRPr="00C22B32">
        <w:rPr>
          <w:bCs/>
          <w:szCs w:val="25"/>
        </w:rPr>
        <w:t>the disciples is Luke’s structuring of Jesus’ discourses similarly elsewhere in the gospel. At least s</w:t>
      </w:r>
      <w:r>
        <w:rPr>
          <w:bCs/>
          <w:szCs w:val="25"/>
        </w:rPr>
        <w:t>even</w:t>
      </w:r>
      <w:r w:rsidRPr="00C22B32">
        <w:rPr>
          <w:bCs/>
          <w:szCs w:val="25"/>
        </w:rPr>
        <w:t xml:space="preserve"> other scenes in which Jesus directly addresses the disciples while the</w:t>
      </w:r>
      <w:r>
        <w:rPr>
          <w:bCs/>
          <w:szCs w:val="25"/>
        </w:rPr>
        <w:t xml:space="preserve"> </w:t>
      </w:r>
      <w:r w:rsidRPr="00C22B32">
        <w:rPr>
          <w:bCs/>
          <w:szCs w:val="25"/>
        </w:rPr>
        <w:t>multitude eavesdrops can also be found in Luke: 8:9 (cf. 8:4 and 8:19); 9:43b (</w:t>
      </w:r>
      <w:r w:rsidRPr="00C22B32">
        <w:rPr>
          <w:bCs/>
        </w:rPr>
        <w:t>cf.</w:t>
      </w:r>
      <w:r>
        <w:rPr>
          <w:bCs/>
        </w:rPr>
        <w:t xml:space="preserve"> </w:t>
      </w:r>
      <w:r w:rsidRPr="00C22B32">
        <w:rPr>
          <w:bCs/>
          <w:szCs w:val="25"/>
        </w:rPr>
        <w:t xml:space="preserve">9:37); 12:1 </w:t>
      </w:r>
      <w:r w:rsidRPr="001C646B">
        <w:rPr>
          <w:bCs/>
          <w:iCs/>
          <w:szCs w:val="25"/>
        </w:rPr>
        <w:t>(</w:t>
      </w:r>
      <w:r w:rsidRPr="00C22B32">
        <w:rPr>
          <w:bCs/>
        </w:rPr>
        <w:t xml:space="preserve">cf. </w:t>
      </w:r>
      <w:r w:rsidRPr="00C22B32">
        <w:rPr>
          <w:bCs/>
          <w:szCs w:val="25"/>
        </w:rPr>
        <w:t>12:13</w:t>
      </w:r>
      <w:r w:rsidRPr="00C22B32">
        <w:rPr>
          <w:bCs/>
          <w:iCs/>
          <w:szCs w:val="25"/>
        </w:rPr>
        <w:t xml:space="preserve">, </w:t>
      </w:r>
      <w:r w:rsidRPr="00C22B32">
        <w:rPr>
          <w:bCs/>
          <w:szCs w:val="25"/>
        </w:rPr>
        <w:t>41</w:t>
      </w:r>
      <w:r w:rsidRPr="00C22B32">
        <w:rPr>
          <w:bCs/>
          <w:iCs/>
          <w:szCs w:val="25"/>
        </w:rPr>
        <w:t xml:space="preserve">, </w:t>
      </w:r>
      <w:r w:rsidRPr="00C22B32">
        <w:rPr>
          <w:bCs/>
          <w:szCs w:val="25"/>
        </w:rPr>
        <w:t>54); 16:1</w:t>
      </w:r>
      <w:r>
        <w:rPr>
          <w:bCs/>
          <w:szCs w:val="25"/>
        </w:rPr>
        <w:t>,</w:t>
      </w:r>
      <w:r>
        <w:rPr>
          <w:bCs/>
          <w:iCs/>
          <w:szCs w:val="25"/>
        </w:rPr>
        <w:t xml:space="preserve"> </w:t>
      </w:r>
      <w:r w:rsidRPr="00C22B32">
        <w:rPr>
          <w:bCs/>
          <w:szCs w:val="25"/>
        </w:rPr>
        <w:t>17:1</w:t>
      </w:r>
      <w:r>
        <w:rPr>
          <w:bCs/>
          <w:iCs/>
          <w:szCs w:val="25"/>
        </w:rPr>
        <w:t>, and</w:t>
      </w:r>
      <w:r w:rsidRPr="00C22B32">
        <w:rPr>
          <w:bCs/>
          <w:iCs/>
          <w:szCs w:val="25"/>
        </w:rPr>
        <w:t xml:space="preserve"> </w:t>
      </w:r>
      <w:r>
        <w:rPr>
          <w:bCs/>
          <w:iCs/>
          <w:szCs w:val="25"/>
        </w:rPr>
        <w:t>17:</w:t>
      </w:r>
      <w:r w:rsidRPr="00C22B32">
        <w:rPr>
          <w:bCs/>
          <w:szCs w:val="25"/>
        </w:rPr>
        <w:t xml:space="preserve">5 </w:t>
      </w:r>
      <w:r w:rsidRPr="001C646B">
        <w:rPr>
          <w:bCs/>
          <w:iCs/>
          <w:szCs w:val="25"/>
        </w:rPr>
        <w:t>(</w:t>
      </w:r>
      <w:r w:rsidRPr="00C22B32">
        <w:rPr>
          <w:bCs/>
          <w:szCs w:val="25"/>
        </w:rPr>
        <w:t>cf. 14:25</w:t>
      </w:r>
      <w:r w:rsidRPr="00C22B32">
        <w:rPr>
          <w:bCs/>
          <w:iCs/>
          <w:szCs w:val="25"/>
        </w:rPr>
        <w:t xml:space="preserve">, </w:t>
      </w:r>
      <w:r w:rsidRPr="00C22B32">
        <w:rPr>
          <w:bCs/>
          <w:szCs w:val="25"/>
        </w:rPr>
        <w:t>15:1-3</w:t>
      </w:r>
      <w:r w:rsidRPr="00C22B32">
        <w:rPr>
          <w:bCs/>
          <w:iCs/>
          <w:szCs w:val="25"/>
        </w:rPr>
        <w:t xml:space="preserve">, </w:t>
      </w:r>
      <w:r w:rsidRPr="00C22B32">
        <w:rPr>
          <w:bCs/>
          <w:szCs w:val="25"/>
        </w:rPr>
        <w:t>15:14</w:t>
      </w:r>
      <w:r w:rsidRPr="00C22B32">
        <w:rPr>
          <w:bCs/>
          <w:iCs/>
          <w:szCs w:val="25"/>
        </w:rPr>
        <w:t xml:space="preserve">, </w:t>
      </w:r>
      <w:r w:rsidRPr="00C22B32">
        <w:rPr>
          <w:bCs/>
          <w:szCs w:val="25"/>
        </w:rPr>
        <w:t>16:14); 17:22 (</w:t>
      </w:r>
      <w:r w:rsidRPr="00C22B32">
        <w:rPr>
          <w:bCs/>
        </w:rPr>
        <w:t xml:space="preserve">cf. </w:t>
      </w:r>
      <w:r w:rsidRPr="00C22B32">
        <w:rPr>
          <w:bCs/>
          <w:szCs w:val="25"/>
        </w:rPr>
        <w:t xml:space="preserve">17:20); </w:t>
      </w:r>
      <w:r>
        <w:rPr>
          <w:bCs/>
          <w:szCs w:val="25"/>
        </w:rPr>
        <w:t>1</w:t>
      </w:r>
      <w:r w:rsidRPr="00C22B32">
        <w:rPr>
          <w:bCs/>
          <w:szCs w:val="25"/>
        </w:rPr>
        <w:t>8:16 (cf. 18:9</w:t>
      </w:r>
      <w:r w:rsidRPr="00C22B32">
        <w:rPr>
          <w:bCs/>
          <w:iCs/>
          <w:szCs w:val="25"/>
        </w:rPr>
        <w:t xml:space="preserve">, </w:t>
      </w:r>
      <w:r w:rsidRPr="00C22B32">
        <w:rPr>
          <w:bCs/>
          <w:szCs w:val="25"/>
        </w:rPr>
        <w:t>15</w:t>
      </w:r>
      <w:r w:rsidRPr="00C22B32">
        <w:rPr>
          <w:bCs/>
          <w:iCs/>
          <w:szCs w:val="25"/>
        </w:rPr>
        <w:t xml:space="preserve">, </w:t>
      </w:r>
      <w:r w:rsidRPr="00C22B32">
        <w:rPr>
          <w:bCs/>
          <w:szCs w:val="25"/>
        </w:rPr>
        <w:t>18</w:t>
      </w:r>
      <w:r w:rsidRPr="00C22B32">
        <w:rPr>
          <w:bCs/>
          <w:iCs/>
          <w:szCs w:val="25"/>
        </w:rPr>
        <w:t xml:space="preserve">, </w:t>
      </w:r>
      <w:r w:rsidRPr="00C22B32">
        <w:rPr>
          <w:bCs/>
          <w:szCs w:val="25"/>
        </w:rPr>
        <w:t>31); and 20:45. This list can be expanded if one breaks the longer discourses into briefer addresses. Gerhard Lohfink</w:t>
      </w:r>
      <w:r>
        <w:rPr>
          <w:rStyle w:val="FootnoteReference"/>
          <w:bCs/>
          <w:szCs w:val="25"/>
        </w:rPr>
        <w:footnoteReference w:id="878"/>
      </w:r>
      <w:r w:rsidRPr="00C22B32">
        <w:rPr>
          <w:bCs/>
          <w:szCs w:val="25"/>
        </w:rPr>
        <w:t xml:space="preserve"> </w:t>
      </w:r>
      <w:r>
        <w:rPr>
          <w:bCs/>
          <w:szCs w:val="25"/>
        </w:rPr>
        <w:t>l</w:t>
      </w:r>
      <w:r w:rsidRPr="00C22B32">
        <w:rPr>
          <w:bCs/>
          <w:szCs w:val="25"/>
        </w:rPr>
        <w:t>ists nineteen speeches</w:t>
      </w:r>
      <w:r w:rsidRPr="00C22B32">
        <w:rPr>
          <w:bCs/>
          <w:iCs/>
          <w:szCs w:val="25"/>
        </w:rPr>
        <w:t xml:space="preserve">, </w:t>
      </w:r>
      <w:r w:rsidRPr="00C22B32">
        <w:rPr>
          <w:bCs/>
          <w:szCs w:val="25"/>
        </w:rPr>
        <w:t>prior to the passion</w:t>
      </w:r>
      <w:r w:rsidRPr="00C22B32">
        <w:rPr>
          <w:bCs/>
          <w:iCs/>
          <w:szCs w:val="25"/>
        </w:rPr>
        <w:t xml:space="preserve">, </w:t>
      </w:r>
      <w:r w:rsidRPr="00C22B32">
        <w:rPr>
          <w:bCs/>
          <w:szCs w:val="25"/>
        </w:rPr>
        <w:t>in which Jesus addresses the disciples or the twelve: 6:20-7:1; 8:9-18; 9:1-5; 9:18-22; 9:43-45; 9:46-50; 10:1-16; 10:18-20; 10:23-24; 11:1-13; 12:1-12; 12:22-53; 16:1-13; 17:1-10; 17:22-18:8; 18:28-30; 18:31-34; 20:45-47; 22:15-38. In nine of these speeches (6:20-7:1; 8:9-18; 10:23-24; 12:1-12; 12:22-53; 16:1-13; 17:1-10; 17:22-18:8; 18:28-30; 20:45-47)</w:t>
      </w:r>
      <w:r w:rsidRPr="00C22B32">
        <w:rPr>
          <w:bCs/>
          <w:iCs/>
          <w:szCs w:val="25"/>
        </w:rPr>
        <w:t xml:space="preserve">, </w:t>
      </w:r>
      <w:r w:rsidRPr="00C22B32">
        <w:rPr>
          <w:bCs/>
          <w:szCs w:val="25"/>
        </w:rPr>
        <w:t>the crowd is present in addition to the disciples.</w:t>
      </w:r>
    </w:p>
    <w:p w14:paraId="2788378C" w14:textId="77777777" w:rsidR="00B47A48" w:rsidRPr="005F3A98" w:rsidRDefault="00B47A48" w:rsidP="00B47A48">
      <w:pPr>
        <w:pStyle w:val="Style"/>
        <w:widowControl/>
        <w:jc w:val="both"/>
        <w:textAlignment w:val="baseline"/>
        <w:rPr>
          <w:bCs/>
          <w:szCs w:val="25"/>
        </w:rPr>
      </w:pPr>
      <w:r>
        <w:rPr>
          <w:bCs/>
          <w:szCs w:val="25"/>
        </w:rPr>
        <w:lastRenderedPageBreak/>
        <w:tab/>
      </w:r>
      <w:proofErr w:type="spellStart"/>
      <w:r w:rsidRPr="00C22B32">
        <w:rPr>
          <w:bCs/>
          <w:szCs w:val="25"/>
        </w:rPr>
        <w:t>Lohfink</w:t>
      </w:r>
      <w:proofErr w:type="spellEnd"/>
      <w:r w:rsidRPr="00C22B32">
        <w:rPr>
          <w:bCs/>
          <w:szCs w:val="25"/>
        </w:rPr>
        <w:t xml:space="preserve"> is particularly captivated by the discourse in Luke 8 (Luke’s parable</w:t>
      </w:r>
      <w:r>
        <w:rPr>
          <w:bCs/>
          <w:szCs w:val="25"/>
        </w:rPr>
        <w:t xml:space="preserve"> </w:t>
      </w:r>
      <w:r w:rsidRPr="00C22B32">
        <w:rPr>
          <w:bCs/>
          <w:szCs w:val="25"/>
        </w:rPr>
        <w:t>discourse). To the sermon on the plain</w:t>
      </w:r>
      <w:r w:rsidRPr="00C22B32">
        <w:rPr>
          <w:bCs/>
          <w:iCs/>
          <w:szCs w:val="25"/>
        </w:rPr>
        <w:t xml:space="preserve">, </w:t>
      </w:r>
      <w:r w:rsidRPr="00C22B32">
        <w:rPr>
          <w:bCs/>
          <w:szCs w:val="25"/>
        </w:rPr>
        <w:t>he urges</w:t>
      </w:r>
      <w:r w:rsidRPr="00C22B32">
        <w:rPr>
          <w:bCs/>
          <w:iCs/>
          <w:szCs w:val="25"/>
        </w:rPr>
        <w:t>,</w:t>
      </w:r>
    </w:p>
    <w:p w14:paraId="2FC7C97B" w14:textId="77777777" w:rsidR="00B47A48" w:rsidRDefault="00B47A48" w:rsidP="00B47A48">
      <w:pPr>
        <w:pStyle w:val="Style"/>
        <w:widowControl/>
        <w:jc w:val="both"/>
        <w:textAlignment w:val="baseline"/>
        <w:rPr>
          <w:bCs/>
          <w:szCs w:val="25"/>
        </w:rPr>
      </w:pPr>
    </w:p>
    <w:p w14:paraId="1E894270" w14:textId="77777777" w:rsidR="00B47A48" w:rsidRPr="00C22B32" w:rsidRDefault="00B47A48" w:rsidP="00B47A48">
      <w:pPr>
        <w:pStyle w:val="Style"/>
        <w:widowControl/>
        <w:ind w:left="720" w:right="720"/>
        <w:jc w:val="both"/>
        <w:textAlignment w:val="baseline"/>
        <w:rPr>
          <w:bCs/>
          <w:szCs w:val="2"/>
          <w:vertAlign w:val="superscript"/>
        </w:rPr>
      </w:pPr>
      <w:r w:rsidRPr="00C22B32">
        <w:rPr>
          <w:bCs/>
          <w:szCs w:val="25"/>
        </w:rPr>
        <w:t>compare 8:4</w:t>
      </w:r>
      <w:r w:rsidRPr="00C22B32">
        <w:rPr>
          <w:bCs/>
          <w:iCs/>
          <w:szCs w:val="25"/>
        </w:rPr>
        <w:t xml:space="preserve">, </w:t>
      </w:r>
      <w:r w:rsidRPr="00C22B32">
        <w:rPr>
          <w:bCs/>
          <w:szCs w:val="25"/>
        </w:rPr>
        <w:t>19! Unless I am greatly mistaken</w:t>
      </w:r>
      <w:r w:rsidRPr="00C22B32">
        <w:rPr>
          <w:bCs/>
          <w:iCs/>
          <w:szCs w:val="25"/>
        </w:rPr>
        <w:t xml:space="preserve">, </w:t>
      </w:r>
      <w:r w:rsidRPr="00C22B32">
        <w:rPr>
          <w:bCs/>
          <w:szCs w:val="25"/>
        </w:rPr>
        <w:t>in 8:4-21 Luke exactly repeats the scenery of the sermon on the plain: in the center stands Jesus</w:t>
      </w:r>
      <w:r w:rsidRPr="00C22B32">
        <w:rPr>
          <w:bCs/>
          <w:iCs/>
          <w:szCs w:val="25"/>
        </w:rPr>
        <w:t xml:space="preserve">, </w:t>
      </w:r>
      <w:r w:rsidRPr="00C22B32">
        <w:rPr>
          <w:bCs/>
          <w:szCs w:val="25"/>
        </w:rPr>
        <w:t>teaching; around him mills the throng of disciples (v. 9); and in a wider circle around the disciples [stands] the multitude (v. 19). So when Jesus speaks to the disciples</w:t>
      </w:r>
      <w:r w:rsidRPr="00C22B32">
        <w:rPr>
          <w:bCs/>
          <w:iCs/>
          <w:szCs w:val="25"/>
        </w:rPr>
        <w:t xml:space="preserve">, </w:t>
      </w:r>
      <w:r w:rsidRPr="00C22B32">
        <w:rPr>
          <w:bCs/>
          <w:szCs w:val="25"/>
        </w:rPr>
        <w:t>as in verses 10-18</w:t>
      </w:r>
      <w:r w:rsidRPr="00C22B32">
        <w:rPr>
          <w:bCs/>
          <w:iCs/>
          <w:szCs w:val="25"/>
        </w:rPr>
        <w:t xml:space="preserve">, </w:t>
      </w:r>
      <w:r w:rsidRPr="00C22B32">
        <w:rPr>
          <w:bCs/>
          <w:szCs w:val="25"/>
        </w:rPr>
        <w:t>the people listen to him as well.</w:t>
      </w:r>
      <w:r>
        <w:rPr>
          <w:rStyle w:val="FootnoteReference"/>
          <w:bCs/>
          <w:szCs w:val="25"/>
        </w:rPr>
        <w:footnoteReference w:id="879"/>
      </w:r>
    </w:p>
    <w:p w14:paraId="12C6727F" w14:textId="77777777" w:rsidR="00B47A48" w:rsidRDefault="00B47A48" w:rsidP="00B47A48">
      <w:pPr>
        <w:pStyle w:val="Style"/>
        <w:widowControl/>
        <w:jc w:val="both"/>
        <w:textAlignment w:val="baseline"/>
        <w:rPr>
          <w:bCs/>
          <w:szCs w:val="25"/>
        </w:rPr>
      </w:pPr>
    </w:p>
    <w:p w14:paraId="62232144" w14:textId="77777777" w:rsidR="00B47A48" w:rsidRPr="00C22B32" w:rsidRDefault="00B47A48" w:rsidP="00B47A48">
      <w:pPr>
        <w:pStyle w:val="Style"/>
        <w:widowControl/>
        <w:jc w:val="both"/>
        <w:textAlignment w:val="baseline"/>
        <w:rPr>
          <w:bCs/>
          <w:szCs w:val="25"/>
        </w:rPr>
      </w:pPr>
      <w:r w:rsidRPr="00C22B32">
        <w:rPr>
          <w:bCs/>
          <w:szCs w:val="25"/>
        </w:rPr>
        <w:t>To my mind</w:t>
      </w:r>
      <w:r w:rsidRPr="00C22B32">
        <w:rPr>
          <w:bCs/>
          <w:iCs/>
          <w:szCs w:val="25"/>
        </w:rPr>
        <w:t xml:space="preserve">, </w:t>
      </w:r>
      <w:r w:rsidRPr="00C22B32">
        <w:rPr>
          <w:bCs/>
          <w:szCs w:val="25"/>
        </w:rPr>
        <w:t>Luke 20:45 provides an even closer parallel: the statement</w:t>
      </w:r>
      <w:r w:rsidRPr="00C22B32">
        <w:rPr>
          <w:bCs/>
          <w:iCs/>
          <w:szCs w:val="25"/>
        </w:rPr>
        <w:t xml:space="preserve">, </w:t>
      </w:r>
      <w:r>
        <w:rPr>
          <w:bCs/>
          <w:szCs w:val="25"/>
        </w:rPr>
        <w:t>“</w:t>
      </w:r>
      <w:r w:rsidRPr="00C22B32">
        <w:rPr>
          <w:bCs/>
          <w:szCs w:val="25"/>
        </w:rPr>
        <w:t>And in the hearing of all the people he said to his disciples,” seems to me to illuminate especially well Luke 7:1</w:t>
      </w:r>
      <w:r w:rsidRPr="00C22B32">
        <w:rPr>
          <w:bCs/>
          <w:iCs/>
          <w:szCs w:val="25"/>
        </w:rPr>
        <w:t xml:space="preserve">, </w:t>
      </w:r>
      <w:r w:rsidRPr="00C22B32">
        <w:rPr>
          <w:bCs/>
          <w:szCs w:val="25"/>
        </w:rPr>
        <w:t xml:space="preserve">the conclusion of the sermon: “After he had ended all his sayings in the hearing of the people </w:t>
      </w:r>
      <w:r>
        <w:rPr>
          <w:bCs/>
          <w:szCs w:val="25"/>
        </w:rPr>
        <w:t>. . .”</w:t>
      </w:r>
    </w:p>
    <w:p w14:paraId="78C01134" w14:textId="77777777" w:rsidR="00B47A48" w:rsidRPr="00C22B32" w:rsidRDefault="00B47A48" w:rsidP="00B47A48">
      <w:pPr>
        <w:pStyle w:val="Style"/>
        <w:widowControl/>
        <w:jc w:val="both"/>
        <w:textAlignment w:val="baseline"/>
        <w:rPr>
          <w:bCs/>
          <w:szCs w:val="25"/>
        </w:rPr>
      </w:pPr>
      <w:r>
        <w:rPr>
          <w:bCs/>
          <w:szCs w:val="25"/>
        </w:rPr>
        <w:tab/>
      </w:r>
      <w:r w:rsidRPr="00C22B32">
        <w:rPr>
          <w:bCs/>
          <w:szCs w:val="25"/>
        </w:rPr>
        <w:t>It is possible to argue that the alternation of addressees in at least some of</w:t>
      </w:r>
      <w:r>
        <w:rPr>
          <w:bCs/>
          <w:szCs w:val="25"/>
        </w:rPr>
        <w:t xml:space="preserve"> </w:t>
      </w:r>
      <w:r w:rsidRPr="00C22B32">
        <w:rPr>
          <w:bCs/>
          <w:szCs w:val="25"/>
        </w:rPr>
        <w:t>these speeches</w:t>
      </w:r>
      <w:r w:rsidRPr="00C22B32">
        <w:rPr>
          <w:bCs/>
          <w:iCs/>
          <w:szCs w:val="25"/>
        </w:rPr>
        <w:t xml:space="preserve">, </w:t>
      </w:r>
      <w:r w:rsidRPr="00C22B32">
        <w:rPr>
          <w:bCs/>
          <w:szCs w:val="25"/>
        </w:rPr>
        <w:t>including the sermon on the plain</w:t>
      </w:r>
      <w:r w:rsidRPr="00C22B32">
        <w:rPr>
          <w:bCs/>
          <w:iCs/>
          <w:szCs w:val="25"/>
        </w:rPr>
        <w:t xml:space="preserve">, </w:t>
      </w:r>
      <w:r w:rsidRPr="00C22B32">
        <w:rPr>
          <w:bCs/>
          <w:szCs w:val="25"/>
        </w:rPr>
        <w:t xml:space="preserve">can be explained on theological grounds. Helmut </w:t>
      </w:r>
      <w:proofErr w:type="spellStart"/>
      <w:r w:rsidRPr="00C22B32">
        <w:rPr>
          <w:bCs/>
          <w:szCs w:val="25"/>
        </w:rPr>
        <w:t>Flender</w:t>
      </w:r>
      <w:proofErr w:type="spellEnd"/>
      <w:r w:rsidRPr="00C22B32">
        <w:rPr>
          <w:bCs/>
          <w:szCs w:val="25"/>
        </w:rPr>
        <w:t xml:space="preserve"> suggests that by the alternation between addressees in chapter 12 of Luke</w:t>
      </w:r>
      <w:r w:rsidRPr="00671DEF">
        <w:rPr>
          <w:bCs/>
          <w:iCs/>
          <w:szCs w:val="25"/>
        </w:rPr>
        <w:t>—</w:t>
      </w:r>
      <w:r w:rsidRPr="00C22B32">
        <w:rPr>
          <w:bCs/>
          <w:szCs w:val="25"/>
        </w:rPr>
        <w:t>disciples (12:1)</w:t>
      </w:r>
      <w:r w:rsidRPr="00C22B32">
        <w:rPr>
          <w:bCs/>
          <w:iCs/>
          <w:szCs w:val="25"/>
        </w:rPr>
        <w:t xml:space="preserve">, </w:t>
      </w:r>
      <w:r w:rsidRPr="00C22B32">
        <w:rPr>
          <w:bCs/>
          <w:szCs w:val="25"/>
        </w:rPr>
        <w:t>crowd (12:13)</w:t>
      </w:r>
      <w:r w:rsidRPr="00C22B32">
        <w:rPr>
          <w:bCs/>
          <w:iCs/>
          <w:szCs w:val="25"/>
        </w:rPr>
        <w:t xml:space="preserve">, </w:t>
      </w:r>
      <w:r w:rsidRPr="00C22B32">
        <w:rPr>
          <w:bCs/>
          <w:szCs w:val="25"/>
        </w:rPr>
        <w:t>disciples (12:20)</w:t>
      </w:r>
      <w:r w:rsidRPr="00C22B32">
        <w:rPr>
          <w:bCs/>
          <w:iCs/>
          <w:szCs w:val="25"/>
        </w:rPr>
        <w:t xml:space="preserve">, </w:t>
      </w:r>
      <w:r w:rsidRPr="00C22B32">
        <w:rPr>
          <w:bCs/>
          <w:szCs w:val="25"/>
        </w:rPr>
        <w:t>crowd (12:24)</w:t>
      </w:r>
      <w:r w:rsidRPr="00671DEF">
        <w:rPr>
          <w:bCs/>
          <w:iCs/>
          <w:szCs w:val="25"/>
        </w:rPr>
        <w:t>—</w:t>
      </w:r>
      <w:r w:rsidRPr="00C22B32">
        <w:rPr>
          <w:bCs/>
          <w:szCs w:val="25"/>
        </w:rPr>
        <w:t>the clear distinction between an inner and a wider circle is avoided</w:t>
      </w:r>
      <w:r>
        <w:rPr>
          <w:bCs/>
          <w:szCs w:val="25"/>
        </w:rPr>
        <w:t>.</w:t>
      </w:r>
      <w:r>
        <w:rPr>
          <w:rStyle w:val="FootnoteReference"/>
          <w:bCs/>
          <w:szCs w:val="25"/>
        </w:rPr>
        <w:footnoteReference w:id="880"/>
      </w:r>
      <w:r w:rsidRPr="00C22B32">
        <w:rPr>
          <w:bCs/>
          <w:szCs w:val="25"/>
        </w:rPr>
        <w:t xml:space="preserve"> To explain why Luke would want to avoid a distinction between the disciples and the multitude</w:t>
      </w:r>
      <w:r w:rsidRPr="00C22B32">
        <w:rPr>
          <w:bCs/>
          <w:iCs/>
          <w:szCs w:val="25"/>
        </w:rPr>
        <w:t xml:space="preserve">, </w:t>
      </w:r>
      <w:proofErr w:type="spellStart"/>
      <w:r w:rsidRPr="00C22B32">
        <w:rPr>
          <w:bCs/>
          <w:szCs w:val="25"/>
        </w:rPr>
        <w:t>Flender</w:t>
      </w:r>
      <w:proofErr w:type="spellEnd"/>
      <w:r w:rsidRPr="00C22B32">
        <w:rPr>
          <w:bCs/>
          <w:szCs w:val="25"/>
        </w:rPr>
        <w:t xml:space="preserve"> attributes to him the conviction that “To be a disciple is </w:t>
      </w:r>
      <w:r>
        <w:rPr>
          <w:bCs/>
          <w:szCs w:val="25"/>
        </w:rPr>
        <w:t xml:space="preserve">. . . </w:t>
      </w:r>
      <w:r w:rsidRPr="00C22B32">
        <w:rPr>
          <w:bCs/>
          <w:szCs w:val="25"/>
        </w:rPr>
        <w:t xml:space="preserve">a privilege to be constantly renewed in obedience. The division between the disciples and the people is not final but constantly re-established by hearing the word </w:t>
      </w:r>
      <w:r w:rsidRPr="001C646B">
        <w:rPr>
          <w:bCs/>
          <w:iCs/>
          <w:szCs w:val="25"/>
        </w:rPr>
        <w:t>(</w:t>
      </w:r>
      <w:r w:rsidRPr="00C22B32">
        <w:rPr>
          <w:bCs/>
          <w:szCs w:val="25"/>
        </w:rPr>
        <w:t>or refusing to hear it).” Whatever may be the case in chapter 12</w:t>
      </w:r>
      <w:r w:rsidRPr="00C22B32">
        <w:rPr>
          <w:bCs/>
          <w:iCs/>
          <w:szCs w:val="25"/>
        </w:rPr>
        <w:t xml:space="preserve">, </w:t>
      </w:r>
      <w:r w:rsidRPr="00C22B32">
        <w:rPr>
          <w:bCs/>
          <w:szCs w:val="25"/>
        </w:rPr>
        <w:t>this excellent existentialist theology does not sit well when imposed upon the sermon on the plain.</w:t>
      </w:r>
    </w:p>
    <w:p w14:paraId="7B61007B" w14:textId="77777777" w:rsidR="00B47A48" w:rsidRDefault="00B47A48" w:rsidP="00B47A48">
      <w:pPr>
        <w:pStyle w:val="Style"/>
        <w:widowControl/>
        <w:jc w:val="both"/>
        <w:textAlignment w:val="baseline"/>
        <w:rPr>
          <w:bCs/>
          <w:szCs w:val="25"/>
        </w:rPr>
      </w:pPr>
    </w:p>
    <w:p w14:paraId="535C73FB" w14:textId="77777777" w:rsidR="00B47A48" w:rsidRPr="00192237" w:rsidRDefault="00B47A48" w:rsidP="00B47A48">
      <w:pPr>
        <w:pStyle w:val="Style"/>
        <w:widowControl/>
        <w:ind w:left="720" w:right="720"/>
        <w:jc w:val="both"/>
        <w:textAlignment w:val="baseline"/>
        <w:rPr>
          <w:bCs/>
          <w:szCs w:val="25"/>
        </w:rPr>
      </w:pPr>
      <w:r w:rsidRPr="00C22B32">
        <w:rPr>
          <w:bCs/>
          <w:szCs w:val="25"/>
        </w:rPr>
        <w:t xml:space="preserve">The same sequence can be found again within the Sermon on the Plain </w:t>
      </w:r>
      <w:r>
        <w:rPr>
          <w:bCs/>
          <w:szCs w:val="25"/>
        </w:rPr>
        <w:t xml:space="preserve">. . . </w:t>
      </w:r>
      <w:r w:rsidRPr="00C22B32">
        <w:rPr>
          <w:bCs/>
          <w:szCs w:val="25"/>
        </w:rPr>
        <w:t xml:space="preserve">a great multitude assembles to hear Jesus and to be healed (v. </w:t>
      </w:r>
      <w:r w:rsidRPr="00C22B32">
        <w:rPr>
          <w:bCs/>
        </w:rPr>
        <w:t>17). [</w:t>
      </w:r>
      <w:r w:rsidRPr="00C22B32">
        <w:rPr>
          <w:bCs/>
          <w:szCs w:val="25"/>
        </w:rPr>
        <w:t>But] in v. 27 it is stated emphatically that only those who hear are addressed. The purpose of this is to maintain the distinction between those in the crowd who are swayed by the miracles and the disciples who hear his word</w:t>
      </w:r>
      <w:r>
        <w:rPr>
          <w:bCs/>
          <w:szCs w:val="25"/>
        </w:rPr>
        <w:t xml:space="preserve">. . . . </w:t>
      </w:r>
      <w:r w:rsidRPr="00C22B32">
        <w:rPr>
          <w:bCs/>
          <w:szCs w:val="25"/>
        </w:rPr>
        <w:t>At the end of the sermon we read that he said all this in “the hearing of the people” (</w:t>
      </w:r>
      <w:r w:rsidRPr="00C22B32">
        <w:rPr>
          <w:bCs/>
        </w:rPr>
        <w:t xml:space="preserve">7.1). </w:t>
      </w:r>
      <w:r w:rsidRPr="00C22B32">
        <w:rPr>
          <w:bCs/>
          <w:szCs w:val="25"/>
        </w:rPr>
        <w:t xml:space="preserve">Here is the same absence of division between the people and the disciples as we find in </w:t>
      </w:r>
      <w:r w:rsidRPr="00C22B32">
        <w:rPr>
          <w:bCs/>
        </w:rPr>
        <w:t>6.17.</w:t>
      </w:r>
      <w:r>
        <w:rPr>
          <w:rStyle w:val="FootnoteReference"/>
          <w:bCs/>
        </w:rPr>
        <w:footnoteReference w:id="881"/>
      </w:r>
    </w:p>
    <w:p w14:paraId="1CDA436C" w14:textId="77777777" w:rsidR="00B47A48" w:rsidRDefault="00B47A48" w:rsidP="00B47A48">
      <w:pPr>
        <w:pStyle w:val="Style"/>
        <w:widowControl/>
        <w:jc w:val="both"/>
        <w:textAlignment w:val="baseline"/>
        <w:rPr>
          <w:bCs/>
          <w:szCs w:val="25"/>
        </w:rPr>
      </w:pPr>
    </w:p>
    <w:p w14:paraId="7C593489" w14:textId="77777777" w:rsidR="00B47A48" w:rsidRPr="00C22B32" w:rsidRDefault="00B47A48" w:rsidP="00B47A48">
      <w:pPr>
        <w:pStyle w:val="Style"/>
        <w:widowControl/>
        <w:jc w:val="both"/>
        <w:textAlignment w:val="baseline"/>
        <w:rPr>
          <w:bCs/>
          <w:szCs w:val="25"/>
        </w:rPr>
      </w:pPr>
      <w:r w:rsidRPr="00C22B32">
        <w:rPr>
          <w:bCs/>
          <w:szCs w:val="25"/>
        </w:rPr>
        <w:t xml:space="preserve">But there is no absence of division in </w:t>
      </w:r>
      <w:r w:rsidRPr="00C22B32">
        <w:rPr>
          <w:bCs/>
        </w:rPr>
        <w:t xml:space="preserve">6:17: </w:t>
      </w:r>
      <w:r w:rsidRPr="00C22B32">
        <w:rPr>
          <w:bCs/>
          <w:szCs w:val="25"/>
        </w:rPr>
        <w:t>the two groups are quite clearly distinguished</w:t>
      </w:r>
      <w:r w:rsidRPr="00671DEF">
        <w:rPr>
          <w:bCs/>
          <w:iCs/>
          <w:szCs w:val="25"/>
        </w:rPr>
        <w:t>—</w:t>
      </w:r>
      <w:r>
        <w:rPr>
          <w:bCs/>
          <w:szCs w:val="25"/>
        </w:rPr>
        <w:t>“</w:t>
      </w:r>
      <w:r w:rsidRPr="00C22B32">
        <w:rPr>
          <w:bCs/>
          <w:szCs w:val="25"/>
        </w:rPr>
        <w:t xml:space="preserve">a great crowd of his disciples and a great multitude of people </w:t>
      </w:r>
      <w:r>
        <w:rPr>
          <w:bCs/>
          <w:szCs w:val="25"/>
        </w:rPr>
        <w:t>. . .”</w:t>
      </w:r>
      <w:r w:rsidRPr="00C22B32">
        <w:rPr>
          <w:bCs/>
          <w:szCs w:val="25"/>
        </w:rPr>
        <w:t xml:space="preserve"> Moreover</w:t>
      </w:r>
      <w:r w:rsidRPr="00C22B32">
        <w:rPr>
          <w:bCs/>
          <w:iCs/>
          <w:szCs w:val="25"/>
        </w:rPr>
        <w:t xml:space="preserve">, </w:t>
      </w:r>
      <w:r>
        <w:rPr>
          <w:bCs/>
          <w:iCs/>
          <w:szCs w:val="25"/>
        </w:rPr>
        <w:t>“</w:t>
      </w:r>
      <w:r w:rsidRPr="00C22B32">
        <w:rPr>
          <w:bCs/>
          <w:szCs w:val="25"/>
        </w:rPr>
        <w:t>in the hearing of the people” (</w:t>
      </w:r>
      <w:r w:rsidRPr="00C22B32">
        <w:rPr>
          <w:bCs/>
        </w:rPr>
        <w:t>7:1)</w:t>
      </w:r>
      <w:r w:rsidRPr="00C22B32">
        <w:rPr>
          <w:bCs/>
          <w:iCs/>
        </w:rPr>
        <w:t xml:space="preserve">, </w:t>
      </w:r>
      <w:r w:rsidRPr="00C22B32">
        <w:rPr>
          <w:bCs/>
          <w:szCs w:val="25"/>
        </w:rPr>
        <w:t>though it appears to suggest that the multitude is the recipient of the sermon</w:t>
      </w:r>
      <w:r w:rsidRPr="00C22B32">
        <w:rPr>
          <w:bCs/>
          <w:iCs/>
          <w:szCs w:val="25"/>
        </w:rPr>
        <w:t xml:space="preserve">, </w:t>
      </w:r>
      <w:r w:rsidRPr="00C22B32">
        <w:rPr>
          <w:bCs/>
          <w:szCs w:val="25"/>
        </w:rPr>
        <w:t>really implies quite the opposite</w:t>
      </w:r>
      <w:r w:rsidRPr="00C22B32">
        <w:rPr>
          <w:bCs/>
          <w:iCs/>
          <w:szCs w:val="25"/>
        </w:rPr>
        <w:t xml:space="preserve">, </w:t>
      </w:r>
      <w:r w:rsidRPr="00C22B32">
        <w:rPr>
          <w:bCs/>
          <w:szCs w:val="25"/>
        </w:rPr>
        <w:t>when the</w:t>
      </w:r>
      <w:r>
        <w:rPr>
          <w:bCs/>
          <w:szCs w:val="25"/>
        </w:rPr>
        <w:t xml:space="preserve">  </w:t>
      </w:r>
      <w:r w:rsidRPr="00C22B32">
        <w:rPr>
          <w:bCs/>
          <w:szCs w:val="25"/>
        </w:rPr>
        <w:t>pattern of all the other discourses we have mentioned is taken into account: the</w:t>
      </w:r>
      <w:r>
        <w:rPr>
          <w:bCs/>
          <w:szCs w:val="25"/>
        </w:rPr>
        <w:t xml:space="preserve"> </w:t>
      </w:r>
      <w:r w:rsidRPr="00C22B32">
        <w:rPr>
          <w:bCs/>
          <w:szCs w:val="25"/>
        </w:rPr>
        <w:t>sermon has not been addressed to them</w:t>
      </w:r>
      <w:r w:rsidRPr="00C22B32">
        <w:rPr>
          <w:bCs/>
          <w:iCs/>
          <w:szCs w:val="25"/>
        </w:rPr>
        <w:t xml:space="preserve">, </w:t>
      </w:r>
      <w:r w:rsidRPr="00C22B32">
        <w:rPr>
          <w:bCs/>
          <w:szCs w:val="25"/>
        </w:rPr>
        <w:t>but has merely been said in their hearing (cf. again 20:45</w:t>
      </w:r>
      <w:r w:rsidRPr="00C22B32">
        <w:rPr>
          <w:bCs/>
          <w:iCs/>
          <w:szCs w:val="25"/>
        </w:rPr>
        <w:t>, “</w:t>
      </w:r>
      <w:r w:rsidRPr="00C22B32">
        <w:rPr>
          <w:bCs/>
          <w:szCs w:val="25"/>
        </w:rPr>
        <w:t>in the hearing of all the people he said to his disciples”). Finally</w:t>
      </w:r>
      <w:r w:rsidRPr="00C22B32">
        <w:rPr>
          <w:bCs/>
          <w:iCs/>
          <w:szCs w:val="25"/>
        </w:rPr>
        <w:t xml:space="preserve">, </w:t>
      </w:r>
      <w:r>
        <w:rPr>
          <w:bCs/>
          <w:szCs w:val="25"/>
        </w:rPr>
        <w:t>6:</w:t>
      </w:r>
      <w:r w:rsidRPr="00C22B32">
        <w:rPr>
          <w:bCs/>
          <w:szCs w:val="25"/>
        </w:rPr>
        <w:t>27 (“But I say to you that hear”) cannot be used to determine the audience of the entirety of the sermon; in the woes</w:t>
      </w:r>
      <w:r w:rsidRPr="00C22B32">
        <w:rPr>
          <w:bCs/>
          <w:iCs/>
          <w:szCs w:val="25"/>
        </w:rPr>
        <w:t xml:space="preserve">, </w:t>
      </w:r>
      <w:r w:rsidRPr="00C22B32">
        <w:rPr>
          <w:bCs/>
          <w:szCs w:val="25"/>
        </w:rPr>
        <w:t>for instance</w:t>
      </w:r>
      <w:r w:rsidRPr="00C22B32">
        <w:rPr>
          <w:bCs/>
          <w:iCs/>
          <w:szCs w:val="25"/>
        </w:rPr>
        <w:t xml:space="preserve">, </w:t>
      </w:r>
      <w:r w:rsidRPr="00C22B32">
        <w:rPr>
          <w:bCs/>
          <w:szCs w:val="25"/>
        </w:rPr>
        <w:t>Jesus has just addressed those who do not hear</w:t>
      </w:r>
      <w:r>
        <w:rPr>
          <w:bCs/>
          <w:szCs w:val="25"/>
        </w:rPr>
        <w:t>.</w:t>
      </w:r>
      <w:r>
        <w:rPr>
          <w:rStyle w:val="FootnoteReference"/>
          <w:bCs/>
          <w:szCs w:val="25"/>
        </w:rPr>
        <w:footnoteReference w:id="882"/>
      </w:r>
    </w:p>
    <w:p w14:paraId="054175B7" w14:textId="77777777" w:rsidR="00B47A48" w:rsidRPr="00C22B32" w:rsidRDefault="00B47A48" w:rsidP="00B47A48">
      <w:pPr>
        <w:pStyle w:val="Style"/>
        <w:widowControl/>
        <w:jc w:val="both"/>
        <w:textAlignment w:val="baseline"/>
        <w:rPr>
          <w:bCs/>
          <w:szCs w:val="25"/>
        </w:rPr>
      </w:pPr>
      <w:r>
        <w:rPr>
          <w:bCs/>
          <w:szCs w:val="25"/>
        </w:rPr>
        <w:lastRenderedPageBreak/>
        <w:tab/>
      </w:r>
      <w:r w:rsidRPr="00C22B32">
        <w:rPr>
          <w:bCs/>
          <w:szCs w:val="25"/>
        </w:rPr>
        <w:t>We conclude</w:t>
      </w:r>
      <w:r w:rsidRPr="00C22B32">
        <w:rPr>
          <w:bCs/>
          <w:iCs/>
          <w:szCs w:val="25"/>
        </w:rPr>
        <w:t xml:space="preserve">, </w:t>
      </w:r>
      <w:r w:rsidRPr="00C22B32">
        <w:rPr>
          <w:bCs/>
          <w:szCs w:val="25"/>
        </w:rPr>
        <w:t>then</w:t>
      </w:r>
      <w:r w:rsidRPr="00C22B32">
        <w:rPr>
          <w:bCs/>
          <w:iCs/>
          <w:szCs w:val="25"/>
        </w:rPr>
        <w:t xml:space="preserve">, </w:t>
      </w:r>
      <w:r w:rsidRPr="00C22B32">
        <w:rPr>
          <w:bCs/>
          <w:szCs w:val="25"/>
        </w:rPr>
        <w:t>that Luke intended the reader to understand that the entirety of the sermon on the plain is directly addressed to Jesus’ disciples</w:t>
      </w:r>
      <w:r w:rsidRPr="00C22B32">
        <w:rPr>
          <w:bCs/>
          <w:iCs/>
          <w:szCs w:val="25"/>
        </w:rPr>
        <w:t xml:space="preserve">, </w:t>
      </w:r>
      <w:r w:rsidRPr="00C22B32">
        <w:rPr>
          <w:bCs/>
          <w:szCs w:val="25"/>
        </w:rPr>
        <w:t>and only to his disciples.</w:t>
      </w:r>
    </w:p>
    <w:p w14:paraId="3B4DB064" w14:textId="77777777" w:rsidR="00B47A48" w:rsidRDefault="00B47A48" w:rsidP="00B47A48">
      <w:pPr>
        <w:pStyle w:val="Style"/>
        <w:widowControl/>
        <w:jc w:val="both"/>
        <w:textAlignment w:val="baseline"/>
        <w:rPr>
          <w:bCs/>
          <w:szCs w:val="25"/>
        </w:rPr>
      </w:pPr>
    </w:p>
    <w:p w14:paraId="2E74CE09" w14:textId="77777777" w:rsidR="00B47A48" w:rsidRPr="00C22B32" w:rsidRDefault="00B47A48" w:rsidP="00B47A48">
      <w:pPr>
        <w:pStyle w:val="Style"/>
        <w:widowControl/>
        <w:jc w:val="both"/>
        <w:textAlignment w:val="baseline"/>
        <w:rPr>
          <w:bCs/>
          <w:szCs w:val="25"/>
        </w:rPr>
      </w:pPr>
      <w:r>
        <w:rPr>
          <w:bCs/>
          <w:szCs w:val="25"/>
        </w:rPr>
        <w:tab/>
      </w:r>
      <w:r w:rsidRPr="00C22B32">
        <w:rPr>
          <w:bCs/>
          <w:szCs w:val="25"/>
        </w:rPr>
        <w:t xml:space="preserve">A final word may be said concerning the possibility of a </w:t>
      </w:r>
      <w:r w:rsidRPr="00C22B32">
        <w:rPr>
          <w:bCs/>
          <w:i/>
          <w:iCs/>
          <w:szCs w:val="25"/>
        </w:rPr>
        <w:t>via media</w:t>
      </w:r>
      <w:r w:rsidRPr="00C22B32">
        <w:rPr>
          <w:bCs/>
          <w:iCs/>
          <w:szCs w:val="25"/>
        </w:rPr>
        <w:t xml:space="preserve">: </w:t>
      </w:r>
      <w:r w:rsidRPr="00C22B32">
        <w:rPr>
          <w:bCs/>
          <w:szCs w:val="25"/>
        </w:rPr>
        <w:t xml:space="preserve">is it not possible that Jesus is directly addressing </w:t>
      </w:r>
      <w:r w:rsidRPr="00C22B32">
        <w:rPr>
          <w:bCs/>
          <w:i/>
          <w:iCs/>
          <w:szCs w:val="25"/>
        </w:rPr>
        <w:t>both</w:t>
      </w:r>
      <w:r w:rsidRPr="00A27610">
        <w:rPr>
          <w:bCs/>
          <w:szCs w:val="25"/>
        </w:rPr>
        <w:t xml:space="preserve"> </w:t>
      </w:r>
      <w:r w:rsidRPr="00C22B32">
        <w:rPr>
          <w:bCs/>
          <w:szCs w:val="25"/>
        </w:rPr>
        <w:t xml:space="preserve">the disciples and the multitude? </w:t>
      </w:r>
      <w:r w:rsidRPr="00A27610">
        <w:rPr>
          <w:bCs/>
          <w:iCs/>
          <w:szCs w:val="25"/>
        </w:rPr>
        <w:t>F.W.</w:t>
      </w:r>
      <w:r w:rsidRPr="00C22B32">
        <w:rPr>
          <w:bCs/>
          <w:szCs w:val="25"/>
        </w:rPr>
        <w:t xml:space="preserve"> Beare</w:t>
      </w:r>
      <w:r w:rsidRPr="00C22B32">
        <w:rPr>
          <w:bCs/>
          <w:iCs/>
          <w:szCs w:val="25"/>
        </w:rPr>
        <w:t xml:space="preserve">, </w:t>
      </w:r>
      <w:r w:rsidRPr="00C22B32">
        <w:rPr>
          <w:bCs/>
          <w:szCs w:val="25"/>
        </w:rPr>
        <w:t>for one</w:t>
      </w:r>
      <w:r w:rsidRPr="00C22B32">
        <w:rPr>
          <w:bCs/>
          <w:iCs/>
          <w:szCs w:val="25"/>
        </w:rPr>
        <w:t xml:space="preserve">, </w:t>
      </w:r>
      <w:r w:rsidRPr="00C22B32">
        <w:rPr>
          <w:bCs/>
          <w:szCs w:val="25"/>
        </w:rPr>
        <w:t>attempts this truce:</w:t>
      </w:r>
    </w:p>
    <w:p w14:paraId="521103B7" w14:textId="77777777" w:rsidR="00B47A48" w:rsidRDefault="00B47A48" w:rsidP="00B47A48">
      <w:pPr>
        <w:pStyle w:val="Style"/>
        <w:widowControl/>
        <w:jc w:val="both"/>
        <w:textAlignment w:val="baseline"/>
        <w:rPr>
          <w:bCs/>
          <w:szCs w:val="25"/>
        </w:rPr>
      </w:pPr>
    </w:p>
    <w:p w14:paraId="71C85227" w14:textId="77777777" w:rsidR="00B47A48" w:rsidRPr="00C22B32" w:rsidRDefault="00B47A48" w:rsidP="00B47A48">
      <w:pPr>
        <w:pStyle w:val="Style"/>
        <w:widowControl/>
        <w:ind w:left="720" w:right="720"/>
        <w:jc w:val="both"/>
        <w:textAlignment w:val="baseline"/>
        <w:rPr>
          <w:bCs/>
          <w:szCs w:val="25"/>
        </w:rPr>
      </w:pPr>
      <w:r w:rsidRPr="00C22B32">
        <w:rPr>
          <w:bCs/>
          <w:szCs w:val="25"/>
        </w:rPr>
        <w:t xml:space="preserve">To whom are the sayings of the Sermon addressed? </w:t>
      </w:r>
      <w:r>
        <w:rPr>
          <w:bCs/>
          <w:szCs w:val="25"/>
        </w:rPr>
        <w:t xml:space="preserve">. . . </w:t>
      </w:r>
      <w:r w:rsidRPr="00C22B32">
        <w:rPr>
          <w:bCs/>
          <w:szCs w:val="25"/>
        </w:rPr>
        <w:t>Unfortunately</w:t>
      </w:r>
      <w:r>
        <w:rPr>
          <w:bCs/>
          <w:szCs w:val="25"/>
        </w:rPr>
        <w:t xml:space="preserve"> </w:t>
      </w:r>
      <w:r w:rsidRPr="00C22B32">
        <w:rPr>
          <w:bCs/>
          <w:szCs w:val="25"/>
        </w:rPr>
        <w:t xml:space="preserve">both the Evangelists leave some ambiguity. [But] The very ambiguity of the Evangelists has thus its own truth. Only those who will commit themselves to Jesus as his disciples can find meaning and direction in his counsels for life </w:t>
      </w:r>
      <w:r>
        <w:rPr>
          <w:bCs/>
          <w:szCs w:val="25"/>
        </w:rPr>
        <w:t xml:space="preserve">. . . </w:t>
      </w:r>
      <w:r w:rsidRPr="00C22B32">
        <w:rPr>
          <w:bCs/>
          <w:szCs w:val="25"/>
        </w:rPr>
        <w:t>yet at the same time this is no esoteric teaching</w:t>
      </w:r>
      <w:r w:rsidRPr="00C22B32">
        <w:rPr>
          <w:bCs/>
          <w:iCs/>
          <w:szCs w:val="25"/>
        </w:rPr>
        <w:t xml:space="preserve">, </w:t>
      </w:r>
      <w:r w:rsidRPr="00C22B32">
        <w:rPr>
          <w:bCs/>
          <w:szCs w:val="25"/>
        </w:rPr>
        <w:t xml:space="preserve">but a searching challenge also to the uncommitted ‘multitudes’ </w:t>
      </w:r>
      <w:r>
        <w:rPr>
          <w:bCs/>
          <w:szCs w:val="25"/>
        </w:rPr>
        <w:t xml:space="preserve">. . . </w:t>
      </w:r>
      <w:r w:rsidRPr="00C22B32">
        <w:rPr>
          <w:bCs/>
          <w:szCs w:val="25"/>
        </w:rPr>
        <w:t>The Beatitudes</w:t>
      </w:r>
      <w:r w:rsidRPr="00C22B32">
        <w:rPr>
          <w:bCs/>
          <w:iCs/>
          <w:szCs w:val="25"/>
        </w:rPr>
        <w:t xml:space="preserve">, </w:t>
      </w:r>
      <w:r w:rsidRPr="00C22B32">
        <w:rPr>
          <w:bCs/>
          <w:szCs w:val="25"/>
        </w:rPr>
        <w:t>especially in the Lucan form</w:t>
      </w:r>
      <w:r w:rsidRPr="00C22B32">
        <w:rPr>
          <w:bCs/>
          <w:iCs/>
          <w:szCs w:val="25"/>
        </w:rPr>
        <w:t xml:space="preserve">, </w:t>
      </w:r>
      <w:r w:rsidRPr="00C22B32">
        <w:rPr>
          <w:bCs/>
          <w:szCs w:val="25"/>
        </w:rPr>
        <w:t>are addressed primarily to the disciples; the concluding parable is equally clearly a warning to the</w:t>
      </w:r>
      <w:r>
        <w:rPr>
          <w:bCs/>
          <w:szCs w:val="25"/>
        </w:rPr>
        <w:t xml:space="preserve"> </w:t>
      </w:r>
      <w:r w:rsidRPr="00C22B32">
        <w:rPr>
          <w:bCs/>
          <w:szCs w:val="25"/>
        </w:rPr>
        <w:t>uncom</w:t>
      </w:r>
      <w:r>
        <w:rPr>
          <w:bCs/>
          <w:szCs w:val="25"/>
        </w:rPr>
        <w:t>mi</w:t>
      </w:r>
      <w:r w:rsidRPr="00C22B32">
        <w:rPr>
          <w:bCs/>
          <w:szCs w:val="25"/>
        </w:rPr>
        <w:t>tte</w:t>
      </w:r>
      <w:r>
        <w:rPr>
          <w:bCs/>
          <w:szCs w:val="25"/>
        </w:rPr>
        <w:t>d</w:t>
      </w:r>
      <w:r w:rsidRPr="00C22B32">
        <w:rPr>
          <w:bCs/>
          <w:szCs w:val="25"/>
        </w:rPr>
        <w:t xml:space="preserve"> </w:t>
      </w:r>
      <w:r>
        <w:rPr>
          <w:bCs/>
          <w:szCs w:val="25"/>
        </w:rPr>
        <w:t>. . .</w:t>
      </w:r>
      <w:r>
        <w:rPr>
          <w:rStyle w:val="FootnoteReference"/>
          <w:bCs/>
          <w:szCs w:val="25"/>
        </w:rPr>
        <w:footnoteReference w:id="883"/>
      </w:r>
    </w:p>
    <w:p w14:paraId="2D0497BB" w14:textId="77777777" w:rsidR="00B47A48" w:rsidRDefault="00B47A48" w:rsidP="00B47A48">
      <w:pPr>
        <w:pStyle w:val="Style"/>
        <w:widowControl/>
        <w:jc w:val="both"/>
        <w:textAlignment w:val="baseline"/>
        <w:rPr>
          <w:bCs/>
          <w:szCs w:val="25"/>
        </w:rPr>
      </w:pPr>
    </w:p>
    <w:p w14:paraId="243DBAA0" w14:textId="77777777" w:rsidR="00B47A48" w:rsidRPr="00C22B32" w:rsidRDefault="00B47A48" w:rsidP="00B47A48">
      <w:pPr>
        <w:pStyle w:val="Style"/>
        <w:widowControl/>
        <w:jc w:val="both"/>
        <w:textAlignment w:val="baseline"/>
        <w:rPr>
          <w:bCs/>
          <w:szCs w:val="25"/>
        </w:rPr>
      </w:pPr>
      <w:r w:rsidRPr="00C22B32">
        <w:rPr>
          <w:bCs/>
          <w:szCs w:val="25"/>
        </w:rPr>
        <w:t>An appeal to the marvelous meaningfulness of scriptural obscurity really is not necessary at this point</w:t>
      </w:r>
      <w:r>
        <w:rPr>
          <w:bCs/>
          <w:szCs w:val="25"/>
        </w:rPr>
        <w:t>.</w:t>
      </w:r>
      <w:r>
        <w:rPr>
          <w:rStyle w:val="FootnoteReference"/>
          <w:bCs/>
          <w:szCs w:val="25"/>
        </w:rPr>
        <w:footnoteReference w:id="884"/>
      </w:r>
      <w:r>
        <w:rPr>
          <w:bCs/>
          <w:szCs w:val="25"/>
        </w:rPr>
        <w:t xml:space="preserve"> </w:t>
      </w:r>
      <w:r w:rsidRPr="00C22B32">
        <w:rPr>
          <w:bCs/>
          <w:szCs w:val="25"/>
        </w:rPr>
        <w:t>The evidence adduced above is sufficient to demonstrate that the disciples</w:t>
      </w:r>
      <w:r w:rsidRPr="00C22B32">
        <w:rPr>
          <w:bCs/>
          <w:iCs/>
          <w:szCs w:val="25"/>
        </w:rPr>
        <w:t xml:space="preserve">, </w:t>
      </w:r>
      <w:r w:rsidRPr="00C22B32">
        <w:rPr>
          <w:bCs/>
          <w:szCs w:val="25"/>
        </w:rPr>
        <w:t>and only the disciples</w:t>
      </w:r>
      <w:r w:rsidRPr="00C22B32">
        <w:rPr>
          <w:bCs/>
          <w:iCs/>
          <w:szCs w:val="25"/>
        </w:rPr>
        <w:t xml:space="preserve">, </w:t>
      </w:r>
      <w:r w:rsidRPr="00C22B32">
        <w:rPr>
          <w:bCs/>
          <w:szCs w:val="25"/>
        </w:rPr>
        <w:t>are directly addressed in the sermon. While Luke no doubt means to convey that the crowd also overhears Jesus</w:t>
      </w:r>
      <w:r w:rsidRPr="00C22B32">
        <w:rPr>
          <w:bCs/>
          <w:iCs/>
          <w:szCs w:val="25"/>
        </w:rPr>
        <w:t xml:space="preserve">, </w:t>
      </w:r>
      <w:r w:rsidRPr="00C22B32">
        <w:rPr>
          <w:bCs/>
          <w:szCs w:val="25"/>
        </w:rPr>
        <w:t>the speech is not aimed directly at them. A careful consideration of the evidence in the sermon itself therefore seems to me to make unnecessary any concessions to uncertainty.</w:t>
      </w:r>
    </w:p>
    <w:p w14:paraId="6F2D4FDC" w14:textId="77777777" w:rsidR="00B47A48" w:rsidRDefault="00B47A48" w:rsidP="00B47A48">
      <w:pPr>
        <w:rPr>
          <w:rFonts w:eastAsiaTheme="minorEastAsia"/>
          <w:bCs/>
          <w:kern w:val="0"/>
          <w:szCs w:val="25"/>
          <w:lang w:eastAsia="zh-CN"/>
        </w:rPr>
      </w:pPr>
      <w:r>
        <w:rPr>
          <w:bCs/>
          <w:szCs w:val="25"/>
        </w:rPr>
        <w:br w:type="page"/>
      </w:r>
    </w:p>
    <w:p w14:paraId="385D8C8E" w14:textId="75754897" w:rsidR="00B47A48" w:rsidRDefault="00B3722B" w:rsidP="00B3722B">
      <w:pPr>
        <w:pStyle w:val="Heading1"/>
      </w:pPr>
      <w:bookmarkStart w:id="101" w:name="_Toc147618659"/>
      <w:r w:rsidRPr="00C22B32">
        <w:lastRenderedPageBreak/>
        <w:t xml:space="preserve">Appendix </w:t>
      </w:r>
      <w:r w:rsidR="00B47A48">
        <w:t>4</w:t>
      </w:r>
      <w:r>
        <w:t>:</w:t>
      </w:r>
      <w:bookmarkEnd w:id="101"/>
    </w:p>
    <w:p w14:paraId="4B60A57B" w14:textId="62C00990" w:rsidR="00B47A48" w:rsidRPr="00C22B32" w:rsidRDefault="00B3722B" w:rsidP="00B3722B">
      <w:pPr>
        <w:pStyle w:val="Heading1"/>
      </w:pPr>
      <w:bookmarkStart w:id="102" w:name="_Toc147618660"/>
      <w:r w:rsidRPr="00C22B32">
        <w:t xml:space="preserve">On </w:t>
      </w:r>
      <w:r w:rsidR="00B47A48">
        <w:t>“</w:t>
      </w:r>
      <w:r w:rsidRPr="00C22B32">
        <w:t xml:space="preserve">Expecting Nothing </w:t>
      </w:r>
      <w:r>
        <w:t>i</w:t>
      </w:r>
      <w:r w:rsidRPr="00C22B32">
        <w:t>n Return</w:t>
      </w:r>
      <w:r w:rsidR="00B47A48">
        <w:t>”</w:t>
      </w:r>
      <w:r w:rsidR="00B47A48" w:rsidRPr="00C22B32">
        <w:t xml:space="preserve"> (Luke 6:35</w:t>
      </w:r>
      <w:r w:rsidR="00B47A48">
        <w:t>c</w:t>
      </w:r>
      <w:r w:rsidR="00B47A48" w:rsidRPr="00C22B32">
        <w:t>)</w:t>
      </w:r>
      <w:bookmarkEnd w:id="102"/>
    </w:p>
    <w:p w14:paraId="55B92A89" w14:textId="77777777" w:rsidR="00B47A48" w:rsidRDefault="00B47A48" w:rsidP="00B47A48">
      <w:pPr>
        <w:pStyle w:val="Style"/>
        <w:widowControl/>
        <w:jc w:val="both"/>
        <w:textAlignment w:val="baseline"/>
        <w:rPr>
          <w:bCs/>
          <w:szCs w:val="25"/>
        </w:rPr>
      </w:pPr>
    </w:p>
    <w:p w14:paraId="3BA1B538" w14:textId="77777777" w:rsidR="00B47A48" w:rsidRDefault="00B47A48" w:rsidP="00B47A48">
      <w:pPr>
        <w:pStyle w:val="Style"/>
        <w:widowControl/>
        <w:jc w:val="both"/>
        <w:textAlignment w:val="baseline"/>
        <w:rPr>
          <w:bCs/>
          <w:szCs w:val="25"/>
        </w:rPr>
      </w:pPr>
    </w:p>
    <w:p w14:paraId="45B1EAF4" w14:textId="230F2B38" w:rsidR="00B47A48" w:rsidRPr="00FC0F82" w:rsidRDefault="00B47A48" w:rsidP="00B47A48">
      <w:pPr>
        <w:pStyle w:val="Style"/>
        <w:widowControl/>
        <w:jc w:val="both"/>
        <w:textAlignment w:val="baseline"/>
        <w:rPr>
          <w:bCs/>
          <w:szCs w:val="25"/>
        </w:rPr>
      </w:pPr>
      <w:r>
        <w:rPr>
          <w:bCs/>
          <w:szCs w:val="25"/>
        </w:rPr>
        <w:tab/>
      </w:r>
      <w:r w:rsidRPr="00C22B32">
        <w:rPr>
          <w:bCs/>
          <w:szCs w:val="25"/>
        </w:rPr>
        <w:t>As we noted in chapter 8</w:t>
      </w:r>
      <w:r w:rsidRPr="00C22B32">
        <w:rPr>
          <w:bCs/>
          <w:iCs/>
          <w:szCs w:val="25"/>
        </w:rPr>
        <w:t>,</w:t>
      </w:r>
      <w:r w:rsidRPr="00671DEF">
        <w:rPr>
          <w:bCs/>
          <w:iCs/>
          <w:szCs w:val="25"/>
        </w:rPr>
        <w:t xml:space="preserve"> </w:t>
      </w:r>
      <w:r>
        <w:rPr>
          <w:bCs/>
          <w:iCs/>
          <w:szCs w:val="25"/>
        </w:rPr>
        <w:t xml:space="preserve">the behavior in </w:t>
      </w:r>
      <w:r w:rsidRPr="00C22B32">
        <w:rPr>
          <w:bCs/>
          <w:szCs w:val="25"/>
        </w:rPr>
        <w:t>Luke 6:34</w:t>
      </w:r>
      <w:r>
        <w:rPr>
          <w:bCs/>
          <w:szCs w:val="25"/>
        </w:rPr>
        <w:t>a</w:t>
      </w:r>
      <w:r w:rsidRPr="00C22B32">
        <w:rPr>
          <w:bCs/>
          <w:iCs/>
          <w:szCs w:val="25"/>
        </w:rPr>
        <w:t>, “</w:t>
      </w:r>
      <w:r w:rsidRPr="00C22B32">
        <w:rPr>
          <w:bCs/>
          <w:szCs w:val="25"/>
        </w:rPr>
        <w:t>lend to those from whom you hope to receive,</w:t>
      </w:r>
      <w:r>
        <w:rPr>
          <w:bCs/>
          <w:szCs w:val="25"/>
        </w:rPr>
        <w:t>”</w:t>
      </w:r>
      <w:r w:rsidRPr="00C22B32">
        <w:rPr>
          <w:bCs/>
          <w:szCs w:val="25"/>
        </w:rPr>
        <w:t xml:space="preserve"> is </w:t>
      </w:r>
      <w:r>
        <w:rPr>
          <w:bCs/>
          <w:szCs w:val="25"/>
        </w:rPr>
        <w:t xml:space="preserve">upgraded </w:t>
      </w:r>
      <w:r w:rsidRPr="00C22B32">
        <w:rPr>
          <w:bCs/>
          <w:szCs w:val="25"/>
        </w:rPr>
        <w:t>in 6:35</w:t>
      </w:r>
      <w:r>
        <w:rPr>
          <w:bCs/>
          <w:szCs w:val="25"/>
        </w:rPr>
        <w:t>c:</w:t>
      </w:r>
      <w:r w:rsidRPr="00C22B32">
        <w:rPr>
          <w:bCs/>
          <w:szCs w:val="25"/>
        </w:rPr>
        <w:t xml:space="preserve"> </w:t>
      </w:r>
      <w:r w:rsidRPr="00C22B32">
        <w:rPr>
          <w:bCs/>
          <w:iCs/>
          <w:szCs w:val="25"/>
        </w:rPr>
        <w:t>“</w:t>
      </w:r>
      <w:r w:rsidRPr="00C22B32">
        <w:rPr>
          <w:bCs/>
          <w:szCs w:val="25"/>
        </w:rPr>
        <w:t>lend</w:t>
      </w:r>
      <w:r w:rsidRPr="00C22B32">
        <w:rPr>
          <w:bCs/>
          <w:iCs/>
          <w:szCs w:val="25"/>
        </w:rPr>
        <w:t xml:space="preserve">, </w:t>
      </w:r>
      <w:r w:rsidRPr="00C22B32">
        <w:rPr>
          <w:bCs/>
          <w:szCs w:val="25"/>
        </w:rPr>
        <w:t>expecting nothing in return.</w:t>
      </w:r>
      <w:r>
        <w:rPr>
          <w:bCs/>
          <w:szCs w:val="25"/>
        </w:rPr>
        <w:t>”</w:t>
      </w:r>
      <w:r w:rsidRPr="00C22B32">
        <w:rPr>
          <w:bCs/>
          <w:szCs w:val="25"/>
        </w:rPr>
        <w:t xml:space="preserve"> Th</w:t>
      </w:r>
      <w:r>
        <w:rPr>
          <w:bCs/>
          <w:szCs w:val="25"/>
        </w:rPr>
        <w:t>e</w:t>
      </w:r>
      <w:r w:rsidRPr="00C22B32">
        <w:rPr>
          <w:bCs/>
          <w:szCs w:val="25"/>
        </w:rPr>
        <w:t xml:space="preserve"> last </w:t>
      </w:r>
      <w:r>
        <w:rPr>
          <w:bCs/>
          <w:szCs w:val="25"/>
        </w:rPr>
        <w:t>words, “</w:t>
      </w:r>
      <w:r w:rsidRPr="00C22B32">
        <w:rPr>
          <w:bCs/>
          <w:szCs w:val="25"/>
        </w:rPr>
        <w:t>nothing in return</w:t>
      </w:r>
      <w:r>
        <w:rPr>
          <w:bCs/>
          <w:szCs w:val="25"/>
        </w:rPr>
        <w:t>”</w:t>
      </w:r>
      <w:r w:rsidRPr="00671DEF">
        <w:rPr>
          <w:bCs/>
          <w:iCs/>
          <w:szCs w:val="25"/>
        </w:rPr>
        <w:t>—</w:t>
      </w:r>
      <w:r w:rsidRPr="00C22B32">
        <w:rPr>
          <w:bCs/>
          <w:szCs w:val="25"/>
        </w:rPr>
        <w:t>in Greek</w:t>
      </w:r>
      <w:r w:rsidRPr="00C22B32">
        <w:rPr>
          <w:bCs/>
          <w:iCs/>
          <w:szCs w:val="25"/>
        </w:rPr>
        <w:t xml:space="preserve">, </w:t>
      </w:r>
      <w:bookmarkStart w:id="103" w:name="_Hlk145655114"/>
      <w:r w:rsidRPr="00CE06CA">
        <w:rPr>
          <w:bCs/>
          <w:szCs w:val="22"/>
          <w:lang w:val="el-GR"/>
        </w:rPr>
        <w:t>μηδὲν ἀπελπίζοντες</w:t>
      </w:r>
      <w:bookmarkEnd w:id="103"/>
      <w:r>
        <w:rPr>
          <w:bCs/>
          <w:szCs w:val="22"/>
        </w:rPr>
        <w:t xml:space="preserve"> (</w:t>
      </w:r>
      <w:proofErr w:type="spellStart"/>
      <w:r>
        <w:rPr>
          <w:bCs/>
          <w:i/>
          <w:iCs/>
          <w:szCs w:val="22"/>
        </w:rPr>
        <w:t>mēden</w:t>
      </w:r>
      <w:proofErr w:type="spellEnd"/>
      <w:r>
        <w:rPr>
          <w:bCs/>
          <w:i/>
          <w:iCs/>
          <w:szCs w:val="22"/>
        </w:rPr>
        <w:t xml:space="preserve"> </w:t>
      </w:r>
      <w:proofErr w:type="spellStart"/>
      <w:r>
        <w:rPr>
          <w:bCs/>
          <w:i/>
          <w:iCs/>
          <w:szCs w:val="22"/>
        </w:rPr>
        <w:t>apelpidzontes</w:t>
      </w:r>
      <w:proofErr w:type="spellEnd"/>
      <w:r>
        <w:rPr>
          <w:bCs/>
          <w:szCs w:val="22"/>
        </w:rPr>
        <w:t>)</w:t>
      </w:r>
      <w:r>
        <w:rPr>
          <w:bCs/>
          <w:szCs w:val="25"/>
        </w:rPr>
        <w:t>—</w:t>
      </w:r>
      <w:r w:rsidRPr="00C22B32">
        <w:rPr>
          <w:bCs/>
          <w:szCs w:val="25"/>
        </w:rPr>
        <w:t xml:space="preserve">is an unusually thorny </w:t>
      </w:r>
      <w:r w:rsidRPr="00C22B32">
        <w:rPr>
          <w:bCs/>
          <w:i/>
          <w:iCs/>
        </w:rPr>
        <w:t xml:space="preserve">crux </w:t>
      </w:r>
      <w:proofErr w:type="spellStart"/>
      <w:r w:rsidRPr="00C22B32">
        <w:rPr>
          <w:bCs/>
          <w:i/>
          <w:iCs/>
        </w:rPr>
        <w:t>interpretum</w:t>
      </w:r>
      <w:proofErr w:type="spellEnd"/>
      <w:r w:rsidRPr="00C22B32">
        <w:rPr>
          <w:bCs/>
          <w:iCs/>
        </w:rPr>
        <w:t>.</w:t>
      </w:r>
    </w:p>
    <w:p w14:paraId="558F62AA" w14:textId="77777777" w:rsidR="00B47A48" w:rsidRPr="00C22B32" w:rsidRDefault="00B47A48" w:rsidP="00B47A48">
      <w:pPr>
        <w:pStyle w:val="Style"/>
        <w:widowControl/>
        <w:jc w:val="both"/>
        <w:textAlignment w:val="baseline"/>
        <w:rPr>
          <w:bCs/>
          <w:szCs w:val="25"/>
        </w:rPr>
      </w:pPr>
      <w:r>
        <w:rPr>
          <w:bCs/>
          <w:szCs w:val="25"/>
        </w:rPr>
        <w:tab/>
      </w:r>
      <w:r w:rsidRPr="00C22B32">
        <w:rPr>
          <w:bCs/>
          <w:szCs w:val="25"/>
        </w:rPr>
        <w:t xml:space="preserve">To determine the meaning of </w:t>
      </w:r>
      <w:r w:rsidRPr="00CE06CA">
        <w:rPr>
          <w:bCs/>
          <w:szCs w:val="22"/>
          <w:lang w:val="el-GR"/>
        </w:rPr>
        <w:t>μηδὲν ἀπελπίζοντες</w:t>
      </w:r>
      <w:r w:rsidRPr="00C22B32">
        <w:rPr>
          <w:bCs/>
          <w:iCs/>
          <w:szCs w:val="25"/>
        </w:rPr>
        <w:t xml:space="preserve">, </w:t>
      </w:r>
      <w:r w:rsidRPr="00C22B32">
        <w:rPr>
          <w:bCs/>
          <w:szCs w:val="25"/>
        </w:rPr>
        <w:t xml:space="preserve">it is helpful first to ascertain the meaning of the individual words. </w:t>
      </w:r>
      <w:r w:rsidRPr="00CB0999">
        <w:rPr>
          <w:szCs w:val="22"/>
          <w:lang w:bidi="he-IL"/>
        </w:rPr>
        <w:t>Ἀ</w:t>
      </w:r>
      <w:r w:rsidRPr="00CE06CA">
        <w:rPr>
          <w:bCs/>
          <w:szCs w:val="22"/>
          <w:lang w:val="el-GR"/>
        </w:rPr>
        <w:t>πελπίζ</w:t>
      </w:r>
      <w:r>
        <w:rPr>
          <w:bCs/>
          <w:szCs w:val="22"/>
          <w:lang w:val="el-GR"/>
        </w:rPr>
        <w:t>ω</w:t>
      </w:r>
      <w:r>
        <w:rPr>
          <w:bCs/>
          <w:szCs w:val="25"/>
        </w:rPr>
        <w:t xml:space="preserve"> </w:t>
      </w:r>
      <w:r w:rsidRPr="00C22B32">
        <w:rPr>
          <w:bCs/>
          <w:szCs w:val="25"/>
        </w:rPr>
        <w:t>can mean either “to drive to despair” or</w:t>
      </w:r>
      <w:r w:rsidRPr="00C22B32">
        <w:rPr>
          <w:bCs/>
          <w:iCs/>
          <w:szCs w:val="25"/>
        </w:rPr>
        <w:t xml:space="preserve">, </w:t>
      </w:r>
      <w:r w:rsidRPr="00C22B32">
        <w:rPr>
          <w:bCs/>
          <w:szCs w:val="25"/>
        </w:rPr>
        <w:t>in the construction</w:t>
      </w:r>
      <w:r>
        <w:rPr>
          <w:bCs/>
          <w:szCs w:val="25"/>
        </w:rPr>
        <w:t xml:space="preserve"> </w:t>
      </w:r>
      <w:proofErr w:type="spellStart"/>
      <w:r w:rsidRPr="00CB0999">
        <w:rPr>
          <w:szCs w:val="22"/>
          <w:lang w:bidi="he-IL"/>
        </w:rPr>
        <w:t>ἐ</w:t>
      </w:r>
      <w:r>
        <w:rPr>
          <w:szCs w:val="22"/>
          <w:lang w:bidi="he-IL"/>
        </w:rPr>
        <w:t>λ</w:t>
      </w:r>
      <w:proofErr w:type="spellEnd"/>
      <w:r>
        <w:rPr>
          <w:szCs w:val="22"/>
          <w:lang w:bidi="he-IL"/>
        </w:rPr>
        <w:t xml:space="preserve">πίζειν </w:t>
      </w:r>
      <w:r w:rsidRPr="00CB0999">
        <w:rPr>
          <w:szCs w:val="22"/>
          <w:lang w:bidi="he-IL"/>
        </w:rPr>
        <w:t>ἀ</w:t>
      </w:r>
      <w:r>
        <w:rPr>
          <w:szCs w:val="22"/>
          <w:lang w:bidi="he-IL"/>
        </w:rPr>
        <w:t>π</w:t>
      </w:r>
      <w:r w:rsidRPr="00CB0999">
        <w:rPr>
          <w:szCs w:val="22"/>
          <w:lang w:bidi="he-IL"/>
        </w:rPr>
        <w:t>ὸ</w:t>
      </w:r>
      <w:r>
        <w:rPr>
          <w:szCs w:val="22"/>
          <w:lang w:bidi="he-IL"/>
        </w:rPr>
        <w:t xml:space="preserve"> </w:t>
      </w:r>
      <w:proofErr w:type="spellStart"/>
      <w:r>
        <w:rPr>
          <w:szCs w:val="22"/>
          <w:lang w:bidi="he-IL"/>
        </w:rPr>
        <w:t>τινος</w:t>
      </w:r>
      <w:proofErr w:type="spellEnd"/>
      <w:r w:rsidRPr="00C22B32">
        <w:rPr>
          <w:bCs/>
          <w:iCs/>
          <w:szCs w:val="25"/>
        </w:rPr>
        <w:t xml:space="preserve">, </w:t>
      </w:r>
      <w:r>
        <w:rPr>
          <w:bCs/>
          <w:iCs/>
          <w:szCs w:val="25"/>
        </w:rPr>
        <w:t>“</w:t>
      </w:r>
      <w:r w:rsidRPr="00C22B32">
        <w:rPr>
          <w:bCs/>
          <w:szCs w:val="25"/>
        </w:rPr>
        <w:t>to hope from someone.”</w:t>
      </w:r>
      <w:r>
        <w:rPr>
          <w:rStyle w:val="FootnoteReference"/>
          <w:bCs/>
          <w:szCs w:val="25"/>
        </w:rPr>
        <w:footnoteReference w:id="885"/>
      </w:r>
      <w:r w:rsidRPr="00C22B32">
        <w:rPr>
          <w:bCs/>
          <w:szCs w:val="25"/>
        </w:rPr>
        <w:t xml:space="preserve"> </w:t>
      </w:r>
      <w:r w:rsidRPr="00CE06CA">
        <w:rPr>
          <w:bCs/>
          <w:szCs w:val="22"/>
          <w:lang w:val="el-GR"/>
        </w:rPr>
        <w:t>Μηδ</w:t>
      </w:r>
      <w:r>
        <w:rPr>
          <w:bCs/>
          <w:szCs w:val="22"/>
          <w:lang w:val="el-GR"/>
        </w:rPr>
        <w:t>έ</w:t>
      </w:r>
      <w:r w:rsidRPr="00CE06CA">
        <w:rPr>
          <w:bCs/>
          <w:szCs w:val="22"/>
          <w:lang w:val="el-GR"/>
        </w:rPr>
        <w:t xml:space="preserve">ν </w:t>
      </w:r>
      <w:r w:rsidRPr="00C22B32">
        <w:rPr>
          <w:bCs/>
          <w:szCs w:val="25"/>
        </w:rPr>
        <w:t xml:space="preserve">is more difficult. First there is the question whether </w:t>
      </w:r>
      <w:r w:rsidRPr="00CE06CA">
        <w:rPr>
          <w:bCs/>
          <w:szCs w:val="22"/>
          <w:lang w:val="el-GR"/>
        </w:rPr>
        <w:t>μηδ</w:t>
      </w:r>
      <w:r>
        <w:rPr>
          <w:bCs/>
          <w:szCs w:val="22"/>
          <w:lang w:val="el-GR"/>
        </w:rPr>
        <w:t>έ</w:t>
      </w:r>
      <w:r w:rsidRPr="00CE06CA">
        <w:rPr>
          <w:bCs/>
          <w:szCs w:val="22"/>
          <w:lang w:val="el-GR"/>
        </w:rPr>
        <w:t xml:space="preserve">ν </w:t>
      </w:r>
      <w:r w:rsidRPr="00C22B32">
        <w:rPr>
          <w:bCs/>
          <w:szCs w:val="25"/>
        </w:rPr>
        <w:t>is the correct reading</w:t>
      </w:r>
      <w:r w:rsidRPr="00C22B32">
        <w:rPr>
          <w:bCs/>
          <w:iCs/>
          <w:szCs w:val="25"/>
        </w:rPr>
        <w:t xml:space="preserve">, </w:t>
      </w:r>
      <w:r w:rsidRPr="00C22B32">
        <w:rPr>
          <w:bCs/>
          <w:szCs w:val="25"/>
        </w:rPr>
        <w:t>since</w:t>
      </w:r>
      <w:r>
        <w:rPr>
          <w:bCs/>
          <w:szCs w:val="25"/>
        </w:rPr>
        <w:t xml:space="preserve"> </w:t>
      </w:r>
      <w:r w:rsidRPr="00CE06CA">
        <w:rPr>
          <w:bCs/>
          <w:szCs w:val="22"/>
          <w:lang w:val="el-GR"/>
        </w:rPr>
        <w:t>μηδ</w:t>
      </w:r>
      <w:r>
        <w:rPr>
          <w:bCs/>
          <w:szCs w:val="22"/>
          <w:lang w:val="el-GR"/>
        </w:rPr>
        <w:t>έ</w:t>
      </w:r>
      <w:r w:rsidRPr="00CE06CA">
        <w:rPr>
          <w:bCs/>
          <w:szCs w:val="22"/>
          <w:lang w:val="el-GR"/>
        </w:rPr>
        <w:t>ν</w:t>
      </w:r>
      <w:r>
        <w:rPr>
          <w:bCs/>
          <w:szCs w:val="22"/>
          <w:lang w:val="el-GR"/>
        </w:rPr>
        <w:t>α</w:t>
      </w:r>
      <w:r w:rsidRPr="00C22B32">
        <w:rPr>
          <w:bCs/>
          <w:iCs/>
          <w:szCs w:val="25"/>
        </w:rPr>
        <w:t xml:space="preserve">, </w:t>
      </w:r>
      <w:r>
        <w:rPr>
          <w:bCs/>
          <w:szCs w:val="25"/>
        </w:rPr>
        <w:t>“</w:t>
      </w:r>
      <w:r w:rsidRPr="00C22B32">
        <w:rPr>
          <w:bCs/>
          <w:szCs w:val="25"/>
        </w:rPr>
        <w:t>no one,</w:t>
      </w:r>
      <w:r>
        <w:rPr>
          <w:bCs/>
          <w:szCs w:val="25"/>
        </w:rPr>
        <w:t>”</w:t>
      </w:r>
      <w:r w:rsidRPr="00C22B32">
        <w:rPr>
          <w:bCs/>
          <w:szCs w:val="25"/>
        </w:rPr>
        <w:t xml:space="preserve"> also appears in Greek manuscripts at Luke 6:35. </w:t>
      </w:r>
      <w:r w:rsidRPr="00CE06CA">
        <w:rPr>
          <w:bCs/>
          <w:szCs w:val="22"/>
          <w:lang w:val="el-GR"/>
        </w:rPr>
        <w:t>Μηδ</w:t>
      </w:r>
      <w:r>
        <w:rPr>
          <w:bCs/>
          <w:szCs w:val="22"/>
          <w:lang w:val="el-GR"/>
        </w:rPr>
        <w:t>έ</w:t>
      </w:r>
      <w:r w:rsidRPr="00CE06CA">
        <w:rPr>
          <w:bCs/>
          <w:szCs w:val="22"/>
          <w:lang w:val="el-GR"/>
        </w:rPr>
        <w:t>ν</w:t>
      </w:r>
      <w:r>
        <w:rPr>
          <w:bCs/>
          <w:szCs w:val="22"/>
          <w:lang w:val="el-GR"/>
        </w:rPr>
        <w:t>α</w:t>
      </w:r>
      <w:r w:rsidRPr="00C22B32">
        <w:rPr>
          <w:bCs/>
          <w:szCs w:val="25"/>
        </w:rPr>
        <w:t xml:space="preserve"> is supported by Sinaiticus</w:t>
      </w:r>
      <w:r w:rsidRPr="00C22B32">
        <w:rPr>
          <w:bCs/>
          <w:iCs/>
          <w:szCs w:val="25"/>
        </w:rPr>
        <w:t xml:space="preserve">, </w:t>
      </w:r>
      <w:proofErr w:type="spellStart"/>
      <w:r w:rsidRPr="00C22B32">
        <w:rPr>
          <w:bCs/>
          <w:szCs w:val="25"/>
        </w:rPr>
        <w:t>Washingtonianus</w:t>
      </w:r>
      <w:proofErr w:type="spellEnd"/>
      <w:r w:rsidRPr="00C22B32">
        <w:rPr>
          <w:bCs/>
          <w:iCs/>
          <w:szCs w:val="25"/>
        </w:rPr>
        <w:t xml:space="preserve">, </w:t>
      </w:r>
      <w:r w:rsidRPr="00C22B32">
        <w:rPr>
          <w:bCs/>
          <w:szCs w:val="25"/>
        </w:rPr>
        <w:t>Zacynthius</w:t>
      </w:r>
      <w:r w:rsidRPr="00C22B32">
        <w:rPr>
          <w:bCs/>
          <w:iCs/>
          <w:szCs w:val="25"/>
        </w:rPr>
        <w:t xml:space="preserve">, </w:t>
      </w:r>
      <w:r w:rsidRPr="00C22B32">
        <w:rPr>
          <w:bCs/>
          <w:szCs w:val="25"/>
        </w:rPr>
        <w:t>the Sinaitic Syriac</w:t>
      </w:r>
      <w:r w:rsidRPr="00C22B32">
        <w:rPr>
          <w:bCs/>
          <w:iCs/>
          <w:szCs w:val="25"/>
        </w:rPr>
        <w:t xml:space="preserve">, </w:t>
      </w:r>
      <w:r w:rsidRPr="00C22B32">
        <w:rPr>
          <w:bCs/>
          <w:szCs w:val="25"/>
        </w:rPr>
        <w:t>the Peshitta</w:t>
      </w:r>
      <w:r w:rsidRPr="00C22B32">
        <w:rPr>
          <w:bCs/>
          <w:iCs/>
          <w:szCs w:val="25"/>
        </w:rPr>
        <w:t xml:space="preserve">, </w:t>
      </w:r>
      <w:r w:rsidRPr="00C22B32">
        <w:rPr>
          <w:bCs/>
          <w:szCs w:val="25"/>
        </w:rPr>
        <w:t>and a few others. Though the first three of these witnesses are Alexandrian in text-type (the latter two are Western and Byzantine respectively)</w:t>
      </w:r>
      <w:r w:rsidRPr="00C22B32">
        <w:rPr>
          <w:bCs/>
          <w:iCs/>
          <w:szCs w:val="25"/>
        </w:rPr>
        <w:t>,</w:t>
      </w:r>
      <w:r>
        <w:rPr>
          <w:rStyle w:val="FootnoteReference"/>
          <w:bCs/>
          <w:iCs/>
          <w:szCs w:val="25"/>
        </w:rPr>
        <w:footnoteReference w:id="886"/>
      </w:r>
      <w:r w:rsidRPr="00671DEF">
        <w:rPr>
          <w:bCs/>
          <w:iCs/>
          <w:szCs w:val="25"/>
        </w:rPr>
        <w:t xml:space="preserve"> </w:t>
      </w:r>
      <w:r w:rsidRPr="00C22B32">
        <w:rPr>
          <w:bCs/>
          <w:szCs w:val="25"/>
        </w:rPr>
        <w:t>they can hardly stand against the witnesses for</w:t>
      </w:r>
      <w:r>
        <w:rPr>
          <w:bCs/>
          <w:szCs w:val="25"/>
        </w:rPr>
        <w:t xml:space="preserve"> </w:t>
      </w:r>
      <w:r w:rsidRPr="00CE06CA">
        <w:rPr>
          <w:bCs/>
          <w:szCs w:val="22"/>
          <w:lang w:val="el-GR"/>
        </w:rPr>
        <w:t>μηδ</w:t>
      </w:r>
      <w:r>
        <w:rPr>
          <w:bCs/>
          <w:szCs w:val="22"/>
          <w:lang w:val="el-GR"/>
        </w:rPr>
        <w:t>έ</w:t>
      </w:r>
      <w:r w:rsidRPr="00CE06CA">
        <w:rPr>
          <w:bCs/>
          <w:szCs w:val="22"/>
          <w:lang w:val="el-GR"/>
        </w:rPr>
        <w:t>ν</w:t>
      </w:r>
      <w:r w:rsidRPr="00C22B32">
        <w:rPr>
          <w:bCs/>
          <w:szCs w:val="25"/>
        </w:rPr>
        <w:t xml:space="preserve">: </w:t>
      </w:r>
      <w:r w:rsidRPr="00C22B32">
        <w:rPr>
          <w:bCs/>
          <w:szCs w:val="28"/>
        </w:rPr>
        <w:t>P</w:t>
      </w:r>
      <w:r w:rsidRPr="00551CD3">
        <w:rPr>
          <w:bCs/>
          <w:kern w:val="2"/>
          <w:szCs w:val="28"/>
          <w:vertAlign w:val="superscript"/>
        </w:rPr>
        <w:t>45</w:t>
      </w:r>
      <w:r w:rsidRPr="00C22B32">
        <w:rPr>
          <w:bCs/>
          <w:iCs/>
          <w:szCs w:val="28"/>
        </w:rPr>
        <w:t xml:space="preserve">, </w:t>
      </w:r>
      <w:r>
        <w:rPr>
          <w:bCs/>
          <w:iCs/>
          <w:szCs w:val="28"/>
        </w:rPr>
        <w:t>P</w:t>
      </w:r>
      <w:r w:rsidRPr="00C22B32">
        <w:rPr>
          <w:bCs/>
          <w:szCs w:val="48"/>
          <w:vertAlign w:val="superscript"/>
        </w:rPr>
        <w:t>7</w:t>
      </w:r>
      <w:r>
        <w:rPr>
          <w:bCs/>
          <w:szCs w:val="48"/>
          <w:vertAlign w:val="superscript"/>
        </w:rPr>
        <w:t>5</w:t>
      </w:r>
      <w:r w:rsidRPr="00C22B32">
        <w:rPr>
          <w:bCs/>
          <w:iCs/>
          <w:szCs w:val="48"/>
        </w:rPr>
        <w:t xml:space="preserve">, </w:t>
      </w:r>
      <w:r w:rsidRPr="00C22B32">
        <w:rPr>
          <w:bCs/>
          <w:szCs w:val="25"/>
        </w:rPr>
        <w:t>Alexandrinus</w:t>
      </w:r>
      <w:r w:rsidRPr="00C22B32">
        <w:rPr>
          <w:bCs/>
          <w:iCs/>
          <w:szCs w:val="25"/>
        </w:rPr>
        <w:t xml:space="preserve">, </w:t>
      </w:r>
      <w:r w:rsidRPr="00C22B32">
        <w:rPr>
          <w:bCs/>
          <w:szCs w:val="25"/>
        </w:rPr>
        <w:t>Vaticanus</w:t>
      </w:r>
      <w:r w:rsidRPr="00C22B32">
        <w:rPr>
          <w:bCs/>
          <w:iCs/>
          <w:szCs w:val="25"/>
        </w:rPr>
        <w:t xml:space="preserve">, </w:t>
      </w:r>
      <w:proofErr w:type="spellStart"/>
      <w:r w:rsidRPr="00C22B32">
        <w:rPr>
          <w:bCs/>
          <w:szCs w:val="25"/>
        </w:rPr>
        <w:t>Bezae</w:t>
      </w:r>
      <w:proofErr w:type="spellEnd"/>
      <w:r w:rsidRPr="00C22B32">
        <w:rPr>
          <w:bCs/>
          <w:iCs/>
          <w:szCs w:val="25"/>
        </w:rPr>
        <w:t xml:space="preserve">, </w:t>
      </w:r>
      <w:r w:rsidRPr="00C22B32">
        <w:rPr>
          <w:bCs/>
          <w:szCs w:val="25"/>
        </w:rPr>
        <w:t>Cyprius</w:t>
      </w:r>
      <w:r w:rsidRPr="00C22B32">
        <w:rPr>
          <w:bCs/>
          <w:iCs/>
          <w:szCs w:val="25"/>
        </w:rPr>
        <w:t xml:space="preserve">, </w:t>
      </w:r>
      <w:r w:rsidRPr="00C22B32">
        <w:rPr>
          <w:bCs/>
          <w:szCs w:val="25"/>
        </w:rPr>
        <w:t>Regius</w:t>
      </w:r>
      <w:r w:rsidRPr="00C22B32">
        <w:rPr>
          <w:bCs/>
          <w:iCs/>
          <w:szCs w:val="25"/>
        </w:rPr>
        <w:t xml:space="preserve">, </w:t>
      </w:r>
      <w:r w:rsidRPr="00C22B32">
        <w:rPr>
          <w:bCs/>
          <w:szCs w:val="25"/>
        </w:rPr>
        <w:t>et al. Given that the reading is</w:t>
      </w:r>
      <w:r>
        <w:rPr>
          <w:bCs/>
          <w:szCs w:val="25"/>
        </w:rPr>
        <w:t xml:space="preserve"> </w:t>
      </w:r>
      <w:r w:rsidRPr="00CE06CA">
        <w:rPr>
          <w:bCs/>
          <w:szCs w:val="22"/>
          <w:lang w:val="el-GR"/>
        </w:rPr>
        <w:t>μηδ</w:t>
      </w:r>
      <w:r>
        <w:rPr>
          <w:bCs/>
          <w:szCs w:val="22"/>
          <w:lang w:val="el-GR"/>
        </w:rPr>
        <w:t>έ</w:t>
      </w:r>
      <w:r w:rsidRPr="00CE06CA">
        <w:rPr>
          <w:bCs/>
          <w:szCs w:val="22"/>
          <w:lang w:val="el-GR"/>
        </w:rPr>
        <w:t>ν</w:t>
      </w:r>
      <w:r w:rsidRPr="00C22B32">
        <w:rPr>
          <w:bCs/>
          <w:szCs w:val="25"/>
        </w:rPr>
        <w:t>: as third</w:t>
      </w:r>
      <w:r>
        <w:rPr>
          <w:bCs/>
          <w:szCs w:val="25"/>
        </w:rPr>
        <w:t xml:space="preserve"> </w:t>
      </w:r>
      <w:r w:rsidRPr="00C22B32">
        <w:rPr>
          <w:bCs/>
          <w:szCs w:val="25"/>
        </w:rPr>
        <w:t>person singular of</w:t>
      </w:r>
      <w:r>
        <w:rPr>
          <w:bCs/>
          <w:szCs w:val="25"/>
        </w:rPr>
        <w:t xml:space="preserve"> </w:t>
      </w:r>
      <w:r w:rsidRPr="00CE06CA">
        <w:rPr>
          <w:bCs/>
          <w:szCs w:val="22"/>
          <w:lang w:val="el-GR"/>
        </w:rPr>
        <w:t>μηδ</w:t>
      </w:r>
      <w:r>
        <w:rPr>
          <w:bCs/>
          <w:szCs w:val="22"/>
          <w:lang w:val="el-GR"/>
        </w:rPr>
        <w:t>είς</w:t>
      </w:r>
      <w:r w:rsidRPr="00C22B32">
        <w:rPr>
          <w:bCs/>
          <w:iCs/>
          <w:szCs w:val="25"/>
        </w:rPr>
        <w:t xml:space="preserve">, </w:t>
      </w:r>
      <w:r w:rsidRPr="00CE06CA">
        <w:rPr>
          <w:bCs/>
          <w:szCs w:val="22"/>
          <w:lang w:val="el-GR"/>
        </w:rPr>
        <w:t>μηδ</w:t>
      </w:r>
      <w:r>
        <w:rPr>
          <w:bCs/>
          <w:szCs w:val="22"/>
          <w:lang w:val="el-GR"/>
        </w:rPr>
        <w:t>έ</w:t>
      </w:r>
      <w:r w:rsidRPr="00CE06CA">
        <w:rPr>
          <w:bCs/>
          <w:szCs w:val="22"/>
          <w:lang w:val="el-GR"/>
        </w:rPr>
        <w:t xml:space="preserve">ν </w:t>
      </w:r>
      <w:r w:rsidRPr="00C22B32">
        <w:rPr>
          <w:bCs/>
          <w:szCs w:val="25"/>
        </w:rPr>
        <w:t xml:space="preserve">usually means </w:t>
      </w:r>
      <w:r>
        <w:rPr>
          <w:bCs/>
          <w:szCs w:val="25"/>
        </w:rPr>
        <w:t>“</w:t>
      </w:r>
      <w:r w:rsidRPr="00C22B32">
        <w:rPr>
          <w:bCs/>
          <w:szCs w:val="25"/>
        </w:rPr>
        <w:t>not even one</w:t>
      </w:r>
      <w:r w:rsidRPr="00C22B32">
        <w:rPr>
          <w:bCs/>
          <w:iCs/>
          <w:szCs w:val="25"/>
        </w:rPr>
        <w:t xml:space="preserve">, </w:t>
      </w:r>
      <w:r w:rsidRPr="00C22B32">
        <w:rPr>
          <w:bCs/>
          <w:szCs w:val="25"/>
        </w:rPr>
        <w:t>no one</w:t>
      </w:r>
      <w:r w:rsidRPr="00C22B32">
        <w:rPr>
          <w:bCs/>
          <w:iCs/>
          <w:szCs w:val="25"/>
        </w:rPr>
        <w:t xml:space="preserve">, </w:t>
      </w:r>
      <w:r w:rsidRPr="00C22B32">
        <w:rPr>
          <w:bCs/>
          <w:szCs w:val="25"/>
        </w:rPr>
        <w:t>none</w:t>
      </w:r>
      <w:r>
        <w:rPr>
          <w:bCs/>
          <w:szCs w:val="25"/>
        </w:rPr>
        <w:t>.”</w:t>
      </w:r>
      <w:r>
        <w:rPr>
          <w:rStyle w:val="FootnoteReference"/>
          <w:bCs/>
          <w:szCs w:val="25"/>
        </w:rPr>
        <w:footnoteReference w:id="887"/>
      </w:r>
      <w:r>
        <w:rPr>
          <w:bCs/>
          <w:szCs w:val="25"/>
        </w:rPr>
        <w:t xml:space="preserve"> </w:t>
      </w:r>
      <w:r w:rsidRPr="00C22B32">
        <w:rPr>
          <w:bCs/>
          <w:szCs w:val="25"/>
        </w:rPr>
        <w:t>It can either be taken as masculine (less likely</w:t>
      </w:r>
      <w:r w:rsidRPr="00C22B32">
        <w:rPr>
          <w:bCs/>
          <w:iCs/>
          <w:szCs w:val="25"/>
        </w:rPr>
        <w:t xml:space="preserve">, </w:t>
      </w:r>
      <w:r w:rsidRPr="00C22B32">
        <w:rPr>
          <w:bCs/>
          <w:szCs w:val="25"/>
        </w:rPr>
        <w:t>since</w:t>
      </w:r>
      <w:r>
        <w:rPr>
          <w:bCs/>
          <w:szCs w:val="25"/>
        </w:rPr>
        <w:t xml:space="preserve"> </w:t>
      </w:r>
      <w:r w:rsidRPr="00CE06CA">
        <w:rPr>
          <w:bCs/>
          <w:szCs w:val="22"/>
          <w:lang w:val="el-GR"/>
        </w:rPr>
        <w:t>μηδ</w:t>
      </w:r>
      <w:r>
        <w:rPr>
          <w:bCs/>
          <w:szCs w:val="22"/>
          <w:lang w:val="el-GR"/>
        </w:rPr>
        <w:t>έ</w:t>
      </w:r>
      <w:r w:rsidRPr="00CE06CA">
        <w:rPr>
          <w:bCs/>
          <w:szCs w:val="22"/>
          <w:lang w:val="el-GR"/>
        </w:rPr>
        <w:t>ν</w:t>
      </w:r>
      <w:r>
        <w:rPr>
          <w:bCs/>
          <w:szCs w:val="22"/>
          <w:lang w:val="el-GR"/>
        </w:rPr>
        <w:t>α</w:t>
      </w:r>
      <w:r w:rsidRPr="00C22B32">
        <w:rPr>
          <w:bCs/>
          <w:szCs w:val="25"/>
        </w:rPr>
        <w:t xml:space="preserve"> supplies the personal sense of </w:t>
      </w:r>
      <w:r>
        <w:rPr>
          <w:bCs/>
          <w:szCs w:val="25"/>
        </w:rPr>
        <w:t>“</w:t>
      </w:r>
      <w:r w:rsidRPr="00C22B32">
        <w:rPr>
          <w:bCs/>
          <w:szCs w:val="25"/>
        </w:rPr>
        <w:t>no one”)</w:t>
      </w:r>
      <w:r w:rsidRPr="00C22B32">
        <w:rPr>
          <w:bCs/>
          <w:iCs/>
          <w:szCs w:val="25"/>
        </w:rPr>
        <w:t xml:space="preserve">, </w:t>
      </w:r>
      <w:r w:rsidRPr="00C22B32">
        <w:rPr>
          <w:bCs/>
          <w:szCs w:val="25"/>
        </w:rPr>
        <w:t>or neuter (“</w:t>
      </w:r>
      <w:proofErr w:type="spellStart"/>
      <w:r w:rsidRPr="00C22B32">
        <w:rPr>
          <w:bCs/>
          <w:szCs w:val="25"/>
        </w:rPr>
        <w:t>no thing</w:t>
      </w:r>
      <w:proofErr w:type="spellEnd"/>
      <w:r w:rsidRPr="00C22B32">
        <w:rPr>
          <w:bCs/>
          <w:szCs w:val="25"/>
        </w:rPr>
        <w:t>”). Also</w:t>
      </w:r>
      <w:r w:rsidRPr="00C22B32">
        <w:rPr>
          <w:bCs/>
          <w:iCs/>
          <w:szCs w:val="25"/>
        </w:rPr>
        <w:t xml:space="preserve">, </w:t>
      </w:r>
      <w:r w:rsidRPr="00C22B32">
        <w:rPr>
          <w:bCs/>
          <w:szCs w:val="25"/>
        </w:rPr>
        <w:t>when neuter</w:t>
      </w:r>
      <w:r w:rsidRPr="00C22B32">
        <w:rPr>
          <w:bCs/>
          <w:iCs/>
          <w:szCs w:val="25"/>
        </w:rPr>
        <w:t>,</w:t>
      </w:r>
      <w:r>
        <w:rPr>
          <w:bCs/>
          <w:iCs/>
          <w:szCs w:val="25"/>
        </w:rPr>
        <w:t xml:space="preserve"> </w:t>
      </w:r>
      <w:r w:rsidRPr="00CE06CA">
        <w:rPr>
          <w:bCs/>
          <w:szCs w:val="22"/>
          <w:lang w:val="el-GR"/>
        </w:rPr>
        <w:t>μηδ</w:t>
      </w:r>
      <w:r>
        <w:rPr>
          <w:bCs/>
          <w:szCs w:val="22"/>
          <w:lang w:val="el-GR"/>
        </w:rPr>
        <w:t>έ</w:t>
      </w:r>
      <w:r w:rsidRPr="00CE06CA">
        <w:rPr>
          <w:bCs/>
          <w:szCs w:val="22"/>
          <w:lang w:val="el-GR"/>
        </w:rPr>
        <w:t>ν</w:t>
      </w:r>
      <w:r w:rsidRPr="00C22B32">
        <w:rPr>
          <w:bCs/>
          <w:iCs/>
          <w:szCs w:val="25"/>
        </w:rPr>
        <w:t xml:space="preserve"> </w:t>
      </w:r>
      <w:r w:rsidRPr="00C22B32">
        <w:rPr>
          <w:bCs/>
          <w:szCs w:val="23"/>
        </w:rPr>
        <w:t xml:space="preserve">is </w:t>
      </w:r>
      <w:r w:rsidRPr="00C22B32">
        <w:rPr>
          <w:bCs/>
          <w:szCs w:val="25"/>
        </w:rPr>
        <w:t>sometimes an adverb</w:t>
      </w:r>
      <w:r w:rsidRPr="00C22B32">
        <w:rPr>
          <w:bCs/>
          <w:iCs/>
          <w:szCs w:val="25"/>
        </w:rPr>
        <w:t xml:space="preserve">, </w:t>
      </w:r>
      <w:r w:rsidRPr="00C22B32">
        <w:rPr>
          <w:bCs/>
          <w:szCs w:val="25"/>
        </w:rPr>
        <w:t>meaning “not at all</w:t>
      </w:r>
      <w:r w:rsidRPr="00C22B32">
        <w:rPr>
          <w:bCs/>
          <w:iCs/>
          <w:szCs w:val="25"/>
        </w:rPr>
        <w:t xml:space="preserve">, </w:t>
      </w:r>
      <w:r w:rsidRPr="00C22B32">
        <w:rPr>
          <w:bCs/>
          <w:szCs w:val="25"/>
        </w:rPr>
        <w:t>by no means.”</w:t>
      </w:r>
      <w:r>
        <w:rPr>
          <w:rStyle w:val="FootnoteReference"/>
          <w:bCs/>
          <w:szCs w:val="25"/>
        </w:rPr>
        <w:footnoteReference w:id="888"/>
      </w:r>
      <w:r w:rsidRPr="00C22B32">
        <w:rPr>
          <w:bCs/>
          <w:szCs w:val="25"/>
        </w:rPr>
        <w:t xml:space="preserve"> (</w:t>
      </w:r>
      <w:r w:rsidRPr="00CE06CA">
        <w:rPr>
          <w:bCs/>
          <w:szCs w:val="22"/>
          <w:lang w:val="el-GR"/>
        </w:rPr>
        <w:t>Μηδ</w:t>
      </w:r>
      <w:r>
        <w:rPr>
          <w:bCs/>
          <w:szCs w:val="22"/>
          <w:lang w:val="el-GR"/>
        </w:rPr>
        <w:t>έ</w:t>
      </w:r>
      <w:r w:rsidRPr="00CE06CA">
        <w:rPr>
          <w:bCs/>
          <w:szCs w:val="22"/>
          <w:lang w:val="el-GR"/>
        </w:rPr>
        <w:t xml:space="preserve">ν </w:t>
      </w:r>
      <w:r w:rsidRPr="00C22B32">
        <w:rPr>
          <w:bCs/>
          <w:szCs w:val="25"/>
        </w:rPr>
        <w:t>must not be confused with</w:t>
      </w:r>
      <w:r>
        <w:rPr>
          <w:bCs/>
          <w:szCs w:val="25"/>
        </w:rPr>
        <w:t xml:space="preserve"> </w:t>
      </w:r>
      <w:r w:rsidRPr="00CE06CA">
        <w:rPr>
          <w:bCs/>
          <w:szCs w:val="22"/>
          <w:lang w:val="el-GR"/>
        </w:rPr>
        <w:t>μηδ</w:t>
      </w:r>
      <w:r>
        <w:rPr>
          <w:bCs/>
          <w:szCs w:val="22"/>
          <w:lang w:val="el-GR"/>
        </w:rPr>
        <w:t>έ</w:t>
      </w:r>
      <w:r w:rsidRPr="00C22B32">
        <w:rPr>
          <w:rFonts w:eastAsia="Arial"/>
          <w:bCs/>
          <w:iCs/>
          <w:szCs w:val="21"/>
        </w:rPr>
        <w:t>, “</w:t>
      </w:r>
      <w:r w:rsidRPr="00C22B32">
        <w:rPr>
          <w:bCs/>
          <w:szCs w:val="25"/>
        </w:rPr>
        <w:t>but not</w:t>
      </w:r>
      <w:r w:rsidRPr="00C22B32">
        <w:rPr>
          <w:bCs/>
          <w:iCs/>
          <w:szCs w:val="25"/>
        </w:rPr>
        <w:t xml:space="preserve">, </w:t>
      </w:r>
      <w:r w:rsidRPr="00C22B32">
        <w:rPr>
          <w:bCs/>
          <w:szCs w:val="25"/>
        </w:rPr>
        <w:t>and not</w:t>
      </w:r>
      <w:r w:rsidRPr="00C22B32">
        <w:rPr>
          <w:bCs/>
          <w:iCs/>
          <w:szCs w:val="25"/>
        </w:rPr>
        <w:t xml:space="preserve">, </w:t>
      </w:r>
      <w:r w:rsidRPr="00C22B32">
        <w:rPr>
          <w:bCs/>
          <w:szCs w:val="25"/>
        </w:rPr>
        <w:t>nor</w:t>
      </w:r>
      <w:r w:rsidRPr="00C22B32">
        <w:rPr>
          <w:bCs/>
          <w:iCs/>
          <w:szCs w:val="25"/>
        </w:rPr>
        <w:t xml:space="preserve">, </w:t>
      </w:r>
      <w:r w:rsidRPr="00C22B32">
        <w:rPr>
          <w:bCs/>
          <w:szCs w:val="25"/>
        </w:rPr>
        <w:t>not even.</w:t>
      </w:r>
      <w:r>
        <w:rPr>
          <w:bCs/>
          <w:szCs w:val="25"/>
        </w:rPr>
        <w:t>”</w:t>
      </w:r>
      <w:r>
        <w:rPr>
          <w:rStyle w:val="FootnoteReference"/>
          <w:bCs/>
          <w:szCs w:val="25"/>
        </w:rPr>
        <w:footnoteReference w:id="889"/>
      </w:r>
      <w:r w:rsidRPr="00C22B32">
        <w:rPr>
          <w:bCs/>
          <w:szCs w:val="25"/>
        </w:rPr>
        <w:t>)</w:t>
      </w:r>
    </w:p>
    <w:p w14:paraId="78C8ED4B" w14:textId="77777777" w:rsidR="00B47A48" w:rsidRPr="00C22B32" w:rsidRDefault="00B47A48" w:rsidP="00B47A48">
      <w:pPr>
        <w:pStyle w:val="Style"/>
        <w:widowControl/>
        <w:jc w:val="both"/>
        <w:textAlignment w:val="baseline"/>
        <w:rPr>
          <w:bCs/>
          <w:szCs w:val="25"/>
        </w:rPr>
      </w:pPr>
      <w:r>
        <w:rPr>
          <w:bCs/>
          <w:szCs w:val="25"/>
        </w:rPr>
        <w:tab/>
      </w:r>
      <w:r w:rsidRPr="00C22B32">
        <w:rPr>
          <w:bCs/>
          <w:szCs w:val="25"/>
        </w:rPr>
        <w:t>The phrase</w:t>
      </w:r>
      <w:r>
        <w:rPr>
          <w:bCs/>
          <w:szCs w:val="25"/>
        </w:rPr>
        <w:t xml:space="preserve"> </w:t>
      </w:r>
      <w:r w:rsidRPr="00CE06CA">
        <w:rPr>
          <w:bCs/>
          <w:szCs w:val="22"/>
          <w:lang w:val="el-GR"/>
        </w:rPr>
        <w:t>μηδὲν ἀπελπίζοντες</w:t>
      </w:r>
      <w:r w:rsidRPr="00C22B32">
        <w:rPr>
          <w:bCs/>
          <w:iCs/>
          <w:szCs w:val="25"/>
        </w:rPr>
        <w:t xml:space="preserve">, </w:t>
      </w:r>
      <w:r w:rsidRPr="00C22B32">
        <w:rPr>
          <w:bCs/>
          <w:szCs w:val="25"/>
        </w:rPr>
        <w:t>then</w:t>
      </w:r>
      <w:r w:rsidRPr="00C22B32">
        <w:rPr>
          <w:bCs/>
          <w:iCs/>
          <w:szCs w:val="25"/>
        </w:rPr>
        <w:t xml:space="preserve">, </w:t>
      </w:r>
      <w:r>
        <w:rPr>
          <w:bCs/>
          <w:szCs w:val="25"/>
        </w:rPr>
        <w:t>h</w:t>
      </w:r>
      <w:r w:rsidRPr="00C22B32">
        <w:rPr>
          <w:bCs/>
          <w:szCs w:val="25"/>
        </w:rPr>
        <w:t>as several possible meanings. Ta</w:t>
      </w:r>
      <w:r>
        <w:rPr>
          <w:bCs/>
          <w:szCs w:val="25"/>
        </w:rPr>
        <w:t>k</w:t>
      </w:r>
      <w:r w:rsidRPr="00C22B32">
        <w:rPr>
          <w:bCs/>
          <w:szCs w:val="25"/>
        </w:rPr>
        <w:t>ing</w:t>
      </w:r>
      <w:r>
        <w:rPr>
          <w:bCs/>
          <w:szCs w:val="25"/>
        </w:rPr>
        <w:t xml:space="preserve"> </w:t>
      </w:r>
      <w:r w:rsidRPr="00CE06CA">
        <w:rPr>
          <w:bCs/>
          <w:szCs w:val="22"/>
          <w:lang w:val="el-GR"/>
        </w:rPr>
        <w:t>ἀπελπίζοντες</w:t>
      </w:r>
      <w:r w:rsidRPr="00C22B32">
        <w:rPr>
          <w:bCs/>
          <w:szCs w:val="25"/>
        </w:rPr>
        <w:t xml:space="preserve"> as </w:t>
      </w:r>
      <w:r>
        <w:rPr>
          <w:bCs/>
          <w:szCs w:val="25"/>
        </w:rPr>
        <w:t>“</w:t>
      </w:r>
      <w:r w:rsidRPr="00C22B32">
        <w:rPr>
          <w:bCs/>
          <w:szCs w:val="25"/>
        </w:rPr>
        <w:t xml:space="preserve">despairing” and </w:t>
      </w:r>
      <w:r w:rsidRPr="00CE06CA">
        <w:rPr>
          <w:bCs/>
          <w:szCs w:val="22"/>
          <w:lang w:val="el-GR"/>
        </w:rPr>
        <w:t>μηδ</w:t>
      </w:r>
      <w:r>
        <w:rPr>
          <w:bCs/>
          <w:szCs w:val="22"/>
          <w:lang w:val="el-GR"/>
        </w:rPr>
        <w:t>έ</w:t>
      </w:r>
      <w:r w:rsidRPr="00CE06CA">
        <w:rPr>
          <w:bCs/>
          <w:szCs w:val="22"/>
          <w:lang w:val="el-GR"/>
        </w:rPr>
        <w:t xml:space="preserve">ν </w:t>
      </w:r>
      <w:r w:rsidRPr="00C22B32">
        <w:rPr>
          <w:bCs/>
          <w:szCs w:val="25"/>
        </w:rPr>
        <w:t>in each of its three senses (</w:t>
      </w:r>
      <w:r>
        <w:rPr>
          <w:bCs/>
          <w:szCs w:val="25"/>
        </w:rPr>
        <w:t>“</w:t>
      </w:r>
      <w:r w:rsidRPr="00C22B32">
        <w:rPr>
          <w:bCs/>
          <w:szCs w:val="25"/>
        </w:rPr>
        <w:t xml:space="preserve">no one,” </w:t>
      </w:r>
      <w:r>
        <w:rPr>
          <w:bCs/>
          <w:szCs w:val="25"/>
        </w:rPr>
        <w:t>“</w:t>
      </w:r>
      <w:proofErr w:type="spellStart"/>
      <w:r w:rsidRPr="00C22B32">
        <w:rPr>
          <w:bCs/>
          <w:szCs w:val="25"/>
        </w:rPr>
        <w:t>no thing</w:t>
      </w:r>
      <w:proofErr w:type="spellEnd"/>
      <w:r w:rsidRPr="00C22B32">
        <w:rPr>
          <w:bCs/>
          <w:szCs w:val="25"/>
        </w:rPr>
        <w:t>,</w:t>
      </w:r>
      <w:r>
        <w:rPr>
          <w:bCs/>
          <w:szCs w:val="25"/>
        </w:rPr>
        <w:t>”</w:t>
      </w:r>
      <w:r w:rsidRPr="00C22B32">
        <w:rPr>
          <w:bCs/>
          <w:szCs w:val="25"/>
        </w:rPr>
        <w:t xml:space="preserve"> </w:t>
      </w:r>
      <w:r>
        <w:rPr>
          <w:bCs/>
          <w:szCs w:val="25"/>
        </w:rPr>
        <w:t>“</w:t>
      </w:r>
      <w:r w:rsidRPr="00C22B32">
        <w:rPr>
          <w:bCs/>
          <w:szCs w:val="25"/>
        </w:rPr>
        <w:t>not at all”)</w:t>
      </w:r>
      <w:r w:rsidRPr="00C22B32">
        <w:rPr>
          <w:bCs/>
          <w:iCs/>
          <w:szCs w:val="25"/>
        </w:rPr>
        <w:t xml:space="preserve">, </w:t>
      </w:r>
      <w:r w:rsidRPr="00C22B32">
        <w:rPr>
          <w:bCs/>
          <w:szCs w:val="25"/>
        </w:rPr>
        <w:t xml:space="preserve">one gets: </w:t>
      </w:r>
      <w:r>
        <w:rPr>
          <w:bCs/>
          <w:szCs w:val="25"/>
        </w:rPr>
        <w:t>“</w:t>
      </w:r>
      <w:r w:rsidRPr="00C22B32">
        <w:rPr>
          <w:bCs/>
          <w:szCs w:val="25"/>
        </w:rPr>
        <w:t xml:space="preserve">despairing of no one,” “despairing of nothing,” and </w:t>
      </w:r>
      <w:r>
        <w:rPr>
          <w:bCs/>
          <w:szCs w:val="25"/>
        </w:rPr>
        <w:t>“</w:t>
      </w:r>
      <w:r w:rsidRPr="00C22B32">
        <w:rPr>
          <w:bCs/>
          <w:szCs w:val="25"/>
        </w:rPr>
        <w:t xml:space="preserve">not at all despairing.” Taking </w:t>
      </w:r>
      <w:r w:rsidRPr="00CE06CA">
        <w:rPr>
          <w:bCs/>
          <w:szCs w:val="22"/>
          <w:lang w:val="el-GR"/>
        </w:rPr>
        <w:t>ἀπελπίζοντες</w:t>
      </w:r>
      <w:r>
        <w:rPr>
          <w:bCs/>
          <w:szCs w:val="25"/>
        </w:rPr>
        <w:t xml:space="preserve"> </w:t>
      </w:r>
      <w:r w:rsidRPr="00C22B32">
        <w:rPr>
          <w:bCs/>
          <w:szCs w:val="25"/>
        </w:rPr>
        <w:t xml:space="preserve">as “hoping” and </w:t>
      </w:r>
      <w:r w:rsidRPr="00CE06CA">
        <w:rPr>
          <w:bCs/>
          <w:szCs w:val="22"/>
          <w:lang w:val="el-GR"/>
        </w:rPr>
        <w:t>μηδ</w:t>
      </w:r>
      <w:r>
        <w:rPr>
          <w:bCs/>
          <w:szCs w:val="22"/>
          <w:lang w:val="el-GR"/>
        </w:rPr>
        <w:t>έ</w:t>
      </w:r>
      <w:r w:rsidRPr="00CE06CA">
        <w:rPr>
          <w:bCs/>
          <w:szCs w:val="22"/>
          <w:lang w:val="el-GR"/>
        </w:rPr>
        <w:t>ν</w:t>
      </w:r>
      <w:r w:rsidRPr="00C22B32">
        <w:rPr>
          <w:bCs/>
          <w:szCs w:val="25"/>
        </w:rPr>
        <w:t xml:space="preserve"> in its three senses</w:t>
      </w:r>
      <w:r w:rsidRPr="00C22B32">
        <w:rPr>
          <w:bCs/>
          <w:iCs/>
          <w:szCs w:val="25"/>
        </w:rPr>
        <w:t xml:space="preserve">, </w:t>
      </w:r>
      <w:r w:rsidRPr="00C22B32">
        <w:rPr>
          <w:bCs/>
          <w:szCs w:val="25"/>
        </w:rPr>
        <w:t>one gets: “hoping from no one,” “hoping for nothing” (for some future general compensation</w:t>
      </w:r>
      <w:r w:rsidRPr="00C22B32">
        <w:rPr>
          <w:bCs/>
          <w:iCs/>
          <w:szCs w:val="25"/>
        </w:rPr>
        <w:t xml:space="preserve"> </w:t>
      </w:r>
      <w:r w:rsidRPr="00C22B32">
        <w:rPr>
          <w:bCs/>
          <w:szCs w:val="25"/>
        </w:rPr>
        <w:t>or specifically for what has been lent)</w:t>
      </w:r>
      <w:r w:rsidRPr="00C22B32">
        <w:rPr>
          <w:bCs/>
          <w:iCs/>
          <w:szCs w:val="25"/>
        </w:rPr>
        <w:t xml:space="preserve">, </w:t>
      </w:r>
      <w:r w:rsidRPr="00C22B32">
        <w:rPr>
          <w:bCs/>
          <w:szCs w:val="25"/>
        </w:rPr>
        <w:t xml:space="preserve">and </w:t>
      </w:r>
      <w:r>
        <w:rPr>
          <w:bCs/>
          <w:szCs w:val="25"/>
        </w:rPr>
        <w:t>“</w:t>
      </w:r>
      <w:r w:rsidRPr="00C22B32">
        <w:rPr>
          <w:bCs/>
          <w:szCs w:val="25"/>
        </w:rPr>
        <w:t>not at all hoping” (for a general compensation or for what has been lent).</w:t>
      </w:r>
    </w:p>
    <w:p w14:paraId="4F4458C5" w14:textId="77777777" w:rsidR="00B47A48" w:rsidRPr="00C22B32" w:rsidRDefault="00B47A48" w:rsidP="00B47A48">
      <w:pPr>
        <w:pStyle w:val="Style"/>
        <w:widowControl/>
        <w:jc w:val="both"/>
        <w:textAlignment w:val="baseline"/>
        <w:rPr>
          <w:bCs/>
          <w:szCs w:val="25"/>
        </w:rPr>
      </w:pPr>
      <w:r>
        <w:rPr>
          <w:bCs/>
          <w:szCs w:val="25"/>
        </w:rPr>
        <w:tab/>
      </w:r>
      <w:r w:rsidRPr="00C22B32">
        <w:rPr>
          <w:bCs/>
          <w:szCs w:val="25"/>
        </w:rPr>
        <w:t>Bultmann’s solution is to take the middle of the latter meanings</w:t>
      </w:r>
      <w:r w:rsidRPr="00C22B32">
        <w:rPr>
          <w:bCs/>
          <w:iCs/>
          <w:szCs w:val="25"/>
        </w:rPr>
        <w:t xml:space="preserve">, </w:t>
      </w:r>
      <w:r w:rsidRPr="00C22B32">
        <w:rPr>
          <w:bCs/>
          <w:szCs w:val="25"/>
        </w:rPr>
        <w:t xml:space="preserve">in its first sense: </w:t>
      </w:r>
      <w:r>
        <w:rPr>
          <w:bCs/>
          <w:szCs w:val="25"/>
        </w:rPr>
        <w:t>“</w:t>
      </w:r>
      <w:r w:rsidRPr="00C22B32">
        <w:rPr>
          <w:bCs/>
          <w:szCs w:val="25"/>
        </w:rPr>
        <w:t xml:space="preserve">not </w:t>
      </w:r>
      <w:r>
        <w:rPr>
          <w:bCs/>
          <w:szCs w:val="25"/>
        </w:rPr>
        <w:t xml:space="preserve">. . . </w:t>
      </w:r>
      <w:r w:rsidRPr="00C22B32">
        <w:rPr>
          <w:bCs/>
          <w:szCs w:val="25"/>
        </w:rPr>
        <w:t xml:space="preserve">hoping that something will occur </w:t>
      </w:r>
      <w:r>
        <w:rPr>
          <w:bCs/>
          <w:szCs w:val="25"/>
        </w:rPr>
        <w:t>. . .”</w:t>
      </w:r>
      <w:r>
        <w:rPr>
          <w:rStyle w:val="FootnoteReference"/>
          <w:bCs/>
          <w:szCs w:val="25"/>
        </w:rPr>
        <w:footnoteReference w:id="890"/>
      </w:r>
      <w:r w:rsidRPr="00671DEF">
        <w:rPr>
          <w:bCs/>
          <w:iCs/>
          <w:szCs w:val="25"/>
        </w:rPr>
        <w:t xml:space="preserve"> </w:t>
      </w:r>
      <w:r w:rsidRPr="00C22B32">
        <w:rPr>
          <w:bCs/>
          <w:szCs w:val="25"/>
        </w:rPr>
        <w:t>The Greek Fathers and the Vulgate prefer the middle of the latter meanings</w:t>
      </w:r>
      <w:r w:rsidRPr="00C22B32">
        <w:rPr>
          <w:bCs/>
          <w:iCs/>
          <w:szCs w:val="25"/>
        </w:rPr>
        <w:t xml:space="preserve">, </w:t>
      </w:r>
      <w:r w:rsidRPr="00C22B32">
        <w:rPr>
          <w:bCs/>
          <w:szCs w:val="25"/>
        </w:rPr>
        <w:t>but in its second sense (</w:t>
      </w:r>
      <w:r>
        <w:rPr>
          <w:bCs/>
          <w:szCs w:val="25"/>
        </w:rPr>
        <w:t>“</w:t>
      </w:r>
      <w:r w:rsidRPr="00C22B32">
        <w:rPr>
          <w:bCs/>
          <w:szCs w:val="25"/>
        </w:rPr>
        <w:t>not hoping for the return of what is lent”).</w:t>
      </w:r>
      <w:r>
        <w:rPr>
          <w:rStyle w:val="FootnoteReference"/>
          <w:bCs/>
          <w:szCs w:val="25"/>
        </w:rPr>
        <w:footnoteReference w:id="891"/>
      </w:r>
      <w:r w:rsidRPr="00671DEF">
        <w:rPr>
          <w:rFonts w:eastAsia="Arial"/>
          <w:bCs/>
          <w:iCs/>
          <w:szCs w:val="25"/>
        </w:rPr>
        <w:t xml:space="preserve"> </w:t>
      </w:r>
      <w:r w:rsidRPr="00C22B32">
        <w:rPr>
          <w:bCs/>
          <w:szCs w:val="25"/>
        </w:rPr>
        <w:t>This remains the most popular interpretation today; see</w:t>
      </w:r>
      <w:r w:rsidRPr="00C22B32">
        <w:rPr>
          <w:bCs/>
          <w:iCs/>
          <w:szCs w:val="25"/>
        </w:rPr>
        <w:t xml:space="preserve">, </w:t>
      </w:r>
      <w:r w:rsidRPr="00C22B32">
        <w:rPr>
          <w:bCs/>
          <w:szCs w:val="25"/>
        </w:rPr>
        <w:t>for example</w:t>
      </w:r>
      <w:r w:rsidRPr="00C22B32">
        <w:rPr>
          <w:bCs/>
          <w:iCs/>
          <w:szCs w:val="25"/>
        </w:rPr>
        <w:t xml:space="preserve">, </w:t>
      </w:r>
      <w:r w:rsidRPr="00C22B32">
        <w:rPr>
          <w:bCs/>
          <w:szCs w:val="25"/>
        </w:rPr>
        <w:t xml:space="preserve">the </w:t>
      </w:r>
      <w:r>
        <w:rPr>
          <w:bCs/>
          <w:szCs w:val="25"/>
        </w:rPr>
        <w:t xml:space="preserve">New </w:t>
      </w:r>
      <w:r w:rsidRPr="00C22B32">
        <w:rPr>
          <w:bCs/>
          <w:szCs w:val="25"/>
        </w:rPr>
        <w:t>Revised Standard Version’s rendering</w:t>
      </w:r>
      <w:r w:rsidRPr="00C22B32">
        <w:rPr>
          <w:bCs/>
          <w:iCs/>
          <w:szCs w:val="25"/>
        </w:rPr>
        <w:t xml:space="preserve">, </w:t>
      </w:r>
      <w:r>
        <w:rPr>
          <w:bCs/>
          <w:szCs w:val="25"/>
        </w:rPr>
        <w:t>“</w:t>
      </w:r>
      <w:r w:rsidRPr="00C22B32">
        <w:rPr>
          <w:bCs/>
          <w:szCs w:val="25"/>
        </w:rPr>
        <w:t>expecting</w:t>
      </w:r>
      <w:r>
        <w:rPr>
          <w:bCs/>
          <w:szCs w:val="25"/>
        </w:rPr>
        <w:t xml:space="preserve"> </w:t>
      </w:r>
      <w:r w:rsidRPr="00C22B32">
        <w:rPr>
          <w:bCs/>
          <w:szCs w:val="25"/>
        </w:rPr>
        <w:t>nothing in return.”</w:t>
      </w:r>
    </w:p>
    <w:p w14:paraId="0C0E6798" w14:textId="77777777" w:rsidR="00B47A48" w:rsidRPr="00C22B32" w:rsidRDefault="00B47A48" w:rsidP="00B47A48">
      <w:pPr>
        <w:pStyle w:val="Style"/>
        <w:widowControl/>
        <w:jc w:val="both"/>
        <w:textAlignment w:val="baseline"/>
        <w:rPr>
          <w:bCs/>
          <w:szCs w:val="25"/>
        </w:rPr>
      </w:pPr>
      <w:r>
        <w:rPr>
          <w:bCs/>
          <w:szCs w:val="25"/>
        </w:rPr>
        <w:tab/>
      </w:r>
      <w:r w:rsidRPr="00C22B32">
        <w:rPr>
          <w:bCs/>
          <w:szCs w:val="25"/>
        </w:rPr>
        <w:t xml:space="preserve">Yet interpretations which take </w:t>
      </w:r>
      <w:r w:rsidRPr="00CE06CA">
        <w:rPr>
          <w:bCs/>
          <w:szCs w:val="22"/>
          <w:lang w:val="el-GR"/>
        </w:rPr>
        <w:t>ἀπελπίζοντες</w:t>
      </w:r>
      <w:r w:rsidRPr="00C22B32">
        <w:rPr>
          <w:bCs/>
          <w:szCs w:val="25"/>
        </w:rPr>
        <w:t xml:space="preserve"> to mean </w:t>
      </w:r>
      <w:r>
        <w:rPr>
          <w:bCs/>
          <w:szCs w:val="25"/>
        </w:rPr>
        <w:t>“</w:t>
      </w:r>
      <w:r w:rsidRPr="00C22B32">
        <w:rPr>
          <w:bCs/>
          <w:szCs w:val="25"/>
        </w:rPr>
        <w:t>hoping” are improbable</w:t>
      </w:r>
      <w:r w:rsidRPr="00C22B32">
        <w:rPr>
          <w:bCs/>
          <w:iCs/>
          <w:szCs w:val="25"/>
        </w:rPr>
        <w:t xml:space="preserve">, </w:t>
      </w:r>
      <w:r w:rsidRPr="00C22B32">
        <w:rPr>
          <w:bCs/>
          <w:szCs w:val="25"/>
        </w:rPr>
        <w:t>since normally one finds this meaning only with the uncompounded verb</w:t>
      </w:r>
      <w:r w:rsidRPr="00C22B32">
        <w:rPr>
          <w:bCs/>
          <w:iCs/>
          <w:szCs w:val="25"/>
        </w:rPr>
        <w:t xml:space="preserve">, </w:t>
      </w:r>
      <w:proofErr w:type="spellStart"/>
      <w:r w:rsidRPr="00CB0999">
        <w:rPr>
          <w:szCs w:val="22"/>
          <w:lang w:bidi="he-IL"/>
        </w:rPr>
        <w:t>ἐ</w:t>
      </w:r>
      <w:r>
        <w:rPr>
          <w:szCs w:val="22"/>
          <w:lang w:bidi="he-IL"/>
        </w:rPr>
        <w:t>λ</w:t>
      </w:r>
      <w:proofErr w:type="spellEnd"/>
      <w:r>
        <w:rPr>
          <w:szCs w:val="22"/>
          <w:lang w:bidi="he-IL"/>
        </w:rPr>
        <w:t xml:space="preserve">πίζειν </w:t>
      </w:r>
      <w:r w:rsidRPr="00CB0999">
        <w:rPr>
          <w:szCs w:val="22"/>
          <w:lang w:bidi="he-IL"/>
        </w:rPr>
        <w:t>ἀ</w:t>
      </w:r>
      <w:r>
        <w:rPr>
          <w:szCs w:val="22"/>
          <w:lang w:bidi="he-IL"/>
        </w:rPr>
        <w:t>π</w:t>
      </w:r>
      <w:r w:rsidRPr="00CB0999">
        <w:rPr>
          <w:szCs w:val="22"/>
          <w:lang w:bidi="he-IL"/>
        </w:rPr>
        <w:t>ὸ</w:t>
      </w:r>
      <w:r>
        <w:rPr>
          <w:szCs w:val="22"/>
          <w:lang w:bidi="he-IL"/>
        </w:rPr>
        <w:t xml:space="preserve"> </w:t>
      </w:r>
      <w:proofErr w:type="spellStart"/>
      <w:r>
        <w:rPr>
          <w:szCs w:val="22"/>
          <w:lang w:bidi="he-IL"/>
        </w:rPr>
        <w:t>τινος</w:t>
      </w:r>
      <w:proofErr w:type="spellEnd"/>
      <w:r w:rsidRPr="00C22B32">
        <w:rPr>
          <w:bCs/>
          <w:szCs w:val="25"/>
        </w:rPr>
        <w:t xml:space="preserve"> (see above). Easton’s remark that “</w:t>
      </w:r>
      <w:r>
        <w:rPr>
          <w:bCs/>
          <w:szCs w:val="25"/>
        </w:rPr>
        <w:t>‘</w:t>
      </w:r>
      <w:r w:rsidRPr="00C22B32">
        <w:rPr>
          <w:bCs/>
          <w:szCs w:val="25"/>
        </w:rPr>
        <w:t xml:space="preserve">hoping for no return’ </w:t>
      </w:r>
      <w:r>
        <w:rPr>
          <w:bCs/>
          <w:szCs w:val="25"/>
        </w:rPr>
        <w:t xml:space="preserve">. . . </w:t>
      </w:r>
      <w:r w:rsidRPr="00C22B32">
        <w:rPr>
          <w:bCs/>
          <w:szCs w:val="25"/>
        </w:rPr>
        <w:t xml:space="preserve">is justified at least by the etymology of the verb </w:t>
      </w:r>
      <w:r w:rsidRPr="00C22B32">
        <w:rPr>
          <w:bCs/>
          <w:szCs w:val="25"/>
        </w:rPr>
        <w:lastRenderedPageBreak/>
        <w:t>(</w:t>
      </w:r>
      <w:r w:rsidRPr="00CB0999">
        <w:rPr>
          <w:szCs w:val="22"/>
          <w:lang w:bidi="he-IL"/>
        </w:rPr>
        <w:t>ἀ</w:t>
      </w:r>
      <w:r>
        <w:rPr>
          <w:szCs w:val="22"/>
          <w:lang w:bidi="he-IL"/>
        </w:rPr>
        <w:t>π</w:t>
      </w:r>
      <w:r w:rsidRPr="00CB0999">
        <w:rPr>
          <w:szCs w:val="22"/>
          <w:lang w:bidi="he-IL"/>
        </w:rPr>
        <w:t>ό</w:t>
      </w:r>
      <w:r>
        <w:rPr>
          <w:szCs w:val="22"/>
          <w:lang w:bidi="he-IL"/>
        </w:rPr>
        <w:t xml:space="preserve"> + </w:t>
      </w:r>
      <w:proofErr w:type="spellStart"/>
      <w:r w:rsidRPr="00CB0999">
        <w:rPr>
          <w:szCs w:val="22"/>
          <w:lang w:bidi="he-IL"/>
        </w:rPr>
        <w:t>ἐ</w:t>
      </w:r>
      <w:r>
        <w:rPr>
          <w:szCs w:val="22"/>
          <w:lang w:bidi="he-IL"/>
        </w:rPr>
        <w:t>λ</w:t>
      </w:r>
      <w:proofErr w:type="spellEnd"/>
      <w:r>
        <w:rPr>
          <w:szCs w:val="22"/>
          <w:lang w:bidi="he-IL"/>
        </w:rPr>
        <w:t>πίζειν</w:t>
      </w:r>
      <w:r w:rsidRPr="00C22B32">
        <w:rPr>
          <w:bCs/>
          <w:szCs w:val="25"/>
        </w:rPr>
        <w:t>)”</w:t>
      </w:r>
      <w:r>
        <w:rPr>
          <w:rStyle w:val="FootnoteReference"/>
          <w:bCs/>
          <w:szCs w:val="25"/>
        </w:rPr>
        <w:footnoteReference w:id="892"/>
      </w:r>
      <w:r w:rsidRPr="00671DEF">
        <w:rPr>
          <w:bCs/>
          <w:iCs/>
          <w:szCs w:val="25"/>
        </w:rPr>
        <w:t xml:space="preserve"> </w:t>
      </w:r>
      <w:r w:rsidRPr="00C22B32">
        <w:rPr>
          <w:bCs/>
          <w:szCs w:val="25"/>
        </w:rPr>
        <w:t>is simply incorrect. Also</w:t>
      </w:r>
      <w:r w:rsidRPr="00C22B32">
        <w:rPr>
          <w:bCs/>
          <w:iCs/>
          <w:szCs w:val="25"/>
        </w:rPr>
        <w:t xml:space="preserve">, </w:t>
      </w:r>
      <w:r w:rsidRPr="00C22B32">
        <w:rPr>
          <w:bCs/>
          <w:szCs w:val="25"/>
        </w:rPr>
        <w:t>as Schwarz points out,</w:t>
      </w:r>
      <w:r>
        <w:rPr>
          <w:rStyle w:val="FootnoteReference"/>
          <w:bCs/>
          <w:szCs w:val="25"/>
        </w:rPr>
        <w:footnoteReference w:id="893"/>
      </w:r>
      <w:r w:rsidRPr="00C22B32">
        <w:rPr>
          <w:bCs/>
          <w:szCs w:val="25"/>
        </w:rPr>
        <w:t xml:space="preserve"> if </w:t>
      </w:r>
      <w:r w:rsidRPr="00CE06CA">
        <w:rPr>
          <w:bCs/>
          <w:szCs w:val="22"/>
          <w:lang w:val="el-GR"/>
        </w:rPr>
        <w:t>ἀπελπίζ</w:t>
      </w:r>
      <w:r>
        <w:rPr>
          <w:bCs/>
          <w:szCs w:val="22"/>
          <w:lang w:val="el-GR"/>
        </w:rPr>
        <w:t>ω</w:t>
      </w:r>
      <w:r>
        <w:rPr>
          <w:bCs/>
          <w:szCs w:val="25"/>
        </w:rPr>
        <w:t xml:space="preserve"> </w:t>
      </w:r>
      <w:r w:rsidRPr="00C22B32">
        <w:rPr>
          <w:bCs/>
          <w:szCs w:val="25"/>
        </w:rPr>
        <w:t>mean</w:t>
      </w:r>
      <w:r>
        <w:rPr>
          <w:bCs/>
          <w:szCs w:val="25"/>
        </w:rPr>
        <w:t>t</w:t>
      </w:r>
      <w:r w:rsidRPr="00C22B32">
        <w:rPr>
          <w:bCs/>
          <w:szCs w:val="25"/>
        </w:rPr>
        <w:t xml:space="preserve"> “to hope or expect,” it would contradict</w:t>
      </w:r>
      <w:r>
        <w:rPr>
          <w:bCs/>
          <w:szCs w:val="25"/>
        </w:rPr>
        <w:t xml:space="preserve"> δα</w:t>
      </w:r>
      <w:proofErr w:type="spellStart"/>
      <w:r>
        <w:rPr>
          <w:bCs/>
          <w:szCs w:val="25"/>
        </w:rPr>
        <w:t>νίζω</w:t>
      </w:r>
      <w:proofErr w:type="spellEnd"/>
      <w:r w:rsidRPr="00C22B32">
        <w:rPr>
          <w:bCs/>
          <w:szCs w:val="25"/>
        </w:rPr>
        <w:t xml:space="preserve"> </w:t>
      </w:r>
      <w:r w:rsidRPr="00C22B32">
        <w:rPr>
          <w:rFonts w:eastAsia="Arial"/>
          <w:bCs/>
          <w:szCs w:val="21"/>
        </w:rPr>
        <w:t>(</w:t>
      </w:r>
      <w:r>
        <w:rPr>
          <w:bCs/>
          <w:szCs w:val="25"/>
        </w:rPr>
        <w:t>“</w:t>
      </w:r>
      <w:r w:rsidRPr="00C22B32">
        <w:rPr>
          <w:bCs/>
          <w:szCs w:val="25"/>
        </w:rPr>
        <w:t>to lend”)</w:t>
      </w:r>
      <w:r w:rsidRPr="00C22B32">
        <w:rPr>
          <w:bCs/>
          <w:iCs/>
          <w:szCs w:val="25"/>
        </w:rPr>
        <w:t xml:space="preserve">, </w:t>
      </w:r>
      <w:r w:rsidRPr="00C22B32">
        <w:rPr>
          <w:bCs/>
          <w:szCs w:val="25"/>
        </w:rPr>
        <w:t>since expecting the return of one’s goods is an ineradicable part of the meaning of “to lend”; with no expectation to receive back</w:t>
      </w:r>
      <w:r w:rsidRPr="00C22B32">
        <w:rPr>
          <w:bCs/>
          <w:iCs/>
          <w:szCs w:val="25"/>
        </w:rPr>
        <w:t xml:space="preserve">, </w:t>
      </w:r>
      <w:r w:rsidRPr="00C22B32">
        <w:rPr>
          <w:bCs/>
          <w:szCs w:val="25"/>
        </w:rPr>
        <w:t>one is merely giving away.</w:t>
      </w:r>
    </w:p>
    <w:p w14:paraId="1FA8E685" w14:textId="77777777" w:rsidR="00B47A48" w:rsidRPr="00C22B32" w:rsidRDefault="00B47A48" w:rsidP="00B47A48">
      <w:pPr>
        <w:pStyle w:val="Style"/>
        <w:widowControl/>
        <w:jc w:val="both"/>
        <w:textAlignment w:val="baseline"/>
        <w:rPr>
          <w:bCs/>
          <w:szCs w:val="25"/>
        </w:rPr>
      </w:pPr>
      <w:r>
        <w:rPr>
          <w:bCs/>
          <w:szCs w:val="25"/>
        </w:rPr>
        <w:tab/>
      </w:r>
      <w:r w:rsidRPr="00C22B32">
        <w:rPr>
          <w:bCs/>
          <w:szCs w:val="25"/>
        </w:rPr>
        <w:t xml:space="preserve">It is true that the most common interpretation best fits the context: </w:t>
      </w:r>
      <w:r>
        <w:rPr>
          <w:bCs/>
          <w:szCs w:val="25"/>
        </w:rPr>
        <w:t>“</w:t>
      </w:r>
      <w:r w:rsidRPr="00C22B32">
        <w:rPr>
          <w:bCs/>
          <w:szCs w:val="25"/>
        </w:rPr>
        <w:t>1end</w:t>
      </w:r>
      <w:r w:rsidRPr="00C22B32">
        <w:rPr>
          <w:bCs/>
          <w:iCs/>
          <w:szCs w:val="25"/>
        </w:rPr>
        <w:t xml:space="preserve">, </w:t>
      </w:r>
      <w:r w:rsidRPr="00C22B32">
        <w:rPr>
          <w:bCs/>
          <w:szCs w:val="25"/>
        </w:rPr>
        <w:t>without expecting to receive back what you lend.” But context is a secondary consideration; grammar is a more primary one. If the grammar does not allow a meaning</w:t>
      </w:r>
      <w:r w:rsidRPr="00C22B32">
        <w:rPr>
          <w:bCs/>
          <w:iCs/>
          <w:szCs w:val="25"/>
        </w:rPr>
        <w:t xml:space="preserve">, </w:t>
      </w:r>
      <w:r w:rsidRPr="00C22B32">
        <w:rPr>
          <w:bCs/>
          <w:szCs w:val="25"/>
        </w:rPr>
        <w:t>no matter how fitting</w:t>
      </w:r>
      <w:r w:rsidRPr="00C22B32">
        <w:rPr>
          <w:bCs/>
          <w:iCs/>
          <w:szCs w:val="25"/>
        </w:rPr>
        <w:t xml:space="preserve">, </w:t>
      </w:r>
      <w:r w:rsidRPr="00C22B32">
        <w:rPr>
          <w:bCs/>
          <w:szCs w:val="25"/>
        </w:rPr>
        <w:t xml:space="preserve">it cannot be preferred over a meaning that the grammar does allow. </w:t>
      </w:r>
      <w:r w:rsidRPr="00CE06CA">
        <w:rPr>
          <w:bCs/>
          <w:szCs w:val="22"/>
          <w:lang w:val="el-GR"/>
        </w:rPr>
        <w:t>Μηδὲν ἀπελπίζοντες</w:t>
      </w:r>
      <w:r w:rsidRPr="00C22B32">
        <w:rPr>
          <w:bCs/>
          <w:iCs/>
          <w:szCs w:val="32"/>
        </w:rPr>
        <w:t xml:space="preserve">, </w:t>
      </w:r>
      <w:r w:rsidRPr="00C22B32">
        <w:rPr>
          <w:bCs/>
          <w:szCs w:val="25"/>
        </w:rPr>
        <w:t>in the sense commonly accepted</w:t>
      </w:r>
      <w:r w:rsidRPr="00C22B32">
        <w:rPr>
          <w:bCs/>
          <w:iCs/>
          <w:szCs w:val="25"/>
        </w:rPr>
        <w:t xml:space="preserve">, </w:t>
      </w:r>
      <w:r w:rsidRPr="00C22B32">
        <w:rPr>
          <w:bCs/>
          <w:szCs w:val="25"/>
        </w:rPr>
        <w:t>is</w:t>
      </w:r>
      <w:r w:rsidRPr="00C22B32">
        <w:rPr>
          <w:bCs/>
          <w:iCs/>
          <w:szCs w:val="25"/>
        </w:rPr>
        <w:t xml:space="preserve">, </w:t>
      </w:r>
      <w:r w:rsidRPr="00C22B32">
        <w:rPr>
          <w:bCs/>
          <w:szCs w:val="25"/>
        </w:rPr>
        <w:t xml:space="preserve">as </w:t>
      </w:r>
      <w:proofErr w:type="spellStart"/>
      <w:r w:rsidRPr="00C22B32">
        <w:rPr>
          <w:bCs/>
          <w:szCs w:val="25"/>
        </w:rPr>
        <w:t>Fitzmyer</w:t>
      </w:r>
      <w:proofErr w:type="spellEnd"/>
      <w:r w:rsidRPr="00C22B32">
        <w:rPr>
          <w:bCs/>
          <w:szCs w:val="25"/>
        </w:rPr>
        <w:t xml:space="preserve"> notes</w:t>
      </w:r>
      <w:r w:rsidRPr="00C22B32">
        <w:rPr>
          <w:bCs/>
          <w:iCs/>
          <w:szCs w:val="25"/>
        </w:rPr>
        <w:t>, “</w:t>
      </w:r>
      <w:r w:rsidRPr="00C22B32">
        <w:rPr>
          <w:bCs/>
          <w:szCs w:val="25"/>
        </w:rPr>
        <w:t xml:space="preserve">otherwise unattested in earlier or contemporary Greek writing </w:t>
      </w:r>
      <w:r>
        <w:rPr>
          <w:bCs/>
          <w:szCs w:val="25"/>
        </w:rPr>
        <w:t>. . .”</w:t>
      </w:r>
      <w:r>
        <w:rPr>
          <w:rStyle w:val="FootnoteReference"/>
          <w:bCs/>
          <w:szCs w:val="25"/>
        </w:rPr>
        <w:footnoteReference w:id="894"/>
      </w:r>
      <w:r w:rsidRPr="00671DEF">
        <w:rPr>
          <w:bCs/>
          <w:iCs/>
          <w:szCs w:val="25"/>
        </w:rPr>
        <w:t xml:space="preserve"> </w:t>
      </w:r>
      <w:r w:rsidRPr="00C22B32">
        <w:rPr>
          <w:bCs/>
          <w:szCs w:val="25"/>
        </w:rPr>
        <w:t>For this reason</w:t>
      </w:r>
      <w:r w:rsidRPr="00C22B32">
        <w:rPr>
          <w:bCs/>
          <w:iCs/>
          <w:szCs w:val="25"/>
        </w:rPr>
        <w:t xml:space="preserve">, </w:t>
      </w:r>
      <w:r w:rsidRPr="00C22B32">
        <w:rPr>
          <w:bCs/>
          <w:szCs w:val="25"/>
        </w:rPr>
        <w:t xml:space="preserve">interpretations which take </w:t>
      </w:r>
      <w:r>
        <w:rPr>
          <w:bCs/>
          <w:szCs w:val="22"/>
          <w:lang w:val="el-GR"/>
        </w:rPr>
        <w:t>ἀπελπίζοντες</w:t>
      </w:r>
      <w:r>
        <w:rPr>
          <w:bCs/>
          <w:szCs w:val="25"/>
        </w:rPr>
        <w:t xml:space="preserve"> </w:t>
      </w:r>
      <w:r w:rsidRPr="00C22B32">
        <w:rPr>
          <w:bCs/>
          <w:szCs w:val="25"/>
        </w:rPr>
        <w:t>as “despairing” are more likely to be correct: “despairing of no one,” “despairing of nothing,” or not at all despairing.” The middle of these solutions fits the context ill</w:t>
      </w:r>
      <w:r w:rsidRPr="00C22B32">
        <w:rPr>
          <w:bCs/>
          <w:iCs/>
          <w:szCs w:val="25"/>
        </w:rPr>
        <w:t xml:space="preserve">, </w:t>
      </w:r>
      <w:r w:rsidRPr="00C22B32">
        <w:rPr>
          <w:bCs/>
          <w:szCs w:val="25"/>
        </w:rPr>
        <w:t>the third fits it moderately well</w:t>
      </w:r>
      <w:r w:rsidRPr="00C22B32">
        <w:rPr>
          <w:bCs/>
          <w:iCs/>
          <w:szCs w:val="25"/>
        </w:rPr>
        <w:t xml:space="preserve">, </w:t>
      </w:r>
      <w:r w:rsidRPr="00C22B32">
        <w:rPr>
          <w:bCs/>
          <w:szCs w:val="25"/>
        </w:rPr>
        <w:t>and the first makes passably good sense.</w:t>
      </w:r>
    </w:p>
    <w:p w14:paraId="2DA04DEA" w14:textId="77777777" w:rsidR="00B47A48" w:rsidRPr="00AF239D" w:rsidRDefault="00B47A48" w:rsidP="00B47A48">
      <w:pPr>
        <w:pStyle w:val="Style"/>
        <w:widowControl/>
        <w:jc w:val="both"/>
        <w:textAlignment w:val="baseline"/>
        <w:rPr>
          <w:bCs/>
          <w:szCs w:val="25"/>
        </w:rPr>
      </w:pPr>
      <w:r>
        <w:rPr>
          <w:bCs/>
          <w:szCs w:val="22"/>
        </w:rPr>
        <w:tab/>
      </w:r>
      <w:r w:rsidRPr="00C22B32">
        <w:rPr>
          <w:bCs/>
          <w:szCs w:val="22"/>
        </w:rPr>
        <w:t xml:space="preserve">If </w:t>
      </w:r>
      <w:r w:rsidRPr="00C22B32">
        <w:rPr>
          <w:bCs/>
          <w:szCs w:val="25"/>
        </w:rPr>
        <w:t>the meaning is “despairing of no one</w:t>
      </w:r>
      <w:r>
        <w:rPr>
          <w:bCs/>
          <w:szCs w:val="25"/>
        </w:rPr>
        <w:t>,”</w:t>
      </w:r>
      <w:r w:rsidRPr="00C22B32">
        <w:rPr>
          <w:bCs/>
          <w:szCs w:val="25"/>
        </w:rPr>
        <w:t xml:space="preserve"> then who is the </w:t>
      </w:r>
      <w:r>
        <w:rPr>
          <w:bCs/>
          <w:szCs w:val="25"/>
        </w:rPr>
        <w:t>“</w:t>
      </w:r>
      <w:r w:rsidRPr="00C22B32">
        <w:rPr>
          <w:bCs/>
          <w:szCs w:val="25"/>
        </w:rPr>
        <w:t>one” referred to?</w:t>
      </w:r>
      <w:r>
        <w:rPr>
          <w:bCs/>
          <w:szCs w:val="25"/>
        </w:rPr>
        <w:t xml:space="preserve"> </w:t>
      </w:r>
      <w:proofErr w:type="spellStart"/>
      <w:r w:rsidRPr="00C22B32">
        <w:rPr>
          <w:bCs/>
          <w:szCs w:val="25"/>
        </w:rPr>
        <w:t>Valensin</w:t>
      </w:r>
      <w:proofErr w:type="spellEnd"/>
      <w:r w:rsidRPr="00C22B32">
        <w:rPr>
          <w:bCs/>
          <w:szCs w:val="25"/>
        </w:rPr>
        <w:t xml:space="preserve"> and Huby suggest that “despairing of no one” has the same meaning as the variant reading</w:t>
      </w:r>
      <w:r w:rsidRPr="00C22B32">
        <w:rPr>
          <w:bCs/>
          <w:iCs/>
          <w:szCs w:val="25"/>
        </w:rPr>
        <w:t>,</w:t>
      </w:r>
      <w:r>
        <w:rPr>
          <w:bCs/>
          <w:iCs/>
          <w:szCs w:val="25"/>
        </w:rPr>
        <w:t xml:space="preserve"> </w:t>
      </w:r>
      <w:r w:rsidRPr="00CE06CA">
        <w:rPr>
          <w:bCs/>
          <w:szCs w:val="22"/>
          <w:lang w:val="el-GR"/>
        </w:rPr>
        <w:t>μηδ</w:t>
      </w:r>
      <w:r>
        <w:rPr>
          <w:bCs/>
          <w:szCs w:val="22"/>
          <w:lang w:val="el-GR"/>
        </w:rPr>
        <w:t>έ</w:t>
      </w:r>
      <w:r w:rsidRPr="00CE06CA">
        <w:rPr>
          <w:bCs/>
          <w:szCs w:val="22"/>
          <w:lang w:val="el-GR"/>
        </w:rPr>
        <w:t>ν</w:t>
      </w:r>
      <w:r>
        <w:rPr>
          <w:bCs/>
          <w:szCs w:val="22"/>
          <w:lang w:val="el-GR"/>
        </w:rPr>
        <w:t>α</w:t>
      </w:r>
      <w:r w:rsidRPr="00CE06CA">
        <w:rPr>
          <w:bCs/>
          <w:szCs w:val="22"/>
          <w:lang w:val="el-GR"/>
        </w:rPr>
        <w:t xml:space="preserve"> ἀπελπίζοντες</w:t>
      </w:r>
      <w:r w:rsidRPr="00C22B32">
        <w:rPr>
          <w:bCs/>
          <w:szCs w:val="25"/>
        </w:rPr>
        <w:t>: “not despairing that the borrower will eventually return your money.</w:t>
      </w:r>
      <w:r>
        <w:rPr>
          <w:bCs/>
          <w:szCs w:val="25"/>
        </w:rPr>
        <w:t>”</w:t>
      </w:r>
      <w:r>
        <w:rPr>
          <w:rStyle w:val="FootnoteReference"/>
          <w:bCs/>
          <w:szCs w:val="25"/>
        </w:rPr>
        <w:footnoteReference w:id="895"/>
      </w:r>
      <w:r w:rsidRPr="00671DEF">
        <w:rPr>
          <w:bCs/>
          <w:iCs/>
          <w:szCs w:val="25"/>
        </w:rPr>
        <w:t xml:space="preserve"> </w:t>
      </w:r>
      <w:r w:rsidRPr="00C22B32">
        <w:rPr>
          <w:bCs/>
          <w:szCs w:val="25"/>
        </w:rPr>
        <w:t>Easton objects to this</w:t>
      </w:r>
      <w:r w:rsidRPr="00C22B32">
        <w:rPr>
          <w:bCs/>
          <w:iCs/>
          <w:szCs w:val="25"/>
        </w:rPr>
        <w:t xml:space="preserve">, </w:t>
      </w:r>
      <w:r w:rsidRPr="00C22B32">
        <w:rPr>
          <w:bCs/>
          <w:szCs w:val="25"/>
        </w:rPr>
        <w:t>and quite rightly: “the context insists on the irrelevancy of man’s attitude.</w:t>
      </w:r>
      <w:r>
        <w:rPr>
          <w:bCs/>
          <w:szCs w:val="25"/>
        </w:rPr>
        <w:t>”</w:t>
      </w:r>
      <w:r>
        <w:rPr>
          <w:rStyle w:val="FootnoteReference"/>
          <w:bCs/>
          <w:szCs w:val="25"/>
        </w:rPr>
        <w:footnoteReference w:id="896"/>
      </w:r>
      <w:r>
        <w:rPr>
          <w:bCs/>
          <w:szCs w:val="25"/>
        </w:rPr>
        <w:t xml:space="preserve"> </w:t>
      </w:r>
      <w:r w:rsidRPr="00C22B32">
        <w:rPr>
          <w:bCs/>
          <w:szCs w:val="25"/>
        </w:rPr>
        <w:t>The conclusion Easton draws from this</w:t>
      </w:r>
      <w:r w:rsidRPr="00C22B32">
        <w:rPr>
          <w:bCs/>
          <w:iCs/>
          <w:szCs w:val="25"/>
        </w:rPr>
        <w:t xml:space="preserve">, </w:t>
      </w:r>
      <w:r w:rsidRPr="00C22B32">
        <w:rPr>
          <w:bCs/>
          <w:szCs w:val="25"/>
        </w:rPr>
        <w:t>however</w:t>
      </w:r>
      <w:r w:rsidRPr="00C22B32">
        <w:rPr>
          <w:bCs/>
          <w:iCs/>
          <w:szCs w:val="25"/>
        </w:rPr>
        <w:t xml:space="preserve">, </w:t>
      </w:r>
      <w:r w:rsidRPr="00C22B32">
        <w:rPr>
          <w:bCs/>
          <w:szCs w:val="25"/>
        </w:rPr>
        <w:t xml:space="preserve">does not necessarily follow: since the meaning advanced by </w:t>
      </w:r>
      <w:proofErr w:type="spellStart"/>
      <w:r w:rsidRPr="00C22B32">
        <w:rPr>
          <w:bCs/>
          <w:szCs w:val="25"/>
        </w:rPr>
        <w:t>Valensin</w:t>
      </w:r>
      <w:proofErr w:type="spellEnd"/>
      <w:r w:rsidRPr="00C22B32">
        <w:rPr>
          <w:bCs/>
          <w:szCs w:val="25"/>
        </w:rPr>
        <w:t xml:space="preserve"> and Huby is wrong</w:t>
      </w:r>
      <w:r w:rsidRPr="00C22B32">
        <w:rPr>
          <w:bCs/>
          <w:iCs/>
          <w:szCs w:val="25"/>
        </w:rPr>
        <w:t xml:space="preserve">, </w:t>
      </w:r>
      <w:r w:rsidRPr="00C22B32">
        <w:rPr>
          <w:bCs/>
          <w:szCs w:val="25"/>
        </w:rPr>
        <w:t>he concludes</w:t>
      </w:r>
      <w:r w:rsidRPr="00C22B32">
        <w:rPr>
          <w:bCs/>
          <w:iCs/>
          <w:szCs w:val="25"/>
        </w:rPr>
        <w:t>, “</w:t>
      </w:r>
      <w:r w:rsidRPr="00C22B32">
        <w:rPr>
          <w:bCs/>
          <w:szCs w:val="25"/>
        </w:rPr>
        <w:t xml:space="preserve">the object of the hope is God </w:t>
      </w:r>
      <w:r>
        <w:rPr>
          <w:bCs/>
          <w:szCs w:val="25"/>
        </w:rPr>
        <w:t>. . .”</w:t>
      </w:r>
      <w:r>
        <w:rPr>
          <w:rStyle w:val="FootnoteReference"/>
          <w:bCs/>
          <w:szCs w:val="25"/>
        </w:rPr>
        <w:footnoteReference w:id="897"/>
      </w:r>
      <w:r w:rsidRPr="00671DEF">
        <w:rPr>
          <w:bCs/>
          <w:iCs/>
          <w:szCs w:val="25"/>
        </w:rPr>
        <w:t xml:space="preserve"> </w:t>
      </w:r>
      <w:r w:rsidRPr="00C22B32">
        <w:rPr>
          <w:bCs/>
          <w:szCs w:val="25"/>
        </w:rPr>
        <w:t xml:space="preserve">But </w:t>
      </w:r>
      <w:proofErr w:type="spellStart"/>
      <w:r w:rsidRPr="00C22B32">
        <w:rPr>
          <w:bCs/>
          <w:szCs w:val="25"/>
        </w:rPr>
        <w:t>Zerwick</w:t>
      </w:r>
      <w:proofErr w:type="spellEnd"/>
      <w:r w:rsidRPr="00C22B32">
        <w:rPr>
          <w:bCs/>
          <w:szCs w:val="25"/>
        </w:rPr>
        <w:t xml:space="preserve"> and Grosvenor offer a capable paraphrase in which the object is </w:t>
      </w:r>
      <w:r w:rsidRPr="001C646B">
        <w:rPr>
          <w:bCs/>
          <w:iCs/>
          <w:szCs w:val="25"/>
        </w:rPr>
        <w:t>(</w:t>
      </w:r>
      <w:r w:rsidRPr="00C22B32">
        <w:rPr>
          <w:bCs/>
          <w:szCs w:val="25"/>
        </w:rPr>
        <w:t xml:space="preserve">as in </w:t>
      </w:r>
      <w:proofErr w:type="spellStart"/>
      <w:r w:rsidRPr="00C22B32">
        <w:rPr>
          <w:bCs/>
          <w:szCs w:val="25"/>
        </w:rPr>
        <w:t>Valensin</w:t>
      </w:r>
      <w:proofErr w:type="spellEnd"/>
      <w:r w:rsidRPr="00C22B32">
        <w:rPr>
          <w:bCs/>
          <w:szCs w:val="25"/>
        </w:rPr>
        <w:t xml:space="preserve"> and Huby) the persons benefited: </w:t>
      </w:r>
      <w:r>
        <w:rPr>
          <w:bCs/>
          <w:szCs w:val="25"/>
        </w:rPr>
        <w:t>“</w:t>
      </w:r>
      <w:r w:rsidRPr="00C22B32">
        <w:rPr>
          <w:bCs/>
          <w:szCs w:val="25"/>
        </w:rPr>
        <w:t xml:space="preserve">Go on doing good and lending </w:t>
      </w:r>
      <w:proofErr w:type="spellStart"/>
      <w:r w:rsidRPr="00C22B32">
        <w:rPr>
          <w:bCs/>
        </w:rPr>
        <w:t>wt</w:t>
      </w:r>
      <w:proofErr w:type="spellEnd"/>
      <w:r w:rsidRPr="00C22B32">
        <w:rPr>
          <w:bCs/>
        </w:rPr>
        <w:t xml:space="preserve"> [</w:t>
      </w:r>
      <w:r w:rsidRPr="00C22B32">
        <w:rPr>
          <w:bCs/>
          <w:szCs w:val="25"/>
        </w:rPr>
        <w:t xml:space="preserve">without] giving up in despair </w:t>
      </w:r>
      <w:r w:rsidRPr="001C646B">
        <w:rPr>
          <w:bCs/>
          <w:iCs/>
          <w:szCs w:val="25"/>
        </w:rPr>
        <w:t>(</w:t>
      </w:r>
      <w:r w:rsidRPr="00C22B32">
        <w:rPr>
          <w:bCs/>
          <w:szCs w:val="25"/>
        </w:rPr>
        <w:t>e.g. of sincerity and good intensions of others who may need your help</w:t>
      </w:r>
      <w:r w:rsidRPr="001C646B">
        <w:rPr>
          <w:bCs/>
          <w:iCs/>
          <w:szCs w:val="25"/>
        </w:rPr>
        <w:t>)</w:t>
      </w:r>
      <w:r>
        <w:rPr>
          <w:bCs/>
          <w:szCs w:val="25"/>
        </w:rPr>
        <w:t>.”</w:t>
      </w:r>
      <w:r>
        <w:rPr>
          <w:rStyle w:val="FootnoteReference"/>
          <w:bCs/>
          <w:szCs w:val="25"/>
        </w:rPr>
        <w:footnoteReference w:id="898"/>
      </w:r>
      <w:r w:rsidRPr="00671DEF">
        <w:rPr>
          <w:bCs/>
          <w:iCs/>
          <w:szCs w:val="25"/>
        </w:rPr>
        <w:t xml:space="preserve"> </w:t>
      </w:r>
      <w:r w:rsidRPr="00C22B32">
        <w:rPr>
          <w:bCs/>
          <w:szCs w:val="25"/>
        </w:rPr>
        <w:t>This seems to me the most likely interpretation of the verse.</w:t>
      </w:r>
    </w:p>
    <w:p w14:paraId="79D9DC6D" w14:textId="77777777" w:rsidR="00B47A48" w:rsidRPr="00C22B32" w:rsidRDefault="00B47A48" w:rsidP="00B47A48">
      <w:pPr>
        <w:pStyle w:val="Style"/>
        <w:widowControl/>
        <w:jc w:val="both"/>
        <w:textAlignment w:val="baseline"/>
        <w:rPr>
          <w:bCs/>
          <w:szCs w:val="2"/>
          <w:vertAlign w:val="superscript"/>
        </w:rPr>
      </w:pPr>
      <w:r>
        <w:rPr>
          <w:bCs/>
          <w:szCs w:val="25"/>
        </w:rPr>
        <w:tab/>
      </w:r>
      <w:r w:rsidRPr="00C22B32">
        <w:rPr>
          <w:bCs/>
          <w:szCs w:val="25"/>
        </w:rPr>
        <w:t>G</w:t>
      </w:r>
      <w:r>
        <w:rPr>
          <w:bCs/>
          <w:szCs w:val="25"/>
        </w:rPr>
        <w:t>ü</w:t>
      </w:r>
      <w:r w:rsidRPr="00C22B32">
        <w:rPr>
          <w:bCs/>
          <w:szCs w:val="25"/>
        </w:rPr>
        <w:t>nther Schwarz has suggested a final solution</w:t>
      </w:r>
      <w:r w:rsidRPr="00C22B32">
        <w:rPr>
          <w:bCs/>
          <w:iCs/>
          <w:szCs w:val="25"/>
        </w:rPr>
        <w:t xml:space="preserve">, </w:t>
      </w:r>
      <w:r w:rsidRPr="00C22B32">
        <w:rPr>
          <w:bCs/>
          <w:szCs w:val="25"/>
        </w:rPr>
        <w:t>one which is entirely original</w:t>
      </w:r>
      <w:r w:rsidRPr="00C22B32">
        <w:rPr>
          <w:bCs/>
          <w:iCs/>
          <w:szCs w:val="25"/>
        </w:rPr>
        <w:t xml:space="preserve">, </w:t>
      </w:r>
      <w:r w:rsidRPr="00C22B32">
        <w:rPr>
          <w:bCs/>
          <w:szCs w:val="25"/>
        </w:rPr>
        <w:t>if highly speculative. The key</w:t>
      </w:r>
      <w:r w:rsidRPr="00C22B32">
        <w:rPr>
          <w:bCs/>
          <w:iCs/>
          <w:szCs w:val="25"/>
        </w:rPr>
        <w:t xml:space="preserve">, </w:t>
      </w:r>
      <w:r w:rsidRPr="00C22B32">
        <w:rPr>
          <w:bCs/>
          <w:szCs w:val="25"/>
        </w:rPr>
        <w:t>he suggests</w:t>
      </w:r>
      <w:r w:rsidRPr="00C22B32">
        <w:rPr>
          <w:bCs/>
          <w:iCs/>
          <w:szCs w:val="25"/>
        </w:rPr>
        <w:t xml:space="preserve">, </w:t>
      </w:r>
      <w:r w:rsidRPr="00C22B32">
        <w:rPr>
          <w:bCs/>
          <w:szCs w:val="25"/>
        </w:rPr>
        <w:t xml:space="preserve">is to translate the phrase back into Aramaic. The Aramaic for </w:t>
      </w:r>
      <w:r w:rsidRPr="00CE06CA">
        <w:rPr>
          <w:bCs/>
          <w:szCs w:val="22"/>
          <w:lang w:val="el-GR"/>
        </w:rPr>
        <w:t>ἀπελπίζ</w:t>
      </w:r>
      <w:proofErr w:type="spellStart"/>
      <w:r>
        <w:rPr>
          <w:szCs w:val="22"/>
          <w:lang w:bidi="he-IL"/>
        </w:rPr>
        <w:t>ειν</w:t>
      </w:r>
      <w:proofErr w:type="spellEnd"/>
      <w:r>
        <w:rPr>
          <w:rFonts w:eastAsia="Arial"/>
          <w:bCs/>
          <w:szCs w:val="23"/>
        </w:rPr>
        <w:t xml:space="preserve"> </w:t>
      </w:r>
      <w:r w:rsidRPr="00C22B32">
        <w:rPr>
          <w:bCs/>
          <w:szCs w:val="25"/>
        </w:rPr>
        <w:t xml:space="preserve">in the sense of </w:t>
      </w:r>
      <w:r>
        <w:rPr>
          <w:bCs/>
          <w:szCs w:val="25"/>
        </w:rPr>
        <w:t>“</w:t>
      </w:r>
      <w:r w:rsidRPr="00C22B32">
        <w:rPr>
          <w:bCs/>
          <w:szCs w:val="25"/>
        </w:rPr>
        <w:t xml:space="preserve">to despair” can only be </w:t>
      </w:r>
      <w:proofErr w:type="spellStart"/>
      <w:r w:rsidRPr="00C22B32">
        <w:rPr>
          <w:bCs/>
          <w:i/>
          <w:iCs/>
          <w:szCs w:val="44"/>
        </w:rPr>
        <w:t>s</w:t>
      </w:r>
      <w:r w:rsidRPr="009B4621">
        <w:rPr>
          <w:i/>
          <w:iCs/>
        </w:rPr>
        <w:fldChar w:fldCharType="begin"/>
      </w:r>
      <w:r w:rsidRPr="009B4621">
        <w:rPr>
          <w:i/>
          <w:iCs/>
        </w:rPr>
        <w:instrText xml:space="preserve"> eq p\d\ba4()\s\down4(.)</w:instrText>
      </w:r>
      <w:r w:rsidRPr="009B4621">
        <w:rPr>
          <w:i/>
          <w:iCs/>
        </w:rPr>
        <w:fldChar w:fldCharType="end"/>
      </w:r>
      <w:r>
        <w:rPr>
          <w:bCs/>
          <w:i/>
          <w:iCs/>
          <w:szCs w:val="44"/>
        </w:rPr>
        <w:t>k</w:t>
      </w:r>
      <w:proofErr w:type="spellEnd"/>
      <w:r w:rsidRPr="00C22B32">
        <w:rPr>
          <w:bCs/>
          <w:iCs/>
          <w:szCs w:val="44"/>
        </w:rPr>
        <w:t>, “</w:t>
      </w:r>
      <w:r w:rsidRPr="00C22B32">
        <w:rPr>
          <w:bCs/>
          <w:szCs w:val="25"/>
        </w:rPr>
        <w:t>to doubt</w:t>
      </w:r>
      <w:r w:rsidRPr="00C22B32">
        <w:rPr>
          <w:bCs/>
          <w:iCs/>
          <w:szCs w:val="25"/>
        </w:rPr>
        <w:t xml:space="preserve">, </w:t>
      </w:r>
      <w:r w:rsidRPr="00C22B32">
        <w:rPr>
          <w:bCs/>
          <w:szCs w:val="25"/>
        </w:rPr>
        <w:t xml:space="preserve">to raise doubt” (in </w:t>
      </w:r>
      <w:proofErr w:type="spellStart"/>
      <w:r w:rsidRPr="00C22B32">
        <w:rPr>
          <w:bCs/>
          <w:szCs w:val="25"/>
        </w:rPr>
        <w:t>pu</w:t>
      </w:r>
      <w:r>
        <w:rPr>
          <w:bCs/>
          <w:szCs w:val="25"/>
        </w:rPr>
        <w:t>`</w:t>
      </w:r>
      <w:r w:rsidRPr="00C22B32">
        <w:rPr>
          <w:bCs/>
          <w:szCs w:val="25"/>
        </w:rPr>
        <w:t>al</w:t>
      </w:r>
      <w:proofErr w:type="spellEnd"/>
      <w:r w:rsidRPr="00C22B32">
        <w:rPr>
          <w:bCs/>
          <w:szCs w:val="25"/>
        </w:rPr>
        <w:t>)</w:t>
      </w:r>
      <w:r w:rsidRPr="00C22B32">
        <w:rPr>
          <w:bCs/>
          <w:iCs/>
          <w:szCs w:val="25"/>
        </w:rPr>
        <w:t xml:space="preserve">, </w:t>
      </w:r>
      <w:r w:rsidRPr="00C22B32">
        <w:rPr>
          <w:bCs/>
          <w:szCs w:val="25"/>
        </w:rPr>
        <w:t xml:space="preserve">or </w:t>
      </w:r>
      <w:r>
        <w:rPr>
          <w:bCs/>
          <w:szCs w:val="25"/>
        </w:rPr>
        <w:t>“</w:t>
      </w:r>
      <w:r w:rsidRPr="00C22B32">
        <w:rPr>
          <w:bCs/>
          <w:szCs w:val="25"/>
        </w:rPr>
        <w:t xml:space="preserve">to clap (one’s hands)” (in </w:t>
      </w:r>
      <w:proofErr w:type="spellStart"/>
      <w:r w:rsidRPr="00C22B32">
        <w:rPr>
          <w:bCs/>
          <w:szCs w:val="25"/>
        </w:rPr>
        <w:t>pu</w:t>
      </w:r>
      <w:r>
        <w:rPr>
          <w:bCs/>
          <w:szCs w:val="25"/>
        </w:rPr>
        <w:t>`</w:t>
      </w:r>
      <w:r w:rsidRPr="00C22B32">
        <w:rPr>
          <w:bCs/>
          <w:szCs w:val="25"/>
        </w:rPr>
        <w:t>al</w:t>
      </w:r>
      <w:proofErr w:type="spellEnd"/>
      <w:r w:rsidRPr="00C22B32">
        <w:rPr>
          <w:bCs/>
          <w:szCs w:val="25"/>
        </w:rPr>
        <w:t xml:space="preserve"> and</w:t>
      </w:r>
      <w:r>
        <w:rPr>
          <w:bCs/>
          <w:szCs w:val="25"/>
        </w:rPr>
        <w:t xml:space="preserve"> </w:t>
      </w:r>
      <w:proofErr w:type="spellStart"/>
      <w:r w:rsidRPr="00C22B32">
        <w:rPr>
          <w:bCs/>
          <w:szCs w:val="25"/>
        </w:rPr>
        <w:t>pi</w:t>
      </w:r>
      <w:r>
        <w:rPr>
          <w:bCs/>
          <w:szCs w:val="25"/>
        </w:rPr>
        <w:t>`</w:t>
      </w:r>
      <w:r w:rsidRPr="00C22B32">
        <w:rPr>
          <w:bCs/>
          <w:szCs w:val="25"/>
        </w:rPr>
        <w:t>el</w:t>
      </w:r>
      <w:proofErr w:type="spellEnd"/>
      <w:r w:rsidRPr="00C22B32">
        <w:rPr>
          <w:bCs/>
          <w:szCs w:val="25"/>
        </w:rPr>
        <w:t xml:space="preserve">). Whoever translated this word into Greek </w:t>
      </w:r>
      <w:r>
        <w:rPr>
          <w:bCs/>
          <w:szCs w:val="25"/>
        </w:rPr>
        <w:t xml:space="preserve">so that it </w:t>
      </w:r>
      <w:proofErr w:type="spellStart"/>
      <w:r>
        <w:rPr>
          <w:bCs/>
          <w:szCs w:val="25"/>
        </w:rPr>
        <w:t>nded</w:t>
      </w:r>
      <w:proofErr w:type="spellEnd"/>
      <w:r>
        <w:rPr>
          <w:bCs/>
          <w:szCs w:val="25"/>
        </w:rPr>
        <w:t xml:space="preserve"> up </w:t>
      </w:r>
      <w:r w:rsidRPr="00C22B32">
        <w:rPr>
          <w:bCs/>
          <w:szCs w:val="25"/>
        </w:rPr>
        <w:t>in Luke 6:35</w:t>
      </w:r>
      <w:r w:rsidRPr="00C22B32">
        <w:rPr>
          <w:bCs/>
          <w:iCs/>
          <w:szCs w:val="25"/>
        </w:rPr>
        <w:t xml:space="preserve">, </w:t>
      </w:r>
      <w:r w:rsidRPr="00C22B32">
        <w:rPr>
          <w:bCs/>
          <w:szCs w:val="25"/>
        </w:rPr>
        <w:t>says Schwarz</w:t>
      </w:r>
      <w:r w:rsidRPr="00C22B32">
        <w:rPr>
          <w:bCs/>
          <w:iCs/>
          <w:szCs w:val="25"/>
        </w:rPr>
        <w:t xml:space="preserve">, </w:t>
      </w:r>
      <w:r w:rsidRPr="00C22B32">
        <w:rPr>
          <w:bCs/>
          <w:szCs w:val="25"/>
        </w:rPr>
        <w:t>took</w:t>
      </w:r>
      <w:r>
        <w:rPr>
          <w:bCs/>
          <w:szCs w:val="25"/>
        </w:rPr>
        <w:t xml:space="preserve"> </w:t>
      </w:r>
      <w:r w:rsidRPr="00C22B32">
        <w:rPr>
          <w:bCs/>
          <w:szCs w:val="25"/>
        </w:rPr>
        <w:t xml:space="preserve">it to mean </w:t>
      </w:r>
      <w:r>
        <w:rPr>
          <w:bCs/>
          <w:szCs w:val="25"/>
        </w:rPr>
        <w:t>“</w:t>
      </w:r>
      <w:r w:rsidRPr="00C22B32">
        <w:rPr>
          <w:bCs/>
          <w:szCs w:val="25"/>
        </w:rPr>
        <w:t xml:space="preserve">to doubt.” But </w:t>
      </w:r>
      <w:r>
        <w:rPr>
          <w:bCs/>
          <w:szCs w:val="25"/>
        </w:rPr>
        <w:t>“</w:t>
      </w:r>
      <w:r w:rsidRPr="00C22B32">
        <w:rPr>
          <w:bCs/>
          <w:szCs w:val="25"/>
        </w:rPr>
        <w:t xml:space="preserve">to clap” makes more sense. Gestures </w:t>
      </w:r>
      <w:r>
        <w:rPr>
          <w:bCs/>
          <w:szCs w:val="25"/>
        </w:rPr>
        <w:t>we</w:t>
      </w:r>
      <w:r w:rsidRPr="00C22B32">
        <w:rPr>
          <w:bCs/>
          <w:szCs w:val="25"/>
        </w:rPr>
        <w:t xml:space="preserve">re livelier in the </w:t>
      </w:r>
      <w:r>
        <w:rPr>
          <w:bCs/>
          <w:szCs w:val="25"/>
        </w:rPr>
        <w:t xml:space="preserve">ancient </w:t>
      </w:r>
      <w:r w:rsidRPr="00C22B32">
        <w:rPr>
          <w:bCs/>
          <w:szCs w:val="25"/>
        </w:rPr>
        <w:t xml:space="preserve">Orient than in the </w:t>
      </w:r>
      <w:r>
        <w:rPr>
          <w:bCs/>
          <w:szCs w:val="25"/>
        </w:rPr>
        <w:t xml:space="preserve">modern </w:t>
      </w:r>
      <w:r w:rsidRPr="00C22B32">
        <w:rPr>
          <w:bCs/>
          <w:szCs w:val="25"/>
        </w:rPr>
        <w:t>West</w:t>
      </w:r>
      <w:r>
        <w:rPr>
          <w:bCs/>
          <w:szCs w:val="25"/>
        </w:rPr>
        <w:t>.</w:t>
      </w:r>
      <w:r w:rsidRPr="00C22B32">
        <w:rPr>
          <w:bCs/>
          <w:szCs w:val="25"/>
        </w:rPr>
        <w:t xml:space="preserve"> In the Old Testament</w:t>
      </w:r>
      <w:r w:rsidRPr="00C22B32">
        <w:rPr>
          <w:bCs/>
          <w:iCs/>
          <w:szCs w:val="25"/>
        </w:rPr>
        <w:t xml:space="preserve">, </w:t>
      </w:r>
      <w:r w:rsidRPr="00C22B32">
        <w:rPr>
          <w:bCs/>
          <w:szCs w:val="25"/>
        </w:rPr>
        <w:t>for example</w:t>
      </w:r>
      <w:r w:rsidRPr="00C22B32">
        <w:rPr>
          <w:bCs/>
          <w:iCs/>
          <w:szCs w:val="25"/>
        </w:rPr>
        <w:t xml:space="preserve">, </w:t>
      </w:r>
      <w:r>
        <w:rPr>
          <w:bCs/>
          <w:szCs w:val="25"/>
        </w:rPr>
        <w:t>“</w:t>
      </w:r>
      <w:r w:rsidRPr="00C22B32">
        <w:rPr>
          <w:bCs/>
          <w:szCs w:val="25"/>
        </w:rPr>
        <w:t>to clap one’s hands</w:t>
      </w:r>
      <w:r>
        <w:rPr>
          <w:bCs/>
          <w:szCs w:val="25"/>
        </w:rPr>
        <w:t>”</w:t>
      </w:r>
      <w:r w:rsidRPr="00C22B32">
        <w:rPr>
          <w:bCs/>
          <w:szCs w:val="25"/>
        </w:rPr>
        <w:t xml:space="preserve"> </w:t>
      </w:r>
      <w:r>
        <w:rPr>
          <w:bCs/>
          <w:szCs w:val="25"/>
        </w:rPr>
        <w:t xml:space="preserve">could </w:t>
      </w:r>
      <w:r w:rsidRPr="00C22B32">
        <w:rPr>
          <w:bCs/>
          <w:szCs w:val="25"/>
        </w:rPr>
        <w:t>indicate joy (2 Kgs 11:12; Ps 47:2; 98:8; Isa 55:12)</w:t>
      </w:r>
      <w:r w:rsidRPr="00C22B32">
        <w:rPr>
          <w:bCs/>
          <w:iCs/>
          <w:szCs w:val="25"/>
        </w:rPr>
        <w:t xml:space="preserve">, </w:t>
      </w:r>
      <w:r w:rsidRPr="00C22B32">
        <w:rPr>
          <w:bCs/>
          <w:szCs w:val="25"/>
        </w:rPr>
        <w:t xml:space="preserve">gloating (Lam 2:15; </w:t>
      </w:r>
      <w:proofErr w:type="spellStart"/>
      <w:r w:rsidRPr="00C22B32">
        <w:rPr>
          <w:bCs/>
          <w:szCs w:val="25"/>
        </w:rPr>
        <w:t>Ezek</w:t>
      </w:r>
      <w:proofErr w:type="spellEnd"/>
      <w:r w:rsidRPr="00C22B32">
        <w:rPr>
          <w:bCs/>
          <w:szCs w:val="25"/>
        </w:rPr>
        <w:t xml:space="preserve"> 25:6; Nah 3:19)</w:t>
      </w:r>
      <w:r w:rsidRPr="00C22B32">
        <w:rPr>
          <w:bCs/>
          <w:iCs/>
          <w:szCs w:val="25"/>
        </w:rPr>
        <w:t xml:space="preserve">, </w:t>
      </w:r>
      <w:r w:rsidRPr="00C22B32">
        <w:rPr>
          <w:bCs/>
          <w:szCs w:val="25"/>
        </w:rPr>
        <w:t xml:space="preserve">refusing to give (Job 27:23; </w:t>
      </w:r>
      <w:proofErr w:type="spellStart"/>
      <w:r w:rsidRPr="00C22B32">
        <w:rPr>
          <w:bCs/>
          <w:szCs w:val="25"/>
        </w:rPr>
        <w:t>Ezek</w:t>
      </w:r>
      <w:proofErr w:type="spellEnd"/>
      <w:r w:rsidRPr="00C22B32">
        <w:rPr>
          <w:bCs/>
          <w:szCs w:val="25"/>
        </w:rPr>
        <w:t xml:space="preserve"> 6:11; 21:19)</w:t>
      </w:r>
      <w:r w:rsidRPr="00C22B32">
        <w:rPr>
          <w:bCs/>
          <w:iCs/>
          <w:szCs w:val="25"/>
        </w:rPr>
        <w:t xml:space="preserve">, </w:t>
      </w:r>
      <w:r w:rsidRPr="00C22B32">
        <w:rPr>
          <w:bCs/>
          <w:szCs w:val="25"/>
        </w:rPr>
        <w:t>or anger (Num 24:10</w:t>
      </w:r>
      <w:r w:rsidRPr="00C22B32">
        <w:rPr>
          <w:bCs/>
          <w:iCs/>
          <w:szCs w:val="25"/>
        </w:rPr>
        <w:t xml:space="preserve">, </w:t>
      </w:r>
      <w:proofErr w:type="spellStart"/>
      <w:r w:rsidRPr="00C22B32">
        <w:rPr>
          <w:bCs/>
          <w:szCs w:val="25"/>
        </w:rPr>
        <w:t>Ezek</w:t>
      </w:r>
      <w:proofErr w:type="spellEnd"/>
      <w:r w:rsidRPr="00C22B32">
        <w:rPr>
          <w:bCs/>
          <w:szCs w:val="25"/>
        </w:rPr>
        <w:t xml:space="preserve"> 21:22). The context in Luke 6:35 gives to the gesture of clapping the meaning</w:t>
      </w:r>
      <w:r w:rsidRPr="00C22B32">
        <w:rPr>
          <w:bCs/>
          <w:iCs/>
          <w:szCs w:val="25"/>
        </w:rPr>
        <w:t>, “</w:t>
      </w:r>
      <w:r w:rsidRPr="00C22B32">
        <w:rPr>
          <w:bCs/>
          <w:szCs w:val="25"/>
        </w:rPr>
        <w:t xml:space="preserve">refusing to give.” Thus the translator of the Aramaic of Luke 6:35 (1) not only took </w:t>
      </w:r>
      <w:proofErr w:type="spellStart"/>
      <w:r w:rsidRPr="00C22B32">
        <w:rPr>
          <w:bCs/>
          <w:i/>
          <w:iCs/>
          <w:szCs w:val="44"/>
        </w:rPr>
        <w:t>s</w:t>
      </w:r>
      <w:r w:rsidRPr="009B4621">
        <w:rPr>
          <w:i/>
          <w:iCs/>
        </w:rPr>
        <w:fldChar w:fldCharType="begin"/>
      </w:r>
      <w:r w:rsidRPr="009B4621">
        <w:rPr>
          <w:i/>
          <w:iCs/>
        </w:rPr>
        <w:instrText xml:space="preserve"> eq p\d\ba4()\s\down4(.)</w:instrText>
      </w:r>
      <w:r w:rsidRPr="009B4621">
        <w:rPr>
          <w:i/>
          <w:iCs/>
        </w:rPr>
        <w:fldChar w:fldCharType="end"/>
      </w:r>
      <w:r>
        <w:rPr>
          <w:bCs/>
          <w:i/>
          <w:iCs/>
          <w:szCs w:val="44"/>
        </w:rPr>
        <w:t>k</w:t>
      </w:r>
      <w:proofErr w:type="spellEnd"/>
      <w:r>
        <w:rPr>
          <w:bCs/>
          <w:iCs/>
          <w:szCs w:val="44"/>
        </w:rPr>
        <w:t xml:space="preserve"> </w:t>
      </w:r>
      <w:r w:rsidRPr="00C22B32">
        <w:rPr>
          <w:bCs/>
          <w:szCs w:val="25"/>
        </w:rPr>
        <w:t xml:space="preserve">to mean </w:t>
      </w:r>
      <w:r>
        <w:rPr>
          <w:bCs/>
          <w:szCs w:val="25"/>
        </w:rPr>
        <w:t>“</w:t>
      </w:r>
      <w:r w:rsidRPr="00C22B32">
        <w:rPr>
          <w:bCs/>
          <w:szCs w:val="25"/>
        </w:rPr>
        <w:t>to doubt,” but (2) changed the imperative (</w:t>
      </w:r>
      <w:r w:rsidRPr="00CE06CA">
        <w:rPr>
          <w:bCs/>
          <w:szCs w:val="22"/>
          <w:lang w:val="el-GR"/>
        </w:rPr>
        <w:t>ἀπελπίζ</w:t>
      </w:r>
      <w:proofErr w:type="spellStart"/>
      <w:r>
        <w:rPr>
          <w:szCs w:val="22"/>
          <w:lang w:bidi="he-IL"/>
        </w:rPr>
        <w:t>ετε</w:t>
      </w:r>
      <w:proofErr w:type="spellEnd"/>
      <w:r w:rsidRPr="00C22B32">
        <w:rPr>
          <w:bCs/>
          <w:szCs w:val="25"/>
        </w:rPr>
        <w:t>) to a participle (</w:t>
      </w:r>
      <w:r>
        <w:rPr>
          <w:bCs/>
          <w:szCs w:val="22"/>
          <w:lang w:val="el-GR"/>
        </w:rPr>
        <w:t>ἀπελπίζοντες</w:t>
      </w:r>
      <w:r w:rsidRPr="00C22B32">
        <w:rPr>
          <w:bCs/>
          <w:szCs w:val="25"/>
        </w:rPr>
        <w:t>) and (3) changed</w:t>
      </w:r>
      <w:r>
        <w:rPr>
          <w:bCs/>
          <w:szCs w:val="25"/>
        </w:rPr>
        <w:t xml:space="preserve"> </w:t>
      </w:r>
      <w:proofErr w:type="spellStart"/>
      <w:r>
        <w:rPr>
          <w:bCs/>
          <w:szCs w:val="25"/>
        </w:rPr>
        <w:t>μηδέ</w:t>
      </w:r>
      <w:proofErr w:type="spellEnd"/>
      <w:r>
        <w:rPr>
          <w:bCs/>
          <w:szCs w:val="25"/>
        </w:rPr>
        <w:t xml:space="preserve"> </w:t>
      </w:r>
      <w:r w:rsidRPr="00C22B32">
        <w:rPr>
          <w:bCs/>
          <w:szCs w:val="25"/>
        </w:rPr>
        <w:lastRenderedPageBreak/>
        <w:t xml:space="preserve">(“and not”) to </w:t>
      </w:r>
      <w:proofErr w:type="spellStart"/>
      <w:r>
        <w:rPr>
          <w:bCs/>
          <w:szCs w:val="25"/>
        </w:rPr>
        <w:t>to</w:t>
      </w:r>
      <w:proofErr w:type="spellEnd"/>
      <w:r>
        <w:rPr>
          <w:bCs/>
          <w:szCs w:val="25"/>
        </w:rPr>
        <w:t xml:space="preserve"> </w:t>
      </w:r>
      <w:proofErr w:type="spellStart"/>
      <w:r>
        <w:rPr>
          <w:bCs/>
          <w:szCs w:val="25"/>
        </w:rPr>
        <w:t>μηδέν</w:t>
      </w:r>
      <w:proofErr w:type="spellEnd"/>
      <w:r w:rsidRPr="00C22B32">
        <w:rPr>
          <w:bCs/>
          <w:szCs w:val="25"/>
        </w:rPr>
        <w:t xml:space="preserve"> (</w:t>
      </w:r>
      <w:r>
        <w:rPr>
          <w:bCs/>
          <w:szCs w:val="25"/>
        </w:rPr>
        <w:t>“</w:t>
      </w:r>
      <w:r w:rsidRPr="00C22B32">
        <w:rPr>
          <w:bCs/>
          <w:szCs w:val="25"/>
        </w:rPr>
        <w:t xml:space="preserve">no one,” </w:t>
      </w:r>
      <w:r>
        <w:rPr>
          <w:bCs/>
          <w:szCs w:val="25"/>
        </w:rPr>
        <w:t>“</w:t>
      </w:r>
      <w:r w:rsidRPr="00C22B32">
        <w:rPr>
          <w:bCs/>
          <w:szCs w:val="25"/>
        </w:rPr>
        <w:t>none</w:t>
      </w:r>
      <w:r>
        <w:rPr>
          <w:bCs/>
          <w:szCs w:val="25"/>
        </w:rPr>
        <w:t>”</w:t>
      </w:r>
      <w:r w:rsidRPr="00C22B32">
        <w:rPr>
          <w:bCs/>
          <w:szCs w:val="25"/>
        </w:rPr>
        <w:t>)</w:t>
      </w:r>
      <w:r>
        <w:rPr>
          <w:bCs/>
          <w:szCs w:val="25"/>
        </w:rPr>
        <w:t>.</w:t>
      </w:r>
      <w:r>
        <w:rPr>
          <w:rStyle w:val="FootnoteReference"/>
          <w:bCs/>
          <w:szCs w:val="25"/>
        </w:rPr>
        <w:footnoteReference w:id="899"/>
      </w:r>
      <w:r w:rsidRPr="00671DEF">
        <w:rPr>
          <w:bCs/>
          <w:iCs/>
          <w:szCs w:val="25"/>
        </w:rPr>
        <w:t xml:space="preserve"> </w:t>
      </w:r>
      <w:r w:rsidRPr="00C22B32">
        <w:rPr>
          <w:bCs/>
          <w:szCs w:val="25"/>
        </w:rPr>
        <w:t>Luke 6:35 should have been translated: “Lend</w:t>
      </w:r>
      <w:r w:rsidRPr="00C22B32">
        <w:rPr>
          <w:bCs/>
          <w:iCs/>
          <w:szCs w:val="25"/>
        </w:rPr>
        <w:t xml:space="preserve">, </w:t>
      </w:r>
      <w:r w:rsidRPr="00C22B32">
        <w:rPr>
          <w:bCs/>
          <w:szCs w:val="25"/>
        </w:rPr>
        <w:t xml:space="preserve">and do not refuse to give.” If </w:t>
      </w:r>
      <w:r>
        <w:rPr>
          <w:bCs/>
          <w:szCs w:val="25"/>
        </w:rPr>
        <w:t>δα</w:t>
      </w:r>
      <w:proofErr w:type="spellStart"/>
      <w:r>
        <w:rPr>
          <w:bCs/>
          <w:szCs w:val="25"/>
        </w:rPr>
        <w:t>νίζειν</w:t>
      </w:r>
      <w:proofErr w:type="spellEnd"/>
      <w:r w:rsidRPr="00C22B32">
        <w:rPr>
          <w:bCs/>
        </w:rPr>
        <w:t xml:space="preserve"> </w:t>
      </w:r>
      <w:r w:rsidRPr="00C22B32">
        <w:rPr>
          <w:bCs/>
          <w:szCs w:val="25"/>
        </w:rPr>
        <w:t xml:space="preserve">also goes back to a nuance of </w:t>
      </w:r>
      <w:proofErr w:type="spellStart"/>
      <w:r w:rsidRPr="00C22B32">
        <w:rPr>
          <w:bCs/>
          <w:i/>
          <w:iCs/>
          <w:szCs w:val="44"/>
        </w:rPr>
        <w:t>s</w:t>
      </w:r>
      <w:r w:rsidRPr="009B4621">
        <w:rPr>
          <w:i/>
          <w:iCs/>
        </w:rPr>
        <w:fldChar w:fldCharType="begin"/>
      </w:r>
      <w:r w:rsidRPr="009B4621">
        <w:rPr>
          <w:i/>
          <w:iCs/>
        </w:rPr>
        <w:instrText xml:space="preserve"> eq p\d\ba4()\s\down4(.)</w:instrText>
      </w:r>
      <w:r w:rsidRPr="009B4621">
        <w:rPr>
          <w:i/>
          <w:iCs/>
        </w:rPr>
        <w:fldChar w:fldCharType="end"/>
      </w:r>
      <w:r>
        <w:rPr>
          <w:bCs/>
          <w:i/>
          <w:iCs/>
          <w:szCs w:val="44"/>
        </w:rPr>
        <w:t>k</w:t>
      </w:r>
      <w:proofErr w:type="spellEnd"/>
      <w:r w:rsidRPr="00C22B32">
        <w:rPr>
          <w:bCs/>
          <w:iCs/>
          <w:szCs w:val="44"/>
        </w:rPr>
        <w:t>,</w:t>
      </w:r>
      <w:r w:rsidRPr="00C22B32">
        <w:rPr>
          <w:bCs/>
          <w:iCs/>
          <w:szCs w:val="31"/>
        </w:rPr>
        <w:t xml:space="preserve"> </w:t>
      </w:r>
      <w:r w:rsidRPr="00C22B32">
        <w:rPr>
          <w:bCs/>
          <w:szCs w:val="25"/>
        </w:rPr>
        <w:t>then perhaps the Aramaic original said: “Hand it over and do not clutch it [refusing to give it].</w:t>
      </w:r>
      <w:r>
        <w:rPr>
          <w:bCs/>
          <w:szCs w:val="25"/>
        </w:rPr>
        <w:t>”</w:t>
      </w:r>
      <w:r>
        <w:rPr>
          <w:rStyle w:val="FootnoteReference"/>
          <w:bCs/>
          <w:szCs w:val="25"/>
        </w:rPr>
        <w:footnoteReference w:id="900"/>
      </w:r>
    </w:p>
    <w:p w14:paraId="35EA3A4F" w14:textId="77777777" w:rsidR="00B47A48" w:rsidRDefault="00B47A48" w:rsidP="00B47A48">
      <w:pPr>
        <w:pStyle w:val="Style"/>
        <w:widowControl/>
        <w:jc w:val="both"/>
        <w:textAlignment w:val="baseline"/>
        <w:rPr>
          <w:bCs/>
          <w:szCs w:val="25"/>
        </w:rPr>
      </w:pPr>
    </w:p>
    <w:p w14:paraId="75CBB426" w14:textId="77777777" w:rsidR="00B47A48" w:rsidRPr="00C22B32" w:rsidRDefault="00B47A48" w:rsidP="00B47A48">
      <w:pPr>
        <w:pStyle w:val="Style"/>
        <w:widowControl/>
        <w:ind w:left="720" w:right="720"/>
        <w:jc w:val="both"/>
        <w:textAlignment w:val="baseline"/>
        <w:rPr>
          <w:bCs/>
          <w:szCs w:val="2"/>
          <w:vertAlign w:val="superscript"/>
        </w:rPr>
      </w:pPr>
      <w:r w:rsidRPr="00C22B32">
        <w:rPr>
          <w:bCs/>
          <w:szCs w:val="25"/>
        </w:rPr>
        <w:t xml:space="preserve">This gesture </w:t>
      </w:r>
      <w:r w:rsidRPr="001C646B">
        <w:rPr>
          <w:bCs/>
          <w:iCs/>
          <w:szCs w:val="25"/>
        </w:rPr>
        <w:t>[</w:t>
      </w:r>
      <w:r w:rsidRPr="00C22B32">
        <w:rPr>
          <w:bCs/>
          <w:szCs w:val="25"/>
        </w:rPr>
        <w:t>clapping the hands] can become a downright ritual in oriental countries</w:t>
      </w:r>
      <w:r w:rsidRPr="00C22B32">
        <w:rPr>
          <w:bCs/>
          <w:iCs/>
          <w:szCs w:val="25"/>
        </w:rPr>
        <w:t xml:space="preserve">, </w:t>
      </w:r>
      <w:r w:rsidRPr="00C22B32">
        <w:rPr>
          <w:bCs/>
          <w:szCs w:val="25"/>
        </w:rPr>
        <w:t>as experience teaches: not so much in order to humble the petitioner as to let him feel the (real) might and superiority [of the petitioned]. And with this saying [Luke 6:35] Jesus truly wanted to work against this practice; there was in it</w:t>
      </w:r>
      <w:r w:rsidRPr="00C22B32">
        <w:rPr>
          <w:bCs/>
          <w:iCs/>
          <w:szCs w:val="25"/>
        </w:rPr>
        <w:t xml:space="preserve">, </w:t>
      </w:r>
      <w:r w:rsidRPr="00C22B32">
        <w:rPr>
          <w:bCs/>
          <w:szCs w:val="25"/>
        </w:rPr>
        <w:t>as always in [his similar] sayings</w:t>
      </w:r>
      <w:r w:rsidRPr="00C22B32">
        <w:rPr>
          <w:bCs/>
          <w:iCs/>
          <w:szCs w:val="25"/>
        </w:rPr>
        <w:t xml:space="preserve">, </w:t>
      </w:r>
      <w:r w:rsidRPr="00C22B32">
        <w:rPr>
          <w:bCs/>
          <w:szCs w:val="25"/>
        </w:rPr>
        <w:t>the self-importance of man.</w:t>
      </w:r>
      <w:r>
        <w:rPr>
          <w:rStyle w:val="FootnoteReference"/>
          <w:bCs/>
          <w:szCs w:val="25"/>
        </w:rPr>
        <w:footnoteReference w:id="901"/>
      </w:r>
    </w:p>
    <w:p w14:paraId="76CDC6F5" w14:textId="77777777" w:rsidR="00B47A48" w:rsidRDefault="00B47A48">
      <w:r>
        <w:br w:type="page"/>
      </w:r>
    </w:p>
    <w:p w14:paraId="4F569672" w14:textId="4F271D72" w:rsidR="00B47A48" w:rsidRDefault="00B47A48" w:rsidP="00B3722B">
      <w:pPr>
        <w:pStyle w:val="Heading1"/>
      </w:pPr>
      <w:r>
        <w:rPr>
          <w:sz w:val="22"/>
        </w:rPr>
        <w:lastRenderedPageBreak/>
        <w:fldChar w:fldCharType="begin"/>
      </w:r>
      <w:r>
        <w:instrText xml:space="preserve"> SEQ CHAPTER \h \r 1</w:instrText>
      </w:r>
      <w:r>
        <w:fldChar w:fldCharType="end"/>
      </w:r>
      <w:bookmarkStart w:id="104" w:name="_Toc147618661"/>
      <w:r w:rsidR="00B3722B">
        <w:t>Bibliography</w:t>
      </w:r>
      <w:bookmarkEnd w:id="104"/>
    </w:p>
    <w:p w14:paraId="47D66D8D" w14:textId="77777777" w:rsidR="00B47A48" w:rsidRDefault="00B47A48" w:rsidP="00B47A48">
      <w:pPr>
        <w:widowControl w:val="0"/>
      </w:pPr>
    </w:p>
    <w:p w14:paraId="37D5BC80" w14:textId="77777777" w:rsidR="00B8667C" w:rsidRDefault="00B8667C" w:rsidP="00B8667C">
      <w:bookmarkStart w:id="105" w:name="_Hlk146473142"/>
    </w:p>
    <w:p w14:paraId="6D5A3A40" w14:textId="31AF9436" w:rsidR="00B8667C" w:rsidRPr="00B3722B" w:rsidRDefault="00B8667C" w:rsidP="00B8667C">
      <w:pPr>
        <w:ind w:left="720" w:right="720"/>
        <w:rPr>
          <w:szCs w:val="32"/>
        </w:rPr>
      </w:pPr>
      <w:r w:rsidRPr="00B3722B">
        <w:rPr>
          <w:kern w:val="0"/>
          <w:szCs w:val="32"/>
        </w:rPr>
        <w:t>Scripture quotations</w:t>
      </w:r>
      <w:r w:rsidRPr="00B3722B">
        <w:rPr>
          <w:szCs w:val="32"/>
        </w:rPr>
        <w:t>,</w:t>
      </w:r>
      <w:r w:rsidRPr="00B3722B">
        <w:rPr>
          <w:kern w:val="0"/>
          <w:szCs w:val="32"/>
        </w:rPr>
        <w:t xml:space="preserve"> </w:t>
      </w:r>
      <w:r w:rsidRPr="00B3722B">
        <w:rPr>
          <w:szCs w:val="32"/>
        </w:rPr>
        <w:t xml:space="preserve">except </w:t>
      </w:r>
      <w:r w:rsidRPr="00B3722B">
        <w:rPr>
          <w:kern w:val="0"/>
          <w:szCs w:val="32"/>
        </w:rPr>
        <w:t>quotations from others</w:t>
      </w:r>
      <w:r w:rsidRPr="00B3722B">
        <w:rPr>
          <w:szCs w:val="32"/>
        </w:rPr>
        <w:t>,</w:t>
      </w:r>
      <w:r w:rsidRPr="00B3722B">
        <w:rPr>
          <w:kern w:val="0"/>
          <w:szCs w:val="32"/>
        </w:rPr>
        <w:t xml:space="preserve"> are from</w:t>
      </w:r>
      <w:r>
        <w:rPr>
          <w:szCs w:val="32"/>
        </w:rPr>
        <w:t xml:space="preserve"> </w:t>
      </w:r>
      <w:r w:rsidRPr="00B3722B">
        <w:rPr>
          <w:kern w:val="0"/>
          <w:szCs w:val="32"/>
        </w:rPr>
        <w:t>the New Revised Standard Version,</w:t>
      </w:r>
      <w:r w:rsidRPr="00B3722B">
        <w:rPr>
          <w:szCs w:val="32"/>
        </w:rPr>
        <w:t xml:space="preserve"> </w:t>
      </w:r>
      <w:r w:rsidRPr="00B3722B">
        <w:rPr>
          <w:kern w:val="0"/>
          <w:szCs w:val="32"/>
        </w:rPr>
        <w:t>unless indicated otherwise.</w:t>
      </w:r>
      <w:bookmarkEnd w:id="105"/>
    </w:p>
    <w:p w14:paraId="1CBD4876" w14:textId="77777777" w:rsidR="00B8667C" w:rsidRDefault="00B8667C" w:rsidP="00B47A48">
      <w:pPr>
        <w:widowControl w:val="0"/>
      </w:pPr>
    </w:p>
    <w:p w14:paraId="0D71F97A" w14:textId="77777777" w:rsidR="00B47A48" w:rsidRDefault="00B47A48" w:rsidP="00B47A48">
      <w:pPr>
        <w:widowControl w:val="0"/>
        <w:ind w:left="720" w:right="720"/>
      </w:pPr>
      <w:r>
        <w:t>The bibliography has two parts: works solely on Luke-Acts and others (243 below). Occasional annotations only extend publication data.</w:t>
      </w:r>
    </w:p>
    <w:p w14:paraId="077C053E" w14:textId="77777777" w:rsidR="00B47A48" w:rsidRDefault="00B47A48" w:rsidP="00B47A48">
      <w:pPr>
        <w:widowControl w:val="0"/>
      </w:pPr>
    </w:p>
    <w:p w14:paraId="01FE9AE8" w14:textId="77777777" w:rsidR="00B8667C" w:rsidRDefault="00B8667C" w:rsidP="00B47A48">
      <w:pPr>
        <w:widowControl w:val="0"/>
      </w:pPr>
    </w:p>
    <w:p w14:paraId="3BE1E1CF" w14:textId="77777777" w:rsidR="00B47A48" w:rsidRPr="00B3722B" w:rsidRDefault="00B47A48" w:rsidP="00B3722B">
      <w:pPr>
        <w:pStyle w:val="Heading2"/>
      </w:pPr>
      <w:bookmarkStart w:id="106" w:name="_Toc147618662"/>
      <w:r w:rsidRPr="00B3722B">
        <w:t>1. Works on Luke-Acts</w:t>
      </w:r>
      <w:bookmarkEnd w:id="106"/>
    </w:p>
    <w:p w14:paraId="1FFCE66F" w14:textId="77777777" w:rsidR="00B47A48" w:rsidRDefault="00B47A48" w:rsidP="00B47A48">
      <w:pPr>
        <w:widowControl w:val="0"/>
      </w:pPr>
    </w:p>
    <w:p w14:paraId="4420E97F" w14:textId="18138DD8" w:rsidR="00B47A48" w:rsidRPr="007D4C6B" w:rsidRDefault="00B47A48" w:rsidP="00B47A48">
      <w:pPr>
        <w:widowControl w:val="0"/>
        <w:ind w:left="720" w:hanging="720"/>
      </w:pPr>
      <w:r w:rsidRPr="007D4C6B">
        <w:t>Adeney</w:t>
      </w:r>
      <w:r w:rsidRPr="007D4C6B">
        <w:rPr>
          <w:iCs/>
        </w:rPr>
        <w:t xml:space="preserve">, </w:t>
      </w:r>
      <w:r w:rsidRPr="007D4C6B">
        <w:t xml:space="preserve">Walter F. </w:t>
      </w:r>
      <w:r w:rsidRPr="007D4C6B">
        <w:rPr>
          <w:i/>
        </w:rPr>
        <w:t>St</w:t>
      </w:r>
      <w:r w:rsidRPr="007D4C6B">
        <w:t xml:space="preserve">. </w:t>
      </w:r>
      <w:r w:rsidRPr="007D4C6B">
        <w:rPr>
          <w:i/>
        </w:rPr>
        <w:t>Luke</w:t>
      </w:r>
      <w:r w:rsidRPr="007D4C6B">
        <w:t>. Century Bible</w:t>
      </w:r>
      <w:r w:rsidRPr="007D4C6B">
        <w:rPr>
          <w:iCs/>
        </w:rPr>
        <w:t xml:space="preserve">, </w:t>
      </w:r>
      <w:r w:rsidRPr="007D4C6B">
        <w:t>gen. ed. Walter F. Adeney. Edinburgh: T. C. &amp; E. C. Jack</w:t>
      </w:r>
      <w:r w:rsidRPr="007D4C6B">
        <w:rPr>
          <w:iCs/>
        </w:rPr>
        <w:t xml:space="preserve">, </w:t>
      </w:r>
      <w:r w:rsidR="00457786" w:rsidRPr="00457786">
        <w:rPr>
          <w:iCs/>
        </w:rPr>
        <w:t>n.d.</w:t>
      </w:r>
    </w:p>
    <w:p w14:paraId="3DAA7751" w14:textId="77777777" w:rsidR="00B47A48" w:rsidRPr="00E5413C" w:rsidRDefault="00B47A48" w:rsidP="00B47A48">
      <w:pPr>
        <w:widowControl w:val="0"/>
        <w:ind w:left="720" w:hanging="720"/>
        <w:rPr>
          <w:lang w:val="fr-FR"/>
        </w:rPr>
      </w:pPr>
      <w:r w:rsidRPr="007D4C6B">
        <w:t>Antoniadis</w:t>
      </w:r>
      <w:r w:rsidRPr="007D4C6B">
        <w:rPr>
          <w:iCs/>
        </w:rPr>
        <w:t xml:space="preserve">, </w:t>
      </w:r>
      <w:r w:rsidRPr="007D4C6B">
        <w:t xml:space="preserve">Sophie. </w:t>
      </w:r>
      <w:r w:rsidRPr="00E5413C">
        <w:rPr>
          <w:i/>
          <w:lang w:val="fr-FR"/>
        </w:rPr>
        <w:t>L</w:t>
      </w:r>
      <w:r w:rsidRPr="00E5413C">
        <w:rPr>
          <w:lang w:val="fr-FR"/>
        </w:rPr>
        <w:t>’</w:t>
      </w:r>
      <w:r w:rsidRPr="00E5413C">
        <w:rPr>
          <w:i/>
          <w:lang w:val="fr-FR"/>
        </w:rPr>
        <w:t>Évangile de Luc</w:t>
      </w:r>
      <w:r w:rsidRPr="00E5413C">
        <w:rPr>
          <w:lang w:val="fr-FR"/>
        </w:rPr>
        <w:t xml:space="preserve">: </w:t>
      </w:r>
      <w:r w:rsidRPr="00E5413C">
        <w:rPr>
          <w:i/>
          <w:lang w:val="fr-FR"/>
        </w:rPr>
        <w:t>esquisse de grammaire et de style</w:t>
      </w:r>
      <w:r w:rsidRPr="00E5413C">
        <w:rPr>
          <w:lang w:val="fr-FR"/>
        </w:rPr>
        <w:t>. Collection de l’institut néo-hellénique 7. Paris: Société d’édition “les belles lettres,” 1930.</w:t>
      </w:r>
    </w:p>
    <w:p w14:paraId="4FB03185" w14:textId="35BC89C0" w:rsidR="00B47A48" w:rsidRPr="007D4C6B" w:rsidRDefault="00B47A48" w:rsidP="00B47A48">
      <w:pPr>
        <w:widowControl w:val="0"/>
        <w:ind w:left="720" w:hanging="720"/>
      </w:pPr>
      <w:r w:rsidRPr="007D4C6B">
        <w:t>Barclay</w:t>
      </w:r>
      <w:r w:rsidRPr="007D4C6B">
        <w:rPr>
          <w:iCs/>
        </w:rPr>
        <w:t xml:space="preserve">, </w:t>
      </w:r>
      <w:r w:rsidRPr="007D4C6B">
        <w:t xml:space="preserve">William. </w:t>
      </w:r>
      <w:r w:rsidRPr="007D4C6B">
        <w:rPr>
          <w:i/>
        </w:rPr>
        <w:t>The Gospel of Luke</w:t>
      </w:r>
      <w:r w:rsidRPr="007D4C6B">
        <w:t>. Edinburgh: Saint Andrew</w:t>
      </w:r>
      <w:r w:rsidRPr="007D4C6B">
        <w:rPr>
          <w:iCs/>
        </w:rPr>
        <w:t xml:space="preserve">, </w:t>
      </w:r>
      <w:r w:rsidRPr="007D4C6B">
        <w:t>1953</w:t>
      </w:r>
      <w:r w:rsidRPr="007D4C6B">
        <w:rPr>
          <w:iCs/>
        </w:rPr>
        <w:t xml:space="preserve">, </w:t>
      </w:r>
      <w:r w:rsidRPr="007D4C6B">
        <w:t>1956</w:t>
      </w:r>
      <w:r w:rsidRPr="007D4C6B">
        <w:rPr>
          <w:vertAlign w:val="superscript"/>
        </w:rPr>
        <w:t>2</w:t>
      </w:r>
      <w:r w:rsidRPr="007D4C6B">
        <w:t>; Philadelphia: Westminster</w:t>
      </w:r>
      <w:r w:rsidRPr="007D4C6B">
        <w:rPr>
          <w:iCs/>
        </w:rPr>
        <w:t xml:space="preserve">, </w:t>
      </w:r>
      <w:r w:rsidR="00457786" w:rsidRPr="00457786">
        <w:rPr>
          <w:iCs/>
        </w:rPr>
        <w:t>n.d.</w:t>
      </w:r>
    </w:p>
    <w:p w14:paraId="3568A604" w14:textId="77777777" w:rsidR="00B47A48" w:rsidRPr="007D4C6B" w:rsidRDefault="00B47A48" w:rsidP="00B47A48">
      <w:pPr>
        <w:widowControl w:val="0"/>
        <w:ind w:left="720" w:hanging="720"/>
      </w:pPr>
      <w:r w:rsidRPr="007D4C6B">
        <w:t>Barrett</w:t>
      </w:r>
      <w:r w:rsidRPr="007D4C6B">
        <w:rPr>
          <w:iCs/>
        </w:rPr>
        <w:t xml:space="preserve">, </w:t>
      </w:r>
      <w:r w:rsidRPr="007D4C6B">
        <w:t xml:space="preserve">Charles Kingsley. </w:t>
      </w:r>
      <w:r w:rsidRPr="007D4C6B">
        <w:rPr>
          <w:i/>
        </w:rPr>
        <w:t>Luke the Historian in Recent Study</w:t>
      </w:r>
      <w:r w:rsidRPr="007D4C6B">
        <w:t xml:space="preserve">. </w:t>
      </w:r>
      <w:r w:rsidRPr="002E050A">
        <w:rPr>
          <w:iCs/>
        </w:rPr>
        <w:t>A.S.</w:t>
      </w:r>
      <w:r w:rsidRPr="007D4C6B">
        <w:t xml:space="preserve"> Peake Memorial Lecture 6. London: Epworth</w:t>
      </w:r>
      <w:r w:rsidRPr="007D4C6B">
        <w:rPr>
          <w:iCs/>
        </w:rPr>
        <w:t xml:space="preserve">, </w:t>
      </w:r>
      <w:r w:rsidRPr="007D4C6B">
        <w:t>1961; new ed. with select bibliography in FBBS 24</w:t>
      </w:r>
      <w:r w:rsidRPr="007D4C6B">
        <w:rPr>
          <w:iCs/>
        </w:rPr>
        <w:t xml:space="preserve">, </w:t>
      </w:r>
      <w:r w:rsidRPr="007D4C6B">
        <w:t>Philadelphia: Fortress</w:t>
      </w:r>
      <w:r w:rsidRPr="007D4C6B">
        <w:rPr>
          <w:iCs/>
        </w:rPr>
        <w:t xml:space="preserve">, </w:t>
      </w:r>
      <w:r w:rsidRPr="007D4C6B">
        <w:t>1970.</w:t>
      </w:r>
    </w:p>
    <w:p w14:paraId="0AB5B41C" w14:textId="77777777" w:rsidR="00B47A48" w:rsidRPr="007D4C6B" w:rsidRDefault="00B47A48" w:rsidP="00B47A48">
      <w:pPr>
        <w:widowControl w:val="0"/>
        <w:ind w:left="720" w:hanging="720"/>
      </w:pPr>
      <w:r w:rsidRPr="007D4C6B">
        <w:t>Bartsch</w:t>
      </w:r>
      <w:r w:rsidRPr="007D4C6B">
        <w:rPr>
          <w:iCs/>
        </w:rPr>
        <w:t xml:space="preserve">, </w:t>
      </w:r>
      <w:r w:rsidRPr="007D4C6B">
        <w:t xml:space="preserve">Hans-Werner. </w:t>
      </w:r>
      <w:proofErr w:type="spellStart"/>
      <w:r w:rsidRPr="007D4C6B">
        <w:rPr>
          <w:i/>
        </w:rPr>
        <w:t>Wachet</w:t>
      </w:r>
      <w:proofErr w:type="spellEnd"/>
      <w:r w:rsidRPr="007D4C6B">
        <w:rPr>
          <w:i/>
        </w:rPr>
        <w:t xml:space="preserve"> </w:t>
      </w:r>
      <w:proofErr w:type="spellStart"/>
      <w:r w:rsidRPr="007D4C6B">
        <w:rPr>
          <w:i/>
        </w:rPr>
        <w:t>aber</w:t>
      </w:r>
      <w:proofErr w:type="spellEnd"/>
      <w:r w:rsidRPr="007D4C6B">
        <w:rPr>
          <w:i/>
        </w:rPr>
        <w:t xml:space="preserve"> </w:t>
      </w:r>
      <w:proofErr w:type="spellStart"/>
      <w:r w:rsidRPr="007D4C6B">
        <w:rPr>
          <w:i/>
        </w:rPr>
        <w:t>zu</w:t>
      </w:r>
      <w:proofErr w:type="spellEnd"/>
      <w:r w:rsidRPr="007D4C6B">
        <w:rPr>
          <w:i/>
        </w:rPr>
        <w:t xml:space="preserve"> </w:t>
      </w:r>
      <w:proofErr w:type="spellStart"/>
      <w:r w:rsidRPr="007D4C6B">
        <w:rPr>
          <w:i/>
        </w:rPr>
        <w:t>jeder</w:t>
      </w:r>
      <w:proofErr w:type="spellEnd"/>
      <w:r w:rsidRPr="007D4C6B">
        <w:rPr>
          <w:i/>
        </w:rPr>
        <w:t xml:space="preserve"> Zeit</w:t>
      </w:r>
      <w:r w:rsidRPr="002E050A">
        <w:rPr>
          <w:i/>
          <w:iCs/>
        </w:rPr>
        <w:t>!</w:t>
      </w:r>
      <w:r w:rsidRPr="007D4C6B">
        <w:t xml:space="preserve"> </w:t>
      </w:r>
      <w:proofErr w:type="spellStart"/>
      <w:r w:rsidRPr="007D4C6B">
        <w:rPr>
          <w:i/>
        </w:rPr>
        <w:t>Entwurf</w:t>
      </w:r>
      <w:proofErr w:type="spellEnd"/>
      <w:r w:rsidRPr="007D4C6B">
        <w:rPr>
          <w:i/>
        </w:rPr>
        <w:t xml:space="preserve"> </w:t>
      </w:r>
      <w:proofErr w:type="spellStart"/>
      <w:r w:rsidRPr="007D4C6B">
        <w:rPr>
          <w:i/>
        </w:rPr>
        <w:t>einer</w:t>
      </w:r>
      <w:proofErr w:type="spellEnd"/>
      <w:r w:rsidRPr="007D4C6B">
        <w:rPr>
          <w:i/>
        </w:rPr>
        <w:t xml:space="preserve"> </w:t>
      </w:r>
      <w:proofErr w:type="spellStart"/>
      <w:r w:rsidRPr="007D4C6B">
        <w:rPr>
          <w:i/>
        </w:rPr>
        <w:t>Auslegung</w:t>
      </w:r>
      <w:proofErr w:type="spellEnd"/>
      <w:r w:rsidRPr="007D4C6B">
        <w:rPr>
          <w:i/>
        </w:rPr>
        <w:t xml:space="preserve"> des </w:t>
      </w:r>
      <w:proofErr w:type="spellStart"/>
      <w:r w:rsidRPr="007D4C6B">
        <w:rPr>
          <w:i/>
        </w:rPr>
        <w:t>Lukasevangeliums</w:t>
      </w:r>
      <w:proofErr w:type="spellEnd"/>
      <w:r w:rsidRPr="007D4C6B">
        <w:t>. Hamburg-Bergstedt: Herbert Reich</w:t>
      </w:r>
      <w:r w:rsidRPr="007D4C6B">
        <w:rPr>
          <w:iCs/>
        </w:rPr>
        <w:t xml:space="preserve">, </w:t>
      </w:r>
      <w:r w:rsidRPr="007D4C6B">
        <w:t>1963.</w:t>
      </w:r>
    </w:p>
    <w:p w14:paraId="77CB42AD" w14:textId="77777777" w:rsidR="00B47A48" w:rsidRPr="007D4C6B" w:rsidRDefault="00B47A48" w:rsidP="00B47A48">
      <w:pPr>
        <w:widowControl w:val="0"/>
        <w:ind w:left="720" w:hanging="720"/>
      </w:pPr>
      <w:r w:rsidRPr="007D4C6B">
        <w:t>Bowie</w:t>
      </w:r>
      <w:r w:rsidRPr="007D4C6B">
        <w:rPr>
          <w:iCs/>
        </w:rPr>
        <w:t xml:space="preserve">, </w:t>
      </w:r>
      <w:r w:rsidRPr="007D4C6B">
        <w:t xml:space="preserve">Walter Russell. </w:t>
      </w:r>
      <w:r w:rsidRPr="007D4C6B">
        <w:rPr>
          <w:i/>
        </w:rPr>
        <w:t>The Compassionate Christ</w:t>
      </w:r>
      <w:r w:rsidRPr="007D4C6B">
        <w:t xml:space="preserve">: </w:t>
      </w:r>
      <w:r w:rsidRPr="007D4C6B">
        <w:rPr>
          <w:i/>
        </w:rPr>
        <w:t>Reflections from the Gospel of Luke</w:t>
      </w:r>
      <w:r w:rsidRPr="007D4C6B">
        <w:t>. New York: Abingdon</w:t>
      </w:r>
      <w:r w:rsidRPr="007D4C6B">
        <w:rPr>
          <w:iCs/>
        </w:rPr>
        <w:t xml:space="preserve">, </w:t>
      </w:r>
      <w:r w:rsidRPr="007D4C6B">
        <w:t>1965.</w:t>
      </w:r>
    </w:p>
    <w:p w14:paraId="4BC9E301" w14:textId="77777777" w:rsidR="00B47A48" w:rsidRPr="007D4C6B" w:rsidRDefault="00B47A48" w:rsidP="00B47A48">
      <w:pPr>
        <w:widowControl w:val="0"/>
        <w:ind w:left="720" w:hanging="720"/>
      </w:pPr>
      <w:r w:rsidRPr="007D4C6B">
        <w:t>Braumann</w:t>
      </w:r>
      <w:r w:rsidRPr="007D4C6B">
        <w:rPr>
          <w:iCs/>
        </w:rPr>
        <w:t xml:space="preserve">, </w:t>
      </w:r>
      <w:r w:rsidRPr="007D4C6B">
        <w:t>Georg</w:t>
      </w:r>
      <w:r w:rsidRPr="00DC3006">
        <w:rPr>
          <w:iCs/>
        </w:rPr>
        <w:t xml:space="preserve">. Ed. </w:t>
      </w:r>
      <w:r w:rsidRPr="007D4C6B">
        <w:rPr>
          <w:i/>
        </w:rPr>
        <w:t xml:space="preserve">Das </w:t>
      </w:r>
      <w:proofErr w:type="spellStart"/>
      <w:r w:rsidRPr="007D4C6B">
        <w:rPr>
          <w:i/>
        </w:rPr>
        <w:t>Lukasevangelium</w:t>
      </w:r>
      <w:proofErr w:type="spellEnd"/>
      <w:r w:rsidRPr="007D4C6B">
        <w:t xml:space="preserve">: </w:t>
      </w:r>
      <w:r w:rsidRPr="007D4C6B">
        <w:rPr>
          <w:i/>
        </w:rPr>
        <w:t xml:space="preserve">Die redactions- und </w:t>
      </w:r>
      <w:proofErr w:type="spellStart"/>
      <w:r w:rsidRPr="007D4C6B">
        <w:rPr>
          <w:i/>
        </w:rPr>
        <w:t>kompositionsgeschichtliche</w:t>
      </w:r>
      <w:proofErr w:type="spellEnd"/>
      <w:r w:rsidRPr="007D4C6B">
        <w:rPr>
          <w:i/>
        </w:rPr>
        <w:t xml:space="preserve"> Forschung</w:t>
      </w:r>
      <w:r w:rsidRPr="007D4C6B">
        <w:t xml:space="preserve">. Wege der Forschung 280. Darmstadt: </w:t>
      </w:r>
      <w:proofErr w:type="spellStart"/>
      <w:r w:rsidRPr="007D4C6B">
        <w:t>Wissenschaftliche</w:t>
      </w:r>
      <w:proofErr w:type="spellEnd"/>
      <w:r w:rsidRPr="007D4C6B">
        <w:t xml:space="preserve"> </w:t>
      </w:r>
      <w:proofErr w:type="spellStart"/>
      <w:r w:rsidRPr="007D4C6B">
        <w:t>Buchgesellschaft</w:t>
      </w:r>
      <w:proofErr w:type="spellEnd"/>
      <w:r w:rsidRPr="007D4C6B">
        <w:rPr>
          <w:iCs/>
        </w:rPr>
        <w:t xml:space="preserve">, </w:t>
      </w:r>
      <w:r w:rsidRPr="007D4C6B">
        <w:t>1974.</w:t>
      </w:r>
    </w:p>
    <w:p w14:paraId="1B167675" w14:textId="77777777" w:rsidR="00B47A48" w:rsidRPr="007D4C6B" w:rsidRDefault="00B47A48" w:rsidP="00B47A48">
      <w:pPr>
        <w:widowControl w:val="0"/>
        <w:ind w:left="720" w:hanging="720"/>
      </w:pPr>
      <w:r w:rsidRPr="007D4C6B">
        <w:t>Braumann</w:t>
      </w:r>
      <w:r w:rsidRPr="007D4C6B">
        <w:rPr>
          <w:iCs/>
        </w:rPr>
        <w:t xml:space="preserve">, </w:t>
      </w:r>
      <w:r w:rsidRPr="007D4C6B">
        <w:t xml:space="preserve">Georg. “Das Mittel der Zeit: </w:t>
      </w:r>
      <w:proofErr w:type="spellStart"/>
      <w:r w:rsidRPr="007D4C6B">
        <w:t>Erwägungen</w:t>
      </w:r>
      <w:proofErr w:type="spellEnd"/>
      <w:r w:rsidRPr="007D4C6B">
        <w:t xml:space="preserve"> </w:t>
      </w:r>
      <w:proofErr w:type="spellStart"/>
      <w:r w:rsidRPr="007D4C6B">
        <w:t>zur</w:t>
      </w:r>
      <w:proofErr w:type="spellEnd"/>
      <w:r w:rsidRPr="007D4C6B">
        <w:t xml:space="preserve"> </w:t>
      </w:r>
      <w:proofErr w:type="spellStart"/>
      <w:r w:rsidRPr="007D4C6B">
        <w:t>Theologie</w:t>
      </w:r>
      <w:proofErr w:type="spellEnd"/>
      <w:r w:rsidRPr="007D4C6B">
        <w:t xml:space="preserve"> des Lukas-</w:t>
      </w:r>
      <w:proofErr w:type="spellStart"/>
      <w:r w:rsidRPr="007D4C6B">
        <w:t>Evangeliums</w:t>
      </w:r>
      <w:proofErr w:type="spellEnd"/>
      <w:r w:rsidRPr="007D4C6B">
        <w:t xml:space="preserve">.” </w:t>
      </w:r>
      <w:proofErr w:type="spellStart"/>
      <w:r w:rsidRPr="00CA0334">
        <w:rPr>
          <w:i/>
          <w:iCs/>
        </w:rPr>
        <w:t>Zeitschrift</w:t>
      </w:r>
      <w:proofErr w:type="spellEnd"/>
      <w:r w:rsidRPr="00CA0334">
        <w:rPr>
          <w:i/>
          <w:iCs/>
        </w:rPr>
        <w:t xml:space="preserve"> für die </w:t>
      </w:r>
      <w:proofErr w:type="spellStart"/>
      <w:r w:rsidRPr="00CA0334">
        <w:rPr>
          <w:i/>
          <w:iCs/>
        </w:rPr>
        <w:t>neutestamentliche</w:t>
      </w:r>
      <w:proofErr w:type="spellEnd"/>
      <w:r w:rsidRPr="00CA0334">
        <w:rPr>
          <w:i/>
          <w:iCs/>
        </w:rPr>
        <w:t xml:space="preserve"> Wissenschaft</w:t>
      </w:r>
      <w:r w:rsidRPr="007D4C6B">
        <w:t xml:space="preserve"> 54 (1963) 117-145.</w:t>
      </w:r>
    </w:p>
    <w:p w14:paraId="47CB18DB" w14:textId="77777777" w:rsidR="00B47A48" w:rsidRPr="007D4C6B" w:rsidRDefault="00B47A48" w:rsidP="00B47A48">
      <w:pPr>
        <w:widowControl w:val="0"/>
        <w:ind w:left="720" w:hanging="720"/>
      </w:pPr>
      <w:r w:rsidRPr="007D4C6B">
        <w:t>Brown</w:t>
      </w:r>
      <w:r w:rsidRPr="007D4C6B">
        <w:rPr>
          <w:iCs/>
        </w:rPr>
        <w:t xml:space="preserve">, </w:t>
      </w:r>
      <w:r w:rsidRPr="007D4C6B">
        <w:t xml:space="preserve">Shuyler. </w:t>
      </w:r>
      <w:r w:rsidRPr="007D4C6B">
        <w:rPr>
          <w:i/>
        </w:rPr>
        <w:t>Apostasy and Perseverance in the Theology of Luke</w:t>
      </w:r>
      <w:r w:rsidRPr="007D4C6B">
        <w:t>. An</w:t>
      </w:r>
      <w:r>
        <w:t xml:space="preserve">alecta </w:t>
      </w:r>
      <w:r w:rsidRPr="007D4C6B">
        <w:t>Bib</w:t>
      </w:r>
      <w:r>
        <w:t>lica</w:t>
      </w:r>
      <w:r w:rsidRPr="007D4C6B">
        <w:t xml:space="preserve"> 36. Rome: Pontifical Biblical Institute</w:t>
      </w:r>
      <w:r w:rsidRPr="007D4C6B">
        <w:rPr>
          <w:iCs/>
        </w:rPr>
        <w:t xml:space="preserve">, </w:t>
      </w:r>
      <w:r w:rsidRPr="007D4C6B">
        <w:t>1969.</w:t>
      </w:r>
    </w:p>
    <w:p w14:paraId="558565CB" w14:textId="77777777" w:rsidR="00B47A48" w:rsidRPr="007D4C6B" w:rsidRDefault="00B47A48" w:rsidP="00B47A48">
      <w:pPr>
        <w:widowControl w:val="0"/>
        <w:ind w:left="720" w:hanging="720"/>
      </w:pPr>
      <w:r w:rsidRPr="007D4C6B">
        <w:t>Bruce</w:t>
      </w:r>
      <w:r w:rsidRPr="007D4C6B">
        <w:rPr>
          <w:iCs/>
        </w:rPr>
        <w:t xml:space="preserve">, </w:t>
      </w:r>
      <w:r w:rsidRPr="002E050A">
        <w:rPr>
          <w:iCs/>
        </w:rPr>
        <w:t>F.F.</w:t>
      </w:r>
      <w:r w:rsidRPr="007D4C6B">
        <w:t xml:space="preserve"> </w:t>
      </w:r>
      <w:r w:rsidRPr="007D4C6B">
        <w:rPr>
          <w:i/>
        </w:rPr>
        <w:t>The Acts of the Apostles</w:t>
      </w:r>
      <w:r w:rsidRPr="007D4C6B">
        <w:t xml:space="preserve">: </w:t>
      </w:r>
      <w:r w:rsidRPr="007D4C6B">
        <w:rPr>
          <w:i/>
        </w:rPr>
        <w:t>The Greek Text with Introduction and Commentary</w:t>
      </w:r>
      <w:r w:rsidRPr="007D4C6B">
        <w:t xml:space="preserve">. </w:t>
      </w:r>
      <w:r w:rsidRPr="00DC3006">
        <w:rPr>
          <w:iCs/>
        </w:rPr>
        <w:t>Grand Rapids MI</w:t>
      </w:r>
      <w:r w:rsidRPr="007D4C6B">
        <w:t>: Eerdmans</w:t>
      </w:r>
      <w:r w:rsidRPr="007D4C6B">
        <w:rPr>
          <w:iCs/>
        </w:rPr>
        <w:t xml:space="preserve">, </w:t>
      </w:r>
      <w:r w:rsidRPr="007D4C6B">
        <w:t>1951.</w:t>
      </w:r>
    </w:p>
    <w:p w14:paraId="799F0D96" w14:textId="77777777" w:rsidR="00B47A48" w:rsidRDefault="00B47A48" w:rsidP="00B47A48">
      <w:pPr>
        <w:widowControl w:val="0"/>
        <w:ind w:left="720" w:hanging="720"/>
      </w:pPr>
      <w:r w:rsidRPr="007D4C6B">
        <w:t>Brun</w:t>
      </w:r>
      <w:r w:rsidRPr="007D4C6B">
        <w:rPr>
          <w:iCs/>
        </w:rPr>
        <w:t xml:space="preserve">, </w:t>
      </w:r>
      <w:r w:rsidRPr="007D4C6B">
        <w:t xml:space="preserve">Lyder. “Zur </w:t>
      </w:r>
      <w:proofErr w:type="spellStart"/>
      <w:r w:rsidRPr="007D4C6B">
        <w:t>Kompositionstechnik</w:t>
      </w:r>
      <w:proofErr w:type="spellEnd"/>
      <w:r w:rsidRPr="007D4C6B">
        <w:t xml:space="preserve"> des </w:t>
      </w:r>
      <w:proofErr w:type="spellStart"/>
      <w:r w:rsidRPr="007D4C6B">
        <w:t>Lukasevangeliums</w:t>
      </w:r>
      <w:proofErr w:type="spellEnd"/>
      <w:r w:rsidRPr="007D4C6B">
        <w:t xml:space="preserve">.” </w:t>
      </w:r>
      <w:proofErr w:type="spellStart"/>
      <w:r w:rsidRPr="00E366BA">
        <w:rPr>
          <w:i/>
          <w:iCs/>
        </w:rPr>
        <w:t>Symbolae</w:t>
      </w:r>
      <w:proofErr w:type="spellEnd"/>
      <w:r w:rsidRPr="00E366BA">
        <w:rPr>
          <w:i/>
          <w:iCs/>
        </w:rPr>
        <w:t xml:space="preserve"> </w:t>
      </w:r>
      <w:proofErr w:type="spellStart"/>
      <w:r w:rsidRPr="00E366BA">
        <w:rPr>
          <w:i/>
          <w:iCs/>
        </w:rPr>
        <w:t>Osloenses</w:t>
      </w:r>
      <w:proofErr w:type="spellEnd"/>
      <w:r w:rsidRPr="00E366BA">
        <w:t xml:space="preserve"> 9.1 (1930) 38-50.</w:t>
      </w:r>
    </w:p>
    <w:p w14:paraId="65D92276" w14:textId="77777777" w:rsidR="00B47A48" w:rsidRPr="00E5413C" w:rsidRDefault="00B47A48" w:rsidP="00B47A48">
      <w:pPr>
        <w:widowControl w:val="0"/>
        <w:ind w:left="720" w:hanging="720"/>
        <w:rPr>
          <w:lang w:val="fr-FR"/>
        </w:rPr>
      </w:pPr>
      <w:r w:rsidRPr="007D4C6B">
        <w:t>Burnside</w:t>
      </w:r>
      <w:r w:rsidRPr="007D4C6B">
        <w:rPr>
          <w:iCs/>
        </w:rPr>
        <w:t xml:space="preserve">, </w:t>
      </w:r>
      <w:r w:rsidRPr="00E366BA">
        <w:rPr>
          <w:iCs/>
        </w:rPr>
        <w:t>W.F.</w:t>
      </w:r>
      <w:r w:rsidRPr="007D4C6B">
        <w:t xml:space="preserve"> </w:t>
      </w:r>
      <w:r w:rsidRPr="007D4C6B">
        <w:rPr>
          <w:i/>
        </w:rPr>
        <w:t>The Gospel according to St</w:t>
      </w:r>
      <w:r w:rsidRPr="007D4C6B">
        <w:t xml:space="preserve">. </w:t>
      </w:r>
      <w:r w:rsidRPr="007D4C6B">
        <w:rPr>
          <w:i/>
        </w:rPr>
        <w:t>Luke</w:t>
      </w:r>
      <w:r w:rsidRPr="007D4C6B">
        <w:t xml:space="preserve">: </w:t>
      </w:r>
      <w:r w:rsidRPr="007D4C6B">
        <w:rPr>
          <w:i/>
        </w:rPr>
        <w:t>The Greek Text Edited with Introduction and Notes for the Use of Schools</w:t>
      </w:r>
      <w:r w:rsidRPr="007D4C6B">
        <w:t xml:space="preserve">. </w:t>
      </w:r>
      <w:r w:rsidRPr="00E5413C">
        <w:rPr>
          <w:iCs/>
          <w:lang w:val="fr-FR"/>
        </w:rPr>
        <w:t xml:space="preserve">Cambridge: CUP, </w:t>
      </w:r>
      <w:r w:rsidRPr="00E5413C">
        <w:rPr>
          <w:lang w:val="fr-FR"/>
        </w:rPr>
        <w:t>1913.</w:t>
      </w:r>
    </w:p>
    <w:p w14:paraId="560BE328" w14:textId="77777777" w:rsidR="00B47A48" w:rsidRPr="007D4C6B" w:rsidRDefault="00B47A48" w:rsidP="00B47A48">
      <w:pPr>
        <w:widowControl w:val="0"/>
        <w:ind w:left="720" w:hanging="720"/>
      </w:pPr>
      <w:r w:rsidRPr="00E5413C">
        <w:rPr>
          <w:lang w:val="fr-FR"/>
        </w:rPr>
        <w:t>Busse</w:t>
      </w:r>
      <w:r w:rsidRPr="00E5413C">
        <w:rPr>
          <w:iCs/>
          <w:lang w:val="fr-FR"/>
        </w:rPr>
        <w:t xml:space="preserve">, </w:t>
      </w:r>
      <w:r w:rsidRPr="00E5413C">
        <w:rPr>
          <w:lang w:val="fr-FR"/>
        </w:rPr>
        <w:t xml:space="preserve">U. </w:t>
      </w:r>
      <w:r w:rsidRPr="00E5413C">
        <w:rPr>
          <w:i/>
          <w:lang w:val="fr-FR"/>
        </w:rPr>
        <w:t xml:space="preserve">Die </w:t>
      </w:r>
      <w:proofErr w:type="spellStart"/>
      <w:r w:rsidRPr="00E5413C">
        <w:rPr>
          <w:i/>
          <w:lang w:val="fr-FR"/>
        </w:rPr>
        <w:t>Wunder</w:t>
      </w:r>
      <w:proofErr w:type="spellEnd"/>
      <w:r w:rsidRPr="00E5413C">
        <w:rPr>
          <w:i/>
          <w:lang w:val="fr-FR"/>
        </w:rPr>
        <w:t xml:space="preserve"> des </w:t>
      </w:r>
      <w:proofErr w:type="spellStart"/>
      <w:r w:rsidRPr="00E5413C">
        <w:rPr>
          <w:i/>
          <w:lang w:val="fr-FR"/>
        </w:rPr>
        <w:t>Propheten</w:t>
      </w:r>
      <w:proofErr w:type="spellEnd"/>
      <w:r w:rsidRPr="00E5413C">
        <w:rPr>
          <w:i/>
          <w:lang w:val="fr-FR"/>
        </w:rPr>
        <w:t xml:space="preserve"> </w:t>
      </w:r>
      <w:proofErr w:type="spellStart"/>
      <w:r w:rsidRPr="00E5413C">
        <w:rPr>
          <w:i/>
          <w:lang w:val="fr-FR"/>
        </w:rPr>
        <w:t>Jesus</w:t>
      </w:r>
      <w:proofErr w:type="spellEnd"/>
      <w:r w:rsidRPr="00E5413C">
        <w:rPr>
          <w:lang w:val="fr-FR"/>
        </w:rPr>
        <w:t xml:space="preserve">: </w:t>
      </w:r>
      <w:r w:rsidRPr="00E5413C">
        <w:rPr>
          <w:i/>
          <w:lang w:val="fr-FR"/>
        </w:rPr>
        <w:t xml:space="preserve">Die </w:t>
      </w:r>
      <w:proofErr w:type="spellStart"/>
      <w:r w:rsidRPr="00E5413C">
        <w:rPr>
          <w:i/>
          <w:lang w:val="fr-FR"/>
        </w:rPr>
        <w:t>Rezeption</w:t>
      </w:r>
      <w:proofErr w:type="spellEnd"/>
      <w:r w:rsidRPr="00E5413C">
        <w:rPr>
          <w:iCs/>
          <w:lang w:val="fr-FR"/>
        </w:rPr>
        <w:t xml:space="preserve">, </w:t>
      </w:r>
      <w:proofErr w:type="spellStart"/>
      <w:r w:rsidRPr="00E5413C">
        <w:rPr>
          <w:i/>
          <w:lang w:val="fr-FR"/>
        </w:rPr>
        <w:t>Komposition</w:t>
      </w:r>
      <w:proofErr w:type="spellEnd"/>
      <w:r w:rsidRPr="00E5413C">
        <w:rPr>
          <w:i/>
          <w:lang w:val="fr-FR"/>
        </w:rPr>
        <w:t xml:space="preserve"> </w:t>
      </w:r>
      <w:proofErr w:type="spellStart"/>
      <w:r w:rsidRPr="00E5413C">
        <w:rPr>
          <w:i/>
          <w:lang w:val="fr-FR"/>
        </w:rPr>
        <w:t>und</w:t>
      </w:r>
      <w:proofErr w:type="spellEnd"/>
      <w:r w:rsidRPr="00E5413C">
        <w:rPr>
          <w:i/>
          <w:lang w:val="fr-FR"/>
        </w:rPr>
        <w:t xml:space="preserve"> </w:t>
      </w:r>
      <w:proofErr w:type="spellStart"/>
      <w:r w:rsidRPr="00E5413C">
        <w:rPr>
          <w:i/>
          <w:lang w:val="fr-FR"/>
        </w:rPr>
        <w:t>Interpretation</w:t>
      </w:r>
      <w:proofErr w:type="spellEnd"/>
      <w:r w:rsidRPr="00E5413C">
        <w:rPr>
          <w:i/>
          <w:lang w:val="fr-FR"/>
        </w:rPr>
        <w:t xml:space="preserve"> der </w:t>
      </w:r>
      <w:proofErr w:type="spellStart"/>
      <w:r w:rsidRPr="00E5413C">
        <w:rPr>
          <w:i/>
          <w:lang w:val="fr-FR"/>
        </w:rPr>
        <w:t>Wundertradition</w:t>
      </w:r>
      <w:proofErr w:type="spellEnd"/>
      <w:r w:rsidRPr="00E5413C">
        <w:rPr>
          <w:i/>
          <w:lang w:val="fr-FR"/>
        </w:rPr>
        <w:t xml:space="preserve"> </w:t>
      </w:r>
      <w:proofErr w:type="spellStart"/>
      <w:r w:rsidRPr="00E5413C">
        <w:rPr>
          <w:i/>
          <w:lang w:val="fr-FR"/>
        </w:rPr>
        <w:t>im</w:t>
      </w:r>
      <w:proofErr w:type="spellEnd"/>
      <w:r w:rsidRPr="00E5413C">
        <w:rPr>
          <w:i/>
          <w:lang w:val="fr-FR"/>
        </w:rPr>
        <w:t xml:space="preserve"> </w:t>
      </w:r>
      <w:proofErr w:type="spellStart"/>
      <w:r w:rsidRPr="00E5413C">
        <w:rPr>
          <w:i/>
          <w:lang w:val="fr-FR"/>
        </w:rPr>
        <w:t>Evangelium</w:t>
      </w:r>
      <w:proofErr w:type="spellEnd"/>
      <w:r w:rsidRPr="00E5413C">
        <w:rPr>
          <w:i/>
          <w:lang w:val="fr-FR"/>
        </w:rPr>
        <w:t xml:space="preserve"> des Lukas</w:t>
      </w:r>
      <w:r w:rsidRPr="00E5413C">
        <w:rPr>
          <w:lang w:val="fr-FR"/>
        </w:rPr>
        <w:t xml:space="preserve">. </w:t>
      </w:r>
      <w:r w:rsidRPr="007D4C6B">
        <w:t>2</w:t>
      </w:r>
      <w:r>
        <w:t>n</w:t>
      </w:r>
      <w:r w:rsidRPr="007D4C6B">
        <w:t>d rev</w:t>
      </w:r>
      <w:r>
        <w:t>.</w:t>
      </w:r>
      <w:r w:rsidRPr="007D4C6B">
        <w:t xml:space="preserve"> and enl</w:t>
      </w:r>
      <w:r>
        <w:t>arged</w:t>
      </w:r>
      <w:r w:rsidRPr="007D4C6B">
        <w:t xml:space="preserve"> ed. Forschung </w:t>
      </w:r>
      <w:proofErr w:type="spellStart"/>
      <w:r w:rsidRPr="007D4C6B">
        <w:t>zur</w:t>
      </w:r>
      <w:proofErr w:type="spellEnd"/>
      <w:r w:rsidRPr="007D4C6B">
        <w:t xml:space="preserve"> Bibel 24</w:t>
      </w:r>
      <w:r w:rsidRPr="00DC3006">
        <w:rPr>
          <w:iCs/>
        </w:rPr>
        <w:t xml:space="preserve">. Eds. </w:t>
      </w:r>
      <w:r w:rsidRPr="007D4C6B">
        <w:t xml:space="preserve">Rudolf </w:t>
      </w:r>
      <w:proofErr w:type="spellStart"/>
      <w:r w:rsidRPr="007D4C6B">
        <w:t>Schackenburg</w:t>
      </w:r>
      <w:proofErr w:type="spellEnd"/>
      <w:r w:rsidRPr="007D4C6B">
        <w:t xml:space="preserve"> and Josef Schreiner. Stuttgart: </w:t>
      </w:r>
      <w:proofErr w:type="spellStart"/>
      <w:r w:rsidRPr="007D4C6B">
        <w:t>Katholisches</w:t>
      </w:r>
      <w:proofErr w:type="spellEnd"/>
      <w:r w:rsidRPr="007D4C6B">
        <w:t xml:space="preserve"> </w:t>
      </w:r>
      <w:proofErr w:type="spellStart"/>
      <w:r w:rsidRPr="007D4C6B">
        <w:t>Bibelwerk</w:t>
      </w:r>
      <w:proofErr w:type="spellEnd"/>
      <w:r w:rsidRPr="007D4C6B">
        <w:rPr>
          <w:iCs/>
        </w:rPr>
        <w:t xml:space="preserve">, </w:t>
      </w:r>
      <w:r w:rsidRPr="007D4C6B">
        <w:t>1977</w:t>
      </w:r>
      <w:r w:rsidRPr="007D4C6B">
        <w:rPr>
          <w:iCs/>
        </w:rPr>
        <w:t xml:space="preserve">, </w:t>
      </w:r>
      <w:r w:rsidRPr="007D4C6B">
        <w:t>1979</w:t>
      </w:r>
      <w:r w:rsidRPr="007D4C6B">
        <w:rPr>
          <w:vertAlign w:val="superscript"/>
        </w:rPr>
        <w:t>2</w:t>
      </w:r>
      <w:r w:rsidRPr="007D4C6B">
        <w:t>.</w:t>
      </w:r>
    </w:p>
    <w:p w14:paraId="21164AA7" w14:textId="7CE336CB" w:rsidR="00B47A48" w:rsidRPr="007D4C6B" w:rsidRDefault="00B47A48" w:rsidP="00B47A48">
      <w:pPr>
        <w:widowControl w:val="0"/>
        <w:ind w:left="720" w:hanging="720"/>
      </w:pPr>
      <w:r w:rsidRPr="007D4C6B">
        <w:t>Cadbury</w:t>
      </w:r>
      <w:r w:rsidRPr="007D4C6B">
        <w:rPr>
          <w:iCs/>
        </w:rPr>
        <w:t xml:space="preserve">, </w:t>
      </w:r>
      <w:r w:rsidRPr="007D4C6B">
        <w:t xml:space="preserve">Henry J. “Acts and Eschatology.” In </w:t>
      </w:r>
      <w:r w:rsidRPr="007D4C6B">
        <w:rPr>
          <w:i/>
        </w:rPr>
        <w:t>The Background of the New Testament and Its Eschatology</w:t>
      </w:r>
      <w:r w:rsidRPr="007D4C6B">
        <w:rPr>
          <w:iCs/>
        </w:rPr>
        <w:t xml:space="preserve">, </w:t>
      </w:r>
      <w:r w:rsidRPr="007D4C6B">
        <w:rPr>
          <w:i/>
        </w:rPr>
        <w:t xml:space="preserve">in </w:t>
      </w:r>
      <w:proofErr w:type="spellStart"/>
      <w:r w:rsidRPr="007D4C6B">
        <w:rPr>
          <w:i/>
        </w:rPr>
        <w:t>Honour</w:t>
      </w:r>
      <w:proofErr w:type="spellEnd"/>
      <w:r w:rsidRPr="007D4C6B">
        <w:rPr>
          <w:i/>
        </w:rPr>
        <w:t xml:space="preserve"> of Charles Harold Dodd</w:t>
      </w:r>
      <w:r w:rsidRPr="007D4C6B">
        <w:t xml:space="preserve">. </w:t>
      </w:r>
      <w:r w:rsidR="00E565D9">
        <w:t xml:space="preserve">Ed. </w:t>
      </w:r>
      <w:r w:rsidRPr="00E366BA">
        <w:rPr>
          <w:iCs/>
        </w:rPr>
        <w:t>W.D.</w:t>
      </w:r>
      <w:r w:rsidRPr="007D4C6B">
        <w:t xml:space="preserve"> Davies and David Daube. New York: </w:t>
      </w:r>
      <w:r>
        <w:t>CUP</w:t>
      </w:r>
      <w:r w:rsidRPr="007D4C6B">
        <w:rPr>
          <w:iCs/>
        </w:rPr>
        <w:t xml:space="preserve">, </w:t>
      </w:r>
      <w:r w:rsidRPr="007D4C6B">
        <w:t>1956 (rpt. ed.</w:t>
      </w:r>
      <w:r w:rsidRPr="007D4C6B">
        <w:rPr>
          <w:iCs/>
        </w:rPr>
        <w:t xml:space="preserve">, </w:t>
      </w:r>
      <w:r w:rsidRPr="007D4C6B">
        <w:t>1964) 300-321.</w:t>
      </w:r>
    </w:p>
    <w:p w14:paraId="6F3AA954" w14:textId="77777777" w:rsidR="00B47A48" w:rsidRPr="007D4C6B" w:rsidRDefault="00B47A48" w:rsidP="00B47A48">
      <w:pPr>
        <w:widowControl w:val="0"/>
        <w:ind w:left="720" w:hanging="720"/>
      </w:pPr>
      <w:r w:rsidRPr="007D4C6B">
        <w:t>Cadbury</w:t>
      </w:r>
      <w:r w:rsidRPr="007D4C6B">
        <w:rPr>
          <w:iCs/>
        </w:rPr>
        <w:t xml:space="preserve">, </w:t>
      </w:r>
      <w:r w:rsidRPr="007D4C6B">
        <w:t xml:space="preserve">Henry J. </w:t>
      </w:r>
      <w:r w:rsidRPr="007D4C6B">
        <w:rPr>
          <w:i/>
        </w:rPr>
        <w:t>The Book of Acts in History</w:t>
      </w:r>
      <w:r w:rsidRPr="007D4C6B">
        <w:t xml:space="preserve">. New York: Harper </w:t>
      </w:r>
      <w:r>
        <w:t>and</w:t>
      </w:r>
      <w:r w:rsidRPr="007D4C6B">
        <w:t xml:space="preserve"> Bros.</w:t>
      </w:r>
      <w:r w:rsidRPr="007D4C6B">
        <w:rPr>
          <w:iCs/>
        </w:rPr>
        <w:t xml:space="preserve">, </w:t>
      </w:r>
      <w:r w:rsidRPr="007D4C6B">
        <w:t>1955.</w:t>
      </w:r>
    </w:p>
    <w:p w14:paraId="387EF25A" w14:textId="77777777" w:rsidR="00B47A48" w:rsidRPr="007D4C6B" w:rsidRDefault="00B47A48" w:rsidP="00B47A48">
      <w:pPr>
        <w:widowControl w:val="0"/>
        <w:ind w:left="720" w:hanging="720"/>
      </w:pPr>
      <w:r w:rsidRPr="007D4C6B">
        <w:lastRenderedPageBreak/>
        <w:t>Cadbury</w:t>
      </w:r>
      <w:r w:rsidRPr="007D4C6B">
        <w:rPr>
          <w:iCs/>
        </w:rPr>
        <w:t xml:space="preserve">, </w:t>
      </w:r>
      <w:r w:rsidRPr="007D4C6B">
        <w:t xml:space="preserve">Henry J. </w:t>
      </w:r>
      <w:r w:rsidRPr="007D4C6B">
        <w:rPr>
          <w:i/>
        </w:rPr>
        <w:t>The Making of Luke-Acts</w:t>
      </w:r>
      <w:r w:rsidRPr="007D4C6B">
        <w:t>. New York: Macmillan</w:t>
      </w:r>
      <w:r w:rsidRPr="007D4C6B">
        <w:rPr>
          <w:iCs/>
        </w:rPr>
        <w:t xml:space="preserve">, </w:t>
      </w:r>
      <w:r w:rsidRPr="007D4C6B">
        <w:t xml:space="preserve">1927; London: </w:t>
      </w:r>
      <w:r w:rsidRPr="00E366BA">
        <w:rPr>
          <w:iCs/>
        </w:rPr>
        <w:t>SPCK</w:t>
      </w:r>
      <w:r w:rsidRPr="007D4C6B">
        <w:rPr>
          <w:iCs/>
        </w:rPr>
        <w:t xml:space="preserve">, </w:t>
      </w:r>
      <w:r w:rsidRPr="007D4C6B">
        <w:t>1958.</w:t>
      </w:r>
    </w:p>
    <w:p w14:paraId="792443D4" w14:textId="77777777" w:rsidR="00B47A48" w:rsidRPr="007D4C6B" w:rsidRDefault="00B47A48" w:rsidP="00B47A48">
      <w:pPr>
        <w:widowControl w:val="0"/>
        <w:ind w:left="720" w:hanging="720"/>
      </w:pPr>
      <w:r w:rsidRPr="007D4C6B">
        <w:t>Cadbury</w:t>
      </w:r>
      <w:r w:rsidRPr="007D4C6B">
        <w:rPr>
          <w:iCs/>
        </w:rPr>
        <w:t xml:space="preserve">, </w:t>
      </w:r>
      <w:r w:rsidRPr="007D4C6B">
        <w:t xml:space="preserve">Henry J. </w:t>
      </w:r>
      <w:r w:rsidRPr="007D4C6B">
        <w:rPr>
          <w:i/>
        </w:rPr>
        <w:t>The Style and Literary Method of Luke</w:t>
      </w:r>
      <w:r w:rsidRPr="007D4C6B">
        <w:t xml:space="preserve">. HTS. 2 vols. </w:t>
      </w:r>
      <w:r w:rsidRPr="00E366BA">
        <w:rPr>
          <w:iCs/>
        </w:rPr>
        <w:t xml:space="preserve">Cambridge MA: Harvard UP, </w:t>
      </w:r>
      <w:r w:rsidRPr="007D4C6B">
        <w:t>1919 (vol. 1)</w:t>
      </w:r>
      <w:r w:rsidRPr="007D4C6B">
        <w:rPr>
          <w:iCs/>
        </w:rPr>
        <w:t xml:space="preserve">, </w:t>
      </w:r>
      <w:r w:rsidRPr="007D4C6B">
        <w:t>1920 (vol. 2).</w:t>
      </w:r>
    </w:p>
    <w:p w14:paraId="7F4B13BF" w14:textId="1E3452C5" w:rsidR="00B47A48" w:rsidRPr="007D4C6B" w:rsidRDefault="00B47A48" w:rsidP="00B47A48">
      <w:pPr>
        <w:widowControl w:val="0"/>
        <w:ind w:left="720" w:hanging="720"/>
      </w:pPr>
      <w:r w:rsidRPr="007D4C6B">
        <w:t>Caird</w:t>
      </w:r>
      <w:r w:rsidRPr="007D4C6B">
        <w:rPr>
          <w:iCs/>
        </w:rPr>
        <w:t xml:space="preserve">, </w:t>
      </w:r>
      <w:r w:rsidR="00E565D9" w:rsidRPr="00E565D9">
        <w:rPr>
          <w:iCs/>
        </w:rPr>
        <w:t>G.B.</w:t>
      </w:r>
      <w:r w:rsidRPr="007D4C6B">
        <w:t xml:space="preserve"> </w:t>
      </w:r>
      <w:r w:rsidRPr="007D4C6B">
        <w:rPr>
          <w:i/>
        </w:rPr>
        <w:t>The Gospel of St Luke</w:t>
      </w:r>
      <w:r w:rsidRPr="007D4C6B">
        <w:t>. Pelican NT Commentaries. Harmondsworth</w:t>
      </w:r>
      <w:r w:rsidRPr="007D4C6B">
        <w:rPr>
          <w:iCs/>
        </w:rPr>
        <w:t xml:space="preserve">, </w:t>
      </w:r>
      <w:r w:rsidRPr="007D4C6B">
        <w:t>Middlesex</w:t>
      </w:r>
      <w:r w:rsidRPr="007D4C6B">
        <w:rPr>
          <w:iCs/>
        </w:rPr>
        <w:t xml:space="preserve">, </w:t>
      </w:r>
      <w:r w:rsidRPr="007D4C6B">
        <w:t>England: Penguin</w:t>
      </w:r>
      <w:r w:rsidRPr="007D4C6B">
        <w:rPr>
          <w:iCs/>
        </w:rPr>
        <w:t xml:space="preserve">, </w:t>
      </w:r>
      <w:r w:rsidRPr="007D4C6B">
        <w:t>1963.</w:t>
      </w:r>
    </w:p>
    <w:p w14:paraId="7E4190C7" w14:textId="77777777" w:rsidR="00B47A48" w:rsidRPr="007D4C6B" w:rsidRDefault="00B47A48" w:rsidP="00B47A48">
      <w:pPr>
        <w:widowControl w:val="0"/>
        <w:ind w:left="720" w:hanging="720"/>
      </w:pPr>
      <w:r w:rsidRPr="007D4C6B">
        <w:t>Cassidy</w:t>
      </w:r>
      <w:r w:rsidRPr="007D4C6B">
        <w:rPr>
          <w:iCs/>
        </w:rPr>
        <w:t xml:space="preserve">, </w:t>
      </w:r>
      <w:r w:rsidRPr="007D4C6B">
        <w:t>R</w:t>
      </w:r>
      <w:r>
        <w:t>ichard</w:t>
      </w:r>
      <w:r w:rsidRPr="007D4C6B">
        <w:t xml:space="preserve"> J. </w:t>
      </w:r>
      <w:r w:rsidRPr="007D4C6B">
        <w:rPr>
          <w:i/>
        </w:rPr>
        <w:t>Jesus</w:t>
      </w:r>
      <w:r w:rsidRPr="007D4C6B">
        <w:rPr>
          <w:iCs/>
        </w:rPr>
        <w:t xml:space="preserve">, </w:t>
      </w:r>
      <w:r w:rsidRPr="007D4C6B">
        <w:rPr>
          <w:i/>
        </w:rPr>
        <w:t>Politics</w:t>
      </w:r>
      <w:r w:rsidRPr="007D4C6B">
        <w:rPr>
          <w:iCs/>
        </w:rPr>
        <w:t xml:space="preserve">, </w:t>
      </w:r>
      <w:r w:rsidRPr="007D4C6B">
        <w:rPr>
          <w:i/>
        </w:rPr>
        <w:t>and Society</w:t>
      </w:r>
      <w:r w:rsidRPr="007D4C6B">
        <w:t xml:space="preserve">: </w:t>
      </w:r>
      <w:r w:rsidRPr="007D4C6B">
        <w:rPr>
          <w:i/>
        </w:rPr>
        <w:t>A Study of Luke</w:t>
      </w:r>
      <w:r w:rsidRPr="007D4C6B">
        <w:t>’</w:t>
      </w:r>
      <w:r w:rsidRPr="007D4C6B">
        <w:rPr>
          <w:i/>
        </w:rPr>
        <w:t>s Gospel</w:t>
      </w:r>
      <w:r w:rsidRPr="007D4C6B">
        <w:t xml:space="preserve">. </w:t>
      </w:r>
      <w:r w:rsidRPr="00E366BA">
        <w:rPr>
          <w:iCs/>
        </w:rPr>
        <w:t>Maryknoll NY</w:t>
      </w:r>
      <w:r w:rsidRPr="007D4C6B">
        <w:t xml:space="preserve">: </w:t>
      </w:r>
      <w:r w:rsidRPr="00E366BA">
        <w:rPr>
          <w:iCs/>
        </w:rPr>
        <w:t>Orbis</w:t>
      </w:r>
      <w:r w:rsidRPr="007D4C6B">
        <w:rPr>
          <w:iCs/>
        </w:rPr>
        <w:t xml:space="preserve">, </w:t>
      </w:r>
      <w:r w:rsidRPr="007D4C6B">
        <w:t>1978.</w:t>
      </w:r>
    </w:p>
    <w:p w14:paraId="345C0F04" w14:textId="77777777" w:rsidR="00B47A48" w:rsidRPr="007D4C6B" w:rsidRDefault="00B47A48" w:rsidP="00B47A48">
      <w:pPr>
        <w:widowControl w:val="0"/>
        <w:ind w:left="720" w:hanging="720"/>
      </w:pPr>
      <w:r w:rsidRPr="007D4C6B">
        <w:t>Cassidy</w:t>
      </w:r>
      <w:r w:rsidRPr="007D4C6B">
        <w:rPr>
          <w:iCs/>
        </w:rPr>
        <w:t xml:space="preserve">, </w:t>
      </w:r>
      <w:r w:rsidRPr="007D4C6B">
        <w:t>Richard J.</w:t>
      </w:r>
      <w:r w:rsidRPr="007D4C6B">
        <w:rPr>
          <w:iCs/>
        </w:rPr>
        <w:t xml:space="preserve">, </w:t>
      </w:r>
      <w:r w:rsidRPr="007D4C6B">
        <w:t xml:space="preserve">and Philip J. </w:t>
      </w:r>
      <w:proofErr w:type="spellStart"/>
      <w:r w:rsidRPr="007D4C6B">
        <w:t>Scharper</w:t>
      </w:r>
      <w:proofErr w:type="spellEnd"/>
      <w:r w:rsidRPr="00DC3006">
        <w:rPr>
          <w:iCs/>
        </w:rPr>
        <w:t xml:space="preserve">. Eds. </w:t>
      </w:r>
      <w:r w:rsidRPr="007D4C6B">
        <w:rPr>
          <w:i/>
        </w:rPr>
        <w:t>Political Issues in Luke-Acts</w:t>
      </w:r>
      <w:r w:rsidRPr="007D4C6B">
        <w:t xml:space="preserve">. </w:t>
      </w:r>
      <w:r w:rsidRPr="00E366BA">
        <w:rPr>
          <w:iCs/>
        </w:rPr>
        <w:t>Maryknoll NY</w:t>
      </w:r>
      <w:r w:rsidRPr="007D4C6B">
        <w:t xml:space="preserve">: </w:t>
      </w:r>
      <w:r w:rsidRPr="00E366BA">
        <w:rPr>
          <w:iCs/>
        </w:rPr>
        <w:t>Orbis</w:t>
      </w:r>
      <w:r w:rsidRPr="007D4C6B">
        <w:rPr>
          <w:iCs/>
        </w:rPr>
        <w:t xml:space="preserve">, </w:t>
      </w:r>
      <w:r w:rsidRPr="007D4C6B">
        <w:t>1983.</w:t>
      </w:r>
    </w:p>
    <w:p w14:paraId="4AB8D582" w14:textId="77777777" w:rsidR="00B47A48" w:rsidRPr="007D4C6B" w:rsidRDefault="00B47A48" w:rsidP="00B47A48">
      <w:pPr>
        <w:widowControl w:val="0"/>
        <w:ind w:left="720" w:hanging="720"/>
      </w:pPr>
      <w:r w:rsidRPr="007D4C6B">
        <w:t>Conzelmann</w:t>
      </w:r>
      <w:r w:rsidRPr="007D4C6B">
        <w:rPr>
          <w:iCs/>
        </w:rPr>
        <w:t xml:space="preserve">, </w:t>
      </w:r>
      <w:r w:rsidRPr="007D4C6B">
        <w:t xml:space="preserve">Hans. </w:t>
      </w:r>
      <w:r w:rsidRPr="007D4C6B">
        <w:rPr>
          <w:i/>
        </w:rPr>
        <w:t xml:space="preserve">Die </w:t>
      </w:r>
      <w:proofErr w:type="spellStart"/>
      <w:r w:rsidRPr="007D4C6B">
        <w:rPr>
          <w:i/>
        </w:rPr>
        <w:t>Apostelgeschichte</w:t>
      </w:r>
      <w:proofErr w:type="spellEnd"/>
      <w:r w:rsidRPr="007D4C6B">
        <w:t>. HNT 7. Tübingen: Mohr</w:t>
      </w:r>
      <w:r w:rsidRPr="007D4C6B">
        <w:rPr>
          <w:iCs/>
        </w:rPr>
        <w:t xml:space="preserve">, </w:t>
      </w:r>
      <w:r w:rsidRPr="007D4C6B">
        <w:t>1963</w:t>
      </w:r>
      <w:r w:rsidRPr="007D4C6B">
        <w:rPr>
          <w:iCs/>
        </w:rPr>
        <w:t xml:space="preserve">, </w:t>
      </w:r>
      <w:r w:rsidRPr="007D4C6B">
        <w:t>1972</w:t>
      </w:r>
      <w:r w:rsidRPr="007D4C6B">
        <w:rPr>
          <w:vertAlign w:val="superscript"/>
        </w:rPr>
        <w:t>2</w:t>
      </w:r>
      <w:r w:rsidRPr="007D4C6B">
        <w:t>.</w:t>
      </w:r>
    </w:p>
    <w:p w14:paraId="2FE3B9E3" w14:textId="77777777" w:rsidR="00B47A48" w:rsidRPr="007D4C6B" w:rsidRDefault="00B47A48" w:rsidP="00B47A48">
      <w:pPr>
        <w:widowControl w:val="0"/>
        <w:ind w:left="720" w:hanging="720"/>
      </w:pPr>
      <w:r w:rsidRPr="007D4C6B">
        <w:t>Conzelmann</w:t>
      </w:r>
      <w:r w:rsidRPr="007D4C6B">
        <w:rPr>
          <w:iCs/>
        </w:rPr>
        <w:t xml:space="preserve">, </w:t>
      </w:r>
      <w:r w:rsidRPr="007D4C6B">
        <w:t xml:space="preserve">Hans. </w:t>
      </w:r>
      <w:r w:rsidRPr="007D4C6B">
        <w:rPr>
          <w:i/>
        </w:rPr>
        <w:t>The Theology of St Luke</w:t>
      </w:r>
      <w:r w:rsidRPr="007D4C6B">
        <w:t>. Trans. Geoffrey Buswell. London: Faber &amp; Faber</w:t>
      </w:r>
      <w:r w:rsidRPr="007D4C6B">
        <w:rPr>
          <w:iCs/>
        </w:rPr>
        <w:t xml:space="preserve">, </w:t>
      </w:r>
      <w:r w:rsidRPr="007D4C6B">
        <w:t xml:space="preserve">1960; New York: </w:t>
      </w:r>
      <w:r w:rsidRPr="00E95268">
        <w:rPr>
          <w:iCs/>
        </w:rPr>
        <w:t>Harper and Row</w:t>
      </w:r>
      <w:r w:rsidRPr="007D4C6B">
        <w:rPr>
          <w:iCs/>
        </w:rPr>
        <w:t xml:space="preserve">, </w:t>
      </w:r>
      <w:r w:rsidRPr="007D4C6B">
        <w:t xml:space="preserve">1960. </w:t>
      </w:r>
      <w:r>
        <w:t>(</w:t>
      </w:r>
      <w:r w:rsidRPr="007D4C6B">
        <w:rPr>
          <w:i/>
        </w:rPr>
        <w:t>Die Mitte der Zeit</w:t>
      </w:r>
      <w:r w:rsidRPr="007D4C6B">
        <w:t xml:space="preserve">: </w:t>
      </w:r>
      <w:proofErr w:type="spellStart"/>
      <w:r w:rsidRPr="007D4C6B">
        <w:rPr>
          <w:i/>
        </w:rPr>
        <w:t>Studien</w:t>
      </w:r>
      <w:proofErr w:type="spellEnd"/>
      <w:r w:rsidRPr="007D4C6B">
        <w:rPr>
          <w:i/>
        </w:rPr>
        <w:t xml:space="preserve"> </w:t>
      </w:r>
      <w:proofErr w:type="spellStart"/>
      <w:r w:rsidRPr="007D4C6B">
        <w:rPr>
          <w:i/>
        </w:rPr>
        <w:t>zur</w:t>
      </w:r>
      <w:proofErr w:type="spellEnd"/>
      <w:r w:rsidRPr="007D4C6B">
        <w:rPr>
          <w:i/>
        </w:rPr>
        <w:t xml:space="preserve"> </w:t>
      </w:r>
      <w:proofErr w:type="spellStart"/>
      <w:r w:rsidRPr="007D4C6B">
        <w:rPr>
          <w:i/>
        </w:rPr>
        <w:t>Theologie</w:t>
      </w:r>
      <w:proofErr w:type="spellEnd"/>
      <w:r w:rsidRPr="007D4C6B">
        <w:rPr>
          <w:i/>
        </w:rPr>
        <w:t xml:space="preserve"> des Lukas</w:t>
      </w:r>
      <w:r w:rsidRPr="007D4C6B">
        <w:rPr>
          <w:iCs/>
        </w:rPr>
        <w:t xml:space="preserve">, </w:t>
      </w:r>
      <w:r w:rsidRPr="007D4C6B">
        <w:t>Tübingen: Mohr</w:t>
      </w:r>
      <w:r w:rsidRPr="007D4C6B">
        <w:rPr>
          <w:iCs/>
        </w:rPr>
        <w:t xml:space="preserve">, </w:t>
      </w:r>
      <w:r w:rsidRPr="007D4C6B">
        <w:t>1954</w:t>
      </w:r>
      <w:r w:rsidRPr="007D4C6B">
        <w:rPr>
          <w:iCs/>
        </w:rPr>
        <w:t xml:space="preserve">, </w:t>
      </w:r>
      <w:r w:rsidRPr="007D4C6B">
        <w:t>1957</w:t>
      </w:r>
      <w:r w:rsidRPr="007D4C6B">
        <w:rPr>
          <w:vertAlign w:val="superscript"/>
        </w:rPr>
        <w:t>2</w:t>
      </w:r>
      <w:r w:rsidRPr="007D4C6B">
        <w:rPr>
          <w:iCs/>
        </w:rPr>
        <w:t xml:space="preserve">, </w:t>
      </w:r>
      <w:r w:rsidRPr="007D4C6B">
        <w:t>1960</w:t>
      </w:r>
      <w:r w:rsidRPr="007D4C6B">
        <w:rPr>
          <w:vertAlign w:val="superscript"/>
        </w:rPr>
        <w:t>3</w:t>
      </w:r>
      <w:r w:rsidRPr="007D4C6B">
        <w:rPr>
          <w:iCs/>
        </w:rPr>
        <w:t xml:space="preserve">, </w:t>
      </w:r>
      <w:r w:rsidRPr="007D4C6B">
        <w:t>1964</w:t>
      </w:r>
      <w:r w:rsidRPr="007D4C6B">
        <w:rPr>
          <w:vertAlign w:val="superscript"/>
        </w:rPr>
        <w:t>5</w:t>
      </w:r>
      <w:r w:rsidRPr="007D4C6B">
        <w:t>.</w:t>
      </w:r>
      <w:r>
        <w:t>)</w:t>
      </w:r>
    </w:p>
    <w:p w14:paraId="4E5F1540" w14:textId="77777777" w:rsidR="00B47A48" w:rsidRPr="007D4C6B" w:rsidRDefault="00B47A48" w:rsidP="00B47A48">
      <w:pPr>
        <w:widowControl w:val="0"/>
        <w:ind w:left="720" w:hanging="720"/>
      </w:pPr>
      <w:r w:rsidRPr="007D4C6B">
        <w:t>Creed</w:t>
      </w:r>
      <w:r w:rsidRPr="007D4C6B">
        <w:rPr>
          <w:iCs/>
        </w:rPr>
        <w:t xml:space="preserve">, </w:t>
      </w:r>
      <w:r w:rsidRPr="007D4C6B">
        <w:t xml:space="preserve">John Martin. </w:t>
      </w:r>
      <w:r w:rsidRPr="007D4C6B">
        <w:rPr>
          <w:i/>
        </w:rPr>
        <w:t>The Gospel According to St</w:t>
      </w:r>
      <w:r w:rsidRPr="007D4C6B">
        <w:t xml:space="preserve">. </w:t>
      </w:r>
      <w:r w:rsidRPr="007D4C6B">
        <w:rPr>
          <w:i/>
        </w:rPr>
        <w:t>Luke</w:t>
      </w:r>
      <w:r w:rsidRPr="007D4C6B">
        <w:t>. London: Macmillan</w:t>
      </w:r>
      <w:r w:rsidRPr="007D4C6B">
        <w:rPr>
          <w:iCs/>
        </w:rPr>
        <w:t xml:space="preserve">, </w:t>
      </w:r>
      <w:r w:rsidRPr="007D4C6B">
        <w:t>1930</w:t>
      </w:r>
      <w:r>
        <w:rPr>
          <w:iCs/>
        </w:rPr>
        <w:t>.</w:t>
      </w:r>
      <w:r w:rsidRPr="007D4C6B">
        <w:rPr>
          <w:iCs/>
        </w:rPr>
        <w:t xml:space="preserve"> </w:t>
      </w:r>
      <w:r w:rsidRPr="007D4C6B">
        <w:t>Rpt. ed.</w:t>
      </w:r>
      <w:r w:rsidRPr="007D4C6B">
        <w:rPr>
          <w:iCs/>
        </w:rPr>
        <w:t xml:space="preserve">, </w:t>
      </w:r>
      <w:r w:rsidRPr="007D4C6B">
        <w:t>1950</w:t>
      </w:r>
      <w:r w:rsidRPr="007D4C6B">
        <w:rPr>
          <w:iCs/>
        </w:rPr>
        <w:t xml:space="preserve">, </w:t>
      </w:r>
      <w:r w:rsidRPr="007D4C6B">
        <w:t>1965.</w:t>
      </w:r>
    </w:p>
    <w:p w14:paraId="30BF25A6" w14:textId="77777777" w:rsidR="00B47A48" w:rsidRPr="007D4C6B" w:rsidRDefault="00B47A48" w:rsidP="00B47A48">
      <w:pPr>
        <w:widowControl w:val="0"/>
        <w:ind w:left="720" w:hanging="720"/>
      </w:pPr>
      <w:r w:rsidRPr="007D4C6B">
        <w:t>Crowe</w:t>
      </w:r>
      <w:r w:rsidRPr="007D4C6B">
        <w:rPr>
          <w:iCs/>
        </w:rPr>
        <w:t xml:space="preserve">, </w:t>
      </w:r>
      <w:r w:rsidRPr="007D4C6B">
        <w:t xml:space="preserve">Jerome. </w:t>
      </w:r>
      <w:r w:rsidRPr="007D4C6B">
        <w:rPr>
          <w:i/>
        </w:rPr>
        <w:t>The Acts</w:t>
      </w:r>
      <w:r w:rsidRPr="007D4C6B">
        <w:t>. New Testament Message: A Biblical-Theological Commentary 8</w:t>
      </w:r>
      <w:r w:rsidRPr="00DC3006">
        <w:rPr>
          <w:iCs/>
        </w:rPr>
        <w:t xml:space="preserve">. Eds. </w:t>
      </w:r>
      <w:r w:rsidRPr="007D4C6B">
        <w:t xml:space="preserve">Wilfrid Harrington and Donald Senior. </w:t>
      </w:r>
      <w:r w:rsidRPr="00E366BA">
        <w:rPr>
          <w:iCs/>
        </w:rPr>
        <w:t>Wilmington DE</w:t>
      </w:r>
      <w:r w:rsidRPr="007D4C6B">
        <w:t>: Michael Glazier</w:t>
      </w:r>
      <w:r w:rsidRPr="007D4C6B">
        <w:rPr>
          <w:iCs/>
        </w:rPr>
        <w:t xml:space="preserve">, </w:t>
      </w:r>
      <w:r w:rsidRPr="007D4C6B">
        <w:t>1979.</w:t>
      </w:r>
    </w:p>
    <w:p w14:paraId="30140C46" w14:textId="77777777" w:rsidR="00B47A48" w:rsidRPr="007D4C6B" w:rsidRDefault="00B47A48" w:rsidP="00B47A48">
      <w:pPr>
        <w:widowControl w:val="0"/>
        <w:ind w:left="720" w:hanging="720"/>
      </w:pPr>
      <w:r w:rsidRPr="007D4C6B">
        <w:t>Danker</w:t>
      </w:r>
      <w:r w:rsidRPr="007D4C6B">
        <w:rPr>
          <w:iCs/>
        </w:rPr>
        <w:t xml:space="preserve">, </w:t>
      </w:r>
      <w:r w:rsidRPr="007D4C6B">
        <w:t xml:space="preserve">Frederick W. </w:t>
      </w:r>
      <w:r w:rsidRPr="007D4C6B">
        <w:rPr>
          <w:i/>
        </w:rPr>
        <w:t>Jesus and the New Age According to St</w:t>
      </w:r>
      <w:r w:rsidRPr="007D4C6B">
        <w:t xml:space="preserve">. </w:t>
      </w:r>
      <w:r w:rsidRPr="007D4C6B">
        <w:rPr>
          <w:i/>
        </w:rPr>
        <w:t>Luke</w:t>
      </w:r>
      <w:r w:rsidRPr="007D4C6B">
        <w:t xml:space="preserve">: </w:t>
      </w:r>
      <w:r w:rsidRPr="007D4C6B">
        <w:rPr>
          <w:i/>
        </w:rPr>
        <w:t>A Commentary on the Third Gospel</w:t>
      </w:r>
      <w:r w:rsidRPr="007D4C6B">
        <w:t xml:space="preserve">. </w:t>
      </w:r>
      <w:r w:rsidRPr="00E366BA">
        <w:rPr>
          <w:iCs/>
        </w:rPr>
        <w:t>St. Louis MO</w:t>
      </w:r>
      <w:r w:rsidRPr="007D4C6B">
        <w:t>: Clayton</w:t>
      </w:r>
      <w:r w:rsidRPr="007D4C6B">
        <w:rPr>
          <w:iCs/>
        </w:rPr>
        <w:t xml:space="preserve">, </w:t>
      </w:r>
      <w:r w:rsidRPr="007D4C6B">
        <w:t>1972.</w:t>
      </w:r>
    </w:p>
    <w:p w14:paraId="0C27B166" w14:textId="77777777" w:rsidR="00B47A48" w:rsidRPr="007D4C6B" w:rsidRDefault="00B47A48" w:rsidP="00B47A48">
      <w:pPr>
        <w:widowControl w:val="0"/>
        <w:ind w:left="720" w:hanging="720"/>
      </w:pPr>
      <w:r w:rsidRPr="007D4C6B">
        <w:t>Danker</w:t>
      </w:r>
      <w:r w:rsidRPr="007D4C6B">
        <w:rPr>
          <w:iCs/>
        </w:rPr>
        <w:t xml:space="preserve">, </w:t>
      </w:r>
      <w:r w:rsidRPr="007D4C6B">
        <w:t xml:space="preserve">Frederick W. </w:t>
      </w:r>
      <w:r w:rsidRPr="007D4C6B">
        <w:rPr>
          <w:i/>
        </w:rPr>
        <w:t>Luke</w:t>
      </w:r>
      <w:r w:rsidRPr="007D4C6B">
        <w:t>. Proclamation Commentaries</w:t>
      </w:r>
      <w:r w:rsidRPr="00DC3006">
        <w:rPr>
          <w:iCs/>
        </w:rPr>
        <w:t xml:space="preserve">. Ed. </w:t>
      </w:r>
      <w:r w:rsidRPr="007D4C6B">
        <w:t>Gerhard Krodel. Philadelphia: Fortress</w:t>
      </w:r>
      <w:r w:rsidRPr="007D4C6B">
        <w:rPr>
          <w:iCs/>
        </w:rPr>
        <w:t xml:space="preserve">, </w:t>
      </w:r>
      <w:r w:rsidRPr="007D4C6B">
        <w:t>1976.</w:t>
      </w:r>
    </w:p>
    <w:p w14:paraId="69CD52F8" w14:textId="77777777" w:rsidR="00B47A48" w:rsidRPr="007D4C6B" w:rsidRDefault="00B47A48" w:rsidP="00B47A48">
      <w:pPr>
        <w:widowControl w:val="0"/>
        <w:ind w:left="720" w:hanging="720"/>
      </w:pPr>
      <w:r w:rsidRPr="007D4C6B">
        <w:t>Dausch</w:t>
      </w:r>
      <w:r w:rsidRPr="007D4C6B">
        <w:rPr>
          <w:iCs/>
        </w:rPr>
        <w:t xml:space="preserve">, </w:t>
      </w:r>
      <w:r w:rsidRPr="007D4C6B">
        <w:t xml:space="preserve">Petrus. </w:t>
      </w:r>
      <w:r w:rsidRPr="007D4C6B">
        <w:rPr>
          <w:i/>
        </w:rPr>
        <w:t xml:space="preserve">Die </w:t>
      </w:r>
      <w:proofErr w:type="spellStart"/>
      <w:r w:rsidRPr="007D4C6B">
        <w:rPr>
          <w:i/>
        </w:rPr>
        <w:t>drei</w:t>
      </w:r>
      <w:proofErr w:type="spellEnd"/>
      <w:r w:rsidRPr="007D4C6B">
        <w:rPr>
          <w:i/>
        </w:rPr>
        <w:t xml:space="preserve"> </w:t>
      </w:r>
      <w:proofErr w:type="spellStart"/>
      <w:r w:rsidRPr="007D4C6B">
        <w:rPr>
          <w:i/>
        </w:rPr>
        <w:t>älteren</w:t>
      </w:r>
      <w:proofErr w:type="spellEnd"/>
      <w:r w:rsidRPr="007D4C6B">
        <w:rPr>
          <w:i/>
        </w:rPr>
        <w:t xml:space="preserve"> Evangelien</w:t>
      </w:r>
      <w:r w:rsidRPr="007D4C6B">
        <w:rPr>
          <w:iCs/>
        </w:rPr>
        <w:t xml:space="preserve">, </w:t>
      </w:r>
      <w:proofErr w:type="spellStart"/>
      <w:r w:rsidRPr="007D4C6B">
        <w:rPr>
          <w:i/>
        </w:rPr>
        <w:t>übersetzt</w:t>
      </w:r>
      <w:proofErr w:type="spellEnd"/>
      <w:r w:rsidRPr="007D4C6B">
        <w:rPr>
          <w:i/>
        </w:rPr>
        <w:t xml:space="preserve"> und </w:t>
      </w:r>
      <w:proofErr w:type="spellStart"/>
      <w:r w:rsidRPr="007D4C6B">
        <w:rPr>
          <w:i/>
        </w:rPr>
        <w:t>erklärt</w:t>
      </w:r>
      <w:proofErr w:type="spellEnd"/>
      <w:r w:rsidRPr="007D4C6B">
        <w:t xml:space="preserve">. Die </w:t>
      </w:r>
      <w:proofErr w:type="spellStart"/>
      <w:r w:rsidRPr="007D4C6B">
        <w:t>Heilige</w:t>
      </w:r>
      <w:proofErr w:type="spellEnd"/>
      <w:r w:rsidRPr="007D4C6B">
        <w:t xml:space="preserve"> Schrift des Neuen </w:t>
      </w:r>
      <w:proofErr w:type="spellStart"/>
      <w:r w:rsidRPr="007D4C6B">
        <w:t>Testamentes</w:t>
      </w:r>
      <w:proofErr w:type="spellEnd"/>
      <w:r w:rsidRPr="007D4C6B">
        <w:rPr>
          <w:iCs/>
        </w:rPr>
        <w:t xml:space="preserve">, </w:t>
      </w:r>
      <w:proofErr w:type="spellStart"/>
      <w:r w:rsidRPr="007D4C6B">
        <w:t>übersetzt</w:t>
      </w:r>
      <w:proofErr w:type="spellEnd"/>
      <w:r w:rsidRPr="007D4C6B">
        <w:t xml:space="preserve"> und </w:t>
      </w:r>
      <w:proofErr w:type="spellStart"/>
      <w:r w:rsidRPr="007D4C6B">
        <w:t>erklärt</w:t>
      </w:r>
      <w:proofErr w:type="spellEnd"/>
      <w:r w:rsidRPr="007D4C6B">
        <w:t xml:space="preserve"> in </w:t>
      </w:r>
      <w:proofErr w:type="spellStart"/>
      <w:r w:rsidRPr="007D4C6B">
        <w:t>Verbindung</w:t>
      </w:r>
      <w:proofErr w:type="spellEnd"/>
      <w:r w:rsidRPr="007D4C6B">
        <w:t xml:space="preserve"> </w:t>
      </w:r>
      <w:proofErr w:type="spellStart"/>
      <w:r w:rsidRPr="007D4C6B">
        <w:t>mit</w:t>
      </w:r>
      <w:proofErr w:type="spellEnd"/>
      <w:r w:rsidRPr="007D4C6B">
        <w:t xml:space="preserve"> </w:t>
      </w:r>
      <w:proofErr w:type="spellStart"/>
      <w:r w:rsidRPr="007D4C6B">
        <w:t>Fachgelehrten</w:t>
      </w:r>
      <w:proofErr w:type="spellEnd"/>
      <w:r w:rsidRPr="007D4C6B">
        <w:t xml:space="preserve"> 2</w:t>
      </w:r>
      <w:r w:rsidRPr="00DC3006">
        <w:rPr>
          <w:iCs/>
        </w:rPr>
        <w:t xml:space="preserve">. Ed. </w:t>
      </w:r>
      <w:r w:rsidRPr="007D4C6B">
        <w:t xml:space="preserve">Fritz Tillmann. </w:t>
      </w:r>
      <w:r>
        <w:t xml:space="preserve">4th ed. </w:t>
      </w:r>
      <w:r w:rsidRPr="007D4C6B">
        <w:t>Bonn: Peter Hanstein</w:t>
      </w:r>
      <w:r w:rsidRPr="007D4C6B">
        <w:rPr>
          <w:iCs/>
        </w:rPr>
        <w:t xml:space="preserve">, </w:t>
      </w:r>
      <w:r w:rsidRPr="007D4C6B">
        <w:t>1932.</w:t>
      </w:r>
    </w:p>
    <w:p w14:paraId="04F4E7C9" w14:textId="77777777" w:rsidR="00B47A48" w:rsidRPr="007D4C6B" w:rsidRDefault="00B47A48" w:rsidP="00B47A48">
      <w:pPr>
        <w:widowControl w:val="0"/>
        <w:ind w:left="720" w:hanging="720"/>
      </w:pPr>
      <w:r w:rsidRPr="007D4C6B">
        <w:t>Degenhardt</w:t>
      </w:r>
      <w:r w:rsidRPr="007D4C6B">
        <w:rPr>
          <w:iCs/>
        </w:rPr>
        <w:t xml:space="preserve">, </w:t>
      </w:r>
      <w:r w:rsidRPr="007D4C6B">
        <w:t xml:space="preserve">H.-J. </w:t>
      </w:r>
      <w:r w:rsidRPr="007D4C6B">
        <w:rPr>
          <w:i/>
        </w:rPr>
        <w:t>Lukas Evangelist der Armen</w:t>
      </w:r>
      <w:r w:rsidRPr="007D4C6B">
        <w:t xml:space="preserve">: </w:t>
      </w:r>
      <w:proofErr w:type="spellStart"/>
      <w:r w:rsidRPr="007D4C6B">
        <w:rPr>
          <w:i/>
        </w:rPr>
        <w:t>Besitz</w:t>
      </w:r>
      <w:proofErr w:type="spellEnd"/>
      <w:r w:rsidRPr="007D4C6B">
        <w:rPr>
          <w:i/>
        </w:rPr>
        <w:t xml:space="preserve"> und </w:t>
      </w:r>
      <w:proofErr w:type="spellStart"/>
      <w:r w:rsidRPr="007D4C6B">
        <w:rPr>
          <w:i/>
        </w:rPr>
        <w:t>Besitzverzicht</w:t>
      </w:r>
      <w:proofErr w:type="spellEnd"/>
      <w:r w:rsidRPr="007D4C6B">
        <w:rPr>
          <w:i/>
        </w:rPr>
        <w:t xml:space="preserve"> in den </w:t>
      </w:r>
      <w:proofErr w:type="spellStart"/>
      <w:r w:rsidRPr="007D4C6B">
        <w:rPr>
          <w:i/>
        </w:rPr>
        <w:t>lukanischen</w:t>
      </w:r>
      <w:proofErr w:type="spellEnd"/>
      <w:r w:rsidRPr="007D4C6B">
        <w:rPr>
          <w:i/>
        </w:rPr>
        <w:t xml:space="preserve"> </w:t>
      </w:r>
      <w:proofErr w:type="spellStart"/>
      <w:r w:rsidRPr="007D4C6B">
        <w:rPr>
          <w:i/>
        </w:rPr>
        <w:t>Schriften</w:t>
      </w:r>
      <w:proofErr w:type="spellEnd"/>
      <w:r w:rsidRPr="007D4C6B">
        <w:t xml:space="preserve">: </w:t>
      </w:r>
      <w:r w:rsidRPr="007D4C6B">
        <w:rPr>
          <w:i/>
        </w:rPr>
        <w:t xml:space="preserve">Eine traditions- und </w:t>
      </w:r>
      <w:proofErr w:type="spellStart"/>
      <w:r w:rsidRPr="007D4C6B">
        <w:rPr>
          <w:i/>
        </w:rPr>
        <w:t>redaktionsgeschichtliche</w:t>
      </w:r>
      <w:proofErr w:type="spellEnd"/>
      <w:r w:rsidRPr="007D4C6B">
        <w:rPr>
          <w:i/>
        </w:rPr>
        <w:t xml:space="preserve"> </w:t>
      </w:r>
      <w:proofErr w:type="spellStart"/>
      <w:r w:rsidRPr="007D4C6B">
        <w:rPr>
          <w:i/>
        </w:rPr>
        <w:t>Untersuchung</w:t>
      </w:r>
      <w:proofErr w:type="spellEnd"/>
      <w:r w:rsidRPr="007D4C6B">
        <w:t xml:space="preserve">. Stuttgart: </w:t>
      </w:r>
      <w:proofErr w:type="spellStart"/>
      <w:r w:rsidRPr="007D4C6B">
        <w:t>Katholisches</w:t>
      </w:r>
      <w:proofErr w:type="spellEnd"/>
      <w:r w:rsidRPr="007D4C6B">
        <w:t xml:space="preserve"> </w:t>
      </w:r>
      <w:proofErr w:type="spellStart"/>
      <w:r w:rsidRPr="007D4C6B">
        <w:t>Bibelwerk</w:t>
      </w:r>
      <w:proofErr w:type="spellEnd"/>
      <w:r w:rsidRPr="007D4C6B">
        <w:rPr>
          <w:iCs/>
        </w:rPr>
        <w:t xml:space="preserve">, </w:t>
      </w:r>
      <w:r w:rsidRPr="007D4C6B">
        <w:t>1965.</w:t>
      </w:r>
    </w:p>
    <w:p w14:paraId="426CCEE1" w14:textId="13D0C779" w:rsidR="00B47A48" w:rsidRPr="007D4C6B" w:rsidRDefault="00B47A48" w:rsidP="00B47A48">
      <w:pPr>
        <w:widowControl w:val="0"/>
        <w:ind w:left="720" w:hanging="720"/>
      </w:pPr>
      <w:r w:rsidRPr="007D4C6B">
        <w:t>Dibelius</w:t>
      </w:r>
      <w:r w:rsidRPr="007D4C6B">
        <w:rPr>
          <w:iCs/>
        </w:rPr>
        <w:t xml:space="preserve">, </w:t>
      </w:r>
      <w:r w:rsidRPr="007D4C6B">
        <w:t>M</w:t>
      </w:r>
      <w:r w:rsidR="00E565D9">
        <w:t>artin</w:t>
      </w:r>
      <w:r w:rsidRPr="007D4C6B">
        <w:t xml:space="preserve">. </w:t>
      </w:r>
      <w:r w:rsidRPr="007D4C6B">
        <w:rPr>
          <w:i/>
        </w:rPr>
        <w:t>Studies in the Acts of the Apostles</w:t>
      </w:r>
      <w:r w:rsidRPr="007D4C6B">
        <w:t xml:space="preserve">. </w:t>
      </w:r>
      <w:r w:rsidR="00E565D9">
        <w:t xml:space="preserve">Ed. </w:t>
      </w:r>
      <w:r w:rsidRPr="007D4C6B">
        <w:t xml:space="preserve">H. </w:t>
      </w:r>
      <w:proofErr w:type="spellStart"/>
      <w:r w:rsidRPr="007D4C6B">
        <w:t>Greeven</w:t>
      </w:r>
      <w:proofErr w:type="spellEnd"/>
      <w:r w:rsidRPr="007D4C6B">
        <w:t xml:space="preserve">. London: </w:t>
      </w:r>
      <w:r w:rsidRPr="00E366BA">
        <w:rPr>
          <w:iCs/>
        </w:rPr>
        <w:t>SCM</w:t>
      </w:r>
      <w:r w:rsidRPr="007D4C6B">
        <w:rPr>
          <w:iCs/>
        </w:rPr>
        <w:t xml:space="preserve">, </w:t>
      </w:r>
      <w:r w:rsidRPr="007D4C6B">
        <w:t>1956.</w:t>
      </w:r>
    </w:p>
    <w:p w14:paraId="634964CE" w14:textId="77777777" w:rsidR="00B47A48" w:rsidRPr="007D4C6B" w:rsidRDefault="00B47A48" w:rsidP="00B47A48">
      <w:pPr>
        <w:widowControl w:val="0"/>
        <w:ind w:left="720" w:hanging="720"/>
      </w:pPr>
      <w:proofErr w:type="spellStart"/>
      <w:r w:rsidRPr="007D4C6B">
        <w:t>Dillersberger</w:t>
      </w:r>
      <w:proofErr w:type="spellEnd"/>
      <w:r w:rsidRPr="007D4C6B">
        <w:rPr>
          <w:iCs/>
        </w:rPr>
        <w:t xml:space="preserve">, </w:t>
      </w:r>
      <w:r w:rsidRPr="007D4C6B">
        <w:t xml:space="preserve">Joseph. </w:t>
      </w:r>
      <w:r w:rsidRPr="007D4C6B">
        <w:rPr>
          <w:i/>
        </w:rPr>
        <w:t>The Gospel of Saint Luke</w:t>
      </w:r>
      <w:r w:rsidRPr="007D4C6B">
        <w:t xml:space="preserve">. </w:t>
      </w:r>
      <w:r w:rsidRPr="00E366BA">
        <w:rPr>
          <w:iCs/>
        </w:rPr>
        <w:t>Westminster MD</w:t>
      </w:r>
      <w:r w:rsidRPr="007D4C6B">
        <w:t>: n. p.</w:t>
      </w:r>
      <w:r w:rsidRPr="007D4C6B">
        <w:rPr>
          <w:iCs/>
        </w:rPr>
        <w:t xml:space="preserve">, </w:t>
      </w:r>
      <w:r w:rsidRPr="007D4C6B">
        <w:t xml:space="preserve">1958. </w:t>
      </w:r>
      <w:r>
        <w:t>(</w:t>
      </w:r>
      <w:r w:rsidRPr="007D4C6B">
        <w:t>German: 1939.</w:t>
      </w:r>
      <w:r>
        <w:t>)</w:t>
      </w:r>
    </w:p>
    <w:p w14:paraId="11AD0F3A" w14:textId="77777777" w:rsidR="00B47A48" w:rsidRPr="007D4C6B" w:rsidRDefault="00B47A48" w:rsidP="00B47A48">
      <w:pPr>
        <w:widowControl w:val="0"/>
        <w:ind w:left="720" w:hanging="720"/>
      </w:pPr>
      <w:r w:rsidRPr="007D4C6B">
        <w:t>Drury</w:t>
      </w:r>
      <w:r w:rsidRPr="007D4C6B">
        <w:rPr>
          <w:iCs/>
        </w:rPr>
        <w:t xml:space="preserve">, </w:t>
      </w:r>
      <w:r w:rsidRPr="007D4C6B">
        <w:t xml:space="preserve">J. </w:t>
      </w:r>
      <w:r w:rsidRPr="007D4C6B">
        <w:rPr>
          <w:i/>
        </w:rPr>
        <w:t>Tradition and Design in Luke</w:t>
      </w:r>
      <w:r w:rsidRPr="007D4C6B">
        <w:t>’</w:t>
      </w:r>
      <w:r w:rsidRPr="007D4C6B">
        <w:rPr>
          <w:i/>
        </w:rPr>
        <w:t>s Gospel</w:t>
      </w:r>
      <w:r w:rsidRPr="007D4C6B">
        <w:t xml:space="preserve">: </w:t>
      </w:r>
      <w:r w:rsidRPr="007D4C6B">
        <w:rPr>
          <w:i/>
        </w:rPr>
        <w:t>A Study in Early Christian Historiography</w:t>
      </w:r>
      <w:r w:rsidRPr="007D4C6B">
        <w:t>. London: Darton</w:t>
      </w:r>
      <w:r w:rsidRPr="007D4C6B">
        <w:rPr>
          <w:iCs/>
        </w:rPr>
        <w:t xml:space="preserve">, </w:t>
      </w:r>
      <w:r w:rsidRPr="007D4C6B">
        <w:t xml:space="preserve">Longmans </w:t>
      </w:r>
      <w:r>
        <w:t>and</w:t>
      </w:r>
      <w:r w:rsidRPr="007D4C6B">
        <w:t xml:space="preserve"> Todd</w:t>
      </w:r>
      <w:r w:rsidRPr="007D4C6B">
        <w:rPr>
          <w:iCs/>
        </w:rPr>
        <w:t xml:space="preserve">, </w:t>
      </w:r>
      <w:r w:rsidRPr="007D4C6B">
        <w:t xml:space="preserve">1976; </w:t>
      </w:r>
      <w:r w:rsidRPr="00E366BA">
        <w:rPr>
          <w:iCs/>
        </w:rPr>
        <w:t>Atlanta GA</w:t>
      </w:r>
      <w:r w:rsidRPr="007D4C6B">
        <w:t>: John Knox</w:t>
      </w:r>
      <w:r w:rsidRPr="007D4C6B">
        <w:rPr>
          <w:iCs/>
        </w:rPr>
        <w:t xml:space="preserve">, </w:t>
      </w:r>
      <w:r w:rsidRPr="007D4C6B">
        <w:t>1977.</w:t>
      </w:r>
    </w:p>
    <w:p w14:paraId="372DD620" w14:textId="77777777" w:rsidR="00B47A48" w:rsidRPr="00E5413C" w:rsidRDefault="00B47A48" w:rsidP="00B47A48">
      <w:pPr>
        <w:widowControl w:val="0"/>
        <w:ind w:left="720" w:hanging="720"/>
        <w:rPr>
          <w:lang w:val="fr-FR"/>
        </w:rPr>
      </w:pPr>
      <w:r w:rsidRPr="007D4C6B">
        <w:t>Dupont</w:t>
      </w:r>
      <w:r w:rsidRPr="007D4C6B">
        <w:rPr>
          <w:iCs/>
        </w:rPr>
        <w:t xml:space="preserve">, </w:t>
      </w:r>
      <w:r w:rsidRPr="007D4C6B">
        <w:t xml:space="preserve">Jacques. </w:t>
      </w:r>
      <w:r w:rsidRPr="007D4C6B">
        <w:rPr>
          <w:i/>
        </w:rPr>
        <w:t>The Sources of the Acts</w:t>
      </w:r>
      <w:r w:rsidRPr="007D4C6B">
        <w:t>. Trans. Kathleen Pond. London: Darton</w:t>
      </w:r>
      <w:r w:rsidRPr="007D4C6B">
        <w:rPr>
          <w:iCs/>
        </w:rPr>
        <w:t xml:space="preserve">, </w:t>
      </w:r>
      <w:r w:rsidRPr="007D4C6B">
        <w:t xml:space="preserve">Longman </w:t>
      </w:r>
      <w:r>
        <w:t>and</w:t>
      </w:r>
      <w:r w:rsidRPr="007D4C6B">
        <w:t xml:space="preserve"> Todd</w:t>
      </w:r>
      <w:r w:rsidRPr="007D4C6B">
        <w:rPr>
          <w:iCs/>
        </w:rPr>
        <w:t xml:space="preserve">, </w:t>
      </w:r>
      <w:r w:rsidRPr="007D4C6B">
        <w:t xml:space="preserve">1964; New York: Herder </w:t>
      </w:r>
      <w:r>
        <w:t>and</w:t>
      </w:r>
      <w:r w:rsidRPr="007D4C6B">
        <w:t xml:space="preserve"> Herder</w:t>
      </w:r>
      <w:r w:rsidRPr="007D4C6B">
        <w:rPr>
          <w:iCs/>
        </w:rPr>
        <w:t xml:space="preserve">, </w:t>
      </w:r>
      <w:r w:rsidRPr="007D4C6B">
        <w:t xml:space="preserve">1964. </w:t>
      </w:r>
      <w:r w:rsidRPr="00E5413C">
        <w:rPr>
          <w:lang w:val="fr-FR"/>
        </w:rPr>
        <w:t xml:space="preserve">(French: </w:t>
      </w:r>
      <w:r w:rsidRPr="00E5413C">
        <w:rPr>
          <w:i/>
          <w:lang w:val="fr-FR"/>
        </w:rPr>
        <w:t>Les Sources du Livre des Actes</w:t>
      </w:r>
      <w:r w:rsidRPr="00E5413C">
        <w:rPr>
          <w:iCs/>
          <w:lang w:val="fr-FR"/>
        </w:rPr>
        <w:t xml:space="preserve">, </w:t>
      </w:r>
      <w:r w:rsidRPr="00E5413C">
        <w:rPr>
          <w:lang w:val="fr-FR"/>
        </w:rPr>
        <w:t>Tournai</w:t>
      </w:r>
      <w:r w:rsidRPr="00E5413C">
        <w:rPr>
          <w:iCs/>
          <w:lang w:val="fr-FR"/>
        </w:rPr>
        <w:t xml:space="preserve">, </w:t>
      </w:r>
      <w:proofErr w:type="spellStart"/>
      <w:r w:rsidRPr="00E5413C">
        <w:rPr>
          <w:lang w:val="fr-FR"/>
        </w:rPr>
        <w:t>Belgium</w:t>
      </w:r>
      <w:proofErr w:type="spellEnd"/>
      <w:r w:rsidRPr="00E5413C">
        <w:rPr>
          <w:lang w:val="fr-FR"/>
        </w:rPr>
        <w:t>: Desclée de Brouwer</w:t>
      </w:r>
      <w:r w:rsidRPr="00E5413C">
        <w:rPr>
          <w:iCs/>
          <w:lang w:val="fr-FR"/>
        </w:rPr>
        <w:t xml:space="preserve">, </w:t>
      </w:r>
      <w:r w:rsidRPr="00E5413C">
        <w:rPr>
          <w:lang w:val="fr-FR"/>
        </w:rPr>
        <w:t>1960.)</w:t>
      </w:r>
    </w:p>
    <w:p w14:paraId="747C49FC" w14:textId="77777777" w:rsidR="00B47A48" w:rsidRPr="007D4C6B" w:rsidRDefault="00B47A48" w:rsidP="00B47A48">
      <w:pPr>
        <w:widowControl w:val="0"/>
        <w:ind w:left="720" w:hanging="720"/>
      </w:pPr>
      <w:r w:rsidRPr="007D4C6B">
        <w:t>Easton</w:t>
      </w:r>
      <w:r w:rsidRPr="007D4C6B">
        <w:rPr>
          <w:iCs/>
        </w:rPr>
        <w:t xml:space="preserve">, </w:t>
      </w:r>
      <w:r w:rsidRPr="007D4C6B">
        <w:t xml:space="preserve">Burton Scott. </w:t>
      </w:r>
      <w:r w:rsidRPr="007D4C6B">
        <w:rPr>
          <w:i/>
        </w:rPr>
        <w:t>Early Christianity</w:t>
      </w:r>
      <w:r w:rsidRPr="007D4C6B">
        <w:t xml:space="preserve">: </w:t>
      </w:r>
      <w:r w:rsidRPr="007D4C6B">
        <w:rPr>
          <w:i/>
        </w:rPr>
        <w:t>The Purpose of Acts and Other Papers</w:t>
      </w:r>
      <w:r w:rsidRPr="007D4C6B">
        <w:t>. Ed</w:t>
      </w:r>
      <w:r>
        <w:t>.</w:t>
      </w:r>
      <w:r w:rsidRPr="007D4C6B">
        <w:t xml:space="preserve"> Frederick C. Grant. </w:t>
      </w:r>
      <w:r w:rsidRPr="00E366BA">
        <w:rPr>
          <w:iCs/>
        </w:rPr>
        <w:t>Greenwich CT</w:t>
      </w:r>
      <w:r w:rsidRPr="007D4C6B">
        <w:t>: Seabury</w:t>
      </w:r>
      <w:r w:rsidRPr="007D4C6B">
        <w:rPr>
          <w:iCs/>
        </w:rPr>
        <w:t xml:space="preserve">, </w:t>
      </w:r>
      <w:r w:rsidRPr="007D4C6B">
        <w:t xml:space="preserve">1954. </w:t>
      </w:r>
      <w:r>
        <w:t>(</w:t>
      </w:r>
      <w:r w:rsidRPr="007D4C6B">
        <w:rPr>
          <w:i/>
        </w:rPr>
        <w:t>The Purpose of Acts</w:t>
      </w:r>
      <w:r w:rsidRPr="007D4C6B">
        <w:t xml:space="preserve"> was originally an independent monograph: Theology Occasional Papers 6</w:t>
      </w:r>
      <w:r>
        <w:rPr>
          <w:iCs/>
        </w:rPr>
        <w:t>.</w:t>
      </w:r>
      <w:r w:rsidRPr="007D4C6B">
        <w:rPr>
          <w:iCs/>
        </w:rPr>
        <w:t xml:space="preserve"> </w:t>
      </w:r>
      <w:r w:rsidRPr="007D4C6B">
        <w:t xml:space="preserve">London: </w:t>
      </w:r>
      <w:r w:rsidRPr="00E366BA">
        <w:rPr>
          <w:iCs/>
        </w:rPr>
        <w:t>SPCK</w:t>
      </w:r>
      <w:r w:rsidRPr="007D4C6B">
        <w:rPr>
          <w:iCs/>
        </w:rPr>
        <w:t xml:space="preserve">, </w:t>
      </w:r>
      <w:r w:rsidRPr="007D4C6B">
        <w:t>1936.</w:t>
      </w:r>
      <w:r>
        <w:t>)</w:t>
      </w:r>
    </w:p>
    <w:p w14:paraId="5F2F49DF" w14:textId="77777777" w:rsidR="00B47A48" w:rsidRPr="007D4C6B" w:rsidRDefault="00B47A48" w:rsidP="00B47A48">
      <w:pPr>
        <w:widowControl w:val="0"/>
        <w:ind w:left="720" w:hanging="720"/>
      </w:pPr>
      <w:r w:rsidRPr="007D4C6B">
        <w:t>Easton</w:t>
      </w:r>
      <w:r w:rsidRPr="007D4C6B">
        <w:rPr>
          <w:iCs/>
        </w:rPr>
        <w:t xml:space="preserve">, </w:t>
      </w:r>
      <w:r w:rsidRPr="007D4C6B">
        <w:t xml:space="preserve">Burton Scott. </w:t>
      </w:r>
      <w:r w:rsidRPr="007D4C6B">
        <w:rPr>
          <w:i/>
        </w:rPr>
        <w:t>The Gospel According to Saint Luke</w:t>
      </w:r>
      <w:r w:rsidRPr="007D4C6B">
        <w:t xml:space="preserve">: </w:t>
      </w:r>
      <w:r w:rsidRPr="007D4C6B">
        <w:rPr>
          <w:i/>
        </w:rPr>
        <w:t>With Introduction</w:t>
      </w:r>
      <w:r w:rsidRPr="007D4C6B">
        <w:rPr>
          <w:iCs/>
        </w:rPr>
        <w:t xml:space="preserve">, </w:t>
      </w:r>
      <w:r w:rsidRPr="007D4C6B">
        <w:rPr>
          <w:i/>
        </w:rPr>
        <w:t>Text and Notes</w:t>
      </w:r>
      <w:r w:rsidRPr="007D4C6B">
        <w:t>. New York: Scribner’s</w:t>
      </w:r>
      <w:r w:rsidRPr="007D4C6B">
        <w:rPr>
          <w:iCs/>
        </w:rPr>
        <w:t xml:space="preserve">, </w:t>
      </w:r>
      <w:r w:rsidRPr="007D4C6B">
        <w:t>1926.</w:t>
      </w:r>
    </w:p>
    <w:p w14:paraId="3431DDA2" w14:textId="77777777" w:rsidR="00B47A48" w:rsidRPr="007D4C6B" w:rsidRDefault="00B47A48" w:rsidP="00B47A48">
      <w:pPr>
        <w:widowControl w:val="0"/>
        <w:ind w:left="720" w:hanging="720"/>
      </w:pPr>
      <w:r w:rsidRPr="007D4C6B">
        <w:t>Edwards</w:t>
      </w:r>
      <w:r w:rsidRPr="007D4C6B">
        <w:rPr>
          <w:iCs/>
        </w:rPr>
        <w:t xml:space="preserve">, </w:t>
      </w:r>
      <w:r w:rsidRPr="00DC3006">
        <w:rPr>
          <w:iCs/>
        </w:rPr>
        <w:t>O.C.</w:t>
      </w:r>
      <w:r w:rsidRPr="007D4C6B">
        <w:rPr>
          <w:iCs/>
        </w:rPr>
        <w:t xml:space="preserve">, </w:t>
      </w:r>
      <w:r w:rsidRPr="007D4C6B">
        <w:t xml:space="preserve">Jr. </w:t>
      </w:r>
      <w:r w:rsidRPr="007D4C6B">
        <w:rPr>
          <w:i/>
        </w:rPr>
        <w:t>Luke</w:t>
      </w:r>
      <w:r w:rsidRPr="007D4C6B">
        <w:t>’</w:t>
      </w:r>
      <w:r w:rsidRPr="007D4C6B">
        <w:rPr>
          <w:i/>
        </w:rPr>
        <w:t>s Story of Jesus</w:t>
      </w:r>
      <w:r w:rsidRPr="007D4C6B">
        <w:t>. Philadelphia: Fortress</w:t>
      </w:r>
      <w:r w:rsidRPr="007D4C6B">
        <w:rPr>
          <w:iCs/>
        </w:rPr>
        <w:t xml:space="preserve">, </w:t>
      </w:r>
      <w:r w:rsidRPr="007D4C6B">
        <w:t>1981.</w:t>
      </w:r>
    </w:p>
    <w:p w14:paraId="78105FB9" w14:textId="77777777" w:rsidR="00B47A48" w:rsidRPr="007D4C6B" w:rsidRDefault="00B47A48" w:rsidP="00B47A48">
      <w:pPr>
        <w:widowControl w:val="0"/>
        <w:ind w:left="720" w:hanging="720"/>
      </w:pPr>
      <w:r w:rsidRPr="007D4C6B">
        <w:t>Ellis</w:t>
      </w:r>
      <w:r w:rsidRPr="007D4C6B">
        <w:rPr>
          <w:iCs/>
        </w:rPr>
        <w:t xml:space="preserve">, </w:t>
      </w:r>
      <w:r w:rsidRPr="007D4C6B">
        <w:t xml:space="preserve">Edward Earle. </w:t>
      </w:r>
      <w:r w:rsidRPr="007D4C6B">
        <w:rPr>
          <w:i/>
        </w:rPr>
        <w:t>Eschatology in Luke</w:t>
      </w:r>
      <w:r w:rsidRPr="007D4C6B">
        <w:t>. FBBS 30. Philadelphia: Fortress</w:t>
      </w:r>
      <w:r w:rsidRPr="007D4C6B">
        <w:rPr>
          <w:iCs/>
        </w:rPr>
        <w:t xml:space="preserve">, </w:t>
      </w:r>
      <w:r w:rsidRPr="007D4C6B">
        <w:t xml:space="preserve">1972. </w:t>
      </w:r>
      <w:r>
        <w:t>(</w:t>
      </w:r>
      <w:r w:rsidRPr="007D4C6B">
        <w:t xml:space="preserve">German: “Die </w:t>
      </w:r>
      <w:proofErr w:type="spellStart"/>
      <w:r w:rsidRPr="007D4C6B">
        <w:t>Funktion</w:t>
      </w:r>
      <w:proofErr w:type="spellEnd"/>
      <w:r w:rsidRPr="007D4C6B">
        <w:t xml:space="preserve"> der </w:t>
      </w:r>
      <w:proofErr w:type="spellStart"/>
      <w:r w:rsidRPr="007D4C6B">
        <w:t>Eschatologie</w:t>
      </w:r>
      <w:proofErr w:type="spellEnd"/>
      <w:r w:rsidRPr="007D4C6B">
        <w:t xml:space="preserve"> </w:t>
      </w:r>
      <w:proofErr w:type="spellStart"/>
      <w:r w:rsidRPr="007D4C6B">
        <w:t>im</w:t>
      </w:r>
      <w:proofErr w:type="spellEnd"/>
      <w:r w:rsidRPr="007D4C6B">
        <w:t xml:space="preserve"> </w:t>
      </w:r>
      <w:proofErr w:type="spellStart"/>
      <w:r w:rsidRPr="007D4C6B">
        <w:t>Lukasevangelium</w:t>
      </w:r>
      <w:proofErr w:type="spellEnd"/>
      <w:r w:rsidRPr="007D4C6B">
        <w:t xml:space="preserve">,” </w:t>
      </w:r>
      <w:r w:rsidRPr="007D4C6B">
        <w:rPr>
          <w:i/>
        </w:rPr>
        <w:t>ZTK</w:t>
      </w:r>
      <w:r w:rsidRPr="007D4C6B">
        <w:t xml:space="preserve"> 66 (1969) 387-402</w:t>
      </w:r>
      <w:r>
        <w:rPr>
          <w:iCs/>
        </w:rPr>
        <w:t>.</w:t>
      </w:r>
      <w:r w:rsidRPr="007D4C6B">
        <w:rPr>
          <w:iCs/>
        </w:rPr>
        <w:t xml:space="preserve"> </w:t>
      </w:r>
      <w:r w:rsidRPr="007D4C6B">
        <w:t xml:space="preserve">Rpt. in </w:t>
      </w:r>
      <w:r w:rsidRPr="007D4C6B">
        <w:rPr>
          <w:i/>
        </w:rPr>
        <w:t>Das Lukas-Evangelium</w:t>
      </w:r>
      <w:r w:rsidRPr="007D4C6B">
        <w:t xml:space="preserve">: </w:t>
      </w:r>
      <w:r w:rsidRPr="007D4C6B">
        <w:rPr>
          <w:i/>
        </w:rPr>
        <w:t xml:space="preserve">Die redactions- und </w:t>
      </w:r>
      <w:proofErr w:type="spellStart"/>
      <w:r w:rsidRPr="007D4C6B">
        <w:rPr>
          <w:i/>
        </w:rPr>
        <w:t>kompositionsgeschichtliche</w:t>
      </w:r>
      <w:proofErr w:type="spellEnd"/>
      <w:r w:rsidRPr="007D4C6B">
        <w:rPr>
          <w:i/>
        </w:rPr>
        <w:t xml:space="preserve"> Forschung</w:t>
      </w:r>
      <w:r>
        <w:rPr>
          <w:iCs/>
        </w:rPr>
        <w:t>.</w:t>
      </w:r>
      <w:r w:rsidRPr="007D4C6B">
        <w:rPr>
          <w:iCs/>
        </w:rPr>
        <w:t xml:space="preserve"> </w:t>
      </w:r>
      <w:r w:rsidRPr="007D4C6B">
        <w:t>Ed. Georg Braumann</w:t>
      </w:r>
      <w:r>
        <w:rPr>
          <w:iCs/>
        </w:rPr>
        <w:t>.</w:t>
      </w:r>
      <w:r w:rsidRPr="007D4C6B">
        <w:rPr>
          <w:iCs/>
        </w:rPr>
        <w:t xml:space="preserve"> </w:t>
      </w:r>
      <w:proofErr w:type="spellStart"/>
      <w:r w:rsidRPr="00E5413C">
        <w:rPr>
          <w:lang w:val="fr-FR"/>
        </w:rPr>
        <w:t>Wege</w:t>
      </w:r>
      <w:proofErr w:type="spellEnd"/>
      <w:r w:rsidRPr="00E5413C">
        <w:rPr>
          <w:lang w:val="fr-FR"/>
        </w:rPr>
        <w:t xml:space="preserve"> der </w:t>
      </w:r>
      <w:proofErr w:type="spellStart"/>
      <w:r w:rsidRPr="00E5413C">
        <w:rPr>
          <w:lang w:val="fr-FR"/>
        </w:rPr>
        <w:t>Forschung</w:t>
      </w:r>
      <w:proofErr w:type="spellEnd"/>
      <w:r w:rsidRPr="00E5413C">
        <w:rPr>
          <w:lang w:val="fr-FR"/>
        </w:rPr>
        <w:t xml:space="preserve"> 280</w:t>
      </w:r>
      <w:r w:rsidRPr="00E5413C">
        <w:rPr>
          <w:iCs/>
          <w:lang w:val="fr-FR"/>
        </w:rPr>
        <w:t xml:space="preserve">. </w:t>
      </w:r>
      <w:r w:rsidRPr="00E5413C">
        <w:rPr>
          <w:lang w:val="fr-FR"/>
        </w:rPr>
        <w:t xml:space="preserve">Darmstadt: </w:t>
      </w:r>
      <w:proofErr w:type="spellStart"/>
      <w:r w:rsidRPr="00E5413C">
        <w:rPr>
          <w:lang w:val="fr-FR"/>
        </w:rPr>
        <w:t>Wissenschaftliche</w:t>
      </w:r>
      <w:proofErr w:type="spellEnd"/>
      <w:r w:rsidRPr="00E5413C">
        <w:rPr>
          <w:lang w:val="fr-FR"/>
        </w:rPr>
        <w:t xml:space="preserve"> </w:t>
      </w:r>
      <w:proofErr w:type="spellStart"/>
      <w:r w:rsidRPr="00E5413C">
        <w:rPr>
          <w:lang w:val="fr-FR"/>
        </w:rPr>
        <w:t>Buchgesellschaft</w:t>
      </w:r>
      <w:proofErr w:type="spellEnd"/>
      <w:r w:rsidRPr="00E5413C">
        <w:rPr>
          <w:iCs/>
          <w:lang w:val="fr-FR"/>
        </w:rPr>
        <w:t xml:space="preserve">, </w:t>
      </w:r>
      <w:r w:rsidRPr="00E5413C">
        <w:rPr>
          <w:lang w:val="fr-FR"/>
        </w:rPr>
        <w:t xml:space="preserve">1974. French: in </w:t>
      </w:r>
      <w:r w:rsidRPr="00E5413C">
        <w:rPr>
          <w:i/>
          <w:lang w:val="fr-FR"/>
        </w:rPr>
        <w:t>L</w:t>
      </w:r>
      <w:r w:rsidRPr="00E5413C">
        <w:rPr>
          <w:lang w:val="fr-FR"/>
        </w:rPr>
        <w:t>’</w:t>
      </w:r>
      <w:r w:rsidRPr="00E5413C">
        <w:rPr>
          <w:i/>
          <w:lang w:val="fr-FR"/>
        </w:rPr>
        <w:t>Évangile de Luc</w:t>
      </w:r>
      <w:r w:rsidRPr="00E5413C">
        <w:rPr>
          <w:lang w:val="fr-FR"/>
        </w:rPr>
        <w:t xml:space="preserve">: </w:t>
      </w:r>
      <w:r w:rsidRPr="00E5413C">
        <w:rPr>
          <w:i/>
          <w:lang w:val="fr-FR"/>
        </w:rPr>
        <w:t>Problèmes littéraires et théologiques</w:t>
      </w:r>
      <w:r w:rsidRPr="00E5413C">
        <w:rPr>
          <w:lang w:val="fr-FR"/>
        </w:rPr>
        <w:t xml:space="preserve">: </w:t>
      </w:r>
      <w:r w:rsidRPr="00E5413C">
        <w:rPr>
          <w:i/>
          <w:lang w:val="fr-FR"/>
        </w:rPr>
        <w:t xml:space="preserve">Mémorial Lucien </w:t>
      </w:r>
      <w:proofErr w:type="spellStart"/>
      <w:r w:rsidRPr="00E5413C">
        <w:rPr>
          <w:i/>
          <w:lang w:val="fr-FR"/>
        </w:rPr>
        <w:t>Cerfaux</w:t>
      </w:r>
      <w:proofErr w:type="spellEnd"/>
      <w:r w:rsidRPr="00E5413C">
        <w:rPr>
          <w:iCs/>
          <w:lang w:val="fr-FR"/>
        </w:rPr>
        <w:t xml:space="preserve">. </w:t>
      </w:r>
      <w:r w:rsidRPr="007D4C6B">
        <w:t>Ed. F. Neirynck</w:t>
      </w:r>
      <w:r>
        <w:rPr>
          <w:iCs/>
        </w:rPr>
        <w:t>.</w:t>
      </w:r>
      <w:r w:rsidRPr="007D4C6B">
        <w:rPr>
          <w:iCs/>
        </w:rPr>
        <w:t xml:space="preserve"> </w:t>
      </w:r>
      <w:r w:rsidRPr="00826EC1">
        <w:rPr>
          <w:iCs/>
        </w:rPr>
        <w:t xml:space="preserve">Bibliotheca </w:t>
      </w:r>
      <w:proofErr w:type="spellStart"/>
      <w:r w:rsidRPr="00826EC1">
        <w:rPr>
          <w:iCs/>
        </w:rPr>
        <w:t>Ephemeridum</w:t>
      </w:r>
      <w:proofErr w:type="spellEnd"/>
      <w:r w:rsidRPr="00826EC1">
        <w:rPr>
          <w:iCs/>
        </w:rPr>
        <w:t xml:space="preserve"> </w:t>
      </w:r>
      <w:proofErr w:type="spellStart"/>
      <w:r w:rsidRPr="00826EC1">
        <w:rPr>
          <w:iCs/>
        </w:rPr>
        <w:t>Theologicarum</w:t>
      </w:r>
      <w:proofErr w:type="spellEnd"/>
      <w:r w:rsidRPr="00826EC1">
        <w:rPr>
          <w:iCs/>
        </w:rPr>
        <w:t xml:space="preserve"> </w:t>
      </w:r>
      <w:proofErr w:type="spellStart"/>
      <w:r w:rsidRPr="00826EC1">
        <w:rPr>
          <w:iCs/>
        </w:rPr>
        <w:t>Lovaniensium</w:t>
      </w:r>
      <w:proofErr w:type="spellEnd"/>
      <w:r w:rsidRPr="007D4C6B">
        <w:t xml:space="preserve"> </w:t>
      </w:r>
      <w:r w:rsidRPr="007D4C6B">
        <w:lastRenderedPageBreak/>
        <w:t>32</w:t>
      </w:r>
      <w:r>
        <w:rPr>
          <w:iCs/>
        </w:rPr>
        <w:t>.</w:t>
      </w:r>
      <w:r w:rsidRPr="007D4C6B">
        <w:rPr>
          <w:iCs/>
        </w:rPr>
        <w:t xml:space="preserve"> </w:t>
      </w:r>
      <w:r w:rsidRPr="007D4C6B">
        <w:t xml:space="preserve">Gembloux: J. </w:t>
      </w:r>
      <w:proofErr w:type="spellStart"/>
      <w:r w:rsidRPr="007D4C6B">
        <w:t>Duculot</w:t>
      </w:r>
      <w:proofErr w:type="spellEnd"/>
      <w:r w:rsidRPr="007D4C6B">
        <w:rPr>
          <w:iCs/>
        </w:rPr>
        <w:t xml:space="preserve">, </w:t>
      </w:r>
      <w:r w:rsidRPr="007D4C6B">
        <w:t>1973.</w:t>
      </w:r>
      <w:r>
        <w:t>)</w:t>
      </w:r>
    </w:p>
    <w:p w14:paraId="27352E2D" w14:textId="77777777" w:rsidR="00B47A48" w:rsidRPr="007D4C6B" w:rsidRDefault="00B47A48" w:rsidP="00B47A48">
      <w:pPr>
        <w:widowControl w:val="0"/>
        <w:ind w:left="720" w:hanging="720"/>
      </w:pPr>
      <w:r w:rsidRPr="007D4C6B">
        <w:t>Ellis</w:t>
      </w:r>
      <w:r w:rsidRPr="007D4C6B">
        <w:rPr>
          <w:iCs/>
        </w:rPr>
        <w:t xml:space="preserve">, </w:t>
      </w:r>
      <w:r w:rsidRPr="007D4C6B">
        <w:t xml:space="preserve">Edward Earle. </w:t>
      </w:r>
      <w:r w:rsidRPr="007D4C6B">
        <w:rPr>
          <w:i/>
        </w:rPr>
        <w:t>The Gospel of Luke</w:t>
      </w:r>
      <w:r w:rsidRPr="007D4C6B">
        <w:t>. N</w:t>
      </w:r>
      <w:r>
        <w:t xml:space="preserve">ew </w:t>
      </w:r>
      <w:r w:rsidRPr="007D4C6B">
        <w:t>C</w:t>
      </w:r>
      <w:r>
        <w:t xml:space="preserve">entury </w:t>
      </w:r>
      <w:r w:rsidRPr="007D4C6B">
        <w:t>B</w:t>
      </w:r>
      <w:r>
        <w:t>ible</w:t>
      </w:r>
      <w:r w:rsidRPr="007D4C6B">
        <w:t xml:space="preserve">. Rev. ed. London: Thomas Nelson </w:t>
      </w:r>
      <w:r>
        <w:t>and</w:t>
      </w:r>
      <w:r w:rsidRPr="007D4C6B">
        <w:t xml:space="preserve"> Sons</w:t>
      </w:r>
      <w:r w:rsidRPr="007D4C6B">
        <w:rPr>
          <w:iCs/>
        </w:rPr>
        <w:t xml:space="preserve">, </w:t>
      </w:r>
      <w:r w:rsidRPr="007D4C6B">
        <w:t>1966</w:t>
      </w:r>
      <w:r>
        <w:t>.</w:t>
      </w:r>
      <w:r w:rsidRPr="007D4C6B">
        <w:t xml:space="preserve"> Rev. ed.</w:t>
      </w:r>
      <w:r w:rsidRPr="007D4C6B">
        <w:rPr>
          <w:iCs/>
        </w:rPr>
        <w:t xml:space="preserve"> </w:t>
      </w:r>
      <w:r w:rsidRPr="007D4C6B">
        <w:t>London: Oliphants</w:t>
      </w:r>
      <w:r w:rsidRPr="007D4C6B">
        <w:rPr>
          <w:iCs/>
        </w:rPr>
        <w:t xml:space="preserve">, </w:t>
      </w:r>
      <w:r w:rsidRPr="007D4C6B">
        <w:t>1974</w:t>
      </w:r>
      <w:r>
        <w:t>.</w:t>
      </w:r>
      <w:r w:rsidRPr="007D4C6B">
        <w:t xml:space="preserve"> Paperback ed.</w:t>
      </w:r>
      <w:r w:rsidRPr="007D4C6B">
        <w:rPr>
          <w:iCs/>
        </w:rPr>
        <w:t xml:space="preserve"> </w:t>
      </w:r>
      <w:r w:rsidRPr="007D4C6B">
        <w:t>London: Marshall</w:t>
      </w:r>
      <w:r w:rsidRPr="007D4C6B">
        <w:rPr>
          <w:iCs/>
        </w:rPr>
        <w:t xml:space="preserve">, </w:t>
      </w:r>
      <w:r w:rsidRPr="007D4C6B">
        <w:t xml:space="preserve">Morgan </w:t>
      </w:r>
      <w:r>
        <w:t>and</w:t>
      </w:r>
      <w:r w:rsidRPr="007D4C6B">
        <w:t xml:space="preserve"> Scott</w:t>
      </w:r>
      <w:r w:rsidRPr="007D4C6B">
        <w:rPr>
          <w:iCs/>
        </w:rPr>
        <w:t xml:space="preserve">, </w:t>
      </w:r>
      <w:r w:rsidRPr="007D4C6B">
        <w:t>1981</w:t>
      </w:r>
      <w:r>
        <w:t>.</w:t>
      </w:r>
      <w:r w:rsidRPr="007D4C6B">
        <w:t xml:space="preserve"> Rpt. paperback ed.</w:t>
      </w:r>
      <w:r w:rsidRPr="007D4C6B">
        <w:rPr>
          <w:iCs/>
        </w:rPr>
        <w:t xml:space="preserve"> </w:t>
      </w:r>
      <w:r w:rsidRPr="00DC3006">
        <w:rPr>
          <w:iCs/>
        </w:rPr>
        <w:t>Grand Rapids MI</w:t>
      </w:r>
      <w:r w:rsidRPr="007D4C6B">
        <w:t>: Eerdmans</w:t>
      </w:r>
      <w:r w:rsidRPr="007D4C6B">
        <w:rPr>
          <w:iCs/>
        </w:rPr>
        <w:t xml:space="preserve">, </w:t>
      </w:r>
      <w:r w:rsidRPr="007D4C6B">
        <w:t>1983.</w:t>
      </w:r>
    </w:p>
    <w:p w14:paraId="3E393277" w14:textId="77777777" w:rsidR="00B47A48" w:rsidRPr="007D4C6B" w:rsidRDefault="00B47A48" w:rsidP="00B47A48">
      <w:pPr>
        <w:widowControl w:val="0"/>
        <w:ind w:left="720" w:hanging="720"/>
      </w:pPr>
      <w:r w:rsidRPr="007D4C6B">
        <w:t>Ernst</w:t>
      </w:r>
      <w:r w:rsidRPr="007D4C6B">
        <w:rPr>
          <w:iCs/>
        </w:rPr>
        <w:t xml:space="preserve">, </w:t>
      </w:r>
      <w:r w:rsidRPr="007D4C6B">
        <w:t xml:space="preserve">Josef. </w:t>
      </w:r>
      <w:r w:rsidRPr="007D4C6B">
        <w:rPr>
          <w:i/>
        </w:rPr>
        <w:t xml:space="preserve">Das Evangelium </w:t>
      </w:r>
      <w:proofErr w:type="spellStart"/>
      <w:r w:rsidRPr="007D4C6B">
        <w:rPr>
          <w:i/>
        </w:rPr>
        <w:t>nach</w:t>
      </w:r>
      <w:proofErr w:type="spellEnd"/>
      <w:r w:rsidRPr="007D4C6B">
        <w:rPr>
          <w:i/>
        </w:rPr>
        <w:t xml:space="preserve"> Lukas </w:t>
      </w:r>
      <w:proofErr w:type="spellStart"/>
      <w:r w:rsidRPr="007D4C6B">
        <w:rPr>
          <w:i/>
        </w:rPr>
        <w:t>übersetzt</w:t>
      </w:r>
      <w:proofErr w:type="spellEnd"/>
      <w:r w:rsidRPr="007D4C6B">
        <w:rPr>
          <w:i/>
        </w:rPr>
        <w:t xml:space="preserve"> und </w:t>
      </w:r>
      <w:proofErr w:type="spellStart"/>
      <w:r w:rsidRPr="007D4C6B">
        <w:rPr>
          <w:i/>
        </w:rPr>
        <w:t>erklärt</w:t>
      </w:r>
      <w:proofErr w:type="spellEnd"/>
      <w:r w:rsidRPr="007D4C6B">
        <w:t>. RNT 3</w:t>
      </w:r>
      <w:r>
        <w:rPr>
          <w:iCs/>
        </w:rPr>
        <w:t>.</w:t>
      </w:r>
      <w:r w:rsidRPr="007D4C6B">
        <w:rPr>
          <w:iCs/>
        </w:rPr>
        <w:t xml:space="preserve"> </w:t>
      </w:r>
      <w:r w:rsidRPr="007D4C6B">
        <w:t>Ed. Otto Kuss. Regensburg: Friedrich Pustet</w:t>
      </w:r>
      <w:r w:rsidRPr="007D4C6B">
        <w:rPr>
          <w:iCs/>
        </w:rPr>
        <w:t xml:space="preserve">, </w:t>
      </w:r>
      <w:r w:rsidRPr="007D4C6B">
        <w:t xml:space="preserve">1977. </w:t>
      </w:r>
      <w:r>
        <w:t>(</w:t>
      </w:r>
      <w:r w:rsidRPr="007D4C6B">
        <w:t>Replaces the commentary by Josef Schmid.</w:t>
      </w:r>
      <w:r>
        <w:t>)</w:t>
      </w:r>
    </w:p>
    <w:p w14:paraId="3351C8F6" w14:textId="77777777" w:rsidR="00B47A48" w:rsidRPr="007D4C6B" w:rsidRDefault="00B47A48" w:rsidP="00B47A48">
      <w:pPr>
        <w:widowControl w:val="0"/>
        <w:ind w:left="720" w:hanging="720"/>
      </w:pPr>
      <w:r w:rsidRPr="007D4C6B">
        <w:t>Ernst</w:t>
      </w:r>
      <w:r w:rsidRPr="007D4C6B">
        <w:rPr>
          <w:iCs/>
        </w:rPr>
        <w:t xml:space="preserve">, </w:t>
      </w:r>
      <w:r w:rsidRPr="007D4C6B">
        <w:t xml:space="preserve">Josef. </w:t>
      </w:r>
      <w:r w:rsidRPr="007D4C6B">
        <w:rPr>
          <w:i/>
        </w:rPr>
        <w:t xml:space="preserve">Herr der </w:t>
      </w:r>
      <w:proofErr w:type="spellStart"/>
      <w:r w:rsidRPr="007D4C6B">
        <w:rPr>
          <w:i/>
        </w:rPr>
        <w:t>Geschichte</w:t>
      </w:r>
      <w:proofErr w:type="spellEnd"/>
      <w:r w:rsidRPr="007D4C6B">
        <w:t xml:space="preserve">: </w:t>
      </w:r>
      <w:proofErr w:type="spellStart"/>
      <w:r w:rsidRPr="007D4C6B">
        <w:rPr>
          <w:i/>
        </w:rPr>
        <w:t>Perspektiven</w:t>
      </w:r>
      <w:proofErr w:type="spellEnd"/>
      <w:r w:rsidRPr="007D4C6B">
        <w:rPr>
          <w:i/>
        </w:rPr>
        <w:t xml:space="preserve"> der </w:t>
      </w:r>
      <w:proofErr w:type="spellStart"/>
      <w:r w:rsidRPr="007D4C6B">
        <w:rPr>
          <w:i/>
        </w:rPr>
        <w:t>lukanischen</w:t>
      </w:r>
      <w:proofErr w:type="spellEnd"/>
      <w:r w:rsidRPr="007D4C6B">
        <w:rPr>
          <w:i/>
        </w:rPr>
        <w:t xml:space="preserve"> </w:t>
      </w:r>
      <w:proofErr w:type="spellStart"/>
      <w:r w:rsidRPr="007D4C6B">
        <w:rPr>
          <w:i/>
        </w:rPr>
        <w:t>Eschatologie</w:t>
      </w:r>
      <w:proofErr w:type="spellEnd"/>
      <w:r w:rsidRPr="007D4C6B">
        <w:t>. SBS 88</w:t>
      </w:r>
      <w:r w:rsidRPr="00DC3006">
        <w:rPr>
          <w:iCs/>
        </w:rPr>
        <w:t xml:space="preserve">. Eds. </w:t>
      </w:r>
      <w:r w:rsidRPr="007D4C6B">
        <w:t>Herbert Haag</w:t>
      </w:r>
      <w:r w:rsidRPr="007D4C6B">
        <w:rPr>
          <w:iCs/>
        </w:rPr>
        <w:t xml:space="preserve">, </w:t>
      </w:r>
      <w:r w:rsidRPr="007D4C6B">
        <w:t>Rudolf Kilian</w:t>
      </w:r>
      <w:r w:rsidRPr="007D4C6B">
        <w:rPr>
          <w:iCs/>
        </w:rPr>
        <w:t xml:space="preserve">, </w:t>
      </w:r>
      <w:r w:rsidRPr="007D4C6B">
        <w:t xml:space="preserve">and Wilhelm Pesch. Stuttgart: </w:t>
      </w:r>
      <w:proofErr w:type="spellStart"/>
      <w:r w:rsidRPr="007D4C6B">
        <w:t>Katholisches</w:t>
      </w:r>
      <w:proofErr w:type="spellEnd"/>
      <w:r w:rsidRPr="007D4C6B">
        <w:t xml:space="preserve"> </w:t>
      </w:r>
      <w:proofErr w:type="spellStart"/>
      <w:r w:rsidRPr="007D4C6B">
        <w:t>Bibelwerk</w:t>
      </w:r>
      <w:proofErr w:type="spellEnd"/>
      <w:r w:rsidRPr="007D4C6B">
        <w:rPr>
          <w:iCs/>
        </w:rPr>
        <w:t xml:space="preserve">, </w:t>
      </w:r>
      <w:r w:rsidRPr="007D4C6B">
        <w:t>1978.</w:t>
      </w:r>
    </w:p>
    <w:p w14:paraId="63975504" w14:textId="77777777" w:rsidR="00B47A48" w:rsidRPr="00E5413C" w:rsidRDefault="00B47A48" w:rsidP="00B47A48">
      <w:pPr>
        <w:widowControl w:val="0"/>
        <w:ind w:left="720" w:hanging="720"/>
        <w:rPr>
          <w:lang w:val="es-ES"/>
        </w:rPr>
      </w:pPr>
      <w:r w:rsidRPr="007D4C6B">
        <w:t>Ernst</w:t>
      </w:r>
      <w:r w:rsidRPr="007D4C6B">
        <w:rPr>
          <w:iCs/>
        </w:rPr>
        <w:t xml:space="preserve">, </w:t>
      </w:r>
      <w:r w:rsidRPr="007D4C6B">
        <w:t xml:space="preserve">Josef. </w:t>
      </w:r>
      <w:r w:rsidRPr="007D4C6B">
        <w:rPr>
          <w:i/>
        </w:rPr>
        <w:t>Lukas</w:t>
      </w:r>
      <w:r w:rsidRPr="007D4C6B">
        <w:t xml:space="preserve">: </w:t>
      </w:r>
      <w:r w:rsidRPr="007D4C6B">
        <w:rPr>
          <w:i/>
        </w:rPr>
        <w:t xml:space="preserve">Ein </w:t>
      </w:r>
      <w:proofErr w:type="spellStart"/>
      <w:r w:rsidRPr="007D4C6B">
        <w:rPr>
          <w:i/>
        </w:rPr>
        <w:t>theologisches</w:t>
      </w:r>
      <w:proofErr w:type="spellEnd"/>
      <w:r w:rsidRPr="007D4C6B">
        <w:rPr>
          <w:i/>
        </w:rPr>
        <w:t xml:space="preserve"> Portrait</w:t>
      </w:r>
      <w:r w:rsidRPr="007D4C6B">
        <w:t xml:space="preserve">. </w:t>
      </w:r>
      <w:r w:rsidRPr="00E5413C">
        <w:rPr>
          <w:lang w:val="es-ES"/>
        </w:rPr>
        <w:t>Düsseldorf: Patmos</w:t>
      </w:r>
      <w:r w:rsidRPr="00E5413C">
        <w:rPr>
          <w:iCs/>
          <w:lang w:val="es-ES"/>
        </w:rPr>
        <w:t xml:space="preserve">, </w:t>
      </w:r>
      <w:r w:rsidRPr="00E5413C">
        <w:rPr>
          <w:lang w:val="es-ES"/>
        </w:rPr>
        <w:t>1985.</w:t>
      </w:r>
    </w:p>
    <w:p w14:paraId="3FA55784" w14:textId="77777777" w:rsidR="00B47A48" w:rsidRPr="007D4C6B" w:rsidRDefault="00B47A48" w:rsidP="00B47A48">
      <w:pPr>
        <w:widowControl w:val="0"/>
        <w:ind w:left="720" w:hanging="720"/>
      </w:pPr>
      <w:proofErr w:type="spellStart"/>
      <w:r w:rsidRPr="00E5413C">
        <w:rPr>
          <w:lang w:val="es-ES"/>
        </w:rPr>
        <w:t>Feldkämper</w:t>
      </w:r>
      <w:proofErr w:type="spellEnd"/>
      <w:r w:rsidRPr="00E5413C">
        <w:rPr>
          <w:iCs/>
          <w:lang w:val="es-ES"/>
        </w:rPr>
        <w:t xml:space="preserve">, </w:t>
      </w:r>
      <w:proofErr w:type="spellStart"/>
      <w:r w:rsidRPr="00E5413C">
        <w:rPr>
          <w:lang w:val="es-ES"/>
        </w:rPr>
        <w:t>Ludger</w:t>
      </w:r>
      <w:proofErr w:type="spellEnd"/>
      <w:r w:rsidRPr="00E5413C">
        <w:rPr>
          <w:iCs/>
          <w:lang w:val="es-ES"/>
        </w:rPr>
        <w:t xml:space="preserve">, </w:t>
      </w:r>
      <w:r w:rsidRPr="00E5413C">
        <w:rPr>
          <w:lang w:val="es-ES"/>
        </w:rPr>
        <w:t xml:space="preserve">SVD. </w:t>
      </w:r>
      <w:r w:rsidRPr="007D4C6B">
        <w:rPr>
          <w:i/>
        </w:rPr>
        <w:t xml:space="preserve">Die </w:t>
      </w:r>
      <w:proofErr w:type="spellStart"/>
      <w:r w:rsidRPr="007D4C6B">
        <w:rPr>
          <w:i/>
        </w:rPr>
        <w:t>betende</w:t>
      </w:r>
      <w:proofErr w:type="spellEnd"/>
      <w:r w:rsidRPr="007D4C6B">
        <w:rPr>
          <w:i/>
        </w:rPr>
        <w:t xml:space="preserve"> Jesus </w:t>
      </w:r>
      <w:proofErr w:type="spellStart"/>
      <w:r w:rsidRPr="007D4C6B">
        <w:rPr>
          <w:i/>
        </w:rPr>
        <w:t>als</w:t>
      </w:r>
      <w:proofErr w:type="spellEnd"/>
      <w:r w:rsidRPr="007D4C6B">
        <w:rPr>
          <w:i/>
        </w:rPr>
        <w:t xml:space="preserve"> </w:t>
      </w:r>
      <w:proofErr w:type="spellStart"/>
      <w:r w:rsidRPr="007D4C6B">
        <w:rPr>
          <w:i/>
        </w:rPr>
        <w:t>Heilsmittler</w:t>
      </w:r>
      <w:proofErr w:type="spellEnd"/>
      <w:r w:rsidRPr="007D4C6B">
        <w:rPr>
          <w:i/>
        </w:rPr>
        <w:t xml:space="preserve"> </w:t>
      </w:r>
      <w:proofErr w:type="spellStart"/>
      <w:r w:rsidRPr="007D4C6B">
        <w:rPr>
          <w:i/>
        </w:rPr>
        <w:t>nach</w:t>
      </w:r>
      <w:proofErr w:type="spellEnd"/>
      <w:r w:rsidRPr="007D4C6B">
        <w:rPr>
          <w:i/>
        </w:rPr>
        <w:t xml:space="preserve"> Lukas</w:t>
      </w:r>
      <w:r w:rsidRPr="007D4C6B">
        <w:t xml:space="preserve">. </w:t>
      </w:r>
      <w:proofErr w:type="spellStart"/>
      <w:r w:rsidRPr="007D4C6B">
        <w:t>Veröffentlichungen</w:t>
      </w:r>
      <w:proofErr w:type="spellEnd"/>
      <w:r w:rsidRPr="007D4C6B">
        <w:t xml:space="preserve"> des </w:t>
      </w:r>
      <w:proofErr w:type="spellStart"/>
      <w:r w:rsidRPr="007D4C6B">
        <w:t>Missionspreisterseminars</w:t>
      </w:r>
      <w:proofErr w:type="spellEnd"/>
      <w:r w:rsidRPr="007D4C6B">
        <w:t xml:space="preserve"> St. Augustin </w:t>
      </w:r>
      <w:proofErr w:type="spellStart"/>
      <w:r w:rsidRPr="007D4C6B">
        <w:t>bei</w:t>
      </w:r>
      <w:proofErr w:type="spellEnd"/>
      <w:r w:rsidRPr="007D4C6B">
        <w:t xml:space="preserve"> Bonn 29. 5205 St. Augustin 1</w:t>
      </w:r>
      <w:r w:rsidRPr="007D4C6B">
        <w:rPr>
          <w:iCs/>
        </w:rPr>
        <w:t xml:space="preserve">, </w:t>
      </w:r>
      <w:r w:rsidRPr="007D4C6B">
        <w:t xml:space="preserve">West Germany: </w:t>
      </w:r>
      <w:proofErr w:type="spellStart"/>
      <w:r w:rsidRPr="007D4C6B">
        <w:t>Steyler</w:t>
      </w:r>
      <w:proofErr w:type="spellEnd"/>
      <w:r w:rsidRPr="007D4C6B">
        <w:rPr>
          <w:iCs/>
        </w:rPr>
        <w:t xml:space="preserve">, </w:t>
      </w:r>
      <w:r w:rsidRPr="007D4C6B">
        <w:t>1978.</w:t>
      </w:r>
    </w:p>
    <w:p w14:paraId="451B2D5B" w14:textId="77777777" w:rsidR="00B47A48" w:rsidRPr="007D4C6B" w:rsidRDefault="00B47A48" w:rsidP="00B47A48">
      <w:pPr>
        <w:widowControl w:val="0"/>
        <w:ind w:left="720" w:hanging="720"/>
      </w:pPr>
      <w:r w:rsidRPr="007D4C6B">
        <w:t>Fitzmyer</w:t>
      </w:r>
      <w:r w:rsidRPr="007D4C6B">
        <w:rPr>
          <w:iCs/>
        </w:rPr>
        <w:t xml:space="preserve">, </w:t>
      </w:r>
      <w:r w:rsidRPr="007D4C6B">
        <w:t>Joseph A.</w:t>
      </w:r>
      <w:r>
        <w:t>, SJ.</w:t>
      </w:r>
      <w:r w:rsidRPr="007D4C6B">
        <w:t xml:space="preserve"> </w:t>
      </w:r>
      <w:r w:rsidRPr="007D4C6B">
        <w:rPr>
          <w:i/>
        </w:rPr>
        <w:t>The Gospel According to Luke</w:t>
      </w:r>
      <w:r w:rsidRPr="007D4C6B">
        <w:t>. Vol. 28: (</w:t>
      </w:r>
      <w:r w:rsidRPr="007D4C6B">
        <w:rPr>
          <w:i/>
        </w:rPr>
        <w:t>I-IX</w:t>
      </w:r>
      <w:r w:rsidRPr="007D4C6B">
        <w:t>); vol. 28a: (</w:t>
      </w:r>
      <w:r w:rsidRPr="007D4C6B">
        <w:rPr>
          <w:i/>
        </w:rPr>
        <w:t>X-XXIV</w:t>
      </w:r>
      <w:r w:rsidRPr="007D4C6B">
        <w:t>). A</w:t>
      </w:r>
      <w:r>
        <w:t xml:space="preserve">nchor </w:t>
      </w:r>
      <w:r w:rsidRPr="007D4C6B">
        <w:t>B</w:t>
      </w:r>
      <w:r>
        <w:t>ible</w:t>
      </w:r>
      <w:r w:rsidRPr="007D4C6B">
        <w:t xml:space="preserve"> 28 and 28a. </w:t>
      </w:r>
      <w:r w:rsidRPr="00DC3006">
        <w:rPr>
          <w:iCs/>
        </w:rPr>
        <w:t>Garden City NY</w:t>
      </w:r>
      <w:r w:rsidRPr="007D4C6B">
        <w:t>: Doubleday</w:t>
      </w:r>
      <w:r w:rsidRPr="007D4C6B">
        <w:rPr>
          <w:iCs/>
        </w:rPr>
        <w:t xml:space="preserve">, </w:t>
      </w:r>
      <w:r w:rsidRPr="007D4C6B">
        <w:t>1981</w:t>
      </w:r>
      <w:r w:rsidRPr="007D4C6B">
        <w:rPr>
          <w:iCs/>
        </w:rPr>
        <w:t xml:space="preserve">, </w:t>
      </w:r>
      <w:r w:rsidRPr="007D4C6B">
        <w:t>1983</w:t>
      </w:r>
      <w:r w:rsidRPr="007D4C6B">
        <w:rPr>
          <w:vertAlign w:val="superscript"/>
        </w:rPr>
        <w:t>2</w:t>
      </w:r>
      <w:r w:rsidRPr="007D4C6B">
        <w:t xml:space="preserve"> (vol. 28)</w:t>
      </w:r>
      <w:r w:rsidRPr="007D4C6B">
        <w:rPr>
          <w:iCs/>
        </w:rPr>
        <w:t xml:space="preserve">, </w:t>
      </w:r>
      <w:r w:rsidRPr="007D4C6B">
        <w:t>1985 (vol. 28a).</w:t>
      </w:r>
    </w:p>
    <w:p w14:paraId="3EA7E40F" w14:textId="77777777" w:rsidR="00B47A48" w:rsidRPr="007D4C6B" w:rsidRDefault="00B47A48" w:rsidP="00B47A48">
      <w:pPr>
        <w:widowControl w:val="0"/>
        <w:ind w:left="720" w:hanging="720"/>
      </w:pPr>
      <w:r w:rsidRPr="007D4C6B">
        <w:t>Fitmyer</w:t>
      </w:r>
      <w:r w:rsidRPr="007D4C6B">
        <w:rPr>
          <w:iCs/>
        </w:rPr>
        <w:t xml:space="preserve">, </w:t>
      </w:r>
      <w:r w:rsidRPr="007D4C6B">
        <w:t>Joseph A.</w:t>
      </w:r>
      <w:r>
        <w:t>, SJ.</w:t>
      </w:r>
      <w:r w:rsidRPr="007D4C6B">
        <w:t xml:space="preserve"> </w:t>
      </w:r>
      <w:r w:rsidRPr="007D4C6B">
        <w:rPr>
          <w:i/>
        </w:rPr>
        <w:t>Scripture</w:t>
      </w:r>
      <w:r w:rsidRPr="007D4C6B">
        <w:rPr>
          <w:iCs/>
        </w:rPr>
        <w:t xml:space="preserve">, </w:t>
      </w:r>
      <w:r w:rsidRPr="007D4C6B">
        <w:rPr>
          <w:i/>
        </w:rPr>
        <w:t>the Soul of Theology</w:t>
      </w:r>
      <w:r w:rsidRPr="007D4C6B">
        <w:t>. New York: Paulist</w:t>
      </w:r>
      <w:r w:rsidRPr="007D4C6B">
        <w:rPr>
          <w:iCs/>
        </w:rPr>
        <w:t xml:space="preserve">, </w:t>
      </w:r>
      <w:r w:rsidRPr="007D4C6B">
        <w:t>1994.</w:t>
      </w:r>
    </w:p>
    <w:p w14:paraId="49E4F1C9" w14:textId="77777777" w:rsidR="00B47A48" w:rsidRPr="007D4C6B" w:rsidRDefault="00B47A48" w:rsidP="00B47A48">
      <w:pPr>
        <w:widowControl w:val="0"/>
        <w:ind w:left="720" w:hanging="720"/>
      </w:pPr>
      <w:proofErr w:type="spellStart"/>
      <w:r w:rsidRPr="007D4C6B">
        <w:t>Flender</w:t>
      </w:r>
      <w:proofErr w:type="spellEnd"/>
      <w:r w:rsidRPr="007D4C6B">
        <w:rPr>
          <w:iCs/>
        </w:rPr>
        <w:t xml:space="preserve">, </w:t>
      </w:r>
      <w:r w:rsidRPr="007D4C6B">
        <w:t xml:space="preserve">Helmut. </w:t>
      </w:r>
      <w:r w:rsidRPr="007D4C6B">
        <w:rPr>
          <w:i/>
        </w:rPr>
        <w:t>St Luke</w:t>
      </w:r>
      <w:r w:rsidRPr="007D4C6B">
        <w:t xml:space="preserve">: </w:t>
      </w:r>
      <w:r w:rsidRPr="007D4C6B">
        <w:rPr>
          <w:i/>
        </w:rPr>
        <w:t>Theologian of Redemptive History</w:t>
      </w:r>
      <w:r w:rsidRPr="007D4C6B">
        <w:t xml:space="preserve">. Trans. Reginald H. Fuller and Ilse Fuller. London: </w:t>
      </w:r>
      <w:r w:rsidRPr="00E366BA">
        <w:rPr>
          <w:iCs/>
        </w:rPr>
        <w:t>SPCK</w:t>
      </w:r>
      <w:r w:rsidRPr="007D4C6B">
        <w:rPr>
          <w:iCs/>
        </w:rPr>
        <w:t xml:space="preserve">, </w:t>
      </w:r>
      <w:r w:rsidRPr="007D4C6B">
        <w:t>1967; Philadelphia: Fortress</w:t>
      </w:r>
      <w:r w:rsidRPr="007D4C6B">
        <w:rPr>
          <w:iCs/>
        </w:rPr>
        <w:t xml:space="preserve">, </w:t>
      </w:r>
      <w:r w:rsidRPr="007D4C6B">
        <w:t xml:space="preserve">1967. </w:t>
      </w:r>
      <w:r>
        <w:t>(</w:t>
      </w:r>
      <w:r w:rsidRPr="007D4C6B">
        <w:rPr>
          <w:i/>
        </w:rPr>
        <w:t xml:space="preserve">Heil und </w:t>
      </w:r>
      <w:proofErr w:type="spellStart"/>
      <w:r w:rsidRPr="007D4C6B">
        <w:rPr>
          <w:i/>
        </w:rPr>
        <w:t>Geschichte</w:t>
      </w:r>
      <w:proofErr w:type="spellEnd"/>
      <w:r w:rsidRPr="007D4C6B">
        <w:rPr>
          <w:i/>
        </w:rPr>
        <w:t xml:space="preserve"> in der </w:t>
      </w:r>
      <w:proofErr w:type="spellStart"/>
      <w:r w:rsidRPr="007D4C6B">
        <w:rPr>
          <w:i/>
        </w:rPr>
        <w:t>Theologie</w:t>
      </w:r>
      <w:proofErr w:type="spellEnd"/>
      <w:r w:rsidRPr="007D4C6B">
        <w:rPr>
          <w:i/>
        </w:rPr>
        <w:t xml:space="preserve"> des Lukas</w:t>
      </w:r>
      <w:r>
        <w:rPr>
          <w:iCs/>
        </w:rPr>
        <w:t>.</w:t>
      </w:r>
      <w:r w:rsidRPr="007D4C6B">
        <w:rPr>
          <w:iCs/>
        </w:rPr>
        <w:t xml:space="preserve"> </w:t>
      </w:r>
      <w:proofErr w:type="spellStart"/>
      <w:r>
        <w:t>Beiträge</w:t>
      </w:r>
      <w:proofErr w:type="spellEnd"/>
      <w:r>
        <w:t xml:space="preserve"> </w:t>
      </w:r>
      <w:proofErr w:type="spellStart"/>
      <w:r>
        <w:t>zur</w:t>
      </w:r>
      <w:proofErr w:type="spellEnd"/>
      <w:r>
        <w:t xml:space="preserve"> </w:t>
      </w:r>
      <w:proofErr w:type="spellStart"/>
      <w:r>
        <w:t>evangelischen</w:t>
      </w:r>
      <w:proofErr w:type="spellEnd"/>
      <w:r>
        <w:t xml:space="preserve"> </w:t>
      </w:r>
      <w:proofErr w:type="spellStart"/>
      <w:r>
        <w:t>Theologie</w:t>
      </w:r>
      <w:proofErr w:type="spellEnd"/>
      <w:r w:rsidRPr="007D4C6B">
        <w:t xml:space="preserve"> 41</w:t>
      </w:r>
      <w:r>
        <w:rPr>
          <w:iCs/>
        </w:rPr>
        <w:t>.</w:t>
      </w:r>
      <w:r w:rsidRPr="007D4C6B">
        <w:rPr>
          <w:iCs/>
        </w:rPr>
        <w:t xml:space="preserve"> </w:t>
      </w:r>
      <w:r w:rsidRPr="007D4C6B">
        <w:t>Munich: Christian Kaiser</w:t>
      </w:r>
      <w:r w:rsidRPr="007D4C6B">
        <w:rPr>
          <w:iCs/>
        </w:rPr>
        <w:t xml:space="preserve">, </w:t>
      </w:r>
      <w:r w:rsidRPr="007D4C6B">
        <w:t>1965.</w:t>
      </w:r>
      <w:r>
        <w:t>)</w:t>
      </w:r>
    </w:p>
    <w:p w14:paraId="6F1C79CB" w14:textId="2A39C503" w:rsidR="00B47A48" w:rsidRPr="007D4C6B" w:rsidRDefault="00B47A48" w:rsidP="00B47A48">
      <w:pPr>
        <w:widowControl w:val="0"/>
        <w:ind w:left="720" w:hanging="720"/>
      </w:pPr>
      <w:r w:rsidRPr="007D4C6B">
        <w:t>Foakes-Jackson</w:t>
      </w:r>
      <w:r w:rsidRPr="007D4C6B">
        <w:rPr>
          <w:iCs/>
        </w:rPr>
        <w:t xml:space="preserve">, </w:t>
      </w:r>
      <w:r w:rsidR="00B2337F" w:rsidRPr="00B2337F">
        <w:rPr>
          <w:iCs/>
        </w:rPr>
        <w:t>F.J.</w:t>
      </w:r>
      <w:r w:rsidRPr="007D4C6B">
        <w:rPr>
          <w:iCs/>
        </w:rPr>
        <w:t xml:space="preserve">, </w:t>
      </w:r>
      <w:r w:rsidRPr="007D4C6B">
        <w:t>and Kirsopp Lake</w:t>
      </w:r>
      <w:r w:rsidRPr="00DC3006">
        <w:rPr>
          <w:iCs/>
        </w:rPr>
        <w:t xml:space="preserve">. Eds. </w:t>
      </w:r>
      <w:r w:rsidRPr="007D4C6B">
        <w:rPr>
          <w:i/>
        </w:rPr>
        <w:t>The Beginnings of Christianity</w:t>
      </w:r>
      <w:r w:rsidRPr="007D4C6B">
        <w:rPr>
          <w:iCs/>
        </w:rPr>
        <w:t xml:space="preserve">, </w:t>
      </w:r>
      <w:r w:rsidRPr="007D4C6B">
        <w:rPr>
          <w:i/>
        </w:rPr>
        <w:t>Part I</w:t>
      </w:r>
      <w:r w:rsidRPr="007D4C6B">
        <w:t xml:space="preserve">: </w:t>
      </w:r>
      <w:r w:rsidRPr="007D4C6B">
        <w:rPr>
          <w:i/>
        </w:rPr>
        <w:t>The Acts of the Apostles</w:t>
      </w:r>
      <w:r w:rsidRPr="007D4C6B">
        <w:t xml:space="preserve">. Vol. 1: </w:t>
      </w:r>
      <w:r w:rsidRPr="007D4C6B">
        <w:rPr>
          <w:i/>
        </w:rPr>
        <w:t>Prolegomena I</w:t>
      </w:r>
      <w:r w:rsidRPr="007D4C6B">
        <w:t xml:space="preserve">: </w:t>
      </w:r>
      <w:r w:rsidRPr="007D4C6B">
        <w:rPr>
          <w:i/>
        </w:rPr>
        <w:t>The Jewish</w:t>
      </w:r>
      <w:r w:rsidRPr="007D4C6B">
        <w:rPr>
          <w:iCs/>
        </w:rPr>
        <w:t xml:space="preserve">, </w:t>
      </w:r>
      <w:r w:rsidRPr="007D4C6B">
        <w:rPr>
          <w:i/>
        </w:rPr>
        <w:t>Gentile</w:t>
      </w:r>
      <w:r w:rsidRPr="007D4C6B">
        <w:rPr>
          <w:iCs/>
        </w:rPr>
        <w:t xml:space="preserve">, </w:t>
      </w:r>
      <w:r w:rsidRPr="007D4C6B">
        <w:rPr>
          <w:i/>
        </w:rPr>
        <w:t>and Christian Backgrounds</w:t>
      </w:r>
      <w:r w:rsidRPr="007D4C6B">
        <w:t xml:space="preserve">; vol. 2: </w:t>
      </w:r>
      <w:r w:rsidRPr="007D4C6B">
        <w:rPr>
          <w:i/>
        </w:rPr>
        <w:t>Prolegomena II</w:t>
      </w:r>
      <w:r w:rsidRPr="007D4C6B">
        <w:t xml:space="preserve">: </w:t>
      </w:r>
      <w:r w:rsidRPr="007D4C6B">
        <w:rPr>
          <w:i/>
        </w:rPr>
        <w:t>Criticism</w:t>
      </w:r>
      <w:r w:rsidRPr="007D4C6B">
        <w:t xml:space="preserve">; vol. 3: </w:t>
      </w:r>
      <w:r w:rsidRPr="007D4C6B">
        <w:rPr>
          <w:i/>
        </w:rPr>
        <w:t>The Text of Acts</w:t>
      </w:r>
      <w:r w:rsidRPr="007D4C6B">
        <w:t xml:space="preserve">; vol. 4: </w:t>
      </w:r>
      <w:r w:rsidRPr="007D4C6B">
        <w:rPr>
          <w:i/>
        </w:rPr>
        <w:t>English Translation and Commentary</w:t>
      </w:r>
      <w:r w:rsidRPr="007D4C6B">
        <w:t xml:space="preserve">; vol. 5: </w:t>
      </w:r>
      <w:r w:rsidRPr="007D4C6B">
        <w:rPr>
          <w:i/>
        </w:rPr>
        <w:t>Additional Notes to the Commentary</w:t>
      </w:r>
      <w:r w:rsidRPr="007D4C6B">
        <w:t>. 5 vols. London: Macmillan</w:t>
      </w:r>
      <w:r w:rsidRPr="007D4C6B">
        <w:rPr>
          <w:iCs/>
        </w:rPr>
        <w:t xml:space="preserve">, </w:t>
      </w:r>
      <w:r w:rsidRPr="007D4C6B">
        <w:t>1920</w:t>
      </w:r>
      <w:r w:rsidRPr="007D4C6B">
        <w:rPr>
          <w:iCs/>
        </w:rPr>
        <w:t xml:space="preserve">, </w:t>
      </w:r>
      <w:r w:rsidRPr="007D4C6B">
        <w:t>1922</w:t>
      </w:r>
      <w:r w:rsidRPr="007D4C6B">
        <w:rPr>
          <w:iCs/>
        </w:rPr>
        <w:t xml:space="preserve">, </w:t>
      </w:r>
      <w:r w:rsidRPr="007D4C6B">
        <w:t>1926</w:t>
      </w:r>
      <w:r w:rsidRPr="007D4C6B">
        <w:rPr>
          <w:iCs/>
        </w:rPr>
        <w:t xml:space="preserve">, </w:t>
      </w:r>
      <w:r w:rsidRPr="007D4C6B">
        <w:t>1933</w:t>
      </w:r>
      <w:r w:rsidRPr="007D4C6B">
        <w:rPr>
          <w:iCs/>
        </w:rPr>
        <w:t xml:space="preserve">, </w:t>
      </w:r>
      <w:r w:rsidRPr="007D4C6B">
        <w:t>1933</w:t>
      </w:r>
      <w:r>
        <w:t>.</w:t>
      </w:r>
      <w:r w:rsidRPr="007D4C6B">
        <w:t xml:space="preserve"> Rpt. ed.</w:t>
      </w:r>
      <w:r w:rsidRPr="007D4C6B">
        <w:rPr>
          <w:iCs/>
        </w:rPr>
        <w:t xml:space="preserve">, </w:t>
      </w:r>
      <w:r w:rsidRPr="007D4C6B">
        <w:t>vols. 4-5</w:t>
      </w:r>
      <w:r>
        <w:rPr>
          <w:iCs/>
        </w:rPr>
        <w:t>.</w:t>
      </w:r>
      <w:r w:rsidRPr="007D4C6B">
        <w:rPr>
          <w:iCs/>
        </w:rPr>
        <w:t xml:space="preserve"> </w:t>
      </w:r>
      <w:r w:rsidRPr="00DC3006">
        <w:rPr>
          <w:iCs/>
        </w:rPr>
        <w:t>Grand Rapids MI</w:t>
      </w:r>
      <w:r w:rsidRPr="007D4C6B">
        <w:t>: Baker</w:t>
      </w:r>
      <w:r w:rsidRPr="007D4C6B">
        <w:rPr>
          <w:iCs/>
        </w:rPr>
        <w:t xml:space="preserve">, </w:t>
      </w:r>
      <w:r w:rsidRPr="007D4C6B">
        <w:t>1966</w:t>
      </w:r>
      <w:r>
        <w:t>.</w:t>
      </w:r>
      <w:r w:rsidRPr="007D4C6B">
        <w:t xml:space="preserve"> Rpt. ed.</w:t>
      </w:r>
      <w:r w:rsidRPr="007D4C6B">
        <w:rPr>
          <w:iCs/>
        </w:rPr>
        <w:t xml:space="preserve">, </w:t>
      </w:r>
      <w:r w:rsidRPr="007D4C6B">
        <w:t>vols. 1-5</w:t>
      </w:r>
      <w:r>
        <w:rPr>
          <w:iCs/>
        </w:rPr>
        <w:t>.</w:t>
      </w:r>
      <w:r w:rsidRPr="007D4C6B">
        <w:rPr>
          <w:iCs/>
        </w:rPr>
        <w:t xml:space="preserve"> </w:t>
      </w:r>
      <w:r w:rsidRPr="00DC3006">
        <w:rPr>
          <w:iCs/>
        </w:rPr>
        <w:t>Grand Rapids MI</w:t>
      </w:r>
      <w:r w:rsidRPr="007D4C6B">
        <w:t>: Baker</w:t>
      </w:r>
      <w:r w:rsidRPr="007D4C6B">
        <w:rPr>
          <w:iCs/>
        </w:rPr>
        <w:t xml:space="preserve">, </w:t>
      </w:r>
      <w:r w:rsidRPr="007D4C6B">
        <w:t xml:space="preserve">1979. </w:t>
      </w:r>
      <w:r>
        <w:t>(</w:t>
      </w:r>
      <w:r w:rsidRPr="007D4C6B">
        <w:t xml:space="preserve">Further volumes </w:t>
      </w:r>
      <w:r>
        <w:t>[</w:t>
      </w:r>
      <w:r w:rsidRPr="007D4C6B">
        <w:t>parts II etc.</w:t>
      </w:r>
      <w:r>
        <w:t>]</w:t>
      </w:r>
      <w:r w:rsidRPr="007D4C6B">
        <w:rPr>
          <w:iCs/>
        </w:rPr>
        <w:t xml:space="preserve">, </w:t>
      </w:r>
      <w:r w:rsidRPr="007D4C6B">
        <w:t>intended to cover all of early Christian literature</w:t>
      </w:r>
      <w:r w:rsidRPr="007D4C6B">
        <w:rPr>
          <w:iCs/>
        </w:rPr>
        <w:t xml:space="preserve">, </w:t>
      </w:r>
      <w:r w:rsidRPr="007D4C6B">
        <w:t>were never published.</w:t>
      </w:r>
      <w:r>
        <w:t>)</w:t>
      </w:r>
    </w:p>
    <w:p w14:paraId="32794F6B" w14:textId="77777777" w:rsidR="00B47A48" w:rsidRPr="007D4C6B" w:rsidRDefault="00B47A48" w:rsidP="00B47A48">
      <w:pPr>
        <w:widowControl w:val="0"/>
        <w:ind w:left="720" w:hanging="720"/>
      </w:pPr>
      <w:r w:rsidRPr="007D4C6B">
        <w:t>Franklin</w:t>
      </w:r>
      <w:r w:rsidRPr="007D4C6B">
        <w:rPr>
          <w:iCs/>
        </w:rPr>
        <w:t xml:space="preserve">, </w:t>
      </w:r>
      <w:r w:rsidRPr="007D4C6B">
        <w:t xml:space="preserve">Eric. </w:t>
      </w:r>
      <w:r w:rsidRPr="007D4C6B">
        <w:rPr>
          <w:i/>
        </w:rPr>
        <w:t>Christ the Lord</w:t>
      </w:r>
      <w:r w:rsidRPr="007D4C6B">
        <w:t xml:space="preserve">: </w:t>
      </w:r>
      <w:r w:rsidRPr="007D4C6B">
        <w:rPr>
          <w:i/>
        </w:rPr>
        <w:t>A Study in the Purpose and Theology of Luke-Acts</w:t>
      </w:r>
      <w:r w:rsidRPr="007D4C6B">
        <w:t>. Philadelphia: Westminster</w:t>
      </w:r>
      <w:r w:rsidRPr="007D4C6B">
        <w:rPr>
          <w:iCs/>
        </w:rPr>
        <w:t xml:space="preserve">, </w:t>
      </w:r>
      <w:r w:rsidRPr="007D4C6B">
        <w:t>1975.</w:t>
      </w:r>
    </w:p>
    <w:p w14:paraId="72E87A49" w14:textId="77777777" w:rsidR="00B47A48" w:rsidRPr="007D4C6B" w:rsidRDefault="00B47A48" w:rsidP="00B47A48">
      <w:pPr>
        <w:widowControl w:val="0"/>
        <w:ind w:left="720" w:hanging="720"/>
      </w:pPr>
      <w:r w:rsidRPr="007D4C6B">
        <w:t>Gasque</w:t>
      </w:r>
      <w:r w:rsidRPr="007D4C6B">
        <w:rPr>
          <w:iCs/>
        </w:rPr>
        <w:t xml:space="preserve">, </w:t>
      </w:r>
      <w:r w:rsidRPr="007D4C6B">
        <w:t xml:space="preserve">W. Ward. </w:t>
      </w:r>
      <w:r w:rsidRPr="007D4C6B">
        <w:rPr>
          <w:i/>
        </w:rPr>
        <w:t>A History of the Criticism of the Acts of the Apostles</w:t>
      </w:r>
      <w:r w:rsidRPr="007D4C6B">
        <w:t xml:space="preserve">. </w:t>
      </w:r>
      <w:proofErr w:type="spellStart"/>
      <w:r w:rsidRPr="0006276E">
        <w:t>Beiträge</w:t>
      </w:r>
      <w:proofErr w:type="spellEnd"/>
      <w:r w:rsidRPr="0006276E">
        <w:t xml:space="preserve"> </w:t>
      </w:r>
      <w:proofErr w:type="spellStart"/>
      <w:r w:rsidRPr="0006276E">
        <w:t>zur</w:t>
      </w:r>
      <w:proofErr w:type="spellEnd"/>
      <w:r w:rsidRPr="0006276E">
        <w:t xml:space="preserve"> </w:t>
      </w:r>
      <w:proofErr w:type="spellStart"/>
      <w:r w:rsidRPr="0006276E">
        <w:t>Geschichte</w:t>
      </w:r>
      <w:proofErr w:type="spellEnd"/>
      <w:r w:rsidRPr="0006276E">
        <w:t xml:space="preserve"> der </w:t>
      </w:r>
      <w:proofErr w:type="spellStart"/>
      <w:r w:rsidRPr="0006276E">
        <w:t>biblischen</w:t>
      </w:r>
      <w:proofErr w:type="spellEnd"/>
      <w:r w:rsidRPr="0006276E">
        <w:t xml:space="preserve"> </w:t>
      </w:r>
      <w:proofErr w:type="spellStart"/>
      <w:r w:rsidRPr="0006276E">
        <w:t>Exegese</w:t>
      </w:r>
      <w:proofErr w:type="spellEnd"/>
      <w:r w:rsidRPr="007D4C6B">
        <w:t xml:space="preserve"> 17. Tübingen: Mohr</w:t>
      </w:r>
      <w:r w:rsidRPr="007D4C6B">
        <w:rPr>
          <w:iCs/>
        </w:rPr>
        <w:t xml:space="preserve">, </w:t>
      </w:r>
      <w:r w:rsidRPr="007D4C6B">
        <w:t xml:space="preserve">1975; </w:t>
      </w:r>
      <w:r w:rsidRPr="00DC3006">
        <w:rPr>
          <w:iCs/>
        </w:rPr>
        <w:t>Grand Rapids MI</w:t>
      </w:r>
      <w:r w:rsidRPr="007D4C6B">
        <w:t>: Eerdmans</w:t>
      </w:r>
      <w:r w:rsidRPr="007D4C6B">
        <w:rPr>
          <w:iCs/>
        </w:rPr>
        <w:t xml:space="preserve">, </w:t>
      </w:r>
      <w:r w:rsidRPr="007D4C6B">
        <w:t>1975.</w:t>
      </w:r>
    </w:p>
    <w:p w14:paraId="5BA8281F" w14:textId="77777777" w:rsidR="00B47A48" w:rsidRPr="007D4C6B" w:rsidRDefault="00B47A48" w:rsidP="00B47A48">
      <w:pPr>
        <w:widowControl w:val="0"/>
        <w:ind w:left="720" w:hanging="720"/>
      </w:pPr>
      <w:r w:rsidRPr="007D4C6B">
        <w:t>Geiger</w:t>
      </w:r>
      <w:r w:rsidRPr="007D4C6B">
        <w:rPr>
          <w:iCs/>
        </w:rPr>
        <w:t xml:space="preserve">, </w:t>
      </w:r>
      <w:r w:rsidRPr="007D4C6B">
        <w:t xml:space="preserve">R. </w:t>
      </w:r>
      <w:r w:rsidRPr="007D4C6B">
        <w:rPr>
          <w:i/>
        </w:rPr>
        <w:t xml:space="preserve">Die </w:t>
      </w:r>
      <w:proofErr w:type="spellStart"/>
      <w:r w:rsidRPr="007D4C6B">
        <w:rPr>
          <w:i/>
        </w:rPr>
        <w:t>lukanischen</w:t>
      </w:r>
      <w:proofErr w:type="spellEnd"/>
      <w:r w:rsidRPr="007D4C6B">
        <w:rPr>
          <w:i/>
        </w:rPr>
        <w:t xml:space="preserve"> </w:t>
      </w:r>
      <w:proofErr w:type="spellStart"/>
      <w:r w:rsidRPr="007D4C6B">
        <w:rPr>
          <w:i/>
        </w:rPr>
        <w:t>Endzeitsreden</w:t>
      </w:r>
      <w:proofErr w:type="spellEnd"/>
      <w:r w:rsidRPr="007D4C6B">
        <w:t xml:space="preserve">: </w:t>
      </w:r>
      <w:proofErr w:type="spellStart"/>
      <w:r w:rsidRPr="007D4C6B">
        <w:rPr>
          <w:i/>
        </w:rPr>
        <w:t>Studien</w:t>
      </w:r>
      <w:proofErr w:type="spellEnd"/>
      <w:r w:rsidRPr="007D4C6B">
        <w:rPr>
          <w:i/>
        </w:rPr>
        <w:t xml:space="preserve"> </w:t>
      </w:r>
      <w:proofErr w:type="spellStart"/>
      <w:r w:rsidRPr="007D4C6B">
        <w:rPr>
          <w:i/>
        </w:rPr>
        <w:t>zur</w:t>
      </w:r>
      <w:proofErr w:type="spellEnd"/>
      <w:r w:rsidRPr="007D4C6B">
        <w:rPr>
          <w:i/>
        </w:rPr>
        <w:t xml:space="preserve"> </w:t>
      </w:r>
      <w:proofErr w:type="spellStart"/>
      <w:r w:rsidRPr="007D4C6B">
        <w:rPr>
          <w:i/>
        </w:rPr>
        <w:t>Eschatologie</w:t>
      </w:r>
      <w:proofErr w:type="spellEnd"/>
      <w:r w:rsidRPr="007D4C6B">
        <w:rPr>
          <w:i/>
        </w:rPr>
        <w:t xml:space="preserve"> des Lukas-</w:t>
      </w:r>
      <w:proofErr w:type="spellStart"/>
      <w:r w:rsidRPr="007D4C6B">
        <w:rPr>
          <w:i/>
        </w:rPr>
        <w:t>Evangeliums</w:t>
      </w:r>
      <w:proofErr w:type="spellEnd"/>
      <w:r w:rsidRPr="007D4C6B">
        <w:t xml:space="preserve">. </w:t>
      </w:r>
      <w:proofErr w:type="spellStart"/>
      <w:r w:rsidRPr="007D4C6B">
        <w:t>Europäische</w:t>
      </w:r>
      <w:proofErr w:type="spellEnd"/>
      <w:r w:rsidRPr="007D4C6B">
        <w:t xml:space="preserve"> </w:t>
      </w:r>
      <w:proofErr w:type="spellStart"/>
      <w:r w:rsidRPr="007D4C6B">
        <w:t>Hochschulschriften</w:t>
      </w:r>
      <w:proofErr w:type="spellEnd"/>
      <w:r w:rsidRPr="007D4C6B">
        <w:t xml:space="preserve"> 23 no. 16. Bern</w:t>
      </w:r>
      <w:r>
        <w:t xml:space="preserve"> and</w:t>
      </w:r>
      <w:r w:rsidRPr="007D4C6B">
        <w:t xml:space="preserve"> Frankfurt am Main: H. Lang</w:t>
      </w:r>
      <w:r w:rsidRPr="007D4C6B">
        <w:rPr>
          <w:iCs/>
        </w:rPr>
        <w:t xml:space="preserve">, </w:t>
      </w:r>
      <w:r w:rsidRPr="007D4C6B">
        <w:t>1976.</w:t>
      </w:r>
    </w:p>
    <w:p w14:paraId="5D1812CA" w14:textId="77777777" w:rsidR="00B47A48" w:rsidRPr="00E5413C" w:rsidRDefault="00B47A48" w:rsidP="00B47A48">
      <w:pPr>
        <w:widowControl w:val="0"/>
        <w:ind w:left="720" w:hanging="720"/>
        <w:rPr>
          <w:lang w:val="fr-FR"/>
        </w:rPr>
      </w:pPr>
      <w:r w:rsidRPr="007D4C6B">
        <w:t>Geldenhuys</w:t>
      </w:r>
      <w:r w:rsidRPr="007D4C6B">
        <w:rPr>
          <w:iCs/>
        </w:rPr>
        <w:t xml:space="preserve">, </w:t>
      </w:r>
      <w:r w:rsidRPr="007D4C6B">
        <w:t xml:space="preserve">Norval. </w:t>
      </w:r>
      <w:r w:rsidRPr="007D4C6B">
        <w:rPr>
          <w:i/>
        </w:rPr>
        <w:t>Commentary on the Gospel of Luke</w:t>
      </w:r>
      <w:r w:rsidRPr="007D4C6B">
        <w:t xml:space="preserve">: </w:t>
      </w:r>
      <w:r w:rsidRPr="007D4C6B">
        <w:rPr>
          <w:i/>
        </w:rPr>
        <w:t>The English Text with Introduction</w:t>
      </w:r>
      <w:r w:rsidRPr="007D4C6B">
        <w:rPr>
          <w:iCs/>
        </w:rPr>
        <w:t xml:space="preserve">, </w:t>
      </w:r>
      <w:r w:rsidRPr="007D4C6B">
        <w:rPr>
          <w:i/>
        </w:rPr>
        <w:t>Exposition</w:t>
      </w:r>
      <w:r w:rsidRPr="007D4C6B">
        <w:rPr>
          <w:iCs/>
        </w:rPr>
        <w:t xml:space="preserve">, </w:t>
      </w:r>
      <w:r w:rsidRPr="007D4C6B">
        <w:rPr>
          <w:i/>
        </w:rPr>
        <w:t>and Notes</w:t>
      </w:r>
      <w:r w:rsidRPr="007D4C6B">
        <w:t>. The New International Commentary on the New Testament. London: Marshall</w:t>
      </w:r>
      <w:r w:rsidRPr="007D4C6B">
        <w:rPr>
          <w:iCs/>
        </w:rPr>
        <w:t xml:space="preserve">, </w:t>
      </w:r>
      <w:r w:rsidRPr="007D4C6B">
        <w:t xml:space="preserve">Morgan </w:t>
      </w:r>
      <w:r>
        <w:t>and</w:t>
      </w:r>
      <w:r w:rsidRPr="007D4C6B">
        <w:t xml:space="preserve"> Scott</w:t>
      </w:r>
      <w:r w:rsidRPr="007D4C6B">
        <w:rPr>
          <w:iCs/>
        </w:rPr>
        <w:t xml:space="preserve">, </w:t>
      </w:r>
      <w:r w:rsidRPr="007D4C6B">
        <w:t>1950</w:t>
      </w:r>
      <w:r>
        <w:t>.</w:t>
      </w:r>
      <w:r w:rsidRPr="007D4C6B">
        <w:t xml:space="preserve"> </w:t>
      </w:r>
      <w:r w:rsidRPr="00E5413C">
        <w:rPr>
          <w:iCs/>
          <w:lang w:val="fr-FR"/>
        </w:rPr>
        <w:t>Grand Rapids MI</w:t>
      </w:r>
      <w:r w:rsidRPr="00E5413C">
        <w:rPr>
          <w:lang w:val="fr-FR"/>
        </w:rPr>
        <w:t xml:space="preserve">: </w:t>
      </w:r>
      <w:proofErr w:type="spellStart"/>
      <w:r w:rsidRPr="00E5413C">
        <w:rPr>
          <w:lang w:val="fr-FR"/>
        </w:rPr>
        <w:t>Eerdmans</w:t>
      </w:r>
      <w:proofErr w:type="spellEnd"/>
      <w:r w:rsidRPr="00E5413C">
        <w:rPr>
          <w:iCs/>
          <w:lang w:val="fr-FR"/>
        </w:rPr>
        <w:t xml:space="preserve">, </w:t>
      </w:r>
      <w:r w:rsidRPr="00E5413C">
        <w:rPr>
          <w:lang w:val="fr-FR"/>
        </w:rPr>
        <w:t xml:space="preserve">1951. </w:t>
      </w:r>
      <w:proofErr w:type="spellStart"/>
      <w:r w:rsidRPr="00E5413C">
        <w:rPr>
          <w:lang w:val="fr-FR"/>
        </w:rPr>
        <w:t>Rpt</w:t>
      </w:r>
      <w:proofErr w:type="spellEnd"/>
      <w:r w:rsidRPr="00E5413C">
        <w:rPr>
          <w:lang w:val="fr-FR"/>
        </w:rPr>
        <w:t xml:space="preserve">. </w:t>
      </w:r>
      <w:proofErr w:type="spellStart"/>
      <w:r w:rsidRPr="00E5413C">
        <w:rPr>
          <w:lang w:val="fr-FR"/>
        </w:rPr>
        <w:t>ed</w:t>
      </w:r>
      <w:proofErr w:type="spellEnd"/>
      <w:r w:rsidRPr="00E5413C">
        <w:rPr>
          <w:lang w:val="fr-FR"/>
        </w:rPr>
        <w:t>.</w:t>
      </w:r>
      <w:r w:rsidRPr="00E5413C">
        <w:rPr>
          <w:iCs/>
          <w:lang w:val="fr-FR"/>
        </w:rPr>
        <w:t xml:space="preserve">, </w:t>
      </w:r>
      <w:r w:rsidRPr="00E5413C">
        <w:rPr>
          <w:lang w:val="fr-FR"/>
        </w:rPr>
        <w:t>1972.</w:t>
      </w:r>
    </w:p>
    <w:p w14:paraId="7F95ADF0" w14:textId="77777777" w:rsidR="00B47A48" w:rsidRPr="00E5413C" w:rsidRDefault="00B47A48" w:rsidP="00B47A48">
      <w:pPr>
        <w:widowControl w:val="0"/>
        <w:ind w:left="720" w:hanging="720"/>
        <w:rPr>
          <w:lang w:val="fr-FR"/>
        </w:rPr>
      </w:pPr>
      <w:r w:rsidRPr="00E5413C">
        <w:rPr>
          <w:lang w:val="fr-FR"/>
        </w:rPr>
        <w:t>George</w:t>
      </w:r>
      <w:r w:rsidRPr="00E5413C">
        <w:rPr>
          <w:iCs/>
          <w:lang w:val="fr-FR"/>
        </w:rPr>
        <w:t xml:space="preserve">, </w:t>
      </w:r>
      <w:r w:rsidRPr="00E5413C">
        <w:rPr>
          <w:lang w:val="fr-FR"/>
        </w:rPr>
        <w:t>Augustin</w:t>
      </w:r>
      <w:r w:rsidRPr="00E5413C">
        <w:rPr>
          <w:iCs/>
          <w:lang w:val="fr-FR"/>
        </w:rPr>
        <w:t xml:space="preserve">, </w:t>
      </w:r>
      <w:r w:rsidRPr="00E5413C">
        <w:rPr>
          <w:lang w:val="fr-FR"/>
        </w:rPr>
        <w:t xml:space="preserve">SM. </w:t>
      </w:r>
      <w:r w:rsidRPr="00E5413C">
        <w:rPr>
          <w:i/>
          <w:lang w:val="fr-FR"/>
        </w:rPr>
        <w:t>Études sur l</w:t>
      </w:r>
      <w:r w:rsidRPr="00E5413C">
        <w:rPr>
          <w:lang w:val="fr-FR"/>
        </w:rPr>
        <w:t>’</w:t>
      </w:r>
      <w:proofErr w:type="spellStart"/>
      <w:r w:rsidRPr="00E5413C">
        <w:rPr>
          <w:i/>
          <w:lang w:val="fr-FR"/>
        </w:rPr>
        <w:t>oeuvre</w:t>
      </w:r>
      <w:proofErr w:type="spellEnd"/>
      <w:r w:rsidRPr="00E5413C">
        <w:rPr>
          <w:i/>
          <w:lang w:val="fr-FR"/>
        </w:rPr>
        <w:t xml:space="preserve"> de Luc</w:t>
      </w:r>
      <w:r w:rsidRPr="00E5413C">
        <w:rPr>
          <w:lang w:val="fr-FR"/>
        </w:rPr>
        <w:t xml:space="preserve">. Sources bibliques. Paris: J. </w:t>
      </w:r>
      <w:proofErr w:type="spellStart"/>
      <w:r w:rsidRPr="00E5413C">
        <w:rPr>
          <w:lang w:val="fr-FR"/>
        </w:rPr>
        <w:t>Gabalda</w:t>
      </w:r>
      <w:proofErr w:type="spellEnd"/>
      <w:r w:rsidRPr="00E5413C">
        <w:rPr>
          <w:iCs/>
          <w:lang w:val="fr-FR"/>
        </w:rPr>
        <w:t xml:space="preserve">, </w:t>
      </w:r>
      <w:r w:rsidRPr="00E5413C">
        <w:rPr>
          <w:lang w:val="fr-FR"/>
        </w:rPr>
        <w:t>1978. (</w:t>
      </w:r>
      <w:proofErr w:type="spellStart"/>
      <w:r w:rsidRPr="00E5413C">
        <w:rPr>
          <w:lang w:val="fr-FR"/>
        </w:rPr>
        <w:t>Chapter</w:t>
      </w:r>
      <w:proofErr w:type="spellEnd"/>
      <w:r w:rsidRPr="00E5413C">
        <w:rPr>
          <w:lang w:val="fr-FR"/>
        </w:rPr>
        <w:t xml:space="preserve"> 1: “La construction du troisième évangile.”)</w:t>
      </w:r>
    </w:p>
    <w:p w14:paraId="2C3ED93C" w14:textId="77777777" w:rsidR="00B47A48" w:rsidRPr="007D4C6B" w:rsidRDefault="00B47A48" w:rsidP="00B47A48">
      <w:pPr>
        <w:widowControl w:val="0"/>
        <w:ind w:left="720" w:hanging="720"/>
      </w:pPr>
      <w:r w:rsidRPr="00E5413C">
        <w:rPr>
          <w:lang w:val="fr-FR"/>
        </w:rPr>
        <w:t>Green-</w:t>
      </w:r>
      <w:proofErr w:type="spellStart"/>
      <w:r w:rsidRPr="00E5413C">
        <w:rPr>
          <w:lang w:val="fr-FR"/>
        </w:rPr>
        <w:t>Armytage</w:t>
      </w:r>
      <w:proofErr w:type="spellEnd"/>
      <w:r w:rsidRPr="00E5413C">
        <w:rPr>
          <w:iCs/>
          <w:lang w:val="fr-FR"/>
        </w:rPr>
        <w:t>, A.H.N.</w:t>
      </w:r>
      <w:r w:rsidRPr="00E5413C">
        <w:rPr>
          <w:lang w:val="fr-FR"/>
        </w:rPr>
        <w:t xml:space="preserve"> </w:t>
      </w:r>
      <w:r w:rsidRPr="00E5413C">
        <w:rPr>
          <w:i/>
          <w:lang w:val="fr-FR"/>
        </w:rPr>
        <w:t>A Portrait of St Luke</w:t>
      </w:r>
      <w:r w:rsidRPr="00E5413C">
        <w:rPr>
          <w:lang w:val="fr-FR"/>
        </w:rPr>
        <w:t xml:space="preserve">. </w:t>
      </w:r>
      <w:r w:rsidRPr="007D4C6B">
        <w:t xml:space="preserve">Introduction by </w:t>
      </w:r>
      <w:r w:rsidRPr="0006276E">
        <w:rPr>
          <w:iCs/>
        </w:rPr>
        <w:t>R.A.</w:t>
      </w:r>
      <w:r w:rsidRPr="007D4C6B">
        <w:t xml:space="preserve"> Knox. Chicago: Henry Regnery</w:t>
      </w:r>
      <w:r w:rsidRPr="007D4C6B">
        <w:rPr>
          <w:iCs/>
        </w:rPr>
        <w:t xml:space="preserve">, </w:t>
      </w:r>
      <w:r w:rsidRPr="007D4C6B">
        <w:t>1955.</w:t>
      </w:r>
    </w:p>
    <w:p w14:paraId="02208ED2" w14:textId="77777777" w:rsidR="00B47A48" w:rsidRPr="007D4C6B" w:rsidRDefault="00B47A48" w:rsidP="00B47A48">
      <w:pPr>
        <w:widowControl w:val="0"/>
        <w:ind w:left="720" w:hanging="720"/>
      </w:pPr>
      <w:r w:rsidRPr="007D4C6B">
        <w:t>Grundmann</w:t>
      </w:r>
      <w:r w:rsidRPr="007D4C6B">
        <w:rPr>
          <w:iCs/>
        </w:rPr>
        <w:t xml:space="preserve">, </w:t>
      </w:r>
      <w:r w:rsidRPr="007D4C6B">
        <w:t xml:space="preserve">Walter. “Die </w:t>
      </w:r>
      <w:proofErr w:type="spellStart"/>
      <w:r w:rsidRPr="007D4C6B">
        <w:t>Bergpredigt</w:t>
      </w:r>
      <w:proofErr w:type="spellEnd"/>
      <w:r w:rsidRPr="007D4C6B">
        <w:t xml:space="preserve"> </w:t>
      </w:r>
      <w:proofErr w:type="spellStart"/>
      <w:r w:rsidRPr="007D4C6B">
        <w:t>nach</w:t>
      </w:r>
      <w:proofErr w:type="spellEnd"/>
      <w:r w:rsidRPr="007D4C6B">
        <w:t xml:space="preserve"> der </w:t>
      </w:r>
      <w:proofErr w:type="spellStart"/>
      <w:r w:rsidRPr="007D4C6B">
        <w:t>Lukasfassung</w:t>
      </w:r>
      <w:proofErr w:type="spellEnd"/>
      <w:r w:rsidRPr="007D4C6B">
        <w:t>.”</w:t>
      </w:r>
      <w:r>
        <w:t xml:space="preserve"> </w:t>
      </w:r>
      <w:r w:rsidRPr="0006276E">
        <w:rPr>
          <w:i/>
          <w:iCs/>
        </w:rPr>
        <w:t>The Gospels Reconsidered</w:t>
      </w:r>
      <w:r w:rsidRPr="0006276E">
        <w:t xml:space="preserve">: </w:t>
      </w:r>
      <w:r w:rsidRPr="0006276E">
        <w:rPr>
          <w:i/>
          <w:iCs/>
        </w:rPr>
        <w:t>A Selection of papers read at the International Congress on the Four Gospels in 1957</w:t>
      </w:r>
      <w:r>
        <w:t>.</w:t>
      </w:r>
      <w:r w:rsidRPr="007D4C6B">
        <w:t xml:space="preserve"> </w:t>
      </w:r>
      <w:r w:rsidRPr="0006276E">
        <w:t xml:space="preserve">Texte und </w:t>
      </w:r>
      <w:proofErr w:type="spellStart"/>
      <w:r w:rsidRPr="0006276E">
        <w:t>Untersuchungen</w:t>
      </w:r>
      <w:proofErr w:type="spellEnd"/>
      <w:r w:rsidRPr="0006276E">
        <w:t xml:space="preserve"> </w:t>
      </w:r>
      <w:proofErr w:type="spellStart"/>
      <w:r w:rsidRPr="0006276E">
        <w:t>zur</w:t>
      </w:r>
      <w:proofErr w:type="spellEnd"/>
      <w:r w:rsidRPr="0006276E">
        <w:t xml:space="preserve"> </w:t>
      </w:r>
      <w:proofErr w:type="spellStart"/>
      <w:r w:rsidRPr="0006276E">
        <w:t>Geschichte</w:t>
      </w:r>
      <w:proofErr w:type="spellEnd"/>
      <w:r w:rsidRPr="0006276E">
        <w:t xml:space="preserve"> der </w:t>
      </w:r>
      <w:proofErr w:type="spellStart"/>
      <w:r w:rsidRPr="0006276E">
        <w:t>altchristlichen</w:t>
      </w:r>
      <w:proofErr w:type="spellEnd"/>
      <w:r w:rsidRPr="0006276E">
        <w:t xml:space="preserve"> </w:t>
      </w:r>
      <w:proofErr w:type="spellStart"/>
      <w:r w:rsidRPr="0006276E">
        <w:t>Literatur</w:t>
      </w:r>
      <w:proofErr w:type="spellEnd"/>
      <w:r w:rsidRPr="007D4C6B">
        <w:t xml:space="preserve"> 73</w:t>
      </w:r>
      <w:r>
        <w:rPr>
          <w:iCs/>
        </w:rPr>
        <w:t>.</w:t>
      </w:r>
      <w:r w:rsidRPr="007D4C6B">
        <w:rPr>
          <w:iCs/>
        </w:rPr>
        <w:t xml:space="preserve"> </w:t>
      </w:r>
      <w:r>
        <w:rPr>
          <w:iCs/>
        </w:rPr>
        <w:t xml:space="preserve">Berlin: De Gruyter, </w:t>
      </w:r>
      <w:r w:rsidRPr="007D4C6B">
        <w:t>1959.</w:t>
      </w:r>
      <w:r>
        <w:t xml:space="preserve"> Oxford: Blackwell, 1960.</w:t>
      </w:r>
      <w:r w:rsidRPr="007D4C6B">
        <w:t xml:space="preserve"> 180-89.</w:t>
      </w:r>
    </w:p>
    <w:p w14:paraId="3613AE5C" w14:textId="77777777" w:rsidR="00B47A48" w:rsidRPr="007D4C6B" w:rsidRDefault="00B47A48" w:rsidP="00B47A48">
      <w:pPr>
        <w:widowControl w:val="0"/>
        <w:ind w:left="720" w:hanging="720"/>
      </w:pPr>
      <w:r w:rsidRPr="007D4C6B">
        <w:t>Grundmann</w:t>
      </w:r>
      <w:r w:rsidRPr="007D4C6B">
        <w:rPr>
          <w:iCs/>
        </w:rPr>
        <w:t xml:space="preserve">, </w:t>
      </w:r>
      <w:r w:rsidRPr="007D4C6B">
        <w:t xml:space="preserve">Walter. </w:t>
      </w:r>
      <w:r w:rsidRPr="007D4C6B">
        <w:rPr>
          <w:i/>
        </w:rPr>
        <w:t xml:space="preserve">Das Evangelium </w:t>
      </w:r>
      <w:proofErr w:type="spellStart"/>
      <w:r w:rsidRPr="007D4C6B">
        <w:rPr>
          <w:i/>
        </w:rPr>
        <w:t>nach</w:t>
      </w:r>
      <w:proofErr w:type="spellEnd"/>
      <w:r w:rsidRPr="007D4C6B">
        <w:rPr>
          <w:i/>
        </w:rPr>
        <w:t xml:space="preserve"> Lukas</w:t>
      </w:r>
      <w:r w:rsidRPr="007D4C6B">
        <w:t xml:space="preserve">. </w:t>
      </w:r>
      <w:proofErr w:type="spellStart"/>
      <w:r w:rsidRPr="0006276E">
        <w:t>Theologischer</w:t>
      </w:r>
      <w:proofErr w:type="spellEnd"/>
      <w:r w:rsidRPr="0006276E">
        <w:t xml:space="preserve"> </w:t>
      </w:r>
      <w:proofErr w:type="spellStart"/>
      <w:r w:rsidRPr="0006276E">
        <w:t>Kommentar</w:t>
      </w:r>
      <w:proofErr w:type="spellEnd"/>
      <w:r w:rsidRPr="0006276E">
        <w:t xml:space="preserve"> </w:t>
      </w:r>
      <w:proofErr w:type="spellStart"/>
      <w:r w:rsidRPr="0006276E">
        <w:t>zum</w:t>
      </w:r>
      <w:proofErr w:type="spellEnd"/>
      <w:r w:rsidRPr="0006276E">
        <w:t xml:space="preserve"> Neuen Testament</w:t>
      </w:r>
      <w:r w:rsidRPr="007D4C6B">
        <w:t xml:space="preserve"> 3. East Berlin: </w:t>
      </w:r>
      <w:proofErr w:type="spellStart"/>
      <w:r w:rsidRPr="007D4C6B">
        <w:t>Evangelische</w:t>
      </w:r>
      <w:proofErr w:type="spellEnd"/>
      <w:r w:rsidRPr="007D4C6B">
        <w:t xml:space="preserve"> </w:t>
      </w:r>
      <w:proofErr w:type="spellStart"/>
      <w:r w:rsidRPr="007D4C6B">
        <w:t>Verlagsanstalt</w:t>
      </w:r>
      <w:proofErr w:type="spellEnd"/>
      <w:r w:rsidRPr="007D4C6B">
        <w:rPr>
          <w:iCs/>
        </w:rPr>
        <w:t xml:space="preserve">, </w:t>
      </w:r>
      <w:r w:rsidRPr="007D4C6B">
        <w:t>1961</w:t>
      </w:r>
      <w:r w:rsidRPr="007D4C6B">
        <w:rPr>
          <w:vertAlign w:val="superscript"/>
        </w:rPr>
        <w:t>2</w:t>
      </w:r>
      <w:r w:rsidRPr="007D4C6B">
        <w:rPr>
          <w:iCs/>
        </w:rPr>
        <w:t xml:space="preserve">, </w:t>
      </w:r>
      <w:r w:rsidRPr="007D4C6B">
        <w:t>1964</w:t>
      </w:r>
      <w:r w:rsidRPr="007D4C6B">
        <w:rPr>
          <w:vertAlign w:val="superscript"/>
        </w:rPr>
        <w:t>3</w:t>
      </w:r>
      <w:r w:rsidRPr="007D4C6B">
        <w:rPr>
          <w:iCs/>
        </w:rPr>
        <w:t xml:space="preserve">, </w:t>
      </w:r>
      <w:r w:rsidRPr="007D4C6B">
        <w:t>1966</w:t>
      </w:r>
      <w:r w:rsidRPr="007D4C6B">
        <w:rPr>
          <w:vertAlign w:val="superscript"/>
        </w:rPr>
        <w:t>4</w:t>
      </w:r>
      <w:r w:rsidRPr="007D4C6B">
        <w:rPr>
          <w:iCs/>
        </w:rPr>
        <w:t xml:space="preserve">, </w:t>
      </w:r>
      <w:r w:rsidRPr="007D4C6B">
        <w:t>1971</w:t>
      </w:r>
      <w:r w:rsidRPr="007D4C6B">
        <w:rPr>
          <w:vertAlign w:val="superscript"/>
        </w:rPr>
        <w:t>6</w:t>
      </w:r>
      <w:r w:rsidRPr="007D4C6B">
        <w:t xml:space="preserve">. </w:t>
      </w:r>
      <w:r>
        <w:t>(</w:t>
      </w:r>
      <w:r w:rsidRPr="007D4C6B">
        <w:t>Rev. ed. of F. Hauck</w:t>
      </w:r>
      <w:r w:rsidRPr="007D4C6B">
        <w:rPr>
          <w:iCs/>
        </w:rPr>
        <w:t xml:space="preserve">, </w:t>
      </w:r>
      <w:r w:rsidRPr="007D4C6B">
        <w:rPr>
          <w:i/>
        </w:rPr>
        <w:t xml:space="preserve">Das Evangelium </w:t>
      </w:r>
      <w:proofErr w:type="spellStart"/>
      <w:r w:rsidRPr="007D4C6B">
        <w:rPr>
          <w:i/>
        </w:rPr>
        <w:t>nach</w:t>
      </w:r>
      <w:proofErr w:type="spellEnd"/>
      <w:r w:rsidRPr="007D4C6B">
        <w:rPr>
          <w:i/>
        </w:rPr>
        <w:t xml:space="preserve"> Lukas</w:t>
      </w:r>
      <w:r>
        <w:rPr>
          <w:iCs/>
        </w:rPr>
        <w:t>.</w:t>
      </w:r>
      <w:r w:rsidRPr="007D4C6B">
        <w:rPr>
          <w:iCs/>
        </w:rPr>
        <w:t xml:space="preserve"> </w:t>
      </w:r>
      <w:r w:rsidRPr="007D4C6B">
        <w:t>THKNT 3</w:t>
      </w:r>
      <w:r>
        <w:rPr>
          <w:iCs/>
        </w:rPr>
        <w:t>.</w:t>
      </w:r>
      <w:r w:rsidRPr="007D4C6B">
        <w:rPr>
          <w:iCs/>
        </w:rPr>
        <w:t xml:space="preserve"> </w:t>
      </w:r>
      <w:r w:rsidRPr="007D4C6B">
        <w:t>Leipzig: Deichert</w:t>
      </w:r>
      <w:r w:rsidRPr="007D4C6B">
        <w:rPr>
          <w:iCs/>
        </w:rPr>
        <w:t xml:space="preserve">, </w:t>
      </w:r>
      <w:r w:rsidRPr="007D4C6B">
        <w:t>1934.</w:t>
      </w:r>
      <w:r>
        <w:t>)</w:t>
      </w:r>
    </w:p>
    <w:p w14:paraId="2C14CF60" w14:textId="77777777" w:rsidR="00B47A48" w:rsidRPr="007D4C6B" w:rsidRDefault="00B47A48" w:rsidP="00B47A48">
      <w:pPr>
        <w:widowControl w:val="0"/>
        <w:ind w:left="720" w:hanging="720"/>
      </w:pPr>
      <w:r w:rsidRPr="007D4C6B">
        <w:lastRenderedPageBreak/>
        <w:t>Haenchen</w:t>
      </w:r>
      <w:r w:rsidRPr="007D4C6B">
        <w:rPr>
          <w:iCs/>
        </w:rPr>
        <w:t xml:space="preserve">, </w:t>
      </w:r>
      <w:r w:rsidRPr="007D4C6B">
        <w:t xml:space="preserve">Ernst. </w:t>
      </w:r>
      <w:r w:rsidRPr="007D4C6B">
        <w:rPr>
          <w:i/>
        </w:rPr>
        <w:t>The Acts of the Apostles</w:t>
      </w:r>
      <w:r w:rsidRPr="007D4C6B">
        <w:t xml:space="preserve">: </w:t>
      </w:r>
      <w:r w:rsidRPr="007D4C6B">
        <w:rPr>
          <w:i/>
        </w:rPr>
        <w:t>A Commentary</w:t>
      </w:r>
      <w:r w:rsidRPr="007D4C6B">
        <w:t>. Trans. Bernard Noble and Gerald Shinn</w:t>
      </w:r>
      <w:r w:rsidRPr="007D4C6B">
        <w:rPr>
          <w:iCs/>
        </w:rPr>
        <w:t xml:space="preserve">, </w:t>
      </w:r>
      <w:r w:rsidRPr="007D4C6B">
        <w:t>under the supervision of Hugh Anderson; trans</w:t>
      </w:r>
      <w:r>
        <w:t>.</w:t>
      </w:r>
      <w:r w:rsidRPr="007D4C6B">
        <w:t xml:space="preserve"> rev</w:t>
      </w:r>
      <w:r>
        <w:t>.</w:t>
      </w:r>
      <w:r w:rsidRPr="007D4C6B">
        <w:t xml:space="preserve"> and updated by R. </w:t>
      </w:r>
      <w:proofErr w:type="spellStart"/>
      <w:r w:rsidRPr="007D4C6B">
        <w:t>McL</w:t>
      </w:r>
      <w:proofErr w:type="spellEnd"/>
      <w:r w:rsidRPr="007D4C6B">
        <w:t>. Wilson. Oxford: Blackwell</w:t>
      </w:r>
      <w:r w:rsidRPr="007D4C6B">
        <w:rPr>
          <w:iCs/>
        </w:rPr>
        <w:t xml:space="preserve">, </w:t>
      </w:r>
      <w:r w:rsidRPr="007D4C6B">
        <w:t>1971; Philadelphia: Westminster</w:t>
      </w:r>
      <w:r w:rsidRPr="007D4C6B">
        <w:rPr>
          <w:iCs/>
        </w:rPr>
        <w:t xml:space="preserve">, </w:t>
      </w:r>
      <w:r w:rsidRPr="007D4C6B">
        <w:t xml:space="preserve">1971 (?). </w:t>
      </w:r>
      <w:r>
        <w:t>(</w:t>
      </w:r>
      <w:r w:rsidRPr="007D4C6B">
        <w:rPr>
          <w:i/>
        </w:rPr>
        <w:t xml:space="preserve">Die </w:t>
      </w:r>
      <w:proofErr w:type="spellStart"/>
      <w:r w:rsidRPr="007D4C6B">
        <w:rPr>
          <w:i/>
        </w:rPr>
        <w:t>Apostelgeschichte</w:t>
      </w:r>
      <w:proofErr w:type="spellEnd"/>
      <w:r>
        <w:rPr>
          <w:iCs/>
        </w:rPr>
        <w:t>.</w:t>
      </w:r>
      <w:r w:rsidRPr="007D4C6B">
        <w:rPr>
          <w:iCs/>
        </w:rPr>
        <w:t xml:space="preserve"> </w:t>
      </w:r>
      <w:r w:rsidRPr="007D4C6B">
        <w:t>Kritisch-</w:t>
      </w:r>
      <w:proofErr w:type="spellStart"/>
      <w:r w:rsidRPr="007D4C6B">
        <w:t>exegetischer</w:t>
      </w:r>
      <w:proofErr w:type="spellEnd"/>
      <w:r w:rsidRPr="007D4C6B">
        <w:t xml:space="preserve"> </w:t>
      </w:r>
      <w:proofErr w:type="spellStart"/>
      <w:r w:rsidRPr="007D4C6B">
        <w:t>Kommentar</w:t>
      </w:r>
      <w:proofErr w:type="spellEnd"/>
      <w:r w:rsidRPr="007D4C6B">
        <w:t xml:space="preserve"> </w:t>
      </w:r>
      <w:proofErr w:type="spellStart"/>
      <w:r w:rsidRPr="007D4C6B">
        <w:t>über</w:t>
      </w:r>
      <w:proofErr w:type="spellEnd"/>
      <w:r w:rsidRPr="007D4C6B">
        <w:t xml:space="preserve"> das Neue Testament 3</w:t>
      </w:r>
      <w:r w:rsidRPr="00DC3006">
        <w:rPr>
          <w:iCs/>
        </w:rPr>
        <w:t xml:space="preserve">. Ed. </w:t>
      </w:r>
      <w:r w:rsidRPr="00D42DB3">
        <w:rPr>
          <w:iCs/>
        </w:rPr>
        <w:t>H.A.W.</w:t>
      </w:r>
      <w:r w:rsidRPr="007D4C6B">
        <w:t xml:space="preserve"> Meyer (popularly called Meyers </w:t>
      </w:r>
      <w:proofErr w:type="spellStart"/>
      <w:r w:rsidRPr="007D4C6B">
        <w:t>Kommentar</w:t>
      </w:r>
      <w:proofErr w:type="spellEnd"/>
      <w:r w:rsidRPr="007D4C6B">
        <w:t>)</w:t>
      </w:r>
      <w:r>
        <w:rPr>
          <w:iCs/>
        </w:rPr>
        <w:t>.</w:t>
      </w:r>
      <w:r w:rsidRPr="007D4C6B">
        <w:rPr>
          <w:iCs/>
        </w:rPr>
        <w:t xml:space="preserve"> </w:t>
      </w:r>
      <w:r w:rsidRPr="007D4C6B">
        <w:t xml:space="preserve">Göttingen: </w:t>
      </w:r>
      <w:proofErr w:type="spellStart"/>
      <w:r w:rsidRPr="007D4C6B">
        <w:t>Vandenhoeck</w:t>
      </w:r>
      <w:proofErr w:type="spellEnd"/>
      <w:r w:rsidRPr="007D4C6B">
        <w:t xml:space="preserve"> </w:t>
      </w:r>
      <w:r>
        <w:t>und</w:t>
      </w:r>
      <w:r w:rsidRPr="007D4C6B">
        <w:t xml:space="preserve"> Ruprecht</w:t>
      </w:r>
      <w:r w:rsidRPr="007D4C6B">
        <w:rPr>
          <w:iCs/>
        </w:rPr>
        <w:t xml:space="preserve">, </w:t>
      </w:r>
      <w:r w:rsidRPr="007D4C6B">
        <w:t>1956</w:t>
      </w:r>
      <w:r w:rsidRPr="007D4C6B">
        <w:rPr>
          <w:vertAlign w:val="superscript"/>
        </w:rPr>
        <w:t>10</w:t>
      </w:r>
      <w:r w:rsidRPr="007D4C6B">
        <w:rPr>
          <w:iCs/>
        </w:rPr>
        <w:t xml:space="preserve">, </w:t>
      </w:r>
      <w:r w:rsidRPr="007D4C6B">
        <w:t>1957</w:t>
      </w:r>
      <w:r w:rsidRPr="007D4C6B">
        <w:rPr>
          <w:vertAlign w:val="superscript"/>
        </w:rPr>
        <w:t>11</w:t>
      </w:r>
      <w:r w:rsidRPr="007D4C6B">
        <w:rPr>
          <w:iCs/>
        </w:rPr>
        <w:t xml:space="preserve">, </w:t>
      </w:r>
      <w:r w:rsidRPr="007D4C6B">
        <w:t>1959</w:t>
      </w:r>
      <w:r w:rsidRPr="007D4C6B">
        <w:rPr>
          <w:vertAlign w:val="superscript"/>
        </w:rPr>
        <w:t>12</w:t>
      </w:r>
      <w:r w:rsidRPr="007D4C6B">
        <w:rPr>
          <w:iCs/>
        </w:rPr>
        <w:t xml:space="preserve">, </w:t>
      </w:r>
      <w:r w:rsidRPr="007D4C6B">
        <w:t>1961</w:t>
      </w:r>
      <w:r w:rsidRPr="007D4C6B">
        <w:rPr>
          <w:vertAlign w:val="superscript"/>
        </w:rPr>
        <w:t>13</w:t>
      </w:r>
      <w:r w:rsidRPr="007D4C6B">
        <w:rPr>
          <w:iCs/>
        </w:rPr>
        <w:t xml:space="preserve">, </w:t>
      </w:r>
      <w:r w:rsidRPr="007D4C6B">
        <w:t>1965</w:t>
      </w:r>
      <w:r w:rsidRPr="007D4C6B">
        <w:rPr>
          <w:vertAlign w:val="superscript"/>
        </w:rPr>
        <w:t>14</w:t>
      </w:r>
      <w:r w:rsidRPr="007D4C6B">
        <w:rPr>
          <w:iCs/>
        </w:rPr>
        <w:t xml:space="preserve">, </w:t>
      </w:r>
      <w:r w:rsidRPr="007D4C6B">
        <w:t>1968</w:t>
      </w:r>
      <w:r w:rsidRPr="007D4C6B">
        <w:rPr>
          <w:vertAlign w:val="superscript"/>
        </w:rPr>
        <w:t>15</w:t>
      </w:r>
      <w:r w:rsidRPr="007D4C6B">
        <w:t xml:space="preserve">. The work replaces </w:t>
      </w:r>
      <w:r w:rsidRPr="00D42DB3">
        <w:rPr>
          <w:iCs/>
        </w:rPr>
        <w:t>H.H.</w:t>
      </w:r>
      <w:r w:rsidRPr="007D4C6B">
        <w:t xml:space="preserve"> Wendt’s commentary in the Meyer series; since Wendt’s commentary ran to 9 eds.</w:t>
      </w:r>
      <w:r w:rsidRPr="007D4C6B">
        <w:rPr>
          <w:iCs/>
        </w:rPr>
        <w:t xml:space="preserve">, </w:t>
      </w:r>
      <w:r w:rsidRPr="007D4C6B">
        <w:t>Haenchen’s 1st ed. is called the 10th.</w:t>
      </w:r>
      <w:r>
        <w:t>)</w:t>
      </w:r>
    </w:p>
    <w:p w14:paraId="35645916" w14:textId="77777777" w:rsidR="00B47A48" w:rsidRPr="007D4C6B" w:rsidRDefault="00B47A48" w:rsidP="00B47A48">
      <w:pPr>
        <w:widowControl w:val="0"/>
        <w:ind w:left="720" w:hanging="720"/>
      </w:pPr>
      <w:r w:rsidRPr="007D4C6B">
        <w:t>Hannam</w:t>
      </w:r>
      <w:r w:rsidRPr="007D4C6B">
        <w:rPr>
          <w:iCs/>
        </w:rPr>
        <w:t xml:space="preserve">, </w:t>
      </w:r>
      <w:r w:rsidRPr="0029762C">
        <w:rPr>
          <w:iCs/>
        </w:rPr>
        <w:t>W.L.</w:t>
      </w:r>
      <w:r w:rsidRPr="007D4C6B">
        <w:t xml:space="preserve"> </w:t>
      </w:r>
      <w:r w:rsidRPr="007D4C6B">
        <w:rPr>
          <w:i/>
        </w:rPr>
        <w:t>Luke the Evangelist</w:t>
      </w:r>
      <w:r w:rsidRPr="007D4C6B">
        <w:t xml:space="preserve">: </w:t>
      </w:r>
      <w:r w:rsidRPr="007D4C6B">
        <w:rPr>
          <w:i/>
        </w:rPr>
        <w:t>A Study of His Purpose</w:t>
      </w:r>
      <w:r w:rsidRPr="007D4C6B">
        <w:t>. New York: Abingdon</w:t>
      </w:r>
      <w:r w:rsidRPr="007D4C6B">
        <w:rPr>
          <w:iCs/>
        </w:rPr>
        <w:t xml:space="preserve">, </w:t>
      </w:r>
      <w:r w:rsidRPr="007D4C6B">
        <w:t>1935</w:t>
      </w:r>
      <w:r>
        <w:t>.</w:t>
      </w:r>
      <w:r w:rsidRPr="007D4C6B">
        <w:t xml:space="preserve"> British title</w:t>
      </w:r>
      <w:r w:rsidRPr="007D4C6B">
        <w:rPr>
          <w:iCs/>
        </w:rPr>
        <w:t xml:space="preserve">, </w:t>
      </w:r>
      <w:r w:rsidRPr="007D4C6B">
        <w:rPr>
          <w:i/>
        </w:rPr>
        <w:t>In the Things of My Father</w:t>
      </w:r>
      <w:r w:rsidRPr="007D4C6B">
        <w:t xml:space="preserve">: </w:t>
      </w:r>
      <w:r w:rsidRPr="007D4C6B">
        <w:rPr>
          <w:i/>
        </w:rPr>
        <w:t>A Study of the Purpose of Luke the Evangelist</w:t>
      </w:r>
      <w:r w:rsidRPr="007D4C6B">
        <w:rPr>
          <w:iCs/>
        </w:rPr>
        <w:t xml:space="preserve">, </w:t>
      </w:r>
      <w:r w:rsidRPr="007D4C6B">
        <w:t>London: Epworth</w:t>
      </w:r>
      <w:r w:rsidRPr="007D4C6B">
        <w:rPr>
          <w:iCs/>
        </w:rPr>
        <w:t xml:space="preserve">, </w:t>
      </w:r>
      <w:r w:rsidRPr="007D4C6B">
        <w:t>1954.</w:t>
      </w:r>
    </w:p>
    <w:p w14:paraId="65BA7835" w14:textId="5CDD7945" w:rsidR="00B47A48" w:rsidRPr="007D4C6B" w:rsidRDefault="00B47A48" w:rsidP="00B47A48">
      <w:pPr>
        <w:widowControl w:val="0"/>
        <w:ind w:left="720" w:hanging="720"/>
      </w:pPr>
      <w:r w:rsidRPr="007D4C6B">
        <w:t>Hanson</w:t>
      </w:r>
      <w:r w:rsidRPr="007D4C6B">
        <w:rPr>
          <w:iCs/>
        </w:rPr>
        <w:t xml:space="preserve">, </w:t>
      </w:r>
      <w:r w:rsidRPr="00D42DB3">
        <w:rPr>
          <w:iCs/>
        </w:rPr>
        <w:t>R.P.C.</w:t>
      </w:r>
      <w:r w:rsidRPr="007D4C6B">
        <w:t xml:space="preserve"> </w:t>
      </w:r>
      <w:r w:rsidRPr="007D4C6B">
        <w:rPr>
          <w:i/>
        </w:rPr>
        <w:t>The Acts in the Revised Standard Version</w:t>
      </w:r>
      <w:r w:rsidRPr="007D4C6B">
        <w:t>. New Clarendon Bible (New Testament)</w:t>
      </w:r>
      <w:r w:rsidRPr="007D4C6B">
        <w:rPr>
          <w:iCs/>
        </w:rPr>
        <w:t xml:space="preserve">, </w:t>
      </w:r>
      <w:r w:rsidRPr="007D4C6B">
        <w:t xml:space="preserve">gen. ed. </w:t>
      </w:r>
      <w:r w:rsidR="00E565D9" w:rsidRPr="00E565D9">
        <w:rPr>
          <w:iCs/>
        </w:rPr>
        <w:t>H.F.</w:t>
      </w:r>
      <w:r w:rsidRPr="00214BC2">
        <w:rPr>
          <w:iCs/>
        </w:rPr>
        <w:t>D.</w:t>
      </w:r>
      <w:r w:rsidRPr="007D4C6B">
        <w:t xml:space="preserve"> Sparks. Oxford: Clarendon</w:t>
      </w:r>
      <w:r w:rsidRPr="007D4C6B">
        <w:rPr>
          <w:iCs/>
        </w:rPr>
        <w:t xml:space="preserve">, </w:t>
      </w:r>
      <w:r w:rsidRPr="007D4C6B">
        <w:t>1967.</w:t>
      </w:r>
    </w:p>
    <w:p w14:paraId="3DA27394" w14:textId="77777777" w:rsidR="00B47A48" w:rsidRPr="007D4C6B" w:rsidRDefault="00B47A48" w:rsidP="00B47A48">
      <w:pPr>
        <w:widowControl w:val="0"/>
        <w:ind w:left="720" w:hanging="720"/>
      </w:pPr>
      <w:r w:rsidRPr="007D4C6B">
        <w:t>Harnack</w:t>
      </w:r>
      <w:r w:rsidRPr="007D4C6B">
        <w:rPr>
          <w:iCs/>
        </w:rPr>
        <w:t xml:space="preserve">, </w:t>
      </w:r>
      <w:r w:rsidRPr="007D4C6B">
        <w:t xml:space="preserve">Adolf von. </w:t>
      </w:r>
      <w:r w:rsidRPr="007D4C6B">
        <w:rPr>
          <w:i/>
        </w:rPr>
        <w:t>The Acts of the Apostles</w:t>
      </w:r>
      <w:r w:rsidRPr="007D4C6B">
        <w:t xml:space="preserve">. Trans. </w:t>
      </w:r>
      <w:r w:rsidRPr="00D42DB3">
        <w:rPr>
          <w:iCs/>
        </w:rPr>
        <w:t>J.R.</w:t>
      </w:r>
      <w:r w:rsidRPr="007D4C6B">
        <w:t xml:space="preserve"> Wilkinson. Crown Theological Library 27: New Testament Studies 3. London: Williams </w:t>
      </w:r>
      <w:r>
        <w:t>and</w:t>
      </w:r>
      <w:r w:rsidRPr="007D4C6B">
        <w:t xml:space="preserve"> Norgate</w:t>
      </w:r>
      <w:r w:rsidRPr="007D4C6B">
        <w:rPr>
          <w:iCs/>
        </w:rPr>
        <w:t xml:space="preserve">, </w:t>
      </w:r>
      <w:r w:rsidRPr="007D4C6B">
        <w:t>1909</w:t>
      </w:r>
      <w:r>
        <w:t>.</w:t>
      </w:r>
      <w:r w:rsidRPr="007D4C6B">
        <w:t xml:space="preserve"> New York: Putnam’s</w:t>
      </w:r>
      <w:r w:rsidRPr="007D4C6B">
        <w:rPr>
          <w:iCs/>
        </w:rPr>
        <w:t xml:space="preserve">, </w:t>
      </w:r>
      <w:r w:rsidRPr="007D4C6B">
        <w:t xml:space="preserve">1909. </w:t>
      </w:r>
      <w:r>
        <w:t>(</w:t>
      </w:r>
      <w:r w:rsidRPr="007D4C6B">
        <w:rPr>
          <w:i/>
        </w:rPr>
        <w:t xml:space="preserve">Die </w:t>
      </w:r>
      <w:proofErr w:type="spellStart"/>
      <w:r w:rsidRPr="007D4C6B">
        <w:rPr>
          <w:i/>
        </w:rPr>
        <w:t>Apostelgeschichte</w:t>
      </w:r>
      <w:proofErr w:type="spellEnd"/>
      <w:r>
        <w:rPr>
          <w:iCs/>
        </w:rPr>
        <w:t>.</w:t>
      </w:r>
      <w:r w:rsidRPr="007D4C6B">
        <w:rPr>
          <w:iCs/>
        </w:rPr>
        <w:t xml:space="preserve"> </w:t>
      </w:r>
      <w:proofErr w:type="spellStart"/>
      <w:r w:rsidRPr="007D4C6B">
        <w:t>Beiträge</w:t>
      </w:r>
      <w:proofErr w:type="spellEnd"/>
      <w:r w:rsidRPr="007D4C6B">
        <w:t xml:space="preserve"> </w:t>
      </w:r>
      <w:proofErr w:type="spellStart"/>
      <w:r w:rsidRPr="007D4C6B">
        <w:t>zur</w:t>
      </w:r>
      <w:proofErr w:type="spellEnd"/>
      <w:r w:rsidRPr="007D4C6B">
        <w:t xml:space="preserve"> </w:t>
      </w:r>
      <w:proofErr w:type="spellStart"/>
      <w:r w:rsidRPr="007D4C6B">
        <w:t>Einleitung</w:t>
      </w:r>
      <w:proofErr w:type="spellEnd"/>
      <w:r w:rsidRPr="007D4C6B">
        <w:t xml:space="preserve"> in das Neue Testament 3</w:t>
      </w:r>
      <w:r>
        <w:rPr>
          <w:iCs/>
        </w:rPr>
        <w:t>.</w:t>
      </w:r>
      <w:r w:rsidRPr="007D4C6B">
        <w:rPr>
          <w:iCs/>
        </w:rPr>
        <w:t xml:space="preserve"> </w:t>
      </w:r>
      <w:r w:rsidRPr="007D4C6B">
        <w:t>Leipzig: 1908.</w:t>
      </w:r>
      <w:r>
        <w:t>)</w:t>
      </w:r>
    </w:p>
    <w:p w14:paraId="1C38C4F1" w14:textId="77777777" w:rsidR="00B47A48" w:rsidRPr="007D4C6B" w:rsidRDefault="00B47A48" w:rsidP="00B47A48">
      <w:pPr>
        <w:widowControl w:val="0"/>
        <w:ind w:left="720" w:hanging="720"/>
      </w:pPr>
      <w:r w:rsidRPr="007D4C6B">
        <w:t>Hauck</w:t>
      </w:r>
      <w:r w:rsidRPr="007D4C6B">
        <w:rPr>
          <w:iCs/>
        </w:rPr>
        <w:t xml:space="preserve">, </w:t>
      </w:r>
      <w:r w:rsidRPr="007D4C6B">
        <w:t xml:space="preserve">Friedrich. </w:t>
      </w:r>
      <w:r w:rsidRPr="007D4C6B">
        <w:rPr>
          <w:i/>
        </w:rPr>
        <w:t xml:space="preserve">Das Evangelium </w:t>
      </w:r>
      <w:proofErr w:type="spellStart"/>
      <w:r w:rsidRPr="007D4C6B">
        <w:rPr>
          <w:i/>
        </w:rPr>
        <w:t>nach</w:t>
      </w:r>
      <w:proofErr w:type="spellEnd"/>
      <w:r w:rsidRPr="007D4C6B">
        <w:rPr>
          <w:i/>
        </w:rPr>
        <w:t xml:space="preserve"> Lukas</w:t>
      </w:r>
      <w:r w:rsidRPr="007D4C6B">
        <w:t xml:space="preserve">. </w:t>
      </w:r>
      <w:proofErr w:type="spellStart"/>
      <w:r w:rsidRPr="007D4C6B">
        <w:t>Theologisches</w:t>
      </w:r>
      <w:proofErr w:type="spellEnd"/>
      <w:r w:rsidRPr="007D4C6B">
        <w:t xml:space="preserve"> </w:t>
      </w:r>
      <w:proofErr w:type="spellStart"/>
      <w:r w:rsidRPr="007D4C6B">
        <w:t>Handkommentar</w:t>
      </w:r>
      <w:proofErr w:type="spellEnd"/>
      <w:r w:rsidRPr="007D4C6B">
        <w:t xml:space="preserve"> </w:t>
      </w:r>
      <w:proofErr w:type="spellStart"/>
      <w:r w:rsidRPr="007D4C6B">
        <w:t>zum</w:t>
      </w:r>
      <w:proofErr w:type="spellEnd"/>
      <w:r w:rsidRPr="007D4C6B">
        <w:t xml:space="preserve"> Neuen Testament 3. Leipzig: Deichert</w:t>
      </w:r>
      <w:r w:rsidRPr="007D4C6B">
        <w:rPr>
          <w:iCs/>
        </w:rPr>
        <w:t xml:space="preserve">, </w:t>
      </w:r>
      <w:r w:rsidRPr="007D4C6B">
        <w:t>1934.</w:t>
      </w:r>
    </w:p>
    <w:p w14:paraId="48E812AA" w14:textId="77777777" w:rsidR="00B47A48" w:rsidRPr="007D4C6B" w:rsidRDefault="00B47A48" w:rsidP="00B47A48">
      <w:pPr>
        <w:widowControl w:val="0"/>
        <w:ind w:left="720" w:hanging="720"/>
      </w:pPr>
      <w:r w:rsidRPr="007D4C6B">
        <w:t>Hengel</w:t>
      </w:r>
      <w:r w:rsidRPr="007D4C6B">
        <w:rPr>
          <w:iCs/>
        </w:rPr>
        <w:t xml:space="preserve">, </w:t>
      </w:r>
      <w:r w:rsidRPr="007D4C6B">
        <w:t xml:space="preserve">Martin. </w:t>
      </w:r>
      <w:r w:rsidRPr="007D4C6B">
        <w:rPr>
          <w:i/>
        </w:rPr>
        <w:t>Acts and the History of Earliest Christianity</w:t>
      </w:r>
      <w:r w:rsidRPr="007D4C6B">
        <w:t>. Trans. John Bowden. London: SCM</w:t>
      </w:r>
      <w:r w:rsidRPr="007D4C6B">
        <w:rPr>
          <w:iCs/>
        </w:rPr>
        <w:t xml:space="preserve">, </w:t>
      </w:r>
      <w:r w:rsidRPr="007D4C6B">
        <w:t>1979; Philadelphia: Fortress</w:t>
      </w:r>
      <w:r w:rsidRPr="007D4C6B">
        <w:rPr>
          <w:iCs/>
        </w:rPr>
        <w:t xml:space="preserve">, </w:t>
      </w:r>
      <w:r w:rsidRPr="007D4C6B">
        <w:t xml:space="preserve">1980. </w:t>
      </w:r>
      <w:r>
        <w:t>(</w:t>
      </w:r>
      <w:r w:rsidRPr="007D4C6B">
        <w:rPr>
          <w:i/>
        </w:rPr>
        <w:t xml:space="preserve">Zur </w:t>
      </w:r>
      <w:proofErr w:type="spellStart"/>
      <w:r w:rsidRPr="007D4C6B">
        <w:rPr>
          <w:i/>
        </w:rPr>
        <w:t>urchristlichen</w:t>
      </w:r>
      <w:proofErr w:type="spellEnd"/>
      <w:r w:rsidRPr="007D4C6B">
        <w:rPr>
          <w:i/>
        </w:rPr>
        <w:t xml:space="preserve"> </w:t>
      </w:r>
      <w:proofErr w:type="spellStart"/>
      <w:r w:rsidRPr="007D4C6B">
        <w:rPr>
          <w:i/>
        </w:rPr>
        <w:t>Geschichtsschreibung</w:t>
      </w:r>
      <w:proofErr w:type="spellEnd"/>
      <w:r>
        <w:rPr>
          <w:iCs/>
        </w:rPr>
        <w:t>.</w:t>
      </w:r>
      <w:r w:rsidRPr="007D4C6B">
        <w:rPr>
          <w:iCs/>
        </w:rPr>
        <w:t xml:space="preserve"> </w:t>
      </w:r>
      <w:r w:rsidRPr="007D4C6B">
        <w:t xml:space="preserve">Stuttgart: </w:t>
      </w:r>
      <w:proofErr w:type="spellStart"/>
      <w:r w:rsidRPr="007D4C6B">
        <w:t>Calwer</w:t>
      </w:r>
      <w:proofErr w:type="spellEnd"/>
      <w:r w:rsidRPr="007D4C6B">
        <w:rPr>
          <w:iCs/>
        </w:rPr>
        <w:t xml:space="preserve">, </w:t>
      </w:r>
      <w:r w:rsidRPr="007D4C6B">
        <w:t>1979.</w:t>
      </w:r>
      <w:r>
        <w:t>)</w:t>
      </w:r>
    </w:p>
    <w:p w14:paraId="0A20D7AE" w14:textId="77777777" w:rsidR="00B47A48" w:rsidRPr="007D4C6B" w:rsidRDefault="00B47A48" w:rsidP="00B47A48">
      <w:pPr>
        <w:widowControl w:val="0"/>
        <w:ind w:left="720" w:hanging="720"/>
      </w:pPr>
      <w:r w:rsidRPr="007D4C6B">
        <w:t>Horn</w:t>
      </w:r>
      <w:r w:rsidRPr="007D4C6B">
        <w:rPr>
          <w:iCs/>
        </w:rPr>
        <w:t xml:space="preserve">, </w:t>
      </w:r>
      <w:r w:rsidRPr="007D4C6B">
        <w:t xml:space="preserve">Friedrich Wilhelm. </w:t>
      </w:r>
      <w:proofErr w:type="spellStart"/>
      <w:r w:rsidRPr="007D4C6B">
        <w:rPr>
          <w:i/>
        </w:rPr>
        <w:t>Glaube</w:t>
      </w:r>
      <w:proofErr w:type="spellEnd"/>
      <w:r w:rsidRPr="007D4C6B">
        <w:rPr>
          <w:i/>
        </w:rPr>
        <w:t xml:space="preserve"> und </w:t>
      </w:r>
      <w:proofErr w:type="spellStart"/>
      <w:r w:rsidRPr="007D4C6B">
        <w:rPr>
          <w:i/>
        </w:rPr>
        <w:t>Handeln</w:t>
      </w:r>
      <w:proofErr w:type="spellEnd"/>
      <w:r w:rsidRPr="007D4C6B">
        <w:rPr>
          <w:i/>
        </w:rPr>
        <w:t xml:space="preserve"> in der </w:t>
      </w:r>
      <w:proofErr w:type="spellStart"/>
      <w:r w:rsidRPr="007D4C6B">
        <w:rPr>
          <w:i/>
        </w:rPr>
        <w:t>Theologie</w:t>
      </w:r>
      <w:proofErr w:type="spellEnd"/>
      <w:r w:rsidRPr="007D4C6B">
        <w:rPr>
          <w:i/>
        </w:rPr>
        <w:t xml:space="preserve"> des Lukas</w:t>
      </w:r>
      <w:r w:rsidRPr="007D4C6B">
        <w:t xml:space="preserve">. </w:t>
      </w:r>
      <w:proofErr w:type="spellStart"/>
      <w:r w:rsidRPr="007D4C6B">
        <w:t>Göttinger</w:t>
      </w:r>
      <w:proofErr w:type="spellEnd"/>
      <w:r w:rsidRPr="007D4C6B">
        <w:t xml:space="preserve"> </w:t>
      </w:r>
      <w:proofErr w:type="spellStart"/>
      <w:r w:rsidRPr="007D4C6B">
        <w:t>theologische</w:t>
      </w:r>
      <w:proofErr w:type="spellEnd"/>
      <w:r w:rsidRPr="007D4C6B">
        <w:t xml:space="preserve"> </w:t>
      </w:r>
      <w:proofErr w:type="spellStart"/>
      <w:r w:rsidRPr="007D4C6B">
        <w:t>Arbeiten</w:t>
      </w:r>
      <w:proofErr w:type="spellEnd"/>
      <w:r w:rsidRPr="007D4C6B">
        <w:t xml:space="preserve"> 26</w:t>
      </w:r>
      <w:r w:rsidRPr="00DC3006">
        <w:rPr>
          <w:iCs/>
        </w:rPr>
        <w:t xml:space="preserve">. Ed. </w:t>
      </w:r>
      <w:r w:rsidRPr="007D4C6B">
        <w:t xml:space="preserve">Georg Strecker. Göttingen: </w:t>
      </w:r>
      <w:proofErr w:type="spellStart"/>
      <w:r w:rsidRPr="00D42DB3">
        <w:rPr>
          <w:iCs/>
        </w:rPr>
        <w:t>Vandenhoeck</w:t>
      </w:r>
      <w:proofErr w:type="spellEnd"/>
      <w:r w:rsidRPr="00D42DB3">
        <w:rPr>
          <w:iCs/>
        </w:rPr>
        <w:t xml:space="preserve"> und Ruprecht</w:t>
      </w:r>
      <w:r w:rsidRPr="007D4C6B">
        <w:rPr>
          <w:iCs/>
        </w:rPr>
        <w:t xml:space="preserve">, </w:t>
      </w:r>
      <w:r w:rsidRPr="007D4C6B">
        <w:t>1983.</w:t>
      </w:r>
    </w:p>
    <w:p w14:paraId="28FEF279" w14:textId="77777777" w:rsidR="00B47A48" w:rsidRPr="007D4C6B" w:rsidRDefault="00B47A48" w:rsidP="00B47A48">
      <w:pPr>
        <w:widowControl w:val="0"/>
        <w:ind w:left="720" w:hanging="720"/>
      </w:pPr>
      <w:r w:rsidRPr="007D4C6B">
        <w:t>Jeremias</w:t>
      </w:r>
      <w:r w:rsidRPr="007D4C6B">
        <w:rPr>
          <w:iCs/>
        </w:rPr>
        <w:t xml:space="preserve">, </w:t>
      </w:r>
      <w:r w:rsidRPr="007D4C6B">
        <w:t xml:space="preserve">Joachim. </w:t>
      </w:r>
      <w:r w:rsidRPr="007D4C6B">
        <w:rPr>
          <w:i/>
        </w:rPr>
        <w:t xml:space="preserve">Die </w:t>
      </w:r>
      <w:proofErr w:type="spellStart"/>
      <w:r w:rsidRPr="007D4C6B">
        <w:rPr>
          <w:i/>
        </w:rPr>
        <w:t>Sprache</w:t>
      </w:r>
      <w:proofErr w:type="spellEnd"/>
      <w:r w:rsidRPr="007D4C6B">
        <w:rPr>
          <w:i/>
        </w:rPr>
        <w:t xml:space="preserve"> des </w:t>
      </w:r>
      <w:proofErr w:type="spellStart"/>
      <w:r w:rsidRPr="007D4C6B">
        <w:rPr>
          <w:i/>
        </w:rPr>
        <w:t>Lukasevangeliums</w:t>
      </w:r>
      <w:proofErr w:type="spellEnd"/>
      <w:r w:rsidRPr="007D4C6B">
        <w:t xml:space="preserve">: </w:t>
      </w:r>
      <w:proofErr w:type="spellStart"/>
      <w:r w:rsidRPr="007D4C6B">
        <w:rPr>
          <w:i/>
        </w:rPr>
        <w:t>Redaktion</w:t>
      </w:r>
      <w:proofErr w:type="spellEnd"/>
      <w:r w:rsidRPr="007D4C6B">
        <w:rPr>
          <w:i/>
        </w:rPr>
        <w:t xml:space="preserve"> und Tradition </w:t>
      </w:r>
      <w:proofErr w:type="spellStart"/>
      <w:r w:rsidRPr="007D4C6B">
        <w:rPr>
          <w:i/>
        </w:rPr>
        <w:t>im</w:t>
      </w:r>
      <w:proofErr w:type="spellEnd"/>
      <w:r w:rsidRPr="007D4C6B">
        <w:rPr>
          <w:i/>
        </w:rPr>
        <w:t xml:space="preserve"> Nicht-</w:t>
      </w:r>
      <w:proofErr w:type="spellStart"/>
      <w:r w:rsidRPr="007D4C6B">
        <w:rPr>
          <w:i/>
        </w:rPr>
        <w:t>Markusstoff</w:t>
      </w:r>
      <w:proofErr w:type="spellEnd"/>
      <w:r w:rsidRPr="007D4C6B">
        <w:rPr>
          <w:i/>
        </w:rPr>
        <w:t xml:space="preserve"> des </w:t>
      </w:r>
      <w:proofErr w:type="spellStart"/>
      <w:r w:rsidRPr="007D4C6B">
        <w:rPr>
          <w:i/>
        </w:rPr>
        <w:t>dritten</w:t>
      </w:r>
      <w:proofErr w:type="spellEnd"/>
      <w:r w:rsidRPr="007D4C6B">
        <w:rPr>
          <w:i/>
        </w:rPr>
        <w:t xml:space="preserve"> </w:t>
      </w:r>
      <w:proofErr w:type="spellStart"/>
      <w:r w:rsidRPr="007D4C6B">
        <w:rPr>
          <w:i/>
        </w:rPr>
        <w:t>Evangeliums</w:t>
      </w:r>
      <w:proofErr w:type="spellEnd"/>
      <w:r w:rsidRPr="007D4C6B">
        <w:t>. Kritisch-</w:t>
      </w:r>
      <w:proofErr w:type="spellStart"/>
      <w:r w:rsidRPr="007D4C6B">
        <w:t>exegetischer</w:t>
      </w:r>
      <w:proofErr w:type="spellEnd"/>
      <w:r w:rsidRPr="007D4C6B">
        <w:t xml:space="preserve"> </w:t>
      </w:r>
      <w:proofErr w:type="spellStart"/>
      <w:r w:rsidRPr="007D4C6B">
        <w:t>Kommentar</w:t>
      </w:r>
      <w:proofErr w:type="spellEnd"/>
      <w:r w:rsidRPr="007D4C6B">
        <w:t xml:space="preserve"> </w:t>
      </w:r>
      <w:proofErr w:type="spellStart"/>
      <w:r w:rsidRPr="007D4C6B">
        <w:t>über</w:t>
      </w:r>
      <w:proofErr w:type="spellEnd"/>
      <w:r w:rsidRPr="007D4C6B">
        <w:t xml:space="preserve"> das Neue Testament </w:t>
      </w:r>
      <w:r>
        <w:t>(</w:t>
      </w:r>
      <w:r w:rsidRPr="007D4C6B">
        <w:t xml:space="preserve">Meyers </w:t>
      </w:r>
      <w:proofErr w:type="spellStart"/>
      <w:r w:rsidRPr="007D4C6B">
        <w:t>Kommentar</w:t>
      </w:r>
      <w:proofErr w:type="spellEnd"/>
      <w:r>
        <w:t>)</w:t>
      </w:r>
      <w:r w:rsidRPr="00DC3006">
        <w:rPr>
          <w:iCs/>
        </w:rPr>
        <w:t xml:space="preserve">. Ed. </w:t>
      </w:r>
      <w:r w:rsidRPr="007D4C6B">
        <w:t>Ferdinand Hahn</w:t>
      </w:r>
      <w:r w:rsidRPr="007D4C6B">
        <w:rPr>
          <w:iCs/>
        </w:rPr>
        <w:t xml:space="preserve">, </w:t>
      </w:r>
      <w:r w:rsidRPr="007D4C6B">
        <w:t xml:space="preserve">special volume. Göttingen: </w:t>
      </w:r>
      <w:proofErr w:type="spellStart"/>
      <w:r w:rsidRPr="00D42DB3">
        <w:rPr>
          <w:iCs/>
        </w:rPr>
        <w:t>Vandenhoeck</w:t>
      </w:r>
      <w:proofErr w:type="spellEnd"/>
      <w:r w:rsidRPr="00D42DB3">
        <w:rPr>
          <w:iCs/>
        </w:rPr>
        <w:t xml:space="preserve"> und Ruprecht</w:t>
      </w:r>
      <w:r w:rsidRPr="007D4C6B">
        <w:rPr>
          <w:iCs/>
        </w:rPr>
        <w:t xml:space="preserve">, </w:t>
      </w:r>
      <w:r w:rsidRPr="007D4C6B">
        <w:t>1980.</w:t>
      </w:r>
    </w:p>
    <w:p w14:paraId="57A8D1A4" w14:textId="77777777" w:rsidR="00B47A48" w:rsidRPr="007D4C6B" w:rsidRDefault="00B47A48" w:rsidP="00B47A48">
      <w:pPr>
        <w:widowControl w:val="0"/>
        <w:ind w:left="720" w:hanging="720"/>
      </w:pPr>
      <w:r w:rsidRPr="007D4C6B">
        <w:t>Jeremias</w:t>
      </w:r>
      <w:r w:rsidRPr="007D4C6B">
        <w:rPr>
          <w:iCs/>
        </w:rPr>
        <w:t xml:space="preserve">, </w:t>
      </w:r>
      <w:r w:rsidRPr="007D4C6B">
        <w:t xml:space="preserve">Johannes. </w:t>
      </w:r>
      <w:r w:rsidRPr="00D42DB3">
        <w:rPr>
          <w:i/>
          <w:iCs/>
        </w:rPr>
        <w:t xml:space="preserve">Das Evangelium </w:t>
      </w:r>
      <w:proofErr w:type="spellStart"/>
      <w:r w:rsidRPr="00D42DB3">
        <w:rPr>
          <w:i/>
          <w:iCs/>
        </w:rPr>
        <w:t>nach</w:t>
      </w:r>
      <w:proofErr w:type="spellEnd"/>
      <w:r w:rsidRPr="00D42DB3">
        <w:rPr>
          <w:i/>
          <w:iCs/>
        </w:rPr>
        <w:t xml:space="preserve"> Lukas</w:t>
      </w:r>
      <w:r w:rsidRPr="00D42DB3">
        <w:t xml:space="preserve">: </w:t>
      </w:r>
      <w:r w:rsidRPr="00D42DB3">
        <w:rPr>
          <w:i/>
          <w:iCs/>
        </w:rPr>
        <w:t xml:space="preserve">Eine </w:t>
      </w:r>
      <w:proofErr w:type="spellStart"/>
      <w:r w:rsidRPr="00D42DB3">
        <w:rPr>
          <w:i/>
          <w:iCs/>
        </w:rPr>
        <w:t>Urchristiche</w:t>
      </w:r>
      <w:proofErr w:type="spellEnd"/>
      <w:r w:rsidRPr="00D42DB3">
        <w:rPr>
          <w:i/>
          <w:iCs/>
        </w:rPr>
        <w:t xml:space="preserve"> </w:t>
      </w:r>
      <w:proofErr w:type="spellStart"/>
      <w:r w:rsidRPr="00D42DB3">
        <w:rPr>
          <w:i/>
          <w:iCs/>
        </w:rPr>
        <w:t>Erklärung</w:t>
      </w:r>
      <w:proofErr w:type="spellEnd"/>
      <w:r w:rsidRPr="00D42DB3">
        <w:rPr>
          <w:i/>
          <w:iCs/>
        </w:rPr>
        <w:t xml:space="preserve"> </w:t>
      </w:r>
      <w:proofErr w:type="spellStart"/>
      <w:r w:rsidRPr="00D42DB3">
        <w:rPr>
          <w:i/>
          <w:iCs/>
        </w:rPr>
        <w:t>für</w:t>
      </w:r>
      <w:proofErr w:type="spellEnd"/>
      <w:r w:rsidRPr="00D42DB3">
        <w:rPr>
          <w:i/>
          <w:iCs/>
        </w:rPr>
        <w:t xml:space="preserve"> die </w:t>
      </w:r>
      <w:proofErr w:type="spellStart"/>
      <w:r w:rsidRPr="00D42DB3">
        <w:rPr>
          <w:i/>
          <w:iCs/>
        </w:rPr>
        <w:t>Gegenwart</w:t>
      </w:r>
      <w:proofErr w:type="spellEnd"/>
      <w:r>
        <w:t>.</w:t>
      </w:r>
      <w:r w:rsidRPr="007D4C6B">
        <w:t xml:space="preserve"> </w:t>
      </w:r>
      <w:r>
        <w:t xml:space="preserve">Chemnitz: Max Müller, </w:t>
      </w:r>
      <w:r w:rsidRPr="007D4C6B">
        <w:t>1930.</w:t>
      </w:r>
    </w:p>
    <w:p w14:paraId="027F5793" w14:textId="77777777" w:rsidR="00B47A48" w:rsidRPr="007D4C6B" w:rsidRDefault="00B47A48" w:rsidP="00B47A48">
      <w:pPr>
        <w:widowControl w:val="0"/>
        <w:ind w:left="720" w:hanging="720"/>
      </w:pPr>
      <w:proofErr w:type="spellStart"/>
      <w:r w:rsidRPr="007D4C6B">
        <w:t>Jervell</w:t>
      </w:r>
      <w:proofErr w:type="spellEnd"/>
      <w:r w:rsidRPr="007D4C6B">
        <w:rPr>
          <w:iCs/>
        </w:rPr>
        <w:t xml:space="preserve">, </w:t>
      </w:r>
      <w:r w:rsidRPr="007D4C6B">
        <w:t xml:space="preserve">Jacob. </w:t>
      </w:r>
      <w:r w:rsidRPr="007D4C6B">
        <w:rPr>
          <w:i/>
        </w:rPr>
        <w:t>Luke and the People of God</w:t>
      </w:r>
      <w:r w:rsidRPr="007D4C6B">
        <w:t xml:space="preserve">: </w:t>
      </w:r>
      <w:r w:rsidRPr="007D4C6B">
        <w:rPr>
          <w:i/>
        </w:rPr>
        <w:t>A New Look at Luke-Acts</w:t>
      </w:r>
      <w:r w:rsidRPr="007D4C6B">
        <w:t xml:space="preserve">. Foreword by Nils Dahl. </w:t>
      </w:r>
      <w:r w:rsidRPr="00D42DB3">
        <w:rPr>
          <w:iCs/>
        </w:rPr>
        <w:t>Minneapolis MN</w:t>
      </w:r>
      <w:r w:rsidRPr="007D4C6B">
        <w:t>: Augsburg</w:t>
      </w:r>
      <w:r w:rsidRPr="007D4C6B">
        <w:rPr>
          <w:iCs/>
        </w:rPr>
        <w:t xml:space="preserve">, </w:t>
      </w:r>
      <w:r w:rsidRPr="007D4C6B">
        <w:t>1972.</w:t>
      </w:r>
    </w:p>
    <w:p w14:paraId="6A4F5174" w14:textId="77777777" w:rsidR="00B47A48" w:rsidRPr="007D4C6B" w:rsidRDefault="00B47A48" w:rsidP="00B47A48">
      <w:pPr>
        <w:widowControl w:val="0"/>
        <w:ind w:left="720" w:hanging="720"/>
      </w:pPr>
      <w:proofErr w:type="spellStart"/>
      <w:r w:rsidRPr="007D4C6B">
        <w:t>Jervell</w:t>
      </w:r>
      <w:proofErr w:type="spellEnd"/>
      <w:r w:rsidRPr="007D4C6B">
        <w:rPr>
          <w:iCs/>
        </w:rPr>
        <w:t xml:space="preserve">, </w:t>
      </w:r>
      <w:r w:rsidRPr="007D4C6B">
        <w:t xml:space="preserve">Jacob. </w:t>
      </w:r>
      <w:r w:rsidRPr="007D4C6B">
        <w:rPr>
          <w:i/>
        </w:rPr>
        <w:t>The Unknown Paul</w:t>
      </w:r>
      <w:r w:rsidRPr="007D4C6B">
        <w:t xml:space="preserve">: </w:t>
      </w:r>
      <w:r w:rsidRPr="007D4C6B">
        <w:rPr>
          <w:i/>
        </w:rPr>
        <w:t>Essays on Luke-Acts and Early Christian History</w:t>
      </w:r>
      <w:r w:rsidRPr="007D4C6B">
        <w:t xml:space="preserve">. </w:t>
      </w:r>
      <w:r w:rsidRPr="00D42DB3">
        <w:rPr>
          <w:iCs/>
        </w:rPr>
        <w:t>Minneapolis MN</w:t>
      </w:r>
      <w:r w:rsidRPr="007D4C6B">
        <w:t>: Augsburg</w:t>
      </w:r>
      <w:r w:rsidRPr="007D4C6B">
        <w:rPr>
          <w:iCs/>
        </w:rPr>
        <w:t xml:space="preserve">, </w:t>
      </w:r>
      <w:r w:rsidRPr="007D4C6B">
        <w:t>1984.</w:t>
      </w:r>
    </w:p>
    <w:p w14:paraId="7FF4D20A" w14:textId="77777777" w:rsidR="00B47A48" w:rsidRPr="007D4C6B" w:rsidRDefault="00B47A48" w:rsidP="00B47A48">
      <w:pPr>
        <w:widowControl w:val="0"/>
        <w:ind w:left="720" w:hanging="720"/>
      </w:pPr>
      <w:r w:rsidRPr="007D4C6B">
        <w:t>Johnson</w:t>
      </w:r>
      <w:r w:rsidRPr="007D4C6B">
        <w:rPr>
          <w:iCs/>
        </w:rPr>
        <w:t xml:space="preserve">, </w:t>
      </w:r>
      <w:r w:rsidRPr="007D4C6B">
        <w:t xml:space="preserve">Luke T. </w:t>
      </w:r>
      <w:r w:rsidRPr="007D4C6B">
        <w:rPr>
          <w:i/>
        </w:rPr>
        <w:t>The Literary Funct</w:t>
      </w:r>
      <w:r>
        <w:rPr>
          <w:i/>
        </w:rPr>
        <w:t>i</w:t>
      </w:r>
      <w:r w:rsidRPr="007D4C6B">
        <w:rPr>
          <w:i/>
        </w:rPr>
        <w:t>on of Possessions in Luke-Acts</w:t>
      </w:r>
      <w:r w:rsidRPr="007D4C6B">
        <w:t>. Society of Biblical Literature Dissertation Series 39</w:t>
      </w:r>
      <w:r w:rsidRPr="00DC3006">
        <w:rPr>
          <w:iCs/>
        </w:rPr>
        <w:t xml:space="preserve">. Ed. </w:t>
      </w:r>
      <w:r w:rsidRPr="007D4C6B">
        <w:t xml:space="preserve">Howard C. Kee and Douglas A. Knight. </w:t>
      </w:r>
      <w:r w:rsidRPr="00D42DB3">
        <w:rPr>
          <w:iCs/>
        </w:rPr>
        <w:t>Missoula MT</w:t>
      </w:r>
      <w:r w:rsidRPr="007D4C6B">
        <w:t>: Scholars</w:t>
      </w:r>
      <w:r w:rsidRPr="007D4C6B">
        <w:rPr>
          <w:iCs/>
        </w:rPr>
        <w:t xml:space="preserve">, </w:t>
      </w:r>
      <w:r w:rsidRPr="007D4C6B">
        <w:t>1977.</w:t>
      </w:r>
    </w:p>
    <w:p w14:paraId="6E2AC6FC" w14:textId="77777777" w:rsidR="00B47A48" w:rsidRPr="007D4C6B" w:rsidRDefault="00B47A48" w:rsidP="00B47A48">
      <w:pPr>
        <w:widowControl w:val="0"/>
        <w:ind w:left="720" w:hanging="720"/>
      </w:pPr>
      <w:r w:rsidRPr="007D4C6B">
        <w:t>Juel</w:t>
      </w:r>
      <w:r w:rsidRPr="007D4C6B">
        <w:rPr>
          <w:iCs/>
        </w:rPr>
        <w:t xml:space="preserve">, </w:t>
      </w:r>
      <w:r w:rsidRPr="007D4C6B">
        <w:t xml:space="preserve">Donald. </w:t>
      </w:r>
      <w:r w:rsidRPr="007D4C6B">
        <w:rPr>
          <w:i/>
        </w:rPr>
        <w:t>Luke-Acts</w:t>
      </w:r>
      <w:r w:rsidRPr="007D4C6B">
        <w:t xml:space="preserve">: </w:t>
      </w:r>
      <w:r w:rsidRPr="007D4C6B">
        <w:rPr>
          <w:i/>
        </w:rPr>
        <w:t>The Promise of History</w:t>
      </w:r>
      <w:r w:rsidRPr="007D4C6B">
        <w:t xml:space="preserve">. </w:t>
      </w:r>
      <w:r w:rsidRPr="00E366BA">
        <w:rPr>
          <w:iCs/>
        </w:rPr>
        <w:t>Atlanta GA</w:t>
      </w:r>
      <w:r w:rsidRPr="007D4C6B">
        <w:t>: John Knox</w:t>
      </w:r>
      <w:r w:rsidRPr="007D4C6B">
        <w:rPr>
          <w:iCs/>
        </w:rPr>
        <w:t xml:space="preserve">, </w:t>
      </w:r>
      <w:r w:rsidRPr="007D4C6B">
        <w:t>1983.</w:t>
      </w:r>
    </w:p>
    <w:p w14:paraId="7A20AD66" w14:textId="77777777" w:rsidR="00B47A48" w:rsidRPr="00E5413C" w:rsidRDefault="00B47A48" w:rsidP="00B47A48">
      <w:pPr>
        <w:widowControl w:val="0"/>
        <w:ind w:left="720" w:hanging="720"/>
        <w:rPr>
          <w:lang w:val="fr-FR"/>
        </w:rPr>
      </w:pPr>
      <w:proofErr w:type="spellStart"/>
      <w:r w:rsidRPr="007D4C6B">
        <w:t>Kaestli</w:t>
      </w:r>
      <w:proofErr w:type="spellEnd"/>
      <w:r w:rsidRPr="007D4C6B">
        <w:rPr>
          <w:iCs/>
        </w:rPr>
        <w:t xml:space="preserve">, </w:t>
      </w:r>
      <w:r w:rsidRPr="007D4C6B">
        <w:t xml:space="preserve">Jean-Daniel. </w:t>
      </w:r>
      <w:r w:rsidRPr="00E5413C">
        <w:rPr>
          <w:i/>
          <w:lang w:val="fr-FR"/>
        </w:rPr>
        <w:t>L</w:t>
      </w:r>
      <w:r w:rsidRPr="00E5413C">
        <w:rPr>
          <w:lang w:val="fr-FR"/>
        </w:rPr>
        <w:t>’</w:t>
      </w:r>
      <w:r w:rsidRPr="00E5413C">
        <w:rPr>
          <w:i/>
          <w:lang w:val="fr-FR"/>
        </w:rPr>
        <w:t>Eschatologie dans l</w:t>
      </w:r>
      <w:r w:rsidRPr="00E5413C">
        <w:rPr>
          <w:lang w:val="fr-FR"/>
        </w:rPr>
        <w:t>’</w:t>
      </w:r>
      <w:proofErr w:type="spellStart"/>
      <w:r w:rsidRPr="00E5413C">
        <w:rPr>
          <w:i/>
          <w:lang w:val="fr-FR"/>
        </w:rPr>
        <w:t>oeuvre</w:t>
      </w:r>
      <w:proofErr w:type="spellEnd"/>
      <w:r w:rsidRPr="00E5413C">
        <w:rPr>
          <w:i/>
          <w:lang w:val="fr-FR"/>
        </w:rPr>
        <w:t xml:space="preserve"> de Luc</w:t>
      </w:r>
      <w:r w:rsidRPr="00E5413C">
        <w:rPr>
          <w:lang w:val="fr-FR"/>
        </w:rPr>
        <w:t xml:space="preserve">: </w:t>
      </w:r>
      <w:r w:rsidRPr="00E5413C">
        <w:rPr>
          <w:i/>
          <w:lang w:val="fr-FR"/>
        </w:rPr>
        <w:t>Ses caractéristiques et sa place dans le développement du christianisme primitif</w:t>
      </w:r>
      <w:r w:rsidRPr="00E5413C">
        <w:rPr>
          <w:lang w:val="fr-FR"/>
        </w:rPr>
        <w:t>. Nouvelle série théologique 22. Geneva: Labor et Fides</w:t>
      </w:r>
      <w:r w:rsidRPr="00E5413C">
        <w:rPr>
          <w:iCs/>
          <w:lang w:val="fr-FR"/>
        </w:rPr>
        <w:t xml:space="preserve">, </w:t>
      </w:r>
      <w:r w:rsidRPr="00E5413C">
        <w:rPr>
          <w:lang w:val="fr-FR"/>
        </w:rPr>
        <w:t>1969.</w:t>
      </w:r>
    </w:p>
    <w:p w14:paraId="52A92BFF" w14:textId="77777777" w:rsidR="00B47A48" w:rsidRPr="007D4C6B" w:rsidRDefault="00B47A48" w:rsidP="00B47A48">
      <w:pPr>
        <w:widowControl w:val="0"/>
        <w:ind w:left="720" w:hanging="720"/>
      </w:pPr>
      <w:proofErr w:type="spellStart"/>
      <w:r w:rsidRPr="00E5413C">
        <w:rPr>
          <w:lang w:val="fr-FR"/>
        </w:rPr>
        <w:t>Kahlefeld</w:t>
      </w:r>
      <w:proofErr w:type="spellEnd"/>
      <w:r w:rsidRPr="00E5413C">
        <w:rPr>
          <w:iCs/>
          <w:lang w:val="fr-FR"/>
        </w:rPr>
        <w:t xml:space="preserve">, </w:t>
      </w:r>
      <w:r w:rsidRPr="00E5413C">
        <w:rPr>
          <w:lang w:val="fr-FR"/>
        </w:rPr>
        <w:t xml:space="preserve">Heinrich. </w:t>
      </w:r>
      <w:r w:rsidRPr="00E5413C">
        <w:rPr>
          <w:i/>
          <w:lang w:val="fr-FR"/>
        </w:rPr>
        <w:t>Der Jünger</w:t>
      </w:r>
      <w:r w:rsidRPr="00E5413C">
        <w:rPr>
          <w:lang w:val="fr-FR"/>
        </w:rPr>
        <w:t xml:space="preserve">: </w:t>
      </w:r>
      <w:proofErr w:type="spellStart"/>
      <w:r w:rsidRPr="00E5413C">
        <w:rPr>
          <w:i/>
          <w:lang w:val="fr-FR"/>
        </w:rPr>
        <w:t>Eine</w:t>
      </w:r>
      <w:proofErr w:type="spellEnd"/>
      <w:r w:rsidRPr="00E5413C">
        <w:rPr>
          <w:i/>
          <w:lang w:val="fr-FR"/>
        </w:rPr>
        <w:t xml:space="preserve"> </w:t>
      </w:r>
      <w:proofErr w:type="spellStart"/>
      <w:r w:rsidRPr="00E5413C">
        <w:rPr>
          <w:i/>
          <w:lang w:val="fr-FR"/>
        </w:rPr>
        <w:t>Auslegung</w:t>
      </w:r>
      <w:proofErr w:type="spellEnd"/>
      <w:r w:rsidRPr="00E5413C">
        <w:rPr>
          <w:i/>
          <w:lang w:val="fr-FR"/>
        </w:rPr>
        <w:t xml:space="preserve"> der </w:t>
      </w:r>
      <w:proofErr w:type="spellStart"/>
      <w:r w:rsidRPr="00E5413C">
        <w:rPr>
          <w:i/>
          <w:lang w:val="fr-FR"/>
        </w:rPr>
        <w:t>Rede</w:t>
      </w:r>
      <w:proofErr w:type="spellEnd"/>
      <w:r w:rsidRPr="00E5413C">
        <w:rPr>
          <w:i/>
          <w:lang w:val="fr-FR"/>
        </w:rPr>
        <w:t xml:space="preserve"> </w:t>
      </w:r>
      <w:proofErr w:type="spellStart"/>
      <w:r w:rsidRPr="00E5413C">
        <w:rPr>
          <w:i/>
          <w:lang w:val="fr-FR"/>
        </w:rPr>
        <w:t>Lk</w:t>
      </w:r>
      <w:proofErr w:type="spellEnd"/>
      <w:r w:rsidRPr="00E5413C">
        <w:rPr>
          <w:i/>
          <w:lang w:val="fr-FR"/>
        </w:rPr>
        <w:t xml:space="preserve"> 6</w:t>
      </w:r>
      <w:r w:rsidRPr="00E5413C">
        <w:rPr>
          <w:iCs/>
          <w:lang w:val="fr-FR"/>
        </w:rPr>
        <w:t xml:space="preserve">, </w:t>
      </w:r>
      <w:r w:rsidRPr="00E5413C">
        <w:rPr>
          <w:i/>
          <w:lang w:val="fr-FR"/>
        </w:rPr>
        <w:t>20-49</w:t>
      </w:r>
      <w:r w:rsidRPr="00E5413C">
        <w:rPr>
          <w:lang w:val="fr-FR"/>
        </w:rPr>
        <w:t xml:space="preserve">. </w:t>
      </w:r>
      <w:r w:rsidRPr="007D4C6B">
        <w:t>Frankfurt am Main: Josef Knecht</w:t>
      </w:r>
      <w:r w:rsidRPr="007D4C6B">
        <w:rPr>
          <w:iCs/>
        </w:rPr>
        <w:t xml:space="preserve">, </w:t>
      </w:r>
      <w:r w:rsidRPr="007D4C6B">
        <w:t>1962.</w:t>
      </w:r>
    </w:p>
    <w:p w14:paraId="3F09BEE9" w14:textId="77777777" w:rsidR="00B47A48" w:rsidRPr="007D4C6B" w:rsidRDefault="00B47A48" w:rsidP="00B47A48">
      <w:pPr>
        <w:widowControl w:val="0"/>
        <w:ind w:left="720" w:hanging="720"/>
      </w:pPr>
      <w:r w:rsidRPr="007D4C6B">
        <w:t>Kealy</w:t>
      </w:r>
      <w:r w:rsidRPr="007D4C6B">
        <w:rPr>
          <w:iCs/>
        </w:rPr>
        <w:t xml:space="preserve">, </w:t>
      </w:r>
      <w:r w:rsidRPr="007D4C6B">
        <w:t xml:space="preserve">John P. </w:t>
      </w:r>
      <w:r w:rsidRPr="007D4C6B">
        <w:rPr>
          <w:i/>
        </w:rPr>
        <w:t>Luke</w:t>
      </w:r>
      <w:r w:rsidRPr="007D4C6B">
        <w:t>’</w:t>
      </w:r>
      <w:r w:rsidRPr="007D4C6B">
        <w:rPr>
          <w:i/>
        </w:rPr>
        <w:t>s Gospel Today</w:t>
      </w:r>
      <w:r w:rsidRPr="007D4C6B">
        <w:t xml:space="preserve">. </w:t>
      </w:r>
      <w:r w:rsidRPr="00D42DB3">
        <w:rPr>
          <w:iCs/>
        </w:rPr>
        <w:t>Denville NJ</w:t>
      </w:r>
      <w:r w:rsidRPr="007D4C6B">
        <w:t>: Dimension</w:t>
      </w:r>
      <w:r w:rsidRPr="007D4C6B">
        <w:rPr>
          <w:iCs/>
        </w:rPr>
        <w:t xml:space="preserve">, </w:t>
      </w:r>
      <w:r w:rsidRPr="007D4C6B">
        <w:t xml:space="preserve">1979. </w:t>
      </w:r>
      <w:r>
        <w:t>(</w:t>
      </w:r>
      <w:r w:rsidRPr="007D4C6B">
        <w:t>Spine has the title</w:t>
      </w:r>
      <w:r w:rsidRPr="007D4C6B">
        <w:rPr>
          <w:iCs/>
        </w:rPr>
        <w:t xml:space="preserve">, </w:t>
      </w:r>
      <w:r w:rsidRPr="007D4C6B">
        <w:rPr>
          <w:i/>
        </w:rPr>
        <w:t>The Gospel of Luke</w:t>
      </w:r>
      <w:r w:rsidRPr="007D4C6B">
        <w:t>.</w:t>
      </w:r>
      <w:r>
        <w:t>)</w:t>
      </w:r>
    </w:p>
    <w:p w14:paraId="73EDD259" w14:textId="77777777" w:rsidR="00B47A48" w:rsidRPr="007D4C6B" w:rsidRDefault="00B47A48" w:rsidP="00B47A48">
      <w:pPr>
        <w:widowControl w:val="0"/>
        <w:ind w:left="720" w:hanging="720"/>
      </w:pPr>
      <w:r w:rsidRPr="007D4C6B">
        <w:t>Kearney</w:t>
      </w:r>
      <w:r w:rsidRPr="007D4C6B">
        <w:rPr>
          <w:iCs/>
        </w:rPr>
        <w:t xml:space="preserve">, </w:t>
      </w:r>
      <w:r w:rsidRPr="007D4C6B">
        <w:t xml:space="preserve">Suzanne Marie. </w:t>
      </w:r>
      <w:r w:rsidRPr="007D4C6B">
        <w:rPr>
          <w:i/>
        </w:rPr>
        <w:t>A Study of Principal Compositional Techniques in Luke-Acts Based on Lk 4</w:t>
      </w:r>
      <w:r w:rsidRPr="007D4C6B">
        <w:t>.</w:t>
      </w:r>
      <w:r w:rsidRPr="007D4C6B">
        <w:rPr>
          <w:i/>
        </w:rPr>
        <w:t>16-30 in Conjunction with Lk 7</w:t>
      </w:r>
      <w:r w:rsidRPr="007D4C6B">
        <w:t>.</w:t>
      </w:r>
      <w:r w:rsidRPr="007D4C6B">
        <w:rPr>
          <w:i/>
        </w:rPr>
        <w:t>18-23</w:t>
      </w:r>
      <w:r w:rsidRPr="007D4C6B">
        <w:t>. Ph.D. dissertation</w:t>
      </w:r>
      <w:r w:rsidRPr="007D4C6B">
        <w:rPr>
          <w:iCs/>
        </w:rPr>
        <w:t xml:space="preserve">, </w:t>
      </w:r>
      <w:r w:rsidRPr="007D4C6B">
        <w:t>Boston</w:t>
      </w:r>
      <w:r>
        <w:t>:</w:t>
      </w:r>
      <w:r w:rsidRPr="007D4C6B">
        <w:t xml:space="preserve"> Boston University </w:t>
      </w:r>
      <w:r w:rsidRPr="007D4C6B">
        <w:lastRenderedPageBreak/>
        <w:t>Graduate School</w:t>
      </w:r>
      <w:r w:rsidRPr="007D4C6B">
        <w:rPr>
          <w:iCs/>
        </w:rPr>
        <w:t xml:space="preserve">, </w:t>
      </w:r>
      <w:r w:rsidRPr="007D4C6B">
        <w:t>1978.</w:t>
      </w:r>
    </w:p>
    <w:p w14:paraId="05AB9B25" w14:textId="77777777" w:rsidR="00B47A48" w:rsidRPr="007D4C6B" w:rsidRDefault="00B47A48" w:rsidP="00B47A48">
      <w:pPr>
        <w:widowControl w:val="0"/>
        <w:ind w:left="720" w:hanging="720"/>
      </w:pPr>
      <w:r w:rsidRPr="007D4C6B">
        <w:t>Keck</w:t>
      </w:r>
      <w:r w:rsidRPr="007D4C6B">
        <w:rPr>
          <w:iCs/>
        </w:rPr>
        <w:t xml:space="preserve">, </w:t>
      </w:r>
      <w:r w:rsidRPr="007D4C6B">
        <w:t>Leander E.</w:t>
      </w:r>
      <w:r w:rsidRPr="007D4C6B">
        <w:rPr>
          <w:iCs/>
        </w:rPr>
        <w:t xml:space="preserve">, </w:t>
      </w:r>
      <w:r w:rsidRPr="007D4C6B">
        <w:t>and J. Louis Martyn</w:t>
      </w:r>
      <w:r>
        <w:rPr>
          <w:iCs/>
        </w:rPr>
        <w:t>,</w:t>
      </w:r>
      <w:r w:rsidRPr="00DC3006">
        <w:rPr>
          <w:iCs/>
        </w:rPr>
        <w:t xml:space="preserve"> </w:t>
      </w:r>
      <w:r>
        <w:rPr>
          <w:iCs/>
        </w:rPr>
        <w:t>e</w:t>
      </w:r>
      <w:r w:rsidRPr="00DC3006">
        <w:rPr>
          <w:iCs/>
        </w:rPr>
        <w:t xml:space="preserve">ds. </w:t>
      </w:r>
      <w:r w:rsidRPr="007D4C6B">
        <w:rPr>
          <w:i/>
        </w:rPr>
        <w:t>Studies in Luke-Acts</w:t>
      </w:r>
      <w:r w:rsidRPr="007D4C6B">
        <w:t xml:space="preserve">: </w:t>
      </w:r>
      <w:r w:rsidRPr="007D4C6B">
        <w:rPr>
          <w:i/>
        </w:rPr>
        <w:t xml:space="preserve">Essays Presented in </w:t>
      </w:r>
      <w:proofErr w:type="spellStart"/>
      <w:r w:rsidRPr="007D4C6B">
        <w:rPr>
          <w:i/>
        </w:rPr>
        <w:t>Honour</w:t>
      </w:r>
      <w:proofErr w:type="spellEnd"/>
      <w:r w:rsidRPr="007D4C6B">
        <w:rPr>
          <w:i/>
        </w:rPr>
        <w:t xml:space="preserve"> of Paul Schubert</w:t>
      </w:r>
      <w:r w:rsidRPr="007D4C6B">
        <w:t xml:space="preserve">. </w:t>
      </w:r>
      <w:r w:rsidRPr="000644ED">
        <w:rPr>
          <w:iCs/>
        </w:rPr>
        <w:t>Nashville</w:t>
      </w:r>
      <w:r w:rsidRPr="007D4C6B">
        <w:t>: Abingdon</w:t>
      </w:r>
      <w:r w:rsidRPr="007D4C6B">
        <w:rPr>
          <w:iCs/>
        </w:rPr>
        <w:t xml:space="preserve">, </w:t>
      </w:r>
      <w:r w:rsidRPr="007D4C6B">
        <w:t>1966</w:t>
      </w:r>
      <w:r>
        <w:t>.</w:t>
      </w:r>
      <w:r w:rsidRPr="007D4C6B">
        <w:t xml:space="preserve"> Under the title</w:t>
      </w:r>
      <w:r w:rsidRPr="007D4C6B">
        <w:rPr>
          <w:iCs/>
        </w:rPr>
        <w:t xml:space="preserve"> </w:t>
      </w:r>
      <w:r w:rsidRPr="007D4C6B">
        <w:rPr>
          <w:i/>
        </w:rPr>
        <w:t>Studies in Luke-Acts</w:t>
      </w:r>
      <w:r w:rsidRPr="007D4C6B">
        <w:t>: Philadelphia: Fortress</w:t>
      </w:r>
      <w:r w:rsidRPr="007D4C6B">
        <w:rPr>
          <w:iCs/>
        </w:rPr>
        <w:t xml:space="preserve">, </w:t>
      </w:r>
      <w:r w:rsidRPr="007D4C6B">
        <w:t>1980.</w:t>
      </w:r>
    </w:p>
    <w:p w14:paraId="236B82D4" w14:textId="77777777" w:rsidR="00B47A48" w:rsidRPr="007D4C6B" w:rsidRDefault="00B47A48" w:rsidP="00B47A48">
      <w:pPr>
        <w:widowControl w:val="0"/>
        <w:ind w:left="720" w:hanging="720"/>
      </w:pPr>
      <w:r w:rsidRPr="007D4C6B">
        <w:t>Klostermann</w:t>
      </w:r>
      <w:r w:rsidRPr="007D4C6B">
        <w:rPr>
          <w:iCs/>
        </w:rPr>
        <w:t xml:space="preserve">, </w:t>
      </w:r>
      <w:r w:rsidRPr="007D4C6B">
        <w:t xml:space="preserve">Erich. </w:t>
      </w:r>
      <w:r w:rsidRPr="007D4C6B">
        <w:rPr>
          <w:i/>
        </w:rPr>
        <w:t xml:space="preserve">Das </w:t>
      </w:r>
      <w:proofErr w:type="spellStart"/>
      <w:r w:rsidRPr="007D4C6B">
        <w:rPr>
          <w:i/>
        </w:rPr>
        <w:t>Lukasevangelium</w:t>
      </w:r>
      <w:proofErr w:type="spellEnd"/>
      <w:r w:rsidRPr="007D4C6B">
        <w:t>. HNT 5. 3rd ed. Tübingen: Mohr</w:t>
      </w:r>
      <w:r w:rsidRPr="007D4C6B">
        <w:rPr>
          <w:iCs/>
        </w:rPr>
        <w:t xml:space="preserve">, </w:t>
      </w:r>
      <w:r w:rsidRPr="007D4C6B">
        <w:t>1929</w:t>
      </w:r>
      <w:r w:rsidRPr="007D4C6B">
        <w:rPr>
          <w:vertAlign w:val="superscript"/>
        </w:rPr>
        <w:t>1</w:t>
      </w:r>
      <w:r w:rsidRPr="007D4C6B">
        <w:rPr>
          <w:iCs/>
        </w:rPr>
        <w:t xml:space="preserve">, </w:t>
      </w:r>
      <w:r w:rsidRPr="007D4C6B">
        <w:t>1975</w:t>
      </w:r>
      <w:r w:rsidRPr="007D4C6B">
        <w:rPr>
          <w:vertAlign w:val="superscript"/>
        </w:rPr>
        <w:t>3</w:t>
      </w:r>
      <w:r w:rsidRPr="007D4C6B">
        <w:t>.</w:t>
      </w:r>
    </w:p>
    <w:p w14:paraId="6E86D52E" w14:textId="77777777" w:rsidR="00B47A48" w:rsidRPr="007D4C6B" w:rsidRDefault="00B47A48" w:rsidP="00B47A48">
      <w:pPr>
        <w:widowControl w:val="0"/>
        <w:ind w:left="720" w:hanging="720"/>
      </w:pPr>
      <w:r w:rsidRPr="007D4C6B">
        <w:t>Knox</w:t>
      </w:r>
      <w:r w:rsidRPr="007D4C6B">
        <w:rPr>
          <w:iCs/>
        </w:rPr>
        <w:t xml:space="preserve">, </w:t>
      </w:r>
      <w:r w:rsidRPr="0029762C">
        <w:rPr>
          <w:iCs/>
        </w:rPr>
        <w:t>W.L.</w:t>
      </w:r>
      <w:r w:rsidRPr="007D4C6B">
        <w:t xml:space="preserve"> </w:t>
      </w:r>
      <w:r w:rsidRPr="007D4C6B">
        <w:rPr>
          <w:i/>
        </w:rPr>
        <w:t>The Acts of the Apostles</w:t>
      </w:r>
      <w:r w:rsidRPr="007D4C6B">
        <w:t xml:space="preserve">. </w:t>
      </w:r>
      <w:r w:rsidRPr="00E366BA">
        <w:rPr>
          <w:iCs/>
        </w:rPr>
        <w:t>Cambridge: CUP</w:t>
      </w:r>
      <w:r w:rsidRPr="007D4C6B">
        <w:rPr>
          <w:iCs/>
        </w:rPr>
        <w:t xml:space="preserve">, </w:t>
      </w:r>
      <w:r w:rsidRPr="007D4C6B">
        <w:t>1945.</w:t>
      </w:r>
    </w:p>
    <w:p w14:paraId="45AD4191" w14:textId="77777777" w:rsidR="00B47A48" w:rsidRPr="007D4C6B" w:rsidRDefault="00B47A48" w:rsidP="00B47A48">
      <w:pPr>
        <w:widowControl w:val="0"/>
        <w:ind w:left="720" w:hanging="720"/>
      </w:pPr>
      <w:proofErr w:type="spellStart"/>
      <w:r w:rsidRPr="007D4C6B">
        <w:t>Kodell</w:t>
      </w:r>
      <w:proofErr w:type="spellEnd"/>
      <w:r w:rsidRPr="007D4C6B">
        <w:rPr>
          <w:iCs/>
        </w:rPr>
        <w:t xml:space="preserve">, </w:t>
      </w:r>
      <w:r w:rsidRPr="007D4C6B">
        <w:t xml:space="preserve">Jerome. </w:t>
      </w:r>
      <w:r w:rsidRPr="007D4C6B">
        <w:rPr>
          <w:i/>
        </w:rPr>
        <w:t>The Gospel According to Luke</w:t>
      </w:r>
      <w:r w:rsidRPr="007D4C6B">
        <w:t>. Collegeville Bible Commentary 3</w:t>
      </w:r>
      <w:r w:rsidRPr="00DC3006">
        <w:rPr>
          <w:iCs/>
        </w:rPr>
        <w:t xml:space="preserve">. Ed. </w:t>
      </w:r>
      <w:r w:rsidRPr="007D4C6B">
        <w:t xml:space="preserve">Robert J. Karris. </w:t>
      </w:r>
      <w:r w:rsidRPr="0029762C">
        <w:rPr>
          <w:iCs/>
        </w:rPr>
        <w:t>Collegeville MN</w:t>
      </w:r>
      <w:r w:rsidRPr="007D4C6B">
        <w:t>: Liturgical</w:t>
      </w:r>
      <w:r w:rsidRPr="007D4C6B">
        <w:rPr>
          <w:iCs/>
        </w:rPr>
        <w:t xml:space="preserve">, </w:t>
      </w:r>
      <w:r w:rsidRPr="007D4C6B">
        <w:t>1983.</w:t>
      </w:r>
    </w:p>
    <w:p w14:paraId="22B93B42" w14:textId="77777777" w:rsidR="00B47A48" w:rsidRPr="007D4C6B" w:rsidRDefault="00B47A48" w:rsidP="00B47A48">
      <w:pPr>
        <w:widowControl w:val="0"/>
        <w:ind w:left="720" w:hanging="720"/>
      </w:pPr>
      <w:r w:rsidRPr="007D4C6B">
        <w:t>Kränkl</w:t>
      </w:r>
      <w:r w:rsidRPr="007D4C6B">
        <w:rPr>
          <w:iCs/>
        </w:rPr>
        <w:t xml:space="preserve">, </w:t>
      </w:r>
      <w:r w:rsidRPr="007D4C6B">
        <w:t xml:space="preserve">Emmeram. </w:t>
      </w:r>
      <w:r w:rsidRPr="007D4C6B">
        <w:rPr>
          <w:i/>
        </w:rPr>
        <w:t xml:space="preserve">Jesus der Knecht </w:t>
      </w:r>
      <w:proofErr w:type="spellStart"/>
      <w:r w:rsidRPr="007D4C6B">
        <w:rPr>
          <w:i/>
        </w:rPr>
        <w:t>Gottes</w:t>
      </w:r>
      <w:proofErr w:type="spellEnd"/>
      <w:r w:rsidRPr="007D4C6B">
        <w:t xml:space="preserve">: </w:t>
      </w:r>
      <w:r w:rsidRPr="007D4C6B">
        <w:rPr>
          <w:i/>
        </w:rPr>
        <w:t xml:space="preserve">Die </w:t>
      </w:r>
      <w:proofErr w:type="spellStart"/>
      <w:r w:rsidRPr="007D4C6B">
        <w:rPr>
          <w:i/>
        </w:rPr>
        <w:t>heilsgeschichtliche</w:t>
      </w:r>
      <w:proofErr w:type="spellEnd"/>
      <w:r w:rsidRPr="007D4C6B">
        <w:rPr>
          <w:i/>
        </w:rPr>
        <w:t xml:space="preserve"> </w:t>
      </w:r>
      <w:proofErr w:type="spellStart"/>
      <w:r w:rsidRPr="007D4C6B">
        <w:rPr>
          <w:i/>
        </w:rPr>
        <w:t>Stellung</w:t>
      </w:r>
      <w:proofErr w:type="spellEnd"/>
      <w:r w:rsidRPr="007D4C6B">
        <w:rPr>
          <w:i/>
        </w:rPr>
        <w:t xml:space="preserve"> Jesu in den Reden der </w:t>
      </w:r>
      <w:proofErr w:type="spellStart"/>
      <w:r w:rsidRPr="007D4C6B">
        <w:rPr>
          <w:i/>
        </w:rPr>
        <w:t>Apostelgeschichte</w:t>
      </w:r>
      <w:proofErr w:type="spellEnd"/>
      <w:r w:rsidRPr="007D4C6B">
        <w:t xml:space="preserve">. </w:t>
      </w:r>
      <w:proofErr w:type="spellStart"/>
      <w:r w:rsidRPr="007D4C6B">
        <w:t>Biblische</w:t>
      </w:r>
      <w:proofErr w:type="spellEnd"/>
      <w:r w:rsidRPr="007D4C6B">
        <w:t xml:space="preserve"> </w:t>
      </w:r>
      <w:proofErr w:type="spellStart"/>
      <w:r w:rsidRPr="007D4C6B">
        <w:t>Untersuchungen</w:t>
      </w:r>
      <w:proofErr w:type="spellEnd"/>
      <w:r w:rsidRPr="007D4C6B">
        <w:t xml:space="preserve"> 8</w:t>
      </w:r>
      <w:r w:rsidRPr="00DC3006">
        <w:rPr>
          <w:iCs/>
        </w:rPr>
        <w:t xml:space="preserve">. Ed. </w:t>
      </w:r>
      <w:r w:rsidRPr="007D4C6B">
        <w:t>Otto Kuss (</w:t>
      </w:r>
      <w:proofErr w:type="spellStart"/>
      <w:r w:rsidRPr="007D4C6B">
        <w:t>Münchener</w:t>
      </w:r>
      <w:proofErr w:type="spellEnd"/>
      <w:r w:rsidRPr="007D4C6B">
        <w:t xml:space="preserve"> Universitäts-</w:t>
      </w:r>
      <w:proofErr w:type="spellStart"/>
      <w:r w:rsidRPr="007D4C6B">
        <w:t>Schriften</w:t>
      </w:r>
      <w:proofErr w:type="spellEnd"/>
      <w:r w:rsidRPr="007D4C6B">
        <w:rPr>
          <w:iCs/>
        </w:rPr>
        <w:t xml:space="preserve">, </w:t>
      </w:r>
      <w:proofErr w:type="spellStart"/>
      <w:r w:rsidRPr="007D4C6B">
        <w:t>Katholisch-Theologische</w:t>
      </w:r>
      <w:proofErr w:type="spellEnd"/>
      <w:r w:rsidRPr="007D4C6B">
        <w:t xml:space="preserve"> </w:t>
      </w:r>
      <w:proofErr w:type="spellStart"/>
      <w:r w:rsidRPr="007D4C6B">
        <w:t>Fakultät</w:t>
      </w:r>
      <w:proofErr w:type="spellEnd"/>
      <w:r w:rsidRPr="007D4C6B">
        <w:t>). Regensburg: Friedrich Pustet</w:t>
      </w:r>
      <w:r w:rsidRPr="007D4C6B">
        <w:rPr>
          <w:iCs/>
        </w:rPr>
        <w:t xml:space="preserve">, </w:t>
      </w:r>
      <w:r w:rsidRPr="007D4C6B">
        <w:t>1972.</w:t>
      </w:r>
    </w:p>
    <w:p w14:paraId="372315D0" w14:textId="67F4880D" w:rsidR="00B47A48" w:rsidRPr="007D4C6B" w:rsidRDefault="00B47A48" w:rsidP="00B47A48">
      <w:pPr>
        <w:widowControl w:val="0"/>
        <w:ind w:left="720" w:hanging="720"/>
      </w:pPr>
      <w:r w:rsidRPr="007D4C6B">
        <w:t>Kümmel</w:t>
      </w:r>
      <w:r w:rsidRPr="007D4C6B">
        <w:rPr>
          <w:iCs/>
        </w:rPr>
        <w:t xml:space="preserve">, </w:t>
      </w:r>
      <w:r w:rsidRPr="007D4C6B">
        <w:t>Werner Georg. “Current Theological Accusations against Luke.”</w:t>
      </w:r>
      <w:r>
        <w:t xml:space="preserve"> </w:t>
      </w:r>
      <w:r w:rsidRPr="00E5413C">
        <w:rPr>
          <w:lang w:val="fr-FR"/>
        </w:rPr>
        <w:t xml:space="preserve">Trans. </w:t>
      </w:r>
      <w:proofErr w:type="spellStart"/>
      <w:r w:rsidRPr="00E5413C">
        <w:rPr>
          <w:lang w:val="fr-FR"/>
        </w:rPr>
        <w:t>from</w:t>
      </w:r>
      <w:proofErr w:type="spellEnd"/>
      <w:r w:rsidRPr="00E5413C">
        <w:rPr>
          <w:lang w:val="fr-FR"/>
        </w:rPr>
        <w:t xml:space="preserve"> German by </w:t>
      </w:r>
      <w:proofErr w:type="spellStart"/>
      <w:r w:rsidRPr="00E5413C">
        <w:rPr>
          <w:lang w:val="fr-FR"/>
        </w:rPr>
        <w:t>Wm</w:t>
      </w:r>
      <w:proofErr w:type="spellEnd"/>
      <w:r w:rsidRPr="00E5413C">
        <w:rPr>
          <w:lang w:val="fr-FR"/>
        </w:rPr>
        <w:t>. C. Robinson</w:t>
      </w:r>
      <w:r w:rsidRPr="00E5413C">
        <w:rPr>
          <w:iCs/>
          <w:lang w:val="fr-FR"/>
        </w:rPr>
        <w:t xml:space="preserve">, </w:t>
      </w:r>
      <w:r w:rsidRPr="00E5413C">
        <w:rPr>
          <w:lang w:val="fr-FR"/>
        </w:rPr>
        <w:t xml:space="preserve">Jr. </w:t>
      </w:r>
      <w:r w:rsidRPr="00E5413C">
        <w:rPr>
          <w:i/>
          <w:lang w:val="fr-FR"/>
        </w:rPr>
        <w:t>ANQ</w:t>
      </w:r>
      <w:r w:rsidRPr="00E5413C">
        <w:rPr>
          <w:lang w:val="fr-FR"/>
        </w:rPr>
        <w:t xml:space="preserve"> 16 (1975-76) 131-45. (“Luc en accusation dans la théologie contemporaine.” </w:t>
      </w:r>
      <w:r w:rsidR="00E565D9" w:rsidRPr="00360A80">
        <w:rPr>
          <w:i/>
          <w:iCs/>
          <w:kern w:val="0"/>
          <w:szCs w:val="23"/>
        </w:rPr>
        <w:t xml:space="preserve">Ephemerides </w:t>
      </w:r>
      <w:proofErr w:type="spellStart"/>
      <w:r w:rsidR="00E565D9" w:rsidRPr="00360A80">
        <w:rPr>
          <w:i/>
          <w:iCs/>
          <w:kern w:val="0"/>
          <w:szCs w:val="23"/>
        </w:rPr>
        <w:t>Theologicae</w:t>
      </w:r>
      <w:proofErr w:type="spellEnd"/>
      <w:r w:rsidR="00E565D9" w:rsidRPr="00360A80">
        <w:rPr>
          <w:i/>
          <w:iCs/>
          <w:kern w:val="0"/>
          <w:szCs w:val="23"/>
        </w:rPr>
        <w:t xml:space="preserve"> </w:t>
      </w:r>
      <w:proofErr w:type="spellStart"/>
      <w:r w:rsidR="00E565D9" w:rsidRPr="00360A80">
        <w:rPr>
          <w:i/>
          <w:iCs/>
          <w:kern w:val="0"/>
          <w:szCs w:val="23"/>
        </w:rPr>
        <w:t>Lo</w:t>
      </w:r>
      <w:r w:rsidR="00E565D9" w:rsidRPr="00360A80">
        <w:rPr>
          <w:i/>
          <w:iCs/>
          <w:szCs w:val="23"/>
        </w:rPr>
        <w:t>v</w:t>
      </w:r>
      <w:r w:rsidR="00E565D9" w:rsidRPr="00360A80">
        <w:rPr>
          <w:i/>
          <w:iCs/>
          <w:kern w:val="0"/>
          <w:szCs w:val="23"/>
        </w:rPr>
        <w:t>anienses</w:t>
      </w:r>
      <w:proofErr w:type="spellEnd"/>
      <w:r w:rsidRPr="007D4C6B">
        <w:t xml:space="preserve"> 46 (1970) 265-81</w:t>
      </w:r>
      <w:r>
        <w:t>.</w:t>
      </w:r>
      <w:r w:rsidRPr="007D4C6B">
        <w:t xml:space="preserve"> “Lukas in der </w:t>
      </w:r>
      <w:proofErr w:type="spellStart"/>
      <w:r w:rsidRPr="007D4C6B">
        <w:t>Anklage</w:t>
      </w:r>
      <w:proofErr w:type="spellEnd"/>
      <w:r w:rsidRPr="007D4C6B">
        <w:t xml:space="preserve"> der </w:t>
      </w:r>
      <w:proofErr w:type="spellStart"/>
      <w:r w:rsidRPr="007D4C6B">
        <w:t>heutigen</w:t>
      </w:r>
      <w:proofErr w:type="spellEnd"/>
      <w:r w:rsidRPr="007D4C6B">
        <w:t xml:space="preserve"> </w:t>
      </w:r>
      <w:proofErr w:type="spellStart"/>
      <w:r w:rsidRPr="007D4C6B">
        <w:t>Theologie</w:t>
      </w:r>
      <w:proofErr w:type="spellEnd"/>
      <w:r>
        <w:t>.</w:t>
      </w:r>
      <w:r w:rsidRPr="007D4C6B">
        <w:t xml:space="preserve">” </w:t>
      </w:r>
      <w:proofErr w:type="spellStart"/>
      <w:r w:rsidRPr="00CA0334">
        <w:rPr>
          <w:i/>
          <w:iCs/>
        </w:rPr>
        <w:t>Zeitschrift</w:t>
      </w:r>
      <w:proofErr w:type="spellEnd"/>
      <w:r w:rsidRPr="00CA0334">
        <w:rPr>
          <w:i/>
          <w:iCs/>
        </w:rPr>
        <w:t xml:space="preserve"> für die </w:t>
      </w:r>
      <w:proofErr w:type="spellStart"/>
      <w:r w:rsidRPr="00CA0334">
        <w:rPr>
          <w:i/>
          <w:iCs/>
        </w:rPr>
        <w:t>neutestamentliche</w:t>
      </w:r>
      <w:proofErr w:type="spellEnd"/>
      <w:r w:rsidRPr="00CA0334">
        <w:rPr>
          <w:i/>
          <w:iCs/>
        </w:rPr>
        <w:t xml:space="preserve"> Wissenschaft</w:t>
      </w:r>
      <w:r w:rsidRPr="007D4C6B">
        <w:t xml:space="preserve"> 63 (1972) 149-65</w:t>
      </w:r>
      <w:r>
        <w:t>.</w:t>
      </w:r>
      <w:r w:rsidRPr="007D4C6B">
        <w:t xml:space="preserve"> Rpt. in </w:t>
      </w:r>
      <w:r w:rsidRPr="007D4C6B">
        <w:rPr>
          <w:i/>
        </w:rPr>
        <w:t>Das Lukas-Evangelium</w:t>
      </w:r>
      <w:r>
        <w:t xml:space="preserve">. </w:t>
      </w:r>
      <w:r w:rsidRPr="007D4C6B">
        <w:t>Wege der Forschung 280</w:t>
      </w:r>
      <w:r w:rsidRPr="00DC3006">
        <w:rPr>
          <w:iCs/>
        </w:rPr>
        <w:t xml:space="preserve">. Ed. </w:t>
      </w:r>
      <w:r w:rsidRPr="007D4C6B">
        <w:t>Georg Braumann</w:t>
      </w:r>
      <w:r>
        <w:rPr>
          <w:iCs/>
        </w:rPr>
        <w:t>.</w:t>
      </w:r>
      <w:r w:rsidRPr="007D4C6B">
        <w:rPr>
          <w:iCs/>
        </w:rPr>
        <w:t xml:space="preserve"> </w:t>
      </w:r>
      <w:r w:rsidRPr="007D4C6B">
        <w:t xml:space="preserve">Darmstadt: </w:t>
      </w:r>
      <w:proofErr w:type="spellStart"/>
      <w:r w:rsidRPr="007D4C6B">
        <w:t>Wissenschaftliche</w:t>
      </w:r>
      <w:proofErr w:type="spellEnd"/>
      <w:r w:rsidRPr="007D4C6B">
        <w:t xml:space="preserve"> </w:t>
      </w:r>
      <w:proofErr w:type="spellStart"/>
      <w:r w:rsidRPr="007D4C6B">
        <w:t>Buchgesellschaft</w:t>
      </w:r>
      <w:proofErr w:type="spellEnd"/>
      <w:r w:rsidRPr="007D4C6B">
        <w:rPr>
          <w:iCs/>
        </w:rPr>
        <w:t xml:space="preserve">, </w:t>
      </w:r>
      <w:r w:rsidRPr="007D4C6B">
        <w:t>1974</w:t>
      </w:r>
      <w:r>
        <w:rPr>
          <w:iCs/>
        </w:rPr>
        <w:t>.</w:t>
      </w:r>
      <w:r w:rsidRPr="007D4C6B">
        <w:rPr>
          <w:iCs/>
        </w:rPr>
        <w:t xml:space="preserve"> </w:t>
      </w:r>
      <w:r w:rsidRPr="007D4C6B">
        <w:t>416-36.</w:t>
      </w:r>
      <w:r>
        <w:t>)</w:t>
      </w:r>
    </w:p>
    <w:p w14:paraId="5808A74D" w14:textId="77777777" w:rsidR="00B47A48" w:rsidRPr="007D4C6B" w:rsidRDefault="00B47A48" w:rsidP="00B47A48">
      <w:pPr>
        <w:widowControl w:val="0"/>
        <w:ind w:left="720" w:hanging="720"/>
      </w:pPr>
      <w:proofErr w:type="spellStart"/>
      <w:r w:rsidRPr="007D4C6B">
        <w:t>Kürnizger</w:t>
      </w:r>
      <w:proofErr w:type="spellEnd"/>
      <w:r w:rsidRPr="007D4C6B">
        <w:rPr>
          <w:iCs/>
        </w:rPr>
        <w:t xml:space="preserve">, </w:t>
      </w:r>
      <w:r w:rsidRPr="007D4C6B">
        <w:t xml:space="preserve">Josef. </w:t>
      </w:r>
      <w:r w:rsidRPr="007D4C6B">
        <w:rPr>
          <w:i/>
        </w:rPr>
        <w:t>The Acts of the Apostles</w:t>
      </w:r>
      <w:r w:rsidRPr="007D4C6B">
        <w:t>. Trans. Anthony N. Fuerst. New Testament for Spiritual Reading</w:t>
      </w:r>
      <w:r w:rsidRPr="00DC3006">
        <w:rPr>
          <w:iCs/>
        </w:rPr>
        <w:t xml:space="preserve">. Ed. </w:t>
      </w:r>
      <w:r w:rsidRPr="007D4C6B">
        <w:t xml:space="preserve">John L. McKenzie. 2 vols. London: </w:t>
      </w:r>
      <w:r w:rsidRPr="0029762C">
        <w:rPr>
          <w:iCs/>
        </w:rPr>
        <w:t>Burns and Oates</w:t>
      </w:r>
      <w:r w:rsidRPr="007D4C6B">
        <w:rPr>
          <w:iCs/>
        </w:rPr>
        <w:t xml:space="preserve">, </w:t>
      </w:r>
      <w:r w:rsidRPr="007D4C6B">
        <w:t xml:space="preserve">1969; </w:t>
      </w:r>
      <w:r w:rsidRPr="0029762C">
        <w:rPr>
          <w:iCs/>
        </w:rPr>
        <w:t>New York: Herder and Herder</w:t>
      </w:r>
      <w:r w:rsidRPr="007D4C6B">
        <w:rPr>
          <w:iCs/>
        </w:rPr>
        <w:t xml:space="preserve">, </w:t>
      </w:r>
      <w:r w:rsidRPr="007D4C6B">
        <w:t xml:space="preserve">1969. </w:t>
      </w:r>
      <w:r>
        <w:t>(</w:t>
      </w:r>
      <w:r w:rsidRPr="007D4C6B">
        <w:rPr>
          <w:i/>
        </w:rPr>
        <w:t xml:space="preserve">Die </w:t>
      </w:r>
      <w:proofErr w:type="spellStart"/>
      <w:r w:rsidRPr="007D4C6B">
        <w:rPr>
          <w:i/>
        </w:rPr>
        <w:t>Apostelgeschichte</w:t>
      </w:r>
      <w:proofErr w:type="spellEnd"/>
      <w:r>
        <w:rPr>
          <w:iCs/>
        </w:rPr>
        <w:t>.</w:t>
      </w:r>
      <w:r w:rsidRPr="007D4C6B">
        <w:rPr>
          <w:iCs/>
        </w:rPr>
        <w:t xml:space="preserve"> </w:t>
      </w:r>
      <w:proofErr w:type="spellStart"/>
      <w:r w:rsidRPr="007D4C6B">
        <w:t>Geistliche</w:t>
      </w:r>
      <w:proofErr w:type="spellEnd"/>
      <w:r w:rsidRPr="007D4C6B">
        <w:t xml:space="preserve"> </w:t>
      </w:r>
      <w:proofErr w:type="spellStart"/>
      <w:r w:rsidRPr="007D4C6B">
        <w:t>Schriftlesung</w:t>
      </w:r>
      <w:proofErr w:type="spellEnd"/>
      <w:r>
        <w:rPr>
          <w:iCs/>
        </w:rPr>
        <w:t>.</w:t>
      </w:r>
      <w:r w:rsidRPr="007D4C6B">
        <w:rPr>
          <w:iCs/>
        </w:rPr>
        <w:t xml:space="preserve"> </w:t>
      </w:r>
      <w:r w:rsidRPr="007D4C6B">
        <w:t>2 vols.</w:t>
      </w:r>
      <w:r w:rsidRPr="007D4C6B">
        <w:rPr>
          <w:iCs/>
        </w:rPr>
        <w:t xml:space="preserve"> </w:t>
      </w:r>
      <w:r w:rsidRPr="007D4C6B">
        <w:t>Düsseldorf: Patmos</w:t>
      </w:r>
      <w:r w:rsidRPr="007D4C6B">
        <w:rPr>
          <w:iCs/>
        </w:rPr>
        <w:t xml:space="preserve">, </w:t>
      </w:r>
      <w:r w:rsidRPr="007D4C6B">
        <w:t>1966.</w:t>
      </w:r>
      <w:r>
        <w:t>)</w:t>
      </w:r>
    </w:p>
    <w:p w14:paraId="5F070D89" w14:textId="77777777" w:rsidR="00B47A48" w:rsidRPr="00E5413C" w:rsidRDefault="00B47A48" w:rsidP="00B47A48">
      <w:pPr>
        <w:widowControl w:val="0"/>
        <w:ind w:left="720" w:hanging="720"/>
        <w:rPr>
          <w:lang w:val="fr-FR"/>
        </w:rPr>
      </w:pPr>
      <w:r w:rsidRPr="007D4C6B">
        <w:t>Kurz</w:t>
      </w:r>
      <w:r w:rsidRPr="007D4C6B">
        <w:rPr>
          <w:iCs/>
        </w:rPr>
        <w:t xml:space="preserve">, </w:t>
      </w:r>
      <w:r w:rsidRPr="007D4C6B">
        <w:t xml:space="preserve">William S. </w:t>
      </w:r>
      <w:r w:rsidRPr="007D4C6B">
        <w:rPr>
          <w:i/>
        </w:rPr>
        <w:t>The Acts of the Apostles</w:t>
      </w:r>
      <w:r w:rsidRPr="007D4C6B">
        <w:t xml:space="preserve">. </w:t>
      </w:r>
      <w:proofErr w:type="spellStart"/>
      <w:r w:rsidRPr="00E5413C">
        <w:rPr>
          <w:lang w:val="fr-FR"/>
        </w:rPr>
        <w:t>Collegeville</w:t>
      </w:r>
      <w:proofErr w:type="spellEnd"/>
      <w:r w:rsidRPr="00E5413C">
        <w:rPr>
          <w:lang w:val="fr-FR"/>
        </w:rPr>
        <w:t xml:space="preserve"> Bible </w:t>
      </w:r>
      <w:proofErr w:type="spellStart"/>
      <w:r w:rsidRPr="00E5413C">
        <w:rPr>
          <w:lang w:val="fr-FR"/>
        </w:rPr>
        <w:t>Commentary</w:t>
      </w:r>
      <w:proofErr w:type="spellEnd"/>
      <w:r w:rsidRPr="00E5413C">
        <w:rPr>
          <w:lang w:val="fr-FR"/>
        </w:rPr>
        <w:t xml:space="preserve"> 5. </w:t>
      </w:r>
      <w:proofErr w:type="spellStart"/>
      <w:r w:rsidRPr="00E5413C">
        <w:rPr>
          <w:iCs/>
          <w:lang w:val="fr-FR"/>
        </w:rPr>
        <w:t>Collegeville</w:t>
      </w:r>
      <w:proofErr w:type="spellEnd"/>
      <w:r w:rsidRPr="00E5413C">
        <w:rPr>
          <w:iCs/>
          <w:lang w:val="fr-FR"/>
        </w:rPr>
        <w:t xml:space="preserve"> MN</w:t>
      </w:r>
      <w:r w:rsidRPr="00E5413C">
        <w:rPr>
          <w:lang w:val="fr-FR"/>
        </w:rPr>
        <w:t xml:space="preserve">: </w:t>
      </w:r>
      <w:proofErr w:type="spellStart"/>
      <w:r w:rsidRPr="00E5413C">
        <w:rPr>
          <w:iCs/>
          <w:lang w:val="fr-FR"/>
        </w:rPr>
        <w:t>Liturgical</w:t>
      </w:r>
      <w:proofErr w:type="spellEnd"/>
      <w:r w:rsidRPr="00E5413C">
        <w:rPr>
          <w:iCs/>
          <w:lang w:val="fr-FR"/>
        </w:rPr>
        <w:t xml:space="preserve">, </w:t>
      </w:r>
      <w:r w:rsidRPr="00E5413C">
        <w:rPr>
          <w:lang w:val="fr-FR"/>
        </w:rPr>
        <w:t>1983.</w:t>
      </w:r>
    </w:p>
    <w:p w14:paraId="2C9F356F" w14:textId="77777777" w:rsidR="00B47A48" w:rsidRPr="007D4C6B" w:rsidRDefault="00B47A48" w:rsidP="00B47A48">
      <w:pPr>
        <w:widowControl w:val="0"/>
        <w:ind w:left="720" w:hanging="720"/>
      </w:pPr>
      <w:r w:rsidRPr="00E5413C">
        <w:rPr>
          <w:lang w:val="fr-FR"/>
        </w:rPr>
        <w:t>Lagrange</w:t>
      </w:r>
      <w:r w:rsidRPr="00E5413C">
        <w:rPr>
          <w:iCs/>
          <w:lang w:val="fr-FR"/>
        </w:rPr>
        <w:t xml:space="preserve">, </w:t>
      </w:r>
      <w:r w:rsidRPr="00E5413C">
        <w:rPr>
          <w:lang w:val="fr-FR"/>
        </w:rPr>
        <w:t xml:space="preserve">M.-J., OP. </w:t>
      </w:r>
      <w:r w:rsidRPr="00E5413C">
        <w:rPr>
          <w:i/>
          <w:lang w:val="fr-FR"/>
        </w:rPr>
        <w:t>Évangile selon Saint Luc</w:t>
      </w:r>
      <w:r w:rsidRPr="00E5413C">
        <w:rPr>
          <w:lang w:val="fr-FR"/>
        </w:rPr>
        <w:t xml:space="preserve">. </w:t>
      </w:r>
      <w:proofErr w:type="spellStart"/>
      <w:r w:rsidRPr="007D4C6B">
        <w:t>EBib</w:t>
      </w:r>
      <w:proofErr w:type="spellEnd"/>
      <w:r w:rsidRPr="007D4C6B">
        <w:t xml:space="preserve">. Paris: </w:t>
      </w:r>
      <w:proofErr w:type="spellStart"/>
      <w:r w:rsidRPr="007D4C6B">
        <w:t>Gabalda</w:t>
      </w:r>
      <w:proofErr w:type="spellEnd"/>
      <w:r w:rsidRPr="007D4C6B">
        <w:rPr>
          <w:iCs/>
        </w:rPr>
        <w:t xml:space="preserve">, </w:t>
      </w:r>
      <w:r w:rsidRPr="007D4C6B">
        <w:t>1921</w:t>
      </w:r>
      <w:r w:rsidRPr="007D4C6B">
        <w:rPr>
          <w:vertAlign w:val="superscript"/>
        </w:rPr>
        <w:t>1</w:t>
      </w:r>
      <w:r w:rsidRPr="007D4C6B">
        <w:rPr>
          <w:iCs/>
        </w:rPr>
        <w:t xml:space="preserve">, </w:t>
      </w:r>
      <w:r w:rsidRPr="007D4C6B">
        <w:t>1927</w:t>
      </w:r>
      <w:r w:rsidRPr="007D4C6B">
        <w:rPr>
          <w:vertAlign w:val="superscript"/>
        </w:rPr>
        <w:t>3</w:t>
      </w:r>
      <w:r w:rsidRPr="007D4C6B">
        <w:rPr>
          <w:iCs/>
        </w:rPr>
        <w:t xml:space="preserve">, </w:t>
      </w:r>
      <w:r w:rsidRPr="007D4C6B">
        <w:t>1927</w:t>
      </w:r>
      <w:r w:rsidRPr="007D4C6B">
        <w:rPr>
          <w:vertAlign w:val="superscript"/>
        </w:rPr>
        <w:t>4</w:t>
      </w:r>
      <w:r w:rsidRPr="007D4C6B">
        <w:rPr>
          <w:iCs/>
        </w:rPr>
        <w:t xml:space="preserve">, </w:t>
      </w:r>
      <w:r w:rsidRPr="007D4C6B">
        <w:t>1948</w:t>
      </w:r>
      <w:r w:rsidRPr="007D4C6B">
        <w:rPr>
          <w:vertAlign w:val="superscript"/>
        </w:rPr>
        <w:t>8</w:t>
      </w:r>
      <w:r w:rsidRPr="007D4C6B">
        <w:t>.</w:t>
      </w:r>
    </w:p>
    <w:p w14:paraId="72D1B60B" w14:textId="77777777" w:rsidR="00B47A48" w:rsidRPr="007D4C6B" w:rsidRDefault="00B47A48" w:rsidP="00B47A48">
      <w:pPr>
        <w:widowControl w:val="0"/>
        <w:ind w:left="720" w:hanging="720"/>
      </w:pPr>
      <w:proofErr w:type="spellStart"/>
      <w:r w:rsidRPr="007D4C6B">
        <w:t>Lapide</w:t>
      </w:r>
      <w:proofErr w:type="spellEnd"/>
      <w:r w:rsidRPr="007D4C6B">
        <w:rPr>
          <w:iCs/>
        </w:rPr>
        <w:t xml:space="preserve">, </w:t>
      </w:r>
      <w:r w:rsidRPr="007D4C6B">
        <w:t xml:space="preserve">Cornelius à. </w:t>
      </w:r>
      <w:r w:rsidRPr="007D4C6B">
        <w:rPr>
          <w:i/>
        </w:rPr>
        <w:t>S</w:t>
      </w:r>
      <w:r w:rsidRPr="007D4C6B">
        <w:t xml:space="preserve">. </w:t>
      </w:r>
      <w:r w:rsidRPr="007D4C6B">
        <w:rPr>
          <w:i/>
        </w:rPr>
        <w:t>Luke</w:t>
      </w:r>
      <w:r w:rsidRPr="007D4C6B">
        <w:t>’</w:t>
      </w:r>
      <w:r w:rsidRPr="007D4C6B">
        <w:rPr>
          <w:i/>
        </w:rPr>
        <w:t>s Gospel</w:t>
      </w:r>
      <w:r w:rsidRPr="007D4C6B">
        <w:t>. Vol. 6</w:t>
      </w:r>
      <w:r>
        <w:t xml:space="preserve"> of </w:t>
      </w:r>
      <w:r w:rsidRPr="007D4C6B">
        <w:rPr>
          <w:i/>
        </w:rPr>
        <w:t>The Great Commentary of Cornelius à Lapide</w:t>
      </w:r>
      <w:r>
        <w:rPr>
          <w:iCs/>
        </w:rPr>
        <w:t>.</w:t>
      </w:r>
      <w:r w:rsidRPr="007D4C6B">
        <w:t xml:space="preserve"> Trans</w:t>
      </w:r>
      <w:r>
        <w:t>.</w:t>
      </w:r>
      <w:r w:rsidRPr="007D4C6B">
        <w:t xml:space="preserve"> and ed</w:t>
      </w:r>
      <w:r>
        <w:t>.</w:t>
      </w:r>
      <w:r w:rsidRPr="007D4C6B">
        <w:t xml:space="preserve"> G. Gould Ross. London: John Hodges</w:t>
      </w:r>
      <w:r w:rsidRPr="007D4C6B">
        <w:rPr>
          <w:iCs/>
        </w:rPr>
        <w:t xml:space="preserve">, </w:t>
      </w:r>
      <w:r w:rsidRPr="007D4C6B">
        <w:t>1887.</w:t>
      </w:r>
    </w:p>
    <w:p w14:paraId="7241B236" w14:textId="77777777" w:rsidR="00B47A48" w:rsidRPr="007D4C6B" w:rsidRDefault="00B47A48" w:rsidP="00B47A48">
      <w:pPr>
        <w:widowControl w:val="0"/>
        <w:ind w:left="720" w:hanging="720"/>
      </w:pPr>
      <w:r w:rsidRPr="007D4C6B">
        <w:t>Leaney</w:t>
      </w:r>
      <w:r w:rsidRPr="007D4C6B">
        <w:rPr>
          <w:iCs/>
        </w:rPr>
        <w:t xml:space="preserve">, </w:t>
      </w:r>
      <w:r w:rsidRPr="007D4C6B">
        <w:t xml:space="preserve">Albert Robert Clare. </w:t>
      </w:r>
      <w:r w:rsidRPr="007D4C6B">
        <w:rPr>
          <w:i/>
        </w:rPr>
        <w:t>A Commentary on the Gospel According to St</w:t>
      </w:r>
      <w:r w:rsidRPr="007D4C6B">
        <w:t xml:space="preserve">. </w:t>
      </w:r>
      <w:r w:rsidRPr="007D4C6B">
        <w:rPr>
          <w:i/>
        </w:rPr>
        <w:t>Luke</w:t>
      </w:r>
      <w:r w:rsidRPr="007D4C6B">
        <w:t>. Black’s New Testament Commentaries 3. London: Black</w:t>
      </w:r>
      <w:r>
        <w:rPr>
          <w:iCs/>
        </w:rPr>
        <w:t xml:space="preserve">; </w:t>
      </w:r>
      <w:r w:rsidRPr="007D4C6B">
        <w:t xml:space="preserve">New York: </w:t>
      </w:r>
      <w:r w:rsidRPr="0029762C">
        <w:rPr>
          <w:iCs/>
        </w:rPr>
        <w:t>Harper and Bros.</w:t>
      </w:r>
      <w:r w:rsidRPr="007D4C6B">
        <w:rPr>
          <w:iCs/>
        </w:rPr>
        <w:t xml:space="preserve">, </w:t>
      </w:r>
      <w:r w:rsidRPr="007D4C6B">
        <w:t>1958.</w:t>
      </w:r>
    </w:p>
    <w:p w14:paraId="5D5EC950" w14:textId="77777777" w:rsidR="00B47A48" w:rsidRPr="007D4C6B" w:rsidRDefault="00B47A48" w:rsidP="00B47A48">
      <w:pPr>
        <w:widowControl w:val="0"/>
        <w:ind w:left="720" w:hanging="720"/>
      </w:pPr>
      <w:proofErr w:type="spellStart"/>
      <w:r w:rsidRPr="007D4C6B">
        <w:t>Lohfink</w:t>
      </w:r>
      <w:proofErr w:type="spellEnd"/>
      <w:r w:rsidRPr="007D4C6B">
        <w:rPr>
          <w:iCs/>
        </w:rPr>
        <w:t xml:space="preserve">, </w:t>
      </w:r>
      <w:r w:rsidRPr="007D4C6B">
        <w:t xml:space="preserve">Gerhard. </w:t>
      </w:r>
      <w:r w:rsidRPr="007D4C6B">
        <w:rPr>
          <w:i/>
        </w:rPr>
        <w:t xml:space="preserve">Die </w:t>
      </w:r>
      <w:proofErr w:type="spellStart"/>
      <w:r w:rsidRPr="007D4C6B">
        <w:rPr>
          <w:i/>
        </w:rPr>
        <w:t>Himmelfahrt</w:t>
      </w:r>
      <w:proofErr w:type="spellEnd"/>
      <w:r w:rsidRPr="007D4C6B">
        <w:rPr>
          <w:i/>
        </w:rPr>
        <w:t xml:space="preserve"> Jesu</w:t>
      </w:r>
      <w:r w:rsidRPr="007D4C6B">
        <w:t xml:space="preserve">: </w:t>
      </w:r>
      <w:proofErr w:type="spellStart"/>
      <w:r w:rsidRPr="007D4C6B">
        <w:rPr>
          <w:i/>
        </w:rPr>
        <w:t>Untersuchungen</w:t>
      </w:r>
      <w:proofErr w:type="spellEnd"/>
      <w:r w:rsidRPr="007D4C6B">
        <w:rPr>
          <w:i/>
        </w:rPr>
        <w:t xml:space="preserve"> </w:t>
      </w:r>
      <w:proofErr w:type="spellStart"/>
      <w:r w:rsidRPr="007D4C6B">
        <w:rPr>
          <w:i/>
        </w:rPr>
        <w:t>zu</w:t>
      </w:r>
      <w:proofErr w:type="spellEnd"/>
      <w:r w:rsidRPr="007D4C6B">
        <w:rPr>
          <w:i/>
        </w:rPr>
        <w:t xml:space="preserve"> den </w:t>
      </w:r>
      <w:proofErr w:type="spellStart"/>
      <w:r w:rsidRPr="007D4C6B">
        <w:rPr>
          <w:i/>
        </w:rPr>
        <w:t>Himmelfahrts</w:t>
      </w:r>
      <w:proofErr w:type="spellEnd"/>
      <w:r w:rsidRPr="007D4C6B">
        <w:rPr>
          <w:i/>
        </w:rPr>
        <w:t xml:space="preserve">- und </w:t>
      </w:r>
      <w:proofErr w:type="spellStart"/>
      <w:r w:rsidRPr="007D4C6B">
        <w:rPr>
          <w:i/>
        </w:rPr>
        <w:t>Erhöhungstexten</w:t>
      </w:r>
      <w:proofErr w:type="spellEnd"/>
      <w:r w:rsidRPr="007D4C6B">
        <w:rPr>
          <w:i/>
        </w:rPr>
        <w:t xml:space="preserve"> </w:t>
      </w:r>
      <w:proofErr w:type="spellStart"/>
      <w:r w:rsidRPr="007D4C6B">
        <w:rPr>
          <w:i/>
        </w:rPr>
        <w:t>bei</w:t>
      </w:r>
      <w:proofErr w:type="spellEnd"/>
      <w:r w:rsidRPr="007D4C6B">
        <w:rPr>
          <w:i/>
        </w:rPr>
        <w:t xml:space="preserve"> Lukas</w:t>
      </w:r>
      <w:r w:rsidRPr="007D4C6B">
        <w:t xml:space="preserve">. </w:t>
      </w:r>
      <w:proofErr w:type="spellStart"/>
      <w:r w:rsidRPr="00B40CBB">
        <w:t>Studien</w:t>
      </w:r>
      <w:proofErr w:type="spellEnd"/>
      <w:r w:rsidRPr="00B40CBB">
        <w:t xml:space="preserve"> </w:t>
      </w:r>
      <w:proofErr w:type="spellStart"/>
      <w:r w:rsidRPr="00B40CBB">
        <w:t>zum</w:t>
      </w:r>
      <w:proofErr w:type="spellEnd"/>
      <w:r w:rsidRPr="00B40CBB">
        <w:t xml:space="preserve"> </w:t>
      </w:r>
      <w:proofErr w:type="spellStart"/>
      <w:r w:rsidRPr="00B40CBB">
        <w:t>Alten</w:t>
      </w:r>
      <w:proofErr w:type="spellEnd"/>
      <w:r w:rsidRPr="00B40CBB">
        <w:t xml:space="preserve"> und Neuen Testament</w:t>
      </w:r>
      <w:r w:rsidRPr="007D4C6B">
        <w:t xml:space="preserve"> 26. Munich: </w:t>
      </w:r>
      <w:proofErr w:type="spellStart"/>
      <w:r w:rsidRPr="007D4C6B">
        <w:t>Kösel</w:t>
      </w:r>
      <w:proofErr w:type="spellEnd"/>
      <w:r w:rsidRPr="007D4C6B">
        <w:rPr>
          <w:iCs/>
        </w:rPr>
        <w:t xml:space="preserve">, </w:t>
      </w:r>
      <w:r w:rsidRPr="007D4C6B">
        <w:t>1971.</w:t>
      </w:r>
    </w:p>
    <w:p w14:paraId="185DDA1B" w14:textId="77777777" w:rsidR="00B47A48" w:rsidRPr="00E5413C" w:rsidRDefault="00B47A48" w:rsidP="00B47A48">
      <w:pPr>
        <w:widowControl w:val="0"/>
        <w:ind w:left="720" w:hanging="720"/>
        <w:rPr>
          <w:lang w:val="fr-FR"/>
        </w:rPr>
      </w:pPr>
      <w:proofErr w:type="spellStart"/>
      <w:r w:rsidRPr="007D4C6B">
        <w:t>Lohfink</w:t>
      </w:r>
      <w:proofErr w:type="spellEnd"/>
      <w:r w:rsidRPr="007D4C6B">
        <w:rPr>
          <w:iCs/>
        </w:rPr>
        <w:t xml:space="preserve">, </w:t>
      </w:r>
      <w:r w:rsidRPr="007D4C6B">
        <w:t xml:space="preserve">Gerhard. </w:t>
      </w:r>
      <w:r w:rsidRPr="007D4C6B">
        <w:rPr>
          <w:i/>
        </w:rPr>
        <w:t xml:space="preserve">Die </w:t>
      </w:r>
      <w:proofErr w:type="spellStart"/>
      <w:r w:rsidRPr="007D4C6B">
        <w:rPr>
          <w:i/>
        </w:rPr>
        <w:t>Sammlung</w:t>
      </w:r>
      <w:proofErr w:type="spellEnd"/>
      <w:r w:rsidRPr="007D4C6B">
        <w:rPr>
          <w:i/>
        </w:rPr>
        <w:t xml:space="preserve"> Israels</w:t>
      </w:r>
      <w:r w:rsidRPr="007D4C6B">
        <w:t xml:space="preserve">: </w:t>
      </w:r>
      <w:r w:rsidRPr="007D4C6B">
        <w:rPr>
          <w:i/>
        </w:rPr>
        <w:t xml:space="preserve">Eine </w:t>
      </w:r>
      <w:proofErr w:type="spellStart"/>
      <w:r w:rsidRPr="007D4C6B">
        <w:rPr>
          <w:i/>
        </w:rPr>
        <w:t>Untersuchung</w:t>
      </w:r>
      <w:proofErr w:type="spellEnd"/>
      <w:r w:rsidRPr="007D4C6B">
        <w:rPr>
          <w:i/>
        </w:rPr>
        <w:t xml:space="preserve"> </w:t>
      </w:r>
      <w:proofErr w:type="spellStart"/>
      <w:r w:rsidRPr="007D4C6B">
        <w:rPr>
          <w:i/>
        </w:rPr>
        <w:t>zur</w:t>
      </w:r>
      <w:proofErr w:type="spellEnd"/>
      <w:r w:rsidRPr="007D4C6B">
        <w:rPr>
          <w:i/>
        </w:rPr>
        <w:t xml:space="preserve"> </w:t>
      </w:r>
      <w:proofErr w:type="spellStart"/>
      <w:r w:rsidRPr="007D4C6B">
        <w:rPr>
          <w:i/>
        </w:rPr>
        <w:t>lukanischen</w:t>
      </w:r>
      <w:proofErr w:type="spellEnd"/>
      <w:r w:rsidRPr="007D4C6B">
        <w:rPr>
          <w:i/>
        </w:rPr>
        <w:t xml:space="preserve"> </w:t>
      </w:r>
      <w:proofErr w:type="spellStart"/>
      <w:r w:rsidRPr="007D4C6B">
        <w:rPr>
          <w:i/>
        </w:rPr>
        <w:t>Ekklesiologie</w:t>
      </w:r>
      <w:proofErr w:type="spellEnd"/>
      <w:r w:rsidRPr="007D4C6B">
        <w:t xml:space="preserve">. </w:t>
      </w:r>
      <w:proofErr w:type="spellStart"/>
      <w:r w:rsidRPr="00B40CBB">
        <w:t>Studien</w:t>
      </w:r>
      <w:proofErr w:type="spellEnd"/>
      <w:r w:rsidRPr="00B40CBB">
        <w:t xml:space="preserve"> </w:t>
      </w:r>
      <w:proofErr w:type="spellStart"/>
      <w:r w:rsidRPr="00B40CBB">
        <w:t>zum</w:t>
      </w:r>
      <w:proofErr w:type="spellEnd"/>
      <w:r w:rsidRPr="00B40CBB">
        <w:t xml:space="preserve"> </w:t>
      </w:r>
      <w:proofErr w:type="spellStart"/>
      <w:r w:rsidRPr="00B40CBB">
        <w:t>Alten</w:t>
      </w:r>
      <w:proofErr w:type="spellEnd"/>
      <w:r w:rsidRPr="00B40CBB">
        <w:t xml:space="preserve"> und Neuen Testament</w:t>
      </w:r>
      <w:r w:rsidRPr="007D4C6B">
        <w:t xml:space="preserve"> 39</w:t>
      </w:r>
      <w:r w:rsidRPr="00DC3006">
        <w:rPr>
          <w:iCs/>
        </w:rPr>
        <w:t xml:space="preserve">. Eds. </w:t>
      </w:r>
      <w:r w:rsidRPr="007D4C6B">
        <w:t xml:space="preserve">Wolfgang Richter and Rudolf Schnackenburg. </w:t>
      </w:r>
      <w:r w:rsidRPr="00E5413C">
        <w:rPr>
          <w:lang w:val="fr-FR"/>
        </w:rPr>
        <w:t xml:space="preserve">Munich: </w:t>
      </w:r>
      <w:proofErr w:type="spellStart"/>
      <w:r w:rsidRPr="00E5413C">
        <w:rPr>
          <w:lang w:val="fr-FR"/>
        </w:rPr>
        <w:t>Kösel</w:t>
      </w:r>
      <w:proofErr w:type="spellEnd"/>
      <w:r w:rsidRPr="00E5413C">
        <w:rPr>
          <w:iCs/>
          <w:lang w:val="fr-FR"/>
        </w:rPr>
        <w:t xml:space="preserve">, </w:t>
      </w:r>
      <w:r w:rsidRPr="00E5413C">
        <w:rPr>
          <w:lang w:val="fr-FR"/>
        </w:rPr>
        <w:t>1975.</w:t>
      </w:r>
    </w:p>
    <w:p w14:paraId="638501B1" w14:textId="77777777" w:rsidR="00B47A48" w:rsidRPr="007D4C6B" w:rsidRDefault="00B47A48" w:rsidP="00B47A48">
      <w:pPr>
        <w:widowControl w:val="0"/>
        <w:ind w:left="720" w:hanging="720"/>
      </w:pPr>
      <w:r w:rsidRPr="00E5413C">
        <w:rPr>
          <w:lang w:val="fr-FR"/>
        </w:rPr>
        <w:t>Loisy</w:t>
      </w:r>
      <w:r w:rsidRPr="00E5413C">
        <w:rPr>
          <w:iCs/>
          <w:lang w:val="fr-FR"/>
        </w:rPr>
        <w:t xml:space="preserve">, </w:t>
      </w:r>
      <w:r w:rsidRPr="00E5413C">
        <w:rPr>
          <w:lang w:val="fr-FR"/>
        </w:rPr>
        <w:t xml:space="preserve">Alfred. </w:t>
      </w:r>
      <w:r w:rsidRPr="00E5413C">
        <w:rPr>
          <w:i/>
          <w:lang w:val="fr-FR"/>
        </w:rPr>
        <w:t>L</w:t>
      </w:r>
      <w:r w:rsidRPr="00E5413C">
        <w:rPr>
          <w:lang w:val="fr-FR"/>
        </w:rPr>
        <w:t>’</w:t>
      </w:r>
      <w:r w:rsidRPr="00E5413C">
        <w:rPr>
          <w:i/>
          <w:lang w:val="fr-FR"/>
        </w:rPr>
        <w:t>Évangile selon Luc</w:t>
      </w:r>
      <w:r w:rsidRPr="00E5413C">
        <w:rPr>
          <w:lang w:val="fr-FR"/>
        </w:rPr>
        <w:t xml:space="preserve">. Paris: E. </w:t>
      </w:r>
      <w:proofErr w:type="spellStart"/>
      <w:r w:rsidRPr="00E5413C">
        <w:rPr>
          <w:lang w:val="fr-FR"/>
        </w:rPr>
        <w:t>Jourry</w:t>
      </w:r>
      <w:proofErr w:type="spellEnd"/>
      <w:r w:rsidRPr="00E5413C">
        <w:rPr>
          <w:iCs/>
          <w:lang w:val="fr-FR"/>
        </w:rPr>
        <w:t xml:space="preserve">, </w:t>
      </w:r>
      <w:r w:rsidRPr="00E5413C">
        <w:rPr>
          <w:lang w:val="fr-FR"/>
        </w:rPr>
        <w:t xml:space="preserve">1924. </w:t>
      </w:r>
      <w:r w:rsidRPr="007D4C6B">
        <w:t>Rpt. ed.</w:t>
      </w:r>
      <w:r w:rsidRPr="007D4C6B">
        <w:rPr>
          <w:iCs/>
        </w:rPr>
        <w:t xml:space="preserve"> </w:t>
      </w:r>
      <w:r w:rsidRPr="007D4C6B">
        <w:t>Frankfurt am Main: Minerva</w:t>
      </w:r>
      <w:r w:rsidRPr="007D4C6B">
        <w:rPr>
          <w:iCs/>
        </w:rPr>
        <w:t xml:space="preserve">, </w:t>
      </w:r>
      <w:r w:rsidRPr="007D4C6B">
        <w:t>1971.</w:t>
      </w:r>
    </w:p>
    <w:p w14:paraId="009ED2E0" w14:textId="77777777" w:rsidR="00B47A48" w:rsidRPr="007D4C6B" w:rsidRDefault="00B47A48" w:rsidP="00B47A48">
      <w:pPr>
        <w:widowControl w:val="0"/>
        <w:ind w:left="720" w:hanging="720"/>
      </w:pPr>
      <w:r w:rsidRPr="007D4C6B">
        <w:t>Luce</w:t>
      </w:r>
      <w:r w:rsidRPr="007D4C6B">
        <w:rPr>
          <w:iCs/>
        </w:rPr>
        <w:t xml:space="preserve">, H.K. </w:t>
      </w:r>
      <w:r w:rsidRPr="007D4C6B">
        <w:rPr>
          <w:i/>
        </w:rPr>
        <w:t>The Gospel According to S</w:t>
      </w:r>
      <w:r w:rsidRPr="007D4C6B">
        <w:t xml:space="preserve">. </w:t>
      </w:r>
      <w:r w:rsidRPr="007D4C6B">
        <w:rPr>
          <w:i/>
        </w:rPr>
        <w:t>Luke</w:t>
      </w:r>
      <w:r w:rsidRPr="007D4C6B">
        <w:t>. Cambridge Greek Testament</w:t>
      </w:r>
      <w:r w:rsidRPr="00DC3006">
        <w:rPr>
          <w:iCs/>
        </w:rPr>
        <w:t xml:space="preserve">. Ed. </w:t>
      </w:r>
      <w:r w:rsidRPr="007D4C6B">
        <w:t xml:space="preserve">A. </w:t>
      </w:r>
      <w:proofErr w:type="spellStart"/>
      <w:r w:rsidRPr="007D4C6B">
        <w:t>Nairne</w:t>
      </w:r>
      <w:proofErr w:type="spellEnd"/>
      <w:r w:rsidRPr="007D4C6B">
        <w:t xml:space="preserve">. </w:t>
      </w:r>
      <w:r w:rsidRPr="00E366BA">
        <w:rPr>
          <w:iCs/>
        </w:rPr>
        <w:t>Cambridge: CUP</w:t>
      </w:r>
      <w:r w:rsidRPr="007D4C6B">
        <w:rPr>
          <w:iCs/>
        </w:rPr>
        <w:t xml:space="preserve">, </w:t>
      </w:r>
      <w:r w:rsidRPr="007D4C6B">
        <w:t>1933.</w:t>
      </w:r>
    </w:p>
    <w:p w14:paraId="680C7A3E" w14:textId="77777777" w:rsidR="00B47A48" w:rsidRPr="007D4C6B" w:rsidRDefault="00B47A48" w:rsidP="00B47A48">
      <w:pPr>
        <w:widowControl w:val="0"/>
        <w:ind w:left="720" w:hanging="720"/>
      </w:pPr>
      <w:r w:rsidRPr="007D4C6B">
        <w:t>Mackinlay</w:t>
      </w:r>
      <w:r w:rsidRPr="007D4C6B">
        <w:rPr>
          <w:iCs/>
        </w:rPr>
        <w:t xml:space="preserve">, </w:t>
      </w:r>
      <w:r w:rsidRPr="007D4C6B">
        <w:t xml:space="preserve">G. </w:t>
      </w:r>
      <w:r w:rsidRPr="007D4C6B">
        <w:rPr>
          <w:i/>
        </w:rPr>
        <w:t>Recent Discoveries in St</w:t>
      </w:r>
      <w:r w:rsidRPr="007D4C6B">
        <w:t xml:space="preserve">. </w:t>
      </w:r>
      <w:r w:rsidRPr="007D4C6B">
        <w:rPr>
          <w:i/>
        </w:rPr>
        <w:t>Luke</w:t>
      </w:r>
      <w:r w:rsidRPr="007D4C6B">
        <w:t>’</w:t>
      </w:r>
      <w:r w:rsidRPr="007D4C6B">
        <w:rPr>
          <w:i/>
        </w:rPr>
        <w:t>s Writings</w:t>
      </w:r>
      <w:r w:rsidRPr="007D4C6B">
        <w:t xml:space="preserve">: </w:t>
      </w:r>
      <w:r w:rsidRPr="007D4C6B">
        <w:rPr>
          <w:i/>
        </w:rPr>
        <w:t>A Study</w:t>
      </w:r>
      <w:r w:rsidRPr="007D4C6B">
        <w:t>. London: Marshall Bros.</w:t>
      </w:r>
      <w:r w:rsidRPr="007D4C6B">
        <w:rPr>
          <w:iCs/>
        </w:rPr>
        <w:t xml:space="preserve">, </w:t>
      </w:r>
      <w:r w:rsidRPr="007D4C6B">
        <w:t>1921.</w:t>
      </w:r>
    </w:p>
    <w:p w14:paraId="41BA966F" w14:textId="7BB6F2C6" w:rsidR="00B47A48" w:rsidRPr="007D4C6B" w:rsidRDefault="00B47A48" w:rsidP="00B47A48">
      <w:pPr>
        <w:widowControl w:val="0"/>
        <w:ind w:left="720" w:hanging="720"/>
      </w:pPr>
      <w:r w:rsidRPr="007D4C6B">
        <w:t>Maddox</w:t>
      </w:r>
      <w:r w:rsidRPr="007D4C6B">
        <w:rPr>
          <w:iCs/>
        </w:rPr>
        <w:t xml:space="preserve">, </w:t>
      </w:r>
      <w:r w:rsidRPr="007D4C6B">
        <w:t xml:space="preserve">Robert. </w:t>
      </w:r>
      <w:r w:rsidRPr="007D4C6B">
        <w:rPr>
          <w:i/>
        </w:rPr>
        <w:t>The Purpose of Luke-Acts</w:t>
      </w:r>
      <w:r w:rsidRPr="007D4C6B">
        <w:t xml:space="preserve">. </w:t>
      </w:r>
      <w:proofErr w:type="spellStart"/>
      <w:r w:rsidRPr="00B40CBB">
        <w:t>Forschungen</w:t>
      </w:r>
      <w:proofErr w:type="spellEnd"/>
      <w:r w:rsidRPr="00B40CBB">
        <w:t xml:space="preserve"> </w:t>
      </w:r>
      <w:proofErr w:type="spellStart"/>
      <w:r w:rsidRPr="00B40CBB">
        <w:t>zur</w:t>
      </w:r>
      <w:proofErr w:type="spellEnd"/>
      <w:r w:rsidRPr="00B40CBB">
        <w:t xml:space="preserve"> Religion und </w:t>
      </w:r>
      <w:proofErr w:type="spellStart"/>
      <w:r w:rsidRPr="00B40CBB">
        <w:t>Literatur</w:t>
      </w:r>
      <w:proofErr w:type="spellEnd"/>
      <w:r w:rsidRPr="00B40CBB">
        <w:t xml:space="preserve"> des </w:t>
      </w:r>
      <w:proofErr w:type="spellStart"/>
      <w:r w:rsidRPr="00B40CBB">
        <w:t>Alten</w:t>
      </w:r>
      <w:proofErr w:type="spellEnd"/>
      <w:r w:rsidRPr="00B40CBB">
        <w:t xml:space="preserve"> und Neuen Testaments</w:t>
      </w:r>
      <w:r w:rsidRPr="007D4C6B">
        <w:t xml:space="preserve">. Göttingen: </w:t>
      </w:r>
      <w:proofErr w:type="spellStart"/>
      <w:r w:rsidRPr="00D42DB3">
        <w:rPr>
          <w:iCs/>
        </w:rPr>
        <w:t>Vandenhoeck</w:t>
      </w:r>
      <w:proofErr w:type="spellEnd"/>
      <w:r w:rsidRPr="00D42DB3">
        <w:rPr>
          <w:iCs/>
        </w:rPr>
        <w:t xml:space="preserve"> und Ruprecht</w:t>
      </w:r>
      <w:r w:rsidRPr="007D4C6B">
        <w:rPr>
          <w:iCs/>
        </w:rPr>
        <w:t xml:space="preserve">, </w:t>
      </w:r>
      <w:r w:rsidRPr="007D4C6B">
        <w:t>1980. Studies of the New Testament and Its World</w:t>
      </w:r>
      <w:r w:rsidRPr="00DC3006">
        <w:rPr>
          <w:iCs/>
        </w:rPr>
        <w:t xml:space="preserve">. Ed. </w:t>
      </w:r>
      <w:r w:rsidRPr="007D4C6B">
        <w:t>John Riches. Edinburgh: Clark</w:t>
      </w:r>
      <w:r w:rsidRPr="007D4C6B">
        <w:rPr>
          <w:iCs/>
        </w:rPr>
        <w:t xml:space="preserve">, </w:t>
      </w:r>
      <w:r w:rsidRPr="007D4C6B">
        <w:t>1982.</w:t>
      </w:r>
      <w:r>
        <w:t xml:space="preserve"> Rpt. London: Bloomsbury, 1995.</w:t>
      </w:r>
    </w:p>
    <w:p w14:paraId="2E29F392" w14:textId="77777777" w:rsidR="00B47A48" w:rsidRPr="007D4C6B" w:rsidRDefault="00B47A48" w:rsidP="00B47A48">
      <w:pPr>
        <w:widowControl w:val="0"/>
        <w:ind w:left="720" w:hanging="720"/>
      </w:pPr>
      <w:r w:rsidRPr="007D4C6B">
        <w:t>Manson</w:t>
      </w:r>
      <w:r w:rsidRPr="007D4C6B">
        <w:rPr>
          <w:iCs/>
        </w:rPr>
        <w:t xml:space="preserve">, </w:t>
      </w:r>
      <w:r w:rsidRPr="007D4C6B">
        <w:t xml:space="preserve">William. </w:t>
      </w:r>
      <w:r w:rsidRPr="007D4C6B">
        <w:rPr>
          <w:i/>
        </w:rPr>
        <w:t>The Gospel of Luke</w:t>
      </w:r>
      <w:r w:rsidRPr="007D4C6B">
        <w:t xml:space="preserve">. </w:t>
      </w:r>
      <w:r w:rsidRPr="00B40CBB">
        <w:t>Moffatt New Testament Commentary</w:t>
      </w:r>
      <w:r w:rsidRPr="007D4C6B">
        <w:t xml:space="preserve">. New York: </w:t>
      </w:r>
      <w:r w:rsidRPr="0029762C">
        <w:rPr>
          <w:iCs/>
        </w:rPr>
        <w:t>Harper and Bros.</w:t>
      </w:r>
      <w:r w:rsidRPr="007D4C6B">
        <w:rPr>
          <w:iCs/>
        </w:rPr>
        <w:t xml:space="preserve">, </w:t>
      </w:r>
      <w:r w:rsidRPr="007D4C6B">
        <w:t>1930</w:t>
      </w:r>
      <w:r>
        <w:t>.</w:t>
      </w:r>
      <w:r w:rsidRPr="007D4C6B">
        <w:t xml:space="preserve"> Rpt. ed.</w:t>
      </w:r>
      <w:r w:rsidRPr="007D4C6B">
        <w:rPr>
          <w:iCs/>
        </w:rPr>
        <w:t xml:space="preserve"> </w:t>
      </w:r>
      <w:r w:rsidRPr="007D4C6B">
        <w:t>New York: R.R. Smith</w:t>
      </w:r>
      <w:r w:rsidRPr="007D4C6B">
        <w:rPr>
          <w:iCs/>
        </w:rPr>
        <w:t xml:space="preserve">, </w:t>
      </w:r>
      <w:r w:rsidRPr="007D4C6B">
        <w:t>1963.</w:t>
      </w:r>
    </w:p>
    <w:p w14:paraId="1A71FA50" w14:textId="77777777" w:rsidR="00B47A48" w:rsidRPr="007D4C6B" w:rsidRDefault="00B47A48" w:rsidP="00B47A48">
      <w:pPr>
        <w:widowControl w:val="0"/>
        <w:ind w:left="720" w:hanging="720"/>
      </w:pPr>
      <w:r w:rsidRPr="007D4C6B">
        <w:t>Marshall</w:t>
      </w:r>
      <w:r w:rsidRPr="007D4C6B">
        <w:rPr>
          <w:iCs/>
        </w:rPr>
        <w:t xml:space="preserve">, </w:t>
      </w:r>
      <w:r w:rsidRPr="007D4C6B">
        <w:t xml:space="preserve">I. Howard. </w:t>
      </w:r>
      <w:r w:rsidRPr="007D4C6B">
        <w:rPr>
          <w:i/>
        </w:rPr>
        <w:t>Luke</w:t>
      </w:r>
      <w:r w:rsidRPr="007D4C6B">
        <w:t xml:space="preserve">: </w:t>
      </w:r>
      <w:r w:rsidRPr="007D4C6B">
        <w:rPr>
          <w:i/>
        </w:rPr>
        <w:t>Historian and Theologian</w:t>
      </w:r>
      <w:r w:rsidRPr="007D4C6B">
        <w:t>. Exeter</w:t>
      </w:r>
      <w:r w:rsidRPr="007D4C6B">
        <w:rPr>
          <w:iCs/>
        </w:rPr>
        <w:t xml:space="preserve">, </w:t>
      </w:r>
      <w:r w:rsidRPr="007D4C6B">
        <w:t>England: Paternoster</w:t>
      </w:r>
      <w:r w:rsidRPr="007D4C6B">
        <w:rPr>
          <w:iCs/>
        </w:rPr>
        <w:t xml:space="preserve">, </w:t>
      </w:r>
      <w:r w:rsidRPr="007D4C6B">
        <w:t xml:space="preserve">1970; </w:t>
      </w:r>
      <w:r w:rsidRPr="00DC3006">
        <w:rPr>
          <w:iCs/>
        </w:rPr>
        <w:t>Grand Rapids MI</w:t>
      </w:r>
      <w:r w:rsidRPr="007D4C6B">
        <w:t>: Zondervan</w:t>
      </w:r>
      <w:r w:rsidRPr="007D4C6B">
        <w:rPr>
          <w:iCs/>
        </w:rPr>
        <w:t xml:space="preserve">, </w:t>
      </w:r>
      <w:r w:rsidRPr="007D4C6B">
        <w:t>1971.</w:t>
      </w:r>
    </w:p>
    <w:p w14:paraId="219C9379" w14:textId="77777777" w:rsidR="00B47A48" w:rsidRPr="007D4C6B" w:rsidRDefault="00B47A48" w:rsidP="00B47A48">
      <w:pPr>
        <w:widowControl w:val="0"/>
        <w:ind w:left="720" w:hanging="720"/>
      </w:pPr>
      <w:r w:rsidRPr="007D4C6B">
        <w:lastRenderedPageBreak/>
        <w:t>Marshall</w:t>
      </w:r>
      <w:r w:rsidRPr="007D4C6B">
        <w:rPr>
          <w:iCs/>
        </w:rPr>
        <w:t xml:space="preserve">, </w:t>
      </w:r>
      <w:r w:rsidRPr="007D4C6B">
        <w:t xml:space="preserve">I. Howard. </w:t>
      </w:r>
      <w:r w:rsidRPr="007D4C6B">
        <w:rPr>
          <w:i/>
        </w:rPr>
        <w:t>The Gospel of Luke</w:t>
      </w:r>
      <w:r w:rsidRPr="007D4C6B">
        <w:t xml:space="preserve">: </w:t>
      </w:r>
      <w:r w:rsidRPr="007D4C6B">
        <w:rPr>
          <w:i/>
        </w:rPr>
        <w:t>A Commentary on the Greek Text</w:t>
      </w:r>
      <w:r w:rsidRPr="007D4C6B">
        <w:t>. The New International Greek Testament Commentary. Exeter</w:t>
      </w:r>
      <w:r w:rsidRPr="007D4C6B">
        <w:rPr>
          <w:iCs/>
        </w:rPr>
        <w:t xml:space="preserve">, </w:t>
      </w:r>
      <w:r w:rsidRPr="007D4C6B">
        <w:t>England: Paternoster</w:t>
      </w:r>
      <w:r w:rsidRPr="007D4C6B">
        <w:rPr>
          <w:iCs/>
        </w:rPr>
        <w:t xml:space="preserve">, </w:t>
      </w:r>
      <w:r w:rsidRPr="007D4C6B">
        <w:t xml:space="preserve">1978; </w:t>
      </w:r>
      <w:r w:rsidRPr="00DC3006">
        <w:rPr>
          <w:iCs/>
        </w:rPr>
        <w:t>Grand Rapids MI</w:t>
      </w:r>
      <w:r w:rsidRPr="007D4C6B">
        <w:t>: Eerdmans</w:t>
      </w:r>
      <w:r w:rsidRPr="007D4C6B">
        <w:rPr>
          <w:iCs/>
        </w:rPr>
        <w:t xml:space="preserve">, </w:t>
      </w:r>
      <w:r w:rsidRPr="007D4C6B">
        <w:t>1978.</w:t>
      </w:r>
    </w:p>
    <w:p w14:paraId="0ED25C95" w14:textId="77777777" w:rsidR="00B47A48" w:rsidRPr="007D4C6B" w:rsidRDefault="00B47A48" w:rsidP="00B47A48">
      <w:pPr>
        <w:widowControl w:val="0"/>
        <w:ind w:left="720" w:hanging="720"/>
      </w:pPr>
      <w:proofErr w:type="spellStart"/>
      <w:r w:rsidRPr="007D4C6B">
        <w:t>Mattill</w:t>
      </w:r>
      <w:proofErr w:type="spellEnd"/>
      <w:r w:rsidRPr="007D4C6B">
        <w:rPr>
          <w:iCs/>
        </w:rPr>
        <w:t xml:space="preserve">, </w:t>
      </w:r>
      <w:r w:rsidRPr="00B40CBB">
        <w:rPr>
          <w:iCs/>
        </w:rPr>
        <w:t>A.J.</w:t>
      </w:r>
      <w:r w:rsidRPr="007D4C6B">
        <w:rPr>
          <w:iCs/>
        </w:rPr>
        <w:t xml:space="preserve">, </w:t>
      </w:r>
      <w:r w:rsidRPr="007D4C6B">
        <w:t>Jr.</w:t>
      </w:r>
      <w:r w:rsidRPr="007D4C6B">
        <w:rPr>
          <w:iCs/>
        </w:rPr>
        <w:t xml:space="preserve">, </w:t>
      </w:r>
      <w:r w:rsidRPr="007D4C6B">
        <w:t xml:space="preserve">and Mary Bedford Mattill. </w:t>
      </w:r>
      <w:r w:rsidRPr="007D4C6B">
        <w:rPr>
          <w:i/>
        </w:rPr>
        <w:t>A Classified Bibliography of Literature on the Acts of the Apostles</w:t>
      </w:r>
      <w:r w:rsidRPr="007D4C6B">
        <w:t xml:space="preserve">. </w:t>
      </w:r>
      <w:r w:rsidRPr="00B40CBB">
        <w:t>New Testament Tools and Studies</w:t>
      </w:r>
      <w:r w:rsidRPr="007D4C6B">
        <w:t xml:space="preserve"> 7. Leiden: Brill</w:t>
      </w:r>
      <w:r w:rsidRPr="007D4C6B">
        <w:rPr>
          <w:iCs/>
        </w:rPr>
        <w:t xml:space="preserve">, </w:t>
      </w:r>
      <w:r w:rsidRPr="007D4C6B">
        <w:t>1966.</w:t>
      </w:r>
    </w:p>
    <w:p w14:paraId="37366884" w14:textId="77777777" w:rsidR="00B47A48" w:rsidRPr="007D4C6B" w:rsidRDefault="00B47A48" w:rsidP="00B47A48">
      <w:pPr>
        <w:widowControl w:val="0"/>
        <w:ind w:left="720" w:hanging="720"/>
      </w:pPr>
      <w:r w:rsidRPr="007D4C6B">
        <w:t>McBride</w:t>
      </w:r>
      <w:r w:rsidRPr="007D4C6B">
        <w:rPr>
          <w:iCs/>
        </w:rPr>
        <w:t xml:space="preserve">, </w:t>
      </w:r>
      <w:r w:rsidRPr="007D4C6B">
        <w:t xml:space="preserve">Denis. </w:t>
      </w:r>
      <w:r w:rsidRPr="007D4C6B">
        <w:rPr>
          <w:i/>
        </w:rPr>
        <w:t>The Gospel of Luke</w:t>
      </w:r>
      <w:r w:rsidRPr="007D4C6B">
        <w:t xml:space="preserve">: </w:t>
      </w:r>
      <w:r w:rsidRPr="007D4C6B">
        <w:rPr>
          <w:i/>
        </w:rPr>
        <w:t>A Reflective Commentary</w:t>
      </w:r>
      <w:r w:rsidRPr="007D4C6B">
        <w:t>. Northport</w:t>
      </w:r>
      <w:r w:rsidRPr="007D4C6B">
        <w:rPr>
          <w:iCs/>
        </w:rPr>
        <w:t xml:space="preserve"> </w:t>
      </w:r>
      <w:r w:rsidRPr="007D4C6B">
        <w:t>NY: Costello</w:t>
      </w:r>
      <w:r w:rsidRPr="007D4C6B">
        <w:rPr>
          <w:iCs/>
        </w:rPr>
        <w:t xml:space="preserve">, </w:t>
      </w:r>
      <w:r w:rsidRPr="007D4C6B">
        <w:t>1982.</w:t>
      </w:r>
    </w:p>
    <w:p w14:paraId="3D54661F" w14:textId="77777777" w:rsidR="00B47A48" w:rsidRPr="007D4C6B" w:rsidRDefault="00B47A48" w:rsidP="00B47A48">
      <w:pPr>
        <w:widowControl w:val="0"/>
        <w:ind w:left="720" w:hanging="720"/>
      </w:pPr>
      <w:r w:rsidRPr="007D4C6B">
        <w:t>McCall</w:t>
      </w:r>
      <w:r w:rsidRPr="007D4C6B">
        <w:rPr>
          <w:iCs/>
        </w:rPr>
        <w:t xml:space="preserve">, </w:t>
      </w:r>
      <w:r w:rsidRPr="007D4C6B">
        <w:t>Marsh H.</w:t>
      </w:r>
      <w:r w:rsidRPr="007D4C6B">
        <w:rPr>
          <w:iCs/>
        </w:rPr>
        <w:t xml:space="preserve">, </w:t>
      </w:r>
      <w:r w:rsidRPr="007D4C6B">
        <w:t xml:space="preserve">Jr. </w:t>
      </w:r>
      <w:r w:rsidRPr="007D4C6B">
        <w:rPr>
          <w:i/>
        </w:rPr>
        <w:t>Ancient Rhetorical Theories of Simile and Comparison</w:t>
      </w:r>
      <w:r w:rsidRPr="007D4C6B">
        <w:t xml:space="preserve">. Cambridge: Harvard </w:t>
      </w:r>
      <w:r w:rsidRPr="00E95268">
        <w:rPr>
          <w:iCs/>
        </w:rPr>
        <w:t>UP</w:t>
      </w:r>
      <w:r w:rsidRPr="007D4C6B">
        <w:rPr>
          <w:iCs/>
        </w:rPr>
        <w:t xml:space="preserve">, </w:t>
      </w:r>
      <w:r w:rsidRPr="007D4C6B">
        <w:t>1969.</w:t>
      </w:r>
    </w:p>
    <w:p w14:paraId="69DE88C1" w14:textId="77777777" w:rsidR="00B47A48" w:rsidRPr="007D4C6B" w:rsidRDefault="00B47A48" w:rsidP="00B47A48">
      <w:pPr>
        <w:widowControl w:val="0"/>
        <w:ind w:left="720" w:hanging="720"/>
      </w:pPr>
      <w:proofErr w:type="spellStart"/>
      <w:r w:rsidRPr="007D4C6B">
        <w:t>Merkelbach</w:t>
      </w:r>
      <w:proofErr w:type="spellEnd"/>
      <w:r w:rsidRPr="007D4C6B">
        <w:rPr>
          <w:iCs/>
        </w:rPr>
        <w:t xml:space="preserve">, </w:t>
      </w:r>
      <w:r w:rsidRPr="007D4C6B">
        <w:t>Reinhold. “</w:t>
      </w:r>
      <w:proofErr w:type="spellStart"/>
      <w:r w:rsidRPr="007D4C6B">
        <w:t>Über</w:t>
      </w:r>
      <w:proofErr w:type="spellEnd"/>
      <w:r w:rsidRPr="007D4C6B">
        <w:t xml:space="preserve"> </w:t>
      </w:r>
      <w:proofErr w:type="spellStart"/>
      <w:r w:rsidRPr="007D4C6B">
        <w:t>eine</w:t>
      </w:r>
      <w:proofErr w:type="spellEnd"/>
      <w:r w:rsidRPr="007D4C6B">
        <w:t xml:space="preserve"> Stelle </w:t>
      </w:r>
      <w:proofErr w:type="spellStart"/>
      <w:r w:rsidRPr="007D4C6B">
        <w:t>im</w:t>
      </w:r>
      <w:proofErr w:type="spellEnd"/>
      <w:r w:rsidRPr="007D4C6B">
        <w:t xml:space="preserve"> Evangelium des Lukas [Lk 6:31].” </w:t>
      </w:r>
      <w:proofErr w:type="spellStart"/>
      <w:r w:rsidRPr="007D4C6B">
        <w:rPr>
          <w:i/>
        </w:rPr>
        <w:t>Gräzer</w:t>
      </w:r>
      <w:proofErr w:type="spellEnd"/>
      <w:r w:rsidRPr="007D4C6B">
        <w:rPr>
          <w:i/>
        </w:rPr>
        <w:t xml:space="preserve"> </w:t>
      </w:r>
      <w:proofErr w:type="spellStart"/>
      <w:r w:rsidRPr="007D4C6B">
        <w:rPr>
          <w:i/>
        </w:rPr>
        <w:t>Beiträge</w:t>
      </w:r>
      <w:proofErr w:type="spellEnd"/>
      <w:r w:rsidRPr="007D4C6B">
        <w:t xml:space="preserve">: </w:t>
      </w:r>
      <w:proofErr w:type="spellStart"/>
      <w:r w:rsidRPr="007D4C6B">
        <w:rPr>
          <w:i/>
        </w:rPr>
        <w:t>Zeitschrift</w:t>
      </w:r>
      <w:proofErr w:type="spellEnd"/>
      <w:r w:rsidRPr="007D4C6B">
        <w:rPr>
          <w:i/>
        </w:rPr>
        <w:t xml:space="preserve"> für die </w:t>
      </w:r>
      <w:proofErr w:type="spellStart"/>
      <w:r w:rsidRPr="007D4C6B">
        <w:rPr>
          <w:i/>
        </w:rPr>
        <w:t>klassische</w:t>
      </w:r>
      <w:proofErr w:type="spellEnd"/>
      <w:r w:rsidRPr="007D4C6B">
        <w:rPr>
          <w:i/>
        </w:rPr>
        <w:t xml:space="preserve"> </w:t>
      </w:r>
      <w:proofErr w:type="spellStart"/>
      <w:r w:rsidRPr="007D4C6B">
        <w:rPr>
          <w:i/>
        </w:rPr>
        <w:t>Altertumswissenschaft</w:t>
      </w:r>
      <w:proofErr w:type="spellEnd"/>
      <w:r w:rsidRPr="007D4C6B">
        <w:t xml:space="preserve"> 1 (1973) 171-75.</w:t>
      </w:r>
    </w:p>
    <w:p w14:paraId="1931379F" w14:textId="77777777" w:rsidR="00B47A48" w:rsidRPr="00E5413C" w:rsidRDefault="00B47A48" w:rsidP="00B47A48">
      <w:pPr>
        <w:widowControl w:val="0"/>
        <w:ind w:left="720" w:hanging="720"/>
        <w:rPr>
          <w:lang w:val="fr-FR"/>
        </w:rPr>
      </w:pPr>
      <w:proofErr w:type="spellStart"/>
      <w:r w:rsidRPr="007D4C6B">
        <w:t>Meynet</w:t>
      </w:r>
      <w:proofErr w:type="spellEnd"/>
      <w:r w:rsidRPr="007D4C6B">
        <w:rPr>
          <w:iCs/>
        </w:rPr>
        <w:t xml:space="preserve">, </w:t>
      </w:r>
      <w:r w:rsidRPr="007D4C6B">
        <w:t>Roland</w:t>
      </w:r>
      <w:r>
        <w:t>, SJ</w:t>
      </w:r>
      <w:r w:rsidRPr="007D4C6B">
        <w:t xml:space="preserve">. </w:t>
      </w:r>
      <w:r w:rsidRPr="00E5413C">
        <w:rPr>
          <w:lang w:val="fr-FR"/>
        </w:rPr>
        <w:t xml:space="preserve">“Comment établir un chiasme: à propos des </w:t>
      </w:r>
      <w:r w:rsidRPr="00E5413C">
        <w:rPr>
          <w:i/>
          <w:lang w:val="fr-FR"/>
        </w:rPr>
        <w:t>Pèlerins d</w:t>
      </w:r>
      <w:r w:rsidRPr="00E5413C">
        <w:rPr>
          <w:lang w:val="fr-FR"/>
        </w:rPr>
        <w:t>’</w:t>
      </w:r>
      <w:r w:rsidRPr="00E5413C">
        <w:rPr>
          <w:i/>
          <w:lang w:val="fr-FR"/>
        </w:rPr>
        <w:t>Emmaüs</w:t>
      </w:r>
      <w:r w:rsidRPr="00E5413C">
        <w:rPr>
          <w:lang w:val="fr-FR"/>
        </w:rPr>
        <w:t xml:space="preserve">.” </w:t>
      </w:r>
      <w:r w:rsidRPr="00E5413C">
        <w:rPr>
          <w:i/>
          <w:lang w:val="fr-FR"/>
        </w:rPr>
        <w:t>Nouvelle revue théologique</w:t>
      </w:r>
      <w:r w:rsidRPr="00E5413C">
        <w:rPr>
          <w:lang w:val="fr-FR"/>
        </w:rPr>
        <w:t xml:space="preserve"> (1978) 233-49.</w:t>
      </w:r>
    </w:p>
    <w:p w14:paraId="102F8AA2" w14:textId="3FB7606A" w:rsidR="00B47A48" w:rsidRPr="007D4C6B" w:rsidRDefault="00B47A48" w:rsidP="00B47A48">
      <w:pPr>
        <w:widowControl w:val="0"/>
        <w:ind w:left="720" w:hanging="720"/>
      </w:pPr>
      <w:proofErr w:type="spellStart"/>
      <w:r w:rsidRPr="00E5413C">
        <w:rPr>
          <w:lang w:val="fr-FR"/>
        </w:rPr>
        <w:t>Meynet</w:t>
      </w:r>
      <w:proofErr w:type="spellEnd"/>
      <w:r w:rsidRPr="00E5413C">
        <w:rPr>
          <w:iCs/>
          <w:lang w:val="fr-FR"/>
        </w:rPr>
        <w:t xml:space="preserve">, </w:t>
      </w:r>
      <w:r w:rsidRPr="00E5413C">
        <w:rPr>
          <w:lang w:val="fr-FR"/>
        </w:rPr>
        <w:t xml:space="preserve">Roland. </w:t>
      </w:r>
      <w:r w:rsidRPr="00E5413C">
        <w:rPr>
          <w:i/>
          <w:lang w:val="fr-FR"/>
        </w:rPr>
        <w:t>Quelle est donc cette parole</w:t>
      </w:r>
      <w:r w:rsidRPr="00E5413C">
        <w:rPr>
          <w:lang w:val="fr-FR"/>
        </w:rPr>
        <w:t xml:space="preserve">? </w:t>
      </w:r>
      <w:r w:rsidRPr="00E5413C">
        <w:rPr>
          <w:i/>
          <w:lang w:val="fr-FR"/>
        </w:rPr>
        <w:t>Lecture</w:t>
      </w:r>
      <w:r w:rsidRPr="00E5413C">
        <w:rPr>
          <w:lang w:val="fr-FR"/>
        </w:rPr>
        <w:t xml:space="preserve"> </w:t>
      </w:r>
      <w:r w:rsidR="005608B1" w:rsidRPr="00E5413C">
        <w:rPr>
          <w:szCs w:val="32"/>
          <w:lang w:val="fr-FR"/>
        </w:rPr>
        <w:t>«</w:t>
      </w:r>
      <w:r w:rsidRPr="00E5413C">
        <w:rPr>
          <w:i/>
          <w:lang w:val="fr-FR"/>
        </w:rPr>
        <w:t>rhétorique</w:t>
      </w:r>
      <w:r w:rsidR="005608B1" w:rsidRPr="00E5413C">
        <w:rPr>
          <w:szCs w:val="32"/>
          <w:lang w:val="fr-FR"/>
        </w:rPr>
        <w:t>»</w:t>
      </w:r>
      <w:r w:rsidRPr="00E5413C">
        <w:rPr>
          <w:lang w:val="fr-FR"/>
        </w:rPr>
        <w:t xml:space="preserve"> </w:t>
      </w:r>
      <w:r w:rsidRPr="00E5413C">
        <w:rPr>
          <w:i/>
          <w:lang w:val="fr-FR"/>
        </w:rPr>
        <w:t>de l</w:t>
      </w:r>
      <w:r w:rsidRPr="00E5413C">
        <w:rPr>
          <w:lang w:val="fr-FR"/>
        </w:rPr>
        <w:t>’</w:t>
      </w:r>
      <w:r w:rsidRPr="00E5413C">
        <w:rPr>
          <w:i/>
          <w:lang w:val="fr-FR"/>
        </w:rPr>
        <w:t>évangile de Luc</w:t>
      </w:r>
      <w:r w:rsidRPr="00E5413C">
        <w:rPr>
          <w:lang w:val="fr-FR"/>
        </w:rPr>
        <w:t xml:space="preserve"> (</w:t>
      </w:r>
      <w:r w:rsidRPr="00E5413C">
        <w:rPr>
          <w:i/>
          <w:lang w:val="fr-FR"/>
        </w:rPr>
        <w:t>1-9</w:t>
      </w:r>
      <w:r w:rsidRPr="00E5413C">
        <w:rPr>
          <w:iCs/>
          <w:lang w:val="fr-FR"/>
        </w:rPr>
        <w:t xml:space="preserve">, </w:t>
      </w:r>
      <w:r w:rsidRPr="00E5413C">
        <w:rPr>
          <w:i/>
          <w:lang w:val="fr-FR"/>
        </w:rPr>
        <w:t>22-24</w:t>
      </w:r>
      <w:r w:rsidRPr="00E5413C">
        <w:rPr>
          <w:lang w:val="fr-FR"/>
        </w:rPr>
        <w:t xml:space="preserve">). </w:t>
      </w:r>
      <w:r w:rsidRPr="007D4C6B">
        <w:t>Preface by Georges Mounin. LD 99A and 99B. Paris: Cerf</w:t>
      </w:r>
      <w:r w:rsidRPr="007D4C6B">
        <w:rPr>
          <w:iCs/>
        </w:rPr>
        <w:t xml:space="preserve">, </w:t>
      </w:r>
      <w:r w:rsidRPr="007D4C6B">
        <w:t xml:space="preserve">1979. </w:t>
      </w:r>
      <w:r>
        <w:t>(</w:t>
      </w:r>
      <w:r w:rsidRPr="007D4C6B">
        <w:t>Volume 2 is further subtitled</w:t>
      </w:r>
      <w:r w:rsidRPr="007D4C6B">
        <w:rPr>
          <w:iCs/>
        </w:rPr>
        <w:t xml:space="preserve"> “</w:t>
      </w:r>
      <w:r w:rsidRPr="007D4C6B">
        <w:t>Planches” and contains some one hundred unbound charts.</w:t>
      </w:r>
      <w:r>
        <w:t>)</w:t>
      </w:r>
    </w:p>
    <w:p w14:paraId="0AE6215A" w14:textId="77777777" w:rsidR="00B47A48" w:rsidRPr="007D4C6B" w:rsidRDefault="00B47A48" w:rsidP="00B47A48">
      <w:pPr>
        <w:widowControl w:val="0"/>
        <w:ind w:left="720" w:hanging="720"/>
      </w:pPr>
      <w:r w:rsidRPr="007D4C6B">
        <w:t>Minear</w:t>
      </w:r>
      <w:r w:rsidRPr="007D4C6B">
        <w:rPr>
          <w:iCs/>
        </w:rPr>
        <w:t xml:space="preserve">, </w:t>
      </w:r>
      <w:r w:rsidRPr="007D4C6B">
        <w:t xml:space="preserve">Paul S. “Luke’s Use of the Birth Stories.” In </w:t>
      </w:r>
      <w:r w:rsidRPr="007D4C6B">
        <w:rPr>
          <w:i/>
        </w:rPr>
        <w:t>Studies in Luke-Acts</w:t>
      </w:r>
      <w:r w:rsidRPr="00DC3006">
        <w:rPr>
          <w:iCs/>
        </w:rPr>
        <w:t xml:space="preserve">. Ed. </w:t>
      </w:r>
      <w:r w:rsidRPr="007D4C6B">
        <w:t>Leander E. Keck and J. Louis Martyn. Philadelphia: Fortress</w:t>
      </w:r>
      <w:r w:rsidRPr="007D4C6B">
        <w:rPr>
          <w:iCs/>
        </w:rPr>
        <w:t xml:space="preserve">, </w:t>
      </w:r>
      <w:r w:rsidRPr="007D4C6B">
        <w:t>1966.</w:t>
      </w:r>
    </w:p>
    <w:p w14:paraId="399A2B86" w14:textId="77777777" w:rsidR="00B47A48" w:rsidRPr="007D4C6B" w:rsidRDefault="00B47A48" w:rsidP="00B47A48">
      <w:pPr>
        <w:widowControl w:val="0"/>
        <w:ind w:left="720" w:hanging="720"/>
      </w:pPr>
      <w:r w:rsidRPr="007D4C6B">
        <w:t>Minear</w:t>
      </w:r>
      <w:r w:rsidRPr="007D4C6B">
        <w:rPr>
          <w:iCs/>
        </w:rPr>
        <w:t xml:space="preserve">, </w:t>
      </w:r>
      <w:r w:rsidRPr="007D4C6B">
        <w:t xml:space="preserve">Paul S. </w:t>
      </w:r>
      <w:r w:rsidRPr="007D4C6B">
        <w:rPr>
          <w:i/>
        </w:rPr>
        <w:t>To Heal and to Reveal</w:t>
      </w:r>
      <w:r w:rsidRPr="007D4C6B">
        <w:t xml:space="preserve">: </w:t>
      </w:r>
      <w:r w:rsidRPr="007D4C6B">
        <w:rPr>
          <w:i/>
        </w:rPr>
        <w:t>The Prophetic Vocation According to Luke</w:t>
      </w:r>
      <w:r w:rsidRPr="007D4C6B">
        <w:t>. New York: Seabury</w:t>
      </w:r>
      <w:r w:rsidRPr="007D4C6B">
        <w:rPr>
          <w:iCs/>
        </w:rPr>
        <w:t xml:space="preserve">, </w:t>
      </w:r>
      <w:r w:rsidRPr="007D4C6B">
        <w:t>1976.</w:t>
      </w:r>
    </w:p>
    <w:p w14:paraId="6A848580" w14:textId="77777777" w:rsidR="00B47A48" w:rsidRPr="007D4C6B" w:rsidRDefault="00B47A48" w:rsidP="00B47A48">
      <w:pPr>
        <w:widowControl w:val="0"/>
        <w:ind w:left="720" w:hanging="720"/>
      </w:pPr>
      <w:r w:rsidRPr="007D4C6B">
        <w:t>Montefiore</w:t>
      </w:r>
      <w:r w:rsidRPr="007D4C6B">
        <w:rPr>
          <w:iCs/>
        </w:rPr>
        <w:t xml:space="preserve">, </w:t>
      </w:r>
      <w:r w:rsidRPr="00E95268">
        <w:rPr>
          <w:iCs/>
        </w:rPr>
        <w:t>C.G.</w:t>
      </w:r>
      <w:r w:rsidRPr="007D4C6B">
        <w:t xml:space="preserve"> </w:t>
      </w:r>
      <w:r w:rsidRPr="007D4C6B">
        <w:rPr>
          <w:i/>
        </w:rPr>
        <w:t>The Gospel According to Luke</w:t>
      </w:r>
      <w:r w:rsidRPr="007D4C6B">
        <w:t>. Vol. 4</w:t>
      </w:r>
      <w:r>
        <w:t xml:space="preserve"> of </w:t>
      </w:r>
      <w:r w:rsidRPr="007D4C6B">
        <w:rPr>
          <w:i/>
        </w:rPr>
        <w:t>The Synoptic Gospels</w:t>
      </w:r>
      <w:r w:rsidRPr="007D4C6B">
        <w:rPr>
          <w:iCs/>
        </w:rPr>
        <w:t xml:space="preserve">, </w:t>
      </w:r>
      <w:r w:rsidRPr="007D4C6B">
        <w:rPr>
          <w:i/>
        </w:rPr>
        <w:t>Edited with an Introduction and Commentary</w:t>
      </w:r>
      <w:r w:rsidRPr="007D4C6B">
        <w:t>. Library of Biblical Studies</w:t>
      </w:r>
      <w:r w:rsidRPr="00DC3006">
        <w:rPr>
          <w:iCs/>
        </w:rPr>
        <w:t xml:space="preserve">. Ed. </w:t>
      </w:r>
      <w:r w:rsidRPr="007D4C6B">
        <w:t xml:space="preserve">Harry M. Orlinsky. </w:t>
      </w:r>
      <w:r w:rsidRPr="0029762C">
        <w:rPr>
          <w:iCs/>
        </w:rPr>
        <w:t>2nd ed.</w:t>
      </w:r>
      <w:r w:rsidRPr="007D4C6B">
        <w:t xml:space="preserve"> 2 vols. 1909</w:t>
      </w:r>
      <w:r w:rsidRPr="007D4C6B">
        <w:rPr>
          <w:iCs/>
        </w:rPr>
        <w:t xml:space="preserve">, </w:t>
      </w:r>
      <w:r w:rsidRPr="007D4C6B">
        <w:t>1927</w:t>
      </w:r>
      <w:r>
        <w:t>.</w:t>
      </w:r>
      <w:r w:rsidRPr="007D4C6B">
        <w:t xml:space="preserve"> </w:t>
      </w:r>
      <w:r>
        <w:t xml:space="preserve">Rpt. </w:t>
      </w:r>
      <w:r w:rsidRPr="007D4C6B">
        <w:t>New York: KTAV</w:t>
      </w:r>
      <w:r w:rsidRPr="007D4C6B">
        <w:rPr>
          <w:iCs/>
        </w:rPr>
        <w:t xml:space="preserve">, </w:t>
      </w:r>
      <w:r w:rsidRPr="007D4C6B">
        <w:t>1968</w:t>
      </w:r>
      <w:r w:rsidRPr="007D4C6B">
        <w:rPr>
          <w:vertAlign w:val="superscript"/>
        </w:rPr>
        <w:t>2</w:t>
      </w:r>
      <w:r w:rsidRPr="007D4C6B">
        <w:t>.</w:t>
      </w:r>
    </w:p>
    <w:p w14:paraId="790266D3" w14:textId="77777777" w:rsidR="00B47A48" w:rsidRPr="007D4C6B" w:rsidRDefault="00B47A48" w:rsidP="00B47A48">
      <w:pPr>
        <w:widowControl w:val="0"/>
        <w:ind w:left="720" w:hanging="720"/>
      </w:pPr>
      <w:r w:rsidRPr="007D4C6B">
        <w:t>Morgenthaler</w:t>
      </w:r>
      <w:r w:rsidRPr="007D4C6B">
        <w:rPr>
          <w:iCs/>
        </w:rPr>
        <w:t xml:space="preserve">, </w:t>
      </w:r>
      <w:r w:rsidRPr="007D4C6B">
        <w:t xml:space="preserve">Robert. </w:t>
      </w:r>
      <w:r w:rsidRPr="007D4C6B">
        <w:rPr>
          <w:i/>
        </w:rPr>
        <w:t xml:space="preserve">Die </w:t>
      </w:r>
      <w:proofErr w:type="spellStart"/>
      <w:r w:rsidRPr="007D4C6B">
        <w:rPr>
          <w:i/>
        </w:rPr>
        <w:t>lukanische</w:t>
      </w:r>
      <w:proofErr w:type="spellEnd"/>
      <w:r w:rsidRPr="007D4C6B">
        <w:rPr>
          <w:i/>
        </w:rPr>
        <w:t xml:space="preserve"> </w:t>
      </w:r>
      <w:proofErr w:type="spellStart"/>
      <w:r w:rsidRPr="007D4C6B">
        <w:rPr>
          <w:i/>
        </w:rPr>
        <w:t>Geschichtsschreibung</w:t>
      </w:r>
      <w:proofErr w:type="spellEnd"/>
      <w:r w:rsidRPr="007D4C6B">
        <w:rPr>
          <w:i/>
        </w:rPr>
        <w:t xml:space="preserve"> </w:t>
      </w:r>
      <w:proofErr w:type="spellStart"/>
      <w:r w:rsidRPr="007D4C6B">
        <w:rPr>
          <w:i/>
        </w:rPr>
        <w:t>als</w:t>
      </w:r>
      <w:proofErr w:type="spellEnd"/>
      <w:r w:rsidRPr="007D4C6B">
        <w:rPr>
          <w:i/>
        </w:rPr>
        <w:t xml:space="preserve"> </w:t>
      </w:r>
      <w:proofErr w:type="spellStart"/>
      <w:r w:rsidRPr="007D4C6B">
        <w:rPr>
          <w:i/>
        </w:rPr>
        <w:t>Zeugnis</w:t>
      </w:r>
      <w:proofErr w:type="spellEnd"/>
      <w:r w:rsidRPr="007D4C6B">
        <w:t xml:space="preserve">: </w:t>
      </w:r>
      <w:r w:rsidRPr="007D4C6B">
        <w:rPr>
          <w:i/>
        </w:rPr>
        <w:t xml:space="preserve">Gestalt und </w:t>
      </w:r>
      <w:proofErr w:type="spellStart"/>
      <w:r w:rsidRPr="007D4C6B">
        <w:rPr>
          <w:i/>
        </w:rPr>
        <w:t>Gehalt</w:t>
      </w:r>
      <w:proofErr w:type="spellEnd"/>
      <w:r w:rsidRPr="007D4C6B">
        <w:rPr>
          <w:i/>
        </w:rPr>
        <w:t xml:space="preserve"> der Kunst Lukas</w:t>
      </w:r>
      <w:r w:rsidRPr="007D4C6B">
        <w:t xml:space="preserve">. </w:t>
      </w:r>
      <w:proofErr w:type="spellStart"/>
      <w:r>
        <w:t>Abhandlungen</w:t>
      </w:r>
      <w:proofErr w:type="spellEnd"/>
      <w:r>
        <w:t xml:space="preserve"> </w:t>
      </w:r>
      <w:proofErr w:type="spellStart"/>
      <w:r>
        <w:t>zur</w:t>
      </w:r>
      <w:proofErr w:type="spellEnd"/>
      <w:r>
        <w:t xml:space="preserve"> </w:t>
      </w:r>
      <w:proofErr w:type="spellStart"/>
      <w:r>
        <w:t>Theologie</w:t>
      </w:r>
      <w:proofErr w:type="spellEnd"/>
      <w:r>
        <w:t xml:space="preserve"> des Neuen </w:t>
      </w:r>
      <w:proofErr w:type="spellStart"/>
      <w:r>
        <w:t>Testamens</w:t>
      </w:r>
      <w:proofErr w:type="spellEnd"/>
      <w:r w:rsidRPr="007D4C6B">
        <w:t xml:space="preserve"> 14-15. Zurich: Zwingli</w:t>
      </w:r>
      <w:r w:rsidRPr="007D4C6B">
        <w:rPr>
          <w:iCs/>
        </w:rPr>
        <w:t xml:space="preserve">, </w:t>
      </w:r>
      <w:r w:rsidRPr="007D4C6B">
        <w:t>1948</w:t>
      </w:r>
      <w:r w:rsidRPr="007D4C6B">
        <w:rPr>
          <w:iCs/>
        </w:rPr>
        <w:t xml:space="preserve">, </w:t>
      </w:r>
      <w:r w:rsidRPr="007D4C6B">
        <w:t>1949.</w:t>
      </w:r>
    </w:p>
    <w:p w14:paraId="6C2F98FF" w14:textId="77777777" w:rsidR="00B47A48" w:rsidRPr="007D4C6B" w:rsidRDefault="00B47A48" w:rsidP="00B47A48">
      <w:pPr>
        <w:widowControl w:val="0"/>
        <w:ind w:left="720" w:hanging="720"/>
      </w:pPr>
      <w:r w:rsidRPr="007D4C6B">
        <w:t>Morris</w:t>
      </w:r>
      <w:r w:rsidRPr="007D4C6B">
        <w:rPr>
          <w:iCs/>
        </w:rPr>
        <w:t xml:space="preserve">, </w:t>
      </w:r>
      <w:r w:rsidRPr="007D4C6B">
        <w:t xml:space="preserve">Leon. </w:t>
      </w:r>
      <w:r w:rsidRPr="007D4C6B">
        <w:rPr>
          <w:i/>
        </w:rPr>
        <w:t>Luke</w:t>
      </w:r>
      <w:r w:rsidRPr="007D4C6B">
        <w:t xml:space="preserve">: </w:t>
      </w:r>
      <w:r w:rsidRPr="007D4C6B">
        <w:rPr>
          <w:i/>
        </w:rPr>
        <w:t>An Introduction and Commentary</w:t>
      </w:r>
      <w:r w:rsidRPr="007D4C6B">
        <w:t>. Tyndale New Testament Commentaries. London: Inter-Varsity</w:t>
      </w:r>
      <w:r w:rsidRPr="007D4C6B">
        <w:rPr>
          <w:iCs/>
        </w:rPr>
        <w:t xml:space="preserve">, </w:t>
      </w:r>
      <w:r w:rsidRPr="007D4C6B">
        <w:t>1974.</w:t>
      </w:r>
    </w:p>
    <w:p w14:paraId="790D61A6" w14:textId="77777777" w:rsidR="00B47A48" w:rsidRPr="007D4C6B" w:rsidRDefault="00B47A48" w:rsidP="00B47A48">
      <w:pPr>
        <w:widowControl w:val="0"/>
        <w:ind w:left="720" w:hanging="720"/>
      </w:pPr>
      <w:r w:rsidRPr="007D4C6B">
        <w:t>Morton</w:t>
      </w:r>
      <w:r w:rsidRPr="007D4C6B">
        <w:rPr>
          <w:iCs/>
        </w:rPr>
        <w:t xml:space="preserve">, </w:t>
      </w:r>
      <w:r w:rsidRPr="00E95268">
        <w:rPr>
          <w:iCs/>
        </w:rPr>
        <w:t>A.Q.</w:t>
      </w:r>
      <w:r w:rsidRPr="007D4C6B">
        <w:rPr>
          <w:iCs/>
        </w:rPr>
        <w:t xml:space="preserve">, </w:t>
      </w:r>
      <w:r w:rsidRPr="007D4C6B">
        <w:t xml:space="preserve">and </w:t>
      </w:r>
      <w:r w:rsidRPr="00E95268">
        <w:rPr>
          <w:iCs/>
        </w:rPr>
        <w:t>G.H.C.</w:t>
      </w:r>
      <w:r w:rsidRPr="007D4C6B">
        <w:t xml:space="preserve"> Macgregor. </w:t>
      </w:r>
      <w:r w:rsidRPr="007D4C6B">
        <w:rPr>
          <w:i/>
        </w:rPr>
        <w:t>The Structure of Luke and Acts</w:t>
      </w:r>
      <w:r w:rsidRPr="007D4C6B">
        <w:t xml:space="preserve">. London: </w:t>
      </w:r>
      <w:r w:rsidRPr="00110AE7">
        <w:rPr>
          <w:iCs/>
        </w:rPr>
        <w:t>Hodder and Stoughton</w:t>
      </w:r>
      <w:r w:rsidRPr="007D4C6B">
        <w:rPr>
          <w:iCs/>
        </w:rPr>
        <w:t xml:space="preserve">, </w:t>
      </w:r>
      <w:r w:rsidRPr="007D4C6B">
        <w:t xml:space="preserve">1964; New York: </w:t>
      </w:r>
      <w:r w:rsidRPr="00E95268">
        <w:rPr>
          <w:iCs/>
        </w:rPr>
        <w:t>Harper and Row</w:t>
      </w:r>
      <w:r w:rsidRPr="007D4C6B">
        <w:rPr>
          <w:iCs/>
        </w:rPr>
        <w:t xml:space="preserve">, </w:t>
      </w:r>
      <w:r w:rsidRPr="007D4C6B">
        <w:t>1964.</w:t>
      </w:r>
    </w:p>
    <w:p w14:paraId="1168169E" w14:textId="77777777" w:rsidR="00B47A48" w:rsidRPr="007D4C6B" w:rsidRDefault="00B47A48" w:rsidP="00B47A48">
      <w:pPr>
        <w:widowControl w:val="0"/>
        <w:ind w:left="720" w:hanging="720"/>
      </w:pPr>
      <w:r w:rsidRPr="007D4C6B">
        <w:t>Munck</w:t>
      </w:r>
      <w:r w:rsidRPr="007D4C6B">
        <w:rPr>
          <w:iCs/>
        </w:rPr>
        <w:t xml:space="preserve">, </w:t>
      </w:r>
      <w:r w:rsidRPr="007D4C6B">
        <w:t xml:space="preserve">Johannes. </w:t>
      </w:r>
      <w:r w:rsidRPr="007D4C6B">
        <w:rPr>
          <w:i/>
        </w:rPr>
        <w:t>The Acts of the Apostles</w:t>
      </w:r>
      <w:r w:rsidRPr="007D4C6B">
        <w:t>. Rev</w:t>
      </w:r>
      <w:r>
        <w:t>.</w:t>
      </w:r>
      <w:r w:rsidRPr="007D4C6B">
        <w:t xml:space="preserve"> W</w:t>
      </w:r>
      <w:r>
        <w:t>illia</w:t>
      </w:r>
      <w:r w:rsidRPr="007D4C6B">
        <w:t xml:space="preserve">m F. Albright and </w:t>
      </w:r>
      <w:r w:rsidRPr="00E95268">
        <w:rPr>
          <w:iCs/>
        </w:rPr>
        <w:t>C.S.</w:t>
      </w:r>
      <w:r w:rsidRPr="007D4C6B">
        <w:t xml:space="preserve"> Mann. A</w:t>
      </w:r>
      <w:r>
        <w:t>nchor Bible</w:t>
      </w:r>
      <w:r w:rsidRPr="007D4C6B">
        <w:t xml:space="preserve"> 31. </w:t>
      </w:r>
      <w:r w:rsidRPr="00DC3006">
        <w:rPr>
          <w:iCs/>
        </w:rPr>
        <w:t>Garden City NY</w:t>
      </w:r>
      <w:r w:rsidRPr="007D4C6B">
        <w:t>: Doubleday</w:t>
      </w:r>
      <w:r w:rsidRPr="007D4C6B">
        <w:rPr>
          <w:iCs/>
        </w:rPr>
        <w:t xml:space="preserve">, </w:t>
      </w:r>
      <w:r w:rsidRPr="007D4C6B">
        <w:t>1967.</w:t>
      </w:r>
    </w:p>
    <w:p w14:paraId="613861DF" w14:textId="77777777" w:rsidR="00B47A48" w:rsidRPr="007D4C6B" w:rsidRDefault="00B47A48" w:rsidP="00B47A48">
      <w:pPr>
        <w:widowControl w:val="0"/>
        <w:ind w:left="720" w:hanging="720"/>
      </w:pPr>
      <w:r w:rsidRPr="007D4C6B">
        <w:t>Navone</w:t>
      </w:r>
      <w:r w:rsidRPr="007D4C6B">
        <w:rPr>
          <w:iCs/>
        </w:rPr>
        <w:t xml:space="preserve">, </w:t>
      </w:r>
      <w:r w:rsidRPr="007D4C6B">
        <w:t xml:space="preserve">John. </w:t>
      </w:r>
      <w:r w:rsidRPr="007D4C6B">
        <w:rPr>
          <w:i/>
        </w:rPr>
        <w:t xml:space="preserve">Bibliografia </w:t>
      </w:r>
      <w:proofErr w:type="spellStart"/>
      <w:r w:rsidRPr="007D4C6B">
        <w:rPr>
          <w:i/>
        </w:rPr>
        <w:t>lucana</w:t>
      </w:r>
      <w:proofErr w:type="spellEnd"/>
      <w:r w:rsidRPr="007D4C6B">
        <w:t>. Rome: Gregorian University</w:t>
      </w:r>
      <w:r w:rsidRPr="007D4C6B">
        <w:rPr>
          <w:iCs/>
        </w:rPr>
        <w:t xml:space="preserve">, </w:t>
      </w:r>
      <w:r w:rsidRPr="007D4C6B">
        <w:t>1969.</w:t>
      </w:r>
    </w:p>
    <w:p w14:paraId="4B0F83E0" w14:textId="77777777" w:rsidR="00B47A48" w:rsidRPr="00E5413C" w:rsidRDefault="00B47A48" w:rsidP="00B47A48">
      <w:pPr>
        <w:widowControl w:val="0"/>
        <w:ind w:left="720" w:hanging="720"/>
        <w:rPr>
          <w:lang w:val="fr-FR"/>
        </w:rPr>
      </w:pPr>
      <w:r w:rsidRPr="007D4C6B">
        <w:t>O’Neill</w:t>
      </w:r>
      <w:r w:rsidRPr="007D4C6B">
        <w:rPr>
          <w:iCs/>
        </w:rPr>
        <w:t xml:space="preserve">, </w:t>
      </w:r>
      <w:r w:rsidRPr="00E95268">
        <w:rPr>
          <w:iCs/>
        </w:rPr>
        <w:t>J.C.</w:t>
      </w:r>
      <w:r w:rsidRPr="007D4C6B">
        <w:t xml:space="preserve"> </w:t>
      </w:r>
      <w:r w:rsidRPr="007D4C6B">
        <w:rPr>
          <w:i/>
        </w:rPr>
        <w:t>The Theology of Acts in Its Historical Setting</w:t>
      </w:r>
      <w:r w:rsidRPr="007D4C6B">
        <w:t xml:space="preserve">. </w:t>
      </w:r>
      <w:r w:rsidRPr="00E5413C">
        <w:rPr>
          <w:lang w:val="fr-FR"/>
        </w:rPr>
        <w:t xml:space="preserve">London: </w:t>
      </w:r>
      <w:r w:rsidRPr="00E5413C">
        <w:rPr>
          <w:iCs/>
          <w:lang w:val="fr-FR"/>
        </w:rPr>
        <w:t xml:space="preserve">SPCK, </w:t>
      </w:r>
      <w:r w:rsidRPr="00E5413C">
        <w:rPr>
          <w:lang w:val="fr-FR"/>
        </w:rPr>
        <w:t>1961</w:t>
      </w:r>
      <w:r w:rsidRPr="00E5413C">
        <w:rPr>
          <w:iCs/>
          <w:lang w:val="fr-FR"/>
        </w:rPr>
        <w:t xml:space="preserve">, </w:t>
      </w:r>
      <w:r w:rsidRPr="00E5413C">
        <w:rPr>
          <w:lang w:val="fr-FR"/>
        </w:rPr>
        <w:t>1970</w:t>
      </w:r>
      <w:r w:rsidRPr="00E5413C">
        <w:rPr>
          <w:vertAlign w:val="superscript"/>
          <w:lang w:val="fr-FR"/>
        </w:rPr>
        <w:t>2</w:t>
      </w:r>
      <w:r w:rsidRPr="00E5413C">
        <w:rPr>
          <w:lang w:val="fr-FR"/>
        </w:rPr>
        <w:t>.</w:t>
      </w:r>
    </w:p>
    <w:p w14:paraId="2D42F660" w14:textId="77777777" w:rsidR="00B47A48" w:rsidRPr="007D4C6B" w:rsidRDefault="00B47A48" w:rsidP="00B47A48">
      <w:pPr>
        <w:widowControl w:val="0"/>
        <w:ind w:left="720" w:hanging="720"/>
      </w:pPr>
      <w:proofErr w:type="spellStart"/>
      <w:r w:rsidRPr="00E5413C">
        <w:rPr>
          <w:lang w:val="fr-FR"/>
        </w:rPr>
        <w:t>Osty</w:t>
      </w:r>
      <w:proofErr w:type="spellEnd"/>
      <w:r w:rsidRPr="00E5413C">
        <w:rPr>
          <w:iCs/>
          <w:lang w:val="fr-FR"/>
        </w:rPr>
        <w:t xml:space="preserve">, </w:t>
      </w:r>
      <w:r w:rsidRPr="00E5413C">
        <w:rPr>
          <w:lang w:val="fr-FR"/>
        </w:rPr>
        <w:t xml:space="preserve">Émile. “Introduction à Luc.” In </w:t>
      </w:r>
      <w:r w:rsidRPr="00E5413C">
        <w:rPr>
          <w:i/>
          <w:lang w:val="fr-FR"/>
        </w:rPr>
        <w:t>La Bible</w:t>
      </w:r>
      <w:r w:rsidRPr="00E5413C">
        <w:rPr>
          <w:lang w:val="fr-FR"/>
        </w:rPr>
        <w:t xml:space="preserve">. Trans. </w:t>
      </w:r>
      <w:r w:rsidRPr="007D4C6B">
        <w:t xml:space="preserve">Émile </w:t>
      </w:r>
      <w:proofErr w:type="spellStart"/>
      <w:r w:rsidRPr="007D4C6B">
        <w:t>Osty</w:t>
      </w:r>
      <w:proofErr w:type="spellEnd"/>
      <w:r w:rsidRPr="007D4C6B">
        <w:t xml:space="preserve">. Paris: </w:t>
      </w:r>
      <w:proofErr w:type="spellStart"/>
      <w:r w:rsidRPr="007D4C6B">
        <w:t>Seuil</w:t>
      </w:r>
      <w:proofErr w:type="spellEnd"/>
      <w:r w:rsidRPr="007D4C6B">
        <w:rPr>
          <w:iCs/>
        </w:rPr>
        <w:t xml:space="preserve">, </w:t>
      </w:r>
      <w:r w:rsidRPr="007D4C6B">
        <w:t>1973.</w:t>
      </w:r>
    </w:p>
    <w:p w14:paraId="7CF29E15" w14:textId="77777777" w:rsidR="00B47A48" w:rsidRPr="007D4C6B" w:rsidRDefault="00B47A48" w:rsidP="00B47A48">
      <w:pPr>
        <w:widowControl w:val="0"/>
        <w:ind w:left="720" w:hanging="720"/>
      </w:pPr>
      <w:r w:rsidRPr="007D4C6B">
        <w:t>Page</w:t>
      </w:r>
      <w:r w:rsidRPr="007D4C6B">
        <w:rPr>
          <w:iCs/>
        </w:rPr>
        <w:t xml:space="preserve">, </w:t>
      </w:r>
      <w:r w:rsidRPr="007D4C6B">
        <w:t xml:space="preserve">Allen F. </w:t>
      </w:r>
      <w:r w:rsidRPr="007D4C6B">
        <w:rPr>
          <w:i/>
        </w:rPr>
        <w:t>Proto-Luke Reconsidered</w:t>
      </w:r>
      <w:r w:rsidRPr="007D4C6B">
        <w:t xml:space="preserve">: </w:t>
      </w:r>
      <w:r w:rsidRPr="007D4C6B">
        <w:rPr>
          <w:i/>
        </w:rPr>
        <w:t>A Study of Literary Method and Theology in the Gospel of Luke</w:t>
      </w:r>
      <w:r w:rsidRPr="007D4C6B">
        <w:t>. Ph.D. dissertation</w:t>
      </w:r>
      <w:r w:rsidRPr="007D4C6B">
        <w:rPr>
          <w:iCs/>
        </w:rPr>
        <w:t xml:space="preserve">, </w:t>
      </w:r>
      <w:r w:rsidRPr="007D4C6B">
        <w:t>Duke University</w:t>
      </w:r>
      <w:r w:rsidRPr="007D4C6B">
        <w:rPr>
          <w:iCs/>
        </w:rPr>
        <w:t xml:space="preserve">, </w:t>
      </w:r>
      <w:r w:rsidRPr="007D4C6B">
        <w:t>1968.</w:t>
      </w:r>
    </w:p>
    <w:p w14:paraId="02A78A56" w14:textId="77777777" w:rsidR="00B47A48" w:rsidRPr="007D4C6B" w:rsidRDefault="00B47A48" w:rsidP="00B47A48">
      <w:pPr>
        <w:widowControl w:val="0"/>
        <w:ind w:left="720" w:hanging="720"/>
      </w:pPr>
      <w:proofErr w:type="spellStart"/>
      <w:r w:rsidRPr="007D4C6B">
        <w:t>Plümacher</w:t>
      </w:r>
      <w:proofErr w:type="spellEnd"/>
      <w:r w:rsidRPr="007D4C6B">
        <w:rPr>
          <w:iCs/>
        </w:rPr>
        <w:t xml:space="preserve">, </w:t>
      </w:r>
      <w:r w:rsidRPr="007D4C6B">
        <w:t xml:space="preserve">Eckhard. “The ‘We-passages’ in Acts.” </w:t>
      </w:r>
      <w:r w:rsidRPr="007D4C6B">
        <w:rPr>
          <w:i/>
        </w:rPr>
        <w:t>TD</w:t>
      </w:r>
      <w:r w:rsidRPr="007D4C6B">
        <w:t xml:space="preserve"> 27 (Spring</w:t>
      </w:r>
      <w:r w:rsidRPr="007D4C6B">
        <w:rPr>
          <w:iCs/>
        </w:rPr>
        <w:t xml:space="preserve">, </w:t>
      </w:r>
      <w:r w:rsidRPr="007D4C6B">
        <w:t xml:space="preserve">1979) 47-48. </w:t>
      </w:r>
      <w:r>
        <w:t>(</w:t>
      </w:r>
      <w:r w:rsidRPr="007D4C6B">
        <w:t>“</w:t>
      </w:r>
      <w:proofErr w:type="spellStart"/>
      <w:r w:rsidRPr="007D4C6B">
        <w:t>Wirklichkeitserfahrung</w:t>
      </w:r>
      <w:proofErr w:type="spellEnd"/>
      <w:r w:rsidRPr="007D4C6B">
        <w:t xml:space="preserve"> und </w:t>
      </w:r>
      <w:proofErr w:type="spellStart"/>
      <w:r w:rsidRPr="007D4C6B">
        <w:t>Geschichtsschreibung</w:t>
      </w:r>
      <w:proofErr w:type="spellEnd"/>
      <w:r w:rsidRPr="007D4C6B">
        <w:t xml:space="preserve"> </w:t>
      </w:r>
      <w:proofErr w:type="spellStart"/>
      <w:r w:rsidRPr="007D4C6B">
        <w:t>bei</w:t>
      </w:r>
      <w:proofErr w:type="spellEnd"/>
      <w:r w:rsidRPr="007D4C6B">
        <w:t xml:space="preserve"> Lukas: </w:t>
      </w:r>
      <w:proofErr w:type="spellStart"/>
      <w:r w:rsidRPr="007D4C6B">
        <w:t>Erwägungen</w:t>
      </w:r>
      <w:proofErr w:type="spellEnd"/>
      <w:r w:rsidRPr="007D4C6B">
        <w:t xml:space="preserve"> </w:t>
      </w:r>
      <w:proofErr w:type="spellStart"/>
      <w:r w:rsidRPr="007D4C6B">
        <w:t>zu</w:t>
      </w:r>
      <w:proofErr w:type="spellEnd"/>
      <w:r w:rsidRPr="007D4C6B">
        <w:t xml:space="preserve"> den Wir-</w:t>
      </w:r>
      <w:proofErr w:type="spellStart"/>
      <w:r w:rsidRPr="007D4C6B">
        <w:t>Stücken</w:t>
      </w:r>
      <w:proofErr w:type="spellEnd"/>
      <w:r w:rsidRPr="007D4C6B">
        <w:t xml:space="preserve"> der </w:t>
      </w:r>
      <w:proofErr w:type="spellStart"/>
      <w:r w:rsidRPr="007D4C6B">
        <w:t>Apostelgeschichte</w:t>
      </w:r>
      <w:proofErr w:type="spellEnd"/>
      <w:r>
        <w:t>.</w:t>
      </w:r>
      <w:r w:rsidRPr="007D4C6B">
        <w:t xml:space="preserve">” </w:t>
      </w:r>
      <w:proofErr w:type="spellStart"/>
      <w:r w:rsidRPr="00CA0334">
        <w:rPr>
          <w:i/>
          <w:iCs/>
        </w:rPr>
        <w:t>Zeitschrift</w:t>
      </w:r>
      <w:proofErr w:type="spellEnd"/>
      <w:r w:rsidRPr="00CA0334">
        <w:rPr>
          <w:i/>
          <w:iCs/>
        </w:rPr>
        <w:t xml:space="preserve"> für die </w:t>
      </w:r>
      <w:proofErr w:type="spellStart"/>
      <w:r w:rsidRPr="00CA0334">
        <w:rPr>
          <w:i/>
          <w:iCs/>
        </w:rPr>
        <w:t>neutestamentliche</w:t>
      </w:r>
      <w:proofErr w:type="spellEnd"/>
      <w:r w:rsidRPr="00CA0334">
        <w:rPr>
          <w:i/>
          <w:iCs/>
        </w:rPr>
        <w:t xml:space="preserve"> Wissenschaft</w:t>
      </w:r>
      <w:r w:rsidRPr="007D4C6B">
        <w:t xml:space="preserve"> 68 (1977) 2-22.</w:t>
      </w:r>
      <w:r>
        <w:t>)</w:t>
      </w:r>
    </w:p>
    <w:p w14:paraId="7072BEB6" w14:textId="77777777" w:rsidR="00B47A48" w:rsidRPr="007D4C6B" w:rsidRDefault="00B47A48" w:rsidP="00B47A48">
      <w:pPr>
        <w:widowControl w:val="0"/>
        <w:ind w:left="720" w:hanging="720"/>
      </w:pPr>
      <w:proofErr w:type="spellStart"/>
      <w:r w:rsidRPr="007D4C6B">
        <w:t>Plümacher</w:t>
      </w:r>
      <w:proofErr w:type="spellEnd"/>
      <w:r w:rsidRPr="007D4C6B">
        <w:rPr>
          <w:iCs/>
        </w:rPr>
        <w:t xml:space="preserve">, </w:t>
      </w:r>
      <w:r w:rsidRPr="007D4C6B">
        <w:t xml:space="preserve">Eckhard. </w:t>
      </w:r>
      <w:r w:rsidRPr="007D4C6B">
        <w:rPr>
          <w:i/>
        </w:rPr>
        <w:t xml:space="preserve">Lukas </w:t>
      </w:r>
      <w:proofErr w:type="spellStart"/>
      <w:r w:rsidRPr="007D4C6B">
        <w:rPr>
          <w:i/>
        </w:rPr>
        <w:t>als</w:t>
      </w:r>
      <w:proofErr w:type="spellEnd"/>
      <w:r w:rsidRPr="007D4C6B">
        <w:rPr>
          <w:i/>
        </w:rPr>
        <w:t xml:space="preserve"> </w:t>
      </w:r>
      <w:proofErr w:type="spellStart"/>
      <w:r w:rsidRPr="007D4C6B">
        <w:rPr>
          <w:i/>
        </w:rPr>
        <w:t>hellenistischer</w:t>
      </w:r>
      <w:proofErr w:type="spellEnd"/>
      <w:r w:rsidRPr="007D4C6B">
        <w:rPr>
          <w:i/>
        </w:rPr>
        <w:t xml:space="preserve"> </w:t>
      </w:r>
      <w:proofErr w:type="spellStart"/>
      <w:r w:rsidRPr="007D4C6B">
        <w:rPr>
          <w:i/>
        </w:rPr>
        <w:t>Schriftsteller</w:t>
      </w:r>
      <w:proofErr w:type="spellEnd"/>
      <w:r w:rsidRPr="007D4C6B">
        <w:t xml:space="preserve">: </w:t>
      </w:r>
      <w:proofErr w:type="spellStart"/>
      <w:r w:rsidRPr="007D4C6B">
        <w:rPr>
          <w:i/>
        </w:rPr>
        <w:t>Studien</w:t>
      </w:r>
      <w:proofErr w:type="spellEnd"/>
      <w:r w:rsidRPr="007D4C6B">
        <w:rPr>
          <w:i/>
        </w:rPr>
        <w:t xml:space="preserve"> </w:t>
      </w:r>
      <w:proofErr w:type="spellStart"/>
      <w:r w:rsidRPr="007D4C6B">
        <w:rPr>
          <w:i/>
        </w:rPr>
        <w:t>zur</w:t>
      </w:r>
      <w:proofErr w:type="spellEnd"/>
      <w:r w:rsidRPr="007D4C6B">
        <w:rPr>
          <w:i/>
        </w:rPr>
        <w:t xml:space="preserve"> </w:t>
      </w:r>
      <w:proofErr w:type="spellStart"/>
      <w:r w:rsidRPr="007D4C6B">
        <w:rPr>
          <w:i/>
        </w:rPr>
        <w:t>Apostelgeschichte</w:t>
      </w:r>
      <w:proofErr w:type="spellEnd"/>
      <w:r w:rsidRPr="007D4C6B">
        <w:t xml:space="preserve">. </w:t>
      </w:r>
      <w:proofErr w:type="spellStart"/>
      <w:r>
        <w:t>Studien</w:t>
      </w:r>
      <w:proofErr w:type="spellEnd"/>
      <w:r>
        <w:t xml:space="preserve"> </w:t>
      </w:r>
      <w:proofErr w:type="spellStart"/>
      <w:r>
        <w:t>zur</w:t>
      </w:r>
      <w:proofErr w:type="spellEnd"/>
      <w:r>
        <w:t xml:space="preserve"> Umwelt des Neuen Testaments</w:t>
      </w:r>
      <w:r w:rsidRPr="007D4C6B">
        <w:t xml:space="preserve"> 9. Göttingen: </w:t>
      </w:r>
      <w:proofErr w:type="spellStart"/>
      <w:r w:rsidRPr="00D42DB3">
        <w:rPr>
          <w:iCs/>
        </w:rPr>
        <w:t>Vandenhoeck</w:t>
      </w:r>
      <w:proofErr w:type="spellEnd"/>
      <w:r w:rsidRPr="00D42DB3">
        <w:rPr>
          <w:iCs/>
        </w:rPr>
        <w:t xml:space="preserve"> und Ruprecht</w:t>
      </w:r>
      <w:r w:rsidRPr="007D4C6B">
        <w:rPr>
          <w:iCs/>
        </w:rPr>
        <w:t xml:space="preserve">, </w:t>
      </w:r>
      <w:r w:rsidRPr="007D4C6B">
        <w:t>1972.</w:t>
      </w:r>
    </w:p>
    <w:p w14:paraId="7D0B322B" w14:textId="4DD24B8F" w:rsidR="00B47A48" w:rsidRPr="007D4C6B" w:rsidRDefault="00B47A48" w:rsidP="00B47A48">
      <w:pPr>
        <w:widowControl w:val="0"/>
        <w:ind w:left="720" w:hanging="720"/>
      </w:pPr>
      <w:r w:rsidRPr="007D4C6B">
        <w:t>Plummer</w:t>
      </w:r>
      <w:r w:rsidRPr="007D4C6B">
        <w:rPr>
          <w:iCs/>
        </w:rPr>
        <w:t xml:space="preserve">, </w:t>
      </w:r>
      <w:r w:rsidRPr="007D4C6B">
        <w:t xml:space="preserve">Alfred. </w:t>
      </w:r>
      <w:r w:rsidRPr="007D4C6B">
        <w:rPr>
          <w:i/>
        </w:rPr>
        <w:t>A Critical and Exegetical Commentary on the Gospel According to S</w:t>
      </w:r>
      <w:r w:rsidRPr="007D4C6B">
        <w:t xml:space="preserve">. </w:t>
      </w:r>
      <w:r w:rsidRPr="007D4C6B">
        <w:rPr>
          <w:i/>
        </w:rPr>
        <w:t>Luke</w:t>
      </w:r>
      <w:r w:rsidRPr="007D4C6B">
        <w:t>.</w:t>
      </w:r>
      <w:r>
        <w:t xml:space="preserve"> 1896.</w:t>
      </w:r>
      <w:r w:rsidRPr="007D4C6B">
        <w:t xml:space="preserve"> </w:t>
      </w:r>
      <w:r>
        <w:t>5th ed. International Critical Commentary</w:t>
      </w:r>
      <w:r w:rsidRPr="007D4C6B">
        <w:t>. Edinburgh: Clark; New York: Scribner’s</w:t>
      </w:r>
      <w:r w:rsidRPr="007D4C6B">
        <w:rPr>
          <w:iCs/>
        </w:rPr>
        <w:t xml:space="preserve">, </w:t>
      </w:r>
      <w:r w:rsidRPr="007D4C6B">
        <w:t>1922.</w:t>
      </w:r>
    </w:p>
    <w:p w14:paraId="31909BAD" w14:textId="77777777" w:rsidR="00B47A48" w:rsidRPr="007D4C6B" w:rsidRDefault="00B47A48" w:rsidP="00B47A48">
      <w:pPr>
        <w:widowControl w:val="0"/>
        <w:ind w:left="720" w:hanging="720"/>
      </w:pPr>
      <w:r w:rsidRPr="007D4C6B">
        <w:t>Radl</w:t>
      </w:r>
      <w:r w:rsidRPr="007D4C6B">
        <w:rPr>
          <w:iCs/>
        </w:rPr>
        <w:t xml:space="preserve">, </w:t>
      </w:r>
      <w:r w:rsidRPr="007D4C6B">
        <w:t xml:space="preserve">Walter. </w:t>
      </w:r>
      <w:r w:rsidRPr="007D4C6B">
        <w:rPr>
          <w:i/>
        </w:rPr>
        <w:t xml:space="preserve">Paulus und Jesus </w:t>
      </w:r>
      <w:proofErr w:type="spellStart"/>
      <w:r w:rsidRPr="007D4C6B">
        <w:rPr>
          <w:i/>
        </w:rPr>
        <w:t>im</w:t>
      </w:r>
      <w:proofErr w:type="spellEnd"/>
      <w:r w:rsidRPr="007D4C6B">
        <w:rPr>
          <w:i/>
        </w:rPr>
        <w:t xml:space="preserve"> </w:t>
      </w:r>
      <w:proofErr w:type="spellStart"/>
      <w:r w:rsidRPr="007D4C6B">
        <w:rPr>
          <w:i/>
        </w:rPr>
        <w:t>lukanischen</w:t>
      </w:r>
      <w:proofErr w:type="spellEnd"/>
      <w:r w:rsidRPr="007D4C6B">
        <w:rPr>
          <w:i/>
        </w:rPr>
        <w:t xml:space="preserve"> </w:t>
      </w:r>
      <w:proofErr w:type="spellStart"/>
      <w:r w:rsidRPr="007D4C6B">
        <w:rPr>
          <w:i/>
        </w:rPr>
        <w:t>Doppelwerk</w:t>
      </w:r>
      <w:proofErr w:type="spellEnd"/>
      <w:r w:rsidRPr="007D4C6B">
        <w:t xml:space="preserve">: </w:t>
      </w:r>
      <w:proofErr w:type="spellStart"/>
      <w:r w:rsidRPr="007D4C6B">
        <w:rPr>
          <w:i/>
        </w:rPr>
        <w:t>Untersuchungen</w:t>
      </w:r>
      <w:proofErr w:type="spellEnd"/>
      <w:r w:rsidRPr="007D4C6B">
        <w:rPr>
          <w:i/>
        </w:rPr>
        <w:t xml:space="preserve"> </w:t>
      </w:r>
      <w:proofErr w:type="spellStart"/>
      <w:r w:rsidRPr="007D4C6B">
        <w:rPr>
          <w:i/>
        </w:rPr>
        <w:t>zu</w:t>
      </w:r>
      <w:proofErr w:type="spellEnd"/>
      <w:r w:rsidRPr="007D4C6B">
        <w:rPr>
          <w:i/>
        </w:rPr>
        <w:t xml:space="preserve"> </w:t>
      </w:r>
      <w:proofErr w:type="spellStart"/>
      <w:r w:rsidRPr="007D4C6B">
        <w:rPr>
          <w:i/>
        </w:rPr>
        <w:t>Parallelmotiven</w:t>
      </w:r>
      <w:proofErr w:type="spellEnd"/>
      <w:r w:rsidRPr="007D4C6B">
        <w:rPr>
          <w:i/>
        </w:rPr>
        <w:t xml:space="preserve"> </w:t>
      </w:r>
      <w:proofErr w:type="spellStart"/>
      <w:r w:rsidRPr="007D4C6B">
        <w:rPr>
          <w:i/>
        </w:rPr>
        <w:lastRenderedPageBreak/>
        <w:t>im</w:t>
      </w:r>
      <w:proofErr w:type="spellEnd"/>
      <w:r w:rsidRPr="007D4C6B">
        <w:rPr>
          <w:i/>
        </w:rPr>
        <w:t xml:space="preserve"> </w:t>
      </w:r>
      <w:proofErr w:type="spellStart"/>
      <w:r w:rsidRPr="007D4C6B">
        <w:rPr>
          <w:i/>
        </w:rPr>
        <w:t>Lukasevangelium</w:t>
      </w:r>
      <w:proofErr w:type="spellEnd"/>
      <w:r w:rsidRPr="007D4C6B">
        <w:rPr>
          <w:i/>
        </w:rPr>
        <w:t xml:space="preserve"> und in der </w:t>
      </w:r>
      <w:proofErr w:type="spellStart"/>
      <w:r w:rsidRPr="007D4C6B">
        <w:rPr>
          <w:i/>
        </w:rPr>
        <w:t>Apostelgeschichte</w:t>
      </w:r>
      <w:proofErr w:type="spellEnd"/>
      <w:r w:rsidRPr="007D4C6B">
        <w:t xml:space="preserve">. </w:t>
      </w:r>
      <w:proofErr w:type="spellStart"/>
      <w:r w:rsidRPr="007D4C6B">
        <w:t>Europäische</w:t>
      </w:r>
      <w:proofErr w:type="spellEnd"/>
      <w:r w:rsidRPr="007D4C6B">
        <w:t xml:space="preserve"> </w:t>
      </w:r>
      <w:proofErr w:type="spellStart"/>
      <w:r w:rsidRPr="007D4C6B">
        <w:t>Hochschulschriften</w:t>
      </w:r>
      <w:proofErr w:type="spellEnd"/>
      <w:r w:rsidRPr="007D4C6B">
        <w:t xml:space="preserve"> 23/49. Frankfurt am Main: P. Lang</w:t>
      </w:r>
      <w:r w:rsidRPr="007D4C6B">
        <w:rPr>
          <w:iCs/>
        </w:rPr>
        <w:t xml:space="preserve">, </w:t>
      </w:r>
      <w:r w:rsidRPr="007D4C6B">
        <w:t>1975.</w:t>
      </w:r>
    </w:p>
    <w:p w14:paraId="13B0FFA9" w14:textId="14083458" w:rsidR="00B47A48" w:rsidRPr="007D4C6B" w:rsidRDefault="00B47A48" w:rsidP="00B47A48">
      <w:pPr>
        <w:widowControl w:val="0"/>
        <w:ind w:left="720" w:hanging="720"/>
      </w:pPr>
      <w:r w:rsidRPr="007D4C6B">
        <w:t>Ramsay</w:t>
      </w:r>
      <w:r w:rsidRPr="007D4C6B">
        <w:rPr>
          <w:iCs/>
        </w:rPr>
        <w:t xml:space="preserve">, </w:t>
      </w:r>
      <w:r w:rsidRPr="007D4C6B">
        <w:t xml:space="preserve">William M. </w:t>
      </w:r>
      <w:r w:rsidRPr="007D4C6B">
        <w:rPr>
          <w:i/>
        </w:rPr>
        <w:t>Luke the Physician and Other Studies in the History of Religion</w:t>
      </w:r>
      <w:r w:rsidRPr="007D4C6B">
        <w:t xml:space="preserve">. London: </w:t>
      </w:r>
      <w:r w:rsidRPr="00110AE7">
        <w:rPr>
          <w:iCs/>
        </w:rPr>
        <w:t>Hodder and Stoughton</w:t>
      </w:r>
      <w:r w:rsidRPr="007D4C6B">
        <w:rPr>
          <w:iCs/>
        </w:rPr>
        <w:t xml:space="preserve">, </w:t>
      </w:r>
      <w:r w:rsidRPr="007D4C6B">
        <w:t>1908</w:t>
      </w:r>
      <w:r w:rsidR="007B5BB5">
        <w:t>.</w:t>
      </w:r>
      <w:r w:rsidRPr="007D4C6B">
        <w:t xml:space="preserve"> </w:t>
      </w:r>
      <w:r w:rsidR="007B5BB5" w:rsidRPr="007D4C6B">
        <w:t>Rpt</w:t>
      </w:r>
      <w:r w:rsidRPr="007D4C6B">
        <w:t>. ed.</w:t>
      </w:r>
      <w:r w:rsidRPr="007D4C6B">
        <w:rPr>
          <w:iCs/>
        </w:rPr>
        <w:t xml:space="preserve">, </w:t>
      </w:r>
      <w:r w:rsidRPr="007D4C6B">
        <w:t>The William M. Ramsay Library (10 vols.)</w:t>
      </w:r>
      <w:r w:rsidRPr="007D4C6B">
        <w:rPr>
          <w:iCs/>
        </w:rPr>
        <w:t xml:space="preserve">, </w:t>
      </w:r>
      <w:r w:rsidRPr="00DC3006">
        <w:rPr>
          <w:iCs/>
        </w:rPr>
        <w:t>Grand Rapids MI</w:t>
      </w:r>
      <w:r w:rsidRPr="007D4C6B">
        <w:t>: Baker</w:t>
      </w:r>
      <w:r w:rsidRPr="007D4C6B">
        <w:rPr>
          <w:iCs/>
        </w:rPr>
        <w:t xml:space="preserve">, </w:t>
      </w:r>
      <w:r w:rsidRPr="007D4C6B">
        <w:t>1979.</w:t>
      </w:r>
    </w:p>
    <w:p w14:paraId="084CB8A3" w14:textId="77777777" w:rsidR="00B47A48" w:rsidRPr="007D4C6B" w:rsidRDefault="00B47A48" w:rsidP="00B47A48">
      <w:pPr>
        <w:widowControl w:val="0"/>
        <w:ind w:left="720" w:hanging="720"/>
      </w:pPr>
      <w:r w:rsidRPr="007D4C6B">
        <w:t>Ramsay</w:t>
      </w:r>
      <w:r w:rsidRPr="007D4C6B">
        <w:rPr>
          <w:iCs/>
        </w:rPr>
        <w:t xml:space="preserve">, </w:t>
      </w:r>
      <w:r w:rsidRPr="007D4C6B">
        <w:t xml:space="preserve">William M. </w:t>
      </w:r>
      <w:r w:rsidRPr="007D4C6B">
        <w:rPr>
          <w:i/>
        </w:rPr>
        <w:t>Was Christ Born at Bethlehem</w:t>
      </w:r>
      <w:r w:rsidRPr="007D4C6B">
        <w:t xml:space="preserve">? </w:t>
      </w:r>
      <w:r w:rsidRPr="007D4C6B">
        <w:rPr>
          <w:i/>
        </w:rPr>
        <w:t>A Study on the Credibility of St</w:t>
      </w:r>
      <w:r w:rsidRPr="007D4C6B">
        <w:t xml:space="preserve">. </w:t>
      </w:r>
      <w:r w:rsidRPr="007D4C6B">
        <w:rPr>
          <w:i/>
        </w:rPr>
        <w:t>Luke</w:t>
      </w:r>
      <w:r w:rsidRPr="007D4C6B">
        <w:t>.</w:t>
      </w:r>
      <w:r>
        <w:t xml:space="preserve"> 1898.</w:t>
      </w:r>
      <w:r w:rsidRPr="007D4C6B">
        <w:t xml:space="preserve"> </w:t>
      </w:r>
      <w:r>
        <w:t xml:space="preserve">3rd ed. </w:t>
      </w:r>
      <w:r w:rsidRPr="007D4C6B">
        <w:t xml:space="preserve">London: </w:t>
      </w:r>
      <w:r w:rsidRPr="00110AE7">
        <w:rPr>
          <w:iCs/>
        </w:rPr>
        <w:t>Hodder and Stoughton</w:t>
      </w:r>
      <w:r w:rsidRPr="007D4C6B">
        <w:rPr>
          <w:iCs/>
        </w:rPr>
        <w:t xml:space="preserve">, </w:t>
      </w:r>
      <w:r w:rsidRPr="007D4C6B">
        <w:t>1905</w:t>
      </w:r>
      <w:r>
        <w:t>. R</w:t>
      </w:r>
      <w:r w:rsidRPr="007D4C6B">
        <w:t>pt. ed.</w:t>
      </w:r>
      <w:r w:rsidRPr="007D4C6B">
        <w:rPr>
          <w:iCs/>
        </w:rPr>
        <w:t xml:space="preserve"> </w:t>
      </w:r>
      <w:r w:rsidRPr="007D4C6B">
        <w:t>The William M. Ramsay Library (10 vols.)</w:t>
      </w:r>
      <w:r>
        <w:rPr>
          <w:iCs/>
        </w:rPr>
        <w:t>.</w:t>
      </w:r>
      <w:r w:rsidRPr="007D4C6B">
        <w:rPr>
          <w:iCs/>
        </w:rPr>
        <w:t xml:space="preserve"> </w:t>
      </w:r>
      <w:r w:rsidRPr="00DC3006">
        <w:rPr>
          <w:iCs/>
        </w:rPr>
        <w:t>Grand Rapids MI</w:t>
      </w:r>
      <w:r w:rsidRPr="007D4C6B">
        <w:t>: Baker</w:t>
      </w:r>
      <w:r w:rsidRPr="007D4C6B">
        <w:rPr>
          <w:iCs/>
        </w:rPr>
        <w:t xml:space="preserve">, </w:t>
      </w:r>
      <w:r w:rsidRPr="007D4C6B">
        <w:t>1979.</w:t>
      </w:r>
    </w:p>
    <w:p w14:paraId="0253E836" w14:textId="77777777" w:rsidR="00B47A48" w:rsidRPr="007D4C6B" w:rsidRDefault="00B47A48" w:rsidP="00B47A48">
      <w:pPr>
        <w:widowControl w:val="0"/>
        <w:ind w:left="720" w:hanging="720"/>
      </w:pPr>
      <w:r w:rsidRPr="007D4C6B">
        <w:t>Reiling</w:t>
      </w:r>
      <w:r w:rsidRPr="007D4C6B">
        <w:rPr>
          <w:iCs/>
        </w:rPr>
        <w:t xml:space="preserve">, </w:t>
      </w:r>
      <w:r w:rsidRPr="007D4C6B">
        <w:t>J.</w:t>
      </w:r>
      <w:r w:rsidRPr="007D4C6B">
        <w:rPr>
          <w:iCs/>
        </w:rPr>
        <w:t xml:space="preserve">, </w:t>
      </w:r>
      <w:r w:rsidRPr="007D4C6B">
        <w:t xml:space="preserve">and </w:t>
      </w:r>
      <w:r w:rsidRPr="00110AE7">
        <w:rPr>
          <w:iCs/>
        </w:rPr>
        <w:t>J.L.</w:t>
      </w:r>
      <w:r w:rsidRPr="007D4C6B">
        <w:t xml:space="preserve"> </w:t>
      </w:r>
      <w:proofErr w:type="spellStart"/>
      <w:r w:rsidRPr="007D4C6B">
        <w:t>Swellengrebel</w:t>
      </w:r>
      <w:proofErr w:type="spellEnd"/>
      <w:r w:rsidRPr="007D4C6B">
        <w:t xml:space="preserve">. </w:t>
      </w:r>
      <w:r w:rsidRPr="007D4C6B">
        <w:rPr>
          <w:i/>
        </w:rPr>
        <w:t>A Translator</w:t>
      </w:r>
      <w:r w:rsidRPr="007D4C6B">
        <w:t>’</w:t>
      </w:r>
      <w:r w:rsidRPr="007D4C6B">
        <w:rPr>
          <w:i/>
        </w:rPr>
        <w:t>s Handbook on the Gospel of Luke</w:t>
      </w:r>
      <w:r w:rsidRPr="007D4C6B">
        <w:t>. Helps for Translators. Leiden: Brill</w:t>
      </w:r>
      <w:r w:rsidRPr="007D4C6B">
        <w:rPr>
          <w:iCs/>
        </w:rPr>
        <w:t xml:space="preserve">, </w:t>
      </w:r>
      <w:r w:rsidRPr="007D4C6B">
        <w:t>1971.</w:t>
      </w:r>
    </w:p>
    <w:p w14:paraId="68000C6C" w14:textId="77777777" w:rsidR="00B47A48" w:rsidRPr="007D4C6B" w:rsidRDefault="00B47A48" w:rsidP="00B47A48">
      <w:pPr>
        <w:widowControl w:val="0"/>
        <w:ind w:left="720" w:hanging="720"/>
      </w:pPr>
      <w:r w:rsidRPr="007D4C6B">
        <w:t>Rengstorf</w:t>
      </w:r>
      <w:r w:rsidRPr="007D4C6B">
        <w:rPr>
          <w:iCs/>
        </w:rPr>
        <w:t xml:space="preserve">, </w:t>
      </w:r>
      <w:r w:rsidRPr="007D4C6B">
        <w:t xml:space="preserve">Karl Heinrich. </w:t>
      </w:r>
      <w:r w:rsidRPr="007D4C6B">
        <w:rPr>
          <w:i/>
        </w:rPr>
        <w:t>Das Evangelium des Lukas</w:t>
      </w:r>
      <w:r w:rsidRPr="007D4C6B">
        <w:t xml:space="preserve">: </w:t>
      </w:r>
      <w:proofErr w:type="spellStart"/>
      <w:r w:rsidRPr="007D4C6B">
        <w:rPr>
          <w:i/>
        </w:rPr>
        <w:t>übersetzt</w:t>
      </w:r>
      <w:proofErr w:type="spellEnd"/>
      <w:r w:rsidRPr="007D4C6B">
        <w:rPr>
          <w:i/>
        </w:rPr>
        <w:t xml:space="preserve"> und </w:t>
      </w:r>
      <w:proofErr w:type="spellStart"/>
      <w:r w:rsidRPr="007D4C6B">
        <w:rPr>
          <w:i/>
        </w:rPr>
        <w:t>erklärt</w:t>
      </w:r>
      <w:proofErr w:type="spellEnd"/>
      <w:r w:rsidRPr="007D4C6B">
        <w:t xml:space="preserve">. </w:t>
      </w:r>
      <w:r>
        <w:t>Das Neue Testament Deutsch</w:t>
      </w:r>
      <w:r w:rsidRPr="007D4C6B">
        <w:t xml:space="preserve"> 3. Göttingen: </w:t>
      </w:r>
      <w:proofErr w:type="spellStart"/>
      <w:r w:rsidRPr="00D42DB3">
        <w:rPr>
          <w:iCs/>
        </w:rPr>
        <w:t>Vandenhoeck</w:t>
      </w:r>
      <w:proofErr w:type="spellEnd"/>
      <w:r w:rsidRPr="00D42DB3">
        <w:rPr>
          <w:iCs/>
        </w:rPr>
        <w:t xml:space="preserve"> und Ruprecht</w:t>
      </w:r>
      <w:r w:rsidRPr="007D4C6B">
        <w:rPr>
          <w:iCs/>
        </w:rPr>
        <w:t xml:space="preserve">, </w:t>
      </w:r>
      <w:r w:rsidRPr="007D4C6B">
        <w:t>1962</w:t>
      </w:r>
      <w:r w:rsidRPr="007D4C6B">
        <w:rPr>
          <w:vertAlign w:val="superscript"/>
        </w:rPr>
        <w:t>9</w:t>
      </w:r>
      <w:r w:rsidRPr="007D4C6B">
        <w:rPr>
          <w:iCs/>
        </w:rPr>
        <w:t xml:space="preserve">, </w:t>
      </w:r>
      <w:r w:rsidRPr="007D4C6B">
        <w:t>1969</w:t>
      </w:r>
      <w:r w:rsidRPr="007D4C6B">
        <w:rPr>
          <w:vertAlign w:val="superscript"/>
        </w:rPr>
        <w:t>14</w:t>
      </w:r>
      <w:r w:rsidRPr="007D4C6B">
        <w:t>.</w:t>
      </w:r>
    </w:p>
    <w:p w14:paraId="64E97CE7" w14:textId="77777777" w:rsidR="00B47A48" w:rsidRPr="00E5413C" w:rsidRDefault="00B47A48" w:rsidP="00B47A48">
      <w:pPr>
        <w:widowControl w:val="0"/>
        <w:ind w:left="720" w:hanging="720"/>
        <w:rPr>
          <w:lang w:val="fr-FR"/>
        </w:rPr>
      </w:pPr>
      <w:r w:rsidRPr="007D4C6B">
        <w:t>Rigaux</w:t>
      </w:r>
      <w:r w:rsidRPr="007D4C6B">
        <w:rPr>
          <w:iCs/>
        </w:rPr>
        <w:t xml:space="preserve">, </w:t>
      </w:r>
      <w:r w:rsidRPr="007D4C6B">
        <w:t xml:space="preserve">Beda. </w:t>
      </w:r>
      <w:proofErr w:type="spellStart"/>
      <w:r w:rsidRPr="007D4C6B">
        <w:rPr>
          <w:i/>
        </w:rPr>
        <w:t>Témoignage</w:t>
      </w:r>
      <w:proofErr w:type="spellEnd"/>
      <w:r w:rsidRPr="007D4C6B">
        <w:rPr>
          <w:i/>
        </w:rPr>
        <w:t xml:space="preserve"> de </w:t>
      </w:r>
      <w:proofErr w:type="spellStart"/>
      <w:r w:rsidRPr="007D4C6B">
        <w:rPr>
          <w:i/>
        </w:rPr>
        <w:t>l</w:t>
      </w:r>
      <w:r w:rsidRPr="007D4C6B">
        <w:t>’</w:t>
      </w:r>
      <w:r w:rsidRPr="007D4C6B">
        <w:rPr>
          <w:i/>
        </w:rPr>
        <w:t>Évangile</w:t>
      </w:r>
      <w:proofErr w:type="spellEnd"/>
      <w:r w:rsidRPr="007D4C6B">
        <w:rPr>
          <w:i/>
        </w:rPr>
        <w:t xml:space="preserve"> de Luc</w:t>
      </w:r>
      <w:r w:rsidRPr="007D4C6B">
        <w:t xml:space="preserve">. </w:t>
      </w:r>
      <w:r w:rsidRPr="00E5413C">
        <w:rPr>
          <w:lang w:val="fr-FR"/>
        </w:rPr>
        <w:t>Pour une histoire de Jésus 4. Bruges: Desclée de Brouwer</w:t>
      </w:r>
      <w:r w:rsidRPr="00E5413C">
        <w:rPr>
          <w:iCs/>
          <w:lang w:val="fr-FR"/>
        </w:rPr>
        <w:t xml:space="preserve">, </w:t>
      </w:r>
      <w:r w:rsidRPr="00E5413C">
        <w:rPr>
          <w:lang w:val="fr-FR"/>
        </w:rPr>
        <w:t>1970.</w:t>
      </w:r>
    </w:p>
    <w:p w14:paraId="6C698973" w14:textId="77777777" w:rsidR="00B47A48" w:rsidRPr="007D4C6B" w:rsidRDefault="00B47A48" w:rsidP="00B47A48">
      <w:pPr>
        <w:widowControl w:val="0"/>
        <w:ind w:left="720" w:hanging="720"/>
      </w:pPr>
      <w:r w:rsidRPr="00E5413C">
        <w:rPr>
          <w:lang w:val="fr-FR"/>
        </w:rPr>
        <w:t>Rose</w:t>
      </w:r>
      <w:r w:rsidRPr="00E5413C">
        <w:rPr>
          <w:iCs/>
          <w:lang w:val="fr-FR"/>
        </w:rPr>
        <w:t xml:space="preserve">, </w:t>
      </w:r>
      <w:r w:rsidRPr="00E5413C">
        <w:rPr>
          <w:lang w:val="fr-FR"/>
        </w:rPr>
        <w:t xml:space="preserve">V. </w:t>
      </w:r>
      <w:r w:rsidRPr="00E5413C">
        <w:rPr>
          <w:i/>
          <w:lang w:val="fr-FR"/>
        </w:rPr>
        <w:t>Évangile selon S</w:t>
      </w:r>
      <w:r w:rsidRPr="00E5413C">
        <w:rPr>
          <w:lang w:val="fr-FR"/>
        </w:rPr>
        <w:t xml:space="preserve">. </w:t>
      </w:r>
      <w:r w:rsidRPr="00E5413C">
        <w:rPr>
          <w:i/>
          <w:lang w:val="fr-FR"/>
        </w:rPr>
        <w:t>Luc</w:t>
      </w:r>
      <w:r w:rsidRPr="00E5413C">
        <w:rPr>
          <w:lang w:val="fr-FR"/>
        </w:rPr>
        <w:t xml:space="preserve">: </w:t>
      </w:r>
      <w:r w:rsidRPr="00E5413C">
        <w:rPr>
          <w:i/>
          <w:lang w:val="fr-FR"/>
        </w:rPr>
        <w:t>Traduction et Commentaire</w:t>
      </w:r>
      <w:r w:rsidRPr="00E5413C">
        <w:rPr>
          <w:lang w:val="fr-FR"/>
        </w:rPr>
        <w:t xml:space="preserve">. </w:t>
      </w:r>
      <w:r w:rsidRPr="007D4C6B">
        <w:t xml:space="preserve">Paris: </w:t>
      </w:r>
      <w:proofErr w:type="spellStart"/>
      <w:r w:rsidRPr="007D4C6B">
        <w:t>Librairie</w:t>
      </w:r>
      <w:proofErr w:type="spellEnd"/>
      <w:r w:rsidRPr="007D4C6B">
        <w:t xml:space="preserve"> Bloud</w:t>
      </w:r>
      <w:r w:rsidRPr="007D4C6B">
        <w:rPr>
          <w:iCs/>
        </w:rPr>
        <w:t xml:space="preserve">, </w:t>
      </w:r>
      <w:r w:rsidRPr="007D4C6B">
        <w:t>1907.</w:t>
      </w:r>
    </w:p>
    <w:p w14:paraId="27CAF152" w14:textId="77777777" w:rsidR="00B47A48" w:rsidRPr="007D4C6B" w:rsidRDefault="00B47A48" w:rsidP="00B47A48">
      <w:pPr>
        <w:widowControl w:val="0"/>
        <w:ind w:left="720" w:hanging="720"/>
      </w:pPr>
      <w:r w:rsidRPr="007D4C6B">
        <w:t>Rowell</w:t>
      </w:r>
      <w:r w:rsidRPr="007D4C6B">
        <w:rPr>
          <w:iCs/>
        </w:rPr>
        <w:t xml:space="preserve">, </w:t>
      </w:r>
      <w:r w:rsidRPr="007D4C6B">
        <w:t xml:space="preserve">Lewis. </w:t>
      </w:r>
      <w:r w:rsidRPr="007D4C6B">
        <w:rPr>
          <w:i/>
        </w:rPr>
        <w:t>Thinking about Music</w:t>
      </w:r>
      <w:r w:rsidRPr="007D4C6B">
        <w:t xml:space="preserve">: </w:t>
      </w:r>
      <w:r w:rsidRPr="007D4C6B">
        <w:rPr>
          <w:i/>
        </w:rPr>
        <w:t>An Introduction to the Philosophy of Music</w:t>
      </w:r>
      <w:r w:rsidRPr="007D4C6B">
        <w:t>. Amherst</w:t>
      </w:r>
      <w:r w:rsidRPr="007D4C6B">
        <w:rPr>
          <w:iCs/>
        </w:rPr>
        <w:t xml:space="preserve"> </w:t>
      </w:r>
      <w:r w:rsidRPr="007D4C6B">
        <w:t>MA: U of Massachusetts</w:t>
      </w:r>
      <w:r>
        <w:t xml:space="preserve"> P</w:t>
      </w:r>
      <w:r w:rsidRPr="007D4C6B">
        <w:rPr>
          <w:iCs/>
        </w:rPr>
        <w:t xml:space="preserve">, </w:t>
      </w:r>
      <w:r w:rsidRPr="007D4C6B">
        <w:t>1983.</w:t>
      </w:r>
    </w:p>
    <w:p w14:paraId="2F98AA09" w14:textId="77777777" w:rsidR="00B47A48" w:rsidRPr="00E5413C" w:rsidRDefault="00B47A48" w:rsidP="00B47A48">
      <w:pPr>
        <w:widowControl w:val="0"/>
        <w:ind w:left="720" w:hanging="720"/>
        <w:rPr>
          <w:lang w:val="fr-FR"/>
        </w:rPr>
      </w:pPr>
      <w:r w:rsidRPr="007D4C6B">
        <w:t>Rusche</w:t>
      </w:r>
      <w:r w:rsidRPr="007D4C6B">
        <w:rPr>
          <w:iCs/>
        </w:rPr>
        <w:t xml:space="preserve">, </w:t>
      </w:r>
      <w:r w:rsidRPr="007D4C6B">
        <w:t xml:space="preserve">Helga. </w:t>
      </w:r>
      <w:r w:rsidRPr="007D4C6B">
        <w:rPr>
          <w:i/>
        </w:rPr>
        <w:t>Der Retter der Welt</w:t>
      </w:r>
      <w:r w:rsidRPr="007D4C6B">
        <w:t xml:space="preserve">: </w:t>
      </w:r>
      <w:r w:rsidRPr="007D4C6B">
        <w:rPr>
          <w:i/>
        </w:rPr>
        <w:t xml:space="preserve">Die </w:t>
      </w:r>
      <w:proofErr w:type="spellStart"/>
      <w:r w:rsidRPr="007D4C6B">
        <w:rPr>
          <w:i/>
        </w:rPr>
        <w:t>frohe</w:t>
      </w:r>
      <w:proofErr w:type="spellEnd"/>
      <w:r w:rsidRPr="007D4C6B">
        <w:rPr>
          <w:i/>
        </w:rPr>
        <w:t xml:space="preserve"> </w:t>
      </w:r>
      <w:proofErr w:type="spellStart"/>
      <w:r w:rsidRPr="007D4C6B">
        <w:rPr>
          <w:i/>
        </w:rPr>
        <w:t>Botshaft</w:t>
      </w:r>
      <w:proofErr w:type="spellEnd"/>
      <w:r w:rsidRPr="007D4C6B">
        <w:rPr>
          <w:i/>
        </w:rPr>
        <w:t xml:space="preserve"> </w:t>
      </w:r>
      <w:proofErr w:type="spellStart"/>
      <w:r w:rsidRPr="007D4C6B">
        <w:rPr>
          <w:i/>
        </w:rPr>
        <w:t>nach</w:t>
      </w:r>
      <w:proofErr w:type="spellEnd"/>
      <w:r w:rsidRPr="007D4C6B">
        <w:rPr>
          <w:i/>
        </w:rPr>
        <w:t xml:space="preserve"> Lukas</w:t>
      </w:r>
      <w:r w:rsidRPr="007D4C6B">
        <w:t>.</w:t>
      </w:r>
      <w:r>
        <w:t xml:space="preserve"> </w:t>
      </w:r>
      <w:proofErr w:type="spellStart"/>
      <w:r w:rsidRPr="00E5413C">
        <w:rPr>
          <w:lang w:val="fr-FR"/>
        </w:rPr>
        <w:t>Gedanken</w:t>
      </w:r>
      <w:proofErr w:type="spellEnd"/>
      <w:r w:rsidRPr="00E5413C">
        <w:rPr>
          <w:lang w:val="fr-FR"/>
        </w:rPr>
        <w:t xml:space="preserve"> </w:t>
      </w:r>
      <w:proofErr w:type="spellStart"/>
      <w:r w:rsidRPr="00E5413C">
        <w:rPr>
          <w:lang w:val="fr-FR"/>
        </w:rPr>
        <w:t>zur</w:t>
      </w:r>
      <w:proofErr w:type="spellEnd"/>
      <w:r w:rsidRPr="00E5413C">
        <w:rPr>
          <w:lang w:val="fr-FR"/>
        </w:rPr>
        <w:t xml:space="preserve"> </w:t>
      </w:r>
      <w:proofErr w:type="spellStart"/>
      <w:r w:rsidRPr="00E5413C">
        <w:rPr>
          <w:lang w:val="fr-FR"/>
        </w:rPr>
        <w:t>Schriftlesung</w:t>
      </w:r>
      <w:proofErr w:type="spellEnd"/>
      <w:r w:rsidRPr="00E5413C">
        <w:rPr>
          <w:lang w:val="fr-FR"/>
        </w:rPr>
        <w:t xml:space="preserve"> 3. Stuttgart: </w:t>
      </w:r>
      <w:proofErr w:type="spellStart"/>
      <w:r w:rsidRPr="00E5413C">
        <w:rPr>
          <w:lang w:val="fr-FR"/>
        </w:rPr>
        <w:t>Katholisches</w:t>
      </w:r>
      <w:proofErr w:type="spellEnd"/>
      <w:r w:rsidRPr="00E5413C">
        <w:rPr>
          <w:lang w:val="fr-FR"/>
        </w:rPr>
        <w:t xml:space="preserve"> </w:t>
      </w:r>
      <w:proofErr w:type="spellStart"/>
      <w:r w:rsidRPr="00E5413C">
        <w:rPr>
          <w:lang w:val="fr-FR"/>
        </w:rPr>
        <w:t>Bibelwerk</w:t>
      </w:r>
      <w:proofErr w:type="spellEnd"/>
      <w:r w:rsidRPr="00E5413C">
        <w:rPr>
          <w:iCs/>
          <w:lang w:val="fr-FR"/>
        </w:rPr>
        <w:t xml:space="preserve">, </w:t>
      </w:r>
      <w:r w:rsidRPr="00E5413C">
        <w:rPr>
          <w:lang w:val="fr-FR"/>
        </w:rPr>
        <w:t>1963.</w:t>
      </w:r>
    </w:p>
    <w:p w14:paraId="0EBFED8B" w14:textId="77777777" w:rsidR="00B47A48" w:rsidRPr="00E5413C" w:rsidRDefault="00B47A48" w:rsidP="00B47A48">
      <w:pPr>
        <w:widowControl w:val="0"/>
        <w:ind w:left="720" w:hanging="720"/>
        <w:rPr>
          <w:lang w:val="fr-FR"/>
        </w:rPr>
      </w:pPr>
      <w:r w:rsidRPr="00E5413C">
        <w:rPr>
          <w:lang w:val="fr-FR"/>
        </w:rPr>
        <w:t>Samain</w:t>
      </w:r>
      <w:r w:rsidRPr="00E5413C">
        <w:rPr>
          <w:iCs/>
          <w:lang w:val="fr-FR"/>
        </w:rPr>
        <w:t xml:space="preserve">, </w:t>
      </w:r>
      <w:r w:rsidRPr="00E5413C">
        <w:rPr>
          <w:lang w:val="fr-FR"/>
        </w:rPr>
        <w:t xml:space="preserve">Étienne. “L’Évangile de Luc et le livre des Actes: éléments de composition et de structure.” </w:t>
      </w:r>
      <w:r w:rsidRPr="00E5413C">
        <w:rPr>
          <w:i/>
          <w:lang w:val="fr-FR"/>
        </w:rPr>
        <w:t>Foi et Vie</w:t>
      </w:r>
      <w:r w:rsidRPr="00E5413C">
        <w:rPr>
          <w:lang w:val="fr-FR"/>
        </w:rPr>
        <w:t xml:space="preserve"> 70 (= </w:t>
      </w:r>
      <w:r w:rsidRPr="00E5413C">
        <w:rPr>
          <w:i/>
          <w:lang w:val="fr-FR"/>
        </w:rPr>
        <w:t>Cahiers bibliques</w:t>
      </w:r>
      <w:r w:rsidRPr="00E5413C">
        <w:rPr>
          <w:lang w:val="fr-FR"/>
        </w:rPr>
        <w:t xml:space="preserve"> 10) (1971) 3-24.</w:t>
      </w:r>
    </w:p>
    <w:p w14:paraId="7408B1E7" w14:textId="77777777" w:rsidR="00B47A48" w:rsidRPr="007D4C6B" w:rsidRDefault="00B47A48" w:rsidP="00B47A48">
      <w:pPr>
        <w:widowControl w:val="0"/>
        <w:ind w:left="720" w:hanging="720"/>
      </w:pPr>
      <w:r w:rsidRPr="00E5413C">
        <w:rPr>
          <w:lang w:val="fr-FR"/>
        </w:rPr>
        <w:t>Schmid</w:t>
      </w:r>
      <w:r w:rsidRPr="00E5413C">
        <w:rPr>
          <w:iCs/>
          <w:lang w:val="fr-FR"/>
        </w:rPr>
        <w:t xml:space="preserve">, </w:t>
      </w:r>
      <w:r w:rsidRPr="00E5413C">
        <w:rPr>
          <w:lang w:val="fr-FR"/>
        </w:rPr>
        <w:t xml:space="preserve">Josef. </w:t>
      </w:r>
      <w:r w:rsidRPr="00E5413C">
        <w:rPr>
          <w:i/>
          <w:lang w:val="fr-FR"/>
        </w:rPr>
        <w:t xml:space="preserve">Das </w:t>
      </w:r>
      <w:proofErr w:type="spellStart"/>
      <w:r w:rsidRPr="00E5413C">
        <w:rPr>
          <w:i/>
          <w:lang w:val="fr-FR"/>
        </w:rPr>
        <w:t>Evangelium</w:t>
      </w:r>
      <w:proofErr w:type="spellEnd"/>
      <w:r w:rsidRPr="00E5413C">
        <w:rPr>
          <w:i/>
          <w:lang w:val="fr-FR"/>
        </w:rPr>
        <w:t xml:space="preserve"> </w:t>
      </w:r>
      <w:proofErr w:type="spellStart"/>
      <w:r w:rsidRPr="00E5413C">
        <w:rPr>
          <w:i/>
          <w:lang w:val="fr-FR"/>
        </w:rPr>
        <w:t>nach</w:t>
      </w:r>
      <w:proofErr w:type="spellEnd"/>
      <w:r w:rsidRPr="00E5413C">
        <w:rPr>
          <w:i/>
          <w:lang w:val="fr-FR"/>
        </w:rPr>
        <w:t xml:space="preserve"> Lukas</w:t>
      </w:r>
      <w:r w:rsidRPr="00E5413C">
        <w:rPr>
          <w:lang w:val="fr-FR"/>
        </w:rPr>
        <w:t xml:space="preserve">. </w:t>
      </w:r>
      <w:r w:rsidRPr="007D4C6B">
        <w:t xml:space="preserve">3rd ed. </w:t>
      </w:r>
      <w:r>
        <w:rPr>
          <w:rStyle w:val="lrzxr"/>
        </w:rPr>
        <w:t>Regensburger Neues Testament</w:t>
      </w:r>
      <w:r w:rsidRPr="007D4C6B">
        <w:t>. Regensburg: Friedrich Pustet</w:t>
      </w:r>
      <w:r w:rsidRPr="007D4C6B">
        <w:rPr>
          <w:iCs/>
        </w:rPr>
        <w:t xml:space="preserve">, </w:t>
      </w:r>
      <w:r w:rsidRPr="007D4C6B">
        <w:t>1940</w:t>
      </w:r>
      <w:r w:rsidRPr="007D4C6B">
        <w:rPr>
          <w:iCs/>
        </w:rPr>
        <w:t xml:space="preserve">, </w:t>
      </w:r>
      <w:r w:rsidRPr="007D4C6B">
        <w:t>1951</w:t>
      </w:r>
      <w:r w:rsidRPr="007D4C6B">
        <w:rPr>
          <w:vertAlign w:val="superscript"/>
        </w:rPr>
        <w:t>2</w:t>
      </w:r>
      <w:r w:rsidRPr="007D4C6B">
        <w:rPr>
          <w:iCs/>
        </w:rPr>
        <w:t xml:space="preserve">, </w:t>
      </w:r>
      <w:r w:rsidRPr="007D4C6B">
        <w:t>1955</w:t>
      </w:r>
      <w:r w:rsidRPr="007D4C6B">
        <w:rPr>
          <w:vertAlign w:val="superscript"/>
        </w:rPr>
        <w:t>3</w:t>
      </w:r>
      <w:r w:rsidRPr="007D4C6B">
        <w:t>.</w:t>
      </w:r>
    </w:p>
    <w:p w14:paraId="0C9DE4E8" w14:textId="77777777" w:rsidR="00B47A48" w:rsidRPr="007D4C6B" w:rsidRDefault="00B47A48" w:rsidP="00B47A48">
      <w:pPr>
        <w:widowControl w:val="0"/>
        <w:ind w:left="720" w:hanging="720"/>
      </w:pPr>
      <w:proofErr w:type="spellStart"/>
      <w:r w:rsidRPr="007D4C6B">
        <w:t>Schmithals</w:t>
      </w:r>
      <w:proofErr w:type="spellEnd"/>
      <w:r w:rsidRPr="007D4C6B">
        <w:rPr>
          <w:iCs/>
        </w:rPr>
        <w:t xml:space="preserve">, </w:t>
      </w:r>
      <w:r w:rsidRPr="007D4C6B">
        <w:t xml:space="preserve">Walter. </w:t>
      </w:r>
      <w:r w:rsidRPr="007D4C6B">
        <w:rPr>
          <w:i/>
        </w:rPr>
        <w:t xml:space="preserve">Das Evangelium </w:t>
      </w:r>
      <w:proofErr w:type="spellStart"/>
      <w:r w:rsidRPr="007D4C6B">
        <w:rPr>
          <w:i/>
        </w:rPr>
        <w:t>nach</w:t>
      </w:r>
      <w:proofErr w:type="spellEnd"/>
      <w:r w:rsidRPr="007D4C6B">
        <w:rPr>
          <w:i/>
        </w:rPr>
        <w:t xml:space="preserve"> Lukas</w:t>
      </w:r>
      <w:r w:rsidRPr="007D4C6B">
        <w:t xml:space="preserve">. </w:t>
      </w:r>
      <w:proofErr w:type="spellStart"/>
      <w:r w:rsidRPr="007D4C6B">
        <w:t>Zürcher</w:t>
      </w:r>
      <w:proofErr w:type="spellEnd"/>
      <w:r w:rsidRPr="007D4C6B">
        <w:t xml:space="preserve"> Bibelkommentare</w:t>
      </w:r>
      <w:r w:rsidRPr="00DC3006">
        <w:rPr>
          <w:iCs/>
        </w:rPr>
        <w:t xml:space="preserve">. Ed. </w:t>
      </w:r>
      <w:r w:rsidRPr="007D4C6B">
        <w:t>Georg Fohrer</w:t>
      </w:r>
      <w:r w:rsidRPr="007D4C6B">
        <w:rPr>
          <w:iCs/>
        </w:rPr>
        <w:t xml:space="preserve">, </w:t>
      </w:r>
      <w:r w:rsidRPr="007D4C6B">
        <w:t>Hans Heinrich Schmid</w:t>
      </w:r>
      <w:r w:rsidRPr="007D4C6B">
        <w:rPr>
          <w:iCs/>
        </w:rPr>
        <w:t xml:space="preserve">, </w:t>
      </w:r>
      <w:r w:rsidRPr="007D4C6B">
        <w:t>and Siegfried Schulz</w:t>
      </w:r>
      <w:r w:rsidRPr="007D4C6B">
        <w:rPr>
          <w:iCs/>
        </w:rPr>
        <w:t xml:space="preserve">, </w:t>
      </w:r>
      <w:r w:rsidRPr="007D4C6B">
        <w:t xml:space="preserve">Neue Testament series 3/1. Zurich: </w:t>
      </w:r>
      <w:proofErr w:type="spellStart"/>
      <w:r w:rsidRPr="007D4C6B">
        <w:t>Theologischer</w:t>
      </w:r>
      <w:proofErr w:type="spellEnd"/>
      <w:r w:rsidRPr="007D4C6B">
        <w:t xml:space="preserve"> Verlag</w:t>
      </w:r>
      <w:r w:rsidRPr="007D4C6B">
        <w:rPr>
          <w:iCs/>
        </w:rPr>
        <w:t xml:space="preserve">, </w:t>
      </w:r>
      <w:r w:rsidRPr="007D4C6B">
        <w:t>1980.</w:t>
      </w:r>
    </w:p>
    <w:p w14:paraId="206340AB" w14:textId="77777777" w:rsidR="00B47A48" w:rsidRPr="007D4C6B" w:rsidRDefault="00B47A48" w:rsidP="00B47A48">
      <w:pPr>
        <w:widowControl w:val="0"/>
        <w:ind w:left="720" w:hanging="720"/>
      </w:pPr>
      <w:r w:rsidRPr="007D4C6B">
        <w:t>Schneider</w:t>
      </w:r>
      <w:r w:rsidRPr="007D4C6B">
        <w:rPr>
          <w:iCs/>
        </w:rPr>
        <w:t xml:space="preserve">, </w:t>
      </w:r>
      <w:r w:rsidRPr="007D4C6B">
        <w:t xml:space="preserve">Gerhard. </w:t>
      </w:r>
      <w:r w:rsidRPr="007D4C6B">
        <w:rPr>
          <w:i/>
        </w:rPr>
        <w:t xml:space="preserve">Das Evangelium </w:t>
      </w:r>
      <w:proofErr w:type="spellStart"/>
      <w:r w:rsidRPr="007D4C6B">
        <w:rPr>
          <w:i/>
        </w:rPr>
        <w:t>nach</w:t>
      </w:r>
      <w:proofErr w:type="spellEnd"/>
      <w:r w:rsidRPr="007D4C6B">
        <w:rPr>
          <w:i/>
        </w:rPr>
        <w:t xml:space="preserve"> Lukas</w:t>
      </w:r>
      <w:r w:rsidRPr="007D4C6B">
        <w:t xml:space="preserve">. Vol. 1: </w:t>
      </w:r>
      <w:proofErr w:type="spellStart"/>
      <w:r w:rsidRPr="007D4C6B">
        <w:rPr>
          <w:i/>
        </w:rPr>
        <w:t>Kapitel</w:t>
      </w:r>
      <w:proofErr w:type="spellEnd"/>
      <w:r w:rsidRPr="007D4C6B">
        <w:rPr>
          <w:i/>
        </w:rPr>
        <w:t xml:space="preserve"> 1-10</w:t>
      </w:r>
      <w:r w:rsidRPr="007D4C6B">
        <w:t xml:space="preserve">; vol. 2: </w:t>
      </w:r>
      <w:proofErr w:type="spellStart"/>
      <w:r w:rsidRPr="007D4C6B">
        <w:rPr>
          <w:i/>
        </w:rPr>
        <w:t>Kapitel</w:t>
      </w:r>
      <w:proofErr w:type="spellEnd"/>
      <w:r w:rsidRPr="007D4C6B">
        <w:rPr>
          <w:i/>
        </w:rPr>
        <w:t xml:space="preserve"> 11-24</w:t>
      </w:r>
      <w:r w:rsidRPr="007D4C6B">
        <w:t xml:space="preserve">. </w:t>
      </w:r>
      <w:proofErr w:type="spellStart"/>
      <w:r w:rsidRPr="007D4C6B">
        <w:t>Ökumenischer</w:t>
      </w:r>
      <w:proofErr w:type="spellEnd"/>
      <w:r w:rsidRPr="007D4C6B">
        <w:t xml:space="preserve"> </w:t>
      </w:r>
      <w:proofErr w:type="spellStart"/>
      <w:r w:rsidRPr="007D4C6B">
        <w:t>Taschenbuchkommentar</w:t>
      </w:r>
      <w:proofErr w:type="spellEnd"/>
      <w:r w:rsidRPr="007D4C6B">
        <w:t xml:space="preserve"> </w:t>
      </w:r>
      <w:proofErr w:type="spellStart"/>
      <w:r w:rsidRPr="007D4C6B">
        <w:t>zum</w:t>
      </w:r>
      <w:proofErr w:type="spellEnd"/>
      <w:r w:rsidRPr="007D4C6B">
        <w:t xml:space="preserve"> Neuen Testament</w:t>
      </w:r>
      <w:r w:rsidRPr="00DC3006">
        <w:rPr>
          <w:iCs/>
        </w:rPr>
        <w:t xml:space="preserve">. Ed. </w:t>
      </w:r>
      <w:r w:rsidRPr="007D4C6B">
        <w:t xml:space="preserve">Erich Grässer and Karl Kertelge 3/1-2. 2 vols. Gütersloh: </w:t>
      </w:r>
      <w:proofErr w:type="spellStart"/>
      <w:r w:rsidRPr="007D4C6B">
        <w:t>Gütersloher</w:t>
      </w:r>
      <w:proofErr w:type="spellEnd"/>
      <w:r w:rsidRPr="007D4C6B">
        <w:t xml:space="preserve"> </w:t>
      </w:r>
      <w:proofErr w:type="spellStart"/>
      <w:r w:rsidRPr="007D4C6B">
        <w:t>Verlaghaus</w:t>
      </w:r>
      <w:proofErr w:type="spellEnd"/>
      <w:r w:rsidRPr="007D4C6B">
        <w:t xml:space="preserve"> Gerd Mohn</w:t>
      </w:r>
      <w:r w:rsidRPr="007D4C6B">
        <w:rPr>
          <w:iCs/>
        </w:rPr>
        <w:t xml:space="preserve">, </w:t>
      </w:r>
      <w:r w:rsidRPr="007D4C6B">
        <w:t>1977; Würzburg: Echter</w:t>
      </w:r>
      <w:r w:rsidRPr="007D4C6B">
        <w:rPr>
          <w:iCs/>
        </w:rPr>
        <w:t xml:space="preserve">, </w:t>
      </w:r>
      <w:r w:rsidRPr="007D4C6B">
        <w:t>1977.</w:t>
      </w:r>
    </w:p>
    <w:p w14:paraId="1AB4B64B" w14:textId="77777777" w:rsidR="00B47A48" w:rsidRPr="007D4C6B" w:rsidRDefault="00B47A48" w:rsidP="00B47A48">
      <w:pPr>
        <w:widowControl w:val="0"/>
        <w:ind w:left="720" w:hanging="720"/>
      </w:pPr>
      <w:r w:rsidRPr="007D4C6B">
        <w:t>Schneider</w:t>
      </w:r>
      <w:r w:rsidRPr="007D4C6B">
        <w:rPr>
          <w:iCs/>
        </w:rPr>
        <w:t xml:space="preserve">, </w:t>
      </w:r>
      <w:r w:rsidRPr="007D4C6B">
        <w:t xml:space="preserve">Gerhard. </w:t>
      </w:r>
      <w:proofErr w:type="spellStart"/>
      <w:r w:rsidRPr="007D4C6B">
        <w:rPr>
          <w:i/>
        </w:rPr>
        <w:t>Parusiegleichnisse</w:t>
      </w:r>
      <w:proofErr w:type="spellEnd"/>
      <w:r w:rsidRPr="007D4C6B">
        <w:rPr>
          <w:i/>
        </w:rPr>
        <w:t xml:space="preserve"> </w:t>
      </w:r>
      <w:proofErr w:type="spellStart"/>
      <w:r w:rsidRPr="007D4C6B">
        <w:rPr>
          <w:i/>
        </w:rPr>
        <w:t>im</w:t>
      </w:r>
      <w:proofErr w:type="spellEnd"/>
      <w:r w:rsidRPr="007D4C6B">
        <w:rPr>
          <w:i/>
        </w:rPr>
        <w:t xml:space="preserve"> Lukas-Evangelium</w:t>
      </w:r>
      <w:r w:rsidRPr="007D4C6B">
        <w:t xml:space="preserve">. </w:t>
      </w:r>
      <w:r>
        <w:t xml:space="preserve">Stuttgarter </w:t>
      </w:r>
      <w:proofErr w:type="spellStart"/>
      <w:r>
        <w:t>Bibelstudien</w:t>
      </w:r>
      <w:proofErr w:type="spellEnd"/>
      <w:r w:rsidRPr="007D4C6B">
        <w:t xml:space="preserve"> 74. Stuttgart: </w:t>
      </w:r>
      <w:proofErr w:type="spellStart"/>
      <w:r w:rsidRPr="007D4C6B">
        <w:t>Katholisches</w:t>
      </w:r>
      <w:proofErr w:type="spellEnd"/>
      <w:r w:rsidRPr="007D4C6B">
        <w:t xml:space="preserve"> </w:t>
      </w:r>
      <w:proofErr w:type="spellStart"/>
      <w:r w:rsidRPr="007D4C6B">
        <w:t>Bibelwerk</w:t>
      </w:r>
      <w:proofErr w:type="spellEnd"/>
      <w:r w:rsidRPr="007D4C6B">
        <w:rPr>
          <w:iCs/>
        </w:rPr>
        <w:t xml:space="preserve">, </w:t>
      </w:r>
      <w:r w:rsidRPr="007D4C6B">
        <w:t>1975.</w:t>
      </w:r>
    </w:p>
    <w:p w14:paraId="21C20A61" w14:textId="77777777" w:rsidR="00B47A48" w:rsidRPr="007D4C6B" w:rsidRDefault="00B47A48" w:rsidP="00B47A48">
      <w:pPr>
        <w:widowControl w:val="0"/>
        <w:ind w:left="720" w:hanging="720"/>
      </w:pPr>
      <w:r w:rsidRPr="007D4C6B">
        <w:t>Schramm</w:t>
      </w:r>
      <w:r w:rsidRPr="007D4C6B">
        <w:rPr>
          <w:iCs/>
        </w:rPr>
        <w:t xml:space="preserve">, </w:t>
      </w:r>
      <w:r w:rsidRPr="007D4C6B">
        <w:t xml:space="preserve">Tim. </w:t>
      </w:r>
      <w:r w:rsidRPr="007D4C6B">
        <w:rPr>
          <w:i/>
        </w:rPr>
        <w:t xml:space="preserve">Der Markus-Stoff </w:t>
      </w:r>
      <w:proofErr w:type="spellStart"/>
      <w:r w:rsidRPr="007D4C6B">
        <w:rPr>
          <w:i/>
        </w:rPr>
        <w:t>bei</w:t>
      </w:r>
      <w:proofErr w:type="spellEnd"/>
      <w:r w:rsidRPr="007D4C6B">
        <w:rPr>
          <w:i/>
        </w:rPr>
        <w:t xml:space="preserve"> Lukas</w:t>
      </w:r>
      <w:r w:rsidRPr="007D4C6B">
        <w:t xml:space="preserve">: </w:t>
      </w:r>
      <w:r w:rsidRPr="007D4C6B">
        <w:rPr>
          <w:i/>
        </w:rPr>
        <w:t xml:space="preserve">Eine </w:t>
      </w:r>
      <w:proofErr w:type="spellStart"/>
      <w:r w:rsidRPr="007D4C6B">
        <w:rPr>
          <w:i/>
        </w:rPr>
        <w:t>literarkritische</w:t>
      </w:r>
      <w:proofErr w:type="spellEnd"/>
      <w:r w:rsidRPr="007D4C6B">
        <w:rPr>
          <w:i/>
        </w:rPr>
        <w:t xml:space="preserve"> und </w:t>
      </w:r>
      <w:proofErr w:type="spellStart"/>
      <w:r w:rsidRPr="007D4C6B">
        <w:rPr>
          <w:i/>
        </w:rPr>
        <w:t>redaktionsgeschichtliche</w:t>
      </w:r>
      <w:proofErr w:type="spellEnd"/>
      <w:r w:rsidRPr="007D4C6B">
        <w:rPr>
          <w:i/>
        </w:rPr>
        <w:t xml:space="preserve"> </w:t>
      </w:r>
      <w:proofErr w:type="spellStart"/>
      <w:r w:rsidRPr="007D4C6B">
        <w:rPr>
          <w:i/>
        </w:rPr>
        <w:t>Untersuchung</w:t>
      </w:r>
      <w:proofErr w:type="spellEnd"/>
      <w:r w:rsidRPr="007D4C6B">
        <w:t xml:space="preserve">. </w:t>
      </w:r>
      <w:r w:rsidRPr="00E366BA">
        <w:rPr>
          <w:iCs/>
        </w:rPr>
        <w:t>Cambridge: CUP</w:t>
      </w:r>
      <w:r w:rsidRPr="007D4C6B">
        <w:rPr>
          <w:iCs/>
        </w:rPr>
        <w:t xml:space="preserve">, </w:t>
      </w:r>
      <w:r w:rsidRPr="007D4C6B">
        <w:t>1971.</w:t>
      </w:r>
    </w:p>
    <w:p w14:paraId="2C14E862" w14:textId="77777777" w:rsidR="00B47A48" w:rsidRPr="007D4C6B" w:rsidRDefault="00B47A48" w:rsidP="00B47A48">
      <w:pPr>
        <w:widowControl w:val="0"/>
        <w:ind w:left="720" w:hanging="720"/>
      </w:pPr>
      <w:r w:rsidRPr="007D4C6B">
        <w:t>Schürmann</w:t>
      </w:r>
      <w:r w:rsidRPr="007D4C6B">
        <w:rPr>
          <w:iCs/>
        </w:rPr>
        <w:t xml:space="preserve">, </w:t>
      </w:r>
      <w:r w:rsidRPr="007D4C6B">
        <w:t xml:space="preserve">H. </w:t>
      </w:r>
      <w:r w:rsidRPr="007D4C6B">
        <w:rPr>
          <w:i/>
        </w:rPr>
        <w:t xml:space="preserve">Das </w:t>
      </w:r>
      <w:proofErr w:type="spellStart"/>
      <w:r w:rsidRPr="007D4C6B">
        <w:rPr>
          <w:i/>
        </w:rPr>
        <w:t>Lukasevangelium</w:t>
      </w:r>
      <w:proofErr w:type="spellEnd"/>
      <w:r w:rsidRPr="007D4C6B">
        <w:t xml:space="preserve">: </w:t>
      </w:r>
      <w:proofErr w:type="spellStart"/>
      <w:r w:rsidRPr="007D4C6B">
        <w:rPr>
          <w:i/>
        </w:rPr>
        <w:t>Erster</w:t>
      </w:r>
      <w:proofErr w:type="spellEnd"/>
      <w:r w:rsidRPr="007D4C6B">
        <w:rPr>
          <w:i/>
        </w:rPr>
        <w:t xml:space="preserve"> Teil</w:t>
      </w:r>
      <w:r w:rsidRPr="007D4C6B">
        <w:t xml:space="preserve">: </w:t>
      </w:r>
      <w:proofErr w:type="spellStart"/>
      <w:r w:rsidRPr="007D4C6B">
        <w:rPr>
          <w:i/>
        </w:rPr>
        <w:t>Kommentar</w:t>
      </w:r>
      <w:proofErr w:type="spellEnd"/>
      <w:r w:rsidRPr="007D4C6B">
        <w:rPr>
          <w:i/>
        </w:rPr>
        <w:t xml:space="preserve"> </w:t>
      </w:r>
      <w:proofErr w:type="spellStart"/>
      <w:r w:rsidRPr="007D4C6B">
        <w:rPr>
          <w:i/>
        </w:rPr>
        <w:t>zu</w:t>
      </w:r>
      <w:proofErr w:type="spellEnd"/>
      <w:r w:rsidRPr="007D4C6B">
        <w:rPr>
          <w:i/>
        </w:rPr>
        <w:t xml:space="preserve"> Kap</w:t>
      </w:r>
      <w:r w:rsidRPr="007D4C6B">
        <w:t xml:space="preserve">. </w:t>
      </w:r>
      <w:r w:rsidRPr="007D4C6B">
        <w:rPr>
          <w:i/>
        </w:rPr>
        <w:t>1</w:t>
      </w:r>
      <w:r w:rsidRPr="007D4C6B">
        <w:rPr>
          <w:iCs/>
        </w:rPr>
        <w:t xml:space="preserve">, </w:t>
      </w:r>
      <w:r w:rsidRPr="007D4C6B">
        <w:rPr>
          <w:i/>
        </w:rPr>
        <w:t>1-9</w:t>
      </w:r>
      <w:r w:rsidRPr="007D4C6B">
        <w:rPr>
          <w:iCs/>
        </w:rPr>
        <w:t xml:space="preserve">, </w:t>
      </w:r>
      <w:r w:rsidRPr="007D4C6B">
        <w:rPr>
          <w:i/>
        </w:rPr>
        <w:t>50</w:t>
      </w:r>
      <w:r w:rsidRPr="007D4C6B">
        <w:t xml:space="preserve">. Herders </w:t>
      </w:r>
      <w:proofErr w:type="spellStart"/>
      <w:r w:rsidRPr="007D4C6B">
        <w:t>theologischer</w:t>
      </w:r>
      <w:proofErr w:type="spellEnd"/>
      <w:r w:rsidRPr="007D4C6B">
        <w:t xml:space="preserve"> </w:t>
      </w:r>
      <w:proofErr w:type="spellStart"/>
      <w:r w:rsidRPr="007D4C6B">
        <w:t>Kommentar</w:t>
      </w:r>
      <w:proofErr w:type="spellEnd"/>
      <w:r w:rsidRPr="007D4C6B">
        <w:t xml:space="preserve"> </w:t>
      </w:r>
      <w:proofErr w:type="spellStart"/>
      <w:r w:rsidRPr="007D4C6B">
        <w:t>zum</w:t>
      </w:r>
      <w:proofErr w:type="spellEnd"/>
      <w:r w:rsidRPr="007D4C6B">
        <w:t xml:space="preserve"> Neuen Testament 3/1. Freiburg: Herder</w:t>
      </w:r>
      <w:r w:rsidRPr="007D4C6B">
        <w:rPr>
          <w:iCs/>
        </w:rPr>
        <w:t xml:space="preserve">, </w:t>
      </w:r>
      <w:r w:rsidRPr="007D4C6B">
        <w:t>1969.</w:t>
      </w:r>
    </w:p>
    <w:p w14:paraId="3923B378" w14:textId="77777777" w:rsidR="00B47A48" w:rsidRPr="007D4C6B" w:rsidRDefault="00B47A48" w:rsidP="00B47A48">
      <w:pPr>
        <w:widowControl w:val="0"/>
        <w:ind w:left="720" w:hanging="720"/>
      </w:pPr>
      <w:r w:rsidRPr="007D4C6B">
        <w:t>Schütz</w:t>
      </w:r>
      <w:r w:rsidRPr="007D4C6B">
        <w:rPr>
          <w:iCs/>
        </w:rPr>
        <w:t xml:space="preserve">, </w:t>
      </w:r>
      <w:r w:rsidRPr="007D4C6B">
        <w:t xml:space="preserve">Frieder. </w:t>
      </w:r>
      <w:r w:rsidRPr="007D4C6B">
        <w:rPr>
          <w:i/>
        </w:rPr>
        <w:t xml:space="preserve">Der </w:t>
      </w:r>
      <w:proofErr w:type="spellStart"/>
      <w:r w:rsidRPr="007D4C6B">
        <w:rPr>
          <w:i/>
        </w:rPr>
        <w:t>leidende</w:t>
      </w:r>
      <w:proofErr w:type="spellEnd"/>
      <w:r w:rsidRPr="007D4C6B">
        <w:rPr>
          <w:i/>
        </w:rPr>
        <w:t xml:space="preserve"> Christus</w:t>
      </w:r>
      <w:r w:rsidRPr="007D4C6B">
        <w:t xml:space="preserve">: </w:t>
      </w:r>
      <w:r w:rsidRPr="007D4C6B">
        <w:rPr>
          <w:i/>
        </w:rPr>
        <w:t xml:space="preserve">Die </w:t>
      </w:r>
      <w:proofErr w:type="spellStart"/>
      <w:r w:rsidRPr="007D4C6B">
        <w:rPr>
          <w:i/>
        </w:rPr>
        <w:t>angefochtene</w:t>
      </w:r>
      <w:proofErr w:type="spellEnd"/>
      <w:r w:rsidRPr="007D4C6B">
        <w:rPr>
          <w:i/>
        </w:rPr>
        <w:t xml:space="preserve"> Gemeinde und das </w:t>
      </w:r>
      <w:proofErr w:type="spellStart"/>
      <w:r w:rsidRPr="007D4C6B">
        <w:rPr>
          <w:i/>
        </w:rPr>
        <w:t>Christuskerygma</w:t>
      </w:r>
      <w:proofErr w:type="spellEnd"/>
      <w:r w:rsidRPr="007D4C6B">
        <w:rPr>
          <w:i/>
        </w:rPr>
        <w:t xml:space="preserve"> der </w:t>
      </w:r>
      <w:proofErr w:type="spellStart"/>
      <w:r w:rsidRPr="007D4C6B">
        <w:rPr>
          <w:i/>
        </w:rPr>
        <w:t>lukanischen</w:t>
      </w:r>
      <w:proofErr w:type="spellEnd"/>
      <w:r w:rsidRPr="007D4C6B">
        <w:rPr>
          <w:i/>
        </w:rPr>
        <w:t xml:space="preserve"> </w:t>
      </w:r>
      <w:proofErr w:type="spellStart"/>
      <w:r w:rsidRPr="007D4C6B">
        <w:rPr>
          <w:i/>
        </w:rPr>
        <w:t>Schriften</w:t>
      </w:r>
      <w:proofErr w:type="spellEnd"/>
      <w:r w:rsidRPr="007D4C6B">
        <w:t xml:space="preserve">. </w:t>
      </w:r>
      <w:proofErr w:type="spellStart"/>
      <w:r w:rsidRPr="00541BA8">
        <w:t>Beiträge</w:t>
      </w:r>
      <w:proofErr w:type="spellEnd"/>
      <w:r w:rsidRPr="00541BA8">
        <w:t xml:space="preserve"> </w:t>
      </w:r>
      <w:proofErr w:type="spellStart"/>
      <w:r w:rsidRPr="00541BA8">
        <w:t>zur</w:t>
      </w:r>
      <w:proofErr w:type="spellEnd"/>
      <w:r w:rsidRPr="00541BA8">
        <w:t xml:space="preserve"> Wissenschaft </w:t>
      </w:r>
      <w:proofErr w:type="spellStart"/>
      <w:r w:rsidRPr="00541BA8">
        <w:t>vom</w:t>
      </w:r>
      <w:proofErr w:type="spellEnd"/>
      <w:r w:rsidRPr="00541BA8">
        <w:t xml:space="preserve"> </w:t>
      </w:r>
      <w:proofErr w:type="spellStart"/>
      <w:r w:rsidRPr="00541BA8">
        <w:t>Alten</w:t>
      </w:r>
      <w:proofErr w:type="spellEnd"/>
      <w:r w:rsidRPr="00541BA8">
        <w:t xml:space="preserve"> und Neuen Testament</w:t>
      </w:r>
      <w:r w:rsidRPr="007D4C6B">
        <w:t xml:space="preserve"> (5th series) 9 (vol. 89 of the total volumes). Stuttgart: Kohlhammer</w:t>
      </w:r>
      <w:r w:rsidRPr="007D4C6B">
        <w:rPr>
          <w:iCs/>
        </w:rPr>
        <w:t xml:space="preserve">, </w:t>
      </w:r>
      <w:r w:rsidRPr="007D4C6B">
        <w:t>1969.</w:t>
      </w:r>
    </w:p>
    <w:p w14:paraId="29A8E174" w14:textId="77777777" w:rsidR="00B47A48" w:rsidRPr="007D4C6B" w:rsidRDefault="00B47A48" w:rsidP="00B47A48">
      <w:pPr>
        <w:widowControl w:val="0"/>
        <w:ind w:left="720" w:hanging="720"/>
      </w:pPr>
      <w:r w:rsidRPr="007D4C6B">
        <w:t>Schwarz</w:t>
      </w:r>
      <w:r w:rsidRPr="007D4C6B">
        <w:rPr>
          <w:iCs/>
        </w:rPr>
        <w:t xml:space="preserve">, </w:t>
      </w:r>
      <w:r w:rsidRPr="007D4C6B">
        <w:t>Günther. “</w:t>
      </w:r>
      <w:r w:rsidRPr="007D4C6B">
        <w:rPr>
          <w:i/>
        </w:rPr>
        <w:t>Kalon to alas</w:t>
      </w:r>
      <w:r w:rsidRPr="007D4C6B">
        <w:t xml:space="preserve">.” </w:t>
      </w:r>
      <w:r w:rsidRPr="007D4C6B">
        <w:rPr>
          <w:i/>
        </w:rPr>
        <w:t>BN</w:t>
      </w:r>
      <w:r w:rsidRPr="007D4C6B">
        <w:t xml:space="preserve"> 7 (1978) 32-35.</w:t>
      </w:r>
    </w:p>
    <w:p w14:paraId="4EDDF755" w14:textId="77777777" w:rsidR="00B47A48" w:rsidRPr="007D4C6B" w:rsidRDefault="00B47A48" w:rsidP="00B47A48">
      <w:pPr>
        <w:widowControl w:val="0"/>
        <w:ind w:left="720" w:hanging="720"/>
      </w:pPr>
      <w:r w:rsidRPr="007D4C6B">
        <w:t>Schwarz</w:t>
      </w:r>
      <w:r w:rsidRPr="007D4C6B">
        <w:rPr>
          <w:iCs/>
        </w:rPr>
        <w:t xml:space="preserve">, </w:t>
      </w:r>
      <w:r w:rsidRPr="007D4C6B">
        <w:t xml:space="preserve">Günther. “Lukas 6 22a. 23c. 26.” </w:t>
      </w:r>
      <w:proofErr w:type="spellStart"/>
      <w:r w:rsidRPr="00CA0334">
        <w:rPr>
          <w:i/>
          <w:iCs/>
        </w:rPr>
        <w:t>Zeitschrift</w:t>
      </w:r>
      <w:proofErr w:type="spellEnd"/>
      <w:r w:rsidRPr="00CA0334">
        <w:rPr>
          <w:i/>
          <w:iCs/>
        </w:rPr>
        <w:t xml:space="preserve"> für die </w:t>
      </w:r>
      <w:proofErr w:type="spellStart"/>
      <w:r w:rsidRPr="00CA0334">
        <w:rPr>
          <w:i/>
          <w:iCs/>
        </w:rPr>
        <w:t>neutestamentliche</w:t>
      </w:r>
      <w:proofErr w:type="spellEnd"/>
      <w:r w:rsidRPr="00CA0334">
        <w:rPr>
          <w:i/>
          <w:iCs/>
        </w:rPr>
        <w:t xml:space="preserve"> Wissenschaft</w:t>
      </w:r>
      <w:r w:rsidRPr="007D4C6B">
        <w:t xml:space="preserve"> 66 (1975) 269-74.</w:t>
      </w:r>
    </w:p>
    <w:p w14:paraId="346649B4" w14:textId="77777777" w:rsidR="00B47A48" w:rsidRPr="007D4C6B" w:rsidRDefault="00B47A48" w:rsidP="00B47A48">
      <w:pPr>
        <w:widowControl w:val="0"/>
        <w:ind w:left="720" w:hanging="720"/>
      </w:pPr>
      <w:r w:rsidRPr="007D4C6B">
        <w:t>Schwarz</w:t>
      </w:r>
      <w:r w:rsidRPr="007D4C6B">
        <w:rPr>
          <w:iCs/>
        </w:rPr>
        <w:t xml:space="preserve">, </w:t>
      </w:r>
      <w:r w:rsidRPr="007D4C6B">
        <w:t>Günther. “</w:t>
      </w:r>
      <w:r w:rsidRPr="00CE06CA">
        <w:rPr>
          <w:bCs/>
          <w:szCs w:val="22"/>
          <w:lang w:val="el-GR"/>
        </w:rPr>
        <w:t>Μηδὲν ἀπελπίζοντες</w:t>
      </w:r>
      <w:r w:rsidRPr="007D4C6B">
        <w:t xml:space="preserve"> [Lk 6,35].” </w:t>
      </w:r>
      <w:proofErr w:type="spellStart"/>
      <w:r w:rsidRPr="00CA0334">
        <w:rPr>
          <w:i/>
          <w:iCs/>
        </w:rPr>
        <w:t>Zeitschrift</w:t>
      </w:r>
      <w:proofErr w:type="spellEnd"/>
      <w:r w:rsidRPr="00CA0334">
        <w:rPr>
          <w:i/>
          <w:iCs/>
        </w:rPr>
        <w:t xml:space="preserve"> für die </w:t>
      </w:r>
      <w:proofErr w:type="spellStart"/>
      <w:r w:rsidRPr="00CA0334">
        <w:rPr>
          <w:i/>
          <w:iCs/>
        </w:rPr>
        <w:t>neutestamentliche</w:t>
      </w:r>
      <w:proofErr w:type="spellEnd"/>
      <w:r w:rsidRPr="00CA0334">
        <w:rPr>
          <w:i/>
          <w:iCs/>
        </w:rPr>
        <w:t xml:space="preserve"> Wissenschaft</w:t>
      </w:r>
      <w:r w:rsidRPr="007D4C6B">
        <w:t xml:space="preserve"> 71 (1980) 133-35.</w:t>
      </w:r>
    </w:p>
    <w:p w14:paraId="53263F5A" w14:textId="77777777" w:rsidR="00B47A48" w:rsidRPr="007D4C6B" w:rsidRDefault="00B47A48" w:rsidP="00B47A48">
      <w:pPr>
        <w:widowControl w:val="0"/>
        <w:ind w:left="720" w:hanging="720"/>
      </w:pPr>
      <w:r w:rsidRPr="007D4C6B">
        <w:t>Schweizer</w:t>
      </w:r>
      <w:r w:rsidRPr="007D4C6B">
        <w:rPr>
          <w:iCs/>
        </w:rPr>
        <w:t xml:space="preserve">, </w:t>
      </w:r>
      <w:r w:rsidRPr="007D4C6B">
        <w:t xml:space="preserve">Eduard. </w:t>
      </w:r>
      <w:r w:rsidRPr="007D4C6B">
        <w:rPr>
          <w:i/>
        </w:rPr>
        <w:t>The Good News According to Luke</w:t>
      </w:r>
      <w:r w:rsidRPr="007D4C6B">
        <w:t xml:space="preserve">. Trans. David E. Green. London: </w:t>
      </w:r>
      <w:r w:rsidRPr="00E366BA">
        <w:rPr>
          <w:iCs/>
        </w:rPr>
        <w:t>SPCK</w:t>
      </w:r>
      <w:r w:rsidRPr="007D4C6B">
        <w:t xml:space="preserve">; </w:t>
      </w:r>
      <w:r w:rsidRPr="00E366BA">
        <w:rPr>
          <w:iCs/>
        </w:rPr>
        <w:t>Atlanta GA</w:t>
      </w:r>
      <w:r w:rsidRPr="007D4C6B">
        <w:t>: John Knox</w:t>
      </w:r>
      <w:r w:rsidRPr="007D4C6B">
        <w:rPr>
          <w:iCs/>
        </w:rPr>
        <w:t xml:space="preserve">, </w:t>
      </w:r>
      <w:r w:rsidRPr="007D4C6B">
        <w:t xml:space="preserve">1984. </w:t>
      </w:r>
      <w:r>
        <w:t>(</w:t>
      </w:r>
      <w:r w:rsidRPr="007D4C6B">
        <w:rPr>
          <w:i/>
        </w:rPr>
        <w:t xml:space="preserve">Das Evangelium </w:t>
      </w:r>
      <w:proofErr w:type="spellStart"/>
      <w:r w:rsidRPr="007D4C6B">
        <w:rPr>
          <w:i/>
        </w:rPr>
        <w:t>nach</w:t>
      </w:r>
      <w:proofErr w:type="spellEnd"/>
      <w:r w:rsidRPr="007D4C6B">
        <w:rPr>
          <w:i/>
        </w:rPr>
        <w:t xml:space="preserve"> Lukas</w:t>
      </w:r>
      <w:r>
        <w:rPr>
          <w:iCs/>
        </w:rPr>
        <w:t xml:space="preserve">. </w:t>
      </w:r>
      <w:r w:rsidRPr="00214BC2">
        <w:rPr>
          <w:iCs/>
        </w:rPr>
        <w:t xml:space="preserve">Das Neue Testament Deutsch </w:t>
      </w:r>
      <w:r>
        <w:rPr>
          <w:iCs/>
        </w:rPr>
        <w:lastRenderedPageBreak/>
        <w:t>3.</w:t>
      </w:r>
      <w:r w:rsidRPr="007D4C6B">
        <w:rPr>
          <w:iCs/>
        </w:rPr>
        <w:t xml:space="preserve"> </w:t>
      </w:r>
      <w:r w:rsidRPr="007D4C6B">
        <w:t xml:space="preserve">Göttingen: </w:t>
      </w:r>
      <w:proofErr w:type="spellStart"/>
      <w:r w:rsidRPr="00D42DB3">
        <w:rPr>
          <w:iCs/>
        </w:rPr>
        <w:t>Vandenhoeck</w:t>
      </w:r>
      <w:proofErr w:type="spellEnd"/>
      <w:r w:rsidRPr="00D42DB3">
        <w:rPr>
          <w:iCs/>
        </w:rPr>
        <w:t xml:space="preserve"> und Ruprecht</w:t>
      </w:r>
      <w:r>
        <w:rPr>
          <w:iCs/>
        </w:rPr>
        <w:t>, 1982</w:t>
      </w:r>
      <w:r w:rsidRPr="007D4C6B">
        <w:t>.</w:t>
      </w:r>
      <w:r>
        <w:t>)</w:t>
      </w:r>
    </w:p>
    <w:p w14:paraId="7D594C0A" w14:textId="77777777" w:rsidR="00B47A48" w:rsidRPr="007D4C6B" w:rsidRDefault="00B47A48" w:rsidP="00B47A48">
      <w:pPr>
        <w:widowControl w:val="0"/>
        <w:ind w:left="720" w:hanging="720"/>
      </w:pPr>
      <w:r w:rsidRPr="007D4C6B">
        <w:t>Simon</w:t>
      </w:r>
      <w:r w:rsidRPr="007D4C6B">
        <w:rPr>
          <w:iCs/>
        </w:rPr>
        <w:t xml:space="preserve">, </w:t>
      </w:r>
      <w:r w:rsidRPr="007D4C6B">
        <w:t xml:space="preserve">Marcel. </w:t>
      </w:r>
      <w:r w:rsidRPr="007D4C6B">
        <w:rPr>
          <w:i/>
        </w:rPr>
        <w:t>St Stephen and the Hellenists in the Primitive Church</w:t>
      </w:r>
      <w:r w:rsidRPr="007D4C6B">
        <w:t>. London: Longmans</w:t>
      </w:r>
      <w:r w:rsidRPr="007D4C6B">
        <w:rPr>
          <w:iCs/>
        </w:rPr>
        <w:t xml:space="preserve">, </w:t>
      </w:r>
      <w:r w:rsidRPr="007D4C6B">
        <w:t>Green</w:t>
      </w:r>
      <w:r w:rsidRPr="007D4C6B">
        <w:rPr>
          <w:iCs/>
        </w:rPr>
        <w:t xml:space="preserve">, </w:t>
      </w:r>
      <w:r w:rsidRPr="007D4C6B">
        <w:t>1958.</w:t>
      </w:r>
    </w:p>
    <w:p w14:paraId="65C70E7F" w14:textId="77777777" w:rsidR="00B47A48" w:rsidRPr="007D4C6B" w:rsidRDefault="00B47A48" w:rsidP="00B47A48">
      <w:pPr>
        <w:widowControl w:val="0"/>
        <w:ind w:left="720" w:hanging="720"/>
      </w:pPr>
      <w:r w:rsidRPr="007D4C6B">
        <w:t>Sparks</w:t>
      </w:r>
      <w:r w:rsidRPr="007D4C6B">
        <w:rPr>
          <w:iCs/>
        </w:rPr>
        <w:t xml:space="preserve">, </w:t>
      </w:r>
      <w:r w:rsidRPr="007D4C6B">
        <w:t xml:space="preserve">Hedley </w:t>
      </w:r>
      <w:r w:rsidRPr="00214BC2">
        <w:rPr>
          <w:iCs/>
        </w:rPr>
        <w:t>F.D.</w:t>
      </w:r>
      <w:r w:rsidRPr="007D4C6B">
        <w:t xml:space="preserve"> “The Partiality of Luke for ‘Three’ and Its Bearing on the Original of Q.” </w:t>
      </w:r>
      <w:r w:rsidRPr="00214BC2">
        <w:rPr>
          <w:i/>
          <w:iCs/>
        </w:rPr>
        <w:t>Journal of Theological Studies</w:t>
      </w:r>
      <w:r w:rsidRPr="007D4C6B">
        <w:t xml:space="preserve"> 37 (1936) 142-45.</w:t>
      </w:r>
    </w:p>
    <w:p w14:paraId="20840983" w14:textId="77777777" w:rsidR="00B47A48" w:rsidRPr="007D4C6B" w:rsidRDefault="00B47A48" w:rsidP="00B47A48">
      <w:pPr>
        <w:widowControl w:val="0"/>
        <w:ind w:left="720" w:hanging="720"/>
      </w:pPr>
      <w:r w:rsidRPr="007D4C6B">
        <w:t>Stöger</w:t>
      </w:r>
      <w:r w:rsidRPr="007D4C6B">
        <w:rPr>
          <w:iCs/>
        </w:rPr>
        <w:t xml:space="preserve">, </w:t>
      </w:r>
      <w:r w:rsidRPr="007D4C6B">
        <w:t xml:space="preserve">Alois. </w:t>
      </w:r>
      <w:r w:rsidRPr="007D4C6B">
        <w:rPr>
          <w:i/>
        </w:rPr>
        <w:t>The Gospel According to St</w:t>
      </w:r>
      <w:r w:rsidRPr="007D4C6B">
        <w:t xml:space="preserve">. </w:t>
      </w:r>
      <w:r w:rsidRPr="007D4C6B">
        <w:rPr>
          <w:i/>
        </w:rPr>
        <w:t>Luke</w:t>
      </w:r>
      <w:r w:rsidRPr="007D4C6B">
        <w:t>. Trans. Bene Fahy. New Testament for Spiritual Reading</w:t>
      </w:r>
      <w:r>
        <w:rPr>
          <w:iCs/>
        </w:rPr>
        <w:t>, e</w:t>
      </w:r>
      <w:r w:rsidRPr="00DC3006">
        <w:rPr>
          <w:iCs/>
        </w:rPr>
        <w:t xml:space="preserve">d. </w:t>
      </w:r>
      <w:r w:rsidRPr="007D4C6B">
        <w:t>John L. McKenzie</w:t>
      </w:r>
      <w:r>
        <w:rPr>
          <w:iCs/>
        </w:rPr>
        <w:t>,</w:t>
      </w:r>
      <w:r w:rsidRPr="007D4C6B">
        <w:rPr>
          <w:iCs/>
        </w:rPr>
        <w:t xml:space="preserve"> </w:t>
      </w:r>
      <w:r w:rsidRPr="007D4C6B">
        <w:t xml:space="preserve">vols. 5-6. 2 vols. London: </w:t>
      </w:r>
      <w:r w:rsidRPr="0029762C">
        <w:rPr>
          <w:iCs/>
        </w:rPr>
        <w:t>Burns and Oates</w:t>
      </w:r>
      <w:r w:rsidRPr="007D4C6B">
        <w:t xml:space="preserve">; </w:t>
      </w:r>
      <w:r w:rsidRPr="0029762C">
        <w:rPr>
          <w:iCs/>
        </w:rPr>
        <w:t>New York: Herder and Herder</w:t>
      </w:r>
      <w:r w:rsidRPr="007D4C6B">
        <w:rPr>
          <w:iCs/>
        </w:rPr>
        <w:t xml:space="preserve">, </w:t>
      </w:r>
      <w:r w:rsidRPr="007D4C6B">
        <w:t xml:space="preserve">1969. </w:t>
      </w:r>
      <w:r>
        <w:t>(</w:t>
      </w:r>
      <w:r w:rsidRPr="007D4C6B">
        <w:rPr>
          <w:i/>
        </w:rPr>
        <w:t xml:space="preserve">Das Evangelium </w:t>
      </w:r>
      <w:proofErr w:type="spellStart"/>
      <w:r w:rsidRPr="007D4C6B">
        <w:rPr>
          <w:i/>
        </w:rPr>
        <w:t>nach</w:t>
      </w:r>
      <w:proofErr w:type="spellEnd"/>
      <w:r w:rsidRPr="007D4C6B">
        <w:rPr>
          <w:i/>
        </w:rPr>
        <w:t xml:space="preserve"> Lukas</w:t>
      </w:r>
      <w:r>
        <w:rPr>
          <w:iCs/>
        </w:rPr>
        <w:t>.</w:t>
      </w:r>
      <w:r w:rsidRPr="007D4C6B">
        <w:rPr>
          <w:iCs/>
        </w:rPr>
        <w:t xml:space="preserve"> </w:t>
      </w:r>
      <w:proofErr w:type="spellStart"/>
      <w:r w:rsidRPr="007D4C6B">
        <w:t>Geistliche</w:t>
      </w:r>
      <w:proofErr w:type="spellEnd"/>
      <w:r w:rsidRPr="007D4C6B">
        <w:t xml:space="preserve"> </w:t>
      </w:r>
      <w:proofErr w:type="spellStart"/>
      <w:r w:rsidRPr="007D4C6B">
        <w:t>Schriftlesung</w:t>
      </w:r>
      <w:proofErr w:type="spellEnd"/>
      <w:r w:rsidRPr="007D4C6B">
        <w:t xml:space="preserve"> 3/1-2</w:t>
      </w:r>
      <w:r>
        <w:rPr>
          <w:iCs/>
        </w:rPr>
        <w:t>.</w:t>
      </w:r>
      <w:r w:rsidRPr="007D4C6B">
        <w:rPr>
          <w:iCs/>
        </w:rPr>
        <w:t xml:space="preserve"> </w:t>
      </w:r>
      <w:r w:rsidRPr="007D4C6B">
        <w:t>Düsseldorf: Patmos</w:t>
      </w:r>
      <w:r w:rsidRPr="007D4C6B">
        <w:rPr>
          <w:iCs/>
        </w:rPr>
        <w:t xml:space="preserve">, </w:t>
      </w:r>
      <w:r w:rsidRPr="007D4C6B">
        <w:t xml:space="preserve">1964 </w:t>
      </w:r>
      <w:r>
        <w:t>[</w:t>
      </w:r>
      <w:r w:rsidRPr="007D4C6B">
        <w:t>vol. 1</w:t>
      </w:r>
      <w:r>
        <w:t>]</w:t>
      </w:r>
      <w:r w:rsidRPr="007D4C6B">
        <w:rPr>
          <w:iCs/>
        </w:rPr>
        <w:t xml:space="preserve">, </w:t>
      </w:r>
      <w:r w:rsidRPr="007D4C6B">
        <w:t xml:space="preserve">1966 </w:t>
      </w:r>
      <w:r>
        <w:t>[</w:t>
      </w:r>
      <w:r w:rsidRPr="007D4C6B">
        <w:t>vol. 2</w:t>
      </w:r>
      <w:r>
        <w:t>]</w:t>
      </w:r>
      <w:r w:rsidRPr="007D4C6B">
        <w:t>.</w:t>
      </w:r>
      <w:r>
        <w:t>)</w:t>
      </w:r>
    </w:p>
    <w:p w14:paraId="046DA53C" w14:textId="77777777" w:rsidR="00B47A48" w:rsidRPr="007D4C6B" w:rsidRDefault="00B47A48" w:rsidP="00B47A48">
      <w:pPr>
        <w:widowControl w:val="0"/>
        <w:ind w:left="720" w:hanging="720"/>
      </w:pPr>
      <w:r w:rsidRPr="007D4C6B">
        <w:t>Swartley</w:t>
      </w:r>
      <w:r w:rsidRPr="007D4C6B">
        <w:rPr>
          <w:iCs/>
        </w:rPr>
        <w:t xml:space="preserve">, </w:t>
      </w:r>
      <w:r w:rsidRPr="007D4C6B">
        <w:t>Willard M. “Politics and Peace (</w:t>
      </w:r>
      <w:proofErr w:type="spellStart"/>
      <w:r w:rsidRPr="007D4C6B">
        <w:rPr>
          <w:i/>
        </w:rPr>
        <w:t>Eir</w:t>
      </w:r>
      <w:r>
        <w:rPr>
          <w:i/>
        </w:rPr>
        <w:t>ē</w:t>
      </w:r>
      <w:r w:rsidRPr="007D4C6B">
        <w:rPr>
          <w:i/>
        </w:rPr>
        <w:t>n</w:t>
      </w:r>
      <w:r>
        <w:rPr>
          <w:i/>
        </w:rPr>
        <w:t>ē</w:t>
      </w:r>
      <w:proofErr w:type="spellEnd"/>
      <w:r w:rsidRPr="007D4C6B">
        <w:t xml:space="preserve">) in Luke’s Gospel.” In </w:t>
      </w:r>
      <w:r w:rsidRPr="007D4C6B">
        <w:rPr>
          <w:i/>
        </w:rPr>
        <w:t>Political Issues in Luke-Acts</w:t>
      </w:r>
      <w:r>
        <w:rPr>
          <w:iCs/>
        </w:rPr>
        <w:t>.</w:t>
      </w:r>
      <w:r w:rsidRPr="007D4C6B">
        <w:rPr>
          <w:iCs/>
        </w:rPr>
        <w:t xml:space="preserve"> </w:t>
      </w:r>
      <w:r>
        <w:t xml:space="preserve">Ed. </w:t>
      </w:r>
      <w:r w:rsidRPr="007D4C6B">
        <w:t xml:space="preserve">Richard J. Cassidy and Philip J. </w:t>
      </w:r>
      <w:proofErr w:type="spellStart"/>
      <w:r w:rsidRPr="007D4C6B">
        <w:t>Scharper</w:t>
      </w:r>
      <w:proofErr w:type="spellEnd"/>
      <w:r w:rsidRPr="007D4C6B">
        <w:t xml:space="preserve">. </w:t>
      </w:r>
      <w:r w:rsidRPr="00E366BA">
        <w:rPr>
          <w:iCs/>
        </w:rPr>
        <w:t>Maryknoll NY</w:t>
      </w:r>
      <w:r w:rsidRPr="007D4C6B">
        <w:t xml:space="preserve">: </w:t>
      </w:r>
      <w:r w:rsidRPr="00E366BA">
        <w:rPr>
          <w:iCs/>
        </w:rPr>
        <w:t>Orbis</w:t>
      </w:r>
      <w:r w:rsidRPr="007D4C6B">
        <w:rPr>
          <w:iCs/>
        </w:rPr>
        <w:t xml:space="preserve">, </w:t>
      </w:r>
      <w:r w:rsidRPr="007D4C6B">
        <w:t>1983.</w:t>
      </w:r>
    </w:p>
    <w:p w14:paraId="7D689C93" w14:textId="77777777" w:rsidR="00B47A48" w:rsidRPr="007D4C6B" w:rsidRDefault="00B47A48" w:rsidP="00B47A48">
      <w:pPr>
        <w:widowControl w:val="0"/>
        <w:ind w:left="720" w:hanging="720"/>
      </w:pPr>
      <w:r w:rsidRPr="007D4C6B">
        <w:t>Sylva</w:t>
      </w:r>
      <w:r w:rsidRPr="007D4C6B">
        <w:rPr>
          <w:iCs/>
        </w:rPr>
        <w:t xml:space="preserve">, </w:t>
      </w:r>
      <w:r w:rsidRPr="007D4C6B">
        <w:t xml:space="preserve">Dennis. “The Temple Curtain and Jesus’ Death in the Gospel of Luke.” </w:t>
      </w:r>
      <w:r>
        <w:rPr>
          <w:i/>
        </w:rPr>
        <w:t>Journal of Biblical Literature</w:t>
      </w:r>
      <w:r w:rsidRPr="007D4C6B">
        <w:t xml:space="preserve"> 105 (1986) 239-50.</w:t>
      </w:r>
    </w:p>
    <w:p w14:paraId="314BB2EE" w14:textId="77777777" w:rsidR="00B47A48" w:rsidRPr="007D4C6B" w:rsidRDefault="00B47A48" w:rsidP="00B47A48">
      <w:pPr>
        <w:widowControl w:val="0"/>
        <w:ind w:left="720" w:hanging="720"/>
      </w:pPr>
      <w:r w:rsidRPr="007D4C6B">
        <w:t>Talbert</w:t>
      </w:r>
      <w:r w:rsidRPr="007D4C6B">
        <w:rPr>
          <w:iCs/>
        </w:rPr>
        <w:t xml:space="preserve">, </w:t>
      </w:r>
      <w:r w:rsidRPr="007D4C6B">
        <w:t xml:space="preserve">Charles H. “An Anti-Gnostic Tendency in Lucan Christology.” </w:t>
      </w:r>
      <w:r>
        <w:rPr>
          <w:i/>
        </w:rPr>
        <w:t>New Testament Studies</w:t>
      </w:r>
      <w:r w:rsidRPr="007D4C6B">
        <w:t xml:space="preserve"> 14 (1967-68) 259-71.</w:t>
      </w:r>
    </w:p>
    <w:p w14:paraId="401C344B" w14:textId="77777777" w:rsidR="00B47A48" w:rsidRPr="007D4C6B" w:rsidRDefault="00B47A48" w:rsidP="00B47A48">
      <w:pPr>
        <w:widowControl w:val="0"/>
        <w:ind w:left="720" w:hanging="720"/>
      </w:pPr>
      <w:r w:rsidRPr="007D4C6B">
        <w:t>Talbert</w:t>
      </w:r>
      <w:r w:rsidRPr="007D4C6B">
        <w:rPr>
          <w:iCs/>
        </w:rPr>
        <w:t xml:space="preserve">, </w:t>
      </w:r>
      <w:r w:rsidRPr="007D4C6B">
        <w:t xml:space="preserve">Charles H. </w:t>
      </w:r>
      <w:r w:rsidRPr="007D4C6B">
        <w:rPr>
          <w:i/>
        </w:rPr>
        <w:t>Literary Patterns</w:t>
      </w:r>
      <w:r w:rsidRPr="007D4C6B">
        <w:rPr>
          <w:iCs/>
        </w:rPr>
        <w:t xml:space="preserve">, </w:t>
      </w:r>
      <w:r w:rsidRPr="007D4C6B">
        <w:rPr>
          <w:i/>
        </w:rPr>
        <w:t>Theological Themes</w:t>
      </w:r>
      <w:r w:rsidRPr="007D4C6B">
        <w:rPr>
          <w:iCs/>
        </w:rPr>
        <w:t xml:space="preserve">, </w:t>
      </w:r>
      <w:r w:rsidRPr="007D4C6B">
        <w:rPr>
          <w:i/>
        </w:rPr>
        <w:t>and the Genre of Luke-Acts</w:t>
      </w:r>
      <w:r w:rsidRPr="007D4C6B">
        <w:t xml:space="preserve">. </w:t>
      </w:r>
      <w:r>
        <w:t>Society of Biblical Literature Monograph Series</w:t>
      </w:r>
      <w:r w:rsidRPr="007D4C6B">
        <w:t xml:space="preserve"> 20. </w:t>
      </w:r>
      <w:r w:rsidRPr="00D42DB3">
        <w:rPr>
          <w:iCs/>
        </w:rPr>
        <w:t>Missoula MT</w:t>
      </w:r>
      <w:r w:rsidRPr="007D4C6B">
        <w:t>: Scholars</w:t>
      </w:r>
      <w:r w:rsidRPr="007D4C6B">
        <w:rPr>
          <w:iCs/>
        </w:rPr>
        <w:t xml:space="preserve">, </w:t>
      </w:r>
      <w:r w:rsidRPr="007D4C6B">
        <w:t>1974.</w:t>
      </w:r>
    </w:p>
    <w:p w14:paraId="150F074D" w14:textId="77777777" w:rsidR="00B47A48" w:rsidRPr="007D4C6B" w:rsidRDefault="00B47A48" w:rsidP="00B47A48">
      <w:pPr>
        <w:widowControl w:val="0"/>
        <w:ind w:left="720" w:hanging="720"/>
      </w:pPr>
      <w:r w:rsidRPr="007D4C6B">
        <w:t>Talbert</w:t>
      </w:r>
      <w:r w:rsidRPr="007D4C6B">
        <w:rPr>
          <w:iCs/>
        </w:rPr>
        <w:t xml:space="preserve">, </w:t>
      </w:r>
      <w:r w:rsidRPr="007D4C6B">
        <w:t xml:space="preserve">Charles H. </w:t>
      </w:r>
      <w:r w:rsidRPr="007D4C6B">
        <w:rPr>
          <w:i/>
        </w:rPr>
        <w:t>Luke and the Gnostics</w:t>
      </w:r>
      <w:r w:rsidRPr="007D4C6B">
        <w:t xml:space="preserve">: </w:t>
      </w:r>
      <w:r w:rsidRPr="007D4C6B">
        <w:rPr>
          <w:i/>
        </w:rPr>
        <w:t>An Examination of the Lucan Purpose</w:t>
      </w:r>
      <w:r w:rsidRPr="007D4C6B">
        <w:t xml:space="preserve">. </w:t>
      </w:r>
      <w:r w:rsidRPr="000644ED">
        <w:rPr>
          <w:iCs/>
        </w:rPr>
        <w:t>Nashville</w:t>
      </w:r>
      <w:r w:rsidRPr="007D4C6B">
        <w:t>: Abingdon</w:t>
      </w:r>
      <w:r w:rsidRPr="007D4C6B">
        <w:rPr>
          <w:iCs/>
        </w:rPr>
        <w:t xml:space="preserve">, </w:t>
      </w:r>
      <w:r w:rsidRPr="007D4C6B">
        <w:t>1966.</w:t>
      </w:r>
    </w:p>
    <w:p w14:paraId="7C97D795" w14:textId="77777777" w:rsidR="00B47A48" w:rsidRPr="007D4C6B" w:rsidRDefault="00B47A48" w:rsidP="00B47A48">
      <w:pPr>
        <w:widowControl w:val="0"/>
        <w:ind w:left="720" w:hanging="720"/>
      </w:pPr>
      <w:r w:rsidRPr="007D4C6B">
        <w:t>Talbert</w:t>
      </w:r>
      <w:r w:rsidRPr="007D4C6B">
        <w:rPr>
          <w:iCs/>
        </w:rPr>
        <w:t xml:space="preserve">, </w:t>
      </w:r>
      <w:r w:rsidRPr="007D4C6B">
        <w:t xml:space="preserve">Charles H. </w:t>
      </w:r>
      <w:r w:rsidRPr="007D4C6B">
        <w:rPr>
          <w:i/>
        </w:rPr>
        <w:t>Luke-Acts</w:t>
      </w:r>
      <w:r w:rsidRPr="007D4C6B">
        <w:t xml:space="preserve">: </w:t>
      </w:r>
      <w:r w:rsidRPr="007D4C6B">
        <w:rPr>
          <w:i/>
        </w:rPr>
        <w:t>New Perspectives from the Society of Biblical Literature Seminar</w:t>
      </w:r>
      <w:r w:rsidRPr="007D4C6B">
        <w:t>. New York: Crossroad</w:t>
      </w:r>
      <w:r w:rsidRPr="007D4C6B">
        <w:rPr>
          <w:iCs/>
        </w:rPr>
        <w:t xml:space="preserve">, </w:t>
      </w:r>
      <w:r w:rsidRPr="007D4C6B">
        <w:t>1984.</w:t>
      </w:r>
    </w:p>
    <w:p w14:paraId="68365B53" w14:textId="77777777" w:rsidR="00B47A48" w:rsidRPr="007D4C6B" w:rsidRDefault="00B47A48" w:rsidP="00B47A48">
      <w:pPr>
        <w:widowControl w:val="0"/>
        <w:ind w:left="720" w:hanging="720"/>
      </w:pPr>
      <w:r w:rsidRPr="007D4C6B">
        <w:t>Talbert</w:t>
      </w:r>
      <w:r w:rsidRPr="007D4C6B">
        <w:rPr>
          <w:iCs/>
        </w:rPr>
        <w:t xml:space="preserve">, </w:t>
      </w:r>
      <w:r w:rsidRPr="007D4C6B">
        <w:t xml:space="preserve">Charles H. </w:t>
      </w:r>
      <w:r w:rsidRPr="007D4C6B">
        <w:rPr>
          <w:i/>
        </w:rPr>
        <w:t>Reading Luke</w:t>
      </w:r>
      <w:r w:rsidRPr="007D4C6B">
        <w:t xml:space="preserve">: </w:t>
      </w:r>
      <w:r w:rsidRPr="007D4C6B">
        <w:rPr>
          <w:i/>
        </w:rPr>
        <w:t>A Literary and Theological Commentary on the Third Gospel</w:t>
      </w:r>
      <w:r w:rsidRPr="007D4C6B">
        <w:t>. New York: Crossroad</w:t>
      </w:r>
      <w:r w:rsidRPr="007D4C6B">
        <w:rPr>
          <w:iCs/>
        </w:rPr>
        <w:t xml:space="preserve">, </w:t>
      </w:r>
      <w:r w:rsidRPr="007D4C6B">
        <w:t>1982.</w:t>
      </w:r>
    </w:p>
    <w:p w14:paraId="085A6416" w14:textId="77777777" w:rsidR="00B47A48" w:rsidRPr="007D4C6B" w:rsidRDefault="00B47A48" w:rsidP="00B47A48">
      <w:pPr>
        <w:widowControl w:val="0"/>
        <w:ind w:left="720" w:hanging="720"/>
      </w:pPr>
      <w:r w:rsidRPr="007D4C6B">
        <w:t>Tannehill</w:t>
      </w:r>
      <w:r w:rsidRPr="007D4C6B">
        <w:rPr>
          <w:iCs/>
        </w:rPr>
        <w:t xml:space="preserve">, </w:t>
      </w:r>
      <w:r w:rsidRPr="007D4C6B">
        <w:t xml:space="preserve">Robert C. </w:t>
      </w:r>
      <w:r w:rsidRPr="007D4C6B">
        <w:rPr>
          <w:i/>
        </w:rPr>
        <w:t>The Gospel According to Luke</w:t>
      </w:r>
      <w:r w:rsidRPr="007D4C6B">
        <w:t>. Vol. 1</w:t>
      </w:r>
      <w:r>
        <w:t xml:space="preserve"> of </w:t>
      </w:r>
      <w:r w:rsidRPr="007D4C6B">
        <w:rPr>
          <w:i/>
        </w:rPr>
        <w:t>The Narrative Unity of Luke-Acts</w:t>
      </w:r>
      <w:r w:rsidRPr="007D4C6B">
        <w:t xml:space="preserve">: </w:t>
      </w:r>
      <w:r w:rsidRPr="007D4C6B">
        <w:rPr>
          <w:i/>
        </w:rPr>
        <w:t>A Literary Interpretation</w:t>
      </w:r>
      <w:r>
        <w:t>.</w:t>
      </w:r>
      <w:r w:rsidRPr="007D4C6B">
        <w:t xml:space="preserve"> Philadelphia: Fortress</w:t>
      </w:r>
      <w:r w:rsidRPr="007D4C6B">
        <w:rPr>
          <w:iCs/>
        </w:rPr>
        <w:t xml:space="preserve">, </w:t>
      </w:r>
      <w:r w:rsidRPr="007D4C6B">
        <w:t>1986.</w:t>
      </w:r>
    </w:p>
    <w:p w14:paraId="0EBE46CF" w14:textId="77777777" w:rsidR="00B47A48" w:rsidRPr="007D4C6B" w:rsidRDefault="00B47A48" w:rsidP="00B47A48">
      <w:pPr>
        <w:widowControl w:val="0"/>
        <w:ind w:left="720" w:hanging="720"/>
      </w:pPr>
      <w:r w:rsidRPr="007D4C6B">
        <w:t>Thompson</w:t>
      </w:r>
      <w:r w:rsidRPr="007D4C6B">
        <w:rPr>
          <w:iCs/>
        </w:rPr>
        <w:t xml:space="preserve">, </w:t>
      </w:r>
      <w:r w:rsidRPr="007D4C6B">
        <w:t xml:space="preserve">George </w:t>
      </w:r>
      <w:r w:rsidRPr="00214BC2">
        <w:rPr>
          <w:iCs/>
        </w:rPr>
        <w:t>H.P.</w:t>
      </w:r>
      <w:r w:rsidRPr="007D4C6B">
        <w:t xml:space="preserve"> </w:t>
      </w:r>
      <w:r w:rsidRPr="007D4C6B">
        <w:rPr>
          <w:i/>
        </w:rPr>
        <w:t>The Gospel According to Luke</w:t>
      </w:r>
      <w:r w:rsidRPr="007D4C6B">
        <w:t xml:space="preserve">. </w:t>
      </w:r>
      <w:r w:rsidRPr="00214BC2">
        <w:rPr>
          <w:iCs/>
        </w:rPr>
        <w:t>Oxford: OUP</w:t>
      </w:r>
      <w:r w:rsidRPr="007D4C6B">
        <w:rPr>
          <w:iCs/>
        </w:rPr>
        <w:t xml:space="preserve">, </w:t>
      </w:r>
      <w:r w:rsidRPr="007D4C6B">
        <w:t>1972.</w:t>
      </w:r>
    </w:p>
    <w:p w14:paraId="34AF2A1F" w14:textId="77777777" w:rsidR="00B47A48" w:rsidRPr="007D4C6B" w:rsidRDefault="00B47A48" w:rsidP="00B47A48">
      <w:pPr>
        <w:widowControl w:val="0"/>
        <w:ind w:left="720" w:hanging="720"/>
      </w:pPr>
      <w:r w:rsidRPr="007D4C6B">
        <w:t>Tiede</w:t>
      </w:r>
      <w:r w:rsidRPr="007D4C6B">
        <w:rPr>
          <w:iCs/>
        </w:rPr>
        <w:t xml:space="preserve">, </w:t>
      </w:r>
      <w:r w:rsidRPr="007D4C6B">
        <w:t xml:space="preserve">David L. </w:t>
      </w:r>
      <w:r w:rsidRPr="007D4C6B">
        <w:rPr>
          <w:i/>
        </w:rPr>
        <w:t>Prophecy and History in Luke-Acts</w:t>
      </w:r>
      <w:r w:rsidRPr="007D4C6B">
        <w:t>. Philadelphia: Fortress</w:t>
      </w:r>
      <w:r w:rsidRPr="007D4C6B">
        <w:rPr>
          <w:iCs/>
        </w:rPr>
        <w:t xml:space="preserve">, </w:t>
      </w:r>
      <w:r w:rsidRPr="007D4C6B">
        <w:t>1980.</w:t>
      </w:r>
    </w:p>
    <w:p w14:paraId="3EEFC692" w14:textId="77777777" w:rsidR="00B47A48" w:rsidRPr="007D4C6B" w:rsidRDefault="00B47A48" w:rsidP="00B47A48">
      <w:pPr>
        <w:widowControl w:val="0"/>
        <w:ind w:left="720" w:hanging="720"/>
      </w:pPr>
      <w:r w:rsidRPr="007D4C6B">
        <w:t>Tinsley</w:t>
      </w:r>
      <w:r w:rsidRPr="007D4C6B">
        <w:rPr>
          <w:iCs/>
        </w:rPr>
        <w:t xml:space="preserve">, </w:t>
      </w:r>
      <w:r w:rsidRPr="00B40CBB">
        <w:rPr>
          <w:iCs/>
        </w:rPr>
        <w:t>E.J.</w:t>
      </w:r>
      <w:r w:rsidRPr="007D4C6B">
        <w:t xml:space="preserve"> </w:t>
      </w:r>
      <w:r w:rsidRPr="007D4C6B">
        <w:rPr>
          <w:i/>
        </w:rPr>
        <w:t>The Gospel According to Luke</w:t>
      </w:r>
      <w:r w:rsidRPr="007D4C6B">
        <w:t xml:space="preserve">. Cambridge Bible Commentary on the New English Bible. </w:t>
      </w:r>
      <w:r w:rsidRPr="00E366BA">
        <w:rPr>
          <w:iCs/>
        </w:rPr>
        <w:t>Cambridge: CUP</w:t>
      </w:r>
      <w:r w:rsidRPr="007D4C6B">
        <w:rPr>
          <w:iCs/>
        </w:rPr>
        <w:t xml:space="preserve">, </w:t>
      </w:r>
      <w:r w:rsidRPr="007D4C6B">
        <w:t>1969.</w:t>
      </w:r>
    </w:p>
    <w:p w14:paraId="0FA1AAAE" w14:textId="77777777" w:rsidR="00B47A48" w:rsidRPr="007D4C6B" w:rsidRDefault="00B47A48" w:rsidP="00B47A48">
      <w:pPr>
        <w:widowControl w:val="0"/>
        <w:ind w:left="720" w:hanging="720"/>
      </w:pPr>
      <w:r w:rsidRPr="007D4C6B">
        <w:t>Topel</w:t>
      </w:r>
      <w:r w:rsidRPr="007D4C6B">
        <w:rPr>
          <w:iCs/>
        </w:rPr>
        <w:t xml:space="preserve">, </w:t>
      </w:r>
      <w:r w:rsidRPr="007D4C6B">
        <w:t>L. John</w:t>
      </w:r>
      <w:r>
        <w:t>, SJ</w:t>
      </w:r>
      <w:r w:rsidRPr="007D4C6B">
        <w:t xml:space="preserve">. “The Christian Ethics of the Lukan Sermon.” In </w:t>
      </w:r>
      <w:r w:rsidRPr="007D4C6B">
        <w:rPr>
          <w:i/>
        </w:rPr>
        <w:t>Christian Biblical Ethics</w:t>
      </w:r>
      <w:r w:rsidRPr="007D4C6B">
        <w:t xml:space="preserve">: </w:t>
      </w:r>
      <w:r w:rsidRPr="007D4C6B">
        <w:rPr>
          <w:i/>
        </w:rPr>
        <w:t>From Biblical Revelation to Contemporary Christian Praxis</w:t>
      </w:r>
      <w:r w:rsidRPr="007D4C6B">
        <w:t xml:space="preserve">; </w:t>
      </w:r>
      <w:r w:rsidRPr="007D4C6B">
        <w:rPr>
          <w:i/>
        </w:rPr>
        <w:t>Method and Content</w:t>
      </w:r>
      <w:r w:rsidRPr="007D4C6B">
        <w:t>. Ed</w:t>
      </w:r>
      <w:r>
        <w:t>.</w:t>
      </w:r>
      <w:r w:rsidRPr="007D4C6B">
        <w:t xml:space="preserve"> Robert J. Daly </w:t>
      </w:r>
      <w:r>
        <w:t>(</w:t>
      </w:r>
      <w:r w:rsidRPr="007D4C6B">
        <w:t>and members of the Catholic Biblical Association’s Task Force on Christian Biblical Ethics</w:t>
      </w:r>
      <w:r>
        <w:t>)</w:t>
      </w:r>
      <w:r w:rsidRPr="007D4C6B">
        <w:t>. New York: Paulist</w:t>
      </w:r>
      <w:r w:rsidRPr="007D4C6B">
        <w:rPr>
          <w:iCs/>
        </w:rPr>
        <w:t xml:space="preserve">, </w:t>
      </w:r>
      <w:r w:rsidRPr="007D4C6B">
        <w:t>1984.</w:t>
      </w:r>
    </w:p>
    <w:p w14:paraId="481D8E4E" w14:textId="77777777" w:rsidR="00B47A48" w:rsidRPr="007D4C6B" w:rsidRDefault="00B47A48" w:rsidP="00B47A48">
      <w:pPr>
        <w:widowControl w:val="0"/>
        <w:ind w:left="720" w:hanging="720"/>
      </w:pPr>
      <w:r w:rsidRPr="007D4C6B">
        <w:t>Topel</w:t>
      </w:r>
      <w:r w:rsidRPr="007D4C6B">
        <w:rPr>
          <w:iCs/>
        </w:rPr>
        <w:t xml:space="preserve">, </w:t>
      </w:r>
      <w:r w:rsidRPr="007D4C6B">
        <w:t>L. John</w:t>
      </w:r>
      <w:r>
        <w:t>, SJ</w:t>
      </w:r>
      <w:r w:rsidRPr="007D4C6B">
        <w:t xml:space="preserve">. “The Lukan Version of the Lord’s Sermon.” </w:t>
      </w:r>
      <w:r w:rsidRPr="00DF22B8">
        <w:rPr>
          <w:i/>
          <w:iCs/>
        </w:rPr>
        <w:t>Biblical Theology Bulletin</w:t>
      </w:r>
      <w:r w:rsidRPr="007D4C6B">
        <w:t xml:space="preserve"> 11 (1981) 48-53.</w:t>
      </w:r>
    </w:p>
    <w:p w14:paraId="30E92FE9" w14:textId="77777777" w:rsidR="00B47A48" w:rsidRPr="007D4C6B" w:rsidRDefault="00B47A48" w:rsidP="00B47A48">
      <w:pPr>
        <w:widowControl w:val="0"/>
        <w:ind w:left="720" w:hanging="720"/>
      </w:pPr>
      <w:r w:rsidRPr="007D4C6B">
        <w:t>Torrey</w:t>
      </w:r>
      <w:r w:rsidRPr="007D4C6B">
        <w:rPr>
          <w:iCs/>
        </w:rPr>
        <w:t xml:space="preserve">, </w:t>
      </w:r>
      <w:r w:rsidRPr="007D4C6B">
        <w:t xml:space="preserve">C. C. </w:t>
      </w:r>
      <w:r w:rsidRPr="007D4C6B">
        <w:rPr>
          <w:i/>
        </w:rPr>
        <w:t>The Composition and Date of Acts</w:t>
      </w:r>
      <w:r w:rsidRPr="007D4C6B">
        <w:t>. H</w:t>
      </w:r>
      <w:r>
        <w:t xml:space="preserve">arvard Theological </w:t>
      </w:r>
      <w:r w:rsidRPr="007D4C6B">
        <w:t>S</w:t>
      </w:r>
      <w:r>
        <w:t>tudies</w:t>
      </w:r>
      <w:r w:rsidRPr="007D4C6B">
        <w:t xml:space="preserve"> 1. </w:t>
      </w:r>
      <w:r w:rsidRPr="00E366BA">
        <w:rPr>
          <w:iCs/>
        </w:rPr>
        <w:t xml:space="preserve">Cambridge MA: Harvard UP, </w:t>
      </w:r>
      <w:r w:rsidRPr="007D4C6B">
        <w:t>1916.</w:t>
      </w:r>
    </w:p>
    <w:p w14:paraId="7CDFD4DC" w14:textId="77777777" w:rsidR="00B47A48" w:rsidRPr="00E5413C" w:rsidRDefault="00B47A48" w:rsidP="00B47A48">
      <w:pPr>
        <w:widowControl w:val="0"/>
        <w:ind w:left="720" w:hanging="720"/>
        <w:rPr>
          <w:lang w:val="fr-FR"/>
        </w:rPr>
      </w:pPr>
      <w:proofErr w:type="spellStart"/>
      <w:r w:rsidRPr="007D4C6B">
        <w:t>Valensin</w:t>
      </w:r>
      <w:proofErr w:type="spellEnd"/>
      <w:r w:rsidRPr="007D4C6B">
        <w:rPr>
          <w:iCs/>
        </w:rPr>
        <w:t xml:space="preserve">, </w:t>
      </w:r>
      <w:r w:rsidRPr="007D4C6B">
        <w:t>Albert</w:t>
      </w:r>
      <w:r w:rsidRPr="007D4C6B">
        <w:rPr>
          <w:iCs/>
        </w:rPr>
        <w:t xml:space="preserve">, </w:t>
      </w:r>
      <w:r w:rsidRPr="007D4C6B">
        <w:t>and Joseph Huby</w:t>
      </w:r>
      <w:r>
        <w:t>, SJ</w:t>
      </w:r>
      <w:r w:rsidRPr="007D4C6B">
        <w:t xml:space="preserve">. </w:t>
      </w:r>
      <w:r w:rsidRPr="00E5413C">
        <w:rPr>
          <w:i/>
          <w:lang w:val="fr-FR"/>
        </w:rPr>
        <w:t>Évangile selon Saint Luc</w:t>
      </w:r>
      <w:r w:rsidRPr="00E5413C">
        <w:rPr>
          <w:lang w:val="fr-FR"/>
        </w:rPr>
        <w:t xml:space="preserve">. </w:t>
      </w:r>
      <w:proofErr w:type="spellStart"/>
      <w:r w:rsidRPr="00E5413C">
        <w:rPr>
          <w:rStyle w:val="lrzxr"/>
          <w:lang w:val="fr-FR"/>
        </w:rPr>
        <w:t>Verbum</w:t>
      </w:r>
      <w:proofErr w:type="spellEnd"/>
      <w:r w:rsidRPr="00E5413C">
        <w:rPr>
          <w:rStyle w:val="lrzxr"/>
          <w:lang w:val="fr-FR"/>
        </w:rPr>
        <w:t xml:space="preserve"> </w:t>
      </w:r>
      <w:proofErr w:type="spellStart"/>
      <w:r w:rsidRPr="00E5413C">
        <w:rPr>
          <w:rStyle w:val="lrzxr"/>
          <w:lang w:val="fr-FR"/>
        </w:rPr>
        <w:t>salutis</w:t>
      </w:r>
      <w:proofErr w:type="spellEnd"/>
      <w:r w:rsidRPr="00E5413C">
        <w:rPr>
          <w:lang w:val="fr-FR"/>
        </w:rPr>
        <w:t>. Paris: Beauchesne</w:t>
      </w:r>
      <w:r w:rsidRPr="00E5413C">
        <w:rPr>
          <w:iCs/>
          <w:lang w:val="fr-FR"/>
        </w:rPr>
        <w:t xml:space="preserve">, </w:t>
      </w:r>
      <w:r w:rsidRPr="00E5413C">
        <w:rPr>
          <w:lang w:val="fr-FR"/>
        </w:rPr>
        <w:t>1924.</w:t>
      </w:r>
    </w:p>
    <w:p w14:paraId="31F5E63F" w14:textId="77777777" w:rsidR="00B47A48" w:rsidRPr="00E5413C" w:rsidRDefault="00B47A48" w:rsidP="00B47A48">
      <w:pPr>
        <w:widowControl w:val="0"/>
        <w:ind w:left="720" w:hanging="720"/>
        <w:rPr>
          <w:lang w:val="fr-FR"/>
        </w:rPr>
      </w:pPr>
      <w:r w:rsidRPr="00E5413C">
        <w:rPr>
          <w:lang w:val="fr-FR"/>
        </w:rPr>
        <w:t xml:space="preserve">van </w:t>
      </w:r>
      <w:proofErr w:type="spellStart"/>
      <w:r w:rsidRPr="00E5413C">
        <w:rPr>
          <w:lang w:val="fr-FR"/>
        </w:rPr>
        <w:t>Unnik</w:t>
      </w:r>
      <w:proofErr w:type="spellEnd"/>
      <w:r w:rsidRPr="00E5413C">
        <w:rPr>
          <w:iCs/>
          <w:lang w:val="fr-FR"/>
        </w:rPr>
        <w:t>, W.C.</w:t>
      </w:r>
      <w:r w:rsidRPr="00E5413C">
        <w:rPr>
          <w:lang w:val="fr-FR"/>
        </w:rPr>
        <w:t xml:space="preserve"> “Éléments </w:t>
      </w:r>
      <w:proofErr w:type="spellStart"/>
      <w:r w:rsidRPr="00E5413C">
        <w:rPr>
          <w:lang w:val="fr-FR"/>
        </w:rPr>
        <w:t>artistuques</w:t>
      </w:r>
      <w:proofErr w:type="spellEnd"/>
      <w:r w:rsidRPr="00E5413C">
        <w:rPr>
          <w:lang w:val="fr-FR"/>
        </w:rPr>
        <w:t xml:space="preserve"> dans l’évangile de Luc.” </w:t>
      </w:r>
      <w:r w:rsidRPr="00E5413C">
        <w:rPr>
          <w:i/>
          <w:lang w:val="fr-FR"/>
        </w:rPr>
        <w:t>L</w:t>
      </w:r>
      <w:r w:rsidRPr="00E5413C">
        <w:rPr>
          <w:lang w:val="fr-FR"/>
        </w:rPr>
        <w:t>’</w:t>
      </w:r>
      <w:r w:rsidRPr="00E5413C">
        <w:rPr>
          <w:i/>
          <w:lang w:val="fr-FR"/>
        </w:rPr>
        <w:t>Évangile de Luc</w:t>
      </w:r>
      <w:r w:rsidRPr="00E5413C">
        <w:rPr>
          <w:lang w:val="fr-FR"/>
        </w:rPr>
        <w:t xml:space="preserve">: </w:t>
      </w:r>
      <w:r w:rsidRPr="00E5413C">
        <w:rPr>
          <w:i/>
          <w:lang w:val="fr-FR"/>
        </w:rPr>
        <w:t>Problèmes littéraires et théologiques</w:t>
      </w:r>
      <w:r w:rsidRPr="00E5413C">
        <w:rPr>
          <w:lang w:val="fr-FR"/>
        </w:rPr>
        <w:t xml:space="preserve">; </w:t>
      </w:r>
      <w:r w:rsidRPr="00E5413C">
        <w:rPr>
          <w:i/>
          <w:lang w:val="fr-FR"/>
        </w:rPr>
        <w:t xml:space="preserve">Mémorial Lucien </w:t>
      </w:r>
      <w:proofErr w:type="spellStart"/>
      <w:r w:rsidRPr="00E5413C">
        <w:rPr>
          <w:i/>
          <w:lang w:val="fr-FR"/>
        </w:rPr>
        <w:t>Cerfaux</w:t>
      </w:r>
      <w:proofErr w:type="spellEnd"/>
      <w:r w:rsidRPr="00E5413C">
        <w:rPr>
          <w:lang w:val="fr-FR"/>
        </w:rPr>
        <w:t xml:space="preserve">. Ed. F. </w:t>
      </w:r>
      <w:proofErr w:type="spellStart"/>
      <w:r w:rsidRPr="00E5413C">
        <w:rPr>
          <w:lang w:val="fr-FR"/>
        </w:rPr>
        <w:t>Neirynck</w:t>
      </w:r>
      <w:proofErr w:type="spellEnd"/>
      <w:r w:rsidRPr="00E5413C">
        <w:rPr>
          <w:lang w:val="fr-FR"/>
        </w:rPr>
        <w:t xml:space="preserve">. </w:t>
      </w:r>
      <w:proofErr w:type="spellStart"/>
      <w:r w:rsidRPr="00E5413C">
        <w:rPr>
          <w:iCs/>
          <w:lang w:val="fr-FR"/>
        </w:rPr>
        <w:t>Bibliotheca</w:t>
      </w:r>
      <w:proofErr w:type="spellEnd"/>
      <w:r w:rsidRPr="00E5413C">
        <w:rPr>
          <w:iCs/>
          <w:lang w:val="fr-FR"/>
        </w:rPr>
        <w:t xml:space="preserve"> </w:t>
      </w:r>
      <w:proofErr w:type="spellStart"/>
      <w:r w:rsidRPr="00E5413C">
        <w:rPr>
          <w:iCs/>
          <w:lang w:val="fr-FR"/>
        </w:rPr>
        <w:t>Ephemeridum</w:t>
      </w:r>
      <w:proofErr w:type="spellEnd"/>
      <w:r w:rsidRPr="00E5413C">
        <w:rPr>
          <w:iCs/>
          <w:lang w:val="fr-FR"/>
        </w:rPr>
        <w:t xml:space="preserve"> </w:t>
      </w:r>
      <w:proofErr w:type="spellStart"/>
      <w:r w:rsidRPr="00E5413C">
        <w:rPr>
          <w:iCs/>
          <w:lang w:val="fr-FR"/>
        </w:rPr>
        <w:t>Theologicarum</w:t>
      </w:r>
      <w:proofErr w:type="spellEnd"/>
      <w:r w:rsidRPr="00E5413C">
        <w:rPr>
          <w:iCs/>
          <w:lang w:val="fr-FR"/>
        </w:rPr>
        <w:t xml:space="preserve"> </w:t>
      </w:r>
      <w:proofErr w:type="spellStart"/>
      <w:r w:rsidRPr="00E5413C">
        <w:rPr>
          <w:iCs/>
          <w:lang w:val="fr-FR"/>
        </w:rPr>
        <w:t>Lovaniensium</w:t>
      </w:r>
      <w:proofErr w:type="spellEnd"/>
      <w:r w:rsidRPr="00E5413C">
        <w:rPr>
          <w:lang w:val="fr-FR"/>
        </w:rPr>
        <w:t xml:space="preserve"> 32. Gembloux</w:t>
      </w:r>
      <w:r w:rsidRPr="00E5413C">
        <w:rPr>
          <w:iCs/>
          <w:lang w:val="fr-FR"/>
        </w:rPr>
        <w:t xml:space="preserve">, </w:t>
      </w:r>
      <w:proofErr w:type="spellStart"/>
      <w:r w:rsidRPr="00E5413C">
        <w:rPr>
          <w:lang w:val="fr-FR"/>
        </w:rPr>
        <w:t>Belgium</w:t>
      </w:r>
      <w:proofErr w:type="spellEnd"/>
      <w:r w:rsidRPr="00E5413C">
        <w:rPr>
          <w:lang w:val="fr-FR"/>
        </w:rPr>
        <w:t>: J. Duculot</w:t>
      </w:r>
      <w:r w:rsidRPr="00E5413C">
        <w:rPr>
          <w:iCs/>
          <w:lang w:val="fr-FR"/>
        </w:rPr>
        <w:t xml:space="preserve">, </w:t>
      </w:r>
      <w:r w:rsidRPr="00E5413C">
        <w:rPr>
          <w:lang w:val="fr-FR"/>
        </w:rPr>
        <w:t>1973.</w:t>
      </w:r>
    </w:p>
    <w:p w14:paraId="418ECF23" w14:textId="77777777" w:rsidR="00B47A48" w:rsidRPr="00E5413C" w:rsidRDefault="00B47A48" w:rsidP="00B47A48">
      <w:pPr>
        <w:widowControl w:val="0"/>
        <w:ind w:left="720" w:hanging="720"/>
        <w:rPr>
          <w:lang w:val="fr-FR"/>
        </w:rPr>
      </w:pPr>
      <w:r w:rsidRPr="007D4C6B">
        <w:t xml:space="preserve">van </w:t>
      </w:r>
      <w:proofErr w:type="spellStart"/>
      <w:r w:rsidRPr="007D4C6B">
        <w:t>Unnik</w:t>
      </w:r>
      <w:proofErr w:type="spellEnd"/>
      <w:r w:rsidRPr="007D4C6B">
        <w:rPr>
          <w:iCs/>
        </w:rPr>
        <w:t xml:space="preserve">, </w:t>
      </w:r>
      <w:r w:rsidRPr="00DF22B8">
        <w:rPr>
          <w:iCs/>
        </w:rPr>
        <w:t>W.C.</w:t>
      </w:r>
      <w:r w:rsidRPr="007D4C6B">
        <w:t xml:space="preserve"> “Die </w:t>
      </w:r>
      <w:proofErr w:type="spellStart"/>
      <w:r w:rsidRPr="007D4C6B">
        <w:t>Motivierung</w:t>
      </w:r>
      <w:proofErr w:type="spellEnd"/>
      <w:r w:rsidRPr="007D4C6B">
        <w:t xml:space="preserve"> der </w:t>
      </w:r>
      <w:proofErr w:type="spellStart"/>
      <w:r w:rsidRPr="007D4C6B">
        <w:t>Feindesliebe</w:t>
      </w:r>
      <w:proofErr w:type="spellEnd"/>
      <w:r w:rsidRPr="007D4C6B">
        <w:t xml:space="preserve"> in Lukas VI 32-35.” </w:t>
      </w:r>
      <w:r w:rsidRPr="00826EC1">
        <w:rPr>
          <w:i/>
        </w:rPr>
        <w:t xml:space="preserve">Novum </w:t>
      </w:r>
      <w:proofErr w:type="spellStart"/>
      <w:r w:rsidRPr="00826EC1">
        <w:rPr>
          <w:i/>
        </w:rPr>
        <w:t>Testamentum</w:t>
      </w:r>
      <w:proofErr w:type="spellEnd"/>
      <w:r w:rsidRPr="007D4C6B">
        <w:t xml:space="preserve"> 8 (1966) 284-300</w:t>
      </w:r>
      <w:r>
        <w:t>.</w:t>
      </w:r>
      <w:r w:rsidRPr="007D4C6B">
        <w:t xml:space="preserve"> Rpt. in </w:t>
      </w:r>
      <w:r w:rsidRPr="007D4C6B">
        <w:rPr>
          <w:i/>
        </w:rPr>
        <w:t xml:space="preserve">Sparsa </w:t>
      </w:r>
      <w:proofErr w:type="spellStart"/>
      <w:r w:rsidRPr="007D4C6B">
        <w:rPr>
          <w:i/>
        </w:rPr>
        <w:t>Collecta</w:t>
      </w:r>
      <w:proofErr w:type="spellEnd"/>
      <w:r w:rsidRPr="007D4C6B">
        <w:t xml:space="preserve"> 1</w:t>
      </w:r>
      <w:r>
        <w:rPr>
          <w:iCs/>
        </w:rPr>
        <w:t>.</w:t>
      </w:r>
      <w:r w:rsidRPr="007D4C6B">
        <w:rPr>
          <w:iCs/>
        </w:rPr>
        <w:t xml:space="preserve"> </w:t>
      </w:r>
      <w:r w:rsidRPr="00E5413C">
        <w:rPr>
          <w:lang w:val="fr-FR"/>
        </w:rPr>
        <w:t>Leiden: Brill</w:t>
      </w:r>
      <w:r w:rsidRPr="00E5413C">
        <w:rPr>
          <w:iCs/>
          <w:lang w:val="fr-FR"/>
        </w:rPr>
        <w:t xml:space="preserve">, </w:t>
      </w:r>
      <w:r w:rsidRPr="00E5413C">
        <w:rPr>
          <w:lang w:val="fr-FR"/>
        </w:rPr>
        <w:t>1973. 111-26.</w:t>
      </w:r>
    </w:p>
    <w:p w14:paraId="1EAD39CC" w14:textId="77777777" w:rsidR="00B47A48" w:rsidRPr="00E5413C" w:rsidRDefault="00B47A48" w:rsidP="00B47A48">
      <w:pPr>
        <w:widowControl w:val="0"/>
        <w:ind w:left="720" w:hanging="720"/>
        <w:rPr>
          <w:lang w:val="es-ES"/>
        </w:rPr>
      </w:pPr>
      <w:r w:rsidRPr="00E5413C">
        <w:rPr>
          <w:lang w:val="fr-FR"/>
        </w:rPr>
        <w:t>Voss</w:t>
      </w:r>
      <w:r w:rsidRPr="00E5413C">
        <w:rPr>
          <w:iCs/>
          <w:lang w:val="fr-FR"/>
        </w:rPr>
        <w:t xml:space="preserve">, </w:t>
      </w:r>
      <w:r w:rsidRPr="00E5413C">
        <w:rPr>
          <w:lang w:val="fr-FR"/>
        </w:rPr>
        <w:t xml:space="preserve">G. “La prédication de Jésus dans l’Évangile de Luc.” In </w:t>
      </w:r>
      <w:r w:rsidRPr="00E5413C">
        <w:rPr>
          <w:i/>
          <w:lang w:val="fr-FR"/>
        </w:rPr>
        <w:t>Lire la Bible</w:t>
      </w:r>
      <w:r w:rsidRPr="00E5413C">
        <w:rPr>
          <w:lang w:val="fr-FR"/>
        </w:rPr>
        <w:t xml:space="preserve"> 99. Paris: Cerf</w:t>
      </w:r>
      <w:r w:rsidRPr="00E5413C">
        <w:rPr>
          <w:iCs/>
          <w:lang w:val="fr-FR"/>
        </w:rPr>
        <w:t xml:space="preserve">, </w:t>
      </w:r>
      <w:r w:rsidRPr="00E5413C">
        <w:rPr>
          <w:lang w:val="fr-FR"/>
        </w:rPr>
        <w:t xml:space="preserve">1971. </w:t>
      </w:r>
      <w:r w:rsidRPr="00E5413C">
        <w:rPr>
          <w:lang w:val="es-ES"/>
        </w:rPr>
        <w:t>117-40.</w:t>
      </w:r>
    </w:p>
    <w:p w14:paraId="768F16E8" w14:textId="77777777" w:rsidR="00B47A48" w:rsidRPr="00E5413C" w:rsidRDefault="00B47A48" w:rsidP="00B47A48">
      <w:pPr>
        <w:widowControl w:val="0"/>
        <w:ind w:left="720" w:hanging="720"/>
        <w:rPr>
          <w:lang w:val="es-ES"/>
        </w:rPr>
      </w:pPr>
      <w:r w:rsidRPr="00E5413C">
        <w:rPr>
          <w:lang w:val="es-ES"/>
        </w:rPr>
        <w:lastRenderedPageBreak/>
        <w:t>Weber</w:t>
      </w:r>
      <w:r w:rsidRPr="00E5413C">
        <w:rPr>
          <w:iCs/>
          <w:lang w:val="es-ES"/>
        </w:rPr>
        <w:t xml:space="preserve">, </w:t>
      </w:r>
      <w:r w:rsidRPr="00E5413C">
        <w:rPr>
          <w:lang w:val="es-ES"/>
        </w:rPr>
        <w:t>B. “</w:t>
      </w:r>
      <w:proofErr w:type="spellStart"/>
      <w:r w:rsidRPr="00E5413C">
        <w:rPr>
          <w:lang w:val="es-ES"/>
        </w:rPr>
        <w:t>Exegese</w:t>
      </w:r>
      <w:proofErr w:type="spellEnd"/>
      <w:r w:rsidRPr="00E5413C">
        <w:rPr>
          <w:lang w:val="es-ES"/>
        </w:rPr>
        <w:t xml:space="preserve"> </w:t>
      </w:r>
      <w:proofErr w:type="spellStart"/>
      <w:r w:rsidRPr="00E5413C">
        <w:rPr>
          <w:lang w:val="es-ES"/>
        </w:rPr>
        <w:t>über</w:t>
      </w:r>
      <w:proofErr w:type="spellEnd"/>
      <w:r w:rsidRPr="00E5413C">
        <w:rPr>
          <w:lang w:val="es-ES"/>
        </w:rPr>
        <w:t xml:space="preserve"> </w:t>
      </w:r>
      <w:proofErr w:type="spellStart"/>
      <w:r w:rsidRPr="00E5413C">
        <w:rPr>
          <w:lang w:val="es-ES"/>
        </w:rPr>
        <w:t>Luk</w:t>
      </w:r>
      <w:proofErr w:type="spellEnd"/>
      <w:r w:rsidRPr="00E5413C">
        <w:rPr>
          <w:lang w:val="es-ES"/>
        </w:rPr>
        <w:t xml:space="preserve">. 6,20-26.” </w:t>
      </w:r>
      <w:proofErr w:type="spellStart"/>
      <w:r w:rsidRPr="00E5413C">
        <w:rPr>
          <w:i/>
          <w:lang w:val="es-ES"/>
        </w:rPr>
        <w:t>Estudos</w:t>
      </w:r>
      <w:proofErr w:type="spellEnd"/>
      <w:r w:rsidRPr="00E5413C">
        <w:rPr>
          <w:i/>
          <w:lang w:val="es-ES"/>
        </w:rPr>
        <w:t xml:space="preserve"> Teológicos</w:t>
      </w:r>
      <w:r w:rsidRPr="00E5413C">
        <w:rPr>
          <w:lang w:val="es-ES"/>
        </w:rPr>
        <w:t xml:space="preserve">: </w:t>
      </w:r>
      <w:proofErr w:type="spellStart"/>
      <w:r w:rsidRPr="00E5413C">
        <w:rPr>
          <w:i/>
          <w:lang w:val="es-ES"/>
        </w:rPr>
        <w:t>Orgão</w:t>
      </w:r>
      <w:proofErr w:type="spellEnd"/>
      <w:r w:rsidRPr="00E5413C">
        <w:rPr>
          <w:i/>
          <w:lang w:val="es-ES"/>
        </w:rPr>
        <w:t xml:space="preserve"> da </w:t>
      </w:r>
      <w:proofErr w:type="spellStart"/>
      <w:r w:rsidRPr="00E5413C">
        <w:rPr>
          <w:i/>
          <w:lang w:val="es-ES"/>
        </w:rPr>
        <w:t>Faculdade</w:t>
      </w:r>
      <w:proofErr w:type="spellEnd"/>
      <w:r w:rsidRPr="00E5413C">
        <w:rPr>
          <w:i/>
          <w:lang w:val="es-ES"/>
        </w:rPr>
        <w:t xml:space="preserve"> de </w:t>
      </w:r>
      <w:proofErr w:type="spellStart"/>
      <w:r w:rsidRPr="00E5413C">
        <w:rPr>
          <w:i/>
          <w:lang w:val="es-ES"/>
        </w:rPr>
        <w:t>Teologia</w:t>
      </w:r>
      <w:proofErr w:type="spellEnd"/>
      <w:r w:rsidRPr="00E5413C">
        <w:rPr>
          <w:lang w:val="es-ES"/>
        </w:rPr>
        <w:t xml:space="preserve"> 10 (1970) 37-44.</w:t>
      </w:r>
    </w:p>
    <w:p w14:paraId="6A6EAD47" w14:textId="77777777" w:rsidR="00B47A48" w:rsidRPr="007D4C6B" w:rsidRDefault="00B47A48" w:rsidP="00B47A48">
      <w:pPr>
        <w:widowControl w:val="0"/>
        <w:ind w:left="720" w:hanging="720"/>
      </w:pPr>
      <w:proofErr w:type="spellStart"/>
      <w:r w:rsidRPr="00E5413C">
        <w:rPr>
          <w:lang w:val="es-ES"/>
        </w:rPr>
        <w:t>Wellhausen</w:t>
      </w:r>
      <w:proofErr w:type="spellEnd"/>
      <w:r w:rsidRPr="00E5413C">
        <w:rPr>
          <w:iCs/>
          <w:lang w:val="es-ES"/>
        </w:rPr>
        <w:t xml:space="preserve">, </w:t>
      </w:r>
      <w:r w:rsidRPr="00E5413C">
        <w:rPr>
          <w:lang w:val="es-ES"/>
        </w:rPr>
        <w:t xml:space="preserve">Julius. </w:t>
      </w:r>
      <w:r w:rsidRPr="00E5413C">
        <w:rPr>
          <w:i/>
          <w:lang w:val="es-ES"/>
        </w:rPr>
        <w:t xml:space="preserve">Das </w:t>
      </w:r>
      <w:proofErr w:type="spellStart"/>
      <w:r w:rsidRPr="00E5413C">
        <w:rPr>
          <w:i/>
          <w:lang w:val="es-ES"/>
        </w:rPr>
        <w:t>Evangelium</w:t>
      </w:r>
      <w:proofErr w:type="spellEnd"/>
      <w:r w:rsidRPr="00E5413C">
        <w:rPr>
          <w:i/>
          <w:lang w:val="es-ES"/>
        </w:rPr>
        <w:t xml:space="preserve"> </w:t>
      </w:r>
      <w:proofErr w:type="spellStart"/>
      <w:r w:rsidRPr="00E5413C">
        <w:rPr>
          <w:i/>
          <w:lang w:val="es-ES"/>
        </w:rPr>
        <w:t>Lucae</w:t>
      </w:r>
      <w:proofErr w:type="spellEnd"/>
      <w:r w:rsidRPr="00E5413C">
        <w:rPr>
          <w:lang w:val="es-ES"/>
        </w:rPr>
        <w:t xml:space="preserve">. </w:t>
      </w:r>
      <w:r w:rsidRPr="007D4C6B">
        <w:t>Berlin: Georg Reimer</w:t>
      </w:r>
      <w:r w:rsidRPr="007D4C6B">
        <w:rPr>
          <w:iCs/>
        </w:rPr>
        <w:t xml:space="preserve">, </w:t>
      </w:r>
      <w:r w:rsidRPr="007D4C6B">
        <w:t>1904.</w:t>
      </w:r>
    </w:p>
    <w:p w14:paraId="32FA6552" w14:textId="77777777" w:rsidR="00B47A48" w:rsidRPr="007D4C6B" w:rsidRDefault="00B47A48" w:rsidP="00B47A48">
      <w:pPr>
        <w:widowControl w:val="0"/>
        <w:ind w:left="720" w:hanging="720"/>
      </w:pPr>
      <w:r w:rsidRPr="007D4C6B">
        <w:t>Wiater</w:t>
      </w:r>
      <w:r w:rsidRPr="007D4C6B">
        <w:rPr>
          <w:iCs/>
        </w:rPr>
        <w:t xml:space="preserve">, </w:t>
      </w:r>
      <w:r w:rsidRPr="007D4C6B">
        <w:t xml:space="preserve">Werner. </w:t>
      </w:r>
      <w:proofErr w:type="spellStart"/>
      <w:r w:rsidRPr="007D4C6B">
        <w:rPr>
          <w:i/>
        </w:rPr>
        <w:t>Komposition</w:t>
      </w:r>
      <w:proofErr w:type="spellEnd"/>
      <w:r w:rsidRPr="007D4C6B">
        <w:rPr>
          <w:i/>
        </w:rPr>
        <w:t xml:space="preserve"> </w:t>
      </w:r>
      <w:proofErr w:type="spellStart"/>
      <w:r w:rsidRPr="007D4C6B">
        <w:rPr>
          <w:i/>
        </w:rPr>
        <w:t>als</w:t>
      </w:r>
      <w:proofErr w:type="spellEnd"/>
      <w:r w:rsidRPr="007D4C6B">
        <w:rPr>
          <w:i/>
        </w:rPr>
        <w:t xml:space="preserve"> Mittel der Interpretation </w:t>
      </w:r>
      <w:proofErr w:type="spellStart"/>
      <w:r w:rsidRPr="007D4C6B">
        <w:rPr>
          <w:i/>
        </w:rPr>
        <w:t>im</w:t>
      </w:r>
      <w:proofErr w:type="spellEnd"/>
      <w:r w:rsidRPr="007D4C6B">
        <w:rPr>
          <w:i/>
        </w:rPr>
        <w:t xml:space="preserve"> </w:t>
      </w:r>
      <w:proofErr w:type="spellStart"/>
      <w:r w:rsidRPr="007D4C6B">
        <w:rPr>
          <w:i/>
        </w:rPr>
        <w:t>lukanischen</w:t>
      </w:r>
      <w:proofErr w:type="spellEnd"/>
      <w:r w:rsidRPr="007D4C6B">
        <w:rPr>
          <w:i/>
        </w:rPr>
        <w:t xml:space="preserve"> </w:t>
      </w:r>
      <w:proofErr w:type="spellStart"/>
      <w:r w:rsidRPr="007D4C6B">
        <w:rPr>
          <w:i/>
        </w:rPr>
        <w:t>Doppelwerk</w:t>
      </w:r>
      <w:proofErr w:type="spellEnd"/>
      <w:r w:rsidRPr="007D4C6B">
        <w:t xml:space="preserve">. </w:t>
      </w:r>
      <w:proofErr w:type="spellStart"/>
      <w:r w:rsidRPr="007D4C6B">
        <w:t>Rheinischen</w:t>
      </w:r>
      <w:proofErr w:type="spellEnd"/>
      <w:r w:rsidRPr="007D4C6B">
        <w:t xml:space="preserve"> Friedrich-Wilhelms-Universität (Bonn)</w:t>
      </w:r>
      <w:r w:rsidRPr="007D4C6B">
        <w:rPr>
          <w:iCs/>
        </w:rPr>
        <w:t xml:space="preserve">, </w:t>
      </w:r>
      <w:r w:rsidRPr="007D4C6B">
        <w:t>1972.</w:t>
      </w:r>
      <w:r>
        <w:t xml:space="preserve"> </w:t>
      </w:r>
      <w:r w:rsidRPr="007D4C6B">
        <w:t>Ph.D. dissertation</w:t>
      </w:r>
      <w:r w:rsidRPr="007D4C6B">
        <w:rPr>
          <w:iCs/>
        </w:rPr>
        <w:t>,</w:t>
      </w:r>
    </w:p>
    <w:p w14:paraId="4B0DBD2D" w14:textId="77777777" w:rsidR="00B47A48" w:rsidRPr="007D4C6B" w:rsidRDefault="00B47A48" w:rsidP="00B47A48">
      <w:pPr>
        <w:widowControl w:val="0"/>
        <w:ind w:left="720" w:hanging="720"/>
      </w:pPr>
      <w:r w:rsidRPr="007D4C6B">
        <w:t>Wilkens</w:t>
      </w:r>
      <w:r w:rsidRPr="007D4C6B">
        <w:rPr>
          <w:iCs/>
        </w:rPr>
        <w:t xml:space="preserve">, </w:t>
      </w:r>
      <w:r w:rsidRPr="007D4C6B">
        <w:t xml:space="preserve">Wilhelm. “Luke’s Theological Structure.” </w:t>
      </w:r>
      <w:r>
        <w:rPr>
          <w:i/>
        </w:rPr>
        <w:t xml:space="preserve">Theology </w:t>
      </w:r>
      <w:r w:rsidRPr="007D4C6B">
        <w:rPr>
          <w:i/>
        </w:rPr>
        <w:t>D</w:t>
      </w:r>
      <w:r>
        <w:rPr>
          <w:i/>
        </w:rPr>
        <w:t>igest</w:t>
      </w:r>
      <w:r w:rsidRPr="007D4C6B">
        <w:t xml:space="preserve"> 27 (Spring 1979) 41-47. </w:t>
      </w:r>
      <w:r>
        <w:t>(</w:t>
      </w:r>
      <w:r w:rsidRPr="007D4C6B">
        <w:t xml:space="preserve">“Die </w:t>
      </w:r>
      <w:proofErr w:type="spellStart"/>
      <w:r w:rsidRPr="007D4C6B">
        <w:t>theologische</w:t>
      </w:r>
      <w:proofErr w:type="spellEnd"/>
      <w:r w:rsidRPr="007D4C6B">
        <w:t xml:space="preserve"> </w:t>
      </w:r>
      <w:proofErr w:type="spellStart"/>
      <w:r w:rsidRPr="007D4C6B">
        <w:t>Struktur</w:t>
      </w:r>
      <w:proofErr w:type="spellEnd"/>
      <w:r w:rsidRPr="007D4C6B">
        <w:t xml:space="preserve"> der </w:t>
      </w:r>
      <w:proofErr w:type="spellStart"/>
      <w:r w:rsidRPr="007D4C6B">
        <w:t>Komposition</w:t>
      </w:r>
      <w:proofErr w:type="spellEnd"/>
      <w:r w:rsidRPr="007D4C6B">
        <w:t xml:space="preserve"> des </w:t>
      </w:r>
      <w:proofErr w:type="spellStart"/>
      <w:r w:rsidRPr="007D4C6B">
        <w:t>Lukasevangeliums</w:t>
      </w:r>
      <w:proofErr w:type="spellEnd"/>
      <w:r w:rsidRPr="007D4C6B">
        <w:t xml:space="preserve">.” </w:t>
      </w:r>
      <w:proofErr w:type="spellStart"/>
      <w:r w:rsidRPr="00826EC1">
        <w:rPr>
          <w:i/>
        </w:rPr>
        <w:t>Theologische</w:t>
      </w:r>
      <w:proofErr w:type="spellEnd"/>
      <w:r w:rsidRPr="00826EC1">
        <w:rPr>
          <w:i/>
        </w:rPr>
        <w:t xml:space="preserve"> </w:t>
      </w:r>
      <w:proofErr w:type="spellStart"/>
      <w:r w:rsidRPr="00826EC1">
        <w:rPr>
          <w:i/>
        </w:rPr>
        <w:t>Zeitschrift</w:t>
      </w:r>
      <w:proofErr w:type="spellEnd"/>
      <w:r w:rsidRPr="007D4C6B">
        <w:t xml:space="preserve"> 34 </w:t>
      </w:r>
      <w:r>
        <w:t>[</w:t>
      </w:r>
      <w:r w:rsidRPr="007D4C6B">
        <w:t>Jan</w:t>
      </w:r>
      <w:r>
        <w:t>.</w:t>
      </w:r>
      <w:r w:rsidRPr="007D4C6B">
        <w:t>-Feb</w:t>
      </w:r>
      <w:r>
        <w:t>.</w:t>
      </w:r>
      <w:r w:rsidRPr="007D4C6B">
        <w:t xml:space="preserve"> 1978</w:t>
      </w:r>
      <w:r>
        <w:t>]</w:t>
      </w:r>
      <w:r w:rsidRPr="007D4C6B">
        <w:t xml:space="preserve"> 1-13.</w:t>
      </w:r>
      <w:r>
        <w:t>)</w:t>
      </w:r>
    </w:p>
    <w:p w14:paraId="691F3EA3" w14:textId="77777777" w:rsidR="00B47A48" w:rsidRPr="007D4C6B" w:rsidRDefault="00B47A48" w:rsidP="00B47A48">
      <w:pPr>
        <w:widowControl w:val="0"/>
        <w:ind w:left="720" w:hanging="720"/>
      </w:pPr>
      <w:r w:rsidRPr="007D4C6B">
        <w:t>Wilson</w:t>
      </w:r>
      <w:r w:rsidRPr="007D4C6B">
        <w:rPr>
          <w:iCs/>
        </w:rPr>
        <w:t xml:space="preserve">, </w:t>
      </w:r>
      <w:r w:rsidRPr="007D4C6B">
        <w:t xml:space="preserve">Stephen G. “Lukan Eschatology.” </w:t>
      </w:r>
      <w:r w:rsidRPr="007D4C6B">
        <w:rPr>
          <w:i/>
        </w:rPr>
        <w:t>N</w:t>
      </w:r>
      <w:r>
        <w:rPr>
          <w:i/>
        </w:rPr>
        <w:t xml:space="preserve">ew </w:t>
      </w:r>
      <w:r w:rsidRPr="007D4C6B">
        <w:rPr>
          <w:i/>
        </w:rPr>
        <w:t>T</w:t>
      </w:r>
      <w:r>
        <w:rPr>
          <w:i/>
        </w:rPr>
        <w:t xml:space="preserve">estament </w:t>
      </w:r>
      <w:r w:rsidRPr="007D4C6B">
        <w:rPr>
          <w:i/>
        </w:rPr>
        <w:t>S</w:t>
      </w:r>
      <w:r>
        <w:rPr>
          <w:i/>
        </w:rPr>
        <w:t>tudies</w:t>
      </w:r>
      <w:r w:rsidRPr="007D4C6B">
        <w:t xml:space="preserve"> 16 (1969-70) 330-47.</w:t>
      </w:r>
    </w:p>
    <w:p w14:paraId="6EB2E481" w14:textId="77777777" w:rsidR="00B47A48" w:rsidRPr="007D4C6B" w:rsidRDefault="00B47A48" w:rsidP="00B47A48">
      <w:pPr>
        <w:widowControl w:val="0"/>
        <w:ind w:left="720" w:hanging="720"/>
      </w:pPr>
      <w:r w:rsidRPr="007D4C6B">
        <w:t>Wilson</w:t>
      </w:r>
      <w:r w:rsidRPr="007D4C6B">
        <w:rPr>
          <w:iCs/>
        </w:rPr>
        <w:t xml:space="preserve">, </w:t>
      </w:r>
      <w:r w:rsidRPr="007D4C6B">
        <w:t xml:space="preserve">Stephen G. </w:t>
      </w:r>
      <w:r w:rsidRPr="007D4C6B">
        <w:rPr>
          <w:i/>
        </w:rPr>
        <w:t>Luke and the Law</w:t>
      </w:r>
      <w:r w:rsidRPr="007D4C6B">
        <w:t xml:space="preserve">. </w:t>
      </w:r>
      <w:r w:rsidRPr="00826EC1">
        <w:rPr>
          <w:iCs/>
        </w:rPr>
        <w:t>Society for New Testament Studies Monograph Series</w:t>
      </w:r>
      <w:r w:rsidRPr="007D4C6B">
        <w:t xml:space="preserve"> 50. </w:t>
      </w:r>
      <w:r w:rsidRPr="00E366BA">
        <w:rPr>
          <w:iCs/>
        </w:rPr>
        <w:t>Cambridge: CUP</w:t>
      </w:r>
      <w:r w:rsidRPr="007D4C6B">
        <w:rPr>
          <w:iCs/>
        </w:rPr>
        <w:t xml:space="preserve">, </w:t>
      </w:r>
      <w:r w:rsidRPr="007D4C6B">
        <w:t>1983.</w:t>
      </w:r>
    </w:p>
    <w:p w14:paraId="5FF51B47" w14:textId="77777777" w:rsidR="00B47A48" w:rsidRPr="007D4C6B" w:rsidRDefault="00B47A48" w:rsidP="00B47A48">
      <w:pPr>
        <w:widowControl w:val="0"/>
        <w:ind w:left="720" w:hanging="720"/>
      </w:pPr>
      <w:r w:rsidRPr="007D4C6B">
        <w:t>Wilson</w:t>
      </w:r>
      <w:r w:rsidRPr="007D4C6B">
        <w:rPr>
          <w:iCs/>
        </w:rPr>
        <w:t xml:space="preserve">, </w:t>
      </w:r>
      <w:r w:rsidRPr="007D4C6B">
        <w:t xml:space="preserve">Stephen G. </w:t>
      </w:r>
      <w:r w:rsidRPr="007D4C6B">
        <w:rPr>
          <w:i/>
        </w:rPr>
        <w:t>The Gentiles and the Gentile Mission in Luke-Acts</w:t>
      </w:r>
      <w:r w:rsidRPr="007D4C6B">
        <w:t xml:space="preserve">. </w:t>
      </w:r>
      <w:r w:rsidRPr="00826EC1">
        <w:rPr>
          <w:iCs/>
        </w:rPr>
        <w:t>Society for New Testament Studies Monograph Series</w:t>
      </w:r>
      <w:r w:rsidRPr="007D4C6B">
        <w:t xml:space="preserve"> 23. </w:t>
      </w:r>
      <w:r w:rsidRPr="00E366BA">
        <w:rPr>
          <w:iCs/>
        </w:rPr>
        <w:t>Cambridge: CUP</w:t>
      </w:r>
      <w:r w:rsidRPr="007D4C6B">
        <w:rPr>
          <w:iCs/>
        </w:rPr>
        <w:t xml:space="preserve">, </w:t>
      </w:r>
      <w:r w:rsidRPr="007D4C6B">
        <w:t>1973.</w:t>
      </w:r>
    </w:p>
    <w:p w14:paraId="59245AB8" w14:textId="77777777" w:rsidR="00B47A48" w:rsidRPr="007D4C6B" w:rsidRDefault="00B47A48" w:rsidP="00B47A48">
      <w:pPr>
        <w:widowControl w:val="0"/>
        <w:ind w:left="720" w:hanging="720"/>
      </w:pPr>
      <w:r w:rsidRPr="007D4C6B">
        <w:t>Worden</w:t>
      </w:r>
      <w:r w:rsidRPr="007D4C6B">
        <w:rPr>
          <w:iCs/>
        </w:rPr>
        <w:t xml:space="preserve">, </w:t>
      </w:r>
      <w:r w:rsidRPr="007D4C6B">
        <w:t xml:space="preserve">Ronald Dean. </w:t>
      </w:r>
      <w:r w:rsidRPr="007D4C6B">
        <w:rPr>
          <w:i/>
        </w:rPr>
        <w:t>A Philological Analysis of Lk 6</w:t>
      </w:r>
      <w:r w:rsidRPr="007D4C6B">
        <w:t>:</w:t>
      </w:r>
      <w:r w:rsidRPr="007D4C6B">
        <w:rPr>
          <w:i/>
        </w:rPr>
        <w:t>20b-49 and Parallels</w:t>
      </w:r>
      <w:r w:rsidRPr="007D4C6B">
        <w:t>.</w:t>
      </w:r>
      <w:r w:rsidRPr="007D4C6B">
        <w:rPr>
          <w:iCs/>
        </w:rPr>
        <w:t xml:space="preserve"> </w:t>
      </w:r>
      <w:r w:rsidRPr="007D4C6B">
        <w:t>Princeton</w:t>
      </w:r>
      <w:r>
        <w:t>:</w:t>
      </w:r>
      <w:r w:rsidRPr="007D4C6B">
        <w:t xml:space="preserve"> Princeton Theological Seminary</w:t>
      </w:r>
      <w:r w:rsidRPr="007D4C6B">
        <w:rPr>
          <w:iCs/>
        </w:rPr>
        <w:t xml:space="preserve">, </w:t>
      </w:r>
      <w:r w:rsidRPr="007D4C6B">
        <w:t>1973.</w:t>
      </w:r>
      <w:r>
        <w:t xml:space="preserve"> </w:t>
      </w:r>
      <w:r w:rsidRPr="007D4C6B">
        <w:t>Ph.D. dissertation</w:t>
      </w:r>
      <w:r>
        <w:t>.</w:t>
      </w:r>
    </w:p>
    <w:p w14:paraId="62B91C35" w14:textId="77777777" w:rsidR="00B47A48" w:rsidRDefault="00B47A48" w:rsidP="00B47A48">
      <w:pPr>
        <w:widowControl w:val="0"/>
      </w:pPr>
    </w:p>
    <w:p w14:paraId="76885F31" w14:textId="77777777" w:rsidR="00B8667C" w:rsidRDefault="00B8667C" w:rsidP="00B47A48">
      <w:pPr>
        <w:widowControl w:val="0"/>
      </w:pPr>
    </w:p>
    <w:p w14:paraId="1D5230E3" w14:textId="77777777" w:rsidR="00B47A48" w:rsidRPr="00B3722B" w:rsidRDefault="00B47A48" w:rsidP="00B3722B">
      <w:pPr>
        <w:pStyle w:val="Heading2"/>
      </w:pPr>
      <w:bookmarkStart w:id="107" w:name="_Toc147618663"/>
      <w:r w:rsidRPr="00B3722B">
        <w:t>2. Other Works</w:t>
      </w:r>
      <w:bookmarkEnd w:id="107"/>
    </w:p>
    <w:p w14:paraId="6F730164" w14:textId="77777777" w:rsidR="00B47A48" w:rsidRDefault="00B47A48" w:rsidP="00B47A48">
      <w:pPr>
        <w:widowControl w:val="0"/>
      </w:pPr>
    </w:p>
    <w:p w14:paraId="2A094141" w14:textId="77777777" w:rsidR="00B47A48" w:rsidRPr="007D4C6B" w:rsidRDefault="00B47A48" w:rsidP="00B47A48">
      <w:pPr>
        <w:widowControl w:val="0"/>
        <w:ind w:left="720" w:hanging="720"/>
      </w:pPr>
      <w:r w:rsidRPr="007D4C6B">
        <w:t>Aland, Kurt</w:t>
      </w:r>
      <w:r w:rsidRPr="00DC3006">
        <w:rPr>
          <w:iCs/>
        </w:rPr>
        <w:t xml:space="preserve">. Ed. </w:t>
      </w:r>
      <w:r w:rsidRPr="007D4C6B">
        <w:rPr>
          <w:i/>
        </w:rPr>
        <w:t>Synopsis of the Four Gospels</w:t>
      </w:r>
      <w:r w:rsidRPr="007D4C6B">
        <w:t xml:space="preserve">: </w:t>
      </w:r>
      <w:r w:rsidRPr="007D4C6B">
        <w:rPr>
          <w:i/>
        </w:rPr>
        <w:t xml:space="preserve">Greek-English Edition of the Synopsis </w:t>
      </w:r>
      <w:proofErr w:type="spellStart"/>
      <w:r w:rsidRPr="007D4C6B">
        <w:rPr>
          <w:i/>
        </w:rPr>
        <w:t>Quattuor</w:t>
      </w:r>
      <w:proofErr w:type="spellEnd"/>
      <w:r w:rsidRPr="007D4C6B">
        <w:rPr>
          <w:i/>
        </w:rPr>
        <w:t xml:space="preserve"> </w:t>
      </w:r>
      <w:proofErr w:type="spellStart"/>
      <w:r w:rsidRPr="007D4C6B">
        <w:rPr>
          <w:i/>
        </w:rPr>
        <w:t>Evangeliorum</w:t>
      </w:r>
      <w:proofErr w:type="spellEnd"/>
      <w:r w:rsidRPr="007D4C6B">
        <w:t xml:space="preserve">. </w:t>
      </w:r>
      <w:r w:rsidRPr="007D4C6B">
        <w:rPr>
          <w:i/>
        </w:rPr>
        <w:t>Completely Revised on the Basis of the Greek Text of Nestle-Aland 26th Edition and Greek New Testament 3rd Edition</w:t>
      </w:r>
      <w:r w:rsidRPr="007D4C6B">
        <w:t xml:space="preserve">; </w:t>
      </w:r>
      <w:r w:rsidRPr="007D4C6B">
        <w:rPr>
          <w:i/>
        </w:rPr>
        <w:t>the English Text is the Second Edition of the Revised Standard Version</w:t>
      </w:r>
      <w:r w:rsidRPr="007D4C6B">
        <w:t>. London: United Bible Societies, 1972, 1975 (2d rev. ed.), 1979 (3rd corrected ed.).</w:t>
      </w:r>
    </w:p>
    <w:p w14:paraId="4019320E" w14:textId="77777777" w:rsidR="00B47A48" w:rsidRPr="007D4C6B" w:rsidRDefault="00B47A48" w:rsidP="00B47A48">
      <w:pPr>
        <w:widowControl w:val="0"/>
        <w:ind w:left="720" w:hanging="720"/>
      </w:pPr>
      <w:r w:rsidRPr="007D4C6B">
        <w:t xml:space="preserve">Aland, Kurt, Matthew Black, Carlo M. Martini, Bruce M. Metzger, and Allen Wikgren. </w:t>
      </w:r>
      <w:r w:rsidRPr="007D4C6B">
        <w:rPr>
          <w:i/>
        </w:rPr>
        <w:t>Greek-English New Testament</w:t>
      </w:r>
      <w:r w:rsidRPr="007D4C6B">
        <w:t xml:space="preserve">. Critical apparatuses by Kurt Aland and Barbara Aland, with the Institute for New Testament Textual Research. Stuttgart: Deutsche </w:t>
      </w:r>
      <w:proofErr w:type="spellStart"/>
      <w:r w:rsidRPr="007D4C6B">
        <w:t>Bibelgesellschaft</w:t>
      </w:r>
      <w:proofErr w:type="spellEnd"/>
      <w:r w:rsidRPr="007D4C6B">
        <w:t xml:space="preserve">, 1981. </w:t>
      </w:r>
      <w:r>
        <w:t>(</w:t>
      </w:r>
      <w:r w:rsidRPr="007D4C6B">
        <w:t xml:space="preserve">The 26th ed. of Eberhard Nestle’s </w:t>
      </w:r>
      <w:r w:rsidRPr="007D4C6B">
        <w:rPr>
          <w:i/>
        </w:rPr>
        <w:t xml:space="preserve">Novum </w:t>
      </w:r>
      <w:proofErr w:type="spellStart"/>
      <w:r w:rsidRPr="007D4C6B">
        <w:rPr>
          <w:i/>
        </w:rPr>
        <w:t>Testamentum</w:t>
      </w:r>
      <w:proofErr w:type="spellEnd"/>
      <w:r w:rsidRPr="007D4C6B">
        <w:rPr>
          <w:i/>
        </w:rPr>
        <w:t xml:space="preserve"> </w:t>
      </w:r>
      <w:proofErr w:type="spellStart"/>
      <w:r w:rsidRPr="007D4C6B">
        <w:rPr>
          <w:i/>
        </w:rPr>
        <w:t>graece</w:t>
      </w:r>
      <w:proofErr w:type="spellEnd"/>
      <w:r w:rsidRPr="007D4C6B">
        <w:t xml:space="preserve"> (1979) (popularly, </w:t>
      </w:r>
      <w:r w:rsidRPr="007D4C6B">
        <w:rPr>
          <w:i/>
        </w:rPr>
        <w:t>Nestle-Aland</w:t>
      </w:r>
      <w:r w:rsidRPr="007D4C6B">
        <w:t xml:space="preserve">) and the </w:t>
      </w:r>
      <w:r w:rsidRPr="0029762C">
        <w:rPr>
          <w:iCs/>
        </w:rPr>
        <w:t>2nd ed.</w:t>
      </w:r>
      <w:r w:rsidRPr="007D4C6B">
        <w:t xml:space="preserve"> of the Revised Standard Version New Testament (1971) are on facing pages.</w:t>
      </w:r>
      <w:r>
        <w:t>)</w:t>
      </w:r>
    </w:p>
    <w:p w14:paraId="21A21BF4" w14:textId="77777777" w:rsidR="00B47A48" w:rsidRPr="007D4C6B" w:rsidRDefault="00B47A48" w:rsidP="00B47A48">
      <w:pPr>
        <w:widowControl w:val="0"/>
        <w:ind w:left="720" w:hanging="720"/>
      </w:pPr>
      <w:r w:rsidRPr="007D4C6B">
        <w:t xml:space="preserve">Albright, </w:t>
      </w:r>
      <w:r w:rsidRPr="00E366BA">
        <w:rPr>
          <w:iCs/>
        </w:rPr>
        <w:t>W.F.</w:t>
      </w:r>
      <w:r w:rsidRPr="007D4C6B">
        <w:t xml:space="preserve">, and </w:t>
      </w:r>
      <w:r w:rsidRPr="00E95268">
        <w:rPr>
          <w:iCs/>
        </w:rPr>
        <w:t>C.S.</w:t>
      </w:r>
      <w:r w:rsidRPr="007D4C6B">
        <w:t xml:space="preserve"> Mann. </w:t>
      </w:r>
      <w:r w:rsidRPr="007D4C6B">
        <w:rPr>
          <w:i/>
        </w:rPr>
        <w:t>Matthew</w:t>
      </w:r>
      <w:r w:rsidRPr="007D4C6B">
        <w:t>.</w:t>
      </w:r>
      <w:r w:rsidRPr="000644ED">
        <w:rPr>
          <w:iCs/>
        </w:rPr>
        <w:t xml:space="preserve"> Anchor Bible </w:t>
      </w:r>
      <w:r w:rsidRPr="007D4C6B">
        <w:t xml:space="preserve">26. </w:t>
      </w:r>
      <w:r w:rsidRPr="00DC3006">
        <w:rPr>
          <w:iCs/>
        </w:rPr>
        <w:t>Garden City NY</w:t>
      </w:r>
      <w:r w:rsidRPr="007D4C6B">
        <w:t>: Doubleday, 1971.</w:t>
      </w:r>
    </w:p>
    <w:p w14:paraId="63172373" w14:textId="77777777" w:rsidR="00B47A48" w:rsidRPr="007D4C6B" w:rsidRDefault="00B47A48" w:rsidP="00B47A48">
      <w:pPr>
        <w:widowControl w:val="0"/>
        <w:ind w:left="720" w:hanging="720"/>
      </w:pPr>
      <w:r w:rsidRPr="007D4C6B">
        <w:t xml:space="preserve">Argyle, </w:t>
      </w:r>
      <w:r w:rsidRPr="000644ED">
        <w:rPr>
          <w:iCs/>
        </w:rPr>
        <w:t>A.W.</w:t>
      </w:r>
      <w:r w:rsidRPr="007D4C6B">
        <w:t xml:space="preserve"> </w:t>
      </w:r>
      <w:r w:rsidRPr="007D4C6B">
        <w:rPr>
          <w:i/>
        </w:rPr>
        <w:t>The Gospel According to Matthew</w:t>
      </w:r>
      <w:r w:rsidRPr="007D4C6B">
        <w:t xml:space="preserve">. The Cambridge Bible Commentary: New English Bible. </w:t>
      </w:r>
      <w:r w:rsidRPr="00E366BA">
        <w:rPr>
          <w:iCs/>
        </w:rPr>
        <w:t>Cambridge: CUP</w:t>
      </w:r>
      <w:r w:rsidRPr="007D4C6B">
        <w:t>, 1963.</w:t>
      </w:r>
    </w:p>
    <w:p w14:paraId="09B7DB62" w14:textId="77777777" w:rsidR="00B47A48" w:rsidRPr="007D4C6B" w:rsidRDefault="00B47A48" w:rsidP="00B47A48">
      <w:pPr>
        <w:widowControl w:val="0"/>
        <w:ind w:left="720" w:hanging="720"/>
      </w:pPr>
      <w:r w:rsidRPr="007D4C6B">
        <w:t xml:space="preserve">Aristotle. </w:t>
      </w:r>
      <w:r w:rsidRPr="007D4C6B">
        <w:rPr>
          <w:i/>
        </w:rPr>
        <w:t>Poetics</w:t>
      </w:r>
      <w:r w:rsidRPr="007D4C6B">
        <w:t xml:space="preserve">. In </w:t>
      </w:r>
      <w:r w:rsidRPr="007D4C6B">
        <w:rPr>
          <w:i/>
        </w:rPr>
        <w:t>The Basic Works of Aristotle</w:t>
      </w:r>
      <w:r w:rsidRPr="007D4C6B">
        <w:t>. Ed. Richard McKeon. New York: Random House, 1941.</w:t>
      </w:r>
    </w:p>
    <w:p w14:paraId="6D67E197" w14:textId="77777777" w:rsidR="00B47A48" w:rsidRPr="007D4C6B" w:rsidRDefault="00B47A48" w:rsidP="00B47A48">
      <w:pPr>
        <w:widowControl w:val="0"/>
        <w:ind w:left="720" w:hanging="720"/>
      </w:pPr>
      <w:r w:rsidRPr="007D4C6B">
        <w:t xml:space="preserve">Aristotle. </w:t>
      </w:r>
      <w:r w:rsidRPr="007D4C6B">
        <w:rPr>
          <w:i/>
        </w:rPr>
        <w:t>Rhetoric</w:t>
      </w:r>
      <w:r w:rsidRPr="007D4C6B">
        <w:t xml:space="preserve">. In </w:t>
      </w:r>
      <w:r w:rsidRPr="007D4C6B">
        <w:rPr>
          <w:i/>
        </w:rPr>
        <w:t>The Basic Works of Aristotle</w:t>
      </w:r>
      <w:r w:rsidRPr="007D4C6B">
        <w:t>. Ed. Richard McKeon. New York: Random House, 1941.</w:t>
      </w:r>
    </w:p>
    <w:p w14:paraId="45465764" w14:textId="77777777" w:rsidR="00B47A48" w:rsidRPr="007D4C6B" w:rsidRDefault="00B47A48" w:rsidP="00B47A48">
      <w:pPr>
        <w:widowControl w:val="0"/>
        <w:ind w:left="720" w:hanging="720"/>
      </w:pPr>
      <w:r w:rsidRPr="007D4C6B">
        <w:t xml:space="preserve">Bacon, Benjamin W. </w:t>
      </w:r>
      <w:r w:rsidRPr="007D4C6B">
        <w:rPr>
          <w:i/>
        </w:rPr>
        <w:t>Studies in Matthew</w:t>
      </w:r>
      <w:r w:rsidRPr="007D4C6B">
        <w:t>. New York: Henry Holt, 1930.</w:t>
      </w:r>
    </w:p>
    <w:p w14:paraId="369362C8" w14:textId="77777777" w:rsidR="00B47A48" w:rsidRPr="007D4C6B" w:rsidRDefault="00B47A48" w:rsidP="00B47A48">
      <w:pPr>
        <w:widowControl w:val="0"/>
        <w:ind w:left="720" w:hanging="720"/>
      </w:pPr>
      <w:r w:rsidRPr="007D4C6B">
        <w:t xml:space="preserve">Baird, </w:t>
      </w:r>
      <w:r w:rsidRPr="000644ED">
        <w:rPr>
          <w:iCs/>
        </w:rPr>
        <w:t>J.A.</w:t>
      </w:r>
      <w:r w:rsidRPr="007D4C6B">
        <w:t xml:space="preserve"> </w:t>
      </w:r>
      <w:r w:rsidRPr="007D4C6B">
        <w:rPr>
          <w:i/>
        </w:rPr>
        <w:t>Audience Criticism and the Historical Jesus</w:t>
      </w:r>
      <w:r w:rsidRPr="007D4C6B">
        <w:t xml:space="preserve">. </w:t>
      </w:r>
      <w:r w:rsidRPr="00E366BA">
        <w:rPr>
          <w:iCs/>
        </w:rPr>
        <w:t>Westminster MD</w:t>
      </w:r>
      <w:r w:rsidRPr="007D4C6B">
        <w:t>: 1969.</w:t>
      </w:r>
    </w:p>
    <w:p w14:paraId="4F41691F" w14:textId="77777777" w:rsidR="00B47A48" w:rsidRPr="007D4C6B" w:rsidRDefault="00B47A48" w:rsidP="00B47A48">
      <w:pPr>
        <w:widowControl w:val="0"/>
        <w:ind w:left="720" w:hanging="720"/>
      </w:pPr>
      <w:r w:rsidRPr="007D4C6B">
        <w:t xml:space="preserve">Baldwin, Charles Sears. </w:t>
      </w:r>
      <w:r w:rsidRPr="007D4C6B">
        <w:rPr>
          <w:i/>
        </w:rPr>
        <w:t>Ancient Rhetoric and Poetic Interpreted from Representative Works</w:t>
      </w:r>
      <w:r w:rsidRPr="007D4C6B">
        <w:t>. New York: Macmillan, 1924.</w:t>
      </w:r>
    </w:p>
    <w:p w14:paraId="1B6ABBA1" w14:textId="77777777" w:rsidR="00B47A48" w:rsidRPr="007D4C6B" w:rsidRDefault="00B47A48" w:rsidP="00B47A48">
      <w:pPr>
        <w:widowControl w:val="0"/>
        <w:ind w:left="720" w:hanging="720"/>
      </w:pPr>
      <w:r w:rsidRPr="007D4C6B">
        <w:t xml:space="preserve">Baldwin, Charles Sears. </w:t>
      </w:r>
      <w:r w:rsidRPr="007D4C6B">
        <w:rPr>
          <w:i/>
        </w:rPr>
        <w:t>Medieval Rhetoric and Poetic</w:t>
      </w:r>
      <w:r w:rsidRPr="007D4C6B">
        <w:rPr>
          <w:iCs/>
        </w:rPr>
        <w:t xml:space="preserve"> (</w:t>
      </w:r>
      <w:r w:rsidRPr="007D4C6B">
        <w:rPr>
          <w:i/>
        </w:rPr>
        <w:t>to 1400</w:t>
      </w:r>
      <w:r w:rsidRPr="007D4C6B">
        <w:rPr>
          <w:iCs/>
        </w:rPr>
        <w:t xml:space="preserve">) </w:t>
      </w:r>
      <w:r w:rsidRPr="007D4C6B">
        <w:rPr>
          <w:i/>
        </w:rPr>
        <w:t>Interpreted from Representative Works</w:t>
      </w:r>
      <w:r w:rsidRPr="007D4C6B">
        <w:t>. New York: Macmillan, 1928</w:t>
      </w:r>
      <w:r>
        <w:t>.</w:t>
      </w:r>
      <w:r w:rsidRPr="007D4C6B">
        <w:t xml:space="preserve"> Rpt. ed. Gloucester MA: Peter Smith, 1959.</w:t>
      </w:r>
    </w:p>
    <w:p w14:paraId="68ACE282" w14:textId="17A97ED9" w:rsidR="00B47A48" w:rsidRPr="007D4C6B" w:rsidRDefault="00B47A48" w:rsidP="00B47A48">
      <w:pPr>
        <w:widowControl w:val="0"/>
        <w:ind w:left="720" w:hanging="720"/>
      </w:pPr>
      <w:r w:rsidRPr="007D4C6B">
        <w:t xml:space="preserve">Barr, Allan. </w:t>
      </w:r>
      <w:r w:rsidRPr="007D4C6B">
        <w:rPr>
          <w:i/>
        </w:rPr>
        <w:t>Diagram of Synoptic Relationships</w:t>
      </w:r>
      <w:r w:rsidRPr="007D4C6B">
        <w:t>.</w:t>
      </w:r>
      <w:r>
        <w:t xml:space="preserve"> </w:t>
      </w:r>
      <w:r w:rsidRPr="007D4C6B">
        <w:t xml:space="preserve">1966. </w:t>
      </w:r>
      <w:r>
        <w:t>2nd. ed.</w:t>
      </w:r>
      <w:r w:rsidRPr="007D4C6B">
        <w:t xml:space="preserve"> Edinburgh: Clark, </w:t>
      </w:r>
      <w:r>
        <w:t>2000.</w:t>
      </w:r>
    </w:p>
    <w:p w14:paraId="4B7A78F5" w14:textId="77777777" w:rsidR="00B47A48" w:rsidRPr="007D4C6B" w:rsidRDefault="00B47A48" w:rsidP="00B47A48">
      <w:pPr>
        <w:widowControl w:val="0"/>
        <w:ind w:left="720" w:hanging="720"/>
      </w:pPr>
      <w:r w:rsidRPr="007D4C6B">
        <w:t xml:space="preserve">Barthes, Roland, et al. </w:t>
      </w:r>
      <w:r w:rsidRPr="00E5413C">
        <w:rPr>
          <w:i/>
          <w:lang w:val="fr-FR"/>
        </w:rPr>
        <w:t>Analyse structurale et exégèse biblique</w:t>
      </w:r>
      <w:r w:rsidRPr="00E5413C">
        <w:rPr>
          <w:lang w:val="fr-FR"/>
        </w:rPr>
        <w:t xml:space="preserve">: </w:t>
      </w:r>
      <w:r w:rsidRPr="00E5413C">
        <w:rPr>
          <w:i/>
          <w:lang w:val="fr-FR"/>
        </w:rPr>
        <w:t>essais d</w:t>
      </w:r>
      <w:r w:rsidRPr="00E5413C">
        <w:rPr>
          <w:lang w:val="fr-FR"/>
        </w:rPr>
        <w:t>’</w:t>
      </w:r>
      <w:r w:rsidRPr="00E5413C">
        <w:rPr>
          <w:i/>
          <w:lang w:val="fr-FR"/>
        </w:rPr>
        <w:t>interprétation</w:t>
      </w:r>
      <w:r w:rsidRPr="00E5413C">
        <w:rPr>
          <w:lang w:val="fr-FR"/>
        </w:rPr>
        <w:t xml:space="preserve">. </w:t>
      </w:r>
      <w:r w:rsidRPr="007D4C6B">
        <w:t xml:space="preserve">Neuchâtel: </w:t>
      </w:r>
      <w:proofErr w:type="spellStart"/>
      <w:r w:rsidRPr="007D4C6B">
        <w:t>Delachaux</w:t>
      </w:r>
      <w:proofErr w:type="spellEnd"/>
      <w:r w:rsidRPr="007D4C6B">
        <w:t xml:space="preserve"> et </w:t>
      </w:r>
      <w:proofErr w:type="spellStart"/>
      <w:r w:rsidRPr="007D4C6B">
        <w:t>Niestlé</w:t>
      </w:r>
      <w:proofErr w:type="spellEnd"/>
      <w:r w:rsidRPr="007D4C6B">
        <w:t>, 1972.</w:t>
      </w:r>
    </w:p>
    <w:p w14:paraId="347F1FC7" w14:textId="77777777" w:rsidR="00B47A48" w:rsidRPr="007D4C6B" w:rsidRDefault="00B47A48" w:rsidP="00B47A48">
      <w:pPr>
        <w:widowControl w:val="0"/>
        <w:ind w:left="720" w:hanging="720"/>
      </w:pPr>
      <w:r w:rsidRPr="007D4C6B">
        <w:lastRenderedPageBreak/>
        <w:t xml:space="preserve">Barthes, Roland. “The Reality Effect.” In </w:t>
      </w:r>
      <w:r w:rsidRPr="007D4C6B">
        <w:rPr>
          <w:i/>
        </w:rPr>
        <w:t>French Literary Theory Today</w:t>
      </w:r>
      <w:r w:rsidRPr="007D4C6B">
        <w:t xml:space="preserve">: </w:t>
      </w:r>
      <w:r w:rsidRPr="007D4C6B">
        <w:rPr>
          <w:i/>
        </w:rPr>
        <w:t>A Reader</w:t>
      </w:r>
      <w:r w:rsidRPr="007D4C6B">
        <w:t xml:space="preserve">. </w:t>
      </w:r>
      <w:r w:rsidRPr="00E5413C">
        <w:rPr>
          <w:lang w:val="fr-FR"/>
        </w:rPr>
        <w:t xml:space="preserve">Trans. R. Carter. </w:t>
      </w:r>
      <w:r w:rsidRPr="00E5413C">
        <w:rPr>
          <w:iCs/>
          <w:lang w:val="fr-FR"/>
        </w:rPr>
        <w:t>Cambridge: CUP</w:t>
      </w:r>
      <w:r w:rsidRPr="00E5413C">
        <w:rPr>
          <w:lang w:val="fr-FR"/>
        </w:rPr>
        <w:t xml:space="preserve">; Paris: Éditions de la Maison des Sciences de l’Homme, 1982. </w:t>
      </w:r>
      <w:r w:rsidRPr="007D4C6B">
        <w:t>(Originally published as “</w:t>
      </w:r>
      <w:proofErr w:type="spellStart"/>
      <w:r w:rsidRPr="007D4C6B">
        <w:t>L’effet</w:t>
      </w:r>
      <w:proofErr w:type="spellEnd"/>
      <w:r w:rsidRPr="007D4C6B">
        <w:t xml:space="preserve"> du </w:t>
      </w:r>
      <w:proofErr w:type="spellStart"/>
      <w:r w:rsidRPr="007D4C6B">
        <w:t>réel</w:t>
      </w:r>
      <w:proofErr w:type="spellEnd"/>
      <w:r w:rsidRPr="007D4C6B">
        <w:t xml:space="preserve">,” </w:t>
      </w:r>
      <w:r w:rsidRPr="007D4C6B">
        <w:rPr>
          <w:i/>
        </w:rPr>
        <w:t>Communications</w:t>
      </w:r>
      <w:r w:rsidRPr="007D4C6B">
        <w:t xml:space="preserve"> 11 [1968] 84-89.)</w:t>
      </w:r>
    </w:p>
    <w:p w14:paraId="0BF2E7CB" w14:textId="77777777" w:rsidR="00B47A48" w:rsidRPr="007D4C6B" w:rsidRDefault="00B47A48" w:rsidP="00B47A48">
      <w:pPr>
        <w:widowControl w:val="0"/>
        <w:ind w:left="720" w:hanging="720"/>
      </w:pPr>
      <w:r w:rsidRPr="007D4C6B">
        <w:t xml:space="preserve">Bauer, Walter. </w:t>
      </w:r>
      <w:r w:rsidRPr="007D4C6B">
        <w:rPr>
          <w:i/>
        </w:rPr>
        <w:t>A Greek-English Lexicon of the New Testament and Other Early Christian Literature</w:t>
      </w:r>
      <w:r w:rsidRPr="007D4C6B">
        <w:t xml:space="preserve">. Translated and adapted by William F. Arndt and F. Wilbur Gingrich. </w:t>
      </w:r>
      <w:r w:rsidRPr="0029762C">
        <w:rPr>
          <w:iCs/>
        </w:rPr>
        <w:t>2nd ed.</w:t>
      </w:r>
      <w:r w:rsidRPr="007D4C6B">
        <w:t xml:space="preserve">, revised and augmented by F. Wilbur Gingrich and Frederick W. Danker. </w:t>
      </w:r>
      <w:r w:rsidRPr="000644ED">
        <w:rPr>
          <w:iCs/>
        </w:rPr>
        <w:t>Chicago: U of Chicago P</w:t>
      </w:r>
      <w:r w:rsidRPr="007D4C6B">
        <w:t>, 1957, 1979</w:t>
      </w:r>
      <w:r w:rsidRPr="007D4C6B">
        <w:rPr>
          <w:vertAlign w:val="superscript"/>
        </w:rPr>
        <w:t>2</w:t>
      </w:r>
      <w:r w:rsidRPr="007D4C6B">
        <w:t xml:space="preserve">. </w:t>
      </w:r>
      <w:r>
        <w:t>(</w:t>
      </w:r>
      <w:r w:rsidRPr="007D4C6B">
        <w:t xml:space="preserve">Bauer’s lexicon began as a revision of Erwin Preuschen’s Greek-German lexicon of 1910, so that Bauer’s work never had a 1st ed.: </w:t>
      </w:r>
      <w:proofErr w:type="spellStart"/>
      <w:r w:rsidRPr="007D4C6B">
        <w:rPr>
          <w:i/>
        </w:rPr>
        <w:t>Griechisch-Deutsches</w:t>
      </w:r>
      <w:proofErr w:type="spellEnd"/>
      <w:r w:rsidRPr="007D4C6B">
        <w:rPr>
          <w:i/>
        </w:rPr>
        <w:t xml:space="preserve"> </w:t>
      </w:r>
      <w:proofErr w:type="spellStart"/>
      <w:r w:rsidRPr="007D4C6B">
        <w:rPr>
          <w:i/>
        </w:rPr>
        <w:t>Wörterbuch</w:t>
      </w:r>
      <w:proofErr w:type="spellEnd"/>
      <w:r w:rsidRPr="007D4C6B">
        <w:rPr>
          <w:i/>
        </w:rPr>
        <w:t xml:space="preserve"> </w:t>
      </w:r>
      <w:proofErr w:type="spellStart"/>
      <w:r w:rsidRPr="007D4C6B">
        <w:rPr>
          <w:i/>
        </w:rPr>
        <w:t>zu</w:t>
      </w:r>
      <w:proofErr w:type="spellEnd"/>
      <w:r w:rsidRPr="007D4C6B">
        <w:rPr>
          <w:i/>
        </w:rPr>
        <w:t xml:space="preserve"> den </w:t>
      </w:r>
      <w:proofErr w:type="spellStart"/>
      <w:r w:rsidRPr="007D4C6B">
        <w:rPr>
          <w:i/>
        </w:rPr>
        <w:t>Schriften</w:t>
      </w:r>
      <w:proofErr w:type="spellEnd"/>
      <w:r w:rsidRPr="007D4C6B">
        <w:rPr>
          <w:i/>
        </w:rPr>
        <w:t xml:space="preserve"> des Neuen Testaments und der </w:t>
      </w:r>
      <w:proofErr w:type="spellStart"/>
      <w:r w:rsidRPr="007D4C6B">
        <w:rPr>
          <w:i/>
        </w:rPr>
        <w:t>übrigen</w:t>
      </w:r>
      <w:proofErr w:type="spellEnd"/>
      <w:r w:rsidRPr="007D4C6B">
        <w:rPr>
          <w:i/>
        </w:rPr>
        <w:t xml:space="preserve"> </w:t>
      </w:r>
      <w:proofErr w:type="spellStart"/>
      <w:r w:rsidRPr="007D4C6B">
        <w:rPr>
          <w:i/>
        </w:rPr>
        <w:t>urchristlichen</w:t>
      </w:r>
      <w:proofErr w:type="spellEnd"/>
      <w:r w:rsidRPr="007D4C6B">
        <w:rPr>
          <w:i/>
        </w:rPr>
        <w:t xml:space="preserve"> </w:t>
      </w:r>
      <w:proofErr w:type="spellStart"/>
      <w:r w:rsidRPr="007D4C6B">
        <w:rPr>
          <w:i/>
        </w:rPr>
        <w:t>Literatur</w:t>
      </w:r>
      <w:proofErr w:type="spellEnd"/>
      <w:r w:rsidRPr="007D4C6B">
        <w:t>, Giessen, 1928</w:t>
      </w:r>
      <w:r w:rsidRPr="007D4C6B">
        <w:rPr>
          <w:vertAlign w:val="superscript"/>
        </w:rPr>
        <w:t>2</w:t>
      </w:r>
      <w:r w:rsidRPr="007D4C6B">
        <w:t>; Berlin, 1937</w:t>
      </w:r>
      <w:r w:rsidRPr="007D4C6B">
        <w:rPr>
          <w:vertAlign w:val="superscript"/>
        </w:rPr>
        <w:t>3</w:t>
      </w:r>
      <w:r w:rsidRPr="007D4C6B">
        <w:t>; Berlin, 1949-52</w:t>
      </w:r>
      <w:r w:rsidRPr="007D4C6B">
        <w:rPr>
          <w:vertAlign w:val="superscript"/>
        </w:rPr>
        <w:t>4</w:t>
      </w:r>
      <w:r w:rsidRPr="007D4C6B">
        <w:t>; 1957-58</w:t>
      </w:r>
      <w:r w:rsidRPr="007D4C6B">
        <w:rPr>
          <w:vertAlign w:val="superscript"/>
        </w:rPr>
        <w:t>5</w:t>
      </w:r>
      <w:r w:rsidRPr="007D4C6B">
        <w:t>.</w:t>
      </w:r>
      <w:r>
        <w:t>)</w:t>
      </w:r>
    </w:p>
    <w:p w14:paraId="00B309B4" w14:textId="77777777" w:rsidR="00B47A48" w:rsidRPr="007D4C6B" w:rsidRDefault="00B47A48" w:rsidP="00B47A48">
      <w:pPr>
        <w:widowControl w:val="0"/>
        <w:ind w:left="720" w:hanging="720"/>
      </w:pPr>
      <w:r w:rsidRPr="007D4C6B">
        <w:t xml:space="preserve">Bauman, Clarence. </w:t>
      </w:r>
      <w:r w:rsidRPr="007D4C6B">
        <w:rPr>
          <w:i/>
        </w:rPr>
        <w:t>The Sermon on the Mount</w:t>
      </w:r>
      <w:r w:rsidRPr="007D4C6B">
        <w:t xml:space="preserve">: </w:t>
      </w:r>
      <w:r w:rsidRPr="007D4C6B">
        <w:rPr>
          <w:i/>
        </w:rPr>
        <w:t>The Modern Quest for Its Meaning</w:t>
      </w:r>
      <w:r w:rsidRPr="007D4C6B">
        <w:t xml:space="preserve">. </w:t>
      </w:r>
      <w:r w:rsidRPr="000644ED">
        <w:rPr>
          <w:iCs/>
        </w:rPr>
        <w:t>Macon GA</w:t>
      </w:r>
      <w:r w:rsidRPr="007D4C6B">
        <w:t>: Mercer University, 1985.</w:t>
      </w:r>
    </w:p>
    <w:p w14:paraId="6F87DF48" w14:textId="77777777" w:rsidR="00B47A48" w:rsidRPr="007D4C6B" w:rsidRDefault="00B47A48" w:rsidP="00B47A48">
      <w:pPr>
        <w:widowControl w:val="0"/>
        <w:ind w:left="720" w:hanging="720"/>
      </w:pPr>
      <w:r w:rsidRPr="007D4C6B">
        <w:t xml:space="preserve">Baur, Ferdinand Christian. </w:t>
      </w:r>
      <w:r w:rsidRPr="007D4C6B">
        <w:rPr>
          <w:i/>
        </w:rPr>
        <w:t>The Church History of the First Three Centuries</w:t>
      </w:r>
      <w:r w:rsidRPr="007D4C6B">
        <w:t>. Ed</w:t>
      </w:r>
      <w:r>
        <w:t>.</w:t>
      </w:r>
      <w:r w:rsidRPr="007D4C6B">
        <w:t xml:space="preserve"> and trans</w:t>
      </w:r>
      <w:r>
        <w:t>.</w:t>
      </w:r>
      <w:r w:rsidRPr="007D4C6B">
        <w:t xml:space="preserve"> Allan Menzies. Theological Translation Fund Library vols. 16 and 20. 2 vols. London: Williams </w:t>
      </w:r>
      <w:r>
        <w:t>and</w:t>
      </w:r>
      <w:r w:rsidRPr="007D4C6B">
        <w:t xml:space="preserve"> Norgate, 1878. </w:t>
      </w:r>
      <w:r>
        <w:t>(</w:t>
      </w:r>
      <w:r w:rsidRPr="007D4C6B">
        <w:rPr>
          <w:i/>
        </w:rPr>
        <w:t xml:space="preserve">Das </w:t>
      </w:r>
      <w:proofErr w:type="spellStart"/>
      <w:r w:rsidRPr="007D4C6B">
        <w:rPr>
          <w:i/>
        </w:rPr>
        <w:t>Christentum</w:t>
      </w:r>
      <w:proofErr w:type="spellEnd"/>
      <w:r w:rsidRPr="007D4C6B">
        <w:rPr>
          <w:i/>
        </w:rPr>
        <w:t xml:space="preserve"> und die </w:t>
      </w:r>
      <w:proofErr w:type="spellStart"/>
      <w:r w:rsidRPr="007D4C6B">
        <w:rPr>
          <w:i/>
        </w:rPr>
        <w:t>christliche</w:t>
      </w:r>
      <w:proofErr w:type="spellEnd"/>
      <w:r w:rsidRPr="007D4C6B">
        <w:rPr>
          <w:i/>
        </w:rPr>
        <w:t xml:space="preserve"> Kirche der </w:t>
      </w:r>
      <w:proofErr w:type="spellStart"/>
      <w:r w:rsidRPr="007D4C6B">
        <w:rPr>
          <w:i/>
        </w:rPr>
        <w:t>drei</w:t>
      </w:r>
      <w:proofErr w:type="spellEnd"/>
      <w:r w:rsidRPr="007D4C6B">
        <w:rPr>
          <w:i/>
        </w:rPr>
        <w:t xml:space="preserve"> </w:t>
      </w:r>
      <w:proofErr w:type="spellStart"/>
      <w:r w:rsidRPr="007D4C6B">
        <w:rPr>
          <w:i/>
        </w:rPr>
        <w:t>ersten</w:t>
      </w:r>
      <w:proofErr w:type="spellEnd"/>
      <w:r w:rsidRPr="007D4C6B">
        <w:rPr>
          <w:i/>
        </w:rPr>
        <w:t xml:space="preserve"> </w:t>
      </w:r>
      <w:proofErr w:type="spellStart"/>
      <w:r w:rsidRPr="007D4C6B">
        <w:rPr>
          <w:i/>
        </w:rPr>
        <w:t>Jahrhunderte</w:t>
      </w:r>
      <w:proofErr w:type="spellEnd"/>
      <w:r w:rsidRPr="007D4C6B">
        <w:t>, Tübingen, 1853</w:t>
      </w:r>
      <w:r w:rsidRPr="007D4C6B">
        <w:rPr>
          <w:vertAlign w:val="superscript"/>
        </w:rPr>
        <w:t>1</w:t>
      </w:r>
      <w:r w:rsidRPr="007D4C6B">
        <w:t>, 1863</w:t>
      </w:r>
      <w:r w:rsidRPr="007D4C6B">
        <w:rPr>
          <w:vertAlign w:val="superscript"/>
        </w:rPr>
        <w:t>3</w:t>
      </w:r>
      <w:r w:rsidRPr="007D4C6B">
        <w:t>.</w:t>
      </w:r>
      <w:r>
        <w:t>)</w:t>
      </w:r>
    </w:p>
    <w:p w14:paraId="4A8DC365" w14:textId="77777777" w:rsidR="00B47A48" w:rsidRPr="007D4C6B" w:rsidRDefault="00B47A48" w:rsidP="00B47A48">
      <w:pPr>
        <w:widowControl w:val="0"/>
        <w:ind w:left="720" w:hanging="720"/>
      </w:pPr>
      <w:r w:rsidRPr="007D4C6B">
        <w:t xml:space="preserve">Beare, Francis Wright. </w:t>
      </w:r>
      <w:r w:rsidRPr="007D4C6B">
        <w:rPr>
          <w:i/>
        </w:rPr>
        <w:t>The Earliest Records of Jesus</w:t>
      </w:r>
      <w:r w:rsidRPr="007D4C6B">
        <w:t xml:space="preserve">: </w:t>
      </w:r>
      <w:r w:rsidRPr="007D4C6B">
        <w:rPr>
          <w:i/>
        </w:rPr>
        <w:t>A Companion to the Synopsis of the First Three Gospels by Albert Huck</w:t>
      </w:r>
      <w:r w:rsidRPr="007D4C6B">
        <w:t xml:space="preserve">. </w:t>
      </w:r>
      <w:r w:rsidRPr="000644ED">
        <w:rPr>
          <w:iCs/>
        </w:rPr>
        <w:t>Nashville</w:t>
      </w:r>
      <w:r w:rsidRPr="007D4C6B">
        <w:t>: Abingdon, 1962.</w:t>
      </w:r>
    </w:p>
    <w:p w14:paraId="3B8DD0D5" w14:textId="77777777" w:rsidR="00B47A48" w:rsidRPr="007D4C6B" w:rsidRDefault="00B47A48" w:rsidP="00B47A48">
      <w:pPr>
        <w:widowControl w:val="0"/>
        <w:ind w:left="720" w:hanging="720"/>
      </w:pPr>
      <w:r w:rsidRPr="007D4C6B">
        <w:t xml:space="preserve">Betz, Hans Dieter. </w:t>
      </w:r>
      <w:r w:rsidRPr="007D4C6B">
        <w:rPr>
          <w:i/>
        </w:rPr>
        <w:t>Essays on the Sermon on the Mount</w:t>
      </w:r>
      <w:r w:rsidRPr="007D4C6B">
        <w:t xml:space="preserve">. Trans. </w:t>
      </w:r>
      <w:r w:rsidRPr="000644ED">
        <w:rPr>
          <w:iCs/>
        </w:rPr>
        <w:t>L.L.</w:t>
      </w:r>
      <w:r w:rsidRPr="007D4C6B">
        <w:t xml:space="preserve"> Welborn. Philadelphia: Fortress, 1985.</w:t>
      </w:r>
    </w:p>
    <w:p w14:paraId="4A915EBC" w14:textId="77777777" w:rsidR="00B47A48" w:rsidRPr="007D4C6B" w:rsidRDefault="00B47A48" w:rsidP="00B47A48">
      <w:pPr>
        <w:widowControl w:val="0"/>
        <w:ind w:left="720" w:hanging="720"/>
      </w:pPr>
      <w:r w:rsidRPr="007D4C6B">
        <w:t xml:space="preserve">Bill, Max. “Structure as Art? Art as Structure?” In </w:t>
      </w:r>
      <w:r w:rsidRPr="007D4C6B">
        <w:rPr>
          <w:i/>
        </w:rPr>
        <w:t>Structure in Art and in Science</w:t>
      </w:r>
      <w:r w:rsidRPr="00DC3006">
        <w:rPr>
          <w:iCs/>
        </w:rPr>
        <w:t xml:space="preserve">. Ed. </w:t>
      </w:r>
      <w:r w:rsidRPr="007D4C6B">
        <w:t>Gyorgy Kepes. Vision + value series. New York: George Braziller, 1965.</w:t>
      </w:r>
    </w:p>
    <w:p w14:paraId="45EC2697" w14:textId="77777777" w:rsidR="00B47A48" w:rsidRPr="007D4C6B" w:rsidRDefault="00B47A48" w:rsidP="00B47A48">
      <w:pPr>
        <w:widowControl w:val="0"/>
        <w:ind w:left="720" w:hanging="720"/>
      </w:pPr>
      <w:r w:rsidRPr="007D4C6B">
        <w:t xml:space="preserve">Black, Edwin. </w:t>
      </w:r>
      <w:r w:rsidRPr="007D4C6B">
        <w:rPr>
          <w:i/>
        </w:rPr>
        <w:t>Rhetorical Criticism</w:t>
      </w:r>
      <w:r w:rsidRPr="007D4C6B">
        <w:t xml:space="preserve">: </w:t>
      </w:r>
      <w:r w:rsidRPr="007D4C6B">
        <w:rPr>
          <w:i/>
        </w:rPr>
        <w:t>A Study in Method</w:t>
      </w:r>
      <w:r w:rsidRPr="007D4C6B">
        <w:t>. New York: Macmillan, 1965</w:t>
      </w:r>
      <w:r>
        <w:t>.</w:t>
      </w:r>
      <w:r w:rsidRPr="007D4C6B">
        <w:t xml:space="preserve"> Rpt. ed., </w:t>
      </w:r>
      <w:r w:rsidRPr="000644ED">
        <w:rPr>
          <w:iCs/>
        </w:rPr>
        <w:t>Madison WI: U of Wisconsin P</w:t>
      </w:r>
      <w:r w:rsidRPr="007D4C6B">
        <w:t>, 1978.</w:t>
      </w:r>
    </w:p>
    <w:p w14:paraId="0F9155F6" w14:textId="77777777" w:rsidR="00B47A48" w:rsidRPr="007D4C6B" w:rsidRDefault="00B47A48" w:rsidP="00B47A48">
      <w:pPr>
        <w:widowControl w:val="0"/>
        <w:ind w:left="720" w:hanging="720"/>
      </w:pPr>
      <w:r w:rsidRPr="007D4C6B">
        <w:t xml:space="preserve">Blair, Edward P. </w:t>
      </w:r>
      <w:r w:rsidRPr="007D4C6B">
        <w:rPr>
          <w:i/>
        </w:rPr>
        <w:t>Jesus in the Gospel of Matthew</w:t>
      </w:r>
      <w:r w:rsidRPr="007D4C6B">
        <w:t>. New York: Abingdon, 1960.</w:t>
      </w:r>
    </w:p>
    <w:p w14:paraId="559B6F72" w14:textId="727F8D8A" w:rsidR="00B47A48" w:rsidRPr="007D4C6B" w:rsidRDefault="00B47A48" w:rsidP="00B47A48">
      <w:pPr>
        <w:widowControl w:val="0"/>
        <w:ind w:left="720" w:hanging="720"/>
      </w:pPr>
      <w:r w:rsidRPr="007D4C6B">
        <w:t xml:space="preserve">Blass, Friedrich, and Albert Debrunner. </w:t>
      </w:r>
      <w:r w:rsidRPr="007D4C6B">
        <w:rPr>
          <w:i/>
        </w:rPr>
        <w:t>A Greek Grammar of the New Testament and Other Early Christian Literature</w:t>
      </w:r>
      <w:r w:rsidRPr="007D4C6B">
        <w:t>. Rev</w:t>
      </w:r>
      <w:r>
        <w:t>.</w:t>
      </w:r>
      <w:r w:rsidRPr="007D4C6B">
        <w:t xml:space="preserve"> and trans</w:t>
      </w:r>
      <w:r>
        <w:t>.</w:t>
      </w:r>
      <w:r w:rsidRPr="007D4C6B">
        <w:t xml:space="preserve"> Robert W. Funk. </w:t>
      </w:r>
      <w:r w:rsidRPr="000644ED">
        <w:rPr>
          <w:iCs/>
        </w:rPr>
        <w:t>Chicago: U of Chicago P</w:t>
      </w:r>
      <w:r w:rsidRPr="007D4C6B">
        <w:t xml:space="preserve">, 1961. </w:t>
      </w:r>
      <w:r>
        <w:t>(</w:t>
      </w:r>
      <w:r w:rsidRPr="007D4C6B">
        <w:rPr>
          <w:i/>
        </w:rPr>
        <w:t xml:space="preserve">Grammatik des </w:t>
      </w:r>
      <w:proofErr w:type="spellStart"/>
      <w:r w:rsidRPr="007D4C6B">
        <w:rPr>
          <w:i/>
        </w:rPr>
        <w:t>neutestamentlichen</w:t>
      </w:r>
      <w:proofErr w:type="spellEnd"/>
      <w:r w:rsidRPr="007D4C6B">
        <w:rPr>
          <w:i/>
        </w:rPr>
        <w:t xml:space="preserve"> </w:t>
      </w:r>
      <w:proofErr w:type="spellStart"/>
      <w:r w:rsidRPr="007D4C6B">
        <w:rPr>
          <w:i/>
        </w:rPr>
        <w:t>Griechisch</w:t>
      </w:r>
      <w:proofErr w:type="spellEnd"/>
      <w:r>
        <w:t>.</w:t>
      </w:r>
      <w:r w:rsidRPr="007D4C6B">
        <w:t xml:space="preserve"> Göttingen: </w:t>
      </w:r>
      <w:proofErr w:type="spellStart"/>
      <w:r w:rsidRPr="00D42DB3">
        <w:rPr>
          <w:iCs/>
        </w:rPr>
        <w:t>Vandenhoeck</w:t>
      </w:r>
      <w:proofErr w:type="spellEnd"/>
      <w:r w:rsidRPr="00D42DB3">
        <w:rPr>
          <w:iCs/>
        </w:rPr>
        <w:t xml:space="preserve"> und Ruprecht</w:t>
      </w:r>
      <w:r w:rsidRPr="007D4C6B">
        <w:t>. Blass’ eds.: 1896, 1902</w:t>
      </w:r>
      <w:r w:rsidRPr="007D4C6B">
        <w:rPr>
          <w:vertAlign w:val="superscript"/>
        </w:rPr>
        <w:t>2</w:t>
      </w:r>
      <w:r w:rsidRPr="007D4C6B">
        <w:t>, 1911</w:t>
      </w:r>
      <w:r w:rsidRPr="007D4C6B">
        <w:rPr>
          <w:vertAlign w:val="superscript"/>
        </w:rPr>
        <w:t>3</w:t>
      </w:r>
      <w:r w:rsidRPr="007D4C6B">
        <w:t>; Debrunner’s eds.: 1913</w:t>
      </w:r>
      <w:r w:rsidRPr="007D4C6B">
        <w:rPr>
          <w:vertAlign w:val="superscript"/>
        </w:rPr>
        <w:t>4</w:t>
      </w:r>
      <w:r w:rsidRPr="007D4C6B">
        <w:t>, 1921</w:t>
      </w:r>
      <w:r w:rsidRPr="007D4C6B">
        <w:rPr>
          <w:vertAlign w:val="superscript"/>
        </w:rPr>
        <w:t>5</w:t>
      </w:r>
      <w:r w:rsidRPr="007D4C6B">
        <w:t>, 1931</w:t>
      </w:r>
      <w:r w:rsidRPr="007D4C6B">
        <w:rPr>
          <w:vertAlign w:val="superscript"/>
        </w:rPr>
        <w:t>6</w:t>
      </w:r>
      <w:r w:rsidRPr="007D4C6B">
        <w:t>, 1943</w:t>
      </w:r>
      <w:r w:rsidRPr="007D4C6B">
        <w:rPr>
          <w:vertAlign w:val="superscript"/>
        </w:rPr>
        <w:t>7</w:t>
      </w:r>
      <w:r w:rsidRPr="007D4C6B">
        <w:t>, 1948</w:t>
      </w:r>
      <w:r w:rsidRPr="007D4C6B">
        <w:rPr>
          <w:vertAlign w:val="superscript"/>
        </w:rPr>
        <w:t>8</w:t>
      </w:r>
      <w:r w:rsidRPr="007D4C6B">
        <w:t>, 1954</w:t>
      </w:r>
      <w:r w:rsidRPr="007D4C6B">
        <w:rPr>
          <w:vertAlign w:val="superscript"/>
        </w:rPr>
        <w:t>9</w:t>
      </w:r>
      <w:r w:rsidRPr="007D4C6B">
        <w:t>, 1959</w:t>
      </w:r>
      <w:r w:rsidRPr="007D4C6B">
        <w:rPr>
          <w:vertAlign w:val="superscript"/>
        </w:rPr>
        <w:t>10</w:t>
      </w:r>
      <w:r w:rsidRPr="007D4C6B">
        <w:t>. Blass’ 1st and</w:t>
      </w:r>
      <w:r w:rsidR="00457786" w:rsidRPr="00457786">
        <w:rPr>
          <w:iCs/>
        </w:rPr>
        <w:t xml:space="preserve"> 2nd </w:t>
      </w:r>
      <w:r w:rsidRPr="007D4C6B">
        <w:t>eds. were translated by Henry St. John Thackeray</w:t>
      </w:r>
      <w:r>
        <w:t>.</w:t>
      </w:r>
      <w:r w:rsidRPr="007D4C6B">
        <w:t xml:space="preserve"> </w:t>
      </w:r>
      <w:r w:rsidRPr="007D4C6B">
        <w:rPr>
          <w:i/>
        </w:rPr>
        <w:t>Grammar of New Testament Greek</w:t>
      </w:r>
      <w:r>
        <w:t>.</w:t>
      </w:r>
      <w:r w:rsidRPr="007D4C6B">
        <w:t xml:space="preserve"> London: 1898</w:t>
      </w:r>
      <w:r w:rsidRPr="007D4C6B">
        <w:rPr>
          <w:vertAlign w:val="superscript"/>
        </w:rPr>
        <w:t>1</w:t>
      </w:r>
      <w:r w:rsidRPr="007D4C6B">
        <w:t>, 1905</w:t>
      </w:r>
      <w:r w:rsidRPr="007D4C6B">
        <w:rPr>
          <w:vertAlign w:val="superscript"/>
        </w:rPr>
        <w:t>2</w:t>
      </w:r>
      <w:r w:rsidRPr="007D4C6B">
        <w:t>.)</w:t>
      </w:r>
    </w:p>
    <w:p w14:paraId="470F4147" w14:textId="77777777" w:rsidR="00B47A48" w:rsidRPr="007D4C6B" w:rsidRDefault="00B47A48" w:rsidP="00B47A48">
      <w:pPr>
        <w:widowControl w:val="0"/>
        <w:ind w:left="720" w:hanging="720"/>
      </w:pPr>
      <w:r w:rsidRPr="007D4C6B">
        <w:t xml:space="preserve">Blass, Friedrich. </w:t>
      </w:r>
      <w:r w:rsidRPr="007D4C6B">
        <w:rPr>
          <w:i/>
        </w:rPr>
        <w:t>Philology of the Gospels</w:t>
      </w:r>
      <w:r w:rsidRPr="007D4C6B">
        <w:t>. London: Macmillan, 1898 (originally in English)</w:t>
      </w:r>
      <w:r>
        <w:t>.</w:t>
      </w:r>
      <w:r w:rsidRPr="007D4C6B">
        <w:t xml:space="preserve"> Rpt. ed. Amsterdam: </w:t>
      </w:r>
      <w:r w:rsidRPr="00C45D7C">
        <w:rPr>
          <w:iCs/>
        </w:rPr>
        <w:t>B.R.</w:t>
      </w:r>
      <w:r w:rsidRPr="007D4C6B">
        <w:t xml:space="preserve"> Grüner, 1969.</w:t>
      </w:r>
    </w:p>
    <w:p w14:paraId="2F482AF8" w14:textId="77777777" w:rsidR="00B47A48" w:rsidRPr="007D4C6B" w:rsidRDefault="00B47A48" w:rsidP="00B47A48">
      <w:pPr>
        <w:widowControl w:val="0"/>
        <w:ind w:left="720" w:hanging="720"/>
      </w:pPr>
      <w:r w:rsidRPr="007D4C6B">
        <w:t>Boethius. “An Overview of the Structure of Rhetoric [</w:t>
      </w:r>
      <w:proofErr w:type="spellStart"/>
      <w:r w:rsidRPr="007D4C6B">
        <w:rPr>
          <w:i/>
        </w:rPr>
        <w:t>Speculatio</w:t>
      </w:r>
      <w:proofErr w:type="spellEnd"/>
      <w:r w:rsidRPr="007D4C6B">
        <w:rPr>
          <w:i/>
        </w:rPr>
        <w:t xml:space="preserve"> de </w:t>
      </w:r>
      <w:proofErr w:type="spellStart"/>
      <w:r w:rsidRPr="007D4C6B">
        <w:rPr>
          <w:i/>
        </w:rPr>
        <w:t>cognatione</w:t>
      </w:r>
      <w:proofErr w:type="spellEnd"/>
      <w:r w:rsidRPr="007D4C6B">
        <w:rPr>
          <w:i/>
        </w:rPr>
        <w:t xml:space="preserve"> </w:t>
      </w:r>
      <w:proofErr w:type="spellStart"/>
      <w:r w:rsidRPr="007D4C6B">
        <w:rPr>
          <w:i/>
        </w:rPr>
        <w:t>rhetoricae</w:t>
      </w:r>
      <w:proofErr w:type="spellEnd"/>
      <w:r w:rsidRPr="007D4C6B">
        <w:rPr>
          <w:i/>
        </w:rPr>
        <w:t xml:space="preserve"> </w:t>
      </w:r>
      <w:proofErr w:type="spellStart"/>
      <w:r w:rsidRPr="007D4C6B">
        <w:rPr>
          <w:i/>
        </w:rPr>
        <w:t>Boethii</w:t>
      </w:r>
      <w:proofErr w:type="spellEnd"/>
      <w:r w:rsidRPr="007D4C6B">
        <w:t xml:space="preserve">, </w:t>
      </w:r>
      <w:proofErr w:type="spellStart"/>
      <w:r w:rsidRPr="007D4C6B">
        <w:rPr>
          <w:i/>
        </w:rPr>
        <w:t>Patrologia</w:t>
      </w:r>
      <w:proofErr w:type="spellEnd"/>
      <w:r w:rsidRPr="007D4C6B">
        <w:rPr>
          <w:i/>
        </w:rPr>
        <w:t xml:space="preserve"> Latina</w:t>
      </w:r>
      <w:r w:rsidRPr="007D4C6B">
        <w:t xml:space="preserve">, 64.1218-1225].” In </w:t>
      </w:r>
      <w:r w:rsidRPr="007D4C6B">
        <w:rPr>
          <w:i/>
        </w:rPr>
        <w:t>Readings in Medieval Rhetoric</w:t>
      </w:r>
      <w:r w:rsidRPr="00DC3006">
        <w:rPr>
          <w:iCs/>
        </w:rPr>
        <w:t xml:space="preserve">. Ed. </w:t>
      </w:r>
      <w:r w:rsidRPr="007D4C6B">
        <w:t xml:space="preserve">Joseph M. Miller et al. </w:t>
      </w:r>
      <w:r w:rsidRPr="00C45D7C">
        <w:rPr>
          <w:iCs/>
        </w:rPr>
        <w:t>Bloomington IN: Indiana UP</w:t>
      </w:r>
      <w:r w:rsidRPr="007D4C6B">
        <w:t>, 1973.</w:t>
      </w:r>
    </w:p>
    <w:p w14:paraId="7EA52E54" w14:textId="77777777" w:rsidR="00B47A48" w:rsidRPr="007D4C6B" w:rsidRDefault="00B47A48" w:rsidP="00B47A48">
      <w:pPr>
        <w:widowControl w:val="0"/>
        <w:ind w:left="720" w:hanging="720"/>
      </w:pPr>
      <w:r w:rsidRPr="007D4C6B">
        <w:t xml:space="preserve">Boice, James Montgomery. </w:t>
      </w:r>
      <w:r w:rsidRPr="007D4C6B">
        <w:rPr>
          <w:i/>
        </w:rPr>
        <w:t>The Sermon on the Mount</w:t>
      </w:r>
      <w:r w:rsidRPr="007D4C6B">
        <w:t xml:space="preserve">: </w:t>
      </w:r>
      <w:r w:rsidRPr="007D4C6B">
        <w:rPr>
          <w:i/>
        </w:rPr>
        <w:t>An Exposition by James Montgomery Boice</w:t>
      </w:r>
      <w:r w:rsidRPr="007D4C6B">
        <w:t xml:space="preserve">. </w:t>
      </w:r>
      <w:r w:rsidRPr="00DC3006">
        <w:rPr>
          <w:iCs/>
        </w:rPr>
        <w:t>Grand Rapids MI</w:t>
      </w:r>
      <w:r w:rsidRPr="007D4C6B">
        <w:t>: Zondervan, 1972.</w:t>
      </w:r>
    </w:p>
    <w:p w14:paraId="21EF3C3C" w14:textId="77777777" w:rsidR="00B47A48" w:rsidRPr="007D4C6B" w:rsidRDefault="00B47A48" w:rsidP="00B47A48">
      <w:pPr>
        <w:widowControl w:val="0"/>
        <w:ind w:left="720" w:hanging="720"/>
      </w:pPr>
      <w:proofErr w:type="spellStart"/>
      <w:r w:rsidRPr="007D4C6B">
        <w:t>Bonsirven</w:t>
      </w:r>
      <w:proofErr w:type="spellEnd"/>
      <w:r w:rsidRPr="007D4C6B">
        <w:t xml:space="preserve">, Joseph. </w:t>
      </w:r>
      <w:r w:rsidRPr="007D4C6B">
        <w:rPr>
          <w:i/>
        </w:rPr>
        <w:t>Palestinian Judaism in the Time of Jesus Christ</w:t>
      </w:r>
      <w:r w:rsidRPr="007D4C6B">
        <w:t xml:space="preserve">. Trans. William Wolf. New York: Holt, Rinehart </w:t>
      </w:r>
      <w:r>
        <w:t>and</w:t>
      </w:r>
      <w:r w:rsidRPr="007D4C6B">
        <w:t xml:space="preserve"> Winston, 1964. </w:t>
      </w:r>
      <w:r>
        <w:t>(</w:t>
      </w:r>
      <w:r w:rsidRPr="007D4C6B">
        <w:rPr>
          <w:i/>
        </w:rPr>
        <w:t xml:space="preserve">Le </w:t>
      </w:r>
      <w:proofErr w:type="spellStart"/>
      <w:r w:rsidRPr="007D4C6B">
        <w:rPr>
          <w:i/>
        </w:rPr>
        <w:t>Judaïsme</w:t>
      </w:r>
      <w:proofErr w:type="spellEnd"/>
      <w:r w:rsidRPr="007D4C6B">
        <w:rPr>
          <w:i/>
        </w:rPr>
        <w:t xml:space="preserve"> </w:t>
      </w:r>
      <w:proofErr w:type="spellStart"/>
      <w:r w:rsidRPr="007D4C6B">
        <w:rPr>
          <w:i/>
        </w:rPr>
        <w:t>palestinien</w:t>
      </w:r>
      <w:proofErr w:type="spellEnd"/>
      <w:r w:rsidRPr="007D4C6B">
        <w:rPr>
          <w:i/>
        </w:rPr>
        <w:t xml:space="preserve"> au temps de Jésus Christ</w:t>
      </w:r>
      <w:r>
        <w:t>.</w:t>
      </w:r>
      <w:r w:rsidRPr="007D4C6B">
        <w:t xml:space="preserve"> abridged ed. Paris: Beauchesne, 1950.</w:t>
      </w:r>
      <w:r>
        <w:t>)</w:t>
      </w:r>
    </w:p>
    <w:p w14:paraId="71E69D0A" w14:textId="77777777" w:rsidR="00B47A48" w:rsidRPr="007D4C6B" w:rsidRDefault="00B47A48" w:rsidP="00B47A48">
      <w:pPr>
        <w:widowControl w:val="0"/>
        <w:ind w:left="720" w:hanging="720"/>
      </w:pPr>
      <w:proofErr w:type="spellStart"/>
      <w:r w:rsidRPr="007D4C6B">
        <w:t>Bonsirven</w:t>
      </w:r>
      <w:proofErr w:type="spellEnd"/>
      <w:r w:rsidRPr="007D4C6B">
        <w:t xml:space="preserve">, Joseph. </w:t>
      </w:r>
      <w:r w:rsidRPr="007D4C6B">
        <w:rPr>
          <w:i/>
        </w:rPr>
        <w:t>Theology of the New Testament</w:t>
      </w:r>
      <w:r w:rsidRPr="007D4C6B">
        <w:t xml:space="preserve">. </w:t>
      </w:r>
      <w:r w:rsidRPr="00E5413C">
        <w:rPr>
          <w:lang w:val="fr-FR"/>
        </w:rPr>
        <w:t xml:space="preserve">Trans. </w:t>
      </w:r>
      <w:r w:rsidRPr="00E5413C">
        <w:rPr>
          <w:iCs/>
          <w:lang w:val="fr-FR"/>
        </w:rPr>
        <w:t>S.F.L.</w:t>
      </w:r>
      <w:r w:rsidRPr="00E5413C">
        <w:rPr>
          <w:lang w:val="fr-FR"/>
        </w:rPr>
        <w:t xml:space="preserve"> </w:t>
      </w:r>
      <w:proofErr w:type="spellStart"/>
      <w:r w:rsidRPr="00E5413C">
        <w:rPr>
          <w:lang w:val="fr-FR"/>
        </w:rPr>
        <w:t>Tye</w:t>
      </w:r>
      <w:proofErr w:type="spellEnd"/>
      <w:r w:rsidRPr="00E5413C">
        <w:rPr>
          <w:lang w:val="fr-FR"/>
        </w:rPr>
        <w:t xml:space="preserve">. </w:t>
      </w:r>
      <w:r w:rsidRPr="00E5413C">
        <w:rPr>
          <w:iCs/>
          <w:lang w:val="fr-FR"/>
        </w:rPr>
        <w:t>Westminster MD</w:t>
      </w:r>
      <w:r w:rsidRPr="00E5413C">
        <w:rPr>
          <w:lang w:val="fr-FR"/>
        </w:rPr>
        <w:t xml:space="preserve">: Newman, </w:t>
      </w:r>
      <w:proofErr w:type="spellStart"/>
      <w:r w:rsidRPr="00E5413C">
        <w:rPr>
          <w:lang w:val="fr-FR"/>
        </w:rPr>
        <w:t>n.d</w:t>
      </w:r>
      <w:proofErr w:type="spellEnd"/>
      <w:r w:rsidRPr="00E5413C">
        <w:rPr>
          <w:lang w:val="fr-FR"/>
        </w:rPr>
        <w:t>. (imprimatur, 1963). (</w:t>
      </w:r>
      <w:r w:rsidRPr="00E5413C">
        <w:rPr>
          <w:i/>
          <w:lang w:val="fr-FR"/>
        </w:rPr>
        <w:t>Théologie du Nouveau Testament</w:t>
      </w:r>
      <w:r w:rsidRPr="00E5413C">
        <w:rPr>
          <w:lang w:val="fr-FR"/>
        </w:rPr>
        <w:t xml:space="preserve">. </w:t>
      </w:r>
      <w:r w:rsidRPr="007D4C6B">
        <w:t xml:space="preserve">Paris: </w:t>
      </w:r>
      <w:proofErr w:type="spellStart"/>
      <w:r w:rsidRPr="007D4C6B">
        <w:t>Aubier</w:t>
      </w:r>
      <w:proofErr w:type="spellEnd"/>
      <w:r w:rsidRPr="007D4C6B">
        <w:t xml:space="preserve"> (Éditions Montaignes</w:t>
      </w:r>
      <w:r>
        <w:t>), 1951.)</w:t>
      </w:r>
    </w:p>
    <w:p w14:paraId="37238145" w14:textId="77777777" w:rsidR="00B47A48" w:rsidRPr="007D4C6B" w:rsidRDefault="00B47A48" w:rsidP="00B47A48">
      <w:pPr>
        <w:widowControl w:val="0"/>
        <w:ind w:left="720" w:hanging="720"/>
      </w:pPr>
      <w:r w:rsidRPr="007D4C6B">
        <w:t xml:space="preserve">Booth, Wayne C. “The Rhetorical Stance.” In </w:t>
      </w:r>
      <w:r w:rsidRPr="007D4C6B">
        <w:rPr>
          <w:i/>
        </w:rPr>
        <w:t>Contexts for Composition</w:t>
      </w:r>
      <w:r w:rsidRPr="00DC3006">
        <w:rPr>
          <w:iCs/>
        </w:rPr>
        <w:t xml:space="preserve">. Ed. </w:t>
      </w:r>
      <w:r w:rsidRPr="007D4C6B">
        <w:t>Stanley A. Clayes and David G. Spencer. New York: Appleton-Century-Crofts, 1969.</w:t>
      </w:r>
    </w:p>
    <w:p w14:paraId="6822F8A0" w14:textId="77777777" w:rsidR="00B47A48" w:rsidRPr="007D4C6B" w:rsidRDefault="00B47A48" w:rsidP="00B47A48">
      <w:pPr>
        <w:widowControl w:val="0"/>
        <w:ind w:left="720" w:hanging="720"/>
      </w:pPr>
      <w:r w:rsidRPr="007D4C6B">
        <w:lastRenderedPageBreak/>
        <w:t xml:space="preserve">Booth, Wayne C. “The Revival of Rhetoric.” In </w:t>
      </w:r>
      <w:r w:rsidRPr="007D4C6B">
        <w:rPr>
          <w:i/>
        </w:rPr>
        <w:t>New Rhetorics</w:t>
      </w:r>
      <w:r w:rsidRPr="00DC3006">
        <w:rPr>
          <w:iCs/>
        </w:rPr>
        <w:t xml:space="preserve">. Ed. </w:t>
      </w:r>
      <w:r w:rsidRPr="007D4C6B">
        <w:t>Martin Steinmann, Jr. New York: Scribner’s, 1967.</w:t>
      </w:r>
    </w:p>
    <w:p w14:paraId="20A8F3AF" w14:textId="77777777" w:rsidR="00B47A48" w:rsidRPr="007D4C6B" w:rsidRDefault="00B47A48" w:rsidP="00B47A48">
      <w:pPr>
        <w:widowControl w:val="0"/>
        <w:ind w:left="720" w:hanging="720"/>
      </w:pPr>
      <w:r w:rsidRPr="007D4C6B">
        <w:t xml:space="preserve">Booth, Wayne C. </w:t>
      </w:r>
      <w:r w:rsidRPr="007D4C6B">
        <w:rPr>
          <w:i/>
        </w:rPr>
        <w:t>The Rhetoric of Fiction</w:t>
      </w:r>
      <w:r w:rsidRPr="007D4C6B">
        <w:t xml:space="preserve">. </w:t>
      </w:r>
      <w:r w:rsidRPr="000644ED">
        <w:rPr>
          <w:iCs/>
        </w:rPr>
        <w:t>Chicago: U of Chicago P</w:t>
      </w:r>
      <w:r w:rsidRPr="007D4C6B">
        <w:t>, 1961.</w:t>
      </w:r>
    </w:p>
    <w:p w14:paraId="0C994716" w14:textId="77777777" w:rsidR="00B47A48" w:rsidRPr="007D4C6B" w:rsidRDefault="00B47A48" w:rsidP="00B47A48">
      <w:pPr>
        <w:widowControl w:val="0"/>
        <w:ind w:left="720" w:hanging="720"/>
      </w:pPr>
      <w:proofErr w:type="spellStart"/>
      <w:r w:rsidRPr="007D4C6B">
        <w:t>Bornkamm</w:t>
      </w:r>
      <w:proofErr w:type="spellEnd"/>
      <w:r w:rsidRPr="007D4C6B">
        <w:t xml:space="preserve">, Günther, Gerhard Barth, and Heinz Joachim Held. </w:t>
      </w:r>
      <w:r w:rsidRPr="007D4C6B">
        <w:rPr>
          <w:i/>
        </w:rPr>
        <w:t>Tradition and Interpretation in Matthew</w:t>
      </w:r>
      <w:r w:rsidRPr="007D4C6B">
        <w:t xml:space="preserve">. Trans. Percy Scott. New Testament Library. Philadelphia: Westminster, 1963. </w:t>
      </w:r>
      <w:r>
        <w:t>(</w:t>
      </w:r>
      <w:proofErr w:type="spellStart"/>
      <w:r w:rsidRPr="007D4C6B">
        <w:rPr>
          <w:i/>
        </w:rPr>
        <w:t>Überlieferung</w:t>
      </w:r>
      <w:proofErr w:type="spellEnd"/>
      <w:r w:rsidRPr="007D4C6B">
        <w:rPr>
          <w:i/>
        </w:rPr>
        <w:t xml:space="preserve"> und </w:t>
      </w:r>
      <w:proofErr w:type="spellStart"/>
      <w:r w:rsidRPr="007D4C6B">
        <w:rPr>
          <w:i/>
        </w:rPr>
        <w:t>Auslegung</w:t>
      </w:r>
      <w:proofErr w:type="spellEnd"/>
      <w:r w:rsidRPr="007D4C6B">
        <w:rPr>
          <w:i/>
        </w:rPr>
        <w:t xml:space="preserve"> </w:t>
      </w:r>
      <w:proofErr w:type="spellStart"/>
      <w:r w:rsidRPr="007D4C6B">
        <w:rPr>
          <w:i/>
        </w:rPr>
        <w:t>im</w:t>
      </w:r>
      <w:proofErr w:type="spellEnd"/>
      <w:r w:rsidRPr="007D4C6B">
        <w:rPr>
          <w:i/>
        </w:rPr>
        <w:t xml:space="preserve"> </w:t>
      </w:r>
      <w:proofErr w:type="spellStart"/>
      <w:r w:rsidRPr="007D4C6B">
        <w:rPr>
          <w:i/>
        </w:rPr>
        <w:t>Matthäusevangelium</w:t>
      </w:r>
      <w:proofErr w:type="spellEnd"/>
      <w:r w:rsidRPr="007D4C6B">
        <w:t>.</w:t>
      </w:r>
      <w:r>
        <w:t xml:space="preserve"> </w:t>
      </w:r>
      <w:proofErr w:type="spellStart"/>
      <w:r>
        <w:t>Wissenshaftliche</w:t>
      </w:r>
      <w:proofErr w:type="spellEnd"/>
      <w:r>
        <w:t xml:space="preserve"> </w:t>
      </w:r>
      <w:proofErr w:type="spellStart"/>
      <w:r>
        <w:t>Monographien</w:t>
      </w:r>
      <w:proofErr w:type="spellEnd"/>
      <w:r>
        <w:t xml:space="preserve"> Sum </w:t>
      </w:r>
      <w:proofErr w:type="spellStart"/>
      <w:r>
        <w:t>Alten</w:t>
      </w:r>
      <w:proofErr w:type="spellEnd"/>
      <w:r>
        <w:t xml:space="preserve"> und Neuen 1. </w:t>
      </w:r>
      <w:proofErr w:type="spellStart"/>
      <w:r>
        <w:t>Neukirchen-Vluyn</w:t>
      </w:r>
      <w:proofErr w:type="spellEnd"/>
      <w:r>
        <w:t xml:space="preserve">: </w:t>
      </w:r>
      <w:proofErr w:type="spellStart"/>
      <w:r w:rsidRPr="00C45D7C">
        <w:t>Neukirchener</w:t>
      </w:r>
      <w:proofErr w:type="spellEnd"/>
      <w:r>
        <w:t xml:space="preserve"> Verlag, 1965.)</w:t>
      </w:r>
    </w:p>
    <w:p w14:paraId="6F48C78B" w14:textId="77777777" w:rsidR="00B47A48" w:rsidRPr="007D4C6B" w:rsidRDefault="00B47A48" w:rsidP="00B47A48">
      <w:pPr>
        <w:widowControl w:val="0"/>
        <w:ind w:left="720" w:hanging="720"/>
      </w:pPr>
      <w:proofErr w:type="spellStart"/>
      <w:r w:rsidRPr="007D4C6B">
        <w:t>Bornkamm</w:t>
      </w:r>
      <w:proofErr w:type="spellEnd"/>
      <w:r w:rsidRPr="007D4C6B">
        <w:t xml:space="preserve">, Günther. </w:t>
      </w:r>
      <w:r w:rsidRPr="007D4C6B">
        <w:rPr>
          <w:i/>
        </w:rPr>
        <w:t>Jesus of Nazareth</w:t>
      </w:r>
      <w:r w:rsidRPr="007D4C6B">
        <w:t xml:space="preserve">. Trans. Irene and Fraser McLuskey with James Robinson. London: </w:t>
      </w:r>
      <w:r w:rsidRPr="00110AE7">
        <w:rPr>
          <w:iCs/>
        </w:rPr>
        <w:t>Hodder and Stoughton</w:t>
      </w:r>
      <w:r w:rsidRPr="007D4C6B">
        <w:t xml:space="preserve">; New York: </w:t>
      </w:r>
      <w:r w:rsidRPr="00E95268">
        <w:rPr>
          <w:iCs/>
        </w:rPr>
        <w:t>Harper and Row</w:t>
      </w:r>
      <w:r w:rsidRPr="007D4C6B">
        <w:t xml:space="preserve">, 1960. </w:t>
      </w:r>
      <w:r>
        <w:t>(</w:t>
      </w:r>
      <w:r w:rsidRPr="007D4C6B">
        <w:rPr>
          <w:i/>
        </w:rPr>
        <w:t>Jesus von Nazareth</w:t>
      </w:r>
      <w:r w:rsidRPr="007D4C6B">
        <w:t>, Stuttgart: W. Kohlhammer, 1956, 1957</w:t>
      </w:r>
      <w:r w:rsidRPr="007D4C6B">
        <w:rPr>
          <w:vertAlign w:val="superscript"/>
        </w:rPr>
        <w:t>2</w:t>
      </w:r>
      <w:r w:rsidRPr="007D4C6B">
        <w:t>, 1959</w:t>
      </w:r>
      <w:r w:rsidRPr="007D4C6B">
        <w:rPr>
          <w:vertAlign w:val="superscript"/>
        </w:rPr>
        <w:t>3</w:t>
      </w:r>
      <w:r w:rsidRPr="007D4C6B">
        <w:t>.</w:t>
      </w:r>
      <w:r>
        <w:t>)</w:t>
      </w:r>
    </w:p>
    <w:p w14:paraId="561C144F" w14:textId="77777777" w:rsidR="00B47A48" w:rsidRPr="007D4C6B" w:rsidRDefault="00B47A48" w:rsidP="00B47A48">
      <w:pPr>
        <w:widowControl w:val="0"/>
        <w:ind w:left="720" w:hanging="720"/>
      </w:pPr>
      <w:r w:rsidRPr="007D4C6B">
        <w:t xml:space="preserve">Bousset, Wilhelm. </w:t>
      </w:r>
      <w:r w:rsidRPr="007D4C6B">
        <w:rPr>
          <w:i/>
        </w:rPr>
        <w:t>Kyrios Christos</w:t>
      </w:r>
      <w:r w:rsidRPr="007D4C6B">
        <w:t xml:space="preserve">: </w:t>
      </w:r>
      <w:r w:rsidRPr="007D4C6B">
        <w:rPr>
          <w:i/>
        </w:rPr>
        <w:t>A History of the Belief in Christ from the Beginnings of Christianity to Irenaeus</w:t>
      </w:r>
      <w:r w:rsidRPr="007D4C6B">
        <w:t xml:space="preserve">. Trans. John E. Steely. Nashville: Abingdon, 1970. </w:t>
      </w:r>
      <w:r>
        <w:t>(</w:t>
      </w:r>
      <w:r w:rsidRPr="007D4C6B">
        <w:rPr>
          <w:i/>
        </w:rPr>
        <w:t>Kyrios Christos</w:t>
      </w:r>
      <w:r w:rsidRPr="007D4C6B">
        <w:t xml:space="preserve">: </w:t>
      </w:r>
      <w:proofErr w:type="spellStart"/>
      <w:r w:rsidRPr="007D4C6B">
        <w:rPr>
          <w:i/>
        </w:rPr>
        <w:t>Geschichte</w:t>
      </w:r>
      <w:proofErr w:type="spellEnd"/>
      <w:r w:rsidRPr="007D4C6B">
        <w:rPr>
          <w:i/>
        </w:rPr>
        <w:t xml:space="preserve"> des </w:t>
      </w:r>
      <w:proofErr w:type="spellStart"/>
      <w:r w:rsidRPr="007D4C6B">
        <w:rPr>
          <w:i/>
        </w:rPr>
        <w:t>Christusglaubens</w:t>
      </w:r>
      <w:proofErr w:type="spellEnd"/>
      <w:r w:rsidRPr="007D4C6B">
        <w:rPr>
          <w:i/>
        </w:rPr>
        <w:t xml:space="preserve"> von den </w:t>
      </w:r>
      <w:proofErr w:type="spellStart"/>
      <w:r w:rsidRPr="007D4C6B">
        <w:rPr>
          <w:i/>
        </w:rPr>
        <w:t>Anfängen</w:t>
      </w:r>
      <w:proofErr w:type="spellEnd"/>
      <w:r w:rsidRPr="007D4C6B">
        <w:rPr>
          <w:i/>
        </w:rPr>
        <w:t xml:space="preserve"> des </w:t>
      </w:r>
      <w:proofErr w:type="spellStart"/>
      <w:r w:rsidRPr="007D4C6B">
        <w:rPr>
          <w:i/>
        </w:rPr>
        <w:t>Christentums</w:t>
      </w:r>
      <w:proofErr w:type="spellEnd"/>
      <w:r w:rsidRPr="007D4C6B">
        <w:rPr>
          <w:i/>
        </w:rPr>
        <w:t xml:space="preserve"> bis Irenaeus</w:t>
      </w:r>
      <w:r w:rsidRPr="007D4C6B">
        <w:t xml:space="preserve">, </w:t>
      </w:r>
      <w:r w:rsidRPr="00714629">
        <w:rPr>
          <w:iCs/>
        </w:rPr>
        <w:t>Göttingen</w:t>
      </w:r>
      <w:r w:rsidRPr="007D4C6B">
        <w:t xml:space="preserve">: </w:t>
      </w:r>
      <w:proofErr w:type="spellStart"/>
      <w:r w:rsidRPr="00D42DB3">
        <w:rPr>
          <w:iCs/>
        </w:rPr>
        <w:t>Vandenhoeck</w:t>
      </w:r>
      <w:proofErr w:type="spellEnd"/>
      <w:r w:rsidRPr="00D42DB3">
        <w:rPr>
          <w:iCs/>
        </w:rPr>
        <w:t xml:space="preserve"> und Ruprecht</w:t>
      </w:r>
      <w:r w:rsidRPr="007D4C6B">
        <w:t>, 1913, 1921</w:t>
      </w:r>
      <w:r w:rsidRPr="007D4C6B">
        <w:rPr>
          <w:vertAlign w:val="superscript"/>
        </w:rPr>
        <w:t>2</w:t>
      </w:r>
      <w:r w:rsidRPr="007D4C6B">
        <w:t xml:space="preserve"> (issued posthumously by Gustav Krüger, based on Bousset’s notes for revision), 1964</w:t>
      </w:r>
      <w:r w:rsidRPr="007D4C6B">
        <w:rPr>
          <w:vertAlign w:val="superscript"/>
        </w:rPr>
        <w:t>5</w:t>
      </w:r>
      <w:r w:rsidRPr="007D4C6B">
        <w:t xml:space="preserve"> (with introduction by Rudolf Bultmann).</w:t>
      </w:r>
      <w:r>
        <w:t>)</w:t>
      </w:r>
    </w:p>
    <w:p w14:paraId="0E43FB6F" w14:textId="77777777" w:rsidR="00B47A48" w:rsidRPr="007D4C6B" w:rsidRDefault="00B47A48" w:rsidP="00B47A48">
      <w:pPr>
        <w:widowControl w:val="0"/>
        <w:ind w:left="720" w:hanging="720"/>
      </w:pPr>
      <w:r w:rsidRPr="007D4C6B">
        <w:t xml:space="preserve">Braun, Herbert. </w:t>
      </w:r>
      <w:r w:rsidRPr="007D4C6B">
        <w:rPr>
          <w:i/>
        </w:rPr>
        <w:t>Jesus of Nazareth</w:t>
      </w:r>
      <w:r w:rsidRPr="007D4C6B">
        <w:t xml:space="preserve">: </w:t>
      </w:r>
      <w:r w:rsidRPr="007D4C6B">
        <w:rPr>
          <w:i/>
        </w:rPr>
        <w:t>The Man and His Time</w:t>
      </w:r>
      <w:r w:rsidRPr="007D4C6B">
        <w:t xml:space="preserve">. Trans. Everett R. Kalin. Philadelphia: Fortress, 1979. </w:t>
      </w:r>
      <w:r>
        <w:t>(</w:t>
      </w:r>
      <w:r w:rsidRPr="007D4C6B">
        <w:rPr>
          <w:i/>
        </w:rPr>
        <w:t>Jesus</w:t>
      </w:r>
      <w:r w:rsidRPr="007D4C6B">
        <w:t>, Stuttgart: Kreuz-Verlag, 1969.</w:t>
      </w:r>
      <w:r>
        <w:t>)</w:t>
      </w:r>
    </w:p>
    <w:p w14:paraId="611197E8" w14:textId="77777777" w:rsidR="00B47A48" w:rsidRPr="007D4C6B" w:rsidRDefault="00B47A48" w:rsidP="00B47A48">
      <w:pPr>
        <w:widowControl w:val="0"/>
        <w:ind w:left="720" w:hanging="720"/>
      </w:pPr>
      <w:r w:rsidRPr="007D4C6B">
        <w:t xml:space="preserve">Brewster, </w:t>
      </w:r>
      <w:r w:rsidRPr="00C45D7C">
        <w:rPr>
          <w:iCs/>
        </w:rPr>
        <w:t>W.T.</w:t>
      </w:r>
      <w:r w:rsidRPr="007D4C6B">
        <w:t xml:space="preserve"> </w:t>
      </w:r>
      <w:r w:rsidRPr="007D4C6B">
        <w:rPr>
          <w:i/>
        </w:rPr>
        <w:t>Studies in Structure and Style</w:t>
      </w:r>
      <w:r w:rsidRPr="007D4C6B">
        <w:t>. Intro</w:t>
      </w:r>
      <w:r>
        <w:t>.</w:t>
      </w:r>
      <w:r w:rsidRPr="007D4C6B">
        <w:t xml:space="preserve"> by </w:t>
      </w:r>
      <w:r w:rsidRPr="00C45D7C">
        <w:rPr>
          <w:iCs/>
        </w:rPr>
        <w:t>G.R.</w:t>
      </w:r>
      <w:r w:rsidRPr="007D4C6B">
        <w:t xml:space="preserve"> Carpenter. New York: Macmillan, 1909.</w:t>
      </w:r>
    </w:p>
    <w:p w14:paraId="7AFD7D2A" w14:textId="77777777" w:rsidR="00B47A48" w:rsidRPr="007D4C6B" w:rsidRDefault="00B47A48" w:rsidP="00B47A48">
      <w:pPr>
        <w:widowControl w:val="0"/>
        <w:ind w:left="720" w:hanging="720"/>
      </w:pPr>
      <w:r w:rsidRPr="007D4C6B">
        <w:t>Brock, Bernard L., and Robert L. Scott</w:t>
      </w:r>
      <w:r>
        <w:rPr>
          <w:iCs/>
        </w:rPr>
        <w:t>, eds.</w:t>
      </w:r>
      <w:r w:rsidRPr="00DC3006">
        <w:rPr>
          <w:iCs/>
        </w:rPr>
        <w:t xml:space="preserve"> </w:t>
      </w:r>
      <w:r w:rsidRPr="007D4C6B">
        <w:rPr>
          <w:i/>
        </w:rPr>
        <w:t>Methods of Rhetorical Criticism</w:t>
      </w:r>
      <w:r w:rsidRPr="007D4C6B">
        <w:t xml:space="preserve">: </w:t>
      </w:r>
      <w:r w:rsidRPr="007D4C6B">
        <w:rPr>
          <w:i/>
        </w:rPr>
        <w:t>A Twentieth-Century Perspective</w:t>
      </w:r>
      <w:r w:rsidRPr="007D4C6B">
        <w:t xml:space="preserve">. </w:t>
      </w:r>
      <w:r w:rsidRPr="0029762C">
        <w:rPr>
          <w:iCs/>
        </w:rPr>
        <w:t>2nd ed.</w:t>
      </w:r>
      <w:r w:rsidRPr="007D4C6B">
        <w:t xml:space="preserve"> Detroit MI: Wayne State </w:t>
      </w:r>
      <w:r>
        <w:t>UP</w:t>
      </w:r>
      <w:r w:rsidRPr="007D4C6B">
        <w:t>, 1980.</w:t>
      </w:r>
    </w:p>
    <w:p w14:paraId="69B7A4F3" w14:textId="77777777" w:rsidR="00B47A48" w:rsidRPr="007D4C6B" w:rsidRDefault="00B47A48" w:rsidP="00B47A48">
      <w:pPr>
        <w:widowControl w:val="0"/>
        <w:ind w:left="720" w:hanging="720"/>
      </w:pPr>
      <w:r w:rsidRPr="007D4C6B">
        <w:t xml:space="preserve">Bronowski, Jakob. “The Discovery of Form.” In </w:t>
      </w:r>
      <w:r w:rsidRPr="007D4C6B">
        <w:rPr>
          <w:i/>
        </w:rPr>
        <w:t>Structure in Art and in Science</w:t>
      </w:r>
      <w:r w:rsidRPr="00DC3006">
        <w:rPr>
          <w:iCs/>
        </w:rPr>
        <w:t xml:space="preserve">. Ed. </w:t>
      </w:r>
      <w:r w:rsidRPr="007D4C6B">
        <w:t>Gyorgy Kepes. Vision + value series. New York: George Braziller, 1965.</w:t>
      </w:r>
    </w:p>
    <w:p w14:paraId="453FDF4F" w14:textId="77777777" w:rsidR="00B47A48" w:rsidRPr="007D4C6B" w:rsidRDefault="00B47A48" w:rsidP="00B47A48">
      <w:pPr>
        <w:widowControl w:val="0"/>
        <w:ind w:left="720" w:hanging="720"/>
      </w:pPr>
      <w:r w:rsidRPr="007D4C6B">
        <w:t xml:space="preserve">Brooks, Cleanth. </w:t>
      </w:r>
      <w:r w:rsidRPr="007D4C6B">
        <w:rPr>
          <w:i/>
        </w:rPr>
        <w:t>The Well-Wrought Urn</w:t>
      </w:r>
      <w:r w:rsidRPr="007D4C6B">
        <w:t xml:space="preserve">: </w:t>
      </w:r>
      <w:r w:rsidRPr="007D4C6B">
        <w:rPr>
          <w:i/>
        </w:rPr>
        <w:t>Studies in the Structure of Poetry</w:t>
      </w:r>
      <w:r w:rsidRPr="007D4C6B">
        <w:t xml:space="preserve">. New York: Reynal </w:t>
      </w:r>
      <w:r>
        <w:t>and</w:t>
      </w:r>
      <w:r w:rsidRPr="007D4C6B">
        <w:t xml:space="preserve"> Hitchcock, 1947.</w:t>
      </w:r>
    </w:p>
    <w:p w14:paraId="3E66BC28" w14:textId="77777777" w:rsidR="00B47A48" w:rsidRPr="007D4C6B" w:rsidRDefault="00B47A48" w:rsidP="00B47A48">
      <w:pPr>
        <w:widowControl w:val="0"/>
        <w:ind w:left="720" w:hanging="720"/>
      </w:pPr>
      <w:r w:rsidRPr="007D4C6B">
        <w:t>Brooks, Cleanth, and Robert B. Heilman</w:t>
      </w:r>
      <w:r>
        <w:rPr>
          <w:iCs/>
        </w:rPr>
        <w:t>, eds.</w:t>
      </w:r>
      <w:r w:rsidRPr="00DC3006">
        <w:rPr>
          <w:iCs/>
        </w:rPr>
        <w:t xml:space="preserve"> </w:t>
      </w:r>
      <w:r w:rsidRPr="007D4C6B">
        <w:rPr>
          <w:i/>
        </w:rPr>
        <w:t>Understanding Drama</w:t>
      </w:r>
      <w:r w:rsidRPr="007D4C6B">
        <w:t xml:space="preserve">: </w:t>
      </w:r>
      <w:r w:rsidRPr="007D4C6B">
        <w:rPr>
          <w:i/>
        </w:rPr>
        <w:t>Twelve Plays</w:t>
      </w:r>
      <w:r w:rsidRPr="007D4C6B">
        <w:t>. New York: Henry Holt, 1948.</w:t>
      </w:r>
    </w:p>
    <w:p w14:paraId="064D17F0" w14:textId="41E5F847" w:rsidR="00B47A48" w:rsidRPr="007D4C6B" w:rsidRDefault="00B47A48" w:rsidP="00B47A48">
      <w:pPr>
        <w:widowControl w:val="0"/>
        <w:ind w:left="720" w:hanging="720"/>
      </w:pPr>
      <w:r w:rsidRPr="007D4C6B">
        <w:t>Brooks, Cleanth, and Robert Penn Warren</w:t>
      </w:r>
      <w:r>
        <w:rPr>
          <w:iCs/>
        </w:rPr>
        <w:t>, eds.</w:t>
      </w:r>
      <w:r w:rsidRPr="00DC3006">
        <w:rPr>
          <w:iCs/>
        </w:rPr>
        <w:t xml:space="preserve"> </w:t>
      </w:r>
      <w:r w:rsidRPr="007D4C6B">
        <w:rPr>
          <w:i/>
        </w:rPr>
        <w:t>Understanding Fiction</w:t>
      </w:r>
      <w:r w:rsidRPr="007D4C6B">
        <w:t xml:space="preserve">. New York: </w:t>
      </w:r>
      <w:r w:rsidRPr="00714629">
        <w:rPr>
          <w:iCs/>
        </w:rPr>
        <w:t>F.S.</w:t>
      </w:r>
      <w:r w:rsidRPr="007D4C6B">
        <w:t xml:space="preserve"> Crofts, 1943; </w:t>
      </w:r>
      <w:r w:rsidR="007B5BB5" w:rsidRPr="007B5BB5">
        <w:rPr>
          <w:iCs/>
        </w:rPr>
        <w:t xml:space="preserve">Englewood Cliffs </w:t>
      </w:r>
      <w:r w:rsidRPr="007D4C6B">
        <w:t>NJ: Prentice-Hall, 1979</w:t>
      </w:r>
      <w:r w:rsidRPr="007D4C6B">
        <w:rPr>
          <w:vertAlign w:val="superscript"/>
        </w:rPr>
        <w:t>3</w:t>
      </w:r>
      <w:r w:rsidRPr="007D4C6B">
        <w:t>.</w:t>
      </w:r>
    </w:p>
    <w:p w14:paraId="569BF7A7" w14:textId="77777777" w:rsidR="00B47A48" w:rsidRPr="007D4C6B" w:rsidRDefault="00B47A48" w:rsidP="00B47A48">
      <w:pPr>
        <w:widowControl w:val="0"/>
        <w:ind w:left="720" w:hanging="720"/>
      </w:pPr>
      <w:r w:rsidRPr="007D4C6B">
        <w:t xml:space="preserve">Brooks, Cleanth, and Robert Penn Warren. </w:t>
      </w:r>
      <w:r w:rsidRPr="007D4C6B">
        <w:rPr>
          <w:i/>
        </w:rPr>
        <w:t>Understanding Poetry</w:t>
      </w:r>
      <w:r w:rsidRPr="007D4C6B">
        <w:t xml:space="preserve">: </w:t>
      </w:r>
      <w:r w:rsidRPr="007D4C6B">
        <w:rPr>
          <w:i/>
        </w:rPr>
        <w:t>An Anthology for College Students</w:t>
      </w:r>
      <w:r w:rsidRPr="007D4C6B">
        <w:t xml:space="preserve">. Rev. ed. New York: Henry Holt, 1950; New York: Holt, </w:t>
      </w:r>
      <w:r w:rsidRPr="00714629">
        <w:rPr>
          <w:iCs/>
        </w:rPr>
        <w:t>Rinehart and Winston</w:t>
      </w:r>
      <w:r w:rsidRPr="007D4C6B">
        <w:t>, 1960</w:t>
      </w:r>
      <w:r w:rsidRPr="007D4C6B">
        <w:rPr>
          <w:vertAlign w:val="superscript"/>
        </w:rPr>
        <w:t>3</w:t>
      </w:r>
      <w:r w:rsidRPr="007D4C6B">
        <w:t>, 1976</w:t>
      </w:r>
      <w:r w:rsidRPr="007D4C6B">
        <w:rPr>
          <w:vertAlign w:val="superscript"/>
        </w:rPr>
        <w:t>4</w:t>
      </w:r>
      <w:r w:rsidRPr="007D4C6B">
        <w:t>.</w:t>
      </w:r>
    </w:p>
    <w:p w14:paraId="3878949D" w14:textId="77777777" w:rsidR="00B47A48" w:rsidRPr="007D4C6B" w:rsidRDefault="00B47A48" w:rsidP="00B47A48">
      <w:pPr>
        <w:widowControl w:val="0"/>
        <w:ind w:left="720" w:hanging="720"/>
      </w:pPr>
      <w:r w:rsidRPr="007D4C6B">
        <w:t xml:space="preserve">Brown, Peter. </w:t>
      </w:r>
      <w:r w:rsidRPr="007D4C6B">
        <w:rPr>
          <w:i/>
        </w:rPr>
        <w:t>Augustine of Hippo</w:t>
      </w:r>
      <w:r w:rsidRPr="007D4C6B">
        <w:t xml:space="preserve">. </w:t>
      </w:r>
      <w:r w:rsidRPr="00714629">
        <w:rPr>
          <w:iCs/>
        </w:rPr>
        <w:t>Berkeley CA: U of California P</w:t>
      </w:r>
      <w:r w:rsidRPr="007D4C6B">
        <w:t>, 1967.</w:t>
      </w:r>
    </w:p>
    <w:p w14:paraId="04EA27CD" w14:textId="77777777" w:rsidR="00B47A48" w:rsidRPr="007D4C6B" w:rsidRDefault="00B47A48" w:rsidP="00B47A48">
      <w:pPr>
        <w:widowControl w:val="0"/>
        <w:ind w:left="720" w:hanging="720"/>
      </w:pPr>
      <w:r w:rsidRPr="007D4C6B">
        <w:t xml:space="preserve">Brown, Raymond E. </w:t>
      </w:r>
      <w:r w:rsidRPr="007D4C6B">
        <w:rPr>
          <w:i/>
        </w:rPr>
        <w:t>A Coming Christ in Advent</w:t>
      </w:r>
      <w:r w:rsidRPr="007D4C6B">
        <w:t xml:space="preserve">: </w:t>
      </w:r>
      <w:r w:rsidRPr="007D4C6B">
        <w:rPr>
          <w:i/>
        </w:rPr>
        <w:t>Essays on the Gospel Narratives Preparing for the Birth of Jesus</w:t>
      </w:r>
      <w:r w:rsidRPr="007D4C6B">
        <w:t xml:space="preserve">, </w:t>
      </w:r>
      <w:r w:rsidRPr="007D4C6B">
        <w:rPr>
          <w:i/>
        </w:rPr>
        <w:t>Matthew 1 and Luke 1</w:t>
      </w:r>
      <w:r w:rsidRPr="007D4C6B">
        <w:t xml:space="preserve">. </w:t>
      </w:r>
      <w:r w:rsidRPr="0029762C">
        <w:rPr>
          <w:iCs/>
        </w:rPr>
        <w:t>Collegeville MN</w:t>
      </w:r>
      <w:r w:rsidRPr="007D4C6B">
        <w:t xml:space="preserve">: </w:t>
      </w:r>
      <w:r w:rsidRPr="0029762C">
        <w:rPr>
          <w:iCs/>
        </w:rPr>
        <w:t>Liturgical</w:t>
      </w:r>
      <w:r w:rsidRPr="007D4C6B">
        <w:t>, 1988.</w:t>
      </w:r>
    </w:p>
    <w:p w14:paraId="26059201" w14:textId="77777777" w:rsidR="00B47A48" w:rsidRPr="007D4C6B" w:rsidRDefault="00B47A48" w:rsidP="00B47A48">
      <w:pPr>
        <w:widowControl w:val="0"/>
        <w:ind w:left="720" w:hanging="720"/>
      </w:pPr>
      <w:r w:rsidRPr="007D4C6B">
        <w:t xml:space="preserve">Brown, Raymond E. </w:t>
      </w:r>
      <w:r w:rsidRPr="007D4C6B">
        <w:rPr>
          <w:i/>
        </w:rPr>
        <w:t>An Adult Christ at Christmas</w:t>
      </w:r>
      <w:r w:rsidRPr="007D4C6B">
        <w:t xml:space="preserve">: </w:t>
      </w:r>
      <w:r w:rsidRPr="007D4C6B">
        <w:rPr>
          <w:i/>
        </w:rPr>
        <w:t>Essays on the Three Biblical Christmas Stories</w:t>
      </w:r>
      <w:r w:rsidRPr="007D4C6B">
        <w:t xml:space="preserve">, </w:t>
      </w:r>
      <w:r w:rsidRPr="007D4C6B">
        <w:rPr>
          <w:i/>
        </w:rPr>
        <w:t>Matthew 2 and Luke 2</w:t>
      </w:r>
      <w:r w:rsidRPr="007D4C6B">
        <w:t xml:space="preserve">. </w:t>
      </w:r>
      <w:r w:rsidRPr="0029762C">
        <w:rPr>
          <w:iCs/>
        </w:rPr>
        <w:t>Collegeville MN</w:t>
      </w:r>
      <w:r w:rsidRPr="007D4C6B">
        <w:t xml:space="preserve">: </w:t>
      </w:r>
      <w:r w:rsidRPr="0029762C">
        <w:rPr>
          <w:iCs/>
        </w:rPr>
        <w:t>Liturgical</w:t>
      </w:r>
      <w:r w:rsidRPr="007D4C6B">
        <w:t>, 1978.</w:t>
      </w:r>
    </w:p>
    <w:p w14:paraId="3EBF027C" w14:textId="77777777" w:rsidR="00B47A48" w:rsidRPr="007D4C6B" w:rsidRDefault="00B47A48" w:rsidP="00B47A48">
      <w:pPr>
        <w:widowControl w:val="0"/>
        <w:ind w:left="720" w:hanging="720"/>
      </w:pPr>
      <w:r w:rsidRPr="007D4C6B">
        <w:t xml:space="preserve">Bruce, </w:t>
      </w:r>
      <w:r w:rsidRPr="002E050A">
        <w:rPr>
          <w:iCs/>
        </w:rPr>
        <w:t>F.F.</w:t>
      </w:r>
      <w:r w:rsidRPr="007D4C6B">
        <w:t xml:space="preserve"> </w:t>
      </w:r>
      <w:r w:rsidRPr="007D4C6B">
        <w:rPr>
          <w:i/>
        </w:rPr>
        <w:t>Peter</w:t>
      </w:r>
      <w:r w:rsidRPr="007D4C6B">
        <w:t xml:space="preserve">, </w:t>
      </w:r>
      <w:r w:rsidRPr="007D4C6B">
        <w:rPr>
          <w:i/>
        </w:rPr>
        <w:t>Stephen</w:t>
      </w:r>
      <w:r w:rsidRPr="007D4C6B">
        <w:t xml:space="preserve">, </w:t>
      </w:r>
      <w:r w:rsidRPr="007D4C6B">
        <w:rPr>
          <w:i/>
        </w:rPr>
        <w:t>James</w:t>
      </w:r>
      <w:r w:rsidRPr="007D4C6B">
        <w:t xml:space="preserve">, </w:t>
      </w:r>
      <w:r w:rsidRPr="007D4C6B">
        <w:rPr>
          <w:i/>
        </w:rPr>
        <w:t>and John</w:t>
      </w:r>
      <w:r w:rsidRPr="007D4C6B">
        <w:t xml:space="preserve">: </w:t>
      </w:r>
      <w:r w:rsidRPr="007D4C6B">
        <w:rPr>
          <w:i/>
        </w:rPr>
        <w:t>Studies in Early Non-Pauline Christianity</w:t>
      </w:r>
      <w:r w:rsidRPr="007D4C6B">
        <w:t>. Exeter, England: Paternoster, 1979</w:t>
      </w:r>
      <w:r>
        <w:t>.</w:t>
      </w:r>
      <w:r w:rsidRPr="007D4C6B">
        <w:t xml:space="preserve"> </w:t>
      </w:r>
      <w:r>
        <w:t>U</w:t>
      </w:r>
      <w:r w:rsidRPr="007D4C6B">
        <w:t xml:space="preserve">nder the title </w:t>
      </w:r>
      <w:r w:rsidRPr="007D4C6B">
        <w:rPr>
          <w:i/>
        </w:rPr>
        <w:t>Men and Movements in the Primitive Church</w:t>
      </w:r>
      <w:r>
        <w:t>.</w:t>
      </w:r>
      <w:r w:rsidRPr="007D4C6B">
        <w:t xml:space="preserve"> </w:t>
      </w:r>
      <w:r w:rsidRPr="00DC3006">
        <w:rPr>
          <w:iCs/>
        </w:rPr>
        <w:t>Grand Rapids MI</w:t>
      </w:r>
      <w:r w:rsidRPr="007D4C6B">
        <w:t>: 1980.</w:t>
      </w:r>
    </w:p>
    <w:p w14:paraId="40CF2BE2" w14:textId="77777777" w:rsidR="00B47A48" w:rsidRPr="007D4C6B" w:rsidRDefault="00B47A48" w:rsidP="00B47A48">
      <w:pPr>
        <w:widowControl w:val="0"/>
        <w:ind w:left="720" w:hanging="720"/>
      </w:pPr>
      <w:r w:rsidRPr="007D4C6B">
        <w:t xml:space="preserve">Bultmann, Rudolf. </w:t>
      </w:r>
      <w:r w:rsidRPr="007D4C6B">
        <w:rPr>
          <w:i/>
        </w:rPr>
        <w:t>Jesus and the Word</w:t>
      </w:r>
      <w:r w:rsidRPr="007D4C6B">
        <w:t>. Trans. Louise Pettibone Smith and Erminie Huntress Lantero. New York: Scribner’s, 1934</w:t>
      </w:r>
      <w:r>
        <w:t>.</w:t>
      </w:r>
      <w:r w:rsidRPr="007D4C6B">
        <w:t xml:space="preserve"> Rpt. paperback ed., Scribner’s, 1958. </w:t>
      </w:r>
      <w:r>
        <w:t xml:space="preserve">(German: </w:t>
      </w:r>
      <w:r w:rsidRPr="007D4C6B">
        <w:rPr>
          <w:i/>
        </w:rPr>
        <w:t>Jesus</w:t>
      </w:r>
      <w:r>
        <w:t>.</w:t>
      </w:r>
      <w:r w:rsidRPr="007D4C6B">
        <w:t xml:space="preserve"> Berlin, 1926.</w:t>
      </w:r>
      <w:r>
        <w:t>)</w:t>
      </w:r>
    </w:p>
    <w:p w14:paraId="66D358F6" w14:textId="77777777" w:rsidR="00B47A48" w:rsidRPr="007D4C6B" w:rsidRDefault="00B47A48" w:rsidP="00B47A48">
      <w:pPr>
        <w:widowControl w:val="0"/>
        <w:ind w:left="720" w:hanging="720"/>
      </w:pPr>
      <w:r w:rsidRPr="007D4C6B">
        <w:t xml:space="preserve">Bultmann, Rudolf. </w:t>
      </w:r>
      <w:r w:rsidRPr="007D4C6B">
        <w:rPr>
          <w:i/>
        </w:rPr>
        <w:t>Primitive Christianity in Its Contemporary Setting</w:t>
      </w:r>
      <w:r w:rsidRPr="007D4C6B">
        <w:t xml:space="preserve">. Trans. </w:t>
      </w:r>
      <w:r w:rsidRPr="00714629">
        <w:rPr>
          <w:iCs/>
        </w:rPr>
        <w:t>R.H.</w:t>
      </w:r>
      <w:r w:rsidRPr="007D4C6B">
        <w:t xml:space="preserve"> Fuller. New York: World (Meridian Books), 1956. </w:t>
      </w:r>
      <w:r>
        <w:t>(</w:t>
      </w:r>
      <w:r w:rsidRPr="007D4C6B">
        <w:rPr>
          <w:i/>
        </w:rPr>
        <w:t xml:space="preserve">Das </w:t>
      </w:r>
      <w:proofErr w:type="spellStart"/>
      <w:r w:rsidRPr="007D4C6B">
        <w:rPr>
          <w:i/>
        </w:rPr>
        <w:t>Urchristentum</w:t>
      </w:r>
      <w:proofErr w:type="spellEnd"/>
      <w:r w:rsidRPr="007D4C6B">
        <w:rPr>
          <w:i/>
        </w:rPr>
        <w:t xml:space="preserve"> </w:t>
      </w:r>
      <w:proofErr w:type="spellStart"/>
      <w:r w:rsidRPr="007D4C6B">
        <w:rPr>
          <w:i/>
        </w:rPr>
        <w:t>im</w:t>
      </w:r>
      <w:proofErr w:type="spellEnd"/>
      <w:r w:rsidRPr="007D4C6B">
        <w:rPr>
          <w:i/>
        </w:rPr>
        <w:t xml:space="preserve"> Rahmen der </w:t>
      </w:r>
      <w:proofErr w:type="spellStart"/>
      <w:r w:rsidRPr="007D4C6B">
        <w:rPr>
          <w:i/>
        </w:rPr>
        <w:t>antiken</w:t>
      </w:r>
      <w:proofErr w:type="spellEnd"/>
      <w:r w:rsidRPr="007D4C6B">
        <w:rPr>
          <w:i/>
        </w:rPr>
        <w:t xml:space="preserve"> </w:t>
      </w:r>
      <w:proofErr w:type="spellStart"/>
      <w:r w:rsidRPr="007D4C6B">
        <w:rPr>
          <w:i/>
        </w:rPr>
        <w:t>Religionen</w:t>
      </w:r>
      <w:proofErr w:type="spellEnd"/>
      <w:r w:rsidRPr="007D4C6B">
        <w:t>, Zurich: Artemis, 1954.</w:t>
      </w:r>
      <w:r>
        <w:t>)</w:t>
      </w:r>
    </w:p>
    <w:p w14:paraId="5508C9BB" w14:textId="77777777" w:rsidR="00B47A48" w:rsidRPr="007D4C6B" w:rsidRDefault="00B47A48" w:rsidP="00B47A48">
      <w:pPr>
        <w:widowControl w:val="0"/>
        <w:ind w:left="720" w:hanging="720"/>
      </w:pPr>
      <w:r w:rsidRPr="007D4C6B">
        <w:lastRenderedPageBreak/>
        <w:t xml:space="preserve">Bultmann, Rudolf. </w:t>
      </w:r>
      <w:r w:rsidRPr="007D4C6B">
        <w:rPr>
          <w:i/>
        </w:rPr>
        <w:t>The History of the Synoptic Tradition</w:t>
      </w:r>
      <w:r w:rsidRPr="007D4C6B">
        <w:t xml:space="preserve">. Trans. John Marsh. Oxford: Basil Blackwell, 1963; New York: </w:t>
      </w:r>
      <w:r w:rsidRPr="00E95268">
        <w:rPr>
          <w:iCs/>
        </w:rPr>
        <w:t>Harper and Row</w:t>
      </w:r>
      <w:r w:rsidRPr="007D4C6B">
        <w:t>, 1963</w:t>
      </w:r>
      <w:r>
        <w:t>.</w:t>
      </w:r>
      <w:r w:rsidRPr="007D4C6B">
        <w:t xml:space="preserve"> Rev. ed., </w:t>
      </w:r>
      <w:r w:rsidRPr="00E95268">
        <w:rPr>
          <w:iCs/>
        </w:rPr>
        <w:t>Harper and Row</w:t>
      </w:r>
      <w:r w:rsidRPr="007D4C6B">
        <w:t>, 1968</w:t>
      </w:r>
      <w:r>
        <w:t>.</w:t>
      </w:r>
      <w:r w:rsidRPr="007D4C6B">
        <w:t xml:space="preserve"> Rpt. ed. </w:t>
      </w:r>
      <w:r w:rsidRPr="00E95268">
        <w:rPr>
          <w:iCs/>
        </w:rPr>
        <w:t>Harper and Row</w:t>
      </w:r>
      <w:r w:rsidRPr="007D4C6B">
        <w:t xml:space="preserve">, 1976. </w:t>
      </w:r>
      <w:r>
        <w:t>(</w:t>
      </w:r>
      <w:r w:rsidRPr="007D4C6B">
        <w:rPr>
          <w:i/>
        </w:rPr>
        <w:t xml:space="preserve">Die </w:t>
      </w:r>
      <w:proofErr w:type="spellStart"/>
      <w:r w:rsidRPr="007D4C6B">
        <w:rPr>
          <w:i/>
        </w:rPr>
        <w:t>Geschichte</w:t>
      </w:r>
      <w:proofErr w:type="spellEnd"/>
      <w:r w:rsidRPr="007D4C6B">
        <w:rPr>
          <w:i/>
        </w:rPr>
        <w:t xml:space="preserve"> der </w:t>
      </w:r>
      <w:proofErr w:type="spellStart"/>
      <w:r w:rsidRPr="007D4C6B">
        <w:rPr>
          <w:i/>
        </w:rPr>
        <w:t>synoptischen</w:t>
      </w:r>
      <w:proofErr w:type="spellEnd"/>
      <w:r w:rsidRPr="007D4C6B">
        <w:rPr>
          <w:i/>
        </w:rPr>
        <w:t xml:space="preserve"> Tradition</w:t>
      </w:r>
      <w:r>
        <w:t>.</w:t>
      </w:r>
      <w:r w:rsidRPr="007D4C6B">
        <w:t xml:space="preserve"> </w:t>
      </w:r>
      <w:proofErr w:type="spellStart"/>
      <w:r w:rsidRPr="00714629">
        <w:rPr>
          <w:iCs/>
        </w:rPr>
        <w:t>Forschungen</w:t>
      </w:r>
      <w:proofErr w:type="spellEnd"/>
      <w:r w:rsidRPr="00714629">
        <w:rPr>
          <w:iCs/>
        </w:rPr>
        <w:t xml:space="preserve"> </w:t>
      </w:r>
      <w:proofErr w:type="spellStart"/>
      <w:r w:rsidRPr="00714629">
        <w:rPr>
          <w:iCs/>
        </w:rPr>
        <w:t>zur</w:t>
      </w:r>
      <w:proofErr w:type="spellEnd"/>
      <w:r w:rsidRPr="00714629">
        <w:rPr>
          <w:iCs/>
        </w:rPr>
        <w:t xml:space="preserve"> Religion und </w:t>
      </w:r>
      <w:proofErr w:type="spellStart"/>
      <w:r w:rsidRPr="00714629">
        <w:rPr>
          <w:iCs/>
        </w:rPr>
        <w:t>Literatur</w:t>
      </w:r>
      <w:proofErr w:type="spellEnd"/>
      <w:r w:rsidRPr="00714629">
        <w:rPr>
          <w:iCs/>
        </w:rPr>
        <w:t xml:space="preserve"> des </w:t>
      </w:r>
      <w:proofErr w:type="spellStart"/>
      <w:r w:rsidRPr="00714629">
        <w:rPr>
          <w:iCs/>
        </w:rPr>
        <w:t>Alten</w:t>
      </w:r>
      <w:proofErr w:type="spellEnd"/>
      <w:r w:rsidRPr="00714629">
        <w:rPr>
          <w:iCs/>
        </w:rPr>
        <w:t xml:space="preserve"> und Neuen Testaments</w:t>
      </w:r>
      <w:r w:rsidRPr="007D4C6B">
        <w:t xml:space="preserve"> 12, </w:t>
      </w:r>
      <w:r w:rsidRPr="00714629">
        <w:rPr>
          <w:iCs/>
        </w:rPr>
        <w:t>Göttingen</w:t>
      </w:r>
      <w:r w:rsidRPr="007D4C6B">
        <w:t xml:space="preserve">: </w:t>
      </w:r>
      <w:proofErr w:type="spellStart"/>
      <w:r w:rsidRPr="00D42DB3">
        <w:rPr>
          <w:iCs/>
        </w:rPr>
        <w:t>Vandenhoeck</w:t>
      </w:r>
      <w:proofErr w:type="spellEnd"/>
      <w:r w:rsidRPr="00D42DB3">
        <w:rPr>
          <w:iCs/>
        </w:rPr>
        <w:t xml:space="preserve"> und Ruprecht</w:t>
      </w:r>
      <w:r w:rsidRPr="007D4C6B">
        <w:t>, 1921, 1931</w:t>
      </w:r>
      <w:r w:rsidRPr="007D4C6B">
        <w:rPr>
          <w:vertAlign w:val="superscript"/>
        </w:rPr>
        <w:t>2</w:t>
      </w:r>
      <w:r w:rsidRPr="007D4C6B">
        <w:t>, 1957</w:t>
      </w:r>
      <w:r w:rsidRPr="007D4C6B">
        <w:rPr>
          <w:vertAlign w:val="superscript"/>
        </w:rPr>
        <w:t>3</w:t>
      </w:r>
      <w:r w:rsidRPr="007D4C6B">
        <w:t>, 1958</w:t>
      </w:r>
      <w:r w:rsidRPr="007D4C6B">
        <w:rPr>
          <w:vertAlign w:val="superscript"/>
        </w:rPr>
        <w:t>4</w:t>
      </w:r>
      <w:r w:rsidRPr="007D4C6B">
        <w:t>, 1970</w:t>
      </w:r>
      <w:r w:rsidRPr="007D4C6B">
        <w:rPr>
          <w:vertAlign w:val="superscript"/>
        </w:rPr>
        <w:t>8</w:t>
      </w:r>
      <w:r w:rsidRPr="007D4C6B">
        <w:t>. The work has had an “</w:t>
      </w:r>
      <w:proofErr w:type="spellStart"/>
      <w:r w:rsidRPr="007D4C6B">
        <w:t>Ergänzungsheft</w:t>
      </w:r>
      <w:proofErr w:type="spellEnd"/>
      <w:r w:rsidRPr="007D4C6B">
        <w:t>” (“Supplement”) of additional notes, edited at first by Bultmann, then by Bultmann and Philip Vielhauer, finally by Vielhauer and Gerd Theissen. Editions of the Supplement include 1931, 1958</w:t>
      </w:r>
      <w:r w:rsidRPr="007D4C6B">
        <w:rPr>
          <w:vertAlign w:val="superscript"/>
        </w:rPr>
        <w:t>2</w:t>
      </w:r>
      <w:r w:rsidRPr="007D4C6B">
        <w:t>, 1971</w:t>
      </w:r>
      <w:r w:rsidRPr="007D4C6B">
        <w:rPr>
          <w:vertAlign w:val="superscript"/>
        </w:rPr>
        <w:t>4</w:t>
      </w:r>
      <w:r w:rsidRPr="007D4C6B">
        <w:t>.</w:t>
      </w:r>
      <w:r>
        <w:t>)</w:t>
      </w:r>
    </w:p>
    <w:p w14:paraId="4D2FE825" w14:textId="77777777" w:rsidR="00B47A48" w:rsidRPr="007D4C6B" w:rsidRDefault="00B47A48" w:rsidP="00B47A48">
      <w:pPr>
        <w:widowControl w:val="0"/>
        <w:ind w:left="720" w:hanging="720"/>
      </w:pPr>
      <w:r w:rsidRPr="007D4C6B">
        <w:t xml:space="preserve">Bultmann, Rudolf. </w:t>
      </w:r>
      <w:r w:rsidRPr="007D4C6B">
        <w:rPr>
          <w:i/>
        </w:rPr>
        <w:t>Theology of the New Testament</w:t>
      </w:r>
      <w:r w:rsidRPr="007D4C6B">
        <w:t xml:space="preserve">. Trans. Kendrick Grobel. 2 vols. London: SCM, 1951, 1955; New York: Scribner’s, 1951, 1955. </w:t>
      </w:r>
      <w:r>
        <w:t>(</w:t>
      </w:r>
      <w:proofErr w:type="spellStart"/>
      <w:r w:rsidRPr="007D4C6B">
        <w:rPr>
          <w:i/>
        </w:rPr>
        <w:t>Theologie</w:t>
      </w:r>
      <w:proofErr w:type="spellEnd"/>
      <w:r w:rsidRPr="007D4C6B">
        <w:rPr>
          <w:i/>
        </w:rPr>
        <w:t xml:space="preserve"> des Neuen Testaments</w:t>
      </w:r>
      <w:r>
        <w:t>.</w:t>
      </w:r>
      <w:r w:rsidRPr="007D4C6B">
        <w:t xml:space="preserve"> 1948, 1953.</w:t>
      </w:r>
      <w:r>
        <w:t>)</w:t>
      </w:r>
    </w:p>
    <w:p w14:paraId="41E9ABC8" w14:textId="77777777" w:rsidR="00B47A48" w:rsidRPr="007D4C6B" w:rsidRDefault="00B47A48" w:rsidP="00B47A48">
      <w:pPr>
        <w:widowControl w:val="0"/>
        <w:ind w:left="720" w:hanging="720"/>
      </w:pPr>
      <w:r w:rsidRPr="007D4C6B">
        <w:t xml:space="preserve">Burke, Kenneth. “Lexicon </w:t>
      </w:r>
      <w:proofErr w:type="spellStart"/>
      <w:r w:rsidRPr="007D4C6B">
        <w:t>Rhetoricae</w:t>
      </w:r>
      <w:proofErr w:type="spellEnd"/>
      <w:r w:rsidRPr="007D4C6B">
        <w:t xml:space="preserve">.” In </w:t>
      </w:r>
      <w:r w:rsidRPr="007D4C6B">
        <w:rPr>
          <w:i/>
        </w:rPr>
        <w:t>Counter-Statement</w:t>
      </w:r>
      <w:r>
        <w:t xml:space="preserve">. </w:t>
      </w:r>
      <w:r w:rsidRPr="00E5413C">
        <w:rPr>
          <w:lang w:val="es-ES"/>
        </w:rPr>
        <w:t xml:space="preserve">Los Altos CA: Hermes, 1953. 2nd ed. </w:t>
      </w:r>
      <w:r w:rsidRPr="00714629">
        <w:rPr>
          <w:iCs/>
        </w:rPr>
        <w:t>Berkeley CA: U of California P</w:t>
      </w:r>
      <w:r w:rsidRPr="007D4C6B">
        <w:t>, 1968.</w:t>
      </w:r>
    </w:p>
    <w:p w14:paraId="3C6FF76A" w14:textId="77777777" w:rsidR="00B47A48" w:rsidRPr="007D4C6B" w:rsidRDefault="00B47A48" w:rsidP="00B47A48">
      <w:pPr>
        <w:widowControl w:val="0"/>
        <w:ind w:left="720" w:hanging="720"/>
      </w:pPr>
      <w:r w:rsidRPr="007D4C6B">
        <w:t xml:space="preserve">Burney, </w:t>
      </w:r>
      <w:r w:rsidRPr="00714629">
        <w:rPr>
          <w:iCs/>
        </w:rPr>
        <w:t>C.F.</w:t>
      </w:r>
      <w:r w:rsidRPr="007D4C6B">
        <w:t xml:space="preserve"> </w:t>
      </w:r>
      <w:r w:rsidRPr="007D4C6B">
        <w:rPr>
          <w:i/>
        </w:rPr>
        <w:t>The Poetry of Our Lord</w:t>
      </w:r>
      <w:r w:rsidRPr="007D4C6B">
        <w:t xml:space="preserve">: </w:t>
      </w:r>
      <w:r w:rsidRPr="007D4C6B">
        <w:rPr>
          <w:i/>
        </w:rPr>
        <w:t>An Examination of the Formal Elements of Hebrew Poetry in the Discourses of Jesus Christ</w:t>
      </w:r>
      <w:r w:rsidRPr="007D4C6B">
        <w:t>. Oxford: Clarendon, 1925.</w:t>
      </w:r>
    </w:p>
    <w:p w14:paraId="2E737C98" w14:textId="77777777" w:rsidR="00B47A48" w:rsidRPr="007D4C6B" w:rsidRDefault="00B47A48" w:rsidP="00B47A48">
      <w:pPr>
        <w:widowControl w:val="0"/>
        <w:ind w:left="720" w:hanging="720"/>
      </w:pPr>
      <w:r w:rsidRPr="007D4C6B">
        <w:t xml:space="preserve">Burrows, Millar. </w:t>
      </w:r>
      <w:r w:rsidRPr="007D4C6B">
        <w:rPr>
          <w:i/>
        </w:rPr>
        <w:t>Jesus in the First Three Gospels</w:t>
      </w:r>
      <w:r w:rsidRPr="007D4C6B">
        <w:t>. Nashville: Abingdon, 1977.</w:t>
      </w:r>
    </w:p>
    <w:p w14:paraId="1F7F99F4" w14:textId="78E9DFCB" w:rsidR="00B47A48" w:rsidRPr="007D4C6B" w:rsidRDefault="00B47A48" w:rsidP="00B47A48">
      <w:pPr>
        <w:widowControl w:val="0"/>
        <w:ind w:left="720" w:hanging="720"/>
      </w:pPr>
      <w:r w:rsidRPr="007D4C6B">
        <w:t xml:space="preserve">Burton, Ernest De Witt. </w:t>
      </w:r>
      <w:r w:rsidRPr="007D4C6B">
        <w:rPr>
          <w:i/>
        </w:rPr>
        <w:t>Syntax of the Moods and Tenses in New Testament Greek</w:t>
      </w:r>
      <w:r w:rsidRPr="007D4C6B">
        <w:t xml:space="preserve">. </w:t>
      </w:r>
      <w:r w:rsidRPr="000644ED">
        <w:rPr>
          <w:iCs/>
        </w:rPr>
        <w:t>Chicago: U of Chicago P</w:t>
      </w:r>
      <w:r w:rsidRPr="007D4C6B">
        <w:t>, 1888, 1893</w:t>
      </w:r>
      <w:r w:rsidRPr="007D4C6B">
        <w:rPr>
          <w:vertAlign w:val="superscript"/>
        </w:rPr>
        <w:t>2</w:t>
      </w:r>
      <w:r w:rsidRPr="007D4C6B">
        <w:t>, 1900</w:t>
      </w:r>
      <w:r w:rsidRPr="007D4C6B">
        <w:rPr>
          <w:vertAlign w:val="superscript"/>
        </w:rPr>
        <w:t>3</w:t>
      </w:r>
      <w:r w:rsidR="007B5BB5">
        <w:t>.</w:t>
      </w:r>
      <w:r w:rsidR="007B5BB5" w:rsidRPr="007D4C6B">
        <w:t xml:space="preserve"> Rpt. </w:t>
      </w:r>
      <w:r w:rsidRPr="007D4C6B">
        <w:t xml:space="preserve">ed., </w:t>
      </w:r>
      <w:r w:rsidRPr="00DC3006">
        <w:rPr>
          <w:iCs/>
        </w:rPr>
        <w:t>Grand Rapids MI</w:t>
      </w:r>
      <w:r w:rsidRPr="007D4C6B">
        <w:t>: Kregel, 1976.</w:t>
      </w:r>
    </w:p>
    <w:p w14:paraId="7D41EB19" w14:textId="77777777" w:rsidR="00B47A48" w:rsidRPr="007D4C6B" w:rsidRDefault="00B47A48" w:rsidP="00B47A48">
      <w:pPr>
        <w:widowControl w:val="0"/>
        <w:ind w:left="720" w:hanging="720"/>
      </w:pPr>
      <w:r w:rsidRPr="007D4C6B">
        <w:t>Buttrick, D. G.</w:t>
      </w:r>
      <w:r w:rsidRPr="00DC3006">
        <w:rPr>
          <w:iCs/>
        </w:rPr>
        <w:t xml:space="preserve">. Ed. </w:t>
      </w:r>
      <w:r w:rsidRPr="007D4C6B">
        <w:rPr>
          <w:i/>
        </w:rPr>
        <w:t>Jesus and Man</w:t>
      </w:r>
      <w:r w:rsidRPr="007D4C6B">
        <w:t>’</w:t>
      </w:r>
      <w:r w:rsidRPr="007D4C6B">
        <w:rPr>
          <w:i/>
        </w:rPr>
        <w:t>s Hope</w:t>
      </w:r>
      <w:r w:rsidRPr="007D4C6B">
        <w:t>. Pittsburgh, PA, 1970.</w:t>
      </w:r>
    </w:p>
    <w:p w14:paraId="64E50688" w14:textId="4B407CBD" w:rsidR="00B47A48" w:rsidRPr="007D4C6B" w:rsidRDefault="00B47A48" w:rsidP="00B47A48">
      <w:pPr>
        <w:widowControl w:val="0"/>
        <w:ind w:left="720" w:hanging="720"/>
      </w:pPr>
      <w:proofErr w:type="spellStart"/>
      <w:r w:rsidRPr="007D4C6B">
        <w:t>Campenhausen</w:t>
      </w:r>
      <w:proofErr w:type="spellEnd"/>
      <w:r w:rsidRPr="007D4C6B">
        <w:t xml:space="preserve">, Hans Freiherr von. </w:t>
      </w:r>
      <w:r w:rsidRPr="007D4C6B">
        <w:rPr>
          <w:i/>
        </w:rPr>
        <w:t>The Formation of the Christian Bible</w:t>
      </w:r>
      <w:r w:rsidRPr="007D4C6B">
        <w:t xml:space="preserve">. Trans. </w:t>
      </w:r>
      <w:r w:rsidRPr="000644ED">
        <w:rPr>
          <w:iCs/>
        </w:rPr>
        <w:t>J.A.</w:t>
      </w:r>
      <w:r w:rsidRPr="007D4C6B">
        <w:t xml:space="preserve"> Baker. London: A. &amp; C. Black; Philadelphia: Fortress, 1972 (Fortress paperback, 1977). </w:t>
      </w:r>
      <w:r w:rsidR="00B3722B">
        <w:t>(</w:t>
      </w:r>
      <w:r w:rsidRPr="007D4C6B">
        <w:rPr>
          <w:i/>
        </w:rPr>
        <w:t xml:space="preserve">Die </w:t>
      </w:r>
      <w:proofErr w:type="spellStart"/>
      <w:r w:rsidRPr="007D4C6B">
        <w:rPr>
          <w:i/>
        </w:rPr>
        <w:t>Entstehung</w:t>
      </w:r>
      <w:proofErr w:type="spellEnd"/>
      <w:r w:rsidRPr="007D4C6B">
        <w:rPr>
          <w:i/>
        </w:rPr>
        <w:t xml:space="preserve"> der </w:t>
      </w:r>
      <w:proofErr w:type="spellStart"/>
      <w:r w:rsidRPr="007D4C6B">
        <w:rPr>
          <w:i/>
        </w:rPr>
        <w:t>Christlichen</w:t>
      </w:r>
      <w:proofErr w:type="spellEnd"/>
      <w:r w:rsidRPr="007D4C6B">
        <w:rPr>
          <w:i/>
        </w:rPr>
        <w:t xml:space="preserve"> Bibel</w:t>
      </w:r>
      <w:r w:rsidRPr="007D4C6B">
        <w:t>, Tübingen: Mohr, 1968.</w:t>
      </w:r>
      <w:r w:rsidR="00B3722B">
        <w:t>)</w:t>
      </w:r>
    </w:p>
    <w:p w14:paraId="41387156" w14:textId="77777777" w:rsidR="00B47A48" w:rsidRPr="00E5413C" w:rsidRDefault="00B47A48" w:rsidP="00B47A48">
      <w:pPr>
        <w:widowControl w:val="0"/>
        <w:ind w:left="720" w:hanging="720"/>
        <w:rPr>
          <w:lang w:val="fr-FR"/>
        </w:rPr>
      </w:pPr>
      <w:proofErr w:type="spellStart"/>
      <w:r w:rsidRPr="007D4C6B">
        <w:t>Chaignet</w:t>
      </w:r>
      <w:proofErr w:type="spellEnd"/>
      <w:r w:rsidRPr="007D4C6B">
        <w:t xml:space="preserve">, A.-Ed. </w:t>
      </w:r>
      <w:r w:rsidRPr="00E5413C">
        <w:rPr>
          <w:i/>
          <w:lang w:val="fr-FR"/>
        </w:rPr>
        <w:t>La rhétorique et son histoire</w:t>
      </w:r>
      <w:r w:rsidRPr="00E5413C">
        <w:rPr>
          <w:lang w:val="fr-FR"/>
        </w:rPr>
        <w:t xml:space="preserve">. Paris: E. Bouillon et E. </w:t>
      </w:r>
      <w:proofErr w:type="spellStart"/>
      <w:r w:rsidRPr="00E5413C">
        <w:rPr>
          <w:lang w:val="fr-FR"/>
        </w:rPr>
        <w:t>Vieweg</w:t>
      </w:r>
      <w:proofErr w:type="spellEnd"/>
      <w:r w:rsidRPr="00E5413C">
        <w:rPr>
          <w:lang w:val="fr-FR"/>
        </w:rPr>
        <w:t>, 1888.</w:t>
      </w:r>
    </w:p>
    <w:p w14:paraId="2D60D998" w14:textId="77777777" w:rsidR="00B47A48" w:rsidRPr="007D4C6B" w:rsidRDefault="00B47A48" w:rsidP="00B47A48">
      <w:pPr>
        <w:widowControl w:val="0"/>
        <w:ind w:left="720" w:hanging="720"/>
      </w:pPr>
      <w:r w:rsidRPr="007D4C6B">
        <w:t>Chatman, Seymour</w:t>
      </w:r>
      <w:r w:rsidRPr="00DC3006">
        <w:rPr>
          <w:iCs/>
        </w:rPr>
        <w:t xml:space="preserve">. Ed. </w:t>
      </w:r>
      <w:r w:rsidRPr="007D4C6B">
        <w:rPr>
          <w:i/>
        </w:rPr>
        <w:t>Approaches to Poetics</w:t>
      </w:r>
      <w:r w:rsidRPr="007D4C6B">
        <w:t>. New York: Columbia University, 1973.</w:t>
      </w:r>
    </w:p>
    <w:p w14:paraId="77885E87" w14:textId="77777777" w:rsidR="00B47A48" w:rsidRPr="007D4C6B" w:rsidRDefault="00B47A48" w:rsidP="00B47A48">
      <w:pPr>
        <w:widowControl w:val="0"/>
        <w:ind w:left="720" w:hanging="720"/>
      </w:pPr>
      <w:r w:rsidRPr="007D4C6B">
        <w:t xml:space="preserve">Chávez, Carlos. </w:t>
      </w:r>
      <w:r w:rsidRPr="007D4C6B">
        <w:rPr>
          <w:i/>
        </w:rPr>
        <w:t>Musical Thought</w:t>
      </w:r>
      <w:r w:rsidRPr="007D4C6B">
        <w:t xml:space="preserve">. </w:t>
      </w:r>
      <w:r w:rsidRPr="00E366BA">
        <w:rPr>
          <w:iCs/>
        </w:rPr>
        <w:t xml:space="preserve">Cambridge MA: Harvard UP, </w:t>
      </w:r>
      <w:r w:rsidRPr="007D4C6B">
        <w:t>1961.</w:t>
      </w:r>
    </w:p>
    <w:p w14:paraId="459F57BB" w14:textId="77777777" w:rsidR="00B47A48" w:rsidRPr="007D4C6B" w:rsidRDefault="00B47A48" w:rsidP="00B47A48">
      <w:pPr>
        <w:widowControl w:val="0"/>
        <w:ind w:left="720" w:hanging="720"/>
      </w:pPr>
      <w:r w:rsidRPr="007D4C6B">
        <w:t xml:space="preserve">Chomsky, Noam. “Deep Structure, Surface Structure and Semantic Interpretation.” In </w:t>
      </w:r>
      <w:r w:rsidRPr="007D4C6B">
        <w:rPr>
          <w:i/>
        </w:rPr>
        <w:t>Studies in General and Oriental Linguistics</w:t>
      </w:r>
      <w:r w:rsidRPr="00DC3006">
        <w:rPr>
          <w:iCs/>
        </w:rPr>
        <w:t xml:space="preserve">. Ed. </w:t>
      </w:r>
      <w:r w:rsidRPr="007D4C6B">
        <w:t xml:space="preserve">Roman Jakobson and S. Kawamoto. Tokyo: TEC Corp. for Language Research, 1970. Rpt. in Noam Chomsky, </w:t>
      </w:r>
      <w:r w:rsidRPr="007D4C6B">
        <w:rPr>
          <w:i/>
        </w:rPr>
        <w:t>Studies on Semantics in Generative Grammar</w:t>
      </w:r>
      <w:r w:rsidRPr="007D4C6B">
        <w:t>. The Hague: Mouton, 1972.</w:t>
      </w:r>
    </w:p>
    <w:p w14:paraId="0CF56FFD" w14:textId="2007B7EA" w:rsidR="00B47A48" w:rsidRPr="007D4C6B" w:rsidRDefault="00B47A48" w:rsidP="00B47A48">
      <w:pPr>
        <w:widowControl w:val="0"/>
        <w:ind w:left="720" w:hanging="720"/>
      </w:pPr>
      <w:r w:rsidRPr="007D4C6B">
        <w:t xml:space="preserve">Christensen, Francis. “A Generative Rhetoric of the Paragraph.” </w:t>
      </w:r>
      <w:r w:rsidRPr="007D4C6B">
        <w:rPr>
          <w:i/>
        </w:rPr>
        <w:t>College Composition and Communication</w:t>
      </w:r>
      <w:r w:rsidRPr="007D4C6B">
        <w:t xml:space="preserve"> 16 (October 1965) 144-56</w:t>
      </w:r>
      <w:r w:rsidR="007B5BB5">
        <w:t>.</w:t>
      </w:r>
      <w:r w:rsidR="007B5BB5" w:rsidRPr="007D4C6B">
        <w:t xml:space="preserve"> Rpt. </w:t>
      </w:r>
      <w:r w:rsidRPr="007D4C6B">
        <w:t>with revisions, in Martin Steinmann, Jr.</w:t>
      </w:r>
      <w:r w:rsidR="007B5BB5">
        <w:rPr>
          <w:iCs/>
        </w:rPr>
        <w:t>,</w:t>
      </w:r>
      <w:r w:rsidRPr="00DC3006">
        <w:rPr>
          <w:iCs/>
        </w:rPr>
        <w:t xml:space="preserve"> </w:t>
      </w:r>
      <w:r w:rsidR="007B5BB5">
        <w:rPr>
          <w:iCs/>
        </w:rPr>
        <w:t>e</w:t>
      </w:r>
      <w:r w:rsidRPr="00DC3006">
        <w:rPr>
          <w:iCs/>
        </w:rPr>
        <w:t xml:space="preserve">d. </w:t>
      </w:r>
      <w:r w:rsidRPr="007D4C6B">
        <w:rPr>
          <w:i/>
        </w:rPr>
        <w:t>New Rhetorics</w:t>
      </w:r>
      <w:r w:rsidRPr="007D4C6B">
        <w:t>. New York: Scribner’s, 1967.</w:t>
      </w:r>
    </w:p>
    <w:p w14:paraId="3ED5E23A" w14:textId="77777777" w:rsidR="00B47A48" w:rsidRPr="007D4C6B" w:rsidRDefault="00B47A48" w:rsidP="00B47A48">
      <w:pPr>
        <w:widowControl w:val="0"/>
        <w:ind w:left="720" w:hanging="720"/>
      </w:pPr>
      <w:r w:rsidRPr="007D4C6B">
        <w:t xml:space="preserve">Christensen, Francis. “A Generative Rhetoric of the Sentence.” </w:t>
      </w:r>
      <w:r w:rsidRPr="007D4C6B">
        <w:rPr>
          <w:i/>
        </w:rPr>
        <w:t>College Composition and Communication</w:t>
      </w:r>
      <w:r w:rsidRPr="007D4C6B">
        <w:t xml:space="preserve"> 14 (1963) 155-61.</w:t>
      </w:r>
    </w:p>
    <w:p w14:paraId="2E549015" w14:textId="77777777" w:rsidR="00B47A48" w:rsidRPr="007D4C6B" w:rsidRDefault="00B47A48" w:rsidP="00B47A48">
      <w:pPr>
        <w:widowControl w:val="0"/>
        <w:ind w:left="720" w:hanging="720"/>
      </w:pPr>
      <w:r w:rsidRPr="007D4C6B">
        <w:t xml:space="preserve">Clarke, Kenneth W., and Mary W. Clarke. </w:t>
      </w:r>
      <w:r w:rsidRPr="007D4C6B">
        <w:rPr>
          <w:i/>
        </w:rPr>
        <w:t>Introducing Folklore</w:t>
      </w:r>
      <w:r w:rsidRPr="007D4C6B">
        <w:t xml:space="preserve">. New York: Holt, </w:t>
      </w:r>
      <w:r w:rsidRPr="00714629">
        <w:rPr>
          <w:iCs/>
        </w:rPr>
        <w:t>Rinehart and Winston</w:t>
      </w:r>
      <w:r w:rsidRPr="007D4C6B">
        <w:t>, 1963.</w:t>
      </w:r>
    </w:p>
    <w:p w14:paraId="7D283444" w14:textId="77777777" w:rsidR="00B47A48" w:rsidRPr="00E5413C" w:rsidRDefault="00B47A48" w:rsidP="00B47A48">
      <w:pPr>
        <w:ind w:left="720" w:hanging="720"/>
        <w:contextualSpacing/>
        <w:rPr>
          <w:lang w:val="fr-FR"/>
        </w:rPr>
      </w:pPr>
      <w:r w:rsidRPr="007D4C6B">
        <w:t xml:space="preserve">Cobb, W.H. </w:t>
      </w:r>
      <w:r w:rsidRPr="007D4C6B">
        <w:rPr>
          <w:i/>
          <w:iCs/>
        </w:rPr>
        <w:t xml:space="preserve">A Criticism of Systems of Hebrew </w:t>
      </w:r>
      <w:proofErr w:type="spellStart"/>
      <w:r w:rsidRPr="007D4C6B">
        <w:rPr>
          <w:i/>
          <w:iCs/>
        </w:rPr>
        <w:t>Metre</w:t>
      </w:r>
      <w:proofErr w:type="spellEnd"/>
      <w:r w:rsidRPr="007D4C6B">
        <w:t xml:space="preserve">. </w:t>
      </w:r>
      <w:r w:rsidRPr="00E5413C">
        <w:rPr>
          <w:lang w:val="fr-FR"/>
        </w:rPr>
        <w:t>Oxford: OUP, 1905.</w:t>
      </w:r>
    </w:p>
    <w:p w14:paraId="0A6A0F37" w14:textId="77777777" w:rsidR="00B47A48" w:rsidRPr="007D4C6B" w:rsidRDefault="00B47A48" w:rsidP="00B47A48">
      <w:pPr>
        <w:ind w:left="720" w:hanging="720"/>
        <w:contextualSpacing/>
      </w:pPr>
      <w:proofErr w:type="spellStart"/>
      <w:r w:rsidRPr="00E5413C">
        <w:rPr>
          <w:lang w:val="fr-FR"/>
        </w:rPr>
        <w:t>Condamin</w:t>
      </w:r>
      <w:proofErr w:type="spellEnd"/>
      <w:r w:rsidRPr="00E5413C">
        <w:rPr>
          <w:lang w:val="fr-FR"/>
        </w:rPr>
        <w:t xml:space="preserve">, Albert. </w:t>
      </w:r>
      <w:r w:rsidRPr="00E5413C">
        <w:rPr>
          <w:i/>
          <w:iCs/>
          <w:lang w:val="fr-FR"/>
        </w:rPr>
        <w:t>Le Livre d</w:t>
      </w:r>
      <w:r w:rsidRPr="00E5413C">
        <w:rPr>
          <w:iCs/>
          <w:lang w:val="fr-FR"/>
        </w:rPr>
        <w:t>’</w:t>
      </w:r>
      <w:r w:rsidRPr="00E5413C">
        <w:rPr>
          <w:i/>
          <w:iCs/>
          <w:lang w:val="fr-FR"/>
        </w:rPr>
        <w:t>Isaïe</w:t>
      </w:r>
      <w:r w:rsidRPr="00E5413C">
        <w:rPr>
          <w:lang w:val="fr-FR"/>
        </w:rPr>
        <w:t xml:space="preserve">. </w:t>
      </w:r>
      <w:r w:rsidRPr="00E5413C">
        <w:rPr>
          <w:i/>
          <w:iCs/>
          <w:lang w:val="fr-FR"/>
        </w:rPr>
        <w:t>Traduction critique avec notes et commentaires par le P</w:t>
      </w:r>
      <w:r w:rsidRPr="00E5413C">
        <w:rPr>
          <w:lang w:val="fr-FR"/>
        </w:rPr>
        <w:t>.</w:t>
      </w:r>
      <w:r w:rsidRPr="00E5413C">
        <w:rPr>
          <w:i/>
          <w:iCs/>
          <w:lang w:val="fr-FR"/>
        </w:rPr>
        <w:t>A</w:t>
      </w:r>
      <w:r w:rsidRPr="00E5413C">
        <w:rPr>
          <w:lang w:val="fr-FR"/>
        </w:rPr>
        <w:t xml:space="preserve">. </w:t>
      </w:r>
      <w:proofErr w:type="spellStart"/>
      <w:r w:rsidRPr="00E5413C">
        <w:rPr>
          <w:i/>
          <w:iCs/>
          <w:lang w:val="fr-FR"/>
        </w:rPr>
        <w:t>Condamin</w:t>
      </w:r>
      <w:proofErr w:type="spellEnd"/>
      <w:r w:rsidRPr="00E5413C">
        <w:rPr>
          <w:lang w:val="fr-FR"/>
        </w:rPr>
        <w:t xml:space="preserve">. </w:t>
      </w:r>
      <w:r w:rsidRPr="007D4C6B">
        <w:t xml:space="preserve">Études </w:t>
      </w:r>
      <w:proofErr w:type="spellStart"/>
      <w:r w:rsidRPr="007D4C6B">
        <w:t>bibliques</w:t>
      </w:r>
      <w:proofErr w:type="spellEnd"/>
      <w:r w:rsidRPr="007D4C6B">
        <w:t xml:space="preserve">. Paris: V. </w:t>
      </w:r>
      <w:proofErr w:type="spellStart"/>
      <w:r w:rsidRPr="007D4C6B">
        <w:t>Lecoffre</w:t>
      </w:r>
      <w:proofErr w:type="spellEnd"/>
      <w:r w:rsidRPr="007D4C6B">
        <w:t>, 1905.</w:t>
      </w:r>
    </w:p>
    <w:p w14:paraId="21D663DC" w14:textId="6F6B6D42" w:rsidR="00B47A48" w:rsidRPr="007D4C6B" w:rsidRDefault="00B47A48" w:rsidP="00B47A48">
      <w:pPr>
        <w:widowControl w:val="0"/>
        <w:ind w:left="720" w:hanging="720"/>
      </w:pPr>
      <w:r w:rsidRPr="007D4C6B">
        <w:t xml:space="preserve">Conzelmann, Hans. </w:t>
      </w:r>
      <w:r w:rsidRPr="007D4C6B">
        <w:rPr>
          <w:i/>
        </w:rPr>
        <w:t>Jesus</w:t>
      </w:r>
      <w:r w:rsidRPr="007D4C6B">
        <w:t xml:space="preserve">: </w:t>
      </w:r>
      <w:r w:rsidRPr="007D4C6B">
        <w:rPr>
          <w:i/>
        </w:rPr>
        <w:t>The Classic Article from RGG</w:t>
      </w:r>
      <w:r w:rsidRPr="007D4C6B">
        <w:rPr>
          <w:i/>
          <w:vertAlign w:val="superscript"/>
        </w:rPr>
        <w:t>3</w:t>
      </w:r>
      <w:r w:rsidRPr="007D4C6B">
        <w:rPr>
          <w:i/>
        </w:rPr>
        <w:t xml:space="preserve"> Expanded and Updated</w:t>
      </w:r>
      <w:r w:rsidRPr="007D4C6B">
        <w:t>. Trans. J. Raymond Lord</w:t>
      </w:r>
      <w:r w:rsidRPr="00DC3006">
        <w:rPr>
          <w:iCs/>
        </w:rPr>
        <w:t xml:space="preserve">. Ed. </w:t>
      </w:r>
      <w:r w:rsidRPr="007D4C6B">
        <w:t xml:space="preserve">and introduction by John Reumann. Philadelphia: Fortress, 1973. </w:t>
      </w:r>
      <w:r w:rsidR="00457786">
        <w:t>(</w:t>
      </w:r>
      <w:r w:rsidRPr="007D4C6B">
        <w:t>“Jesus Christus</w:t>
      </w:r>
      <w:r w:rsidR="00457786">
        <w:t>.</w:t>
      </w:r>
      <w:r w:rsidRPr="007D4C6B">
        <w:t xml:space="preserve">” </w:t>
      </w:r>
      <w:r w:rsidRPr="007D4C6B">
        <w:rPr>
          <w:i/>
        </w:rPr>
        <w:t xml:space="preserve">Die Religion in </w:t>
      </w:r>
      <w:proofErr w:type="spellStart"/>
      <w:r w:rsidRPr="007D4C6B">
        <w:rPr>
          <w:i/>
        </w:rPr>
        <w:t>Geschichte</w:t>
      </w:r>
      <w:proofErr w:type="spellEnd"/>
      <w:r w:rsidRPr="007D4C6B">
        <w:rPr>
          <w:i/>
        </w:rPr>
        <w:t xml:space="preserve"> und </w:t>
      </w:r>
      <w:proofErr w:type="spellStart"/>
      <w:r w:rsidRPr="007D4C6B">
        <w:rPr>
          <w:i/>
        </w:rPr>
        <w:t>Gegenwart</w:t>
      </w:r>
      <w:proofErr w:type="spellEnd"/>
      <w:r w:rsidRPr="007D4C6B">
        <w:t xml:space="preserve">: </w:t>
      </w:r>
      <w:proofErr w:type="spellStart"/>
      <w:r w:rsidRPr="007D4C6B">
        <w:rPr>
          <w:i/>
        </w:rPr>
        <w:t>Handwörterbuch</w:t>
      </w:r>
      <w:proofErr w:type="spellEnd"/>
      <w:r w:rsidRPr="007D4C6B">
        <w:rPr>
          <w:i/>
        </w:rPr>
        <w:t xml:space="preserve"> für </w:t>
      </w:r>
      <w:proofErr w:type="spellStart"/>
      <w:r w:rsidRPr="007D4C6B">
        <w:rPr>
          <w:i/>
        </w:rPr>
        <w:t>Theologie</w:t>
      </w:r>
      <w:proofErr w:type="spellEnd"/>
      <w:r w:rsidRPr="007D4C6B">
        <w:rPr>
          <w:i/>
        </w:rPr>
        <w:t xml:space="preserve"> und </w:t>
      </w:r>
      <w:proofErr w:type="spellStart"/>
      <w:r w:rsidRPr="007D4C6B">
        <w:rPr>
          <w:i/>
        </w:rPr>
        <w:t>Religionswissenschaft</w:t>
      </w:r>
      <w:proofErr w:type="spellEnd"/>
      <w:r w:rsidRPr="00DC3006">
        <w:rPr>
          <w:iCs/>
        </w:rPr>
        <w:t xml:space="preserve">. Ed. </w:t>
      </w:r>
      <w:r w:rsidRPr="007D4C6B">
        <w:t xml:space="preserve">Kurt Galling et al. Tübingen: </w:t>
      </w:r>
      <w:r w:rsidRPr="00E95268">
        <w:rPr>
          <w:iCs/>
        </w:rPr>
        <w:t>J.</w:t>
      </w:r>
      <w:r w:rsidR="00457786" w:rsidRPr="00457786">
        <w:rPr>
          <w:iCs/>
        </w:rPr>
        <w:t>C.B.</w:t>
      </w:r>
      <w:r w:rsidRPr="007D4C6B">
        <w:t xml:space="preserve"> Mohr [Paul Siebeck], 1959</w:t>
      </w:r>
      <w:r w:rsidR="00457786">
        <w:t>.</w:t>
      </w:r>
      <w:r w:rsidRPr="007D4C6B">
        <w:t xml:space="preserve"> </w:t>
      </w:r>
      <w:r w:rsidR="00457786" w:rsidRPr="007D4C6B">
        <w:t>Vol</w:t>
      </w:r>
      <w:r w:rsidRPr="007D4C6B">
        <w:t>. 3 cols. 619-53.</w:t>
      </w:r>
      <w:r w:rsidR="00457786">
        <w:t>)</w:t>
      </w:r>
    </w:p>
    <w:p w14:paraId="38C1AF36" w14:textId="75CC31EB" w:rsidR="00B47A48" w:rsidRPr="007D4C6B" w:rsidRDefault="00B47A48" w:rsidP="00B47A48">
      <w:pPr>
        <w:widowControl w:val="0"/>
        <w:ind w:left="720" w:hanging="720"/>
      </w:pPr>
      <w:r w:rsidRPr="007D4C6B">
        <w:t xml:space="preserve">Cope, E. M. </w:t>
      </w:r>
      <w:r w:rsidRPr="007D4C6B">
        <w:rPr>
          <w:i/>
        </w:rPr>
        <w:t>An Introduction to Aristotle</w:t>
      </w:r>
      <w:r w:rsidRPr="007D4C6B">
        <w:t>’</w:t>
      </w:r>
      <w:r w:rsidRPr="007D4C6B">
        <w:rPr>
          <w:i/>
        </w:rPr>
        <w:t>s Rhetoric with Analysis</w:t>
      </w:r>
      <w:r w:rsidRPr="007D4C6B">
        <w:t xml:space="preserve">, </w:t>
      </w:r>
      <w:r w:rsidRPr="007D4C6B">
        <w:rPr>
          <w:i/>
        </w:rPr>
        <w:t>Notes and Appendices</w:t>
      </w:r>
      <w:r w:rsidRPr="007D4C6B">
        <w:t>. London: Macmillan, 1867</w:t>
      </w:r>
      <w:r w:rsidR="007B5BB5">
        <w:t>.</w:t>
      </w:r>
      <w:r w:rsidR="007B5BB5" w:rsidRPr="007D4C6B">
        <w:t xml:space="preserve"> Rpt. </w:t>
      </w:r>
      <w:r w:rsidRPr="007D4C6B">
        <w:t>ed., Dubuque IA: Wm. C. Brown, n.d.</w:t>
      </w:r>
    </w:p>
    <w:p w14:paraId="796B7E9C" w14:textId="77777777" w:rsidR="00B47A48" w:rsidRPr="007D4C6B" w:rsidRDefault="00B47A48" w:rsidP="00B47A48">
      <w:pPr>
        <w:widowControl w:val="0"/>
        <w:ind w:left="720" w:hanging="720"/>
      </w:pPr>
      <w:r w:rsidRPr="007D4C6B">
        <w:lastRenderedPageBreak/>
        <w:t xml:space="preserve">Corbett, Edward P. J. </w:t>
      </w:r>
      <w:r w:rsidRPr="007D4C6B">
        <w:rPr>
          <w:i/>
        </w:rPr>
        <w:t>Classical Rhetoric for the Modern Student</w:t>
      </w:r>
      <w:r w:rsidRPr="007D4C6B">
        <w:t>. New York: Oxford University, 1965, 1971</w:t>
      </w:r>
      <w:r w:rsidRPr="007D4C6B">
        <w:rPr>
          <w:vertAlign w:val="superscript"/>
        </w:rPr>
        <w:t>2</w:t>
      </w:r>
      <w:r w:rsidRPr="007D4C6B">
        <w:t>.</w:t>
      </w:r>
    </w:p>
    <w:p w14:paraId="2BE51844" w14:textId="77777777" w:rsidR="00B47A48" w:rsidRPr="007D4C6B" w:rsidRDefault="00B47A48" w:rsidP="00B47A48">
      <w:pPr>
        <w:widowControl w:val="0"/>
        <w:ind w:left="720" w:hanging="720"/>
      </w:pPr>
      <w:r w:rsidRPr="007D4C6B">
        <w:t xml:space="preserve">Crossan, Dominic. </w:t>
      </w:r>
      <w:r w:rsidRPr="007D4C6B">
        <w:rPr>
          <w:i/>
        </w:rPr>
        <w:t>In Fragments</w:t>
      </w:r>
      <w:r w:rsidRPr="007D4C6B">
        <w:t xml:space="preserve">: </w:t>
      </w:r>
      <w:r w:rsidRPr="007D4C6B">
        <w:rPr>
          <w:i/>
        </w:rPr>
        <w:t>The Aphorisms of Jesus</w:t>
      </w:r>
      <w:r w:rsidRPr="007D4C6B">
        <w:t xml:space="preserve">. San Francisco: </w:t>
      </w:r>
      <w:r w:rsidRPr="00E95268">
        <w:rPr>
          <w:iCs/>
        </w:rPr>
        <w:t>Harper and Row</w:t>
      </w:r>
      <w:r w:rsidRPr="007D4C6B">
        <w:t>, 1983.</w:t>
      </w:r>
    </w:p>
    <w:p w14:paraId="0EE0AA45" w14:textId="77777777" w:rsidR="00B47A48" w:rsidRPr="007D4C6B" w:rsidRDefault="00B47A48" w:rsidP="00B47A48">
      <w:pPr>
        <w:widowControl w:val="0"/>
        <w:ind w:left="720" w:hanging="720"/>
      </w:pPr>
      <w:r w:rsidRPr="007D4C6B">
        <w:t xml:space="preserve">D’Angelo, Frank J. </w:t>
      </w:r>
      <w:r w:rsidRPr="007D4C6B">
        <w:rPr>
          <w:i/>
        </w:rPr>
        <w:t>A Conceptual Theory of Rhetoric</w:t>
      </w:r>
      <w:r w:rsidRPr="007D4C6B">
        <w:t xml:space="preserve">. </w:t>
      </w:r>
      <w:r w:rsidRPr="00E366BA">
        <w:rPr>
          <w:iCs/>
        </w:rPr>
        <w:t>Cambridge MA</w:t>
      </w:r>
      <w:r w:rsidRPr="007D4C6B">
        <w:t xml:space="preserve">: </w:t>
      </w:r>
      <w:proofErr w:type="spellStart"/>
      <w:r w:rsidRPr="007D4C6B">
        <w:t>Wintrhop</w:t>
      </w:r>
      <w:proofErr w:type="spellEnd"/>
      <w:r w:rsidRPr="007D4C6B">
        <w:t>, 1975.</w:t>
      </w:r>
    </w:p>
    <w:p w14:paraId="5BF0CA11" w14:textId="77777777" w:rsidR="00B47A48" w:rsidRPr="007D4C6B" w:rsidRDefault="00B47A48" w:rsidP="00B47A48">
      <w:pPr>
        <w:widowControl w:val="0"/>
        <w:ind w:left="720" w:hanging="720"/>
      </w:pPr>
      <w:r w:rsidRPr="007D4C6B">
        <w:t>Daly, Robert J.</w:t>
      </w:r>
      <w:r w:rsidRPr="00DC3006">
        <w:rPr>
          <w:iCs/>
        </w:rPr>
        <w:t xml:space="preserve">. Ed. </w:t>
      </w:r>
      <w:r w:rsidRPr="007D4C6B">
        <w:rPr>
          <w:i/>
        </w:rPr>
        <w:t>Christian Biblical Ethics</w:t>
      </w:r>
      <w:r w:rsidRPr="007D4C6B">
        <w:t xml:space="preserve">: </w:t>
      </w:r>
      <w:r w:rsidRPr="007D4C6B">
        <w:rPr>
          <w:i/>
        </w:rPr>
        <w:t>From Biblical Revelation to Contemporary Christian Praxis</w:t>
      </w:r>
      <w:r w:rsidRPr="007D4C6B">
        <w:t xml:space="preserve">: </w:t>
      </w:r>
      <w:r w:rsidRPr="007D4C6B">
        <w:rPr>
          <w:i/>
        </w:rPr>
        <w:t>Method and Content</w:t>
      </w:r>
      <w:r w:rsidRPr="007D4C6B">
        <w:t>. Edited with James A. Fischer, Terence J. Keegan, and Anthony J. Tambasco, in consultation with the CBA Task Force on Christian Biblical Ethics. New York: Paulist, 1984.</w:t>
      </w:r>
    </w:p>
    <w:p w14:paraId="3F84E670" w14:textId="77777777" w:rsidR="00B47A48" w:rsidRPr="007D4C6B" w:rsidRDefault="00B47A48" w:rsidP="00B47A48">
      <w:pPr>
        <w:widowControl w:val="0"/>
        <w:ind w:left="720" w:hanging="720"/>
      </w:pPr>
      <w:r w:rsidRPr="007D4C6B">
        <w:t xml:space="preserve">Dausch, Petrus. </w:t>
      </w:r>
      <w:r w:rsidRPr="007D4C6B">
        <w:rPr>
          <w:i/>
        </w:rPr>
        <w:t xml:space="preserve">Die </w:t>
      </w:r>
      <w:proofErr w:type="spellStart"/>
      <w:r w:rsidRPr="007D4C6B">
        <w:rPr>
          <w:i/>
        </w:rPr>
        <w:t>drei</w:t>
      </w:r>
      <w:proofErr w:type="spellEnd"/>
      <w:r w:rsidRPr="007D4C6B">
        <w:rPr>
          <w:i/>
        </w:rPr>
        <w:t xml:space="preserve"> </w:t>
      </w:r>
      <w:proofErr w:type="spellStart"/>
      <w:r w:rsidRPr="007D4C6B">
        <w:rPr>
          <w:i/>
        </w:rPr>
        <w:t>älteren</w:t>
      </w:r>
      <w:proofErr w:type="spellEnd"/>
      <w:r w:rsidRPr="007D4C6B">
        <w:rPr>
          <w:i/>
        </w:rPr>
        <w:t xml:space="preserve"> Evangelien</w:t>
      </w:r>
      <w:r w:rsidRPr="007D4C6B">
        <w:t xml:space="preserve">, </w:t>
      </w:r>
      <w:proofErr w:type="spellStart"/>
      <w:r w:rsidRPr="007D4C6B">
        <w:rPr>
          <w:i/>
        </w:rPr>
        <w:t>übersetzt</w:t>
      </w:r>
      <w:proofErr w:type="spellEnd"/>
      <w:r w:rsidRPr="007D4C6B">
        <w:rPr>
          <w:i/>
        </w:rPr>
        <w:t xml:space="preserve"> und </w:t>
      </w:r>
      <w:proofErr w:type="spellStart"/>
      <w:r w:rsidRPr="007D4C6B">
        <w:rPr>
          <w:i/>
        </w:rPr>
        <w:t>erklärt</w:t>
      </w:r>
      <w:proofErr w:type="spellEnd"/>
      <w:r w:rsidRPr="007D4C6B">
        <w:t xml:space="preserve">. Die </w:t>
      </w:r>
      <w:proofErr w:type="spellStart"/>
      <w:r w:rsidRPr="007D4C6B">
        <w:t>Heilige</w:t>
      </w:r>
      <w:proofErr w:type="spellEnd"/>
      <w:r w:rsidRPr="007D4C6B">
        <w:t xml:space="preserve"> Schrift des Neuen </w:t>
      </w:r>
      <w:proofErr w:type="spellStart"/>
      <w:r w:rsidRPr="007D4C6B">
        <w:t>Testamentes</w:t>
      </w:r>
      <w:proofErr w:type="spellEnd"/>
      <w:r w:rsidRPr="007D4C6B">
        <w:t xml:space="preserve">, </w:t>
      </w:r>
      <w:proofErr w:type="spellStart"/>
      <w:r w:rsidRPr="007D4C6B">
        <w:t>übersetzt</w:t>
      </w:r>
      <w:proofErr w:type="spellEnd"/>
      <w:r w:rsidRPr="007D4C6B">
        <w:t xml:space="preserve"> und </w:t>
      </w:r>
      <w:proofErr w:type="spellStart"/>
      <w:r w:rsidRPr="007D4C6B">
        <w:t>erklärt</w:t>
      </w:r>
      <w:proofErr w:type="spellEnd"/>
      <w:r w:rsidRPr="007D4C6B">
        <w:t xml:space="preserve"> in </w:t>
      </w:r>
      <w:proofErr w:type="spellStart"/>
      <w:r w:rsidRPr="007D4C6B">
        <w:t>Verbindung</w:t>
      </w:r>
      <w:proofErr w:type="spellEnd"/>
      <w:r w:rsidRPr="007D4C6B">
        <w:t xml:space="preserve"> </w:t>
      </w:r>
      <w:proofErr w:type="spellStart"/>
      <w:r w:rsidRPr="007D4C6B">
        <w:t>mit</w:t>
      </w:r>
      <w:proofErr w:type="spellEnd"/>
      <w:r w:rsidRPr="007D4C6B">
        <w:t xml:space="preserve"> </w:t>
      </w:r>
      <w:proofErr w:type="spellStart"/>
      <w:r w:rsidRPr="007D4C6B">
        <w:t>Fachgelehrten</w:t>
      </w:r>
      <w:proofErr w:type="spellEnd"/>
      <w:r w:rsidRPr="007D4C6B">
        <w:t xml:space="preserve"> 2. Bonn: Peter Hanstein, 1932</w:t>
      </w:r>
      <w:r w:rsidRPr="007D4C6B">
        <w:rPr>
          <w:vertAlign w:val="superscript"/>
        </w:rPr>
        <w:t>4</w:t>
      </w:r>
      <w:r w:rsidRPr="007D4C6B">
        <w:t>.</w:t>
      </w:r>
    </w:p>
    <w:p w14:paraId="68891E9E" w14:textId="77777777" w:rsidR="00B47A48" w:rsidRPr="007D4C6B" w:rsidRDefault="00B47A48" w:rsidP="00B47A48">
      <w:pPr>
        <w:widowControl w:val="0"/>
        <w:ind w:left="720" w:hanging="720"/>
      </w:pPr>
      <w:r w:rsidRPr="007D4C6B">
        <w:t xml:space="preserve">Davies, </w:t>
      </w:r>
      <w:r w:rsidRPr="00E366BA">
        <w:rPr>
          <w:iCs/>
        </w:rPr>
        <w:t>W.D.</w:t>
      </w:r>
      <w:r w:rsidRPr="007D4C6B">
        <w:t xml:space="preserve"> </w:t>
      </w:r>
      <w:r w:rsidRPr="007D4C6B">
        <w:rPr>
          <w:i/>
        </w:rPr>
        <w:t>Christian Origins and Judaism</w:t>
      </w:r>
      <w:r w:rsidRPr="007D4C6B">
        <w:t>. Philadelphia: Westminster, 1962.</w:t>
      </w:r>
    </w:p>
    <w:p w14:paraId="6F687B9F" w14:textId="77777777" w:rsidR="00B47A48" w:rsidRPr="007D4C6B" w:rsidRDefault="00B47A48" w:rsidP="00B47A48">
      <w:pPr>
        <w:widowControl w:val="0"/>
        <w:ind w:left="720" w:hanging="720"/>
      </w:pPr>
      <w:r w:rsidRPr="007D4C6B">
        <w:t xml:space="preserve">Davies, </w:t>
      </w:r>
      <w:r w:rsidRPr="00E366BA">
        <w:rPr>
          <w:iCs/>
        </w:rPr>
        <w:t>W.D.</w:t>
      </w:r>
      <w:r w:rsidRPr="007D4C6B">
        <w:t xml:space="preserve"> </w:t>
      </w:r>
      <w:r w:rsidRPr="007D4C6B">
        <w:rPr>
          <w:i/>
        </w:rPr>
        <w:t>Invitation to the New Testament</w:t>
      </w:r>
      <w:r w:rsidRPr="007D4C6B">
        <w:t xml:space="preserve">: </w:t>
      </w:r>
      <w:r w:rsidRPr="007D4C6B">
        <w:rPr>
          <w:i/>
        </w:rPr>
        <w:t>A Guide to Its Main Witnesses</w:t>
      </w:r>
      <w:r w:rsidRPr="007D4C6B">
        <w:t xml:space="preserve">. </w:t>
      </w:r>
      <w:r w:rsidRPr="00DC3006">
        <w:rPr>
          <w:iCs/>
        </w:rPr>
        <w:t>Garden City NY</w:t>
      </w:r>
      <w:r w:rsidRPr="007D4C6B">
        <w:t>: Doubleday, 1965 (Anchor Books paperback, 1969).</w:t>
      </w:r>
    </w:p>
    <w:p w14:paraId="165B7601" w14:textId="77777777" w:rsidR="00B47A48" w:rsidRPr="007D4C6B" w:rsidRDefault="00B47A48" w:rsidP="00B47A48">
      <w:pPr>
        <w:widowControl w:val="0"/>
        <w:ind w:left="720" w:hanging="720"/>
      </w:pPr>
      <w:r w:rsidRPr="007D4C6B">
        <w:t xml:space="preserve">Davies, </w:t>
      </w:r>
      <w:r w:rsidRPr="00E366BA">
        <w:rPr>
          <w:iCs/>
        </w:rPr>
        <w:t>W.D.</w:t>
      </w:r>
      <w:r w:rsidRPr="007D4C6B">
        <w:t xml:space="preserve"> </w:t>
      </w:r>
      <w:r w:rsidRPr="007D4C6B">
        <w:rPr>
          <w:i/>
        </w:rPr>
        <w:t>The Sermon on the Mount</w:t>
      </w:r>
      <w:r w:rsidRPr="007D4C6B">
        <w:t xml:space="preserve">. </w:t>
      </w:r>
      <w:r w:rsidRPr="00E366BA">
        <w:rPr>
          <w:iCs/>
        </w:rPr>
        <w:t>Cambridge: CUP</w:t>
      </w:r>
      <w:r w:rsidRPr="007D4C6B">
        <w:t>, 1966 (paperback ed., 1969).</w:t>
      </w:r>
    </w:p>
    <w:p w14:paraId="4DCAC5ED" w14:textId="77777777" w:rsidR="00B47A48" w:rsidRPr="007D4C6B" w:rsidRDefault="00B47A48" w:rsidP="00B47A48">
      <w:pPr>
        <w:widowControl w:val="0"/>
        <w:ind w:left="720" w:hanging="720"/>
      </w:pPr>
      <w:r w:rsidRPr="007D4C6B">
        <w:t xml:space="preserve">Davies, </w:t>
      </w:r>
      <w:r w:rsidRPr="00E366BA">
        <w:rPr>
          <w:iCs/>
        </w:rPr>
        <w:t>W.D.</w:t>
      </w:r>
      <w:r w:rsidRPr="007D4C6B">
        <w:t xml:space="preserve"> </w:t>
      </w:r>
      <w:r w:rsidRPr="007D4C6B">
        <w:rPr>
          <w:i/>
        </w:rPr>
        <w:t>The Setting of the Sermon on the Mount</w:t>
      </w:r>
      <w:r w:rsidRPr="007D4C6B">
        <w:t xml:space="preserve">. </w:t>
      </w:r>
      <w:r w:rsidRPr="00E366BA">
        <w:rPr>
          <w:iCs/>
        </w:rPr>
        <w:t>Cambridge: CUP</w:t>
      </w:r>
      <w:r w:rsidRPr="007D4C6B">
        <w:t>, 1964.</w:t>
      </w:r>
    </w:p>
    <w:p w14:paraId="7717EC76" w14:textId="7CFBF35D" w:rsidR="00B47A48" w:rsidRPr="007D4C6B" w:rsidRDefault="00B47A48" w:rsidP="00B47A48">
      <w:pPr>
        <w:widowControl w:val="0"/>
        <w:ind w:left="720" w:hanging="720"/>
      </w:pPr>
      <w:r w:rsidRPr="007D4C6B">
        <w:t xml:space="preserve">Deissmann, Adolf. </w:t>
      </w:r>
      <w:r w:rsidRPr="007D4C6B">
        <w:rPr>
          <w:i/>
        </w:rPr>
        <w:t>Light from the Ancient East</w:t>
      </w:r>
      <w:r w:rsidRPr="007D4C6B">
        <w:t xml:space="preserve">: </w:t>
      </w:r>
      <w:r w:rsidRPr="007D4C6B">
        <w:rPr>
          <w:i/>
        </w:rPr>
        <w:t>The New Testament Illustrated by Recently Discovered Texts of the Graeco-Roman World</w:t>
      </w:r>
      <w:r w:rsidRPr="007D4C6B">
        <w:t xml:space="preserve">. Trans. Lionel R. M. Strachan. London: </w:t>
      </w:r>
      <w:r w:rsidRPr="00110AE7">
        <w:rPr>
          <w:iCs/>
        </w:rPr>
        <w:t>Hodder and Stoughton</w:t>
      </w:r>
      <w:r w:rsidRPr="007D4C6B">
        <w:t xml:space="preserve">, 1910. Rev. trans. (based on 4th German ed.), New York: </w:t>
      </w:r>
      <w:r w:rsidRPr="0029762C">
        <w:rPr>
          <w:iCs/>
        </w:rPr>
        <w:t>Harper and Bros.</w:t>
      </w:r>
      <w:r w:rsidRPr="007D4C6B">
        <w:t>, 1927</w:t>
      </w:r>
      <w:r w:rsidR="007B5BB5">
        <w:t>.</w:t>
      </w:r>
      <w:r w:rsidR="007B5BB5" w:rsidRPr="007D4C6B">
        <w:t xml:space="preserve"> Rpt. </w:t>
      </w:r>
      <w:r w:rsidRPr="007D4C6B">
        <w:t xml:space="preserve">ed., </w:t>
      </w:r>
      <w:r w:rsidRPr="00DC3006">
        <w:rPr>
          <w:iCs/>
        </w:rPr>
        <w:t>Grand Rapids MI</w:t>
      </w:r>
      <w:r w:rsidRPr="007D4C6B">
        <w:t xml:space="preserve">: Baker, 1978. </w:t>
      </w:r>
      <w:r w:rsidR="00457786">
        <w:t>(</w:t>
      </w:r>
      <w:r w:rsidRPr="007D4C6B">
        <w:rPr>
          <w:i/>
        </w:rPr>
        <w:t xml:space="preserve">Licht </w:t>
      </w:r>
      <w:proofErr w:type="spellStart"/>
      <w:r w:rsidRPr="007D4C6B">
        <w:rPr>
          <w:i/>
        </w:rPr>
        <w:t>vom</w:t>
      </w:r>
      <w:proofErr w:type="spellEnd"/>
      <w:r w:rsidRPr="007D4C6B">
        <w:rPr>
          <w:i/>
        </w:rPr>
        <w:t xml:space="preserve"> Osten</w:t>
      </w:r>
      <w:r w:rsidRPr="007D4C6B">
        <w:t>, Tübingen, 1908, 1909</w:t>
      </w:r>
      <w:r w:rsidRPr="007D4C6B">
        <w:rPr>
          <w:vertAlign w:val="superscript"/>
        </w:rPr>
        <w:t>2</w:t>
      </w:r>
      <w:r w:rsidRPr="007D4C6B">
        <w:t xml:space="preserve"> </w:t>
      </w:r>
      <w:r w:rsidR="00457786">
        <w:t>[</w:t>
      </w:r>
      <w:r w:rsidRPr="007D4C6B">
        <w:t>called “second and third edition”</w:t>
      </w:r>
      <w:r w:rsidR="00457786">
        <w:t>]</w:t>
      </w:r>
      <w:r w:rsidRPr="007D4C6B">
        <w:t>, 1923</w:t>
      </w:r>
      <w:r w:rsidRPr="007D4C6B">
        <w:rPr>
          <w:vertAlign w:val="superscript"/>
        </w:rPr>
        <w:t>4</w:t>
      </w:r>
      <w:r w:rsidRPr="007D4C6B">
        <w:t xml:space="preserve"> </w:t>
      </w:r>
      <w:r w:rsidR="00457786">
        <w:t>[</w:t>
      </w:r>
      <w:r w:rsidRPr="007D4C6B">
        <w:t>a complete revision</w:t>
      </w:r>
      <w:r w:rsidR="00457786">
        <w:t>]</w:t>
      </w:r>
      <w:r w:rsidRPr="007D4C6B">
        <w:t>.</w:t>
      </w:r>
      <w:r w:rsidR="00457786">
        <w:t>)</w:t>
      </w:r>
    </w:p>
    <w:p w14:paraId="6BD76320" w14:textId="433B582C" w:rsidR="00B47A48" w:rsidRPr="007D4C6B" w:rsidRDefault="00B47A48" w:rsidP="00457786">
      <w:pPr>
        <w:widowControl w:val="0"/>
        <w:ind w:left="720" w:hanging="720"/>
        <w:jc w:val="left"/>
      </w:pPr>
      <w:r w:rsidRPr="007D4C6B">
        <w:t xml:space="preserve">Denniston, </w:t>
      </w:r>
      <w:r w:rsidR="00457786" w:rsidRPr="00457786">
        <w:rPr>
          <w:iCs/>
        </w:rPr>
        <w:t>J.D.</w:t>
      </w:r>
      <w:r w:rsidRPr="007D4C6B">
        <w:t xml:space="preserve"> </w:t>
      </w:r>
      <w:r w:rsidRPr="007D4C6B">
        <w:rPr>
          <w:i/>
        </w:rPr>
        <w:t>Greek Prose Style</w:t>
      </w:r>
      <w:r w:rsidRPr="007D4C6B">
        <w:t>. New York: Oxford University, 1952.</w:t>
      </w:r>
    </w:p>
    <w:p w14:paraId="4102B0FF" w14:textId="4888FE5D" w:rsidR="00B47A48" w:rsidRPr="007D4C6B" w:rsidRDefault="00B47A48" w:rsidP="00B47A48">
      <w:pPr>
        <w:widowControl w:val="0"/>
        <w:ind w:left="720" w:hanging="720"/>
      </w:pPr>
      <w:r w:rsidRPr="007D4C6B">
        <w:t xml:space="preserve">Dibelius, Martin. </w:t>
      </w:r>
      <w:r w:rsidRPr="007D4C6B">
        <w:rPr>
          <w:i/>
        </w:rPr>
        <w:t>From Tradition to Gospel</w:t>
      </w:r>
      <w:r w:rsidRPr="007D4C6B">
        <w:t>. Trans. Bertram Lee Woolf. London: Ivor, Nicholson &amp; Watson, 1934; New York: Scribner’s, 1935</w:t>
      </w:r>
      <w:r w:rsidR="007B5BB5">
        <w:t>.</w:t>
      </w:r>
      <w:r w:rsidR="007B5BB5" w:rsidRPr="007D4C6B">
        <w:t xml:space="preserve"> Rpt. </w:t>
      </w:r>
      <w:r w:rsidRPr="007D4C6B">
        <w:t xml:space="preserve">ed., Pilgrim’s Press, and New York: Scribner’s, </w:t>
      </w:r>
      <w:r w:rsidR="00457786" w:rsidRPr="00457786">
        <w:rPr>
          <w:iCs/>
        </w:rPr>
        <w:t>n.d.</w:t>
      </w:r>
      <w:r w:rsidRPr="007D4C6B">
        <w:t xml:space="preserve"> </w:t>
      </w:r>
      <w:r w:rsidR="00457786">
        <w:t>(</w:t>
      </w:r>
      <w:r w:rsidRPr="007D4C6B">
        <w:rPr>
          <w:i/>
        </w:rPr>
        <w:t xml:space="preserve">Die </w:t>
      </w:r>
      <w:proofErr w:type="spellStart"/>
      <w:r w:rsidRPr="007D4C6B">
        <w:rPr>
          <w:i/>
        </w:rPr>
        <w:t>Formgeschichte</w:t>
      </w:r>
      <w:proofErr w:type="spellEnd"/>
      <w:r w:rsidRPr="007D4C6B">
        <w:rPr>
          <w:i/>
        </w:rPr>
        <w:t xml:space="preserve"> des </w:t>
      </w:r>
      <w:proofErr w:type="spellStart"/>
      <w:r w:rsidRPr="007D4C6B">
        <w:rPr>
          <w:i/>
        </w:rPr>
        <w:t>Evangeliums</w:t>
      </w:r>
      <w:proofErr w:type="spellEnd"/>
      <w:r w:rsidRPr="007D4C6B">
        <w:t>, Tübingen, 1919, 1933</w:t>
      </w:r>
      <w:r w:rsidRPr="007D4C6B">
        <w:rPr>
          <w:vertAlign w:val="superscript"/>
        </w:rPr>
        <w:t>2</w:t>
      </w:r>
      <w:r w:rsidRPr="007D4C6B">
        <w:t>, 1959</w:t>
      </w:r>
      <w:r w:rsidRPr="007D4C6B">
        <w:rPr>
          <w:vertAlign w:val="superscript"/>
        </w:rPr>
        <w:t>3</w:t>
      </w:r>
      <w:r w:rsidRPr="007D4C6B">
        <w:t xml:space="preserve"> </w:t>
      </w:r>
      <w:r w:rsidR="00457786">
        <w:t>[</w:t>
      </w:r>
      <w:r w:rsidRPr="007D4C6B">
        <w:t>with an essay on form criticism since Dibelius by G. Iber</w:t>
      </w:r>
      <w:r w:rsidR="00457786">
        <w:t>],</w:t>
      </w:r>
      <w:r w:rsidRPr="007D4C6B">
        <w:t xml:space="preserve"> 1966</w:t>
      </w:r>
      <w:r w:rsidRPr="007D4C6B">
        <w:rPr>
          <w:vertAlign w:val="superscript"/>
        </w:rPr>
        <w:t>5</w:t>
      </w:r>
      <w:r w:rsidRPr="007D4C6B">
        <w:t>, 1971</w:t>
      </w:r>
      <w:r w:rsidRPr="007D4C6B">
        <w:rPr>
          <w:vertAlign w:val="superscript"/>
        </w:rPr>
        <w:t>6</w:t>
      </w:r>
      <w:r w:rsidRPr="007D4C6B">
        <w:t>. English trans. from the</w:t>
      </w:r>
      <w:r w:rsidR="00457786" w:rsidRPr="00457786">
        <w:rPr>
          <w:iCs/>
        </w:rPr>
        <w:t xml:space="preserve"> 2nd </w:t>
      </w:r>
      <w:r w:rsidRPr="007D4C6B">
        <w:t>German ed.</w:t>
      </w:r>
      <w:r w:rsidR="00457786">
        <w:t>)</w:t>
      </w:r>
    </w:p>
    <w:p w14:paraId="1F4CEF8B" w14:textId="52C01D0B" w:rsidR="00B47A48" w:rsidRPr="007D4C6B" w:rsidRDefault="00B47A48" w:rsidP="00B47A48">
      <w:pPr>
        <w:widowControl w:val="0"/>
        <w:ind w:left="720" w:hanging="720"/>
      </w:pPr>
      <w:r w:rsidRPr="007D4C6B">
        <w:t xml:space="preserve">Dibelius, Martin. </w:t>
      </w:r>
      <w:r w:rsidRPr="007D4C6B">
        <w:rPr>
          <w:i/>
        </w:rPr>
        <w:t>The Sermon on the Mount</w:t>
      </w:r>
      <w:r w:rsidRPr="007D4C6B">
        <w:t xml:space="preserve">. New York: Scribner’s, 1940. </w:t>
      </w:r>
      <w:r w:rsidR="00457786">
        <w:t>[</w:t>
      </w:r>
      <w:r w:rsidRPr="007D4C6B">
        <w:rPr>
          <w:i/>
        </w:rPr>
        <w:t xml:space="preserve">Die </w:t>
      </w:r>
      <w:proofErr w:type="spellStart"/>
      <w:r w:rsidRPr="007D4C6B">
        <w:rPr>
          <w:i/>
        </w:rPr>
        <w:t>Bergpredigt</w:t>
      </w:r>
      <w:proofErr w:type="spellEnd"/>
      <w:r w:rsidRPr="007D4C6B">
        <w:t xml:space="preserve">, in </w:t>
      </w:r>
      <w:proofErr w:type="spellStart"/>
      <w:r w:rsidRPr="007D4C6B">
        <w:rPr>
          <w:i/>
        </w:rPr>
        <w:t>Botschaft</w:t>
      </w:r>
      <w:proofErr w:type="spellEnd"/>
      <w:r w:rsidRPr="007D4C6B">
        <w:rPr>
          <w:i/>
        </w:rPr>
        <w:t xml:space="preserve"> und </w:t>
      </w:r>
      <w:proofErr w:type="spellStart"/>
      <w:r w:rsidRPr="007D4C6B">
        <w:rPr>
          <w:i/>
        </w:rPr>
        <w:t>Geschichte</w:t>
      </w:r>
      <w:proofErr w:type="spellEnd"/>
      <w:r w:rsidRPr="00DC3006">
        <w:rPr>
          <w:iCs/>
        </w:rPr>
        <w:t xml:space="preserve">. Ed. </w:t>
      </w:r>
      <w:r w:rsidRPr="007D4C6B">
        <w:t>Günther Bornkamm</w:t>
      </w:r>
      <w:r w:rsidR="00457786">
        <w:t>.</w:t>
      </w:r>
      <w:r w:rsidRPr="007D4C6B">
        <w:t xml:space="preserve"> 2 vols. Tübingen: Mohr, 1953</w:t>
      </w:r>
      <w:r w:rsidR="00457786">
        <w:t>.)</w:t>
      </w:r>
    </w:p>
    <w:p w14:paraId="658E7738" w14:textId="77777777" w:rsidR="00B47A48" w:rsidRPr="007D4C6B" w:rsidRDefault="00B47A48" w:rsidP="00B47A48">
      <w:pPr>
        <w:widowControl w:val="0"/>
        <w:ind w:left="720" w:hanging="720"/>
      </w:pPr>
      <w:proofErr w:type="spellStart"/>
      <w:r w:rsidRPr="007D4C6B">
        <w:t>Dobschütz</w:t>
      </w:r>
      <w:proofErr w:type="spellEnd"/>
      <w:r w:rsidRPr="007D4C6B">
        <w:t>, Ernst von. “</w:t>
      </w:r>
      <w:proofErr w:type="spellStart"/>
      <w:r w:rsidRPr="007D4C6B">
        <w:t>Paarung</w:t>
      </w:r>
      <w:proofErr w:type="spellEnd"/>
      <w:r w:rsidRPr="007D4C6B">
        <w:t xml:space="preserve"> und </w:t>
      </w:r>
      <w:proofErr w:type="spellStart"/>
      <w:r w:rsidRPr="007D4C6B">
        <w:t>Dreiung</w:t>
      </w:r>
      <w:proofErr w:type="spellEnd"/>
      <w:r w:rsidRPr="007D4C6B">
        <w:t xml:space="preserve"> in der </w:t>
      </w:r>
      <w:proofErr w:type="spellStart"/>
      <w:r w:rsidRPr="007D4C6B">
        <w:t>evangelischen</w:t>
      </w:r>
      <w:proofErr w:type="spellEnd"/>
      <w:r w:rsidRPr="007D4C6B">
        <w:t xml:space="preserve"> </w:t>
      </w:r>
      <w:proofErr w:type="spellStart"/>
      <w:r w:rsidRPr="007D4C6B">
        <w:t>Überlieferung</w:t>
      </w:r>
      <w:proofErr w:type="spellEnd"/>
      <w:r w:rsidRPr="007D4C6B">
        <w:t xml:space="preserve">.” In </w:t>
      </w:r>
      <w:proofErr w:type="spellStart"/>
      <w:r w:rsidRPr="007D4C6B">
        <w:rPr>
          <w:i/>
        </w:rPr>
        <w:t>Neutestamentlichen</w:t>
      </w:r>
      <w:proofErr w:type="spellEnd"/>
      <w:r w:rsidRPr="007D4C6B">
        <w:rPr>
          <w:i/>
        </w:rPr>
        <w:t xml:space="preserve"> </w:t>
      </w:r>
      <w:proofErr w:type="spellStart"/>
      <w:r w:rsidRPr="007D4C6B">
        <w:rPr>
          <w:i/>
        </w:rPr>
        <w:t>Studien</w:t>
      </w:r>
      <w:proofErr w:type="spellEnd"/>
      <w:r w:rsidRPr="007D4C6B">
        <w:t xml:space="preserve">: </w:t>
      </w:r>
      <w:r w:rsidRPr="007D4C6B">
        <w:rPr>
          <w:i/>
        </w:rPr>
        <w:t xml:space="preserve">Georg Heinrici </w:t>
      </w:r>
      <w:proofErr w:type="spellStart"/>
      <w:r w:rsidRPr="007D4C6B">
        <w:rPr>
          <w:i/>
        </w:rPr>
        <w:t>zu</w:t>
      </w:r>
      <w:proofErr w:type="spellEnd"/>
      <w:r w:rsidRPr="007D4C6B">
        <w:rPr>
          <w:i/>
        </w:rPr>
        <w:t xml:space="preserve"> </w:t>
      </w:r>
      <w:proofErr w:type="spellStart"/>
      <w:r w:rsidRPr="007D4C6B">
        <w:rPr>
          <w:i/>
        </w:rPr>
        <w:t>seinem</w:t>
      </w:r>
      <w:proofErr w:type="spellEnd"/>
      <w:r w:rsidRPr="007D4C6B">
        <w:rPr>
          <w:i/>
        </w:rPr>
        <w:t xml:space="preserve"> 70</w:t>
      </w:r>
      <w:r w:rsidRPr="007D4C6B">
        <w:t xml:space="preserve">. </w:t>
      </w:r>
      <w:proofErr w:type="spellStart"/>
      <w:r w:rsidRPr="007D4C6B">
        <w:rPr>
          <w:i/>
        </w:rPr>
        <w:t>Geburtstag</w:t>
      </w:r>
      <w:proofErr w:type="spellEnd"/>
      <w:r w:rsidRPr="007D4C6B">
        <w:t xml:space="preserve"> (</w:t>
      </w:r>
      <w:r w:rsidRPr="007D4C6B">
        <w:rPr>
          <w:i/>
        </w:rPr>
        <w:t>14</w:t>
      </w:r>
      <w:r w:rsidRPr="007D4C6B">
        <w:t xml:space="preserve">. </w:t>
      </w:r>
      <w:r w:rsidRPr="007D4C6B">
        <w:rPr>
          <w:i/>
        </w:rPr>
        <w:t>März 1914</w:t>
      </w:r>
      <w:r w:rsidRPr="007D4C6B">
        <w:t xml:space="preserve">) </w:t>
      </w:r>
      <w:proofErr w:type="spellStart"/>
      <w:r w:rsidRPr="007D4C6B">
        <w:rPr>
          <w:i/>
        </w:rPr>
        <w:t>dargebracht</w:t>
      </w:r>
      <w:proofErr w:type="spellEnd"/>
      <w:r w:rsidRPr="007D4C6B">
        <w:rPr>
          <w:i/>
        </w:rPr>
        <w:t xml:space="preserve"> von </w:t>
      </w:r>
      <w:proofErr w:type="spellStart"/>
      <w:r w:rsidRPr="007D4C6B">
        <w:rPr>
          <w:i/>
        </w:rPr>
        <w:t>Fachgenossen</w:t>
      </w:r>
      <w:proofErr w:type="spellEnd"/>
      <w:r w:rsidRPr="007D4C6B">
        <w:t xml:space="preserve">, </w:t>
      </w:r>
      <w:proofErr w:type="spellStart"/>
      <w:r w:rsidRPr="007D4C6B">
        <w:rPr>
          <w:i/>
        </w:rPr>
        <w:t>Freunden</w:t>
      </w:r>
      <w:proofErr w:type="spellEnd"/>
      <w:r w:rsidRPr="007D4C6B">
        <w:rPr>
          <w:i/>
        </w:rPr>
        <w:t xml:space="preserve"> und </w:t>
      </w:r>
      <w:proofErr w:type="spellStart"/>
      <w:r w:rsidRPr="007D4C6B">
        <w:rPr>
          <w:i/>
        </w:rPr>
        <w:t>Schülern</w:t>
      </w:r>
      <w:proofErr w:type="spellEnd"/>
      <w:r w:rsidRPr="007D4C6B">
        <w:t xml:space="preserve">. UNT 6. Leipzig: </w:t>
      </w:r>
      <w:r w:rsidRPr="00E95268">
        <w:rPr>
          <w:iCs/>
        </w:rPr>
        <w:t>J.C.</w:t>
      </w:r>
      <w:r w:rsidRPr="007D4C6B">
        <w:t xml:space="preserve"> Hinrich, 1914, pp. 92-100.</w:t>
      </w:r>
    </w:p>
    <w:p w14:paraId="25808360" w14:textId="77777777" w:rsidR="00B47A48" w:rsidRPr="007D4C6B" w:rsidRDefault="00B47A48" w:rsidP="00B47A48">
      <w:pPr>
        <w:widowControl w:val="0"/>
        <w:ind w:left="720" w:hanging="720"/>
      </w:pPr>
      <w:proofErr w:type="spellStart"/>
      <w:r w:rsidRPr="007D4C6B">
        <w:t>Dobschütz</w:t>
      </w:r>
      <w:proofErr w:type="spellEnd"/>
      <w:r w:rsidRPr="007D4C6B">
        <w:t xml:space="preserve">, Ernst von. “Zwei- und </w:t>
      </w:r>
      <w:proofErr w:type="spellStart"/>
      <w:r w:rsidRPr="007D4C6B">
        <w:t>dreigliedrige</w:t>
      </w:r>
      <w:proofErr w:type="spellEnd"/>
      <w:r w:rsidRPr="007D4C6B">
        <w:t xml:space="preserve"> </w:t>
      </w:r>
      <w:proofErr w:type="spellStart"/>
      <w:r w:rsidRPr="007D4C6B">
        <w:t>Formeln</w:t>
      </w:r>
      <w:proofErr w:type="spellEnd"/>
      <w:r w:rsidRPr="007D4C6B">
        <w:t xml:space="preserve">: Ein </w:t>
      </w:r>
      <w:proofErr w:type="spellStart"/>
      <w:r w:rsidRPr="007D4C6B">
        <w:t>Beitrag</w:t>
      </w:r>
      <w:proofErr w:type="spellEnd"/>
      <w:r w:rsidRPr="007D4C6B">
        <w:t xml:space="preserve"> </w:t>
      </w:r>
      <w:proofErr w:type="spellStart"/>
      <w:r w:rsidRPr="007D4C6B">
        <w:t>zur</w:t>
      </w:r>
      <w:proofErr w:type="spellEnd"/>
      <w:r w:rsidRPr="007D4C6B">
        <w:t xml:space="preserve"> </w:t>
      </w:r>
      <w:proofErr w:type="spellStart"/>
      <w:r w:rsidRPr="007D4C6B">
        <w:t>Vorgeschichte</w:t>
      </w:r>
      <w:proofErr w:type="spellEnd"/>
      <w:r w:rsidRPr="007D4C6B">
        <w:t xml:space="preserve"> der </w:t>
      </w:r>
      <w:proofErr w:type="spellStart"/>
      <w:r w:rsidRPr="007D4C6B">
        <w:t>Trinitätsformel</w:t>
      </w:r>
      <w:proofErr w:type="spellEnd"/>
      <w:r w:rsidRPr="007D4C6B">
        <w:t xml:space="preserve">.” </w:t>
      </w:r>
      <w:r w:rsidRPr="007D4C6B">
        <w:rPr>
          <w:i/>
        </w:rPr>
        <w:t>JBL</w:t>
      </w:r>
      <w:r w:rsidRPr="007D4C6B">
        <w:t xml:space="preserve"> 50 (1931) 117-47.</w:t>
      </w:r>
    </w:p>
    <w:p w14:paraId="4E3CC028" w14:textId="77777777" w:rsidR="00B47A48" w:rsidRPr="007D4C6B" w:rsidRDefault="00B47A48" w:rsidP="00B47A48">
      <w:pPr>
        <w:widowControl w:val="0"/>
        <w:ind w:left="720" w:hanging="720"/>
      </w:pPr>
      <w:r w:rsidRPr="007D4C6B">
        <w:t xml:space="preserve">Dodd, </w:t>
      </w:r>
      <w:r w:rsidRPr="007D4C6B">
        <w:rPr>
          <w:iCs/>
        </w:rPr>
        <w:t xml:space="preserve">C.H. </w:t>
      </w:r>
      <w:r w:rsidRPr="007D4C6B">
        <w:rPr>
          <w:i/>
        </w:rPr>
        <w:t>According to the Scriptures</w:t>
      </w:r>
      <w:r w:rsidRPr="007D4C6B">
        <w:t xml:space="preserve">: </w:t>
      </w:r>
      <w:r w:rsidRPr="007D4C6B">
        <w:rPr>
          <w:i/>
        </w:rPr>
        <w:t>The Sub-Structure of New Testament Theology</w:t>
      </w:r>
      <w:r w:rsidRPr="007D4C6B">
        <w:t>. Digswell Place, Welwyn, Herts: James Nisbet, 1952.</w:t>
      </w:r>
    </w:p>
    <w:p w14:paraId="0BA4A6E9" w14:textId="77777777" w:rsidR="00B47A48" w:rsidRPr="007D4C6B" w:rsidRDefault="00B47A48" w:rsidP="00B47A48">
      <w:pPr>
        <w:widowControl w:val="0"/>
        <w:ind w:left="720" w:hanging="720"/>
      </w:pPr>
      <w:r w:rsidRPr="007D4C6B">
        <w:t xml:space="preserve">Dodd, </w:t>
      </w:r>
      <w:r w:rsidRPr="007D4C6B">
        <w:rPr>
          <w:iCs/>
        </w:rPr>
        <w:t xml:space="preserve">C.H. </w:t>
      </w:r>
      <w:r w:rsidRPr="007D4C6B">
        <w:rPr>
          <w:i/>
        </w:rPr>
        <w:t>The Apostolic Preaching and Its Developments</w:t>
      </w:r>
      <w:r w:rsidRPr="007D4C6B">
        <w:t xml:space="preserve">: </w:t>
      </w:r>
      <w:r w:rsidRPr="007D4C6B">
        <w:rPr>
          <w:i/>
        </w:rPr>
        <w:t>Three Lectures with an Appendix on Eschatology and History</w:t>
      </w:r>
      <w:r w:rsidRPr="007D4C6B">
        <w:t xml:space="preserve">. London: </w:t>
      </w:r>
      <w:r w:rsidRPr="00110AE7">
        <w:rPr>
          <w:iCs/>
        </w:rPr>
        <w:t>Hodder and Stoughton</w:t>
      </w:r>
      <w:r w:rsidRPr="007D4C6B">
        <w:t>, 1936, 1944</w:t>
      </w:r>
      <w:r w:rsidRPr="007D4C6B">
        <w:rPr>
          <w:vertAlign w:val="superscript"/>
        </w:rPr>
        <w:t>2</w:t>
      </w:r>
      <w:r w:rsidRPr="007D4C6B">
        <w:t>.</w:t>
      </w:r>
    </w:p>
    <w:p w14:paraId="46A3ED18" w14:textId="77777777" w:rsidR="00B47A48" w:rsidRPr="007D4C6B" w:rsidRDefault="00B47A48" w:rsidP="00B47A48">
      <w:pPr>
        <w:widowControl w:val="0"/>
        <w:ind w:left="720" w:hanging="720"/>
      </w:pPr>
      <w:r w:rsidRPr="007D4C6B">
        <w:t xml:space="preserve">Dodd, </w:t>
      </w:r>
      <w:r w:rsidRPr="007D4C6B">
        <w:rPr>
          <w:iCs/>
        </w:rPr>
        <w:t xml:space="preserve">C.H. </w:t>
      </w:r>
      <w:r w:rsidRPr="007D4C6B">
        <w:rPr>
          <w:i/>
        </w:rPr>
        <w:t>The Parables of the Kingdom</w:t>
      </w:r>
      <w:r w:rsidRPr="007D4C6B">
        <w:t>. New York: Scribner’s, 1935, rev. ed. 1936 (rpt. 1938, 1961).</w:t>
      </w:r>
    </w:p>
    <w:p w14:paraId="19CB9141" w14:textId="77777777" w:rsidR="00B47A48" w:rsidRPr="007D4C6B" w:rsidRDefault="00B47A48" w:rsidP="00B47A48">
      <w:pPr>
        <w:widowControl w:val="0"/>
        <w:ind w:left="720" w:hanging="720"/>
      </w:pPr>
      <w:r w:rsidRPr="007D4C6B">
        <w:t xml:space="preserve">Donahue, John R. </w:t>
      </w:r>
      <w:r w:rsidRPr="007D4C6B">
        <w:rPr>
          <w:i/>
        </w:rPr>
        <w:t>Are You the Christ</w:t>
      </w:r>
      <w:r w:rsidRPr="007D4C6B">
        <w:t xml:space="preserve">? </w:t>
      </w:r>
      <w:r w:rsidRPr="007D4C6B">
        <w:rPr>
          <w:i/>
        </w:rPr>
        <w:t>The Trial Narrative in the Gospel of Mark</w:t>
      </w:r>
      <w:r w:rsidRPr="007D4C6B">
        <w:t xml:space="preserve">. SBLDS 10. </w:t>
      </w:r>
      <w:r w:rsidRPr="00D42DB3">
        <w:rPr>
          <w:iCs/>
        </w:rPr>
        <w:t>Missoula MT</w:t>
      </w:r>
      <w:r w:rsidRPr="007D4C6B">
        <w:t>: Society of Biblical Literature, 1973.</w:t>
      </w:r>
    </w:p>
    <w:p w14:paraId="319034CB" w14:textId="7A5996BF" w:rsidR="00B47A48" w:rsidRPr="007D4C6B" w:rsidRDefault="00B47A48" w:rsidP="00B47A48">
      <w:pPr>
        <w:widowControl w:val="0"/>
        <w:ind w:left="720" w:hanging="720"/>
      </w:pPr>
      <w:r w:rsidRPr="007D4C6B">
        <w:t xml:space="preserve">Doty, William G. </w:t>
      </w:r>
      <w:r w:rsidRPr="007D4C6B">
        <w:rPr>
          <w:i/>
        </w:rPr>
        <w:t>Contemporary New Testament Interpretation</w:t>
      </w:r>
      <w:r w:rsidRPr="007D4C6B">
        <w:t xml:space="preserve">. </w:t>
      </w:r>
      <w:r w:rsidR="007B5BB5" w:rsidRPr="007B5BB5">
        <w:rPr>
          <w:iCs/>
        </w:rPr>
        <w:t xml:space="preserve">Englewood Cliffs </w:t>
      </w:r>
      <w:r w:rsidRPr="007D4C6B">
        <w:t>NJ: Prentice-Hall, 1972.</w:t>
      </w:r>
    </w:p>
    <w:p w14:paraId="044622D8" w14:textId="76D71628" w:rsidR="00B47A48" w:rsidRPr="00E5413C" w:rsidRDefault="00B47A48" w:rsidP="00B47A48">
      <w:pPr>
        <w:widowControl w:val="0"/>
        <w:ind w:left="720" w:hanging="720"/>
        <w:rPr>
          <w:lang w:val="fr-FR"/>
        </w:rPr>
      </w:pPr>
      <w:r w:rsidRPr="007D4C6B">
        <w:t xml:space="preserve">Ducrot, Oswald, and Tzvetan Todorov. </w:t>
      </w:r>
      <w:r w:rsidRPr="007D4C6B">
        <w:rPr>
          <w:i/>
        </w:rPr>
        <w:t>Encyclopedic Dictionary of the Sciences of Language</w:t>
      </w:r>
      <w:r w:rsidRPr="007D4C6B">
        <w:t xml:space="preserve">. </w:t>
      </w:r>
      <w:r w:rsidRPr="00E5413C">
        <w:rPr>
          <w:lang w:val="fr-FR"/>
        </w:rPr>
        <w:lastRenderedPageBreak/>
        <w:t xml:space="preserve">Trans. Catherine Porter. Baltimore, MD: Johns Hopkins </w:t>
      </w:r>
      <w:proofErr w:type="spellStart"/>
      <w:r w:rsidRPr="00E5413C">
        <w:rPr>
          <w:lang w:val="fr-FR"/>
        </w:rPr>
        <w:t>University</w:t>
      </w:r>
      <w:proofErr w:type="spellEnd"/>
      <w:r w:rsidRPr="00E5413C">
        <w:rPr>
          <w:lang w:val="fr-FR"/>
        </w:rPr>
        <w:t xml:space="preserve">, 1979. </w:t>
      </w:r>
      <w:r w:rsidR="00457786" w:rsidRPr="00E5413C">
        <w:rPr>
          <w:lang w:val="fr-FR"/>
        </w:rPr>
        <w:t>(</w:t>
      </w:r>
      <w:r w:rsidRPr="00E5413C">
        <w:rPr>
          <w:i/>
          <w:lang w:val="fr-FR"/>
        </w:rPr>
        <w:t>Dictionnaire encyclopédique des sciences du langage</w:t>
      </w:r>
      <w:r w:rsidRPr="00E5413C">
        <w:rPr>
          <w:lang w:val="fr-FR"/>
        </w:rPr>
        <w:t>, Paris: Seuil, 1972.</w:t>
      </w:r>
      <w:r w:rsidR="00457786" w:rsidRPr="00E5413C">
        <w:rPr>
          <w:lang w:val="fr-FR"/>
        </w:rPr>
        <w:t>)</w:t>
      </w:r>
    </w:p>
    <w:p w14:paraId="11B37CCE" w14:textId="77777777" w:rsidR="00B47A48" w:rsidRPr="007D4C6B" w:rsidRDefault="00B47A48" w:rsidP="00B47A48">
      <w:pPr>
        <w:widowControl w:val="0"/>
        <w:ind w:left="720" w:hanging="720"/>
      </w:pPr>
      <w:proofErr w:type="spellStart"/>
      <w:r w:rsidRPr="007D4C6B">
        <w:t>Dundes</w:t>
      </w:r>
      <w:proofErr w:type="spellEnd"/>
      <w:r w:rsidRPr="007D4C6B">
        <w:t xml:space="preserve">, Alan. </w:t>
      </w:r>
      <w:r w:rsidRPr="007D4C6B">
        <w:rPr>
          <w:i/>
        </w:rPr>
        <w:t>Cinderella</w:t>
      </w:r>
      <w:r w:rsidRPr="007D4C6B">
        <w:t xml:space="preserve">: </w:t>
      </w:r>
      <w:r w:rsidRPr="007D4C6B">
        <w:rPr>
          <w:i/>
        </w:rPr>
        <w:t>A Folklore Casebook</w:t>
      </w:r>
      <w:r w:rsidRPr="007D4C6B">
        <w:t>. New York: Garland, 1982.</w:t>
      </w:r>
    </w:p>
    <w:p w14:paraId="2DC7B77D" w14:textId="6102A6A0" w:rsidR="00B47A48" w:rsidRPr="007D4C6B" w:rsidRDefault="00B47A48" w:rsidP="00B47A48">
      <w:pPr>
        <w:widowControl w:val="0"/>
        <w:ind w:left="720" w:hanging="720"/>
      </w:pPr>
      <w:proofErr w:type="spellStart"/>
      <w:r w:rsidRPr="007D4C6B">
        <w:t>Dundes</w:t>
      </w:r>
      <w:proofErr w:type="spellEnd"/>
      <w:r w:rsidRPr="007D4C6B">
        <w:t xml:space="preserve">, Alan. </w:t>
      </w:r>
      <w:r w:rsidRPr="007D4C6B">
        <w:rPr>
          <w:i/>
        </w:rPr>
        <w:t>The Morphology of North American Indian Folktales</w:t>
      </w:r>
      <w:r w:rsidRPr="007D4C6B">
        <w:t xml:space="preserve">. FF Communications, vol. 195. </w:t>
      </w:r>
      <w:r w:rsidRPr="007D4C6B">
        <w:rPr>
          <w:i/>
        </w:rPr>
        <w:t xml:space="preserve">Annales </w:t>
      </w:r>
      <w:proofErr w:type="spellStart"/>
      <w:r w:rsidRPr="007D4C6B">
        <w:rPr>
          <w:i/>
        </w:rPr>
        <w:t>academiae</w:t>
      </w:r>
      <w:proofErr w:type="spellEnd"/>
      <w:r w:rsidRPr="007D4C6B">
        <w:rPr>
          <w:i/>
        </w:rPr>
        <w:t xml:space="preserve"> </w:t>
      </w:r>
      <w:proofErr w:type="spellStart"/>
      <w:r w:rsidRPr="007D4C6B">
        <w:rPr>
          <w:i/>
        </w:rPr>
        <w:t>scientiarum</w:t>
      </w:r>
      <w:proofErr w:type="spellEnd"/>
      <w:r w:rsidRPr="007D4C6B">
        <w:rPr>
          <w:i/>
        </w:rPr>
        <w:t xml:space="preserve"> </w:t>
      </w:r>
      <w:proofErr w:type="spellStart"/>
      <w:r w:rsidRPr="007D4C6B">
        <w:rPr>
          <w:i/>
        </w:rPr>
        <w:t>fennicae</w:t>
      </w:r>
      <w:proofErr w:type="spellEnd"/>
      <w:r w:rsidRPr="007D4C6B">
        <w:t xml:space="preserve">, series B, vol. 132. Helsinki: Suomalainen </w:t>
      </w:r>
      <w:proofErr w:type="spellStart"/>
      <w:r w:rsidRPr="007D4C6B">
        <w:t>Tiedeakatemia</w:t>
      </w:r>
      <w:proofErr w:type="spellEnd"/>
      <w:r w:rsidRPr="007D4C6B">
        <w:t xml:space="preserve">, 1964. </w:t>
      </w:r>
      <w:r w:rsidR="00457786">
        <w:t>(</w:t>
      </w:r>
      <w:r w:rsidRPr="007D4C6B">
        <w:t>See especially pp. 32-60, “The Structural Approach to the Study of Folktales.”</w:t>
      </w:r>
      <w:r w:rsidR="00457786">
        <w:t>)</w:t>
      </w:r>
    </w:p>
    <w:p w14:paraId="61D70947" w14:textId="77777777" w:rsidR="00B47A48" w:rsidRPr="00E5413C" w:rsidRDefault="00B47A48" w:rsidP="00B47A48">
      <w:pPr>
        <w:widowControl w:val="0"/>
        <w:ind w:left="720" w:hanging="720"/>
        <w:rPr>
          <w:lang w:val="fr-FR"/>
        </w:rPr>
      </w:pPr>
      <w:r w:rsidRPr="00E5413C">
        <w:rPr>
          <w:lang w:val="fr-FR"/>
        </w:rPr>
        <w:t xml:space="preserve">Dupont, Jacques. </w:t>
      </w:r>
      <w:r w:rsidRPr="00E5413C">
        <w:rPr>
          <w:i/>
          <w:lang w:val="fr-FR"/>
        </w:rPr>
        <w:t>Les Béatitudes</w:t>
      </w:r>
      <w:r w:rsidRPr="00E5413C">
        <w:rPr>
          <w:lang w:val="fr-FR"/>
        </w:rPr>
        <w:t xml:space="preserve">. Vol. 1: </w:t>
      </w:r>
      <w:r w:rsidRPr="00E5413C">
        <w:rPr>
          <w:i/>
          <w:lang w:val="fr-FR"/>
        </w:rPr>
        <w:t>Le problème littéraire</w:t>
      </w:r>
      <w:r w:rsidRPr="00E5413C">
        <w:rPr>
          <w:lang w:val="fr-FR"/>
        </w:rPr>
        <w:t xml:space="preserve">: </w:t>
      </w:r>
      <w:r w:rsidRPr="00E5413C">
        <w:rPr>
          <w:i/>
          <w:lang w:val="fr-FR"/>
        </w:rPr>
        <w:t>Les deux versions du Sermon sur la Montagne et des Béatitudes</w:t>
      </w:r>
      <w:r w:rsidRPr="00E5413C">
        <w:rPr>
          <w:lang w:val="fr-FR"/>
        </w:rPr>
        <w:t xml:space="preserve">; vol. 2: </w:t>
      </w:r>
      <w:r w:rsidRPr="00E5413C">
        <w:rPr>
          <w:i/>
          <w:lang w:val="fr-FR"/>
        </w:rPr>
        <w:t>La Bonne Nouvelle</w:t>
      </w:r>
      <w:r w:rsidRPr="00E5413C">
        <w:rPr>
          <w:lang w:val="fr-FR"/>
        </w:rPr>
        <w:t xml:space="preserve">; vol. 3: </w:t>
      </w:r>
      <w:r w:rsidRPr="00E5413C">
        <w:rPr>
          <w:i/>
          <w:lang w:val="fr-FR"/>
        </w:rPr>
        <w:t xml:space="preserve">Les </w:t>
      </w:r>
      <w:proofErr w:type="spellStart"/>
      <w:r w:rsidRPr="00E5413C">
        <w:rPr>
          <w:i/>
          <w:lang w:val="fr-FR"/>
        </w:rPr>
        <w:t>évangelistes</w:t>
      </w:r>
      <w:proofErr w:type="spellEnd"/>
      <w:r w:rsidRPr="00E5413C">
        <w:rPr>
          <w:lang w:val="fr-FR"/>
        </w:rPr>
        <w:t xml:space="preserve">. </w:t>
      </w:r>
      <w:proofErr w:type="spellStart"/>
      <w:r w:rsidRPr="00E5413C">
        <w:rPr>
          <w:lang w:val="fr-FR"/>
        </w:rPr>
        <w:t>Rev</w:t>
      </w:r>
      <w:proofErr w:type="spellEnd"/>
      <w:r w:rsidRPr="00E5413C">
        <w:rPr>
          <w:lang w:val="fr-FR"/>
        </w:rPr>
        <w:t xml:space="preserve">. </w:t>
      </w:r>
      <w:proofErr w:type="spellStart"/>
      <w:r w:rsidRPr="00E5413C">
        <w:rPr>
          <w:lang w:val="fr-FR"/>
        </w:rPr>
        <w:t>ed</w:t>
      </w:r>
      <w:proofErr w:type="spellEnd"/>
      <w:r w:rsidRPr="00E5413C">
        <w:rPr>
          <w:lang w:val="fr-FR"/>
        </w:rPr>
        <w:t xml:space="preserve">. </w:t>
      </w:r>
      <w:proofErr w:type="spellStart"/>
      <w:r w:rsidRPr="00E5413C">
        <w:rPr>
          <w:lang w:val="fr-FR"/>
        </w:rPr>
        <w:t>EBib</w:t>
      </w:r>
      <w:proofErr w:type="spellEnd"/>
      <w:r w:rsidRPr="00E5413C">
        <w:rPr>
          <w:lang w:val="fr-FR"/>
        </w:rPr>
        <w:t xml:space="preserve">. Bruges, </w:t>
      </w:r>
      <w:proofErr w:type="spellStart"/>
      <w:r w:rsidRPr="00E5413C">
        <w:rPr>
          <w:lang w:val="fr-FR"/>
        </w:rPr>
        <w:t>Belgium</w:t>
      </w:r>
      <w:proofErr w:type="spellEnd"/>
      <w:r w:rsidRPr="00E5413C">
        <w:rPr>
          <w:lang w:val="fr-FR"/>
        </w:rPr>
        <w:t xml:space="preserve">: Éditions de l’Abbaye de Saint-André; and Louvain: E. Nauwelaerts, 1958 (vol. 1); Paris: J. </w:t>
      </w:r>
      <w:proofErr w:type="spellStart"/>
      <w:r w:rsidRPr="00E5413C">
        <w:rPr>
          <w:lang w:val="fr-FR"/>
        </w:rPr>
        <w:t>Gabalda</w:t>
      </w:r>
      <w:proofErr w:type="spellEnd"/>
      <w:r w:rsidRPr="00E5413C">
        <w:rPr>
          <w:lang w:val="fr-FR"/>
        </w:rPr>
        <w:t>, 1969 (vol. 2), 1973 (vol. 3).</w:t>
      </w:r>
    </w:p>
    <w:p w14:paraId="118BE4F4" w14:textId="77777777" w:rsidR="00B47A48" w:rsidRPr="007D4C6B" w:rsidRDefault="00B47A48" w:rsidP="00B47A48">
      <w:pPr>
        <w:widowControl w:val="0"/>
        <w:ind w:left="720" w:hanging="720"/>
      </w:pPr>
      <w:r w:rsidRPr="007D4C6B">
        <w:t xml:space="preserve">Easton, Burton Scott. </w:t>
      </w:r>
      <w:r w:rsidRPr="007D4C6B">
        <w:rPr>
          <w:i/>
        </w:rPr>
        <w:t>Christ in the Gospels</w:t>
      </w:r>
      <w:r w:rsidRPr="007D4C6B">
        <w:t>. New York: Scribner’s, 1930.</w:t>
      </w:r>
    </w:p>
    <w:p w14:paraId="3EDB174B" w14:textId="77777777" w:rsidR="00B47A48" w:rsidRPr="007D4C6B" w:rsidRDefault="00B47A48" w:rsidP="00B47A48">
      <w:pPr>
        <w:widowControl w:val="0"/>
        <w:ind w:left="720" w:hanging="720"/>
      </w:pPr>
      <w:r w:rsidRPr="007D4C6B">
        <w:t xml:space="preserve">Edwards, Richard A. </w:t>
      </w:r>
      <w:r w:rsidRPr="007D4C6B">
        <w:rPr>
          <w:i/>
        </w:rPr>
        <w:t>A Theology of Q</w:t>
      </w:r>
      <w:r w:rsidRPr="007D4C6B">
        <w:t xml:space="preserve">: </w:t>
      </w:r>
      <w:r w:rsidRPr="007D4C6B">
        <w:rPr>
          <w:i/>
        </w:rPr>
        <w:t>Eschatology</w:t>
      </w:r>
      <w:r w:rsidRPr="007D4C6B">
        <w:t xml:space="preserve">, </w:t>
      </w:r>
      <w:r w:rsidRPr="007D4C6B">
        <w:rPr>
          <w:i/>
        </w:rPr>
        <w:t>Prophecy</w:t>
      </w:r>
      <w:r w:rsidRPr="007D4C6B">
        <w:t xml:space="preserve">, </w:t>
      </w:r>
      <w:r w:rsidRPr="007D4C6B">
        <w:rPr>
          <w:i/>
        </w:rPr>
        <w:t>and Wisdom</w:t>
      </w:r>
      <w:r w:rsidRPr="007D4C6B">
        <w:t>. Philadelphia: Fortress, 1976.</w:t>
      </w:r>
    </w:p>
    <w:p w14:paraId="761969FD" w14:textId="77777777" w:rsidR="00B47A48" w:rsidRPr="007D4C6B" w:rsidRDefault="00B47A48" w:rsidP="00B47A48">
      <w:pPr>
        <w:widowControl w:val="0"/>
        <w:ind w:left="720" w:hanging="720"/>
      </w:pPr>
      <w:r w:rsidRPr="007D4C6B">
        <w:t xml:space="preserve">Edwards, Richard A. </w:t>
      </w:r>
      <w:r w:rsidRPr="007D4C6B">
        <w:rPr>
          <w:i/>
        </w:rPr>
        <w:t>Matthew</w:t>
      </w:r>
      <w:r w:rsidRPr="007D4C6B">
        <w:t>’</w:t>
      </w:r>
      <w:r w:rsidRPr="007D4C6B">
        <w:rPr>
          <w:i/>
        </w:rPr>
        <w:t>s Story of Jesus</w:t>
      </w:r>
      <w:r w:rsidRPr="007D4C6B">
        <w:t>. Philadelphia: Fortress, 1985.</w:t>
      </w:r>
    </w:p>
    <w:p w14:paraId="480415A2" w14:textId="77777777" w:rsidR="00B47A48" w:rsidRPr="007D4C6B" w:rsidRDefault="00B47A48" w:rsidP="00B47A48">
      <w:pPr>
        <w:widowControl w:val="0"/>
        <w:ind w:left="720" w:hanging="720"/>
      </w:pPr>
      <w:r w:rsidRPr="007D4C6B">
        <w:t xml:space="preserve">Ellis, Peter F. </w:t>
      </w:r>
      <w:r w:rsidRPr="007D4C6B">
        <w:rPr>
          <w:i/>
        </w:rPr>
        <w:t>Matthew</w:t>
      </w:r>
      <w:r w:rsidRPr="007D4C6B">
        <w:t xml:space="preserve">: </w:t>
      </w:r>
      <w:r w:rsidRPr="007D4C6B">
        <w:rPr>
          <w:i/>
        </w:rPr>
        <w:t>His Mind and His Message</w:t>
      </w:r>
      <w:r w:rsidRPr="007D4C6B">
        <w:t xml:space="preserve">. </w:t>
      </w:r>
      <w:r w:rsidRPr="0029762C">
        <w:rPr>
          <w:iCs/>
        </w:rPr>
        <w:t>Collegeville MN</w:t>
      </w:r>
      <w:r w:rsidRPr="007D4C6B">
        <w:t xml:space="preserve">: </w:t>
      </w:r>
      <w:r w:rsidRPr="0029762C">
        <w:rPr>
          <w:iCs/>
        </w:rPr>
        <w:t>Liturgical</w:t>
      </w:r>
      <w:r w:rsidRPr="007D4C6B">
        <w:t>, 1974.</w:t>
      </w:r>
    </w:p>
    <w:p w14:paraId="5FBEB21B" w14:textId="77777777" w:rsidR="00B47A48" w:rsidRPr="007D4C6B" w:rsidRDefault="00B47A48" w:rsidP="00B47A48">
      <w:pPr>
        <w:widowControl w:val="0"/>
        <w:ind w:left="720" w:hanging="720"/>
      </w:pPr>
      <w:r w:rsidRPr="007D4C6B">
        <w:t xml:space="preserve">Elton, Helen. “The New Testament and Greco-Roman Writing.” In </w:t>
      </w:r>
      <w:r w:rsidRPr="007D4C6B">
        <w:rPr>
          <w:i/>
        </w:rPr>
        <w:t>The Literary Guide to the Bible</w:t>
      </w:r>
      <w:r w:rsidRPr="007D4C6B">
        <w:t xml:space="preserve">, edited by Robert Alter and Frank Kermode. </w:t>
      </w:r>
      <w:r w:rsidRPr="00E366BA">
        <w:rPr>
          <w:iCs/>
        </w:rPr>
        <w:t xml:space="preserve">Cambridge MA: Harvard UP, </w:t>
      </w:r>
      <w:r w:rsidRPr="007D4C6B">
        <w:t>1987.</w:t>
      </w:r>
    </w:p>
    <w:p w14:paraId="31C38FE0" w14:textId="389F6550" w:rsidR="00B47A48" w:rsidRPr="007D4C6B" w:rsidRDefault="00B47A48" w:rsidP="00B47A48">
      <w:pPr>
        <w:widowControl w:val="0"/>
        <w:ind w:left="720" w:hanging="720"/>
      </w:pPr>
      <w:r w:rsidRPr="007D4C6B">
        <w:t xml:space="preserve">Farmer, William R. </w:t>
      </w:r>
      <w:r w:rsidRPr="007D4C6B">
        <w:rPr>
          <w:i/>
        </w:rPr>
        <w:t>The Synoptic Problem</w:t>
      </w:r>
      <w:r w:rsidRPr="007D4C6B">
        <w:t xml:space="preserve">: </w:t>
      </w:r>
      <w:r w:rsidRPr="007D4C6B">
        <w:rPr>
          <w:i/>
        </w:rPr>
        <w:t>A Critical Analysis</w:t>
      </w:r>
      <w:r w:rsidRPr="007D4C6B">
        <w:t>. London; New York: Macmillan, 1964</w:t>
      </w:r>
      <w:r w:rsidR="007B5BB5">
        <w:t>.</w:t>
      </w:r>
      <w:r w:rsidR="007B5BB5" w:rsidRPr="007D4C6B">
        <w:t xml:space="preserve"> Rpt. </w:t>
      </w:r>
      <w:r w:rsidRPr="007D4C6B">
        <w:t xml:space="preserve">ed., Dillsboro NC: Western North Carolina; </w:t>
      </w:r>
      <w:r w:rsidRPr="000644ED">
        <w:rPr>
          <w:iCs/>
        </w:rPr>
        <w:t>Macon GA</w:t>
      </w:r>
      <w:r w:rsidRPr="007D4C6B">
        <w:t>: Mercer University, 1976.</w:t>
      </w:r>
    </w:p>
    <w:p w14:paraId="36734497" w14:textId="77777777" w:rsidR="00B47A48" w:rsidRPr="007D4C6B" w:rsidRDefault="00B47A48" w:rsidP="00B47A48">
      <w:pPr>
        <w:widowControl w:val="0"/>
        <w:ind w:left="720" w:hanging="720"/>
      </w:pPr>
      <w:proofErr w:type="spellStart"/>
      <w:r w:rsidRPr="007D4C6B">
        <w:t>Fascher</w:t>
      </w:r>
      <w:proofErr w:type="spellEnd"/>
      <w:r w:rsidRPr="007D4C6B">
        <w:t xml:space="preserve">, Erich. </w:t>
      </w:r>
      <w:r w:rsidRPr="007D4C6B">
        <w:rPr>
          <w:i/>
        </w:rPr>
        <w:t xml:space="preserve">Die </w:t>
      </w:r>
      <w:proofErr w:type="spellStart"/>
      <w:r w:rsidRPr="007D4C6B">
        <w:rPr>
          <w:i/>
        </w:rPr>
        <w:t>formgeschichtliche</w:t>
      </w:r>
      <w:proofErr w:type="spellEnd"/>
      <w:r w:rsidRPr="007D4C6B">
        <w:rPr>
          <w:i/>
        </w:rPr>
        <w:t xml:space="preserve"> Methode</w:t>
      </w:r>
      <w:r w:rsidRPr="007D4C6B">
        <w:t xml:space="preserve">: </w:t>
      </w:r>
      <w:r w:rsidRPr="007D4C6B">
        <w:rPr>
          <w:i/>
        </w:rPr>
        <w:t xml:space="preserve">Eine </w:t>
      </w:r>
      <w:proofErr w:type="spellStart"/>
      <w:r w:rsidRPr="007D4C6B">
        <w:rPr>
          <w:i/>
        </w:rPr>
        <w:t>Darstellung</w:t>
      </w:r>
      <w:proofErr w:type="spellEnd"/>
      <w:r w:rsidRPr="007D4C6B">
        <w:rPr>
          <w:i/>
        </w:rPr>
        <w:t xml:space="preserve"> und Kritik </w:t>
      </w:r>
      <w:proofErr w:type="spellStart"/>
      <w:r w:rsidRPr="007D4C6B">
        <w:rPr>
          <w:i/>
        </w:rPr>
        <w:t>zugleich</w:t>
      </w:r>
      <w:proofErr w:type="spellEnd"/>
      <w:r w:rsidRPr="007D4C6B">
        <w:rPr>
          <w:i/>
        </w:rPr>
        <w:t xml:space="preserve"> </w:t>
      </w:r>
      <w:proofErr w:type="spellStart"/>
      <w:r w:rsidRPr="007D4C6B">
        <w:rPr>
          <w:i/>
        </w:rPr>
        <w:t>ein</w:t>
      </w:r>
      <w:proofErr w:type="spellEnd"/>
      <w:r w:rsidRPr="007D4C6B">
        <w:rPr>
          <w:i/>
        </w:rPr>
        <w:t xml:space="preserve"> </w:t>
      </w:r>
      <w:proofErr w:type="spellStart"/>
      <w:r w:rsidRPr="007D4C6B">
        <w:rPr>
          <w:i/>
        </w:rPr>
        <w:t>Beitrag</w:t>
      </w:r>
      <w:proofErr w:type="spellEnd"/>
      <w:r w:rsidRPr="007D4C6B">
        <w:rPr>
          <w:i/>
        </w:rPr>
        <w:t xml:space="preserve"> </w:t>
      </w:r>
      <w:proofErr w:type="spellStart"/>
      <w:r w:rsidRPr="007D4C6B">
        <w:rPr>
          <w:i/>
        </w:rPr>
        <w:t>zur</w:t>
      </w:r>
      <w:proofErr w:type="spellEnd"/>
      <w:r w:rsidRPr="007D4C6B">
        <w:rPr>
          <w:i/>
        </w:rPr>
        <w:t xml:space="preserve"> </w:t>
      </w:r>
      <w:proofErr w:type="spellStart"/>
      <w:r w:rsidRPr="007D4C6B">
        <w:rPr>
          <w:i/>
        </w:rPr>
        <w:t>Geschichte</w:t>
      </w:r>
      <w:proofErr w:type="spellEnd"/>
      <w:r w:rsidRPr="007D4C6B">
        <w:rPr>
          <w:i/>
        </w:rPr>
        <w:t xml:space="preserve"> des </w:t>
      </w:r>
      <w:proofErr w:type="spellStart"/>
      <w:r w:rsidRPr="007D4C6B">
        <w:rPr>
          <w:i/>
        </w:rPr>
        <w:t>synoptischen</w:t>
      </w:r>
      <w:proofErr w:type="spellEnd"/>
      <w:r w:rsidRPr="007D4C6B">
        <w:rPr>
          <w:i/>
        </w:rPr>
        <w:t xml:space="preserve"> Problems</w:t>
      </w:r>
      <w:r w:rsidRPr="007D4C6B">
        <w:t xml:space="preserve">. </w:t>
      </w:r>
      <w:proofErr w:type="spellStart"/>
      <w:r w:rsidRPr="007D4C6B">
        <w:t>Gießen</w:t>
      </w:r>
      <w:proofErr w:type="spellEnd"/>
      <w:r w:rsidRPr="007D4C6B">
        <w:t>: Alfred Töpelmann Verlag, 1924.</w:t>
      </w:r>
    </w:p>
    <w:p w14:paraId="7F1B21E1" w14:textId="77777777" w:rsidR="00B47A48" w:rsidRPr="007D4C6B" w:rsidRDefault="00B47A48" w:rsidP="00B47A48">
      <w:pPr>
        <w:widowControl w:val="0"/>
        <w:ind w:left="720" w:hanging="720"/>
      </w:pPr>
      <w:r w:rsidRPr="007D4C6B">
        <w:t xml:space="preserve">Fenton, </w:t>
      </w:r>
      <w:r w:rsidRPr="00E95268">
        <w:rPr>
          <w:iCs/>
        </w:rPr>
        <w:t>J.C.</w:t>
      </w:r>
      <w:r w:rsidRPr="007D4C6B">
        <w:t xml:space="preserve"> </w:t>
      </w:r>
      <w:r w:rsidRPr="007D4C6B">
        <w:rPr>
          <w:i/>
        </w:rPr>
        <w:t>The Gospel of Saint Matthew</w:t>
      </w:r>
      <w:r w:rsidRPr="007D4C6B">
        <w:t>. Pelican NT Commentaries. Harmondsworth, Middlesex, England: Penguin, 1963.</w:t>
      </w:r>
    </w:p>
    <w:p w14:paraId="4EEFAA73" w14:textId="77777777" w:rsidR="00B47A48" w:rsidRPr="007D4C6B" w:rsidRDefault="00B47A48" w:rsidP="00B47A48">
      <w:pPr>
        <w:widowControl w:val="0"/>
        <w:ind w:left="720" w:hanging="720"/>
      </w:pPr>
      <w:r w:rsidRPr="007D4C6B">
        <w:t xml:space="preserve">Fiebig, Paul. </w:t>
      </w:r>
      <w:r w:rsidRPr="007D4C6B">
        <w:rPr>
          <w:i/>
        </w:rPr>
        <w:t xml:space="preserve">Der Erzählungsstil der </w:t>
      </w:r>
      <w:proofErr w:type="spellStart"/>
      <w:r w:rsidRPr="007D4C6B">
        <w:rPr>
          <w:i/>
        </w:rPr>
        <w:t>Evangelien</w:t>
      </w:r>
      <w:proofErr w:type="spellEnd"/>
      <w:r w:rsidRPr="007D4C6B">
        <w:rPr>
          <w:i/>
        </w:rPr>
        <w:t xml:space="preserve"> </w:t>
      </w:r>
      <w:proofErr w:type="spellStart"/>
      <w:r w:rsidRPr="007D4C6B">
        <w:rPr>
          <w:i/>
        </w:rPr>
        <w:t>im</w:t>
      </w:r>
      <w:proofErr w:type="spellEnd"/>
      <w:r w:rsidRPr="007D4C6B">
        <w:rPr>
          <w:i/>
        </w:rPr>
        <w:t xml:space="preserve"> Lichte des </w:t>
      </w:r>
      <w:proofErr w:type="spellStart"/>
      <w:r w:rsidRPr="007D4C6B">
        <w:rPr>
          <w:i/>
        </w:rPr>
        <w:t>rabbinischen</w:t>
      </w:r>
      <w:proofErr w:type="spellEnd"/>
      <w:r w:rsidRPr="007D4C6B">
        <w:rPr>
          <w:i/>
        </w:rPr>
        <w:t xml:space="preserve"> Erzählungsstils </w:t>
      </w:r>
      <w:proofErr w:type="spellStart"/>
      <w:r w:rsidRPr="007D4C6B">
        <w:rPr>
          <w:i/>
        </w:rPr>
        <w:t>untersucht</w:t>
      </w:r>
      <w:proofErr w:type="spellEnd"/>
      <w:r w:rsidRPr="007D4C6B">
        <w:t xml:space="preserve">, </w:t>
      </w:r>
      <w:proofErr w:type="spellStart"/>
      <w:r w:rsidRPr="007D4C6B">
        <w:rPr>
          <w:i/>
        </w:rPr>
        <w:t>zugleich</w:t>
      </w:r>
      <w:proofErr w:type="spellEnd"/>
      <w:r w:rsidRPr="007D4C6B">
        <w:rPr>
          <w:i/>
        </w:rPr>
        <w:t xml:space="preserve"> </w:t>
      </w:r>
      <w:proofErr w:type="spellStart"/>
      <w:r w:rsidRPr="007D4C6B">
        <w:rPr>
          <w:i/>
        </w:rPr>
        <w:t>ein</w:t>
      </w:r>
      <w:proofErr w:type="spellEnd"/>
      <w:r w:rsidRPr="007D4C6B">
        <w:rPr>
          <w:i/>
        </w:rPr>
        <w:t xml:space="preserve"> </w:t>
      </w:r>
      <w:proofErr w:type="spellStart"/>
      <w:r w:rsidRPr="007D4C6B">
        <w:rPr>
          <w:i/>
        </w:rPr>
        <w:t>Beitrag</w:t>
      </w:r>
      <w:proofErr w:type="spellEnd"/>
      <w:r w:rsidRPr="007D4C6B">
        <w:rPr>
          <w:i/>
        </w:rPr>
        <w:t xml:space="preserve"> </w:t>
      </w:r>
      <w:proofErr w:type="spellStart"/>
      <w:r w:rsidRPr="007D4C6B">
        <w:rPr>
          <w:i/>
        </w:rPr>
        <w:t>zum</w:t>
      </w:r>
      <w:proofErr w:type="spellEnd"/>
      <w:r w:rsidRPr="007D4C6B">
        <w:rPr>
          <w:i/>
        </w:rPr>
        <w:t xml:space="preserve"> Streit um die</w:t>
      </w:r>
      <w:r w:rsidRPr="007D4C6B">
        <w:t xml:space="preserve"> “</w:t>
      </w:r>
      <w:proofErr w:type="spellStart"/>
      <w:r w:rsidRPr="007D4C6B">
        <w:rPr>
          <w:i/>
        </w:rPr>
        <w:t>Christusmythe</w:t>
      </w:r>
      <w:proofErr w:type="spellEnd"/>
      <w:r w:rsidRPr="007D4C6B">
        <w:t xml:space="preserve">.” UNT 11. Leipzig: </w:t>
      </w:r>
      <w:r w:rsidRPr="00E95268">
        <w:rPr>
          <w:iCs/>
        </w:rPr>
        <w:t>J.C.</w:t>
      </w:r>
      <w:r w:rsidRPr="007D4C6B">
        <w:t xml:space="preserve"> </w:t>
      </w:r>
      <w:proofErr w:type="spellStart"/>
      <w:r w:rsidRPr="007D4C6B">
        <w:t>Hinrichs’sche</w:t>
      </w:r>
      <w:proofErr w:type="spellEnd"/>
      <w:r w:rsidRPr="007D4C6B">
        <w:t xml:space="preserve"> </w:t>
      </w:r>
      <w:proofErr w:type="spellStart"/>
      <w:r w:rsidRPr="007D4C6B">
        <w:t>Buchhandlung</w:t>
      </w:r>
      <w:proofErr w:type="spellEnd"/>
      <w:r w:rsidRPr="007D4C6B">
        <w:t>, 1925.</w:t>
      </w:r>
    </w:p>
    <w:p w14:paraId="5B6AE567" w14:textId="77777777" w:rsidR="00B47A48" w:rsidRPr="007D4C6B" w:rsidRDefault="00B47A48" w:rsidP="00B47A48">
      <w:pPr>
        <w:widowControl w:val="0"/>
        <w:ind w:left="720" w:hanging="720"/>
      </w:pPr>
      <w:r w:rsidRPr="007D4C6B">
        <w:t xml:space="preserve">Fiebig, Paul. “Die </w:t>
      </w:r>
      <w:proofErr w:type="spellStart"/>
      <w:r w:rsidRPr="007D4C6B">
        <w:t>mündliche</w:t>
      </w:r>
      <w:proofErr w:type="spellEnd"/>
      <w:r w:rsidRPr="007D4C6B">
        <w:t xml:space="preserve"> </w:t>
      </w:r>
      <w:proofErr w:type="spellStart"/>
      <w:r w:rsidRPr="007D4C6B">
        <w:t>Uberlieferung</w:t>
      </w:r>
      <w:proofErr w:type="spellEnd"/>
      <w:r w:rsidRPr="007D4C6B">
        <w:t xml:space="preserve"> </w:t>
      </w:r>
      <w:proofErr w:type="spellStart"/>
      <w:r w:rsidRPr="007D4C6B">
        <w:t>als</w:t>
      </w:r>
      <w:proofErr w:type="spellEnd"/>
      <w:r w:rsidRPr="007D4C6B">
        <w:t xml:space="preserve"> Quelle der </w:t>
      </w:r>
      <w:proofErr w:type="spellStart"/>
      <w:r w:rsidRPr="007D4C6B">
        <w:t>Synoptiker</w:t>
      </w:r>
      <w:proofErr w:type="spellEnd"/>
      <w:r w:rsidRPr="007D4C6B">
        <w:t xml:space="preserve">.” In </w:t>
      </w:r>
      <w:proofErr w:type="spellStart"/>
      <w:r w:rsidRPr="007D4C6B">
        <w:rPr>
          <w:i/>
        </w:rPr>
        <w:t>Neutestamentlichen</w:t>
      </w:r>
      <w:proofErr w:type="spellEnd"/>
      <w:r w:rsidRPr="007D4C6B">
        <w:rPr>
          <w:i/>
        </w:rPr>
        <w:t xml:space="preserve"> </w:t>
      </w:r>
      <w:proofErr w:type="spellStart"/>
      <w:r w:rsidRPr="007D4C6B">
        <w:rPr>
          <w:i/>
        </w:rPr>
        <w:t>Studien</w:t>
      </w:r>
      <w:proofErr w:type="spellEnd"/>
      <w:r w:rsidRPr="007D4C6B">
        <w:t xml:space="preserve">: </w:t>
      </w:r>
      <w:r w:rsidRPr="007D4C6B">
        <w:rPr>
          <w:i/>
        </w:rPr>
        <w:t xml:space="preserve">Georg Heinrici </w:t>
      </w:r>
      <w:proofErr w:type="spellStart"/>
      <w:r w:rsidRPr="007D4C6B">
        <w:rPr>
          <w:i/>
        </w:rPr>
        <w:t>zu</w:t>
      </w:r>
      <w:proofErr w:type="spellEnd"/>
      <w:r w:rsidRPr="007D4C6B">
        <w:rPr>
          <w:i/>
        </w:rPr>
        <w:t xml:space="preserve"> </w:t>
      </w:r>
      <w:proofErr w:type="spellStart"/>
      <w:r w:rsidRPr="007D4C6B">
        <w:rPr>
          <w:i/>
        </w:rPr>
        <w:t>seinem</w:t>
      </w:r>
      <w:proofErr w:type="spellEnd"/>
      <w:r w:rsidRPr="007D4C6B">
        <w:rPr>
          <w:i/>
        </w:rPr>
        <w:t xml:space="preserve"> 70</w:t>
      </w:r>
      <w:r w:rsidRPr="007D4C6B">
        <w:t xml:space="preserve">. </w:t>
      </w:r>
      <w:proofErr w:type="spellStart"/>
      <w:r w:rsidRPr="007D4C6B">
        <w:rPr>
          <w:i/>
        </w:rPr>
        <w:t>Geburtstag</w:t>
      </w:r>
      <w:proofErr w:type="spellEnd"/>
      <w:r w:rsidRPr="007D4C6B">
        <w:t xml:space="preserve"> (</w:t>
      </w:r>
      <w:r w:rsidRPr="007D4C6B">
        <w:rPr>
          <w:i/>
        </w:rPr>
        <w:t>14</w:t>
      </w:r>
      <w:r w:rsidRPr="007D4C6B">
        <w:t xml:space="preserve">. </w:t>
      </w:r>
      <w:r w:rsidRPr="007D4C6B">
        <w:rPr>
          <w:i/>
        </w:rPr>
        <w:t>März 1914</w:t>
      </w:r>
      <w:r w:rsidRPr="007D4C6B">
        <w:t xml:space="preserve">) </w:t>
      </w:r>
      <w:proofErr w:type="spellStart"/>
      <w:r w:rsidRPr="007D4C6B">
        <w:rPr>
          <w:i/>
        </w:rPr>
        <w:t>dargebracht</w:t>
      </w:r>
      <w:proofErr w:type="spellEnd"/>
      <w:r w:rsidRPr="007D4C6B">
        <w:rPr>
          <w:i/>
        </w:rPr>
        <w:t xml:space="preserve"> von </w:t>
      </w:r>
      <w:proofErr w:type="spellStart"/>
      <w:r w:rsidRPr="007D4C6B">
        <w:rPr>
          <w:i/>
        </w:rPr>
        <w:t>Fachgenossen</w:t>
      </w:r>
      <w:proofErr w:type="spellEnd"/>
      <w:r w:rsidRPr="007D4C6B">
        <w:t xml:space="preserve">, </w:t>
      </w:r>
      <w:proofErr w:type="spellStart"/>
      <w:r w:rsidRPr="007D4C6B">
        <w:rPr>
          <w:i/>
        </w:rPr>
        <w:t>Freunden</w:t>
      </w:r>
      <w:proofErr w:type="spellEnd"/>
      <w:r w:rsidRPr="007D4C6B">
        <w:rPr>
          <w:i/>
        </w:rPr>
        <w:t xml:space="preserve"> und </w:t>
      </w:r>
      <w:proofErr w:type="spellStart"/>
      <w:r w:rsidRPr="007D4C6B">
        <w:rPr>
          <w:i/>
        </w:rPr>
        <w:t>Schülern</w:t>
      </w:r>
      <w:proofErr w:type="spellEnd"/>
      <w:r w:rsidRPr="007D4C6B">
        <w:t xml:space="preserve">. UNT 6. Leipzig: </w:t>
      </w:r>
      <w:r w:rsidRPr="00E95268">
        <w:rPr>
          <w:iCs/>
        </w:rPr>
        <w:t>J.C.</w:t>
      </w:r>
      <w:r w:rsidRPr="007D4C6B">
        <w:t xml:space="preserve"> </w:t>
      </w:r>
      <w:proofErr w:type="spellStart"/>
      <w:r w:rsidRPr="007D4C6B">
        <w:t>Hinrichs’sche</w:t>
      </w:r>
      <w:proofErr w:type="spellEnd"/>
      <w:r w:rsidRPr="007D4C6B">
        <w:t xml:space="preserve"> </w:t>
      </w:r>
      <w:proofErr w:type="spellStart"/>
      <w:r w:rsidRPr="007D4C6B">
        <w:t>Buchhandlung</w:t>
      </w:r>
      <w:proofErr w:type="spellEnd"/>
      <w:r w:rsidRPr="007D4C6B">
        <w:t>, 1914</w:t>
      </w:r>
    </w:p>
    <w:p w14:paraId="2EEF8247" w14:textId="77777777" w:rsidR="00B47A48" w:rsidRPr="007D4C6B" w:rsidRDefault="00B47A48" w:rsidP="00B47A48">
      <w:pPr>
        <w:widowControl w:val="0"/>
        <w:ind w:left="720" w:hanging="720"/>
      </w:pPr>
      <w:r w:rsidRPr="007D4C6B">
        <w:t xml:space="preserve">Filson, Floyd V. </w:t>
      </w:r>
      <w:r w:rsidRPr="007D4C6B">
        <w:rPr>
          <w:i/>
        </w:rPr>
        <w:t>The Gospel According to St Matthew</w:t>
      </w:r>
      <w:r w:rsidRPr="007D4C6B">
        <w:t>. Black’s NT Commentaries. London: Adam &amp; Charles Black, 1960, 1971</w:t>
      </w:r>
      <w:r w:rsidRPr="007D4C6B">
        <w:rPr>
          <w:vertAlign w:val="superscript"/>
        </w:rPr>
        <w:t>2</w:t>
      </w:r>
      <w:r w:rsidRPr="007D4C6B">
        <w:t>.</w:t>
      </w:r>
    </w:p>
    <w:p w14:paraId="356599D0" w14:textId="4677EA04" w:rsidR="00B47A48" w:rsidRPr="007D4C6B" w:rsidRDefault="00B47A48" w:rsidP="00B47A48">
      <w:pPr>
        <w:widowControl w:val="0"/>
        <w:ind w:left="720" w:hanging="720"/>
      </w:pPr>
      <w:r w:rsidRPr="007D4C6B">
        <w:t xml:space="preserve">Fitzgerald, Aloysius. “Hebrew Poetry.” </w:t>
      </w:r>
      <w:r w:rsidRPr="007D4C6B">
        <w:rPr>
          <w:i/>
        </w:rPr>
        <w:t>JBC</w:t>
      </w:r>
      <w:r w:rsidRPr="007D4C6B">
        <w:t xml:space="preserve">. </w:t>
      </w:r>
      <w:r w:rsidR="007B5BB5" w:rsidRPr="007B5BB5">
        <w:rPr>
          <w:iCs/>
        </w:rPr>
        <w:t xml:space="preserve">Englewood Cliffs </w:t>
      </w:r>
      <w:r w:rsidRPr="007D4C6B">
        <w:t>NJ: Prentice-Hall, 1968, 2. 238-44.</w:t>
      </w:r>
    </w:p>
    <w:p w14:paraId="15CA86FF" w14:textId="77777777" w:rsidR="00B47A48" w:rsidRPr="007D4C6B" w:rsidRDefault="00B47A48" w:rsidP="00B47A48">
      <w:pPr>
        <w:widowControl w:val="0"/>
        <w:ind w:left="720" w:hanging="720"/>
      </w:pPr>
      <w:r w:rsidRPr="007D4C6B">
        <w:t xml:space="preserve">Fuller, Reginald H. </w:t>
      </w:r>
      <w:r w:rsidRPr="007D4C6B">
        <w:rPr>
          <w:i/>
        </w:rPr>
        <w:t>A Critical Introduction to the New Testament</w:t>
      </w:r>
      <w:r w:rsidRPr="007D4C6B">
        <w:t>. London: Gerald Duckworth, 1966.</w:t>
      </w:r>
    </w:p>
    <w:p w14:paraId="15A9B497" w14:textId="77777777" w:rsidR="00B47A48" w:rsidRPr="007D4C6B" w:rsidRDefault="00B47A48" w:rsidP="00B47A48">
      <w:pPr>
        <w:widowControl w:val="0"/>
        <w:ind w:left="720" w:hanging="720"/>
      </w:pPr>
      <w:r w:rsidRPr="007D4C6B">
        <w:t xml:space="preserve">Fuller, Reginald H. </w:t>
      </w:r>
      <w:r w:rsidRPr="007D4C6B">
        <w:rPr>
          <w:i/>
        </w:rPr>
        <w:t>The Foundations of New Testament Christology</w:t>
      </w:r>
      <w:r w:rsidRPr="007D4C6B">
        <w:t>. New York: Scribner’s, 1965.</w:t>
      </w:r>
    </w:p>
    <w:p w14:paraId="2A81B111" w14:textId="77777777" w:rsidR="00B47A48" w:rsidRPr="007D4C6B" w:rsidRDefault="00B47A48" w:rsidP="00B47A48">
      <w:pPr>
        <w:widowControl w:val="0"/>
        <w:ind w:left="720" w:hanging="720"/>
      </w:pPr>
      <w:r w:rsidRPr="007D4C6B">
        <w:t xml:space="preserve">Furnish, Victor Paul. </w:t>
      </w:r>
      <w:r w:rsidRPr="007D4C6B">
        <w:rPr>
          <w:i/>
        </w:rPr>
        <w:t>The Love Command in the New Testament</w:t>
      </w:r>
      <w:r w:rsidRPr="007D4C6B">
        <w:t xml:space="preserve">. </w:t>
      </w:r>
      <w:r w:rsidRPr="000644ED">
        <w:rPr>
          <w:iCs/>
        </w:rPr>
        <w:t>Nashville</w:t>
      </w:r>
      <w:r w:rsidRPr="007D4C6B">
        <w:t>: Abingdon, 1972.</w:t>
      </w:r>
    </w:p>
    <w:p w14:paraId="4C729318" w14:textId="77777777" w:rsidR="00B47A48" w:rsidRPr="007D4C6B" w:rsidRDefault="00B47A48" w:rsidP="00B47A48">
      <w:pPr>
        <w:widowControl w:val="0"/>
        <w:ind w:left="720" w:hanging="720"/>
      </w:pPr>
      <w:r w:rsidRPr="007D4C6B">
        <w:t xml:space="preserve">Gilmour, S. McLean. “Interpreting the Sermon on the Mount.” </w:t>
      </w:r>
      <w:r w:rsidRPr="007D4C6B">
        <w:rPr>
          <w:i/>
        </w:rPr>
        <w:t>Crozer Quarterly</w:t>
      </w:r>
      <w:r w:rsidRPr="007D4C6B">
        <w:t xml:space="preserve"> 24 (1947) 47-56.</w:t>
      </w:r>
    </w:p>
    <w:p w14:paraId="6281E937" w14:textId="77777777" w:rsidR="00B47A48" w:rsidRPr="007D4C6B" w:rsidRDefault="00B47A48" w:rsidP="00B47A48">
      <w:pPr>
        <w:widowControl w:val="0"/>
        <w:ind w:left="720" w:hanging="720"/>
      </w:pPr>
      <w:r w:rsidRPr="007D4C6B">
        <w:t xml:space="preserve">Gleason, Robert. </w:t>
      </w:r>
      <w:r w:rsidRPr="007D4C6B">
        <w:rPr>
          <w:i/>
        </w:rPr>
        <w:t>Grace</w:t>
      </w:r>
      <w:r w:rsidRPr="007D4C6B">
        <w:t>. New York: Sheed &amp; Ward, 1962.</w:t>
      </w:r>
    </w:p>
    <w:p w14:paraId="2CDCD998" w14:textId="0F7E7611" w:rsidR="00B47A48" w:rsidRPr="00E5413C" w:rsidRDefault="00B47A48" w:rsidP="00B47A48">
      <w:pPr>
        <w:widowControl w:val="0"/>
        <w:ind w:left="720" w:hanging="720"/>
        <w:rPr>
          <w:lang w:val="fr-FR"/>
        </w:rPr>
      </w:pPr>
      <w:proofErr w:type="spellStart"/>
      <w:r w:rsidRPr="007D4C6B">
        <w:t>Goguel</w:t>
      </w:r>
      <w:proofErr w:type="spellEnd"/>
      <w:r w:rsidRPr="007D4C6B">
        <w:t xml:space="preserve">, Maurice. </w:t>
      </w:r>
      <w:r w:rsidRPr="007D4C6B">
        <w:rPr>
          <w:i/>
        </w:rPr>
        <w:t>The Life of Jesus</w:t>
      </w:r>
      <w:r w:rsidRPr="007D4C6B">
        <w:t xml:space="preserve">. Trans. Olive Wyon. New York: Macmillan, 1945. </w:t>
      </w:r>
      <w:r w:rsidR="00457786">
        <w:t>(</w:t>
      </w:r>
      <w:r w:rsidRPr="007D4C6B">
        <w:rPr>
          <w:i/>
        </w:rPr>
        <w:t>La Vie de Jésus</w:t>
      </w:r>
      <w:r w:rsidRPr="007D4C6B">
        <w:t xml:space="preserve">, Paris: </w:t>
      </w:r>
      <w:proofErr w:type="spellStart"/>
      <w:r w:rsidRPr="007D4C6B">
        <w:t>Payot</w:t>
      </w:r>
      <w:proofErr w:type="spellEnd"/>
      <w:r w:rsidRPr="007D4C6B">
        <w:t>, 1932, 1950</w:t>
      </w:r>
      <w:r w:rsidRPr="007D4C6B">
        <w:rPr>
          <w:vertAlign w:val="superscript"/>
        </w:rPr>
        <w:t>2</w:t>
      </w:r>
      <w:r w:rsidRPr="007D4C6B">
        <w:t>. The English translation was first published in 1933 by George Allen &amp; Unwin of London, which issued a 2</w:t>
      </w:r>
      <w:r w:rsidR="00457786">
        <w:t>n</w:t>
      </w:r>
      <w:r w:rsidRPr="007D4C6B">
        <w:t xml:space="preserve">d English ed. </w:t>
      </w:r>
      <w:r w:rsidR="00457786" w:rsidRPr="00E5413C">
        <w:rPr>
          <w:lang w:val="fr-FR"/>
        </w:rPr>
        <w:t>[</w:t>
      </w:r>
      <w:proofErr w:type="spellStart"/>
      <w:r w:rsidRPr="00E5413C">
        <w:rPr>
          <w:lang w:val="fr-FR"/>
        </w:rPr>
        <w:t>under</w:t>
      </w:r>
      <w:proofErr w:type="spellEnd"/>
      <w:r w:rsidRPr="00E5413C">
        <w:rPr>
          <w:lang w:val="fr-FR"/>
        </w:rPr>
        <w:t xml:space="preserve"> the </w:t>
      </w:r>
      <w:proofErr w:type="spellStart"/>
      <w:r w:rsidRPr="00E5413C">
        <w:rPr>
          <w:lang w:val="fr-FR"/>
        </w:rPr>
        <w:t>title</w:t>
      </w:r>
      <w:proofErr w:type="spellEnd"/>
      <w:r w:rsidRPr="00E5413C">
        <w:rPr>
          <w:lang w:val="fr-FR"/>
        </w:rPr>
        <w:t xml:space="preserve"> </w:t>
      </w:r>
      <w:proofErr w:type="spellStart"/>
      <w:r w:rsidRPr="00E5413C">
        <w:rPr>
          <w:i/>
          <w:lang w:val="fr-FR"/>
        </w:rPr>
        <w:t>Jesus</w:t>
      </w:r>
      <w:proofErr w:type="spellEnd"/>
      <w:r w:rsidR="00457786" w:rsidRPr="00E5413C">
        <w:rPr>
          <w:lang w:val="fr-FR"/>
        </w:rPr>
        <w:t>]</w:t>
      </w:r>
      <w:r w:rsidRPr="00E5413C">
        <w:rPr>
          <w:lang w:val="fr-FR"/>
        </w:rPr>
        <w:t xml:space="preserve"> </w:t>
      </w:r>
      <w:proofErr w:type="spellStart"/>
      <w:r w:rsidRPr="00E5413C">
        <w:rPr>
          <w:lang w:val="fr-FR"/>
        </w:rPr>
        <w:t>in</w:t>
      </w:r>
      <w:proofErr w:type="spellEnd"/>
      <w:r w:rsidRPr="00E5413C">
        <w:rPr>
          <w:lang w:val="fr-FR"/>
        </w:rPr>
        <w:t xml:space="preserve"> 1958. </w:t>
      </w:r>
      <w:proofErr w:type="spellStart"/>
      <w:r w:rsidRPr="00E5413C">
        <w:rPr>
          <w:lang w:val="fr-FR"/>
        </w:rPr>
        <w:t>With</w:t>
      </w:r>
      <w:proofErr w:type="spellEnd"/>
      <w:r w:rsidRPr="00E5413C">
        <w:rPr>
          <w:lang w:val="fr-FR"/>
        </w:rPr>
        <w:t xml:space="preserve"> </w:t>
      </w:r>
      <w:r w:rsidRPr="00E5413C">
        <w:rPr>
          <w:i/>
          <w:lang w:val="fr-FR"/>
        </w:rPr>
        <w:t>La Naissance du Christianisme</w:t>
      </w:r>
      <w:r w:rsidRPr="00E5413C">
        <w:rPr>
          <w:lang w:val="fr-FR"/>
        </w:rPr>
        <w:t xml:space="preserve"> </w:t>
      </w:r>
      <w:r w:rsidR="00457786" w:rsidRPr="00E5413C">
        <w:rPr>
          <w:lang w:val="fr-FR"/>
        </w:rPr>
        <w:t>[</w:t>
      </w:r>
      <w:r w:rsidRPr="00E5413C">
        <w:rPr>
          <w:lang w:val="fr-FR"/>
        </w:rPr>
        <w:t>English, 1953</w:t>
      </w:r>
      <w:r w:rsidR="00457786" w:rsidRPr="00E5413C">
        <w:rPr>
          <w:lang w:val="fr-FR"/>
        </w:rPr>
        <w:t>]</w:t>
      </w:r>
      <w:r w:rsidRPr="00E5413C">
        <w:rPr>
          <w:lang w:val="fr-FR"/>
        </w:rPr>
        <w:t xml:space="preserve"> and </w:t>
      </w:r>
      <w:r w:rsidRPr="00E5413C">
        <w:rPr>
          <w:i/>
          <w:lang w:val="fr-FR"/>
        </w:rPr>
        <w:t>L</w:t>
      </w:r>
      <w:r w:rsidRPr="00E5413C">
        <w:rPr>
          <w:lang w:val="fr-FR"/>
        </w:rPr>
        <w:t>’</w:t>
      </w:r>
      <w:r w:rsidRPr="00E5413C">
        <w:rPr>
          <w:i/>
          <w:lang w:val="fr-FR"/>
        </w:rPr>
        <w:t>Eglise Primitive</w:t>
      </w:r>
      <w:r w:rsidRPr="00E5413C">
        <w:rPr>
          <w:lang w:val="fr-FR"/>
        </w:rPr>
        <w:t xml:space="preserve"> </w:t>
      </w:r>
      <w:r w:rsidR="00457786" w:rsidRPr="00E5413C">
        <w:rPr>
          <w:lang w:val="fr-FR"/>
        </w:rPr>
        <w:lastRenderedPageBreak/>
        <w:t>[</w:t>
      </w:r>
      <w:r w:rsidRPr="00E5413C">
        <w:rPr>
          <w:lang w:val="fr-FR"/>
        </w:rPr>
        <w:t>1947, Eng. 1963</w:t>
      </w:r>
      <w:r w:rsidR="00457786" w:rsidRPr="00E5413C">
        <w:rPr>
          <w:lang w:val="fr-FR"/>
        </w:rPr>
        <w:t>]</w:t>
      </w:r>
      <w:r w:rsidRPr="00E5413C">
        <w:rPr>
          <w:lang w:val="fr-FR"/>
        </w:rPr>
        <w:t xml:space="preserve">, </w:t>
      </w:r>
      <w:r w:rsidRPr="00E5413C">
        <w:rPr>
          <w:i/>
          <w:lang w:val="fr-FR"/>
        </w:rPr>
        <w:t>Vie de Jésus</w:t>
      </w:r>
      <w:r w:rsidRPr="00E5413C">
        <w:rPr>
          <w:lang w:val="fr-FR"/>
        </w:rPr>
        <w:t xml:space="preserve"> </w:t>
      </w:r>
      <w:proofErr w:type="spellStart"/>
      <w:r w:rsidRPr="00E5413C">
        <w:rPr>
          <w:lang w:val="fr-FR"/>
        </w:rPr>
        <w:t>forms</w:t>
      </w:r>
      <w:proofErr w:type="spellEnd"/>
      <w:r w:rsidRPr="00E5413C">
        <w:rPr>
          <w:lang w:val="fr-FR"/>
        </w:rPr>
        <w:t xml:space="preserve"> the </w:t>
      </w:r>
      <w:proofErr w:type="spellStart"/>
      <w:r w:rsidRPr="00E5413C">
        <w:rPr>
          <w:lang w:val="fr-FR"/>
        </w:rPr>
        <w:t>trilogy</w:t>
      </w:r>
      <w:proofErr w:type="spellEnd"/>
      <w:r w:rsidRPr="00E5413C">
        <w:rPr>
          <w:lang w:val="fr-FR"/>
        </w:rPr>
        <w:t xml:space="preserve">, </w:t>
      </w:r>
      <w:r w:rsidRPr="00E5413C">
        <w:rPr>
          <w:i/>
          <w:lang w:val="fr-FR"/>
        </w:rPr>
        <w:t>Jésus et les origines du Christianisme</w:t>
      </w:r>
      <w:r w:rsidRPr="00E5413C">
        <w:rPr>
          <w:lang w:val="fr-FR"/>
        </w:rPr>
        <w:t>.</w:t>
      </w:r>
      <w:r w:rsidR="00457786" w:rsidRPr="00E5413C">
        <w:rPr>
          <w:lang w:val="fr-FR"/>
        </w:rPr>
        <w:t>)</w:t>
      </w:r>
    </w:p>
    <w:p w14:paraId="2F94644D" w14:textId="28EA9873" w:rsidR="00B47A48" w:rsidRPr="007D4C6B" w:rsidRDefault="00B47A48" w:rsidP="00B47A48">
      <w:pPr>
        <w:widowControl w:val="0"/>
        <w:ind w:left="720" w:hanging="720"/>
      </w:pPr>
      <w:proofErr w:type="spellStart"/>
      <w:r w:rsidRPr="007D4C6B">
        <w:t>Goguel</w:t>
      </w:r>
      <w:proofErr w:type="spellEnd"/>
      <w:r w:rsidRPr="007D4C6B">
        <w:t xml:space="preserve">, Maurice. </w:t>
      </w:r>
      <w:r w:rsidRPr="007D4C6B">
        <w:rPr>
          <w:i/>
        </w:rPr>
        <w:t>The Primitive Church</w:t>
      </w:r>
      <w:r w:rsidRPr="007D4C6B">
        <w:t xml:space="preserve">. Trans. H. C. Snape. London: George Allen </w:t>
      </w:r>
      <w:r w:rsidR="00457786">
        <w:t>and</w:t>
      </w:r>
      <w:r w:rsidRPr="007D4C6B">
        <w:t xml:space="preserve"> Unwin, 1963. </w:t>
      </w:r>
      <w:r w:rsidR="00457786">
        <w:t>(</w:t>
      </w:r>
      <w:proofErr w:type="spellStart"/>
      <w:r w:rsidRPr="007D4C6B">
        <w:rPr>
          <w:i/>
        </w:rPr>
        <w:t>L</w:t>
      </w:r>
      <w:r w:rsidRPr="007D4C6B">
        <w:t>’</w:t>
      </w:r>
      <w:r w:rsidR="00457786">
        <w:rPr>
          <w:i/>
        </w:rPr>
        <w:t>É</w:t>
      </w:r>
      <w:r w:rsidRPr="007D4C6B">
        <w:rPr>
          <w:i/>
        </w:rPr>
        <w:t>glise</w:t>
      </w:r>
      <w:proofErr w:type="spellEnd"/>
      <w:r w:rsidRPr="007D4C6B">
        <w:rPr>
          <w:i/>
        </w:rPr>
        <w:t xml:space="preserve"> Primitive</w:t>
      </w:r>
      <w:r w:rsidRPr="007D4C6B">
        <w:t xml:space="preserve">, Paris: </w:t>
      </w:r>
      <w:proofErr w:type="spellStart"/>
      <w:r w:rsidRPr="007D4C6B">
        <w:t>Payot</w:t>
      </w:r>
      <w:proofErr w:type="spellEnd"/>
      <w:r w:rsidRPr="007D4C6B">
        <w:t>, 1947. See previous entry.</w:t>
      </w:r>
      <w:r w:rsidR="00457786">
        <w:t>)</w:t>
      </w:r>
    </w:p>
    <w:p w14:paraId="6AD8ADC5" w14:textId="77777777" w:rsidR="00B47A48" w:rsidRPr="007D4C6B" w:rsidRDefault="00B47A48" w:rsidP="00B47A48">
      <w:pPr>
        <w:widowControl w:val="0"/>
        <w:ind w:left="720" w:hanging="720"/>
      </w:pPr>
      <w:r w:rsidRPr="007D4C6B">
        <w:t xml:space="preserve">Goodspeed, Edgar J. </w:t>
      </w:r>
      <w:r w:rsidRPr="007D4C6B">
        <w:rPr>
          <w:i/>
        </w:rPr>
        <w:t>An Introduction to the New Testament</w:t>
      </w:r>
      <w:r w:rsidRPr="007D4C6B">
        <w:t xml:space="preserve">. </w:t>
      </w:r>
      <w:r w:rsidRPr="000644ED">
        <w:rPr>
          <w:iCs/>
        </w:rPr>
        <w:t>Chicago: U of Chicago P</w:t>
      </w:r>
      <w:r w:rsidRPr="007D4C6B">
        <w:t>, 1937.</w:t>
      </w:r>
    </w:p>
    <w:p w14:paraId="158F4991" w14:textId="77777777" w:rsidR="00B47A48" w:rsidRPr="007D4C6B" w:rsidRDefault="00B47A48" w:rsidP="00B47A48">
      <w:pPr>
        <w:widowControl w:val="0"/>
        <w:ind w:left="720" w:hanging="720"/>
      </w:pPr>
      <w:r w:rsidRPr="007D4C6B">
        <w:t xml:space="preserve">Goodspeed, Edgar J. </w:t>
      </w:r>
      <w:r w:rsidRPr="007D4C6B">
        <w:rPr>
          <w:i/>
        </w:rPr>
        <w:t>Matthew</w:t>
      </w:r>
      <w:r w:rsidRPr="007D4C6B">
        <w:rPr>
          <w:iCs/>
        </w:rPr>
        <w:t xml:space="preserve">: </w:t>
      </w:r>
      <w:r w:rsidRPr="007D4C6B">
        <w:rPr>
          <w:i/>
        </w:rPr>
        <w:t>Apostle and Evangelist</w:t>
      </w:r>
      <w:r w:rsidRPr="007D4C6B">
        <w:t>. Philadelphia: John C. Winston, 1959.</w:t>
      </w:r>
    </w:p>
    <w:p w14:paraId="350601D7" w14:textId="544F1F1E" w:rsidR="00B47A48" w:rsidRPr="007D4C6B" w:rsidRDefault="00B47A48" w:rsidP="00B47A48">
      <w:pPr>
        <w:widowControl w:val="0"/>
        <w:ind w:left="720" w:hanging="720"/>
      </w:pPr>
      <w:r w:rsidRPr="007D4C6B">
        <w:t xml:space="preserve">Goulder, M. D. “The Chiastic Structure of the Lucan Journey.” In </w:t>
      </w:r>
      <w:r w:rsidRPr="007D4C6B">
        <w:rPr>
          <w:i/>
        </w:rPr>
        <w:t>Studia Evangelica</w:t>
      </w:r>
      <w:r w:rsidRPr="007D4C6B">
        <w:t xml:space="preserve">: </w:t>
      </w:r>
      <w:r w:rsidRPr="007D4C6B">
        <w:rPr>
          <w:i/>
        </w:rPr>
        <w:t>Papers of the Second International Congress on New Testament Studies</w:t>
      </w:r>
      <w:r w:rsidRPr="007D4C6B">
        <w:t xml:space="preserve">. 2 vols. Ed. </w:t>
      </w:r>
      <w:r w:rsidR="00457786" w:rsidRPr="00457786">
        <w:rPr>
          <w:iCs/>
        </w:rPr>
        <w:t>F.L.</w:t>
      </w:r>
      <w:r w:rsidRPr="007D4C6B">
        <w:t xml:space="preserve"> Cross. Berlin: Akademie, 1964, 195-202.</w:t>
      </w:r>
    </w:p>
    <w:p w14:paraId="4281577E" w14:textId="77777777" w:rsidR="00B47A48" w:rsidRPr="007D4C6B" w:rsidRDefault="00B47A48" w:rsidP="00B47A48">
      <w:pPr>
        <w:widowControl w:val="0"/>
        <w:ind w:left="720" w:hanging="720"/>
      </w:pPr>
      <w:r w:rsidRPr="007D4C6B">
        <w:t xml:space="preserve">Goulder, M. D. </w:t>
      </w:r>
      <w:r w:rsidRPr="007D4C6B">
        <w:rPr>
          <w:i/>
        </w:rPr>
        <w:t>Midrash and Lection in Matthew</w:t>
      </w:r>
      <w:r w:rsidRPr="007D4C6B">
        <w:t>. London: SPCK, 1974.</w:t>
      </w:r>
    </w:p>
    <w:p w14:paraId="77065410" w14:textId="77777777" w:rsidR="00B47A48" w:rsidRPr="007D4C6B" w:rsidRDefault="00B47A48" w:rsidP="00B47A48">
      <w:pPr>
        <w:widowControl w:val="0"/>
        <w:ind w:left="720" w:hanging="720"/>
      </w:pPr>
      <w:r w:rsidRPr="007D4C6B">
        <w:t xml:space="preserve">Goulder, M. D. </w:t>
      </w:r>
      <w:r w:rsidRPr="007D4C6B">
        <w:rPr>
          <w:i/>
        </w:rPr>
        <w:t>Type and History in Acts</w:t>
      </w:r>
      <w:r w:rsidRPr="007D4C6B">
        <w:t>. London: SPCK, 1964.</w:t>
      </w:r>
    </w:p>
    <w:p w14:paraId="48D3DB1B" w14:textId="77777777" w:rsidR="00B47A48" w:rsidRPr="007D4C6B" w:rsidRDefault="00B47A48" w:rsidP="00B47A48">
      <w:pPr>
        <w:widowControl w:val="0"/>
        <w:ind w:left="720" w:hanging="720"/>
      </w:pPr>
      <w:r w:rsidRPr="007D4C6B">
        <w:t xml:space="preserve">Grant, Frederick C. </w:t>
      </w:r>
      <w:r w:rsidRPr="007D4C6B">
        <w:rPr>
          <w:i/>
        </w:rPr>
        <w:t>An Introduction to New Testament Thought</w:t>
      </w:r>
      <w:r w:rsidRPr="007D4C6B">
        <w:t>. New York: Abingdon, 1950.</w:t>
      </w:r>
    </w:p>
    <w:p w14:paraId="028966DD" w14:textId="77777777" w:rsidR="00B47A48" w:rsidRPr="007D4C6B" w:rsidRDefault="00B47A48" w:rsidP="00B47A48">
      <w:pPr>
        <w:widowControl w:val="0"/>
        <w:ind w:left="720" w:hanging="720"/>
      </w:pPr>
      <w:r w:rsidRPr="007D4C6B">
        <w:t xml:space="preserve">Grant, Robert M. </w:t>
      </w:r>
      <w:r w:rsidRPr="007D4C6B">
        <w:rPr>
          <w:i/>
        </w:rPr>
        <w:t>A Historical Introduction to the New Testament</w:t>
      </w:r>
      <w:r w:rsidRPr="007D4C6B">
        <w:t xml:space="preserve">. New York: </w:t>
      </w:r>
      <w:r w:rsidRPr="00E95268">
        <w:rPr>
          <w:iCs/>
        </w:rPr>
        <w:t>Harper and Row</w:t>
      </w:r>
      <w:r w:rsidRPr="007D4C6B">
        <w:t>, 1963.</w:t>
      </w:r>
    </w:p>
    <w:p w14:paraId="6C3BEDC5" w14:textId="77777777" w:rsidR="00B47A48" w:rsidRPr="007D4C6B" w:rsidRDefault="00B47A48" w:rsidP="00B47A48">
      <w:pPr>
        <w:ind w:left="720" w:hanging="720"/>
        <w:contextualSpacing/>
      </w:pPr>
      <w:r w:rsidRPr="007D4C6B">
        <w:t xml:space="preserve">Gray, George Buchanan. </w:t>
      </w:r>
      <w:r w:rsidRPr="007D4C6B">
        <w:rPr>
          <w:i/>
          <w:iCs/>
        </w:rPr>
        <w:t>The Forms of Hebrew Poetry</w:t>
      </w:r>
      <w:r w:rsidRPr="007D4C6B">
        <w:t xml:space="preserve">: </w:t>
      </w:r>
      <w:r w:rsidRPr="007D4C6B">
        <w:rPr>
          <w:i/>
          <w:iCs/>
        </w:rPr>
        <w:t>Considered with Special Reference to the Criticism and Interpretation of the Old Testament</w:t>
      </w:r>
      <w:r w:rsidRPr="007D4C6B">
        <w:t>. London: Hodder and Stoughton, 1915.</w:t>
      </w:r>
    </w:p>
    <w:p w14:paraId="521D9554" w14:textId="77777777" w:rsidR="00B47A48" w:rsidRPr="007D4C6B" w:rsidRDefault="00B47A48" w:rsidP="00B47A48">
      <w:pPr>
        <w:widowControl w:val="0"/>
        <w:ind w:left="720" w:hanging="720"/>
      </w:pPr>
      <w:r w:rsidRPr="007D4C6B">
        <w:t xml:space="preserve">Greenlee, J. Harold. </w:t>
      </w:r>
      <w:r w:rsidRPr="007D4C6B">
        <w:rPr>
          <w:i/>
        </w:rPr>
        <w:t>A Concise Exegetical Grammar of New Testament Greek</w:t>
      </w:r>
      <w:r w:rsidRPr="007D4C6B">
        <w:t xml:space="preserve">. </w:t>
      </w:r>
      <w:r w:rsidRPr="00DC3006">
        <w:rPr>
          <w:iCs/>
        </w:rPr>
        <w:t>Grand Rapids MI</w:t>
      </w:r>
      <w:r w:rsidRPr="007D4C6B">
        <w:t>: Eerdmans, 1953, rev. ed. 1958</w:t>
      </w:r>
      <w:r w:rsidRPr="007D4C6B">
        <w:rPr>
          <w:vertAlign w:val="superscript"/>
        </w:rPr>
        <w:t>1</w:t>
      </w:r>
      <w:r w:rsidRPr="007D4C6B">
        <w:t>, 1963</w:t>
      </w:r>
      <w:r w:rsidRPr="007D4C6B">
        <w:rPr>
          <w:vertAlign w:val="superscript"/>
        </w:rPr>
        <w:t>3</w:t>
      </w:r>
      <w:r w:rsidRPr="007D4C6B">
        <w:t>, 1979</w:t>
      </w:r>
      <w:r w:rsidRPr="007D4C6B">
        <w:rPr>
          <w:vertAlign w:val="superscript"/>
        </w:rPr>
        <w:t>4</w:t>
      </w:r>
      <w:r w:rsidRPr="007D4C6B">
        <w:t>.</w:t>
      </w:r>
    </w:p>
    <w:p w14:paraId="53F6A489" w14:textId="77777777" w:rsidR="00B47A48" w:rsidRPr="007D4C6B" w:rsidRDefault="00B47A48" w:rsidP="00B47A48">
      <w:pPr>
        <w:widowControl w:val="0"/>
        <w:ind w:left="720" w:hanging="720"/>
      </w:pPr>
      <w:r w:rsidRPr="007D4C6B">
        <w:t xml:space="preserve">Greenwood, David. “Rhetorical Criticism and </w:t>
      </w:r>
      <w:proofErr w:type="spellStart"/>
      <w:r w:rsidRPr="007D4C6B">
        <w:t>Formgeschichte</w:t>
      </w:r>
      <w:proofErr w:type="spellEnd"/>
      <w:r w:rsidRPr="007D4C6B">
        <w:t xml:space="preserve">: Some Methodological Considerations.” </w:t>
      </w:r>
      <w:r w:rsidRPr="007D4C6B">
        <w:rPr>
          <w:i/>
        </w:rPr>
        <w:t>JBL</w:t>
      </w:r>
      <w:r w:rsidRPr="007D4C6B">
        <w:t xml:space="preserve"> 89 (1971) 418-426.</w:t>
      </w:r>
    </w:p>
    <w:p w14:paraId="381300A0" w14:textId="77777777" w:rsidR="00B47A48" w:rsidRPr="007D4C6B" w:rsidRDefault="00B47A48" w:rsidP="00B47A48">
      <w:pPr>
        <w:widowControl w:val="0"/>
        <w:ind w:left="720" w:hanging="720"/>
      </w:pPr>
      <w:r w:rsidRPr="007D4C6B">
        <w:t xml:space="preserve">Guelich, Robert A. </w:t>
      </w:r>
      <w:r w:rsidRPr="007D4C6B">
        <w:rPr>
          <w:i/>
        </w:rPr>
        <w:t>The Sermon on the Mount</w:t>
      </w:r>
      <w:r w:rsidRPr="007D4C6B">
        <w:t xml:space="preserve">: </w:t>
      </w:r>
      <w:r w:rsidRPr="007D4C6B">
        <w:rPr>
          <w:i/>
        </w:rPr>
        <w:t>A Foundation for Understanding</w:t>
      </w:r>
      <w:r w:rsidRPr="007D4C6B">
        <w:t>. Waco, TX: Word Books, 1982.</w:t>
      </w:r>
    </w:p>
    <w:p w14:paraId="4C0BC055" w14:textId="21687251" w:rsidR="00B47A48" w:rsidRPr="007D4C6B" w:rsidRDefault="00B47A48" w:rsidP="00B47A48">
      <w:pPr>
        <w:widowControl w:val="0"/>
        <w:ind w:left="720" w:hanging="720"/>
      </w:pPr>
      <w:r w:rsidRPr="007D4C6B">
        <w:t xml:space="preserve">Guignebert, Charles. </w:t>
      </w:r>
      <w:r w:rsidRPr="007D4C6B">
        <w:rPr>
          <w:i/>
        </w:rPr>
        <w:t>Jesus</w:t>
      </w:r>
      <w:r w:rsidRPr="007D4C6B">
        <w:t xml:space="preserve">. Trans. </w:t>
      </w:r>
      <w:r w:rsidR="00457786" w:rsidRPr="00457786">
        <w:rPr>
          <w:iCs/>
        </w:rPr>
        <w:t>S.H.</w:t>
      </w:r>
      <w:r w:rsidRPr="007D4C6B">
        <w:t xml:space="preserve"> Hooke. New York: Alfred A. Knopf, 1935</w:t>
      </w:r>
      <w:r w:rsidR="007B5BB5">
        <w:t>.</w:t>
      </w:r>
      <w:r w:rsidR="007B5BB5" w:rsidRPr="007D4C6B">
        <w:t xml:space="preserve"> Rpt. </w:t>
      </w:r>
      <w:r w:rsidRPr="007D4C6B">
        <w:t xml:space="preserve">ed., New York: University Books, 1956. </w:t>
      </w:r>
      <w:r w:rsidR="00457786">
        <w:t>(</w:t>
      </w:r>
      <w:r w:rsidRPr="007D4C6B">
        <w:rPr>
          <w:i/>
        </w:rPr>
        <w:t>Jésus</w:t>
      </w:r>
      <w:r w:rsidR="00457786">
        <w:t>.</w:t>
      </w:r>
      <w:r w:rsidRPr="007D4C6B">
        <w:t xml:space="preserve"> </w:t>
      </w:r>
      <w:proofErr w:type="spellStart"/>
      <w:r w:rsidRPr="007D4C6B">
        <w:t>Évolution</w:t>
      </w:r>
      <w:proofErr w:type="spellEnd"/>
      <w:r w:rsidRPr="007D4C6B">
        <w:t xml:space="preserve"> de </w:t>
      </w:r>
      <w:proofErr w:type="spellStart"/>
      <w:r w:rsidRPr="007D4C6B">
        <w:t>l’Humanité</w:t>
      </w:r>
      <w:proofErr w:type="spellEnd"/>
      <w:r w:rsidRPr="007D4C6B">
        <w:t xml:space="preserve"> series 4</w:t>
      </w:r>
      <w:r w:rsidR="00457786">
        <w:t>.</w:t>
      </w:r>
      <w:r w:rsidRPr="007D4C6B">
        <w:t xml:space="preserve"> Henri Berr, 1933.</w:t>
      </w:r>
      <w:r w:rsidR="00457786">
        <w:t>)</w:t>
      </w:r>
    </w:p>
    <w:p w14:paraId="79DE5E48" w14:textId="77777777" w:rsidR="00B47A48" w:rsidRPr="007D4C6B" w:rsidRDefault="00B47A48" w:rsidP="00B47A48">
      <w:pPr>
        <w:widowControl w:val="0"/>
        <w:ind w:left="720" w:hanging="720"/>
      </w:pPr>
      <w:r w:rsidRPr="007D4C6B">
        <w:t xml:space="preserve">Gundry, Robert H. </w:t>
      </w:r>
      <w:r w:rsidRPr="007D4C6B">
        <w:rPr>
          <w:i/>
        </w:rPr>
        <w:t>Matthew</w:t>
      </w:r>
      <w:r w:rsidRPr="007D4C6B">
        <w:t xml:space="preserve">: </w:t>
      </w:r>
      <w:r w:rsidRPr="007D4C6B">
        <w:rPr>
          <w:i/>
        </w:rPr>
        <w:t>A Commentary on His Literary and Theological Art</w:t>
      </w:r>
      <w:r w:rsidRPr="007D4C6B">
        <w:t xml:space="preserve">. </w:t>
      </w:r>
      <w:r w:rsidRPr="00DC3006">
        <w:rPr>
          <w:iCs/>
        </w:rPr>
        <w:t>Grand Rapids MI</w:t>
      </w:r>
      <w:r w:rsidRPr="007D4C6B">
        <w:t>: Eerdmans, 1982.</w:t>
      </w:r>
    </w:p>
    <w:p w14:paraId="62D3F574" w14:textId="6442FC5F" w:rsidR="00B47A48" w:rsidRPr="007D4C6B" w:rsidRDefault="00B47A48" w:rsidP="00B47A48">
      <w:pPr>
        <w:widowControl w:val="0"/>
        <w:ind w:left="720" w:hanging="720"/>
      </w:pPr>
      <w:proofErr w:type="spellStart"/>
      <w:r w:rsidRPr="007D4C6B">
        <w:t>Güttgemanns</w:t>
      </w:r>
      <w:proofErr w:type="spellEnd"/>
      <w:r w:rsidRPr="007D4C6B">
        <w:t xml:space="preserve">, Erhardt. </w:t>
      </w:r>
      <w:r w:rsidRPr="007D4C6B">
        <w:rPr>
          <w:i/>
        </w:rPr>
        <w:t>Candid Questions Concerning Gospel Form Criticism</w:t>
      </w:r>
      <w:r w:rsidRPr="007D4C6B">
        <w:t xml:space="preserve">: </w:t>
      </w:r>
      <w:r w:rsidRPr="007D4C6B">
        <w:rPr>
          <w:i/>
        </w:rPr>
        <w:t>A Methodological Sketch of the Fundamental Problematics of Form and Redaction Criticism</w:t>
      </w:r>
      <w:r w:rsidRPr="007D4C6B">
        <w:t xml:space="preserve">. Trans. William G. Doty. PTMS 26. Pittsburgh: Pickwick, 1979. </w:t>
      </w:r>
      <w:r w:rsidR="00457786">
        <w:t>(</w:t>
      </w:r>
      <w:proofErr w:type="spellStart"/>
      <w:r w:rsidRPr="007D4C6B">
        <w:rPr>
          <w:i/>
        </w:rPr>
        <w:t>Offene</w:t>
      </w:r>
      <w:proofErr w:type="spellEnd"/>
      <w:r w:rsidRPr="007D4C6B">
        <w:rPr>
          <w:i/>
        </w:rPr>
        <w:t xml:space="preserve"> </w:t>
      </w:r>
      <w:proofErr w:type="spellStart"/>
      <w:r w:rsidRPr="007D4C6B">
        <w:rPr>
          <w:i/>
        </w:rPr>
        <w:t>Fragen</w:t>
      </w:r>
      <w:proofErr w:type="spellEnd"/>
      <w:r w:rsidRPr="007D4C6B">
        <w:rPr>
          <w:i/>
        </w:rPr>
        <w:t xml:space="preserve"> </w:t>
      </w:r>
      <w:proofErr w:type="spellStart"/>
      <w:r w:rsidRPr="007D4C6B">
        <w:rPr>
          <w:i/>
        </w:rPr>
        <w:t>zur</w:t>
      </w:r>
      <w:proofErr w:type="spellEnd"/>
      <w:r w:rsidRPr="007D4C6B">
        <w:rPr>
          <w:i/>
        </w:rPr>
        <w:t xml:space="preserve"> </w:t>
      </w:r>
      <w:proofErr w:type="spellStart"/>
      <w:r w:rsidRPr="007D4C6B">
        <w:rPr>
          <w:i/>
        </w:rPr>
        <w:t>Formgeschichte</w:t>
      </w:r>
      <w:proofErr w:type="spellEnd"/>
      <w:r w:rsidRPr="007D4C6B">
        <w:rPr>
          <w:i/>
        </w:rPr>
        <w:t xml:space="preserve"> des </w:t>
      </w:r>
      <w:proofErr w:type="spellStart"/>
      <w:r w:rsidRPr="007D4C6B">
        <w:rPr>
          <w:i/>
        </w:rPr>
        <w:t>Evangeliums</w:t>
      </w:r>
      <w:proofErr w:type="spellEnd"/>
      <w:r w:rsidRPr="007D4C6B">
        <w:t xml:space="preserve">: </w:t>
      </w:r>
      <w:r w:rsidRPr="007D4C6B">
        <w:rPr>
          <w:i/>
        </w:rPr>
        <w:t xml:space="preserve">Eine </w:t>
      </w:r>
      <w:proofErr w:type="spellStart"/>
      <w:r w:rsidRPr="007D4C6B">
        <w:rPr>
          <w:i/>
        </w:rPr>
        <w:t>methodologische</w:t>
      </w:r>
      <w:proofErr w:type="spellEnd"/>
      <w:r w:rsidRPr="007D4C6B">
        <w:rPr>
          <w:i/>
        </w:rPr>
        <w:t xml:space="preserve"> </w:t>
      </w:r>
      <w:proofErr w:type="spellStart"/>
      <w:r w:rsidRPr="007D4C6B">
        <w:rPr>
          <w:i/>
        </w:rPr>
        <w:t>Skizze</w:t>
      </w:r>
      <w:proofErr w:type="spellEnd"/>
      <w:r w:rsidRPr="007D4C6B">
        <w:rPr>
          <w:i/>
        </w:rPr>
        <w:t xml:space="preserve"> der </w:t>
      </w:r>
      <w:proofErr w:type="spellStart"/>
      <w:r w:rsidRPr="007D4C6B">
        <w:rPr>
          <w:i/>
        </w:rPr>
        <w:t>Grundlagenproblematik</w:t>
      </w:r>
      <w:proofErr w:type="spellEnd"/>
      <w:r w:rsidRPr="007D4C6B">
        <w:rPr>
          <w:i/>
        </w:rPr>
        <w:t xml:space="preserve"> der Form- und </w:t>
      </w:r>
      <w:proofErr w:type="spellStart"/>
      <w:r w:rsidRPr="007D4C6B">
        <w:rPr>
          <w:i/>
        </w:rPr>
        <w:t>Redaktionsgeschichte</w:t>
      </w:r>
      <w:proofErr w:type="spellEnd"/>
      <w:r w:rsidR="00457786">
        <w:t>.</w:t>
      </w:r>
      <w:r w:rsidRPr="007D4C6B">
        <w:t xml:space="preserve"> </w:t>
      </w:r>
      <w:r w:rsidRPr="0029762C">
        <w:rPr>
          <w:iCs/>
        </w:rPr>
        <w:t>2nd ed.</w:t>
      </w:r>
      <w:r w:rsidRPr="007D4C6B">
        <w:t xml:space="preserve"> </w:t>
      </w:r>
      <w:proofErr w:type="spellStart"/>
      <w:r w:rsidRPr="007D4C6B">
        <w:t>BEvT</w:t>
      </w:r>
      <w:proofErr w:type="spellEnd"/>
      <w:r w:rsidR="00457786">
        <w:t>.</w:t>
      </w:r>
      <w:r w:rsidRPr="007D4C6B">
        <w:t xml:space="preserve"> </w:t>
      </w:r>
      <w:proofErr w:type="spellStart"/>
      <w:r w:rsidRPr="007D4C6B">
        <w:t>Theologische</w:t>
      </w:r>
      <w:proofErr w:type="spellEnd"/>
      <w:r w:rsidRPr="007D4C6B">
        <w:t xml:space="preserve"> </w:t>
      </w:r>
      <w:proofErr w:type="spellStart"/>
      <w:r w:rsidRPr="007D4C6B">
        <w:t>Abhandlungen</w:t>
      </w:r>
      <w:proofErr w:type="spellEnd"/>
      <w:r w:rsidRPr="007D4C6B">
        <w:t xml:space="preserve"> 54</w:t>
      </w:r>
      <w:r w:rsidR="00457786">
        <w:t>.</w:t>
      </w:r>
      <w:r w:rsidRPr="007D4C6B">
        <w:t xml:space="preserve"> München: Christian Kaiser, 1971, 1978</w:t>
      </w:r>
      <w:r w:rsidRPr="007D4C6B">
        <w:rPr>
          <w:vertAlign w:val="superscript"/>
        </w:rPr>
        <w:t>2</w:t>
      </w:r>
      <w:r w:rsidRPr="007D4C6B">
        <w:t>.</w:t>
      </w:r>
      <w:r w:rsidR="00457786">
        <w:t>)</w:t>
      </w:r>
    </w:p>
    <w:p w14:paraId="787C425F" w14:textId="78D8A56B" w:rsidR="00B47A48" w:rsidRPr="007D4C6B" w:rsidRDefault="00B47A48" w:rsidP="00B47A48">
      <w:pPr>
        <w:widowControl w:val="0"/>
        <w:ind w:left="720" w:hanging="720"/>
      </w:pPr>
      <w:r w:rsidRPr="007D4C6B">
        <w:t xml:space="preserve">Hahn, Paul. </w:t>
      </w:r>
      <w:r w:rsidRPr="007D4C6B">
        <w:rPr>
          <w:i/>
        </w:rPr>
        <w:t>A Reformation of New Criticism</w:t>
      </w:r>
      <w:r w:rsidRPr="007D4C6B">
        <w:t>: “</w:t>
      </w:r>
      <w:r w:rsidRPr="007D4C6B">
        <w:rPr>
          <w:i/>
        </w:rPr>
        <w:t>Burnt Norton</w:t>
      </w:r>
      <w:r w:rsidRPr="007D4C6B">
        <w:t xml:space="preserve">” </w:t>
      </w:r>
      <w:r w:rsidRPr="007D4C6B">
        <w:rPr>
          <w:i/>
        </w:rPr>
        <w:t>Revisited</w:t>
      </w:r>
      <w:r w:rsidRPr="007D4C6B">
        <w:t>. Emporia State Research Studies. Emporia KS: Kansas State Teachers College, 1972.</w:t>
      </w:r>
    </w:p>
    <w:p w14:paraId="520B318B" w14:textId="2083652A" w:rsidR="00B47A48" w:rsidRPr="007D4C6B" w:rsidRDefault="00B47A48" w:rsidP="00B47A48">
      <w:pPr>
        <w:widowControl w:val="0"/>
        <w:ind w:left="720" w:hanging="720"/>
      </w:pPr>
      <w:r w:rsidRPr="007D4C6B">
        <w:t xml:space="preserve">Harnack, Adolf von. </w:t>
      </w:r>
      <w:r w:rsidRPr="007D4C6B">
        <w:rPr>
          <w:i/>
        </w:rPr>
        <w:t>The Sayings of Jesus</w:t>
      </w:r>
      <w:r w:rsidRPr="007D4C6B">
        <w:t xml:space="preserve">: </w:t>
      </w:r>
      <w:r w:rsidRPr="007D4C6B">
        <w:rPr>
          <w:i/>
        </w:rPr>
        <w:t>The Second Source of St</w:t>
      </w:r>
      <w:r w:rsidRPr="007D4C6B">
        <w:t xml:space="preserve">. </w:t>
      </w:r>
      <w:r w:rsidRPr="007D4C6B">
        <w:rPr>
          <w:i/>
        </w:rPr>
        <w:t>Matthew and St</w:t>
      </w:r>
      <w:r w:rsidRPr="007D4C6B">
        <w:t xml:space="preserve">. </w:t>
      </w:r>
      <w:r w:rsidRPr="007D4C6B">
        <w:rPr>
          <w:i/>
        </w:rPr>
        <w:t>Luke</w:t>
      </w:r>
      <w:r w:rsidRPr="007D4C6B">
        <w:t xml:space="preserve">. Trans. </w:t>
      </w:r>
      <w:r w:rsidRPr="00D42DB3">
        <w:rPr>
          <w:iCs/>
        </w:rPr>
        <w:t>J.R.</w:t>
      </w:r>
      <w:r w:rsidRPr="007D4C6B">
        <w:t xml:space="preserve"> Wilkinson. Crown Theological Library 23: New Testament Studies 2. London: Williams </w:t>
      </w:r>
      <w:r w:rsidR="00457786">
        <w:t>and</w:t>
      </w:r>
      <w:r w:rsidRPr="007D4C6B">
        <w:t xml:space="preserve"> Norgate, 1908; New York: </w:t>
      </w:r>
      <w:r w:rsidR="00457786" w:rsidRPr="00457786">
        <w:rPr>
          <w:iCs/>
        </w:rPr>
        <w:t>G.P.</w:t>
      </w:r>
      <w:r w:rsidRPr="007D4C6B">
        <w:t xml:space="preserve"> Putnam’s, 1908. </w:t>
      </w:r>
      <w:r w:rsidR="00457786">
        <w:t>(</w:t>
      </w:r>
      <w:proofErr w:type="spellStart"/>
      <w:r w:rsidRPr="007D4C6B">
        <w:rPr>
          <w:i/>
        </w:rPr>
        <w:t>Sprüche</w:t>
      </w:r>
      <w:proofErr w:type="spellEnd"/>
      <w:r w:rsidRPr="007D4C6B">
        <w:rPr>
          <w:i/>
        </w:rPr>
        <w:t xml:space="preserve"> und Reden Jesu</w:t>
      </w:r>
      <w:r w:rsidRPr="007D4C6B">
        <w:t xml:space="preserve">: </w:t>
      </w:r>
      <w:r w:rsidRPr="007D4C6B">
        <w:rPr>
          <w:i/>
        </w:rPr>
        <w:t xml:space="preserve">Die </w:t>
      </w:r>
      <w:proofErr w:type="spellStart"/>
      <w:r w:rsidRPr="007D4C6B">
        <w:rPr>
          <w:i/>
        </w:rPr>
        <w:t>zweite</w:t>
      </w:r>
      <w:proofErr w:type="spellEnd"/>
      <w:r w:rsidRPr="007D4C6B">
        <w:rPr>
          <w:i/>
        </w:rPr>
        <w:t xml:space="preserve"> Quelle des Matthäus und Lukas</w:t>
      </w:r>
      <w:r w:rsidR="00457786">
        <w:t>.</w:t>
      </w:r>
      <w:r w:rsidRPr="007D4C6B">
        <w:t xml:space="preserve"> </w:t>
      </w:r>
      <w:proofErr w:type="spellStart"/>
      <w:r w:rsidRPr="007D4C6B">
        <w:t>Beiträge</w:t>
      </w:r>
      <w:proofErr w:type="spellEnd"/>
      <w:r w:rsidRPr="007D4C6B">
        <w:t xml:space="preserve"> </w:t>
      </w:r>
      <w:proofErr w:type="spellStart"/>
      <w:r w:rsidRPr="007D4C6B">
        <w:t>zur</w:t>
      </w:r>
      <w:proofErr w:type="spellEnd"/>
      <w:r w:rsidRPr="007D4C6B">
        <w:t xml:space="preserve"> </w:t>
      </w:r>
      <w:proofErr w:type="spellStart"/>
      <w:r w:rsidRPr="007D4C6B">
        <w:t>Einleitung</w:t>
      </w:r>
      <w:proofErr w:type="spellEnd"/>
      <w:r w:rsidRPr="007D4C6B">
        <w:t xml:space="preserve"> in das Neue Testament 2</w:t>
      </w:r>
      <w:r w:rsidR="00457786">
        <w:t>.</w:t>
      </w:r>
      <w:r w:rsidRPr="007D4C6B">
        <w:t xml:space="preserve"> Leipzig: </w:t>
      </w:r>
      <w:r w:rsidRPr="00E95268">
        <w:rPr>
          <w:iCs/>
        </w:rPr>
        <w:t>J.C.</w:t>
      </w:r>
      <w:r w:rsidRPr="007D4C6B">
        <w:t xml:space="preserve"> </w:t>
      </w:r>
      <w:proofErr w:type="spellStart"/>
      <w:r w:rsidRPr="007D4C6B">
        <w:t>Hinrichs’sche</w:t>
      </w:r>
      <w:proofErr w:type="spellEnd"/>
      <w:r w:rsidRPr="007D4C6B">
        <w:t xml:space="preserve"> </w:t>
      </w:r>
      <w:proofErr w:type="spellStart"/>
      <w:r w:rsidRPr="007D4C6B">
        <w:t>Buchhandlung</w:t>
      </w:r>
      <w:proofErr w:type="spellEnd"/>
      <w:r w:rsidRPr="007D4C6B">
        <w:t>, 1907.</w:t>
      </w:r>
      <w:r w:rsidR="00457786">
        <w:t>)</w:t>
      </w:r>
    </w:p>
    <w:p w14:paraId="1278853B" w14:textId="77777777" w:rsidR="00B47A48" w:rsidRPr="007D4C6B" w:rsidRDefault="00B47A48" w:rsidP="00B47A48">
      <w:pPr>
        <w:widowControl w:val="0"/>
        <w:ind w:left="720" w:hanging="720"/>
      </w:pPr>
      <w:r w:rsidRPr="007D4C6B">
        <w:t xml:space="preserve">Harrington, Daniel J. </w:t>
      </w:r>
      <w:r w:rsidRPr="007D4C6B">
        <w:rPr>
          <w:i/>
        </w:rPr>
        <w:t>Interpreting the New Testament</w:t>
      </w:r>
      <w:r w:rsidRPr="007D4C6B">
        <w:t xml:space="preserve">: </w:t>
      </w:r>
      <w:r w:rsidRPr="007D4C6B">
        <w:rPr>
          <w:i/>
        </w:rPr>
        <w:t>A Practical Guide</w:t>
      </w:r>
      <w:r w:rsidRPr="007D4C6B">
        <w:t xml:space="preserve">. New Testament Message: A Biblical-Theological Commentary 1. </w:t>
      </w:r>
      <w:r w:rsidRPr="00E366BA">
        <w:rPr>
          <w:iCs/>
        </w:rPr>
        <w:t>Wilmington DE</w:t>
      </w:r>
      <w:r w:rsidRPr="007D4C6B">
        <w:t>: Michael Glazier, 1979.</w:t>
      </w:r>
    </w:p>
    <w:p w14:paraId="349BD2D8" w14:textId="6BCCBC05" w:rsidR="00B47A48" w:rsidRPr="007D4C6B" w:rsidRDefault="00B47A48" w:rsidP="00B47A48">
      <w:pPr>
        <w:widowControl w:val="0"/>
        <w:ind w:left="720" w:hanging="720"/>
      </w:pPr>
      <w:r w:rsidRPr="007D4C6B">
        <w:t xml:space="preserve">Harrington, Wilfrid J. </w:t>
      </w:r>
      <w:r w:rsidRPr="007D4C6B">
        <w:rPr>
          <w:i/>
        </w:rPr>
        <w:t>Key to the Bible</w:t>
      </w:r>
      <w:r w:rsidRPr="007D4C6B">
        <w:t xml:space="preserve">. Vol. 3: </w:t>
      </w:r>
      <w:r w:rsidRPr="007D4C6B">
        <w:rPr>
          <w:i/>
        </w:rPr>
        <w:t>The New Testament</w:t>
      </w:r>
      <w:r w:rsidRPr="007D4C6B">
        <w:t xml:space="preserve">: </w:t>
      </w:r>
      <w:r w:rsidRPr="007D4C6B">
        <w:rPr>
          <w:i/>
        </w:rPr>
        <w:t>Record of the Fulfillment</w:t>
      </w:r>
      <w:r w:rsidRPr="007D4C6B">
        <w:t xml:space="preserve">. Staten Island NY: Alba House, 1975; </w:t>
      </w:r>
      <w:r w:rsidRPr="00DC3006">
        <w:rPr>
          <w:iCs/>
        </w:rPr>
        <w:t>Garden City NY</w:t>
      </w:r>
      <w:r w:rsidRPr="007D4C6B">
        <w:t>: Doubleday, 1976 (Image Books paperback).</w:t>
      </w:r>
    </w:p>
    <w:p w14:paraId="58F47AF7" w14:textId="0E3B377B" w:rsidR="00B47A48" w:rsidRPr="007D4C6B" w:rsidRDefault="00B47A48" w:rsidP="00B47A48">
      <w:pPr>
        <w:widowControl w:val="0"/>
        <w:ind w:left="720" w:hanging="720"/>
      </w:pPr>
      <w:r w:rsidRPr="007D4C6B">
        <w:t xml:space="preserve">Hawkins, John C. </w:t>
      </w:r>
      <w:r w:rsidRPr="007D4C6B">
        <w:rPr>
          <w:i/>
        </w:rPr>
        <w:t xml:space="preserve">Horae </w:t>
      </w:r>
      <w:proofErr w:type="spellStart"/>
      <w:r w:rsidRPr="007D4C6B">
        <w:rPr>
          <w:i/>
        </w:rPr>
        <w:t>Synopticae</w:t>
      </w:r>
      <w:proofErr w:type="spellEnd"/>
      <w:r w:rsidRPr="007D4C6B">
        <w:t xml:space="preserve">: </w:t>
      </w:r>
      <w:r w:rsidRPr="007D4C6B">
        <w:rPr>
          <w:i/>
        </w:rPr>
        <w:t>Contributions to the Study of the Synoptic Problem</w:t>
      </w:r>
      <w:r w:rsidRPr="007D4C6B">
        <w:t>. Oxford: Clarendon, 1899, 1909</w:t>
      </w:r>
      <w:r w:rsidRPr="007D4C6B">
        <w:rPr>
          <w:vertAlign w:val="superscript"/>
        </w:rPr>
        <w:t>2</w:t>
      </w:r>
      <w:r w:rsidR="00457786">
        <w:t>.</w:t>
      </w:r>
      <w:r w:rsidRPr="007D4C6B">
        <w:t xml:space="preserve"> </w:t>
      </w:r>
      <w:r w:rsidR="00457786" w:rsidRPr="007D4C6B">
        <w:t>Rpt</w:t>
      </w:r>
      <w:r w:rsidRPr="007D4C6B">
        <w:t xml:space="preserve">. of </w:t>
      </w:r>
      <w:r w:rsidRPr="0029762C">
        <w:rPr>
          <w:iCs/>
        </w:rPr>
        <w:t>2nd ed.</w:t>
      </w:r>
      <w:r w:rsidRPr="007D4C6B">
        <w:t xml:space="preserve">, </w:t>
      </w:r>
      <w:r w:rsidRPr="00DC3006">
        <w:rPr>
          <w:iCs/>
        </w:rPr>
        <w:t>Grand Rapids MI</w:t>
      </w:r>
      <w:r w:rsidRPr="007D4C6B">
        <w:t>: Baker, 1968.</w:t>
      </w:r>
    </w:p>
    <w:p w14:paraId="361E2F0C" w14:textId="77777777" w:rsidR="00B47A48" w:rsidRPr="007D4C6B" w:rsidRDefault="00B47A48" w:rsidP="00B47A48">
      <w:pPr>
        <w:widowControl w:val="0"/>
        <w:ind w:left="720" w:hanging="720"/>
      </w:pPr>
      <w:proofErr w:type="spellStart"/>
      <w:r w:rsidRPr="007D4C6B">
        <w:t>Heinrici</w:t>
      </w:r>
      <w:proofErr w:type="spellEnd"/>
      <w:r w:rsidRPr="007D4C6B">
        <w:t xml:space="preserve">, </w:t>
      </w:r>
      <w:r w:rsidRPr="00714629">
        <w:rPr>
          <w:iCs/>
        </w:rPr>
        <w:t>C.F.</w:t>
      </w:r>
      <w:r w:rsidRPr="007D4C6B">
        <w:t xml:space="preserve"> Georg. </w:t>
      </w:r>
      <w:r w:rsidRPr="007D4C6B">
        <w:rPr>
          <w:i/>
        </w:rPr>
        <w:t xml:space="preserve">Die </w:t>
      </w:r>
      <w:proofErr w:type="spellStart"/>
      <w:r w:rsidRPr="007D4C6B">
        <w:rPr>
          <w:i/>
        </w:rPr>
        <w:t>Bergpredigt</w:t>
      </w:r>
      <w:proofErr w:type="spellEnd"/>
      <w:r w:rsidRPr="007D4C6B">
        <w:t xml:space="preserve"> (</w:t>
      </w:r>
      <w:r w:rsidRPr="007D4C6B">
        <w:rPr>
          <w:i/>
        </w:rPr>
        <w:t>Matth</w:t>
      </w:r>
      <w:r w:rsidRPr="007D4C6B">
        <w:t xml:space="preserve">. </w:t>
      </w:r>
      <w:r w:rsidRPr="007D4C6B">
        <w:rPr>
          <w:i/>
        </w:rPr>
        <w:t>5-7</w:t>
      </w:r>
      <w:r w:rsidRPr="007D4C6B">
        <w:t xml:space="preserve">. </w:t>
      </w:r>
      <w:r w:rsidRPr="007D4C6B">
        <w:rPr>
          <w:i/>
        </w:rPr>
        <w:t>Luk</w:t>
      </w:r>
      <w:r w:rsidRPr="007D4C6B">
        <w:t xml:space="preserve">. </w:t>
      </w:r>
      <w:r w:rsidRPr="007D4C6B">
        <w:rPr>
          <w:i/>
        </w:rPr>
        <w:t>6</w:t>
      </w:r>
      <w:r w:rsidRPr="007D4C6B">
        <w:t xml:space="preserve">, </w:t>
      </w:r>
      <w:r w:rsidRPr="007D4C6B">
        <w:rPr>
          <w:i/>
        </w:rPr>
        <w:t>20-49</w:t>
      </w:r>
      <w:r w:rsidRPr="007D4C6B">
        <w:t xml:space="preserve">) </w:t>
      </w:r>
      <w:proofErr w:type="spellStart"/>
      <w:r w:rsidRPr="007D4C6B">
        <w:rPr>
          <w:i/>
        </w:rPr>
        <w:t>quellenkritisch</w:t>
      </w:r>
      <w:proofErr w:type="spellEnd"/>
      <w:r w:rsidRPr="007D4C6B">
        <w:rPr>
          <w:i/>
        </w:rPr>
        <w:t xml:space="preserve"> und </w:t>
      </w:r>
      <w:proofErr w:type="spellStart"/>
      <w:r w:rsidRPr="007D4C6B">
        <w:rPr>
          <w:i/>
        </w:rPr>
        <w:lastRenderedPageBreak/>
        <w:t>begriffsgeschichlich</w:t>
      </w:r>
      <w:proofErr w:type="spellEnd"/>
      <w:r w:rsidRPr="007D4C6B">
        <w:rPr>
          <w:i/>
        </w:rPr>
        <w:t xml:space="preserve"> </w:t>
      </w:r>
      <w:proofErr w:type="spellStart"/>
      <w:r w:rsidRPr="007D4C6B">
        <w:rPr>
          <w:i/>
        </w:rPr>
        <w:t>untersucht</w:t>
      </w:r>
      <w:proofErr w:type="spellEnd"/>
      <w:r w:rsidRPr="007D4C6B">
        <w:t xml:space="preserve">. Vol. 1: </w:t>
      </w:r>
      <w:r w:rsidRPr="007D4C6B">
        <w:rPr>
          <w:i/>
        </w:rPr>
        <w:t xml:space="preserve">Die </w:t>
      </w:r>
      <w:proofErr w:type="spellStart"/>
      <w:r w:rsidRPr="007D4C6B">
        <w:rPr>
          <w:i/>
        </w:rPr>
        <w:t>quellenkritische</w:t>
      </w:r>
      <w:proofErr w:type="spellEnd"/>
      <w:r w:rsidRPr="007D4C6B">
        <w:rPr>
          <w:i/>
        </w:rPr>
        <w:t xml:space="preserve"> </w:t>
      </w:r>
      <w:proofErr w:type="spellStart"/>
      <w:r w:rsidRPr="007D4C6B">
        <w:rPr>
          <w:i/>
        </w:rPr>
        <w:t>Untersuchung</w:t>
      </w:r>
      <w:proofErr w:type="spellEnd"/>
      <w:r w:rsidRPr="007D4C6B">
        <w:rPr>
          <w:i/>
        </w:rPr>
        <w:t xml:space="preserve"> der </w:t>
      </w:r>
      <w:proofErr w:type="spellStart"/>
      <w:r w:rsidRPr="007D4C6B">
        <w:rPr>
          <w:i/>
        </w:rPr>
        <w:t>Bergpredigt</w:t>
      </w:r>
      <w:proofErr w:type="spellEnd"/>
      <w:r w:rsidRPr="007D4C6B">
        <w:t xml:space="preserve">. Vol. 2: </w:t>
      </w:r>
      <w:r w:rsidRPr="007D4C6B">
        <w:rPr>
          <w:i/>
        </w:rPr>
        <w:t xml:space="preserve">Die </w:t>
      </w:r>
      <w:proofErr w:type="spellStart"/>
      <w:r w:rsidRPr="007D4C6B">
        <w:rPr>
          <w:i/>
        </w:rPr>
        <w:t>Bergpredigt</w:t>
      </w:r>
      <w:proofErr w:type="spellEnd"/>
      <w:r w:rsidRPr="007D4C6B">
        <w:t xml:space="preserve"> (</w:t>
      </w:r>
      <w:r w:rsidRPr="007D4C6B">
        <w:rPr>
          <w:i/>
        </w:rPr>
        <w:t>Matth</w:t>
      </w:r>
      <w:r w:rsidRPr="007D4C6B">
        <w:t xml:space="preserve">. </w:t>
      </w:r>
      <w:r w:rsidRPr="007D4C6B">
        <w:rPr>
          <w:i/>
        </w:rPr>
        <w:t>5-7</w:t>
      </w:r>
      <w:r w:rsidRPr="007D4C6B">
        <w:t xml:space="preserve">. </w:t>
      </w:r>
      <w:r w:rsidRPr="007D4C6B">
        <w:rPr>
          <w:i/>
        </w:rPr>
        <w:t>Luk</w:t>
      </w:r>
      <w:r w:rsidRPr="007D4C6B">
        <w:t xml:space="preserve">. </w:t>
      </w:r>
      <w:r w:rsidRPr="007D4C6B">
        <w:rPr>
          <w:i/>
        </w:rPr>
        <w:t>6</w:t>
      </w:r>
      <w:r w:rsidRPr="007D4C6B">
        <w:t xml:space="preserve">, </w:t>
      </w:r>
      <w:r w:rsidRPr="007D4C6B">
        <w:rPr>
          <w:i/>
        </w:rPr>
        <w:t>20-49</w:t>
      </w:r>
      <w:r w:rsidRPr="007D4C6B">
        <w:t xml:space="preserve">) </w:t>
      </w:r>
      <w:proofErr w:type="spellStart"/>
      <w:r w:rsidRPr="007D4C6B">
        <w:rPr>
          <w:i/>
        </w:rPr>
        <w:t>begriffsgeschichtlich</w:t>
      </w:r>
      <w:proofErr w:type="spellEnd"/>
      <w:r w:rsidRPr="007D4C6B">
        <w:rPr>
          <w:i/>
        </w:rPr>
        <w:t xml:space="preserve"> </w:t>
      </w:r>
      <w:proofErr w:type="spellStart"/>
      <w:r w:rsidRPr="007D4C6B">
        <w:rPr>
          <w:i/>
        </w:rPr>
        <w:t>untersucht</w:t>
      </w:r>
      <w:proofErr w:type="spellEnd"/>
      <w:r w:rsidRPr="007D4C6B">
        <w:t xml:space="preserve">. </w:t>
      </w:r>
      <w:proofErr w:type="spellStart"/>
      <w:r w:rsidRPr="007D4C6B">
        <w:t>Beiträge</w:t>
      </w:r>
      <w:proofErr w:type="spellEnd"/>
      <w:r w:rsidRPr="007D4C6B">
        <w:t xml:space="preserve"> </w:t>
      </w:r>
      <w:proofErr w:type="spellStart"/>
      <w:r w:rsidRPr="007D4C6B">
        <w:t>zur</w:t>
      </w:r>
      <w:proofErr w:type="spellEnd"/>
      <w:r w:rsidRPr="007D4C6B">
        <w:t xml:space="preserve"> </w:t>
      </w:r>
      <w:proofErr w:type="spellStart"/>
      <w:r w:rsidRPr="007D4C6B">
        <w:t>Geschichte</w:t>
      </w:r>
      <w:proofErr w:type="spellEnd"/>
      <w:r w:rsidRPr="007D4C6B">
        <w:t xml:space="preserve"> und </w:t>
      </w:r>
      <w:proofErr w:type="spellStart"/>
      <w:r w:rsidRPr="007D4C6B">
        <w:t>Erklärung</w:t>
      </w:r>
      <w:proofErr w:type="spellEnd"/>
      <w:r w:rsidRPr="007D4C6B">
        <w:t xml:space="preserve"> des Neuen Testament 2-3. Leipzig: Alexander Edelmann, 1899 (vol. 1), 1905 (vol. 2).</w:t>
      </w:r>
    </w:p>
    <w:p w14:paraId="3EFFA69E" w14:textId="1E6A1B5D" w:rsidR="00B47A48" w:rsidRPr="007D4C6B" w:rsidRDefault="00B47A48" w:rsidP="00B47A48">
      <w:pPr>
        <w:widowControl w:val="0"/>
        <w:ind w:left="720" w:hanging="720"/>
      </w:pPr>
      <w:r w:rsidRPr="007D4C6B">
        <w:t xml:space="preserve">Hengel, Martin. </w:t>
      </w:r>
      <w:r w:rsidRPr="007D4C6B">
        <w:rPr>
          <w:i/>
        </w:rPr>
        <w:t>Judaism and Hellenism</w:t>
      </w:r>
      <w:r w:rsidRPr="007D4C6B">
        <w:t xml:space="preserve">: </w:t>
      </w:r>
      <w:r w:rsidRPr="007D4C6B">
        <w:rPr>
          <w:i/>
        </w:rPr>
        <w:t>Studies in Their Encounter in Palestine during the Early Hellenistic Period</w:t>
      </w:r>
      <w:r w:rsidRPr="007D4C6B">
        <w:t xml:space="preserve">. Trans. John Bowden. 2 vols. Philadelphia: Fortress, 1974. </w:t>
      </w:r>
      <w:r w:rsidR="00457786">
        <w:t>(</w:t>
      </w:r>
      <w:proofErr w:type="spellStart"/>
      <w:r w:rsidRPr="007D4C6B">
        <w:rPr>
          <w:i/>
        </w:rPr>
        <w:t>Judentum</w:t>
      </w:r>
      <w:proofErr w:type="spellEnd"/>
      <w:r w:rsidRPr="007D4C6B">
        <w:rPr>
          <w:i/>
        </w:rPr>
        <w:t xml:space="preserve"> und </w:t>
      </w:r>
      <w:proofErr w:type="spellStart"/>
      <w:r w:rsidRPr="007D4C6B">
        <w:rPr>
          <w:i/>
        </w:rPr>
        <w:t>Hellenismus</w:t>
      </w:r>
      <w:proofErr w:type="spellEnd"/>
      <w:r w:rsidRPr="007D4C6B">
        <w:t xml:space="preserve">: </w:t>
      </w:r>
      <w:proofErr w:type="spellStart"/>
      <w:r w:rsidRPr="007D4C6B">
        <w:rPr>
          <w:i/>
        </w:rPr>
        <w:t>Studien</w:t>
      </w:r>
      <w:proofErr w:type="spellEnd"/>
      <w:r w:rsidRPr="007D4C6B">
        <w:rPr>
          <w:i/>
        </w:rPr>
        <w:t xml:space="preserve"> </w:t>
      </w:r>
      <w:proofErr w:type="spellStart"/>
      <w:r w:rsidRPr="007D4C6B">
        <w:rPr>
          <w:i/>
        </w:rPr>
        <w:t>zu</w:t>
      </w:r>
      <w:proofErr w:type="spellEnd"/>
      <w:r w:rsidRPr="007D4C6B">
        <w:rPr>
          <w:i/>
        </w:rPr>
        <w:t xml:space="preserve"> </w:t>
      </w:r>
      <w:proofErr w:type="spellStart"/>
      <w:r w:rsidRPr="007D4C6B">
        <w:rPr>
          <w:i/>
        </w:rPr>
        <w:t>ihrer</w:t>
      </w:r>
      <w:proofErr w:type="spellEnd"/>
      <w:r w:rsidRPr="007D4C6B">
        <w:rPr>
          <w:i/>
        </w:rPr>
        <w:t xml:space="preserve"> </w:t>
      </w:r>
      <w:proofErr w:type="spellStart"/>
      <w:r w:rsidRPr="007D4C6B">
        <w:rPr>
          <w:i/>
        </w:rPr>
        <w:t>Begegnung</w:t>
      </w:r>
      <w:proofErr w:type="spellEnd"/>
      <w:r w:rsidRPr="007D4C6B">
        <w:rPr>
          <w:i/>
        </w:rPr>
        <w:t xml:space="preserve"> </w:t>
      </w:r>
      <w:proofErr w:type="spellStart"/>
      <w:r w:rsidRPr="007D4C6B">
        <w:rPr>
          <w:i/>
        </w:rPr>
        <w:t>unter</w:t>
      </w:r>
      <w:proofErr w:type="spellEnd"/>
      <w:r w:rsidRPr="007D4C6B">
        <w:rPr>
          <w:i/>
        </w:rPr>
        <w:t xml:space="preserve"> </w:t>
      </w:r>
      <w:proofErr w:type="spellStart"/>
      <w:r w:rsidRPr="007D4C6B">
        <w:rPr>
          <w:i/>
        </w:rPr>
        <w:t>besonderer</w:t>
      </w:r>
      <w:proofErr w:type="spellEnd"/>
      <w:r w:rsidRPr="007D4C6B">
        <w:rPr>
          <w:i/>
        </w:rPr>
        <w:t xml:space="preserve"> </w:t>
      </w:r>
      <w:proofErr w:type="spellStart"/>
      <w:r w:rsidRPr="007D4C6B">
        <w:rPr>
          <w:i/>
        </w:rPr>
        <w:t>Berücksichtigung</w:t>
      </w:r>
      <w:proofErr w:type="spellEnd"/>
      <w:r w:rsidRPr="007D4C6B">
        <w:rPr>
          <w:i/>
        </w:rPr>
        <w:t xml:space="preserve"> </w:t>
      </w:r>
      <w:proofErr w:type="spellStart"/>
      <w:r w:rsidRPr="007D4C6B">
        <w:rPr>
          <w:i/>
        </w:rPr>
        <w:t>Palästinas</w:t>
      </w:r>
      <w:proofErr w:type="spellEnd"/>
      <w:r w:rsidRPr="007D4C6B">
        <w:rPr>
          <w:i/>
        </w:rPr>
        <w:t xml:space="preserve"> bis </w:t>
      </w:r>
      <w:proofErr w:type="spellStart"/>
      <w:r w:rsidRPr="007D4C6B">
        <w:rPr>
          <w:i/>
        </w:rPr>
        <w:t>zur</w:t>
      </w:r>
      <w:proofErr w:type="spellEnd"/>
      <w:r w:rsidRPr="007D4C6B">
        <w:rPr>
          <w:i/>
        </w:rPr>
        <w:t xml:space="preserve"> Mitte des 2 </w:t>
      </w:r>
      <w:proofErr w:type="spellStart"/>
      <w:r w:rsidRPr="007D4C6B">
        <w:rPr>
          <w:i/>
        </w:rPr>
        <w:t>Hh</w:t>
      </w:r>
      <w:r w:rsidRPr="007D4C6B">
        <w:t>.</w:t>
      </w:r>
      <w:r w:rsidRPr="007D4C6B">
        <w:rPr>
          <w:i/>
        </w:rPr>
        <w:t>s</w:t>
      </w:r>
      <w:proofErr w:type="spellEnd"/>
      <w:r w:rsidRPr="007D4C6B">
        <w:rPr>
          <w:i/>
        </w:rPr>
        <w:t xml:space="preserve"> v</w:t>
      </w:r>
      <w:r w:rsidRPr="007D4C6B">
        <w:t xml:space="preserve">. </w:t>
      </w:r>
      <w:r w:rsidRPr="007D4C6B">
        <w:rPr>
          <w:i/>
        </w:rPr>
        <w:t>Chr</w:t>
      </w:r>
      <w:r w:rsidRPr="007D4C6B">
        <w:t>. WUNT 10. Tübingen: Mohr, 1968, 1973</w:t>
      </w:r>
      <w:r w:rsidRPr="007D4C6B">
        <w:rPr>
          <w:vertAlign w:val="superscript"/>
        </w:rPr>
        <w:t>2</w:t>
      </w:r>
      <w:r w:rsidRPr="007D4C6B">
        <w:t>. The English became two volumes in one in 1981.</w:t>
      </w:r>
      <w:r w:rsidR="00457786">
        <w:t>)</w:t>
      </w:r>
    </w:p>
    <w:p w14:paraId="70A7CB45" w14:textId="3A388D58" w:rsidR="00B47A48" w:rsidRPr="007D4C6B" w:rsidRDefault="00B47A48" w:rsidP="00B47A48">
      <w:pPr>
        <w:widowControl w:val="0"/>
        <w:ind w:left="720" w:hanging="720"/>
      </w:pPr>
      <w:r w:rsidRPr="007D4C6B">
        <w:t xml:space="preserve">Higgins, </w:t>
      </w:r>
      <w:r w:rsidRPr="00B40CBB">
        <w:rPr>
          <w:iCs/>
        </w:rPr>
        <w:t>A.</w:t>
      </w:r>
      <w:r w:rsidR="00457786" w:rsidRPr="00457786">
        <w:rPr>
          <w:iCs/>
        </w:rPr>
        <w:t>J.B.</w:t>
      </w:r>
      <w:r w:rsidRPr="007D4C6B">
        <w:t xml:space="preserve"> </w:t>
      </w:r>
      <w:r w:rsidRPr="007D4C6B">
        <w:rPr>
          <w:i/>
        </w:rPr>
        <w:t>Jesus and the Son of Man</w:t>
      </w:r>
      <w:r w:rsidRPr="007D4C6B">
        <w:t>. Philadelphia: Fortress, 1964.</w:t>
      </w:r>
    </w:p>
    <w:p w14:paraId="702E0808" w14:textId="511782E7" w:rsidR="00B47A48" w:rsidRPr="007D4C6B" w:rsidRDefault="00B47A48" w:rsidP="00B47A48">
      <w:pPr>
        <w:widowControl w:val="0"/>
      </w:pPr>
      <w:r w:rsidRPr="007D4C6B">
        <w:t xml:space="preserve">Hirsch, </w:t>
      </w:r>
      <w:r w:rsidR="00457786" w:rsidRPr="00457786">
        <w:rPr>
          <w:iCs/>
        </w:rPr>
        <w:t>E.D.</w:t>
      </w:r>
      <w:r w:rsidR="00457786">
        <w:rPr>
          <w:iCs/>
        </w:rPr>
        <w:t>,</w:t>
      </w:r>
      <w:r w:rsidRPr="007D4C6B">
        <w:t xml:space="preserve"> Jr. </w:t>
      </w:r>
      <w:r w:rsidRPr="007D4C6B">
        <w:rPr>
          <w:i/>
        </w:rPr>
        <w:t>The Philosophy of Composition</w:t>
      </w:r>
      <w:r w:rsidRPr="007D4C6B">
        <w:t xml:space="preserve">. </w:t>
      </w:r>
      <w:r w:rsidRPr="000644ED">
        <w:rPr>
          <w:iCs/>
        </w:rPr>
        <w:t>Chicago: U of Chicago P</w:t>
      </w:r>
      <w:r w:rsidRPr="007D4C6B">
        <w:t>, 1977.</w:t>
      </w:r>
    </w:p>
    <w:p w14:paraId="30F6FF63" w14:textId="77777777" w:rsidR="00B47A48" w:rsidRPr="007D4C6B" w:rsidRDefault="00B47A48" w:rsidP="00B47A48">
      <w:pPr>
        <w:widowControl w:val="0"/>
        <w:ind w:left="720" w:hanging="720"/>
      </w:pPr>
      <w:r w:rsidRPr="007D4C6B">
        <w:t xml:space="preserve">Holtzmann, Heinrich Julius. </w:t>
      </w:r>
      <w:r w:rsidRPr="007D4C6B">
        <w:rPr>
          <w:i/>
        </w:rPr>
        <w:t xml:space="preserve">Die </w:t>
      </w:r>
      <w:proofErr w:type="spellStart"/>
      <w:r w:rsidRPr="007D4C6B">
        <w:rPr>
          <w:i/>
        </w:rPr>
        <w:t>synoptischen</w:t>
      </w:r>
      <w:proofErr w:type="spellEnd"/>
      <w:r w:rsidRPr="007D4C6B">
        <w:rPr>
          <w:i/>
        </w:rPr>
        <w:t xml:space="preserve"> </w:t>
      </w:r>
      <w:proofErr w:type="spellStart"/>
      <w:r w:rsidRPr="007D4C6B">
        <w:rPr>
          <w:i/>
        </w:rPr>
        <w:t>Evangelien</w:t>
      </w:r>
      <w:proofErr w:type="spellEnd"/>
      <w:r w:rsidRPr="007D4C6B">
        <w:t xml:space="preserve">: </w:t>
      </w:r>
      <w:proofErr w:type="spellStart"/>
      <w:r w:rsidRPr="007D4C6B">
        <w:rPr>
          <w:i/>
        </w:rPr>
        <w:t>Ihr</w:t>
      </w:r>
      <w:proofErr w:type="spellEnd"/>
      <w:r w:rsidRPr="007D4C6B">
        <w:rPr>
          <w:i/>
        </w:rPr>
        <w:t xml:space="preserve"> Ursprung und </w:t>
      </w:r>
      <w:proofErr w:type="spellStart"/>
      <w:r w:rsidRPr="007D4C6B">
        <w:rPr>
          <w:i/>
        </w:rPr>
        <w:t>ihr</w:t>
      </w:r>
      <w:proofErr w:type="spellEnd"/>
      <w:r w:rsidRPr="007D4C6B">
        <w:rPr>
          <w:i/>
        </w:rPr>
        <w:t xml:space="preserve"> </w:t>
      </w:r>
      <w:proofErr w:type="spellStart"/>
      <w:r w:rsidRPr="007D4C6B">
        <w:rPr>
          <w:i/>
        </w:rPr>
        <w:t>geschichtlicher</w:t>
      </w:r>
      <w:proofErr w:type="spellEnd"/>
      <w:r w:rsidRPr="007D4C6B">
        <w:rPr>
          <w:i/>
        </w:rPr>
        <w:t xml:space="preserve"> </w:t>
      </w:r>
      <w:proofErr w:type="spellStart"/>
      <w:r w:rsidRPr="007D4C6B">
        <w:rPr>
          <w:i/>
        </w:rPr>
        <w:t>Charakter</w:t>
      </w:r>
      <w:proofErr w:type="spellEnd"/>
      <w:r w:rsidRPr="007D4C6B">
        <w:t xml:space="preserve">. Leipzig: 1863; reissued as </w:t>
      </w:r>
      <w:r w:rsidRPr="007D4C6B">
        <w:rPr>
          <w:i/>
        </w:rPr>
        <w:t xml:space="preserve">Die </w:t>
      </w:r>
      <w:proofErr w:type="spellStart"/>
      <w:r w:rsidRPr="007D4C6B">
        <w:rPr>
          <w:i/>
        </w:rPr>
        <w:t>Synoptiker</w:t>
      </w:r>
      <w:proofErr w:type="spellEnd"/>
      <w:r w:rsidRPr="007D4C6B">
        <w:t xml:space="preserve">, in </w:t>
      </w:r>
      <w:proofErr w:type="spellStart"/>
      <w:r w:rsidRPr="007D4C6B">
        <w:rPr>
          <w:i/>
        </w:rPr>
        <w:t>Handkommentar</w:t>
      </w:r>
      <w:proofErr w:type="spellEnd"/>
      <w:r w:rsidRPr="007D4C6B">
        <w:rPr>
          <w:i/>
        </w:rPr>
        <w:t xml:space="preserve"> </w:t>
      </w:r>
      <w:proofErr w:type="spellStart"/>
      <w:r w:rsidRPr="007D4C6B">
        <w:rPr>
          <w:i/>
        </w:rPr>
        <w:t>zum</w:t>
      </w:r>
      <w:proofErr w:type="spellEnd"/>
      <w:r w:rsidRPr="007D4C6B">
        <w:rPr>
          <w:i/>
        </w:rPr>
        <w:t xml:space="preserve"> Neuen Testament</w:t>
      </w:r>
      <w:r w:rsidRPr="007D4C6B">
        <w:t xml:space="preserve">, vol. 1, Freiburg </w:t>
      </w:r>
      <w:proofErr w:type="spellStart"/>
      <w:r w:rsidRPr="007D4C6B">
        <w:t>im</w:t>
      </w:r>
      <w:proofErr w:type="spellEnd"/>
      <w:r w:rsidRPr="007D4C6B">
        <w:t xml:space="preserve"> Breisgau: Mohr, 1892</w:t>
      </w:r>
      <w:r w:rsidRPr="007D4C6B">
        <w:rPr>
          <w:vertAlign w:val="superscript"/>
        </w:rPr>
        <w:t>2</w:t>
      </w:r>
      <w:r w:rsidRPr="007D4C6B">
        <w:t>; Tübingen: 1901</w:t>
      </w:r>
      <w:r w:rsidRPr="007D4C6B">
        <w:rPr>
          <w:vertAlign w:val="superscript"/>
        </w:rPr>
        <w:t>3</w:t>
      </w:r>
      <w:r w:rsidRPr="007D4C6B">
        <w:t>.</w:t>
      </w:r>
    </w:p>
    <w:p w14:paraId="0EB042C6" w14:textId="40A5320A" w:rsidR="00B47A48" w:rsidRPr="007D4C6B" w:rsidRDefault="00B47A48" w:rsidP="00B47A48">
      <w:pPr>
        <w:widowControl w:val="0"/>
        <w:ind w:left="720" w:hanging="720"/>
      </w:pPr>
      <w:r w:rsidRPr="007D4C6B">
        <w:t xml:space="preserve">Huck, Albert. </w:t>
      </w:r>
      <w:r w:rsidRPr="007D4C6B">
        <w:rPr>
          <w:i/>
        </w:rPr>
        <w:t>Synopsis of the First Three Gospels</w:t>
      </w:r>
      <w:r w:rsidRPr="007D4C6B">
        <w:t xml:space="preserve">. 9th ed. revised by Hans Lietzmann. English ed. by </w:t>
      </w:r>
      <w:r w:rsidR="00457786" w:rsidRPr="00457786">
        <w:rPr>
          <w:iCs/>
        </w:rPr>
        <w:t>F.L.</w:t>
      </w:r>
      <w:r w:rsidRPr="007D4C6B">
        <w:t xml:space="preserve"> Cross. Tübingen: Mohr, 1950; Oxford: Basil Blackwell, 1957, rpt. 1972.</w:t>
      </w:r>
    </w:p>
    <w:p w14:paraId="1AFE5630" w14:textId="498C70D6" w:rsidR="00B47A48" w:rsidRPr="007D4C6B" w:rsidRDefault="00B47A48" w:rsidP="00B47A48">
      <w:pPr>
        <w:widowControl w:val="0"/>
        <w:ind w:left="720" w:hanging="720"/>
      </w:pPr>
      <w:r w:rsidRPr="007D4C6B">
        <w:t xml:space="preserve">Hunter, Archibald M. </w:t>
      </w:r>
      <w:r w:rsidRPr="007D4C6B">
        <w:rPr>
          <w:i/>
        </w:rPr>
        <w:t>A Pattern for Life</w:t>
      </w:r>
      <w:r w:rsidRPr="007D4C6B">
        <w:t xml:space="preserve">: </w:t>
      </w:r>
      <w:r w:rsidRPr="007D4C6B">
        <w:rPr>
          <w:i/>
        </w:rPr>
        <w:t>An Exposition of the Sermon on the Mount</w:t>
      </w:r>
      <w:r w:rsidRPr="007D4C6B">
        <w:t xml:space="preserve">. Philadelphia: Fortress, 1965. </w:t>
      </w:r>
      <w:r w:rsidR="00457786">
        <w:t>(</w:t>
      </w:r>
      <w:r w:rsidRPr="0029762C">
        <w:rPr>
          <w:iCs/>
        </w:rPr>
        <w:t>2nd ed.</w:t>
      </w:r>
      <w:r w:rsidRPr="007D4C6B">
        <w:t xml:space="preserve"> of </w:t>
      </w:r>
      <w:r w:rsidRPr="007D4C6B">
        <w:rPr>
          <w:i/>
        </w:rPr>
        <w:t>Design for Life</w:t>
      </w:r>
      <w:r w:rsidRPr="007D4C6B">
        <w:t>.</w:t>
      </w:r>
      <w:r w:rsidR="00457786">
        <w:t>)</w:t>
      </w:r>
    </w:p>
    <w:p w14:paraId="2A3D2204" w14:textId="77777777" w:rsidR="00B47A48" w:rsidRPr="007D4C6B" w:rsidRDefault="00B47A48" w:rsidP="00B47A48">
      <w:pPr>
        <w:widowControl w:val="0"/>
        <w:ind w:left="720" w:hanging="720"/>
      </w:pPr>
      <w:r w:rsidRPr="007D4C6B">
        <w:t xml:space="preserve">Hunter, Archibald M. </w:t>
      </w:r>
      <w:r w:rsidRPr="007D4C6B">
        <w:rPr>
          <w:i/>
        </w:rPr>
        <w:t>Interpreting the Parables</w:t>
      </w:r>
      <w:r w:rsidRPr="007D4C6B">
        <w:t>. London: SCM, 1960; Philadelphia: Westminster, 1960.</w:t>
      </w:r>
    </w:p>
    <w:p w14:paraId="064EBE3C" w14:textId="77777777" w:rsidR="00B47A48" w:rsidRPr="007D4C6B" w:rsidRDefault="00B47A48" w:rsidP="00B47A48">
      <w:pPr>
        <w:widowControl w:val="0"/>
        <w:ind w:left="720" w:hanging="720"/>
      </w:pPr>
      <w:r w:rsidRPr="007D4C6B">
        <w:t xml:space="preserve">Jeremias, Joachim. </w:t>
      </w:r>
      <w:r w:rsidRPr="007D4C6B">
        <w:rPr>
          <w:i/>
        </w:rPr>
        <w:t>Abba</w:t>
      </w:r>
      <w:r w:rsidRPr="007D4C6B">
        <w:t xml:space="preserve">: </w:t>
      </w:r>
      <w:proofErr w:type="spellStart"/>
      <w:r w:rsidRPr="007D4C6B">
        <w:rPr>
          <w:i/>
        </w:rPr>
        <w:t>Studien</w:t>
      </w:r>
      <w:proofErr w:type="spellEnd"/>
      <w:r w:rsidRPr="007D4C6B">
        <w:rPr>
          <w:i/>
        </w:rPr>
        <w:t xml:space="preserve"> </w:t>
      </w:r>
      <w:proofErr w:type="spellStart"/>
      <w:r w:rsidRPr="007D4C6B">
        <w:rPr>
          <w:i/>
        </w:rPr>
        <w:t>zur</w:t>
      </w:r>
      <w:proofErr w:type="spellEnd"/>
      <w:r w:rsidRPr="007D4C6B">
        <w:rPr>
          <w:i/>
        </w:rPr>
        <w:t xml:space="preserve"> </w:t>
      </w:r>
      <w:proofErr w:type="spellStart"/>
      <w:r w:rsidRPr="007D4C6B">
        <w:rPr>
          <w:i/>
        </w:rPr>
        <w:t>neutestamentlichen</w:t>
      </w:r>
      <w:proofErr w:type="spellEnd"/>
      <w:r w:rsidRPr="007D4C6B">
        <w:rPr>
          <w:i/>
        </w:rPr>
        <w:t xml:space="preserve"> </w:t>
      </w:r>
      <w:proofErr w:type="spellStart"/>
      <w:r w:rsidRPr="007D4C6B">
        <w:rPr>
          <w:i/>
        </w:rPr>
        <w:t>Theologie</w:t>
      </w:r>
      <w:proofErr w:type="spellEnd"/>
      <w:r w:rsidRPr="007D4C6B">
        <w:rPr>
          <w:i/>
        </w:rPr>
        <w:t xml:space="preserve"> und </w:t>
      </w:r>
      <w:proofErr w:type="spellStart"/>
      <w:r w:rsidRPr="007D4C6B">
        <w:rPr>
          <w:i/>
        </w:rPr>
        <w:t>Geschichte</w:t>
      </w:r>
      <w:proofErr w:type="spellEnd"/>
      <w:r w:rsidRPr="007D4C6B">
        <w:t xml:space="preserve">. Göttingen: </w:t>
      </w:r>
      <w:proofErr w:type="spellStart"/>
      <w:r w:rsidRPr="00D42DB3">
        <w:rPr>
          <w:iCs/>
        </w:rPr>
        <w:t>Vandenhoeck</w:t>
      </w:r>
      <w:proofErr w:type="spellEnd"/>
      <w:r w:rsidRPr="00D42DB3">
        <w:rPr>
          <w:iCs/>
        </w:rPr>
        <w:t xml:space="preserve"> und Ruprecht</w:t>
      </w:r>
      <w:r w:rsidRPr="007D4C6B">
        <w:t>, 1966.</w:t>
      </w:r>
    </w:p>
    <w:p w14:paraId="15E4C1EA" w14:textId="5342E4E1" w:rsidR="00B47A48" w:rsidRPr="007D4C6B" w:rsidRDefault="00B47A48" w:rsidP="00B47A48">
      <w:pPr>
        <w:widowControl w:val="0"/>
        <w:ind w:left="720" w:hanging="720"/>
      </w:pPr>
      <w:r w:rsidRPr="007D4C6B">
        <w:t xml:space="preserve">Jeremias, Joachim. </w:t>
      </w:r>
      <w:r w:rsidRPr="007D4C6B">
        <w:rPr>
          <w:i/>
        </w:rPr>
        <w:t>New Testament Theology</w:t>
      </w:r>
      <w:r w:rsidRPr="007D4C6B">
        <w:t xml:space="preserve">: </w:t>
      </w:r>
      <w:r w:rsidRPr="007D4C6B">
        <w:rPr>
          <w:i/>
        </w:rPr>
        <w:t>The Proclamation of Jesus</w:t>
      </w:r>
      <w:r w:rsidRPr="007D4C6B">
        <w:t xml:space="preserve">. Trans. John Bowden. New York: Scribner’s, 1971. </w:t>
      </w:r>
      <w:r w:rsidR="00457786">
        <w:t>(</w:t>
      </w:r>
      <w:r w:rsidRPr="007D4C6B">
        <w:t>The leaf opposite the title page lists the advisory editors of Westminster Press’s New Testament Library, but no statement is made concerning that series.</w:t>
      </w:r>
      <w:r w:rsidR="00457786">
        <w:t>) (</w:t>
      </w:r>
      <w:proofErr w:type="spellStart"/>
      <w:r w:rsidR="00457786" w:rsidRPr="007D4C6B">
        <w:rPr>
          <w:i/>
        </w:rPr>
        <w:t>Neutestamentliche</w:t>
      </w:r>
      <w:proofErr w:type="spellEnd"/>
      <w:r w:rsidR="00457786" w:rsidRPr="007D4C6B">
        <w:rPr>
          <w:i/>
        </w:rPr>
        <w:t xml:space="preserve"> </w:t>
      </w:r>
      <w:proofErr w:type="spellStart"/>
      <w:r w:rsidR="00457786" w:rsidRPr="007D4C6B">
        <w:rPr>
          <w:i/>
        </w:rPr>
        <w:t>Theolgie</w:t>
      </w:r>
      <w:proofErr w:type="spellEnd"/>
      <w:r w:rsidR="00457786" w:rsidRPr="007D4C6B">
        <w:rPr>
          <w:i/>
        </w:rPr>
        <w:t xml:space="preserve"> I</w:t>
      </w:r>
      <w:r w:rsidR="00457786" w:rsidRPr="007D4C6B">
        <w:t xml:space="preserve">. </w:t>
      </w:r>
      <w:r w:rsidR="00457786" w:rsidRPr="007D4C6B">
        <w:rPr>
          <w:i/>
        </w:rPr>
        <w:t>Teil</w:t>
      </w:r>
      <w:r w:rsidR="00457786" w:rsidRPr="007D4C6B">
        <w:t xml:space="preserve">: </w:t>
      </w:r>
      <w:r w:rsidR="00457786" w:rsidRPr="007D4C6B">
        <w:rPr>
          <w:i/>
        </w:rPr>
        <w:t xml:space="preserve">Die </w:t>
      </w:r>
      <w:proofErr w:type="spellStart"/>
      <w:r w:rsidR="00457786" w:rsidRPr="007D4C6B">
        <w:rPr>
          <w:i/>
        </w:rPr>
        <w:t>Verkündigung</w:t>
      </w:r>
      <w:proofErr w:type="spellEnd"/>
      <w:r w:rsidR="00457786" w:rsidRPr="007D4C6B">
        <w:rPr>
          <w:i/>
        </w:rPr>
        <w:t xml:space="preserve"> Jesu</w:t>
      </w:r>
      <w:r w:rsidR="00457786">
        <w:t>.</w:t>
      </w:r>
      <w:r w:rsidR="00457786" w:rsidRPr="007D4C6B">
        <w:t xml:space="preserve"> Gütersloh: Gerd Mohn, 1971.</w:t>
      </w:r>
      <w:r w:rsidR="00457786">
        <w:t>)</w:t>
      </w:r>
    </w:p>
    <w:p w14:paraId="03EFF7BE" w14:textId="096786D5" w:rsidR="00B47A48" w:rsidRPr="007D4C6B" w:rsidRDefault="00B47A48" w:rsidP="00B47A48">
      <w:pPr>
        <w:widowControl w:val="0"/>
        <w:ind w:left="720" w:hanging="720"/>
      </w:pPr>
      <w:r w:rsidRPr="007D4C6B">
        <w:t xml:space="preserve">Jeremias, Joachim. </w:t>
      </w:r>
      <w:r w:rsidRPr="007D4C6B">
        <w:rPr>
          <w:i/>
        </w:rPr>
        <w:t>The Parables of Jesus</w:t>
      </w:r>
      <w:r w:rsidRPr="007D4C6B">
        <w:t xml:space="preserve">. Trans. </w:t>
      </w:r>
      <w:r w:rsidR="00457786" w:rsidRPr="00457786">
        <w:rPr>
          <w:iCs/>
        </w:rPr>
        <w:t>S.H.</w:t>
      </w:r>
      <w:r w:rsidRPr="007D4C6B">
        <w:t xml:space="preserve"> Hooke.</w:t>
      </w:r>
      <w:r w:rsidR="00457786" w:rsidRPr="00457786">
        <w:rPr>
          <w:iCs/>
        </w:rPr>
        <w:t xml:space="preserve"> 2nd </w:t>
      </w:r>
      <w:r w:rsidRPr="007D4C6B">
        <w:t xml:space="preserve">rev. ed. London: SCM, 1963; New York: Scribner’s, 1963. </w:t>
      </w:r>
      <w:r w:rsidR="00B2337F">
        <w:t>(</w:t>
      </w:r>
      <w:r w:rsidRPr="007D4C6B">
        <w:rPr>
          <w:i/>
        </w:rPr>
        <w:t xml:space="preserve">Die </w:t>
      </w:r>
      <w:proofErr w:type="spellStart"/>
      <w:r w:rsidRPr="007D4C6B">
        <w:rPr>
          <w:i/>
        </w:rPr>
        <w:t>Gleichnisse</w:t>
      </w:r>
      <w:proofErr w:type="spellEnd"/>
      <w:r w:rsidRPr="007D4C6B">
        <w:rPr>
          <w:i/>
        </w:rPr>
        <w:t xml:space="preserve"> Jesu</w:t>
      </w:r>
      <w:r w:rsidRPr="007D4C6B">
        <w:t xml:space="preserve">, </w:t>
      </w:r>
      <w:r w:rsidRPr="00714629">
        <w:rPr>
          <w:iCs/>
        </w:rPr>
        <w:t>Göttingen</w:t>
      </w:r>
      <w:r w:rsidRPr="007D4C6B">
        <w:t xml:space="preserve">: </w:t>
      </w:r>
      <w:proofErr w:type="spellStart"/>
      <w:r w:rsidRPr="00D42DB3">
        <w:rPr>
          <w:iCs/>
        </w:rPr>
        <w:t>Vandenhoeck</w:t>
      </w:r>
      <w:proofErr w:type="spellEnd"/>
      <w:r w:rsidRPr="00D42DB3">
        <w:rPr>
          <w:iCs/>
        </w:rPr>
        <w:t xml:space="preserve"> und Ruprecht</w:t>
      </w:r>
      <w:r w:rsidRPr="007D4C6B">
        <w:t>, 1947</w:t>
      </w:r>
      <w:r w:rsidRPr="007D4C6B">
        <w:rPr>
          <w:vertAlign w:val="superscript"/>
        </w:rPr>
        <w:t>1</w:t>
      </w:r>
      <w:r w:rsidRPr="007D4C6B">
        <w:t>, 1954</w:t>
      </w:r>
      <w:r w:rsidRPr="007D4C6B">
        <w:rPr>
          <w:vertAlign w:val="superscript"/>
        </w:rPr>
        <w:t>3</w:t>
      </w:r>
      <w:r w:rsidRPr="007D4C6B">
        <w:t>, 1962</w:t>
      </w:r>
      <w:r w:rsidRPr="007D4C6B">
        <w:rPr>
          <w:vertAlign w:val="superscript"/>
        </w:rPr>
        <w:t>6</w:t>
      </w:r>
      <w:r w:rsidRPr="007D4C6B">
        <w:t>, 1970</w:t>
      </w:r>
      <w:r w:rsidRPr="007D4C6B">
        <w:rPr>
          <w:vertAlign w:val="superscript"/>
        </w:rPr>
        <w:t>8</w:t>
      </w:r>
      <w:r w:rsidRPr="007D4C6B">
        <w:t>. English rev. ed. conforms to the 8th German ed.</w:t>
      </w:r>
      <w:r w:rsidR="00B2337F">
        <w:t>)</w:t>
      </w:r>
    </w:p>
    <w:p w14:paraId="27FFDD50" w14:textId="77777777" w:rsidR="00B47A48" w:rsidRPr="007D4C6B" w:rsidRDefault="00B47A48" w:rsidP="00B47A48">
      <w:pPr>
        <w:widowControl w:val="0"/>
        <w:ind w:left="720" w:hanging="720"/>
      </w:pPr>
      <w:r w:rsidRPr="007D4C6B">
        <w:t xml:space="preserve">Jeremias, Joachim. </w:t>
      </w:r>
      <w:r w:rsidRPr="00E5413C">
        <w:rPr>
          <w:lang w:val="fr-FR"/>
        </w:rPr>
        <w:t xml:space="preserve">“Zur </w:t>
      </w:r>
      <w:proofErr w:type="spellStart"/>
      <w:r w:rsidRPr="00E5413C">
        <w:rPr>
          <w:lang w:val="fr-FR"/>
        </w:rPr>
        <w:t>Hypothese</w:t>
      </w:r>
      <w:proofErr w:type="spellEnd"/>
      <w:r w:rsidRPr="00E5413C">
        <w:rPr>
          <w:lang w:val="fr-FR"/>
        </w:rPr>
        <w:t xml:space="preserve"> </w:t>
      </w:r>
      <w:proofErr w:type="spellStart"/>
      <w:r w:rsidRPr="00E5413C">
        <w:rPr>
          <w:lang w:val="fr-FR"/>
        </w:rPr>
        <w:t>einer</w:t>
      </w:r>
      <w:proofErr w:type="spellEnd"/>
      <w:r w:rsidRPr="00E5413C">
        <w:rPr>
          <w:lang w:val="fr-FR"/>
        </w:rPr>
        <w:t xml:space="preserve"> </w:t>
      </w:r>
      <w:proofErr w:type="spellStart"/>
      <w:r w:rsidRPr="00E5413C">
        <w:rPr>
          <w:lang w:val="fr-FR"/>
        </w:rPr>
        <w:t>schriftlichen</w:t>
      </w:r>
      <w:proofErr w:type="spellEnd"/>
      <w:r w:rsidRPr="00E5413C">
        <w:rPr>
          <w:lang w:val="fr-FR"/>
        </w:rPr>
        <w:t xml:space="preserve"> </w:t>
      </w:r>
      <w:proofErr w:type="spellStart"/>
      <w:r w:rsidRPr="00E5413C">
        <w:rPr>
          <w:lang w:val="fr-FR"/>
        </w:rPr>
        <w:t>Logienquelle</w:t>
      </w:r>
      <w:proofErr w:type="spellEnd"/>
      <w:r w:rsidRPr="00E5413C">
        <w:rPr>
          <w:lang w:val="fr-FR"/>
        </w:rPr>
        <w:t xml:space="preserve"> Q.” </w:t>
      </w:r>
      <w:proofErr w:type="spellStart"/>
      <w:r w:rsidRPr="00CA0334">
        <w:rPr>
          <w:i/>
          <w:iCs/>
        </w:rPr>
        <w:t>Zeitschrift</w:t>
      </w:r>
      <w:proofErr w:type="spellEnd"/>
      <w:r w:rsidRPr="00CA0334">
        <w:rPr>
          <w:i/>
          <w:iCs/>
        </w:rPr>
        <w:t xml:space="preserve"> für die </w:t>
      </w:r>
      <w:proofErr w:type="spellStart"/>
      <w:r w:rsidRPr="00CA0334">
        <w:rPr>
          <w:i/>
          <w:iCs/>
        </w:rPr>
        <w:t>neutestamentliche</w:t>
      </w:r>
      <w:proofErr w:type="spellEnd"/>
      <w:r w:rsidRPr="00CA0334">
        <w:rPr>
          <w:i/>
          <w:iCs/>
        </w:rPr>
        <w:t xml:space="preserve"> Wissenschaft</w:t>
      </w:r>
      <w:r w:rsidRPr="007D4C6B">
        <w:t xml:space="preserve"> 29 (1930) 147-49. Rpt. in </w:t>
      </w:r>
      <w:r w:rsidRPr="007D4C6B">
        <w:rPr>
          <w:i/>
        </w:rPr>
        <w:t>Abba</w:t>
      </w:r>
      <w:r w:rsidRPr="007D4C6B">
        <w:t xml:space="preserve">: </w:t>
      </w:r>
      <w:proofErr w:type="spellStart"/>
      <w:r w:rsidRPr="007D4C6B">
        <w:rPr>
          <w:i/>
        </w:rPr>
        <w:t>Studien</w:t>
      </w:r>
      <w:proofErr w:type="spellEnd"/>
      <w:r w:rsidRPr="007D4C6B">
        <w:rPr>
          <w:i/>
        </w:rPr>
        <w:t xml:space="preserve"> </w:t>
      </w:r>
      <w:proofErr w:type="spellStart"/>
      <w:r w:rsidRPr="007D4C6B">
        <w:rPr>
          <w:i/>
        </w:rPr>
        <w:t>zur</w:t>
      </w:r>
      <w:proofErr w:type="spellEnd"/>
      <w:r w:rsidRPr="007D4C6B">
        <w:rPr>
          <w:i/>
        </w:rPr>
        <w:t xml:space="preserve"> </w:t>
      </w:r>
      <w:proofErr w:type="spellStart"/>
      <w:r w:rsidRPr="007D4C6B">
        <w:rPr>
          <w:i/>
        </w:rPr>
        <w:t>neutestamentlichen</w:t>
      </w:r>
      <w:proofErr w:type="spellEnd"/>
      <w:r w:rsidRPr="007D4C6B">
        <w:rPr>
          <w:i/>
        </w:rPr>
        <w:t xml:space="preserve"> </w:t>
      </w:r>
      <w:proofErr w:type="spellStart"/>
      <w:r w:rsidRPr="007D4C6B">
        <w:rPr>
          <w:i/>
        </w:rPr>
        <w:t>Theologie</w:t>
      </w:r>
      <w:proofErr w:type="spellEnd"/>
      <w:r w:rsidRPr="007D4C6B">
        <w:rPr>
          <w:i/>
        </w:rPr>
        <w:t xml:space="preserve"> und </w:t>
      </w:r>
      <w:proofErr w:type="spellStart"/>
      <w:r w:rsidRPr="007D4C6B">
        <w:rPr>
          <w:i/>
        </w:rPr>
        <w:t>Geschichte</w:t>
      </w:r>
      <w:proofErr w:type="spellEnd"/>
      <w:r w:rsidRPr="007D4C6B">
        <w:t xml:space="preserve">. Göttingen: </w:t>
      </w:r>
      <w:proofErr w:type="spellStart"/>
      <w:r w:rsidRPr="00D42DB3">
        <w:rPr>
          <w:iCs/>
        </w:rPr>
        <w:t>Vandenhoeck</w:t>
      </w:r>
      <w:proofErr w:type="spellEnd"/>
      <w:r w:rsidRPr="00D42DB3">
        <w:rPr>
          <w:iCs/>
        </w:rPr>
        <w:t xml:space="preserve"> und Ruprecht</w:t>
      </w:r>
      <w:r w:rsidRPr="007D4C6B">
        <w:t>, 1966.</w:t>
      </w:r>
    </w:p>
    <w:p w14:paraId="1DD9FCC3" w14:textId="63AC45A9" w:rsidR="00B47A48" w:rsidRPr="007D4C6B" w:rsidRDefault="00B47A48" w:rsidP="00B47A48">
      <w:pPr>
        <w:widowControl w:val="0"/>
        <w:ind w:left="720" w:hanging="720"/>
      </w:pPr>
      <w:r w:rsidRPr="007D4C6B">
        <w:t xml:space="preserve">Josephus, Flavius. </w:t>
      </w:r>
      <w:r w:rsidRPr="007D4C6B">
        <w:rPr>
          <w:i/>
        </w:rPr>
        <w:t>Life of Josephus</w:t>
      </w:r>
      <w:r w:rsidRPr="007D4C6B">
        <w:t xml:space="preserve">; </w:t>
      </w:r>
      <w:r w:rsidRPr="007D4C6B">
        <w:rPr>
          <w:i/>
        </w:rPr>
        <w:t xml:space="preserve">Against </w:t>
      </w:r>
      <w:proofErr w:type="spellStart"/>
      <w:r w:rsidRPr="007D4C6B">
        <w:rPr>
          <w:i/>
        </w:rPr>
        <w:t>Apion</w:t>
      </w:r>
      <w:proofErr w:type="spellEnd"/>
      <w:r w:rsidRPr="007D4C6B">
        <w:t>. Trans. H. St. J. Thackeray. LCL 1. London: Heinemann, 1961; Cambridge</w:t>
      </w:r>
      <w:r w:rsidRPr="00E366BA">
        <w:rPr>
          <w:iCs/>
        </w:rPr>
        <w:t xml:space="preserve">: Harvard UP, </w:t>
      </w:r>
      <w:r w:rsidRPr="007D4C6B">
        <w:t>1926.</w:t>
      </w:r>
    </w:p>
    <w:p w14:paraId="4EC28F3E" w14:textId="7CD52BF7" w:rsidR="00B47A48" w:rsidRPr="007D4C6B" w:rsidRDefault="00B47A48" w:rsidP="00B47A48">
      <w:pPr>
        <w:widowControl w:val="0"/>
        <w:ind w:left="720" w:hanging="720"/>
      </w:pPr>
      <w:r w:rsidRPr="007D4C6B">
        <w:t xml:space="preserve">Käsemann, Ernst. </w:t>
      </w:r>
      <w:r w:rsidRPr="007D4C6B">
        <w:rPr>
          <w:i/>
        </w:rPr>
        <w:t>New Testament Questions of Today</w:t>
      </w:r>
      <w:r w:rsidRPr="007D4C6B">
        <w:t xml:space="preserve">. Trans. </w:t>
      </w:r>
      <w:r w:rsidR="000C4944" w:rsidRPr="000C4944">
        <w:rPr>
          <w:iCs/>
        </w:rPr>
        <w:t>W.J.</w:t>
      </w:r>
      <w:r w:rsidRPr="007D4C6B">
        <w:t xml:space="preserve"> Montague and Wilfred F. Bunge. London: SCM; Philadelphia: Fortress, 1969 (Fortress paperback, 1979). </w:t>
      </w:r>
      <w:r w:rsidR="00B2337F">
        <w:t>(</w:t>
      </w:r>
      <w:proofErr w:type="spellStart"/>
      <w:r w:rsidRPr="007D4C6B">
        <w:rPr>
          <w:i/>
        </w:rPr>
        <w:t>Exegetische</w:t>
      </w:r>
      <w:proofErr w:type="spellEnd"/>
      <w:r w:rsidRPr="007D4C6B">
        <w:rPr>
          <w:i/>
        </w:rPr>
        <w:t xml:space="preserve"> </w:t>
      </w:r>
      <w:proofErr w:type="spellStart"/>
      <w:r w:rsidRPr="007D4C6B">
        <w:rPr>
          <w:i/>
        </w:rPr>
        <w:t>Versuche</w:t>
      </w:r>
      <w:proofErr w:type="spellEnd"/>
      <w:r w:rsidRPr="007D4C6B">
        <w:rPr>
          <w:i/>
        </w:rPr>
        <w:t xml:space="preserve"> und </w:t>
      </w:r>
      <w:proofErr w:type="spellStart"/>
      <w:r w:rsidRPr="007D4C6B">
        <w:rPr>
          <w:i/>
        </w:rPr>
        <w:t>Besinnungen</w:t>
      </w:r>
      <w:proofErr w:type="spellEnd"/>
      <w:r w:rsidR="00B2337F">
        <w:t>.</w:t>
      </w:r>
      <w:r w:rsidRPr="007D4C6B">
        <w:t xml:space="preserve"> </w:t>
      </w:r>
      <w:r w:rsidRPr="0029762C">
        <w:rPr>
          <w:iCs/>
        </w:rPr>
        <w:t>2nd ed.</w:t>
      </w:r>
      <w:r w:rsidRPr="007D4C6B">
        <w:t xml:space="preserve"> 2 vols. Göttingen: </w:t>
      </w:r>
      <w:proofErr w:type="spellStart"/>
      <w:r w:rsidRPr="00D42DB3">
        <w:rPr>
          <w:iCs/>
        </w:rPr>
        <w:t>Vandenhoeck</w:t>
      </w:r>
      <w:proofErr w:type="spellEnd"/>
      <w:r w:rsidRPr="00D42DB3">
        <w:rPr>
          <w:iCs/>
        </w:rPr>
        <w:t xml:space="preserve"> und Ruprecht</w:t>
      </w:r>
      <w:r w:rsidRPr="007D4C6B">
        <w:t>, 1965.</w:t>
      </w:r>
      <w:r w:rsidR="00B2337F">
        <w:t>)</w:t>
      </w:r>
    </w:p>
    <w:p w14:paraId="18FE2587" w14:textId="77777777" w:rsidR="00B47A48" w:rsidRPr="007D4C6B" w:rsidRDefault="00B47A48" w:rsidP="00B47A48">
      <w:pPr>
        <w:widowControl w:val="0"/>
        <w:ind w:left="720" w:hanging="720"/>
      </w:pPr>
      <w:r w:rsidRPr="007D4C6B">
        <w:t xml:space="preserve">Kee, Howard Clark. </w:t>
      </w:r>
      <w:r w:rsidRPr="007D4C6B">
        <w:rPr>
          <w:i/>
        </w:rPr>
        <w:t>Community of the New Age</w:t>
      </w:r>
      <w:r w:rsidRPr="007D4C6B">
        <w:t xml:space="preserve">: </w:t>
      </w:r>
      <w:r w:rsidRPr="007D4C6B">
        <w:rPr>
          <w:i/>
        </w:rPr>
        <w:t>Studies in Mark</w:t>
      </w:r>
      <w:r w:rsidRPr="007D4C6B">
        <w:t>’</w:t>
      </w:r>
      <w:r w:rsidRPr="007D4C6B">
        <w:rPr>
          <w:i/>
        </w:rPr>
        <w:t>s Gospel</w:t>
      </w:r>
      <w:r w:rsidRPr="007D4C6B">
        <w:t>. Philadelphia: Westminster, 1977.</w:t>
      </w:r>
    </w:p>
    <w:p w14:paraId="68F26403" w14:textId="4B78018B" w:rsidR="00B47A48" w:rsidRPr="007D4C6B" w:rsidRDefault="00B47A48" w:rsidP="00B47A48">
      <w:pPr>
        <w:widowControl w:val="0"/>
        <w:ind w:left="720" w:hanging="720"/>
      </w:pPr>
      <w:r w:rsidRPr="007D4C6B">
        <w:t xml:space="preserve">Kee, Howard Clark, Franklin W. Young, and </w:t>
      </w:r>
      <w:proofErr w:type="spellStart"/>
      <w:r w:rsidRPr="007D4C6B">
        <w:t>Karlfried</w:t>
      </w:r>
      <w:proofErr w:type="spellEnd"/>
      <w:r w:rsidRPr="007D4C6B">
        <w:t xml:space="preserve"> Froehlich. </w:t>
      </w:r>
      <w:r w:rsidRPr="007D4C6B">
        <w:rPr>
          <w:i/>
        </w:rPr>
        <w:t>Understanding the New Testament</w:t>
      </w:r>
      <w:r w:rsidRPr="007D4C6B">
        <w:t xml:space="preserve">. </w:t>
      </w:r>
      <w:r w:rsidRPr="0029762C">
        <w:rPr>
          <w:iCs/>
        </w:rPr>
        <w:t>2nd ed.</w:t>
      </w:r>
      <w:r w:rsidRPr="007D4C6B">
        <w:t xml:space="preserve"> Englewood Cliffs NJ: Prentice-Hall, 1957, 1965</w:t>
      </w:r>
      <w:r w:rsidRPr="007D4C6B">
        <w:rPr>
          <w:vertAlign w:val="superscript"/>
        </w:rPr>
        <w:t>2</w:t>
      </w:r>
      <w:r w:rsidRPr="007D4C6B">
        <w:t>.</w:t>
      </w:r>
    </w:p>
    <w:p w14:paraId="35F3BB3B" w14:textId="55E021D0" w:rsidR="00B47A48" w:rsidRPr="007D4C6B" w:rsidRDefault="00B47A48" w:rsidP="00B47A48">
      <w:pPr>
        <w:widowControl w:val="0"/>
        <w:ind w:left="720" w:hanging="720"/>
      </w:pPr>
      <w:r w:rsidRPr="007D4C6B">
        <w:t xml:space="preserve">Kennedy, George A. </w:t>
      </w:r>
      <w:r w:rsidRPr="007D4C6B">
        <w:rPr>
          <w:i/>
        </w:rPr>
        <w:t>New Testament Interpretation through Rhetorical Criticism</w:t>
      </w:r>
      <w:r w:rsidRPr="007D4C6B">
        <w:t>. Studies in Religion</w:t>
      </w:r>
      <w:r w:rsidRPr="00DC3006">
        <w:rPr>
          <w:iCs/>
        </w:rPr>
        <w:t xml:space="preserve">. Ed. </w:t>
      </w:r>
      <w:r w:rsidRPr="007D4C6B">
        <w:t>Charles H. Long. Chapel Hill NC: University of North Carolina, 1984.</w:t>
      </w:r>
    </w:p>
    <w:p w14:paraId="62628EBD" w14:textId="4B098C9B" w:rsidR="00B47A48" w:rsidRPr="007D4C6B" w:rsidRDefault="00B47A48" w:rsidP="00B47A48">
      <w:pPr>
        <w:widowControl w:val="0"/>
        <w:ind w:left="720" w:hanging="720"/>
      </w:pPr>
      <w:r w:rsidRPr="007D4C6B">
        <w:t xml:space="preserve">Kenyon, Frederic. </w:t>
      </w:r>
      <w:r w:rsidRPr="007D4C6B">
        <w:rPr>
          <w:i/>
        </w:rPr>
        <w:t>Our Bible and the Ancient Manuscripts</w:t>
      </w:r>
      <w:r w:rsidRPr="007D4C6B">
        <w:t xml:space="preserve">. 5th ed., rev. </w:t>
      </w:r>
      <w:r w:rsidRPr="000644ED">
        <w:rPr>
          <w:iCs/>
        </w:rPr>
        <w:t>A.W.</w:t>
      </w:r>
      <w:r w:rsidRPr="007D4C6B">
        <w:t xml:space="preserve"> Adams. London: Eyre </w:t>
      </w:r>
      <w:r w:rsidR="00B2337F">
        <w:t>and</w:t>
      </w:r>
      <w:r w:rsidRPr="007D4C6B">
        <w:t xml:space="preserve"> </w:t>
      </w:r>
      <w:proofErr w:type="spellStart"/>
      <w:r w:rsidRPr="007D4C6B">
        <w:t>Spottiswoode</w:t>
      </w:r>
      <w:proofErr w:type="spellEnd"/>
      <w:r w:rsidRPr="007D4C6B">
        <w:t>, 1958.</w:t>
      </w:r>
    </w:p>
    <w:p w14:paraId="7A0ACD5C" w14:textId="77777777" w:rsidR="00B47A48" w:rsidRPr="007D4C6B" w:rsidRDefault="00B47A48" w:rsidP="00B47A48">
      <w:pPr>
        <w:widowControl w:val="0"/>
        <w:ind w:left="720" w:hanging="720"/>
      </w:pPr>
      <w:r w:rsidRPr="007D4C6B">
        <w:lastRenderedPageBreak/>
        <w:t xml:space="preserve">Kepes, Gyorgy. “Introduction.” In </w:t>
      </w:r>
      <w:r w:rsidRPr="007D4C6B">
        <w:rPr>
          <w:i/>
        </w:rPr>
        <w:t>Structure in Art and in Science</w:t>
      </w:r>
      <w:r w:rsidRPr="00DC3006">
        <w:rPr>
          <w:iCs/>
        </w:rPr>
        <w:t xml:space="preserve">. Ed. </w:t>
      </w:r>
      <w:r w:rsidRPr="007D4C6B">
        <w:t>Gyorgy Kepes. Vision + value series. New York: George Braziller, 1965.</w:t>
      </w:r>
    </w:p>
    <w:p w14:paraId="0B75476C" w14:textId="742836AF" w:rsidR="00B47A48" w:rsidRPr="007D4C6B" w:rsidRDefault="00B47A48" w:rsidP="00B47A48">
      <w:pPr>
        <w:widowControl w:val="0"/>
        <w:ind w:left="720" w:hanging="720"/>
      </w:pPr>
      <w:r w:rsidRPr="00E5413C">
        <w:rPr>
          <w:lang w:val="fr-FR"/>
        </w:rPr>
        <w:t xml:space="preserve">Kieffer, René. </w:t>
      </w:r>
      <w:r w:rsidRPr="00E5413C">
        <w:rPr>
          <w:i/>
          <w:lang w:val="fr-FR"/>
        </w:rPr>
        <w:t xml:space="preserve">Essais de </w:t>
      </w:r>
      <w:proofErr w:type="spellStart"/>
      <w:r w:rsidRPr="00E5413C">
        <w:rPr>
          <w:i/>
          <w:lang w:val="fr-FR"/>
        </w:rPr>
        <w:t>methodologie</w:t>
      </w:r>
      <w:proofErr w:type="spellEnd"/>
      <w:r w:rsidRPr="00E5413C">
        <w:rPr>
          <w:i/>
          <w:lang w:val="fr-FR"/>
        </w:rPr>
        <w:t xml:space="preserve"> néo-testamentaire</w:t>
      </w:r>
      <w:r w:rsidRPr="00E5413C">
        <w:rPr>
          <w:lang w:val="fr-FR"/>
        </w:rPr>
        <w:t xml:space="preserve">. </w:t>
      </w:r>
      <w:proofErr w:type="spellStart"/>
      <w:r w:rsidRPr="007D4C6B">
        <w:t>Con</w:t>
      </w:r>
      <w:r w:rsidR="00B2337F">
        <w:t>ietanea</w:t>
      </w:r>
      <w:proofErr w:type="spellEnd"/>
      <w:r w:rsidR="00B2337F">
        <w:t xml:space="preserve"> Biblica,</w:t>
      </w:r>
      <w:r w:rsidRPr="007D4C6B">
        <w:t xml:space="preserve"> NT series 4. Lund, Sweden: C. Gleerup, 1972.</w:t>
      </w:r>
    </w:p>
    <w:p w14:paraId="2D41BD99" w14:textId="5C7412C3" w:rsidR="00B47A48" w:rsidRPr="007D4C6B" w:rsidRDefault="00B47A48" w:rsidP="00B47A48">
      <w:pPr>
        <w:widowControl w:val="0"/>
        <w:ind w:left="720" w:hanging="720"/>
      </w:pPr>
      <w:r w:rsidRPr="007D4C6B">
        <w:t xml:space="preserve">Kieffer, René. “Two Types of Exegesis with a Linguistic Basis.” Trans. Christine Halek. In </w:t>
      </w:r>
      <w:r w:rsidRPr="007D4C6B">
        <w:rPr>
          <w:i/>
        </w:rPr>
        <w:t>Conflicting Ways of Interpreting the Bible</w:t>
      </w:r>
      <w:r w:rsidRPr="007D4C6B">
        <w:t xml:space="preserve">. </w:t>
      </w:r>
      <w:r w:rsidR="00E565D9">
        <w:t xml:space="preserve">Ed. </w:t>
      </w:r>
      <w:r w:rsidRPr="007D4C6B">
        <w:t>Hans Küng and Jürgen Moltmann. Concilium: Religion in the Eighties. Edinburgh: Clark, 1980; New York: Seabury, 1980.</w:t>
      </w:r>
    </w:p>
    <w:p w14:paraId="4E13555F" w14:textId="77777777" w:rsidR="00B47A48" w:rsidRPr="007D4C6B" w:rsidRDefault="00B47A48" w:rsidP="00B47A48">
      <w:pPr>
        <w:widowControl w:val="0"/>
        <w:ind w:left="720" w:hanging="720"/>
      </w:pPr>
      <w:r w:rsidRPr="007D4C6B">
        <w:t xml:space="preserve">Kissinger, Warren S. </w:t>
      </w:r>
      <w:r w:rsidRPr="007D4C6B">
        <w:rPr>
          <w:i/>
        </w:rPr>
        <w:t>The Sermon on the Mount</w:t>
      </w:r>
      <w:r w:rsidRPr="007D4C6B">
        <w:t xml:space="preserve">: </w:t>
      </w:r>
      <w:r w:rsidRPr="007D4C6B">
        <w:rPr>
          <w:i/>
        </w:rPr>
        <w:t>A History of Interpretation and Bibliography</w:t>
      </w:r>
      <w:r w:rsidRPr="007D4C6B">
        <w:t>. American Theological Library Association bibliography series 3</w:t>
      </w:r>
      <w:r w:rsidRPr="00DC3006">
        <w:rPr>
          <w:iCs/>
        </w:rPr>
        <w:t xml:space="preserve">. Ed. </w:t>
      </w:r>
      <w:r w:rsidRPr="007D4C6B">
        <w:t>Kenneth E. Rowe. Metuchen, NJ: Scarecrow, 1975.</w:t>
      </w:r>
    </w:p>
    <w:p w14:paraId="56BEFF97" w14:textId="77777777" w:rsidR="00B47A48" w:rsidRPr="007D4C6B" w:rsidRDefault="00B47A48" w:rsidP="00B47A48">
      <w:pPr>
        <w:widowControl w:val="0"/>
        <w:ind w:left="720" w:hanging="720"/>
      </w:pPr>
      <w:r w:rsidRPr="007D4C6B">
        <w:t xml:space="preserve">Kistemaker, Simon. </w:t>
      </w:r>
      <w:r w:rsidRPr="007D4C6B">
        <w:rPr>
          <w:i/>
        </w:rPr>
        <w:t>The Parables of Jesus</w:t>
      </w:r>
      <w:r w:rsidRPr="007D4C6B">
        <w:t xml:space="preserve">. </w:t>
      </w:r>
      <w:r w:rsidRPr="00DC3006">
        <w:rPr>
          <w:iCs/>
        </w:rPr>
        <w:t>Grand Rapids MI</w:t>
      </w:r>
      <w:r w:rsidRPr="007D4C6B">
        <w:t>: Baker, 1980.</w:t>
      </w:r>
    </w:p>
    <w:p w14:paraId="78603B23" w14:textId="32CCFC0C" w:rsidR="00B47A48" w:rsidRPr="007D4C6B" w:rsidRDefault="00B47A48" w:rsidP="00B47A48">
      <w:pPr>
        <w:widowControl w:val="0"/>
        <w:ind w:left="720" w:hanging="720"/>
      </w:pPr>
      <w:r w:rsidRPr="007D4C6B">
        <w:t>Kittel, Gerhard, and Gerhard Friedrich</w:t>
      </w:r>
      <w:r>
        <w:rPr>
          <w:iCs/>
        </w:rPr>
        <w:t>, eds.</w:t>
      </w:r>
      <w:r w:rsidRPr="00DC3006">
        <w:rPr>
          <w:iCs/>
        </w:rPr>
        <w:t xml:space="preserve"> </w:t>
      </w:r>
      <w:r w:rsidRPr="007D4C6B">
        <w:rPr>
          <w:i/>
        </w:rPr>
        <w:t>Theological Dictionary of the New Testament</w:t>
      </w:r>
      <w:r w:rsidRPr="007D4C6B">
        <w:t xml:space="preserve">. Edited and trans. by Geoffrey W. Bromiley. 10 vols. </w:t>
      </w:r>
      <w:r w:rsidRPr="00DC3006">
        <w:rPr>
          <w:iCs/>
        </w:rPr>
        <w:t>Grand Rapids MI</w:t>
      </w:r>
      <w:r w:rsidRPr="007D4C6B">
        <w:t xml:space="preserve">: Eerdmans, 1964-76. </w:t>
      </w:r>
      <w:r w:rsidR="00B2337F">
        <w:t>(</w:t>
      </w:r>
      <w:proofErr w:type="spellStart"/>
      <w:r w:rsidRPr="007D4C6B">
        <w:rPr>
          <w:i/>
        </w:rPr>
        <w:t>Theologisches</w:t>
      </w:r>
      <w:proofErr w:type="spellEnd"/>
      <w:r w:rsidRPr="007D4C6B">
        <w:rPr>
          <w:i/>
        </w:rPr>
        <w:t xml:space="preserve"> </w:t>
      </w:r>
      <w:proofErr w:type="spellStart"/>
      <w:r w:rsidRPr="007D4C6B">
        <w:rPr>
          <w:i/>
        </w:rPr>
        <w:t>Wörterbuch</w:t>
      </w:r>
      <w:proofErr w:type="spellEnd"/>
      <w:r w:rsidRPr="007D4C6B">
        <w:rPr>
          <w:i/>
        </w:rPr>
        <w:t xml:space="preserve"> </w:t>
      </w:r>
      <w:proofErr w:type="spellStart"/>
      <w:r w:rsidRPr="007D4C6B">
        <w:rPr>
          <w:i/>
        </w:rPr>
        <w:t>zum</w:t>
      </w:r>
      <w:proofErr w:type="spellEnd"/>
      <w:r w:rsidRPr="007D4C6B">
        <w:rPr>
          <w:i/>
        </w:rPr>
        <w:t xml:space="preserve"> Neuen Testament</w:t>
      </w:r>
      <w:r w:rsidRPr="007D4C6B">
        <w:t>, 10 vols., Stuttgart: W. Kohlhammer, 1933-1973.</w:t>
      </w:r>
      <w:r w:rsidR="00B2337F">
        <w:t>)</w:t>
      </w:r>
    </w:p>
    <w:p w14:paraId="1EC9B483" w14:textId="74D9CFBC" w:rsidR="00B47A48" w:rsidRPr="007D4C6B" w:rsidRDefault="00B47A48" w:rsidP="00B47A48">
      <w:pPr>
        <w:widowControl w:val="0"/>
        <w:ind w:left="720" w:hanging="720"/>
      </w:pPr>
      <w:r w:rsidRPr="007D4C6B">
        <w:t xml:space="preserve">Klausner, Joseph. </w:t>
      </w:r>
      <w:r w:rsidRPr="007D4C6B">
        <w:rPr>
          <w:i/>
        </w:rPr>
        <w:t>Jesus of Nazareth</w:t>
      </w:r>
      <w:r w:rsidRPr="007D4C6B">
        <w:t xml:space="preserve">: </w:t>
      </w:r>
      <w:r w:rsidRPr="007D4C6B">
        <w:rPr>
          <w:i/>
        </w:rPr>
        <w:t>His Life</w:t>
      </w:r>
      <w:r w:rsidRPr="007D4C6B">
        <w:t xml:space="preserve">, </w:t>
      </w:r>
      <w:r w:rsidRPr="007D4C6B">
        <w:rPr>
          <w:i/>
        </w:rPr>
        <w:t>Times and Teaching</w:t>
      </w:r>
      <w:r w:rsidRPr="007D4C6B">
        <w:t xml:space="preserve">. Trans. Herbert Danby. New York: Macmillan, 1925. </w:t>
      </w:r>
      <w:r w:rsidR="00B2337F">
        <w:t>(H</w:t>
      </w:r>
      <w:r w:rsidRPr="007D4C6B">
        <w:t>ebrew: Jerusalem, 1922.</w:t>
      </w:r>
      <w:r w:rsidR="00B2337F">
        <w:t>)</w:t>
      </w:r>
    </w:p>
    <w:p w14:paraId="3B1ED6BD" w14:textId="05B10FB3" w:rsidR="00B47A48" w:rsidRPr="007D4C6B" w:rsidRDefault="00B47A48" w:rsidP="00B47A48">
      <w:pPr>
        <w:widowControl w:val="0"/>
        <w:ind w:left="720" w:hanging="720"/>
      </w:pPr>
      <w:r w:rsidRPr="007D4C6B">
        <w:t xml:space="preserve">Klijn, </w:t>
      </w:r>
      <w:r w:rsidR="00B2337F" w:rsidRPr="00B2337F">
        <w:rPr>
          <w:iCs/>
        </w:rPr>
        <w:t>A.F.J.</w:t>
      </w:r>
      <w:r w:rsidRPr="007D4C6B">
        <w:t xml:space="preserve"> </w:t>
      </w:r>
      <w:r w:rsidRPr="007D4C6B">
        <w:rPr>
          <w:i/>
        </w:rPr>
        <w:t>A Survey of the Researches into the Western Text of the Gospels and Acts</w:t>
      </w:r>
      <w:r w:rsidRPr="007D4C6B">
        <w:t xml:space="preserve">. Utrecht: Kemink </w:t>
      </w:r>
      <w:r w:rsidR="00B2337F">
        <w:t>and</w:t>
      </w:r>
      <w:r w:rsidRPr="007D4C6B">
        <w:t xml:space="preserve"> Zoon, 1949. </w:t>
      </w:r>
      <w:r w:rsidR="00B2337F">
        <w:t>(</w:t>
      </w:r>
      <w:r w:rsidRPr="007D4C6B">
        <w:t>Continued in the next citation.</w:t>
      </w:r>
      <w:r w:rsidR="00B2337F">
        <w:t>)</w:t>
      </w:r>
    </w:p>
    <w:p w14:paraId="2920DFA3" w14:textId="598930F1" w:rsidR="00B47A48" w:rsidRPr="007D4C6B" w:rsidRDefault="00B47A48" w:rsidP="00B47A48">
      <w:pPr>
        <w:widowControl w:val="0"/>
        <w:ind w:left="720" w:hanging="720"/>
      </w:pPr>
      <w:r w:rsidRPr="007D4C6B">
        <w:t xml:space="preserve">Klijn, </w:t>
      </w:r>
      <w:r w:rsidR="00B2337F" w:rsidRPr="00B2337F">
        <w:rPr>
          <w:iCs/>
        </w:rPr>
        <w:t>A.F.J.</w:t>
      </w:r>
      <w:r w:rsidRPr="007D4C6B">
        <w:t xml:space="preserve"> “A Survey of the Researches into the Western Text of the Gospels and Acts, Part Two: 1949-1969.” In </w:t>
      </w:r>
      <w:proofErr w:type="spellStart"/>
      <w:r w:rsidRPr="007D4C6B">
        <w:t>NovTSup</w:t>
      </w:r>
      <w:proofErr w:type="spellEnd"/>
      <w:r w:rsidRPr="007D4C6B">
        <w:t xml:space="preserve"> 21. Leiden: Brill, 1959, pp. 1-27, 161-73.</w:t>
      </w:r>
    </w:p>
    <w:p w14:paraId="6D3034EC" w14:textId="77777777" w:rsidR="00B47A48" w:rsidRPr="007D4C6B" w:rsidRDefault="00B47A48" w:rsidP="00B47A48">
      <w:pPr>
        <w:widowControl w:val="0"/>
        <w:ind w:left="720" w:hanging="720"/>
      </w:pPr>
      <w:r w:rsidRPr="007D4C6B">
        <w:t xml:space="preserve">Kloppenborg, John S. </w:t>
      </w:r>
      <w:r w:rsidRPr="007D4C6B">
        <w:rPr>
          <w:i/>
        </w:rPr>
        <w:t>The Formation of Q</w:t>
      </w:r>
      <w:r w:rsidRPr="007D4C6B">
        <w:t xml:space="preserve">: </w:t>
      </w:r>
      <w:r w:rsidRPr="007D4C6B">
        <w:rPr>
          <w:i/>
        </w:rPr>
        <w:t>Trajectories in Ancient Wisdom Collections</w:t>
      </w:r>
      <w:r w:rsidRPr="007D4C6B">
        <w:t>. Studies in Antiquity and Christianity. Philadelphia: Fortress, 1987.</w:t>
      </w:r>
    </w:p>
    <w:p w14:paraId="6D6B313A" w14:textId="77777777" w:rsidR="00B47A48" w:rsidRPr="007D4C6B" w:rsidRDefault="00B47A48" w:rsidP="00B47A48">
      <w:pPr>
        <w:widowControl w:val="0"/>
        <w:ind w:left="720" w:hanging="720"/>
      </w:pPr>
      <w:r w:rsidRPr="007D4C6B">
        <w:t xml:space="preserve">Klostermann, Erich. </w:t>
      </w:r>
      <w:r w:rsidRPr="007D4C6B">
        <w:rPr>
          <w:i/>
        </w:rPr>
        <w:t xml:space="preserve">Das </w:t>
      </w:r>
      <w:proofErr w:type="spellStart"/>
      <w:r w:rsidRPr="007D4C6B">
        <w:rPr>
          <w:i/>
        </w:rPr>
        <w:t>Markusevangelium</w:t>
      </w:r>
      <w:proofErr w:type="spellEnd"/>
      <w:r w:rsidRPr="007D4C6B">
        <w:t>. Tübingen: Mohr, 1907.</w:t>
      </w:r>
    </w:p>
    <w:p w14:paraId="444C62B3" w14:textId="5D6ECD04" w:rsidR="00B47A48" w:rsidRPr="007D4C6B" w:rsidRDefault="00B47A48" w:rsidP="00B47A48">
      <w:pPr>
        <w:widowControl w:val="0"/>
        <w:ind w:left="720" w:hanging="720"/>
      </w:pPr>
      <w:proofErr w:type="spellStart"/>
      <w:r w:rsidRPr="007D4C6B">
        <w:t>Kluckhorn</w:t>
      </w:r>
      <w:proofErr w:type="spellEnd"/>
      <w:r w:rsidRPr="007D4C6B">
        <w:t xml:space="preserve">, Clyde. “Recurrent Themes in Myths and Mythmaking.” </w:t>
      </w:r>
      <w:r w:rsidRPr="007D4C6B">
        <w:rPr>
          <w:i/>
        </w:rPr>
        <w:t>Daedalus</w:t>
      </w:r>
      <w:r w:rsidRPr="007D4C6B">
        <w:t xml:space="preserve">: </w:t>
      </w:r>
      <w:r w:rsidRPr="007D4C6B">
        <w:rPr>
          <w:i/>
        </w:rPr>
        <w:t>Journal of the American Academy of Arts and Sciences</w:t>
      </w:r>
      <w:r w:rsidRPr="007D4C6B">
        <w:t xml:space="preserve"> 88 (1959) 268-79. Rpt. in </w:t>
      </w:r>
      <w:r w:rsidRPr="007D4C6B">
        <w:rPr>
          <w:i/>
        </w:rPr>
        <w:t>The Study of Folklore</w:t>
      </w:r>
      <w:r w:rsidRPr="00DC3006">
        <w:rPr>
          <w:iCs/>
        </w:rPr>
        <w:t xml:space="preserve">. Ed. </w:t>
      </w:r>
      <w:r w:rsidRPr="007D4C6B">
        <w:t xml:space="preserve">Alan Dundes. </w:t>
      </w:r>
      <w:r w:rsidR="007B5BB5" w:rsidRPr="007B5BB5">
        <w:rPr>
          <w:iCs/>
        </w:rPr>
        <w:t xml:space="preserve">Englewood Cliffs </w:t>
      </w:r>
      <w:r w:rsidRPr="007D4C6B">
        <w:t>NJ: Prentice-Hall, 1965, pp. 158-68.</w:t>
      </w:r>
    </w:p>
    <w:p w14:paraId="417344C5" w14:textId="5EE20BCA" w:rsidR="00B47A48" w:rsidRPr="007D4C6B" w:rsidRDefault="00B47A48" w:rsidP="00B47A48">
      <w:pPr>
        <w:widowControl w:val="0"/>
        <w:ind w:left="720" w:hanging="720"/>
      </w:pPr>
      <w:r w:rsidRPr="007D4C6B">
        <w:t xml:space="preserve">Koester, Helmut. </w:t>
      </w:r>
      <w:r w:rsidRPr="007D4C6B">
        <w:rPr>
          <w:i/>
        </w:rPr>
        <w:t>Introduction to the New Testament</w:t>
      </w:r>
      <w:r w:rsidRPr="007D4C6B">
        <w:t xml:space="preserve">. Vol. 2: </w:t>
      </w:r>
      <w:r w:rsidRPr="007D4C6B">
        <w:rPr>
          <w:i/>
        </w:rPr>
        <w:t>History and Literature of Early Christianity</w:t>
      </w:r>
      <w:r w:rsidRPr="007D4C6B">
        <w:t xml:space="preserve">. Ed. Robert W. Funk. </w:t>
      </w:r>
      <w:proofErr w:type="spellStart"/>
      <w:r w:rsidRPr="007D4C6B">
        <w:t>Hermeneia</w:t>
      </w:r>
      <w:proofErr w:type="spellEnd"/>
      <w:r w:rsidRPr="007D4C6B">
        <w:t xml:space="preserve">: Foundations and Facets series. Philadelphia: Fortress, 1982. </w:t>
      </w:r>
      <w:r w:rsidR="00B2337F">
        <w:t>(</w:t>
      </w:r>
      <w:proofErr w:type="spellStart"/>
      <w:r w:rsidRPr="007D4C6B">
        <w:rPr>
          <w:i/>
        </w:rPr>
        <w:t>Einführung</w:t>
      </w:r>
      <w:proofErr w:type="spellEnd"/>
      <w:r w:rsidRPr="007D4C6B">
        <w:rPr>
          <w:i/>
        </w:rPr>
        <w:t xml:space="preserve"> in das Neue Testament</w:t>
      </w:r>
      <w:r w:rsidR="00B2337F">
        <w:t>.</w:t>
      </w:r>
      <w:r w:rsidRPr="007D4C6B">
        <w:t xml:space="preserve"> Berlin: Walter de Gruyter, 1980.</w:t>
      </w:r>
      <w:r w:rsidR="00B2337F">
        <w:t xml:space="preserve"> </w:t>
      </w:r>
      <w:proofErr w:type="spellStart"/>
      <w:r w:rsidR="00B2337F" w:rsidRPr="007D4C6B">
        <w:t>chs</w:t>
      </w:r>
      <w:proofErr w:type="spellEnd"/>
      <w:r w:rsidR="00B2337F" w:rsidRPr="007D4C6B">
        <w:t>. 7-12</w:t>
      </w:r>
      <w:r w:rsidR="00B2337F">
        <w:t>.</w:t>
      </w:r>
      <w:r w:rsidRPr="007D4C6B">
        <w:t xml:space="preserve"> Koester’s work replaces the former </w:t>
      </w:r>
      <w:proofErr w:type="spellStart"/>
      <w:r w:rsidRPr="007D4C6B">
        <w:t>Hermeneia</w:t>
      </w:r>
      <w:proofErr w:type="spellEnd"/>
      <w:r w:rsidRPr="007D4C6B">
        <w:t xml:space="preserve"> volume, </w:t>
      </w:r>
      <w:proofErr w:type="spellStart"/>
      <w:r w:rsidRPr="007D4C6B">
        <w:rPr>
          <w:i/>
        </w:rPr>
        <w:t>Einführung</w:t>
      </w:r>
      <w:proofErr w:type="spellEnd"/>
      <w:r w:rsidRPr="007D4C6B">
        <w:rPr>
          <w:i/>
        </w:rPr>
        <w:t xml:space="preserve"> in das Neue Testament</w:t>
      </w:r>
      <w:r w:rsidRPr="007D4C6B">
        <w:t xml:space="preserve">, by Rudolf Knopf, rev. ed. by Hans Lietzmann and Heinrich Weinel, in the </w:t>
      </w:r>
      <w:proofErr w:type="spellStart"/>
      <w:r w:rsidRPr="007D4C6B">
        <w:t>Sammlung</w:t>
      </w:r>
      <w:proofErr w:type="spellEnd"/>
      <w:r w:rsidRPr="007D4C6B">
        <w:t xml:space="preserve"> </w:t>
      </w:r>
      <w:proofErr w:type="spellStart"/>
      <w:r w:rsidRPr="007D4C6B">
        <w:t>Töpelmann</w:t>
      </w:r>
      <w:proofErr w:type="spellEnd"/>
      <w:r w:rsidRPr="007D4C6B">
        <w:t xml:space="preserve"> series </w:t>
      </w:r>
      <w:r w:rsidR="00B2337F">
        <w:t>[</w:t>
      </w:r>
      <w:proofErr w:type="spellStart"/>
      <w:r w:rsidRPr="007D4C6B">
        <w:t>superceded</w:t>
      </w:r>
      <w:proofErr w:type="spellEnd"/>
      <w:r w:rsidRPr="007D4C6B">
        <w:t xml:space="preserve"> by the De Gruyter </w:t>
      </w:r>
      <w:proofErr w:type="spellStart"/>
      <w:r w:rsidRPr="007D4C6B">
        <w:t>Lehrbücher</w:t>
      </w:r>
      <w:proofErr w:type="spellEnd"/>
      <w:r w:rsidRPr="007D4C6B">
        <w:t xml:space="preserve"> series</w:t>
      </w:r>
      <w:r w:rsidR="00B2337F">
        <w:t>]</w:t>
      </w:r>
      <w:r w:rsidRPr="007D4C6B">
        <w:t>.</w:t>
      </w:r>
      <w:r w:rsidR="00B2337F">
        <w:t>)</w:t>
      </w:r>
    </w:p>
    <w:p w14:paraId="7E2207F0" w14:textId="77777777" w:rsidR="00B47A48" w:rsidRPr="007D4C6B" w:rsidRDefault="00B47A48" w:rsidP="00B47A48">
      <w:pPr>
        <w:widowControl w:val="0"/>
        <w:ind w:left="720" w:hanging="720"/>
      </w:pPr>
      <w:r w:rsidRPr="007D4C6B">
        <w:t xml:space="preserve">Koffka, K. </w:t>
      </w:r>
      <w:r w:rsidRPr="007D4C6B">
        <w:rPr>
          <w:i/>
        </w:rPr>
        <w:t>Principles of Gestalt Psychology</w:t>
      </w:r>
      <w:r w:rsidRPr="007D4C6B">
        <w:t>. New York: Harcourt Brace, 1935.</w:t>
      </w:r>
    </w:p>
    <w:p w14:paraId="7A97823D" w14:textId="77777777" w:rsidR="00B47A48" w:rsidRPr="007D4C6B" w:rsidRDefault="00B47A48" w:rsidP="00B47A48">
      <w:pPr>
        <w:widowControl w:val="0"/>
        <w:ind w:left="720" w:hanging="720"/>
      </w:pPr>
      <w:r w:rsidRPr="007D4C6B">
        <w:t xml:space="preserve">Köhler, W. </w:t>
      </w:r>
      <w:r w:rsidRPr="007D4C6B">
        <w:rPr>
          <w:i/>
        </w:rPr>
        <w:t>Dynamics in Psychology</w:t>
      </w:r>
      <w:r w:rsidRPr="007D4C6B">
        <w:t>. New York: Liveright, 1940.</w:t>
      </w:r>
    </w:p>
    <w:p w14:paraId="216C4856" w14:textId="77777777" w:rsidR="00B47A48" w:rsidRPr="007D4C6B" w:rsidRDefault="00B47A48" w:rsidP="00B47A48">
      <w:pPr>
        <w:widowControl w:val="0"/>
        <w:ind w:left="720" w:hanging="720"/>
      </w:pPr>
      <w:r w:rsidRPr="007D4C6B">
        <w:t xml:space="preserve">Kümmel, Werner Georg. “Das </w:t>
      </w:r>
      <w:proofErr w:type="spellStart"/>
      <w:r w:rsidRPr="007D4C6B">
        <w:t>Urchristentum</w:t>
      </w:r>
      <w:proofErr w:type="spellEnd"/>
      <w:r w:rsidRPr="007D4C6B">
        <w:t xml:space="preserve">.” </w:t>
      </w:r>
      <w:proofErr w:type="spellStart"/>
      <w:r w:rsidRPr="007D4C6B">
        <w:rPr>
          <w:i/>
        </w:rPr>
        <w:t>TRu</w:t>
      </w:r>
      <w:proofErr w:type="spellEnd"/>
      <w:r w:rsidRPr="007D4C6B">
        <w:t xml:space="preserve"> 14 (1942) 81-95, 155-73; 22 (1952) 191-211.</w:t>
      </w:r>
    </w:p>
    <w:p w14:paraId="521FCD8E" w14:textId="7967ED8D" w:rsidR="00B47A48" w:rsidRPr="007D4C6B" w:rsidRDefault="00B47A48" w:rsidP="00B47A48">
      <w:pPr>
        <w:widowControl w:val="0"/>
        <w:ind w:left="720" w:hanging="720"/>
      </w:pPr>
      <w:r w:rsidRPr="007D4C6B">
        <w:t xml:space="preserve">Kümmel, Werner Georg. </w:t>
      </w:r>
      <w:r w:rsidRPr="007D4C6B">
        <w:rPr>
          <w:i/>
        </w:rPr>
        <w:t>Introduction to the New Testament</w:t>
      </w:r>
      <w:r w:rsidRPr="007D4C6B">
        <w:t xml:space="preserve">. Trans. Howard Clark Kee. </w:t>
      </w:r>
      <w:r w:rsidRPr="000644ED">
        <w:rPr>
          <w:iCs/>
        </w:rPr>
        <w:t>Nashville</w:t>
      </w:r>
      <w:r w:rsidRPr="007D4C6B">
        <w:t xml:space="preserve">: Abingdon, 1975. </w:t>
      </w:r>
      <w:r w:rsidR="00B2337F">
        <w:t>(</w:t>
      </w:r>
      <w:r w:rsidRPr="007D4C6B">
        <w:t xml:space="preserve">Feine, </w:t>
      </w:r>
      <w:r w:rsidR="00B2337F" w:rsidRPr="007D4C6B">
        <w:t>Paul</w:t>
      </w:r>
      <w:r w:rsidR="00B2337F">
        <w:t>.</w:t>
      </w:r>
      <w:r w:rsidR="00B2337F" w:rsidRPr="007D4C6B">
        <w:t xml:space="preserve"> </w:t>
      </w:r>
      <w:proofErr w:type="spellStart"/>
      <w:r w:rsidRPr="007D4C6B">
        <w:rPr>
          <w:i/>
        </w:rPr>
        <w:t>Einleitung</w:t>
      </w:r>
      <w:proofErr w:type="spellEnd"/>
      <w:r w:rsidRPr="007D4C6B">
        <w:rPr>
          <w:i/>
        </w:rPr>
        <w:t xml:space="preserve"> in das Neue Testament</w:t>
      </w:r>
      <w:r w:rsidR="00B2337F">
        <w:t>.</w:t>
      </w:r>
      <w:r w:rsidRPr="007D4C6B">
        <w:t xml:space="preserve"> 1913; 1936</w:t>
      </w:r>
      <w:r w:rsidRPr="007D4C6B">
        <w:rPr>
          <w:vertAlign w:val="superscript"/>
        </w:rPr>
        <w:t>8</w:t>
      </w:r>
      <w:r w:rsidR="00BB6771">
        <w:t>; r</w:t>
      </w:r>
      <w:r w:rsidR="00B2337F" w:rsidRPr="007D4C6B">
        <w:t xml:space="preserve">evised </w:t>
      </w:r>
      <w:r w:rsidRPr="007D4C6B">
        <w:t>by J. Behm</w:t>
      </w:r>
      <w:r w:rsidR="00B2337F">
        <w:t>,</w:t>
      </w:r>
      <w:r w:rsidRPr="007D4C6B">
        <w:t xml:space="preserve"> 1950</w:t>
      </w:r>
      <w:r w:rsidRPr="007D4C6B">
        <w:rPr>
          <w:vertAlign w:val="superscript"/>
        </w:rPr>
        <w:t>9</w:t>
      </w:r>
      <w:r w:rsidR="00BB6771">
        <w:t>;</w:t>
      </w:r>
      <w:r w:rsidRPr="007D4C6B">
        <w:t xml:space="preserve"> 1963</w:t>
      </w:r>
      <w:r w:rsidRPr="007D4C6B">
        <w:rPr>
          <w:vertAlign w:val="superscript"/>
        </w:rPr>
        <w:t>12</w:t>
      </w:r>
      <w:r w:rsidRPr="007D4C6B">
        <w:t xml:space="preserve"> </w:t>
      </w:r>
      <w:r w:rsidR="00BB6771">
        <w:t>[</w:t>
      </w:r>
      <w:r w:rsidRPr="007D4C6B">
        <w:t>complete revision by Kümmel</w:t>
      </w:r>
      <w:r w:rsidR="00BB6771">
        <w:t>]</w:t>
      </w:r>
      <w:r w:rsidRPr="007D4C6B">
        <w:t>; 1965</w:t>
      </w:r>
      <w:r w:rsidRPr="007D4C6B">
        <w:rPr>
          <w:vertAlign w:val="superscript"/>
        </w:rPr>
        <w:t>14</w:t>
      </w:r>
      <w:r w:rsidRPr="007D4C6B">
        <w:t xml:space="preserve"> (</w:t>
      </w:r>
      <w:r w:rsidR="00BB6771">
        <w:t>first</w:t>
      </w:r>
      <w:r w:rsidRPr="007D4C6B">
        <w:t xml:space="preserve"> </w:t>
      </w:r>
      <w:r w:rsidR="00BB6771">
        <w:t xml:space="preserve">edition </w:t>
      </w:r>
      <w:r w:rsidRPr="007D4C6B">
        <w:t xml:space="preserve">translated into English, by </w:t>
      </w:r>
      <w:r w:rsidRPr="00B40CBB">
        <w:rPr>
          <w:iCs/>
        </w:rPr>
        <w:t>A.J.</w:t>
      </w:r>
      <w:r w:rsidRPr="007D4C6B">
        <w:t xml:space="preserve"> Mattill, Jr. [Abingdon, 1966]); 1973</w:t>
      </w:r>
      <w:r w:rsidRPr="007D4C6B">
        <w:rPr>
          <w:vertAlign w:val="superscript"/>
        </w:rPr>
        <w:t>17</w:t>
      </w:r>
      <w:r w:rsidRPr="007D4C6B">
        <w:t xml:space="preserve"> (</w:t>
      </w:r>
      <w:r w:rsidR="00BB6771">
        <w:t>first</w:t>
      </w:r>
      <w:r w:rsidR="00BB6771" w:rsidRPr="007D4C6B">
        <w:t xml:space="preserve"> </w:t>
      </w:r>
      <w:r w:rsidR="00BB6771">
        <w:t xml:space="preserve">edition </w:t>
      </w:r>
      <w:r w:rsidRPr="007D4C6B">
        <w:t>to bear Kümmel’s name alone; trans. Kee); 1978</w:t>
      </w:r>
      <w:r w:rsidRPr="007D4C6B">
        <w:rPr>
          <w:vertAlign w:val="superscript"/>
        </w:rPr>
        <w:t>19</w:t>
      </w:r>
      <w:r w:rsidRPr="007D4C6B">
        <w:t xml:space="preserve"> (the 17th edition, but with bibliographical supplement), Heidelberg: Quelle &amp; Meyer. The German and English titles have remained unchanged in all editions.</w:t>
      </w:r>
      <w:r w:rsidR="00BB6771">
        <w:t>)</w:t>
      </w:r>
    </w:p>
    <w:p w14:paraId="291D90E9" w14:textId="60BE06DD" w:rsidR="00B47A48" w:rsidRPr="00E5413C" w:rsidRDefault="00B47A48" w:rsidP="00B47A48">
      <w:pPr>
        <w:widowControl w:val="0"/>
        <w:ind w:left="720" w:hanging="720"/>
        <w:rPr>
          <w:lang w:val="fr-FR"/>
        </w:rPr>
      </w:pPr>
      <w:r w:rsidRPr="007D4C6B">
        <w:t xml:space="preserve">Lagrange, M.-J. </w:t>
      </w:r>
      <w:r w:rsidRPr="007D4C6B">
        <w:rPr>
          <w:i/>
        </w:rPr>
        <w:t>The Gospel of Jesus Christ</w:t>
      </w:r>
      <w:r w:rsidRPr="007D4C6B">
        <w:t xml:space="preserve">. Trans. members of the English Dominican Province. </w:t>
      </w:r>
      <w:r w:rsidRPr="00E5413C">
        <w:rPr>
          <w:lang w:val="fr-FR"/>
        </w:rPr>
        <w:t xml:space="preserve">1-vol. </w:t>
      </w:r>
      <w:proofErr w:type="spellStart"/>
      <w:r w:rsidRPr="00E5413C">
        <w:rPr>
          <w:lang w:val="fr-FR"/>
        </w:rPr>
        <w:t>ed</w:t>
      </w:r>
      <w:proofErr w:type="spellEnd"/>
      <w:r w:rsidRPr="00E5413C">
        <w:rPr>
          <w:lang w:val="fr-FR"/>
        </w:rPr>
        <w:t xml:space="preserve">. Westminster </w:t>
      </w:r>
      <w:r w:rsidR="00BB6771" w:rsidRPr="00E5413C">
        <w:rPr>
          <w:lang w:val="fr-FR"/>
        </w:rPr>
        <w:t>MD</w:t>
      </w:r>
      <w:r w:rsidRPr="00E5413C">
        <w:rPr>
          <w:lang w:val="fr-FR"/>
        </w:rPr>
        <w:t xml:space="preserve">: Newman, 1954. </w:t>
      </w:r>
      <w:r w:rsidR="00BB6771" w:rsidRPr="00E5413C">
        <w:rPr>
          <w:lang w:val="fr-FR"/>
        </w:rPr>
        <w:t>(</w:t>
      </w:r>
      <w:r w:rsidRPr="00E5413C">
        <w:rPr>
          <w:i/>
          <w:lang w:val="fr-FR"/>
        </w:rPr>
        <w:t>L</w:t>
      </w:r>
      <w:r w:rsidRPr="00E5413C">
        <w:rPr>
          <w:lang w:val="fr-FR"/>
        </w:rPr>
        <w:t>’</w:t>
      </w:r>
      <w:r w:rsidRPr="00E5413C">
        <w:rPr>
          <w:i/>
          <w:lang w:val="fr-FR"/>
        </w:rPr>
        <w:t>Évangile de Jésus-Christ</w:t>
      </w:r>
      <w:r w:rsidR="00BB6771" w:rsidRPr="00E5413C">
        <w:rPr>
          <w:lang w:val="fr-FR"/>
        </w:rPr>
        <w:t>.</w:t>
      </w:r>
      <w:r w:rsidRPr="00E5413C">
        <w:rPr>
          <w:lang w:val="fr-FR"/>
        </w:rPr>
        <w:t xml:space="preserve"> 2 vols. Paris</w:t>
      </w:r>
      <w:r w:rsidR="00BB6771" w:rsidRPr="00E5413C">
        <w:rPr>
          <w:lang w:val="fr-FR"/>
        </w:rPr>
        <w:t>:</w:t>
      </w:r>
      <w:r w:rsidRPr="00E5413C">
        <w:rPr>
          <w:lang w:val="fr-FR"/>
        </w:rPr>
        <w:t xml:space="preserve"> 1928.</w:t>
      </w:r>
      <w:r w:rsidR="00BB6771" w:rsidRPr="00E5413C">
        <w:rPr>
          <w:lang w:val="fr-FR"/>
        </w:rPr>
        <w:t>)</w:t>
      </w:r>
    </w:p>
    <w:p w14:paraId="6E4D09B1" w14:textId="06F62E25" w:rsidR="00B47A48" w:rsidRPr="00E5413C" w:rsidRDefault="00B47A48" w:rsidP="00B47A48">
      <w:pPr>
        <w:widowControl w:val="0"/>
        <w:ind w:left="720" w:hanging="720"/>
        <w:rPr>
          <w:lang w:val="es-ES"/>
        </w:rPr>
      </w:pPr>
      <w:r w:rsidRPr="00E5413C">
        <w:rPr>
          <w:lang w:val="fr-FR"/>
        </w:rPr>
        <w:lastRenderedPageBreak/>
        <w:t xml:space="preserve">Lagrange, M.-J. </w:t>
      </w:r>
      <w:r w:rsidRPr="00E5413C">
        <w:rPr>
          <w:i/>
          <w:lang w:val="fr-FR"/>
        </w:rPr>
        <w:t>Évangile selon saint Matthieu</w:t>
      </w:r>
      <w:r w:rsidRPr="00E5413C">
        <w:rPr>
          <w:lang w:val="fr-FR"/>
        </w:rPr>
        <w:t xml:space="preserve">. </w:t>
      </w:r>
      <w:proofErr w:type="spellStart"/>
      <w:r w:rsidRPr="00E5413C">
        <w:rPr>
          <w:lang w:val="es-ES"/>
        </w:rPr>
        <w:t>EBib</w:t>
      </w:r>
      <w:proofErr w:type="spellEnd"/>
      <w:r w:rsidRPr="00E5413C">
        <w:rPr>
          <w:lang w:val="es-ES"/>
        </w:rPr>
        <w:t xml:space="preserve">. 3rd ed. Paris: </w:t>
      </w:r>
      <w:proofErr w:type="spellStart"/>
      <w:r w:rsidRPr="00E5413C">
        <w:rPr>
          <w:lang w:val="es-ES"/>
        </w:rPr>
        <w:t>Gabalda</w:t>
      </w:r>
      <w:proofErr w:type="spellEnd"/>
      <w:r w:rsidRPr="00E5413C">
        <w:rPr>
          <w:lang w:val="es-ES"/>
        </w:rPr>
        <w:t>, 1927.</w:t>
      </w:r>
    </w:p>
    <w:p w14:paraId="1C79BD58" w14:textId="438068BA" w:rsidR="00B47A48" w:rsidRPr="007D4C6B" w:rsidRDefault="00B47A48" w:rsidP="00B47A48">
      <w:pPr>
        <w:widowControl w:val="0"/>
        <w:ind w:left="720" w:hanging="720"/>
      </w:pPr>
      <w:r w:rsidRPr="007D4C6B">
        <w:t xml:space="preserve">Lampe, </w:t>
      </w:r>
      <w:r w:rsidR="00BB6771" w:rsidRPr="00BB6771">
        <w:rPr>
          <w:iCs/>
        </w:rPr>
        <w:t>G.W.H.</w:t>
      </w:r>
      <w:r w:rsidRPr="00DC3006">
        <w:rPr>
          <w:iCs/>
        </w:rPr>
        <w:t xml:space="preserve">. Ed. </w:t>
      </w:r>
      <w:r w:rsidRPr="007D4C6B">
        <w:rPr>
          <w:i/>
        </w:rPr>
        <w:t>A Patristic Greek Dictionary</w:t>
      </w:r>
      <w:r w:rsidRPr="007D4C6B">
        <w:t>. Oxford: Clarendon, 1961-68.</w:t>
      </w:r>
    </w:p>
    <w:p w14:paraId="05619E22" w14:textId="77777777" w:rsidR="00B47A48" w:rsidRPr="00E5413C" w:rsidRDefault="00B47A48" w:rsidP="00B47A48">
      <w:pPr>
        <w:widowControl w:val="0"/>
        <w:ind w:left="720" w:hanging="720"/>
        <w:rPr>
          <w:lang w:val="fr-FR"/>
        </w:rPr>
      </w:pPr>
      <w:r w:rsidRPr="007D4C6B">
        <w:t xml:space="preserve">Lebreton, Jules. </w:t>
      </w:r>
      <w:r w:rsidRPr="007D4C6B">
        <w:rPr>
          <w:i/>
        </w:rPr>
        <w:t>The Spiritual Teaching of the New Testament</w:t>
      </w:r>
      <w:r w:rsidRPr="007D4C6B">
        <w:t xml:space="preserve">. Trans. James E. Whalen. Westminster, Md.: Newman, 1960. </w:t>
      </w:r>
      <w:r w:rsidRPr="00E5413C">
        <w:rPr>
          <w:lang w:val="fr-FR"/>
        </w:rPr>
        <w:t xml:space="preserve">[French: </w:t>
      </w:r>
      <w:r w:rsidRPr="00E5413C">
        <w:rPr>
          <w:i/>
          <w:lang w:val="fr-FR"/>
        </w:rPr>
        <w:t>Lumen Christi</w:t>
      </w:r>
      <w:r w:rsidRPr="00E5413C">
        <w:rPr>
          <w:lang w:val="fr-FR"/>
        </w:rPr>
        <w:t xml:space="preserve">, </w:t>
      </w:r>
      <w:r w:rsidRPr="00E5413C">
        <w:rPr>
          <w:i/>
          <w:lang w:val="fr-FR"/>
        </w:rPr>
        <w:t>La doctrine spirituelle du Nouveau Testament</w:t>
      </w:r>
      <w:r w:rsidRPr="00E5413C">
        <w:rPr>
          <w:lang w:val="fr-FR"/>
        </w:rPr>
        <w:t>, Paris: Beauchesne, 1948.]</w:t>
      </w:r>
    </w:p>
    <w:p w14:paraId="0CFC2492" w14:textId="5EB396D7" w:rsidR="00B47A48" w:rsidRPr="00E5413C" w:rsidRDefault="00B47A48" w:rsidP="00B47A48">
      <w:pPr>
        <w:widowControl w:val="0"/>
        <w:ind w:left="720" w:hanging="720"/>
        <w:rPr>
          <w:lang w:val="fr-FR"/>
        </w:rPr>
      </w:pPr>
      <w:r w:rsidRPr="007D4C6B">
        <w:t xml:space="preserve">Léon-Dufour, Xavier. </w:t>
      </w:r>
      <w:r w:rsidRPr="007D4C6B">
        <w:rPr>
          <w:i/>
        </w:rPr>
        <w:t>Resurrection and the Message of Easter</w:t>
      </w:r>
      <w:r w:rsidRPr="007D4C6B">
        <w:t xml:space="preserve">. London: Geoffrey Chapman, 1974; New York: Holt, </w:t>
      </w:r>
      <w:r w:rsidRPr="00714629">
        <w:rPr>
          <w:iCs/>
        </w:rPr>
        <w:t>Rinehart and Winston</w:t>
      </w:r>
      <w:r w:rsidRPr="007D4C6B">
        <w:t xml:space="preserve">, 1974. </w:t>
      </w:r>
      <w:r w:rsidR="00BB6771" w:rsidRPr="00E5413C">
        <w:rPr>
          <w:lang w:val="fr-FR"/>
        </w:rPr>
        <w:t>(</w:t>
      </w:r>
      <w:r w:rsidRPr="00E5413C">
        <w:rPr>
          <w:i/>
          <w:lang w:val="fr-FR"/>
        </w:rPr>
        <w:t>Résurrection de Jésus et message pascal</w:t>
      </w:r>
      <w:r w:rsidR="00BB6771" w:rsidRPr="00E5413C">
        <w:rPr>
          <w:lang w:val="fr-FR"/>
        </w:rPr>
        <w:t>.</w:t>
      </w:r>
      <w:r w:rsidRPr="00E5413C">
        <w:rPr>
          <w:lang w:val="fr-FR"/>
        </w:rPr>
        <w:t xml:space="preserve"> Paris: Seuil, 1971.</w:t>
      </w:r>
      <w:r w:rsidR="00BB6771" w:rsidRPr="00E5413C">
        <w:rPr>
          <w:lang w:val="fr-FR"/>
        </w:rPr>
        <w:t>)</w:t>
      </w:r>
    </w:p>
    <w:p w14:paraId="40139A94" w14:textId="6FD408C3" w:rsidR="00B47A48" w:rsidRPr="007D4C6B" w:rsidRDefault="00B47A48" w:rsidP="00B47A48">
      <w:pPr>
        <w:widowControl w:val="0"/>
        <w:ind w:left="720" w:hanging="720"/>
      </w:pPr>
      <w:r w:rsidRPr="00E5413C">
        <w:rPr>
          <w:lang w:val="fr-FR"/>
        </w:rPr>
        <w:t xml:space="preserve">Lévi-Strauss, Claude. </w:t>
      </w:r>
      <w:r w:rsidRPr="007D4C6B">
        <w:rPr>
          <w:i/>
        </w:rPr>
        <w:t>Structural Anthropology</w:t>
      </w:r>
      <w:r w:rsidRPr="007D4C6B">
        <w:t xml:space="preserve">. Trans. Claire Jacobson and Brooke </w:t>
      </w:r>
      <w:proofErr w:type="spellStart"/>
      <w:r w:rsidRPr="007D4C6B">
        <w:t>Grundfest</w:t>
      </w:r>
      <w:proofErr w:type="spellEnd"/>
      <w:r w:rsidRPr="007D4C6B">
        <w:t xml:space="preserve"> Schoepf (vol. 1) and Monique Layton (vol. 2). New York: Basic Books, 1963 (vol. 1), 1976 (vol. 2). </w:t>
      </w:r>
      <w:r w:rsidR="00BB6771">
        <w:t>(</w:t>
      </w:r>
      <w:r w:rsidRPr="007D4C6B">
        <w:t>French original, 1958. Vol. 1 contains 17 essays from 1944-57, and vol. 2 contains 18 essays both before and after those of vol. 1.</w:t>
      </w:r>
      <w:r w:rsidR="00BB6771">
        <w:t>)</w:t>
      </w:r>
    </w:p>
    <w:p w14:paraId="4B1DF9AE" w14:textId="0285444D" w:rsidR="00B47A48" w:rsidRPr="007D4C6B" w:rsidRDefault="00B47A48" w:rsidP="00B47A48">
      <w:pPr>
        <w:widowControl w:val="0"/>
        <w:ind w:left="720" w:hanging="720"/>
      </w:pPr>
      <w:r w:rsidRPr="007D4C6B">
        <w:t xml:space="preserve">Lévi-Strauss, Claude. “Structure and Form: Reflections on a Work by Vladimir Propp.” In </w:t>
      </w:r>
      <w:r w:rsidRPr="007D4C6B">
        <w:rPr>
          <w:i/>
        </w:rPr>
        <w:t xml:space="preserve">Structural </w:t>
      </w:r>
      <w:proofErr w:type="spellStart"/>
      <w:r w:rsidRPr="007D4C6B">
        <w:rPr>
          <w:i/>
        </w:rPr>
        <w:t>Anthroplogy</w:t>
      </w:r>
      <w:proofErr w:type="spellEnd"/>
      <w:r w:rsidRPr="007D4C6B">
        <w:t xml:space="preserve">, by Claude Lévi-Strauss. Trans. Monique Layton. New York: Basic Books, 1976, 2. 115-45. Rpt. as a supplement to Vladimir Propp, </w:t>
      </w:r>
      <w:r w:rsidRPr="007D4C6B">
        <w:rPr>
          <w:i/>
        </w:rPr>
        <w:t>Theory and History of Folklore</w:t>
      </w:r>
      <w:r w:rsidRPr="007D4C6B">
        <w:t>, trans. Ariadna Y. Martin et al.</w:t>
      </w:r>
      <w:r w:rsidRPr="00DC3006">
        <w:rPr>
          <w:iCs/>
        </w:rPr>
        <w:t xml:space="preserve">. Ed. </w:t>
      </w:r>
      <w:r w:rsidRPr="007D4C6B">
        <w:t xml:space="preserve">with introduction and notes by Anatoly Liberman, </w:t>
      </w:r>
      <w:r w:rsidRPr="007D4C6B">
        <w:rPr>
          <w:i/>
        </w:rPr>
        <w:t>Theory and History of Literature</w:t>
      </w:r>
      <w:r w:rsidRPr="007D4C6B">
        <w:t xml:space="preserve"> 5, (</w:t>
      </w:r>
      <w:r w:rsidRPr="00D42DB3">
        <w:rPr>
          <w:iCs/>
        </w:rPr>
        <w:t>Minneapolis MN</w:t>
      </w:r>
      <w:r w:rsidRPr="007D4C6B">
        <w:t xml:space="preserve">: University of Minnesota, 1984) 167-88. </w:t>
      </w:r>
      <w:r w:rsidR="00BB6771" w:rsidRPr="00E5413C">
        <w:rPr>
          <w:lang w:val="fr-FR"/>
        </w:rPr>
        <w:t>(</w:t>
      </w:r>
      <w:r w:rsidRPr="00E5413C">
        <w:rPr>
          <w:lang w:val="fr-FR"/>
        </w:rPr>
        <w:t xml:space="preserve">“La structure et la forme: </w:t>
      </w:r>
      <w:proofErr w:type="spellStart"/>
      <w:r w:rsidRPr="00E5413C">
        <w:rPr>
          <w:lang w:val="fr-FR"/>
        </w:rPr>
        <w:t>reflexions</w:t>
      </w:r>
      <w:proofErr w:type="spellEnd"/>
      <w:r w:rsidRPr="00E5413C">
        <w:rPr>
          <w:lang w:val="fr-FR"/>
        </w:rPr>
        <w:t xml:space="preserve"> sur un ouvrage de Vladimir Propp</w:t>
      </w:r>
      <w:r w:rsidR="00BB6771" w:rsidRPr="00E5413C">
        <w:rPr>
          <w:lang w:val="fr-FR"/>
        </w:rPr>
        <w:t>.</w:t>
      </w:r>
      <w:r w:rsidRPr="00E5413C">
        <w:rPr>
          <w:lang w:val="fr-FR"/>
        </w:rPr>
        <w:t xml:space="preserve">” </w:t>
      </w:r>
      <w:r w:rsidRPr="00E5413C">
        <w:rPr>
          <w:i/>
          <w:lang w:val="fr-FR"/>
        </w:rPr>
        <w:t>Cahiers de l</w:t>
      </w:r>
      <w:r w:rsidRPr="00E5413C">
        <w:rPr>
          <w:lang w:val="fr-FR"/>
        </w:rPr>
        <w:t>’</w:t>
      </w:r>
      <w:r w:rsidRPr="00E5413C">
        <w:rPr>
          <w:i/>
          <w:lang w:val="fr-FR"/>
        </w:rPr>
        <w:t>Institute de Science économique appliquée</w:t>
      </w:r>
      <w:r w:rsidR="00BB6771" w:rsidRPr="00E5413C">
        <w:rPr>
          <w:lang w:val="fr-FR"/>
        </w:rPr>
        <w:t>.</w:t>
      </w:r>
      <w:r w:rsidRPr="00E5413C">
        <w:rPr>
          <w:lang w:val="fr-FR"/>
        </w:rPr>
        <w:t xml:space="preserve"> </w:t>
      </w:r>
      <w:proofErr w:type="spellStart"/>
      <w:r w:rsidR="00BB6771" w:rsidRPr="00E5413C">
        <w:rPr>
          <w:lang w:val="fr-FR"/>
        </w:rPr>
        <w:t>Series</w:t>
      </w:r>
      <w:proofErr w:type="spellEnd"/>
      <w:r w:rsidR="00BB6771" w:rsidRPr="00E5413C">
        <w:rPr>
          <w:lang w:val="fr-FR"/>
        </w:rPr>
        <w:t xml:space="preserve"> </w:t>
      </w:r>
      <w:r w:rsidRPr="00E5413C">
        <w:rPr>
          <w:lang w:val="fr-FR"/>
        </w:rPr>
        <w:t xml:space="preserve">M no. 7 </w:t>
      </w:r>
      <w:r w:rsidR="00BB6771" w:rsidRPr="00E5413C">
        <w:rPr>
          <w:lang w:val="fr-FR"/>
        </w:rPr>
        <w:t>[</w:t>
      </w:r>
      <w:r w:rsidRPr="00E5413C">
        <w:rPr>
          <w:lang w:val="fr-FR"/>
        </w:rPr>
        <w:t>1960</w:t>
      </w:r>
      <w:r w:rsidR="00BB6771" w:rsidRPr="00E5413C">
        <w:rPr>
          <w:lang w:val="fr-FR"/>
        </w:rPr>
        <w:t>]</w:t>
      </w:r>
      <w:r w:rsidRPr="00E5413C">
        <w:rPr>
          <w:lang w:val="fr-FR"/>
        </w:rPr>
        <w:t xml:space="preserve"> 1-36</w:t>
      </w:r>
      <w:r w:rsidR="00BB6771" w:rsidRPr="00E5413C">
        <w:rPr>
          <w:lang w:val="fr-FR"/>
        </w:rPr>
        <w:t>.</w:t>
      </w:r>
      <w:r w:rsidRPr="00E5413C">
        <w:rPr>
          <w:lang w:val="fr-FR"/>
        </w:rPr>
        <w:t xml:space="preserve"> </w:t>
      </w:r>
      <w:r w:rsidR="00BB6771" w:rsidRPr="007D4C6B">
        <w:t xml:space="preserve">Simultaneously </w:t>
      </w:r>
      <w:r w:rsidRPr="007D4C6B">
        <w:t>published as “</w:t>
      </w:r>
      <w:proofErr w:type="spellStart"/>
      <w:r w:rsidRPr="007D4C6B">
        <w:t>L’analyse</w:t>
      </w:r>
      <w:proofErr w:type="spellEnd"/>
      <w:r w:rsidRPr="007D4C6B">
        <w:t xml:space="preserve"> </w:t>
      </w:r>
      <w:proofErr w:type="spellStart"/>
      <w:r w:rsidRPr="007D4C6B">
        <w:t>morphologique</w:t>
      </w:r>
      <w:proofErr w:type="spellEnd"/>
      <w:r w:rsidRPr="007D4C6B">
        <w:t xml:space="preserve"> des contes </w:t>
      </w:r>
      <w:proofErr w:type="spellStart"/>
      <w:r w:rsidRPr="007D4C6B">
        <w:t>russes</w:t>
      </w:r>
      <w:proofErr w:type="spellEnd"/>
      <w:r w:rsidR="00BB6771">
        <w:t>.</w:t>
      </w:r>
      <w:r w:rsidRPr="007D4C6B">
        <w:t xml:space="preserve">” </w:t>
      </w:r>
      <w:r w:rsidRPr="007D4C6B">
        <w:rPr>
          <w:i/>
        </w:rPr>
        <w:t>International Journal of Slavic Linguistics and Poetics</w:t>
      </w:r>
      <w:r w:rsidRPr="007D4C6B">
        <w:t xml:space="preserve"> 3 </w:t>
      </w:r>
      <w:r w:rsidR="00BB6771">
        <w:t>[</w:t>
      </w:r>
      <w:r w:rsidRPr="007D4C6B">
        <w:t>1960</w:t>
      </w:r>
      <w:r w:rsidR="00BB6771">
        <w:t>]</w:t>
      </w:r>
      <w:r w:rsidRPr="007D4C6B">
        <w:t xml:space="preserve"> 122-49.</w:t>
      </w:r>
      <w:r w:rsidR="00BB6771">
        <w:t>)</w:t>
      </w:r>
    </w:p>
    <w:p w14:paraId="580060DA" w14:textId="16E33119" w:rsidR="00B47A48" w:rsidRPr="007D4C6B" w:rsidRDefault="00B47A48" w:rsidP="00B47A48">
      <w:pPr>
        <w:widowControl w:val="0"/>
        <w:ind w:left="720" w:hanging="720"/>
      </w:pPr>
      <w:r w:rsidRPr="007D4C6B">
        <w:t xml:space="preserve">Lévi-Strauss, Claude. “The Structural Study of Myth.” </w:t>
      </w:r>
      <w:r w:rsidRPr="007D4C6B">
        <w:rPr>
          <w:i/>
        </w:rPr>
        <w:t>Journal of American Folklore</w:t>
      </w:r>
      <w:r w:rsidRPr="007D4C6B">
        <w:t xml:space="preserve"> 68 (1955) 428-44. Also in </w:t>
      </w:r>
      <w:r w:rsidRPr="007D4C6B">
        <w:rPr>
          <w:i/>
        </w:rPr>
        <w:t>Myth</w:t>
      </w:r>
      <w:r w:rsidRPr="007D4C6B">
        <w:t xml:space="preserve">: </w:t>
      </w:r>
      <w:r w:rsidRPr="007D4C6B">
        <w:rPr>
          <w:i/>
        </w:rPr>
        <w:t>A Symposium</w:t>
      </w:r>
      <w:r w:rsidRPr="007D4C6B">
        <w:t xml:space="preserve">. </w:t>
      </w:r>
      <w:r w:rsidR="00E565D9">
        <w:t xml:space="preserve">Ed. </w:t>
      </w:r>
      <w:r w:rsidRPr="007D4C6B">
        <w:t xml:space="preserve">Thomas A. </w:t>
      </w:r>
      <w:proofErr w:type="spellStart"/>
      <w:r w:rsidRPr="007D4C6B">
        <w:t>Sebeok</w:t>
      </w:r>
      <w:proofErr w:type="spellEnd"/>
      <w:r w:rsidRPr="007D4C6B">
        <w:t xml:space="preserve">. Philadelphia: American Folklore Society, 1955, pp. 53-65. Rpt. in Lévi-Strauss’ </w:t>
      </w:r>
      <w:r w:rsidRPr="007D4C6B">
        <w:rPr>
          <w:i/>
        </w:rPr>
        <w:t>Structural Anthropology</w:t>
      </w:r>
      <w:r w:rsidRPr="007D4C6B">
        <w:t>, 1. 206-31.</w:t>
      </w:r>
    </w:p>
    <w:p w14:paraId="21906077" w14:textId="77777777" w:rsidR="00B47A48" w:rsidRPr="007D4C6B" w:rsidRDefault="00B47A48" w:rsidP="00B47A48">
      <w:pPr>
        <w:widowControl w:val="0"/>
        <w:ind w:left="720" w:hanging="720"/>
      </w:pPr>
      <w:r w:rsidRPr="007D4C6B">
        <w:t xml:space="preserve">Liberman, Anatoly. “Introduction.” In Vladimir Propp, </w:t>
      </w:r>
      <w:r w:rsidRPr="007D4C6B">
        <w:rPr>
          <w:i/>
        </w:rPr>
        <w:t>Theory and History of Folklore</w:t>
      </w:r>
      <w:r w:rsidRPr="007D4C6B">
        <w:t xml:space="preserve">. Trans. Ariadna Y. Martin et al., edited by Anatoly Liberman. Theory and History of Literature 5. </w:t>
      </w:r>
      <w:r w:rsidRPr="00D42DB3">
        <w:rPr>
          <w:iCs/>
        </w:rPr>
        <w:t>Minneapolis MN</w:t>
      </w:r>
      <w:r w:rsidRPr="007D4C6B">
        <w:t>: University of Minnesota, 1984.</w:t>
      </w:r>
    </w:p>
    <w:p w14:paraId="3AD183D5" w14:textId="77777777" w:rsidR="00B47A48" w:rsidRPr="007D4C6B" w:rsidRDefault="00B47A48" w:rsidP="00B47A48">
      <w:pPr>
        <w:widowControl w:val="0"/>
        <w:ind w:left="720" w:hanging="720"/>
      </w:pPr>
      <w:r w:rsidRPr="007D4C6B">
        <w:t xml:space="preserve">Liddell, H. G., R. Scott, and Jones. </w:t>
      </w:r>
      <w:r w:rsidRPr="007D4C6B">
        <w:rPr>
          <w:i/>
        </w:rPr>
        <w:t>A Greek-English Lexicon</w:t>
      </w:r>
      <w:r w:rsidRPr="007D4C6B">
        <w:t xml:space="preserve">. New ed. by H. S. Jones. 2 vols. </w:t>
      </w:r>
      <w:r w:rsidRPr="00214BC2">
        <w:rPr>
          <w:iCs/>
        </w:rPr>
        <w:t>Oxford: OUP</w:t>
      </w:r>
      <w:r w:rsidRPr="007D4C6B">
        <w:t>, 1925-40; suppl. 1968.</w:t>
      </w:r>
    </w:p>
    <w:p w14:paraId="12BB4A9D" w14:textId="77777777" w:rsidR="00B47A48" w:rsidRPr="007D4C6B" w:rsidRDefault="00B47A48" w:rsidP="00B47A48">
      <w:pPr>
        <w:widowControl w:val="0"/>
        <w:ind w:left="720" w:hanging="720"/>
      </w:pPr>
      <w:r w:rsidRPr="007D4C6B">
        <w:t xml:space="preserve">Lightfoot, Robert Henry. </w:t>
      </w:r>
      <w:r w:rsidRPr="007D4C6B">
        <w:rPr>
          <w:i/>
        </w:rPr>
        <w:t>Locality and Doctrine in the Gospels</w:t>
      </w:r>
      <w:r w:rsidRPr="007D4C6B">
        <w:t xml:space="preserve">. London: </w:t>
      </w:r>
      <w:r w:rsidRPr="00110AE7">
        <w:rPr>
          <w:iCs/>
        </w:rPr>
        <w:t>Hodder and Stoughton</w:t>
      </w:r>
      <w:r w:rsidRPr="007D4C6B">
        <w:t>, 1938.</w:t>
      </w:r>
    </w:p>
    <w:p w14:paraId="362A2068" w14:textId="77777777" w:rsidR="00B47A48" w:rsidRPr="007D4C6B" w:rsidRDefault="00B47A48" w:rsidP="00B47A48">
      <w:pPr>
        <w:widowControl w:val="0"/>
        <w:ind w:left="720" w:hanging="720"/>
      </w:pPr>
      <w:r w:rsidRPr="007D4C6B">
        <w:t xml:space="preserve">Lippold, Richard. “Illusion as Structure.” In </w:t>
      </w:r>
      <w:r w:rsidRPr="007D4C6B">
        <w:rPr>
          <w:i/>
        </w:rPr>
        <w:t>Structure in Art and in Science</w:t>
      </w:r>
      <w:r w:rsidRPr="00DC3006">
        <w:rPr>
          <w:iCs/>
        </w:rPr>
        <w:t xml:space="preserve">. Ed. </w:t>
      </w:r>
      <w:r w:rsidRPr="007D4C6B">
        <w:t>Gyorgy Kepes. Vision + value series. New York: George Braziller, 1965.</w:t>
      </w:r>
    </w:p>
    <w:p w14:paraId="092A188A" w14:textId="138108C1" w:rsidR="00B47A48" w:rsidRPr="007D4C6B" w:rsidRDefault="00B47A48" w:rsidP="00B47A48">
      <w:pPr>
        <w:widowControl w:val="0"/>
        <w:ind w:left="720" w:hanging="720"/>
      </w:pPr>
      <w:r w:rsidRPr="007D4C6B">
        <w:t xml:space="preserve">Lohse, Eduard. </w:t>
      </w:r>
      <w:r w:rsidRPr="007D4C6B">
        <w:rPr>
          <w:i/>
        </w:rPr>
        <w:t>The Formation of the New Testament</w:t>
      </w:r>
      <w:r w:rsidRPr="007D4C6B">
        <w:t xml:space="preserve">. Trans. M. Eugene Boring. </w:t>
      </w:r>
      <w:r w:rsidRPr="000644ED">
        <w:rPr>
          <w:iCs/>
        </w:rPr>
        <w:t>Nashville</w:t>
      </w:r>
      <w:r w:rsidRPr="007D4C6B">
        <w:t xml:space="preserve">: Abingdon, 1981. </w:t>
      </w:r>
      <w:r w:rsidR="00BB6771">
        <w:t>(</w:t>
      </w:r>
      <w:r w:rsidRPr="007D4C6B">
        <w:rPr>
          <w:i/>
        </w:rPr>
        <w:t xml:space="preserve">Die </w:t>
      </w:r>
      <w:proofErr w:type="spellStart"/>
      <w:r w:rsidRPr="007D4C6B">
        <w:rPr>
          <w:i/>
        </w:rPr>
        <w:t>Entstehung</w:t>
      </w:r>
      <w:proofErr w:type="spellEnd"/>
      <w:r w:rsidRPr="007D4C6B">
        <w:rPr>
          <w:i/>
        </w:rPr>
        <w:t xml:space="preserve"> des Neuen Testaments</w:t>
      </w:r>
      <w:r w:rsidRPr="007D4C6B">
        <w:t>, Stuttgart: Kohlhammer, 1972.</w:t>
      </w:r>
      <w:r w:rsidR="00BB6771">
        <w:t>)</w:t>
      </w:r>
    </w:p>
    <w:p w14:paraId="2EFC290C" w14:textId="665F48B4" w:rsidR="00B47A48" w:rsidRPr="007D4C6B" w:rsidRDefault="00B47A48" w:rsidP="00B47A48">
      <w:pPr>
        <w:widowControl w:val="0"/>
        <w:ind w:left="720" w:hanging="720"/>
      </w:pPr>
      <w:proofErr w:type="spellStart"/>
      <w:r w:rsidRPr="007D4C6B">
        <w:t>Loisy</w:t>
      </w:r>
      <w:proofErr w:type="spellEnd"/>
      <w:r w:rsidRPr="007D4C6B">
        <w:t xml:space="preserve">, Alfred. </w:t>
      </w:r>
      <w:r w:rsidRPr="007D4C6B">
        <w:rPr>
          <w:i/>
        </w:rPr>
        <w:t>The Origins of the New Testament</w:t>
      </w:r>
      <w:r w:rsidRPr="007D4C6B">
        <w:t xml:space="preserve">. Trans. </w:t>
      </w:r>
      <w:r w:rsidR="00BB6771" w:rsidRPr="00BB6771">
        <w:rPr>
          <w:iCs/>
        </w:rPr>
        <w:t>L.P.</w:t>
      </w:r>
      <w:r w:rsidRPr="007D4C6B">
        <w:t xml:space="preserve"> Jacks. London: George Allen </w:t>
      </w:r>
      <w:r w:rsidR="00BB6771">
        <w:t>and</w:t>
      </w:r>
      <w:r w:rsidRPr="007D4C6B">
        <w:t xml:space="preserve"> Unwin, 1950. </w:t>
      </w:r>
      <w:r w:rsidR="00BB6771" w:rsidRPr="00E5413C">
        <w:rPr>
          <w:lang w:val="fr-FR"/>
        </w:rPr>
        <w:t>(</w:t>
      </w:r>
      <w:r w:rsidRPr="00E5413C">
        <w:rPr>
          <w:i/>
          <w:lang w:val="fr-FR"/>
        </w:rPr>
        <w:t>Les Origines du Nouveau Testament</w:t>
      </w:r>
      <w:r w:rsidR="00BB6771" w:rsidRPr="00E5413C">
        <w:rPr>
          <w:lang w:val="fr-FR"/>
        </w:rPr>
        <w:t>.</w:t>
      </w:r>
      <w:r w:rsidRPr="00E5413C">
        <w:rPr>
          <w:lang w:val="fr-FR"/>
        </w:rPr>
        <w:t xml:space="preserve"> 1936</w:t>
      </w:r>
      <w:r w:rsidR="00BB6771" w:rsidRPr="00E5413C">
        <w:rPr>
          <w:lang w:val="fr-FR"/>
        </w:rPr>
        <w:t>.</w:t>
      </w:r>
      <w:r w:rsidRPr="00E5413C">
        <w:rPr>
          <w:lang w:val="fr-FR"/>
        </w:rPr>
        <w:t xml:space="preserve"> </w:t>
      </w:r>
      <w:proofErr w:type="spellStart"/>
      <w:r w:rsidR="00BB6771" w:rsidRPr="00E5413C">
        <w:rPr>
          <w:lang w:val="fr-FR"/>
        </w:rPr>
        <w:t>Intended</w:t>
      </w:r>
      <w:proofErr w:type="spellEnd"/>
      <w:r w:rsidR="00BB6771" w:rsidRPr="00E5413C">
        <w:rPr>
          <w:lang w:val="fr-FR"/>
        </w:rPr>
        <w:t xml:space="preserve"> </w:t>
      </w:r>
      <w:r w:rsidRPr="00E5413C">
        <w:rPr>
          <w:lang w:val="fr-FR"/>
        </w:rPr>
        <w:t xml:space="preserve">as a </w:t>
      </w:r>
      <w:proofErr w:type="spellStart"/>
      <w:r w:rsidRPr="00E5413C">
        <w:rPr>
          <w:lang w:val="fr-FR"/>
        </w:rPr>
        <w:t>sequel</w:t>
      </w:r>
      <w:proofErr w:type="spellEnd"/>
      <w:r w:rsidRPr="00E5413C">
        <w:rPr>
          <w:lang w:val="fr-FR"/>
        </w:rPr>
        <w:t xml:space="preserve"> to </w:t>
      </w:r>
      <w:r w:rsidRPr="00E5413C">
        <w:rPr>
          <w:i/>
          <w:lang w:val="fr-FR"/>
        </w:rPr>
        <w:t>La Naissance du Christianisme</w:t>
      </w:r>
      <w:r w:rsidR="00BB6771" w:rsidRPr="00E5413C">
        <w:rPr>
          <w:lang w:val="fr-FR"/>
        </w:rPr>
        <w:t xml:space="preserve">. </w:t>
      </w:r>
      <w:r w:rsidR="00BB6771" w:rsidRPr="007D4C6B">
        <w:t xml:space="preserve">The </w:t>
      </w:r>
      <w:r w:rsidRPr="007D4C6B">
        <w:t>2 vols. are published as one by University Books</w:t>
      </w:r>
      <w:r w:rsidR="00BB6771">
        <w:t>.)</w:t>
      </w:r>
    </w:p>
    <w:p w14:paraId="1ABF6CB5" w14:textId="77777777" w:rsidR="00B47A48" w:rsidRPr="007D4C6B" w:rsidRDefault="00B47A48" w:rsidP="00B47A48">
      <w:pPr>
        <w:widowControl w:val="0"/>
        <w:ind w:left="720" w:hanging="720"/>
      </w:pPr>
      <w:r w:rsidRPr="007D4C6B">
        <w:t xml:space="preserve">Lubbock, Percy. </w:t>
      </w:r>
      <w:r w:rsidRPr="007D4C6B">
        <w:rPr>
          <w:i/>
        </w:rPr>
        <w:t>The Craft of Fiction</w:t>
      </w:r>
      <w:r w:rsidRPr="007D4C6B">
        <w:t>. New York: Viking, 1957 (Compass paperback ed.).</w:t>
      </w:r>
    </w:p>
    <w:p w14:paraId="3CBA09D6" w14:textId="6264946A" w:rsidR="00B47A48" w:rsidRPr="007D4C6B" w:rsidRDefault="00B47A48" w:rsidP="00B47A48">
      <w:pPr>
        <w:widowControl w:val="0"/>
        <w:ind w:left="720" w:hanging="720"/>
      </w:pPr>
      <w:r w:rsidRPr="007D4C6B">
        <w:t xml:space="preserve">Lund, Nils Wilhelm. </w:t>
      </w:r>
      <w:r w:rsidRPr="007D4C6B">
        <w:rPr>
          <w:i/>
        </w:rPr>
        <w:t>Chiasmus in the New Testament</w:t>
      </w:r>
      <w:r w:rsidRPr="007D4C6B">
        <w:t xml:space="preserve">. Chapel Hill, NC: University of North Carolina, 1942. </w:t>
      </w:r>
      <w:r w:rsidR="00BB6771">
        <w:t>(</w:t>
      </w:r>
      <w:r w:rsidRPr="007D4C6B">
        <w:t>Lund’s 1941 dissertation at the University of Chicago.</w:t>
      </w:r>
      <w:r w:rsidR="00BB6771">
        <w:t>)</w:t>
      </w:r>
    </w:p>
    <w:p w14:paraId="4818256B" w14:textId="7039D93D" w:rsidR="00B47A48" w:rsidRPr="007D4C6B" w:rsidRDefault="00B47A48" w:rsidP="00B47A48">
      <w:pPr>
        <w:widowControl w:val="0"/>
        <w:ind w:left="720" w:hanging="720"/>
      </w:pPr>
      <w:r w:rsidRPr="007D4C6B">
        <w:t xml:space="preserve">MacGregor, </w:t>
      </w:r>
      <w:r w:rsidR="00BB6771" w:rsidRPr="00BB6771">
        <w:rPr>
          <w:iCs/>
        </w:rPr>
        <w:t>W.M.</w:t>
      </w:r>
      <w:r w:rsidRPr="007D4C6B">
        <w:t xml:space="preserve"> “The Sermon on the Mount: The Beatitudes.” </w:t>
      </w:r>
      <w:r w:rsidRPr="007D4C6B">
        <w:rPr>
          <w:i/>
        </w:rPr>
        <w:t>Exp</w:t>
      </w:r>
      <w:r w:rsidR="00BB6771">
        <w:rPr>
          <w:i/>
        </w:rPr>
        <w:t xml:space="preserve">ository </w:t>
      </w:r>
      <w:r w:rsidRPr="007D4C6B">
        <w:rPr>
          <w:i/>
        </w:rPr>
        <w:t>Tim</w:t>
      </w:r>
      <w:r w:rsidR="00BB6771">
        <w:rPr>
          <w:i/>
        </w:rPr>
        <w:t>es</w:t>
      </w:r>
      <w:r w:rsidRPr="007D4C6B">
        <w:t xml:space="preserve"> 39 (1927-28) 293-97.</w:t>
      </w:r>
    </w:p>
    <w:p w14:paraId="61604912" w14:textId="62CBEBCF" w:rsidR="00B47A48" w:rsidRPr="007D4C6B" w:rsidRDefault="00B47A48" w:rsidP="00B47A48">
      <w:pPr>
        <w:widowControl w:val="0"/>
        <w:ind w:left="720" w:hanging="720"/>
      </w:pPr>
      <w:r w:rsidRPr="007D4C6B">
        <w:t xml:space="preserve">Manson, </w:t>
      </w:r>
      <w:r w:rsidR="00BB6771" w:rsidRPr="00BB6771">
        <w:rPr>
          <w:iCs/>
        </w:rPr>
        <w:t>T.W.</w:t>
      </w:r>
      <w:r w:rsidRPr="007D4C6B">
        <w:t xml:space="preserve"> </w:t>
      </w:r>
      <w:r w:rsidRPr="007D4C6B">
        <w:rPr>
          <w:i/>
        </w:rPr>
        <w:t>The Teaching of Jesus</w:t>
      </w:r>
      <w:r w:rsidRPr="007D4C6B">
        <w:t xml:space="preserve">: </w:t>
      </w:r>
      <w:r w:rsidRPr="007D4C6B">
        <w:rPr>
          <w:i/>
        </w:rPr>
        <w:t>Studies of Its Form and Content</w:t>
      </w:r>
      <w:r w:rsidRPr="007D4C6B">
        <w:t xml:space="preserve">. </w:t>
      </w:r>
      <w:r w:rsidRPr="00E366BA">
        <w:rPr>
          <w:iCs/>
        </w:rPr>
        <w:t>Cambridge: CUP</w:t>
      </w:r>
      <w:r w:rsidRPr="007D4C6B">
        <w:t>, 1931, 1935</w:t>
      </w:r>
      <w:r w:rsidRPr="007D4C6B">
        <w:rPr>
          <w:vertAlign w:val="superscript"/>
        </w:rPr>
        <w:t>2</w:t>
      </w:r>
      <w:r w:rsidRPr="007D4C6B">
        <w:t>.</w:t>
      </w:r>
    </w:p>
    <w:p w14:paraId="45E01127" w14:textId="30431BC5" w:rsidR="00B47A48" w:rsidRPr="007D4C6B" w:rsidRDefault="00B47A48" w:rsidP="00B47A48">
      <w:pPr>
        <w:widowControl w:val="0"/>
        <w:ind w:left="720" w:hanging="720"/>
      </w:pPr>
      <w:r w:rsidRPr="007D4C6B">
        <w:t xml:space="preserve">Marxsen, Willi. </w:t>
      </w:r>
      <w:r w:rsidRPr="007D4C6B">
        <w:rPr>
          <w:i/>
        </w:rPr>
        <w:t>Introduction to the New Testament</w:t>
      </w:r>
      <w:r w:rsidRPr="007D4C6B">
        <w:t xml:space="preserve">: </w:t>
      </w:r>
      <w:r w:rsidRPr="007D4C6B">
        <w:rPr>
          <w:i/>
        </w:rPr>
        <w:t>An Approach to its Problems</w:t>
      </w:r>
      <w:r w:rsidRPr="007D4C6B">
        <w:t xml:space="preserve">. Trans. G. </w:t>
      </w:r>
      <w:r w:rsidRPr="007D4C6B">
        <w:lastRenderedPageBreak/>
        <w:t xml:space="preserve">Buswell. Oxford: Basil Blackwell, 1968; Philadelphia: Fortress, 1968. </w:t>
      </w:r>
      <w:r w:rsidR="00BB6771">
        <w:t>(</w:t>
      </w:r>
      <w:proofErr w:type="spellStart"/>
      <w:r w:rsidRPr="007D4C6B">
        <w:rPr>
          <w:i/>
        </w:rPr>
        <w:t>Einleitung</w:t>
      </w:r>
      <w:proofErr w:type="spellEnd"/>
      <w:r w:rsidRPr="007D4C6B">
        <w:rPr>
          <w:i/>
        </w:rPr>
        <w:t xml:space="preserve"> in das Neue Testament</w:t>
      </w:r>
      <w:r w:rsidRPr="007D4C6B">
        <w:t xml:space="preserve">, 3rd ed., Gütersloh: </w:t>
      </w:r>
      <w:proofErr w:type="spellStart"/>
      <w:r w:rsidRPr="007D4C6B">
        <w:t>Gütersloher</w:t>
      </w:r>
      <w:proofErr w:type="spellEnd"/>
      <w:r w:rsidRPr="007D4C6B">
        <w:t xml:space="preserve"> </w:t>
      </w:r>
      <w:proofErr w:type="spellStart"/>
      <w:r w:rsidRPr="007D4C6B">
        <w:t>Verlagshaus</w:t>
      </w:r>
      <w:proofErr w:type="spellEnd"/>
      <w:r w:rsidRPr="007D4C6B">
        <w:t>, Gerd Mohn, 1964.</w:t>
      </w:r>
      <w:r w:rsidR="00BB6771">
        <w:t>)</w:t>
      </w:r>
    </w:p>
    <w:p w14:paraId="3FFEE84C" w14:textId="561AD5E5" w:rsidR="00B47A48" w:rsidRPr="007D4C6B" w:rsidRDefault="00B47A48" w:rsidP="00B47A48">
      <w:pPr>
        <w:widowControl w:val="0"/>
        <w:ind w:left="720" w:hanging="720"/>
      </w:pPr>
      <w:r w:rsidRPr="007D4C6B">
        <w:t>Maurus, Rabanus. “</w:t>
      </w:r>
      <w:r w:rsidRPr="007D4C6B">
        <w:rPr>
          <w:i/>
        </w:rPr>
        <w:t>On the Training of the Clergy</w:t>
      </w:r>
      <w:r w:rsidRPr="007D4C6B">
        <w:t xml:space="preserve"> [</w:t>
      </w:r>
      <w:r w:rsidRPr="007D4C6B">
        <w:rPr>
          <w:i/>
        </w:rPr>
        <w:t xml:space="preserve">De </w:t>
      </w:r>
      <w:proofErr w:type="spellStart"/>
      <w:r w:rsidRPr="007D4C6B">
        <w:rPr>
          <w:i/>
        </w:rPr>
        <w:t>clericorum</w:t>
      </w:r>
      <w:proofErr w:type="spellEnd"/>
      <w:r w:rsidRPr="007D4C6B">
        <w:rPr>
          <w:i/>
        </w:rPr>
        <w:t xml:space="preserve"> </w:t>
      </w:r>
      <w:proofErr w:type="spellStart"/>
      <w:r w:rsidRPr="007D4C6B">
        <w:rPr>
          <w:i/>
        </w:rPr>
        <w:t>institutione</w:t>
      </w:r>
      <w:proofErr w:type="spellEnd"/>
      <w:r w:rsidRPr="007D4C6B">
        <w:t xml:space="preserve">, </w:t>
      </w:r>
      <w:proofErr w:type="spellStart"/>
      <w:r w:rsidRPr="007D4C6B">
        <w:rPr>
          <w:i/>
        </w:rPr>
        <w:t>Patrologia</w:t>
      </w:r>
      <w:proofErr w:type="spellEnd"/>
      <w:r w:rsidRPr="007D4C6B">
        <w:rPr>
          <w:i/>
        </w:rPr>
        <w:t xml:space="preserve"> Latina</w:t>
      </w:r>
      <w:r w:rsidRPr="007D4C6B">
        <w:t xml:space="preserve"> 107.395], III.19.” In </w:t>
      </w:r>
      <w:r w:rsidRPr="007D4C6B">
        <w:rPr>
          <w:i/>
        </w:rPr>
        <w:t>Readings in Medieval Rhetoric</w:t>
      </w:r>
      <w:r w:rsidRPr="00DC3006">
        <w:rPr>
          <w:iCs/>
        </w:rPr>
        <w:t xml:space="preserve">. Ed. </w:t>
      </w:r>
      <w:r w:rsidRPr="007D4C6B">
        <w:t xml:space="preserve">Joseph M. Miller et al. </w:t>
      </w:r>
      <w:r w:rsidRPr="00C45D7C">
        <w:rPr>
          <w:iCs/>
        </w:rPr>
        <w:t>Bloomington IN: Indiana UP</w:t>
      </w:r>
      <w:r w:rsidRPr="007D4C6B">
        <w:t>, 1973.</w:t>
      </w:r>
    </w:p>
    <w:p w14:paraId="3122915D" w14:textId="26C9A60A" w:rsidR="00B47A48" w:rsidRPr="007D4C6B" w:rsidRDefault="00B47A48" w:rsidP="00B47A48">
      <w:pPr>
        <w:widowControl w:val="0"/>
        <w:ind w:left="720" w:hanging="720"/>
      </w:pPr>
      <w:r w:rsidRPr="007D4C6B">
        <w:t xml:space="preserve">McArthur, Harvey K. “Basic Issues, A Survey of Recent Gospel Research.” </w:t>
      </w:r>
      <w:r w:rsidRPr="007D4C6B">
        <w:rPr>
          <w:i/>
        </w:rPr>
        <w:t>Int</w:t>
      </w:r>
      <w:r w:rsidR="00BB6771">
        <w:rPr>
          <w:i/>
        </w:rPr>
        <w:t>erpretation</w:t>
      </w:r>
      <w:r w:rsidRPr="007D4C6B">
        <w:t xml:space="preserve"> 18 (January 1964) 39-55. Rpt. in </w:t>
      </w:r>
      <w:r w:rsidRPr="007D4C6B">
        <w:rPr>
          <w:i/>
        </w:rPr>
        <w:t>In Search of the Historical Jesus</w:t>
      </w:r>
      <w:r w:rsidRPr="00DC3006">
        <w:rPr>
          <w:iCs/>
        </w:rPr>
        <w:t xml:space="preserve">. Ed. </w:t>
      </w:r>
      <w:r w:rsidRPr="007D4C6B">
        <w:t>Harvey K. McArthur</w:t>
      </w:r>
      <w:r w:rsidR="00BB6771">
        <w:t>.</w:t>
      </w:r>
      <w:r w:rsidRPr="007D4C6B">
        <w:t xml:space="preserve"> New York: Scribner’s, 1969.</w:t>
      </w:r>
    </w:p>
    <w:p w14:paraId="162F69E4" w14:textId="77777777" w:rsidR="00B47A48" w:rsidRPr="007D4C6B" w:rsidRDefault="00B47A48" w:rsidP="00B47A48">
      <w:pPr>
        <w:widowControl w:val="0"/>
        <w:ind w:left="720" w:hanging="720"/>
      </w:pPr>
      <w:r w:rsidRPr="007D4C6B">
        <w:t xml:space="preserve">McArthur, Harvey K. </w:t>
      </w:r>
      <w:r w:rsidRPr="007D4C6B">
        <w:rPr>
          <w:i/>
        </w:rPr>
        <w:t>Understanding the Sermon on the Mount</w:t>
      </w:r>
      <w:r w:rsidRPr="007D4C6B">
        <w:t>. London: Epworth, 1960.</w:t>
      </w:r>
    </w:p>
    <w:p w14:paraId="33FDFFC9" w14:textId="20F397AA" w:rsidR="00B47A48" w:rsidRPr="007D4C6B" w:rsidRDefault="00B47A48" w:rsidP="00B47A48">
      <w:pPr>
        <w:widowControl w:val="0"/>
        <w:ind w:left="720" w:hanging="720"/>
      </w:pPr>
      <w:r w:rsidRPr="007D4C6B">
        <w:t xml:space="preserve">McKenzie, John L. </w:t>
      </w:r>
      <w:r w:rsidRPr="007D4C6B">
        <w:rPr>
          <w:i/>
        </w:rPr>
        <w:t>Dictionary of the Bible</w:t>
      </w:r>
      <w:r w:rsidRPr="007D4C6B">
        <w:t>. Milwaukee WI: Bruce, 1965.</w:t>
      </w:r>
    </w:p>
    <w:p w14:paraId="324A7F16" w14:textId="77777777" w:rsidR="00B47A48" w:rsidRPr="007D4C6B" w:rsidRDefault="00B47A48" w:rsidP="00B47A48">
      <w:pPr>
        <w:widowControl w:val="0"/>
        <w:ind w:left="720" w:hanging="720"/>
      </w:pPr>
      <w:r w:rsidRPr="007D4C6B">
        <w:t xml:space="preserve">Metzger, Bruce M. </w:t>
      </w:r>
      <w:r w:rsidRPr="007D4C6B">
        <w:rPr>
          <w:i/>
        </w:rPr>
        <w:t>The New Testament</w:t>
      </w:r>
      <w:r w:rsidRPr="007D4C6B">
        <w:t xml:space="preserve">: </w:t>
      </w:r>
      <w:r w:rsidRPr="007D4C6B">
        <w:rPr>
          <w:i/>
        </w:rPr>
        <w:t>Its Background</w:t>
      </w:r>
      <w:r w:rsidRPr="007D4C6B">
        <w:t xml:space="preserve">, </w:t>
      </w:r>
      <w:r w:rsidRPr="007D4C6B">
        <w:rPr>
          <w:i/>
        </w:rPr>
        <w:t>Growth</w:t>
      </w:r>
      <w:r w:rsidRPr="007D4C6B">
        <w:t xml:space="preserve">, </w:t>
      </w:r>
      <w:r w:rsidRPr="007D4C6B">
        <w:rPr>
          <w:i/>
        </w:rPr>
        <w:t>and Content</w:t>
      </w:r>
      <w:r w:rsidRPr="007D4C6B">
        <w:t xml:space="preserve">. </w:t>
      </w:r>
      <w:r w:rsidRPr="000644ED">
        <w:rPr>
          <w:iCs/>
        </w:rPr>
        <w:t>Nashville</w:t>
      </w:r>
      <w:r w:rsidRPr="007D4C6B">
        <w:t>: Abingdon, 1965, 1983</w:t>
      </w:r>
      <w:r w:rsidRPr="007D4C6B">
        <w:rPr>
          <w:vertAlign w:val="superscript"/>
        </w:rPr>
        <w:t>2</w:t>
      </w:r>
      <w:r w:rsidRPr="007D4C6B">
        <w:t>.</w:t>
      </w:r>
    </w:p>
    <w:p w14:paraId="6EFA4A41" w14:textId="77777777" w:rsidR="00B47A48" w:rsidRPr="007D4C6B" w:rsidRDefault="00B47A48" w:rsidP="00B47A48">
      <w:pPr>
        <w:widowControl w:val="0"/>
        <w:ind w:left="720" w:hanging="720"/>
      </w:pPr>
      <w:r w:rsidRPr="007D4C6B">
        <w:t xml:space="preserve">Metzger, Bruce M. </w:t>
      </w:r>
      <w:r w:rsidRPr="007D4C6B">
        <w:rPr>
          <w:i/>
        </w:rPr>
        <w:t>The Text of the New Testament</w:t>
      </w:r>
      <w:r w:rsidRPr="007D4C6B">
        <w:t xml:space="preserve">: </w:t>
      </w:r>
      <w:r w:rsidRPr="007D4C6B">
        <w:rPr>
          <w:i/>
        </w:rPr>
        <w:t>Its Transmission</w:t>
      </w:r>
      <w:r w:rsidRPr="007D4C6B">
        <w:t xml:space="preserve">, </w:t>
      </w:r>
      <w:r w:rsidRPr="007D4C6B">
        <w:rPr>
          <w:i/>
        </w:rPr>
        <w:t>Corruption</w:t>
      </w:r>
      <w:r w:rsidRPr="007D4C6B">
        <w:t xml:space="preserve">, </w:t>
      </w:r>
      <w:r w:rsidRPr="007D4C6B">
        <w:rPr>
          <w:i/>
        </w:rPr>
        <w:t>and Restoration</w:t>
      </w:r>
      <w:r w:rsidRPr="007D4C6B">
        <w:t xml:space="preserve">. </w:t>
      </w:r>
      <w:r w:rsidRPr="00214BC2">
        <w:rPr>
          <w:iCs/>
        </w:rPr>
        <w:t>Oxford: OUP</w:t>
      </w:r>
      <w:r w:rsidRPr="007D4C6B">
        <w:t>, 1964, 1968</w:t>
      </w:r>
      <w:r w:rsidRPr="007D4C6B">
        <w:rPr>
          <w:vertAlign w:val="superscript"/>
        </w:rPr>
        <w:t>2</w:t>
      </w:r>
      <w:r w:rsidRPr="007D4C6B">
        <w:t>.</w:t>
      </w:r>
    </w:p>
    <w:p w14:paraId="12FF8299" w14:textId="1CB034A1" w:rsidR="00B47A48" w:rsidRPr="007D4C6B" w:rsidRDefault="00B47A48" w:rsidP="00B47A48">
      <w:pPr>
        <w:widowControl w:val="0"/>
        <w:ind w:left="720" w:hanging="720"/>
      </w:pPr>
      <w:r w:rsidRPr="007D4C6B">
        <w:t>Metzger, Bruce M.</w:t>
      </w:r>
      <w:r w:rsidR="00BB6771">
        <w:rPr>
          <w:iCs/>
        </w:rPr>
        <w:t>,</w:t>
      </w:r>
      <w:r w:rsidRPr="00DC3006">
        <w:rPr>
          <w:iCs/>
        </w:rPr>
        <w:t xml:space="preserve"> </w:t>
      </w:r>
      <w:r w:rsidR="00BB6771">
        <w:rPr>
          <w:iCs/>
        </w:rPr>
        <w:t>e</w:t>
      </w:r>
      <w:r w:rsidRPr="00DC3006">
        <w:rPr>
          <w:iCs/>
        </w:rPr>
        <w:t xml:space="preserve">d. </w:t>
      </w:r>
      <w:r w:rsidRPr="007D4C6B">
        <w:rPr>
          <w:i/>
        </w:rPr>
        <w:t>Index to Periodical Literature on Christ and the Gospels</w:t>
      </w:r>
      <w:r w:rsidRPr="007D4C6B">
        <w:t>. NTTS 6. Leiden: Brill, 1966.</w:t>
      </w:r>
    </w:p>
    <w:p w14:paraId="6F41D91B" w14:textId="77777777" w:rsidR="00B47A48" w:rsidRPr="007D4C6B" w:rsidRDefault="00B47A48" w:rsidP="00B47A48">
      <w:pPr>
        <w:widowControl w:val="0"/>
        <w:ind w:left="720" w:hanging="720"/>
      </w:pPr>
      <w:r w:rsidRPr="007D4C6B">
        <w:t xml:space="preserve">Meyer, Leonard B. </w:t>
      </w:r>
      <w:r w:rsidRPr="007D4C6B">
        <w:rPr>
          <w:i/>
        </w:rPr>
        <w:t>Explaining Music</w:t>
      </w:r>
      <w:r w:rsidRPr="007D4C6B">
        <w:t xml:space="preserve">: </w:t>
      </w:r>
      <w:r w:rsidRPr="007D4C6B">
        <w:rPr>
          <w:i/>
        </w:rPr>
        <w:t>Essays and Explorations</w:t>
      </w:r>
      <w:r w:rsidRPr="007D4C6B">
        <w:t xml:space="preserve">. </w:t>
      </w:r>
      <w:r w:rsidRPr="00714629">
        <w:rPr>
          <w:iCs/>
        </w:rPr>
        <w:t>Berkeley CA: U of California P</w:t>
      </w:r>
      <w:r w:rsidRPr="007D4C6B">
        <w:t>, 1973.</w:t>
      </w:r>
    </w:p>
    <w:p w14:paraId="4C32E37C" w14:textId="77777777" w:rsidR="00B47A48" w:rsidRPr="007D4C6B" w:rsidRDefault="00B47A48" w:rsidP="00B47A48">
      <w:pPr>
        <w:widowControl w:val="0"/>
        <w:ind w:left="720" w:hanging="720"/>
      </w:pPr>
      <w:r w:rsidRPr="007D4C6B">
        <w:t xml:space="preserve">Meyers, Eric M., and James F. Strange. </w:t>
      </w:r>
      <w:r w:rsidRPr="007D4C6B">
        <w:rPr>
          <w:i/>
        </w:rPr>
        <w:t>Archaeology</w:t>
      </w:r>
      <w:r w:rsidRPr="007D4C6B">
        <w:t xml:space="preserve">, </w:t>
      </w:r>
      <w:r w:rsidRPr="007D4C6B">
        <w:rPr>
          <w:i/>
        </w:rPr>
        <w:t>the Rabbis</w:t>
      </w:r>
      <w:r w:rsidRPr="007D4C6B">
        <w:t xml:space="preserve">, </w:t>
      </w:r>
      <w:r w:rsidRPr="007D4C6B">
        <w:rPr>
          <w:i/>
        </w:rPr>
        <w:t>and Early Christianity</w:t>
      </w:r>
      <w:r w:rsidRPr="007D4C6B">
        <w:t xml:space="preserve">: </w:t>
      </w:r>
      <w:r w:rsidRPr="007D4C6B">
        <w:rPr>
          <w:i/>
        </w:rPr>
        <w:t>The Social and Historical Setting of Palestinian Judaism and Christianity</w:t>
      </w:r>
      <w:r w:rsidRPr="007D4C6B">
        <w:t xml:space="preserve">. </w:t>
      </w:r>
      <w:r w:rsidRPr="000644ED">
        <w:rPr>
          <w:iCs/>
        </w:rPr>
        <w:t>Nashville</w:t>
      </w:r>
      <w:r w:rsidRPr="007D4C6B">
        <w:t>: Abingdon, 1981.</w:t>
      </w:r>
    </w:p>
    <w:p w14:paraId="574DDD7E" w14:textId="77777777" w:rsidR="00B47A48" w:rsidRPr="007D4C6B" w:rsidRDefault="00B47A48" w:rsidP="00B47A48">
      <w:pPr>
        <w:widowControl w:val="0"/>
        <w:ind w:left="720" w:hanging="720"/>
      </w:pPr>
      <w:r w:rsidRPr="007D4C6B">
        <w:t>Miller, Joseph M., Michael Prosser, and Thomas W. Benson</w:t>
      </w:r>
      <w:r>
        <w:rPr>
          <w:iCs/>
        </w:rPr>
        <w:t>, eds.</w:t>
      </w:r>
      <w:r w:rsidRPr="00DC3006">
        <w:rPr>
          <w:iCs/>
        </w:rPr>
        <w:t xml:space="preserve"> </w:t>
      </w:r>
      <w:r w:rsidRPr="007D4C6B">
        <w:rPr>
          <w:i/>
        </w:rPr>
        <w:t>Readings in Medieval Rhetoric</w:t>
      </w:r>
      <w:r w:rsidRPr="007D4C6B">
        <w:t xml:space="preserve">. </w:t>
      </w:r>
      <w:r w:rsidRPr="00C45D7C">
        <w:rPr>
          <w:iCs/>
        </w:rPr>
        <w:t>Bloomington IN: Indiana UP</w:t>
      </w:r>
      <w:r w:rsidRPr="007D4C6B">
        <w:t>, 1973.</w:t>
      </w:r>
    </w:p>
    <w:p w14:paraId="6137159F" w14:textId="77777777" w:rsidR="00B47A48" w:rsidRPr="007D4C6B" w:rsidRDefault="00B47A48" w:rsidP="00B47A48">
      <w:pPr>
        <w:widowControl w:val="0"/>
        <w:ind w:left="720" w:hanging="720"/>
      </w:pPr>
      <w:r w:rsidRPr="007D4C6B">
        <w:t xml:space="preserve">Morgenthaler, Robert. </w:t>
      </w:r>
      <w:proofErr w:type="spellStart"/>
      <w:r w:rsidRPr="007D4C6B">
        <w:rPr>
          <w:i/>
        </w:rPr>
        <w:t>Statistik</w:t>
      </w:r>
      <w:proofErr w:type="spellEnd"/>
      <w:r w:rsidRPr="007D4C6B">
        <w:rPr>
          <w:i/>
        </w:rPr>
        <w:t xml:space="preserve"> des </w:t>
      </w:r>
      <w:proofErr w:type="spellStart"/>
      <w:r w:rsidRPr="007D4C6B">
        <w:rPr>
          <w:i/>
        </w:rPr>
        <w:t>Neutestamentlichen</w:t>
      </w:r>
      <w:proofErr w:type="spellEnd"/>
      <w:r w:rsidRPr="007D4C6B">
        <w:rPr>
          <w:i/>
        </w:rPr>
        <w:t xml:space="preserve"> </w:t>
      </w:r>
      <w:proofErr w:type="spellStart"/>
      <w:r w:rsidRPr="007D4C6B">
        <w:rPr>
          <w:i/>
        </w:rPr>
        <w:t>Wortschatzes</w:t>
      </w:r>
      <w:proofErr w:type="spellEnd"/>
      <w:r w:rsidRPr="007D4C6B">
        <w:t>. Zurich and Frankfurt: Gotthelf, 1958.</w:t>
      </w:r>
    </w:p>
    <w:p w14:paraId="19454F5A" w14:textId="77777777" w:rsidR="00B47A48" w:rsidRPr="007D4C6B" w:rsidRDefault="00B47A48" w:rsidP="00B47A48">
      <w:pPr>
        <w:widowControl w:val="0"/>
        <w:ind w:left="720" w:hanging="720"/>
      </w:pPr>
      <w:r w:rsidRPr="007D4C6B">
        <w:t xml:space="preserve">Morrison, Clinton. </w:t>
      </w:r>
      <w:r w:rsidRPr="007D4C6B">
        <w:rPr>
          <w:i/>
        </w:rPr>
        <w:t>An Analytical Concordance to the Revised Standard Version of the New Testament</w:t>
      </w:r>
      <w:r w:rsidRPr="007D4C6B">
        <w:t>. Philadelphia: Westminster, 1979.</w:t>
      </w:r>
    </w:p>
    <w:p w14:paraId="1301FA54" w14:textId="77777777" w:rsidR="00B47A48" w:rsidRPr="007D4C6B" w:rsidRDefault="00B47A48" w:rsidP="00B47A48">
      <w:pPr>
        <w:widowControl w:val="0"/>
        <w:ind w:left="720" w:hanging="720"/>
      </w:pPr>
      <w:r w:rsidRPr="007D4C6B">
        <w:t xml:space="preserve">Moule, </w:t>
      </w:r>
      <w:r w:rsidRPr="00714629">
        <w:rPr>
          <w:iCs/>
        </w:rPr>
        <w:t>C.F.</w:t>
      </w:r>
      <w:r w:rsidRPr="00214BC2">
        <w:rPr>
          <w:iCs/>
        </w:rPr>
        <w:t>D.</w:t>
      </w:r>
      <w:r w:rsidRPr="007D4C6B">
        <w:t xml:space="preserve"> </w:t>
      </w:r>
      <w:r w:rsidRPr="007D4C6B">
        <w:rPr>
          <w:i/>
        </w:rPr>
        <w:t>An Idiom Book of New Testament Greek</w:t>
      </w:r>
      <w:r w:rsidRPr="007D4C6B">
        <w:t xml:space="preserve">. </w:t>
      </w:r>
      <w:r w:rsidRPr="00E366BA">
        <w:rPr>
          <w:iCs/>
        </w:rPr>
        <w:t>Cambridge: CUP</w:t>
      </w:r>
      <w:r w:rsidRPr="007D4C6B">
        <w:t>, 1953, 1959</w:t>
      </w:r>
      <w:r w:rsidRPr="007D4C6B">
        <w:rPr>
          <w:vertAlign w:val="superscript"/>
        </w:rPr>
        <w:t>2</w:t>
      </w:r>
      <w:r w:rsidRPr="007D4C6B">
        <w:t>.</w:t>
      </w:r>
    </w:p>
    <w:p w14:paraId="4DED18B2" w14:textId="0814C82F" w:rsidR="00B47A48" w:rsidRPr="007D4C6B" w:rsidRDefault="00B47A48" w:rsidP="00B47A48">
      <w:pPr>
        <w:widowControl w:val="0"/>
        <w:ind w:left="720" w:hanging="720"/>
      </w:pPr>
      <w:r w:rsidRPr="007D4C6B">
        <w:t xml:space="preserve">Moulton, James Hope, and George Milligan. </w:t>
      </w:r>
      <w:r w:rsidRPr="007D4C6B">
        <w:rPr>
          <w:i/>
        </w:rPr>
        <w:t>The Vocabulary of the Greek Testament</w:t>
      </w:r>
      <w:r w:rsidRPr="007D4C6B">
        <w:t xml:space="preserve">, </w:t>
      </w:r>
      <w:r w:rsidRPr="007D4C6B">
        <w:rPr>
          <w:i/>
        </w:rPr>
        <w:t>Illustrated from the Papyri and Other Non-Literary Sources</w:t>
      </w:r>
      <w:r w:rsidRPr="007D4C6B">
        <w:t xml:space="preserve">. London: </w:t>
      </w:r>
      <w:r w:rsidRPr="00110AE7">
        <w:rPr>
          <w:iCs/>
        </w:rPr>
        <w:t>Hodder and Stoughton</w:t>
      </w:r>
      <w:r w:rsidRPr="007D4C6B">
        <w:t>, 1930, 1957</w:t>
      </w:r>
      <w:r w:rsidRPr="007D4C6B">
        <w:rPr>
          <w:vertAlign w:val="superscript"/>
        </w:rPr>
        <w:t>2</w:t>
      </w:r>
      <w:r w:rsidR="00BB6771">
        <w:t>.</w:t>
      </w:r>
      <w:r w:rsidRPr="007D4C6B">
        <w:t xml:space="preserve"> </w:t>
      </w:r>
      <w:r w:rsidR="00BB6771" w:rsidRPr="007D4C6B">
        <w:t>Rpt</w:t>
      </w:r>
      <w:r w:rsidRPr="007D4C6B">
        <w:t xml:space="preserve">. ed., </w:t>
      </w:r>
      <w:r w:rsidRPr="00DC3006">
        <w:rPr>
          <w:iCs/>
        </w:rPr>
        <w:t>Grand Rapids MI</w:t>
      </w:r>
      <w:r w:rsidRPr="007D4C6B">
        <w:t>: Eerdmans, n.d.</w:t>
      </w:r>
    </w:p>
    <w:p w14:paraId="1BD936A3" w14:textId="6C00AB10" w:rsidR="00B47A48" w:rsidRPr="007D4C6B" w:rsidRDefault="00B47A48" w:rsidP="00B47A48">
      <w:pPr>
        <w:widowControl w:val="0"/>
        <w:ind w:left="720" w:hanging="720"/>
      </w:pPr>
      <w:r w:rsidRPr="007D4C6B">
        <w:t xml:space="preserve">Moulton, James Hope, </w:t>
      </w:r>
      <w:r w:rsidRPr="00A27610">
        <w:rPr>
          <w:iCs/>
        </w:rPr>
        <w:t>F.W.</w:t>
      </w:r>
      <w:r w:rsidRPr="007D4C6B">
        <w:t xml:space="preserve"> Howard, and Nigel Turner. </w:t>
      </w:r>
      <w:r w:rsidRPr="007D4C6B">
        <w:rPr>
          <w:i/>
        </w:rPr>
        <w:t>A Grammar of New Testament Greek</w:t>
      </w:r>
      <w:r w:rsidRPr="007D4C6B">
        <w:t xml:space="preserve">. Vol. 1: </w:t>
      </w:r>
      <w:r w:rsidRPr="007D4C6B">
        <w:rPr>
          <w:i/>
        </w:rPr>
        <w:t>Prolegomena</w:t>
      </w:r>
      <w:r w:rsidRPr="007D4C6B">
        <w:t xml:space="preserve">; vol. 2, </w:t>
      </w:r>
      <w:r w:rsidRPr="007D4C6B">
        <w:rPr>
          <w:i/>
        </w:rPr>
        <w:t>Accidence and Word Formation</w:t>
      </w:r>
      <w:r w:rsidRPr="007D4C6B">
        <w:t xml:space="preserve">; vol. 3, </w:t>
      </w:r>
      <w:r w:rsidRPr="007D4C6B">
        <w:rPr>
          <w:i/>
        </w:rPr>
        <w:t>Syntax</w:t>
      </w:r>
      <w:r w:rsidRPr="007D4C6B">
        <w:t xml:space="preserve">; vol. 4, </w:t>
      </w:r>
      <w:r w:rsidRPr="007D4C6B">
        <w:rPr>
          <w:i/>
        </w:rPr>
        <w:t>Style</w:t>
      </w:r>
      <w:r w:rsidRPr="007D4C6B">
        <w:t>. Edinburgh: Clark. Vol. 1 (by Moulton), 1906, 1908</w:t>
      </w:r>
      <w:r w:rsidRPr="007D4C6B">
        <w:rPr>
          <w:vertAlign w:val="superscript"/>
        </w:rPr>
        <w:t>3</w:t>
      </w:r>
      <w:r w:rsidRPr="007D4C6B">
        <w:t>, rpt. 1949; vol. 2 (by Moulton and Howard), 1929; vol. 3 (by Turner), 1963; vol. 4 (by Turner), 1976.</w:t>
      </w:r>
    </w:p>
    <w:p w14:paraId="7711DA1C" w14:textId="3B2BACE5" w:rsidR="00B47A48" w:rsidRPr="00E5413C" w:rsidRDefault="00B47A48" w:rsidP="00B47A48">
      <w:pPr>
        <w:widowControl w:val="0"/>
        <w:ind w:left="720" w:hanging="720"/>
        <w:rPr>
          <w:lang w:val="fr-FR"/>
        </w:rPr>
      </w:pPr>
      <w:r w:rsidRPr="007D4C6B">
        <w:t xml:space="preserve">Moulton, </w:t>
      </w:r>
      <w:r w:rsidRPr="00E366BA">
        <w:rPr>
          <w:iCs/>
        </w:rPr>
        <w:t>W.F.</w:t>
      </w:r>
      <w:r w:rsidRPr="007D4C6B">
        <w:t xml:space="preserve">, and </w:t>
      </w:r>
      <w:r w:rsidRPr="002E050A">
        <w:rPr>
          <w:iCs/>
        </w:rPr>
        <w:t>A.S.</w:t>
      </w:r>
      <w:r w:rsidRPr="007D4C6B">
        <w:t xml:space="preserve"> Geden. </w:t>
      </w:r>
      <w:r w:rsidRPr="007D4C6B">
        <w:rPr>
          <w:i/>
        </w:rPr>
        <w:t>A Concordance to the Greek Testament According to the Texts of Westcott and Hort</w:t>
      </w:r>
      <w:r w:rsidRPr="007D4C6B">
        <w:t xml:space="preserve">, </w:t>
      </w:r>
      <w:r w:rsidRPr="007D4C6B">
        <w:rPr>
          <w:i/>
        </w:rPr>
        <w:t>Tischendorf and the English Revisers</w:t>
      </w:r>
      <w:r w:rsidRPr="007D4C6B">
        <w:t xml:space="preserve">. </w:t>
      </w:r>
      <w:r w:rsidRPr="00E5413C">
        <w:rPr>
          <w:lang w:val="fr-FR"/>
        </w:rPr>
        <w:t>Edinburgh: Clark, 1897, 1899</w:t>
      </w:r>
      <w:r w:rsidRPr="00E5413C">
        <w:rPr>
          <w:vertAlign w:val="superscript"/>
          <w:lang w:val="fr-FR"/>
        </w:rPr>
        <w:t>2</w:t>
      </w:r>
      <w:r w:rsidRPr="00E5413C">
        <w:rPr>
          <w:lang w:val="fr-FR"/>
        </w:rPr>
        <w:t>, 1963</w:t>
      </w:r>
      <w:r w:rsidRPr="00E5413C">
        <w:rPr>
          <w:vertAlign w:val="superscript"/>
          <w:lang w:val="fr-FR"/>
        </w:rPr>
        <w:t>4</w:t>
      </w:r>
      <w:r w:rsidRPr="00E5413C">
        <w:rPr>
          <w:lang w:val="fr-FR"/>
        </w:rPr>
        <w:t>, 1978</w:t>
      </w:r>
      <w:r w:rsidRPr="00E5413C">
        <w:rPr>
          <w:vertAlign w:val="superscript"/>
          <w:lang w:val="fr-FR"/>
        </w:rPr>
        <w:t>5</w:t>
      </w:r>
      <w:r w:rsidRPr="00E5413C">
        <w:rPr>
          <w:lang w:val="fr-FR"/>
        </w:rPr>
        <w:t xml:space="preserve"> (</w:t>
      </w:r>
      <w:proofErr w:type="spellStart"/>
      <w:r w:rsidRPr="00E5413C">
        <w:rPr>
          <w:lang w:val="fr-FR"/>
        </w:rPr>
        <w:t>rev</w:t>
      </w:r>
      <w:proofErr w:type="spellEnd"/>
      <w:r w:rsidRPr="00E5413C">
        <w:rPr>
          <w:lang w:val="fr-FR"/>
        </w:rPr>
        <w:t xml:space="preserve">. </w:t>
      </w:r>
      <w:r w:rsidRPr="00E5413C">
        <w:rPr>
          <w:iCs/>
          <w:lang w:val="fr-FR"/>
        </w:rPr>
        <w:t xml:space="preserve">H.K. </w:t>
      </w:r>
      <w:proofErr w:type="spellStart"/>
      <w:r w:rsidRPr="00E5413C">
        <w:rPr>
          <w:lang w:val="fr-FR"/>
        </w:rPr>
        <w:t>Moulton</w:t>
      </w:r>
      <w:proofErr w:type="spellEnd"/>
      <w:r w:rsidRPr="00E5413C">
        <w:rPr>
          <w:lang w:val="fr-FR"/>
        </w:rPr>
        <w:t>).</w:t>
      </w:r>
    </w:p>
    <w:p w14:paraId="02E96EA5" w14:textId="4405E896" w:rsidR="00B47A48" w:rsidRPr="00E5413C" w:rsidRDefault="00B47A48" w:rsidP="00B47A48">
      <w:pPr>
        <w:widowControl w:val="0"/>
        <w:ind w:left="720" w:hanging="720"/>
        <w:rPr>
          <w:lang w:val="fr-FR"/>
        </w:rPr>
      </w:pPr>
      <w:proofErr w:type="spellStart"/>
      <w:r w:rsidRPr="00E5413C">
        <w:rPr>
          <w:lang w:val="fr-FR"/>
        </w:rPr>
        <w:t>Mounin</w:t>
      </w:r>
      <w:proofErr w:type="spellEnd"/>
      <w:r w:rsidRPr="00E5413C">
        <w:rPr>
          <w:lang w:val="fr-FR"/>
        </w:rPr>
        <w:t xml:space="preserve">, Georges. </w:t>
      </w:r>
      <w:r w:rsidRPr="00E5413C">
        <w:rPr>
          <w:i/>
          <w:lang w:val="fr-FR"/>
        </w:rPr>
        <w:t>Introduction à la sémiologie</w:t>
      </w:r>
      <w:r w:rsidRPr="00E5413C">
        <w:rPr>
          <w:lang w:val="fr-FR"/>
        </w:rPr>
        <w:t>. Paris: Minuit, 1970.</w:t>
      </w:r>
    </w:p>
    <w:p w14:paraId="504656D4" w14:textId="77777777" w:rsidR="00B47A48" w:rsidRPr="007D4C6B" w:rsidRDefault="00B47A48" w:rsidP="00B47A48">
      <w:pPr>
        <w:widowControl w:val="0"/>
        <w:ind w:left="720" w:hanging="720"/>
      </w:pPr>
      <w:r w:rsidRPr="007D4C6B">
        <w:t xml:space="preserve">Muilenburg, James. “Form Criticism and Beyond.” </w:t>
      </w:r>
      <w:r w:rsidRPr="007D4C6B">
        <w:rPr>
          <w:i/>
        </w:rPr>
        <w:t>JBL</w:t>
      </w:r>
      <w:r w:rsidRPr="007D4C6B">
        <w:t xml:space="preserve"> 88 (1969) 1-18.</w:t>
      </w:r>
    </w:p>
    <w:p w14:paraId="357DE746" w14:textId="77777777" w:rsidR="00B47A48" w:rsidRPr="007D4C6B" w:rsidRDefault="00B47A48" w:rsidP="00B47A48">
      <w:pPr>
        <w:widowControl w:val="0"/>
        <w:ind w:left="720" w:hanging="720"/>
      </w:pPr>
      <w:r w:rsidRPr="007D4C6B">
        <w:t xml:space="preserve">Müller, David Heinrich. </w:t>
      </w:r>
      <w:r w:rsidRPr="007D4C6B">
        <w:rPr>
          <w:i/>
        </w:rPr>
        <w:t xml:space="preserve">Die </w:t>
      </w:r>
      <w:proofErr w:type="spellStart"/>
      <w:r w:rsidRPr="007D4C6B">
        <w:rPr>
          <w:i/>
        </w:rPr>
        <w:t>Bergpredigt</w:t>
      </w:r>
      <w:proofErr w:type="spellEnd"/>
      <w:r w:rsidRPr="007D4C6B">
        <w:rPr>
          <w:i/>
        </w:rPr>
        <w:t xml:space="preserve"> </w:t>
      </w:r>
      <w:proofErr w:type="spellStart"/>
      <w:r w:rsidRPr="007D4C6B">
        <w:rPr>
          <w:i/>
        </w:rPr>
        <w:t>im</w:t>
      </w:r>
      <w:proofErr w:type="spellEnd"/>
      <w:r w:rsidRPr="007D4C6B">
        <w:rPr>
          <w:i/>
        </w:rPr>
        <w:t xml:space="preserve"> Lichte der </w:t>
      </w:r>
      <w:proofErr w:type="spellStart"/>
      <w:r w:rsidRPr="007D4C6B">
        <w:rPr>
          <w:i/>
        </w:rPr>
        <w:t>Strophentheorie</w:t>
      </w:r>
      <w:proofErr w:type="spellEnd"/>
      <w:r w:rsidRPr="007D4C6B">
        <w:t xml:space="preserve">. </w:t>
      </w:r>
      <w:proofErr w:type="spellStart"/>
      <w:r w:rsidRPr="007D4C6B">
        <w:t>Biblische</w:t>
      </w:r>
      <w:proofErr w:type="spellEnd"/>
      <w:r w:rsidRPr="007D4C6B">
        <w:t xml:space="preserve"> </w:t>
      </w:r>
      <w:proofErr w:type="spellStart"/>
      <w:r w:rsidRPr="007D4C6B">
        <w:t>Studien</w:t>
      </w:r>
      <w:proofErr w:type="spellEnd"/>
      <w:r w:rsidRPr="007D4C6B">
        <w:t xml:space="preserve"> 5. Vienna: Alfred Hölder, 1908; München: 1911</w:t>
      </w:r>
      <w:r w:rsidRPr="007D4C6B">
        <w:rPr>
          <w:vertAlign w:val="superscript"/>
        </w:rPr>
        <w:t>3</w:t>
      </w:r>
      <w:r w:rsidRPr="007D4C6B">
        <w:t>.</w:t>
      </w:r>
    </w:p>
    <w:p w14:paraId="3A1E3442" w14:textId="77777777" w:rsidR="00B47A48" w:rsidRPr="007D4C6B" w:rsidRDefault="00B47A48" w:rsidP="00B47A48">
      <w:pPr>
        <w:widowControl w:val="0"/>
        <w:ind w:left="720" w:hanging="720"/>
      </w:pPr>
      <w:r w:rsidRPr="007D4C6B">
        <w:t xml:space="preserve">Nida, Eugene A. “Implications of Contemporary Linguistics for Biblical Scholarship.” </w:t>
      </w:r>
      <w:r w:rsidRPr="007D4C6B">
        <w:rPr>
          <w:i/>
        </w:rPr>
        <w:t>JBL</w:t>
      </w:r>
      <w:r w:rsidRPr="007D4C6B">
        <w:t xml:space="preserve"> 91 (1972) 73-89.</w:t>
      </w:r>
    </w:p>
    <w:p w14:paraId="33C79AEC" w14:textId="6EABD1B3" w:rsidR="00B47A48" w:rsidRPr="007D4C6B" w:rsidRDefault="00B47A48" w:rsidP="00B47A48">
      <w:pPr>
        <w:widowControl w:val="0"/>
        <w:ind w:left="720" w:hanging="720"/>
      </w:pPr>
      <w:r w:rsidRPr="007D4C6B">
        <w:t xml:space="preserve">Norden, Eduard. </w:t>
      </w:r>
      <w:proofErr w:type="spellStart"/>
      <w:r w:rsidRPr="007D4C6B">
        <w:rPr>
          <w:i/>
        </w:rPr>
        <w:t>Agnostos</w:t>
      </w:r>
      <w:proofErr w:type="spellEnd"/>
      <w:r w:rsidRPr="007D4C6B">
        <w:rPr>
          <w:i/>
        </w:rPr>
        <w:t xml:space="preserve"> Theos</w:t>
      </w:r>
      <w:r w:rsidRPr="007D4C6B">
        <w:t>. Stuttgart: Teubner, 1913</w:t>
      </w:r>
      <w:r w:rsidR="00BB6771">
        <w:t>.</w:t>
      </w:r>
      <w:r w:rsidRPr="007D4C6B">
        <w:t xml:space="preserve"> </w:t>
      </w:r>
      <w:r w:rsidR="00BB6771" w:rsidRPr="007D4C6B">
        <w:t>Rpt</w:t>
      </w:r>
      <w:r w:rsidRPr="007D4C6B">
        <w:t xml:space="preserve">. Darmstadt: </w:t>
      </w:r>
      <w:proofErr w:type="spellStart"/>
      <w:r w:rsidRPr="007D4C6B">
        <w:t>Wissenschaftliche</w:t>
      </w:r>
      <w:proofErr w:type="spellEnd"/>
      <w:r w:rsidRPr="007D4C6B">
        <w:t xml:space="preserve"> </w:t>
      </w:r>
      <w:proofErr w:type="spellStart"/>
      <w:r w:rsidRPr="007D4C6B">
        <w:t>Buchgesellschaft</w:t>
      </w:r>
      <w:proofErr w:type="spellEnd"/>
      <w:r w:rsidRPr="007D4C6B">
        <w:t>, 1956.</w:t>
      </w:r>
    </w:p>
    <w:p w14:paraId="0B8F2C80" w14:textId="212D91B9" w:rsidR="00B47A48" w:rsidRPr="007D4C6B" w:rsidRDefault="00B47A48" w:rsidP="00B47A48">
      <w:pPr>
        <w:widowControl w:val="0"/>
        <w:ind w:left="720" w:hanging="720"/>
      </w:pPr>
      <w:r w:rsidRPr="007D4C6B">
        <w:lastRenderedPageBreak/>
        <w:t xml:space="preserve">Norris, Christopher. “Some Versions of Rhetoric: Empson and de Man.” </w:t>
      </w:r>
      <w:r w:rsidRPr="007D4C6B">
        <w:rPr>
          <w:i/>
        </w:rPr>
        <w:t>Genre</w:t>
      </w:r>
      <w:r w:rsidRPr="007D4C6B">
        <w:t xml:space="preserve"> 17 (1984) 191-214.</w:t>
      </w:r>
    </w:p>
    <w:p w14:paraId="0EAAD909" w14:textId="757746AD" w:rsidR="00B47A48" w:rsidRPr="007D4C6B" w:rsidRDefault="00B47A48" w:rsidP="00B47A48">
      <w:pPr>
        <w:widowControl w:val="0"/>
        <w:ind w:left="720" w:hanging="720"/>
      </w:pPr>
      <w:r w:rsidRPr="007D4C6B">
        <w:t xml:space="preserve">Olrik, Axel. “Epic Laws of Folk Narrative.” Trans. Jeanne P. Steager. In </w:t>
      </w:r>
      <w:r w:rsidRPr="007D4C6B">
        <w:rPr>
          <w:i/>
        </w:rPr>
        <w:t>The Study of Folklore</w:t>
      </w:r>
      <w:r w:rsidRPr="00DC3006">
        <w:rPr>
          <w:iCs/>
        </w:rPr>
        <w:t xml:space="preserve">. Ed. </w:t>
      </w:r>
      <w:r w:rsidRPr="007D4C6B">
        <w:t xml:space="preserve">Alan Dundes. </w:t>
      </w:r>
      <w:r w:rsidR="007B5BB5" w:rsidRPr="007B5BB5">
        <w:rPr>
          <w:iCs/>
        </w:rPr>
        <w:t xml:space="preserve">Englewood Cliffs </w:t>
      </w:r>
      <w:r w:rsidRPr="007D4C6B">
        <w:t xml:space="preserve">NJ: Prentice-Hall, 1965, pp. 129-41. </w:t>
      </w:r>
      <w:r w:rsidR="007B5BB5">
        <w:t>(</w:t>
      </w:r>
      <w:r w:rsidRPr="007D4C6B">
        <w:t>“</w:t>
      </w:r>
      <w:proofErr w:type="spellStart"/>
      <w:r w:rsidRPr="007D4C6B">
        <w:t>Epische</w:t>
      </w:r>
      <w:proofErr w:type="spellEnd"/>
      <w:r w:rsidRPr="007D4C6B">
        <w:t xml:space="preserve"> </w:t>
      </w:r>
      <w:proofErr w:type="spellStart"/>
      <w:r w:rsidRPr="007D4C6B">
        <w:t>Gesetze</w:t>
      </w:r>
      <w:proofErr w:type="spellEnd"/>
      <w:r w:rsidRPr="007D4C6B">
        <w:t xml:space="preserve"> der </w:t>
      </w:r>
      <w:proofErr w:type="spellStart"/>
      <w:r w:rsidRPr="007D4C6B">
        <w:t>Volksdichtung</w:t>
      </w:r>
      <w:proofErr w:type="spellEnd"/>
      <w:r w:rsidRPr="007D4C6B">
        <w:t xml:space="preserve">,” </w:t>
      </w:r>
      <w:proofErr w:type="spellStart"/>
      <w:r w:rsidRPr="007D4C6B">
        <w:rPr>
          <w:i/>
        </w:rPr>
        <w:t>Zeitschrift</w:t>
      </w:r>
      <w:proofErr w:type="spellEnd"/>
      <w:r w:rsidRPr="007D4C6B">
        <w:rPr>
          <w:i/>
        </w:rPr>
        <w:t xml:space="preserve"> für </w:t>
      </w:r>
      <w:proofErr w:type="spellStart"/>
      <w:r w:rsidRPr="007D4C6B">
        <w:rPr>
          <w:i/>
        </w:rPr>
        <w:t>Deutsches</w:t>
      </w:r>
      <w:proofErr w:type="spellEnd"/>
      <w:r w:rsidRPr="007D4C6B">
        <w:rPr>
          <w:i/>
        </w:rPr>
        <w:t xml:space="preserve"> </w:t>
      </w:r>
      <w:proofErr w:type="spellStart"/>
      <w:r w:rsidRPr="007D4C6B">
        <w:rPr>
          <w:i/>
        </w:rPr>
        <w:t>Altertum</w:t>
      </w:r>
      <w:proofErr w:type="spellEnd"/>
      <w:r w:rsidRPr="007D4C6B">
        <w:rPr>
          <w:i/>
        </w:rPr>
        <w:t xml:space="preserve"> und Deutsche </w:t>
      </w:r>
      <w:proofErr w:type="spellStart"/>
      <w:r w:rsidRPr="007D4C6B">
        <w:rPr>
          <w:i/>
        </w:rPr>
        <w:t>Literatur</w:t>
      </w:r>
      <w:proofErr w:type="spellEnd"/>
      <w:r w:rsidRPr="007D4C6B">
        <w:t xml:space="preserve"> 51 </w:t>
      </w:r>
      <w:r w:rsidR="007B5BB5">
        <w:t>[</w:t>
      </w:r>
      <w:r w:rsidRPr="007D4C6B">
        <w:t>1909</w:t>
      </w:r>
      <w:r w:rsidR="007B5BB5">
        <w:t>]</w:t>
      </w:r>
      <w:r w:rsidRPr="007D4C6B">
        <w:t xml:space="preserve"> 1-12.</w:t>
      </w:r>
      <w:r w:rsidR="007B5BB5">
        <w:t>)</w:t>
      </w:r>
      <w:r w:rsidRPr="007D4C6B">
        <w:t xml:space="preserve"> </w:t>
      </w:r>
      <w:r w:rsidR="007B5BB5">
        <w:t>(</w:t>
      </w:r>
      <w:r w:rsidRPr="007D4C6B">
        <w:t xml:space="preserve">Cf. Lund’s remarks in </w:t>
      </w:r>
      <w:r w:rsidRPr="007D4C6B">
        <w:rPr>
          <w:i/>
        </w:rPr>
        <w:t>Chiasmus</w:t>
      </w:r>
      <w:r w:rsidRPr="007D4C6B">
        <w:t xml:space="preserve">, p. 16 </w:t>
      </w:r>
      <w:r w:rsidR="007B5BB5">
        <w:t>and</w:t>
      </w:r>
      <w:r w:rsidRPr="007D4C6B">
        <w:t xml:space="preserve"> n. 29: Olrik of Denmark and Moltke Moe of Norway led a circle of folklorists whose results were published in the </w:t>
      </w:r>
      <w:r w:rsidRPr="007D4C6B">
        <w:rPr>
          <w:i/>
        </w:rPr>
        <w:t>FF Communications for the Folklore Fellows</w:t>
      </w:r>
      <w:r w:rsidRPr="007D4C6B">
        <w:t xml:space="preserve">. Olrik first presented his laws to the Historians’ Conference in Berlin in August, 1908, and later published them in </w:t>
      </w:r>
      <w:proofErr w:type="spellStart"/>
      <w:r w:rsidRPr="007D4C6B">
        <w:rPr>
          <w:i/>
        </w:rPr>
        <w:t>Folkelige</w:t>
      </w:r>
      <w:proofErr w:type="spellEnd"/>
      <w:r w:rsidRPr="007D4C6B">
        <w:rPr>
          <w:i/>
        </w:rPr>
        <w:t xml:space="preserve"> </w:t>
      </w:r>
      <w:proofErr w:type="spellStart"/>
      <w:r w:rsidRPr="007D4C6B">
        <w:rPr>
          <w:i/>
        </w:rPr>
        <w:t>Afhandlinger</w:t>
      </w:r>
      <w:proofErr w:type="spellEnd"/>
      <w:r w:rsidRPr="007D4C6B">
        <w:t>, edited by Hans Ellekilde, pp. 177ff.</w:t>
      </w:r>
      <w:r w:rsidR="007B5BB5">
        <w:t>)</w:t>
      </w:r>
    </w:p>
    <w:p w14:paraId="4B54DA07" w14:textId="4B1214F2" w:rsidR="00B47A48" w:rsidRPr="007D4C6B" w:rsidRDefault="00B47A48" w:rsidP="00B47A48">
      <w:pPr>
        <w:widowControl w:val="0"/>
        <w:ind w:left="720" w:hanging="720"/>
      </w:pPr>
      <w:r w:rsidRPr="007D4C6B">
        <w:t xml:space="preserve">Olsson, Birger. </w:t>
      </w:r>
      <w:r w:rsidRPr="007D4C6B">
        <w:rPr>
          <w:i/>
        </w:rPr>
        <w:t>Structure and Meaning in the Fourth Gospel</w:t>
      </w:r>
      <w:r w:rsidRPr="007D4C6B">
        <w:t xml:space="preserve">: </w:t>
      </w:r>
      <w:r w:rsidRPr="007D4C6B">
        <w:rPr>
          <w:i/>
        </w:rPr>
        <w:t>A Text-linguistic Analysis of John 2</w:t>
      </w:r>
      <w:r w:rsidRPr="007D4C6B">
        <w:t>:</w:t>
      </w:r>
      <w:r w:rsidRPr="007D4C6B">
        <w:rPr>
          <w:i/>
        </w:rPr>
        <w:t>1-11 and 4</w:t>
      </w:r>
      <w:r w:rsidRPr="007D4C6B">
        <w:t>:</w:t>
      </w:r>
      <w:r w:rsidRPr="007D4C6B">
        <w:rPr>
          <w:i/>
        </w:rPr>
        <w:t>1-42</w:t>
      </w:r>
      <w:r w:rsidRPr="007D4C6B">
        <w:t xml:space="preserve">. Trans. Jean Gray. </w:t>
      </w:r>
      <w:proofErr w:type="spellStart"/>
      <w:r w:rsidRPr="007D4C6B">
        <w:t>ConB</w:t>
      </w:r>
      <w:proofErr w:type="spellEnd"/>
      <w:r w:rsidRPr="007D4C6B">
        <w:t xml:space="preserve">, NT series 6. Lund, Sweden: </w:t>
      </w:r>
      <w:r w:rsidR="007B5BB5" w:rsidRPr="007B5BB5">
        <w:rPr>
          <w:iCs/>
        </w:rPr>
        <w:t>C.W.K.</w:t>
      </w:r>
      <w:r w:rsidRPr="007D4C6B">
        <w:t xml:space="preserve"> Gleerup, 1974.</w:t>
      </w:r>
    </w:p>
    <w:p w14:paraId="113D1B62" w14:textId="77777777" w:rsidR="00B47A48" w:rsidRPr="007D4C6B" w:rsidRDefault="00B47A48" w:rsidP="00B47A48">
      <w:pPr>
        <w:widowControl w:val="0"/>
        <w:ind w:left="720" w:hanging="720"/>
      </w:pPr>
      <w:r w:rsidRPr="007D4C6B">
        <w:t xml:space="preserve">Orchard, Bernard. </w:t>
      </w:r>
      <w:r w:rsidRPr="007D4C6B">
        <w:rPr>
          <w:i/>
        </w:rPr>
        <w:t>Matthew</w:t>
      </w:r>
      <w:r w:rsidRPr="007D4C6B">
        <w:t xml:space="preserve">, </w:t>
      </w:r>
      <w:r w:rsidRPr="007D4C6B">
        <w:rPr>
          <w:i/>
        </w:rPr>
        <w:t>Luke and Mark</w:t>
      </w:r>
      <w:r w:rsidRPr="007D4C6B">
        <w:t>. The Griesbach Solution to the Synoptic Question 1. Manchester, England: Koinonia, 1976, 1977</w:t>
      </w:r>
      <w:r w:rsidRPr="007D4C6B">
        <w:rPr>
          <w:vertAlign w:val="superscript"/>
        </w:rPr>
        <w:t>2</w:t>
      </w:r>
      <w:r w:rsidRPr="007D4C6B">
        <w:t>.</w:t>
      </w:r>
    </w:p>
    <w:p w14:paraId="70503419" w14:textId="36A6B15B" w:rsidR="00B47A48" w:rsidRPr="007D4C6B" w:rsidRDefault="00B47A48" w:rsidP="00B47A48">
      <w:pPr>
        <w:widowControl w:val="0"/>
        <w:ind w:left="720" w:hanging="720"/>
      </w:pPr>
      <w:r w:rsidRPr="007D4C6B">
        <w:t xml:space="preserve">Pace, David. “Beyond Morphology: Lévi-Strauss and the Analysis of Folktales.” In </w:t>
      </w:r>
      <w:r w:rsidRPr="007D4C6B">
        <w:rPr>
          <w:i/>
        </w:rPr>
        <w:t>Cinderella</w:t>
      </w:r>
      <w:r w:rsidRPr="007D4C6B">
        <w:t xml:space="preserve">: </w:t>
      </w:r>
      <w:r w:rsidRPr="007D4C6B">
        <w:rPr>
          <w:i/>
        </w:rPr>
        <w:t>A Folklore Casebook</w:t>
      </w:r>
      <w:r w:rsidRPr="00DC3006">
        <w:rPr>
          <w:iCs/>
        </w:rPr>
        <w:t xml:space="preserve">. Ed. </w:t>
      </w:r>
      <w:r w:rsidRPr="007D4C6B">
        <w:t>Alan Dundes. New York: Garland, 198</w:t>
      </w:r>
      <w:r w:rsidR="007B5BB5">
        <w:t>2</w:t>
      </w:r>
      <w:r w:rsidRPr="007D4C6B">
        <w:t>. 245-58.</w:t>
      </w:r>
    </w:p>
    <w:p w14:paraId="4FEB9772" w14:textId="77777777" w:rsidR="00B47A48" w:rsidRPr="007D4C6B" w:rsidRDefault="00B47A48" w:rsidP="00B47A48">
      <w:pPr>
        <w:widowControl w:val="0"/>
        <w:ind w:left="720" w:hanging="720"/>
      </w:pPr>
      <w:r w:rsidRPr="007D4C6B">
        <w:t xml:space="preserve">Parker, John P. “Some Organizational Variables and Their Effect upon Comprehension.” </w:t>
      </w:r>
      <w:r w:rsidRPr="007D4C6B">
        <w:rPr>
          <w:i/>
        </w:rPr>
        <w:t>Journal of Communication</w:t>
      </w:r>
      <w:r w:rsidRPr="007D4C6B">
        <w:t xml:space="preserve"> 12 (1962) 27-32.</w:t>
      </w:r>
    </w:p>
    <w:p w14:paraId="1C1DCDB4" w14:textId="77777777" w:rsidR="00B47A48" w:rsidRPr="007D4C6B" w:rsidRDefault="00B47A48" w:rsidP="00B47A48">
      <w:pPr>
        <w:widowControl w:val="0"/>
        <w:ind w:left="720" w:hanging="720"/>
      </w:pPr>
      <w:r w:rsidRPr="007D4C6B">
        <w:t xml:space="preserve">Patte, Daniel. </w:t>
      </w:r>
      <w:r w:rsidRPr="007D4C6B">
        <w:rPr>
          <w:i/>
        </w:rPr>
        <w:t>What Is Structural Exegesis</w:t>
      </w:r>
      <w:r w:rsidRPr="007D4C6B">
        <w:t>? Guides to Biblical Scholarship, NT series. Philadelphia: Fortress, 1976.</w:t>
      </w:r>
    </w:p>
    <w:p w14:paraId="3E692B56" w14:textId="77777777" w:rsidR="00B47A48" w:rsidRPr="007D4C6B" w:rsidRDefault="00B47A48" w:rsidP="00B47A48">
      <w:pPr>
        <w:widowControl w:val="0"/>
        <w:ind w:left="720" w:hanging="720"/>
      </w:pPr>
      <w:r w:rsidRPr="007D4C6B">
        <w:rPr>
          <w:kern w:val="0"/>
        </w:rPr>
        <w:t xml:space="preserve">Pennick, Nigel. </w:t>
      </w:r>
      <w:r w:rsidRPr="007D4C6B">
        <w:rPr>
          <w:i/>
          <w:kern w:val="0"/>
        </w:rPr>
        <w:t>Sacred Geometry</w:t>
      </w:r>
      <w:r w:rsidRPr="007D4C6B">
        <w:rPr>
          <w:kern w:val="0"/>
        </w:rPr>
        <w:t xml:space="preserve">. Chieveley: </w:t>
      </w:r>
      <w:proofErr w:type="spellStart"/>
      <w:r w:rsidRPr="007D4C6B">
        <w:rPr>
          <w:kern w:val="0"/>
        </w:rPr>
        <w:t>Capall</w:t>
      </w:r>
      <w:proofErr w:type="spellEnd"/>
      <w:r w:rsidRPr="007D4C6B">
        <w:rPr>
          <w:kern w:val="0"/>
        </w:rPr>
        <w:t xml:space="preserve"> Bann, 1994.</w:t>
      </w:r>
    </w:p>
    <w:p w14:paraId="63B05DE1" w14:textId="77777777" w:rsidR="00B47A48" w:rsidRPr="007D4C6B" w:rsidRDefault="00B47A48" w:rsidP="00B47A48">
      <w:pPr>
        <w:widowControl w:val="0"/>
        <w:ind w:left="720" w:hanging="720"/>
      </w:pPr>
      <w:r w:rsidRPr="007D4C6B">
        <w:t xml:space="preserve">Perrine, Laurence. “Four Forms of Metaphor.” </w:t>
      </w:r>
      <w:r w:rsidRPr="007D4C6B">
        <w:rPr>
          <w:i/>
        </w:rPr>
        <w:t>College English</w:t>
      </w:r>
      <w:r w:rsidRPr="007D4C6B">
        <w:t xml:space="preserve"> 33 (1971) 125-38.</w:t>
      </w:r>
    </w:p>
    <w:p w14:paraId="000E6033" w14:textId="77777777" w:rsidR="00B47A48" w:rsidRPr="007D4C6B" w:rsidRDefault="00B47A48" w:rsidP="00B47A48">
      <w:pPr>
        <w:widowControl w:val="0"/>
        <w:ind w:left="720" w:hanging="720"/>
      </w:pPr>
      <w:r w:rsidRPr="007D4C6B">
        <w:t xml:space="preserve">Perry, Alfred M. “The Framework of the Sermon on the Mount.” </w:t>
      </w:r>
      <w:r w:rsidRPr="007D4C6B">
        <w:rPr>
          <w:i/>
        </w:rPr>
        <w:t>JBL</w:t>
      </w:r>
      <w:r w:rsidRPr="007D4C6B">
        <w:t xml:space="preserve"> 54 (1935) 103-15.</w:t>
      </w:r>
    </w:p>
    <w:p w14:paraId="428D47BD" w14:textId="77777777" w:rsidR="00B47A48" w:rsidRPr="007D4C6B" w:rsidRDefault="00B47A48" w:rsidP="00B47A48">
      <w:pPr>
        <w:widowControl w:val="0"/>
        <w:ind w:left="720" w:hanging="720"/>
      </w:pPr>
      <w:r w:rsidRPr="007D4C6B">
        <w:t xml:space="preserve">Petersen, Norman R. </w:t>
      </w:r>
      <w:r w:rsidRPr="007D4C6B">
        <w:rPr>
          <w:i/>
        </w:rPr>
        <w:t>Literary Criticism for New Testament Critics</w:t>
      </w:r>
      <w:r w:rsidRPr="007D4C6B">
        <w:t>. Guides to Biblical Scholarship, NT series. Philadelphia: Fortress, 1978.</w:t>
      </w:r>
    </w:p>
    <w:p w14:paraId="4105F4E1" w14:textId="52B12326" w:rsidR="00B47A48" w:rsidRPr="007D4C6B" w:rsidRDefault="00B47A48" w:rsidP="00B47A48">
      <w:pPr>
        <w:widowControl w:val="0"/>
        <w:ind w:left="720" w:hanging="720"/>
      </w:pPr>
      <w:r w:rsidRPr="007D4C6B">
        <w:t xml:space="preserve">Pfleiderer, Otto. </w:t>
      </w:r>
      <w:r w:rsidRPr="007D4C6B">
        <w:rPr>
          <w:i/>
        </w:rPr>
        <w:t>Primitive Christianity</w:t>
      </w:r>
      <w:r w:rsidRPr="007D4C6B">
        <w:t xml:space="preserve">: </w:t>
      </w:r>
      <w:r w:rsidRPr="007D4C6B">
        <w:rPr>
          <w:i/>
        </w:rPr>
        <w:t>Its Writings and Teachings in Their Historical Connections</w:t>
      </w:r>
      <w:r w:rsidRPr="007D4C6B">
        <w:t>. Ed</w:t>
      </w:r>
      <w:r w:rsidR="007B5BB5">
        <w:t>.</w:t>
      </w:r>
      <w:r w:rsidRPr="007D4C6B">
        <w:t xml:space="preserve"> </w:t>
      </w:r>
      <w:r w:rsidRPr="00E366BA">
        <w:rPr>
          <w:iCs/>
        </w:rPr>
        <w:t>W.D.</w:t>
      </w:r>
      <w:r w:rsidRPr="007D4C6B">
        <w:t xml:space="preserve"> Morrison (vol. 1 only). Trans. W. Montgomery. 4 vols. London: Williams &amp; Norgate, 1906; New York: </w:t>
      </w:r>
      <w:r w:rsidR="00457786" w:rsidRPr="00457786">
        <w:rPr>
          <w:iCs/>
        </w:rPr>
        <w:t>G.P.</w:t>
      </w:r>
      <w:r w:rsidRPr="007D4C6B">
        <w:t xml:space="preserve"> Putnam’s, 1906</w:t>
      </w:r>
      <w:r w:rsidR="007B5BB5">
        <w:t>.</w:t>
      </w:r>
      <w:r w:rsidR="007B5BB5" w:rsidRPr="007D4C6B">
        <w:t xml:space="preserve"> Rpt. </w:t>
      </w:r>
      <w:r w:rsidRPr="007D4C6B">
        <w:t xml:space="preserve">ed., Clifton NJ: Reference Book Publishers, 1965. </w:t>
      </w:r>
      <w:r w:rsidR="007B5BB5">
        <w:t>(</w:t>
      </w:r>
      <w:r w:rsidRPr="007D4C6B">
        <w:rPr>
          <w:i/>
        </w:rPr>
        <w:t xml:space="preserve">Das </w:t>
      </w:r>
      <w:proofErr w:type="spellStart"/>
      <w:r w:rsidRPr="007D4C6B">
        <w:rPr>
          <w:i/>
        </w:rPr>
        <w:t>Urchristentum</w:t>
      </w:r>
      <w:proofErr w:type="spellEnd"/>
      <w:r w:rsidRPr="007D4C6B">
        <w:t xml:space="preserve">, </w:t>
      </w:r>
      <w:r w:rsidRPr="007D4C6B">
        <w:rPr>
          <w:i/>
        </w:rPr>
        <w:t xml:space="preserve">seine </w:t>
      </w:r>
      <w:proofErr w:type="spellStart"/>
      <w:r w:rsidRPr="007D4C6B">
        <w:rPr>
          <w:i/>
        </w:rPr>
        <w:t>Schriften</w:t>
      </w:r>
      <w:proofErr w:type="spellEnd"/>
      <w:r w:rsidRPr="007D4C6B">
        <w:rPr>
          <w:i/>
        </w:rPr>
        <w:t xml:space="preserve"> und </w:t>
      </w:r>
      <w:proofErr w:type="spellStart"/>
      <w:r w:rsidRPr="007D4C6B">
        <w:rPr>
          <w:i/>
        </w:rPr>
        <w:t>Lehre</w:t>
      </w:r>
      <w:proofErr w:type="spellEnd"/>
      <w:r w:rsidRPr="007D4C6B">
        <w:t xml:space="preserve">, </w:t>
      </w:r>
      <w:r w:rsidRPr="007D4C6B">
        <w:rPr>
          <w:i/>
        </w:rPr>
        <w:t xml:space="preserve">in </w:t>
      </w:r>
      <w:proofErr w:type="spellStart"/>
      <w:r w:rsidRPr="007D4C6B">
        <w:rPr>
          <w:i/>
        </w:rPr>
        <w:t>geschichtlichem</w:t>
      </w:r>
      <w:proofErr w:type="spellEnd"/>
      <w:r w:rsidRPr="007D4C6B">
        <w:rPr>
          <w:i/>
        </w:rPr>
        <w:t xml:space="preserve"> </w:t>
      </w:r>
      <w:proofErr w:type="spellStart"/>
      <w:r w:rsidRPr="007D4C6B">
        <w:rPr>
          <w:i/>
        </w:rPr>
        <w:t>Zusammenhang</w:t>
      </w:r>
      <w:proofErr w:type="spellEnd"/>
      <w:r w:rsidRPr="007D4C6B">
        <w:rPr>
          <w:i/>
        </w:rPr>
        <w:t xml:space="preserve"> </w:t>
      </w:r>
      <w:proofErr w:type="spellStart"/>
      <w:r w:rsidRPr="007D4C6B">
        <w:rPr>
          <w:i/>
        </w:rPr>
        <w:t>beschrieben</w:t>
      </w:r>
      <w:proofErr w:type="spellEnd"/>
      <w:r w:rsidR="007B5BB5">
        <w:t>.</w:t>
      </w:r>
      <w:r w:rsidRPr="007D4C6B">
        <w:t xml:space="preserve"> 4 vols. Berlin: 1887, 1902</w:t>
      </w:r>
      <w:r w:rsidRPr="007D4C6B">
        <w:rPr>
          <w:vertAlign w:val="superscript"/>
        </w:rPr>
        <w:t>2</w:t>
      </w:r>
      <w:r w:rsidRPr="007D4C6B">
        <w:t>.</w:t>
      </w:r>
      <w:r w:rsidR="007B5BB5">
        <w:t>)</w:t>
      </w:r>
    </w:p>
    <w:p w14:paraId="1C902D56" w14:textId="4FEAA85D" w:rsidR="00B47A48" w:rsidRPr="007D4C6B" w:rsidRDefault="00B47A48" w:rsidP="00B47A48">
      <w:pPr>
        <w:widowControl w:val="0"/>
        <w:ind w:left="720" w:hanging="720"/>
      </w:pPr>
      <w:r w:rsidRPr="007D4C6B">
        <w:t>Propp, Vladimir [</w:t>
      </w:r>
      <w:proofErr w:type="spellStart"/>
      <w:r w:rsidRPr="007D4C6B">
        <w:t>Jakovlevich</w:t>
      </w:r>
      <w:proofErr w:type="spellEnd"/>
      <w:r w:rsidRPr="007D4C6B">
        <w:t xml:space="preserve">]. </w:t>
      </w:r>
      <w:r w:rsidRPr="007D4C6B">
        <w:rPr>
          <w:i/>
        </w:rPr>
        <w:t>Morphology of the Folktale</w:t>
      </w:r>
      <w:r w:rsidRPr="007D4C6B">
        <w:t>. 1st ed. trans. Laurence Scott; intr</w:t>
      </w:r>
      <w:r w:rsidR="007B5BB5">
        <w:t>o.</w:t>
      </w:r>
      <w:r w:rsidRPr="007D4C6B">
        <w:t xml:space="preserve"> by Svatava Pirkova-Jakobson. </w:t>
      </w:r>
      <w:r w:rsidRPr="00C45D7C">
        <w:rPr>
          <w:iCs/>
        </w:rPr>
        <w:t>Bloomington IN: Indiana UP</w:t>
      </w:r>
      <w:r w:rsidRPr="007D4C6B">
        <w:t xml:space="preserve">, 1958. </w:t>
      </w:r>
      <w:r w:rsidRPr="0029762C">
        <w:rPr>
          <w:iCs/>
        </w:rPr>
        <w:t>2nd ed.</w:t>
      </w:r>
      <w:r w:rsidRPr="007D4C6B">
        <w:t xml:space="preserve"> rev</w:t>
      </w:r>
      <w:r w:rsidR="007B5BB5">
        <w:t>.</w:t>
      </w:r>
      <w:r w:rsidRPr="007D4C6B">
        <w:t xml:space="preserve"> Louis A. Wagner</w:t>
      </w:r>
      <w:r w:rsidR="007B5BB5">
        <w:t>.</w:t>
      </w:r>
      <w:r w:rsidRPr="007D4C6B">
        <w:t xml:space="preserve"> </w:t>
      </w:r>
      <w:r w:rsidR="007B5BB5" w:rsidRPr="007D4C6B">
        <w:t>Intro</w:t>
      </w:r>
      <w:r w:rsidR="007B5BB5">
        <w:t>.</w:t>
      </w:r>
      <w:r w:rsidR="007B5BB5" w:rsidRPr="007D4C6B">
        <w:t xml:space="preserve"> </w:t>
      </w:r>
      <w:r w:rsidRPr="007D4C6B">
        <w:t xml:space="preserve">by Alan Dundes. Austin TX: University of Texas, 1968. </w:t>
      </w:r>
      <w:r w:rsidR="007B5BB5">
        <w:t>(</w:t>
      </w:r>
      <w:r w:rsidRPr="007D4C6B">
        <w:t>Russian: 1928.</w:t>
      </w:r>
      <w:r w:rsidR="007B5BB5">
        <w:t>)</w:t>
      </w:r>
    </w:p>
    <w:p w14:paraId="62280EA9" w14:textId="405F3CAC" w:rsidR="00B47A48" w:rsidRPr="007D4C6B" w:rsidRDefault="00B47A48" w:rsidP="00B47A48">
      <w:pPr>
        <w:widowControl w:val="0"/>
        <w:ind w:left="720" w:hanging="720"/>
      </w:pPr>
      <w:r w:rsidRPr="007D4C6B">
        <w:t xml:space="preserve">Propp, Vladimir. </w:t>
      </w:r>
      <w:r w:rsidRPr="007D4C6B">
        <w:rPr>
          <w:i/>
        </w:rPr>
        <w:t>Theory and History of Folklore</w:t>
      </w:r>
      <w:r w:rsidRPr="007D4C6B">
        <w:t>. Trans. Ariadna Y. Martin and Richard P. Martin, et al. Ed</w:t>
      </w:r>
      <w:r w:rsidR="007B5BB5">
        <w:t>,</w:t>
      </w:r>
      <w:r w:rsidRPr="007D4C6B">
        <w:t>, with intr</w:t>
      </w:r>
      <w:r w:rsidR="007B5BB5">
        <w:t>o.</w:t>
      </w:r>
      <w:r w:rsidRPr="007D4C6B">
        <w:t xml:space="preserve"> and notes, by Anatoly Liberman. Theory and History of Literature 5. </w:t>
      </w:r>
      <w:r w:rsidRPr="00D42DB3">
        <w:rPr>
          <w:iCs/>
        </w:rPr>
        <w:t>Minneapolis MN</w:t>
      </w:r>
      <w:r w:rsidRPr="007D4C6B">
        <w:t xml:space="preserve">: University of Minnesota, 1984. </w:t>
      </w:r>
      <w:r w:rsidR="007B5BB5">
        <w:t>(</w:t>
      </w:r>
      <w:r w:rsidRPr="007D4C6B">
        <w:t>A collection of seven essays.</w:t>
      </w:r>
      <w:r w:rsidR="007B5BB5">
        <w:t>)</w:t>
      </w:r>
    </w:p>
    <w:p w14:paraId="35C7621B" w14:textId="52A2D5EF" w:rsidR="00B47A48" w:rsidRPr="007D4C6B" w:rsidRDefault="00B47A48" w:rsidP="00B47A48">
      <w:pPr>
        <w:widowControl w:val="0"/>
        <w:ind w:left="720" w:hanging="720"/>
      </w:pPr>
      <w:r w:rsidRPr="007D4C6B">
        <w:t xml:space="preserve">Ramsay, William M. </w:t>
      </w:r>
      <w:r w:rsidRPr="007D4C6B">
        <w:rPr>
          <w:i/>
        </w:rPr>
        <w:t>The Bearing of Recent Discovery on the Trustworthiness of the New Testament</w:t>
      </w:r>
      <w:r w:rsidRPr="007D4C6B">
        <w:t xml:space="preserve">. London: </w:t>
      </w:r>
      <w:r w:rsidRPr="00110AE7">
        <w:rPr>
          <w:iCs/>
        </w:rPr>
        <w:t>Hodder and Stoughton</w:t>
      </w:r>
      <w:r w:rsidRPr="007D4C6B">
        <w:t>, 1915</w:t>
      </w:r>
      <w:r w:rsidR="007B5BB5">
        <w:t>.</w:t>
      </w:r>
      <w:r w:rsidR="007B5BB5" w:rsidRPr="007D4C6B">
        <w:t xml:space="preserve"> Rpt. </w:t>
      </w:r>
      <w:r w:rsidRPr="007D4C6B">
        <w:t>ed., William M. Ramsay Library (10 vols.)</w:t>
      </w:r>
      <w:r w:rsidR="007B5BB5">
        <w:t>.</w:t>
      </w:r>
      <w:r w:rsidRPr="007D4C6B">
        <w:t xml:space="preserve"> </w:t>
      </w:r>
      <w:r w:rsidRPr="00DC3006">
        <w:rPr>
          <w:iCs/>
        </w:rPr>
        <w:t>Grand Rapids MI</w:t>
      </w:r>
      <w:r w:rsidRPr="007D4C6B">
        <w:t>: Baker, 1979.</w:t>
      </w:r>
    </w:p>
    <w:p w14:paraId="3D0B7130" w14:textId="4BF61C5F" w:rsidR="00B47A48" w:rsidRPr="007D4C6B" w:rsidRDefault="00B47A48" w:rsidP="00B47A48">
      <w:pPr>
        <w:widowControl w:val="0"/>
        <w:ind w:left="720" w:hanging="720"/>
      </w:pPr>
      <w:r w:rsidRPr="007D4C6B">
        <w:t xml:space="preserve">Ransom, John Crowe. </w:t>
      </w:r>
      <w:r w:rsidRPr="007D4C6B">
        <w:rPr>
          <w:i/>
        </w:rPr>
        <w:t>The New Criticism</w:t>
      </w:r>
      <w:r w:rsidRPr="007D4C6B">
        <w:t>. Norfolk CT: New Directions, 1941.</w:t>
      </w:r>
    </w:p>
    <w:p w14:paraId="7B020DEF" w14:textId="12E9AA8B" w:rsidR="00B47A48" w:rsidRPr="007D4C6B" w:rsidRDefault="00B47A48" w:rsidP="00B47A48">
      <w:pPr>
        <w:widowControl w:val="0"/>
        <w:ind w:left="720" w:hanging="720"/>
      </w:pPr>
      <w:r w:rsidRPr="007D4C6B">
        <w:t xml:space="preserve">Raven, </w:t>
      </w:r>
      <w:r w:rsidR="007B5BB5" w:rsidRPr="007B5BB5">
        <w:rPr>
          <w:iCs/>
        </w:rPr>
        <w:t>D.S.</w:t>
      </w:r>
      <w:r w:rsidRPr="007D4C6B">
        <w:t xml:space="preserve"> </w:t>
      </w:r>
      <w:r w:rsidRPr="007D4C6B">
        <w:rPr>
          <w:i/>
        </w:rPr>
        <w:t xml:space="preserve">Greek </w:t>
      </w:r>
      <w:proofErr w:type="spellStart"/>
      <w:r w:rsidRPr="007D4C6B">
        <w:rPr>
          <w:i/>
        </w:rPr>
        <w:t>Metre</w:t>
      </w:r>
      <w:proofErr w:type="spellEnd"/>
      <w:r w:rsidRPr="007D4C6B">
        <w:t xml:space="preserve">: </w:t>
      </w:r>
      <w:r w:rsidRPr="007D4C6B">
        <w:rPr>
          <w:i/>
        </w:rPr>
        <w:t>An Introduction</w:t>
      </w:r>
      <w:r w:rsidRPr="007D4C6B">
        <w:t xml:space="preserve">. London: Faber </w:t>
      </w:r>
      <w:r w:rsidR="007B5BB5">
        <w:t>and</w:t>
      </w:r>
      <w:r w:rsidRPr="007D4C6B">
        <w:t xml:space="preserve"> Faber, 1968.</w:t>
      </w:r>
    </w:p>
    <w:p w14:paraId="18DD7F51" w14:textId="4BA34185" w:rsidR="00B47A48" w:rsidRPr="007D4C6B" w:rsidRDefault="00B47A48" w:rsidP="00B47A48">
      <w:pPr>
        <w:widowControl w:val="0"/>
        <w:ind w:left="720" w:hanging="720"/>
      </w:pPr>
      <w:r w:rsidRPr="007D4C6B">
        <w:t xml:space="preserve">Renan, Ernest. </w:t>
      </w:r>
      <w:r w:rsidRPr="007D4C6B">
        <w:rPr>
          <w:i/>
        </w:rPr>
        <w:t>The Life of Jesus</w:t>
      </w:r>
      <w:r w:rsidRPr="007D4C6B">
        <w:t xml:space="preserve">. Introduction by John Haynes Holmes. </w:t>
      </w:r>
      <w:r w:rsidRPr="00E5413C">
        <w:rPr>
          <w:lang w:val="fr-FR"/>
        </w:rPr>
        <w:t xml:space="preserve">New York: Carlton House, </w:t>
      </w:r>
      <w:proofErr w:type="spellStart"/>
      <w:r w:rsidRPr="00E5413C">
        <w:rPr>
          <w:lang w:val="fr-FR"/>
        </w:rPr>
        <w:t>n.d</w:t>
      </w:r>
      <w:proofErr w:type="spellEnd"/>
      <w:r w:rsidRPr="00E5413C">
        <w:rPr>
          <w:lang w:val="fr-FR"/>
        </w:rPr>
        <w:t xml:space="preserve">. </w:t>
      </w:r>
      <w:r w:rsidR="007B5BB5" w:rsidRPr="00E5413C">
        <w:rPr>
          <w:lang w:val="fr-FR"/>
        </w:rPr>
        <w:t>(</w:t>
      </w:r>
      <w:r w:rsidRPr="00E5413C">
        <w:rPr>
          <w:i/>
          <w:lang w:val="fr-FR"/>
        </w:rPr>
        <w:t>La Vie de Jésus</w:t>
      </w:r>
      <w:r w:rsidRPr="00E5413C">
        <w:rPr>
          <w:lang w:val="fr-FR"/>
        </w:rPr>
        <w:t xml:space="preserve">, Paris: Michel Lévy Frères, 1863. </w:t>
      </w:r>
      <w:r w:rsidRPr="007D4C6B">
        <w:t xml:space="preserve">Eds. 2-10 appeared the same year; eds. 11-13 appeared in 1867 </w:t>
      </w:r>
      <w:r w:rsidR="007B5BB5">
        <w:t>[</w:t>
      </w:r>
      <w:r w:rsidRPr="007D4C6B">
        <w:t>the last was a thorough revision</w:t>
      </w:r>
      <w:r w:rsidR="007B5BB5">
        <w:t>]</w:t>
      </w:r>
      <w:r w:rsidRPr="007D4C6B">
        <w:t xml:space="preserve">. The </w:t>
      </w:r>
      <w:r w:rsidRPr="007D4C6B">
        <w:rPr>
          <w:i/>
        </w:rPr>
        <w:t>Life</w:t>
      </w:r>
      <w:r w:rsidRPr="007D4C6B">
        <w:t xml:space="preserve"> became vol. 1 of Renan’s 5-vol. </w:t>
      </w:r>
      <w:proofErr w:type="spellStart"/>
      <w:r w:rsidRPr="007D4C6B">
        <w:rPr>
          <w:i/>
        </w:rPr>
        <w:t>Origines</w:t>
      </w:r>
      <w:proofErr w:type="spellEnd"/>
      <w:r w:rsidRPr="007D4C6B">
        <w:rPr>
          <w:i/>
        </w:rPr>
        <w:t xml:space="preserve"> du </w:t>
      </w:r>
      <w:proofErr w:type="spellStart"/>
      <w:r w:rsidRPr="007D4C6B">
        <w:rPr>
          <w:i/>
        </w:rPr>
        <w:t>Christianisme</w:t>
      </w:r>
      <w:proofErr w:type="spellEnd"/>
      <w:r w:rsidRPr="007D4C6B">
        <w:t>, 1863-1881.</w:t>
      </w:r>
      <w:r w:rsidR="007B5BB5">
        <w:t>)</w:t>
      </w:r>
    </w:p>
    <w:p w14:paraId="0469F2B6" w14:textId="77777777" w:rsidR="00B47A48" w:rsidRPr="007D4C6B" w:rsidRDefault="00B47A48" w:rsidP="00B47A48">
      <w:pPr>
        <w:widowControl w:val="0"/>
        <w:ind w:left="720" w:hanging="720"/>
      </w:pPr>
      <w:r w:rsidRPr="007D4C6B">
        <w:t xml:space="preserve">Rhoads, David, and Donald Michie. </w:t>
      </w:r>
      <w:r w:rsidRPr="007D4C6B">
        <w:rPr>
          <w:i/>
        </w:rPr>
        <w:t>Mark as Story</w:t>
      </w:r>
      <w:r w:rsidRPr="007D4C6B">
        <w:t xml:space="preserve">: </w:t>
      </w:r>
      <w:r w:rsidRPr="007D4C6B">
        <w:rPr>
          <w:i/>
        </w:rPr>
        <w:t>An Introduction to the Narrative of a Gospel</w:t>
      </w:r>
      <w:r w:rsidRPr="007D4C6B">
        <w:t xml:space="preserve">. </w:t>
      </w:r>
      <w:r w:rsidRPr="007D4C6B">
        <w:lastRenderedPageBreak/>
        <w:t>Philadelphia: Fortress, 1982.</w:t>
      </w:r>
    </w:p>
    <w:p w14:paraId="6F90F101" w14:textId="77777777" w:rsidR="00B47A48" w:rsidRPr="007D4C6B" w:rsidRDefault="00B47A48" w:rsidP="00B47A48">
      <w:pPr>
        <w:widowControl w:val="0"/>
        <w:ind w:left="720" w:hanging="720"/>
      </w:pPr>
      <w:r w:rsidRPr="007D4C6B">
        <w:t xml:space="preserve">Richards, Ivor Armstrong. </w:t>
      </w:r>
      <w:r w:rsidRPr="007D4C6B">
        <w:rPr>
          <w:i/>
        </w:rPr>
        <w:t>Philosophy of Rhetoric</w:t>
      </w:r>
      <w:r w:rsidRPr="007D4C6B">
        <w:t>. New York: Oxford, 1963.</w:t>
      </w:r>
    </w:p>
    <w:p w14:paraId="267A98BE" w14:textId="6A70859A" w:rsidR="00B47A48" w:rsidRPr="007D4C6B" w:rsidRDefault="00B47A48" w:rsidP="00B47A48">
      <w:pPr>
        <w:widowControl w:val="0"/>
        <w:ind w:left="720" w:hanging="720"/>
      </w:pPr>
      <w:r w:rsidRPr="007D4C6B">
        <w:t xml:space="preserve">Richards, Ivor Armstrong. </w:t>
      </w:r>
      <w:r w:rsidRPr="007D4C6B">
        <w:rPr>
          <w:i/>
        </w:rPr>
        <w:t>Practical Criticism</w:t>
      </w:r>
      <w:r w:rsidRPr="007D4C6B">
        <w:t xml:space="preserve">: </w:t>
      </w:r>
      <w:r w:rsidRPr="007D4C6B">
        <w:rPr>
          <w:i/>
        </w:rPr>
        <w:t>A Study of Literature and Judgment</w:t>
      </w:r>
      <w:r w:rsidRPr="007D4C6B">
        <w:t xml:space="preserve">. London: Kegan Paul, Trench, </w:t>
      </w:r>
      <w:proofErr w:type="spellStart"/>
      <w:r w:rsidRPr="007D4C6B">
        <w:t>Trubner</w:t>
      </w:r>
      <w:proofErr w:type="spellEnd"/>
      <w:r w:rsidRPr="007D4C6B">
        <w:t>, 1924</w:t>
      </w:r>
      <w:r w:rsidR="007B5BB5">
        <w:t>.</w:t>
      </w:r>
      <w:r w:rsidR="007B5BB5" w:rsidRPr="007D4C6B">
        <w:t xml:space="preserve"> Rpt. </w:t>
      </w:r>
      <w:r w:rsidRPr="007D4C6B">
        <w:t xml:space="preserve">New York: Harcourt, Brace, </w:t>
      </w:r>
      <w:r w:rsidR="007B5BB5">
        <w:t>and</w:t>
      </w:r>
      <w:r w:rsidRPr="007D4C6B">
        <w:t xml:space="preserve"> World, 1962 (Harvest paperback).</w:t>
      </w:r>
    </w:p>
    <w:p w14:paraId="484281B9" w14:textId="77777777" w:rsidR="00B47A48" w:rsidRPr="007D4C6B" w:rsidRDefault="00B47A48" w:rsidP="00B47A48">
      <w:pPr>
        <w:widowControl w:val="0"/>
        <w:ind w:left="720" w:hanging="720"/>
      </w:pPr>
      <w:r w:rsidRPr="007D4C6B">
        <w:t xml:space="preserve">Richards, Ivor Armstrong. “Structure and Communication.” In </w:t>
      </w:r>
      <w:r w:rsidRPr="007D4C6B">
        <w:rPr>
          <w:i/>
        </w:rPr>
        <w:t>Structure in Art and in Science</w:t>
      </w:r>
      <w:r w:rsidRPr="00DC3006">
        <w:rPr>
          <w:iCs/>
        </w:rPr>
        <w:t xml:space="preserve">. Ed. </w:t>
      </w:r>
      <w:r w:rsidRPr="007D4C6B">
        <w:t>Gyorgy Kepes. Vision + value series. New York: George Braziller, 1965.</w:t>
      </w:r>
    </w:p>
    <w:p w14:paraId="3A7761BC" w14:textId="251DC595" w:rsidR="00B47A48" w:rsidRPr="007D4C6B" w:rsidRDefault="00B47A48" w:rsidP="00B47A48">
      <w:pPr>
        <w:widowControl w:val="0"/>
        <w:ind w:left="720" w:hanging="720"/>
      </w:pPr>
      <w:r w:rsidRPr="007D4C6B">
        <w:t xml:space="preserve">Richards, Ivor Armstrong, and Charles Kay Ogden. </w:t>
      </w:r>
      <w:r w:rsidRPr="007D4C6B">
        <w:rPr>
          <w:i/>
        </w:rPr>
        <w:t>The Meaning of Meaning</w:t>
      </w:r>
      <w:r w:rsidRPr="007D4C6B">
        <w:t xml:space="preserve">: </w:t>
      </w:r>
      <w:r w:rsidRPr="007D4C6B">
        <w:rPr>
          <w:i/>
        </w:rPr>
        <w:t>A Study of the Influence of Language upon Thought and of the Science of Symbolism</w:t>
      </w:r>
      <w:r w:rsidRPr="007D4C6B">
        <w:t xml:space="preserve">. International Library of Psychology, Philosophy, and Scientific Method. 8th ed. New York: Harcourt, Brace, </w:t>
      </w:r>
      <w:r w:rsidR="007B5BB5">
        <w:t>and</w:t>
      </w:r>
      <w:r w:rsidRPr="007D4C6B">
        <w:t xml:space="preserve"> World, 1946, rpt. 1984; London: Kegan Paul, Trench, </w:t>
      </w:r>
      <w:proofErr w:type="spellStart"/>
      <w:r w:rsidRPr="007D4C6B">
        <w:t>Trubner</w:t>
      </w:r>
      <w:proofErr w:type="spellEnd"/>
      <w:r w:rsidRPr="007D4C6B">
        <w:t>, 1947.</w:t>
      </w:r>
    </w:p>
    <w:p w14:paraId="10ED46BC" w14:textId="17A4AF4F" w:rsidR="00B47A48" w:rsidRPr="007D4C6B" w:rsidRDefault="00B47A48" w:rsidP="00B47A48">
      <w:pPr>
        <w:widowControl w:val="0"/>
        <w:ind w:left="720" w:hanging="720"/>
      </w:pPr>
      <w:r w:rsidRPr="007D4C6B">
        <w:t xml:space="preserve">Rienecker, Fritz. </w:t>
      </w:r>
      <w:r w:rsidRPr="007D4C6B">
        <w:rPr>
          <w:i/>
        </w:rPr>
        <w:t>A Linguistic Key to the Greek New Testament</w:t>
      </w:r>
      <w:r w:rsidRPr="007D4C6B">
        <w:t xml:space="preserve">. Vol. 1, </w:t>
      </w:r>
      <w:r w:rsidRPr="007D4C6B">
        <w:rPr>
          <w:i/>
        </w:rPr>
        <w:t>Matthew through Acts</w:t>
      </w:r>
      <w:r w:rsidR="007B5BB5">
        <w:t>. V</w:t>
      </w:r>
      <w:r w:rsidRPr="007D4C6B">
        <w:t xml:space="preserve">ol. 2, </w:t>
      </w:r>
      <w:r w:rsidRPr="007D4C6B">
        <w:rPr>
          <w:i/>
        </w:rPr>
        <w:t>Romans-Revelation</w:t>
      </w:r>
      <w:r w:rsidRPr="007D4C6B">
        <w:t>. Re</w:t>
      </w:r>
      <w:r w:rsidR="007B5BB5">
        <w:t>v.</w:t>
      </w:r>
      <w:r w:rsidRPr="007D4C6B">
        <w:t xml:space="preserve"> and trans. Cleon L. Rogers, Jr. 2 vols. </w:t>
      </w:r>
      <w:r w:rsidRPr="00DC3006">
        <w:rPr>
          <w:iCs/>
        </w:rPr>
        <w:t>Grand Rapids MI</w:t>
      </w:r>
      <w:r w:rsidRPr="007D4C6B">
        <w:t xml:space="preserve">: Zondervan, 1976, 1980. </w:t>
      </w:r>
      <w:r w:rsidR="007B5BB5">
        <w:t>(</w:t>
      </w:r>
      <w:proofErr w:type="spellStart"/>
      <w:r w:rsidRPr="007D4C6B">
        <w:rPr>
          <w:i/>
        </w:rPr>
        <w:t>Sprachlicher</w:t>
      </w:r>
      <w:proofErr w:type="spellEnd"/>
      <w:r w:rsidRPr="007D4C6B">
        <w:rPr>
          <w:i/>
        </w:rPr>
        <w:t xml:space="preserve"> </w:t>
      </w:r>
      <w:proofErr w:type="spellStart"/>
      <w:r w:rsidRPr="007D4C6B">
        <w:rPr>
          <w:i/>
        </w:rPr>
        <w:t>Schlüssel</w:t>
      </w:r>
      <w:proofErr w:type="spellEnd"/>
      <w:r w:rsidRPr="007D4C6B">
        <w:rPr>
          <w:i/>
        </w:rPr>
        <w:t xml:space="preserve"> </w:t>
      </w:r>
      <w:proofErr w:type="spellStart"/>
      <w:r w:rsidRPr="007D4C6B">
        <w:rPr>
          <w:i/>
        </w:rPr>
        <w:t>zum</w:t>
      </w:r>
      <w:proofErr w:type="spellEnd"/>
      <w:r w:rsidRPr="007D4C6B">
        <w:rPr>
          <w:i/>
        </w:rPr>
        <w:t xml:space="preserve"> </w:t>
      </w:r>
      <w:proofErr w:type="spellStart"/>
      <w:r w:rsidRPr="007D4C6B">
        <w:rPr>
          <w:i/>
        </w:rPr>
        <w:t>Griechischen</w:t>
      </w:r>
      <w:proofErr w:type="spellEnd"/>
      <w:r w:rsidRPr="007D4C6B">
        <w:rPr>
          <w:i/>
        </w:rPr>
        <w:t xml:space="preserve"> Neuen Testament</w:t>
      </w:r>
      <w:r w:rsidRPr="007D4C6B">
        <w:t xml:space="preserve">, Giessen: </w:t>
      </w:r>
      <w:proofErr w:type="spellStart"/>
      <w:r w:rsidRPr="007D4C6B">
        <w:t>Brunnen</w:t>
      </w:r>
      <w:proofErr w:type="spellEnd"/>
      <w:r w:rsidRPr="007D4C6B">
        <w:t xml:space="preserve">, 1970. </w:t>
      </w:r>
      <w:r w:rsidR="007B5BB5">
        <w:t>[</w:t>
      </w:r>
      <w:r w:rsidRPr="007D4C6B">
        <w:t xml:space="preserve">Based on the United Bible Society’s </w:t>
      </w:r>
      <w:r w:rsidRPr="007D4C6B">
        <w:rPr>
          <w:i/>
        </w:rPr>
        <w:t>Greek New Testament</w:t>
      </w:r>
      <w:r w:rsidRPr="007D4C6B">
        <w:t xml:space="preserve">, </w:t>
      </w:r>
      <w:r w:rsidRPr="0029762C">
        <w:rPr>
          <w:iCs/>
        </w:rPr>
        <w:t>2nd ed.</w:t>
      </w:r>
      <w:r w:rsidRPr="007D4C6B">
        <w:t xml:space="preserve"> 1968.</w:t>
      </w:r>
      <w:r w:rsidR="007B5BB5">
        <w:t>]</w:t>
      </w:r>
      <w:r w:rsidRPr="007D4C6B">
        <w:t>)</w:t>
      </w:r>
    </w:p>
    <w:p w14:paraId="79BF612D" w14:textId="07284BDE" w:rsidR="00B47A48" w:rsidRPr="00E5413C" w:rsidRDefault="00B47A48" w:rsidP="00B47A48">
      <w:pPr>
        <w:widowControl w:val="0"/>
        <w:ind w:left="720" w:hanging="720"/>
        <w:rPr>
          <w:lang w:val="fr-FR"/>
        </w:rPr>
      </w:pPr>
      <w:r w:rsidRPr="007D4C6B">
        <w:t xml:space="preserve">Robert, A., and A. Feuillet. </w:t>
      </w:r>
      <w:r w:rsidRPr="007D4C6B">
        <w:rPr>
          <w:i/>
        </w:rPr>
        <w:t>Introduction to the New Testament</w:t>
      </w:r>
      <w:r w:rsidRPr="007D4C6B">
        <w:t xml:space="preserve">. Trans. Patrick W. Skehan, et al. New York: </w:t>
      </w:r>
      <w:proofErr w:type="spellStart"/>
      <w:r w:rsidRPr="007D4C6B">
        <w:t>Desclée</w:t>
      </w:r>
      <w:proofErr w:type="spellEnd"/>
      <w:r w:rsidRPr="007D4C6B">
        <w:t xml:space="preserve">, 1965. </w:t>
      </w:r>
      <w:r w:rsidR="000C4944" w:rsidRPr="00E5413C">
        <w:rPr>
          <w:lang w:val="fr-FR"/>
        </w:rPr>
        <w:t>(</w:t>
      </w:r>
      <w:r w:rsidRPr="00E5413C">
        <w:rPr>
          <w:i/>
          <w:lang w:val="fr-FR"/>
        </w:rPr>
        <w:t>Introduction à la Bible</w:t>
      </w:r>
      <w:r w:rsidR="000C4944" w:rsidRPr="00E5413C">
        <w:rPr>
          <w:lang w:val="fr-FR"/>
        </w:rPr>
        <w:t>.</w:t>
      </w:r>
      <w:r w:rsidRPr="00E5413C">
        <w:rPr>
          <w:lang w:val="fr-FR"/>
        </w:rPr>
        <w:t xml:space="preserve"> </w:t>
      </w:r>
      <w:r w:rsidR="000C4944" w:rsidRPr="00E5413C">
        <w:rPr>
          <w:lang w:val="fr-FR"/>
        </w:rPr>
        <w:t>Vol</w:t>
      </w:r>
      <w:r w:rsidRPr="00E5413C">
        <w:rPr>
          <w:lang w:val="fr-FR"/>
        </w:rPr>
        <w:t xml:space="preserve">. 2: </w:t>
      </w:r>
      <w:r w:rsidRPr="00E5413C">
        <w:rPr>
          <w:i/>
          <w:lang w:val="fr-FR"/>
        </w:rPr>
        <w:t>Nouveau Testament</w:t>
      </w:r>
      <w:r w:rsidR="000C4944" w:rsidRPr="00E5413C">
        <w:rPr>
          <w:lang w:val="fr-FR"/>
        </w:rPr>
        <w:t>.</w:t>
      </w:r>
      <w:r w:rsidRPr="00E5413C">
        <w:rPr>
          <w:lang w:val="fr-FR"/>
        </w:rPr>
        <w:t xml:space="preserve"> 2</w:t>
      </w:r>
      <w:r w:rsidR="000C4944" w:rsidRPr="00E5413C">
        <w:rPr>
          <w:lang w:val="fr-FR"/>
        </w:rPr>
        <w:t>n</w:t>
      </w:r>
      <w:r w:rsidRPr="00E5413C">
        <w:rPr>
          <w:lang w:val="fr-FR"/>
        </w:rPr>
        <w:t xml:space="preserve">d. </w:t>
      </w:r>
      <w:proofErr w:type="spellStart"/>
      <w:r w:rsidRPr="00E5413C">
        <w:rPr>
          <w:lang w:val="fr-FR"/>
        </w:rPr>
        <w:t>ed</w:t>
      </w:r>
      <w:proofErr w:type="spellEnd"/>
      <w:r w:rsidRPr="00E5413C">
        <w:rPr>
          <w:lang w:val="fr-FR"/>
        </w:rPr>
        <w:t xml:space="preserve">. Tournai, </w:t>
      </w:r>
      <w:proofErr w:type="spellStart"/>
      <w:r w:rsidRPr="00E5413C">
        <w:rPr>
          <w:lang w:val="fr-FR"/>
        </w:rPr>
        <w:t>Belgium</w:t>
      </w:r>
      <w:proofErr w:type="spellEnd"/>
      <w:r w:rsidRPr="00E5413C">
        <w:rPr>
          <w:lang w:val="fr-FR"/>
        </w:rPr>
        <w:t>: Desclée, 1959.</w:t>
      </w:r>
      <w:r w:rsidR="000C4944" w:rsidRPr="00E5413C">
        <w:rPr>
          <w:lang w:val="fr-FR"/>
        </w:rPr>
        <w:t>)</w:t>
      </w:r>
    </w:p>
    <w:p w14:paraId="3DFFF51B" w14:textId="77777777" w:rsidR="00B47A48" w:rsidRPr="007D4C6B" w:rsidRDefault="00B47A48" w:rsidP="00B47A48">
      <w:pPr>
        <w:widowControl w:val="0"/>
        <w:ind w:left="720" w:hanging="720"/>
      </w:pPr>
      <w:r w:rsidRPr="007D4C6B">
        <w:t xml:space="preserve">Robinson, James M. </w:t>
      </w:r>
      <w:r w:rsidRPr="007D4C6B">
        <w:rPr>
          <w:i/>
        </w:rPr>
        <w:t>A New Quest of the Historical Jesus</w:t>
      </w:r>
      <w:r w:rsidRPr="007D4C6B">
        <w:t>. SBT 25. London: SCM, 1959.</w:t>
      </w:r>
    </w:p>
    <w:p w14:paraId="1F6AED18" w14:textId="77777777" w:rsidR="00B47A48" w:rsidRPr="007D4C6B" w:rsidRDefault="00B47A48" w:rsidP="00B47A48">
      <w:pPr>
        <w:widowControl w:val="0"/>
        <w:ind w:left="720" w:hanging="720"/>
      </w:pPr>
      <w:r w:rsidRPr="007D4C6B">
        <w:t xml:space="preserve">Robinson, James M., and Helmut Koester. </w:t>
      </w:r>
      <w:r w:rsidRPr="007D4C6B">
        <w:rPr>
          <w:i/>
        </w:rPr>
        <w:t>Trajectories through Early Christianity</w:t>
      </w:r>
      <w:r w:rsidRPr="007D4C6B">
        <w:t>. Philadelphia: Fortress, 1971 (paperback rpt., 1979).</w:t>
      </w:r>
    </w:p>
    <w:p w14:paraId="641674DA" w14:textId="05163E46" w:rsidR="00B47A48" w:rsidRPr="007D4C6B" w:rsidRDefault="00B47A48" w:rsidP="00B47A48">
      <w:pPr>
        <w:widowControl w:val="0"/>
        <w:ind w:left="720" w:hanging="720"/>
      </w:pPr>
      <w:r w:rsidRPr="007D4C6B">
        <w:t xml:space="preserve">Rohde, Joachim. </w:t>
      </w:r>
      <w:r w:rsidRPr="007D4C6B">
        <w:rPr>
          <w:i/>
        </w:rPr>
        <w:t>Rediscovering the Teaching of the Evangelists</w:t>
      </w:r>
      <w:r w:rsidRPr="007D4C6B">
        <w:t xml:space="preserve">. London: SCM, 1968; New Testament Library. Philadelphia: Westminster, 1968. </w:t>
      </w:r>
      <w:r w:rsidR="000C4944">
        <w:t>(</w:t>
      </w:r>
      <w:r w:rsidRPr="007D4C6B">
        <w:rPr>
          <w:i/>
        </w:rPr>
        <w:t xml:space="preserve">Die </w:t>
      </w:r>
      <w:proofErr w:type="spellStart"/>
      <w:r w:rsidRPr="007D4C6B">
        <w:rPr>
          <w:i/>
        </w:rPr>
        <w:t>redactionsgeschichliche</w:t>
      </w:r>
      <w:proofErr w:type="spellEnd"/>
      <w:r w:rsidRPr="007D4C6B">
        <w:rPr>
          <w:i/>
        </w:rPr>
        <w:t xml:space="preserve"> Methode</w:t>
      </w:r>
      <w:r w:rsidR="000C4944">
        <w:t>.</w:t>
      </w:r>
      <w:r w:rsidRPr="007D4C6B">
        <w:t xml:space="preserve"> Berlin: </w:t>
      </w:r>
      <w:proofErr w:type="spellStart"/>
      <w:r w:rsidRPr="007D4C6B">
        <w:t>Evangelische</w:t>
      </w:r>
      <w:proofErr w:type="spellEnd"/>
      <w:r w:rsidRPr="007D4C6B">
        <w:t xml:space="preserve"> </w:t>
      </w:r>
      <w:proofErr w:type="spellStart"/>
      <w:r w:rsidRPr="007D4C6B">
        <w:t>Verlaganstalt</w:t>
      </w:r>
      <w:proofErr w:type="spellEnd"/>
      <w:r w:rsidRPr="007D4C6B">
        <w:t>; Hamburg: Furche, 1966.</w:t>
      </w:r>
      <w:r w:rsidR="000C4944">
        <w:t>)</w:t>
      </w:r>
    </w:p>
    <w:p w14:paraId="4C8DC5CE" w14:textId="11FFFF6D" w:rsidR="00B47A48" w:rsidRPr="007D4C6B" w:rsidRDefault="00B47A48" w:rsidP="00B47A48">
      <w:pPr>
        <w:widowControl w:val="0"/>
        <w:ind w:left="720" w:hanging="720"/>
      </w:pPr>
      <w:r w:rsidRPr="007D4C6B">
        <w:t xml:space="preserve">Sanders, </w:t>
      </w:r>
      <w:r w:rsidR="000C4944" w:rsidRPr="000C4944">
        <w:rPr>
          <w:iCs/>
        </w:rPr>
        <w:t>E.P.</w:t>
      </w:r>
      <w:r w:rsidRPr="007D4C6B">
        <w:t xml:space="preserve"> </w:t>
      </w:r>
      <w:r w:rsidRPr="007D4C6B">
        <w:rPr>
          <w:i/>
        </w:rPr>
        <w:t>The Tenden</w:t>
      </w:r>
      <w:r w:rsidR="000C4944">
        <w:rPr>
          <w:i/>
        </w:rPr>
        <w:t>c</w:t>
      </w:r>
      <w:r w:rsidRPr="007D4C6B">
        <w:rPr>
          <w:i/>
        </w:rPr>
        <w:t>ies of the Synoptic Tradition</w:t>
      </w:r>
      <w:r w:rsidRPr="007D4C6B">
        <w:t xml:space="preserve">. </w:t>
      </w:r>
      <w:r w:rsidRPr="00826EC1">
        <w:rPr>
          <w:iCs/>
        </w:rPr>
        <w:t>Society for New Testament Studies Monograph Series</w:t>
      </w:r>
      <w:r w:rsidRPr="007D4C6B">
        <w:t xml:space="preserve"> 9. </w:t>
      </w:r>
      <w:r w:rsidRPr="00E366BA">
        <w:rPr>
          <w:iCs/>
        </w:rPr>
        <w:t>Cambridge: CUP</w:t>
      </w:r>
      <w:r w:rsidRPr="007D4C6B">
        <w:t>, 1969.</w:t>
      </w:r>
    </w:p>
    <w:p w14:paraId="75EA5E47" w14:textId="5D85D436" w:rsidR="00B47A48" w:rsidRPr="00E5413C" w:rsidRDefault="00B47A48" w:rsidP="00B47A48">
      <w:pPr>
        <w:widowControl w:val="0"/>
        <w:ind w:left="720" w:hanging="720"/>
        <w:rPr>
          <w:lang w:val="fr-FR"/>
        </w:rPr>
      </w:pPr>
      <w:proofErr w:type="spellStart"/>
      <w:r w:rsidRPr="007D4C6B">
        <w:t>Sandmel</w:t>
      </w:r>
      <w:proofErr w:type="spellEnd"/>
      <w:r w:rsidRPr="007D4C6B">
        <w:t xml:space="preserve">, Samuel. </w:t>
      </w:r>
      <w:r w:rsidRPr="007D4C6B">
        <w:rPr>
          <w:i/>
        </w:rPr>
        <w:t>A Jewish Understanding of the New Testament</w:t>
      </w:r>
      <w:r w:rsidRPr="007D4C6B">
        <w:t>. New York: University Publishers, 1956 (paperback rpt., 1960)</w:t>
      </w:r>
      <w:r w:rsidR="007B5BB5" w:rsidRPr="007B5BB5">
        <w:t xml:space="preserve"> </w:t>
      </w:r>
      <w:r w:rsidR="007B5BB5">
        <w:t>.</w:t>
      </w:r>
      <w:r w:rsidR="007B5BB5" w:rsidRPr="007D4C6B">
        <w:t xml:space="preserve"> </w:t>
      </w:r>
      <w:proofErr w:type="spellStart"/>
      <w:r w:rsidR="007B5BB5" w:rsidRPr="00E5413C">
        <w:rPr>
          <w:lang w:val="fr-FR"/>
        </w:rPr>
        <w:t>Rpt</w:t>
      </w:r>
      <w:proofErr w:type="spellEnd"/>
      <w:r w:rsidR="007B5BB5" w:rsidRPr="00E5413C">
        <w:rPr>
          <w:lang w:val="fr-FR"/>
        </w:rPr>
        <w:t xml:space="preserve">. </w:t>
      </w:r>
      <w:proofErr w:type="spellStart"/>
      <w:r w:rsidRPr="00E5413C">
        <w:rPr>
          <w:lang w:val="fr-FR"/>
        </w:rPr>
        <w:t>ed</w:t>
      </w:r>
      <w:proofErr w:type="spellEnd"/>
      <w:r w:rsidRPr="00E5413C">
        <w:rPr>
          <w:lang w:val="fr-FR"/>
        </w:rPr>
        <w:t xml:space="preserve">., KTAV, </w:t>
      </w:r>
      <w:proofErr w:type="spellStart"/>
      <w:r w:rsidRPr="00E5413C">
        <w:rPr>
          <w:lang w:val="fr-FR"/>
        </w:rPr>
        <w:t>n.d</w:t>
      </w:r>
      <w:proofErr w:type="spellEnd"/>
      <w:r w:rsidRPr="00E5413C">
        <w:rPr>
          <w:lang w:val="fr-FR"/>
        </w:rPr>
        <w:t>.</w:t>
      </w:r>
    </w:p>
    <w:p w14:paraId="3B2FBFF5" w14:textId="77777777" w:rsidR="00B47A48" w:rsidRPr="007D4C6B" w:rsidRDefault="00B47A48" w:rsidP="00B47A48">
      <w:pPr>
        <w:widowControl w:val="0"/>
        <w:ind w:left="720" w:hanging="720"/>
      </w:pPr>
      <w:r w:rsidRPr="00E5413C">
        <w:rPr>
          <w:lang w:val="fr-FR"/>
        </w:rPr>
        <w:t xml:space="preserve">Saussure, Ferdinand de. </w:t>
      </w:r>
      <w:r w:rsidRPr="00E5413C">
        <w:rPr>
          <w:i/>
          <w:lang w:val="fr-FR"/>
        </w:rPr>
        <w:t>Cours de linguistique générale</w:t>
      </w:r>
      <w:r w:rsidRPr="00E5413C">
        <w:rPr>
          <w:lang w:val="fr-FR"/>
        </w:rPr>
        <w:t xml:space="preserve">. </w:t>
      </w:r>
      <w:r w:rsidRPr="007D4C6B">
        <w:t xml:space="preserve">Paris: Ch. Bally &amp; A. </w:t>
      </w:r>
      <w:proofErr w:type="spellStart"/>
      <w:r w:rsidRPr="007D4C6B">
        <w:t>Sechehaye</w:t>
      </w:r>
      <w:proofErr w:type="spellEnd"/>
      <w:r w:rsidRPr="007D4C6B">
        <w:t>, 1916, 1969</w:t>
      </w:r>
      <w:r w:rsidRPr="007D4C6B">
        <w:rPr>
          <w:vertAlign w:val="superscript"/>
        </w:rPr>
        <w:t>3</w:t>
      </w:r>
      <w:r w:rsidRPr="007D4C6B">
        <w:t>.</w:t>
      </w:r>
    </w:p>
    <w:p w14:paraId="31E3DEB7" w14:textId="77777777" w:rsidR="00B47A48" w:rsidRPr="007D4C6B" w:rsidRDefault="00B47A48" w:rsidP="00B47A48">
      <w:pPr>
        <w:widowControl w:val="0"/>
        <w:ind w:left="720" w:hanging="720"/>
      </w:pPr>
      <w:r w:rsidRPr="007D4C6B">
        <w:t xml:space="preserve">Schmidt, Karl L. </w:t>
      </w:r>
      <w:r w:rsidRPr="007D4C6B">
        <w:rPr>
          <w:i/>
        </w:rPr>
        <w:t xml:space="preserve">Der Rahmen der </w:t>
      </w:r>
      <w:proofErr w:type="spellStart"/>
      <w:r w:rsidRPr="007D4C6B">
        <w:rPr>
          <w:i/>
        </w:rPr>
        <w:t>Geschichte</w:t>
      </w:r>
      <w:proofErr w:type="spellEnd"/>
      <w:r w:rsidRPr="007D4C6B">
        <w:rPr>
          <w:i/>
        </w:rPr>
        <w:t xml:space="preserve"> Jesu</w:t>
      </w:r>
      <w:r w:rsidRPr="007D4C6B">
        <w:t xml:space="preserve">. Berlin: </w:t>
      </w:r>
      <w:proofErr w:type="spellStart"/>
      <w:r w:rsidRPr="007D4C6B">
        <w:t>Trowitzsch</w:t>
      </w:r>
      <w:proofErr w:type="spellEnd"/>
      <w:r w:rsidRPr="007D4C6B">
        <w:t xml:space="preserve"> &amp; Sohn, 1919; </w:t>
      </w:r>
      <w:r w:rsidRPr="0029762C">
        <w:rPr>
          <w:iCs/>
        </w:rPr>
        <w:t>2nd ed.</w:t>
      </w:r>
      <w:r w:rsidRPr="007D4C6B">
        <w:t xml:space="preserve">, Darmstadt: </w:t>
      </w:r>
      <w:proofErr w:type="spellStart"/>
      <w:r w:rsidRPr="007D4C6B">
        <w:t>Wissenschaftliche</w:t>
      </w:r>
      <w:proofErr w:type="spellEnd"/>
      <w:r w:rsidRPr="007D4C6B">
        <w:t xml:space="preserve"> </w:t>
      </w:r>
      <w:proofErr w:type="spellStart"/>
      <w:r w:rsidRPr="007D4C6B">
        <w:t>Buchgesellschaft</w:t>
      </w:r>
      <w:proofErr w:type="spellEnd"/>
      <w:r w:rsidRPr="007D4C6B">
        <w:t>, 1964.</w:t>
      </w:r>
    </w:p>
    <w:p w14:paraId="0DE3DB9D" w14:textId="3722AA9F" w:rsidR="00B47A48" w:rsidRPr="007D4C6B" w:rsidRDefault="00B47A48" w:rsidP="00B47A48">
      <w:pPr>
        <w:widowControl w:val="0"/>
        <w:ind w:left="720" w:hanging="720"/>
      </w:pPr>
      <w:proofErr w:type="spellStart"/>
      <w:r w:rsidRPr="007D4C6B">
        <w:t>Schnackenburg</w:t>
      </w:r>
      <w:proofErr w:type="spellEnd"/>
      <w:r w:rsidRPr="007D4C6B">
        <w:t xml:space="preserve">, Rudolf. </w:t>
      </w:r>
      <w:r w:rsidRPr="007D4C6B">
        <w:rPr>
          <w:i/>
        </w:rPr>
        <w:t>Christian Existence in the New Testament</w:t>
      </w:r>
      <w:r w:rsidRPr="007D4C6B">
        <w:t xml:space="preserve">. Trans. F. Wieck (vol. 1) and Joseph Blenkinsopp (vol. 2). 2 vols. South Bend, IN: University of Notre Dame, 1968, 1969. </w:t>
      </w:r>
      <w:r w:rsidR="000C4944">
        <w:t>(</w:t>
      </w:r>
      <w:proofErr w:type="spellStart"/>
      <w:r w:rsidRPr="007D4C6B">
        <w:rPr>
          <w:i/>
        </w:rPr>
        <w:t>Christliche</w:t>
      </w:r>
      <w:proofErr w:type="spellEnd"/>
      <w:r w:rsidRPr="007D4C6B">
        <w:rPr>
          <w:i/>
        </w:rPr>
        <w:t xml:space="preserve"> </w:t>
      </w:r>
      <w:proofErr w:type="spellStart"/>
      <w:r w:rsidRPr="007D4C6B">
        <w:rPr>
          <w:i/>
        </w:rPr>
        <w:t>Existenz</w:t>
      </w:r>
      <w:proofErr w:type="spellEnd"/>
      <w:r w:rsidRPr="007D4C6B">
        <w:rPr>
          <w:i/>
        </w:rPr>
        <w:t xml:space="preserve"> </w:t>
      </w:r>
      <w:proofErr w:type="spellStart"/>
      <w:r w:rsidRPr="007D4C6B">
        <w:rPr>
          <w:i/>
        </w:rPr>
        <w:t>nach</w:t>
      </w:r>
      <w:proofErr w:type="spellEnd"/>
      <w:r w:rsidRPr="007D4C6B">
        <w:rPr>
          <w:i/>
        </w:rPr>
        <w:t xml:space="preserve"> dem Neuen Testament</w:t>
      </w:r>
      <w:r w:rsidR="000C4944">
        <w:t>.</w:t>
      </w:r>
      <w:r w:rsidRPr="007D4C6B">
        <w:t xml:space="preserve"> Munich: </w:t>
      </w:r>
      <w:proofErr w:type="spellStart"/>
      <w:r w:rsidRPr="007D4C6B">
        <w:t>Kösel</w:t>
      </w:r>
      <w:proofErr w:type="spellEnd"/>
      <w:r w:rsidRPr="007D4C6B">
        <w:t>, 1967, 1968.</w:t>
      </w:r>
      <w:r w:rsidR="000C4944">
        <w:t>)</w:t>
      </w:r>
    </w:p>
    <w:p w14:paraId="796CD44C" w14:textId="104886D9" w:rsidR="00B47A48" w:rsidRPr="007D4C6B" w:rsidRDefault="00B47A48" w:rsidP="00B47A48">
      <w:pPr>
        <w:widowControl w:val="0"/>
        <w:ind w:left="720" w:hanging="720"/>
      </w:pPr>
      <w:proofErr w:type="spellStart"/>
      <w:r w:rsidRPr="007D4C6B">
        <w:t>Schnackenburg</w:t>
      </w:r>
      <w:proofErr w:type="spellEnd"/>
      <w:r w:rsidRPr="007D4C6B">
        <w:t xml:space="preserve">, Rudolf. </w:t>
      </w:r>
      <w:r w:rsidRPr="007D4C6B">
        <w:rPr>
          <w:i/>
        </w:rPr>
        <w:t>The Moral Teaching of the New Testament</w:t>
      </w:r>
      <w:r w:rsidRPr="007D4C6B">
        <w:t xml:space="preserve">. Trans. J. Holland-Smith and </w:t>
      </w:r>
      <w:r w:rsidR="000C4944" w:rsidRPr="000C4944">
        <w:rPr>
          <w:iCs/>
        </w:rPr>
        <w:t>W.J.</w:t>
      </w:r>
      <w:r w:rsidRPr="007D4C6B">
        <w:t xml:space="preserve"> O’Hara. </w:t>
      </w:r>
      <w:r w:rsidRPr="0029762C">
        <w:rPr>
          <w:iCs/>
        </w:rPr>
        <w:t>New York: Herder and Herder</w:t>
      </w:r>
      <w:r w:rsidRPr="007D4C6B">
        <w:t xml:space="preserve">, 1965. </w:t>
      </w:r>
      <w:r w:rsidR="000C4944">
        <w:t>(</w:t>
      </w:r>
      <w:r w:rsidRPr="007D4C6B">
        <w:rPr>
          <w:i/>
        </w:rPr>
        <w:t xml:space="preserve">Die </w:t>
      </w:r>
      <w:proofErr w:type="spellStart"/>
      <w:r w:rsidRPr="007D4C6B">
        <w:rPr>
          <w:i/>
        </w:rPr>
        <w:t>sittliche</w:t>
      </w:r>
      <w:proofErr w:type="spellEnd"/>
      <w:r w:rsidRPr="007D4C6B">
        <w:rPr>
          <w:i/>
        </w:rPr>
        <w:t xml:space="preserve"> </w:t>
      </w:r>
      <w:proofErr w:type="spellStart"/>
      <w:r w:rsidRPr="007D4C6B">
        <w:rPr>
          <w:i/>
        </w:rPr>
        <w:t>Botshaft</w:t>
      </w:r>
      <w:proofErr w:type="spellEnd"/>
      <w:r w:rsidRPr="007D4C6B">
        <w:rPr>
          <w:i/>
        </w:rPr>
        <w:t xml:space="preserve"> des Neuen </w:t>
      </w:r>
      <w:proofErr w:type="spellStart"/>
      <w:r w:rsidRPr="007D4C6B">
        <w:rPr>
          <w:i/>
        </w:rPr>
        <w:t>Testamentes</w:t>
      </w:r>
      <w:proofErr w:type="spellEnd"/>
      <w:r w:rsidR="000C4944">
        <w:t>.</w:t>
      </w:r>
      <w:r w:rsidR="00457786" w:rsidRPr="00457786">
        <w:rPr>
          <w:iCs/>
        </w:rPr>
        <w:t xml:space="preserve"> 2nd </w:t>
      </w:r>
      <w:r w:rsidRPr="007D4C6B">
        <w:t>rev. ed., Munich: Max Hübner, 1962.</w:t>
      </w:r>
      <w:r w:rsidR="000C4944">
        <w:t>)</w:t>
      </w:r>
    </w:p>
    <w:p w14:paraId="5F1965A3" w14:textId="7862F169" w:rsidR="00B47A48" w:rsidRPr="007D4C6B" w:rsidRDefault="00B47A48" w:rsidP="00B47A48">
      <w:pPr>
        <w:widowControl w:val="0"/>
        <w:ind w:left="720" w:hanging="720"/>
      </w:pPr>
      <w:r w:rsidRPr="007D4C6B">
        <w:t xml:space="preserve">Schottroff, Luise, Reginald H. Fuller, Christoph Burchard, and M. Jack Suggs. </w:t>
      </w:r>
      <w:r w:rsidRPr="007D4C6B">
        <w:rPr>
          <w:i/>
        </w:rPr>
        <w:t>Essays on the Love Commandment</w:t>
      </w:r>
      <w:r w:rsidRPr="007D4C6B">
        <w:t>. Trans. Reginald H. Ful</w:t>
      </w:r>
      <w:r w:rsidR="000C4944">
        <w:t>l</w:t>
      </w:r>
      <w:r w:rsidRPr="007D4C6B">
        <w:t xml:space="preserve">er and Ilse Fuller. Philadelphia: Fortress, 1978. </w:t>
      </w:r>
      <w:r w:rsidR="000C4944">
        <w:t>(</w:t>
      </w:r>
      <w:r w:rsidRPr="007D4C6B">
        <w:rPr>
          <w:i/>
        </w:rPr>
        <w:t xml:space="preserve">Jesus Christus in </w:t>
      </w:r>
      <w:proofErr w:type="spellStart"/>
      <w:r w:rsidRPr="007D4C6B">
        <w:rPr>
          <w:i/>
        </w:rPr>
        <w:t>Historie</w:t>
      </w:r>
      <w:proofErr w:type="spellEnd"/>
      <w:r w:rsidRPr="007D4C6B">
        <w:rPr>
          <w:i/>
        </w:rPr>
        <w:t xml:space="preserve"> und </w:t>
      </w:r>
      <w:proofErr w:type="spellStart"/>
      <w:r w:rsidRPr="007D4C6B">
        <w:rPr>
          <w:i/>
        </w:rPr>
        <w:t>Theologie</w:t>
      </w:r>
      <w:proofErr w:type="spellEnd"/>
      <w:r w:rsidRPr="00DC3006">
        <w:rPr>
          <w:iCs/>
        </w:rPr>
        <w:t xml:space="preserve">. Ed. </w:t>
      </w:r>
      <w:r w:rsidRPr="007D4C6B">
        <w:t>Georg Strecker</w:t>
      </w:r>
      <w:r w:rsidR="000C4944">
        <w:t xml:space="preserve">. </w:t>
      </w:r>
      <w:r w:rsidRPr="007D4C6B">
        <w:t>Tübingen: Mohr, 1975</w:t>
      </w:r>
      <w:r w:rsidR="000C4944">
        <w:t>.</w:t>
      </w:r>
      <w:r w:rsidRPr="007D4C6B">
        <w:t xml:space="preserve"> </w:t>
      </w:r>
      <w:r w:rsidR="000C4944">
        <w:t>[</w:t>
      </w:r>
      <w:r w:rsidRPr="007D4C6B">
        <w:t>Suggs’ article was originally in English</w:t>
      </w:r>
      <w:r w:rsidR="000C4944">
        <w:t>]</w:t>
      </w:r>
      <w:r w:rsidRPr="007D4C6B">
        <w:t>.</w:t>
      </w:r>
      <w:r w:rsidR="000C4944">
        <w:t>)</w:t>
      </w:r>
    </w:p>
    <w:p w14:paraId="6C5D0C22" w14:textId="51B679D6" w:rsidR="00B47A48" w:rsidRPr="007D4C6B" w:rsidRDefault="00B47A48" w:rsidP="00B47A48">
      <w:pPr>
        <w:widowControl w:val="0"/>
        <w:ind w:left="720" w:hanging="720"/>
      </w:pPr>
      <w:r w:rsidRPr="007D4C6B">
        <w:t xml:space="preserve">Schuele, Frederick E. “Living Up to Matthew’s Sermon on the Mount: An Approach.” In </w:t>
      </w:r>
      <w:r w:rsidRPr="007D4C6B">
        <w:rPr>
          <w:i/>
        </w:rPr>
        <w:t>Christian Biblical Ethics</w:t>
      </w:r>
      <w:r w:rsidRPr="007D4C6B">
        <w:t>. Ed</w:t>
      </w:r>
      <w:r w:rsidR="000C4944">
        <w:t>.</w:t>
      </w:r>
      <w:r w:rsidRPr="007D4C6B">
        <w:t xml:space="preserve"> Robert J. Daly. New York: Paulist, 1984.</w:t>
      </w:r>
    </w:p>
    <w:p w14:paraId="48A76019" w14:textId="77777777" w:rsidR="00B47A48" w:rsidRPr="007D4C6B" w:rsidRDefault="00B47A48" w:rsidP="00B47A48">
      <w:pPr>
        <w:widowControl w:val="0"/>
        <w:ind w:left="720" w:hanging="720"/>
      </w:pPr>
      <w:r w:rsidRPr="007D4C6B">
        <w:t xml:space="preserve">Schulz, S. </w:t>
      </w:r>
      <w:r w:rsidRPr="007D4C6B">
        <w:rPr>
          <w:i/>
        </w:rPr>
        <w:t>Q</w:t>
      </w:r>
      <w:r w:rsidRPr="007D4C6B">
        <w:t xml:space="preserve">: </w:t>
      </w:r>
      <w:r w:rsidRPr="007D4C6B">
        <w:rPr>
          <w:i/>
        </w:rPr>
        <w:t xml:space="preserve">Die </w:t>
      </w:r>
      <w:proofErr w:type="spellStart"/>
      <w:r w:rsidRPr="007D4C6B">
        <w:rPr>
          <w:i/>
        </w:rPr>
        <w:t>Spruchquelle</w:t>
      </w:r>
      <w:proofErr w:type="spellEnd"/>
      <w:r w:rsidRPr="007D4C6B">
        <w:rPr>
          <w:i/>
        </w:rPr>
        <w:t xml:space="preserve"> der </w:t>
      </w:r>
      <w:proofErr w:type="spellStart"/>
      <w:r w:rsidRPr="007D4C6B">
        <w:rPr>
          <w:i/>
        </w:rPr>
        <w:t>Evangelisten</w:t>
      </w:r>
      <w:proofErr w:type="spellEnd"/>
      <w:r w:rsidRPr="007D4C6B">
        <w:t xml:space="preserve">. Zurich: </w:t>
      </w:r>
      <w:proofErr w:type="spellStart"/>
      <w:r w:rsidRPr="007D4C6B">
        <w:t>Theologischer</w:t>
      </w:r>
      <w:proofErr w:type="spellEnd"/>
      <w:r w:rsidRPr="007D4C6B">
        <w:t xml:space="preserve"> Verlag, 1972.</w:t>
      </w:r>
    </w:p>
    <w:p w14:paraId="581E80B6" w14:textId="77777777" w:rsidR="00B47A48" w:rsidRPr="007D4C6B" w:rsidRDefault="00B47A48" w:rsidP="00B47A48">
      <w:pPr>
        <w:widowControl w:val="0"/>
        <w:ind w:left="720" w:hanging="720"/>
      </w:pPr>
      <w:r w:rsidRPr="007D4C6B">
        <w:lastRenderedPageBreak/>
        <w:t xml:space="preserve">Scott, Ernest F. </w:t>
      </w:r>
      <w:r w:rsidRPr="007D4C6B">
        <w:rPr>
          <w:i/>
        </w:rPr>
        <w:t>The Ethical Teaching of Jesus</w:t>
      </w:r>
      <w:r w:rsidRPr="007D4C6B">
        <w:t>. New York: Macmillan, 1929.</w:t>
      </w:r>
    </w:p>
    <w:p w14:paraId="253CB9F5" w14:textId="77777777" w:rsidR="00B47A48" w:rsidRPr="007D4C6B" w:rsidRDefault="00B47A48" w:rsidP="00B47A48">
      <w:pPr>
        <w:widowControl w:val="0"/>
        <w:ind w:left="720" w:hanging="720"/>
      </w:pPr>
      <w:r w:rsidRPr="007D4C6B">
        <w:t xml:space="preserve">Shapiro, Karl, and Robert Beum. </w:t>
      </w:r>
      <w:r w:rsidRPr="007D4C6B">
        <w:rPr>
          <w:i/>
        </w:rPr>
        <w:t>A Prosody Handbook</w:t>
      </w:r>
      <w:r w:rsidRPr="007D4C6B">
        <w:t xml:space="preserve">. New York: </w:t>
      </w:r>
      <w:r w:rsidRPr="00E95268">
        <w:rPr>
          <w:iCs/>
        </w:rPr>
        <w:t>Harper and Row</w:t>
      </w:r>
      <w:r w:rsidRPr="007D4C6B">
        <w:t>, 1965.</w:t>
      </w:r>
    </w:p>
    <w:p w14:paraId="25B6BECD" w14:textId="77777777" w:rsidR="00B47A48" w:rsidRPr="007D4C6B" w:rsidRDefault="00B47A48" w:rsidP="00B47A48">
      <w:pPr>
        <w:widowControl w:val="0"/>
        <w:ind w:left="720" w:hanging="720"/>
      </w:pPr>
      <w:r w:rsidRPr="007D4C6B">
        <w:t xml:space="preserve">Shea, William H. “Chiasmus and the Structure of David’s Lament.” </w:t>
      </w:r>
      <w:r w:rsidRPr="007D4C6B">
        <w:rPr>
          <w:i/>
        </w:rPr>
        <w:t>JBL</w:t>
      </w:r>
      <w:r w:rsidRPr="007D4C6B">
        <w:t xml:space="preserve"> 105 (1986) 13-25.</w:t>
      </w:r>
    </w:p>
    <w:p w14:paraId="6EC28D4B" w14:textId="77777777" w:rsidR="00B47A48" w:rsidRPr="007D4C6B" w:rsidRDefault="00B47A48" w:rsidP="00B47A48">
      <w:pPr>
        <w:widowControl w:val="0"/>
        <w:ind w:left="720" w:hanging="720"/>
      </w:pPr>
      <w:r w:rsidRPr="007D4C6B">
        <w:t xml:space="preserve">Simon, Marcel. </w:t>
      </w:r>
      <w:r w:rsidRPr="007D4C6B">
        <w:rPr>
          <w:i/>
        </w:rPr>
        <w:t>Jewish Sects at the Time of Jesus</w:t>
      </w:r>
      <w:r w:rsidRPr="007D4C6B">
        <w:t>. Philadelphia: Fortress, 1967.</w:t>
      </w:r>
    </w:p>
    <w:p w14:paraId="38B379BF" w14:textId="77777777" w:rsidR="00B47A48" w:rsidRPr="007D4C6B" w:rsidRDefault="00B47A48" w:rsidP="00B47A48">
      <w:pPr>
        <w:widowControl w:val="0"/>
        <w:ind w:left="720" w:hanging="720"/>
      </w:pPr>
      <w:r w:rsidRPr="007D4C6B">
        <w:t xml:space="preserve">Sledd, James. “Coordination (Faulty) and Subordination (Upside-Down).” In </w:t>
      </w:r>
      <w:r w:rsidRPr="007D4C6B">
        <w:rPr>
          <w:i/>
        </w:rPr>
        <w:t>New Rhetorics</w:t>
      </w:r>
      <w:r w:rsidRPr="00DC3006">
        <w:rPr>
          <w:iCs/>
        </w:rPr>
        <w:t xml:space="preserve">. Ed. </w:t>
      </w:r>
      <w:r w:rsidRPr="007D4C6B">
        <w:t>Martin Steinmann, Jr. New York: Scribner’s, 1967.</w:t>
      </w:r>
    </w:p>
    <w:p w14:paraId="585265D5" w14:textId="5C1026E1" w:rsidR="00B47A48" w:rsidRPr="007D4C6B" w:rsidRDefault="00B47A48" w:rsidP="00B47A48">
      <w:pPr>
        <w:widowControl w:val="0"/>
        <w:ind w:left="720" w:hanging="720"/>
      </w:pPr>
      <w:r w:rsidRPr="007D4C6B">
        <w:t xml:space="preserve">Smalley, Beryl. </w:t>
      </w:r>
      <w:r w:rsidRPr="007D4C6B">
        <w:rPr>
          <w:i/>
        </w:rPr>
        <w:t>The Study of the Bible in the Middle Ages</w:t>
      </w:r>
      <w:r w:rsidRPr="007D4C6B">
        <w:t>. London: Basil Blackwell, 1940, 1952</w:t>
      </w:r>
      <w:r w:rsidRPr="007D4C6B">
        <w:rPr>
          <w:vertAlign w:val="superscript"/>
        </w:rPr>
        <w:t>2</w:t>
      </w:r>
      <w:r w:rsidRPr="007D4C6B">
        <w:t>. Paperback: South Bend IN: U of Notre Dame</w:t>
      </w:r>
      <w:r w:rsidR="000C4944">
        <w:t xml:space="preserve"> P</w:t>
      </w:r>
      <w:r w:rsidRPr="007D4C6B">
        <w:t>, 1964.</w:t>
      </w:r>
    </w:p>
    <w:p w14:paraId="6C198739" w14:textId="77777777" w:rsidR="00B47A48" w:rsidRPr="007D4C6B" w:rsidRDefault="00B47A48" w:rsidP="00B47A48">
      <w:pPr>
        <w:widowControl w:val="0"/>
        <w:ind w:left="720" w:hanging="720"/>
      </w:pPr>
      <w:r w:rsidRPr="007D4C6B">
        <w:t xml:space="preserve">Smith, Barbara H. </w:t>
      </w:r>
      <w:r w:rsidRPr="007D4C6B">
        <w:rPr>
          <w:i/>
        </w:rPr>
        <w:t>Poetic Closure</w:t>
      </w:r>
      <w:r w:rsidRPr="007D4C6B">
        <w:t xml:space="preserve">: </w:t>
      </w:r>
      <w:r w:rsidRPr="007D4C6B">
        <w:rPr>
          <w:i/>
        </w:rPr>
        <w:t>Or Why Poems End</w:t>
      </w:r>
      <w:r w:rsidRPr="007D4C6B">
        <w:t xml:space="preserve">. </w:t>
      </w:r>
      <w:r w:rsidRPr="000644ED">
        <w:rPr>
          <w:iCs/>
        </w:rPr>
        <w:t>Chicago: U of Chicago P</w:t>
      </w:r>
      <w:r w:rsidRPr="007D4C6B">
        <w:t>, 1969.</w:t>
      </w:r>
    </w:p>
    <w:p w14:paraId="2A6596A9" w14:textId="77777777" w:rsidR="00B47A48" w:rsidRPr="007D4C6B" w:rsidRDefault="00B47A48" w:rsidP="00B47A48">
      <w:pPr>
        <w:widowControl w:val="0"/>
        <w:ind w:left="720" w:hanging="720"/>
      </w:pPr>
      <w:r w:rsidRPr="007D4C6B">
        <w:t xml:space="preserve">Smith, Cyril Stanley. “Structure, Substructure, Superstructure.” In </w:t>
      </w:r>
      <w:r w:rsidRPr="007D4C6B">
        <w:rPr>
          <w:i/>
        </w:rPr>
        <w:t>Structure in Art and in Science</w:t>
      </w:r>
      <w:r w:rsidRPr="00DC3006">
        <w:rPr>
          <w:iCs/>
        </w:rPr>
        <w:t xml:space="preserve">. Ed. </w:t>
      </w:r>
      <w:r w:rsidRPr="007D4C6B">
        <w:t>Gyorgy Kepes. Vision + value series. New York: George Braziller, 1965.</w:t>
      </w:r>
    </w:p>
    <w:p w14:paraId="16519C1A" w14:textId="77777777" w:rsidR="00B47A48" w:rsidRPr="007D4C6B" w:rsidRDefault="00B47A48" w:rsidP="000C4944">
      <w:pPr>
        <w:widowControl w:val="0"/>
        <w:ind w:left="720" w:hanging="720"/>
        <w:contextualSpacing/>
      </w:pPr>
      <w:r w:rsidRPr="007D4C6B">
        <w:t xml:space="preserve">Smyth, Herbert Weir. </w:t>
      </w:r>
      <w:r w:rsidRPr="007D4C6B">
        <w:rPr>
          <w:i/>
        </w:rPr>
        <w:t>A Greek Grammar for Schools and Colleges</w:t>
      </w:r>
      <w:r w:rsidRPr="007D4C6B">
        <w:t>. New York: American Book, 1916.</w:t>
      </w:r>
    </w:p>
    <w:p w14:paraId="53DE4897" w14:textId="5C34BE63" w:rsidR="00B47A48" w:rsidRPr="007D4C6B" w:rsidRDefault="00B47A48" w:rsidP="000C4944">
      <w:pPr>
        <w:widowControl w:val="0"/>
        <w:ind w:left="720" w:hanging="720"/>
        <w:contextualSpacing/>
      </w:pPr>
      <w:r w:rsidRPr="007D4C6B">
        <w:t xml:space="preserve">Snyman, </w:t>
      </w:r>
      <w:r w:rsidR="000C4944" w:rsidRPr="000C4944">
        <w:rPr>
          <w:iCs/>
        </w:rPr>
        <w:t>A.H.</w:t>
      </w:r>
      <w:r w:rsidRPr="007D4C6B">
        <w:t>, and J. v. W. Cronje. “Toward a New Classification of the Figures (</w:t>
      </w:r>
      <w:proofErr w:type="spellStart"/>
      <w:r w:rsidR="000C4944">
        <w:rPr>
          <w:i/>
          <w:iCs/>
        </w:rPr>
        <w:t>Schēmata</w:t>
      </w:r>
      <w:proofErr w:type="spellEnd"/>
      <w:r w:rsidRPr="007D4C6B">
        <w:t xml:space="preserve">) in the Greek New Testament.” </w:t>
      </w:r>
      <w:r w:rsidRPr="007D4C6B">
        <w:rPr>
          <w:i/>
        </w:rPr>
        <w:t>NTS</w:t>
      </w:r>
      <w:r w:rsidRPr="007D4C6B">
        <w:t xml:space="preserve"> 32 (1986) 113-21.</w:t>
      </w:r>
    </w:p>
    <w:p w14:paraId="1193BD13" w14:textId="77777777" w:rsidR="00B47A48" w:rsidRPr="007D4C6B" w:rsidRDefault="00B47A48" w:rsidP="00B47A48">
      <w:pPr>
        <w:widowControl w:val="0"/>
        <w:ind w:left="720" w:hanging="720"/>
      </w:pPr>
      <w:r w:rsidRPr="007D4C6B">
        <w:t xml:space="preserve">Society of Biblical Literature. </w:t>
      </w:r>
      <w:r w:rsidRPr="007D4C6B">
        <w:rPr>
          <w:i/>
        </w:rPr>
        <w:t>Society of Biblical Literature Call for Papers</w:t>
      </w:r>
      <w:r w:rsidRPr="007D4C6B">
        <w:t xml:space="preserve">, </w:t>
      </w:r>
      <w:r w:rsidRPr="007D4C6B">
        <w:rPr>
          <w:i/>
        </w:rPr>
        <w:t>1987 Annual Meeting</w:t>
      </w:r>
      <w:r w:rsidRPr="007D4C6B">
        <w:t xml:space="preserve">. </w:t>
      </w:r>
      <w:r w:rsidRPr="00E366BA">
        <w:rPr>
          <w:iCs/>
        </w:rPr>
        <w:t>Atlanta GA</w:t>
      </w:r>
      <w:r w:rsidRPr="007D4C6B">
        <w:t>: Society of Biblical Literature, 1987.</w:t>
      </w:r>
    </w:p>
    <w:p w14:paraId="6BC92AD0" w14:textId="77777777" w:rsidR="00B47A48" w:rsidRPr="007D4C6B" w:rsidRDefault="00B47A48" w:rsidP="00B47A48">
      <w:pPr>
        <w:widowControl w:val="0"/>
        <w:ind w:left="720" w:hanging="720"/>
      </w:pPr>
      <w:proofErr w:type="spellStart"/>
      <w:r w:rsidRPr="007D4C6B">
        <w:t>Soiron</w:t>
      </w:r>
      <w:proofErr w:type="spellEnd"/>
      <w:r w:rsidRPr="007D4C6B">
        <w:t xml:space="preserve">, Thaddäus. </w:t>
      </w:r>
      <w:r w:rsidRPr="007D4C6B">
        <w:rPr>
          <w:i/>
        </w:rPr>
        <w:t xml:space="preserve">Die </w:t>
      </w:r>
      <w:proofErr w:type="spellStart"/>
      <w:r w:rsidRPr="007D4C6B">
        <w:rPr>
          <w:i/>
        </w:rPr>
        <w:t>Bergpredigt</w:t>
      </w:r>
      <w:proofErr w:type="spellEnd"/>
      <w:r w:rsidRPr="007D4C6B">
        <w:rPr>
          <w:i/>
        </w:rPr>
        <w:t xml:space="preserve"> Jesu</w:t>
      </w:r>
      <w:r w:rsidRPr="007D4C6B">
        <w:t xml:space="preserve">: </w:t>
      </w:r>
      <w:proofErr w:type="spellStart"/>
      <w:r w:rsidRPr="007D4C6B">
        <w:rPr>
          <w:i/>
        </w:rPr>
        <w:t>Formgeschichtliche</w:t>
      </w:r>
      <w:proofErr w:type="spellEnd"/>
      <w:r w:rsidRPr="007D4C6B">
        <w:t xml:space="preserve">, </w:t>
      </w:r>
      <w:proofErr w:type="spellStart"/>
      <w:r w:rsidRPr="007D4C6B">
        <w:rPr>
          <w:i/>
        </w:rPr>
        <w:t>exegetische</w:t>
      </w:r>
      <w:proofErr w:type="spellEnd"/>
      <w:r w:rsidRPr="007D4C6B">
        <w:rPr>
          <w:i/>
        </w:rPr>
        <w:t xml:space="preserve"> und </w:t>
      </w:r>
      <w:proofErr w:type="spellStart"/>
      <w:r w:rsidRPr="007D4C6B">
        <w:rPr>
          <w:i/>
        </w:rPr>
        <w:t>theologische</w:t>
      </w:r>
      <w:proofErr w:type="spellEnd"/>
      <w:r w:rsidRPr="007D4C6B">
        <w:rPr>
          <w:i/>
        </w:rPr>
        <w:t xml:space="preserve"> </w:t>
      </w:r>
      <w:proofErr w:type="spellStart"/>
      <w:r w:rsidRPr="007D4C6B">
        <w:rPr>
          <w:i/>
        </w:rPr>
        <w:t>Erklärung</w:t>
      </w:r>
      <w:proofErr w:type="spellEnd"/>
      <w:r w:rsidRPr="007D4C6B">
        <w:t xml:space="preserve">. Freiburg </w:t>
      </w:r>
      <w:proofErr w:type="spellStart"/>
      <w:r w:rsidRPr="007D4C6B">
        <w:t>im</w:t>
      </w:r>
      <w:proofErr w:type="spellEnd"/>
      <w:r w:rsidRPr="007D4C6B">
        <w:t xml:space="preserve"> Breisgau: Herder, 1940.</w:t>
      </w:r>
    </w:p>
    <w:p w14:paraId="1F7C4E26" w14:textId="77777777" w:rsidR="00B47A48" w:rsidRPr="007D4C6B" w:rsidRDefault="00B47A48" w:rsidP="00B47A48">
      <w:pPr>
        <w:widowControl w:val="0"/>
        <w:ind w:left="720" w:hanging="720"/>
      </w:pPr>
      <w:proofErr w:type="spellStart"/>
      <w:r w:rsidRPr="007D4C6B">
        <w:t>Soiron</w:t>
      </w:r>
      <w:proofErr w:type="spellEnd"/>
      <w:r w:rsidRPr="007D4C6B">
        <w:t xml:space="preserve">, Thaddäus. </w:t>
      </w:r>
      <w:r w:rsidRPr="007D4C6B">
        <w:rPr>
          <w:i/>
        </w:rPr>
        <w:t>Die Logia Jesu</w:t>
      </w:r>
      <w:r w:rsidRPr="007D4C6B">
        <w:t xml:space="preserve">: </w:t>
      </w:r>
      <w:r w:rsidRPr="007D4C6B">
        <w:rPr>
          <w:i/>
        </w:rPr>
        <w:t xml:space="preserve">Eine </w:t>
      </w:r>
      <w:proofErr w:type="spellStart"/>
      <w:r w:rsidRPr="007D4C6B">
        <w:rPr>
          <w:i/>
        </w:rPr>
        <w:t>literarkritische</w:t>
      </w:r>
      <w:proofErr w:type="spellEnd"/>
      <w:r w:rsidRPr="007D4C6B">
        <w:rPr>
          <w:i/>
        </w:rPr>
        <w:t xml:space="preserve"> und </w:t>
      </w:r>
      <w:proofErr w:type="spellStart"/>
      <w:r w:rsidRPr="007D4C6B">
        <w:rPr>
          <w:i/>
        </w:rPr>
        <w:t>literargeschichtliche</w:t>
      </w:r>
      <w:proofErr w:type="spellEnd"/>
      <w:r w:rsidRPr="007D4C6B">
        <w:rPr>
          <w:i/>
        </w:rPr>
        <w:t xml:space="preserve"> </w:t>
      </w:r>
      <w:proofErr w:type="spellStart"/>
      <w:r w:rsidRPr="007D4C6B">
        <w:rPr>
          <w:i/>
        </w:rPr>
        <w:t>Untersuchung</w:t>
      </w:r>
      <w:proofErr w:type="spellEnd"/>
      <w:r w:rsidRPr="007D4C6B">
        <w:rPr>
          <w:i/>
        </w:rPr>
        <w:t xml:space="preserve"> </w:t>
      </w:r>
      <w:proofErr w:type="spellStart"/>
      <w:r w:rsidRPr="007D4C6B">
        <w:rPr>
          <w:i/>
        </w:rPr>
        <w:t>zum</w:t>
      </w:r>
      <w:proofErr w:type="spellEnd"/>
      <w:r w:rsidRPr="007D4C6B">
        <w:rPr>
          <w:i/>
        </w:rPr>
        <w:t xml:space="preserve"> </w:t>
      </w:r>
      <w:proofErr w:type="spellStart"/>
      <w:r w:rsidRPr="007D4C6B">
        <w:rPr>
          <w:i/>
        </w:rPr>
        <w:t>synoptischen</w:t>
      </w:r>
      <w:proofErr w:type="spellEnd"/>
      <w:r w:rsidRPr="007D4C6B">
        <w:rPr>
          <w:i/>
        </w:rPr>
        <w:t xml:space="preserve"> Problem</w:t>
      </w:r>
      <w:r w:rsidRPr="007D4C6B">
        <w:t xml:space="preserve">. </w:t>
      </w:r>
      <w:proofErr w:type="spellStart"/>
      <w:r w:rsidRPr="007D4C6B">
        <w:t>NTAbh</w:t>
      </w:r>
      <w:proofErr w:type="spellEnd"/>
      <w:r w:rsidRPr="007D4C6B">
        <w:t xml:space="preserve"> 6/4</w:t>
      </w:r>
      <w:r w:rsidRPr="00DC3006">
        <w:rPr>
          <w:iCs/>
        </w:rPr>
        <w:t xml:space="preserve">. Ed. </w:t>
      </w:r>
      <w:r w:rsidRPr="007D4C6B">
        <w:t xml:space="preserve">Meinertz. Münster: </w:t>
      </w:r>
      <w:proofErr w:type="spellStart"/>
      <w:r w:rsidRPr="007D4C6B">
        <w:t>Aschendorffsche</w:t>
      </w:r>
      <w:proofErr w:type="spellEnd"/>
      <w:r w:rsidRPr="007D4C6B">
        <w:t xml:space="preserve"> </w:t>
      </w:r>
      <w:proofErr w:type="spellStart"/>
      <w:r w:rsidRPr="007D4C6B">
        <w:t>Verlagsbuchhandlung</w:t>
      </w:r>
      <w:proofErr w:type="spellEnd"/>
      <w:r w:rsidRPr="007D4C6B">
        <w:t>, 1916.</w:t>
      </w:r>
    </w:p>
    <w:p w14:paraId="7ECEC086" w14:textId="0F8AFCF3" w:rsidR="00B47A48" w:rsidRPr="007D4C6B" w:rsidRDefault="00B47A48" w:rsidP="00B47A48">
      <w:pPr>
        <w:widowControl w:val="0"/>
        <w:ind w:left="720" w:hanging="720"/>
      </w:pPr>
      <w:r w:rsidRPr="007D4C6B">
        <w:t xml:space="preserve">Sparks, Hedley </w:t>
      </w:r>
      <w:r w:rsidRPr="00214BC2">
        <w:rPr>
          <w:iCs/>
        </w:rPr>
        <w:t>F.D.</w:t>
      </w:r>
      <w:r w:rsidRPr="007D4C6B">
        <w:t xml:space="preserve"> </w:t>
      </w:r>
      <w:r w:rsidRPr="007D4C6B">
        <w:rPr>
          <w:i/>
        </w:rPr>
        <w:t>A Synopsis of the Gospels</w:t>
      </w:r>
      <w:r w:rsidRPr="007D4C6B">
        <w:t xml:space="preserve">, </w:t>
      </w:r>
      <w:r w:rsidRPr="007D4C6B">
        <w:rPr>
          <w:i/>
        </w:rPr>
        <w:t>Part I</w:t>
      </w:r>
      <w:r w:rsidRPr="007D4C6B">
        <w:t xml:space="preserve">: </w:t>
      </w:r>
      <w:r w:rsidRPr="007D4C6B">
        <w:rPr>
          <w:i/>
        </w:rPr>
        <w:t>The Synoptic Gospels with the Johannine Parallels</w:t>
      </w:r>
      <w:r w:rsidRPr="007D4C6B">
        <w:t>. London: Adam &amp; Charles Black, 1964, 1970</w:t>
      </w:r>
      <w:r w:rsidRPr="007D4C6B">
        <w:rPr>
          <w:vertAlign w:val="superscript"/>
        </w:rPr>
        <w:t>2</w:t>
      </w:r>
      <w:r w:rsidRPr="007D4C6B">
        <w:t xml:space="preserve">. </w:t>
      </w:r>
      <w:r w:rsidR="000C4944">
        <w:t>(</w:t>
      </w:r>
      <w:r w:rsidRPr="007D4C6B">
        <w:t xml:space="preserve">A projected </w:t>
      </w:r>
      <w:r w:rsidRPr="007D4C6B">
        <w:rPr>
          <w:i/>
        </w:rPr>
        <w:t>Part II</w:t>
      </w:r>
      <w:r w:rsidRPr="007D4C6B">
        <w:t xml:space="preserve">: </w:t>
      </w:r>
      <w:r w:rsidRPr="007D4C6B">
        <w:rPr>
          <w:i/>
        </w:rPr>
        <w:t>The Gospel According to St John with the Synoptic Parallels</w:t>
      </w:r>
      <w:r w:rsidRPr="007D4C6B">
        <w:t xml:space="preserve"> was never published.</w:t>
      </w:r>
      <w:r w:rsidR="000C4944">
        <w:t>)</w:t>
      </w:r>
    </w:p>
    <w:p w14:paraId="5CBCC1C6" w14:textId="77777777" w:rsidR="00B47A48" w:rsidRPr="007D4C6B" w:rsidRDefault="00B47A48" w:rsidP="00B47A48">
      <w:pPr>
        <w:widowControl w:val="0"/>
        <w:ind w:left="720" w:hanging="720"/>
      </w:pPr>
      <w:r w:rsidRPr="007D4C6B">
        <w:t xml:space="preserve">Staber, Margit. “Concrete Painting as Structural Painting.” In </w:t>
      </w:r>
      <w:r w:rsidRPr="007D4C6B">
        <w:rPr>
          <w:i/>
        </w:rPr>
        <w:t>Structure in Art and in Science</w:t>
      </w:r>
      <w:r w:rsidRPr="00DC3006">
        <w:rPr>
          <w:iCs/>
        </w:rPr>
        <w:t xml:space="preserve">. Ed. </w:t>
      </w:r>
      <w:r w:rsidRPr="007D4C6B">
        <w:t>Gyorgy Kepes. Vision + value series. New York: George Braziller, 1965.</w:t>
      </w:r>
    </w:p>
    <w:p w14:paraId="5062B4C0" w14:textId="1DAB7E0F" w:rsidR="00B47A48" w:rsidRPr="007D4C6B" w:rsidRDefault="00B47A48" w:rsidP="00B47A48">
      <w:pPr>
        <w:widowControl w:val="0"/>
        <w:ind w:left="720" w:hanging="720"/>
      </w:pPr>
      <w:r w:rsidRPr="007D4C6B">
        <w:t xml:space="preserve">Steinmann, Martin, Jr. “Rhetorical Research.” In </w:t>
      </w:r>
      <w:r w:rsidRPr="007D4C6B">
        <w:rPr>
          <w:i/>
        </w:rPr>
        <w:t>New Rhetorics</w:t>
      </w:r>
      <w:r w:rsidRPr="007D4C6B">
        <w:t>. Ed</w:t>
      </w:r>
      <w:r w:rsidR="000C4944">
        <w:t>.</w:t>
      </w:r>
      <w:r w:rsidRPr="007D4C6B">
        <w:t xml:space="preserve"> Martin Steinmann, Jr. New York: Scribner’s, 1967.</w:t>
      </w:r>
    </w:p>
    <w:p w14:paraId="75BD1232" w14:textId="77777777" w:rsidR="00B47A48" w:rsidRPr="007D4C6B" w:rsidRDefault="00B47A48" w:rsidP="00B47A48">
      <w:pPr>
        <w:widowControl w:val="0"/>
        <w:ind w:left="720" w:hanging="720"/>
      </w:pPr>
      <w:r w:rsidRPr="007D4C6B">
        <w:t xml:space="preserve">Sternberg, Meir. </w:t>
      </w:r>
      <w:r w:rsidRPr="007D4C6B">
        <w:rPr>
          <w:i/>
        </w:rPr>
        <w:t>The Poetics of Biblical Narrative</w:t>
      </w:r>
      <w:r w:rsidRPr="007D4C6B">
        <w:t xml:space="preserve">: </w:t>
      </w:r>
      <w:r w:rsidRPr="007D4C6B">
        <w:rPr>
          <w:i/>
        </w:rPr>
        <w:t>Ideological Literature and the Drama of Reading</w:t>
      </w:r>
      <w:r w:rsidRPr="007D4C6B">
        <w:t xml:space="preserve">. </w:t>
      </w:r>
      <w:r w:rsidRPr="00C45D7C">
        <w:rPr>
          <w:iCs/>
        </w:rPr>
        <w:t>Bloomington IN: Indiana UP</w:t>
      </w:r>
      <w:r w:rsidRPr="007D4C6B">
        <w:t>, 1985.</w:t>
      </w:r>
    </w:p>
    <w:p w14:paraId="7170104E" w14:textId="77777777" w:rsidR="00B47A48" w:rsidRPr="007D4C6B" w:rsidRDefault="00B47A48" w:rsidP="00B47A48">
      <w:pPr>
        <w:widowControl w:val="0"/>
        <w:ind w:left="720" w:hanging="720"/>
      </w:pPr>
      <w:r w:rsidRPr="007D4C6B">
        <w:t xml:space="preserve">Stöger, Alois. </w:t>
      </w:r>
      <w:r w:rsidRPr="007D4C6B">
        <w:rPr>
          <w:i/>
        </w:rPr>
        <w:t xml:space="preserve">Ich </w:t>
      </w:r>
      <w:proofErr w:type="spellStart"/>
      <w:r w:rsidRPr="007D4C6B">
        <w:rPr>
          <w:i/>
        </w:rPr>
        <w:t>aber</w:t>
      </w:r>
      <w:proofErr w:type="spellEnd"/>
      <w:r w:rsidRPr="007D4C6B">
        <w:rPr>
          <w:i/>
        </w:rPr>
        <w:t xml:space="preserve"> sage </w:t>
      </w:r>
      <w:proofErr w:type="spellStart"/>
      <w:r w:rsidRPr="007D4C6B">
        <w:rPr>
          <w:i/>
        </w:rPr>
        <w:t>euch</w:t>
      </w:r>
      <w:proofErr w:type="spellEnd"/>
      <w:r w:rsidRPr="007D4C6B">
        <w:t xml:space="preserve">: </w:t>
      </w:r>
      <w:r w:rsidRPr="007D4C6B">
        <w:rPr>
          <w:i/>
        </w:rPr>
        <w:t xml:space="preserve">Die </w:t>
      </w:r>
      <w:proofErr w:type="spellStart"/>
      <w:r w:rsidRPr="007D4C6B">
        <w:rPr>
          <w:i/>
        </w:rPr>
        <w:t>Bergpredigt</w:t>
      </w:r>
      <w:proofErr w:type="spellEnd"/>
      <w:r w:rsidRPr="007D4C6B">
        <w:rPr>
          <w:i/>
        </w:rPr>
        <w:t xml:space="preserve"> </w:t>
      </w:r>
      <w:proofErr w:type="spellStart"/>
      <w:r w:rsidRPr="007D4C6B">
        <w:rPr>
          <w:i/>
        </w:rPr>
        <w:t>nach</w:t>
      </w:r>
      <w:proofErr w:type="spellEnd"/>
      <w:r w:rsidRPr="007D4C6B">
        <w:rPr>
          <w:i/>
        </w:rPr>
        <w:t xml:space="preserve"> Matthäus </w:t>
      </w:r>
      <w:proofErr w:type="spellStart"/>
      <w:r w:rsidRPr="007D4C6B">
        <w:rPr>
          <w:i/>
        </w:rPr>
        <w:t>lebendig</w:t>
      </w:r>
      <w:proofErr w:type="spellEnd"/>
      <w:r w:rsidRPr="007D4C6B">
        <w:rPr>
          <w:i/>
        </w:rPr>
        <w:t xml:space="preserve"> </w:t>
      </w:r>
      <w:proofErr w:type="spellStart"/>
      <w:r w:rsidRPr="007D4C6B">
        <w:rPr>
          <w:i/>
        </w:rPr>
        <w:t>gemacht</w:t>
      </w:r>
      <w:proofErr w:type="spellEnd"/>
      <w:r w:rsidRPr="007D4C6B">
        <w:t>. München: J. Pfeiffer, 1952.</w:t>
      </w:r>
    </w:p>
    <w:p w14:paraId="732E822F" w14:textId="77777777" w:rsidR="00B47A48" w:rsidRPr="007D4C6B" w:rsidRDefault="00B47A48" w:rsidP="00B47A48">
      <w:pPr>
        <w:widowControl w:val="0"/>
        <w:ind w:left="720" w:hanging="720"/>
      </w:pPr>
      <w:r w:rsidRPr="007D4C6B">
        <w:t xml:space="preserve">Strack, Hermann L., and Paul Billerbeck. </w:t>
      </w:r>
      <w:proofErr w:type="spellStart"/>
      <w:r w:rsidRPr="007D4C6B">
        <w:rPr>
          <w:i/>
        </w:rPr>
        <w:t>Kommentar</w:t>
      </w:r>
      <w:proofErr w:type="spellEnd"/>
      <w:r w:rsidRPr="007D4C6B">
        <w:rPr>
          <w:i/>
        </w:rPr>
        <w:t xml:space="preserve"> </w:t>
      </w:r>
      <w:proofErr w:type="spellStart"/>
      <w:r w:rsidRPr="007D4C6B">
        <w:rPr>
          <w:i/>
        </w:rPr>
        <w:t>zum</w:t>
      </w:r>
      <w:proofErr w:type="spellEnd"/>
      <w:r w:rsidRPr="007D4C6B">
        <w:rPr>
          <w:i/>
        </w:rPr>
        <w:t xml:space="preserve"> Neuen Testament </w:t>
      </w:r>
      <w:proofErr w:type="spellStart"/>
      <w:r w:rsidRPr="007D4C6B">
        <w:rPr>
          <w:i/>
        </w:rPr>
        <w:t>aus</w:t>
      </w:r>
      <w:proofErr w:type="spellEnd"/>
      <w:r w:rsidRPr="007D4C6B">
        <w:rPr>
          <w:i/>
        </w:rPr>
        <w:t xml:space="preserve"> Talmud und </w:t>
      </w:r>
      <w:proofErr w:type="spellStart"/>
      <w:r w:rsidRPr="007D4C6B">
        <w:rPr>
          <w:i/>
        </w:rPr>
        <w:t>Midrasch</w:t>
      </w:r>
      <w:proofErr w:type="spellEnd"/>
      <w:r w:rsidRPr="007D4C6B">
        <w:t>. 6 vols. Munich: Beck, 1922-61.</w:t>
      </w:r>
    </w:p>
    <w:p w14:paraId="5A453D08" w14:textId="0BD61169" w:rsidR="00B47A48" w:rsidRPr="007D4C6B" w:rsidRDefault="00B47A48" w:rsidP="00B47A48">
      <w:pPr>
        <w:widowControl w:val="0"/>
        <w:ind w:left="720" w:hanging="720"/>
      </w:pPr>
      <w:r w:rsidRPr="007D4C6B">
        <w:t xml:space="preserve">Strauss, David Friedrich. </w:t>
      </w:r>
      <w:r w:rsidRPr="007D4C6B">
        <w:rPr>
          <w:i/>
        </w:rPr>
        <w:t>The Life of Jesus Critically Examined</w:t>
      </w:r>
      <w:r w:rsidRPr="007D4C6B">
        <w:t xml:space="preserve">. Edited and with an introduction by Peter C. Hodgson. Trans. George Eliot. Philadelphia: Fortress, 1972. </w:t>
      </w:r>
      <w:r w:rsidR="000C4944">
        <w:t>(</w:t>
      </w:r>
      <w:r w:rsidRPr="007D4C6B">
        <w:rPr>
          <w:i/>
        </w:rPr>
        <w:t xml:space="preserve">Das Leben Jesu </w:t>
      </w:r>
      <w:proofErr w:type="spellStart"/>
      <w:r w:rsidRPr="007D4C6B">
        <w:rPr>
          <w:i/>
        </w:rPr>
        <w:t>kritisch</w:t>
      </w:r>
      <w:proofErr w:type="spellEnd"/>
      <w:r w:rsidRPr="007D4C6B">
        <w:rPr>
          <w:i/>
        </w:rPr>
        <w:t xml:space="preserve"> </w:t>
      </w:r>
      <w:proofErr w:type="spellStart"/>
      <w:r w:rsidRPr="007D4C6B">
        <w:rPr>
          <w:i/>
        </w:rPr>
        <w:t>bearbeitet</w:t>
      </w:r>
      <w:proofErr w:type="spellEnd"/>
      <w:r w:rsidR="000C4944">
        <w:t>.</w:t>
      </w:r>
      <w:r w:rsidRPr="007D4C6B">
        <w:t xml:space="preserve"> Tübingen</w:t>
      </w:r>
      <w:r w:rsidR="000C4944">
        <w:t>:</w:t>
      </w:r>
      <w:r w:rsidRPr="007D4C6B">
        <w:t xml:space="preserve"> 1835, 1836</w:t>
      </w:r>
      <w:r w:rsidRPr="007D4C6B">
        <w:rPr>
          <w:vertAlign w:val="superscript"/>
        </w:rPr>
        <w:t>2</w:t>
      </w:r>
      <w:r w:rsidRPr="007D4C6B">
        <w:t>, 1838</w:t>
      </w:r>
      <w:r w:rsidRPr="007D4C6B">
        <w:rPr>
          <w:vertAlign w:val="superscript"/>
        </w:rPr>
        <w:t>3</w:t>
      </w:r>
      <w:r w:rsidRPr="007D4C6B">
        <w:t>, 1840</w:t>
      </w:r>
      <w:r w:rsidRPr="007D4C6B">
        <w:rPr>
          <w:vertAlign w:val="superscript"/>
        </w:rPr>
        <w:t>4</w:t>
      </w:r>
      <w:r w:rsidRPr="007D4C6B">
        <w:t xml:space="preserve">. The translation by Eliot </w:t>
      </w:r>
      <w:r w:rsidR="000C4944">
        <w:t>[</w:t>
      </w:r>
      <w:r w:rsidRPr="007D4C6B">
        <w:t>Mary Anne Evans</w:t>
      </w:r>
      <w:r w:rsidR="000C4944">
        <w:t>]</w:t>
      </w:r>
      <w:r w:rsidRPr="007D4C6B">
        <w:t xml:space="preserve"> was published in 3 vols. </w:t>
      </w:r>
      <w:r w:rsidR="000C4944">
        <w:t>[</w:t>
      </w:r>
      <w:r w:rsidRPr="007D4C6B">
        <w:t>London: Chapman Bros., 1846</w:t>
      </w:r>
      <w:r w:rsidR="000C4944">
        <w:t>]</w:t>
      </w:r>
      <w:r w:rsidRPr="007D4C6B">
        <w:t>. The Fortress ed</w:t>
      </w:r>
      <w:r w:rsidR="000C4944">
        <w:t>.</w:t>
      </w:r>
      <w:r w:rsidRPr="007D4C6B">
        <w:t xml:space="preserve"> reproduces the</w:t>
      </w:r>
      <w:r w:rsidR="00457786" w:rsidRPr="00457786">
        <w:rPr>
          <w:iCs/>
        </w:rPr>
        <w:t xml:space="preserve"> 2nd </w:t>
      </w:r>
      <w:r w:rsidRPr="007D4C6B">
        <w:t>English ed. (1 vol. London: Swan Sonnenschein, and New York: Macmillan, 1892]</w:t>
      </w:r>
      <w:r w:rsidR="000C4944">
        <w:t>.)</w:t>
      </w:r>
    </w:p>
    <w:p w14:paraId="2D4354C4" w14:textId="77777777" w:rsidR="00B47A48" w:rsidRPr="007D4C6B" w:rsidRDefault="00B47A48" w:rsidP="00B47A48">
      <w:pPr>
        <w:widowControl w:val="0"/>
        <w:ind w:left="720" w:hanging="720"/>
      </w:pPr>
      <w:r w:rsidRPr="007D4C6B">
        <w:t xml:space="preserve">Streeter, Burnett Hillman. </w:t>
      </w:r>
      <w:r w:rsidRPr="007D4C6B">
        <w:rPr>
          <w:i/>
        </w:rPr>
        <w:t>The Four Gospels</w:t>
      </w:r>
      <w:r w:rsidRPr="007D4C6B">
        <w:t>. New York: Macmillan, 1924.</w:t>
      </w:r>
    </w:p>
    <w:p w14:paraId="0B17BC85" w14:textId="77777777" w:rsidR="00B47A48" w:rsidRPr="007D4C6B" w:rsidRDefault="00B47A48" w:rsidP="00B47A48">
      <w:pPr>
        <w:widowControl w:val="0"/>
        <w:ind w:left="720" w:hanging="720"/>
      </w:pPr>
      <w:r w:rsidRPr="007D4C6B">
        <w:t xml:space="preserve">Streeter, Burnett Hillman. </w:t>
      </w:r>
      <w:r w:rsidRPr="007D4C6B">
        <w:rPr>
          <w:i/>
        </w:rPr>
        <w:t>The Primitive Church</w:t>
      </w:r>
      <w:r w:rsidRPr="007D4C6B">
        <w:t xml:space="preserve">: </w:t>
      </w:r>
      <w:r w:rsidRPr="007D4C6B">
        <w:rPr>
          <w:i/>
        </w:rPr>
        <w:t>Studied with Special Reference to the Origins of the Christian Ministry</w:t>
      </w:r>
      <w:r w:rsidRPr="007D4C6B">
        <w:t>. New York: Macmillan, 1929.</w:t>
      </w:r>
    </w:p>
    <w:p w14:paraId="28A80193" w14:textId="77777777" w:rsidR="00B47A48" w:rsidRPr="007D4C6B" w:rsidRDefault="00B47A48" w:rsidP="00B47A48">
      <w:pPr>
        <w:widowControl w:val="0"/>
        <w:ind w:left="720" w:hanging="720"/>
      </w:pPr>
      <w:r w:rsidRPr="007D4C6B">
        <w:t xml:space="preserve">Tannehill, Robert C. </w:t>
      </w:r>
      <w:r w:rsidRPr="007D4C6B">
        <w:rPr>
          <w:i/>
        </w:rPr>
        <w:t>The Sword of His Mouth</w:t>
      </w:r>
      <w:r w:rsidRPr="007D4C6B">
        <w:t xml:space="preserve">: </w:t>
      </w:r>
      <w:r w:rsidRPr="007D4C6B">
        <w:rPr>
          <w:i/>
        </w:rPr>
        <w:t>Forceful and Imaginative Language in Synoptic Sayings</w:t>
      </w:r>
      <w:r w:rsidRPr="007D4C6B">
        <w:t xml:space="preserve">. Society of Biblical Literature Semeia Supplements 1. </w:t>
      </w:r>
      <w:r w:rsidRPr="00D42DB3">
        <w:rPr>
          <w:iCs/>
        </w:rPr>
        <w:t>Missoula MT</w:t>
      </w:r>
      <w:r w:rsidRPr="007D4C6B">
        <w:t xml:space="preserve">: Scholars, </w:t>
      </w:r>
      <w:r w:rsidRPr="007D4C6B">
        <w:lastRenderedPageBreak/>
        <w:t>1975; Philadelphia: Fortress, 1975.</w:t>
      </w:r>
    </w:p>
    <w:p w14:paraId="50513446" w14:textId="77777777" w:rsidR="00B47A48" w:rsidRPr="007D4C6B" w:rsidRDefault="00B47A48" w:rsidP="00B47A48">
      <w:pPr>
        <w:widowControl w:val="0"/>
        <w:ind w:left="720" w:hanging="720"/>
      </w:pPr>
      <w:r w:rsidRPr="007D4C6B">
        <w:t xml:space="preserve">Taylor, Vincent. </w:t>
      </w:r>
      <w:r w:rsidRPr="007D4C6B">
        <w:rPr>
          <w:i/>
        </w:rPr>
        <w:t>The Formation of the Gospel Tradition</w:t>
      </w:r>
      <w:r w:rsidRPr="007D4C6B">
        <w:t xml:space="preserve">. </w:t>
      </w:r>
      <w:r w:rsidRPr="0029762C">
        <w:rPr>
          <w:iCs/>
        </w:rPr>
        <w:t>2nd ed.</w:t>
      </w:r>
      <w:r w:rsidRPr="007D4C6B">
        <w:t xml:space="preserve"> London: Macmillan, 1933, 1935</w:t>
      </w:r>
      <w:r w:rsidRPr="007D4C6B">
        <w:rPr>
          <w:vertAlign w:val="superscript"/>
        </w:rPr>
        <w:t>2</w:t>
      </w:r>
      <w:r w:rsidRPr="007D4C6B">
        <w:t>.</w:t>
      </w:r>
    </w:p>
    <w:p w14:paraId="564F5365" w14:textId="77777777" w:rsidR="00B47A48" w:rsidRPr="007D4C6B" w:rsidRDefault="00B47A48" w:rsidP="00B47A48">
      <w:pPr>
        <w:widowControl w:val="0"/>
        <w:ind w:left="720" w:hanging="720"/>
      </w:pPr>
      <w:r w:rsidRPr="007D4C6B">
        <w:t>Throckmorton, Burton H., Jr.</w:t>
      </w:r>
      <w:r w:rsidRPr="00DC3006">
        <w:rPr>
          <w:iCs/>
        </w:rPr>
        <w:t xml:space="preserve">. Ed. </w:t>
      </w:r>
      <w:r w:rsidRPr="007D4C6B">
        <w:rPr>
          <w:i/>
        </w:rPr>
        <w:t>Gospel Parallels</w:t>
      </w:r>
      <w:r w:rsidRPr="007D4C6B">
        <w:t xml:space="preserve">: </w:t>
      </w:r>
      <w:r w:rsidRPr="007D4C6B">
        <w:rPr>
          <w:i/>
        </w:rPr>
        <w:t>A Synopsis of the First Three Gospels</w:t>
      </w:r>
      <w:r w:rsidRPr="007D4C6B">
        <w:t xml:space="preserve">, </w:t>
      </w:r>
      <w:r w:rsidRPr="007D4C6B">
        <w:rPr>
          <w:i/>
        </w:rPr>
        <w:t>with Alternative Readings from the Manuscripts and Noncanonical Parallels</w:t>
      </w:r>
      <w:r w:rsidRPr="007D4C6B">
        <w:t>. New York: Thomas Nelson, 1949, 1957</w:t>
      </w:r>
      <w:r w:rsidRPr="007D4C6B">
        <w:rPr>
          <w:vertAlign w:val="superscript"/>
        </w:rPr>
        <w:t>2</w:t>
      </w:r>
      <w:r w:rsidRPr="007D4C6B">
        <w:t>, 1967</w:t>
      </w:r>
      <w:r w:rsidRPr="007D4C6B">
        <w:rPr>
          <w:vertAlign w:val="superscript"/>
        </w:rPr>
        <w:t>3</w:t>
      </w:r>
      <w:r w:rsidRPr="007D4C6B">
        <w:t>, 1979</w:t>
      </w:r>
      <w:r w:rsidRPr="007D4C6B">
        <w:rPr>
          <w:vertAlign w:val="superscript"/>
        </w:rPr>
        <w:t>4</w:t>
      </w:r>
      <w:r w:rsidRPr="007D4C6B">
        <w:t>.</w:t>
      </w:r>
    </w:p>
    <w:p w14:paraId="3C3F2E19" w14:textId="77777777" w:rsidR="00B47A48" w:rsidRPr="00E5413C" w:rsidRDefault="00B47A48" w:rsidP="00B47A48">
      <w:pPr>
        <w:widowControl w:val="0"/>
        <w:ind w:left="720" w:hanging="720"/>
        <w:rPr>
          <w:lang w:val="fr-FR"/>
        </w:rPr>
      </w:pPr>
      <w:r w:rsidRPr="007D4C6B">
        <w:t>Todorov, Tzvetan</w:t>
      </w:r>
      <w:r w:rsidRPr="00DC3006">
        <w:rPr>
          <w:iCs/>
        </w:rPr>
        <w:t xml:space="preserve">. Ed. </w:t>
      </w:r>
      <w:r w:rsidRPr="007D4C6B">
        <w:t xml:space="preserve">“French Poetics Today.” In </w:t>
      </w:r>
      <w:r w:rsidRPr="007D4C6B">
        <w:rPr>
          <w:i/>
        </w:rPr>
        <w:t>French Literary Theory Today</w:t>
      </w:r>
      <w:r w:rsidRPr="007D4C6B">
        <w:t xml:space="preserve">: </w:t>
      </w:r>
      <w:r w:rsidRPr="007D4C6B">
        <w:rPr>
          <w:i/>
        </w:rPr>
        <w:t>A Reader</w:t>
      </w:r>
      <w:r w:rsidRPr="007D4C6B">
        <w:t xml:space="preserve">. </w:t>
      </w:r>
      <w:r w:rsidRPr="00E5413C">
        <w:rPr>
          <w:lang w:val="fr-FR"/>
        </w:rPr>
        <w:t xml:space="preserve">Trans. R. Carter. </w:t>
      </w:r>
      <w:r w:rsidRPr="00E5413C">
        <w:rPr>
          <w:iCs/>
          <w:lang w:val="fr-FR"/>
        </w:rPr>
        <w:t>Cambridge: CUP</w:t>
      </w:r>
      <w:r w:rsidRPr="00E5413C">
        <w:rPr>
          <w:lang w:val="fr-FR"/>
        </w:rPr>
        <w:t>, 1982; Paris: Éditions de la Maison des Sciences de l’Homme, 1982.</w:t>
      </w:r>
    </w:p>
    <w:p w14:paraId="5ED837D7" w14:textId="77777777" w:rsidR="00B47A48" w:rsidRPr="00E5413C" w:rsidRDefault="00B47A48" w:rsidP="00B47A48">
      <w:pPr>
        <w:widowControl w:val="0"/>
        <w:ind w:left="720" w:hanging="720"/>
        <w:rPr>
          <w:lang w:val="fr-FR"/>
        </w:rPr>
      </w:pPr>
      <w:r w:rsidRPr="00E5413C">
        <w:rPr>
          <w:lang w:val="fr-FR"/>
        </w:rPr>
        <w:t>Todorov, Tzvetan</w:t>
      </w:r>
      <w:r w:rsidRPr="00E5413C">
        <w:rPr>
          <w:iCs/>
          <w:lang w:val="fr-FR"/>
        </w:rPr>
        <w:t xml:space="preserve">. Ed. </w:t>
      </w:r>
      <w:r w:rsidRPr="00E5413C">
        <w:rPr>
          <w:i/>
          <w:lang w:val="fr-FR"/>
        </w:rPr>
        <w:t>Théorie de la littérature</w:t>
      </w:r>
      <w:r w:rsidRPr="00E5413C">
        <w:rPr>
          <w:lang w:val="fr-FR"/>
        </w:rPr>
        <w:t xml:space="preserve">, </w:t>
      </w:r>
      <w:r w:rsidRPr="00E5413C">
        <w:rPr>
          <w:i/>
          <w:lang w:val="fr-FR"/>
        </w:rPr>
        <w:t>textes des Formalistes russes</w:t>
      </w:r>
      <w:r w:rsidRPr="00E5413C">
        <w:rPr>
          <w:lang w:val="fr-FR"/>
        </w:rPr>
        <w:t xml:space="preserve">. «Tel quel» </w:t>
      </w:r>
      <w:proofErr w:type="spellStart"/>
      <w:r w:rsidRPr="00E5413C">
        <w:rPr>
          <w:lang w:val="fr-FR"/>
        </w:rPr>
        <w:t>series</w:t>
      </w:r>
      <w:proofErr w:type="spellEnd"/>
      <w:r w:rsidRPr="00E5413C">
        <w:rPr>
          <w:lang w:val="fr-FR"/>
        </w:rPr>
        <w:t>. Paris: Seuil, 1965.</w:t>
      </w:r>
    </w:p>
    <w:p w14:paraId="27E32D3E" w14:textId="77777777" w:rsidR="00B47A48" w:rsidRPr="00E5413C" w:rsidRDefault="00B47A48" w:rsidP="00B47A48">
      <w:pPr>
        <w:widowControl w:val="0"/>
        <w:ind w:left="720" w:hanging="720"/>
        <w:rPr>
          <w:lang w:val="fr-FR"/>
        </w:rPr>
      </w:pPr>
      <w:r w:rsidRPr="00E5413C">
        <w:rPr>
          <w:lang w:val="fr-FR"/>
        </w:rPr>
        <w:t xml:space="preserve">Todorov, Tzvetan. “L’héritage méthodologique du Formalisme.” </w:t>
      </w:r>
      <w:r w:rsidRPr="00E5413C">
        <w:rPr>
          <w:i/>
          <w:lang w:val="fr-FR"/>
        </w:rPr>
        <w:t>L</w:t>
      </w:r>
      <w:r w:rsidRPr="00E5413C">
        <w:rPr>
          <w:lang w:val="fr-FR"/>
        </w:rPr>
        <w:t>’</w:t>
      </w:r>
      <w:r w:rsidRPr="00E5413C">
        <w:rPr>
          <w:i/>
          <w:lang w:val="fr-FR"/>
        </w:rPr>
        <w:t>Homme</w:t>
      </w:r>
      <w:r w:rsidRPr="00E5413C">
        <w:rPr>
          <w:lang w:val="fr-FR"/>
        </w:rPr>
        <w:t xml:space="preserve"> 1 (1965) 66-75. </w:t>
      </w:r>
      <w:proofErr w:type="spellStart"/>
      <w:r w:rsidRPr="00E5413C">
        <w:rPr>
          <w:lang w:val="fr-FR"/>
        </w:rPr>
        <w:t>Rpt</w:t>
      </w:r>
      <w:proofErr w:type="spellEnd"/>
      <w:r w:rsidRPr="00E5413C">
        <w:rPr>
          <w:lang w:val="fr-FR"/>
        </w:rPr>
        <w:t xml:space="preserve">. in </w:t>
      </w:r>
      <w:r w:rsidRPr="00E5413C">
        <w:rPr>
          <w:i/>
          <w:lang w:val="fr-FR"/>
        </w:rPr>
        <w:t>Poétique de la Prose</w:t>
      </w:r>
      <w:r w:rsidRPr="00E5413C">
        <w:rPr>
          <w:lang w:val="fr-FR"/>
        </w:rPr>
        <w:t>, by Tzvetan Todorov. Poétique (</w:t>
      </w:r>
      <w:proofErr w:type="spellStart"/>
      <w:r w:rsidRPr="00E5413C">
        <w:rPr>
          <w:lang w:val="fr-FR"/>
        </w:rPr>
        <w:t>series</w:t>
      </w:r>
      <w:proofErr w:type="spellEnd"/>
      <w:r w:rsidRPr="00E5413C">
        <w:rPr>
          <w:lang w:val="fr-FR"/>
        </w:rPr>
        <w:t>)</w:t>
      </w:r>
      <w:r w:rsidRPr="00E5413C">
        <w:rPr>
          <w:iCs/>
          <w:lang w:val="fr-FR"/>
        </w:rPr>
        <w:t xml:space="preserve">. Ed. </w:t>
      </w:r>
      <w:r w:rsidRPr="00E5413C">
        <w:rPr>
          <w:lang w:val="fr-FR"/>
        </w:rPr>
        <w:t>Gérard Genette and Tzvetan Todorov. Paris: Seuil, 1971.</w:t>
      </w:r>
    </w:p>
    <w:p w14:paraId="514B59D9" w14:textId="5771762D" w:rsidR="00B47A48" w:rsidRPr="00E5413C" w:rsidRDefault="00B47A48" w:rsidP="00B47A48">
      <w:pPr>
        <w:widowControl w:val="0"/>
        <w:ind w:left="720" w:hanging="720"/>
        <w:rPr>
          <w:lang w:val="fr-FR"/>
        </w:rPr>
      </w:pPr>
      <w:proofErr w:type="spellStart"/>
      <w:r w:rsidRPr="007D4C6B">
        <w:t>Trocmé</w:t>
      </w:r>
      <w:proofErr w:type="spellEnd"/>
      <w:r w:rsidRPr="007D4C6B">
        <w:t xml:space="preserve">, Étienne. </w:t>
      </w:r>
      <w:r w:rsidRPr="007D4C6B">
        <w:rPr>
          <w:i/>
        </w:rPr>
        <w:t>Jesus as Seen by His Contemporaries</w:t>
      </w:r>
      <w:r w:rsidRPr="007D4C6B">
        <w:t xml:space="preserve">. </w:t>
      </w:r>
      <w:r w:rsidRPr="00E5413C">
        <w:rPr>
          <w:lang w:val="fr-FR"/>
        </w:rPr>
        <w:t xml:space="preserve">London: SCM, 1973; Philadelphia: Westminster, </w:t>
      </w:r>
      <w:proofErr w:type="spellStart"/>
      <w:r w:rsidRPr="00E5413C">
        <w:rPr>
          <w:lang w:val="fr-FR"/>
        </w:rPr>
        <w:t>n.d</w:t>
      </w:r>
      <w:proofErr w:type="spellEnd"/>
      <w:r w:rsidRPr="00E5413C">
        <w:rPr>
          <w:lang w:val="fr-FR"/>
        </w:rPr>
        <w:t xml:space="preserve">. </w:t>
      </w:r>
      <w:r w:rsidR="000C4944" w:rsidRPr="00E5413C">
        <w:rPr>
          <w:lang w:val="fr-FR"/>
        </w:rPr>
        <w:t>(</w:t>
      </w:r>
      <w:r w:rsidRPr="00E5413C">
        <w:rPr>
          <w:i/>
          <w:lang w:val="fr-FR"/>
        </w:rPr>
        <w:t>Jésus de Nazareth vu par les témoins de sa vie</w:t>
      </w:r>
      <w:r w:rsidRPr="00E5413C">
        <w:rPr>
          <w:lang w:val="fr-FR"/>
        </w:rPr>
        <w:t xml:space="preserve">, Neuchâtel, </w:t>
      </w:r>
      <w:proofErr w:type="spellStart"/>
      <w:r w:rsidRPr="00E5413C">
        <w:rPr>
          <w:lang w:val="fr-FR"/>
        </w:rPr>
        <w:t>Switzerland</w:t>
      </w:r>
      <w:proofErr w:type="spellEnd"/>
      <w:r w:rsidRPr="00E5413C">
        <w:rPr>
          <w:lang w:val="fr-FR"/>
        </w:rPr>
        <w:t xml:space="preserve">: Delachaux </w:t>
      </w:r>
      <w:r w:rsidR="000C4944" w:rsidRPr="00E5413C">
        <w:rPr>
          <w:lang w:val="fr-FR"/>
        </w:rPr>
        <w:t>et</w:t>
      </w:r>
      <w:r w:rsidRPr="00E5413C">
        <w:rPr>
          <w:lang w:val="fr-FR"/>
        </w:rPr>
        <w:t xml:space="preserve"> </w:t>
      </w:r>
      <w:proofErr w:type="spellStart"/>
      <w:r w:rsidRPr="00E5413C">
        <w:rPr>
          <w:lang w:val="fr-FR"/>
        </w:rPr>
        <w:t>Niestlé</w:t>
      </w:r>
      <w:proofErr w:type="spellEnd"/>
      <w:r w:rsidRPr="00E5413C">
        <w:rPr>
          <w:lang w:val="fr-FR"/>
        </w:rPr>
        <w:t>, 1971.</w:t>
      </w:r>
      <w:r w:rsidR="000C4944" w:rsidRPr="00E5413C">
        <w:rPr>
          <w:lang w:val="fr-FR"/>
        </w:rPr>
        <w:t>)</w:t>
      </w:r>
    </w:p>
    <w:p w14:paraId="52C2A7C2" w14:textId="77777777" w:rsidR="00B47A48" w:rsidRPr="00E5413C" w:rsidRDefault="00B47A48" w:rsidP="00B47A48">
      <w:pPr>
        <w:widowControl w:val="0"/>
        <w:ind w:left="720" w:hanging="720"/>
        <w:rPr>
          <w:lang w:val="fr-FR"/>
        </w:rPr>
      </w:pPr>
      <w:proofErr w:type="spellStart"/>
      <w:r w:rsidRPr="00E5413C">
        <w:rPr>
          <w:lang w:val="fr-FR"/>
        </w:rPr>
        <w:t>Vaganay</w:t>
      </w:r>
      <w:proofErr w:type="spellEnd"/>
      <w:r w:rsidRPr="00E5413C">
        <w:rPr>
          <w:lang w:val="fr-FR"/>
        </w:rPr>
        <w:t>, Léon. “</w:t>
      </w:r>
      <w:proofErr w:type="spellStart"/>
      <w:r w:rsidRPr="00E5413C">
        <w:rPr>
          <w:lang w:val="fr-FR"/>
        </w:rPr>
        <w:t>Éxiste</w:t>
      </w:r>
      <w:proofErr w:type="spellEnd"/>
      <w:r w:rsidRPr="00E5413C">
        <w:rPr>
          <w:lang w:val="fr-FR"/>
        </w:rPr>
        <w:t xml:space="preserve">-t-il chez Marc quelques traces du Sermon sur la montagne?” </w:t>
      </w:r>
      <w:r w:rsidRPr="00E5413C">
        <w:rPr>
          <w:i/>
          <w:lang w:val="fr-FR"/>
        </w:rPr>
        <w:t>NTS</w:t>
      </w:r>
      <w:r w:rsidRPr="00E5413C">
        <w:rPr>
          <w:lang w:val="fr-FR"/>
        </w:rPr>
        <w:t xml:space="preserve"> 1 (1954-55) 192-200.</w:t>
      </w:r>
    </w:p>
    <w:p w14:paraId="10AA93B9" w14:textId="6470C270" w:rsidR="00B47A48" w:rsidRPr="007D4C6B" w:rsidRDefault="00B47A48" w:rsidP="00B47A48">
      <w:pPr>
        <w:widowControl w:val="0"/>
        <w:ind w:left="720" w:hanging="720"/>
      </w:pPr>
      <w:proofErr w:type="spellStart"/>
      <w:r w:rsidRPr="00E5413C">
        <w:rPr>
          <w:lang w:val="fr-FR"/>
        </w:rPr>
        <w:t>Vaganay</w:t>
      </w:r>
      <w:proofErr w:type="spellEnd"/>
      <w:r w:rsidRPr="00E5413C">
        <w:rPr>
          <w:lang w:val="fr-FR"/>
        </w:rPr>
        <w:t xml:space="preserve">, Léon. </w:t>
      </w:r>
      <w:r w:rsidRPr="00E5413C">
        <w:rPr>
          <w:i/>
          <w:lang w:val="fr-FR"/>
        </w:rPr>
        <w:t>Le Problème Synoptique</w:t>
      </w:r>
      <w:r w:rsidRPr="00E5413C">
        <w:rPr>
          <w:lang w:val="fr-FR"/>
        </w:rPr>
        <w:t xml:space="preserve">: </w:t>
      </w:r>
      <w:r w:rsidRPr="00E5413C">
        <w:rPr>
          <w:i/>
          <w:lang w:val="fr-FR"/>
        </w:rPr>
        <w:t>Une Hypothèse de Travail</w:t>
      </w:r>
      <w:r w:rsidRPr="00E5413C">
        <w:rPr>
          <w:lang w:val="fr-FR"/>
        </w:rPr>
        <w:t xml:space="preserve">. </w:t>
      </w:r>
      <w:proofErr w:type="spellStart"/>
      <w:r w:rsidRPr="00E5413C">
        <w:rPr>
          <w:lang w:val="fr-FR"/>
        </w:rPr>
        <w:t>Preface</w:t>
      </w:r>
      <w:proofErr w:type="spellEnd"/>
      <w:r w:rsidRPr="00E5413C">
        <w:rPr>
          <w:lang w:val="fr-FR"/>
        </w:rPr>
        <w:t xml:space="preserve"> by L</w:t>
      </w:r>
      <w:r w:rsidR="00E565D9" w:rsidRPr="00E5413C">
        <w:rPr>
          <w:lang w:val="fr-FR"/>
        </w:rPr>
        <w:t>ucien</w:t>
      </w:r>
      <w:r w:rsidRPr="00E5413C">
        <w:rPr>
          <w:lang w:val="fr-FR"/>
        </w:rPr>
        <w:t xml:space="preserve"> </w:t>
      </w:r>
      <w:proofErr w:type="spellStart"/>
      <w:r w:rsidRPr="00E5413C">
        <w:rPr>
          <w:lang w:val="fr-FR"/>
        </w:rPr>
        <w:t>Cerfaux</w:t>
      </w:r>
      <w:proofErr w:type="spellEnd"/>
      <w:r w:rsidRPr="00E5413C">
        <w:rPr>
          <w:lang w:val="fr-FR"/>
        </w:rPr>
        <w:t xml:space="preserve">. Bibliothèque de Théologie, Série III: Théologie Biblique. </w:t>
      </w:r>
      <w:r w:rsidRPr="007D4C6B">
        <w:t xml:space="preserve">Tournai, Belgium: </w:t>
      </w:r>
      <w:proofErr w:type="spellStart"/>
      <w:r w:rsidRPr="007D4C6B">
        <w:t>Desclée</w:t>
      </w:r>
      <w:proofErr w:type="spellEnd"/>
      <w:r w:rsidRPr="007D4C6B">
        <w:t>, 1954.</w:t>
      </w:r>
    </w:p>
    <w:p w14:paraId="7AF1D64D" w14:textId="77777777" w:rsidR="00B47A48" w:rsidRPr="007D4C6B" w:rsidRDefault="00B47A48" w:rsidP="00B47A48">
      <w:pPr>
        <w:widowControl w:val="0"/>
        <w:ind w:left="720" w:hanging="720"/>
      </w:pPr>
      <w:r w:rsidRPr="007D4C6B">
        <w:t xml:space="preserve">Vassiliadis, Petros. “The Nature and Extent of the Q-Document.” </w:t>
      </w:r>
      <w:r w:rsidRPr="00826EC1">
        <w:rPr>
          <w:i/>
        </w:rPr>
        <w:t xml:space="preserve">Novum </w:t>
      </w:r>
      <w:proofErr w:type="spellStart"/>
      <w:r w:rsidRPr="00826EC1">
        <w:rPr>
          <w:i/>
        </w:rPr>
        <w:t>Testamentum</w:t>
      </w:r>
      <w:proofErr w:type="spellEnd"/>
      <w:r w:rsidRPr="007D4C6B">
        <w:t xml:space="preserve"> 20 (January 1978) 49-73.</w:t>
      </w:r>
    </w:p>
    <w:p w14:paraId="2AB74DB9" w14:textId="79D730FF" w:rsidR="00B47A48" w:rsidRPr="007D4C6B" w:rsidRDefault="00B47A48" w:rsidP="00B47A48">
      <w:pPr>
        <w:widowControl w:val="0"/>
        <w:ind w:left="720" w:hanging="720"/>
      </w:pPr>
      <w:r w:rsidRPr="007D4C6B">
        <w:t xml:space="preserve">Weaver, Richard M. “Some Rhetorical Aspects of Grammatical Categories.” In </w:t>
      </w:r>
      <w:r w:rsidRPr="007D4C6B">
        <w:rPr>
          <w:i/>
        </w:rPr>
        <w:t>The Ethics of Rhetoric</w:t>
      </w:r>
      <w:r w:rsidR="00E565D9">
        <w:t>.</w:t>
      </w:r>
      <w:r w:rsidRPr="007D4C6B">
        <w:t xml:space="preserve"> Chicago IL: Henry Regnery, 1953. Rpt. in Bernard L. Brock and Robert L. Scott</w:t>
      </w:r>
      <w:r>
        <w:rPr>
          <w:iCs/>
        </w:rPr>
        <w:t>, eds.</w:t>
      </w:r>
      <w:r w:rsidRPr="00DC3006">
        <w:rPr>
          <w:iCs/>
        </w:rPr>
        <w:t xml:space="preserve"> </w:t>
      </w:r>
      <w:r w:rsidRPr="007D4C6B">
        <w:rPr>
          <w:i/>
        </w:rPr>
        <w:t>Methods of Rhetorical Criticism</w:t>
      </w:r>
      <w:r w:rsidRPr="007D4C6B">
        <w:t xml:space="preserve">: </w:t>
      </w:r>
      <w:r w:rsidRPr="007D4C6B">
        <w:rPr>
          <w:i/>
        </w:rPr>
        <w:t>A Twentieth-Century Perspective</w:t>
      </w:r>
      <w:r w:rsidRPr="007D4C6B">
        <w:t xml:space="preserve">, </w:t>
      </w:r>
      <w:r w:rsidRPr="0029762C">
        <w:rPr>
          <w:iCs/>
        </w:rPr>
        <w:t>2nd ed.</w:t>
      </w:r>
      <w:r w:rsidRPr="007D4C6B">
        <w:t xml:space="preserve">, rev. </w:t>
      </w:r>
      <w:r w:rsidRPr="0029762C">
        <w:rPr>
          <w:iCs/>
        </w:rPr>
        <w:t>Detroit MI</w:t>
      </w:r>
      <w:r w:rsidRPr="007D4C6B">
        <w:t xml:space="preserve">: </w:t>
      </w:r>
      <w:r w:rsidRPr="0029762C">
        <w:rPr>
          <w:iCs/>
        </w:rPr>
        <w:t>Wayne State UP,</w:t>
      </w:r>
      <w:r w:rsidRPr="007D4C6B">
        <w:t xml:space="preserve"> 1980.</w:t>
      </w:r>
    </w:p>
    <w:p w14:paraId="552D6E86" w14:textId="77777777" w:rsidR="00B47A48" w:rsidRPr="007D4C6B" w:rsidRDefault="00B47A48" w:rsidP="00B47A48">
      <w:pPr>
        <w:widowControl w:val="0"/>
        <w:ind w:left="720" w:hanging="720"/>
      </w:pPr>
      <w:r w:rsidRPr="007D4C6B">
        <w:t xml:space="preserve">Weigle, Luther A. </w:t>
      </w:r>
      <w:r w:rsidRPr="007D4C6B">
        <w:rPr>
          <w:i/>
        </w:rPr>
        <w:t>The English New Testament from Tyndale to the Revised Standard Version</w:t>
      </w:r>
      <w:r w:rsidRPr="007D4C6B">
        <w:t>. New York: Abingdon-Cokesbury, 1949.</w:t>
      </w:r>
    </w:p>
    <w:p w14:paraId="4AF5ECFC" w14:textId="47CFA70A" w:rsidR="00B47A48" w:rsidRPr="007D4C6B" w:rsidRDefault="00B47A48" w:rsidP="00B47A48">
      <w:pPr>
        <w:widowControl w:val="0"/>
        <w:ind w:left="720" w:hanging="720"/>
      </w:pPr>
      <w:r w:rsidRPr="007D4C6B">
        <w:t xml:space="preserve">Weiss, Johannes. </w:t>
      </w:r>
      <w:r w:rsidRPr="007D4C6B">
        <w:rPr>
          <w:i/>
        </w:rPr>
        <w:t>The History of Primitive Christianity</w:t>
      </w:r>
      <w:r w:rsidRPr="007D4C6B">
        <w:t xml:space="preserve">. 2 vols. </w:t>
      </w:r>
      <w:r w:rsidR="00E565D9">
        <w:t xml:space="preserve">Ed. </w:t>
      </w:r>
      <w:r w:rsidRPr="007D4C6B">
        <w:t xml:space="preserve">Frederick C. Grant. Trans. </w:t>
      </w:r>
      <w:r w:rsidR="00E565D9" w:rsidRPr="00E565D9">
        <w:rPr>
          <w:iCs/>
        </w:rPr>
        <w:t>F.C.</w:t>
      </w:r>
      <w:r w:rsidRPr="007D4C6B">
        <w:t xml:space="preserve"> Grant, et al. New York: Wilson-Erickson, 1937</w:t>
      </w:r>
      <w:r w:rsidR="007B5BB5">
        <w:t>.</w:t>
      </w:r>
      <w:r w:rsidR="007B5BB5" w:rsidRPr="007D4C6B">
        <w:t xml:space="preserve"> Rpt. </w:t>
      </w:r>
      <w:r w:rsidRPr="007D4C6B">
        <w:t xml:space="preserve">ed., entitled </w:t>
      </w:r>
      <w:r w:rsidRPr="007D4C6B">
        <w:rPr>
          <w:i/>
        </w:rPr>
        <w:t>Earliest Christianity</w:t>
      </w:r>
      <w:r w:rsidRPr="007D4C6B">
        <w:t xml:space="preserve">: </w:t>
      </w:r>
      <w:r w:rsidRPr="007D4C6B">
        <w:rPr>
          <w:i/>
        </w:rPr>
        <w:t>A History of the Period A</w:t>
      </w:r>
      <w:r w:rsidRPr="007D4C6B">
        <w:t>.</w:t>
      </w:r>
      <w:r w:rsidRPr="007D4C6B">
        <w:rPr>
          <w:i/>
        </w:rPr>
        <w:t>D</w:t>
      </w:r>
      <w:r w:rsidRPr="007D4C6B">
        <w:t xml:space="preserve">. </w:t>
      </w:r>
      <w:r w:rsidRPr="007D4C6B">
        <w:rPr>
          <w:i/>
        </w:rPr>
        <w:t>30-150</w:t>
      </w:r>
      <w:r w:rsidRPr="007D4C6B">
        <w:t xml:space="preserve">, with a new introduction by </w:t>
      </w:r>
      <w:r w:rsidR="00E565D9" w:rsidRPr="00E565D9">
        <w:rPr>
          <w:iCs/>
        </w:rPr>
        <w:t>F.C.</w:t>
      </w:r>
      <w:r w:rsidRPr="007D4C6B">
        <w:t xml:space="preserve"> Grant, 2 vols., New York: </w:t>
      </w:r>
      <w:r w:rsidRPr="0029762C">
        <w:rPr>
          <w:iCs/>
        </w:rPr>
        <w:t>Harper and Bros.</w:t>
      </w:r>
      <w:r w:rsidRPr="007D4C6B">
        <w:t xml:space="preserve">, 1959 (Harper </w:t>
      </w:r>
      <w:proofErr w:type="spellStart"/>
      <w:r w:rsidRPr="007D4C6B">
        <w:t>Torchbooks</w:t>
      </w:r>
      <w:proofErr w:type="spellEnd"/>
      <w:r w:rsidRPr="007D4C6B">
        <w:t xml:space="preserve"> paperback). </w:t>
      </w:r>
      <w:r w:rsidR="00E565D9">
        <w:t>(</w:t>
      </w:r>
      <w:r w:rsidRPr="007D4C6B">
        <w:rPr>
          <w:i/>
        </w:rPr>
        <w:t xml:space="preserve">Das </w:t>
      </w:r>
      <w:proofErr w:type="spellStart"/>
      <w:r w:rsidRPr="007D4C6B">
        <w:rPr>
          <w:i/>
        </w:rPr>
        <w:t>Urchristentum</w:t>
      </w:r>
      <w:proofErr w:type="spellEnd"/>
      <w:r w:rsidR="00E565D9">
        <w:t>.</w:t>
      </w:r>
      <w:r w:rsidRPr="007D4C6B">
        <w:t xml:space="preserve"> </w:t>
      </w:r>
      <w:r w:rsidR="00E565D9" w:rsidRPr="007D4C6B">
        <w:t>Ed</w:t>
      </w:r>
      <w:r w:rsidR="00E565D9">
        <w:t>.</w:t>
      </w:r>
      <w:r w:rsidRPr="007D4C6B">
        <w:t xml:space="preserve"> Rudolf Knopf </w:t>
      </w:r>
      <w:r w:rsidR="00E565D9">
        <w:t>[</w:t>
      </w:r>
      <w:r w:rsidRPr="007D4C6B">
        <w:t>who supplied the final three chapters</w:t>
      </w:r>
      <w:r w:rsidR="00E565D9">
        <w:t>].</w:t>
      </w:r>
      <w:r w:rsidRPr="007D4C6B">
        <w:t xml:space="preserve"> Göttingen: </w:t>
      </w:r>
      <w:proofErr w:type="spellStart"/>
      <w:r w:rsidRPr="00D42DB3">
        <w:rPr>
          <w:iCs/>
        </w:rPr>
        <w:t>Vandenhoeck</w:t>
      </w:r>
      <w:proofErr w:type="spellEnd"/>
      <w:r w:rsidRPr="00D42DB3">
        <w:rPr>
          <w:iCs/>
        </w:rPr>
        <w:t xml:space="preserve"> und Ruprecht</w:t>
      </w:r>
      <w:r w:rsidRPr="007D4C6B">
        <w:t>, 1914. Weiss intended these volumes to be the second half of a work tracing the development of Christianity from Christ to the mid-second century, but died before writing the first half. The work therefore begins after the period of Jesus and covers Jewish Christianity, Paul, the Gentile missions, and “early Catholicism.”</w:t>
      </w:r>
      <w:r w:rsidR="00E565D9">
        <w:t>)</w:t>
      </w:r>
    </w:p>
    <w:p w14:paraId="57916560" w14:textId="77777777" w:rsidR="00B47A48" w:rsidRPr="007D4C6B" w:rsidRDefault="00B47A48" w:rsidP="00B47A48">
      <w:pPr>
        <w:widowControl w:val="0"/>
        <w:ind w:left="720" w:hanging="720"/>
      </w:pPr>
      <w:r w:rsidRPr="007D4C6B">
        <w:t xml:space="preserve">Wellek, René, and Austin Warren. </w:t>
      </w:r>
      <w:r w:rsidRPr="007D4C6B">
        <w:rPr>
          <w:i/>
        </w:rPr>
        <w:t>Theory of Literature</w:t>
      </w:r>
      <w:r w:rsidRPr="007D4C6B">
        <w:t>. New York: Harcourt Brace Jovanovich, 1942</w:t>
      </w:r>
      <w:r w:rsidRPr="007D4C6B">
        <w:rPr>
          <w:vertAlign w:val="superscript"/>
        </w:rPr>
        <w:t>1</w:t>
      </w:r>
      <w:r w:rsidRPr="007D4C6B">
        <w:t>, 1975</w:t>
      </w:r>
      <w:r w:rsidRPr="007D4C6B">
        <w:rPr>
          <w:vertAlign w:val="superscript"/>
        </w:rPr>
        <w:t>3</w:t>
      </w:r>
      <w:r w:rsidRPr="007D4C6B">
        <w:t>.</w:t>
      </w:r>
    </w:p>
    <w:p w14:paraId="7FEAE7F1" w14:textId="77777777" w:rsidR="00B47A48" w:rsidRPr="007D4C6B" w:rsidRDefault="00B47A48" w:rsidP="00B47A48">
      <w:pPr>
        <w:widowControl w:val="0"/>
        <w:ind w:left="720" w:hanging="720"/>
      </w:pPr>
      <w:r w:rsidRPr="007D4C6B">
        <w:t xml:space="preserve">Wertheimer, Max. </w:t>
      </w:r>
      <w:proofErr w:type="spellStart"/>
      <w:r w:rsidRPr="007D4C6B">
        <w:rPr>
          <w:i/>
        </w:rPr>
        <w:t>Untersuchungen</w:t>
      </w:r>
      <w:proofErr w:type="spellEnd"/>
      <w:r w:rsidRPr="007D4C6B">
        <w:rPr>
          <w:i/>
        </w:rPr>
        <w:t xml:space="preserve"> </w:t>
      </w:r>
      <w:proofErr w:type="spellStart"/>
      <w:r w:rsidRPr="007D4C6B">
        <w:rPr>
          <w:i/>
        </w:rPr>
        <w:t>zur</w:t>
      </w:r>
      <w:proofErr w:type="spellEnd"/>
      <w:r w:rsidRPr="007D4C6B">
        <w:rPr>
          <w:i/>
        </w:rPr>
        <w:t xml:space="preserve"> </w:t>
      </w:r>
      <w:proofErr w:type="spellStart"/>
      <w:r w:rsidRPr="007D4C6B">
        <w:rPr>
          <w:i/>
        </w:rPr>
        <w:t>Lehre</w:t>
      </w:r>
      <w:proofErr w:type="spellEnd"/>
      <w:r w:rsidRPr="007D4C6B">
        <w:rPr>
          <w:i/>
        </w:rPr>
        <w:t xml:space="preserve"> von der Gestalt</w:t>
      </w:r>
      <w:r w:rsidRPr="007D4C6B">
        <w:t xml:space="preserve">. Vol. 2: </w:t>
      </w:r>
      <w:proofErr w:type="spellStart"/>
      <w:r w:rsidRPr="007D4C6B">
        <w:rPr>
          <w:i/>
        </w:rPr>
        <w:t>Psychologische</w:t>
      </w:r>
      <w:proofErr w:type="spellEnd"/>
      <w:r w:rsidRPr="007D4C6B">
        <w:rPr>
          <w:i/>
        </w:rPr>
        <w:t xml:space="preserve"> </w:t>
      </w:r>
      <w:proofErr w:type="spellStart"/>
      <w:r w:rsidRPr="007D4C6B">
        <w:rPr>
          <w:i/>
        </w:rPr>
        <w:t>Forschungen</w:t>
      </w:r>
      <w:proofErr w:type="spellEnd"/>
      <w:r w:rsidRPr="007D4C6B">
        <w:t>. 1923.</w:t>
      </w:r>
    </w:p>
    <w:p w14:paraId="71D1011C" w14:textId="7D69FBA5" w:rsidR="00B47A48" w:rsidRPr="007D4C6B" w:rsidRDefault="00B47A48" w:rsidP="00B47A48">
      <w:pPr>
        <w:widowControl w:val="0"/>
        <w:ind w:left="720" w:hanging="720"/>
      </w:pPr>
      <w:r w:rsidRPr="007D4C6B">
        <w:t xml:space="preserve">Wertheimer, Max. </w:t>
      </w:r>
      <w:r w:rsidRPr="007D4C6B">
        <w:rPr>
          <w:i/>
        </w:rPr>
        <w:t>Productive Thinking</w:t>
      </w:r>
      <w:r w:rsidRPr="007D4C6B">
        <w:t xml:space="preserve">. </w:t>
      </w:r>
      <w:r w:rsidR="00E565D9" w:rsidRPr="007D4C6B">
        <w:t>1945</w:t>
      </w:r>
      <w:r w:rsidR="00E565D9">
        <w:t xml:space="preserve">. </w:t>
      </w:r>
      <w:r w:rsidRPr="007D4C6B">
        <w:t>Enlarged ed.</w:t>
      </w:r>
      <w:r w:rsidR="00E565D9">
        <w:t xml:space="preserve"> Ed.</w:t>
      </w:r>
      <w:r w:rsidRPr="007D4C6B">
        <w:t xml:space="preserve"> Michael Wertheimer. New York: </w:t>
      </w:r>
      <w:r w:rsidRPr="0029762C">
        <w:rPr>
          <w:iCs/>
        </w:rPr>
        <w:t>Harper and Bros.</w:t>
      </w:r>
      <w:r w:rsidRPr="007D4C6B">
        <w:t>, 1959.</w:t>
      </w:r>
    </w:p>
    <w:p w14:paraId="7A24730C" w14:textId="65E7F488" w:rsidR="00B47A48" w:rsidRPr="007D4C6B" w:rsidRDefault="00B47A48" w:rsidP="00B47A48">
      <w:pPr>
        <w:widowControl w:val="0"/>
        <w:ind w:left="720" w:hanging="720"/>
      </w:pPr>
      <w:proofErr w:type="spellStart"/>
      <w:r w:rsidRPr="007D4C6B">
        <w:t>Whythe</w:t>
      </w:r>
      <w:proofErr w:type="spellEnd"/>
      <w:r w:rsidRPr="007D4C6B">
        <w:t xml:space="preserve">, Lancelot L. “Atomism, Structure and Form: A </w:t>
      </w:r>
      <w:proofErr w:type="spellStart"/>
      <w:r w:rsidRPr="007D4C6B">
        <w:t>Reprot</w:t>
      </w:r>
      <w:proofErr w:type="spellEnd"/>
      <w:r w:rsidRPr="007D4C6B">
        <w:t xml:space="preserve"> on the Natural Phil</w:t>
      </w:r>
      <w:r w:rsidR="00E565D9">
        <w:t>o</w:t>
      </w:r>
      <w:r w:rsidRPr="007D4C6B">
        <w:t xml:space="preserve">sophy of Form.” In </w:t>
      </w:r>
      <w:r w:rsidRPr="007D4C6B">
        <w:rPr>
          <w:i/>
        </w:rPr>
        <w:t>Structure in Art and in Science</w:t>
      </w:r>
      <w:r w:rsidRPr="00DC3006">
        <w:rPr>
          <w:iCs/>
        </w:rPr>
        <w:t xml:space="preserve">. Ed. </w:t>
      </w:r>
      <w:r w:rsidRPr="007D4C6B">
        <w:t xml:space="preserve">Gyorgy Kepes. Vision + value series. New </w:t>
      </w:r>
      <w:r w:rsidRPr="007D4C6B">
        <w:lastRenderedPageBreak/>
        <w:t>York: George Braziller, 1965.</w:t>
      </w:r>
    </w:p>
    <w:p w14:paraId="635E9881" w14:textId="35690B12" w:rsidR="00B47A48" w:rsidRPr="007D4C6B" w:rsidRDefault="00B47A48" w:rsidP="00B47A48">
      <w:pPr>
        <w:widowControl w:val="0"/>
        <w:ind w:left="720" w:hanging="720"/>
      </w:pPr>
      <w:proofErr w:type="spellStart"/>
      <w:r w:rsidRPr="007D4C6B">
        <w:t>Wichelns</w:t>
      </w:r>
      <w:proofErr w:type="spellEnd"/>
      <w:r w:rsidRPr="007D4C6B">
        <w:t xml:space="preserve">, Herbert A. “The Literary Criticism of Oratory.” In </w:t>
      </w:r>
      <w:r w:rsidRPr="007D4C6B">
        <w:rPr>
          <w:i/>
        </w:rPr>
        <w:t>Studies in Rhetoric and Public Speaking in Honor of James Albert Winans</w:t>
      </w:r>
      <w:r w:rsidRPr="007D4C6B">
        <w:t>. Ed</w:t>
      </w:r>
      <w:r w:rsidR="00E565D9">
        <w:t>.</w:t>
      </w:r>
      <w:r w:rsidRPr="007D4C6B">
        <w:t xml:space="preserve"> </w:t>
      </w:r>
      <w:r w:rsidR="00E565D9" w:rsidRPr="00E565D9">
        <w:rPr>
          <w:iCs/>
        </w:rPr>
        <w:t>A.M.</w:t>
      </w:r>
      <w:r w:rsidRPr="007D4C6B">
        <w:t xml:space="preserve"> Drummond. New York: Century, 1925. Rpt. in </w:t>
      </w:r>
      <w:r w:rsidRPr="007D4C6B">
        <w:rPr>
          <w:i/>
        </w:rPr>
        <w:t>Methods of Rhetorical Criticism</w:t>
      </w:r>
      <w:r w:rsidRPr="007D4C6B">
        <w:t xml:space="preserve">: </w:t>
      </w:r>
      <w:r w:rsidRPr="007D4C6B">
        <w:rPr>
          <w:i/>
        </w:rPr>
        <w:t>A Twentieth-Century Perspective</w:t>
      </w:r>
      <w:r w:rsidRPr="007D4C6B">
        <w:t xml:space="preserve">, </w:t>
      </w:r>
      <w:r w:rsidRPr="0029762C">
        <w:rPr>
          <w:iCs/>
        </w:rPr>
        <w:t>2nd ed</w:t>
      </w:r>
      <w:r w:rsidRPr="00DC3006">
        <w:rPr>
          <w:iCs/>
        </w:rPr>
        <w:t xml:space="preserve">. Eds. </w:t>
      </w:r>
      <w:r w:rsidRPr="007D4C6B">
        <w:t xml:space="preserve">Bernard L. Brock and Robert L. Scott. </w:t>
      </w:r>
      <w:r w:rsidRPr="0029762C">
        <w:rPr>
          <w:iCs/>
        </w:rPr>
        <w:t>Detroit MI</w:t>
      </w:r>
      <w:r w:rsidRPr="007D4C6B">
        <w:t xml:space="preserve">: Wayne State </w:t>
      </w:r>
      <w:r>
        <w:t>UP</w:t>
      </w:r>
      <w:r w:rsidRPr="007D4C6B">
        <w:t>, 1980.</w:t>
      </w:r>
    </w:p>
    <w:p w14:paraId="3F0D8486" w14:textId="77777777" w:rsidR="00B47A48" w:rsidRPr="007D4C6B" w:rsidRDefault="00B47A48" w:rsidP="00B47A48">
      <w:pPr>
        <w:widowControl w:val="0"/>
        <w:ind w:left="720" w:hanging="720"/>
      </w:pPr>
      <w:proofErr w:type="spellStart"/>
      <w:r w:rsidRPr="007D4C6B">
        <w:t>Wikenhauser</w:t>
      </w:r>
      <w:proofErr w:type="spellEnd"/>
      <w:r w:rsidRPr="007D4C6B">
        <w:t xml:space="preserve">, Alfred. </w:t>
      </w:r>
      <w:r w:rsidRPr="007D4C6B">
        <w:rPr>
          <w:i/>
        </w:rPr>
        <w:t>New Testament Introduction</w:t>
      </w:r>
      <w:r w:rsidRPr="007D4C6B">
        <w:t xml:space="preserve">. Trans. Joseph Cunningham. New York: Herder </w:t>
      </w:r>
      <w:r>
        <w:t>and</w:t>
      </w:r>
      <w:r w:rsidRPr="007D4C6B">
        <w:t xml:space="preserve"> Herder, 1960. </w:t>
      </w:r>
      <w:r>
        <w:t>(</w:t>
      </w:r>
      <w:proofErr w:type="spellStart"/>
      <w:r w:rsidRPr="007D4C6B">
        <w:rPr>
          <w:i/>
        </w:rPr>
        <w:t>Einleitung</w:t>
      </w:r>
      <w:proofErr w:type="spellEnd"/>
      <w:r w:rsidRPr="007D4C6B">
        <w:rPr>
          <w:i/>
        </w:rPr>
        <w:t xml:space="preserve"> in das Neue Testament</w:t>
      </w:r>
      <w:r>
        <w:t>.</w:t>
      </w:r>
      <w:r w:rsidRPr="007D4C6B">
        <w:t xml:space="preserve"> </w:t>
      </w:r>
      <w:r w:rsidRPr="0029762C">
        <w:rPr>
          <w:iCs/>
        </w:rPr>
        <w:t>2nd ed.</w:t>
      </w:r>
      <w:r w:rsidRPr="007D4C6B">
        <w:t xml:space="preserve"> Freiburg: Herder, 1956.</w:t>
      </w:r>
      <w:r>
        <w:t>)</w:t>
      </w:r>
    </w:p>
    <w:p w14:paraId="04A1E598" w14:textId="77777777" w:rsidR="00B47A48" w:rsidRPr="007D4C6B" w:rsidRDefault="00B47A48" w:rsidP="00B47A48">
      <w:pPr>
        <w:widowControl w:val="0"/>
        <w:ind w:left="720" w:hanging="720"/>
      </w:pPr>
      <w:r w:rsidRPr="007D4C6B">
        <w:t xml:space="preserve">Wilder, Amos. </w:t>
      </w:r>
      <w:r w:rsidRPr="007D4C6B">
        <w:rPr>
          <w:i/>
        </w:rPr>
        <w:t>The Language of the Gospel</w:t>
      </w:r>
      <w:r w:rsidRPr="007D4C6B">
        <w:t xml:space="preserve">: </w:t>
      </w:r>
      <w:r w:rsidRPr="007D4C6B">
        <w:rPr>
          <w:i/>
        </w:rPr>
        <w:t>Early Christian Rhetoric</w:t>
      </w:r>
      <w:r w:rsidRPr="007D4C6B">
        <w:t xml:space="preserve">. London: SCM; New York: Harper </w:t>
      </w:r>
      <w:r>
        <w:t>and</w:t>
      </w:r>
      <w:r w:rsidRPr="007D4C6B">
        <w:t xml:space="preserve"> Row, 1964.</w:t>
      </w:r>
    </w:p>
    <w:p w14:paraId="51F1B4AF" w14:textId="77777777" w:rsidR="00B47A48" w:rsidRPr="007D4C6B" w:rsidRDefault="00B47A48" w:rsidP="00B47A48">
      <w:pPr>
        <w:widowControl w:val="0"/>
        <w:ind w:left="720" w:hanging="720"/>
      </w:pPr>
      <w:r w:rsidRPr="007D4C6B">
        <w:t xml:space="preserve">Wilson, Bryan. </w:t>
      </w:r>
      <w:r w:rsidRPr="007D4C6B">
        <w:rPr>
          <w:i/>
        </w:rPr>
        <w:t>Magic and the Millenium</w:t>
      </w:r>
      <w:r w:rsidRPr="007D4C6B">
        <w:t xml:space="preserve">: </w:t>
      </w:r>
      <w:r w:rsidRPr="007D4C6B">
        <w:rPr>
          <w:i/>
        </w:rPr>
        <w:t>A Sociological Study of Religious Movements of Protest Among Tribal and Third-World Peoples</w:t>
      </w:r>
      <w:r w:rsidRPr="007D4C6B">
        <w:t xml:space="preserve">. London: Heinemann, 1973; New York: Harper </w:t>
      </w:r>
      <w:r>
        <w:t>and</w:t>
      </w:r>
      <w:r w:rsidRPr="007D4C6B">
        <w:t xml:space="preserve"> Row, 1973.</w:t>
      </w:r>
    </w:p>
    <w:p w14:paraId="40AD8DD1" w14:textId="77777777" w:rsidR="00B47A48" w:rsidRPr="007D4C6B" w:rsidRDefault="00B47A48" w:rsidP="00B47A48">
      <w:pPr>
        <w:widowControl w:val="0"/>
        <w:ind w:left="720" w:hanging="720"/>
      </w:pPr>
      <w:r w:rsidRPr="007D4C6B">
        <w:t xml:space="preserve">Wilson, Bryan. </w:t>
      </w:r>
      <w:r w:rsidRPr="007D4C6B">
        <w:rPr>
          <w:i/>
        </w:rPr>
        <w:t>Religious Sects</w:t>
      </w:r>
      <w:r w:rsidRPr="007D4C6B">
        <w:t xml:space="preserve">: </w:t>
      </w:r>
      <w:r w:rsidRPr="007D4C6B">
        <w:rPr>
          <w:i/>
        </w:rPr>
        <w:t>A Sociological Study</w:t>
      </w:r>
      <w:r w:rsidRPr="007D4C6B">
        <w:t>. New York: McGraw-Hill, 1971.</w:t>
      </w:r>
    </w:p>
    <w:p w14:paraId="5D266882" w14:textId="3AC5B892" w:rsidR="00B47A48" w:rsidRPr="007D4C6B" w:rsidRDefault="00B47A48" w:rsidP="00B47A48">
      <w:pPr>
        <w:widowControl w:val="0"/>
        <w:ind w:left="720" w:hanging="720"/>
      </w:pPr>
      <w:r w:rsidRPr="007D4C6B">
        <w:t xml:space="preserve">Windisch, Hans. </w:t>
      </w:r>
      <w:r w:rsidRPr="007D4C6B">
        <w:rPr>
          <w:i/>
        </w:rPr>
        <w:t>The Meaning of the Sermon on the Mount</w:t>
      </w:r>
      <w:r w:rsidRPr="007D4C6B">
        <w:t xml:space="preserve">: </w:t>
      </w:r>
      <w:r w:rsidRPr="007D4C6B">
        <w:rPr>
          <w:i/>
        </w:rPr>
        <w:t>A Contribution to the Historical Understanding of the Gospels and to the Problem of Their True Exegesis</w:t>
      </w:r>
      <w:r w:rsidRPr="007D4C6B">
        <w:t xml:space="preserve">. Trans. S. MacLean Gilmour. Philadelphia: Westminster, 1951. </w:t>
      </w:r>
      <w:r w:rsidR="00E565D9">
        <w:t>(</w:t>
      </w:r>
      <w:r w:rsidRPr="007D4C6B">
        <w:rPr>
          <w:i/>
        </w:rPr>
        <w:t xml:space="preserve">Der Sinn der </w:t>
      </w:r>
      <w:proofErr w:type="spellStart"/>
      <w:r w:rsidRPr="007D4C6B">
        <w:rPr>
          <w:i/>
        </w:rPr>
        <w:t>Bergpredigt</w:t>
      </w:r>
      <w:proofErr w:type="spellEnd"/>
      <w:r w:rsidRPr="007D4C6B">
        <w:t xml:space="preserve">, UNT, Leipzig: </w:t>
      </w:r>
      <w:r w:rsidRPr="00E95268">
        <w:rPr>
          <w:iCs/>
        </w:rPr>
        <w:t>J.C.</w:t>
      </w:r>
      <w:r w:rsidRPr="007D4C6B">
        <w:t xml:space="preserve"> Hinrichs, 1929, 1937</w:t>
      </w:r>
      <w:r w:rsidRPr="007D4C6B">
        <w:rPr>
          <w:vertAlign w:val="superscript"/>
        </w:rPr>
        <w:t>2</w:t>
      </w:r>
      <w:r w:rsidRPr="007D4C6B">
        <w:t>.</w:t>
      </w:r>
      <w:r w:rsidR="00E565D9">
        <w:t>)</w:t>
      </w:r>
    </w:p>
    <w:p w14:paraId="25843E69" w14:textId="77777777" w:rsidR="00B47A48" w:rsidRPr="007D4C6B" w:rsidRDefault="00B47A48" w:rsidP="00B47A48">
      <w:pPr>
        <w:widowControl w:val="0"/>
        <w:ind w:left="720" w:hanging="720"/>
      </w:pPr>
      <w:r w:rsidRPr="007D4C6B">
        <w:t>Winterowd, W. Ross. “</w:t>
      </w:r>
      <w:proofErr w:type="spellStart"/>
      <w:r w:rsidRPr="007D4C6B">
        <w:t>Dispositio</w:t>
      </w:r>
      <w:proofErr w:type="spellEnd"/>
      <w:r w:rsidRPr="007D4C6B">
        <w:t xml:space="preserve">: The Concept of Form in Discourse.” </w:t>
      </w:r>
      <w:r w:rsidRPr="007D4C6B">
        <w:rPr>
          <w:i/>
        </w:rPr>
        <w:t>College Composition and Communication</w:t>
      </w:r>
      <w:r w:rsidRPr="007D4C6B">
        <w:t xml:space="preserve"> 22 (February 1971) 39-45.</w:t>
      </w:r>
    </w:p>
    <w:p w14:paraId="5D5B0D4C" w14:textId="2475E7CD" w:rsidR="00B47A48" w:rsidRPr="007D4C6B" w:rsidRDefault="00B47A48" w:rsidP="00B47A48">
      <w:pPr>
        <w:widowControl w:val="0"/>
        <w:ind w:left="720" w:hanging="720"/>
      </w:pPr>
      <w:r w:rsidRPr="007D4C6B">
        <w:t xml:space="preserve">Wright, Addison G. “Wisdom.” In </w:t>
      </w:r>
      <w:r w:rsidRPr="007D4C6B">
        <w:rPr>
          <w:i/>
        </w:rPr>
        <w:t>J</w:t>
      </w:r>
      <w:r w:rsidR="00E565D9">
        <w:rPr>
          <w:i/>
        </w:rPr>
        <w:t xml:space="preserve">erome </w:t>
      </w:r>
      <w:r w:rsidRPr="007D4C6B">
        <w:rPr>
          <w:i/>
        </w:rPr>
        <w:t>B</w:t>
      </w:r>
      <w:r w:rsidR="00E565D9">
        <w:rPr>
          <w:i/>
        </w:rPr>
        <w:t xml:space="preserve">iblical </w:t>
      </w:r>
      <w:r w:rsidRPr="007D4C6B">
        <w:rPr>
          <w:i/>
        </w:rPr>
        <w:t>C</w:t>
      </w:r>
      <w:r w:rsidR="00E565D9">
        <w:rPr>
          <w:i/>
        </w:rPr>
        <w:t>ommentary</w:t>
      </w:r>
      <w:r w:rsidR="00E565D9">
        <w:t>.</w:t>
      </w:r>
      <w:r w:rsidRPr="007D4C6B">
        <w:t xml:space="preserve"> 2 vols. </w:t>
      </w:r>
      <w:r w:rsidR="00E565D9">
        <w:t>(</w:t>
      </w:r>
      <w:r w:rsidRPr="007D4C6B">
        <w:t>in 1</w:t>
      </w:r>
      <w:r w:rsidR="00E565D9">
        <w:t>)</w:t>
      </w:r>
      <w:r w:rsidRPr="007D4C6B">
        <w:t xml:space="preserve">. Ed. Raymond Brown, et al. </w:t>
      </w:r>
      <w:r w:rsidR="007B5BB5" w:rsidRPr="007B5BB5">
        <w:rPr>
          <w:iCs/>
        </w:rPr>
        <w:t xml:space="preserve">Englewood Cliffs </w:t>
      </w:r>
      <w:r w:rsidRPr="007D4C6B">
        <w:t>NJ: Prentice-Hall, 1968.</w:t>
      </w:r>
    </w:p>
    <w:p w14:paraId="0919FD92" w14:textId="2F4FF290" w:rsidR="00B47A48" w:rsidRPr="007D4C6B" w:rsidRDefault="00B47A48" w:rsidP="00B47A48">
      <w:pPr>
        <w:widowControl w:val="0"/>
        <w:ind w:left="720" w:hanging="720"/>
      </w:pPr>
      <w:r w:rsidRPr="007D4C6B">
        <w:t xml:space="preserve">Young, Richard E., and Alton L. Becker. “Toward a Modern Theory of Rhetoric: A Tagmemic Contribution.” In </w:t>
      </w:r>
      <w:r w:rsidRPr="007D4C6B">
        <w:rPr>
          <w:i/>
        </w:rPr>
        <w:t>New Rhetorics</w:t>
      </w:r>
      <w:r w:rsidRPr="007D4C6B">
        <w:t xml:space="preserve">. </w:t>
      </w:r>
      <w:r w:rsidR="00E565D9">
        <w:t xml:space="preserve">Ed. </w:t>
      </w:r>
      <w:r w:rsidRPr="007D4C6B">
        <w:t xml:space="preserve">Martin Steinmann, Jr. New York: Scribner’s, 1967. </w:t>
      </w:r>
      <w:r w:rsidR="00E565D9">
        <w:t>(</w:t>
      </w:r>
      <w:r w:rsidRPr="007D4C6B">
        <w:t xml:space="preserve">Originally published in </w:t>
      </w:r>
      <w:r w:rsidRPr="007D4C6B">
        <w:rPr>
          <w:i/>
        </w:rPr>
        <w:t>Harvard Educational Review</w:t>
      </w:r>
      <w:r w:rsidRPr="007D4C6B">
        <w:t xml:space="preserve"> 35 (Fall 1965) 450-468.</w:t>
      </w:r>
      <w:r w:rsidR="00E565D9">
        <w:t>)</w:t>
      </w:r>
    </w:p>
    <w:p w14:paraId="45217F2A" w14:textId="462863CC" w:rsidR="00B47A48" w:rsidRPr="007D4C6B" w:rsidRDefault="00B47A48" w:rsidP="00B47A48">
      <w:pPr>
        <w:widowControl w:val="0"/>
        <w:ind w:left="720" w:hanging="720"/>
      </w:pPr>
      <w:proofErr w:type="spellStart"/>
      <w:r w:rsidRPr="007D4C6B">
        <w:t>Zerwick</w:t>
      </w:r>
      <w:proofErr w:type="spellEnd"/>
      <w:r w:rsidRPr="007D4C6B">
        <w:t xml:space="preserve">, Max, and Mary Grosvenor. </w:t>
      </w:r>
      <w:r w:rsidRPr="007D4C6B">
        <w:rPr>
          <w:i/>
        </w:rPr>
        <w:t>A Grammatical Analysis of the Greek New Testament</w:t>
      </w:r>
      <w:r w:rsidRPr="007D4C6B">
        <w:t xml:space="preserve">. Vol. 1, </w:t>
      </w:r>
      <w:r w:rsidRPr="007D4C6B">
        <w:rPr>
          <w:i/>
        </w:rPr>
        <w:t>Gospels - Acts</w:t>
      </w:r>
      <w:r w:rsidRPr="007D4C6B">
        <w:t xml:space="preserve">; vol. 2, </w:t>
      </w:r>
      <w:r w:rsidRPr="007D4C6B">
        <w:rPr>
          <w:i/>
        </w:rPr>
        <w:t>Epistles - Apocalypse</w:t>
      </w:r>
      <w:r w:rsidRPr="007D4C6B">
        <w:t xml:space="preserve">. 2 vols. Rome: Biblical Institute, 1974, 1979. </w:t>
      </w:r>
      <w:r w:rsidR="00B3722B" w:rsidRPr="00E5413C">
        <w:rPr>
          <w:lang w:val="fr-FR"/>
        </w:rPr>
        <w:t>(</w:t>
      </w:r>
      <w:r w:rsidRPr="00E5413C">
        <w:rPr>
          <w:lang w:val="fr-FR"/>
        </w:rPr>
        <w:t xml:space="preserve">Latin: </w:t>
      </w:r>
      <w:proofErr w:type="spellStart"/>
      <w:r w:rsidRPr="00E5413C">
        <w:rPr>
          <w:i/>
          <w:lang w:val="fr-FR"/>
        </w:rPr>
        <w:t>Analysis</w:t>
      </w:r>
      <w:proofErr w:type="spellEnd"/>
      <w:r w:rsidRPr="00E5413C">
        <w:rPr>
          <w:i/>
          <w:lang w:val="fr-FR"/>
        </w:rPr>
        <w:t xml:space="preserve"> </w:t>
      </w:r>
      <w:proofErr w:type="spellStart"/>
      <w:r w:rsidRPr="00E5413C">
        <w:rPr>
          <w:i/>
          <w:lang w:val="fr-FR"/>
        </w:rPr>
        <w:t>philologica</w:t>
      </w:r>
      <w:proofErr w:type="spellEnd"/>
      <w:r w:rsidRPr="00E5413C">
        <w:rPr>
          <w:i/>
          <w:lang w:val="fr-FR"/>
        </w:rPr>
        <w:t xml:space="preserve"> </w:t>
      </w:r>
      <w:proofErr w:type="spellStart"/>
      <w:r w:rsidRPr="00E5413C">
        <w:rPr>
          <w:i/>
          <w:lang w:val="fr-FR"/>
        </w:rPr>
        <w:t>Novi</w:t>
      </w:r>
      <w:proofErr w:type="spellEnd"/>
      <w:r w:rsidRPr="00E5413C">
        <w:rPr>
          <w:i/>
          <w:lang w:val="fr-FR"/>
        </w:rPr>
        <w:t xml:space="preserve"> </w:t>
      </w:r>
      <w:proofErr w:type="spellStart"/>
      <w:r w:rsidRPr="00E5413C">
        <w:rPr>
          <w:i/>
          <w:lang w:val="fr-FR"/>
        </w:rPr>
        <w:t>Testamenti</w:t>
      </w:r>
      <w:proofErr w:type="spellEnd"/>
      <w:r w:rsidRPr="00E5413C">
        <w:rPr>
          <w:i/>
          <w:lang w:val="fr-FR"/>
        </w:rPr>
        <w:t xml:space="preserve"> </w:t>
      </w:r>
      <w:proofErr w:type="spellStart"/>
      <w:r w:rsidRPr="00E5413C">
        <w:rPr>
          <w:i/>
          <w:lang w:val="fr-FR"/>
        </w:rPr>
        <w:t>graeci</w:t>
      </w:r>
      <w:proofErr w:type="spellEnd"/>
      <w:r w:rsidRPr="00E5413C">
        <w:rPr>
          <w:lang w:val="fr-FR"/>
        </w:rPr>
        <w:t xml:space="preserve">, Scripta </w:t>
      </w:r>
      <w:proofErr w:type="spellStart"/>
      <w:r w:rsidRPr="00E5413C">
        <w:rPr>
          <w:lang w:val="fr-FR"/>
        </w:rPr>
        <w:t>Pontificii</w:t>
      </w:r>
      <w:proofErr w:type="spellEnd"/>
      <w:r w:rsidRPr="00E5413C">
        <w:rPr>
          <w:lang w:val="fr-FR"/>
        </w:rPr>
        <w:t xml:space="preserve"> </w:t>
      </w:r>
      <w:proofErr w:type="spellStart"/>
      <w:r w:rsidRPr="00E5413C">
        <w:rPr>
          <w:lang w:val="fr-FR"/>
        </w:rPr>
        <w:t>Instituti</w:t>
      </w:r>
      <w:proofErr w:type="spellEnd"/>
      <w:r w:rsidRPr="00E5413C">
        <w:rPr>
          <w:lang w:val="fr-FR"/>
        </w:rPr>
        <w:t xml:space="preserve"> </w:t>
      </w:r>
      <w:proofErr w:type="spellStart"/>
      <w:r w:rsidRPr="00E5413C">
        <w:rPr>
          <w:lang w:val="fr-FR"/>
        </w:rPr>
        <w:t>Biblici</w:t>
      </w:r>
      <w:proofErr w:type="spellEnd"/>
      <w:r w:rsidRPr="00E5413C">
        <w:rPr>
          <w:lang w:val="fr-FR"/>
        </w:rPr>
        <w:t xml:space="preserve"> 107, Rome: Pontifical </w:t>
      </w:r>
      <w:proofErr w:type="spellStart"/>
      <w:r w:rsidRPr="00E5413C">
        <w:rPr>
          <w:lang w:val="fr-FR"/>
        </w:rPr>
        <w:t>Biblical</w:t>
      </w:r>
      <w:proofErr w:type="spellEnd"/>
      <w:r w:rsidRPr="00E5413C">
        <w:rPr>
          <w:lang w:val="fr-FR"/>
        </w:rPr>
        <w:t xml:space="preserve"> Institute, 1954</w:t>
      </w:r>
      <w:r w:rsidRPr="00E5413C">
        <w:rPr>
          <w:vertAlign w:val="superscript"/>
          <w:lang w:val="fr-FR"/>
        </w:rPr>
        <w:t>1</w:t>
      </w:r>
      <w:r w:rsidRPr="00E5413C">
        <w:rPr>
          <w:lang w:val="fr-FR"/>
        </w:rPr>
        <w:t>, 1966</w:t>
      </w:r>
      <w:r w:rsidRPr="00E5413C">
        <w:rPr>
          <w:vertAlign w:val="superscript"/>
          <w:lang w:val="fr-FR"/>
        </w:rPr>
        <w:t>3</w:t>
      </w:r>
      <w:r w:rsidRPr="00E5413C">
        <w:rPr>
          <w:lang w:val="fr-FR"/>
        </w:rPr>
        <w:t xml:space="preserve">. </w:t>
      </w:r>
      <w:r w:rsidRPr="007D4C6B">
        <w:t xml:space="preserve">Grosvenor revised and translated the original, in consultation with </w:t>
      </w:r>
      <w:proofErr w:type="spellStart"/>
      <w:r w:rsidRPr="007D4C6B">
        <w:t>Zerwick</w:t>
      </w:r>
      <w:proofErr w:type="spellEnd"/>
      <w:r w:rsidRPr="007D4C6B">
        <w:t xml:space="preserve">. The original was based on Merk’s Greek text; the translation is based on the United Bible Society’s </w:t>
      </w:r>
      <w:r w:rsidRPr="007D4C6B">
        <w:rPr>
          <w:i/>
        </w:rPr>
        <w:t>Greek New Testament</w:t>
      </w:r>
      <w:r w:rsidRPr="007D4C6B">
        <w:t xml:space="preserve">, 3rd ed. </w:t>
      </w:r>
      <w:r w:rsidR="00B3722B">
        <w:t>[</w:t>
      </w:r>
      <w:r w:rsidRPr="007D4C6B">
        <w:t>1975</w:t>
      </w:r>
      <w:r w:rsidR="00B3722B">
        <w:t>]</w:t>
      </w:r>
      <w:r w:rsidRPr="007D4C6B">
        <w:t>.</w:t>
      </w:r>
      <w:r w:rsidR="00B3722B">
        <w:t>)</w:t>
      </w:r>
    </w:p>
    <w:p w14:paraId="31183FC8" w14:textId="5AC489F3" w:rsidR="00B47A48" w:rsidRPr="00E5413C" w:rsidRDefault="00B47A48" w:rsidP="00B47A48">
      <w:pPr>
        <w:widowControl w:val="0"/>
        <w:ind w:left="720" w:hanging="720"/>
        <w:rPr>
          <w:lang w:val="fr-FR"/>
        </w:rPr>
      </w:pPr>
      <w:proofErr w:type="spellStart"/>
      <w:r w:rsidRPr="007D4C6B">
        <w:t>Zerwick</w:t>
      </w:r>
      <w:proofErr w:type="spellEnd"/>
      <w:r w:rsidRPr="007D4C6B">
        <w:t xml:space="preserve">, Maximilian. </w:t>
      </w:r>
      <w:r w:rsidRPr="007D4C6B">
        <w:rPr>
          <w:i/>
        </w:rPr>
        <w:t>Biblical Greek</w:t>
      </w:r>
      <w:r w:rsidRPr="007D4C6B">
        <w:t xml:space="preserve">, </w:t>
      </w:r>
      <w:r w:rsidRPr="007D4C6B">
        <w:rPr>
          <w:i/>
        </w:rPr>
        <w:t>Illustrated by Examples</w:t>
      </w:r>
      <w:r w:rsidRPr="007D4C6B">
        <w:t xml:space="preserve">. Trans. and adapted by Joseph Smith. </w:t>
      </w:r>
      <w:r w:rsidRPr="00E5413C">
        <w:rPr>
          <w:lang w:val="fr-FR"/>
        </w:rPr>
        <w:t xml:space="preserve">Rome: Pontifical </w:t>
      </w:r>
      <w:proofErr w:type="spellStart"/>
      <w:r w:rsidRPr="00E5413C">
        <w:rPr>
          <w:lang w:val="fr-FR"/>
        </w:rPr>
        <w:t>Biblical</w:t>
      </w:r>
      <w:proofErr w:type="spellEnd"/>
      <w:r w:rsidRPr="00E5413C">
        <w:rPr>
          <w:lang w:val="fr-FR"/>
        </w:rPr>
        <w:t xml:space="preserve"> Institute, 1963. </w:t>
      </w:r>
      <w:r w:rsidR="00B3722B" w:rsidRPr="00E5413C">
        <w:rPr>
          <w:lang w:val="fr-FR"/>
        </w:rPr>
        <w:t>(</w:t>
      </w:r>
      <w:r w:rsidRPr="00E5413C">
        <w:rPr>
          <w:lang w:val="fr-FR"/>
        </w:rPr>
        <w:t xml:space="preserve">Latin: </w:t>
      </w:r>
      <w:proofErr w:type="spellStart"/>
      <w:r w:rsidRPr="00E5413C">
        <w:rPr>
          <w:i/>
          <w:lang w:val="fr-FR"/>
        </w:rPr>
        <w:t>Graecitas</w:t>
      </w:r>
      <w:proofErr w:type="spellEnd"/>
      <w:r w:rsidRPr="00E5413C">
        <w:rPr>
          <w:i/>
          <w:lang w:val="fr-FR"/>
        </w:rPr>
        <w:t xml:space="preserve"> </w:t>
      </w:r>
      <w:proofErr w:type="spellStart"/>
      <w:r w:rsidRPr="00E5413C">
        <w:rPr>
          <w:i/>
          <w:lang w:val="fr-FR"/>
        </w:rPr>
        <w:t>biblica</w:t>
      </w:r>
      <w:proofErr w:type="spellEnd"/>
      <w:r w:rsidRPr="00E5413C">
        <w:rPr>
          <w:i/>
          <w:lang w:val="fr-FR"/>
        </w:rPr>
        <w:t xml:space="preserve"> </w:t>
      </w:r>
      <w:proofErr w:type="spellStart"/>
      <w:r w:rsidRPr="00E5413C">
        <w:rPr>
          <w:i/>
          <w:lang w:val="fr-FR"/>
        </w:rPr>
        <w:t>Novi</w:t>
      </w:r>
      <w:proofErr w:type="spellEnd"/>
      <w:r w:rsidRPr="00E5413C">
        <w:rPr>
          <w:i/>
          <w:lang w:val="fr-FR"/>
        </w:rPr>
        <w:t xml:space="preserve"> </w:t>
      </w:r>
      <w:proofErr w:type="spellStart"/>
      <w:r w:rsidRPr="00E5413C">
        <w:rPr>
          <w:i/>
          <w:lang w:val="fr-FR"/>
        </w:rPr>
        <w:t>Testamenti</w:t>
      </w:r>
      <w:proofErr w:type="spellEnd"/>
      <w:r w:rsidRPr="00E5413C">
        <w:rPr>
          <w:i/>
          <w:lang w:val="fr-FR"/>
        </w:rPr>
        <w:t xml:space="preserve"> </w:t>
      </w:r>
      <w:proofErr w:type="spellStart"/>
      <w:r w:rsidRPr="00E5413C">
        <w:rPr>
          <w:i/>
          <w:lang w:val="fr-FR"/>
        </w:rPr>
        <w:t>exemplis</w:t>
      </w:r>
      <w:proofErr w:type="spellEnd"/>
      <w:r w:rsidRPr="00E5413C">
        <w:rPr>
          <w:i/>
          <w:lang w:val="fr-FR"/>
        </w:rPr>
        <w:t xml:space="preserve"> </w:t>
      </w:r>
      <w:proofErr w:type="spellStart"/>
      <w:r w:rsidRPr="00E5413C">
        <w:rPr>
          <w:i/>
          <w:lang w:val="fr-FR"/>
        </w:rPr>
        <w:t>illustratur</w:t>
      </w:r>
      <w:proofErr w:type="spellEnd"/>
      <w:r w:rsidRPr="00E5413C">
        <w:rPr>
          <w:lang w:val="fr-FR"/>
        </w:rPr>
        <w:t xml:space="preserve">, Scripta </w:t>
      </w:r>
      <w:proofErr w:type="spellStart"/>
      <w:r w:rsidRPr="00E5413C">
        <w:rPr>
          <w:lang w:val="fr-FR"/>
        </w:rPr>
        <w:t>Pontificii</w:t>
      </w:r>
      <w:proofErr w:type="spellEnd"/>
      <w:r w:rsidRPr="00E5413C">
        <w:rPr>
          <w:lang w:val="fr-FR"/>
        </w:rPr>
        <w:t xml:space="preserve"> </w:t>
      </w:r>
      <w:proofErr w:type="spellStart"/>
      <w:r w:rsidRPr="00E5413C">
        <w:rPr>
          <w:lang w:val="fr-FR"/>
        </w:rPr>
        <w:t>Instituti</w:t>
      </w:r>
      <w:proofErr w:type="spellEnd"/>
      <w:r w:rsidRPr="00E5413C">
        <w:rPr>
          <w:lang w:val="fr-FR"/>
        </w:rPr>
        <w:t xml:space="preserve"> </w:t>
      </w:r>
      <w:proofErr w:type="spellStart"/>
      <w:r w:rsidRPr="00E5413C">
        <w:rPr>
          <w:lang w:val="fr-FR"/>
        </w:rPr>
        <w:t>Biblici</w:t>
      </w:r>
      <w:proofErr w:type="spellEnd"/>
      <w:r w:rsidRPr="00E5413C">
        <w:rPr>
          <w:lang w:val="fr-FR"/>
        </w:rPr>
        <w:t xml:space="preserve"> 92, Rome: Pontifical </w:t>
      </w:r>
      <w:proofErr w:type="spellStart"/>
      <w:r w:rsidRPr="00E5413C">
        <w:rPr>
          <w:lang w:val="fr-FR"/>
        </w:rPr>
        <w:t>Biblical</w:t>
      </w:r>
      <w:proofErr w:type="spellEnd"/>
      <w:r w:rsidRPr="00E5413C">
        <w:rPr>
          <w:lang w:val="fr-FR"/>
        </w:rPr>
        <w:t xml:space="preserve"> Institute, 1944, 1960</w:t>
      </w:r>
      <w:r w:rsidRPr="00E5413C">
        <w:rPr>
          <w:vertAlign w:val="superscript"/>
          <w:lang w:val="fr-FR"/>
        </w:rPr>
        <w:t>4</w:t>
      </w:r>
      <w:r w:rsidRPr="00E5413C">
        <w:rPr>
          <w:lang w:val="fr-FR"/>
        </w:rPr>
        <w:t>, 1966</w:t>
      </w:r>
      <w:r w:rsidRPr="00E5413C">
        <w:rPr>
          <w:vertAlign w:val="superscript"/>
          <w:lang w:val="fr-FR"/>
        </w:rPr>
        <w:t>5</w:t>
      </w:r>
      <w:r w:rsidRPr="00E5413C">
        <w:rPr>
          <w:lang w:val="fr-FR"/>
        </w:rPr>
        <w:t>.</w:t>
      </w:r>
      <w:r w:rsidR="00B3722B" w:rsidRPr="00E5413C">
        <w:rPr>
          <w:lang w:val="fr-FR"/>
        </w:rPr>
        <w:t>)</w:t>
      </w:r>
    </w:p>
    <w:p w14:paraId="573F8700" w14:textId="77777777" w:rsidR="0018433B" w:rsidRPr="00E5413C" w:rsidRDefault="0018433B" w:rsidP="00786ADB">
      <w:pPr>
        <w:rPr>
          <w:lang w:val="fr-FR"/>
        </w:rPr>
      </w:pPr>
    </w:p>
    <w:sectPr w:rsidR="0018433B" w:rsidRPr="00E5413C" w:rsidSect="00BD14B1">
      <w:footnotePr>
        <w:pos w:val="beneathText"/>
      </w:footnotePr>
      <w:pgSz w:w="12240" w:h="15840" w:code="1"/>
      <w:pgMar w:top="1440" w:right="1440" w:bottom="1440" w:left="1440" w:header="0" w:footer="0"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5" w:author="COMMENT" w:date="2023-02-15T09:01:00Z" w:initials="Comment">
    <w:p w14:paraId="077F26EF" w14:textId="77777777" w:rsidR="0018433B" w:rsidRDefault="0018433B" w:rsidP="001843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annotationRef/>
      </w:r>
      <w:r>
        <w:t>Correct no.??</w:t>
      </w:r>
    </w:p>
  </w:comment>
  <w:comment w:id="76" w:author="COMMENT" w:date="2023-02-15T09:01:00Z" w:initials="Comment">
    <w:p w14:paraId="34054BB5" w14:textId="097DDC82" w:rsidR="0018433B" w:rsidRDefault="0018433B" w:rsidP="001843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annotationRef/>
      </w:r>
      <w:r>
        <w:t>Here add</w:t>
      </w:r>
      <w:r w:rsidR="006F304D" w:rsidRPr="006F304D">
        <w:t xml:space="preserve">, </w:t>
      </w:r>
      <w:r>
        <w:t>“and the genre of the sermon,” when you do the Kloppenborg section.</w:t>
      </w:r>
    </w:p>
  </w:comment>
  <w:comment w:id="79" w:author="COMMENT" w:date="2023-02-15T09:01:00Z" w:initials="Comment">
    <w:p w14:paraId="4A363106" w14:textId="77777777" w:rsidR="0018433B" w:rsidRDefault="0018433B" w:rsidP="001843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annotationRef/>
      </w:r>
      <w:r>
        <w:t>Correct no.??</w:t>
      </w:r>
    </w:p>
  </w:comment>
  <w:comment w:id="87" w:author="COMMENT" w:date="2023-02-15T09:01:00Z" w:initials="Comment">
    <w:p w14:paraId="1C039DF4" w14:textId="77777777" w:rsidR="0018433B" w:rsidRDefault="0018433B" w:rsidP="001843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annotationRef/>
      </w:r>
      <w:r>
        <w:t>Dismissal of Morgenthaler’s “Zweiheitsgesetz” mentions as parallelisms:</w:t>
      </w:r>
    </w:p>
    <w:p w14:paraId="51CF6D43" w14:textId="45EF387D" w:rsidR="0018433B" w:rsidRDefault="0018433B" w:rsidP="001843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6:23a (“Rejoice in that day</w:t>
      </w:r>
      <w:r w:rsidR="006F304D" w:rsidRPr="006F304D">
        <w:t xml:space="preserve">, </w:t>
      </w:r>
      <w:r>
        <w:t>and leap for joy”)</w:t>
      </w:r>
      <w:r w:rsidR="006F304D" w:rsidRPr="006F304D">
        <w:t xml:space="preserve">, </w:t>
      </w:r>
      <w:r>
        <w:t>27b-28</w:t>
      </w:r>
      <w:r w:rsidR="006F304D" w:rsidRPr="006F304D">
        <w:t xml:space="preserve">, </w:t>
      </w:r>
      <w:r>
        <w:t>29</w:t>
      </w:r>
      <w:r w:rsidR="006F304D" w:rsidRPr="006F304D">
        <w:t xml:space="preserve">, </w:t>
      </w:r>
      <w:r>
        <w:t>37ab</w:t>
      </w:r>
      <w:r w:rsidR="006F304D" w:rsidRPr="006F304D">
        <w:t xml:space="preserve">, </w:t>
      </w:r>
      <w:r>
        <w:t>43</w:t>
      </w:r>
      <w:r w:rsidR="006F304D" w:rsidRPr="006F304D">
        <w:t xml:space="preserve">, </w:t>
      </w:r>
      <w:r>
        <w:t>44b</w:t>
      </w:r>
      <w:r w:rsidR="006F304D" w:rsidRPr="006F304D">
        <w:t xml:space="preserve">, </w:t>
      </w:r>
      <w:r>
        <w:t>45 ...”</w:t>
      </w:r>
      <w:r w:rsidR="000151C8" w:rsidRPr="000151C8">
        <w:rPr>
          <w:iCs/>
        </w:rPr>
        <w:t xml:space="preserve"> </w:t>
      </w:r>
      <w:r>
        <w:t>See chapter 6</w:t>
      </w:r>
      <w:r w:rsidR="006F304D" w:rsidRPr="006F304D">
        <w:t xml:space="preserve">, </w:t>
      </w:r>
      <w:r>
        <w:t>page after note 59.</w:t>
      </w:r>
    </w:p>
  </w:comment>
  <w:comment w:id="90" w:author="COMMENT" w:date="2023-02-15T09:01:00Z" w:initials="Comment">
    <w:p w14:paraId="1D9F7218" w14:textId="77777777" w:rsidR="0018433B" w:rsidRDefault="0018433B" w:rsidP="001843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annotationRef/>
      </w:r>
      <w:r>
        <w:t>Correct nos.??</w:t>
      </w:r>
    </w:p>
  </w:comment>
  <w:comment w:id="94" w:author="COMMENT" w:date="2023-02-15T09:02:00Z" w:initials="Comment">
    <w:p w14:paraId="08E8B287" w14:textId="77777777" w:rsidR="0018433B" w:rsidRDefault="0018433B" w:rsidP="0018433B">
      <w: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7F26EF" w15:done="0"/>
  <w15:commentEx w15:paraId="34054BB5" w15:done="0"/>
  <w15:commentEx w15:paraId="4A363106" w15:done="0"/>
  <w15:commentEx w15:paraId="51CF6D43" w15:done="0"/>
  <w15:commentEx w15:paraId="1D9F7218" w15:done="0"/>
  <w15:commentEx w15:paraId="08E8B2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7F26EF" w16cid:durableId="27F2DAE3"/>
  <w16cid:commentId w16cid:paraId="34054BB5" w16cid:durableId="27F2DAE4"/>
  <w16cid:commentId w16cid:paraId="4A363106" w16cid:durableId="27F2DAE5"/>
  <w16cid:commentId w16cid:paraId="51CF6D43" w16cid:durableId="27F2DAE6"/>
  <w16cid:commentId w16cid:paraId="1D9F7218" w16cid:durableId="27F2DAE7"/>
  <w16cid:commentId w16cid:paraId="08E8B287" w16cid:durableId="27F2DA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67A9F" w14:textId="77777777" w:rsidR="0044607B" w:rsidRDefault="0044607B" w:rsidP="0018433B">
      <w:r>
        <w:separator/>
      </w:r>
    </w:p>
  </w:endnote>
  <w:endnote w:type="continuationSeparator" w:id="0">
    <w:p w14:paraId="58668269" w14:textId="77777777" w:rsidR="0044607B" w:rsidRDefault="0044607B" w:rsidP="00184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WP Greek Century">
    <w:altName w:val="Symbol"/>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A169F" w14:textId="77777777" w:rsidR="0044607B" w:rsidRDefault="0044607B" w:rsidP="0018433B">
      <w:r>
        <w:separator/>
      </w:r>
    </w:p>
  </w:footnote>
  <w:footnote w:type="continuationSeparator" w:id="0">
    <w:p w14:paraId="44ACA009" w14:textId="77777777" w:rsidR="0044607B" w:rsidRDefault="0044607B" w:rsidP="0018433B">
      <w:r>
        <w:continuationSeparator/>
      </w:r>
    </w:p>
  </w:footnote>
  <w:footnote w:id="1">
    <w:p w14:paraId="22AA9AF5" w14:textId="55808D07" w:rsidR="0018433B" w:rsidRPr="00B14249" w:rsidRDefault="0018433B" w:rsidP="0018433B">
      <w:pPr>
        <w:widowControl w:val="0"/>
      </w:pPr>
      <w:r w:rsidRPr="00B14249">
        <w:rPr>
          <w:vertAlign w:val="superscript"/>
        </w:rPr>
        <w:footnoteRef/>
      </w:r>
      <w:r w:rsidRPr="00B14249">
        <w:t xml:space="preserve"> The difference has been aptly captured by the analogy of the text as a window (historical methodologies tend to look </w:t>
      </w:r>
      <w:r w:rsidRPr="00B14249">
        <w:rPr>
          <w:i/>
        </w:rPr>
        <w:t>through</w:t>
      </w:r>
      <w:r w:rsidRPr="00B14249">
        <w:t xml:space="preserve"> the text to historical realities) and the text as a mirror (literary methodologies look at the text itself). See Norman Petersen</w:t>
      </w:r>
      <w:r w:rsidR="006F304D" w:rsidRPr="006F304D">
        <w:t xml:space="preserve">, </w:t>
      </w:r>
      <w:r w:rsidRPr="00B14249">
        <w:rPr>
          <w:i/>
        </w:rPr>
        <w:t>Literary Criticism for New Testament Critics</w:t>
      </w:r>
      <w:r w:rsidRPr="00B14249">
        <w:t xml:space="preserve"> (Guides to Biblical Scholarship</w:t>
      </w:r>
      <w:r w:rsidR="006F304D" w:rsidRPr="006F304D">
        <w:t xml:space="preserve">, </w:t>
      </w:r>
      <w:r w:rsidRPr="00B14249">
        <w:t>NT series; Philadelphia: Fortress</w:t>
      </w:r>
      <w:r w:rsidR="006F304D" w:rsidRPr="006F304D">
        <w:t xml:space="preserve">, </w:t>
      </w:r>
      <w:r w:rsidRPr="00B14249">
        <w:t xml:space="preserve">1978) 19: “texts as </w:t>
      </w:r>
      <w:r w:rsidRPr="00B14249">
        <w:rPr>
          <w:i/>
        </w:rPr>
        <w:t>windows</w:t>
      </w:r>
      <w:r w:rsidRPr="00B14249">
        <w:t xml:space="preserve"> opening on the preliterary history [and] texts as </w:t>
      </w:r>
      <w:r w:rsidRPr="00B14249">
        <w:rPr>
          <w:i/>
        </w:rPr>
        <w:t>mirrors</w:t>
      </w:r>
      <w:r w:rsidRPr="00B14249">
        <w:t xml:space="preserve"> on whose surfaces we find self-contained worlds.” Petersen himself is indebted for the analogy to Murray Krieger</w:t>
      </w:r>
      <w:r w:rsidR="006F304D" w:rsidRPr="006F304D">
        <w:t xml:space="preserve">, </w:t>
      </w:r>
      <w:r w:rsidRPr="00B14249">
        <w:rPr>
          <w:i/>
        </w:rPr>
        <w:t>A Window to Criticism</w:t>
      </w:r>
      <w:r w:rsidRPr="00B14249">
        <w:t xml:space="preserve"> (Princeton: Princeton University</w:t>
      </w:r>
      <w:r w:rsidR="006F304D" w:rsidRPr="006F304D">
        <w:t xml:space="preserve">, </w:t>
      </w:r>
      <w:r w:rsidRPr="00B14249">
        <w:t>1964) 3-4.</w:t>
      </w:r>
    </w:p>
  </w:footnote>
  <w:footnote w:id="2">
    <w:p w14:paraId="060766F9" w14:textId="2FBD74EA" w:rsidR="0018433B" w:rsidRPr="00B14249" w:rsidRDefault="0018433B" w:rsidP="0018433B">
      <w:pPr>
        <w:widowControl w:val="0"/>
      </w:pPr>
      <w:r w:rsidRPr="00B14249">
        <w:rPr>
          <w:vertAlign w:val="superscript"/>
        </w:rPr>
        <w:footnoteRef/>
      </w:r>
      <w:r w:rsidRPr="00E5413C">
        <w:rPr>
          <w:lang w:val="fr-FR"/>
        </w:rPr>
        <w:t xml:space="preserve"> Roland Meynet</w:t>
      </w:r>
      <w:r w:rsidR="006F304D" w:rsidRPr="00E5413C">
        <w:rPr>
          <w:lang w:val="fr-FR"/>
        </w:rPr>
        <w:t xml:space="preserve">, </w:t>
      </w:r>
      <w:r w:rsidRPr="00E5413C">
        <w:rPr>
          <w:i/>
          <w:lang w:val="fr-FR"/>
        </w:rPr>
        <w:t>Quelle est donc cette parole</w:t>
      </w:r>
      <w:r w:rsidRPr="00E5413C">
        <w:rPr>
          <w:lang w:val="fr-FR"/>
        </w:rPr>
        <w:t xml:space="preserve">? </w:t>
      </w:r>
      <w:r w:rsidRPr="00E5413C">
        <w:rPr>
          <w:i/>
          <w:lang w:val="fr-FR"/>
        </w:rPr>
        <w:t>Lecture</w:t>
      </w:r>
      <w:r w:rsidRPr="00E5413C">
        <w:rPr>
          <w:iCs/>
          <w:lang w:val="fr-FR"/>
        </w:rPr>
        <w:t xml:space="preserve"> «</w:t>
      </w:r>
      <w:r w:rsidRPr="00E5413C">
        <w:rPr>
          <w:i/>
          <w:lang w:val="fr-FR"/>
        </w:rPr>
        <w:t>rhétorique</w:t>
      </w:r>
      <w:r w:rsidR="005608B1" w:rsidRPr="00E5413C">
        <w:rPr>
          <w:szCs w:val="32"/>
          <w:lang w:val="fr-FR"/>
        </w:rPr>
        <w:t>»</w:t>
      </w:r>
      <w:r w:rsidRPr="00E5413C">
        <w:rPr>
          <w:lang w:val="fr-FR"/>
        </w:rPr>
        <w:t xml:space="preserve"> </w:t>
      </w:r>
      <w:r w:rsidRPr="00E5413C">
        <w:rPr>
          <w:i/>
          <w:lang w:val="fr-FR"/>
        </w:rPr>
        <w:t xml:space="preserve">de </w:t>
      </w:r>
      <w:r w:rsidR="005608B1" w:rsidRPr="00E5413C">
        <w:rPr>
          <w:i/>
          <w:lang w:val="fr-FR"/>
        </w:rPr>
        <w:t>l</w:t>
      </w:r>
      <w:r w:rsidR="005608B1" w:rsidRPr="00E5413C">
        <w:rPr>
          <w:lang w:val="fr-FR"/>
        </w:rPr>
        <w:t>’</w:t>
      </w:r>
      <w:r w:rsidR="005608B1" w:rsidRPr="00E5413C">
        <w:rPr>
          <w:i/>
          <w:lang w:val="fr-FR"/>
        </w:rPr>
        <w:t xml:space="preserve">évangile </w:t>
      </w:r>
      <w:r w:rsidRPr="00E5413C">
        <w:rPr>
          <w:i/>
          <w:lang w:val="fr-FR"/>
        </w:rPr>
        <w:t>de Luc</w:t>
      </w:r>
      <w:r w:rsidRPr="00E5413C">
        <w:rPr>
          <w:lang w:val="fr-FR"/>
        </w:rPr>
        <w:t xml:space="preserve"> (</w:t>
      </w:r>
      <w:r w:rsidRPr="00E5413C">
        <w:rPr>
          <w:i/>
          <w:lang w:val="fr-FR"/>
        </w:rPr>
        <w:t>1-9</w:t>
      </w:r>
      <w:r w:rsidR="006F304D" w:rsidRPr="00E5413C">
        <w:rPr>
          <w:lang w:val="fr-FR"/>
        </w:rPr>
        <w:t xml:space="preserve">, </w:t>
      </w:r>
      <w:r w:rsidRPr="00E5413C">
        <w:rPr>
          <w:i/>
          <w:lang w:val="fr-FR"/>
        </w:rPr>
        <w:t>22-24</w:t>
      </w:r>
      <w:r w:rsidRPr="00E5413C">
        <w:rPr>
          <w:lang w:val="fr-FR"/>
        </w:rPr>
        <w:t>) (LD 99a-99b; Paris: Cerf</w:t>
      </w:r>
      <w:r w:rsidR="006F304D" w:rsidRPr="00E5413C">
        <w:rPr>
          <w:lang w:val="fr-FR"/>
        </w:rPr>
        <w:t xml:space="preserve">, </w:t>
      </w:r>
      <w:r w:rsidRPr="00E5413C">
        <w:rPr>
          <w:lang w:val="fr-FR"/>
        </w:rPr>
        <w:t>1979)</w:t>
      </w:r>
      <w:r w:rsidR="006F304D" w:rsidRPr="00E5413C">
        <w:rPr>
          <w:lang w:val="fr-FR"/>
        </w:rPr>
        <w:t xml:space="preserve">, </w:t>
      </w:r>
      <w:r w:rsidRPr="00E5413C">
        <w:rPr>
          <w:lang w:val="fr-FR"/>
        </w:rPr>
        <w:t xml:space="preserve">1. </w:t>
      </w:r>
      <w:r w:rsidRPr="00B14249">
        <w:t>140.</w:t>
      </w:r>
    </w:p>
  </w:footnote>
  <w:footnote w:id="3">
    <w:p w14:paraId="65061A3F" w14:textId="6CB3C15D" w:rsidR="0018433B" w:rsidRPr="00B14249" w:rsidRDefault="0018433B" w:rsidP="0018433B">
      <w:pPr>
        <w:widowControl w:val="0"/>
      </w:pPr>
      <w:r w:rsidRPr="00B14249">
        <w:rPr>
          <w:vertAlign w:val="superscript"/>
        </w:rPr>
        <w:footnoteRef/>
      </w:r>
      <w:r>
        <w:t xml:space="preserve"> I</w:t>
      </w:r>
      <w:r w:rsidRPr="00B14249">
        <w:t>bid.</w:t>
      </w:r>
      <w:r w:rsidR="006F304D" w:rsidRPr="006F304D">
        <w:t xml:space="preserve">, </w:t>
      </w:r>
      <w:r w:rsidRPr="00B14249">
        <w:t>1. 139 (see also 196).</w:t>
      </w:r>
    </w:p>
  </w:footnote>
  <w:footnote w:id="4">
    <w:p w14:paraId="3629E124" w14:textId="31D74DC1" w:rsidR="0018433B" w:rsidRPr="00B14249" w:rsidRDefault="0018433B" w:rsidP="0018433B">
      <w:pPr>
        <w:widowControl w:val="0"/>
      </w:pPr>
      <w:r w:rsidRPr="00B14249">
        <w:rPr>
          <w:vertAlign w:val="superscript"/>
        </w:rPr>
        <w:footnoteRef/>
      </w:r>
      <w:r>
        <w:t xml:space="preserve"> D</w:t>
      </w:r>
      <w:r w:rsidRPr="00B14249">
        <w:t>aniel J. Harrington</w:t>
      </w:r>
      <w:r w:rsidR="006F304D" w:rsidRPr="006F304D">
        <w:t xml:space="preserve">, </w:t>
      </w:r>
      <w:r w:rsidRPr="00B14249">
        <w:rPr>
          <w:i/>
        </w:rPr>
        <w:t>Interpreting the New Testament</w:t>
      </w:r>
      <w:r w:rsidRPr="00B14249">
        <w:t xml:space="preserve">: </w:t>
      </w:r>
      <w:r w:rsidRPr="00B14249">
        <w:rPr>
          <w:i/>
        </w:rPr>
        <w:t>A Practical Guide</w:t>
      </w:r>
      <w:r w:rsidRPr="00B14249">
        <w:t xml:space="preserve"> (NT Message: A Biblical-Theological Commentary 1; </w:t>
      </w:r>
      <w:r w:rsidR="00E366BA" w:rsidRPr="00E366BA">
        <w:rPr>
          <w:iCs/>
        </w:rPr>
        <w:t>Wilmington DE</w:t>
      </w:r>
      <w:r w:rsidRPr="00B14249">
        <w:t>: Glazier</w:t>
      </w:r>
      <w:r w:rsidR="006F304D" w:rsidRPr="006F304D">
        <w:t xml:space="preserve">, </w:t>
      </w:r>
      <w:r w:rsidRPr="00B14249">
        <w:t>1979) 4.</w:t>
      </w:r>
    </w:p>
  </w:footnote>
  <w:footnote w:id="5">
    <w:p w14:paraId="7FAEFE63" w14:textId="77777777" w:rsidR="0018433B" w:rsidRPr="00E5413C" w:rsidRDefault="0018433B" w:rsidP="0018433B">
      <w:pPr>
        <w:widowControl w:val="0"/>
        <w:rPr>
          <w:lang w:val="fr-FR"/>
        </w:rPr>
      </w:pPr>
      <w:r w:rsidRPr="00B14249">
        <w:rPr>
          <w:vertAlign w:val="superscript"/>
        </w:rPr>
        <w:footnoteRef/>
      </w:r>
      <w:r w:rsidRPr="00E5413C">
        <w:rPr>
          <w:lang w:val="fr-FR"/>
        </w:rPr>
        <w:t xml:space="preserve"> Ibid.</w:t>
      </w:r>
    </w:p>
  </w:footnote>
  <w:footnote w:id="6">
    <w:p w14:paraId="776213C6" w14:textId="536C7F3A" w:rsidR="0018433B" w:rsidRPr="00E5413C" w:rsidRDefault="0018433B" w:rsidP="0018433B">
      <w:pPr>
        <w:widowControl w:val="0"/>
        <w:rPr>
          <w:lang w:val="fr-FR"/>
        </w:rPr>
      </w:pPr>
      <w:r w:rsidRPr="00B14249">
        <w:rPr>
          <w:vertAlign w:val="superscript"/>
        </w:rPr>
        <w:footnoteRef/>
      </w:r>
      <w:r w:rsidRPr="00E5413C">
        <w:rPr>
          <w:lang w:val="fr-FR"/>
        </w:rPr>
        <w:t xml:space="preserve"> René Kieffer</w:t>
      </w:r>
      <w:r w:rsidR="006F304D" w:rsidRPr="00E5413C">
        <w:rPr>
          <w:lang w:val="fr-FR"/>
        </w:rPr>
        <w:t xml:space="preserve">, </w:t>
      </w:r>
      <w:r w:rsidRPr="00E5413C">
        <w:rPr>
          <w:i/>
          <w:lang w:val="fr-FR"/>
        </w:rPr>
        <w:t>Essais de méthodologie néo-testamentaire</w:t>
      </w:r>
      <w:r w:rsidRPr="00E5413C">
        <w:rPr>
          <w:lang w:val="fr-FR"/>
        </w:rPr>
        <w:t xml:space="preserve"> (ConBNT 4; Lund: Gleerup</w:t>
      </w:r>
      <w:r w:rsidR="006F304D" w:rsidRPr="00E5413C">
        <w:rPr>
          <w:lang w:val="fr-FR"/>
        </w:rPr>
        <w:t xml:space="preserve">, </w:t>
      </w:r>
      <w:r w:rsidRPr="00E5413C">
        <w:rPr>
          <w:lang w:val="fr-FR"/>
        </w:rPr>
        <w:t>1972) 26.</w:t>
      </w:r>
    </w:p>
  </w:footnote>
  <w:footnote w:id="7">
    <w:p w14:paraId="089D7DDB" w14:textId="2D810EBB" w:rsidR="0018433B" w:rsidRPr="00E5413C" w:rsidRDefault="0018433B" w:rsidP="0018433B">
      <w:pPr>
        <w:widowControl w:val="0"/>
        <w:rPr>
          <w:lang w:val="fr-FR"/>
        </w:rPr>
      </w:pPr>
      <w:r w:rsidRPr="00B14249">
        <w:rPr>
          <w:vertAlign w:val="superscript"/>
        </w:rPr>
        <w:footnoteRef/>
      </w:r>
      <w:r w:rsidRPr="00E5413C">
        <w:rPr>
          <w:lang w:val="fr-FR"/>
        </w:rPr>
        <w:t xml:space="preserve"> Ibid. On the notion of “body” (“corpus”) Kieffer (26 n. 1) refers to A. Martinet</w:t>
      </w:r>
      <w:r w:rsidR="006F304D" w:rsidRPr="00E5413C">
        <w:rPr>
          <w:lang w:val="fr-FR"/>
        </w:rPr>
        <w:t xml:space="preserve">, </w:t>
      </w:r>
      <w:r w:rsidRPr="00E5413C">
        <w:rPr>
          <w:i/>
          <w:lang w:val="fr-FR"/>
        </w:rPr>
        <w:t>Eléments de linguistique générale</w:t>
      </w:r>
      <w:r w:rsidRPr="00E5413C">
        <w:rPr>
          <w:lang w:val="fr-FR"/>
        </w:rPr>
        <w:t xml:space="preserve"> (</w:t>
      </w:r>
      <w:r w:rsidR="0029762C" w:rsidRPr="00E5413C">
        <w:rPr>
          <w:iCs/>
          <w:lang w:val="fr-FR"/>
        </w:rPr>
        <w:t>2nd ed.</w:t>
      </w:r>
      <w:r w:rsidRPr="00E5413C">
        <w:rPr>
          <w:lang w:val="fr-FR"/>
        </w:rPr>
        <w:t>; Paris: A. Colin</w:t>
      </w:r>
      <w:r w:rsidR="006F304D" w:rsidRPr="00E5413C">
        <w:rPr>
          <w:lang w:val="fr-FR"/>
        </w:rPr>
        <w:t xml:space="preserve">, </w:t>
      </w:r>
      <w:r w:rsidRPr="00E5413C">
        <w:rPr>
          <w:lang w:val="fr-FR"/>
        </w:rPr>
        <w:t>1961) 36-37</w:t>
      </w:r>
      <w:r w:rsidR="006F304D" w:rsidRPr="00E5413C">
        <w:rPr>
          <w:lang w:val="fr-FR"/>
        </w:rPr>
        <w:t xml:space="preserve">, </w:t>
      </w:r>
      <w:r w:rsidRPr="00E5413C">
        <w:rPr>
          <w:lang w:val="fr-FR"/>
        </w:rPr>
        <w:t xml:space="preserve">and especially </w:t>
      </w:r>
      <w:r w:rsidR="00B40CBB" w:rsidRPr="00E5413C">
        <w:rPr>
          <w:iCs/>
          <w:lang w:val="fr-FR"/>
        </w:rPr>
        <w:t>A.J.</w:t>
      </w:r>
      <w:r w:rsidRPr="00E5413C">
        <w:rPr>
          <w:lang w:val="fr-FR"/>
        </w:rPr>
        <w:t xml:space="preserve"> Greimas</w:t>
      </w:r>
      <w:r w:rsidR="006F304D" w:rsidRPr="00E5413C">
        <w:rPr>
          <w:lang w:val="fr-FR"/>
        </w:rPr>
        <w:t xml:space="preserve">, </w:t>
      </w:r>
      <w:r w:rsidRPr="00E5413C">
        <w:rPr>
          <w:i/>
          <w:lang w:val="fr-FR"/>
        </w:rPr>
        <w:t>Sémantique structurale</w:t>
      </w:r>
      <w:r w:rsidR="006F304D" w:rsidRPr="00E5413C">
        <w:rPr>
          <w:lang w:val="fr-FR"/>
        </w:rPr>
        <w:t xml:space="preserve">, </w:t>
      </w:r>
      <w:r w:rsidRPr="00E5413C">
        <w:rPr>
          <w:i/>
          <w:lang w:val="fr-FR"/>
        </w:rPr>
        <w:t>recherche de méthode</w:t>
      </w:r>
      <w:r w:rsidRPr="00E5413C">
        <w:rPr>
          <w:lang w:val="fr-FR"/>
        </w:rPr>
        <w:t xml:space="preserve"> (Paris: Larousse</w:t>
      </w:r>
      <w:r w:rsidR="006F304D" w:rsidRPr="00E5413C">
        <w:rPr>
          <w:lang w:val="fr-FR"/>
        </w:rPr>
        <w:t xml:space="preserve">, </w:t>
      </w:r>
      <w:r w:rsidRPr="00E5413C">
        <w:rPr>
          <w:lang w:val="fr-FR"/>
        </w:rPr>
        <w:t>1966) 141-52.</w:t>
      </w:r>
    </w:p>
  </w:footnote>
  <w:footnote w:id="8">
    <w:p w14:paraId="1CF1F5D4" w14:textId="745FB90E" w:rsidR="0018433B" w:rsidRPr="00B14249" w:rsidRDefault="0018433B" w:rsidP="0018433B">
      <w:pPr>
        <w:widowControl w:val="0"/>
      </w:pPr>
      <w:r w:rsidRPr="00B14249">
        <w:rPr>
          <w:vertAlign w:val="superscript"/>
        </w:rPr>
        <w:footnoteRef/>
      </w:r>
      <w:r w:rsidRPr="00B14249">
        <w:t xml:space="preserve"> Kieffer</w:t>
      </w:r>
      <w:r w:rsidR="006F304D" w:rsidRPr="006F304D">
        <w:t xml:space="preserve">, </w:t>
      </w:r>
      <w:r w:rsidRPr="00B14249">
        <w:rPr>
          <w:i/>
        </w:rPr>
        <w:t>Essais</w:t>
      </w:r>
      <w:r w:rsidRPr="00B14249">
        <w:t xml:space="preserve"> 27 (referring particularly to his example</w:t>
      </w:r>
      <w:r w:rsidR="006F304D" w:rsidRPr="006F304D">
        <w:t xml:space="preserve">, </w:t>
      </w:r>
      <w:r w:rsidRPr="00B14249">
        <w:t>the beatitudes):</w:t>
      </w:r>
    </w:p>
    <w:p w14:paraId="0970937F" w14:textId="77777777" w:rsidR="0018433B" w:rsidRPr="00B14249" w:rsidRDefault="0018433B" w:rsidP="0018433B">
      <w:pPr>
        <w:widowControl w:val="0"/>
      </w:pPr>
    </w:p>
    <w:p w14:paraId="3ED71B92" w14:textId="4C17D866" w:rsidR="0018433B" w:rsidRPr="00B14249" w:rsidRDefault="0018433B" w:rsidP="0018433B">
      <w:pPr>
        <w:widowControl w:val="0"/>
        <w:ind w:left="720" w:right="720"/>
      </w:pPr>
      <w:r w:rsidRPr="00B14249">
        <w:t>Once this structure is accepted [on internal grounds]</w:t>
      </w:r>
      <w:r w:rsidR="006F304D" w:rsidRPr="006F304D">
        <w:t xml:space="preserve">, </w:t>
      </w:r>
      <w:r w:rsidRPr="00B14249">
        <w:t>the reader will try to delimit the section by considering the immediate context . . . . That which aids in the determination of the section is</w:t>
      </w:r>
      <w:r w:rsidR="006F304D" w:rsidRPr="006F304D">
        <w:t xml:space="preserve">, </w:t>
      </w:r>
      <w:r w:rsidRPr="00B14249">
        <w:t>therefore: on the one hand</w:t>
      </w:r>
      <w:r w:rsidR="006F304D" w:rsidRPr="006F304D">
        <w:t xml:space="preserve">, </w:t>
      </w:r>
      <w:r w:rsidRPr="00B14249">
        <w:t>repetition</w:t>
      </w:r>
      <w:r w:rsidR="006F304D" w:rsidRPr="006F304D">
        <w:t xml:space="preserve">, </w:t>
      </w:r>
      <w:r w:rsidRPr="00B14249">
        <w:t>and on the other hand</w:t>
      </w:r>
      <w:r w:rsidR="006F304D" w:rsidRPr="006F304D">
        <w:t xml:space="preserve">, </w:t>
      </w:r>
      <w:r w:rsidRPr="00B14249">
        <w:t>the framework into which it is inserted.</w:t>
      </w:r>
    </w:p>
  </w:footnote>
  <w:footnote w:id="9">
    <w:p w14:paraId="5D497EDD" w14:textId="77777777" w:rsidR="0018433B" w:rsidRPr="00B14249" w:rsidRDefault="0018433B" w:rsidP="0018433B">
      <w:pPr>
        <w:widowControl w:val="0"/>
      </w:pPr>
    </w:p>
    <w:p w14:paraId="6794C16B" w14:textId="4E3A1D2B" w:rsidR="0018433B" w:rsidRPr="00B14249" w:rsidRDefault="0018433B" w:rsidP="0018433B">
      <w:pPr>
        <w:widowControl w:val="0"/>
      </w:pPr>
      <w:r w:rsidRPr="00B14249">
        <w:rPr>
          <w:vertAlign w:val="superscript"/>
        </w:rPr>
        <w:footnoteRef/>
      </w:r>
      <w:r w:rsidRPr="00B14249">
        <w:t xml:space="preserve"> Birger Olsson</w:t>
      </w:r>
      <w:r w:rsidR="006F304D" w:rsidRPr="006F304D">
        <w:t xml:space="preserve">, </w:t>
      </w:r>
      <w:r w:rsidRPr="00B14249">
        <w:rPr>
          <w:i/>
        </w:rPr>
        <w:t>Structure and Meaning in the Fourth Gospel</w:t>
      </w:r>
      <w:r w:rsidRPr="00B14249">
        <w:t xml:space="preserve">: </w:t>
      </w:r>
      <w:r w:rsidRPr="00B14249">
        <w:rPr>
          <w:i/>
        </w:rPr>
        <w:t>A Text-Linguistic Analysis of John 2</w:t>
      </w:r>
      <w:r w:rsidRPr="00B14249">
        <w:t>:</w:t>
      </w:r>
      <w:r w:rsidRPr="00B14249">
        <w:rPr>
          <w:i/>
        </w:rPr>
        <w:t>1-11 and 4</w:t>
      </w:r>
      <w:r w:rsidRPr="00B14249">
        <w:t>:</w:t>
      </w:r>
      <w:r w:rsidRPr="00B14249">
        <w:rPr>
          <w:i/>
        </w:rPr>
        <w:t>1-42</w:t>
      </w:r>
      <w:r w:rsidRPr="00B14249">
        <w:t xml:space="preserve"> (ConBNT series 6; Lund: Gleerup</w:t>
      </w:r>
      <w:r w:rsidR="006F304D" w:rsidRPr="006F304D">
        <w:t xml:space="preserve">, </w:t>
      </w:r>
      <w:r w:rsidRPr="00B14249">
        <w:t>1974) 6. Olsson qualifies his praise with censure (ibid.):</w:t>
      </w:r>
    </w:p>
    <w:p w14:paraId="50CD1D9B" w14:textId="77777777" w:rsidR="0018433B" w:rsidRPr="00B14249" w:rsidRDefault="0018433B" w:rsidP="0018433B">
      <w:pPr>
        <w:widowControl w:val="0"/>
      </w:pPr>
    </w:p>
    <w:p w14:paraId="67F5A730" w14:textId="77777777" w:rsidR="0018433B" w:rsidRPr="00B14249" w:rsidRDefault="0018433B" w:rsidP="0018433B">
      <w:pPr>
        <w:widowControl w:val="0"/>
        <w:ind w:left="720" w:right="720"/>
      </w:pPr>
      <w:r w:rsidRPr="00B14249">
        <w:t>Nevertheless there is a tendency to emphasize formal and explicit features at the expense of the semantic and implicit traits; a strict parallelism between syntactic and semantic structures is far too lightly assumed.</w:t>
      </w:r>
    </w:p>
    <w:p w14:paraId="561BBB25" w14:textId="77777777" w:rsidR="0018433B" w:rsidRPr="00B14249" w:rsidRDefault="0018433B" w:rsidP="0018433B">
      <w:pPr>
        <w:widowControl w:val="0"/>
      </w:pPr>
    </w:p>
    <w:p w14:paraId="00E76B10" w14:textId="2C57364C" w:rsidR="0018433B" w:rsidRPr="00B14249" w:rsidRDefault="0018433B" w:rsidP="0018433B">
      <w:pPr>
        <w:widowControl w:val="0"/>
      </w:pPr>
      <w:r w:rsidRPr="00B14249">
        <w:t>This is to some extent a just criticism of the exegesis produced at the Biblicum (though Olsson himself acknowledges that these exegetes do consider features of content as well). As we shall see when considering the structure of the sermon on the plain</w:t>
      </w:r>
      <w:r w:rsidR="006F304D" w:rsidRPr="006F304D">
        <w:t xml:space="preserve">, </w:t>
      </w:r>
      <w:r w:rsidRPr="00B14249">
        <w:t>both patterns of form (chapters 6 and 7 of the present work) and patterns of content (chapters 8</w:t>
      </w:r>
      <w:r w:rsidR="006F304D" w:rsidRPr="006F304D">
        <w:t xml:space="preserve">, </w:t>
      </w:r>
      <w:r w:rsidRPr="00B14249">
        <w:t>9</w:t>
      </w:r>
      <w:r w:rsidR="006F304D" w:rsidRPr="006F304D">
        <w:t xml:space="preserve">, </w:t>
      </w:r>
      <w:r w:rsidRPr="00B14249">
        <w:t>and 10) must be taken into consideration.</w:t>
      </w:r>
    </w:p>
    <w:p w14:paraId="4902F883" w14:textId="3D6DA505" w:rsidR="0018433B" w:rsidRPr="00B14249" w:rsidRDefault="0018433B" w:rsidP="0018433B">
      <w:pPr>
        <w:widowControl w:val="0"/>
      </w:pPr>
      <w:r w:rsidRPr="00B14249">
        <w:tab/>
      </w:r>
      <w:r w:rsidRPr="00E5413C">
        <w:rPr>
          <w:lang w:val="fr-FR"/>
        </w:rPr>
        <w:t>Among the works of the Biblicum “school,” Olsson mentions (ibid.</w:t>
      </w:r>
      <w:r w:rsidR="006F304D" w:rsidRPr="00E5413C">
        <w:rPr>
          <w:lang w:val="fr-FR"/>
        </w:rPr>
        <w:t xml:space="preserve">, </w:t>
      </w:r>
      <w:r w:rsidRPr="00E5413C">
        <w:rPr>
          <w:lang w:val="fr-FR"/>
        </w:rPr>
        <w:t>6 n. 39): Albert Vanhoye</w:t>
      </w:r>
      <w:r w:rsidR="006F304D" w:rsidRPr="00E5413C">
        <w:rPr>
          <w:lang w:val="fr-FR"/>
        </w:rPr>
        <w:t xml:space="preserve">, </w:t>
      </w:r>
      <w:r w:rsidRPr="00E5413C">
        <w:rPr>
          <w:i/>
          <w:lang w:val="fr-FR"/>
        </w:rPr>
        <w:t>La structure litteraire de l</w:t>
      </w:r>
      <w:r w:rsidRPr="00E5413C">
        <w:rPr>
          <w:lang w:val="fr-FR"/>
        </w:rPr>
        <w:t>’</w:t>
      </w:r>
      <w:r w:rsidRPr="00E5413C">
        <w:rPr>
          <w:i/>
          <w:lang w:val="fr-FR"/>
        </w:rPr>
        <w:t>Epitre aux Hébreux</w:t>
      </w:r>
      <w:r w:rsidRPr="00E5413C">
        <w:rPr>
          <w:lang w:val="fr-FR"/>
        </w:rPr>
        <w:t xml:space="preserve"> (StudNe 1; Bruges: Desclée de Brouwer</w:t>
      </w:r>
      <w:r w:rsidR="006F304D" w:rsidRPr="00E5413C">
        <w:rPr>
          <w:lang w:val="fr-FR"/>
        </w:rPr>
        <w:t xml:space="preserve">, </w:t>
      </w:r>
      <w:r w:rsidRPr="00E5413C">
        <w:rPr>
          <w:lang w:val="fr-FR"/>
        </w:rPr>
        <w:t>1963); Luis Alonso Schökel</w:t>
      </w:r>
      <w:r w:rsidR="006F304D" w:rsidRPr="00E5413C">
        <w:rPr>
          <w:lang w:val="fr-FR"/>
        </w:rPr>
        <w:t xml:space="preserve">, </w:t>
      </w:r>
      <w:r w:rsidRPr="00E5413C">
        <w:rPr>
          <w:i/>
          <w:lang w:val="fr-FR"/>
        </w:rPr>
        <w:t>Estudio de Poética Hebraea</w:t>
      </w:r>
      <w:r w:rsidRPr="00E5413C">
        <w:rPr>
          <w:lang w:val="fr-FR"/>
        </w:rPr>
        <w:t xml:space="preserve"> (Barcelona: 1963); Norbert Lohfink</w:t>
      </w:r>
      <w:r w:rsidR="006F304D" w:rsidRPr="00E5413C">
        <w:rPr>
          <w:lang w:val="fr-FR"/>
        </w:rPr>
        <w:t xml:space="preserve">, </w:t>
      </w:r>
      <w:r w:rsidRPr="00E5413C">
        <w:rPr>
          <w:i/>
          <w:lang w:val="fr-FR"/>
        </w:rPr>
        <w:t>Das Hauptgebot</w:t>
      </w:r>
      <w:r w:rsidRPr="00E5413C">
        <w:rPr>
          <w:lang w:val="fr-FR"/>
        </w:rPr>
        <w:t xml:space="preserve">: </w:t>
      </w:r>
      <w:r w:rsidRPr="00E5413C">
        <w:rPr>
          <w:i/>
          <w:lang w:val="fr-FR"/>
        </w:rPr>
        <w:t>Eine Untersuchung literarischer Einleitungsfragen zu Dtn 5-11</w:t>
      </w:r>
      <w:r w:rsidRPr="00E5413C">
        <w:rPr>
          <w:lang w:val="fr-FR"/>
        </w:rPr>
        <w:t xml:space="preserve"> (</w:t>
      </w:r>
      <w:r w:rsidR="002E050A" w:rsidRPr="00E5413C">
        <w:rPr>
          <w:iCs/>
          <w:lang w:val="fr-FR"/>
        </w:rPr>
        <w:t>Analecta Biblica</w:t>
      </w:r>
      <w:r w:rsidRPr="00E5413C">
        <w:rPr>
          <w:lang w:val="fr-FR"/>
        </w:rPr>
        <w:t xml:space="preserve"> 20; Rome: Pontifical Biblical Institute</w:t>
      </w:r>
      <w:r w:rsidR="006F304D" w:rsidRPr="00E5413C">
        <w:rPr>
          <w:lang w:val="fr-FR"/>
        </w:rPr>
        <w:t xml:space="preserve">, </w:t>
      </w:r>
      <w:r w:rsidRPr="00E5413C">
        <w:rPr>
          <w:lang w:val="fr-FR"/>
        </w:rPr>
        <w:t>1963); Ignace de la Potterie</w:t>
      </w:r>
      <w:r w:rsidR="006F304D" w:rsidRPr="00E5413C">
        <w:rPr>
          <w:lang w:val="fr-FR"/>
        </w:rPr>
        <w:t xml:space="preserve">, </w:t>
      </w:r>
      <w:r w:rsidRPr="00E5413C">
        <w:rPr>
          <w:lang w:val="fr-FR"/>
        </w:rPr>
        <w:t xml:space="preserve">“Structura primae partis Evangelii Johannis (capita III et IV),” </w:t>
      </w:r>
      <w:r w:rsidRPr="00E5413C">
        <w:rPr>
          <w:i/>
          <w:lang w:val="fr-FR"/>
        </w:rPr>
        <w:t>VD</w:t>
      </w:r>
      <w:r w:rsidRPr="00E5413C">
        <w:rPr>
          <w:lang w:val="fr-FR"/>
        </w:rPr>
        <w:t xml:space="preserve"> 47 (1969) 141-150; René Laurentin</w:t>
      </w:r>
      <w:r w:rsidR="006F304D" w:rsidRPr="00E5413C">
        <w:rPr>
          <w:lang w:val="fr-FR"/>
        </w:rPr>
        <w:t xml:space="preserve">, </w:t>
      </w:r>
      <w:r w:rsidRPr="00E5413C">
        <w:rPr>
          <w:i/>
          <w:lang w:val="fr-FR"/>
        </w:rPr>
        <w:t>Structure et Théologie de Luc I-II</w:t>
      </w:r>
      <w:r w:rsidRPr="00E5413C">
        <w:rPr>
          <w:lang w:val="fr-FR"/>
        </w:rPr>
        <w:t xml:space="preserve"> (EBib; Paris: 1957); Albert Janssens de Varebeke</w:t>
      </w:r>
      <w:r w:rsidR="006F304D" w:rsidRPr="00E5413C">
        <w:rPr>
          <w:lang w:val="fr-FR"/>
        </w:rPr>
        <w:t xml:space="preserve">, </w:t>
      </w:r>
      <w:r w:rsidRPr="00E5413C">
        <w:rPr>
          <w:lang w:val="fr-FR"/>
        </w:rPr>
        <w:t xml:space="preserve">“La structure des scènes du récit de la passion en Joh. </w:t>
      </w:r>
      <w:r w:rsidRPr="00B14249">
        <w:t xml:space="preserve">XVIII-XIX,” </w:t>
      </w:r>
      <w:r w:rsidRPr="00B14249">
        <w:rPr>
          <w:i/>
        </w:rPr>
        <w:t>ETL</w:t>
      </w:r>
      <w:r w:rsidRPr="00B14249">
        <w:t xml:space="preserve"> 38 (1962) 504-522; Jan Lambrecht</w:t>
      </w:r>
      <w:r w:rsidR="006F304D" w:rsidRPr="006F304D">
        <w:t xml:space="preserve">, </w:t>
      </w:r>
      <w:r w:rsidRPr="00B14249">
        <w:rPr>
          <w:i/>
        </w:rPr>
        <w:t>Die Redaktion der Markus-Apocalypse</w:t>
      </w:r>
      <w:r w:rsidRPr="00B14249">
        <w:t xml:space="preserve">: </w:t>
      </w:r>
      <w:r w:rsidRPr="00B14249">
        <w:rPr>
          <w:i/>
        </w:rPr>
        <w:t>Literarische Analyse und Strukturuntersuchung</w:t>
      </w:r>
      <w:r w:rsidRPr="00B14249">
        <w:t xml:space="preserve"> (</w:t>
      </w:r>
      <w:r w:rsidR="002E050A" w:rsidRPr="002E050A">
        <w:rPr>
          <w:iCs/>
        </w:rPr>
        <w:t>Analecta Biblica</w:t>
      </w:r>
      <w:r w:rsidRPr="00B14249">
        <w:t xml:space="preserve"> 18; Rome: Pontifical Biblical Institute</w:t>
      </w:r>
      <w:r w:rsidR="006F304D" w:rsidRPr="006F304D">
        <w:t xml:space="preserve">, </w:t>
      </w:r>
      <w:r w:rsidRPr="00B14249">
        <w:t xml:space="preserve">1967); </w:t>
      </w:r>
      <w:r w:rsidR="00B40CBB" w:rsidRPr="00B40CBB">
        <w:rPr>
          <w:iCs/>
        </w:rPr>
        <w:t>A.J.</w:t>
      </w:r>
      <w:r w:rsidRPr="00B14249">
        <w:t xml:space="preserve"> Simonis</w:t>
      </w:r>
      <w:r w:rsidR="006F304D" w:rsidRPr="006F304D">
        <w:t xml:space="preserve">, </w:t>
      </w:r>
      <w:r w:rsidRPr="00B14249">
        <w:rPr>
          <w:i/>
        </w:rPr>
        <w:t>Die Hirtenrede im Johannes-Evangelium</w:t>
      </w:r>
      <w:r w:rsidRPr="00B14249">
        <w:t xml:space="preserve"> (</w:t>
      </w:r>
      <w:r w:rsidR="002E050A" w:rsidRPr="002E050A">
        <w:rPr>
          <w:iCs/>
        </w:rPr>
        <w:t>Analecta Biblica</w:t>
      </w:r>
      <w:r w:rsidRPr="00B14249">
        <w:t xml:space="preserve"> 29; Rome: Pontifical Biblical Institute</w:t>
      </w:r>
      <w:r w:rsidR="006F304D" w:rsidRPr="006F304D">
        <w:t xml:space="preserve">, </w:t>
      </w:r>
      <w:r w:rsidRPr="00B14249">
        <w:t>1967); Edward Malatesta</w:t>
      </w:r>
      <w:r w:rsidR="006F304D" w:rsidRPr="006F304D">
        <w:t xml:space="preserve">, </w:t>
      </w:r>
      <w:r w:rsidRPr="00B14249">
        <w:t xml:space="preserve">“The Literary Structure of John 17,” </w:t>
      </w:r>
      <w:r w:rsidRPr="00B14249">
        <w:rPr>
          <w:i/>
        </w:rPr>
        <w:t>Bib</w:t>
      </w:r>
      <w:r w:rsidRPr="00B14249">
        <w:t xml:space="preserve"> 52 (1971) 190-214; J. Smit Sibinga</w:t>
      </w:r>
      <w:r w:rsidR="006F304D" w:rsidRPr="006F304D">
        <w:t xml:space="preserve">, </w:t>
      </w:r>
      <w:r w:rsidRPr="00B14249">
        <w:t xml:space="preserve">“A Study in 1 John,” in </w:t>
      </w:r>
      <w:r w:rsidRPr="00B14249">
        <w:rPr>
          <w:i/>
        </w:rPr>
        <w:t>Studies in John</w:t>
      </w:r>
      <w:r w:rsidRPr="00B14249">
        <w:t xml:space="preserve">: </w:t>
      </w:r>
      <w:r w:rsidRPr="00B14249">
        <w:rPr>
          <w:i/>
        </w:rPr>
        <w:t>Presented to Prof</w:t>
      </w:r>
      <w:r w:rsidRPr="00B14249">
        <w:t xml:space="preserve">. </w:t>
      </w:r>
      <w:r w:rsidRPr="00B14249">
        <w:rPr>
          <w:i/>
        </w:rPr>
        <w:t>Dr</w:t>
      </w:r>
      <w:r w:rsidRPr="00B14249">
        <w:t xml:space="preserve">. </w:t>
      </w:r>
      <w:r w:rsidRPr="00B14249">
        <w:rPr>
          <w:i/>
        </w:rPr>
        <w:t>J</w:t>
      </w:r>
      <w:r w:rsidRPr="00B14249">
        <w:t xml:space="preserve">. </w:t>
      </w:r>
      <w:r w:rsidRPr="00B14249">
        <w:rPr>
          <w:i/>
        </w:rPr>
        <w:t>N</w:t>
      </w:r>
      <w:r w:rsidRPr="00B14249">
        <w:t xml:space="preserve">. </w:t>
      </w:r>
      <w:r w:rsidRPr="00B14249">
        <w:rPr>
          <w:i/>
        </w:rPr>
        <w:t>Sevenster</w:t>
      </w:r>
      <w:r w:rsidRPr="00B14249">
        <w:t xml:space="preserve"> (NovTSup 24; Leiden: Brill</w:t>
      </w:r>
      <w:r w:rsidR="006F304D" w:rsidRPr="006F304D">
        <w:t xml:space="preserve">, </w:t>
      </w:r>
      <w:r w:rsidRPr="00B14249">
        <w:t xml:space="preserve">1970) 194-208; </w:t>
      </w:r>
      <w:r w:rsidRPr="00B14249">
        <w:rPr>
          <w:i/>
        </w:rPr>
        <w:t>idem</w:t>
      </w:r>
      <w:r w:rsidR="006F304D" w:rsidRPr="006F304D">
        <w:t xml:space="preserve">, </w:t>
      </w:r>
      <w:r w:rsidRPr="00B14249">
        <w:t xml:space="preserve">“Eine literarische Technik im Matthäusevangelium,” in </w:t>
      </w:r>
      <w:r w:rsidRPr="00B14249">
        <w:rPr>
          <w:i/>
        </w:rPr>
        <w:t>L</w:t>
      </w:r>
      <w:r w:rsidRPr="00B14249">
        <w:t>’</w:t>
      </w:r>
      <w:r w:rsidRPr="00B14249">
        <w:rPr>
          <w:i/>
        </w:rPr>
        <w:t>Evangile selon Matthieu</w:t>
      </w:r>
      <w:r w:rsidR="00DC3006" w:rsidRPr="00DC3006">
        <w:rPr>
          <w:iCs/>
        </w:rPr>
        <w:t xml:space="preserve">. Ed. </w:t>
      </w:r>
      <w:r w:rsidRPr="00B14249">
        <w:t>M. Didier (</w:t>
      </w:r>
      <w:r w:rsidR="00826EC1" w:rsidRPr="00826EC1">
        <w:rPr>
          <w:iCs/>
        </w:rPr>
        <w:t>Bibliotheca Ephemeridum Theologicarum Lovaniensium</w:t>
      </w:r>
      <w:r w:rsidRPr="00B14249">
        <w:t xml:space="preserve"> 29; Gembloux: J. Duculot</w:t>
      </w:r>
      <w:r w:rsidR="006F304D" w:rsidRPr="006F304D">
        <w:t xml:space="preserve">, </w:t>
      </w:r>
      <w:r w:rsidRPr="00B14249">
        <w:t>1972) 99-105.</w:t>
      </w:r>
    </w:p>
  </w:footnote>
  <w:footnote w:id="10">
    <w:p w14:paraId="1204A02C" w14:textId="3DFD3741" w:rsidR="0018433B" w:rsidRPr="00B14249" w:rsidRDefault="0018433B" w:rsidP="0018433B">
      <w:pPr>
        <w:widowControl w:val="0"/>
      </w:pPr>
      <w:r w:rsidRPr="00B14249">
        <w:rPr>
          <w:vertAlign w:val="superscript"/>
        </w:rPr>
        <w:footnoteRef/>
      </w:r>
      <w:r w:rsidRPr="00B14249">
        <w:t xml:space="preserve"> Ibid.</w:t>
      </w:r>
      <w:r w:rsidR="006F304D" w:rsidRPr="006F304D">
        <w:t xml:space="preserve">, </w:t>
      </w:r>
      <w:r w:rsidRPr="00B14249">
        <w:t>6 n. 40. Two Jesuits whose publications are more recent than those mentioned by Olsson</w:t>
      </w:r>
      <w:r w:rsidR="006F304D" w:rsidRPr="006F304D">
        <w:t xml:space="preserve">, </w:t>
      </w:r>
      <w:r w:rsidRPr="00B14249">
        <w:t>and whom I will be considering at length later in the present study</w:t>
      </w:r>
      <w:r w:rsidR="006F304D" w:rsidRPr="006F304D">
        <w:t xml:space="preserve">, </w:t>
      </w:r>
      <w:r w:rsidRPr="00B14249">
        <w:t>show the influence of the Biblicum Jesuits: L. John Topel in the United States and Roland Meynet in France.</w:t>
      </w:r>
    </w:p>
  </w:footnote>
  <w:footnote w:id="11">
    <w:p w14:paraId="56816A1C" w14:textId="775EEC9C" w:rsidR="0018433B" w:rsidRPr="00B14249" w:rsidRDefault="0018433B" w:rsidP="0018433B">
      <w:pPr>
        <w:widowControl w:val="0"/>
      </w:pPr>
      <w:r w:rsidRPr="00B14249">
        <w:rPr>
          <w:vertAlign w:val="superscript"/>
        </w:rPr>
        <w:footnoteRef/>
      </w:r>
      <w:r w:rsidRPr="00B14249">
        <w:t xml:space="preserve"> Charles H. Talbert</w:t>
      </w:r>
      <w:r w:rsidR="006F304D" w:rsidRPr="006F304D">
        <w:t xml:space="preserve">, </w:t>
      </w:r>
      <w:r w:rsidRPr="00B14249">
        <w:rPr>
          <w:i/>
        </w:rPr>
        <w:t>Literary Patterns</w:t>
      </w:r>
      <w:r w:rsidR="006F304D" w:rsidRPr="006F304D">
        <w:t xml:space="preserve">, </w:t>
      </w:r>
      <w:r w:rsidRPr="00B14249">
        <w:rPr>
          <w:i/>
        </w:rPr>
        <w:t>Theological Themes</w:t>
      </w:r>
      <w:r w:rsidR="006F304D" w:rsidRPr="006F304D">
        <w:t xml:space="preserve">, </w:t>
      </w:r>
      <w:r w:rsidRPr="00B14249">
        <w:rPr>
          <w:i/>
        </w:rPr>
        <w:t>and the Genre of Luke-Acts</w:t>
      </w:r>
      <w:r w:rsidRPr="00B14249">
        <w:t xml:space="preserve"> (SBLMS 20; </w:t>
      </w:r>
      <w:r w:rsidR="00D42DB3" w:rsidRPr="00D42DB3">
        <w:rPr>
          <w:iCs/>
        </w:rPr>
        <w:t>Missoula MT</w:t>
      </w:r>
      <w:r w:rsidRPr="00B14249">
        <w:t>: Scholars</w:t>
      </w:r>
      <w:r w:rsidR="006F304D" w:rsidRPr="006F304D">
        <w:t xml:space="preserve">, </w:t>
      </w:r>
      <w:r w:rsidRPr="00B14249">
        <w:t>1974) 5</w:t>
      </w:r>
      <w:r w:rsidR="006F304D" w:rsidRPr="006F304D">
        <w:t xml:space="preserve">, </w:t>
      </w:r>
      <w:r w:rsidRPr="00B14249">
        <w:t>7</w:t>
      </w:r>
      <w:r w:rsidR="006F304D" w:rsidRPr="006F304D">
        <w:t xml:space="preserve">, </w:t>
      </w:r>
      <w:r w:rsidRPr="00B14249">
        <w:t>8.</w:t>
      </w:r>
    </w:p>
  </w:footnote>
  <w:footnote w:id="12">
    <w:p w14:paraId="3DD0A1DE" w14:textId="13CF4EC8" w:rsidR="0018433B" w:rsidRPr="00B14249" w:rsidRDefault="0018433B" w:rsidP="0018433B">
      <w:pPr>
        <w:widowControl w:val="0"/>
      </w:pPr>
      <w:r w:rsidRPr="00B14249">
        <w:rPr>
          <w:vertAlign w:val="superscript"/>
        </w:rPr>
        <w:footnoteRef/>
      </w:r>
      <w:r w:rsidRPr="00B14249">
        <w:t xml:space="preserve"> See below</w:t>
      </w:r>
      <w:r w:rsidR="006F304D" w:rsidRPr="006F304D">
        <w:t xml:space="preserve">, </w:t>
      </w:r>
      <w:r w:rsidRPr="00B14249">
        <w:t>p. n. .</w:t>
      </w:r>
    </w:p>
  </w:footnote>
  <w:footnote w:id="13">
    <w:p w14:paraId="07DE987E" w14:textId="1AEC7BAF" w:rsidR="0018433B" w:rsidRPr="00B14249" w:rsidRDefault="0018433B" w:rsidP="0018433B">
      <w:pPr>
        <w:widowControl w:val="0"/>
      </w:pPr>
      <w:r w:rsidRPr="00B14249">
        <w:rPr>
          <w:vertAlign w:val="superscript"/>
        </w:rPr>
        <w:footnoteRef/>
      </w:r>
      <w:r w:rsidRPr="00B14249">
        <w:t xml:space="preserve"> See especially Daniel Patte</w:t>
      </w:r>
      <w:r w:rsidR="006F304D" w:rsidRPr="006F304D">
        <w:t xml:space="preserve">, </w:t>
      </w:r>
      <w:r w:rsidRPr="00B14249">
        <w:rPr>
          <w:i/>
        </w:rPr>
        <w:t>What is Structural Exegesis</w:t>
      </w:r>
      <w:r w:rsidRPr="00B14249">
        <w:t>? (Guides to Biblical Scholarship</w:t>
      </w:r>
      <w:r w:rsidR="006F304D" w:rsidRPr="006F304D">
        <w:t xml:space="preserve">, </w:t>
      </w:r>
      <w:r w:rsidRPr="00B14249">
        <w:t>NT series; Philadelphia: Fortress</w:t>
      </w:r>
      <w:r w:rsidR="006F304D" w:rsidRPr="006F304D">
        <w:t xml:space="preserve">, </w:t>
      </w:r>
      <w:r w:rsidRPr="00B14249">
        <w:t>1976); and Edgar V. McKnight</w:t>
      </w:r>
      <w:r w:rsidR="006F304D" w:rsidRPr="006F304D">
        <w:t xml:space="preserve">, </w:t>
      </w:r>
      <w:r w:rsidRPr="00B14249">
        <w:rPr>
          <w:i/>
        </w:rPr>
        <w:t>Meaning in Texts</w:t>
      </w:r>
      <w:r w:rsidRPr="00B14249">
        <w:t xml:space="preserve">: </w:t>
      </w:r>
      <w:r w:rsidRPr="00B14249">
        <w:rPr>
          <w:i/>
        </w:rPr>
        <w:t>The Historical Shaping of a Narrative Hermeneutics</w:t>
      </w:r>
      <w:r w:rsidRPr="00B14249">
        <w:t xml:space="preserve"> (Philadelphia: Fortress</w:t>
      </w:r>
      <w:r w:rsidR="006F304D" w:rsidRPr="006F304D">
        <w:t xml:space="preserve">, </w:t>
      </w:r>
      <w:r w:rsidRPr="00B14249">
        <w:t>1978)</w:t>
      </w:r>
      <w:r w:rsidR="006F304D" w:rsidRPr="006F304D">
        <w:t xml:space="preserve">, </w:t>
      </w:r>
      <w:r w:rsidRPr="00B14249">
        <w:t>esp. 235-322. The bibliographical references in both works are extensive.</w:t>
      </w:r>
    </w:p>
  </w:footnote>
  <w:footnote w:id="14">
    <w:p w14:paraId="018CE142" w14:textId="0A61723C" w:rsidR="0018433B" w:rsidRPr="00B14249" w:rsidRDefault="0018433B" w:rsidP="0018433B">
      <w:pPr>
        <w:widowControl w:val="0"/>
      </w:pPr>
      <w:r w:rsidRPr="00B14249">
        <w:rPr>
          <w:vertAlign w:val="superscript"/>
        </w:rPr>
        <w:footnoteRef/>
      </w:r>
      <w:r w:rsidRPr="00B14249">
        <w:t xml:space="preserve"> See G. Ernest Wright</w:t>
      </w:r>
      <w:r w:rsidR="006F304D" w:rsidRPr="006F304D">
        <w:t xml:space="preserve">, </w:t>
      </w:r>
      <w:r w:rsidRPr="00B14249">
        <w:rPr>
          <w:i/>
        </w:rPr>
        <w:t>God Who Acts</w:t>
      </w:r>
      <w:r w:rsidRPr="00B14249">
        <w:t xml:space="preserve"> (London: SCM</w:t>
      </w:r>
      <w:r w:rsidR="006F304D" w:rsidRPr="006F304D">
        <w:t xml:space="preserve">, </w:t>
      </w:r>
      <w:r w:rsidRPr="00B14249">
        <w:t>1952) 84: “The Bible is not primarily the Word of God</w:t>
      </w:r>
      <w:r w:rsidR="006F304D" w:rsidRPr="006F304D">
        <w:t xml:space="preserve">, </w:t>
      </w:r>
      <w:r w:rsidRPr="00B14249">
        <w:t>but the record of the Acts of God</w:t>
      </w:r>
      <w:r w:rsidR="006F304D" w:rsidRPr="006F304D">
        <w:t xml:space="preserve">, </w:t>
      </w:r>
      <w:r w:rsidRPr="00B14249">
        <w:t>together with the human response thereto.” According to David H. Kelsey</w:t>
      </w:r>
      <w:r w:rsidR="006F304D" w:rsidRPr="006F304D">
        <w:t xml:space="preserve">, </w:t>
      </w:r>
      <w:r w:rsidRPr="00B14249">
        <w:t>who criticizes Wright</w:t>
      </w:r>
      <w:r w:rsidR="006F304D" w:rsidRPr="006F304D">
        <w:t xml:space="preserve">, </w:t>
      </w:r>
      <w:r w:rsidRPr="00B14249">
        <w:t>the approaches of Karl Barth and Wolfhart Pannenberg are similar (</w:t>
      </w:r>
      <w:r w:rsidRPr="00B14249">
        <w:rPr>
          <w:i/>
        </w:rPr>
        <w:t>The Uses of Scripture in Theology</w:t>
      </w:r>
      <w:r w:rsidRPr="00B14249">
        <w:t xml:space="preserve"> [Philadelphia: Fortress</w:t>
      </w:r>
      <w:r w:rsidR="006F304D" w:rsidRPr="006F304D">
        <w:t xml:space="preserve">, </w:t>
      </w:r>
      <w:r w:rsidRPr="00B14249">
        <w:t>1975] 32-50</w:t>
      </w:r>
      <w:r w:rsidR="006F304D" w:rsidRPr="006F304D">
        <w:t xml:space="preserve">, </w:t>
      </w:r>
      <w:r w:rsidRPr="00B14249">
        <w:t>53 n. 84).</w:t>
      </w:r>
    </w:p>
  </w:footnote>
  <w:footnote w:id="15">
    <w:p w14:paraId="14AA5F65" w14:textId="1AC51CEE" w:rsidR="0018433B" w:rsidRPr="00B14249" w:rsidRDefault="0018433B" w:rsidP="0018433B">
      <w:pPr>
        <w:widowControl w:val="0"/>
      </w:pPr>
      <w:r w:rsidRPr="00B14249">
        <w:rPr>
          <w:vertAlign w:val="superscript"/>
        </w:rPr>
        <w:footnoteRef/>
      </w:r>
      <w:r w:rsidRPr="00B14249">
        <w:t xml:space="preserve"> It is of course true that these non-narrative sections</w:t>
      </w:r>
      <w:r w:rsidR="006F304D" w:rsidRPr="006F304D">
        <w:t xml:space="preserve">, </w:t>
      </w:r>
      <w:r w:rsidRPr="00B14249">
        <w:t>when they fall within a framing narrative</w:t>
      </w:r>
      <w:r w:rsidR="006F304D" w:rsidRPr="006F304D">
        <w:t xml:space="preserve">, </w:t>
      </w:r>
      <w:r w:rsidRPr="00B14249">
        <w:t>also perform a narrative function; but in themselves they are not narrative in nature</w:t>
      </w:r>
      <w:r w:rsidR="006F304D" w:rsidRPr="006F304D">
        <w:t xml:space="preserve">, </w:t>
      </w:r>
      <w:r w:rsidRPr="00B14249">
        <w:t xml:space="preserve">and a criticism of such a passage </w:t>
      </w:r>
      <w:r w:rsidRPr="00B14249">
        <w:rPr>
          <w:i/>
        </w:rPr>
        <w:t>per se</w:t>
      </w:r>
      <w:r w:rsidRPr="00B14249">
        <w:t xml:space="preserve"> will necessarily engage in a non-narrative analysis.</w:t>
      </w:r>
    </w:p>
  </w:footnote>
  <w:footnote w:id="16">
    <w:p w14:paraId="671A64EE" w14:textId="4695D5B4" w:rsidR="0018433B" w:rsidRPr="00B14249" w:rsidRDefault="0018433B" w:rsidP="0018433B">
      <w:pPr>
        <w:widowControl w:val="0"/>
      </w:pPr>
      <w:r w:rsidRPr="00B14249">
        <w:rPr>
          <w:vertAlign w:val="superscript"/>
        </w:rPr>
        <w:footnoteRef/>
      </w:r>
      <w:r w:rsidRPr="00B14249">
        <w:t xml:space="preserve"> The ratio of current scholarly works on the Lukan sermon in relation to those on Matthew’s sermon is about 1 to 3; formerly it was 1 to 20. See L. J. Topel</w:t>
      </w:r>
      <w:r w:rsidR="006F304D" w:rsidRPr="006F304D">
        <w:t xml:space="preserve">, </w:t>
      </w:r>
      <w:r w:rsidRPr="00B14249">
        <w:t xml:space="preserve">“The Christian Ethics of the Lukan Sermon,” in </w:t>
      </w:r>
      <w:r w:rsidRPr="00B14249">
        <w:rPr>
          <w:i/>
        </w:rPr>
        <w:t>Christian Biblical Ethics</w:t>
      </w:r>
      <w:r w:rsidRPr="00B14249">
        <w:t xml:space="preserve">: </w:t>
      </w:r>
      <w:r w:rsidRPr="00B14249">
        <w:rPr>
          <w:i/>
        </w:rPr>
        <w:t>From Biblical Revelation to Contemporary Christian Praxis</w:t>
      </w:r>
      <w:r w:rsidRPr="00B14249">
        <w:t xml:space="preserve">: </w:t>
      </w:r>
      <w:r w:rsidRPr="00B14249">
        <w:rPr>
          <w:i/>
        </w:rPr>
        <w:t>Method and Content</w:t>
      </w:r>
      <w:r w:rsidRPr="00B14249">
        <w:t xml:space="preserve"> (ed. R. J. Daly; New York: Paulist</w:t>
      </w:r>
      <w:r w:rsidR="006F304D" w:rsidRPr="006F304D">
        <w:t xml:space="preserve">, </w:t>
      </w:r>
      <w:r w:rsidRPr="00B14249">
        <w:t>1984) 197 n. 1. Topel bases his statistics on data from W. S. Kissinger</w:t>
      </w:r>
      <w:r w:rsidR="006F304D" w:rsidRPr="006F304D">
        <w:t xml:space="preserve">, </w:t>
      </w:r>
      <w:r w:rsidRPr="00B14249">
        <w:rPr>
          <w:i/>
        </w:rPr>
        <w:t>The Sermon on the Mount</w:t>
      </w:r>
      <w:r w:rsidRPr="00B14249">
        <w:t xml:space="preserve">: </w:t>
      </w:r>
      <w:r w:rsidRPr="00B14249">
        <w:rPr>
          <w:i/>
        </w:rPr>
        <w:t>A History of Interpretation and Bibliography</w:t>
      </w:r>
      <w:r w:rsidRPr="00B14249">
        <w:t xml:space="preserve"> (American Theological Library Association bibliographical series 3; Metuchen</w:t>
      </w:r>
      <w:r w:rsidR="006F304D" w:rsidRPr="006F304D">
        <w:t xml:space="preserve">, </w:t>
      </w:r>
      <w:r w:rsidRPr="00B14249">
        <w:t>NJ: Scarecrow</w:t>
      </w:r>
      <w:r w:rsidR="006F304D" w:rsidRPr="006F304D">
        <w:t xml:space="preserve">, </w:t>
      </w:r>
      <w:r w:rsidRPr="00B14249">
        <w:t>1975).</w:t>
      </w:r>
    </w:p>
  </w:footnote>
  <w:footnote w:id="17">
    <w:p w14:paraId="7A9EEF7D" w14:textId="0B198E48" w:rsidR="0018433B" w:rsidRDefault="0018433B" w:rsidP="0018433B">
      <w:pPr>
        <w:widowControl w:val="0"/>
      </w:pPr>
      <w:r>
        <w:rPr>
          <w:vertAlign w:val="superscript"/>
        </w:rPr>
        <w:footnoteRef/>
      </w:r>
      <w:r>
        <w:t xml:space="preserve"> Immanuel Kant</w:t>
      </w:r>
      <w:r w:rsidR="006F304D" w:rsidRPr="006F304D">
        <w:t xml:space="preserve">, </w:t>
      </w:r>
      <w:r>
        <w:t>quoted in Margit Staber</w:t>
      </w:r>
      <w:r w:rsidR="006F304D" w:rsidRPr="006F304D">
        <w:t xml:space="preserve">, </w:t>
      </w:r>
      <w:r>
        <w:t xml:space="preserve">“Concrete Painting as Structural Painting,” in </w:t>
      </w:r>
      <w:r>
        <w:rPr>
          <w:i/>
        </w:rPr>
        <w:t>Structure in Art and in Science</w:t>
      </w:r>
      <w:r>
        <w:t xml:space="preserve"> (ed. Gyorgy Kepes; Vision + value series; New York: George Braziller</w:t>
      </w:r>
      <w:r w:rsidR="006F304D" w:rsidRPr="006F304D">
        <w:t xml:space="preserve">, </w:t>
      </w:r>
      <w:r>
        <w:t>1965) 181.</w:t>
      </w:r>
    </w:p>
  </w:footnote>
  <w:footnote w:id="18">
    <w:p w14:paraId="3E567BA8" w14:textId="7660F233" w:rsidR="0018433B" w:rsidRDefault="0018433B" w:rsidP="0018433B">
      <w:pPr>
        <w:widowControl w:val="0"/>
      </w:pPr>
      <w:r>
        <w:rPr>
          <w:vertAlign w:val="superscript"/>
        </w:rPr>
        <w:footnoteRef/>
      </w:r>
      <w:r>
        <w:t xml:space="preserve"> Jacob Bronowski</w:t>
      </w:r>
      <w:r w:rsidR="006F304D" w:rsidRPr="006F304D">
        <w:t xml:space="preserve">, </w:t>
      </w:r>
      <w:r>
        <w:t>“The Discovery of Form,” in Kepes</w:t>
      </w:r>
      <w:r w:rsidR="006F304D" w:rsidRPr="006F304D">
        <w:t xml:space="preserve">, </w:t>
      </w:r>
      <w:r>
        <w:rPr>
          <w:i/>
        </w:rPr>
        <w:t>Structure</w:t>
      </w:r>
      <w:r w:rsidR="006F304D" w:rsidRPr="006F304D">
        <w:t xml:space="preserve">, </w:t>
      </w:r>
      <w:r>
        <w:t>59.</w:t>
      </w:r>
    </w:p>
  </w:footnote>
  <w:footnote w:id="19">
    <w:p w14:paraId="16D2AF94" w14:textId="77A27CF3" w:rsidR="0018433B" w:rsidRDefault="0018433B" w:rsidP="0018433B">
      <w:pPr>
        <w:widowControl w:val="0"/>
      </w:pPr>
      <w:r>
        <w:rPr>
          <w:vertAlign w:val="superscript"/>
        </w:rPr>
        <w:footnoteRef/>
      </w:r>
      <w:r>
        <w:t xml:space="preserve"> Lancelot L. Whyte</w:t>
      </w:r>
      <w:r w:rsidR="006F304D" w:rsidRPr="006F304D">
        <w:t xml:space="preserve">, </w:t>
      </w:r>
      <w:r>
        <w:t>“Atomism</w:t>
      </w:r>
      <w:r w:rsidR="006F304D" w:rsidRPr="006F304D">
        <w:t xml:space="preserve">, </w:t>
      </w:r>
      <w:r>
        <w:t>Structure and Form: A Report on the Natural Philosophy of Form,” in Kepes</w:t>
      </w:r>
      <w:r w:rsidR="006F304D" w:rsidRPr="006F304D">
        <w:t xml:space="preserve">, </w:t>
      </w:r>
      <w:r>
        <w:rPr>
          <w:i/>
        </w:rPr>
        <w:t>Structure</w:t>
      </w:r>
      <w:r w:rsidR="006F304D" w:rsidRPr="006F304D">
        <w:t xml:space="preserve">, </w:t>
      </w:r>
      <w:r>
        <w:t>21.</w:t>
      </w:r>
    </w:p>
  </w:footnote>
  <w:footnote w:id="20">
    <w:p w14:paraId="2BA6888C" w14:textId="771262D0" w:rsidR="0018433B" w:rsidRDefault="0018433B" w:rsidP="0018433B">
      <w:pPr>
        <w:widowControl w:val="0"/>
      </w:pPr>
      <w:r>
        <w:rPr>
          <w:vertAlign w:val="superscript"/>
        </w:rPr>
        <w:footnoteRef/>
      </w:r>
      <w:r>
        <w:t xml:space="preserve"> Ibid. Cf. R. Buckminster Fuller</w:t>
      </w:r>
      <w:r w:rsidR="006F304D" w:rsidRPr="006F304D">
        <w:t xml:space="preserve">, </w:t>
      </w:r>
      <w:r>
        <w:t>“Conceptuality of Fundamental Structures,” in Kepes</w:t>
      </w:r>
      <w:r w:rsidR="006F304D" w:rsidRPr="006F304D">
        <w:t xml:space="preserve">, </w:t>
      </w:r>
      <w:r>
        <w:rPr>
          <w:i/>
        </w:rPr>
        <w:t>Structure</w:t>
      </w:r>
      <w:r w:rsidR="006F304D" w:rsidRPr="006F304D">
        <w:t xml:space="preserve">, </w:t>
      </w:r>
      <w:r>
        <w:t>68: “M.I.T.’s Department of Mathematics’ self definition of 1953 said: ‘Mathematics</w:t>
      </w:r>
      <w:r w:rsidR="006F304D" w:rsidRPr="006F304D">
        <w:t xml:space="preserve">, </w:t>
      </w:r>
      <w:r>
        <w:t>which most people think of as the science of number</w:t>
      </w:r>
      <w:r w:rsidR="006F304D" w:rsidRPr="006F304D">
        <w:t xml:space="preserve">, </w:t>
      </w:r>
      <w:r>
        <w:t>is</w:t>
      </w:r>
      <w:r w:rsidR="006F304D" w:rsidRPr="006F304D">
        <w:t xml:space="preserve">, </w:t>
      </w:r>
      <w:r>
        <w:t>in fact</w:t>
      </w:r>
      <w:r w:rsidR="006F304D" w:rsidRPr="006F304D">
        <w:t xml:space="preserve">, </w:t>
      </w:r>
      <w:r>
        <w:rPr>
          <w:i/>
        </w:rPr>
        <w:t>the science of structure and pattern in general.</w:t>
      </w:r>
      <w:r>
        <w:t>’”</w:t>
      </w:r>
    </w:p>
  </w:footnote>
  <w:footnote w:id="21">
    <w:p w14:paraId="2ED13D26" w14:textId="4B73C822" w:rsidR="0018433B" w:rsidRDefault="0018433B" w:rsidP="0018433B">
      <w:pPr>
        <w:widowControl w:val="0"/>
      </w:pPr>
      <w:r>
        <w:rPr>
          <w:vertAlign w:val="superscript"/>
        </w:rPr>
        <w:footnoteRef/>
      </w:r>
      <w:r>
        <w:t xml:space="preserve"> Gyorgy Kepes</w:t>
      </w:r>
      <w:r w:rsidR="006F304D" w:rsidRPr="006F304D">
        <w:t xml:space="preserve">, </w:t>
      </w:r>
      <w:r>
        <w:t>“Introduction,” in Kepes</w:t>
      </w:r>
      <w:r w:rsidR="006F304D" w:rsidRPr="006F304D">
        <w:t xml:space="preserve">, </w:t>
      </w:r>
      <w:r>
        <w:rPr>
          <w:i/>
        </w:rPr>
        <w:t>Structure</w:t>
      </w:r>
      <w:r w:rsidR="006F304D" w:rsidRPr="006F304D">
        <w:t xml:space="preserve">, </w:t>
      </w:r>
      <w:r>
        <w:t>ii.</w:t>
      </w:r>
    </w:p>
  </w:footnote>
  <w:footnote w:id="22">
    <w:p w14:paraId="2C23AFED" w14:textId="09FCB9F4" w:rsidR="0018433B" w:rsidRDefault="0018433B" w:rsidP="0018433B">
      <w:pPr>
        <w:widowControl w:val="0"/>
      </w:pPr>
      <w:r>
        <w:rPr>
          <w:vertAlign w:val="superscript"/>
        </w:rPr>
        <w:footnoteRef/>
      </w:r>
      <w:r>
        <w:t xml:space="preserve"> Wolfgang Wieser</w:t>
      </w:r>
      <w:r w:rsidR="006F304D" w:rsidRPr="006F304D">
        <w:t xml:space="preserve">, </w:t>
      </w:r>
      <w:r>
        <w:rPr>
          <w:i/>
        </w:rPr>
        <w:t>Organismen</w:t>
      </w:r>
      <w:r w:rsidR="006F304D" w:rsidRPr="006F304D">
        <w:t xml:space="preserve">, </w:t>
      </w:r>
      <w:r>
        <w:rPr>
          <w:i/>
        </w:rPr>
        <w:t>Strukturen</w:t>
      </w:r>
      <w:r w:rsidR="006F304D" w:rsidRPr="006F304D">
        <w:t xml:space="preserve">, </w:t>
      </w:r>
      <w:r>
        <w:rPr>
          <w:i/>
        </w:rPr>
        <w:t>Maschinen</w:t>
      </w:r>
      <w:r>
        <w:t xml:space="preserve"> (Fischer-Bücherei no. 230; Fischer</w:t>
      </w:r>
      <w:r w:rsidR="006F304D" w:rsidRPr="006F304D">
        <w:t xml:space="preserve">, </w:t>
      </w:r>
      <w:r>
        <w:t>1959)</w:t>
      </w:r>
      <w:r w:rsidR="006F304D" w:rsidRPr="006F304D">
        <w:t xml:space="preserve">, </w:t>
      </w:r>
      <w:r>
        <w:t>quoted in Staber</w:t>
      </w:r>
      <w:r w:rsidR="006F304D" w:rsidRPr="006F304D">
        <w:t xml:space="preserve">, </w:t>
      </w:r>
      <w:r>
        <w:t>“Concrete Painting,” 181.</w:t>
      </w:r>
    </w:p>
  </w:footnote>
  <w:footnote w:id="23">
    <w:p w14:paraId="7020D7C2" w14:textId="4086F4C2" w:rsidR="0018433B" w:rsidRDefault="0018433B" w:rsidP="0018433B">
      <w:pPr>
        <w:widowControl w:val="0"/>
      </w:pPr>
      <w:r>
        <w:rPr>
          <w:vertAlign w:val="superscript"/>
        </w:rPr>
        <w:footnoteRef/>
      </w:r>
      <w:r>
        <w:t xml:space="preserve"> Whyte</w:t>
      </w:r>
      <w:r w:rsidR="006F304D" w:rsidRPr="006F304D">
        <w:t xml:space="preserve">, </w:t>
      </w:r>
      <w:r>
        <w:t>“Atomism,” 21.</w:t>
      </w:r>
    </w:p>
  </w:footnote>
  <w:footnote w:id="24">
    <w:p w14:paraId="37022450" w14:textId="0A97C38D" w:rsidR="0018433B" w:rsidRDefault="0018433B" w:rsidP="0018433B">
      <w:pPr>
        <w:widowControl w:val="0"/>
      </w:pPr>
      <w:r>
        <w:rPr>
          <w:vertAlign w:val="superscript"/>
        </w:rPr>
        <w:footnoteRef/>
      </w:r>
      <w:r>
        <w:t xml:space="preserve"> Kepes</w:t>
      </w:r>
      <w:r w:rsidR="006F304D" w:rsidRPr="006F304D">
        <w:t xml:space="preserve">, </w:t>
      </w:r>
      <w:r>
        <w:t>“Introduction,” ii-iii.</w:t>
      </w:r>
    </w:p>
  </w:footnote>
  <w:footnote w:id="25">
    <w:p w14:paraId="6837EE32" w14:textId="6E86BFFE" w:rsidR="0018433B" w:rsidRDefault="0018433B" w:rsidP="0018433B">
      <w:pPr>
        <w:widowControl w:val="0"/>
      </w:pPr>
      <w:r>
        <w:rPr>
          <w:vertAlign w:val="superscript"/>
        </w:rPr>
        <w:footnoteRef/>
      </w:r>
      <w:r>
        <w:t xml:space="preserve"> Cf. Alan Dundes</w:t>
      </w:r>
      <w:r w:rsidR="006F304D" w:rsidRPr="006F304D">
        <w:t xml:space="preserve">, </w:t>
      </w:r>
      <w:r>
        <w:t>who compares</w:t>
      </w:r>
      <w:r w:rsidR="006F304D" w:rsidRPr="006F304D">
        <w:t xml:space="preserve">, </w:t>
      </w:r>
      <w:r>
        <w:t>as structural disciplines</w:t>
      </w:r>
      <w:r w:rsidR="006F304D" w:rsidRPr="006F304D">
        <w:t xml:space="preserve">, </w:t>
      </w:r>
      <w:r>
        <w:t>Russian formalism</w:t>
      </w:r>
      <w:r w:rsidR="006F304D" w:rsidRPr="006F304D">
        <w:t xml:space="preserve">, </w:t>
      </w:r>
      <w:r>
        <w:t>New Criticism</w:t>
      </w:r>
      <w:r w:rsidR="006F304D" w:rsidRPr="006F304D">
        <w:t xml:space="preserve">, </w:t>
      </w:r>
      <w:r>
        <w:t>form criticism</w:t>
      </w:r>
      <w:r w:rsidR="006F304D" w:rsidRPr="006F304D">
        <w:t xml:space="preserve">, </w:t>
      </w:r>
      <w:r>
        <w:t>synchronic linguistics</w:t>
      </w:r>
      <w:r w:rsidR="006F304D" w:rsidRPr="006F304D">
        <w:t xml:space="preserve">, </w:t>
      </w:r>
      <w:r>
        <w:t>Gestalt psychology</w:t>
      </w:r>
      <w:r w:rsidR="006F304D" w:rsidRPr="006F304D">
        <w:t xml:space="preserve">, </w:t>
      </w:r>
      <w:r>
        <w:t>anthropological theory</w:t>
      </w:r>
      <w:r w:rsidR="006F304D" w:rsidRPr="006F304D">
        <w:t xml:space="preserve">, </w:t>
      </w:r>
      <w:r>
        <w:t>and folklore studies (</w:t>
      </w:r>
      <w:r>
        <w:rPr>
          <w:i/>
        </w:rPr>
        <w:t>The Morphology of North American Indian Folktales</w:t>
      </w:r>
      <w:r>
        <w:t xml:space="preserve"> [FF Communications 195; Helsinki: Suomalainen Tiedeakatemia</w:t>
      </w:r>
      <w:r w:rsidR="006F304D" w:rsidRPr="006F304D">
        <w:t xml:space="preserve">, </w:t>
      </w:r>
      <w:r>
        <w:t>Academia Scientiarum fennica</w:t>
      </w:r>
      <w:r w:rsidR="006F304D" w:rsidRPr="006F304D">
        <w:t xml:space="preserve">, </w:t>
      </w:r>
      <w:r>
        <w:t xml:space="preserve">1964] 32-36). David Pace accuses Dundes of sweeping generalization (“Beyond Morphology: Lévi-Strauss and the Analysis of Folklore,” in </w:t>
      </w:r>
      <w:r>
        <w:rPr>
          <w:i/>
        </w:rPr>
        <w:t>Cinderella</w:t>
      </w:r>
      <w:r w:rsidR="00AC038F" w:rsidRPr="00AC038F">
        <w:t xml:space="preserve">: </w:t>
      </w:r>
      <w:r>
        <w:rPr>
          <w:i/>
        </w:rPr>
        <w:t>A Folklore Casebook</w:t>
      </w:r>
      <w:r>
        <w:t xml:space="preserve"> [ed. Alan Dundes; New York: Garland</w:t>
      </w:r>
      <w:r w:rsidR="006F304D" w:rsidRPr="006F304D">
        <w:t xml:space="preserve">, </w:t>
      </w:r>
      <w:r>
        <w:t>1982] 246-58);</w:t>
      </w:r>
      <w:r w:rsidRPr="00C002BF">
        <w:t xml:space="preserve"> </w:t>
      </w:r>
      <w:r>
        <w:t>and Anatoly Liberman also believes that “such ‘across the board’ comparisons are useful only because they disclose the prevailing tendency of human thought during long periods of history” (“Introduction,” in Vladimir Propp</w:t>
      </w:r>
      <w:r w:rsidR="006F304D" w:rsidRPr="006F304D">
        <w:t xml:space="preserve">, </w:t>
      </w:r>
      <w:r>
        <w:rPr>
          <w:i/>
        </w:rPr>
        <w:t>Theory and History of Folklore</w:t>
      </w:r>
      <w:r>
        <w:t xml:space="preserve"> [ed. Anatoly Liberman; Theory and History of Literature 5; </w:t>
      </w:r>
      <w:r w:rsidR="00D42DB3" w:rsidRPr="00D42DB3">
        <w:rPr>
          <w:iCs/>
        </w:rPr>
        <w:t>Minneapolis MN</w:t>
      </w:r>
      <w:r>
        <w:t>: University of Minnesota</w:t>
      </w:r>
      <w:r w:rsidR="006F304D" w:rsidRPr="006F304D">
        <w:t xml:space="preserve">, </w:t>
      </w:r>
      <w:r>
        <w:t>1984] xix).</w:t>
      </w:r>
    </w:p>
  </w:footnote>
  <w:footnote w:id="26">
    <w:p w14:paraId="44B9EBE6" w14:textId="40C0D450" w:rsidR="0018433B" w:rsidRDefault="0018433B" w:rsidP="0018433B">
      <w:pPr>
        <w:widowControl w:val="0"/>
      </w:pPr>
      <w:r>
        <w:rPr>
          <w:vertAlign w:val="superscript"/>
        </w:rPr>
        <w:footnoteRef/>
      </w:r>
      <w:r>
        <w:t xml:space="preserve"> Staber</w:t>
      </w:r>
      <w:r w:rsidR="006F304D" w:rsidRPr="006F304D">
        <w:t xml:space="preserve">, </w:t>
      </w:r>
      <w:r>
        <w:t>“Concrete Painting,” 178:</w:t>
      </w:r>
    </w:p>
    <w:p w14:paraId="2B9BBA70" w14:textId="77777777" w:rsidR="0018433B" w:rsidRDefault="0018433B" w:rsidP="0018433B">
      <w:pPr>
        <w:widowControl w:val="0"/>
      </w:pPr>
    </w:p>
    <w:p w14:paraId="104C1309" w14:textId="040034CA" w:rsidR="0018433B" w:rsidRDefault="0018433B" w:rsidP="0018433B">
      <w:pPr>
        <w:widowControl w:val="0"/>
        <w:ind w:left="720" w:right="720"/>
      </w:pPr>
      <w:r>
        <w:t xml:space="preserve">The concept of structure was given increased importance at first in connection with the natural sciences; this development was bound up with the increasingly deeper insights into the nature of things which had become possible through better instruments and more refined methods </w:t>
      </w:r>
      <w:r w:rsidRPr="00C002BF">
        <w:t>. . .</w:t>
      </w:r>
      <w:r>
        <w:t xml:space="preserve"> The scientific disciplines penetrated into microscopic realms inaccessible to actual representation; in short</w:t>
      </w:r>
      <w:r w:rsidR="006F304D" w:rsidRPr="006F304D">
        <w:t xml:space="preserve">, </w:t>
      </w:r>
      <w:r>
        <w:t xml:space="preserve">attempted to give a structural description of the universe </w:t>
      </w:r>
      <w:r w:rsidRPr="00C002BF">
        <w:t>. . .</w:t>
      </w:r>
    </w:p>
    <w:p w14:paraId="51830A86" w14:textId="77777777" w:rsidR="0018433B" w:rsidRDefault="0018433B" w:rsidP="0018433B">
      <w:pPr>
        <w:widowControl w:val="0"/>
      </w:pPr>
    </w:p>
  </w:footnote>
  <w:footnote w:id="27">
    <w:p w14:paraId="2B3790BF" w14:textId="732EFE2F" w:rsidR="0018433B" w:rsidRDefault="0018433B" w:rsidP="0018433B">
      <w:pPr>
        <w:widowControl w:val="0"/>
      </w:pPr>
      <w:r>
        <w:rPr>
          <w:vertAlign w:val="superscript"/>
        </w:rPr>
        <w:footnoteRef/>
      </w:r>
      <w:r>
        <w:t xml:space="preserve"> Whyte</w:t>
      </w:r>
      <w:r w:rsidR="006F304D" w:rsidRPr="006F304D">
        <w:t xml:space="preserve">, </w:t>
      </w:r>
      <w:r>
        <w:t xml:space="preserve">“Atomism,” 23: “The importance of </w:t>
      </w:r>
      <w:r w:rsidRPr="00C002BF">
        <w:t>. . .</w:t>
      </w:r>
      <w:r>
        <w:t xml:space="preserve"> structure began to dawn on many thinkers around the turn of the century.” Bronowski (“Discovery” 59) concurs: “We can date the change in the outlook of science at the turn of the nineteenth century quite closely. One landmark was the discovery of X-rays by Wilhelm Röntgen in 1895. The other was a series of findings which turned the abstract concept of the atom into a concrete physical entity.”</w:t>
      </w:r>
    </w:p>
  </w:footnote>
  <w:footnote w:id="28">
    <w:p w14:paraId="0DB8AF9B" w14:textId="67E67179" w:rsidR="0018433B" w:rsidRDefault="0018433B" w:rsidP="0018433B">
      <w:pPr>
        <w:widowControl w:val="0"/>
      </w:pPr>
      <w:r>
        <w:rPr>
          <w:vertAlign w:val="superscript"/>
        </w:rPr>
        <w:footnoteRef/>
      </w:r>
      <w:r>
        <w:t xml:space="preserve"> Ibid.</w:t>
      </w:r>
      <w:r w:rsidR="006F304D" w:rsidRPr="006F304D">
        <w:t xml:space="preserve">, </w:t>
      </w:r>
      <w:r>
        <w:t>57</w:t>
      </w:r>
      <w:r w:rsidR="006F304D" w:rsidRPr="006F304D">
        <w:t xml:space="preserve">, </w:t>
      </w:r>
      <w:r>
        <w:t>56</w:t>
      </w:r>
      <w:r w:rsidR="006F304D" w:rsidRPr="006F304D">
        <w:t xml:space="preserve">, </w:t>
      </w:r>
      <w:r>
        <w:t>58-59.</w:t>
      </w:r>
    </w:p>
  </w:footnote>
  <w:footnote w:id="29">
    <w:p w14:paraId="013573FA" w14:textId="50EF9C9A" w:rsidR="0018433B" w:rsidRDefault="0018433B" w:rsidP="0018433B">
      <w:pPr>
        <w:widowControl w:val="0"/>
      </w:pPr>
      <w:r>
        <w:rPr>
          <w:vertAlign w:val="superscript"/>
        </w:rPr>
        <w:footnoteRef/>
      </w:r>
      <w:r>
        <w:t xml:space="preserve"> Wieser</w:t>
      </w:r>
      <w:r w:rsidR="006F304D" w:rsidRPr="006F304D">
        <w:t xml:space="preserve">, </w:t>
      </w:r>
      <w:r>
        <w:rPr>
          <w:i/>
        </w:rPr>
        <w:t>Organismen</w:t>
      </w:r>
      <w:r w:rsidR="006F304D" w:rsidRPr="006F304D">
        <w:t xml:space="preserve">, </w:t>
      </w:r>
      <w:r>
        <w:t>quoted in Staber</w:t>
      </w:r>
      <w:r w:rsidR="006F304D" w:rsidRPr="006F304D">
        <w:t xml:space="preserve">, </w:t>
      </w:r>
      <w:r>
        <w:t xml:space="preserve">“Concrete Painting,” 181: “Organization is a principle which cannot be traced back to the two categories of energy and matter; it is </w:t>
      </w:r>
      <w:r w:rsidRPr="00C002BF">
        <w:t>. . .</w:t>
      </w:r>
      <w:r>
        <w:t xml:space="preserve"> a third</w:t>
      </w:r>
      <w:r w:rsidR="006F304D" w:rsidRPr="006F304D">
        <w:t xml:space="preserve">, </w:t>
      </w:r>
      <w:r>
        <w:t xml:space="preserve">which expresses itself through the degree and the kind of order (or negative entropy) of a system.” See also Fuller: “The principles governing structure [are] operative in each of man’s life cells and </w:t>
      </w:r>
      <w:r w:rsidRPr="00C002BF">
        <w:t>. . .</w:t>
      </w:r>
      <w:r>
        <w:t xml:space="preserve"> in the starry heavens. They are universal</w:t>
      </w:r>
      <w:r w:rsidR="006F304D" w:rsidRPr="006F304D">
        <w:t xml:space="preserve">, </w:t>
      </w:r>
      <w:r>
        <w:t>they are purely mathematical</w:t>
      </w:r>
      <w:r w:rsidR="006F304D" w:rsidRPr="006F304D">
        <w:t xml:space="preserve">, </w:t>
      </w:r>
      <w:r>
        <w:t>weightless.” (“Conceptuality,” 68.)</w:t>
      </w:r>
    </w:p>
  </w:footnote>
  <w:footnote w:id="30">
    <w:p w14:paraId="7AAEE6CE" w14:textId="11E7EA6C" w:rsidR="0018433B" w:rsidRDefault="0018433B" w:rsidP="0018433B">
      <w:pPr>
        <w:widowControl w:val="0"/>
      </w:pPr>
      <w:r>
        <w:rPr>
          <w:vertAlign w:val="superscript"/>
        </w:rPr>
        <w:footnoteRef/>
      </w:r>
      <w:r>
        <w:t xml:space="preserve"> Staber</w:t>
      </w:r>
      <w:r w:rsidR="006F304D" w:rsidRPr="006F304D">
        <w:t xml:space="preserve">, </w:t>
      </w:r>
      <w:r>
        <w:t>“Concrete Painting,” 184: “The methodological combination of structural arrangements from the different fields of research would be given by the theory of structures as part of morphology [</w:t>
      </w:r>
      <w:r w:rsidR="00775F9B" w:rsidRPr="00775F9B">
        <w:rPr>
          <w:iCs/>
        </w:rPr>
        <w:t>i.e.</w:t>
      </w:r>
      <w:r>
        <w:t xml:space="preserve">,] the doctrine of forms </w:t>
      </w:r>
      <w:r w:rsidRPr="00C002BF">
        <w:t>. . .</w:t>
      </w:r>
      <w:r>
        <w:t>”</w:t>
      </w:r>
    </w:p>
  </w:footnote>
  <w:footnote w:id="31">
    <w:p w14:paraId="22D95464" w14:textId="02330C38" w:rsidR="0018433B" w:rsidRDefault="0018433B" w:rsidP="0018433B">
      <w:pPr>
        <w:widowControl w:val="0"/>
      </w:pPr>
      <w:r>
        <w:rPr>
          <w:vertAlign w:val="superscript"/>
        </w:rPr>
        <w:footnoteRef/>
      </w:r>
      <w:r>
        <w:t xml:space="preserve"> Whyte</w:t>
      </w:r>
      <w:r w:rsidR="006F304D" w:rsidRPr="006F304D">
        <w:t xml:space="preserve">, </w:t>
      </w:r>
      <w:r>
        <w:t>“Atomism,” 22: “The philosophy of structure is monistic</w:t>
      </w:r>
      <w:r w:rsidR="006F304D" w:rsidRPr="006F304D">
        <w:t xml:space="preserve">, </w:t>
      </w:r>
      <w:r>
        <w:t>relational</w:t>
      </w:r>
      <w:r w:rsidR="006F304D" w:rsidRPr="006F304D">
        <w:t xml:space="preserve">, </w:t>
      </w:r>
      <w:r>
        <w:t>precise</w:t>
      </w:r>
      <w:r w:rsidR="006F304D" w:rsidRPr="006F304D">
        <w:t xml:space="preserve">, </w:t>
      </w:r>
      <w:r>
        <w:t>and potentially comprehensive. Unlike those ontologies of existence which seek permanent substances beneath appearances</w:t>
      </w:r>
      <w:r w:rsidR="006F304D" w:rsidRPr="006F304D">
        <w:t xml:space="preserve">, </w:t>
      </w:r>
      <w:r>
        <w:t>such as extended matter or thinking mind</w:t>
      </w:r>
      <w:r w:rsidR="006F304D" w:rsidRPr="006F304D">
        <w:t xml:space="preserve">, </w:t>
      </w:r>
      <w:r>
        <w:t>it accepts as alone objective a changing pattern of relations.” Wieser</w:t>
      </w:r>
      <w:r w:rsidR="006F304D" w:rsidRPr="006F304D">
        <w:t xml:space="preserve">, </w:t>
      </w:r>
      <w:r>
        <w:t>on the other hand</w:t>
      </w:r>
      <w:r w:rsidR="006F304D" w:rsidRPr="006F304D">
        <w:t xml:space="preserve">, </w:t>
      </w:r>
      <w:r>
        <w:t>while acknowledging that structure is a reality distinct from substances</w:t>
      </w:r>
      <w:r w:rsidR="006F304D" w:rsidRPr="006F304D">
        <w:t xml:space="preserve">, </w:t>
      </w:r>
      <w:r>
        <w:t>still recognizes that “these ideas lead back to the problem of form as Plato and Aristotle conceived of it.” (</w:t>
      </w:r>
      <w:r>
        <w:rPr>
          <w:i/>
        </w:rPr>
        <w:t>Organismen</w:t>
      </w:r>
      <w:r w:rsidR="006F304D" w:rsidRPr="006F304D">
        <w:t xml:space="preserve">, </w:t>
      </w:r>
      <w:r>
        <w:t>quoted in Staber</w:t>
      </w:r>
      <w:r w:rsidR="006F304D" w:rsidRPr="006F304D">
        <w:t xml:space="preserve">, </w:t>
      </w:r>
      <w:r>
        <w:t>“Concrete Painting” 181.)</w:t>
      </w:r>
    </w:p>
  </w:footnote>
  <w:footnote w:id="32">
    <w:p w14:paraId="06874065" w14:textId="71808D57" w:rsidR="0018433B" w:rsidRDefault="0018433B" w:rsidP="0018433B">
      <w:pPr>
        <w:widowControl w:val="0"/>
      </w:pPr>
      <w:r>
        <w:rPr>
          <w:vertAlign w:val="superscript"/>
        </w:rPr>
        <w:footnoteRef/>
      </w:r>
      <w:r>
        <w:t xml:space="preserve"> Bronowski</w:t>
      </w:r>
      <w:r w:rsidR="006F304D" w:rsidRPr="006F304D">
        <w:t xml:space="preserve">, </w:t>
      </w:r>
      <w:r>
        <w:t>“Discovery,” 59.</w:t>
      </w:r>
    </w:p>
  </w:footnote>
  <w:footnote w:id="33">
    <w:p w14:paraId="0DBE21C9" w14:textId="6BDA7A2C" w:rsidR="0018433B" w:rsidRDefault="0018433B" w:rsidP="0018433B">
      <w:pPr>
        <w:widowControl w:val="0"/>
      </w:pPr>
      <w:r>
        <w:rPr>
          <w:vertAlign w:val="superscript"/>
        </w:rPr>
        <w:footnoteRef/>
      </w:r>
      <w:r>
        <w:t xml:space="preserve"> A stance exemplified in the dictum of Gustave Courbet: “Painting is an essentially concrete art and can consist only in the representation of real and existing things. An abstract</w:t>
      </w:r>
      <w:r w:rsidR="006F304D" w:rsidRPr="006F304D">
        <w:t xml:space="preserve">, </w:t>
      </w:r>
      <w:r>
        <w:t>non-visible</w:t>
      </w:r>
      <w:r w:rsidR="006F304D" w:rsidRPr="006F304D">
        <w:t xml:space="preserve">, </w:t>
      </w:r>
      <w:r>
        <w:t>non-existent object is not in the domain of painting.” (Pierre Courthion</w:t>
      </w:r>
      <w:r w:rsidR="006F304D" w:rsidRPr="006F304D">
        <w:t xml:space="preserve">, </w:t>
      </w:r>
      <w:r>
        <w:rPr>
          <w:i/>
        </w:rPr>
        <w:t>Gustave Courbet raconté par lui même</w:t>
      </w:r>
      <w:r>
        <w:t xml:space="preserve"> [Geneva: 1950] 205-206</w:t>
      </w:r>
      <w:r w:rsidR="006F304D" w:rsidRPr="006F304D">
        <w:t xml:space="preserve">, </w:t>
      </w:r>
      <w:r>
        <w:t>quoted in H. L. C. Jaffé</w:t>
      </w:r>
      <w:r w:rsidR="006F304D" w:rsidRPr="006F304D">
        <w:t xml:space="preserve">, </w:t>
      </w:r>
      <w:r>
        <w:t>“Syntactic Structure in the Visual Arts,” in Kepes</w:t>
      </w:r>
      <w:r w:rsidR="006F304D" w:rsidRPr="006F304D">
        <w:t xml:space="preserve">, </w:t>
      </w:r>
      <w:r>
        <w:rPr>
          <w:i/>
        </w:rPr>
        <w:t>Structure</w:t>
      </w:r>
      <w:r w:rsidR="006F304D" w:rsidRPr="006F304D">
        <w:t xml:space="preserve">, </w:t>
      </w:r>
      <w:r>
        <w:t>143.)</w:t>
      </w:r>
    </w:p>
  </w:footnote>
  <w:footnote w:id="34">
    <w:p w14:paraId="5222CD3F" w14:textId="410EBC41" w:rsidR="0018433B" w:rsidRPr="00E5413C" w:rsidRDefault="0018433B" w:rsidP="0018433B">
      <w:pPr>
        <w:widowControl w:val="0"/>
        <w:rPr>
          <w:lang w:val="fr-FR"/>
        </w:rPr>
      </w:pPr>
      <w:r>
        <w:rPr>
          <w:vertAlign w:val="superscript"/>
        </w:rPr>
        <w:footnoteRef/>
      </w:r>
      <w:r w:rsidRPr="00E5413C">
        <w:rPr>
          <w:lang w:val="fr-FR"/>
        </w:rPr>
        <w:t xml:space="preserve"> Ibid.</w:t>
      </w:r>
      <w:r w:rsidR="006F304D" w:rsidRPr="00E5413C">
        <w:rPr>
          <w:lang w:val="fr-FR"/>
        </w:rPr>
        <w:t xml:space="preserve">, </w:t>
      </w:r>
      <w:r w:rsidRPr="00E5413C">
        <w:rPr>
          <w:lang w:val="fr-FR"/>
        </w:rPr>
        <w:t>139</w:t>
      </w:r>
      <w:r w:rsidR="006F304D" w:rsidRPr="00E5413C">
        <w:rPr>
          <w:lang w:val="fr-FR"/>
        </w:rPr>
        <w:t xml:space="preserve">, </w:t>
      </w:r>
      <w:r w:rsidRPr="00E5413C">
        <w:rPr>
          <w:lang w:val="fr-FR"/>
        </w:rPr>
        <w:t>quoting from Maurice Denis</w:t>
      </w:r>
      <w:r w:rsidR="006F304D" w:rsidRPr="00E5413C">
        <w:rPr>
          <w:lang w:val="fr-FR"/>
        </w:rPr>
        <w:t xml:space="preserve">, </w:t>
      </w:r>
      <w:r w:rsidRPr="00E5413C">
        <w:rPr>
          <w:i/>
          <w:lang w:val="fr-FR"/>
        </w:rPr>
        <w:t>Théories 1890-1910</w:t>
      </w:r>
      <w:r w:rsidR="00AC038F" w:rsidRPr="00E5413C">
        <w:rPr>
          <w:lang w:val="fr-FR"/>
        </w:rPr>
        <w:t xml:space="preserve">: </w:t>
      </w:r>
      <w:r w:rsidRPr="00E5413C">
        <w:rPr>
          <w:i/>
          <w:lang w:val="fr-FR"/>
        </w:rPr>
        <w:t>du symbolisme et de Gauguin vers un nouvel ordre classique</w:t>
      </w:r>
      <w:r w:rsidRPr="00E5413C">
        <w:rPr>
          <w:lang w:val="fr-FR"/>
        </w:rPr>
        <w:t xml:space="preserve"> (Paris: L. Rouart &amp; J. Watelin</w:t>
      </w:r>
      <w:r w:rsidR="006F304D" w:rsidRPr="00E5413C">
        <w:rPr>
          <w:lang w:val="fr-FR"/>
        </w:rPr>
        <w:t xml:space="preserve">, </w:t>
      </w:r>
      <w:r w:rsidRPr="00E5413C">
        <w:rPr>
          <w:lang w:val="fr-FR"/>
        </w:rPr>
        <w:t>1912</w:t>
      </w:r>
      <w:r w:rsidR="006F304D" w:rsidRPr="00E5413C">
        <w:rPr>
          <w:lang w:val="fr-FR"/>
        </w:rPr>
        <w:t xml:space="preserve">, </w:t>
      </w:r>
      <w:r w:rsidRPr="00E5413C">
        <w:rPr>
          <w:lang w:val="fr-FR"/>
        </w:rPr>
        <w:t>1920</w:t>
      </w:r>
      <w:r w:rsidRPr="00E5413C">
        <w:rPr>
          <w:vertAlign w:val="superscript"/>
          <w:lang w:val="fr-FR"/>
        </w:rPr>
        <w:t>4</w:t>
      </w:r>
      <w:r w:rsidRPr="00E5413C">
        <w:rPr>
          <w:lang w:val="fr-FR"/>
        </w:rPr>
        <w:t>) 1.</w:t>
      </w:r>
    </w:p>
  </w:footnote>
  <w:footnote w:id="35">
    <w:p w14:paraId="1C28D0B1" w14:textId="5E88286E" w:rsidR="0018433B" w:rsidRDefault="0018433B" w:rsidP="0018433B">
      <w:pPr>
        <w:widowControl w:val="0"/>
      </w:pPr>
      <w:r>
        <w:rPr>
          <w:vertAlign w:val="superscript"/>
        </w:rPr>
        <w:footnoteRef/>
      </w:r>
      <w:r>
        <w:t xml:space="preserve"> Jaffé</w:t>
      </w:r>
      <w:r w:rsidR="006F304D" w:rsidRPr="006F304D">
        <w:t xml:space="preserve">, </w:t>
      </w:r>
      <w:r>
        <w:t>“Syntactic Structure,” 139-40.</w:t>
      </w:r>
    </w:p>
  </w:footnote>
  <w:footnote w:id="36">
    <w:p w14:paraId="64DAD1DE" w14:textId="3163F97E" w:rsidR="0018433B" w:rsidRDefault="0018433B" w:rsidP="0018433B">
      <w:pPr>
        <w:widowControl w:val="0"/>
      </w:pPr>
      <w:r>
        <w:rPr>
          <w:vertAlign w:val="superscript"/>
        </w:rPr>
        <w:footnoteRef/>
      </w:r>
      <w:r>
        <w:t xml:space="preserve"> Like the new physics’s understanding of atomic structure</w:t>
      </w:r>
      <w:r w:rsidR="006F304D" w:rsidRPr="006F304D">
        <w:t xml:space="preserve">, </w:t>
      </w:r>
      <w:r>
        <w:t xml:space="preserve">“Cubism </w:t>
      </w:r>
      <w:r w:rsidRPr="00C002BF">
        <w:t>. . .</w:t>
      </w:r>
      <w:r>
        <w:t xml:space="preserve"> tried to organize body and landscape under a single form” (Bronowski</w:t>
      </w:r>
      <w:r w:rsidR="006F304D" w:rsidRPr="006F304D">
        <w:t xml:space="preserve">, </w:t>
      </w:r>
      <w:r>
        <w:t>“Discovery,” 59).</w:t>
      </w:r>
    </w:p>
  </w:footnote>
  <w:footnote w:id="37">
    <w:p w14:paraId="39B21B00" w14:textId="047C79DB" w:rsidR="0018433B" w:rsidRDefault="0018433B" w:rsidP="0018433B">
      <w:pPr>
        <w:widowControl w:val="0"/>
      </w:pPr>
      <w:r>
        <w:rPr>
          <w:vertAlign w:val="superscript"/>
        </w:rPr>
        <w:footnoteRef/>
      </w:r>
      <w:r>
        <w:t xml:space="preserve"> Jaffé</w:t>
      </w:r>
      <w:r w:rsidR="006F304D" w:rsidRPr="006F304D">
        <w:t xml:space="preserve">, </w:t>
      </w:r>
      <w:r>
        <w:t>“Syntactic Structure,” 145-47:</w:t>
      </w:r>
    </w:p>
    <w:p w14:paraId="00C29151" w14:textId="77777777" w:rsidR="0018433B" w:rsidRDefault="0018433B" w:rsidP="0018433B">
      <w:pPr>
        <w:widowControl w:val="0"/>
      </w:pPr>
    </w:p>
    <w:p w14:paraId="434D7A63" w14:textId="68EED65B" w:rsidR="0018433B" w:rsidRDefault="0018433B" w:rsidP="0018433B">
      <w:pPr>
        <w:widowControl w:val="0"/>
        <w:ind w:left="720" w:right="720"/>
      </w:pPr>
      <w:r>
        <w:t>The painters of this group: Mondrian</w:t>
      </w:r>
      <w:r w:rsidR="006F304D" w:rsidRPr="006F304D">
        <w:t xml:space="preserve">, </w:t>
      </w:r>
      <w:r>
        <w:t>Vander Leck and Van Doesburg</w:t>
      </w:r>
      <w:r w:rsidR="006F304D" w:rsidRPr="006F304D">
        <w:t xml:space="preserve">, </w:t>
      </w:r>
      <w:r>
        <w:t xml:space="preserve">concentrated on the research of the linguistic elements in painting as early as 1917 </w:t>
      </w:r>
      <w:r w:rsidRPr="00C002BF">
        <w:t>. . .</w:t>
      </w:r>
      <w:r>
        <w:t xml:space="preserve"> [They] limited the means of expression in their painting to the very minimum </w:t>
      </w:r>
      <w:r w:rsidRPr="00C002BF">
        <w:t>. . .</w:t>
      </w:r>
      <w:r>
        <w:t xml:space="preserve"> as far as form was concerned: to the straight line and to the right angle</w:t>
      </w:r>
      <w:r w:rsidR="006F304D" w:rsidRPr="006F304D">
        <w:t xml:space="preserve">, </w:t>
      </w:r>
      <w:r>
        <w:t>that is to say to the vertical and horizontal line; as to color: to the three primary colors (yellow</w:t>
      </w:r>
      <w:r w:rsidR="006F304D" w:rsidRPr="006F304D">
        <w:t xml:space="preserve">, </w:t>
      </w:r>
      <w:r>
        <w:t>blue and red) and the primary non-colors (black</w:t>
      </w:r>
      <w:r w:rsidR="006F304D" w:rsidRPr="006F304D">
        <w:t xml:space="preserve">, </w:t>
      </w:r>
      <w:r>
        <w:t>white and gray). On this very limited stock of linguistic elements they built their language</w:t>
      </w:r>
      <w:r w:rsidR="006F304D" w:rsidRPr="006F304D">
        <w:t xml:space="preserve">, </w:t>
      </w:r>
      <w:r>
        <w:t>stressing by this fact the importance of “mental operations.”</w:t>
      </w:r>
    </w:p>
  </w:footnote>
  <w:footnote w:id="38">
    <w:p w14:paraId="0E5CF705" w14:textId="77777777" w:rsidR="0018433B" w:rsidRDefault="0018433B" w:rsidP="0018433B">
      <w:pPr>
        <w:widowControl w:val="0"/>
      </w:pPr>
    </w:p>
    <w:p w14:paraId="1F7D2B99" w14:textId="4651B960" w:rsidR="0018433B" w:rsidRDefault="0018433B" w:rsidP="0018433B">
      <w:pPr>
        <w:widowControl w:val="0"/>
      </w:pPr>
      <w:r>
        <w:rPr>
          <w:vertAlign w:val="superscript"/>
        </w:rPr>
        <w:footnoteRef/>
      </w:r>
      <w:r w:rsidRPr="00B14249">
        <w:t xml:space="preserve"> </w:t>
      </w:r>
      <w:r>
        <w:t>Wertheimer formulated laws of visual organization in 1923 (</w:t>
      </w:r>
      <w:r>
        <w:rPr>
          <w:i/>
        </w:rPr>
        <w:t>Untersuchungen zur Lehre von der Gestalt</w:t>
      </w:r>
      <w:r w:rsidR="006F304D" w:rsidRPr="006F304D">
        <w:t xml:space="preserve">, </w:t>
      </w:r>
      <w:r>
        <w:t xml:space="preserve">vol. 2: </w:t>
      </w:r>
      <w:r>
        <w:rPr>
          <w:i/>
        </w:rPr>
        <w:t>Psychologische Forschungen</w:t>
      </w:r>
      <w:r>
        <w:t>); his work was foundational for the later Gestalt psychologists</w:t>
      </w:r>
      <w:r w:rsidR="006F304D" w:rsidRPr="006F304D">
        <w:t xml:space="preserve">, </w:t>
      </w:r>
      <w:r>
        <w:t>K. Koffka (</w:t>
      </w:r>
      <w:r>
        <w:rPr>
          <w:i/>
        </w:rPr>
        <w:t>Principles of Gestalt Psychology</w:t>
      </w:r>
      <w:r>
        <w:t xml:space="preserve"> [New York: Harcourt Brace</w:t>
      </w:r>
      <w:r w:rsidR="006F304D" w:rsidRPr="006F304D">
        <w:t xml:space="preserve">, </w:t>
      </w:r>
      <w:r>
        <w:t>1935]) and W. Köhler (</w:t>
      </w:r>
      <w:r>
        <w:rPr>
          <w:i/>
        </w:rPr>
        <w:t>Dynamics in Psychology</w:t>
      </w:r>
      <w:r>
        <w:t xml:space="preserve"> [New York: Liveright</w:t>
      </w:r>
      <w:r w:rsidR="006F304D" w:rsidRPr="006F304D">
        <w:t xml:space="preserve">, </w:t>
      </w:r>
      <w:r>
        <w:t>1940]). Wertheimer’s experiments have been criticized by James J. Gibson</w:t>
      </w:r>
      <w:r w:rsidR="006F304D" w:rsidRPr="006F304D">
        <w:t xml:space="preserve">, </w:t>
      </w:r>
      <w:r>
        <w:t>who opposes to Gestalt psychology a “global psychophysics” (see Richard Held</w:t>
      </w:r>
      <w:r w:rsidR="006F304D" w:rsidRPr="006F304D">
        <w:t xml:space="preserve">, </w:t>
      </w:r>
      <w:r>
        <w:t>“Object and Effigy,” in Kepes</w:t>
      </w:r>
      <w:r w:rsidR="006F304D" w:rsidRPr="006F304D">
        <w:t xml:space="preserve">, </w:t>
      </w:r>
      <w:r>
        <w:rPr>
          <w:i/>
        </w:rPr>
        <w:t>Structure</w:t>
      </w:r>
      <w:r w:rsidR="006F304D" w:rsidRPr="006F304D">
        <w:t xml:space="preserve">, </w:t>
      </w:r>
      <w:r>
        <w:t>50). According to Gibson</w:t>
      </w:r>
      <w:r w:rsidR="006F304D" w:rsidRPr="006F304D">
        <w:t xml:space="preserve">, </w:t>
      </w:r>
      <w:r>
        <w:t xml:space="preserve">“There is overwhelming evidence to show that solid vision is primary and that plane vision is acquired </w:t>
      </w:r>
      <w:r w:rsidRPr="00C002BF">
        <w:t>. . . .</w:t>
      </w:r>
      <w:r>
        <w:t>” (Gibson</w:t>
      </w:r>
      <w:r w:rsidR="006F304D" w:rsidRPr="006F304D">
        <w:t xml:space="preserve">, </w:t>
      </w:r>
      <w:r>
        <w:t xml:space="preserve">“What is Form?” </w:t>
      </w:r>
      <w:r>
        <w:rPr>
          <w:i/>
        </w:rPr>
        <w:t>Psychological Review</w:t>
      </w:r>
      <w:r>
        <w:t xml:space="preserve"> 58 [1951] 412). Had Wertheimer used the solid and surface forms of real objects instead of outline drawings</w:t>
      </w:r>
      <w:r w:rsidR="006F304D" w:rsidRPr="006F304D">
        <w:t xml:space="preserve">, </w:t>
      </w:r>
      <w:r>
        <w:t>Gibson argues (ibid.</w:t>
      </w:r>
      <w:r w:rsidR="006F304D" w:rsidRPr="006F304D">
        <w:t xml:space="preserve">, </w:t>
      </w:r>
      <w:r>
        <w:t>404)</w:t>
      </w:r>
      <w:r w:rsidR="006F304D" w:rsidRPr="006F304D">
        <w:t xml:space="preserve">, </w:t>
      </w:r>
      <w:r>
        <w:t>he would have realized that “there is no such thing as form-in-general with the universal characteristics ascribed to it by Gestalt theorists.”</w:t>
      </w:r>
    </w:p>
  </w:footnote>
  <w:footnote w:id="39">
    <w:p w14:paraId="1FFE4993" w14:textId="6AA94EAF" w:rsidR="0018433B" w:rsidRDefault="0018433B" w:rsidP="0018433B">
      <w:pPr>
        <w:widowControl w:val="0"/>
      </w:pPr>
      <w:r>
        <w:rPr>
          <w:vertAlign w:val="superscript"/>
        </w:rPr>
        <w:footnoteRef/>
      </w:r>
      <w:r>
        <w:t xml:space="preserve"> Max Wertheimer</w:t>
      </w:r>
      <w:r w:rsidR="006F304D" w:rsidRPr="006F304D">
        <w:t xml:space="preserve">, </w:t>
      </w:r>
      <w:r>
        <w:rPr>
          <w:i/>
        </w:rPr>
        <w:t>Productive Thinking</w:t>
      </w:r>
      <w:r>
        <w:t xml:space="preserve"> (enlarged ed.</w:t>
      </w:r>
      <w:r w:rsidR="00DC3006" w:rsidRPr="00DC3006">
        <w:rPr>
          <w:iCs/>
        </w:rPr>
        <w:t xml:space="preserve">. Ed. </w:t>
      </w:r>
      <w:r>
        <w:t>Michael Wertheimer; New York: Harper</w:t>
      </w:r>
      <w:r w:rsidR="006F304D" w:rsidRPr="006F304D">
        <w:t xml:space="preserve">, </w:t>
      </w:r>
      <w:r>
        <w:t>1959 [1945</w:t>
      </w:r>
      <w:r>
        <w:rPr>
          <w:vertAlign w:val="superscript"/>
        </w:rPr>
        <w:t>1</w:t>
      </w:r>
      <w:r>
        <w:t>]) 235-36. It should be noted that the Gestalt psychologists’ assumption that the mind imposes structure on chaotic stimuli</w:t>
      </w:r>
      <w:r w:rsidR="006F304D" w:rsidRPr="006F304D">
        <w:t xml:space="preserve">, </w:t>
      </w:r>
      <w:r>
        <w:t>rather than perceives real structure in extra-mental objects (see Gibson</w:t>
      </w:r>
      <w:r w:rsidR="006F304D" w:rsidRPr="006F304D">
        <w:t xml:space="preserve">, </w:t>
      </w:r>
      <w:r>
        <w:t>“What is Form?” 404</w:t>
      </w:r>
      <w:r w:rsidR="006F304D" w:rsidRPr="006F304D">
        <w:t xml:space="preserve">, </w:t>
      </w:r>
      <w:r>
        <w:t>and Frank J. D’Angelo</w:t>
      </w:r>
      <w:r w:rsidR="006F304D" w:rsidRPr="006F304D">
        <w:t xml:space="preserve">, </w:t>
      </w:r>
      <w:r>
        <w:rPr>
          <w:i/>
        </w:rPr>
        <w:t>A Conceptual Theory of Rhetoric</w:t>
      </w:r>
      <w:r>
        <w:t xml:space="preserve"> [</w:t>
      </w:r>
      <w:r w:rsidR="00E366BA" w:rsidRPr="00E366BA">
        <w:rPr>
          <w:iCs/>
        </w:rPr>
        <w:t>Cambridge MA</w:t>
      </w:r>
      <w:r>
        <w:t>: Winthrop</w:t>
      </w:r>
      <w:r w:rsidR="006F304D" w:rsidRPr="006F304D">
        <w:t xml:space="preserve">, </w:t>
      </w:r>
      <w:r>
        <w:t>1975] 13</w:t>
      </w:r>
      <w:r w:rsidR="006F304D" w:rsidRPr="006F304D">
        <w:t xml:space="preserve">, </w:t>
      </w:r>
      <w:r>
        <w:t>19</w:t>
      </w:r>
      <w:r w:rsidR="006F304D" w:rsidRPr="006F304D">
        <w:t xml:space="preserve">, </w:t>
      </w:r>
      <w:r>
        <w:t>29) is a Kantian philosophical assumption whose supposition is by no means necessary in a structural definition of thinking.</w:t>
      </w:r>
    </w:p>
  </w:footnote>
  <w:footnote w:id="40">
    <w:p w14:paraId="795960B2" w14:textId="759240AC" w:rsidR="0018433B" w:rsidRDefault="0018433B" w:rsidP="0018433B">
      <w:pPr>
        <w:widowControl w:val="0"/>
      </w:pPr>
      <w:r>
        <w:rPr>
          <w:vertAlign w:val="superscript"/>
        </w:rPr>
        <w:footnoteRef/>
      </w:r>
      <w:r>
        <w:t xml:space="preserve"> Jean Piaget</w:t>
      </w:r>
      <w:r w:rsidR="006F304D" w:rsidRPr="006F304D">
        <w:t xml:space="preserve">, </w:t>
      </w:r>
      <w:r>
        <w:rPr>
          <w:i/>
        </w:rPr>
        <w:t>The Psychology of Intelligence</w:t>
      </w:r>
      <w:r>
        <w:t xml:space="preserve"> (London: Routledge &amp; Kegan Paul</w:t>
      </w:r>
      <w:r w:rsidR="006F304D" w:rsidRPr="006F304D">
        <w:t xml:space="preserve">, </w:t>
      </w:r>
      <w:r>
        <w:t>1947) 167; quoted in D’Angelo</w:t>
      </w:r>
      <w:r w:rsidR="006F304D" w:rsidRPr="006F304D">
        <w:t xml:space="preserve">, </w:t>
      </w:r>
      <w:r>
        <w:rPr>
          <w:i/>
        </w:rPr>
        <w:t>Conceptual Theory</w:t>
      </w:r>
      <w:r w:rsidR="006F304D" w:rsidRPr="006F304D">
        <w:t xml:space="preserve">, </w:t>
      </w:r>
      <w:r>
        <w:t>15. D’Angelo mentions also (p. 29) the psychologists D. O. Hebb and R. N. Sanford.</w:t>
      </w:r>
    </w:p>
  </w:footnote>
  <w:footnote w:id="41">
    <w:p w14:paraId="74DF73C3" w14:textId="05D12DB1" w:rsidR="0018433B" w:rsidRDefault="0018433B" w:rsidP="0018433B">
      <w:pPr>
        <w:widowControl w:val="0"/>
      </w:pPr>
      <w:r>
        <w:rPr>
          <w:vertAlign w:val="superscript"/>
        </w:rPr>
        <w:footnoteRef/>
      </w:r>
      <w:r>
        <w:t xml:space="preserve"> Early movements in modern linguistics were the general grammars of the seventeenth and eighteenth centuries</w:t>
      </w:r>
      <w:r w:rsidR="006F304D" w:rsidRPr="006F304D">
        <w:t xml:space="preserve">, </w:t>
      </w:r>
      <w:r>
        <w:t>the comparative grammars of the early nineteenth century</w:t>
      </w:r>
      <w:r w:rsidR="006F304D" w:rsidRPr="006F304D">
        <w:t xml:space="preserve">, </w:t>
      </w:r>
      <w:r>
        <w:t>and the neogrammarian works of the later nineteenth century (Oswald Ducrot</w:t>
      </w:r>
      <w:r w:rsidR="006F304D" w:rsidRPr="006F304D">
        <w:t xml:space="preserve">, </w:t>
      </w:r>
      <w:r>
        <w:t>“Schools,” in Oswald Ducrot and Tzvetan Todorov</w:t>
      </w:r>
      <w:r w:rsidR="006F304D" w:rsidRPr="006F304D">
        <w:t xml:space="preserve">, </w:t>
      </w:r>
      <w:r>
        <w:rPr>
          <w:i/>
        </w:rPr>
        <w:t>Encyclopedic Dictionary of the Sciences of Language</w:t>
      </w:r>
      <w:r>
        <w:t xml:space="preserve"> [Baltimore</w:t>
      </w:r>
      <w:r w:rsidR="006F304D" w:rsidRPr="006F304D">
        <w:t xml:space="preserve">, </w:t>
      </w:r>
      <w:r>
        <w:t>MD: Johns Hopkins University</w:t>
      </w:r>
      <w:r w:rsidR="006F304D" w:rsidRPr="006F304D">
        <w:t xml:space="preserve">, </w:t>
      </w:r>
      <w:r>
        <w:t>1979] 3-13).</w:t>
      </w:r>
    </w:p>
  </w:footnote>
  <w:footnote w:id="42">
    <w:p w14:paraId="3B68FDA5" w14:textId="58BC014F" w:rsidR="0018433B" w:rsidRDefault="0018433B" w:rsidP="0018433B">
      <w:pPr>
        <w:widowControl w:val="0"/>
      </w:pPr>
      <w:r>
        <w:rPr>
          <w:vertAlign w:val="superscript"/>
        </w:rPr>
        <w:footnoteRef/>
      </w:r>
      <w:r>
        <w:t xml:space="preserve"> The work was published posthumously: </w:t>
      </w:r>
      <w:r>
        <w:rPr>
          <w:i/>
        </w:rPr>
        <w:t>Cours de linguistique general</w:t>
      </w:r>
      <w:r>
        <w:t xml:space="preserve"> (Paris: Payot</w:t>
      </w:r>
      <w:r w:rsidR="006F304D" w:rsidRPr="006F304D">
        <w:t xml:space="preserve">, </w:t>
      </w:r>
      <w:r>
        <w:t xml:space="preserve">1922) (English translation: </w:t>
      </w:r>
      <w:r>
        <w:rPr>
          <w:i/>
        </w:rPr>
        <w:t>Course in General Linguistics</w:t>
      </w:r>
      <w:r>
        <w:t xml:space="preserve"> [New York: 1959]). Vladimir Propp considers linguistics to have been the second area</w:t>
      </w:r>
      <w:r w:rsidR="006F304D" w:rsidRPr="006F304D">
        <w:t xml:space="preserve">, </w:t>
      </w:r>
      <w:r>
        <w:t>after the natural sciences</w:t>
      </w:r>
      <w:r w:rsidR="006F304D" w:rsidRPr="006F304D">
        <w:t xml:space="preserve">, </w:t>
      </w:r>
      <w:r>
        <w:t>to apply structural thinking (“The Structural and Historical Study of the Wondertale,” in Propp</w:t>
      </w:r>
      <w:r w:rsidR="006F304D" w:rsidRPr="006F304D">
        <w:t xml:space="preserve">, </w:t>
      </w:r>
      <w:r>
        <w:rPr>
          <w:i/>
        </w:rPr>
        <w:t>Theory</w:t>
      </w:r>
      <w:r w:rsidR="006F304D" w:rsidRPr="006F304D">
        <w:t xml:space="preserve">, </w:t>
      </w:r>
      <w:r>
        <w:t>67).</w:t>
      </w:r>
    </w:p>
  </w:footnote>
  <w:footnote w:id="43">
    <w:p w14:paraId="45D77BE2" w14:textId="54CF9616" w:rsidR="0018433B" w:rsidRDefault="0018433B" w:rsidP="0018433B">
      <w:pPr>
        <w:widowControl w:val="0"/>
      </w:pPr>
      <w:r>
        <w:rPr>
          <w:vertAlign w:val="superscript"/>
        </w:rPr>
        <w:footnoteRef/>
      </w:r>
      <w:r>
        <w:t xml:space="preserve"> Ducrot</w:t>
      </w:r>
      <w:r w:rsidR="006F304D" w:rsidRPr="006F304D">
        <w:t xml:space="preserve">, </w:t>
      </w:r>
      <w:r>
        <w:t>“Schools,” 16.</w:t>
      </w:r>
    </w:p>
  </w:footnote>
  <w:footnote w:id="44">
    <w:p w14:paraId="76B857E1" w14:textId="66248D0C" w:rsidR="0018433B" w:rsidRDefault="0018433B" w:rsidP="0018433B">
      <w:pPr>
        <w:widowControl w:val="0"/>
      </w:pPr>
      <w:r>
        <w:rPr>
          <w:vertAlign w:val="superscript"/>
        </w:rPr>
        <w:footnoteRef/>
      </w:r>
      <w:r>
        <w:t xml:space="preserve"> Claude Lévi-Strauss</w:t>
      </w:r>
      <w:r w:rsidR="006F304D" w:rsidRPr="006F304D">
        <w:t xml:space="preserve">, </w:t>
      </w:r>
      <w:r>
        <w:rPr>
          <w:i/>
        </w:rPr>
        <w:t>Structural Anthropology</w:t>
      </w:r>
      <w:r>
        <w:t xml:space="preserve"> (2 vols.; New York: Basic Books</w:t>
      </w:r>
      <w:r w:rsidR="006F304D" w:rsidRPr="006F304D">
        <w:t xml:space="preserve">, </w:t>
      </w:r>
      <w:r>
        <w:t>1963</w:t>
      </w:r>
      <w:r w:rsidR="006F304D" w:rsidRPr="006F304D">
        <w:t xml:space="preserve">, </w:t>
      </w:r>
      <w:r>
        <w:t>1976)</w:t>
      </w:r>
      <w:r w:rsidR="006F304D" w:rsidRPr="006F304D">
        <w:t xml:space="preserve">, </w:t>
      </w:r>
      <w:r>
        <w:t xml:space="preserve">1. 33. The “programmatic statement” is Trubetzkoy’s “La Phonologie actuelle,” in </w:t>
      </w:r>
      <w:r>
        <w:rPr>
          <w:i/>
        </w:rPr>
        <w:t>Psychologie du langage</w:t>
      </w:r>
      <w:r>
        <w:t xml:space="preserve"> (Paris: 1933—the two quotations are on 243). Though Lévi-Strauss states that Saussure’s </w:t>
      </w:r>
      <w:r>
        <w:rPr>
          <w:i/>
        </w:rPr>
        <w:t>Cours de linguistique générale</w:t>
      </w:r>
      <w:r>
        <w:t xml:space="preserve"> “marked the advent of structural linguistics” (20)</w:t>
      </w:r>
      <w:r w:rsidR="006F304D" w:rsidRPr="006F304D">
        <w:t xml:space="preserve">, </w:t>
      </w:r>
      <w:r>
        <w:t>he also decrees that Trubetzkoy is “the illustrious founder of structural linguistics” (33).</w:t>
      </w:r>
    </w:p>
  </w:footnote>
  <w:footnote w:id="45">
    <w:p w14:paraId="19103738" w14:textId="63C0941D" w:rsidR="0018433B" w:rsidRDefault="0018433B" w:rsidP="0018433B">
      <w:pPr>
        <w:widowControl w:val="0"/>
      </w:pPr>
      <w:r>
        <w:rPr>
          <w:vertAlign w:val="superscript"/>
        </w:rPr>
        <w:footnoteRef/>
      </w:r>
      <w:r>
        <w:t xml:space="preserve"> Founded by Trubetzkoy; André Martinet</w:t>
      </w:r>
      <w:r w:rsidR="006F304D" w:rsidRPr="006F304D">
        <w:t xml:space="preserve">, </w:t>
      </w:r>
      <w:r>
        <w:t>Vilém Mathesius</w:t>
      </w:r>
      <w:r w:rsidR="006F304D" w:rsidRPr="006F304D">
        <w:t xml:space="preserve">, </w:t>
      </w:r>
      <w:r>
        <w:t>Bohumil Trnka</w:t>
      </w:r>
      <w:r w:rsidR="006F304D" w:rsidRPr="006F304D">
        <w:t xml:space="preserve">, </w:t>
      </w:r>
      <w:r>
        <w:t>Josef Vachek</w:t>
      </w:r>
      <w:r w:rsidR="006F304D" w:rsidRPr="006F304D">
        <w:t xml:space="preserve">, </w:t>
      </w:r>
      <w:r>
        <w:t>and Roman Jakobson were also members. This school established the science of phonology (Ducrot</w:t>
      </w:r>
      <w:r w:rsidR="006F304D" w:rsidRPr="006F304D">
        <w:t xml:space="preserve">, </w:t>
      </w:r>
      <w:r>
        <w:t>“Schools,” 25; Liberman</w:t>
      </w:r>
      <w:r w:rsidR="006F304D" w:rsidRPr="006F304D">
        <w:t xml:space="preserve">, </w:t>
      </w:r>
      <w:r>
        <w:t>“Introduction,” xix).</w:t>
      </w:r>
    </w:p>
  </w:footnote>
  <w:footnote w:id="46">
    <w:p w14:paraId="1E232927" w14:textId="2F55FBAD" w:rsidR="0018433B" w:rsidRDefault="0018433B" w:rsidP="0018433B">
      <w:pPr>
        <w:widowControl w:val="0"/>
      </w:pPr>
      <w:r>
        <w:rPr>
          <w:vertAlign w:val="superscript"/>
        </w:rPr>
        <w:footnoteRef/>
      </w:r>
      <w:r>
        <w:t xml:space="preserve"> A Danish school of lingusitics</w:t>
      </w:r>
      <w:r w:rsidR="006F304D" w:rsidRPr="006F304D">
        <w:t xml:space="preserve">, </w:t>
      </w:r>
      <w:r>
        <w:t xml:space="preserve">founded by Louis Hjelmslev: </w:t>
      </w:r>
      <w:r>
        <w:rPr>
          <w:i/>
        </w:rPr>
        <w:t>Prolegomena to a Theory of Language</w:t>
      </w:r>
      <w:r>
        <w:t xml:space="preserve"> (rev. ed.; </w:t>
      </w:r>
      <w:r w:rsidR="000644ED" w:rsidRPr="000644ED">
        <w:rPr>
          <w:iCs/>
        </w:rPr>
        <w:t>Madison WI: U of Wisconsin P</w:t>
      </w:r>
      <w:r w:rsidR="006F304D" w:rsidRPr="006F304D">
        <w:t xml:space="preserve">, </w:t>
      </w:r>
      <w:r>
        <w:t>1961) (Danish original</w:t>
      </w:r>
      <w:r w:rsidR="006F304D" w:rsidRPr="006F304D">
        <w:t xml:space="preserve">, </w:t>
      </w:r>
      <w:r>
        <w:rPr>
          <w:i/>
        </w:rPr>
        <w:t>Omkring sprogteoriens grundlaeggelse</w:t>
      </w:r>
      <w:r>
        <w:t xml:space="preserve"> [Copenhagen: 1943]); </w:t>
      </w:r>
      <w:r>
        <w:rPr>
          <w:i/>
        </w:rPr>
        <w:t>Language</w:t>
      </w:r>
      <w:r w:rsidR="00AC038F" w:rsidRPr="00AC038F">
        <w:t xml:space="preserve">: </w:t>
      </w:r>
      <w:r>
        <w:rPr>
          <w:i/>
        </w:rPr>
        <w:t>An Introduction</w:t>
      </w:r>
      <w:r>
        <w:t xml:space="preserve"> (</w:t>
      </w:r>
      <w:r w:rsidR="000644ED" w:rsidRPr="000644ED">
        <w:rPr>
          <w:iCs/>
        </w:rPr>
        <w:t>Madison WI: U of Wisconsin P</w:t>
      </w:r>
      <w:r w:rsidR="006F304D" w:rsidRPr="006F304D">
        <w:t xml:space="preserve">, </w:t>
      </w:r>
      <w:r>
        <w:t>1970). Hjelmslev is most often cited for adding to the distinction between content and expression the further distinctions that each of these has its own substance and form.</w:t>
      </w:r>
    </w:p>
  </w:footnote>
  <w:footnote w:id="47">
    <w:p w14:paraId="45EE6D6C" w14:textId="7A0DCE70" w:rsidR="0018433B" w:rsidRDefault="0018433B" w:rsidP="0018433B">
      <w:pPr>
        <w:widowControl w:val="0"/>
      </w:pPr>
      <w:r>
        <w:rPr>
          <w:vertAlign w:val="superscript"/>
        </w:rPr>
        <w:footnoteRef/>
      </w:r>
      <w:r>
        <w:t xml:space="preserve"> Prominent functionalists are G. Gougenheim</w:t>
      </w:r>
      <w:r w:rsidR="006F304D" w:rsidRPr="006F304D">
        <w:t xml:space="preserve">, </w:t>
      </w:r>
      <w:r>
        <w:t>Emile Benveniste</w:t>
      </w:r>
      <w:r w:rsidR="006F304D" w:rsidRPr="006F304D">
        <w:t xml:space="preserve">, </w:t>
      </w:r>
      <w:r>
        <w:t>L. Prieto</w:t>
      </w:r>
      <w:r w:rsidR="006F304D" w:rsidRPr="006F304D">
        <w:t xml:space="preserve">, </w:t>
      </w:r>
      <w:r>
        <w:t>and H. Frei; the Prague school is sometimes included under the “functionalist” rubric.</w:t>
      </w:r>
    </w:p>
  </w:footnote>
  <w:footnote w:id="48">
    <w:p w14:paraId="66E8A12C" w14:textId="46DFF915" w:rsidR="0018433B" w:rsidRDefault="0018433B" w:rsidP="0018433B">
      <w:pPr>
        <w:widowControl w:val="0"/>
      </w:pPr>
      <w:r>
        <w:rPr>
          <w:vertAlign w:val="superscript"/>
        </w:rPr>
        <w:footnoteRef/>
      </w:r>
      <w:r>
        <w:t xml:space="preserve"> An American movement</w:t>
      </w:r>
      <w:r w:rsidR="006F304D" w:rsidRPr="006F304D">
        <w:t xml:space="preserve">, </w:t>
      </w:r>
      <w:r>
        <w:t>also known as “descriptive linguistics.” Begun by Leopold Bloomfield (</w:t>
      </w:r>
      <w:r>
        <w:rPr>
          <w:i/>
        </w:rPr>
        <w:t>Introduction to the Study of Language</w:t>
      </w:r>
      <w:r>
        <w:t xml:space="preserve"> [New York: Holt</w:t>
      </w:r>
      <w:r w:rsidR="006F304D" w:rsidRPr="006F304D">
        <w:t xml:space="preserve">, </w:t>
      </w:r>
      <w:r>
        <w:t xml:space="preserve">1914; </w:t>
      </w:r>
      <w:r w:rsidR="0029762C" w:rsidRPr="0029762C">
        <w:rPr>
          <w:iCs/>
        </w:rPr>
        <w:t>2nd ed.</w:t>
      </w:r>
      <w:r>
        <w:t xml:space="preserve"> (under the title</w:t>
      </w:r>
      <w:r w:rsidR="006F304D" w:rsidRPr="006F304D">
        <w:t xml:space="preserve">, </w:t>
      </w:r>
      <w:r>
        <w:rPr>
          <w:i/>
        </w:rPr>
        <w:t>Language</w:t>
      </w:r>
      <w:r>
        <w:t>)</w:t>
      </w:r>
      <w:r w:rsidR="006F304D" w:rsidRPr="006F304D">
        <w:t xml:space="preserve">, </w:t>
      </w:r>
      <w:r>
        <w:t>1933])</w:t>
      </w:r>
      <w:r w:rsidR="006F304D" w:rsidRPr="006F304D">
        <w:t xml:space="preserve">, </w:t>
      </w:r>
      <w:r>
        <w:t xml:space="preserve">its main proponent has been Zellig S. Harris: “Discourse Analysis,” </w:t>
      </w:r>
      <w:r>
        <w:rPr>
          <w:i/>
        </w:rPr>
        <w:t>Language</w:t>
      </w:r>
      <w:r>
        <w:t xml:space="preserve"> 28 (1952) 1-30; </w:t>
      </w:r>
      <w:r>
        <w:rPr>
          <w:i/>
        </w:rPr>
        <w:t>Methods in Structural Linguistics</w:t>
      </w:r>
      <w:r>
        <w:t xml:space="preserve"> (</w:t>
      </w:r>
      <w:r w:rsidR="000644ED" w:rsidRPr="000644ED">
        <w:rPr>
          <w:iCs/>
        </w:rPr>
        <w:t>Chicago: U of Chicago P</w:t>
      </w:r>
      <w:r w:rsidR="006F304D" w:rsidRPr="006F304D">
        <w:t xml:space="preserve">, </w:t>
      </w:r>
      <w:r>
        <w:t>1951; rpt. ed. [under the title</w:t>
      </w:r>
      <w:r w:rsidR="006F304D" w:rsidRPr="006F304D">
        <w:t xml:space="preserve">, </w:t>
      </w:r>
      <w:r>
        <w:rPr>
          <w:i/>
        </w:rPr>
        <w:t>Structural Linguistics</w:t>
      </w:r>
      <w:r>
        <w:t>]</w:t>
      </w:r>
      <w:r w:rsidR="006F304D" w:rsidRPr="006F304D">
        <w:t xml:space="preserve">, </w:t>
      </w:r>
      <w:r>
        <w:t>1960).</w:t>
      </w:r>
    </w:p>
  </w:footnote>
  <w:footnote w:id="49">
    <w:p w14:paraId="057C0621" w14:textId="1FB89DD7" w:rsidR="0018433B" w:rsidRDefault="0018433B" w:rsidP="0018433B">
      <w:pPr>
        <w:widowControl w:val="0"/>
      </w:pPr>
      <w:r>
        <w:rPr>
          <w:vertAlign w:val="superscript"/>
        </w:rPr>
        <w:footnoteRef/>
      </w:r>
      <w:r>
        <w:t xml:space="preserve"> Founded by Kenneth L. Pike; see his </w:t>
      </w:r>
      <w:r>
        <w:rPr>
          <w:i/>
        </w:rPr>
        <w:t>Language (in Relation to a Unified Theory of the Structure of Human Behavior)</w:t>
      </w:r>
      <w:r>
        <w:t xml:space="preserve"> (Glendale</w:t>
      </w:r>
      <w:r w:rsidR="006F304D" w:rsidRPr="006F304D">
        <w:t xml:space="preserve">, </w:t>
      </w:r>
      <w:r>
        <w:t>CA: Summer Institute of Linguistics</w:t>
      </w:r>
      <w:r w:rsidR="006F304D" w:rsidRPr="006F304D">
        <w:t xml:space="preserve">, </w:t>
      </w:r>
      <w:r>
        <w:t>Part 1</w:t>
      </w:r>
      <w:r w:rsidR="006F304D" w:rsidRPr="006F304D">
        <w:t xml:space="preserve">, </w:t>
      </w:r>
      <w:r>
        <w:t>1951; Part 2</w:t>
      </w:r>
      <w:r w:rsidR="006F304D" w:rsidRPr="006F304D">
        <w:t xml:space="preserve">, </w:t>
      </w:r>
      <w:r>
        <w:t>1955; Part 3</w:t>
      </w:r>
      <w:r w:rsidR="006F304D" w:rsidRPr="006F304D">
        <w:t xml:space="preserve">, </w:t>
      </w:r>
      <w:r>
        <w:t>1960).</w:t>
      </w:r>
    </w:p>
  </w:footnote>
  <w:footnote w:id="50">
    <w:p w14:paraId="0203DE1C" w14:textId="0D5A4D4F" w:rsidR="0018433B" w:rsidRDefault="0018433B" w:rsidP="0018433B">
      <w:pPr>
        <w:widowControl w:val="0"/>
      </w:pPr>
      <w:r>
        <w:rPr>
          <w:vertAlign w:val="superscript"/>
        </w:rPr>
        <w:footnoteRef/>
      </w:r>
      <w:r>
        <w:t xml:space="preserve"> Especially known for its “transformational grammar”: Noam Chomsky</w:t>
      </w:r>
      <w:r w:rsidR="006F304D" w:rsidRPr="006F304D">
        <w:t xml:space="preserve">, </w:t>
      </w:r>
      <w:r>
        <w:rPr>
          <w:i/>
        </w:rPr>
        <w:t>Syntactic Structure</w:t>
      </w:r>
      <w:r>
        <w:t xml:space="preserve"> (The Hague: Mouton</w:t>
      </w:r>
      <w:r w:rsidR="006F304D" w:rsidRPr="006F304D">
        <w:t xml:space="preserve">, </w:t>
      </w:r>
      <w:r>
        <w:t xml:space="preserve">1957); </w:t>
      </w:r>
      <w:r>
        <w:rPr>
          <w:i/>
        </w:rPr>
        <w:t>Current Issues in Linguistic Theory</w:t>
      </w:r>
      <w:r>
        <w:t xml:space="preserve"> (The Hague: Mouton</w:t>
      </w:r>
      <w:r w:rsidR="006F304D" w:rsidRPr="006F304D">
        <w:t xml:space="preserve">, </w:t>
      </w:r>
      <w:r>
        <w:t xml:space="preserve">1964); and </w:t>
      </w:r>
      <w:r>
        <w:rPr>
          <w:i/>
        </w:rPr>
        <w:t>Aspects of the Theory of Syntax</w:t>
      </w:r>
      <w:r>
        <w:t xml:space="preserve"> (</w:t>
      </w:r>
      <w:r w:rsidR="00E366BA" w:rsidRPr="00E366BA">
        <w:rPr>
          <w:iCs/>
        </w:rPr>
        <w:t>Cambridge MA</w:t>
      </w:r>
      <w:r>
        <w:t>: MIT</w:t>
      </w:r>
      <w:r w:rsidR="006F304D" w:rsidRPr="006F304D">
        <w:t xml:space="preserve">, </w:t>
      </w:r>
      <w:r>
        <w:t>1965).</w:t>
      </w:r>
    </w:p>
  </w:footnote>
  <w:footnote w:id="51">
    <w:p w14:paraId="696C7B89" w14:textId="5C5A17CC" w:rsidR="0018433B" w:rsidRDefault="0018433B" w:rsidP="0018433B">
      <w:pPr>
        <w:widowControl w:val="0"/>
      </w:pPr>
      <w:r>
        <w:rPr>
          <w:vertAlign w:val="superscript"/>
        </w:rPr>
        <w:footnoteRef/>
      </w:r>
      <w:r>
        <w:t xml:space="preserve"> Lévi-Strauss makes explicit structuralism’s development from Saussurean linguistics in “The Structural Study of Myth,” </w:t>
      </w:r>
      <w:r>
        <w:rPr>
          <w:i/>
        </w:rPr>
        <w:t>Structural Anthropology</w:t>
      </w:r>
      <w:r w:rsidR="006F304D" w:rsidRPr="006F304D">
        <w:t xml:space="preserve">, </w:t>
      </w:r>
      <w:r>
        <w:t xml:space="preserve">1. 206-31 (originally in </w:t>
      </w:r>
      <w:r>
        <w:rPr>
          <w:i/>
        </w:rPr>
        <w:t>Journal of American Folklore</w:t>
      </w:r>
      <w:r>
        <w:t xml:space="preserve"> 68 [1955] 429-30).</w:t>
      </w:r>
    </w:p>
  </w:footnote>
  <w:footnote w:id="52">
    <w:p w14:paraId="01CC2CCA" w14:textId="0A0C2BD8" w:rsidR="0018433B" w:rsidRDefault="0018433B" w:rsidP="0018433B">
      <w:pPr>
        <w:widowControl w:val="0"/>
      </w:pPr>
      <w:r>
        <w:rPr>
          <w:vertAlign w:val="superscript"/>
        </w:rPr>
        <w:footnoteRef/>
      </w:r>
      <w:r>
        <w:t xml:space="preserve"> Lévi-Strauss</w:t>
      </w:r>
      <w:r w:rsidR="006F304D" w:rsidRPr="006F304D">
        <w:t xml:space="preserve">, </w:t>
      </w:r>
      <w:r>
        <w:rPr>
          <w:i/>
        </w:rPr>
        <w:t>Structural Anthropology</w:t>
      </w:r>
      <w:r w:rsidR="006F304D" w:rsidRPr="006F304D">
        <w:t xml:space="preserve">, </w:t>
      </w:r>
      <w:r>
        <w:t>1. 34.</w:t>
      </w:r>
    </w:p>
  </w:footnote>
  <w:footnote w:id="53">
    <w:p w14:paraId="10DEE8B9" w14:textId="1ED34C0E" w:rsidR="0018433B" w:rsidRDefault="0018433B" w:rsidP="0018433B">
      <w:pPr>
        <w:widowControl w:val="0"/>
      </w:pPr>
      <w:r>
        <w:rPr>
          <w:vertAlign w:val="superscript"/>
        </w:rPr>
        <w:footnoteRef/>
      </w:r>
      <w:r>
        <w:t xml:space="preserve"> Ibid.</w:t>
      </w:r>
      <w:r w:rsidR="006F304D" w:rsidRPr="006F304D">
        <w:t xml:space="preserve">, </w:t>
      </w:r>
      <w:r>
        <w:t>1. 68-69.</w:t>
      </w:r>
    </w:p>
  </w:footnote>
  <w:footnote w:id="54">
    <w:p w14:paraId="5292C28C" w14:textId="0ADE1631" w:rsidR="0018433B" w:rsidRDefault="0018433B" w:rsidP="0018433B">
      <w:pPr>
        <w:widowControl w:val="0"/>
      </w:pPr>
      <w:r>
        <w:rPr>
          <w:vertAlign w:val="superscript"/>
        </w:rPr>
        <w:footnoteRef/>
      </w:r>
      <w:r>
        <w:t xml:space="preserve"> Ibid.</w:t>
      </w:r>
      <w:r w:rsidR="006F304D" w:rsidRPr="006F304D">
        <w:t xml:space="preserve">, </w:t>
      </w:r>
      <w:r>
        <w:t>1. 46.</w:t>
      </w:r>
    </w:p>
  </w:footnote>
  <w:footnote w:id="55">
    <w:p w14:paraId="633E4E52" w14:textId="058E7B13" w:rsidR="0018433B" w:rsidRDefault="0018433B" w:rsidP="0018433B">
      <w:pPr>
        <w:widowControl w:val="0"/>
      </w:pPr>
      <w:r>
        <w:rPr>
          <w:vertAlign w:val="superscript"/>
        </w:rPr>
        <w:footnoteRef/>
      </w:r>
      <w:r>
        <w:t xml:space="preserve"> Ibid.</w:t>
      </w:r>
      <w:r w:rsidR="006F304D" w:rsidRPr="006F304D">
        <w:t xml:space="preserve">, </w:t>
      </w:r>
      <w:r>
        <w:t>1. 58</w:t>
      </w:r>
      <w:r w:rsidR="006F304D" w:rsidRPr="006F304D">
        <w:t xml:space="preserve">, </w:t>
      </w:r>
      <w:r>
        <w:t>70</w:t>
      </w:r>
      <w:r w:rsidR="006F304D" w:rsidRPr="006F304D">
        <w:t xml:space="preserve">, </w:t>
      </w:r>
      <w:r>
        <w:t>83-85.</w:t>
      </w:r>
    </w:p>
  </w:footnote>
  <w:footnote w:id="56">
    <w:p w14:paraId="684F9B58" w14:textId="7F5FD73A" w:rsidR="0018433B" w:rsidRPr="00E5413C" w:rsidRDefault="0018433B" w:rsidP="0018433B">
      <w:pPr>
        <w:widowControl w:val="0"/>
        <w:rPr>
          <w:lang w:val="fr-FR"/>
        </w:rPr>
      </w:pPr>
      <w:r>
        <w:rPr>
          <w:vertAlign w:val="superscript"/>
        </w:rPr>
        <w:footnoteRef/>
      </w:r>
      <w:r>
        <w:t xml:space="preserve"> Barthes</w:t>
      </w:r>
      <w:r w:rsidR="006F304D" w:rsidRPr="006F304D">
        <w:t xml:space="preserve">, </w:t>
      </w:r>
      <w:r>
        <w:t xml:space="preserve">“The Reality Effect,” in </w:t>
      </w:r>
      <w:r>
        <w:rPr>
          <w:i/>
        </w:rPr>
        <w:t>French Literary Theory Today</w:t>
      </w:r>
      <w:r w:rsidR="00AC038F" w:rsidRPr="00AC038F">
        <w:t xml:space="preserve">: </w:t>
      </w:r>
      <w:r>
        <w:rPr>
          <w:i/>
        </w:rPr>
        <w:t>A Reader</w:t>
      </w:r>
      <w:r>
        <w:t xml:space="preserve"> (ed. </w:t>
      </w:r>
      <w:r w:rsidRPr="00E5413C">
        <w:rPr>
          <w:lang w:val="fr-FR"/>
        </w:rPr>
        <w:t xml:space="preserve">Tzvetan Todorov; </w:t>
      </w:r>
      <w:r w:rsidR="00E366BA" w:rsidRPr="00E5413C">
        <w:rPr>
          <w:iCs/>
          <w:lang w:val="fr-FR"/>
        </w:rPr>
        <w:t>Cambridge: CUP</w:t>
      </w:r>
      <w:r w:rsidR="006F304D" w:rsidRPr="00E5413C">
        <w:rPr>
          <w:lang w:val="fr-FR"/>
        </w:rPr>
        <w:t xml:space="preserve">, </w:t>
      </w:r>
      <w:r w:rsidRPr="00E5413C">
        <w:rPr>
          <w:lang w:val="fr-FR"/>
        </w:rPr>
        <w:t>1982; Paris: Editions de la Maison des Sciences de l’homme</w:t>
      </w:r>
      <w:r w:rsidR="006F304D" w:rsidRPr="00E5413C">
        <w:rPr>
          <w:lang w:val="fr-FR"/>
        </w:rPr>
        <w:t xml:space="preserve">, </w:t>
      </w:r>
      <w:r w:rsidRPr="00E5413C">
        <w:rPr>
          <w:lang w:val="fr-FR"/>
        </w:rPr>
        <w:t>1982) 11.</w:t>
      </w:r>
    </w:p>
  </w:footnote>
  <w:footnote w:id="57">
    <w:p w14:paraId="51076CF6" w14:textId="5A4D9986" w:rsidR="0018433B" w:rsidRDefault="0018433B" w:rsidP="0018433B">
      <w:pPr>
        <w:widowControl w:val="0"/>
      </w:pPr>
      <w:r>
        <w:rPr>
          <w:vertAlign w:val="superscript"/>
        </w:rPr>
        <w:footnoteRef/>
      </w:r>
      <w:r w:rsidRPr="00E5413C">
        <w:rPr>
          <w:lang w:val="fr-FR"/>
        </w:rPr>
        <w:t xml:space="preserve"> For structural analyses that concentrate on oppositions among the traits of character groups in a narrative</w:t>
      </w:r>
      <w:r w:rsidR="006F304D" w:rsidRPr="00E5413C">
        <w:rPr>
          <w:lang w:val="fr-FR"/>
        </w:rPr>
        <w:t xml:space="preserve">, </w:t>
      </w:r>
      <w:r w:rsidRPr="00E5413C">
        <w:rPr>
          <w:lang w:val="fr-FR"/>
        </w:rPr>
        <w:t>see Todorov</w:t>
      </w:r>
      <w:r w:rsidR="006F304D" w:rsidRPr="00E5413C">
        <w:rPr>
          <w:lang w:val="fr-FR"/>
        </w:rPr>
        <w:t xml:space="preserve">, </w:t>
      </w:r>
      <w:r w:rsidRPr="00E5413C">
        <w:rPr>
          <w:lang w:val="fr-FR"/>
        </w:rPr>
        <w:t xml:space="preserve">“L’héritage méthodologique du Formalisme,” in </w:t>
      </w:r>
      <w:r w:rsidRPr="00E5413C">
        <w:rPr>
          <w:i/>
          <w:lang w:val="fr-FR"/>
        </w:rPr>
        <w:t>Poétique de la Prose</w:t>
      </w:r>
      <w:r w:rsidR="006F304D" w:rsidRPr="00E5413C">
        <w:rPr>
          <w:lang w:val="fr-FR"/>
        </w:rPr>
        <w:t xml:space="preserve">, </w:t>
      </w:r>
      <w:r w:rsidRPr="00E5413C">
        <w:rPr>
          <w:lang w:val="fr-FR"/>
        </w:rPr>
        <w:t>by Tzvetan Todorov (Poétique series; Paris: Seuil</w:t>
      </w:r>
      <w:r w:rsidR="006F304D" w:rsidRPr="00E5413C">
        <w:rPr>
          <w:lang w:val="fr-FR"/>
        </w:rPr>
        <w:t xml:space="preserve">, </w:t>
      </w:r>
      <w:r w:rsidRPr="00E5413C">
        <w:rPr>
          <w:lang w:val="fr-FR"/>
        </w:rPr>
        <w:t xml:space="preserve">1971) 14-15. </w:t>
      </w:r>
      <w:r>
        <w:t>See also William O. Hendricks</w:t>
      </w:r>
      <w:r w:rsidR="006F304D" w:rsidRPr="006F304D">
        <w:t xml:space="preserve">, </w:t>
      </w:r>
      <w:r>
        <w:t xml:space="preserve">“Folklore and the Structural Analysis of Literary Texts,” </w:t>
      </w:r>
      <w:r>
        <w:rPr>
          <w:i/>
        </w:rPr>
        <w:t>Language and Style</w:t>
      </w:r>
      <w:r>
        <w:t xml:space="preserve"> 3 (1970) 105-11.</w:t>
      </w:r>
    </w:p>
  </w:footnote>
  <w:footnote w:id="58">
    <w:p w14:paraId="24EC0C16" w14:textId="077A0FF7" w:rsidR="0018433B" w:rsidRDefault="0018433B" w:rsidP="0018433B">
      <w:pPr>
        <w:widowControl w:val="0"/>
      </w:pPr>
      <w:r>
        <w:rPr>
          <w:vertAlign w:val="superscript"/>
        </w:rPr>
        <w:footnoteRef/>
      </w:r>
      <w:r>
        <w:t xml:space="preserve"> Structural literary criticism deals with sections larger than the sentence: sections at the level of the text are “units which are transsentential” (Tzvetan Todorov</w:t>
      </w:r>
      <w:r w:rsidR="006F304D" w:rsidRPr="006F304D">
        <w:t xml:space="preserve">, </w:t>
      </w:r>
      <w:r>
        <w:t xml:space="preserve">“French Poetics Today,” in </w:t>
      </w:r>
      <w:r>
        <w:rPr>
          <w:i/>
        </w:rPr>
        <w:t>French Literary Theory</w:t>
      </w:r>
      <w:r w:rsidR="006F304D" w:rsidRPr="006F304D">
        <w:t xml:space="preserve">, </w:t>
      </w:r>
      <w:r>
        <w:t>5). The organization of the sentence is properly the study of linguistics</w:t>
      </w:r>
      <w:r w:rsidR="006F304D" w:rsidRPr="006F304D">
        <w:t xml:space="preserve">, </w:t>
      </w:r>
      <w:r>
        <w:t>not literary criticism. See also Lévi-Strauss (</w:t>
      </w:r>
      <w:r>
        <w:rPr>
          <w:i/>
        </w:rPr>
        <w:t>Structural Anthropology</w:t>
      </w:r>
      <w:r w:rsidR="006F304D" w:rsidRPr="006F304D">
        <w:t xml:space="preserve">, </w:t>
      </w:r>
      <w:r>
        <w:t xml:space="preserve">1. 82-83): “We simply wish to derive constants which are found at various times and in various places from an empirical richness and diversity </w:t>
      </w:r>
      <w:r w:rsidRPr="00C002BF">
        <w:t>. . .</w:t>
      </w:r>
      <w:r>
        <w:t xml:space="preserve"> In proceeding this way we work as does the linguist”; and William O. Hendricks (“Folklore,” 83-84</w:t>
      </w:r>
      <w:r w:rsidR="006F304D" w:rsidRPr="006F304D">
        <w:t xml:space="preserve">, </w:t>
      </w:r>
      <w:r>
        <w:t>119):</w:t>
      </w:r>
    </w:p>
    <w:p w14:paraId="0E985EFE" w14:textId="77777777" w:rsidR="0018433B" w:rsidRDefault="0018433B" w:rsidP="0018433B">
      <w:pPr>
        <w:widowControl w:val="0"/>
      </w:pPr>
    </w:p>
    <w:p w14:paraId="0680F631" w14:textId="20BBF4C3" w:rsidR="0018433B" w:rsidRDefault="0018433B" w:rsidP="0018433B">
      <w:pPr>
        <w:widowControl w:val="0"/>
        <w:ind w:left="720" w:right="720"/>
      </w:pPr>
      <w:r>
        <w:t xml:space="preserve">What is presently lacking is a true “science of literature.” </w:t>
      </w:r>
      <w:r w:rsidRPr="00C002BF">
        <w:t>. . .</w:t>
      </w:r>
      <w:r>
        <w:t xml:space="preserve"> In addition to the linguistic dimension</w:t>
      </w:r>
      <w:r w:rsidR="006F304D" w:rsidRPr="006F304D">
        <w:t xml:space="preserve">, </w:t>
      </w:r>
      <w:r>
        <w:t>there is also a literary dimension</w:t>
      </w:r>
      <w:r w:rsidR="006F304D" w:rsidRPr="006F304D">
        <w:t xml:space="preserve">, </w:t>
      </w:r>
      <w:r>
        <w:t>which is a matter of plot</w:t>
      </w:r>
      <w:r w:rsidR="006F304D" w:rsidRPr="006F304D">
        <w:t xml:space="preserve">, </w:t>
      </w:r>
      <w:r>
        <w:t>character</w:t>
      </w:r>
      <w:r w:rsidR="006F304D" w:rsidRPr="006F304D">
        <w:t xml:space="preserve">, </w:t>
      </w:r>
      <w:r>
        <w:t>etc</w:t>
      </w:r>
      <w:r w:rsidRPr="00C002BF">
        <w:t>. . . .</w:t>
      </w:r>
      <w:r>
        <w:t xml:space="preserve"> there is</w:t>
      </w:r>
      <w:r w:rsidR="006F304D" w:rsidRPr="006F304D">
        <w:t xml:space="preserve">, </w:t>
      </w:r>
      <w:r>
        <w:t>in addition to the linguistic code</w:t>
      </w:r>
      <w:r w:rsidR="006F304D" w:rsidRPr="006F304D">
        <w:t xml:space="preserve">, </w:t>
      </w:r>
      <w:r>
        <w:t>a literary code—constituted</w:t>
      </w:r>
      <w:r w:rsidR="006F304D" w:rsidRPr="006F304D">
        <w:t xml:space="preserve">, </w:t>
      </w:r>
      <w:r>
        <w:t>in part</w:t>
      </w:r>
      <w:r w:rsidR="006F304D" w:rsidRPr="006F304D">
        <w:t xml:space="preserve">, </w:t>
      </w:r>
      <w:r>
        <w:t>by the laws of narrative construction</w:t>
      </w:r>
      <w:r w:rsidRPr="00C002BF">
        <w:t>. . . .</w:t>
      </w:r>
      <w:r>
        <w:t xml:space="preserve"> The primary unit of linguistics is the sentence</w:t>
      </w:r>
      <w:r w:rsidR="006F304D" w:rsidRPr="006F304D">
        <w:t xml:space="preserve">, </w:t>
      </w:r>
      <w:r>
        <w:t xml:space="preserve">whereas in criticism it is the text </w:t>
      </w:r>
      <w:r w:rsidRPr="00C002BF">
        <w:t>. . .</w:t>
      </w:r>
    </w:p>
  </w:footnote>
  <w:footnote w:id="59">
    <w:p w14:paraId="1C7166F5" w14:textId="77777777" w:rsidR="0018433B" w:rsidRDefault="0018433B" w:rsidP="0018433B">
      <w:pPr>
        <w:widowControl w:val="0"/>
      </w:pPr>
    </w:p>
    <w:p w14:paraId="45877E79" w14:textId="09EBB98D" w:rsidR="0018433B" w:rsidRDefault="0018433B" w:rsidP="0018433B">
      <w:pPr>
        <w:widowControl w:val="0"/>
      </w:pPr>
      <w:r>
        <w:rPr>
          <w:vertAlign w:val="superscript"/>
        </w:rPr>
        <w:footnoteRef/>
      </w:r>
      <w:r w:rsidRPr="00B14249">
        <w:t xml:space="preserve"> </w:t>
      </w:r>
      <w:r>
        <w:t>For the communicative process</w:t>
      </w:r>
      <w:r w:rsidR="006F304D" w:rsidRPr="006F304D">
        <w:t xml:space="preserve">, </w:t>
      </w:r>
      <w:r>
        <w:t>see I. A. Richards and C. K. Ogden</w:t>
      </w:r>
      <w:r w:rsidR="006F304D" w:rsidRPr="006F304D">
        <w:t xml:space="preserve">, </w:t>
      </w:r>
      <w:r>
        <w:rPr>
          <w:i/>
        </w:rPr>
        <w:t>The Meaning of Meaning</w:t>
      </w:r>
      <w:r w:rsidR="00AC038F" w:rsidRPr="00AC038F">
        <w:t xml:space="preserve">: </w:t>
      </w:r>
      <w:r>
        <w:rPr>
          <w:i/>
        </w:rPr>
        <w:t>A Study of the Influence of Language upon Thought and of the Science of Symbolism</w:t>
      </w:r>
      <w:r>
        <w:t xml:space="preserve"> (International Library of Psychology</w:t>
      </w:r>
      <w:r w:rsidR="006F304D" w:rsidRPr="006F304D">
        <w:t xml:space="preserve">, </w:t>
      </w:r>
      <w:r>
        <w:t>Philosophy</w:t>
      </w:r>
      <w:r w:rsidR="006F304D" w:rsidRPr="006F304D">
        <w:t xml:space="preserve">, </w:t>
      </w:r>
      <w:r>
        <w:t>and Scientific Method; 8th ed.; New York: Harcourt</w:t>
      </w:r>
      <w:r w:rsidR="006F304D" w:rsidRPr="006F304D">
        <w:t xml:space="preserve">, </w:t>
      </w:r>
      <w:r>
        <w:t>Brace</w:t>
      </w:r>
      <w:r w:rsidR="006F304D" w:rsidRPr="006F304D">
        <w:t xml:space="preserve">, </w:t>
      </w:r>
      <w:r>
        <w:t>&amp; World</w:t>
      </w:r>
      <w:r w:rsidR="006F304D" w:rsidRPr="006F304D">
        <w:t xml:space="preserve">, </w:t>
      </w:r>
      <w:r>
        <w:t>1946</w:t>
      </w:r>
      <w:r w:rsidR="006F304D" w:rsidRPr="006F304D">
        <w:t xml:space="preserve">, </w:t>
      </w:r>
      <w:r>
        <w:t>rpt. 1984).</w:t>
      </w:r>
    </w:p>
  </w:footnote>
  <w:footnote w:id="60">
    <w:p w14:paraId="7A0BCE02" w14:textId="3E8E44FC" w:rsidR="0018433B" w:rsidRDefault="0018433B" w:rsidP="0018433B">
      <w:pPr>
        <w:widowControl w:val="0"/>
      </w:pPr>
      <w:r>
        <w:rPr>
          <w:vertAlign w:val="superscript"/>
        </w:rPr>
        <w:footnoteRef/>
      </w:r>
      <w:r>
        <w:t xml:space="preserve"> The classification of approaches to literature according to this triad is already present in Aristotle’s </w:t>
      </w:r>
      <w:r>
        <w:rPr>
          <w:i/>
        </w:rPr>
        <w:t>Rhetoric</w:t>
      </w:r>
      <w:r>
        <w:t>: Book I presents rhetoric from the view of the speaker</w:t>
      </w:r>
      <w:r w:rsidR="006F304D" w:rsidRPr="006F304D">
        <w:t xml:space="preserve">, </w:t>
      </w:r>
      <w:r>
        <w:t>Book II from the view of the audience</w:t>
      </w:r>
      <w:r w:rsidR="006F304D" w:rsidRPr="006F304D">
        <w:t xml:space="preserve">, </w:t>
      </w:r>
      <w:r>
        <w:t>and Book III from the view of the speech itself (Charles Sears Baldwin</w:t>
      </w:r>
      <w:r w:rsidR="006F304D" w:rsidRPr="006F304D">
        <w:t xml:space="preserve">, </w:t>
      </w:r>
      <w:r>
        <w:rPr>
          <w:i/>
        </w:rPr>
        <w:t>Ancient Rhetoric and Poetic Interpreted from Representative Works</w:t>
      </w:r>
      <w:r>
        <w:t xml:space="preserve"> [New York: Macmillan</w:t>
      </w:r>
      <w:r w:rsidR="006F304D" w:rsidRPr="006F304D">
        <w:t xml:space="preserve">, </w:t>
      </w:r>
      <w:r>
        <w:t>1924] 21). For a recent statement</w:t>
      </w:r>
      <w:r w:rsidR="006F304D" w:rsidRPr="006F304D">
        <w:t xml:space="preserve">, </w:t>
      </w:r>
      <w:r>
        <w:t>see Todorov</w:t>
      </w:r>
      <w:r w:rsidR="006F304D" w:rsidRPr="006F304D">
        <w:t xml:space="preserve">, </w:t>
      </w:r>
      <w:r>
        <w:t>“French Poetics,” 2:</w:t>
      </w:r>
    </w:p>
    <w:p w14:paraId="31EB0BB4" w14:textId="77777777" w:rsidR="0018433B" w:rsidRDefault="0018433B" w:rsidP="0018433B">
      <w:pPr>
        <w:widowControl w:val="0"/>
      </w:pPr>
    </w:p>
    <w:p w14:paraId="212CBE4D" w14:textId="4B7DE174" w:rsidR="0018433B" w:rsidRDefault="0018433B" w:rsidP="0018433B">
      <w:pPr>
        <w:widowControl w:val="0"/>
        <w:ind w:left="720" w:right="720"/>
      </w:pPr>
      <w:r>
        <w:t>poetics has its own way of carving out its object of study: that object is the literary text</w:t>
      </w:r>
      <w:r w:rsidR="006F304D" w:rsidRPr="006F304D">
        <w:t xml:space="preserve">, </w:t>
      </w:r>
      <w:r>
        <w:t>or discourse</w:t>
      </w:r>
      <w:r w:rsidR="006F304D" w:rsidRPr="006F304D">
        <w:t xml:space="preserve">, </w:t>
      </w:r>
      <w:r>
        <w:t>rather than the process by which it is produced or received. Speaking of the totality of disciplines which have the arts as object</w:t>
      </w:r>
      <w:r w:rsidR="006F304D" w:rsidRPr="006F304D">
        <w:t xml:space="preserve">, </w:t>
      </w:r>
      <w:r>
        <w:t>René Passeron recently proposed the following classification: poietics</w:t>
      </w:r>
      <w:r w:rsidR="006F304D" w:rsidRPr="006F304D">
        <w:t xml:space="preserve">, </w:t>
      </w:r>
      <w:r>
        <w:t>or the study of production; the sciences of art</w:t>
      </w:r>
      <w:r w:rsidR="006F304D" w:rsidRPr="006F304D">
        <w:t xml:space="preserve">, </w:t>
      </w:r>
      <w:r>
        <w:t>hence of works of art</w:t>
      </w:r>
      <w:r w:rsidR="006F304D" w:rsidRPr="006F304D">
        <w:t xml:space="preserve">, </w:t>
      </w:r>
      <w:r>
        <w:t>including poetics</w:t>
      </w:r>
      <w:r w:rsidR="006F304D" w:rsidRPr="006F304D">
        <w:t xml:space="preserve">, </w:t>
      </w:r>
      <w:r>
        <w:t>musicology</w:t>
      </w:r>
      <w:r w:rsidR="006F304D" w:rsidRPr="006F304D">
        <w:t xml:space="preserve">, </w:t>
      </w:r>
      <w:r>
        <w:t>etc.; and aesthetics in the etymological sense—the study of the reception or perception of works of art.</w:t>
      </w:r>
    </w:p>
  </w:footnote>
  <w:footnote w:id="61">
    <w:p w14:paraId="4C8D5581" w14:textId="77777777" w:rsidR="0018433B" w:rsidRDefault="0018433B" w:rsidP="0018433B">
      <w:pPr>
        <w:widowControl w:val="0"/>
      </w:pPr>
    </w:p>
    <w:p w14:paraId="65162548" w14:textId="5241FC52" w:rsidR="0018433B" w:rsidRDefault="0018433B" w:rsidP="0018433B">
      <w:pPr>
        <w:widowControl w:val="0"/>
      </w:pPr>
      <w:r>
        <w:rPr>
          <w:vertAlign w:val="superscript"/>
        </w:rPr>
        <w:footnoteRef/>
      </w:r>
      <w:r w:rsidRPr="00B14249">
        <w:t xml:space="preserve"> </w:t>
      </w:r>
      <w:r>
        <w:t>This “sociological criticism” differs from that which is commonly found in exegesis (referred to above</w:t>
      </w:r>
      <w:r w:rsidR="006F304D" w:rsidRPr="006F304D">
        <w:t xml:space="preserve">, </w:t>
      </w:r>
      <w:r>
        <w:t>p.</w:t>
      </w:r>
      <w:r w:rsidR="001C646B" w:rsidRPr="001C646B">
        <w:rPr>
          <w:iCs/>
        </w:rPr>
        <w:t>)</w:t>
      </w:r>
      <w:r>
        <w:t xml:space="preserve">. The ends differ: in </w:t>
      </w:r>
      <w:r>
        <w:rPr>
          <w:i/>
        </w:rPr>
        <w:t>historical</w:t>
      </w:r>
      <w:r>
        <w:t xml:space="preserve"> sociological criticism</w:t>
      </w:r>
      <w:r w:rsidR="006F304D" w:rsidRPr="006F304D">
        <w:t xml:space="preserve">, </w:t>
      </w:r>
      <w:r>
        <w:t>the text is used to understand the society</w:t>
      </w:r>
      <w:r w:rsidR="006F304D" w:rsidRPr="006F304D">
        <w:t xml:space="preserve">, </w:t>
      </w:r>
      <w:r>
        <w:t xml:space="preserve">and so the purpose is historical; in </w:t>
      </w:r>
      <w:r>
        <w:rPr>
          <w:i/>
        </w:rPr>
        <w:t>literary</w:t>
      </w:r>
      <w:r>
        <w:t xml:space="preserve"> sociological criticism</w:t>
      </w:r>
      <w:r w:rsidR="006F304D" w:rsidRPr="006F304D">
        <w:t xml:space="preserve">, </w:t>
      </w:r>
      <w:r>
        <w:t>the society is used to understand the text</w:t>
      </w:r>
      <w:r w:rsidR="006F304D" w:rsidRPr="006F304D">
        <w:t xml:space="preserve">, </w:t>
      </w:r>
      <w:r>
        <w:t>and so the purpose is literary. A succinct presentation of the principles of sociological criticism in this second sense can be found in Philip F. Esler</w:t>
      </w:r>
      <w:r w:rsidR="006F304D" w:rsidRPr="006F304D">
        <w:t xml:space="preserve">, </w:t>
      </w:r>
      <w:r>
        <w:rPr>
          <w:i/>
        </w:rPr>
        <w:t>Community and Gospel in Luke-Acts</w:t>
      </w:r>
      <w:r w:rsidR="00AC038F" w:rsidRPr="00AC038F">
        <w:t xml:space="preserve">: </w:t>
      </w:r>
      <w:r>
        <w:rPr>
          <w:i/>
        </w:rPr>
        <w:t>The Social and Political Motivations of Lucan Theology</w:t>
      </w:r>
      <w:r>
        <w:t xml:space="preserve"> (</w:t>
      </w:r>
      <w:r w:rsidR="00826EC1" w:rsidRPr="00826EC1">
        <w:rPr>
          <w:iCs/>
        </w:rPr>
        <w:t>Society for New Testament Studies Monograph Series</w:t>
      </w:r>
      <w:r>
        <w:t xml:space="preserve"> 57; </w:t>
      </w:r>
      <w:r w:rsidR="00E366BA" w:rsidRPr="00E366BA">
        <w:rPr>
          <w:iCs/>
        </w:rPr>
        <w:t>Cambridge: CUP</w:t>
      </w:r>
      <w:r w:rsidR="006F304D" w:rsidRPr="006F304D">
        <w:t xml:space="preserve">, </w:t>
      </w:r>
      <w:r>
        <w:t>1987) 1-16.</w:t>
      </w:r>
    </w:p>
  </w:footnote>
  <w:footnote w:id="62">
    <w:p w14:paraId="1DA118D2" w14:textId="77777777" w:rsidR="0018433B" w:rsidRDefault="0018433B" w:rsidP="0018433B">
      <w:pPr>
        <w:widowControl w:val="0"/>
      </w:pPr>
      <w:r>
        <w:rPr>
          <w:vertAlign w:val="superscript"/>
        </w:rPr>
        <w:footnoteRef/>
      </w:r>
      <w:r>
        <w:t xml:space="preserve"> These terms will be explained in the remainder of this section.</w:t>
      </w:r>
    </w:p>
  </w:footnote>
  <w:footnote w:id="63">
    <w:p w14:paraId="4841E5B6" w14:textId="1F584B2B" w:rsidR="0018433B" w:rsidRDefault="0018433B" w:rsidP="0018433B">
      <w:pPr>
        <w:widowControl w:val="0"/>
      </w:pPr>
      <w:r>
        <w:rPr>
          <w:vertAlign w:val="superscript"/>
        </w:rPr>
        <w:footnoteRef/>
      </w:r>
      <w:r>
        <w:t xml:space="preserve"> See</w:t>
      </w:r>
      <w:r w:rsidR="006F304D" w:rsidRPr="006F304D">
        <w:t xml:space="preserve">, </w:t>
      </w:r>
      <w:r>
        <w:t>for example</w:t>
      </w:r>
      <w:r w:rsidR="006F304D" w:rsidRPr="006F304D">
        <w:t xml:space="preserve">, </w:t>
      </w:r>
      <w:r w:rsidR="00E95268" w:rsidRPr="00E95268">
        <w:rPr>
          <w:iCs/>
        </w:rPr>
        <w:t>C.S.</w:t>
      </w:r>
      <w:r>
        <w:t xml:space="preserve"> Lewis</w:t>
      </w:r>
      <w:r w:rsidR="006F304D" w:rsidRPr="006F304D">
        <w:t xml:space="preserve">, </w:t>
      </w:r>
      <w:r>
        <w:rPr>
          <w:i/>
        </w:rPr>
        <w:t>An Experiment in Criticism</w:t>
      </w:r>
      <w:r>
        <w:t xml:space="preserve"> (</w:t>
      </w:r>
      <w:r w:rsidR="00E366BA" w:rsidRPr="00E366BA">
        <w:rPr>
          <w:iCs/>
        </w:rPr>
        <w:t>Cambridge: CUP</w:t>
      </w:r>
      <w:r w:rsidR="006F304D" w:rsidRPr="006F304D">
        <w:t xml:space="preserve">, </w:t>
      </w:r>
      <w:r>
        <w:t>1961); I. A. Richards</w:t>
      </w:r>
      <w:r w:rsidR="006F304D" w:rsidRPr="006F304D">
        <w:t xml:space="preserve">, </w:t>
      </w:r>
      <w:r>
        <w:rPr>
          <w:i/>
        </w:rPr>
        <w:t>The Philosophy of Rhetoric</w:t>
      </w:r>
      <w:r>
        <w:t xml:space="preserve"> (New York: Oxford University</w:t>
      </w:r>
      <w:r w:rsidR="006F304D" w:rsidRPr="006F304D">
        <w:t xml:space="preserve">, </w:t>
      </w:r>
      <w:r>
        <w:t>1965).</w:t>
      </w:r>
    </w:p>
  </w:footnote>
  <w:footnote w:id="64">
    <w:p w14:paraId="23166484" w14:textId="296CF745" w:rsidR="0018433B" w:rsidRDefault="0018433B" w:rsidP="0018433B">
      <w:pPr>
        <w:widowControl w:val="0"/>
      </w:pPr>
      <w:r>
        <w:rPr>
          <w:vertAlign w:val="superscript"/>
        </w:rPr>
        <w:footnoteRef/>
      </w:r>
      <w:r>
        <w:t xml:space="preserve"> Seymour Chatman</w:t>
      </w:r>
      <w:r w:rsidR="006F304D" w:rsidRPr="006F304D">
        <w:t xml:space="preserve">, </w:t>
      </w:r>
      <w:r>
        <w:t>ed.</w:t>
      </w:r>
      <w:r w:rsidR="006F304D" w:rsidRPr="006F304D">
        <w:t xml:space="preserve">, </w:t>
      </w:r>
      <w:r>
        <w:rPr>
          <w:i/>
        </w:rPr>
        <w:t>Approaches to Poetics</w:t>
      </w:r>
      <w:r w:rsidR="00AC038F" w:rsidRPr="00AC038F">
        <w:t xml:space="preserve">: </w:t>
      </w:r>
      <w:r>
        <w:rPr>
          <w:i/>
        </w:rPr>
        <w:t>Selected Papers from the English Institute</w:t>
      </w:r>
      <w:r>
        <w:t xml:space="preserve"> (New York: Columbia University</w:t>
      </w:r>
      <w:r w:rsidR="006F304D" w:rsidRPr="006F304D">
        <w:t xml:space="preserve">, </w:t>
      </w:r>
      <w:r>
        <w:t>1973); Wolfgang Iser</w:t>
      </w:r>
      <w:r w:rsidR="006F304D" w:rsidRPr="006F304D">
        <w:t xml:space="preserve">, </w:t>
      </w:r>
      <w:r>
        <w:t xml:space="preserve">“Indeterminacy and the Reader’s Response in Prose Fiction,” in </w:t>
      </w:r>
      <w:r>
        <w:rPr>
          <w:i/>
        </w:rPr>
        <w:t>Aspects of Narrative</w:t>
      </w:r>
      <w:r w:rsidR="00AC038F" w:rsidRPr="00AC038F">
        <w:t xml:space="preserve">: </w:t>
      </w:r>
      <w:r>
        <w:rPr>
          <w:i/>
        </w:rPr>
        <w:t>Selected Papers from the English Institute</w:t>
      </w:r>
      <w:r>
        <w:t xml:space="preserve"> (ed. J. Hillis Miller; New York: Columbia University</w:t>
      </w:r>
      <w:r w:rsidR="006F304D" w:rsidRPr="006F304D">
        <w:t xml:space="preserve">, </w:t>
      </w:r>
      <w:r>
        <w:t xml:space="preserve">1971); </w:t>
      </w:r>
      <w:r>
        <w:rPr>
          <w:i/>
        </w:rPr>
        <w:t>idem</w:t>
      </w:r>
      <w:r w:rsidR="006F304D" w:rsidRPr="006F304D">
        <w:t xml:space="preserve">, </w:t>
      </w:r>
      <w:r>
        <w:t xml:space="preserve">“The Reading Process: A Phenomenological Approach,” in </w:t>
      </w:r>
      <w:r>
        <w:rPr>
          <w:i/>
        </w:rPr>
        <w:t>New Directions in Literary History</w:t>
      </w:r>
      <w:r>
        <w:t xml:space="preserve"> (ed. Ralph Cohen; Baltimore: Johns Hopkins University</w:t>
      </w:r>
      <w:r w:rsidR="006F304D" w:rsidRPr="006F304D">
        <w:t xml:space="preserve">, </w:t>
      </w:r>
      <w:r>
        <w:t xml:space="preserve">1974); </w:t>
      </w:r>
      <w:r>
        <w:rPr>
          <w:i/>
        </w:rPr>
        <w:t>idem</w:t>
      </w:r>
      <w:r w:rsidR="006F304D" w:rsidRPr="006F304D">
        <w:t xml:space="preserve">, </w:t>
      </w:r>
      <w:r>
        <w:rPr>
          <w:i/>
        </w:rPr>
        <w:t>The Implied Reader</w:t>
      </w:r>
      <w:r w:rsidR="00AC038F" w:rsidRPr="00AC038F">
        <w:t xml:space="preserve">: </w:t>
      </w:r>
      <w:r>
        <w:rPr>
          <w:i/>
        </w:rPr>
        <w:t>Patterns of Communication in Prose Fiction from Bunyan to Beckett</w:t>
      </w:r>
      <w:r>
        <w:t xml:space="preserve"> (Baltimore: Johns Hopkins University</w:t>
      </w:r>
      <w:r w:rsidR="006F304D" w:rsidRPr="006F304D">
        <w:t xml:space="preserve">, </w:t>
      </w:r>
      <w:r>
        <w:t xml:space="preserve">1974); </w:t>
      </w:r>
      <w:r>
        <w:rPr>
          <w:i/>
        </w:rPr>
        <w:t>idem</w:t>
      </w:r>
      <w:r w:rsidR="006F304D" w:rsidRPr="006F304D">
        <w:t xml:space="preserve">, </w:t>
      </w:r>
      <w:r>
        <w:rPr>
          <w:i/>
        </w:rPr>
        <w:t>The Act of Reading</w:t>
      </w:r>
      <w:r w:rsidR="00AC038F" w:rsidRPr="00AC038F">
        <w:t xml:space="preserve">: </w:t>
      </w:r>
      <w:r>
        <w:rPr>
          <w:i/>
        </w:rPr>
        <w:t>A Theory of Aesthetic Response</w:t>
      </w:r>
      <w:r>
        <w:t xml:space="preserve"> (Baltimore: Johns Hopkins University</w:t>
      </w:r>
      <w:r w:rsidR="006F304D" w:rsidRPr="006F304D">
        <w:t xml:space="preserve">, </w:t>
      </w:r>
      <w:r>
        <w:t>1978); Meir Sternberg</w:t>
      </w:r>
      <w:r w:rsidR="006F304D" w:rsidRPr="006F304D">
        <w:t xml:space="preserve">, </w:t>
      </w:r>
      <w:r>
        <w:rPr>
          <w:i/>
        </w:rPr>
        <w:t>The Poetics of Biblical Narrative</w:t>
      </w:r>
      <w:r w:rsidR="00AC038F" w:rsidRPr="00AC038F">
        <w:t xml:space="preserve">: </w:t>
      </w:r>
      <w:r>
        <w:rPr>
          <w:i/>
        </w:rPr>
        <w:t>Ideological Literature and the Drama of Reading</w:t>
      </w:r>
      <w:r>
        <w:t xml:space="preserve"> (</w:t>
      </w:r>
      <w:r w:rsidR="00C45D7C" w:rsidRPr="00C45D7C">
        <w:rPr>
          <w:iCs/>
        </w:rPr>
        <w:t>Bloomington IN: Indiana UP</w:t>
      </w:r>
      <w:r w:rsidR="006F304D" w:rsidRPr="006F304D">
        <w:t xml:space="preserve">, </w:t>
      </w:r>
      <w:r>
        <w:t>1985).</w:t>
      </w:r>
    </w:p>
  </w:footnote>
  <w:footnote w:id="65">
    <w:p w14:paraId="2D1AD6EC" w14:textId="6CC774DA" w:rsidR="0018433B" w:rsidRDefault="0018433B" w:rsidP="0018433B">
      <w:pPr>
        <w:widowControl w:val="0"/>
      </w:pPr>
      <w:r>
        <w:rPr>
          <w:vertAlign w:val="superscript"/>
        </w:rPr>
        <w:footnoteRef/>
      </w:r>
      <w:r>
        <w:t xml:space="preserve"> See especially I. A. Richards</w:t>
      </w:r>
      <w:r w:rsidR="006F304D" w:rsidRPr="006F304D">
        <w:t xml:space="preserve">, </w:t>
      </w:r>
      <w:r>
        <w:rPr>
          <w:i/>
        </w:rPr>
        <w:t>Practical Criticism</w:t>
      </w:r>
      <w:r w:rsidR="00AC038F" w:rsidRPr="00AC038F">
        <w:t xml:space="preserve">: </w:t>
      </w:r>
      <w:r>
        <w:rPr>
          <w:i/>
        </w:rPr>
        <w:t>A Study of Literature and Judgment</w:t>
      </w:r>
      <w:r>
        <w:t xml:space="preserve"> (London: Kegan Paul</w:t>
      </w:r>
      <w:r w:rsidR="006F304D" w:rsidRPr="006F304D">
        <w:t xml:space="preserve">, </w:t>
      </w:r>
      <w:r>
        <w:t>1924; rpt.</w:t>
      </w:r>
      <w:r w:rsidR="006F304D" w:rsidRPr="006F304D">
        <w:t xml:space="preserve">, </w:t>
      </w:r>
      <w:r>
        <w:t>New York: Harcourt</w:t>
      </w:r>
      <w:r w:rsidR="006F304D" w:rsidRPr="006F304D">
        <w:t xml:space="preserve">, </w:t>
      </w:r>
      <w:r>
        <w:t>Brace</w:t>
      </w:r>
      <w:r w:rsidR="006F304D" w:rsidRPr="006F304D">
        <w:t xml:space="preserve">, </w:t>
      </w:r>
      <w:r>
        <w:t>&amp; World</w:t>
      </w:r>
      <w:r w:rsidR="006F304D" w:rsidRPr="006F304D">
        <w:t xml:space="preserve">, </w:t>
      </w:r>
      <w:r>
        <w:t>1962).</w:t>
      </w:r>
    </w:p>
  </w:footnote>
  <w:footnote w:id="66">
    <w:p w14:paraId="79B3F3B2" w14:textId="18EDA075" w:rsidR="0018433B" w:rsidRDefault="0018433B" w:rsidP="0018433B">
      <w:pPr>
        <w:widowControl w:val="0"/>
      </w:pPr>
      <w:r>
        <w:rPr>
          <w:vertAlign w:val="superscript"/>
        </w:rPr>
        <w:footnoteRef/>
      </w:r>
      <w:r>
        <w:t xml:space="preserve"> The distinction between the real and the implied reader in a literary work stems from Wayne C. Booth</w:t>
      </w:r>
      <w:r w:rsidR="006F304D" w:rsidRPr="006F304D">
        <w:t xml:space="preserve">, </w:t>
      </w:r>
      <w:r>
        <w:rPr>
          <w:i/>
        </w:rPr>
        <w:t>The Rhetoric of Fiction</w:t>
      </w:r>
      <w:r>
        <w:t xml:space="preserve"> (</w:t>
      </w:r>
      <w:r w:rsidR="000644ED" w:rsidRPr="000644ED">
        <w:rPr>
          <w:iCs/>
        </w:rPr>
        <w:t>Chicago: U of Chicago P</w:t>
      </w:r>
      <w:r w:rsidR="006F304D" w:rsidRPr="006F304D">
        <w:t xml:space="preserve">, </w:t>
      </w:r>
      <w:r>
        <w:t>1961</w:t>
      </w:r>
      <w:r w:rsidR="006F304D" w:rsidRPr="006F304D">
        <w:t xml:space="preserve">, </w:t>
      </w:r>
      <w:r>
        <w:t>1983</w:t>
      </w:r>
      <w:r>
        <w:rPr>
          <w:vertAlign w:val="superscript"/>
        </w:rPr>
        <w:t>2</w:t>
      </w:r>
      <w:r>
        <w:t>).</w:t>
      </w:r>
    </w:p>
  </w:footnote>
  <w:footnote w:id="67">
    <w:p w14:paraId="0798FD50" w14:textId="0832F351" w:rsidR="0018433B" w:rsidRDefault="0018433B" w:rsidP="0018433B">
      <w:pPr>
        <w:widowControl w:val="0"/>
      </w:pPr>
      <w:r>
        <w:rPr>
          <w:vertAlign w:val="superscript"/>
        </w:rPr>
        <w:footnoteRef/>
      </w:r>
      <w:r>
        <w:t xml:space="preserve"> Chatman</w:t>
      </w:r>
      <w:r w:rsidR="006F304D" w:rsidRPr="006F304D">
        <w:t xml:space="preserve">, </w:t>
      </w:r>
      <w:r>
        <w:t>it is true</w:t>
      </w:r>
      <w:r w:rsidR="006F304D" w:rsidRPr="006F304D">
        <w:t xml:space="preserve">, </w:t>
      </w:r>
      <w:r>
        <w:t>divides up a narrative into “episodes” and “satellite events.” But this is only an incidental move in his overall method.</w:t>
      </w:r>
    </w:p>
  </w:footnote>
  <w:footnote w:id="68">
    <w:p w14:paraId="133A8D1A" w14:textId="0210E59C" w:rsidR="0018433B" w:rsidRDefault="0018433B" w:rsidP="0018433B">
      <w:pPr>
        <w:widowControl w:val="0"/>
      </w:pPr>
      <w:r>
        <w:rPr>
          <w:vertAlign w:val="superscript"/>
        </w:rPr>
        <w:footnoteRef/>
      </w:r>
      <w:r>
        <w:t xml:space="preserve"> Todorov</w:t>
      </w:r>
      <w:r w:rsidR="006F304D" w:rsidRPr="006F304D">
        <w:t xml:space="preserve">, </w:t>
      </w:r>
      <w:r>
        <w:t xml:space="preserve">“L’héritage,” 9: “literary studies which developed in Russia during the years 1915-1930 </w:t>
      </w:r>
      <w:r w:rsidRPr="00C002BF">
        <w:t>. . .</w:t>
      </w:r>
      <w:r>
        <w:t xml:space="preserve"> are known by the name</w:t>
      </w:r>
      <w:r w:rsidR="006F304D" w:rsidRPr="006F304D">
        <w:t xml:space="preserve">, </w:t>
      </w:r>
      <w:r>
        <w:t xml:space="preserve">‘Russian formalism’ </w:t>
      </w:r>
      <w:r w:rsidRPr="00C002BF">
        <w:t>. . .</w:t>
      </w:r>
      <w:r>
        <w:t xml:space="preserve">” Lévi-Strauss gives the same dates (“Structure and Form: Reflections on a Work by Vladimir Propp,” </w:t>
      </w:r>
      <w:r>
        <w:rPr>
          <w:i/>
        </w:rPr>
        <w:t>Structural Anthropology</w:t>
      </w:r>
      <w:r w:rsidR="006F304D" w:rsidRPr="006F304D">
        <w:t xml:space="preserve">, </w:t>
      </w:r>
      <w:r>
        <w:t xml:space="preserve">2. </w:t>
      </w:r>
      <w:r w:rsidRPr="00E5413C">
        <w:rPr>
          <w:lang w:val="fr-FR"/>
        </w:rPr>
        <w:t xml:space="preserve">116; originally published as “La structure et la forme: reflexions sur un ouvrage de Vladimir Propp,” </w:t>
      </w:r>
      <w:r w:rsidRPr="00E5413C">
        <w:rPr>
          <w:i/>
          <w:lang w:val="fr-FR"/>
        </w:rPr>
        <w:t>Cahiers de l’Institute de Science économique appliquée</w:t>
      </w:r>
      <w:r w:rsidR="006F304D" w:rsidRPr="00E5413C">
        <w:rPr>
          <w:lang w:val="fr-FR"/>
        </w:rPr>
        <w:t xml:space="preserve">, </w:t>
      </w:r>
      <w:r w:rsidRPr="00E5413C">
        <w:rPr>
          <w:lang w:val="fr-FR"/>
        </w:rPr>
        <w:t xml:space="preserve">series M no. 7 [1960] 1-36). </w:t>
      </w:r>
      <w:r>
        <w:t>Todorov (“L’héritage,” 9) mentions as Russian formalists: L. Jakubinski</w:t>
      </w:r>
      <w:r w:rsidR="006F304D" w:rsidRPr="006F304D">
        <w:t xml:space="preserve">, </w:t>
      </w:r>
      <w:r>
        <w:t>O. Brik (the first to produce formalist works</w:t>
      </w:r>
      <w:r w:rsidR="006F304D" w:rsidRPr="006F304D">
        <w:t xml:space="preserve">, </w:t>
      </w:r>
      <w:r>
        <w:t>according to Lévi-Strauss</w:t>
      </w:r>
      <w:r w:rsidR="006F304D" w:rsidRPr="006F304D">
        <w:t xml:space="preserve">, </w:t>
      </w:r>
      <w:r>
        <w:t>“Structure,” 2. 114)</w:t>
      </w:r>
      <w:r w:rsidR="006F304D" w:rsidRPr="006F304D">
        <w:t xml:space="preserve">, </w:t>
      </w:r>
      <w:r>
        <w:t>S. Bernstein</w:t>
      </w:r>
      <w:r w:rsidR="006F304D" w:rsidRPr="006F304D">
        <w:t xml:space="preserve">, </w:t>
      </w:r>
      <w:r>
        <w:t>P. G. Bogatyrev</w:t>
      </w:r>
      <w:r w:rsidR="006F304D" w:rsidRPr="006F304D">
        <w:t xml:space="preserve">, </w:t>
      </w:r>
      <w:r>
        <w:t>V. Chklovski</w:t>
      </w:r>
      <w:r w:rsidR="006F304D" w:rsidRPr="006F304D">
        <w:t xml:space="preserve">, </w:t>
      </w:r>
      <w:r>
        <w:t>B. Eikhenbaum</w:t>
      </w:r>
      <w:r w:rsidR="006F304D" w:rsidRPr="006F304D">
        <w:t xml:space="preserve">, </w:t>
      </w:r>
      <w:r>
        <w:t>Roman Jakobson</w:t>
      </w:r>
      <w:r w:rsidR="006F304D" w:rsidRPr="006F304D">
        <w:t xml:space="preserve">, </w:t>
      </w:r>
      <w:r>
        <w:t>Vladimir Propp</w:t>
      </w:r>
      <w:r w:rsidR="006F304D" w:rsidRPr="006F304D">
        <w:t xml:space="preserve">, </w:t>
      </w:r>
      <w:r>
        <w:t>A. Skaftymov</w:t>
      </w:r>
      <w:r w:rsidR="006F304D" w:rsidRPr="006F304D">
        <w:t xml:space="preserve">, </w:t>
      </w:r>
      <w:r>
        <w:t>B. Tomachevski</w:t>
      </w:r>
      <w:r w:rsidR="006F304D" w:rsidRPr="006F304D">
        <w:t xml:space="preserve">, </w:t>
      </w:r>
      <w:r>
        <w:t>J. Tynianov</w:t>
      </w:r>
      <w:r w:rsidR="006F304D" w:rsidRPr="006F304D">
        <w:t xml:space="preserve">, </w:t>
      </w:r>
      <w:r>
        <w:t>and V. Vinogradov. Three of these (Bogatyrev</w:t>
      </w:r>
      <w:r w:rsidR="006F304D" w:rsidRPr="006F304D">
        <w:t xml:space="preserve">, </w:t>
      </w:r>
      <w:r>
        <w:t>Jakobson</w:t>
      </w:r>
      <w:r w:rsidR="006F304D" w:rsidRPr="006F304D">
        <w:t xml:space="preserve">, </w:t>
      </w:r>
      <w:r>
        <w:t>and Tomachevski) also became members of the later Prague circle (see above</w:t>
      </w:r>
      <w:r w:rsidR="006F304D" w:rsidRPr="006F304D">
        <w:t xml:space="preserve">, </w:t>
      </w:r>
      <w:r>
        <w:t>p.</w:t>
      </w:r>
      <w:r w:rsidRPr="00C002BF">
        <w:t xml:space="preserve"> </w:t>
      </w:r>
      <w:r>
        <w:t>n.</w:t>
      </w:r>
      <w:r w:rsidR="001C646B" w:rsidRPr="001C646B">
        <w:rPr>
          <w:iCs/>
        </w:rPr>
        <w:t>)</w:t>
      </w:r>
      <w:r>
        <w:t>.</w:t>
      </w:r>
    </w:p>
  </w:footnote>
  <w:footnote w:id="69">
    <w:p w14:paraId="4843EA46" w14:textId="16616627" w:rsidR="0018433B" w:rsidRDefault="0018433B" w:rsidP="0018433B">
      <w:pPr>
        <w:widowControl w:val="0"/>
      </w:pPr>
      <w:r>
        <w:rPr>
          <w:vertAlign w:val="superscript"/>
        </w:rPr>
        <w:footnoteRef/>
      </w:r>
      <w:r>
        <w:t xml:space="preserve"> Todorov</w:t>
      </w:r>
      <w:r w:rsidR="006F304D" w:rsidRPr="006F304D">
        <w:t xml:space="preserve">, </w:t>
      </w:r>
      <w:r>
        <w:t>“L’héritage,” 10.</w:t>
      </w:r>
    </w:p>
  </w:footnote>
  <w:footnote w:id="70">
    <w:p w14:paraId="707F525F" w14:textId="452BAD8C" w:rsidR="0018433B" w:rsidRDefault="0018433B" w:rsidP="0018433B">
      <w:pPr>
        <w:widowControl w:val="0"/>
      </w:pPr>
      <w:r w:rsidRPr="003C3090">
        <w:rPr>
          <w:vertAlign w:val="superscript"/>
        </w:rPr>
        <w:footnoteRef/>
      </w:r>
      <w:r w:rsidRPr="003C3090">
        <w:t xml:space="preserve"> </w:t>
      </w:r>
      <w:r>
        <w:rPr>
          <w:i/>
        </w:rPr>
        <w:t>French Literary Theory</w:t>
      </w:r>
      <w:r w:rsidR="006F304D" w:rsidRPr="006F304D">
        <w:t xml:space="preserve">, </w:t>
      </w:r>
      <w:r>
        <w:t>4:</w:t>
      </w:r>
    </w:p>
    <w:p w14:paraId="5F8809A2" w14:textId="77777777" w:rsidR="0018433B" w:rsidRDefault="0018433B" w:rsidP="0018433B">
      <w:pPr>
        <w:widowControl w:val="0"/>
      </w:pPr>
    </w:p>
    <w:p w14:paraId="00E68743" w14:textId="3F96232D" w:rsidR="0018433B" w:rsidRDefault="0018433B" w:rsidP="0018433B">
      <w:pPr>
        <w:widowControl w:val="0"/>
        <w:ind w:left="720" w:right="720"/>
      </w:pPr>
      <w:r>
        <w:t>there is a refusal [in recent French poetics] of exogenesis</w:t>
      </w:r>
      <w:r w:rsidR="006F304D" w:rsidRPr="006F304D">
        <w:t xml:space="preserve">, </w:t>
      </w:r>
      <w:r>
        <w:t>of the study of extratextual relations</w:t>
      </w:r>
      <w:r w:rsidR="006F304D" w:rsidRPr="006F304D">
        <w:t xml:space="preserve">, </w:t>
      </w:r>
      <w:r>
        <w:t>and</w:t>
      </w:r>
      <w:r w:rsidR="006F304D" w:rsidRPr="006F304D">
        <w:t xml:space="preserve">, </w:t>
      </w:r>
      <w:r>
        <w:t>in particular</w:t>
      </w:r>
      <w:r w:rsidR="006F304D" w:rsidRPr="006F304D">
        <w:t xml:space="preserve">, </w:t>
      </w:r>
      <w:r>
        <w:t>of the representation of reality. This latter choice is unambiguously romantic (we know independently of the romantic origins of all twentieth-century formalist criticism</w:t>
      </w:r>
      <w:r w:rsidR="006F304D" w:rsidRPr="006F304D">
        <w:t xml:space="preserve">, </w:t>
      </w:r>
      <w:r>
        <w:t xml:space="preserve">which is the immediate predecessor of poetics): the opposition between the classical and the romantic aesthetic might be characterized summarily as this eviction of </w:t>
      </w:r>
      <w:r>
        <w:rPr>
          <w:i/>
        </w:rPr>
        <w:t>mimesis</w:t>
      </w:r>
      <w:r>
        <w:t xml:space="preserve"> </w:t>
      </w:r>
      <w:r w:rsidRPr="00C002BF">
        <w:t>. . .</w:t>
      </w:r>
    </w:p>
  </w:footnote>
  <w:footnote w:id="71">
    <w:p w14:paraId="26DFCF09" w14:textId="77777777" w:rsidR="0018433B" w:rsidRDefault="0018433B" w:rsidP="0018433B">
      <w:pPr>
        <w:widowControl w:val="0"/>
      </w:pPr>
    </w:p>
    <w:p w14:paraId="731660DD" w14:textId="343C0DD5" w:rsidR="0018433B" w:rsidRDefault="0018433B" w:rsidP="0018433B">
      <w:pPr>
        <w:widowControl w:val="0"/>
      </w:pPr>
      <w:r>
        <w:rPr>
          <w:vertAlign w:val="superscript"/>
        </w:rPr>
        <w:footnoteRef/>
      </w:r>
      <w:r w:rsidRPr="00B14249">
        <w:t xml:space="preserve"> </w:t>
      </w:r>
      <w:r>
        <w:t>Ibid.</w:t>
      </w:r>
      <w:r w:rsidR="006F304D" w:rsidRPr="006F304D">
        <w:t xml:space="preserve">, </w:t>
      </w:r>
      <w:r>
        <w:t>19: “An elementary analysis of several works of literature immediately reveals a great number of resemblances and common traits. An analogous approach gave birth to the formal study of literature</w:t>
      </w:r>
      <w:r w:rsidR="006F304D" w:rsidRPr="006F304D">
        <w:t xml:space="preserve">, </w:t>
      </w:r>
      <w:r>
        <w:t>as is shown by the works of A. N. Veselovski</w:t>
      </w:r>
      <w:r w:rsidR="006F304D" w:rsidRPr="006F304D">
        <w:t xml:space="preserve">, </w:t>
      </w:r>
      <w:r>
        <w:t>the eminent predecessor of the formalists.”</w:t>
      </w:r>
    </w:p>
  </w:footnote>
  <w:footnote w:id="72">
    <w:p w14:paraId="3C8EE666" w14:textId="6126EE55" w:rsidR="0018433B" w:rsidRDefault="0018433B" w:rsidP="0018433B">
      <w:pPr>
        <w:widowControl w:val="0"/>
      </w:pPr>
      <w:r>
        <w:rPr>
          <w:vertAlign w:val="superscript"/>
        </w:rPr>
        <w:footnoteRef/>
      </w:r>
      <w:r>
        <w:t xml:space="preserve"> It is found already in Roman Jakobson</w:t>
      </w:r>
      <w:r w:rsidR="006F304D" w:rsidRPr="006F304D">
        <w:t xml:space="preserve">, </w:t>
      </w:r>
      <w:r>
        <w:t xml:space="preserve">“Principes de phonologie historique,” in </w:t>
      </w:r>
      <w:r>
        <w:rPr>
          <w:i/>
        </w:rPr>
        <w:t>Principes de phonologie</w:t>
      </w:r>
      <w:r>
        <w:t xml:space="preserve"> (ed. N. S. Trubetzkoy; French: Paris</w:t>
      </w:r>
      <w:r w:rsidR="006F304D" w:rsidRPr="006F304D">
        <w:t xml:space="preserve">, </w:t>
      </w:r>
      <w:r>
        <w:t>1949) 333-34 (cited in Lévi-Strauss</w:t>
      </w:r>
      <w:r w:rsidR="006F304D" w:rsidRPr="006F304D">
        <w:t xml:space="preserve">, </w:t>
      </w:r>
      <w:r>
        <w:rPr>
          <w:i/>
        </w:rPr>
        <w:t>Structural Anthropology</w:t>
      </w:r>
      <w:r w:rsidR="006F304D" w:rsidRPr="006F304D">
        <w:t xml:space="preserve">, </w:t>
      </w:r>
      <w:r>
        <w:t>1. 88-89</w:t>
      </w:r>
      <w:r w:rsidR="006F304D" w:rsidRPr="006F304D">
        <w:t xml:space="preserve">, </w:t>
      </w:r>
      <w:r>
        <w:t>96).</w:t>
      </w:r>
    </w:p>
  </w:footnote>
  <w:footnote w:id="73">
    <w:p w14:paraId="5129ACB2" w14:textId="31960B35" w:rsidR="0018433B" w:rsidRDefault="0018433B" w:rsidP="0018433B">
      <w:pPr>
        <w:widowControl w:val="0"/>
      </w:pPr>
      <w:r>
        <w:rPr>
          <w:vertAlign w:val="superscript"/>
        </w:rPr>
        <w:footnoteRef/>
      </w:r>
      <w:r>
        <w:t xml:space="preserve"> See V. Vinogradov</w:t>
      </w:r>
      <w:r w:rsidR="006F304D" w:rsidRPr="006F304D">
        <w:t xml:space="preserve">, </w:t>
      </w:r>
      <w:r>
        <w:t>quoted in Tzvetan Todorov</w:t>
      </w:r>
      <w:r w:rsidR="006F304D" w:rsidRPr="006F304D">
        <w:t xml:space="preserve">, </w:t>
      </w:r>
      <w:r>
        <w:t>ed.</w:t>
      </w:r>
      <w:r w:rsidR="006F304D" w:rsidRPr="006F304D">
        <w:t xml:space="preserve">, </w:t>
      </w:r>
      <w:r>
        <w:rPr>
          <w:i/>
        </w:rPr>
        <w:t>Théorie de la littérature</w:t>
      </w:r>
      <w:r w:rsidR="006F304D" w:rsidRPr="006F304D">
        <w:t xml:space="preserve">, </w:t>
      </w:r>
      <w:r>
        <w:rPr>
          <w:i/>
        </w:rPr>
        <w:t>textes des Formalistes russes</w:t>
      </w:r>
      <w:r>
        <w:t xml:space="preserve"> («Tel quel» series; Paris: Seuil</w:t>
      </w:r>
      <w:r w:rsidR="006F304D" w:rsidRPr="006F304D">
        <w:t xml:space="preserve">, </w:t>
      </w:r>
      <w:r>
        <w:t>1965) 109: “To know the individual style of a writer independently of all tradition</w:t>
      </w:r>
      <w:r w:rsidR="006F304D" w:rsidRPr="006F304D">
        <w:t xml:space="preserve">, </w:t>
      </w:r>
      <w:r>
        <w:t>of all other contemporary work and in its totality as linguistic system</w:t>
      </w:r>
      <w:r w:rsidR="006F304D" w:rsidRPr="006F304D">
        <w:t xml:space="preserve">, </w:t>
      </w:r>
      <w:r>
        <w:t xml:space="preserve">to know the esthetic organization—this task must precede all historical research </w:t>
      </w:r>
      <w:r w:rsidRPr="00C002BF">
        <w:t>. . .</w:t>
      </w:r>
      <w:r>
        <w:t xml:space="preserve">” The distinction between internal and external is fundamental to René Wellek and Austin Warren’s </w:t>
      </w:r>
      <w:r>
        <w:rPr>
          <w:i/>
        </w:rPr>
        <w:t>Theory of Literature</w:t>
      </w:r>
      <w:r>
        <w:t xml:space="preserve"> (New York: Harcourt Brace Jovanovich</w:t>
      </w:r>
      <w:r w:rsidR="006F304D" w:rsidRPr="006F304D">
        <w:t xml:space="preserve">, </w:t>
      </w:r>
      <w:r>
        <w:t>1975</w:t>
      </w:r>
      <w:r>
        <w:rPr>
          <w:vertAlign w:val="superscript"/>
        </w:rPr>
        <w:t>3</w:t>
      </w:r>
      <w:r>
        <w:t>) 73-74</w:t>
      </w:r>
      <w:r w:rsidR="006F304D" w:rsidRPr="006F304D">
        <w:t xml:space="preserve">, </w:t>
      </w:r>
      <w:r>
        <w:t>139-141 (they prefer the terms “intrinsic” and “extrinsic”).</w:t>
      </w:r>
    </w:p>
  </w:footnote>
  <w:footnote w:id="74">
    <w:p w14:paraId="46D31A1B" w14:textId="1F964A7F" w:rsidR="0018433B" w:rsidRDefault="0018433B" w:rsidP="0018433B">
      <w:pPr>
        <w:widowControl w:val="0"/>
      </w:pPr>
      <w:r>
        <w:rPr>
          <w:vertAlign w:val="superscript"/>
        </w:rPr>
        <w:footnoteRef/>
      </w:r>
      <w:r>
        <w:t xml:space="preserve"> Todorov</w:t>
      </w:r>
      <w:r w:rsidR="006F304D" w:rsidRPr="006F304D">
        <w:t xml:space="preserve">, </w:t>
      </w:r>
      <w:r>
        <w:t>“L’héritage,” 10. The end which Russian formalist analysis had in view was a scientific description of literature (ibid.</w:t>
      </w:r>
      <w:r w:rsidR="006F304D" w:rsidRPr="006F304D">
        <w:t xml:space="preserve">, </w:t>
      </w:r>
      <w:r>
        <w:t>11).</w:t>
      </w:r>
    </w:p>
  </w:footnote>
  <w:footnote w:id="75">
    <w:p w14:paraId="2B9D57CD" w14:textId="18290514" w:rsidR="0018433B" w:rsidRDefault="0018433B" w:rsidP="0018433B">
      <w:pPr>
        <w:widowControl w:val="0"/>
      </w:pPr>
      <w:r>
        <w:rPr>
          <w:vertAlign w:val="superscript"/>
        </w:rPr>
        <w:footnoteRef/>
      </w:r>
      <w:r>
        <w:t xml:space="preserve"> Vladimir Propp</w:t>
      </w:r>
      <w:r w:rsidR="006F304D" w:rsidRPr="006F304D">
        <w:t xml:space="preserve">, </w:t>
      </w:r>
      <w:r>
        <w:rPr>
          <w:i/>
        </w:rPr>
        <w:t>Morphology of the Folktale</w:t>
      </w:r>
      <w:r>
        <w:t xml:space="preserve"> (</w:t>
      </w:r>
      <w:r w:rsidR="0029762C" w:rsidRPr="0029762C">
        <w:rPr>
          <w:iCs/>
        </w:rPr>
        <w:t>2nd ed.</w:t>
      </w:r>
      <w:r w:rsidR="00DC3006" w:rsidRPr="00DC3006">
        <w:rPr>
          <w:iCs/>
        </w:rPr>
        <w:t xml:space="preserve">. Ed. </w:t>
      </w:r>
      <w:r>
        <w:t xml:space="preserve">Svatava Pirkova-Jakobson; </w:t>
      </w:r>
      <w:r w:rsidR="0029762C" w:rsidRPr="0029762C">
        <w:rPr>
          <w:iCs/>
        </w:rPr>
        <w:t>2nd ed.</w:t>
      </w:r>
      <w:r>
        <w:t xml:space="preserve"> rev.</w:t>
      </w:r>
      <w:r w:rsidR="00DC3006" w:rsidRPr="00DC3006">
        <w:rPr>
          <w:iCs/>
        </w:rPr>
        <w:t xml:space="preserve">. Ed. </w:t>
      </w:r>
      <w:r>
        <w:t>Louis A. Wagner; American Folklore Society Bibliographical and Special Series 9; Austin</w:t>
      </w:r>
      <w:r w:rsidR="006F304D" w:rsidRPr="006F304D">
        <w:t xml:space="preserve">, </w:t>
      </w:r>
      <w:r>
        <w:t>TX: University of Texas</w:t>
      </w:r>
      <w:r w:rsidR="006F304D" w:rsidRPr="006F304D">
        <w:t xml:space="preserve">, </w:t>
      </w:r>
      <w:r>
        <w:t xml:space="preserve">1968). (Russian: </w:t>
      </w:r>
      <w:r>
        <w:rPr>
          <w:i/>
        </w:rPr>
        <w:t>Morfologija skazki</w:t>
      </w:r>
      <w:r w:rsidR="006F304D" w:rsidRPr="006F304D">
        <w:t xml:space="preserve">, </w:t>
      </w:r>
      <w:r>
        <w:t>1928.) “Morphology” in the title is not borrowed from linguistics (Propp’s book preceded the Prague school: Liberman</w:t>
      </w:r>
      <w:r w:rsidR="006F304D" w:rsidRPr="006F304D">
        <w:t xml:space="preserve">, </w:t>
      </w:r>
      <w:r>
        <w:t>“Introduction,” xxviii). Rather</w:t>
      </w:r>
      <w:r w:rsidR="006F304D" w:rsidRPr="006F304D">
        <w:t xml:space="preserve">, </w:t>
      </w:r>
      <w:r>
        <w:t>the term comes from Goethe’s works on botany (Propp</w:t>
      </w:r>
      <w:r w:rsidR="006F304D" w:rsidRPr="006F304D">
        <w:t xml:space="preserve">, </w:t>
      </w:r>
      <w:r>
        <w:t>“The Structural and Historical Study of the Wondertale,” in Propp</w:t>
      </w:r>
      <w:r w:rsidR="006F304D" w:rsidRPr="006F304D">
        <w:t xml:space="preserve">, </w:t>
      </w:r>
      <w:r>
        <w:rPr>
          <w:i/>
        </w:rPr>
        <w:t>Theory</w:t>
      </w:r>
      <w:r w:rsidR="006F304D" w:rsidRPr="006F304D">
        <w:t xml:space="preserve">, </w:t>
      </w:r>
      <w:r>
        <w:t>68). Essentially by “morphology” Propp means “structure”: “The word ‘morphology’ means the study of forms. In botany</w:t>
      </w:r>
      <w:r w:rsidR="006F304D" w:rsidRPr="006F304D">
        <w:t xml:space="preserve">, </w:t>
      </w:r>
      <w:r>
        <w:t>the term ‘morphology’ means the study of the component parts of a plant</w:t>
      </w:r>
      <w:r w:rsidR="006F304D" w:rsidRPr="006F304D">
        <w:t xml:space="preserve">, </w:t>
      </w:r>
      <w:r>
        <w:t>of their relationship to each other and to the whole—in other words</w:t>
      </w:r>
      <w:r w:rsidR="006F304D" w:rsidRPr="006F304D">
        <w:t xml:space="preserve">, </w:t>
      </w:r>
      <w:r>
        <w:t>the study of a plant’s structure.” (</w:t>
      </w:r>
      <w:r>
        <w:rPr>
          <w:i/>
        </w:rPr>
        <w:t>Morphology</w:t>
      </w:r>
      <w:r w:rsidR="006F304D" w:rsidRPr="006F304D">
        <w:t xml:space="preserve">, </w:t>
      </w:r>
      <w:r>
        <w:t>xxv.) “Folktale” in the title should really be “fairy tale.” Propp wanted the work entitled</w:t>
      </w:r>
      <w:r w:rsidR="006F304D" w:rsidRPr="006F304D">
        <w:t xml:space="preserve">, </w:t>
      </w:r>
      <w:r>
        <w:rPr>
          <w:i/>
        </w:rPr>
        <w:t>Morphology of the Fairy Tale</w:t>
      </w:r>
      <w:r w:rsidR="006F304D" w:rsidRPr="006F304D">
        <w:t xml:space="preserve">, </w:t>
      </w:r>
      <w:r>
        <w:t>but his editor changed the last word to the broader “folktale” to increase sales (Liberman</w:t>
      </w:r>
      <w:r w:rsidR="006F304D" w:rsidRPr="006F304D">
        <w:t xml:space="preserve">, </w:t>
      </w:r>
      <w:r>
        <w:t>“Introduction,” ix).</w:t>
      </w:r>
    </w:p>
  </w:footnote>
  <w:footnote w:id="76">
    <w:p w14:paraId="4E3E0CB8" w14:textId="5A7F1E5B" w:rsidR="0018433B" w:rsidRDefault="0018433B" w:rsidP="0018433B">
      <w:pPr>
        <w:widowControl w:val="0"/>
      </w:pPr>
      <w:r>
        <w:rPr>
          <w:vertAlign w:val="superscript"/>
        </w:rPr>
        <w:footnoteRef/>
      </w:r>
      <w:r>
        <w:t xml:space="preserve"> “Structural and Historical Study of the Wondertale,” in Propp</w:t>
      </w:r>
      <w:r w:rsidR="006F304D" w:rsidRPr="006F304D">
        <w:t xml:space="preserve">, </w:t>
      </w:r>
      <w:r>
        <w:rPr>
          <w:i/>
        </w:rPr>
        <w:t>Theory</w:t>
      </w:r>
      <w:r w:rsidR="006F304D" w:rsidRPr="006F304D">
        <w:t xml:space="preserve">, </w:t>
      </w:r>
      <w:r>
        <w:t>69</w:t>
      </w:r>
      <w:r w:rsidR="006F304D" w:rsidRPr="006F304D">
        <w:t xml:space="preserve">, </w:t>
      </w:r>
      <w:r>
        <w:t>74.</w:t>
      </w:r>
    </w:p>
  </w:footnote>
  <w:footnote w:id="77">
    <w:p w14:paraId="3D7ABFFE" w14:textId="2B89BEF6" w:rsidR="0018433B" w:rsidRDefault="0018433B" w:rsidP="0018433B">
      <w:pPr>
        <w:widowControl w:val="0"/>
      </w:pPr>
      <w:r>
        <w:rPr>
          <w:vertAlign w:val="superscript"/>
        </w:rPr>
        <w:footnoteRef/>
      </w:r>
      <w:r>
        <w:t xml:space="preserve"> Ibid.</w:t>
      </w:r>
      <w:r w:rsidR="006F304D" w:rsidRPr="006F304D">
        <w:t xml:space="preserve">, </w:t>
      </w:r>
      <w:r>
        <w:t>70.</w:t>
      </w:r>
    </w:p>
  </w:footnote>
  <w:footnote w:id="78">
    <w:p w14:paraId="29244240" w14:textId="47FD1274" w:rsidR="0018433B" w:rsidRDefault="0018433B" w:rsidP="0018433B">
      <w:pPr>
        <w:widowControl w:val="0"/>
      </w:pPr>
      <w:r>
        <w:rPr>
          <w:vertAlign w:val="superscript"/>
        </w:rPr>
        <w:footnoteRef/>
      </w:r>
      <w:r>
        <w:t xml:space="preserve"> Propp</w:t>
      </w:r>
      <w:r w:rsidR="006F304D" w:rsidRPr="006F304D">
        <w:t xml:space="preserve">, </w:t>
      </w:r>
      <w:r>
        <w:rPr>
          <w:i/>
        </w:rPr>
        <w:t>Morphology</w:t>
      </w:r>
      <w:r w:rsidR="006F304D" w:rsidRPr="006F304D">
        <w:t xml:space="preserve">, </w:t>
      </w:r>
      <w:r>
        <w:t>25-65. For criticisms of Propp’s enterprise</w:t>
      </w:r>
      <w:r w:rsidR="006F304D" w:rsidRPr="006F304D">
        <w:t xml:space="preserve">, </w:t>
      </w:r>
      <w:r>
        <w:t>see Lévi-Strauss</w:t>
      </w:r>
      <w:r w:rsidR="006F304D" w:rsidRPr="006F304D">
        <w:t xml:space="preserve">, </w:t>
      </w:r>
      <w:r>
        <w:rPr>
          <w:i/>
        </w:rPr>
        <w:t>Structural Anthropology</w:t>
      </w:r>
      <w:r w:rsidR="006F304D" w:rsidRPr="006F304D">
        <w:t xml:space="preserve">, </w:t>
      </w:r>
      <w:r>
        <w:t>2. 115-45. (Propp’s “The Structural and Historical Study of the Wondertale” [n. 59 above] is a response to this article</w:t>
      </w:r>
      <w:r w:rsidR="006F304D" w:rsidRPr="006F304D">
        <w:t xml:space="preserve">, </w:t>
      </w:r>
      <w:r>
        <w:t xml:space="preserve">a response which Lévi-Strauss unfairly characterized as “an offended harangue” [postscript to “Structure,” in </w:t>
      </w:r>
      <w:r>
        <w:rPr>
          <w:i/>
        </w:rPr>
        <w:t>Structural Anthropology</w:t>
      </w:r>
      <w:r w:rsidR="006F304D" w:rsidRPr="006F304D">
        <w:t xml:space="preserve">, </w:t>
      </w:r>
      <w:r>
        <w:t>2. 144.) For further criticisms of Propp</w:t>
      </w:r>
      <w:r w:rsidR="006F304D" w:rsidRPr="006F304D">
        <w:t xml:space="preserve">, </w:t>
      </w:r>
      <w:r>
        <w:t>see Hendricks</w:t>
      </w:r>
      <w:r w:rsidR="006F304D" w:rsidRPr="006F304D">
        <w:t xml:space="preserve">, </w:t>
      </w:r>
      <w:r>
        <w:t>“Folklore,” 98; and</w:t>
      </w:r>
      <w:r w:rsidR="006F304D" w:rsidRPr="006F304D">
        <w:t xml:space="preserve">, </w:t>
      </w:r>
      <w:r>
        <w:t>shrewdest of all</w:t>
      </w:r>
      <w:r w:rsidR="006F304D" w:rsidRPr="006F304D">
        <w:t xml:space="preserve">, </w:t>
      </w:r>
      <w:r>
        <w:t>Liberman</w:t>
      </w:r>
      <w:r w:rsidR="006F304D" w:rsidRPr="006F304D">
        <w:t xml:space="preserve">, </w:t>
      </w:r>
      <w:r>
        <w:t>“Introduction,” xxxi-xxxiii.</w:t>
      </w:r>
    </w:p>
  </w:footnote>
  <w:footnote w:id="79">
    <w:p w14:paraId="6F0E55F5" w14:textId="6E71F459" w:rsidR="0018433B" w:rsidRDefault="0018433B" w:rsidP="0018433B">
      <w:pPr>
        <w:widowControl w:val="0"/>
      </w:pPr>
      <w:r>
        <w:rPr>
          <w:vertAlign w:val="superscript"/>
        </w:rPr>
        <w:footnoteRef/>
      </w:r>
      <w:r>
        <w:t xml:space="preserve"> Folklorists consider themselves a separate discipline</w:t>
      </w:r>
      <w:r w:rsidR="006F304D" w:rsidRPr="006F304D">
        <w:t xml:space="preserve">, </w:t>
      </w:r>
      <w:r>
        <w:t>rather than a subdivision of the study of literature (oral or written). This is a reasonable position</w:t>
      </w:r>
      <w:r w:rsidR="006F304D" w:rsidRPr="006F304D">
        <w:t xml:space="preserve">, </w:t>
      </w:r>
      <w:r>
        <w:t>insofar as they study not only folktales but also folk dances</w:t>
      </w:r>
      <w:r w:rsidR="006F304D" w:rsidRPr="006F304D">
        <w:t xml:space="preserve">, </w:t>
      </w:r>
      <w:r>
        <w:t>music</w:t>
      </w:r>
      <w:r w:rsidR="006F304D" w:rsidRPr="006F304D">
        <w:t xml:space="preserve">, </w:t>
      </w:r>
      <w:r>
        <w:t>costumes</w:t>
      </w:r>
      <w:r w:rsidR="006F304D" w:rsidRPr="006F304D">
        <w:t xml:space="preserve">, </w:t>
      </w:r>
      <w:r>
        <w:t>etc.</w:t>
      </w:r>
    </w:p>
  </w:footnote>
  <w:footnote w:id="80">
    <w:p w14:paraId="14048780" w14:textId="2D8909CA" w:rsidR="0018433B" w:rsidRDefault="0018433B" w:rsidP="0018433B">
      <w:pPr>
        <w:widowControl w:val="0"/>
      </w:pPr>
      <w:r>
        <w:rPr>
          <w:vertAlign w:val="superscript"/>
        </w:rPr>
        <w:footnoteRef/>
      </w:r>
      <w:r>
        <w:t xml:space="preserve"> Many formalists were exiled or silenced in the early 1930s for their “bourgeois modernism” (Liberman</w:t>
      </w:r>
      <w:r w:rsidR="006F304D" w:rsidRPr="006F304D">
        <w:t xml:space="preserve">, </w:t>
      </w:r>
      <w:r>
        <w:t>“Introduction,” xii</w:t>
      </w:r>
      <w:r w:rsidR="006F304D" w:rsidRPr="006F304D">
        <w:t xml:space="preserve">, </w:t>
      </w:r>
      <w:r>
        <w:t xml:space="preserve">xvi). Though </w:t>
      </w:r>
      <w:r>
        <w:rPr>
          <w:i/>
        </w:rPr>
        <w:t>Morphology</w:t>
      </w:r>
      <w:r>
        <w:t xml:space="preserve"> was denounced during the persecution of the formalists</w:t>
      </w:r>
      <w:r w:rsidR="006F304D" w:rsidRPr="006F304D">
        <w:t xml:space="preserve">, </w:t>
      </w:r>
      <w:r>
        <w:t>and though Propp nearly lost his life in the post-war (1948) pogrom against “cosmopolitans,” from the 1930s onward he appears to have been a sincere Marxist (ibid.</w:t>
      </w:r>
      <w:r w:rsidR="006F304D" w:rsidRPr="006F304D">
        <w:t xml:space="preserve">, </w:t>
      </w:r>
      <w:r>
        <w:t>xliv-lii).</w:t>
      </w:r>
    </w:p>
  </w:footnote>
  <w:footnote w:id="81">
    <w:p w14:paraId="0CCEF7C5" w14:textId="7F2D0333" w:rsidR="0018433B" w:rsidRPr="00E5413C" w:rsidRDefault="0018433B" w:rsidP="0018433B">
      <w:pPr>
        <w:widowControl w:val="0"/>
        <w:rPr>
          <w:lang w:val="fr-FR"/>
        </w:rPr>
      </w:pPr>
      <w:r>
        <w:rPr>
          <w:vertAlign w:val="superscript"/>
        </w:rPr>
        <w:footnoteRef/>
      </w:r>
      <w:r w:rsidRPr="00E5413C">
        <w:rPr>
          <w:lang w:val="fr-FR"/>
        </w:rPr>
        <w:t xml:space="preserve"> Ibid.</w:t>
      </w:r>
      <w:r w:rsidR="006F304D" w:rsidRPr="00E5413C">
        <w:rPr>
          <w:lang w:val="fr-FR"/>
        </w:rPr>
        <w:t xml:space="preserve">, </w:t>
      </w:r>
      <w:r w:rsidRPr="00E5413C">
        <w:rPr>
          <w:lang w:val="fr-FR"/>
        </w:rPr>
        <w:t>xviii.</w:t>
      </w:r>
    </w:p>
  </w:footnote>
  <w:footnote w:id="82">
    <w:p w14:paraId="7B03F1DE" w14:textId="55BF78F9" w:rsidR="0018433B" w:rsidRDefault="0018433B" w:rsidP="0018433B">
      <w:pPr>
        <w:widowControl w:val="0"/>
      </w:pPr>
      <w:r>
        <w:rPr>
          <w:vertAlign w:val="superscript"/>
        </w:rPr>
        <w:footnoteRef/>
      </w:r>
      <w:r w:rsidRPr="00E5413C">
        <w:rPr>
          <w:lang w:val="fr-FR"/>
        </w:rPr>
        <w:t xml:space="preserve"> “La structure et la forme: reflexions sur un ouvrage de Vladimir Propp” (= “Structure and Form,” in </w:t>
      </w:r>
      <w:r w:rsidRPr="00E5413C">
        <w:rPr>
          <w:i/>
          <w:lang w:val="fr-FR"/>
        </w:rPr>
        <w:t>Structural Anthropology</w:t>
      </w:r>
      <w:r w:rsidR="006F304D" w:rsidRPr="00E5413C">
        <w:rPr>
          <w:lang w:val="fr-FR"/>
        </w:rPr>
        <w:t xml:space="preserve">, </w:t>
      </w:r>
      <w:r w:rsidRPr="00E5413C">
        <w:rPr>
          <w:lang w:val="fr-FR"/>
        </w:rPr>
        <w:t xml:space="preserve">2. </w:t>
      </w:r>
      <w:r>
        <w:t>115-45).</w:t>
      </w:r>
    </w:p>
  </w:footnote>
  <w:footnote w:id="83">
    <w:p w14:paraId="6162BF6B" w14:textId="77777777" w:rsidR="0018433B" w:rsidRDefault="0018433B" w:rsidP="0018433B">
      <w:pPr>
        <w:widowControl w:val="0"/>
      </w:pPr>
      <w:r>
        <w:rPr>
          <w:vertAlign w:val="superscript"/>
        </w:rPr>
        <w:footnoteRef/>
      </w:r>
      <w:r>
        <w:t xml:space="preserve"> “From Etic to Emic Units in the Structural Study of Folktales,” </w:t>
      </w:r>
      <w:r>
        <w:rPr>
          <w:i/>
        </w:rPr>
        <w:t>Journal of American Folklore</w:t>
      </w:r>
      <w:r>
        <w:t xml:space="preserve"> 75 (1962) 95-105.</w:t>
      </w:r>
    </w:p>
  </w:footnote>
  <w:footnote w:id="84">
    <w:p w14:paraId="245649C2" w14:textId="243E7D82" w:rsidR="0018433B" w:rsidRDefault="0018433B" w:rsidP="0018433B">
      <w:pPr>
        <w:widowControl w:val="0"/>
      </w:pPr>
      <w:r>
        <w:rPr>
          <w:vertAlign w:val="superscript"/>
        </w:rPr>
        <w:footnoteRef/>
      </w:r>
      <w:r>
        <w:t xml:space="preserve"> See above</w:t>
      </w:r>
      <w:r w:rsidR="006F304D" w:rsidRPr="006F304D">
        <w:t xml:space="preserve">, </w:t>
      </w:r>
      <w:r>
        <w:t>p. .</w:t>
      </w:r>
    </w:p>
  </w:footnote>
  <w:footnote w:id="85">
    <w:p w14:paraId="1D5861CF" w14:textId="548BB783" w:rsidR="0018433B" w:rsidRDefault="0018433B" w:rsidP="0018433B">
      <w:pPr>
        <w:widowControl w:val="0"/>
      </w:pPr>
      <w:r>
        <w:rPr>
          <w:vertAlign w:val="superscript"/>
        </w:rPr>
        <w:footnoteRef/>
      </w:r>
      <w:r>
        <w:t xml:space="preserve"> As an ethnologist</w:t>
      </w:r>
      <w:r w:rsidR="006F304D" w:rsidRPr="006F304D">
        <w:t xml:space="preserve">, </w:t>
      </w:r>
      <w:r>
        <w:t>Lévi-Strauss performed structural analyses almost solely on myths</w:t>
      </w:r>
      <w:r w:rsidR="006F304D" w:rsidRPr="006F304D">
        <w:t xml:space="preserve">, </w:t>
      </w:r>
      <w:r>
        <w:t>just as Propp treated only folktales. Neither adequately defined his genre (Liberman</w:t>
      </w:r>
      <w:r w:rsidR="006F304D" w:rsidRPr="006F304D">
        <w:t xml:space="preserve">, </w:t>
      </w:r>
      <w:r>
        <w:t>“Introduction,” xxxii-xxxiii; see Lévi-Strauss</w:t>
      </w:r>
      <w:r w:rsidR="006F304D" w:rsidRPr="006F304D">
        <w:t xml:space="preserve">, </w:t>
      </w:r>
      <w:r>
        <w:rPr>
          <w:i/>
        </w:rPr>
        <w:t>Structural Anthropology</w:t>
      </w:r>
      <w:r w:rsidR="006F304D" w:rsidRPr="006F304D">
        <w:t xml:space="preserve">, </w:t>
      </w:r>
      <w:r>
        <w:t>2. 127-28</w:t>
      </w:r>
      <w:r w:rsidR="006F304D" w:rsidRPr="006F304D">
        <w:t xml:space="preserve">, </w:t>
      </w:r>
      <w:r>
        <w:t>for his awareness of this problem).</w:t>
      </w:r>
    </w:p>
  </w:footnote>
  <w:footnote w:id="86">
    <w:p w14:paraId="62ACFCDE" w14:textId="5D047D13" w:rsidR="0018433B" w:rsidRDefault="0018433B" w:rsidP="0018433B">
      <w:pPr>
        <w:widowControl w:val="0"/>
      </w:pPr>
      <w:r>
        <w:rPr>
          <w:vertAlign w:val="superscript"/>
        </w:rPr>
        <w:footnoteRef/>
      </w:r>
      <w:r>
        <w:t xml:space="preserve"> Ibid.</w:t>
      </w:r>
      <w:r w:rsidR="006F304D" w:rsidRPr="006F304D">
        <w:t xml:space="preserve">, </w:t>
      </w:r>
      <w:r>
        <w:t>2. 126.</w:t>
      </w:r>
    </w:p>
  </w:footnote>
  <w:footnote w:id="87">
    <w:p w14:paraId="216DB31B" w14:textId="75988388" w:rsidR="0018433B" w:rsidRDefault="0018433B" w:rsidP="0018433B">
      <w:pPr>
        <w:widowControl w:val="0"/>
      </w:pPr>
      <w:r>
        <w:rPr>
          <w:vertAlign w:val="superscript"/>
        </w:rPr>
        <w:footnoteRef/>
      </w:r>
      <w:r>
        <w:t xml:space="preserve"> Ibid.</w:t>
      </w:r>
      <w:r w:rsidR="006F304D" w:rsidRPr="006F304D">
        <w:t xml:space="preserve">, </w:t>
      </w:r>
      <w:r>
        <w:t>2. 116. An example of Jakobson’s mediating role is his structural analysis of “The Statue in Pushkin’s Poetic Mythology,” in Roman Jakobson</w:t>
      </w:r>
      <w:r w:rsidR="006F304D" w:rsidRPr="006F304D">
        <w:t xml:space="preserve">, </w:t>
      </w:r>
      <w:r>
        <w:rPr>
          <w:i/>
        </w:rPr>
        <w:t>Selected Writings</w:t>
      </w:r>
      <w:r>
        <w:t xml:space="preserve"> (The Hague: Mouton</w:t>
      </w:r>
      <w:r w:rsidR="006F304D" w:rsidRPr="006F304D">
        <w:t xml:space="preserve">, </w:t>
      </w:r>
      <w:r>
        <w:t>1979)</w:t>
      </w:r>
      <w:r w:rsidR="006F304D" w:rsidRPr="006F304D">
        <w:t xml:space="preserve">, </w:t>
      </w:r>
      <w:r>
        <w:t xml:space="preserve">5. 237-80 (first published as “Socha v symbolice Pushkinove,” </w:t>
      </w:r>
      <w:r>
        <w:rPr>
          <w:i/>
        </w:rPr>
        <w:t>Slovo a slovesnost</w:t>
      </w:r>
      <w:r>
        <w:t xml:space="preserve"> 3 [1937] 2-24).</w:t>
      </w:r>
    </w:p>
  </w:footnote>
  <w:footnote w:id="88">
    <w:p w14:paraId="087CE037" w14:textId="1429158B" w:rsidR="0018433B" w:rsidRDefault="0018433B" w:rsidP="0018433B">
      <w:pPr>
        <w:widowControl w:val="0"/>
      </w:pPr>
      <w:r w:rsidRPr="003C3090">
        <w:rPr>
          <w:vertAlign w:val="superscript"/>
        </w:rPr>
        <w:footnoteRef/>
      </w:r>
      <w:r w:rsidRPr="003C3090">
        <w:t xml:space="preserve"> </w:t>
      </w:r>
      <w:r>
        <w:rPr>
          <w:i/>
        </w:rPr>
        <w:t>Structural Anthropology</w:t>
      </w:r>
      <w:r w:rsidR="006F304D" w:rsidRPr="006F304D">
        <w:t xml:space="preserve">, </w:t>
      </w:r>
      <w:r>
        <w:t xml:space="preserve">1. 206-31 (originally published in </w:t>
      </w:r>
      <w:r>
        <w:rPr>
          <w:i/>
        </w:rPr>
        <w:t>Journal of American Folklore</w:t>
      </w:r>
      <w:r>
        <w:t xml:space="preserve"> 68 [1955] 428-44).</w:t>
      </w:r>
    </w:p>
  </w:footnote>
  <w:footnote w:id="89">
    <w:p w14:paraId="39B24372" w14:textId="524CB017" w:rsidR="0018433B" w:rsidRDefault="0018433B" w:rsidP="0018433B">
      <w:pPr>
        <w:widowControl w:val="0"/>
      </w:pPr>
      <w:r w:rsidRPr="003C3090">
        <w:rPr>
          <w:vertAlign w:val="superscript"/>
        </w:rPr>
        <w:footnoteRef/>
      </w:r>
      <w:r w:rsidRPr="00E5413C">
        <w:rPr>
          <w:lang w:val="fr-FR"/>
        </w:rPr>
        <w:t xml:space="preserve"> </w:t>
      </w:r>
      <w:r w:rsidRPr="00E5413C">
        <w:rPr>
          <w:i/>
          <w:lang w:val="fr-FR"/>
        </w:rPr>
        <w:t>Mythologiques:</w:t>
      </w:r>
      <w:r w:rsidRPr="00E5413C">
        <w:rPr>
          <w:lang w:val="fr-FR"/>
        </w:rPr>
        <w:t xml:space="preserve"> 1</w:t>
      </w:r>
      <w:r w:rsidR="006F304D" w:rsidRPr="00E5413C">
        <w:rPr>
          <w:lang w:val="fr-FR"/>
        </w:rPr>
        <w:t xml:space="preserve">, </w:t>
      </w:r>
      <w:r w:rsidRPr="00E5413C">
        <w:rPr>
          <w:i/>
          <w:lang w:val="fr-FR"/>
        </w:rPr>
        <w:t>Le cru et le cuit;</w:t>
      </w:r>
      <w:r w:rsidRPr="00E5413C">
        <w:rPr>
          <w:lang w:val="fr-FR"/>
        </w:rPr>
        <w:t xml:space="preserve"> 2</w:t>
      </w:r>
      <w:r w:rsidR="006F304D" w:rsidRPr="00E5413C">
        <w:rPr>
          <w:lang w:val="fr-FR"/>
        </w:rPr>
        <w:t xml:space="preserve">, </w:t>
      </w:r>
      <w:r w:rsidRPr="00E5413C">
        <w:rPr>
          <w:i/>
          <w:lang w:val="fr-FR"/>
        </w:rPr>
        <w:t>Du miel aux cendres;</w:t>
      </w:r>
      <w:r w:rsidRPr="00E5413C">
        <w:rPr>
          <w:lang w:val="fr-FR"/>
        </w:rPr>
        <w:t xml:space="preserve"> 3</w:t>
      </w:r>
      <w:r w:rsidR="006F304D" w:rsidRPr="00E5413C">
        <w:rPr>
          <w:lang w:val="fr-FR"/>
        </w:rPr>
        <w:t xml:space="preserve">, </w:t>
      </w:r>
      <w:r w:rsidRPr="00E5413C">
        <w:rPr>
          <w:i/>
          <w:lang w:val="fr-FR"/>
        </w:rPr>
        <w:t>L’origine des manières de table;</w:t>
      </w:r>
      <w:r w:rsidRPr="00E5413C">
        <w:rPr>
          <w:lang w:val="fr-FR"/>
        </w:rPr>
        <w:t xml:space="preserve"> 4</w:t>
      </w:r>
      <w:r w:rsidR="006F304D" w:rsidRPr="00E5413C">
        <w:rPr>
          <w:lang w:val="fr-FR"/>
        </w:rPr>
        <w:t xml:space="preserve">, </w:t>
      </w:r>
      <w:r w:rsidRPr="00E5413C">
        <w:rPr>
          <w:i/>
          <w:lang w:val="fr-FR"/>
        </w:rPr>
        <w:t>L’homme nu</w:t>
      </w:r>
      <w:r w:rsidRPr="00E5413C">
        <w:rPr>
          <w:lang w:val="fr-FR"/>
        </w:rPr>
        <w:t xml:space="preserve"> (Paris: Plon</w:t>
      </w:r>
      <w:r w:rsidR="006F304D" w:rsidRPr="00E5413C">
        <w:rPr>
          <w:lang w:val="fr-FR"/>
        </w:rPr>
        <w:t xml:space="preserve">, </w:t>
      </w:r>
      <w:r w:rsidRPr="00E5413C">
        <w:rPr>
          <w:lang w:val="fr-FR"/>
        </w:rPr>
        <w:t>1964</w:t>
      </w:r>
      <w:r w:rsidR="006F304D" w:rsidRPr="00E5413C">
        <w:rPr>
          <w:lang w:val="fr-FR"/>
        </w:rPr>
        <w:t xml:space="preserve">, </w:t>
      </w:r>
      <w:r w:rsidRPr="00E5413C">
        <w:rPr>
          <w:lang w:val="fr-FR"/>
        </w:rPr>
        <w:t>1966</w:t>
      </w:r>
      <w:r w:rsidR="006F304D" w:rsidRPr="00E5413C">
        <w:rPr>
          <w:lang w:val="fr-FR"/>
        </w:rPr>
        <w:t xml:space="preserve">, </w:t>
      </w:r>
      <w:r w:rsidRPr="00E5413C">
        <w:rPr>
          <w:lang w:val="fr-FR"/>
        </w:rPr>
        <w:t>1968</w:t>
      </w:r>
      <w:r w:rsidR="006F304D" w:rsidRPr="00E5413C">
        <w:rPr>
          <w:lang w:val="fr-FR"/>
        </w:rPr>
        <w:t xml:space="preserve">, </w:t>
      </w:r>
      <w:r w:rsidRPr="00E5413C">
        <w:rPr>
          <w:lang w:val="fr-FR"/>
        </w:rPr>
        <w:t xml:space="preserve">1971). </w:t>
      </w:r>
      <w:r>
        <w:t xml:space="preserve">The volumes have appeared in English as </w:t>
      </w:r>
      <w:r>
        <w:rPr>
          <w:i/>
        </w:rPr>
        <w:t>Introduction to the Science of Mythology</w:t>
      </w:r>
      <w:r>
        <w:t>: 1</w:t>
      </w:r>
      <w:r w:rsidR="006F304D" w:rsidRPr="006F304D">
        <w:t xml:space="preserve">, </w:t>
      </w:r>
      <w:r>
        <w:rPr>
          <w:i/>
        </w:rPr>
        <w:t>The Raw and the Cooked</w:t>
      </w:r>
      <w:r>
        <w:t>; 2</w:t>
      </w:r>
      <w:r w:rsidR="006F304D" w:rsidRPr="006F304D">
        <w:t xml:space="preserve">, </w:t>
      </w:r>
      <w:r>
        <w:rPr>
          <w:i/>
        </w:rPr>
        <w:t>From Honey to Ashes</w:t>
      </w:r>
      <w:r>
        <w:t>; 3</w:t>
      </w:r>
      <w:r w:rsidR="006F304D" w:rsidRPr="006F304D">
        <w:t xml:space="preserve">, </w:t>
      </w:r>
      <w:r>
        <w:rPr>
          <w:i/>
        </w:rPr>
        <w:t>The Origin of Table Manners</w:t>
      </w:r>
      <w:r>
        <w:t>; 4</w:t>
      </w:r>
      <w:r w:rsidR="006F304D" w:rsidRPr="006F304D">
        <w:t xml:space="preserve">, </w:t>
      </w:r>
      <w:r>
        <w:rPr>
          <w:i/>
        </w:rPr>
        <w:t>The Naked Man</w:t>
      </w:r>
      <w:r>
        <w:t xml:space="preserve"> (New York: </w:t>
      </w:r>
      <w:r w:rsidR="00E95268" w:rsidRPr="00E95268">
        <w:rPr>
          <w:iCs/>
        </w:rPr>
        <w:t>Harper and Row</w:t>
      </w:r>
      <w:r w:rsidR="006F304D" w:rsidRPr="006F304D">
        <w:t xml:space="preserve">, </w:t>
      </w:r>
      <w:r>
        <w:t>1969</w:t>
      </w:r>
      <w:r w:rsidR="006F304D" w:rsidRPr="006F304D">
        <w:t xml:space="preserve">, </w:t>
      </w:r>
      <w:r>
        <w:t>1973</w:t>
      </w:r>
      <w:r w:rsidR="006F304D" w:rsidRPr="006F304D">
        <w:t xml:space="preserve">, </w:t>
      </w:r>
      <w:r>
        <w:t>1978</w:t>
      </w:r>
      <w:r w:rsidR="006F304D" w:rsidRPr="006F304D">
        <w:t xml:space="preserve">, </w:t>
      </w:r>
      <w:r>
        <w:t>1981).</w:t>
      </w:r>
    </w:p>
  </w:footnote>
  <w:footnote w:id="90">
    <w:p w14:paraId="06D23F5D" w14:textId="764519F5" w:rsidR="0018433B" w:rsidRDefault="0018433B" w:rsidP="0018433B">
      <w:pPr>
        <w:widowControl w:val="0"/>
      </w:pPr>
      <w:r>
        <w:rPr>
          <w:vertAlign w:val="superscript"/>
        </w:rPr>
        <w:footnoteRef/>
      </w:r>
      <w:r>
        <w:t xml:space="preserve"> The term “structuralism” is sometimes used of structural thinking in general; thus Josef Hrabak</w:t>
      </w:r>
      <w:r w:rsidR="006F304D" w:rsidRPr="006F304D">
        <w:t xml:space="preserve">, </w:t>
      </w:r>
      <w:r>
        <w:rPr>
          <w:i/>
        </w:rPr>
        <w:t>A Prague School Reader on Aesthetics</w:t>
      </w:r>
      <w:r w:rsidR="006F304D" w:rsidRPr="006F304D">
        <w:t xml:space="preserve">, </w:t>
      </w:r>
      <w:r>
        <w:rPr>
          <w:i/>
        </w:rPr>
        <w:t>Literary Structure</w:t>
      </w:r>
      <w:r w:rsidR="006F304D" w:rsidRPr="006F304D">
        <w:t xml:space="preserve">, </w:t>
      </w:r>
      <w:r>
        <w:rPr>
          <w:i/>
        </w:rPr>
        <w:t>and Style</w:t>
      </w:r>
      <w:r>
        <w:t xml:space="preserve"> (Washington</w:t>
      </w:r>
      <w:r w:rsidR="006F304D" w:rsidRPr="006F304D">
        <w:t xml:space="preserve">, </w:t>
      </w:r>
      <w:r>
        <w:t xml:space="preserve">DC: 1964) vi: “Structuralism is neither a theory nor a method; it is an epistemological point of view. It starts out from the observation that every concept in a given system is determined by all other concepts of that system and has no significance by itself alone </w:t>
      </w:r>
      <w:r w:rsidRPr="00C002BF">
        <w:t>. . .</w:t>
      </w:r>
      <w:r>
        <w:t>” At other times</w:t>
      </w:r>
      <w:r w:rsidR="006F304D" w:rsidRPr="006F304D">
        <w:t xml:space="preserve">, </w:t>
      </w:r>
      <w:r>
        <w:t>it describes a method (</w:t>
      </w:r>
      <w:r w:rsidR="00775F9B" w:rsidRPr="00775F9B">
        <w:rPr>
          <w:iCs/>
        </w:rPr>
        <w:t>e.g.</w:t>
      </w:r>
      <w:r w:rsidR="006F304D" w:rsidRPr="006F304D">
        <w:t xml:space="preserve">, </w:t>
      </w:r>
      <w:r>
        <w:t>“poetics is not a method—structuralist or other” [Todorov</w:t>
      </w:r>
      <w:r w:rsidR="006F304D" w:rsidRPr="006F304D">
        <w:t xml:space="preserve">, </w:t>
      </w:r>
      <w:r>
        <w:t>“French Poetics,” 3]) or the product of structural method (thus the art of Mondrian</w:t>
      </w:r>
      <w:r w:rsidR="006F304D" w:rsidRPr="006F304D">
        <w:t xml:space="preserve">, </w:t>
      </w:r>
      <w:r>
        <w:t>the phonetics of Trubetzkoy</w:t>
      </w:r>
      <w:r w:rsidR="006F304D" w:rsidRPr="006F304D">
        <w:t xml:space="preserve">, </w:t>
      </w:r>
      <w:r>
        <w:t xml:space="preserve">etc. are called “structuralist”). But </w:t>
      </w:r>
      <w:r>
        <w:rPr>
          <w:i/>
        </w:rPr>
        <w:t>French</w:t>
      </w:r>
      <w:r>
        <w:t xml:space="preserve"> structuralism has so expropriated the term that it seems best to follow common usage</w:t>
      </w:r>
      <w:r w:rsidR="006F304D" w:rsidRPr="006F304D">
        <w:t xml:space="preserve">, </w:t>
      </w:r>
      <w:r>
        <w:t>employing the word “structural” for structural thinking and methods</w:t>
      </w:r>
      <w:r w:rsidR="006F304D" w:rsidRPr="006F304D">
        <w:t xml:space="preserve">, </w:t>
      </w:r>
      <w:r>
        <w:t>and restricting “structuralist” for the structural methodology developed in France. (Even within French structuralism</w:t>
      </w:r>
      <w:r w:rsidR="006F304D" w:rsidRPr="006F304D">
        <w:t xml:space="preserve">, </w:t>
      </w:r>
      <w:r>
        <w:t>I will use the term only for its literary-critical embodiment</w:t>
      </w:r>
      <w:r w:rsidR="006F304D" w:rsidRPr="006F304D">
        <w:t xml:space="preserve">, </w:t>
      </w:r>
      <w:r>
        <w:t>not its use in anthropology</w:t>
      </w:r>
      <w:r w:rsidR="006F304D" w:rsidRPr="006F304D">
        <w:t xml:space="preserve">, </w:t>
      </w:r>
      <w:r>
        <w:t>etc.). Note a similar ambiguity in the term “formalist,” which usually refers to Russian formalism but sometimes is used for any structural approach to literature; see</w:t>
      </w:r>
      <w:r w:rsidR="006F304D" w:rsidRPr="006F304D">
        <w:t xml:space="preserve">, </w:t>
      </w:r>
      <w:r>
        <w:t>for example</w:t>
      </w:r>
      <w:r w:rsidR="006F304D" w:rsidRPr="006F304D">
        <w:t xml:space="preserve">, </w:t>
      </w:r>
      <w:r>
        <w:t xml:space="preserve">volume 18 of the </w:t>
      </w:r>
      <w:r>
        <w:rPr>
          <w:i/>
        </w:rPr>
        <w:t>Kenyon Review</w:t>
      </w:r>
      <w:r>
        <w:t xml:space="preserve"> (1951)</w:t>
      </w:r>
      <w:r w:rsidR="006F304D" w:rsidRPr="006F304D">
        <w:t xml:space="preserve">, </w:t>
      </w:r>
      <w:r>
        <w:t>devoted to New Criticism (discussed below) but entitled</w:t>
      </w:r>
      <w:r w:rsidR="006F304D" w:rsidRPr="006F304D">
        <w:t xml:space="preserve">, </w:t>
      </w:r>
      <w:r>
        <w:rPr>
          <w:i/>
        </w:rPr>
        <w:t>The Formalist Critics</w:t>
      </w:r>
      <w:r w:rsidR="00AC038F" w:rsidRPr="00AC038F">
        <w:t xml:space="preserve">: </w:t>
      </w:r>
      <w:r>
        <w:rPr>
          <w:i/>
        </w:rPr>
        <w:t>A Symposium.</w:t>
      </w:r>
    </w:p>
  </w:footnote>
  <w:footnote w:id="91">
    <w:p w14:paraId="4AD5892F" w14:textId="77777777" w:rsidR="0018433B" w:rsidRDefault="0018433B" w:rsidP="0018433B">
      <w:pPr>
        <w:widowControl w:val="0"/>
      </w:pPr>
      <w:r>
        <w:rPr>
          <w:vertAlign w:val="superscript"/>
        </w:rPr>
        <w:footnoteRef/>
      </w:r>
      <w:r>
        <w:t xml:space="preserve"> “Structural Study,” 1. 209-11.</w:t>
      </w:r>
    </w:p>
  </w:footnote>
  <w:footnote w:id="92">
    <w:p w14:paraId="7CFCA4F7" w14:textId="77777777" w:rsidR="0018433B" w:rsidRDefault="0018433B" w:rsidP="0018433B">
      <w:pPr>
        <w:widowControl w:val="0"/>
      </w:pPr>
      <w:r>
        <w:rPr>
          <w:vertAlign w:val="superscript"/>
        </w:rPr>
        <w:footnoteRef/>
      </w:r>
      <w:r>
        <w:t xml:space="preserve"> Cf. Barthes’ “main articulations,” p. above.</w:t>
      </w:r>
    </w:p>
  </w:footnote>
  <w:footnote w:id="93">
    <w:p w14:paraId="03519038" w14:textId="47EE767E" w:rsidR="0018433B" w:rsidRDefault="0018433B" w:rsidP="0018433B">
      <w:pPr>
        <w:widowControl w:val="0"/>
      </w:pPr>
      <w:r>
        <w:rPr>
          <w:vertAlign w:val="superscript"/>
        </w:rPr>
        <w:footnoteRef/>
      </w:r>
      <w:r>
        <w:t xml:space="preserve"> “Structural Study,” 1. 211: “How shall we proceed in order to identify and isolate these gross constituent units or mythemes? </w:t>
      </w:r>
      <w:r w:rsidRPr="00C002BF">
        <w:t>. . .</w:t>
      </w:r>
      <w:r>
        <w:t xml:space="preserve"> The technique </w:t>
      </w:r>
      <w:r w:rsidRPr="00C002BF">
        <w:t>. . .</w:t>
      </w:r>
      <w:r>
        <w:t xml:space="preserve"> consists in analyzing each myth individually</w:t>
      </w:r>
      <w:r w:rsidR="006F304D" w:rsidRPr="006F304D">
        <w:t xml:space="preserve">, </w:t>
      </w:r>
      <w:r>
        <w:t>breaking down its story into the shortest possible sentences</w:t>
      </w:r>
      <w:r w:rsidR="006F304D" w:rsidRPr="006F304D">
        <w:t xml:space="preserve">, </w:t>
      </w:r>
      <w:r>
        <w:t xml:space="preserve">and writng each sentence on an index card </w:t>
      </w:r>
      <w:r w:rsidRPr="00C002BF">
        <w:t>. . .</w:t>
      </w:r>
      <w:r>
        <w:t>”</w:t>
      </w:r>
    </w:p>
  </w:footnote>
  <w:footnote w:id="94">
    <w:p w14:paraId="6B166AD0" w14:textId="3A1F8C3B" w:rsidR="0018433B" w:rsidRDefault="0018433B" w:rsidP="0018433B">
      <w:pPr>
        <w:widowControl w:val="0"/>
      </w:pPr>
      <w:r>
        <w:rPr>
          <w:vertAlign w:val="superscript"/>
        </w:rPr>
        <w:footnoteRef/>
      </w:r>
      <w:r>
        <w:t xml:space="preserve"> Ibid.</w:t>
      </w:r>
      <w:r w:rsidR="006F304D" w:rsidRPr="006F304D">
        <w:t xml:space="preserve">, </w:t>
      </w:r>
      <w:r>
        <w:t>1. 224.</w:t>
      </w:r>
    </w:p>
  </w:footnote>
  <w:footnote w:id="95">
    <w:p w14:paraId="560CAFCA" w14:textId="77777777" w:rsidR="0018433B" w:rsidRDefault="0018433B" w:rsidP="0018433B">
      <w:pPr>
        <w:widowControl w:val="0"/>
      </w:pPr>
      <w:r>
        <w:rPr>
          <w:vertAlign w:val="superscript"/>
        </w:rPr>
        <w:footnoteRef/>
      </w:r>
      <w:r>
        <w:t xml:space="preserve"> “Structure and Form,” 2. 128.</w:t>
      </w:r>
    </w:p>
  </w:footnote>
  <w:footnote w:id="96">
    <w:p w14:paraId="3FC0BD76" w14:textId="36882122" w:rsidR="0018433B" w:rsidRDefault="0018433B" w:rsidP="0018433B">
      <w:pPr>
        <w:widowControl w:val="0"/>
      </w:pPr>
      <w:r>
        <w:rPr>
          <w:vertAlign w:val="superscript"/>
        </w:rPr>
        <w:footnoteRef/>
      </w:r>
      <w:r>
        <w:t xml:space="preserve"> Propp himself</w:t>
      </w:r>
      <w:r w:rsidR="006F304D" w:rsidRPr="006F304D">
        <w:t xml:space="preserve">, </w:t>
      </w:r>
      <w:r>
        <w:t>Lévi-Strauss points out (“Structure and Form,” 2. 121</w:t>
      </w:r>
      <w:r w:rsidR="006F304D" w:rsidRPr="006F304D">
        <w:t xml:space="preserve">, </w:t>
      </w:r>
      <w:r>
        <w:t>139)</w:t>
      </w:r>
      <w:r w:rsidR="006F304D" w:rsidRPr="006F304D">
        <w:t xml:space="preserve">, </w:t>
      </w:r>
      <w:r>
        <w:t>recognized oppositions in narratives—and</w:t>
      </w:r>
      <w:r w:rsidR="006F304D" w:rsidRPr="006F304D">
        <w:t xml:space="preserve">, </w:t>
      </w:r>
      <w:r>
        <w:t>Lévi-Strauss implies</w:t>
      </w:r>
      <w:r w:rsidR="006F304D" w:rsidRPr="006F304D">
        <w:t xml:space="preserve">, </w:t>
      </w:r>
      <w:r>
        <w:t xml:space="preserve">Propp should have concentrated on them rather than constructing a grammar of episodes. In his </w:t>
      </w:r>
      <w:r>
        <w:rPr>
          <w:i/>
        </w:rPr>
        <w:t>Morphology</w:t>
      </w:r>
      <w:r w:rsidR="006F304D" w:rsidRPr="006F304D">
        <w:t xml:space="preserve">, </w:t>
      </w:r>
      <w:r>
        <w:t>Lévi-Strauss notes (“Structural Study,” 1. 212)</w:t>
      </w:r>
      <w:r w:rsidR="006F304D" w:rsidRPr="006F304D">
        <w:t xml:space="preserve">, </w:t>
      </w:r>
      <w:r>
        <w:t>Propp acknowledged that</w:t>
      </w:r>
    </w:p>
    <w:p w14:paraId="603132FA" w14:textId="77777777" w:rsidR="0018433B" w:rsidRDefault="0018433B" w:rsidP="0018433B">
      <w:pPr>
        <w:widowControl w:val="0"/>
      </w:pPr>
    </w:p>
    <w:p w14:paraId="5A7D9C3A" w14:textId="41347CA6" w:rsidR="0018433B" w:rsidRDefault="0018433B" w:rsidP="0018433B">
      <w:pPr>
        <w:widowControl w:val="0"/>
        <w:ind w:left="720" w:right="720"/>
      </w:pPr>
      <w:r>
        <w:t>some functions can be grouped in pairs (“prohibition”—“violation”; “struggle”—“victory”; “persecution”—“deliverance”</w:t>
      </w:r>
      <w:r w:rsidR="006F304D" w:rsidRPr="006F304D">
        <w:t xml:space="preserve">, </w:t>
      </w:r>
      <w:r>
        <w:t xml:space="preserve">etc.) </w:t>
      </w:r>
      <w:r w:rsidRPr="00C002BF">
        <w:t>. . .</w:t>
      </w:r>
      <w:r>
        <w:t xml:space="preserve"> [In addition</w:t>
      </w:r>
      <w:r w:rsidR="006F304D" w:rsidRPr="006F304D">
        <w:t xml:space="preserve">, </w:t>
      </w:r>
      <w:r>
        <w:t>Propp said,] certain functions are mutually exclusive. There are others which implicate each other</w:t>
      </w:r>
      <w:r w:rsidR="006F304D" w:rsidRPr="006F304D">
        <w:t xml:space="preserve">, </w:t>
      </w:r>
      <w:r>
        <w:t>such as “interdiction” and “violation,” on the one hand</w:t>
      </w:r>
      <w:r w:rsidR="006F304D" w:rsidRPr="006F304D">
        <w:t xml:space="preserve">, </w:t>
      </w:r>
      <w:r>
        <w:t xml:space="preserve">“deception” and “submission” on the other </w:t>
      </w:r>
      <w:r w:rsidRPr="00C002BF">
        <w:t>. . .</w:t>
      </w:r>
    </w:p>
  </w:footnote>
  <w:footnote w:id="97">
    <w:p w14:paraId="1FDF3D21" w14:textId="77777777" w:rsidR="0018433B" w:rsidRDefault="0018433B" w:rsidP="0018433B">
      <w:pPr>
        <w:widowControl w:val="0"/>
      </w:pPr>
    </w:p>
    <w:p w14:paraId="5238EF95" w14:textId="77777777" w:rsidR="0018433B" w:rsidRDefault="0018433B" w:rsidP="0018433B">
      <w:pPr>
        <w:widowControl w:val="0"/>
      </w:pPr>
      <w:r>
        <w:rPr>
          <w:vertAlign w:val="superscript"/>
        </w:rPr>
        <w:footnoteRef/>
      </w:r>
      <w:r w:rsidRPr="00B14249">
        <w:t xml:space="preserve"> </w:t>
      </w:r>
      <w:r>
        <w:t>“Structure and Form,” 2. 135.</w:t>
      </w:r>
    </w:p>
  </w:footnote>
  <w:footnote w:id="98">
    <w:p w14:paraId="6D4C03BD" w14:textId="41C82865" w:rsidR="0018433B" w:rsidRDefault="0018433B" w:rsidP="0018433B">
      <w:pPr>
        <w:widowControl w:val="0"/>
      </w:pPr>
      <w:r>
        <w:rPr>
          <w:vertAlign w:val="superscript"/>
        </w:rPr>
        <w:footnoteRef/>
      </w:r>
      <w:r>
        <w:t xml:space="preserve"> The idea of using matrices was taken from Jakobson and Halle (Liberman</w:t>
      </w:r>
      <w:r w:rsidR="006F304D" w:rsidRPr="006F304D">
        <w:t xml:space="preserve">, </w:t>
      </w:r>
      <w:r>
        <w:t>“Introduction,” xxxvii). A matrix of the Oedipus myth</w:t>
      </w:r>
      <w:r w:rsidR="006F304D" w:rsidRPr="006F304D">
        <w:t xml:space="preserve">, </w:t>
      </w:r>
      <w:r>
        <w:t>for example</w:t>
      </w:r>
      <w:r w:rsidR="006F304D" w:rsidRPr="006F304D">
        <w:t xml:space="preserve">, </w:t>
      </w:r>
      <w:r>
        <w:t>is in “Structural Study,” 1. 214.</w:t>
      </w:r>
    </w:p>
  </w:footnote>
  <w:footnote w:id="99">
    <w:p w14:paraId="183856FC" w14:textId="27479577" w:rsidR="0018433B" w:rsidRDefault="0018433B" w:rsidP="0018433B">
      <w:pPr>
        <w:widowControl w:val="0"/>
      </w:pPr>
      <w:r>
        <w:rPr>
          <w:vertAlign w:val="superscript"/>
        </w:rPr>
        <w:footnoteRef/>
      </w:r>
      <w:r>
        <w:t xml:space="preserve"> Ibid.</w:t>
      </w:r>
      <w:r w:rsidR="006F304D" w:rsidRPr="006F304D">
        <w:t xml:space="preserve">, </w:t>
      </w:r>
      <w:r>
        <w:t>1. 212</w:t>
      </w:r>
      <w:r w:rsidR="006F304D" w:rsidRPr="006F304D">
        <w:t xml:space="preserve">, </w:t>
      </w:r>
      <w:r>
        <w:t>229.</w:t>
      </w:r>
    </w:p>
  </w:footnote>
  <w:footnote w:id="100">
    <w:p w14:paraId="446DB59F" w14:textId="3A957B9F" w:rsidR="0018433B" w:rsidRDefault="0018433B" w:rsidP="0018433B">
      <w:pPr>
        <w:widowControl w:val="0"/>
      </w:pPr>
      <w:r>
        <w:rPr>
          <w:vertAlign w:val="superscript"/>
        </w:rPr>
        <w:footnoteRef/>
      </w:r>
      <w:r>
        <w:t xml:space="preserve"> Hendricks</w:t>
      </w:r>
      <w:r w:rsidR="006F304D" w:rsidRPr="006F304D">
        <w:t xml:space="preserve">, </w:t>
      </w:r>
      <w:r>
        <w:t>“Folklore,” 97. Contrasting Propp and Lévi-Strauss by labeling the former “syntagmatic” and the latter “paradigmatic” seems to be a commonplace (</w:t>
      </w:r>
      <w:r w:rsidR="00775F9B" w:rsidRPr="00775F9B">
        <w:rPr>
          <w:iCs/>
        </w:rPr>
        <w:t>e.g.</w:t>
      </w:r>
      <w:r w:rsidR="006F304D" w:rsidRPr="006F304D">
        <w:t xml:space="preserve">, </w:t>
      </w:r>
      <w:r>
        <w:t>Alan Dundes</w:t>
      </w:r>
      <w:r w:rsidR="006F304D" w:rsidRPr="006F304D">
        <w:t xml:space="preserve">, </w:t>
      </w:r>
      <w:r>
        <w:t>“Introduction to the Second Edition,” in Propp</w:t>
      </w:r>
      <w:r w:rsidR="006F304D" w:rsidRPr="006F304D">
        <w:t xml:space="preserve">, </w:t>
      </w:r>
      <w:r>
        <w:rPr>
          <w:i/>
        </w:rPr>
        <w:t>Morphology</w:t>
      </w:r>
      <w:r w:rsidR="006F304D" w:rsidRPr="006F304D">
        <w:t xml:space="preserve">, </w:t>
      </w:r>
      <w:r>
        <w:t>xii)</w:t>
      </w:r>
      <w:r w:rsidR="006F304D" w:rsidRPr="006F304D">
        <w:t xml:space="preserve">, </w:t>
      </w:r>
      <w:r>
        <w:t>and apparently Lévi-Strauss himself began the tradition by contrasting Propp’s linear formulae with his own matrices (“Structure and Form,” 2. 137). But as Liberman points out (“Introduction,” xliv)</w:t>
      </w:r>
      <w:r w:rsidR="006F304D" w:rsidRPr="006F304D">
        <w:t xml:space="preserve">, </w:t>
      </w:r>
      <w:r>
        <w:t>the two approaches cannot be exclusive: “Structuralism can never be only syntagmatic</w:t>
      </w:r>
      <w:r w:rsidR="006F304D" w:rsidRPr="006F304D">
        <w:t xml:space="preserve">, </w:t>
      </w:r>
      <w:r>
        <w:t>for every unit exists in relation to its neighbors (the syntagmatic aspect) and to other units</w:t>
      </w:r>
      <w:r w:rsidR="006F304D" w:rsidRPr="006F304D">
        <w:t xml:space="preserve">, </w:t>
      </w:r>
      <w:r>
        <w:t xml:space="preserve">which are absent from the concrete situation (the paradigmatic aspect). The same is true of Propp’s ‘functions’ </w:t>
      </w:r>
      <w:r w:rsidRPr="00C002BF">
        <w:t>. . .</w:t>
      </w:r>
      <w:r>
        <w:t>”</w:t>
      </w:r>
    </w:p>
  </w:footnote>
  <w:footnote w:id="101">
    <w:p w14:paraId="3FDD77D1" w14:textId="4D74900C" w:rsidR="0018433B" w:rsidRDefault="0018433B" w:rsidP="0018433B">
      <w:pPr>
        <w:widowControl w:val="0"/>
      </w:pPr>
      <w:r>
        <w:rPr>
          <w:vertAlign w:val="superscript"/>
        </w:rPr>
        <w:footnoteRef/>
      </w:r>
      <w:r>
        <w:t xml:space="preserve"> See “Le message narratif,” </w:t>
      </w:r>
      <w:r>
        <w:rPr>
          <w:i/>
        </w:rPr>
        <w:t>Communications</w:t>
      </w:r>
      <w:r>
        <w:t xml:space="preserve"> 4 (1964) 4-32</w:t>
      </w:r>
      <w:r w:rsidR="006F304D" w:rsidRPr="006F304D">
        <w:t xml:space="preserve">, </w:t>
      </w:r>
      <w:r>
        <w:t xml:space="preserve">and “La logique des possibles narratifs,” </w:t>
      </w:r>
      <w:r>
        <w:rPr>
          <w:i/>
        </w:rPr>
        <w:t>Communications</w:t>
      </w:r>
      <w:r>
        <w:t xml:space="preserve"> 8 (1966) 60-76.</w:t>
      </w:r>
    </w:p>
  </w:footnote>
  <w:footnote w:id="102">
    <w:p w14:paraId="2E4A6BB6" w14:textId="18B6B0F0" w:rsidR="0018433B" w:rsidRDefault="0018433B" w:rsidP="0018433B">
      <w:pPr>
        <w:widowControl w:val="0"/>
      </w:pPr>
      <w:r>
        <w:rPr>
          <w:vertAlign w:val="superscript"/>
        </w:rPr>
        <w:footnoteRef/>
      </w:r>
      <w:r>
        <w:t xml:space="preserve"> The term is borrowed from transformational grammar: Noam Chomsky</w:t>
      </w:r>
      <w:r w:rsidR="006F304D" w:rsidRPr="006F304D">
        <w:t xml:space="preserve">, </w:t>
      </w:r>
      <w:r>
        <w:t>“Deep Structure</w:t>
      </w:r>
      <w:r w:rsidR="006F304D" w:rsidRPr="006F304D">
        <w:t xml:space="preserve">, </w:t>
      </w:r>
      <w:r>
        <w:t xml:space="preserve">Surface Structure and Semantic Interpretation,“ in </w:t>
      </w:r>
      <w:r>
        <w:rPr>
          <w:i/>
        </w:rPr>
        <w:t>Studies in General and Oriental Linguistics</w:t>
      </w:r>
      <w:r>
        <w:t xml:space="preserve"> (ed. Roman Jakobson and S. Kawamoto; Tokyo: TEC Corp. for Language Research</w:t>
      </w:r>
      <w:r w:rsidR="006F304D" w:rsidRPr="006F304D">
        <w:t xml:space="preserve">, </w:t>
      </w:r>
      <w:r>
        <w:t>1970; rpt. in Noam Chomsky</w:t>
      </w:r>
      <w:r w:rsidR="006F304D" w:rsidRPr="006F304D">
        <w:t xml:space="preserve">, </w:t>
      </w:r>
      <w:r>
        <w:rPr>
          <w:i/>
        </w:rPr>
        <w:t>Studies on Semantics in Generative Grammar</w:t>
      </w:r>
      <w:r w:rsidR="006F304D" w:rsidRPr="006F304D">
        <w:t xml:space="preserve">, </w:t>
      </w:r>
      <w:r>
        <w:t>The Hague: Mouton</w:t>
      </w:r>
      <w:r w:rsidR="006F304D" w:rsidRPr="006F304D">
        <w:t xml:space="preserve">, </w:t>
      </w:r>
      <w:r>
        <w:t>1972).</w:t>
      </w:r>
    </w:p>
  </w:footnote>
  <w:footnote w:id="103">
    <w:p w14:paraId="7812F656" w14:textId="3622FCDC" w:rsidR="0018433B" w:rsidRDefault="0018433B" w:rsidP="0018433B">
      <w:pPr>
        <w:widowControl w:val="0"/>
      </w:pPr>
      <w:r>
        <w:rPr>
          <w:vertAlign w:val="superscript"/>
        </w:rPr>
        <w:footnoteRef/>
      </w:r>
      <w:r>
        <w:t xml:space="preserve"> Three predecessors who influenced New Criticism were Ivor Armstrong Richards (</w:t>
      </w:r>
      <w:r w:rsidR="00775F9B" w:rsidRPr="00775F9B">
        <w:rPr>
          <w:iCs/>
        </w:rPr>
        <w:t>e.g.</w:t>
      </w:r>
      <w:r w:rsidR="006F304D" w:rsidRPr="006F304D">
        <w:t xml:space="preserve">, </w:t>
      </w:r>
      <w:r>
        <w:rPr>
          <w:i/>
        </w:rPr>
        <w:t>Principles of Literary Criticism</w:t>
      </w:r>
      <w:r>
        <w:t xml:space="preserve"> [London: Kegan Paul</w:t>
      </w:r>
      <w:r w:rsidR="006F304D" w:rsidRPr="006F304D">
        <w:t xml:space="preserve">, </w:t>
      </w:r>
      <w:r>
        <w:t>1926])</w:t>
      </w:r>
      <w:r w:rsidR="006F304D" w:rsidRPr="006F304D">
        <w:t xml:space="preserve">, </w:t>
      </w:r>
      <w:r>
        <w:t>Percy Lubbock (</w:t>
      </w:r>
      <w:r>
        <w:rPr>
          <w:i/>
        </w:rPr>
        <w:t>The Craft of Fiction</w:t>
      </w:r>
      <w:r>
        <w:t xml:space="preserve"> [New York: Scribner’s</w:t>
      </w:r>
      <w:r w:rsidR="006F304D" w:rsidRPr="006F304D">
        <w:t xml:space="preserve">, </w:t>
      </w:r>
      <w:r>
        <w:t>1921])</w:t>
      </w:r>
      <w:r w:rsidR="006F304D" w:rsidRPr="006F304D">
        <w:t xml:space="preserve">, </w:t>
      </w:r>
      <w:r>
        <w:t>and William Empson (</w:t>
      </w:r>
      <w:r>
        <w:rPr>
          <w:i/>
        </w:rPr>
        <w:t>Seven Types of Ambiguity</w:t>
      </w:r>
      <w:r>
        <w:t xml:space="preserve"> (1930; </w:t>
      </w:r>
      <w:r w:rsidR="0029762C" w:rsidRPr="0029762C">
        <w:rPr>
          <w:iCs/>
        </w:rPr>
        <w:t>2nd ed.</w:t>
      </w:r>
      <w:r>
        <w:t xml:space="preserve"> London: Chatto and Windus; New York: New Directions</w:t>
      </w:r>
      <w:r w:rsidR="006F304D" w:rsidRPr="006F304D">
        <w:t xml:space="preserve">, </w:t>
      </w:r>
      <w:r>
        <w:t xml:space="preserve">1947]). The name of the movement derives from John Crowe Ransom’s </w:t>
      </w:r>
      <w:r>
        <w:rPr>
          <w:i/>
        </w:rPr>
        <w:t>The New Criticism</w:t>
      </w:r>
      <w:r>
        <w:t xml:space="preserve"> (Norfolk</w:t>
      </w:r>
      <w:r w:rsidR="006F304D" w:rsidRPr="006F304D">
        <w:t xml:space="preserve">, </w:t>
      </w:r>
      <w:r>
        <w:t>CT: New Directions</w:t>
      </w:r>
      <w:r w:rsidR="006F304D" w:rsidRPr="006F304D">
        <w:t xml:space="preserve">, </w:t>
      </w:r>
      <w:r>
        <w:t>1941)</w:t>
      </w:r>
      <w:r w:rsidR="006F304D" w:rsidRPr="006F304D">
        <w:t xml:space="preserve">, </w:t>
      </w:r>
      <w:r>
        <w:t>which discusses (in addition to Richards) T. S. Eliot</w:t>
      </w:r>
      <w:r w:rsidR="006F304D" w:rsidRPr="006F304D">
        <w:t xml:space="preserve">, </w:t>
      </w:r>
      <w:r>
        <w:t>Yvor Winters</w:t>
      </w:r>
      <w:r w:rsidR="006F304D" w:rsidRPr="006F304D">
        <w:t xml:space="preserve">, </w:t>
      </w:r>
      <w:r>
        <w:t>and Charles William Morris. Principal practitioners have been William K. Wimsatt and Monroe C. Beardsley</w:t>
      </w:r>
      <w:r w:rsidR="006F304D" w:rsidRPr="006F304D">
        <w:t xml:space="preserve">, </w:t>
      </w:r>
      <w:r>
        <w:t xml:space="preserve">who together introduced into the discussion the concepts of “intentional fallacy” and “affective fallacy” (see especially Beardsley’s discussion of the former in </w:t>
      </w:r>
      <w:r>
        <w:rPr>
          <w:i/>
        </w:rPr>
        <w:t>The Possibility of Criticism</w:t>
      </w:r>
      <w:r>
        <w:t xml:space="preserve"> [</w:t>
      </w:r>
      <w:r w:rsidR="0029762C" w:rsidRPr="0029762C">
        <w:rPr>
          <w:iCs/>
        </w:rPr>
        <w:t>Detroit MI</w:t>
      </w:r>
      <w:r>
        <w:t xml:space="preserve">: </w:t>
      </w:r>
      <w:r w:rsidR="0029762C" w:rsidRPr="0029762C">
        <w:rPr>
          <w:iCs/>
        </w:rPr>
        <w:t>Wayne State UP,</w:t>
      </w:r>
      <w:r w:rsidR="006F304D" w:rsidRPr="006F304D">
        <w:t xml:space="preserve"> </w:t>
      </w:r>
      <w:r>
        <w:t>1970] 16-37); and Cleanth Brooks (</w:t>
      </w:r>
      <w:r>
        <w:rPr>
          <w:i/>
        </w:rPr>
        <w:t>The Well-Wrought Urn</w:t>
      </w:r>
      <w:r w:rsidR="00AC038F" w:rsidRPr="00AC038F">
        <w:t xml:space="preserve">: </w:t>
      </w:r>
      <w:r>
        <w:rPr>
          <w:i/>
        </w:rPr>
        <w:t>Studies in the Structure of Poetry</w:t>
      </w:r>
      <w:r>
        <w:t xml:space="preserve"> [New York: Reynal &amp; Hitchcock</w:t>
      </w:r>
      <w:r w:rsidR="006F304D" w:rsidRPr="006F304D">
        <w:t xml:space="preserve">, </w:t>
      </w:r>
      <w:r>
        <w:t>1947])</w:t>
      </w:r>
      <w:r w:rsidR="006F304D" w:rsidRPr="006F304D">
        <w:t xml:space="preserve">, </w:t>
      </w:r>
      <w:r>
        <w:t>who also edited the highly influential textbooks</w:t>
      </w:r>
      <w:r w:rsidR="006F304D" w:rsidRPr="006F304D">
        <w:t xml:space="preserve">, </w:t>
      </w:r>
      <w:r>
        <w:rPr>
          <w:i/>
        </w:rPr>
        <w:t>Understanding Fiction</w:t>
      </w:r>
      <w:r>
        <w:t xml:space="preserve"> (with Robert Penn Warren; New York: </w:t>
      </w:r>
      <w:r w:rsidR="00714629" w:rsidRPr="00714629">
        <w:rPr>
          <w:iCs/>
        </w:rPr>
        <w:t>F.S.</w:t>
      </w:r>
      <w:r>
        <w:t xml:space="preserve"> Crofts</w:t>
      </w:r>
      <w:r w:rsidR="006F304D" w:rsidRPr="006F304D">
        <w:t xml:space="preserve">, </w:t>
      </w:r>
      <w:r>
        <w:t>1943)</w:t>
      </w:r>
      <w:r w:rsidR="006F304D" w:rsidRPr="006F304D">
        <w:t xml:space="preserve">, </w:t>
      </w:r>
      <w:r>
        <w:rPr>
          <w:i/>
        </w:rPr>
        <w:t>Understanding Drama</w:t>
      </w:r>
      <w:r w:rsidR="00AC038F" w:rsidRPr="00AC038F">
        <w:t xml:space="preserve">: </w:t>
      </w:r>
      <w:r>
        <w:rPr>
          <w:i/>
        </w:rPr>
        <w:t>Twelve Plays</w:t>
      </w:r>
      <w:r>
        <w:t xml:space="preserve"> (with Robert B. Heilman; New York: Henry Holt</w:t>
      </w:r>
      <w:r w:rsidR="006F304D" w:rsidRPr="006F304D">
        <w:t xml:space="preserve">, </w:t>
      </w:r>
      <w:r>
        <w:t>1948)</w:t>
      </w:r>
      <w:r w:rsidR="006F304D" w:rsidRPr="006F304D">
        <w:t xml:space="preserve">, </w:t>
      </w:r>
      <w:r>
        <w:t xml:space="preserve">and </w:t>
      </w:r>
      <w:r>
        <w:rPr>
          <w:i/>
        </w:rPr>
        <w:t>Understanding Poetry</w:t>
      </w:r>
      <w:r w:rsidR="00AC038F" w:rsidRPr="00AC038F">
        <w:t xml:space="preserve">: </w:t>
      </w:r>
      <w:r>
        <w:rPr>
          <w:i/>
        </w:rPr>
        <w:t>An Anthology for College Students</w:t>
      </w:r>
      <w:r>
        <w:t xml:space="preserve"> (with Robert Penn Warren; rev. ed.</w:t>
      </w:r>
      <w:r w:rsidR="006F304D" w:rsidRPr="006F304D">
        <w:t xml:space="preserve">, </w:t>
      </w:r>
      <w:r>
        <w:t>New York: Holt</w:t>
      </w:r>
      <w:r w:rsidR="006F304D" w:rsidRPr="006F304D">
        <w:t xml:space="preserve">, </w:t>
      </w:r>
      <w:r>
        <w:t>1950).</w:t>
      </w:r>
    </w:p>
    <w:p w14:paraId="0A813D8D" w14:textId="72F04ACA" w:rsidR="0018433B" w:rsidRDefault="0018433B" w:rsidP="0018433B">
      <w:pPr>
        <w:widowControl w:val="0"/>
      </w:pPr>
      <w:r>
        <w:t>“Form,” to the New Critics</w:t>
      </w:r>
      <w:r w:rsidR="006F304D" w:rsidRPr="006F304D">
        <w:t xml:space="preserve">, </w:t>
      </w:r>
      <w:r>
        <w:t>means all shaping of the content</w:t>
      </w:r>
      <w:r w:rsidR="006F304D" w:rsidRPr="006F304D">
        <w:t xml:space="preserve">, </w:t>
      </w:r>
      <w:r>
        <w:t>which shaping is</w:t>
      </w:r>
      <w:r w:rsidR="006F304D" w:rsidRPr="006F304D">
        <w:t xml:space="preserve">, </w:t>
      </w:r>
      <w:r>
        <w:t>ultimately</w:t>
      </w:r>
      <w:r w:rsidR="006F304D" w:rsidRPr="006F304D">
        <w:t xml:space="preserve">, </w:t>
      </w:r>
      <w:r>
        <w:t>indistinguishable from the content. The contrast is nevertheless real. A useful analogy</w:t>
      </w:r>
      <w:r w:rsidR="006F304D" w:rsidRPr="006F304D">
        <w:t xml:space="preserve">, </w:t>
      </w:r>
      <w:r>
        <w:t>perhaps</w:t>
      </w:r>
      <w:r w:rsidR="006F304D" w:rsidRPr="006F304D">
        <w:t xml:space="preserve">, </w:t>
      </w:r>
      <w:r>
        <w:t>can be borrowed from sculpture: if the stone of a statue is its content</w:t>
      </w:r>
      <w:r w:rsidR="006F304D" w:rsidRPr="006F304D">
        <w:t xml:space="preserve">, </w:t>
      </w:r>
      <w:r>
        <w:t>then form is “a statue minus the stone” (Paul Hahn</w:t>
      </w:r>
      <w:r w:rsidR="006F304D" w:rsidRPr="006F304D">
        <w:t xml:space="preserve">, </w:t>
      </w:r>
      <w:r>
        <w:rPr>
          <w:i/>
        </w:rPr>
        <w:t>A Reformation of New Criticism</w:t>
      </w:r>
      <w:r w:rsidR="00AC038F" w:rsidRPr="00AC038F">
        <w:t xml:space="preserve">: </w:t>
      </w:r>
      <w:r>
        <w:rPr>
          <w:i/>
        </w:rPr>
        <w:t>“Burnt Norton” Revisited</w:t>
      </w:r>
      <w:r>
        <w:t xml:space="preserve"> [Emporia State Research Studies; Emporia</w:t>
      </w:r>
      <w:r w:rsidR="006F304D" w:rsidRPr="006F304D">
        <w:t xml:space="preserve">, </w:t>
      </w:r>
      <w:r>
        <w:t>KS: Kansas State Teachers College</w:t>
      </w:r>
      <w:r w:rsidR="006F304D" w:rsidRPr="006F304D">
        <w:t xml:space="preserve">, </w:t>
      </w:r>
      <w:r>
        <w:t>1972] 10).</w:t>
      </w:r>
    </w:p>
  </w:footnote>
  <w:footnote w:id="104">
    <w:p w14:paraId="1B230AE3" w14:textId="6979CD39" w:rsidR="0018433B" w:rsidRDefault="0018433B" w:rsidP="0018433B">
      <w:pPr>
        <w:widowControl w:val="0"/>
      </w:pPr>
      <w:r>
        <w:rPr>
          <w:vertAlign w:val="superscript"/>
        </w:rPr>
        <w:footnoteRef/>
      </w:r>
      <w:r>
        <w:t xml:space="preserve"> Largely a movement of the 1940s and 1950s</w:t>
      </w:r>
      <w:r w:rsidR="006F304D" w:rsidRPr="006F304D">
        <w:t xml:space="preserve">, </w:t>
      </w:r>
      <w:r>
        <w:t>the Chicago school was centered in the University of Chicago. Its principal practitioners were Ronald Crane</w:t>
      </w:r>
      <w:r w:rsidR="006F304D" w:rsidRPr="006F304D">
        <w:t xml:space="preserve">, </w:t>
      </w:r>
      <w:r>
        <w:t>Richard McKeon</w:t>
      </w:r>
      <w:r w:rsidR="006F304D" w:rsidRPr="006F304D">
        <w:t xml:space="preserve">, </w:t>
      </w:r>
      <w:r>
        <w:t>Richard Weaver</w:t>
      </w:r>
      <w:r w:rsidR="006F304D" w:rsidRPr="006F304D">
        <w:t xml:space="preserve">, </w:t>
      </w:r>
      <w:r>
        <w:t>and Norman Friedmann. Some would add</w:t>
      </w:r>
      <w:r w:rsidR="006F304D" w:rsidRPr="006F304D">
        <w:t xml:space="preserve">, </w:t>
      </w:r>
      <w:r>
        <w:t>though his work was in the 1960s and 1970s</w:t>
      </w:r>
      <w:r w:rsidR="006F304D" w:rsidRPr="006F304D">
        <w:t xml:space="preserve">, </w:t>
      </w:r>
      <w:r>
        <w:t>Wayne C. Booth.</w:t>
      </w:r>
    </w:p>
  </w:footnote>
  <w:footnote w:id="105">
    <w:p w14:paraId="2A6576F1" w14:textId="53C4FC4D" w:rsidR="0018433B" w:rsidRDefault="0018433B" w:rsidP="0018433B">
      <w:pPr>
        <w:widowControl w:val="0"/>
      </w:pPr>
      <w:r>
        <w:rPr>
          <w:vertAlign w:val="superscript"/>
        </w:rPr>
        <w:footnoteRef/>
      </w:r>
      <w:r>
        <w:t xml:space="preserve"> Christopher Norris</w:t>
      </w:r>
      <w:r w:rsidR="006F304D" w:rsidRPr="006F304D">
        <w:t xml:space="preserve">, </w:t>
      </w:r>
      <w:r>
        <w:t xml:space="preserve">“Some Versions of Rhetoric: Empson and de Man,” </w:t>
      </w:r>
      <w:r>
        <w:rPr>
          <w:i/>
        </w:rPr>
        <w:t>Genre</w:t>
      </w:r>
      <w:r>
        <w:t xml:space="preserve"> 17 (1984) 191. Deconstruction typically “discovers everywhere at work </w:t>
      </w:r>
      <w:r w:rsidRPr="00C002BF">
        <w:t>. . .</w:t>
      </w:r>
      <w:r>
        <w:t xml:space="preserve"> deep-rooted ontological perplexity </w:t>
      </w:r>
      <w:r w:rsidRPr="00C002BF">
        <w:t>. . .</w:t>
      </w:r>
      <w:r>
        <w:t xml:space="preserve"> poetry is ‘authentic’ only in so far as it reveals the inability of language to disguise its own self-divided and problematic nature” (ibid.</w:t>
      </w:r>
      <w:r w:rsidR="006F304D" w:rsidRPr="006F304D">
        <w:t xml:space="preserve">, </w:t>
      </w:r>
      <w:r>
        <w:t>212-13). Principal figures in deconstruction include Paul de Man (</w:t>
      </w:r>
      <w:r>
        <w:rPr>
          <w:i/>
        </w:rPr>
        <w:t>Allegories of Reading</w:t>
      </w:r>
      <w:r w:rsidR="00AC038F" w:rsidRPr="00AC038F">
        <w:t xml:space="preserve">: </w:t>
      </w:r>
      <w:r>
        <w:rPr>
          <w:i/>
        </w:rPr>
        <w:t>Figural Language in Rousseau</w:t>
      </w:r>
      <w:r w:rsidR="006F304D" w:rsidRPr="006F304D">
        <w:t xml:space="preserve">, </w:t>
      </w:r>
      <w:r>
        <w:rPr>
          <w:i/>
        </w:rPr>
        <w:t>Nietzsche</w:t>
      </w:r>
      <w:r w:rsidR="006F304D" w:rsidRPr="006F304D">
        <w:t xml:space="preserve">, </w:t>
      </w:r>
      <w:r>
        <w:rPr>
          <w:i/>
        </w:rPr>
        <w:t>Rilke</w:t>
      </w:r>
      <w:r w:rsidR="006F304D" w:rsidRPr="006F304D">
        <w:t xml:space="preserve">, </w:t>
      </w:r>
      <w:r>
        <w:rPr>
          <w:i/>
        </w:rPr>
        <w:t>and Proust</w:t>
      </w:r>
      <w:r>
        <w:t xml:space="preserve"> [New Haven</w:t>
      </w:r>
      <w:r w:rsidR="006F304D" w:rsidRPr="006F304D">
        <w:t xml:space="preserve">, </w:t>
      </w:r>
      <w:r>
        <w:t>CT: Yale University</w:t>
      </w:r>
      <w:r w:rsidR="006F304D" w:rsidRPr="006F304D">
        <w:t xml:space="preserve">, </w:t>
      </w:r>
      <w:r>
        <w:t>1979])</w:t>
      </w:r>
      <w:r w:rsidR="006F304D" w:rsidRPr="006F304D">
        <w:t xml:space="preserve">, </w:t>
      </w:r>
      <w:r>
        <w:t>J. Hillis Miller (</w:t>
      </w:r>
      <w:r>
        <w:rPr>
          <w:i/>
        </w:rPr>
        <w:t>Deconstruction and Criticism</w:t>
      </w:r>
      <w:r>
        <w:t xml:space="preserve"> [New York: Seabury</w:t>
      </w:r>
      <w:r w:rsidR="006F304D" w:rsidRPr="006F304D">
        <w:t xml:space="preserve">, </w:t>
      </w:r>
      <w:r>
        <w:t>1979])</w:t>
      </w:r>
      <w:r w:rsidR="006F304D" w:rsidRPr="006F304D">
        <w:t xml:space="preserve">, </w:t>
      </w:r>
      <w:r>
        <w:t>Geoffrey Hartman (</w:t>
      </w:r>
      <w:r>
        <w:rPr>
          <w:i/>
        </w:rPr>
        <w:t>Saving the Text</w:t>
      </w:r>
      <w:r w:rsidR="00AC038F" w:rsidRPr="00AC038F">
        <w:t xml:space="preserve">: </w:t>
      </w:r>
      <w:r>
        <w:rPr>
          <w:i/>
        </w:rPr>
        <w:t>Literature/Derrida/Philosophy</w:t>
      </w:r>
      <w:r>
        <w:t xml:space="preserve"> [Baltimore</w:t>
      </w:r>
      <w:r w:rsidR="006F304D" w:rsidRPr="006F304D">
        <w:t xml:space="preserve">, </w:t>
      </w:r>
      <w:r>
        <w:t>MD: Johns Hopkins University</w:t>
      </w:r>
      <w:r w:rsidR="006F304D" w:rsidRPr="006F304D">
        <w:t xml:space="preserve">, </w:t>
      </w:r>
      <w:r>
        <w:t>1981])</w:t>
      </w:r>
      <w:r w:rsidR="006F304D" w:rsidRPr="006F304D">
        <w:t xml:space="preserve">, </w:t>
      </w:r>
      <w:r>
        <w:t>and Jacques Derrida (</w:t>
      </w:r>
      <w:r w:rsidR="00775F9B" w:rsidRPr="00775F9B">
        <w:rPr>
          <w:iCs/>
        </w:rPr>
        <w:t>e.g.</w:t>
      </w:r>
      <w:r w:rsidR="006F304D" w:rsidRPr="006F304D">
        <w:t xml:space="preserve">, </w:t>
      </w:r>
      <w:r>
        <w:t xml:space="preserve">“Différance,” in </w:t>
      </w:r>
      <w:r>
        <w:rPr>
          <w:i/>
        </w:rPr>
        <w:t>Margins of Philosophy</w:t>
      </w:r>
      <w:r>
        <w:t xml:space="preserve"> [</w:t>
      </w:r>
      <w:r w:rsidR="000644ED" w:rsidRPr="000644ED">
        <w:rPr>
          <w:iCs/>
        </w:rPr>
        <w:t>Chicago: U of Chicago P</w:t>
      </w:r>
      <w:r w:rsidR="006F304D" w:rsidRPr="006F304D">
        <w:t xml:space="preserve">, </w:t>
      </w:r>
      <w:r>
        <w:t>1982] 3-27).</w:t>
      </w:r>
    </w:p>
  </w:footnote>
  <w:footnote w:id="106">
    <w:p w14:paraId="1190B22D" w14:textId="12ED6632" w:rsidR="0018433B" w:rsidRDefault="0018433B" w:rsidP="0018433B">
      <w:pPr>
        <w:widowControl w:val="0"/>
      </w:pPr>
      <w:r>
        <w:rPr>
          <w:vertAlign w:val="superscript"/>
        </w:rPr>
        <w:footnoteRef/>
      </w:r>
      <w:r>
        <w:t xml:space="preserve"> A summary of myth criticism—not an historical survey</w:t>
      </w:r>
      <w:r w:rsidR="006F304D" w:rsidRPr="006F304D">
        <w:t xml:space="preserve">, </w:t>
      </w:r>
      <w:r>
        <w:t>but a typology—can be found in Northrop Frye’s essay</w:t>
      </w:r>
      <w:r w:rsidR="006F304D" w:rsidRPr="006F304D">
        <w:t xml:space="preserve">, </w:t>
      </w:r>
      <w:r>
        <w:t xml:space="preserve">“Archetypal Criticism: Theory of Myths,” in his </w:t>
      </w:r>
      <w:r>
        <w:rPr>
          <w:i/>
        </w:rPr>
        <w:t>Anatomy of Criticism</w:t>
      </w:r>
      <w:r w:rsidR="00AC038F" w:rsidRPr="00AC038F">
        <w:t xml:space="preserve">: </w:t>
      </w:r>
      <w:r>
        <w:rPr>
          <w:i/>
        </w:rPr>
        <w:t>Four Essays</w:t>
      </w:r>
      <w:r>
        <w:t xml:space="preserve"> (Princeton</w:t>
      </w:r>
      <w:r w:rsidR="006F304D" w:rsidRPr="006F304D">
        <w:t xml:space="preserve">, </w:t>
      </w:r>
      <w:r>
        <w:t>NJ: Princeton University</w:t>
      </w:r>
      <w:r w:rsidR="006F304D" w:rsidRPr="006F304D">
        <w:t xml:space="preserve">, </w:t>
      </w:r>
      <w:r>
        <w:t>1957) 131-239. Hendricks (“Folklore,” 92) is mistaken</w:t>
      </w:r>
      <w:r w:rsidR="006F304D" w:rsidRPr="006F304D">
        <w:t xml:space="preserve">, </w:t>
      </w:r>
      <w:r>
        <w:t>I think</w:t>
      </w:r>
      <w:r w:rsidR="006F304D" w:rsidRPr="006F304D">
        <w:t xml:space="preserve">, </w:t>
      </w:r>
      <w:r>
        <w:t>to suggest that myth criticism is necessarily “atomistic.” Though myth criticism seeks archetypes—an archetype being “an invariable nucleus of meaning universally present in man’s consciousness” (ibid.)—it ordinarily does not seek them in isolation</w:t>
      </w:r>
      <w:r w:rsidR="006F304D" w:rsidRPr="006F304D">
        <w:t xml:space="preserve">, </w:t>
      </w:r>
      <w:r>
        <w:t>but looks for plot “syntagms,” or patterns of archetypes—in which case it is not atomistic but structural.</w:t>
      </w:r>
    </w:p>
  </w:footnote>
  <w:footnote w:id="107">
    <w:p w14:paraId="77102BC8" w14:textId="6FA4709B" w:rsidR="0018433B" w:rsidRDefault="0018433B" w:rsidP="0018433B">
      <w:pPr>
        <w:widowControl w:val="0"/>
      </w:pPr>
      <w:r>
        <w:rPr>
          <w:vertAlign w:val="superscript"/>
        </w:rPr>
        <w:footnoteRef/>
      </w:r>
      <w:r>
        <w:t xml:space="preserve"> Wolfgang U. Dressler</w:t>
      </w:r>
      <w:r w:rsidR="006F304D" w:rsidRPr="006F304D">
        <w:t xml:space="preserve">, </w:t>
      </w:r>
      <w:r>
        <w:rPr>
          <w:i/>
        </w:rPr>
        <w:t>Einführung in die Textlinguistik</w:t>
      </w:r>
      <w:r>
        <w:t xml:space="preserve"> (Tübingen: M. Niemeyer</w:t>
      </w:r>
      <w:r w:rsidR="006F304D" w:rsidRPr="006F304D">
        <w:t xml:space="preserve">, </w:t>
      </w:r>
      <w:r>
        <w:t>1972) 12; quoted in Olsson</w:t>
      </w:r>
      <w:r w:rsidR="006F304D" w:rsidRPr="006F304D">
        <w:t xml:space="preserve">, </w:t>
      </w:r>
      <w:r>
        <w:rPr>
          <w:i/>
        </w:rPr>
        <w:t>Structure</w:t>
      </w:r>
      <w:r w:rsidR="006F304D" w:rsidRPr="006F304D">
        <w:t xml:space="preserve">, </w:t>
      </w:r>
      <w:r>
        <w:t>11.</w:t>
      </w:r>
    </w:p>
  </w:footnote>
  <w:footnote w:id="108">
    <w:p w14:paraId="426C83C7" w14:textId="2B5A696A" w:rsidR="0018433B" w:rsidRDefault="0018433B" w:rsidP="0018433B">
      <w:pPr>
        <w:widowControl w:val="0"/>
      </w:pPr>
      <w:r>
        <w:rPr>
          <w:vertAlign w:val="superscript"/>
        </w:rPr>
        <w:footnoteRef/>
      </w:r>
      <w:r>
        <w:t xml:space="preserve"> Eugene A. Nida</w:t>
      </w:r>
      <w:r w:rsidR="006F304D" w:rsidRPr="006F304D">
        <w:t xml:space="preserve">, </w:t>
      </w:r>
      <w:r>
        <w:rPr>
          <w:i/>
        </w:rPr>
        <w:t>Componential Analysis of Meaning</w:t>
      </w:r>
      <w:r w:rsidR="00AC038F" w:rsidRPr="00AC038F">
        <w:t xml:space="preserve">: </w:t>
      </w:r>
      <w:r>
        <w:rPr>
          <w:i/>
        </w:rPr>
        <w:t>An Introduction to Semantic Structures</w:t>
      </w:r>
      <w:r>
        <w:t xml:space="preserve"> (Approaches to Semiotics 57; The Hague: Mouton</w:t>
      </w:r>
      <w:r w:rsidR="006F304D" w:rsidRPr="006F304D">
        <w:t xml:space="preserve">, </w:t>
      </w:r>
      <w:r>
        <w:t>1975); cited in Olsson</w:t>
      </w:r>
      <w:r w:rsidR="006F304D" w:rsidRPr="006F304D">
        <w:t xml:space="preserve">, </w:t>
      </w:r>
      <w:r>
        <w:rPr>
          <w:i/>
        </w:rPr>
        <w:t>Structure</w:t>
      </w:r>
      <w:r w:rsidR="006F304D" w:rsidRPr="006F304D">
        <w:t xml:space="preserve">, </w:t>
      </w:r>
      <w:r>
        <w:t>14.</w:t>
      </w:r>
    </w:p>
  </w:footnote>
  <w:footnote w:id="109">
    <w:p w14:paraId="58084754" w14:textId="4D846068" w:rsidR="0018433B" w:rsidRPr="003F4B35" w:rsidRDefault="0018433B" w:rsidP="0018433B">
      <w:pPr>
        <w:widowControl w:val="0"/>
      </w:pPr>
      <w:r w:rsidRPr="00A70A85">
        <w:rPr>
          <w:vertAlign w:val="superscript"/>
        </w:rPr>
        <w:footnoteRef/>
      </w:r>
      <w:r w:rsidRPr="00A70A85">
        <w:t xml:space="preserve"> </w:t>
      </w:r>
      <w:r w:rsidRPr="003F4B35">
        <w:rPr>
          <w:i/>
        </w:rPr>
        <w:t>Rhetoric</w:t>
      </w:r>
      <w:r w:rsidR="006F304D" w:rsidRPr="006F304D">
        <w:t xml:space="preserve">, </w:t>
      </w:r>
      <w:r w:rsidRPr="003F4B35">
        <w:t>i.2.1355b 26-27</w:t>
      </w:r>
      <w:r w:rsidR="006F304D" w:rsidRPr="006F304D">
        <w:t xml:space="preserve">, </w:t>
      </w:r>
      <w:r w:rsidRPr="003F4B35">
        <w:t xml:space="preserve">in </w:t>
      </w:r>
      <w:r w:rsidRPr="003F4B35">
        <w:rPr>
          <w:i/>
        </w:rPr>
        <w:t>The Basic Works of Aristotle</w:t>
      </w:r>
      <w:r w:rsidRPr="003F4B35">
        <w:t xml:space="preserve"> (ed. Richard McKeon; New York: Random House</w:t>
      </w:r>
      <w:r w:rsidR="006F304D" w:rsidRPr="006F304D">
        <w:t xml:space="preserve">, </w:t>
      </w:r>
      <w:r w:rsidRPr="003F4B35">
        <w:t>1941) 1329.</w:t>
      </w:r>
    </w:p>
  </w:footnote>
  <w:footnote w:id="110">
    <w:p w14:paraId="50A539C8" w14:textId="2870F3E3" w:rsidR="0018433B" w:rsidRPr="003F4B35" w:rsidRDefault="0018433B" w:rsidP="0018433B">
      <w:pPr>
        <w:widowControl w:val="0"/>
      </w:pPr>
      <w:r w:rsidRPr="003F4B35">
        <w:rPr>
          <w:vertAlign w:val="superscript"/>
        </w:rPr>
        <w:footnoteRef/>
      </w:r>
      <w:r w:rsidRPr="003F4B35">
        <w:t xml:space="preserve"> What Aristotle has defined</w:t>
      </w:r>
      <w:r w:rsidR="006F304D" w:rsidRPr="006F304D">
        <w:t xml:space="preserve">, </w:t>
      </w:r>
      <w:r w:rsidRPr="003F4B35">
        <w:t>in fact</w:t>
      </w:r>
      <w:r w:rsidR="006F304D" w:rsidRPr="006F304D">
        <w:t xml:space="preserve">, </w:t>
      </w:r>
      <w:r w:rsidRPr="003F4B35">
        <w:t>is not rhetoric</w:t>
      </w:r>
      <w:r w:rsidR="006F304D" w:rsidRPr="006F304D">
        <w:t xml:space="preserve">, </w:t>
      </w:r>
      <w:r w:rsidRPr="003F4B35">
        <w:t xml:space="preserve">but the division of rhetoric later known as invention (see Aristotle’s </w:t>
      </w:r>
      <w:r w:rsidRPr="003F4B35">
        <w:rPr>
          <w:i/>
        </w:rPr>
        <w:t>Rhetoric</w:t>
      </w:r>
      <w:r w:rsidR="006F304D" w:rsidRPr="006F304D">
        <w:t xml:space="preserve">, </w:t>
      </w:r>
      <w:r w:rsidRPr="003F4B35">
        <w:t>1414a-c). Aristotle himself does not abide by the definition quoted above</w:t>
      </w:r>
      <w:r w:rsidR="006F304D" w:rsidRPr="006F304D">
        <w:t xml:space="preserve">, </w:t>
      </w:r>
      <w:r w:rsidRPr="003F4B35">
        <w:t>for at the beginning of book 3 (1414a) he says</w:t>
      </w:r>
      <w:r w:rsidR="006F304D" w:rsidRPr="006F304D">
        <w:t xml:space="preserve">, </w:t>
      </w:r>
      <w:r w:rsidRPr="003F4B35">
        <w:t>“rhetoric must treat systematically three things: (1) what the means of persuasion are to be [</w:t>
      </w:r>
      <w:r>
        <w:t>ε</w:t>
      </w:r>
      <w:r w:rsidRPr="00CB0999">
        <w:rPr>
          <w:szCs w:val="22"/>
        </w:rPr>
        <w:t>ὕ</w:t>
      </w:r>
      <w:r>
        <w:rPr>
          <w:szCs w:val="22"/>
        </w:rPr>
        <w:t>ρησις</w:t>
      </w:r>
      <w:r w:rsidR="006F304D" w:rsidRPr="006F304D">
        <w:t xml:space="preserve">, </w:t>
      </w:r>
      <w:r w:rsidRPr="003F4B35">
        <w:t>invention]</w:t>
      </w:r>
      <w:r w:rsidR="006F304D" w:rsidRPr="006F304D">
        <w:t xml:space="preserve">, </w:t>
      </w:r>
      <w:r w:rsidRPr="003F4B35">
        <w:t>(2) the diction [</w:t>
      </w:r>
      <w:r>
        <w:t>λέχσις</w:t>
      </w:r>
      <w:r w:rsidRPr="003F4B35">
        <w:t>]</w:t>
      </w:r>
      <w:r w:rsidR="006F304D" w:rsidRPr="006F304D">
        <w:t xml:space="preserve">, </w:t>
      </w:r>
      <w:r w:rsidRPr="003F4B35">
        <w:t>(3) how to arrange [</w:t>
      </w:r>
      <w:r>
        <w:t>τάχσαι</w:t>
      </w:r>
      <w:r w:rsidRPr="003F4B35">
        <w:t xml:space="preserve">] the parts of the speech </w:t>
      </w:r>
      <w:r w:rsidRPr="00E924C6">
        <w:t>. . .</w:t>
      </w:r>
      <w:r w:rsidRPr="003F4B35">
        <w:t>” Thus Aristotle does include the consideration of structure within the realm of rhetoric.</w:t>
      </w:r>
    </w:p>
  </w:footnote>
  <w:footnote w:id="111">
    <w:p w14:paraId="6DA68672" w14:textId="23A8B876" w:rsidR="0018433B" w:rsidRPr="003F4B35" w:rsidRDefault="0018433B" w:rsidP="0018433B">
      <w:pPr>
        <w:widowControl w:val="0"/>
      </w:pPr>
      <w:r w:rsidRPr="003F4B35">
        <w:rPr>
          <w:vertAlign w:val="superscript"/>
        </w:rPr>
        <w:footnoteRef/>
      </w:r>
      <w:r w:rsidRPr="003F4B35">
        <w:t xml:space="preserve"> The distinction between rhetoric and grammar is still made; for example: “Contrasted with </w:t>
      </w:r>
      <w:r w:rsidRPr="003F4B35">
        <w:rPr>
          <w:i/>
        </w:rPr>
        <w:t>effective</w:t>
      </w:r>
      <w:r w:rsidRPr="003F4B35">
        <w:t xml:space="preserve"> expression</w:t>
      </w:r>
      <w:r w:rsidR="006F304D" w:rsidRPr="006F304D">
        <w:t xml:space="preserve">, </w:t>
      </w:r>
      <w:r w:rsidRPr="003F4B35">
        <w:t>the province of rhetoric</w:t>
      </w:r>
      <w:r w:rsidR="006F304D" w:rsidRPr="006F304D">
        <w:t xml:space="preserve">, </w:t>
      </w:r>
      <w:r w:rsidRPr="003F4B35">
        <w:t xml:space="preserve">is </w:t>
      </w:r>
      <w:r w:rsidRPr="003F4B35">
        <w:rPr>
          <w:i/>
        </w:rPr>
        <w:t>correct</w:t>
      </w:r>
      <w:r w:rsidRPr="003F4B35">
        <w:t xml:space="preserve"> expression</w:t>
      </w:r>
      <w:r w:rsidR="006F304D" w:rsidRPr="006F304D">
        <w:t xml:space="preserve">, </w:t>
      </w:r>
      <w:r w:rsidRPr="003F4B35">
        <w:t>the province of syntax</w:t>
      </w:r>
      <w:r w:rsidR="006F304D" w:rsidRPr="006F304D">
        <w:t xml:space="preserve">, </w:t>
      </w:r>
      <w:r w:rsidRPr="003F4B35">
        <w:t>phonology</w:t>
      </w:r>
      <w:r w:rsidR="006F304D" w:rsidRPr="006F304D">
        <w:t xml:space="preserve">, </w:t>
      </w:r>
      <w:r w:rsidRPr="003F4B35">
        <w:t>and semantics” (Martin Steinmann</w:t>
      </w:r>
      <w:r w:rsidR="006F304D" w:rsidRPr="006F304D">
        <w:t xml:space="preserve">, </w:t>
      </w:r>
      <w:r w:rsidRPr="003F4B35">
        <w:t>Jr.</w:t>
      </w:r>
      <w:r w:rsidR="006F304D" w:rsidRPr="006F304D">
        <w:t xml:space="preserve">, </w:t>
      </w:r>
      <w:r w:rsidRPr="003F4B35">
        <w:t xml:space="preserve">“Foreword,” in </w:t>
      </w:r>
      <w:r w:rsidRPr="003F4B35">
        <w:rPr>
          <w:i/>
        </w:rPr>
        <w:t>New Rhetorics</w:t>
      </w:r>
      <w:r w:rsidRPr="003F4B35">
        <w:t xml:space="preserve"> [ed. Martin Steinmann</w:t>
      </w:r>
      <w:r w:rsidR="006F304D" w:rsidRPr="006F304D">
        <w:t xml:space="preserve">, </w:t>
      </w:r>
      <w:r w:rsidRPr="003F4B35">
        <w:t>Jr.; New York: Scribner’s</w:t>
      </w:r>
      <w:r w:rsidR="006F304D" w:rsidRPr="006F304D">
        <w:t xml:space="preserve">, </w:t>
      </w:r>
      <w:r w:rsidRPr="003F4B35">
        <w:t>1967] iii.). See also Meynet</w:t>
      </w:r>
      <w:r w:rsidR="006F304D" w:rsidRPr="006F304D">
        <w:t xml:space="preserve">, </w:t>
      </w:r>
      <w:r w:rsidRPr="003F4B35">
        <w:rPr>
          <w:i/>
        </w:rPr>
        <w:t>Quelle</w:t>
      </w:r>
      <w:r>
        <w:rPr>
          <w:i/>
        </w:rPr>
        <w:t xml:space="preserve"> est donc cette parole?</w:t>
      </w:r>
      <w:r w:rsidR="006F304D" w:rsidRPr="006F304D">
        <w:t xml:space="preserve">, </w:t>
      </w:r>
      <w:r w:rsidRPr="003F4B35">
        <w:t>1. 50: “rhetoric</w:t>
      </w:r>
      <w:r w:rsidR="006F304D" w:rsidRPr="006F304D">
        <w:t xml:space="preserve">, </w:t>
      </w:r>
      <w:r w:rsidRPr="003F4B35">
        <w:t xml:space="preserve">that is to say </w:t>
      </w:r>
      <w:r w:rsidRPr="00E924C6">
        <w:t>. . .</w:t>
      </w:r>
      <w:r w:rsidRPr="003F4B35">
        <w:t xml:space="preserve"> articulations of the text </w:t>
      </w:r>
      <w:r w:rsidRPr="00E924C6">
        <w:t>. . .</w:t>
      </w:r>
      <w:r w:rsidRPr="003F4B35">
        <w:t xml:space="preserve"> at another level than that of the sentence.”</w:t>
      </w:r>
    </w:p>
  </w:footnote>
  <w:footnote w:id="112">
    <w:p w14:paraId="2880A69F" w14:textId="212CE86D" w:rsidR="0018433B" w:rsidRDefault="0018433B" w:rsidP="0018433B">
      <w:pPr>
        <w:widowControl w:val="0"/>
      </w:pPr>
      <w:r w:rsidRPr="003F4B35">
        <w:rPr>
          <w:vertAlign w:val="superscript"/>
        </w:rPr>
        <w:footnoteRef/>
      </w:r>
      <w:r w:rsidRPr="003F4B35">
        <w:t xml:space="preserve"> Boethius explained the distinction this way (“An Overview of the Structure of Rhetoric [</w:t>
      </w:r>
      <w:r w:rsidRPr="003F4B35">
        <w:rPr>
          <w:i/>
        </w:rPr>
        <w:t>Speculatio de cognatione rhetoricae Boethii</w:t>
      </w:r>
      <w:r w:rsidR="006F304D" w:rsidRPr="006F304D">
        <w:t xml:space="preserve">, </w:t>
      </w:r>
      <w:r w:rsidRPr="003F4B35">
        <w:rPr>
          <w:i/>
        </w:rPr>
        <w:t>Patrologia Latina</w:t>
      </w:r>
      <w:r w:rsidR="006F304D" w:rsidRPr="006F304D">
        <w:t xml:space="preserve">, </w:t>
      </w:r>
      <w:r w:rsidRPr="003F4B35">
        <w:t xml:space="preserve">64.1218-1225],” in </w:t>
      </w:r>
      <w:r w:rsidRPr="003F4B35">
        <w:rPr>
          <w:i/>
        </w:rPr>
        <w:t>Readings in Medieval Rhetoric</w:t>
      </w:r>
      <w:r w:rsidRPr="003F4B35">
        <w:t xml:space="preserve"> [ed. Joseph M. Miller</w:t>
      </w:r>
      <w:r w:rsidR="006F304D" w:rsidRPr="006F304D">
        <w:t xml:space="preserve">, </w:t>
      </w:r>
      <w:r w:rsidRPr="003F4B35">
        <w:t xml:space="preserve">et al.; </w:t>
      </w:r>
      <w:r w:rsidR="00C45D7C" w:rsidRPr="00C45D7C">
        <w:rPr>
          <w:iCs/>
        </w:rPr>
        <w:t>Bloomington IN: Indiana UP</w:t>
      </w:r>
      <w:r w:rsidR="006F304D" w:rsidRPr="006F304D">
        <w:t xml:space="preserve">, </w:t>
      </w:r>
      <w:r w:rsidRPr="003F4B35">
        <w:t>1973 72):</w:t>
      </w:r>
    </w:p>
    <w:p w14:paraId="6A84E81E" w14:textId="77777777" w:rsidR="0018433B" w:rsidRPr="003F4B35" w:rsidRDefault="0018433B" w:rsidP="0018433B">
      <w:pPr>
        <w:widowControl w:val="0"/>
      </w:pPr>
    </w:p>
    <w:p w14:paraId="07C9B63F" w14:textId="544521B8" w:rsidR="0018433B" w:rsidRPr="003F4B35" w:rsidRDefault="0018433B" w:rsidP="0018433B">
      <w:pPr>
        <w:widowControl w:val="0"/>
        <w:ind w:left="720" w:right="720"/>
      </w:pPr>
      <w:r w:rsidRPr="003F4B35">
        <w:t>When [an] oration treats an issue of civil importance</w:t>
      </w:r>
      <w:r w:rsidR="006F304D" w:rsidRPr="006F304D">
        <w:t xml:space="preserve">, </w:t>
      </w:r>
      <w:r w:rsidRPr="003F4B35">
        <w:t>it moves forward without a break in continuity; when it does not deal with matters of public concern</w:t>
      </w:r>
      <w:r w:rsidR="006F304D" w:rsidRPr="006F304D">
        <w:t xml:space="preserve">, </w:t>
      </w:r>
      <w:r w:rsidRPr="003F4B35">
        <w:t>it is developed through questions and answers. The former is rhetoric</w:t>
      </w:r>
      <w:r w:rsidR="006F304D" w:rsidRPr="006F304D">
        <w:t xml:space="preserve">, </w:t>
      </w:r>
      <w:r w:rsidRPr="003F4B35">
        <w:t>the latter is called dialectic. They differ because the former treats of civil hypotheses</w:t>
      </w:r>
      <w:r w:rsidR="006F304D" w:rsidRPr="006F304D">
        <w:t xml:space="preserve">, </w:t>
      </w:r>
      <w:r w:rsidRPr="003F4B35">
        <w:t>the latter of theses; the former is an unbroken oration</w:t>
      </w:r>
      <w:r w:rsidR="006F304D" w:rsidRPr="006F304D">
        <w:t xml:space="preserve">, </w:t>
      </w:r>
      <w:r w:rsidRPr="003F4B35">
        <w:t>the latter is interrupted; the former needs both an adversary and a judge</w:t>
      </w:r>
      <w:r w:rsidR="006F304D" w:rsidRPr="006F304D">
        <w:t xml:space="preserve">, </w:t>
      </w:r>
      <w:r w:rsidRPr="003F4B35">
        <w:t>the later has for a judge the same person who acts as adversary.</w:t>
      </w:r>
    </w:p>
    <w:p w14:paraId="60613F37" w14:textId="77777777" w:rsidR="0018433B" w:rsidRDefault="0018433B" w:rsidP="0018433B">
      <w:pPr>
        <w:widowControl w:val="0"/>
      </w:pPr>
    </w:p>
    <w:p w14:paraId="0DC300E4" w14:textId="2BFCEBF4" w:rsidR="0018433B" w:rsidRPr="003F4B35" w:rsidRDefault="0018433B" w:rsidP="0018433B">
      <w:pPr>
        <w:widowControl w:val="0"/>
      </w:pPr>
      <w:r w:rsidRPr="003F4B35">
        <w:t>Though these formal aspects of dialectic (most visible today in the Platonic dialogues) aid in differentiating between it and rhetoric</w:t>
      </w:r>
      <w:r w:rsidR="006F304D" w:rsidRPr="006F304D">
        <w:t xml:space="preserve">, </w:t>
      </w:r>
      <w:r w:rsidRPr="003F4B35">
        <w:t>the distinction seems more artificial now than fifteen centuries ago</w:t>
      </w:r>
      <w:r w:rsidR="006F304D" w:rsidRPr="006F304D">
        <w:t xml:space="preserve">, </w:t>
      </w:r>
      <w:r w:rsidRPr="003F4B35">
        <w:t>because what unites the two seems to us of greater importance: “Dialectic and rhetoric overlap in their use of logical argument” (George A. Kennedy</w:t>
      </w:r>
      <w:r w:rsidR="006F304D" w:rsidRPr="006F304D">
        <w:t xml:space="preserve">, </w:t>
      </w:r>
      <w:r w:rsidRPr="003F4B35">
        <w:rPr>
          <w:i/>
        </w:rPr>
        <w:t>New Testament Interpretation through Rhetorical Criticism</w:t>
      </w:r>
      <w:r w:rsidRPr="003F4B35">
        <w:t xml:space="preserve"> (Studies in Religion; Chapel Hill</w:t>
      </w:r>
      <w:r w:rsidR="006F304D" w:rsidRPr="006F304D">
        <w:t xml:space="preserve">, </w:t>
      </w:r>
      <w:r w:rsidRPr="003F4B35">
        <w:t>NC: University of North Carolina</w:t>
      </w:r>
      <w:r w:rsidR="006F304D" w:rsidRPr="006F304D">
        <w:t xml:space="preserve">, </w:t>
      </w:r>
      <w:r w:rsidRPr="003F4B35">
        <w:t>1984] 9). Therefore</w:t>
      </w:r>
      <w:r w:rsidR="006F304D" w:rsidRPr="006F304D">
        <w:t xml:space="preserve">, </w:t>
      </w:r>
      <w:r w:rsidRPr="003F4B35">
        <w:t>“dialectic” is nowadays sometimes given other meanings than Boethius’; for example</w:t>
      </w:r>
      <w:r w:rsidR="006F304D" w:rsidRPr="006F304D">
        <w:t xml:space="preserve">, </w:t>
      </w:r>
      <w:r w:rsidRPr="003F4B35">
        <w:t>it is said to be “the analysis of serious argument” (Wayne C. Booth</w:t>
      </w:r>
      <w:r w:rsidR="006F304D" w:rsidRPr="006F304D">
        <w:t xml:space="preserve">, </w:t>
      </w:r>
      <w:r w:rsidRPr="003F4B35">
        <w:t>“The Revival of Rhetoric,” in Steinmann</w:t>
      </w:r>
      <w:r w:rsidR="006F304D" w:rsidRPr="006F304D">
        <w:t xml:space="preserve">, </w:t>
      </w:r>
      <w:r w:rsidRPr="003F4B35">
        <w:rPr>
          <w:i/>
        </w:rPr>
        <w:t>New Rhetorics</w:t>
      </w:r>
      <w:r w:rsidR="006F304D" w:rsidRPr="006F304D">
        <w:t xml:space="preserve">, </w:t>
      </w:r>
      <w:r w:rsidRPr="003F4B35">
        <w:t>11).</w:t>
      </w:r>
    </w:p>
  </w:footnote>
  <w:footnote w:id="113">
    <w:p w14:paraId="0D05F17D" w14:textId="05173F3B" w:rsidR="0018433B" w:rsidRPr="003F4B35" w:rsidRDefault="0018433B" w:rsidP="0018433B">
      <w:pPr>
        <w:widowControl w:val="0"/>
      </w:pPr>
      <w:r w:rsidRPr="003F4B35">
        <w:rPr>
          <w:vertAlign w:val="superscript"/>
        </w:rPr>
        <w:footnoteRef/>
      </w:r>
      <w:r w:rsidRPr="003F4B35">
        <w:t xml:space="preserve"> “</w:t>
      </w:r>
      <w:r w:rsidRPr="003F4B35">
        <w:rPr>
          <w:i/>
        </w:rPr>
        <w:t>On the Training of the Clergy</w:t>
      </w:r>
      <w:r w:rsidRPr="003F4B35">
        <w:t xml:space="preserve"> [</w:t>
      </w:r>
      <w:r w:rsidRPr="003F4B35">
        <w:rPr>
          <w:i/>
        </w:rPr>
        <w:t>De clericorum institutione</w:t>
      </w:r>
      <w:r w:rsidR="006F304D" w:rsidRPr="006F304D">
        <w:t xml:space="preserve">, </w:t>
      </w:r>
      <w:r w:rsidRPr="003F4B35">
        <w:rPr>
          <w:i/>
        </w:rPr>
        <w:t>Patrologia Latina</w:t>
      </w:r>
      <w:r w:rsidRPr="003F4B35">
        <w:t xml:space="preserve"> 107.395]</w:t>
      </w:r>
      <w:r w:rsidR="006F304D" w:rsidRPr="006F304D">
        <w:t xml:space="preserve">, </w:t>
      </w:r>
      <w:r w:rsidRPr="003F4B35">
        <w:t>III.19,” in Miller</w:t>
      </w:r>
      <w:r w:rsidR="006F304D" w:rsidRPr="006F304D">
        <w:t xml:space="preserve">, </w:t>
      </w:r>
      <w:r w:rsidRPr="003F4B35">
        <w:rPr>
          <w:i/>
        </w:rPr>
        <w:t>Readings</w:t>
      </w:r>
      <w:r w:rsidR="006F304D" w:rsidRPr="006F304D">
        <w:t xml:space="preserve">, </w:t>
      </w:r>
      <w:r w:rsidRPr="003F4B35">
        <w:t>125.</w:t>
      </w:r>
    </w:p>
  </w:footnote>
  <w:footnote w:id="114">
    <w:p w14:paraId="380E06E7" w14:textId="4D69E177" w:rsidR="0018433B" w:rsidRPr="003F4B35" w:rsidRDefault="0018433B" w:rsidP="0018433B">
      <w:pPr>
        <w:widowControl w:val="0"/>
      </w:pPr>
      <w:r w:rsidRPr="003F4B35">
        <w:rPr>
          <w:vertAlign w:val="superscript"/>
        </w:rPr>
        <w:footnoteRef/>
      </w:r>
      <w:r w:rsidRPr="003F4B35">
        <w:t xml:space="preserve"> It is not clear whether Maurus means by “cases” only judicial oratory or whether he includes as well deliberative oratory. (The three modes of discourse in classical rhetoric [Aristotle</w:t>
      </w:r>
      <w:r w:rsidR="006F304D" w:rsidRPr="006F304D">
        <w:t xml:space="preserve">, </w:t>
      </w:r>
      <w:r w:rsidRPr="003F4B35">
        <w:rPr>
          <w:i/>
        </w:rPr>
        <w:t>Rhetoric</w:t>
      </w:r>
      <w:r w:rsidR="006F304D" w:rsidRPr="006F304D">
        <w:t xml:space="preserve">, </w:t>
      </w:r>
      <w:r w:rsidRPr="003F4B35">
        <w:t>3.1.1358a] were the judicial [for the law court]</w:t>
      </w:r>
      <w:r w:rsidR="006F304D" w:rsidRPr="006F304D">
        <w:t xml:space="preserve">, </w:t>
      </w:r>
      <w:r w:rsidRPr="003F4B35">
        <w:t>the deliberative [for the political rostrum]</w:t>
      </w:r>
      <w:r w:rsidR="006F304D" w:rsidRPr="006F304D">
        <w:t xml:space="preserve">, </w:t>
      </w:r>
      <w:r w:rsidRPr="003F4B35">
        <w:t>and the epideictic [praise or blame of a person or quality on ceremonial occasions].</w:t>
      </w:r>
      <w:r>
        <w:t>)</w:t>
      </w:r>
      <w:r w:rsidRPr="003F4B35">
        <w:t xml:space="preserve"> George A. Kennedy</w:t>
      </w:r>
      <w:r w:rsidR="006F304D" w:rsidRPr="006F304D">
        <w:t xml:space="preserve">, </w:t>
      </w:r>
      <w:r w:rsidRPr="003F4B35">
        <w:t>an ardent believer in classical rhetoric</w:t>
      </w:r>
      <w:r w:rsidR="006F304D" w:rsidRPr="006F304D">
        <w:t xml:space="preserve">, </w:t>
      </w:r>
      <w:r w:rsidRPr="003F4B35">
        <w:t>declares that the three modes “are in fact applicable to all discourse” (</w:t>
      </w:r>
      <w:r w:rsidRPr="003F4B35">
        <w:rPr>
          <w:i/>
        </w:rPr>
        <w:t>NT Interpretation</w:t>
      </w:r>
      <w:r w:rsidR="006F304D" w:rsidRPr="006F304D">
        <w:t xml:space="preserve">, </w:t>
      </w:r>
      <w:r w:rsidRPr="003F4B35">
        <w:t>19).</w:t>
      </w:r>
    </w:p>
  </w:footnote>
  <w:footnote w:id="115">
    <w:p w14:paraId="0D2B9221" w14:textId="4B06B7D6" w:rsidR="0018433B" w:rsidRPr="003F4B35" w:rsidRDefault="0018433B" w:rsidP="0018433B">
      <w:pPr>
        <w:widowControl w:val="0"/>
      </w:pPr>
      <w:r w:rsidRPr="003F4B35">
        <w:rPr>
          <w:vertAlign w:val="superscript"/>
        </w:rPr>
        <w:footnoteRef/>
      </w:r>
      <w:r w:rsidRPr="003F4B35">
        <w:t xml:space="preserve"> Traditional rhetoric had five parts: invention</w:t>
      </w:r>
      <w:r w:rsidR="006F304D" w:rsidRPr="006F304D">
        <w:t xml:space="preserve">, </w:t>
      </w:r>
      <w:r w:rsidRPr="003F4B35">
        <w:t>arrangement</w:t>
      </w:r>
      <w:r w:rsidR="006F304D" w:rsidRPr="006F304D">
        <w:t xml:space="preserve">, </w:t>
      </w:r>
      <w:r w:rsidRPr="003F4B35">
        <w:t>style</w:t>
      </w:r>
      <w:r w:rsidR="006F304D" w:rsidRPr="006F304D">
        <w:t xml:space="preserve">, </w:t>
      </w:r>
      <w:r w:rsidRPr="003F4B35">
        <w:t>memory</w:t>
      </w:r>
      <w:r w:rsidR="006F304D" w:rsidRPr="006F304D">
        <w:t xml:space="preserve">, </w:t>
      </w:r>
      <w:r w:rsidRPr="003F4B35">
        <w:t>and delivery. Since the first two are stages that occur prior to the act of composing</w:t>
      </w:r>
      <w:r w:rsidR="006F304D" w:rsidRPr="006F304D">
        <w:t xml:space="preserve">, </w:t>
      </w:r>
      <w:r w:rsidRPr="003F4B35">
        <w:t>and since the last two occur after the writing phase</w:t>
      </w:r>
      <w:r w:rsidR="006F304D" w:rsidRPr="006F304D">
        <w:t xml:space="preserve">, </w:t>
      </w:r>
      <w:r w:rsidRPr="003F4B35">
        <w:t xml:space="preserve">the tendency to identify rhetoric with style was perhaps inevitable. It was already manifest in classical rhetoric: in </w:t>
      </w:r>
      <w:r w:rsidRPr="003F4B35">
        <w:rPr>
          <w:i/>
        </w:rPr>
        <w:t>On the Sublime</w:t>
      </w:r>
      <w:r w:rsidR="006F304D" w:rsidRPr="006F304D">
        <w:t xml:space="preserve">, </w:t>
      </w:r>
      <w:r w:rsidRPr="003F4B35">
        <w:t>Longinus meant by “sublime” (</w:t>
      </w:r>
      <w:r w:rsidRPr="00CB0999">
        <w:rPr>
          <w:szCs w:val="22"/>
        </w:rPr>
        <w:t>ὕ</w:t>
      </w:r>
      <w:r>
        <w:rPr>
          <w:szCs w:val="22"/>
        </w:rPr>
        <w:t>πσος</w:t>
      </w:r>
      <w:r w:rsidR="006F304D" w:rsidRPr="006F304D">
        <w:t xml:space="preserve">, </w:t>
      </w:r>
      <w:r w:rsidRPr="003F4B35">
        <w:rPr>
          <w:i/>
        </w:rPr>
        <w:t>sublimitas</w:t>
      </w:r>
      <w:r w:rsidRPr="003F4B35">
        <w:t>) “heightening,” that is</w:t>
      </w:r>
      <w:r w:rsidR="006F304D" w:rsidRPr="006F304D">
        <w:t xml:space="preserve">, </w:t>
      </w:r>
      <w:r w:rsidRPr="003F4B35">
        <w:t>of style (Baldwin</w:t>
      </w:r>
      <w:r w:rsidR="006F304D" w:rsidRPr="006F304D">
        <w:t xml:space="preserve">, </w:t>
      </w:r>
      <w:r w:rsidRPr="003F4B35">
        <w:rPr>
          <w:i/>
        </w:rPr>
        <w:t>Ancient Rhetoric</w:t>
      </w:r>
      <w:r w:rsidR="006F304D" w:rsidRPr="006F304D">
        <w:t xml:space="preserve">, </w:t>
      </w:r>
      <w:r w:rsidRPr="003F4B35">
        <w:t>123).</w:t>
      </w:r>
    </w:p>
  </w:footnote>
  <w:footnote w:id="116">
    <w:p w14:paraId="5B91B708" w14:textId="698C5C61" w:rsidR="0018433B" w:rsidRPr="003F4B35" w:rsidRDefault="0018433B" w:rsidP="0018433B">
      <w:pPr>
        <w:widowControl w:val="0"/>
      </w:pPr>
      <w:r w:rsidRPr="003F4B35">
        <w:rPr>
          <w:vertAlign w:val="superscript"/>
        </w:rPr>
        <w:footnoteRef/>
      </w:r>
      <w:r w:rsidRPr="003F4B35">
        <w:t xml:space="preserve"> Quoted by Malcolm Muggeridge</w:t>
      </w:r>
      <w:r w:rsidR="006F304D" w:rsidRPr="006F304D">
        <w:t xml:space="preserve">, </w:t>
      </w:r>
      <w:r w:rsidRPr="003F4B35">
        <w:t>who is quoted by Wayne C. Booth</w:t>
      </w:r>
      <w:r w:rsidR="006F304D" w:rsidRPr="006F304D">
        <w:t xml:space="preserve">, </w:t>
      </w:r>
      <w:r w:rsidRPr="003F4B35">
        <w:t>“Revival,” 3.</w:t>
      </w:r>
    </w:p>
  </w:footnote>
  <w:footnote w:id="117">
    <w:p w14:paraId="00278CD8" w14:textId="67687195" w:rsidR="0018433B" w:rsidRPr="003F4B35" w:rsidRDefault="0018433B" w:rsidP="0018433B">
      <w:pPr>
        <w:widowControl w:val="0"/>
      </w:pPr>
      <w:r w:rsidRPr="003F4B35">
        <w:rPr>
          <w:vertAlign w:val="superscript"/>
        </w:rPr>
        <w:footnoteRef/>
      </w:r>
      <w:r w:rsidRPr="003F4B35">
        <w:t xml:space="preserve"> Malcolm Muggeridge</w:t>
      </w:r>
      <w:r w:rsidR="006F304D" w:rsidRPr="006F304D">
        <w:t xml:space="preserve">, </w:t>
      </w:r>
      <w:r w:rsidRPr="003F4B35">
        <w:t xml:space="preserve">quoted from “a recent </w:t>
      </w:r>
      <w:r w:rsidRPr="003F4B35">
        <w:rPr>
          <w:i/>
        </w:rPr>
        <w:t>Esquire</w:t>
      </w:r>
      <w:r w:rsidRPr="003F4B35">
        <w:t xml:space="preserve"> article” by Booth</w:t>
      </w:r>
      <w:r w:rsidR="006F304D" w:rsidRPr="006F304D">
        <w:t xml:space="preserve">, </w:t>
      </w:r>
      <w:r w:rsidRPr="003F4B35">
        <w:t>“Revival of Rhetoric,” 3</w:t>
      </w:r>
      <w:r w:rsidR="006F304D" w:rsidRPr="006F304D">
        <w:t xml:space="preserve">, </w:t>
      </w:r>
      <w:r w:rsidRPr="003F4B35">
        <w:t>who notes: “Here</w:t>
      </w:r>
      <w:r w:rsidR="006F304D" w:rsidRPr="006F304D">
        <w:t xml:space="preserve">, </w:t>
      </w:r>
      <w:r w:rsidRPr="003F4B35">
        <w:t>as in much of current usage</w:t>
      </w:r>
      <w:r w:rsidR="006F304D" w:rsidRPr="006F304D">
        <w:t xml:space="preserve">, </w:t>
      </w:r>
      <w:r w:rsidRPr="003F4B35">
        <w:t>rhetoric is still bombast</w:t>
      </w:r>
      <w:r w:rsidR="006F304D" w:rsidRPr="006F304D">
        <w:t xml:space="preserve">, </w:t>
      </w:r>
      <w:r w:rsidRPr="003F4B35">
        <w:t xml:space="preserve">mere propaganda </w:t>
      </w:r>
      <w:r w:rsidRPr="00E924C6">
        <w:t>. . .</w:t>
      </w:r>
      <w:r w:rsidRPr="003F4B35">
        <w:t>”</w:t>
      </w:r>
    </w:p>
    <w:p w14:paraId="0852F345" w14:textId="35C1A7D2" w:rsidR="0018433B" w:rsidRPr="00E5413C" w:rsidRDefault="0018433B" w:rsidP="0018433B">
      <w:pPr>
        <w:widowControl w:val="0"/>
        <w:rPr>
          <w:lang w:val="fr-FR"/>
        </w:rPr>
      </w:pPr>
      <w:r w:rsidRPr="003F4B35">
        <w:t>Booth is not alone in his opposition to this debasement of the term; Wichelns</w:t>
      </w:r>
      <w:r w:rsidR="006F304D" w:rsidRPr="006F304D">
        <w:t xml:space="preserve">, </w:t>
      </w:r>
      <w:r w:rsidRPr="003F4B35">
        <w:t>too</w:t>
      </w:r>
      <w:r w:rsidR="006F304D" w:rsidRPr="006F304D">
        <w:t xml:space="preserve">, </w:t>
      </w:r>
      <w:r w:rsidRPr="003F4B35">
        <w:t>would like to see eliminated</w:t>
      </w:r>
      <w:r>
        <w:t xml:space="preserve"> “</w:t>
      </w:r>
      <w:r w:rsidRPr="003F4B35">
        <w:t>The limited meaning which confines the term to the devices of a correct and even of an elegant prose style” (Herbert A. Wichelns</w:t>
      </w:r>
      <w:r w:rsidR="006F304D" w:rsidRPr="006F304D">
        <w:t xml:space="preserve">, </w:t>
      </w:r>
      <w:r w:rsidRPr="003F4B35">
        <w:t xml:space="preserve">“The Literary Criticism of Oratory,” in </w:t>
      </w:r>
      <w:r w:rsidRPr="003F4B35">
        <w:rPr>
          <w:i/>
        </w:rPr>
        <w:t>Methods of Rhetorical Criticism</w:t>
      </w:r>
      <w:r w:rsidRPr="003F4B35">
        <w:t xml:space="preserve">: </w:t>
      </w:r>
      <w:r w:rsidRPr="003F4B35">
        <w:rPr>
          <w:i/>
        </w:rPr>
        <w:t>A Twentieth-Century Perspective</w:t>
      </w:r>
      <w:r w:rsidRPr="003F4B35">
        <w:t xml:space="preserve"> [</w:t>
      </w:r>
      <w:r w:rsidR="0029762C" w:rsidRPr="0029762C">
        <w:rPr>
          <w:iCs/>
        </w:rPr>
        <w:t>2nd ed.</w:t>
      </w:r>
      <w:r w:rsidR="00DC3006" w:rsidRPr="00DC3006">
        <w:rPr>
          <w:iCs/>
        </w:rPr>
        <w:t xml:space="preserve">. Eds. </w:t>
      </w:r>
      <w:r w:rsidRPr="003F4B35">
        <w:t xml:space="preserve">Bernard L. Brock and Robert L. Scott; </w:t>
      </w:r>
      <w:r w:rsidR="0029762C" w:rsidRPr="0029762C">
        <w:rPr>
          <w:iCs/>
        </w:rPr>
        <w:t>Detroit MI</w:t>
      </w:r>
      <w:r w:rsidRPr="003F4B35">
        <w:t xml:space="preserve">: </w:t>
      </w:r>
      <w:r w:rsidR="0029762C" w:rsidRPr="0029762C">
        <w:rPr>
          <w:iCs/>
        </w:rPr>
        <w:t>Wayne State UP,</w:t>
      </w:r>
      <w:r w:rsidR="006F304D" w:rsidRPr="006F304D">
        <w:t xml:space="preserve"> </w:t>
      </w:r>
      <w:r w:rsidRPr="003F4B35">
        <w:t>1980] 67). Though they do not themselves restrict rhetoric to style</w:t>
      </w:r>
      <w:r w:rsidR="006F304D" w:rsidRPr="006F304D">
        <w:t xml:space="preserve">, </w:t>
      </w:r>
      <w:r w:rsidRPr="003F4B35">
        <w:t>Edward Corbett and A.-Ed. Chaignet in their surveys of the history of rhetoric deal almost exclusively with elocution (Edward P. J. Corbett</w:t>
      </w:r>
      <w:r w:rsidR="006F304D" w:rsidRPr="006F304D">
        <w:t xml:space="preserve">, </w:t>
      </w:r>
      <w:r w:rsidRPr="003F4B35">
        <w:rPr>
          <w:i/>
        </w:rPr>
        <w:t>Classical Rhetoric for the Modern Student</w:t>
      </w:r>
      <w:r w:rsidRPr="003F4B35">
        <w:t xml:space="preserve"> [</w:t>
      </w:r>
      <w:r w:rsidR="0029762C" w:rsidRPr="0029762C">
        <w:rPr>
          <w:iCs/>
        </w:rPr>
        <w:t>2nd ed.</w:t>
      </w:r>
      <w:r w:rsidRPr="003F4B35">
        <w:t>; New York: Oxford University</w:t>
      </w:r>
      <w:r w:rsidR="006F304D" w:rsidRPr="006F304D">
        <w:t xml:space="preserve">, </w:t>
      </w:r>
      <w:r w:rsidRPr="003F4B35">
        <w:t xml:space="preserve">1971] 594-630; A.-Ed. </w:t>
      </w:r>
      <w:r w:rsidRPr="00E5413C">
        <w:rPr>
          <w:lang w:val="fr-FR"/>
        </w:rPr>
        <w:t>Chaignet</w:t>
      </w:r>
      <w:r w:rsidR="006F304D" w:rsidRPr="00E5413C">
        <w:rPr>
          <w:lang w:val="fr-FR"/>
        </w:rPr>
        <w:t xml:space="preserve">, </w:t>
      </w:r>
      <w:r w:rsidRPr="00E5413C">
        <w:rPr>
          <w:i/>
          <w:lang w:val="fr-FR"/>
        </w:rPr>
        <w:t>La rhétorique et son historie</w:t>
      </w:r>
      <w:r w:rsidRPr="00E5413C">
        <w:rPr>
          <w:lang w:val="fr-FR"/>
        </w:rPr>
        <w:t xml:space="preserve"> [Paris: E. Bouillon et E. Vieweg</w:t>
      </w:r>
      <w:r w:rsidR="006F304D" w:rsidRPr="00E5413C">
        <w:rPr>
          <w:lang w:val="fr-FR"/>
        </w:rPr>
        <w:t xml:space="preserve">, </w:t>
      </w:r>
      <w:r w:rsidRPr="00E5413C">
        <w:rPr>
          <w:lang w:val="fr-FR"/>
        </w:rPr>
        <w:t>1888] 1-69).</w:t>
      </w:r>
    </w:p>
    <w:p w14:paraId="714B4567" w14:textId="2E21411B" w:rsidR="0018433B" w:rsidRPr="003F4B35" w:rsidRDefault="0018433B" w:rsidP="0018433B">
      <w:pPr>
        <w:widowControl w:val="0"/>
      </w:pPr>
      <w:r w:rsidRPr="003F4B35">
        <w:t>A recent inclination to define rhetoric as “the effective choice of synonymous expressions” (see the articles by Steinmann</w:t>
      </w:r>
      <w:r w:rsidR="006F304D" w:rsidRPr="006F304D">
        <w:t xml:space="preserve">, </w:t>
      </w:r>
      <w:r w:rsidRPr="003F4B35">
        <w:t>Ohmann</w:t>
      </w:r>
      <w:r w:rsidR="006F304D" w:rsidRPr="006F304D">
        <w:t xml:space="preserve">, </w:t>
      </w:r>
      <w:r w:rsidRPr="003F4B35">
        <w:t>Milic</w:t>
      </w:r>
      <w:r w:rsidR="006F304D" w:rsidRPr="006F304D">
        <w:t xml:space="preserve">, </w:t>
      </w:r>
      <w:r w:rsidRPr="003F4B35">
        <w:t>and Sledd in Steinmann</w:t>
      </w:r>
      <w:r w:rsidR="006F304D" w:rsidRPr="006F304D">
        <w:t xml:space="preserve">, </w:t>
      </w:r>
      <w:r w:rsidRPr="003F4B35">
        <w:rPr>
          <w:i/>
        </w:rPr>
        <w:t>New Rhetorics</w:t>
      </w:r>
      <w:r w:rsidR="006F304D" w:rsidRPr="006F304D">
        <w:t xml:space="preserve">, </w:t>
      </w:r>
      <w:r w:rsidRPr="003F4B35">
        <w:t>16-31</w:t>
      </w:r>
      <w:r w:rsidR="006F304D" w:rsidRPr="006F304D">
        <w:t xml:space="preserve">, </w:t>
      </w:r>
      <w:r w:rsidRPr="003F4B35">
        <w:t>134-59</w:t>
      </w:r>
      <w:r w:rsidR="006F304D" w:rsidRPr="006F304D">
        <w:t xml:space="preserve">, </w:t>
      </w:r>
      <w:r w:rsidRPr="003F4B35">
        <w:t>161-74</w:t>
      </w:r>
      <w:r w:rsidR="006F304D" w:rsidRPr="006F304D">
        <w:t xml:space="preserve">, </w:t>
      </w:r>
      <w:r w:rsidRPr="003F4B35">
        <w:t>and 176-89 respectively) seems to me only to compound the error. Not only is rhetoric once again restricted to style</w:t>
      </w:r>
      <w:r w:rsidR="006F304D" w:rsidRPr="006F304D">
        <w:t xml:space="preserve">, </w:t>
      </w:r>
      <w:r w:rsidRPr="003F4B35">
        <w:t>but these authors even contend that two expressions can be fully synonymous (“average” and “ordinary,” for example).</w:t>
      </w:r>
      <w:r>
        <w:t xml:space="preserve"> (See James Sledd</w:t>
      </w:r>
      <w:r w:rsidR="006F304D" w:rsidRPr="006F304D">
        <w:t xml:space="preserve">, </w:t>
      </w:r>
      <w:r>
        <w:t xml:space="preserve">“Coordination (Faulty) and Subordination (Upside-Down),” in </w:t>
      </w:r>
      <w:r>
        <w:rPr>
          <w:i/>
        </w:rPr>
        <w:t>New Rhetorics</w:t>
      </w:r>
      <w:r>
        <w:t xml:space="preserve"> 181-82.)</w:t>
      </w:r>
      <w:r w:rsidRPr="003F4B35">
        <w:t xml:space="preserve"> If that were true</w:t>
      </w:r>
      <w:r w:rsidR="006F304D" w:rsidRPr="006F304D">
        <w:t xml:space="preserve">, </w:t>
      </w:r>
      <w:r w:rsidRPr="003F4B35">
        <w:t>then rhetoric as style could no longer exist: it would make no difference which expression were picked</w:t>
      </w:r>
      <w:r w:rsidR="006F304D" w:rsidRPr="006F304D">
        <w:t xml:space="preserve">, </w:t>
      </w:r>
      <w:r>
        <w:t>if the two were mathematical equivalents</w:t>
      </w:r>
      <w:r w:rsidRPr="003F4B35">
        <w:t>. Though rhetoric is not only style</w:t>
      </w:r>
      <w:r w:rsidR="006F304D" w:rsidRPr="006F304D">
        <w:t xml:space="preserve">, </w:t>
      </w:r>
      <w:r w:rsidRPr="003F4B35">
        <w:t>it does exist at the stylistic level</w:t>
      </w:r>
      <w:r w:rsidR="006F304D" w:rsidRPr="006F304D">
        <w:t xml:space="preserve">, </w:t>
      </w:r>
      <w:r w:rsidRPr="003F4B35">
        <w:t>and it exists there because the differences between two expressions makes one more effective in a given context.</w:t>
      </w:r>
    </w:p>
  </w:footnote>
  <w:footnote w:id="118">
    <w:p w14:paraId="6FB2767E" w14:textId="55EDBE4E" w:rsidR="0018433B" w:rsidRPr="00E5413C" w:rsidRDefault="0018433B" w:rsidP="00573F48">
      <w:pPr>
        <w:pStyle w:val="FootnoteText"/>
        <w:rPr>
          <w:lang w:val="fr-FR"/>
        </w:rPr>
      </w:pPr>
      <w:r>
        <w:rPr>
          <w:rStyle w:val="FootnoteReference"/>
        </w:rPr>
        <w:footnoteRef/>
      </w:r>
      <w:r w:rsidRPr="00395179">
        <w:t xml:space="preserve"> “</w:t>
      </w:r>
      <w:r>
        <w:t>The limited meaning which confines the term to the devices of a correct and even of an elegant prose style—in the sense of manner of writing and speaking—may . . . be eliminated . . .” (Herbert A. Wichelns</w:t>
      </w:r>
      <w:r w:rsidR="006F304D" w:rsidRPr="006F304D">
        <w:t xml:space="preserve">, </w:t>
      </w:r>
      <w:r>
        <w:t xml:space="preserve">“The Literary Criticism of Oratory,” in </w:t>
      </w:r>
      <w:r>
        <w:rPr>
          <w:i/>
        </w:rPr>
        <w:t>Methods of Rhetorical Criticism</w:t>
      </w:r>
      <w:r>
        <w:t xml:space="preserve">: </w:t>
      </w:r>
      <w:r>
        <w:rPr>
          <w:i/>
        </w:rPr>
        <w:t>A Twentieth-Century Perspective</w:t>
      </w:r>
      <w:r w:rsidR="006F304D" w:rsidRPr="006F304D">
        <w:t xml:space="preserve">, </w:t>
      </w:r>
      <w:r w:rsidR="0029762C" w:rsidRPr="0029762C">
        <w:rPr>
          <w:iCs/>
        </w:rPr>
        <w:t>2nd ed.</w:t>
      </w:r>
      <w:r w:rsidR="00DC3006" w:rsidRPr="00DC3006">
        <w:rPr>
          <w:iCs/>
        </w:rPr>
        <w:t xml:space="preserve">. Eds. </w:t>
      </w:r>
      <w:r>
        <w:t>Bernard L. Brock and Robert L. Scott [</w:t>
      </w:r>
      <w:r w:rsidR="0029762C" w:rsidRPr="0029762C">
        <w:rPr>
          <w:iCs/>
        </w:rPr>
        <w:t>Detroit MI</w:t>
      </w:r>
      <w:r>
        <w:t xml:space="preserve">: </w:t>
      </w:r>
      <w:r w:rsidR="0029762C" w:rsidRPr="0029762C">
        <w:rPr>
          <w:iCs/>
        </w:rPr>
        <w:t>Wayne State UP,</w:t>
      </w:r>
      <w:r w:rsidR="006F304D" w:rsidRPr="006F304D">
        <w:t xml:space="preserve"> </w:t>
      </w:r>
      <w:r>
        <w:t>1980] 67.) Yet Edward P. J. Corbett’s 37-page survey of the history of rhetoric deals mostly with style and elocution</w:t>
      </w:r>
      <w:r w:rsidR="006F304D" w:rsidRPr="006F304D">
        <w:t xml:space="preserve">, </w:t>
      </w:r>
      <w:r>
        <w:t>and the same must be said of A.-Ed. Chaignet’s essay</w:t>
      </w:r>
      <w:r w:rsidR="006F304D" w:rsidRPr="006F304D">
        <w:t xml:space="preserve">, </w:t>
      </w:r>
      <w:r>
        <w:t>“Histoire de la rhétorique” (the latter</w:t>
      </w:r>
      <w:r w:rsidR="006F304D" w:rsidRPr="006F304D">
        <w:t xml:space="preserve">, </w:t>
      </w:r>
      <w:r>
        <w:t>moreover</w:t>
      </w:r>
      <w:r w:rsidR="006F304D" w:rsidRPr="006F304D">
        <w:t xml:space="preserve">, </w:t>
      </w:r>
      <w:r>
        <w:t xml:space="preserve">only goes up to Hermagoras </w:t>
      </w:r>
      <w:r w:rsidRPr="00395179">
        <w:t>of Temnos</w:t>
      </w:r>
      <w:r w:rsidR="006F304D" w:rsidRPr="006F304D">
        <w:t xml:space="preserve">, </w:t>
      </w:r>
      <w:r w:rsidRPr="00395179">
        <w:t xml:space="preserve">1st century </w:t>
      </w:r>
      <w:r w:rsidRPr="00395179">
        <w:rPr>
          <w:smallCaps/>
        </w:rPr>
        <w:t>bc</w:t>
      </w:r>
      <w:r w:rsidRPr="00395179">
        <w:t>)</w:t>
      </w:r>
      <w:r>
        <w:t>. (Edward P. J. Corbett</w:t>
      </w:r>
      <w:r w:rsidR="006F304D" w:rsidRPr="006F304D">
        <w:t xml:space="preserve">, </w:t>
      </w:r>
      <w:r>
        <w:rPr>
          <w:i/>
        </w:rPr>
        <w:t>Classical Rhetoric for the Modern Student</w:t>
      </w:r>
      <w:r w:rsidR="006F304D" w:rsidRPr="006F304D">
        <w:t xml:space="preserve">, </w:t>
      </w:r>
      <w:r w:rsidR="0029762C" w:rsidRPr="0029762C">
        <w:rPr>
          <w:iCs/>
        </w:rPr>
        <w:t>2nd ed.</w:t>
      </w:r>
      <w:r>
        <w:t xml:space="preserve"> </w:t>
      </w:r>
      <w:r w:rsidRPr="00E5413C">
        <w:rPr>
          <w:lang w:val="fr-FR"/>
        </w:rPr>
        <w:t>[New York: Oxford University</w:t>
      </w:r>
      <w:r w:rsidR="006F304D" w:rsidRPr="00E5413C">
        <w:rPr>
          <w:lang w:val="fr-FR"/>
        </w:rPr>
        <w:t xml:space="preserve">, </w:t>
      </w:r>
      <w:r w:rsidRPr="00E5413C">
        <w:rPr>
          <w:lang w:val="fr-FR"/>
        </w:rPr>
        <w:t>1971] 594-630; A.-Ed. Chaignet</w:t>
      </w:r>
      <w:r w:rsidR="006F304D" w:rsidRPr="00E5413C">
        <w:rPr>
          <w:lang w:val="fr-FR"/>
        </w:rPr>
        <w:t xml:space="preserve">, </w:t>
      </w:r>
      <w:r w:rsidRPr="00E5413C">
        <w:rPr>
          <w:i/>
          <w:lang w:val="fr-FR"/>
        </w:rPr>
        <w:t>La rhétorique et son histoire</w:t>
      </w:r>
      <w:r w:rsidRPr="00E5413C">
        <w:rPr>
          <w:lang w:val="fr-FR"/>
        </w:rPr>
        <w:t xml:space="preserve"> [Paris: E. Bouillon et E. Vieweg</w:t>
      </w:r>
      <w:r w:rsidR="006F304D" w:rsidRPr="00E5413C">
        <w:rPr>
          <w:lang w:val="fr-FR"/>
        </w:rPr>
        <w:t xml:space="preserve">, </w:t>
      </w:r>
      <w:r w:rsidRPr="00E5413C">
        <w:rPr>
          <w:lang w:val="fr-FR"/>
        </w:rPr>
        <w:t>1888] 1-69).</w:t>
      </w:r>
    </w:p>
  </w:footnote>
  <w:footnote w:id="119">
    <w:p w14:paraId="2C78BB08" w14:textId="5ECE7524" w:rsidR="0018433B" w:rsidRPr="003F4B35" w:rsidRDefault="0018433B" w:rsidP="0018433B">
      <w:pPr>
        <w:widowControl w:val="0"/>
      </w:pPr>
      <w:r w:rsidRPr="003F4B35">
        <w:rPr>
          <w:vertAlign w:val="superscript"/>
        </w:rPr>
        <w:footnoteRef/>
      </w:r>
      <w:r w:rsidRPr="003F4B35">
        <w:t xml:space="preserve"> Among the “new rhetoricians” may perhaps be included Richard M. Weaver</w:t>
      </w:r>
      <w:r w:rsidR="006F304D" w:rsidRPr="006F304D">
        <w:t xml:space="preserve">, </w:t>
      </w:r>
      <w:r w:rsidRPr="003F4B35">
        <w:t>Stephen Toulmin</w:t>
      </w:r>
      <w:r w:rsidR="006F304D" w:rsidRPr="006F304D">
        <w:t xml:space="preserve">, </w:t>
      </w:r>
      <w:r w:rsidRPr="003F4B35">
        <w:t>Chaim Perelman</w:t>
      </w:r>
      <w:r w:rsidR="006F304D" w:rsidRPr="006F304D">
        <w:t xml:space="preserve">, </w:t>
      </w:r>
      <w:r w:rsidRPr="003F4B35">
        <w:t>Ernesto Grassi</w:t>
      </w:r>
      <w:r w:rsidR="006F304D" w:rsidRPr="006F304D">
        <w:t xml:space="preserve">, </w:t>
      </w:r>
      <w:r w:rsidRPr="003F4B35">
        <w:t>Kenneth Burke</w:t>
      </w:r>
      <w:r w:rsidR="006F304D" w:rsidRPr="006F304D">
        <w:t xml:space="preserve">, </w:t>
      </w:r>
      <w:r w:rsidRPr="003F4B35">
        <w:t>Michel Foucault</w:t>
      </w:r>
      <w:r w:rsidR="006F304D" w:rsidRPr="006F304D">
        <w:t xml:space="preserve">, </w:t>
      </w:r>
      <w:r w:rsidRPr="003F4B35">
        <w:t>and Jürgen Habermas (see Sonja K. Foss</w:t>
      </w:r>
      <w:r w:rsidR="006F304D" w:rsidRPr="006F304D">
        <w:t xml:space="preserve">, </w:t>
      </w:r>
      <w:r w:rsidRPr="003F4B35">
        <w:t>Karen A. Foss</w:t>
      </w:r>
      <w:r w:rsidR="006F304D" w:rsidRPr="006F304D">
        <w:t xml:space="preserve">, </w:t>
      </w:r>
      <w:r w:rsidRPr="003F4B35">
        <w:t>and Robert Trapp</w:t>
      </w:r>
      <w:r w:rsidR="006F304D" w:rsidRPr="006F304D">
        <w:t xml:space="preserve">, </w:t>
      </w:r>
      <w:r w:rsidRPr="003F4B35">
        <w:rPr>
          <w:i/>
        </w:rPr>
        <w:t>Contemporary Perspectives on Rhetoric</w:t>
      </w:r>
      <w:r w:rsidRPr="003F4B35">
        <w:t xml:space="preserve"> [Prospect Heights</w:t>
      </w:r>
      <w:r w:rsidR="006F304D" w:rsidRPr="006F304D">
        <w:t xml:space="preserve">, </w:t>
      </w:r>
      <w:r w:rsidRPr="003F4B35">
        <w:t>IL: Waveland</w:t>
      </w:r>
      <w:r w:rsidR="006F304D" w:rsidRPr="006F304D">
        <w:t xml:space="preserve">, </w:t>
      </w:r>
      <w:r w:rsidRPr="003F4B35">
        <w:t>1985]). Though the present revival of rhetorical studies began in the mid-fifties (Booth</w:t>
      </w:r>
      <w:r w:rsidR="006F304D" w:rsidRPr="006F304D">
        <w:t xml:space="preserve">, </w:t>
      </w:r>
      <w:r w:rsidRPr="003F4B35">
        <w:t>“Revival,” 7)</w:t>
      </w:r>
      <w:r w:rsidR="006F304D" w:rsidRPr="006F304D">
        <w:t xml:space="preserve">, </w:t>
      </w:r>
      <w:r w:rsidRPr="003F4B35">
        <w:t xml:space="preserve">the name “new rhetoric” seems to come from the book by </w:t>
      </w:r>
      <w:r>
        <w:t xml:space="preserve">Chaim </w:t>
      </w:r>
      <w:r w:rsidRPr="003F4B35">
        <w:t>Perelman and L. Olbrechts-Tyteca</w:t>
      </w:r>
      <w:r w:rsidR="006F304D" w:rsidRPr="006F304D">
        <w:t xml:space="preserve">, </w:t>
      </w:r>
      <w:r w:rsidRPr="003F4B35">
        <w:rPr>
          <w:i/>
        </w:rPr>
        <w:t>The New Rhetoric</w:t>
      </w:r>
      <w:r w:rsidRPr="003F4B35">
        <w:t xml:space="preserve">: </w:t>
      </w:r>
      <w:r w:rsidRPr="003F4B35">
        <w:rPr>
          <w:i/>
        </w:rPr>
        <w:t>A Treatise on Argumentation</w:t>
      </w:r>
      <w:r w:rsidRPr="003F4B35">
        <w:t xml:space="preserve"> (South Bend</w:t>
      </w:r>
      <w:r w:rsidR="006F304D" w:rsidRPr="006F304D">
        <w:t xml:space="preserve">, </w:t>
      </w:r>
      <w:r w:rsidRPr="003F4B35">
        <w:t>IN: University of Notre Dame</w:t>
      </w:r>
      <w:r w:rsidR="006F304D" w:rsidRPr="006F304D">
        <w:t xml:space="preserve">, </w:t>
      </w:r>
      <w:r w:rsidRPr="003F4B35">
        <w:t>1969).</w:t>
      </w:r>
    </w:p>
  </w:footnote>
  <w:footnote w:id="120">
    <w:p w14:paraId="2EABF41B" w14:textId="77777777" w:rsidR="0018433B" w:rsidRPr="003F4B35" w:rsidRDefault="0018433B" w:rsidP="0018433B">
      <w:pPr>
        <w:widowControl w:val="0"/>
      </w:pPr>
      <w:r w:rsidRPr="003F4B35">
        <w:rPr>
          <w:vertAlign w:val="superscript"/>
        </w:rPr>
        <w:footnoteRef/>
      </w:r>
      <w:r w:rsidRPr="003F4B35">
        <w:t xml:space="preserve"> “Revival,” 14.</w:t>
      </w:r>
    </w:p>
  </w:footnote>
  <w:footnote w:id="121">
    <w:p w14:paraId="15C06D41" w14:textId="75D355F6" w:rsidR="0018433B" w:rsidRPr="003F4B35" w:rsidRDefault="0018433B" w:rsidP="0018433B">
      <w:pPr>
        <w:widowControl w:val="0"/>
      </w:pPr>
      <w:r w:rsidRPr="003F4B35">
        <w:rPr>
          <w:vertAlign w:val="superscript"/>
        </w:rPr>
        <w:footnoteRef/>
      </w:r>
      <w:r w:rsidRPr="003F4B35">
        <w:t xml:space="preserve"> Young and Becker use “rhetoric” in the all-inclusive sense</w:t>
      </w:r>
      <w:r w:rsidR="006F304D" w:rsidRPr="006F304D">
        <w:t xml:space="preserve">, </w:t>
      </w:r>
      <w:r w:rsidRPr="003F4B35">
        <w:t>but still feel the need to distinguish between literary criticism and rhetoric. And they can find no more appropriate term for the latter than “rhetoric” (though they must qualify it as “Aristotelian” to separate it from their literary-critical “rhetoric”): “There is the rhetoric of literary criticism</w:t>
      </w:r>
      <w:r w:rsidR="006F304D" w:rsidRPr="006F304D">
        <w:t xml:space="preserve">, </w:t>
      </w:r>
      <w:r w:rsidRPr="003F4B35">
        <w:t>which applies the categories and techniques of rhetoric to the analysis and evaluation of poetry</w:t>
      </w:r>
      <w:r w:rsidR="006F304D" w:rsidRPr="006F304D">
        <w:t xml:space="preserve">, </w:t>
      </w:r>
      <w:r w:rsidRPr="003F4B35">
        <w:t>drama</w:t>
      </w:r>
      <w:r w:rsidR="006F304D" w:rsidRPr="006F304D">
        <w:t xml:space="preserve">, </w:t>
      </w:r>
      <w:r w:rsidRPr="003F4B35">
        <w:t>and narration. And finally</w:t>
      </w:r>
      <w:r w:rsidR="006F304D" w:rsidRPr="006F304D">
        <w:t xml:space="preserve">, </w:t>
      </w:r>
      <w:r w:rsidRPr="003F4B35">
        <w:t>there is Aristotelian rhetoric” (“Modern Theory,” 79).</w:t>
      </w:r>
    </w:p>
    <w:p w14:paraId="122C07FF" w14:textId="0777063C" w:rsidR="0018433B" w:rsidRPr="003F4B35" w:rsidRDefault="0018433B" w:rsidP="0018433B">
      <w:pPr>
        <w:widowControl w:val="0"/>
      </w:pPr>
      <w:r w:rsidRPr="003F4B35">
        <w:t>I recognize that there exist nonfictional narratives (accounts of historical events</w:t>
      </w:r>
      <w:r w:rsidR="006F304D" w:rsidRPr="006F304D">
        <w:t xml:space="preserve">, </w:t>
      </w:r>
      <w:r w:rsidRPr="003F4B35">
        <w:t xml:space="preserve">or instructions in </w:t>
      </w:r>
      <w:r>
        <w:t xml:space="preserve">a </w:t>
      </w:r>
      <w:r w:rsidRPr="003F4B35">
        <w:t>packing crate on how to assemble a bicycle) and that these traditionally fall within the province of rhetorical criticism rather than literary criticism. (Note that Young and Becker</w:t>
      </w:r>
      <w:r w:rsidR="006F304D" w:rsidRPr="006F304D">
        <w:t xml:space="preserve">, </w:t>
      </w:r>
      <w:r w:rsidRPr="003F4B35">
        <w:t>in the preceding quotation</w:t>
      </w:r>
      <w:r w:rsidR="006F304D" w:rsidRPr="006F304D">
        <w:t xml:space="preserve">, </w:t>
      </w:r>
      <w:r w:rsidRPr="003F4B35">
        <w:t>oversimplify by placing narration</w:t>
      </w:r>
      <w:r w:rsidR="006F304D" w:rsidRPr="006F304D">
        <w:t xml:space="preserve">, </w:t>
      </w:r>
      <w:r w:rsidRPr="003F4B35">
        <w:t>without qualification</w:t>
      </w:r>
      <w:r w:rsidR="006F304D" w:rsidRPr="006F304D">
        <w:t xml:space="preserve">, </w:t>
      </w:r>
      <w:r w:rsidRPr="003F4B35">
        <w:t xml:space="preserve">within the province of literary criticism.) But deciding wherein lies the precise distinction between narration which is </w:t>
      </w:r>
      <w:r w:rsidRPr="003F4B35">
        <w:rPr>
          <w:i/>
        </w:rPr>
        <w:t>belles lettres</w:t>
      </w:r>
      <w:r w:rsidRPr="003F4B35">
        <w:t xml:space="preserve"> and narration which is rhetorical is notoriously difficult. The best attempt I have yet seen</w:t>
      </w:r>
      <w:r w:rsidR="006F304D" w:rsidRPr="006F304D">
        <w:t xml:space="preserve">, </w:t>
      </w:r>
      <w:r w:rsidRPr="003F4B35">
        <w:t>though it too remains disquietingly vague</w:t>
      </w:r>
      <w:r w:rsidR="006F304D" w:rsidRPr="006F304D">
        <w:t xml:space="preserve">, </w:t>
      </w:r>
      <w:r w:rsidRPr="003F4B35">
        <w:t>is Cleanth Brooks and Robert Penn Warren’s discussion of literary narratives as “dramas” (</w:t>
      </w:r>
      <w:r w:rsidRPr="003F4B35">
        <w:rPr>
          <w:i/>
        </w:rPr>
        <w:t>Understanding Poetry</w:t>
      </w:r>
      <w:r w:rsidRPr="003F4B35">
        <w:t xml:space="preserve"> 16-18). They do not mean</w:t>
      </w:r>
      <w:r w:rsidR="006F304D" w:rsidRPr="006F304D">
        <w:t xml:space="preserve">, </w:t>
      </w:r>
      <w:r w:rsidRPr="003F4B35">
        <w:t>of course</w:t>
      </w:r>
      <w:r w:rsidR="006F304D" w:rsidRPr="006F304D">
        <w:t xml:space="preserve">, </w:t>
      </w:r>
      <w:r w:rsidRPr="003F4B35">
        <w:t>that all works of literature are plays but that all works of literature have a “dramatic” quality: the reader of any literary work (poem</w:t>
      </w:r>
      <w:r w:rsidR="006F304D" w:rsidRPr="006F304D">
        <w:t xml:space="preserve">, </w:t>
      </w:r>
      <w:r w:rsidRPr="003F4B35">
        <w:t>play</w:t>
      </w:r>
      <w:r w:rsidR="006F304D" w:rsidRPr="006F304D">
        <w:t xml:space="preserve">, </w:t>
      </w:r>
      <w:r w:rsidRPr="003F4B35">
        <w:t>novel</w:t>
      </w:r>
      <w:r w:rsidR="006F304D" w:rsidRPr="006F304D">
        <w:t xml:space="preserve">, </w:t>
      </w:r>
      <w:r w:rsidRPr="003F4B35">
        <w:t>or whatever) observes—from a vantage point where the fourth wall is missing</w:t>
      </w:r>
      <w:r w:rsidR="006F304D" w:rsidRPr="006F304D">
        <w:t xml:space="preserve">, </w:t>
      </w:r>
      <w:r w:rsidRPr="003F4B35">
        <w:t>so to speak—characters in a situation at the very moment at which the characters are engaged with the situation.</w:t>
      </w:r>
    </w:p>
    <w:p w14:paraId="3E3B69A6" w14:textId="38149E13" w:rsidR="0018433B" w:rsidRPr="003F4B35" w:rsidRDefault="0018433B" w:rsidP="0018433B">
      <w:pPr>
        <w:widowControl w:val="0"/>
      </w:pPr>
      <w:r w:rsidRPr="003F4B35">
        <w:t>At any rate</w:t>
      </w:r>
      <w:r w:rsidR="006F304D" w:rsidRPr="006F304D">
        <w:t xml:space="preserve">, </w:t>
      </w:r>
      <w:r w:rsidRPr="003F4B35">
        <w:t>the distinction between the objects of literary criticism and those of rhetorical criticism is commonly recognized; the concerns of literary theory (plot</w:t>
      </w:r>
      <w:r w:rsidR="006F304D" w:rsidRPr="006F304D">
        <w:t xml:space="preserve">, </w:t>
      </w:r>
      <w:r w:rsidRPr="003F4B35">
        <w:t>point of view</w:t>
      </w:r>
      <w:r w:rsidR="006F304D" w:rsidRPr="006F304D">
        <w:t xml:space="preserve">, </w:t>
      </w:r>
      <w:r w:rsidRPr="003F4B35">
        <w:t>characterization</w:t>
      </w:r>
      <w:r w:rsidR="006F304D" w:rsidRPr="006F304D">
        <w:t xml:space="preserve">, </w:t>
      </w:r>
      <w:r w:rsidRPr="003F4B35">
        <w:t>etc.) differ sufficiently from those of rhetorical theory (invention</w:t>
      </w:r>
      <w:r w:rsidR="006F304D" w:rsidRPr="006F304D">
        <w:t xml:space="preserve">, </w:t>
      </w:r>
      <w:r w:rsidRPr="003F4B35">
        <w:t>arrangement</w:t>
      </w:r>
      <w:r w:rsidR="006F304D" w:rsidRPr="006F304D">
        <w:t xml:space="preserve">, </w:t>
      </w:r>
      <w:r w:rsidRPr="003F4B35">
        <w:t>style</w:t>
      </w:r>
      <w:r w:rsidR="006F304D" w:rsidRPr="006F304D">
        <w:t xml:space="preserve">, </w:t>
      </w:r>
      <w:r w:rsidRPr="003F4B35">
        <w:t>etc.) to justify the differentiation. Granting this</w:t>
      </w:r>
      <w:r w:rsidR="006F304D" w:rsidRPr="006F304D">
        <w:t xml:space="preserve">, </w:t>
      </w:r>
      <w:r w:rsidRPr="003F4B35">
        <w:t>it seems best to confine “rhetoric” to its traditional reference rather than extending it to mean all human utterance.</w:t>
      </w:r>
    </w:p>
  </w:footnote>
  <w:footnote w:id="122">
    <w:p w14:paraId="0850DEFF" w14:textId="7A69A789" w:rsidR="0018433B" w:rsidRPr="003F4B35" w:rsidRDefault="0018433B" w:rsidP="0018433B">
      <w:pPr>
        <w:widowControl w:val="0"/>
      </w:pPr>
      <w:r w:rsidRPr="003F4B35">
        <w:rPr>
          <w:vertAlign w:val="superscript"/>
        </w:rPr>
        <w:footnoteRef/>
      </w:r>
      <w:r w:rsidRPr="003F4B35">
        <w:t xml:space="preserve"> Even Booth</w:t>
      </w:r>
      <w:r w:rsidR="006F304D" w:rsidRPr="006F304D">
        <w:t xml:space="preserve">, </w:t>
      </w:r>
      <w:r w:rsidRPr="003F4B35">
        <w:t>who uses the word in his title</w:t>
      </w:r>
      <w:r w:rsidR="006F304D" w:rsidRPr="006F304D">
        <w:t xml:space="preserve">, </w:t>
      </w:r>
      <w:r w:rsidRPr="003F4B35">
        <w:rPr>
          <w:i/>
        </w:rPr>
        <w:t>The Rhetoric of Fiction</w:t>
      </w:r>
      <w:r w:rsidR="006F304D" w:rsidRPr="006F304D">
        <w:t xml:space="preserve">, </w:t>
      </w:r>
      <w:r w:rsidRPr="003F4B35">
        <w:t>recognizes that its use there is anomalous: he admits (“Revival,” 14) that “</w:t>
      </w:r>
      <w:r w:rsidRPr="003F4B35">
        <w:rPr>
          <w:i/>
        </w:rPr>
        <w:t>The Rhetoric of Fiction</w:t>
      </w:r>
      <w:r w:rsidRPr="003F4B35">
        <w:t xml:space="preserve"> </w:t>
      </w:r>
      <w:r w:rsidRPr="00E924C6">
        <w:t>. . .</w:t>
      </w:r>
      <w:r w:rsidRPr="003F4B35">
        <w:t xml:space="preserve"> profited factitiously from my having used a fad term</w:t>
      </w:r>
      <w:r w:rsidR="006F304D" w:rsidRPr="006F304D">
        <w:t xml:space="preserve">, </w:t>
      </w:r>
      <w:r w:rsidRPr="003F4B35">
        <w:t xml:space="preserve">quite unwittingly.” But even in the same paragraph he goes on to use “rhetoric” in its normal sense (“when you turn from </w:t>
      </w:r>
      <w:r w:rsidRPr="003F4B35">
        <w:rPr>
          <w:i/>
        </w:rPr>
        <w:t>belles lettres</w:t>
      </w:r>
      <w:r w:rsidRPr="003F4B35">
        <w:t xml:space="preserve"> to rhetoric”). See also Kenneth Burke’s essay</w:t>
      </w:r>
      <w:r w:rsidR="006F304D" w:rsidRPr="006F304D">
        <w:t xml:space="preserve">, </w:t>
      </w:r>
      <w:r w:rsidRPr="003F4B35">
        <w:t xml:space="preserve">“Lexicon Rhetoricae,” in </w:t>
      </w:r>
      <w:r w:rsidRPr="003F4B35">
        <w:rPr>
          <w:i/>
        </w:rPr>
        <w:t>Counter-Statement</w:t>
      </w:r>
      <w:r w:rsidRPr="003F4B35">
        <w:t xml:space="preserve"> (Los Altos</w:t>
      </w:r>
      <w:r w:rsidR="006F304D" w:rsidRPr="006F304D">
        <w:t xml:space="preserve">, </w:t>
      </w:r>
      <w:r w:rsidRPr="003F4B35">
        <w:t>CA: Hermes</w:t>
      </w:r>
      <w:r w:rsidR="006F304D" w:rsidRPr="006F304D">
        <w:t xml:space="preserve">, </w:t>
      </w:r>
      <w:r w:rsidRPr="003F4B35">
        <w:t xml:space="preserve">1953; </w:t>
      </w:r>
      <w:r w:rsidR="00714629" w:rsidRPr="00714629">
        <w:rPr>
          <w:iCs/>
        </w:rPr>
        <w:t>Berkeley CA: U of California P</w:t>
      </w:r>
      <w:r w:rsidR="006F304D" w:rsidRPr="006F304D">
        <w:t xml:space="preserve">, </w:t>
      </w:r>
      <w:r w:rsidRPr="003F4B35">
        <w:t>1968</w:t>
      </w:r>
      <w:r w:rsidRPr="003F4B35">
        <w:rPr>
          <w:vertAlign w:val="superscript"/>
        </w:rPr>
        <w:t>2</w:t>
      </w:r>
      <w:r w:rsidRPr="003F4B35">
        <w:t>)</w:t>
      </w:r>
      <w:r w:rsidR="006F304D" w:rsidRPr="006F304D">
        <w:t xml:space="preserve">, </w:t>
      </w:r>
      <w:r w:rsidRPr="003F4B35">
        <w:t>which</w:t>
      </w:r>
      <w:r w:rsidR="006F304D" w:rsidRPr="006F304D">
        <w:t xml:space="preserve">, </w:t>
      </w:r>
      <w:r w:rsidRPr="003F4B35">
        <w:t>despite its title</w:t>
      </w:r>
      <w:r w:rsidR="006F304D" w:rsidRPr="006F304D">
        <w:t xml:space="preserve">, </w:t>
      </w:r>
      <w:r w:rsidRPr="003F4B35">
        <w:t xml:space="preserve">is concerned with the principles of </w:t>
      </w:r>
      <w:r w:rsidRPr="003F4B35">
        <w:rPr>
          <w:i/>
        </w:rPr>
        <w:t>belles lettres</w:t>
      </w:r>
      <w:r w:rsidRPr="003F4B35">
        <w:t>.</w:t>
      </w:r>
    </w:p>
    <w:p w14:paraId="2187A060" w14:textId="7BF0A350" w:rsidR="0018433B" w:rsidRPr="003F4B35" w:rsidRDefault="0018433B" w:rsidP="0018433B">
      <w:pPr>
        <w:widowControl w:val="0"/>
      </w:pPr>
      <w:r w:rsidRPr="003F4B35">
        <w:t>Of the four traditional modes of discourse—narration</w:t>
      </w:r>
      <w:r w:rsidR="006F304D" w:rsidRPr="006F304D">
        <w:t xml:space="preserve">, </w:t>
      </w:r>
      <w:r w:rsidRPr="003F4B35">
        <w:t>argumentation</w:t>
      </w:r>
      <w:r w:rsidR="006F304D" w:rsidRPr="006F304D">
        <w:t xml:space="preserve">, </w:t>
      </w:r>
      <w:r w:rsidRPr="003F4B35">
        <w:t>exposition</w:t>
      </w:r>
      <w:r w:rsidR="006F304D" w:rsidRPr="006F304D">
        <w:t xml:space="preserve">, </w:t>
      </w:r>
      <w:r w:rsidRPr="003F4B35">
        <w:t xml:space="preserve">and description (see Cleanth Brooks and Robert Penn Warren’s </w:t>
      </w:r>
      <w:r w:rsidRPr="003F4B35">
        <w:rPr>
          <w:i/>
        </w:rPr>
        <w:t>Modern Rhetoric</w:t>
      </w:r>
      <w:r>
        <w:t xml:space="preserve"> [1949]</w:t>
      </w:r>
      <w:r w:rsidR="006F304D" w:rsidRPr="006F304D">
        <w:t xml:space="preserve">, </w:t>
      </w:r>
      <w:r w:rsidRPr="003F4B35">
        <w:t>which is wholly based on this classification)—I have not mentioned description</w:t>
      </w:r>
      <w:r w:rsidR="006F304D" w:rsidRPr="006F304D">
        <w:t xml:space="preserve">, </w:t>
      </w:r>
      <w:r w:rsidRPr="003F4B35">
        <w:t>since it hardly exists as a stand-alone form</w:t>
      </w:r>
      <w:r w:rsidR="006F304D" w:rsidRPr="006F304D">
        <w:t xml:space="preserve">, </w:t>
      </w:r>
      <w:r w:rsidRPr="003F4B35">
        <w:t>but rather tends to be employed as needed during the course of a narration</w:t>
      </w:r>
      <w:r w:rsidR="006F304D" w:rsidRPr="006F304D">
        <w:t xml:space="preserve">, </w:t>
      </w:r>
      <w:r w:rsidRPr="003F4B35">
        <w:t>exposi</w:t>
      </w:r>
      <w:r>
        <w:t>tion</w:t>
      </w:r>
      <w:r w:rsidR="006F304D" w:rsidRPr="006F304D">
        <w:t xml:space="preserve">, </w:t>
      </w:r>
      <w:r>
        <w:t>or argument</w:t>
      </w:r>
      <w:r w:rsidRPr="003F4B35">
        <w:t>. Roland Barthes argues (I think wrongly) that in classical times description was equivalent to epideictic (ceremonial) discourse and that the end of epideictic was to arouse admiration rather than to persuade; but he is correct to note that only rarely has description been given autonomous status—for example</w:t>
      </w:r>
      <w:r w:rsidR="006F304D" w:rsidRPr="006F304D">
        <w:t xml:space="preserve">, </w:t>
      </w:r>
      <w:r w:rsidRPr="003F4B35">
        <w:t xml:space="preserve">“In Alexandrian neo-rhetoric of the second century </w:t>
      </w:r>
      <w:r w:rsidRPr="003F4B35">
        <w:rPr>
          <w:smallCaps/>
        </w:rPr>
        <w:t>a.d.</w:t>
      </w:r>
      <w:r w:rsidRPr="003F4B35">
        <w:t xml:space="preserve"> there was an infatuation for the</w:t>
      </w:r>
      <w:r>
        <w:t xml:space="preserve"> </w:t>
      </w:r>
      <w:r w:rsidRPr="00CB0999">
        <w:rPr>
          <w:szCs w:val="22"/>
        </w:rPr>
        <w:t>ἔ</w:t>
      </w:r>
      <w:r>
        <w:rPr>
          <w:szCs w:val="22"/>
        </w:rPr>
        <w:t>χφρασις</w:t>
      </w:r>
      <w:r w:rsidR="006F304D" w:rsidRPr="006F304D">
        <w:t xml:space="preserve">, </w:t>
      </w:r>
      <w:r w:rsidRPr="003F4B35">
        <w:t>a polished piece</w:t>
      </w:r>
      <w:r w:rsidR="006F304D" w:rsidRPr="006F304D">
        <w:t xml:space="preserve">, </w:t>
      </w:r>
      <w:r w:rsidRPr="003F4B35">
        <w:t>and detachable (thus having its own purpose</w:t>
      </w:r>
      <w:r w:rsidR="006F304D" w:rsidRPr="006F304D">
        <w:t xml:space="preserve">, </w:t>
      </w:r>
      <w:r w:rsidRPr="003F4B35">
        <w:t>independent of any general function)</w:t>
      </w:r>
      <w:r w:rsidR="006F304D" w:rsidRPr="006F304D">
        <w:t xml:space="preserve">, </w:t>
      </w:r>
      <w:r w:rsidRPr="003F4B35">
        <w:t>whose object was to describe places</w:t>
      </w:r>
      <w:r w:rsidR="006F304D" w:rsidRPr="006F304D">
        <w:t xml:space="preserve">, </w:t>
      </w:r>
      <w:r w:rsidRPr="003F4B35">
        <w:t>times</w:t>
      </w:r>
      <w:r w:rsidR="006F304D" w:rsidRPr="006F304D">
        <w:t xml:space="preserve">, </w:t>
      </w:r>
      <w:r w:rsidRPr="003F4B35">
        <w:t>peo</w:t>
      </w:r>
      <w:r>
        <w:t>ple or works of art</w:t>
      </w:r>
      <w:r w:rsidRPr="003F4B35">
        <w:t>”</w:t>
      </w:r>
      <w:r w:rsidRPr="00341AFD">
        <w:t xml:space="preserve"> </w:t>
      </w:r>
      <w:r w:rsidRPr="003F4B35">
        <w:t>(“Reality Effect,” 13)</w:t>
      </w:r>
      <w:r>
        <w:t>.</w:t>
      </w:r>
    </w:p>
  </w:footnote>
  <w:footnote w:id="123">
    <w:p w14:paraId="6B203E24" w14:textId="0A26BA7D" w:rsidR="0018433B" w:rsidRPr="003F4B35" w:rsidRDefault="0018433B" w:rsidP="0018433B">
      <w:pPr>
        <w:widowControl w:val="0"/>
      </w:pPr>
      <w:r w:rsidRPr="003F4B35">
        <w:rPr>
          <w:vertAlign w:val="superscript"/>
        </w:rPr>
        <w:footnoteRef/>
      </w:r>
      <w:r w:rsidRPr="003F4B35">
        <w:t xml:space="preserve"> Even after rhetoric is pinned down to the single meaning we have established</w:t>
      </w:r>
      <w:r w:rsidR="006F304D" w:rsidRPr="006F304D">
        <w:t xml:space="preserve">, </w:t>
      </w:r>
      <w:r w:rsidRPr="003F4B35">
        <w:t>it still tends to squirm a bit. In addition to the meanings we have already distinguished</w:t>
      </w:r>
      <w:r w:rsidR="006F304D" w:rsidRPr="006F304D">
        <w:t xml:space="preserve">, </w:t>
      </w:r>
      <w:r w:rsidRPr="003F4B35">
        <w:t>the word is sometimes used for principles of nonfictional literature within a given discourse (“the rhetoric of the Gettysburg Address,” for example). This latter usage employs the name of the discipline for the name of its object. This</w:t>
      </w:r>
      <w:r w:rsidR="006F304D" w:rsidRPr="006F304D">
        <w:t xml:space="preserve">, </w:t>
      </w:r>
      <w:r w:rsidRPr="003F4B35">
        <w:t>of course</w:t>
      </w:r>
      <w:r w:rsidR="006F304D" w:rsidRPr="006F304D">
        <w:t xml:space="preserve">, </w:t>
      </w:r>
      <w:r w:rsidRPr="003F4B35">
        <w:t xml:space="preserve">is not unique to rhetoric; “history” </w:t>
      </w:r>
      <w:r>
        <w:t>also sometimes refers to a</w:t>
      </w:r>
      <w:r w:rsidRPr="003F4B35">
        <w:t xml:space="preserve">n object of the historical discipline as well as the discipline of history itself. </w:t>
      </w:r>
      <w:r>
        <w:t xml:space="preserve">Another </w:t>
      </w:r>
      <w:r w:rsidRPr="003F4B35">
        <w:t xml:space="preserve">equivocation in the case of rhetoric can be seen in George A. Kennedy’s </w:t>
      </w:r>
      <w:r w:rsidRPr="003F4B35">
        <w:rPr>
          <w:i/>
        </w:rPr>
        <w:t>New Testament Interpretation</w:t>
      </w:r>
      <w:r w:rsidRPr="003F4B35">
        <w:t xml:space="preserve"> (3)</w:t>
      </w:r>
      <w:r w:rsidR="006F304D" w:rsidRPr="006F304D">
        <w:t xml:space="preserve">, </w:t>
      </w:r>
      <w:r w:rsidRPr="003F4B35">
        <w:t xml:space="preserve">where in one paragraph he refers both to the “quality” of rhetoric (“Rhetoric is that quality in discourse by which a speaker or writer seeks to accomplish his purposes”) and “the discipline of rhetoric </w:t>
      </w:r>
      <w:r w:rsidRPr="00E924C6">
        <w:t>. . .</w:t>
      </w:r>
      <w:r w:rsidRPr="003F4B35">
        <w:t>”</w:t>
      </w:r>
    </w:p>
  </w:footnote>
  <w:footnote w:id="124">
    <w:p w14:paraId="4EFCDEEB" w14:textId="4CA55411" w:rsidR="0018433B" w:rsidRPr="003F4B35" w:rsidRDefault="0018433B" w:rsidP="0018433B">
      <w:pPr>
        <w:widowControl w:val="0"/>
      </w:pPr>
      <w:r w:rsidRPr="003F4B35">
        <w:rPr>
          <w:vertAlign w:val="superscript"/>
        </w:rPr>
        <w:footnoteRef/>
      </w:r>
      <w:r w:rsidRPr="003F4B35">
        <w:t xml:space="preserve"> Probably students of the Bible prefer to say “rhetorical criticism” rather than “rhetoric” because “rhetorical criticism” is a name parallel in form to the names given </w:t>
      </w:r>
      <w:r>
        <w:t xml:space="preserve">to </w:t>
      </w:r>
      <w:r w:rsidRPr="003F4B35">
        <w:t>other exegetical methods: “form criticism,” “redaction criticism,” etc. (Perhaps German exegetes will create</w:t>
      </w:r>
      <w:r w:rsidR="006F304D" w:rsidRPr="006F304D">
        <w:t xml:space="preserve">, </w:t>
      </w:r>
      <w:r w:rsidRPr="003F4B35">
        <w:t>by reverse engineering</w:t>
      </w:r>
      <w:r w:rsidR="006F304D" w:rsidRPr="006F304D">
        <w:t xml:space="preserve">, </w:t>
      </w:r>
      <w:r w:rsidRPr="003F4B35">
        <w:t>some monstrosity like “Rhetoriksgeschichte.”) Or perhaps “rhetorical criticism” has developed by analogy with “literary criticism,” which</w:t>
      </w:r>
      <w:r w:rsidR="006F304D" w:rsidRPr="006F304D">
        <w:t xml:space="preserve">, </w:t>
      </w:r>
      <w:r w:rsidRPr="003F4B35">
        <w:t>as we shall see</w:t>
      </w:r>
      <w:r w:rsidR="006F304D" w:rsidRPr="006F304D">
        <w:t xml:space="preserve">, </w:t>
      </w:r>
      <w:r w:rsidRPr="003F4B35">
        <w:t>can refer with equal ease to the theoretical principles of literature</w:t>
      </w:r>
      <w:r w:rsidR="006F304D" w:rsidRPr="006F304D">
        <w:t xml:space="preserve">, </w:t>
      </w:r>
      <w:r w:rsidRPr="003F4B35">
        <w:t>to the methods of literary interpretation</w:t>
      </w:r>
      <w:r w:rsidR="006F304D" w:rsidRPr="006F304D">
        <w:t xml:space="preserve">, </w:t>
      </w:r>
      <w:r w:rsidRPr="003F4B35">
        <w:t>or to the application of a method to a specific text.</w:t>
      </w:r>
    </w:p>
  </w:footnote>
  <w:footnote w:id="125">
    <w:p w14:paraId="5600B051" w14:textId="78513A9A" w:rsidR="0018433B" w:rsidRPr="003F4B35" w:rsidRDefault="0018433B" w:rsidP="0018433B">
      <w:pPr>
        <w:widowControl w:val="0"/>
      </w:pPr>
      <w:r w:rsidRPr="003F4B35">
        <w:rPr>
          <w:vertAlign w:val="superscript"/>
        </w:rPr>
        <w:footnoteRef/>
      </w:r>
      <w:r w:rsidRPr="003F4B35">
        <w:t xml:space="preserve"> It should be noted that</w:t>
      </w:r>
      <w:r w:rsidR="006F304D" w:rsidRPr="006F304D">
        <w:t xml:space="preserve">, </w:t>
      </w:r>
      <w:r w:rsidRPr="003F4B35">
        <w:t>if rhetoric and rhetorical criticism have to do with the study of non-narrative discourses</w:t>
      </w:r>
      <w:r w:rsidR="006F304D" w:rsidRPr="006F304D">
        <w:t xml:space="preserve">, </w:t>
      </w:r>
      <w:r w:rsidRPr="003F4B35">
        <w:t>then not all biblical texts are susceptible to rhetorical criticism. Only those which are argumentative or expository in nature can be the object of rhetorical study; those which are narratives are properly the object of literary criticism instead. Naturally</w:t>
      </w:r>
      <w:r w:rsidR="006F304D" w:rsidRPr="006F304D">
        <w:t xml:space="preserve">, </w:t>
      </w:r>
      <w:r w:rsidRPr="003F4B35">
        <w:t>what was said above about descriptions and non-literary narratives as objects of rhetorical analysis rather than literary criticism should nuance this pronouncement.</w:t>
      </w:r>
    </w:p>
  </w:footnote>
  <w:footnote w:id="126">
    <w:p w14:paraId="7378F02F" w14:textId="7A78F7F4" w:rsidR="0018433B" w:rsidRPr="003F4B35" w:rsidRDefault="0018433B" w:rsidP="0018433B">
      <w:pPr>
        <w:widowControl w:val="0"/>
      </w:pPr>
      <w:r w:rsidRPr="003F4B35">
        <w:rPr>
          <w:vertAlign w:val="superscript"/>
        </w:rPr>
        <w:footnoteRef/>
      </w:r>
      <w:r w:rsidRPr="003F4B35">
        <w:t xml:space="preserve"> This use of “literary criticism” matches that which</w:t>
      </w:r>
      <w:r w:rsidR="006F304D" w:rsidRPr="006F304D">
        <w:t xml:space="preserve">, </w:t>
      </w:r>
      <w:r w:rsidRPr="003F4B35">
        <w:t>as we have seen above</w:t>
      </w:r>
      <w:r w:rsidR="006F304D" w:rsidRPr="006F304D">
        <w:t xml:space="preserve">, </w:t>
      </w:r>
      <w:r w:rsidRPr="003F4B35">
        <w:t xml:space="preserve">is sometimes assigned to </w:t>
      </w:r>
      <w:r>
        <w:t>“</w:t>
      </w:r>
      <w:r w:rsidRPr="003F4B35">
        <w:t>rhetoric</w:t>
      </w:r>
      <w:r>
        <w:t>”</w:t>
      </w:r>
      <w:r w:rsidRPr="003F4B35">
        <w:t>: rhetoric as all verbal art. “Poetics,” too</w:t>
      </w:r>
      <w:r w:rsidR="006F304D" w:rsidRPr="006F304D">
        <w:t xml:space="preserve">, </w:t>
      </w:r>
      <w:r w:rsidRPr="003F4B35">
        <w:t>is sometimes made to serve in this capacity (see below).</w:t>
      </w:r>
    </w:p>
  </w:footnote>
  <w:footnote w:id="127">
    <w:p w14:paraId="01A33656" w14:textId="13A657A9" w:rsidR="0018433B" w:rsidRPr="003F4B35" w:rsidRDefault="0018433B" w:rsidP="0018433B">
      <w:pPr>
        <w:widowControl w:val="0"/>
      </w:pPr>
      <w:r w:rsidRPr="003F4B35">
        <w:rPr>
          <w:vertAlign w:val="superscript"/>
        </w:rPr>
        <w:footnoteRef/>
      </w:r>
      <w:r w:rsidRPr="003F4B35">
        <w:t xml:space="preserve"> Though the use of “literary criticism” to mean “source criticism” was more common at the turn of the century than today</w:t>
      </w:r>
      <w:r w:rsidR="006F304D" w:rsidRPr="006F304D">
        <w:t xml:space="preserve">, </w:t>
      </w:r>
      <w:r w:rsidRPr="003F4B35">
        <w:t>one still finds it used this way</w:t>
      </w:r>
      <w:r w:rsidR="006F304D" w:rsidRPr="006F304D">
        <w:t xml:space="preserve">, </w:t>
      </w:r>
      <w:r w:rsidRPr="003F4B35">
        <w:t xml:space="preserve">as in William A. Beardslee’s </w:t>
      </w:r>
      <w:r w:rsidRPr="003F4B35">
        <w:rPr>
          <w:i/>
        </w:rPr>
        <w:t>Literary Criticism of the New Testament</w:t>
      </w:r>
      <w:r w:rsidRPr="003F4B35">
        <w:t xml:space="preserve"> (Guides to Biblical Scholarship</w:t>
      </w:r>
      <w:r w:rsidR="006F304D" w:rsidRPr="006F304D">
        <w:t xml:space="preserve">, </w:t>
      </w:r>
      <w:r w:rsidRPr="003F4B35">
        <w:t>NT series; Philadelphia: Fortress</w:t>
      </w:r>
      <w:r w:rsidR="006F304D" w:rsidRPr="006F304D">
        <w:t xml:space="preserve">, </w:t>
      </w:r>
      <w:r w:rsidRPr="003F4B35">
        <w:t>1970).</w:t>
      </w:r>
    </w:p>
  </w:footnote>
  <w:footnote w:id="128">
    <w:p w14:paraId="6D682D13" w14:textId="2675D7DA" w:rsidR="0018433B" w:rsidRPr="003F4B35" w:rsidRDefault="0018433B" w:rsidP="0018433B">
      <w:pPr>
        <w:widowControl w:val="0"/>
      </w:pPr>
      <w:r w:rsidRPr="003F4B35">
        <w:rPr>
          <w:vertAlign w:val="superscript"/>
        </w:rPr>
        <w:footnoteRef/>
      </w:r>
      <w:r w:rsidRPr="003F4B35">
        <w:t xml:space="preserve"> There is currently some interest in reviving</w:t>
      </w:r>
      <w:r w:rsidR="006F304D" w:rsidRPr="006F304D">
        <w:t xml:space="preserve">, </w:t>
      </w:r>
      <w:r w:rsidRPr="003F4B35">
        <w:t>in accord with Aristotle’s usage</w:t>
      </w:r>
      <w:r w:rsidR="006F304D" w:rsidRPr="006F304D">
        <w:t xml:space="preserve">, </w:t>
      </w:r>
      <w:r w:rsidRPr="003F4B35">
        <w:t xml:space="preserve">the term “poetics” for the study of the principles of </w:t>
      </w:r>
      <w:r w:rsidRPr="003F4B35">
        <w:rPr>
          <w:i/>
        </w:rPr>
        <w:t>belles lettres</w:t>
      </w:r>
      <w:r w:rsidRPr="003F4B35">
        <w:t xml:space="preserve"> (e.g.</w:t>
      </w:r>
      <w:r w:rsidR="006F304D" w:rsidRPr="006F304D">
        <w:t xml:space="preserve">, </w:t>
      </w:r>
      <w:r w:rsidRPr="003F4B35">
        <w:t>Tzvetan Todorov</w:t>
      </w:r>
      <w:r w:rsidR="006F304D" w:rsidRPr="006F304D">
        <w:t xml:space="preserve">, </w:t>
      </w:r>
      <w:r w:rsidRPr="003F4B35">
        <w:t xml:space="preserve">“French Poetics Today,” in </w:t>
      </w:r>
      <w:r w:rsidRPr="003F4B35">
        <w:rPr>
          <w:i/>
        </w:rPr>
        <w:t>French Literary Theory</w:t>
      </w:r>
      <w:r w:rsidR="006F304D" w:rsidRPr="006F304D">
        <w:t xml:space="preserve">, </w:t>
      </w:r>
      <w:r w:rsidRPr="003F4B35">
        <w:t xml:space="preserve">1-7; and </w:t>
      </w:r>
      <w:r w:rsidRPr="003F4B35">
        <w:rPr>
          <w:i/>
        </w:rPr>
        <w:t>Poétique de la Prose</w:t>
      </w:r>
      <w:r w:rsidR="006F304D" w:rsidRPr="006F304D">
        <w:t xml:space="preserve">, </w:t>
      </w:r>
      <w:r w:rsidRPr="003F4B35">
        <w:t>passim). This would permit replacement of the third instance of “literary criticism” in the chart with a distinct term.</w:t>
      </w:r>
    </w:p>
    <w:p w14:paraId="509615B5" w14:textId="1091988D" w:rsidR="0018433B" w:rsidRPr="003F4B35" w:rsidRDefault="0018433B" w:rsidP="0018433B">
      <w:pPr>
        <w:widowControl w:val="0"/>
      </w:pPr>
      <w:r w:rsidRPr="003F4B35">
        <w:t>To distinguish rhetoric as the study of prose and poetics as the study of poetry is a purely formal distinction</w:t>
      </w:r>
      <w:r w:rsidR="006F304D" w:rsidRPr="006F304D">
        <w:t xml:space="preserve">, </w:t>
      </w:r>
      <w:r w:rsidRPr="003F4B35">
        <w:t>outmoded in this era of new rhetoric. This too was a usage more common at the turn of the century (e.g.</w:t>
      </w:r>
      <w:r w:rsidR="006F304D" w:rsidRPr="006F304D">
        <w:t xml:space="preserve">, </w:t>
      </w:r>
      <w:r w:rsidRPr="003F4B35">
        <w:t>George E. B. Saintsbury</w:t>
      </w:r>
      <w:r w:rsidR="006F304D" w:rsidRPr="006F304D">
        <w:t xml:space="preserve">, </w:t>
      </w:r>
      <w:r w:rsidRPr="003F4B35">
        <w:rPr>
          <w:i/>
        </w:rPr>
        <w:t>History of Criticism and Literary Taste in Europe from the Earliest Texts to the Present Day</w:t>
      </w:r>
      <w:r w:rsidRPr="003F4B35">
        <w:t xml:space="preserve"> [3 vols.; New York: Dodd</w:t>
      </w:r>
      <w:r w:rsidR="006F304D" w:rsidRPr="006F304D">
        <w:t xml:space="preserve">, </w:t>
      </w:r>
      <w:r w:rsidRPr="003F4B35">
        <w:t>Mead</w:t>
      </w:r>
      <w:r w:rsidR="006F304D" w:rsidRPr="006F304D">
        <w:t xml:space="preserve">, </w:t>
      </w:r>
      <w:r w:rsidRPr="003F4B35">
        <w:t>1905-08]</w:t>
      </w:r>
      <w:r w:rsidR="006F304D" w:rsidRPr="006F304D">
        <w:t xml:space="preserve">, </w:t>
      </w:r>
      <w:r w:rsidRPr="003F4B35">
        <w:t>1. 39).</w:t>
      </w:r>
    </w:p>
  </w:footnote>
  <w:footnote w:id="129">
    <w:p w14:paraId="28CBA409" w14:textId="59898F6D" w:rsidR="0018433B" w:rsidRPr="003F4B35" w:rsidRDefault="0018433B" w:rsidP="0018433B">
      <w:pPr>
        <w:widowControl w:val="0"/>
      </w:pPr>
      <w:r w:rsidRPr="003F4B35">
        <w:rPr>
          <w:vertAlign w:val="superscript"/>
        </w:rPr>
        <w:footnoteRef/>
      </w:r>
      <w:r w:rsidRPr="003F4B35">
        <w:t xml:space="preserve"> The chart can be extended by distinguishing</w:t>
      </w:r>
      <w:r w:rsidR="006F304D" w:rsidRPr="006F304D">
        <w:t xml:space="preserve">, </w:t>
      </w:r>
      <w:r w:rsidRPr="003F4B35">
        <w:t>within literary criticism in the third sense</w:t>
      </w:r>
      <w:r w:rsidR="006F304D" w:rsidRPr="006F304D">
        <w:t xml:space="preserve">, </w:t>
      </w:r>
      <w:r w:rsidRPr="003F4B35">
        <w:t>the author-centered</w:t>
      </w:r>
      <w:r w:rsidR="006F304D" w:rsidRPr="006F304D">
        <w:t xml:space="preserve">, </w:t>
      </w:r>
      <w:r w:rsidRPr="003F4B35">
        <w:t>text-centered</w:t>
      </w:r>
      <w:r w:rsidR="006F304D" w:rsidRPr="006F304D">
        <w:t xml:space="preserve">, </w:t>
      </w:r>
      <w:r w:rsidRPr="003F4B35">
        <w:t>and reader-centered approaches discussed previously—including</w:t>
      </w:r>
      <w:r w:rsidR="006F304D" w:rsidRPr="006F304D">
        <w:t xml:space="preserve">, </w:t>
      </w:r>
      <w:r w:rsidRPr="003F4B35">
        <w:t>respectively: biographical and psychological criticism; Russian formalism</w:t>
      </w:r>
      <w:r w:rsidR="006F304D" w:rsidRPr="006F304D">
        <w:t xml:space="preserve">, </w:t>
      </w:r>
      <w:r w:rsidRPr="003F4B35">
        <w:t>French structuralism</w:t>
      </w:r>
      <w:r w:rsidR="006F304D" w:rsidRPr="006F304D">
        <w:t xml:space="preserve">, </w:t>
      </w:r>
      <w:r w:rsidRPr="003F4B35">
        <w:t xml:space="preserve">and New Criticism; and the methods of Lewis </w:t>
      </w:r>
      <w:r>
        <w:t>and Richards. See chapter 2</w:t>
      </w:r>
      <w:r w:rsidRPr="003F4B35">
        <w:t>.</w:t>
      </w:r>
    </w:p>
  </w:footnote>
  <w:footnote w:id="130">
    <w:p w14:paraId="2760BA99" w14:textId="5489BF4F" w:rsidR="0018433B" w:rsidRDefault="0018433B" w:rsidP="0018433B">
      <w:pPr>
        <w:widowControl w:val="0"/>
      </w:pPr>
      <w:r w:rsidRPr="003F4B35">
        <w:rPr>
          <w:vertAlign w:val="superscript"/>
        </w:rPr>
        <w:footnoteRef/>
      </w:r>
      <w:r w:rsidRPr="003F4B35">
        <w:t xml:space="preserve"> See Wichelns</w:t>
      </w:r>
      <w:r w:rsidR="006F304D" w:rsidRPr="006F304D">
        <w:t xml:space="preserve">, </w:t>
      </w:r>
      <w:r w:rsidRPr="003F4B35">
        <w:t>“Literary Criticism” 67</w:t>
      </w:r>
      <w:r w:rsidR="006F304D" w:rsidRPr="006F304D">
        <w:t xml:space="preserve">, </w:t>
      </w:r>
      <w:r w:rsidRPr="003F4B35">
        <w:t>70:</w:t>
      </w:r>
    </w:p>
    <w:p w14:paraId="44E34471" w14:textId="77777777" w:rsidR="0018433B" w:rsidRPr="003F4B35" w:rsidRDefault="0018433B" w:rsidP="0018433B">
      <w:pPr>
        <w:widowControl w:val="0"/>
      </w:pPr>
    </w:p>
    <w:p w14:paraId="5DC57A1E" w14:textId="304C67D7" w:rsidR="0018433B" w:rsidRPr="003F4B35" w:rsidRDefault="0018433B" w:rsidP="0018433B">
      <w:pPr>
        <w:widowControl w:val="0"/>
        <w:ind w:left="720" w:right="720"/>
      </w:pPr>
      <w:r w:rsidRPr="003F4B35">
        <w:t xml:space="preserve">rhetorical criticism </w:t>
      </w:r>
      <w:r w:rsidRPr="00E924C6">
        <w:t>. . .</w:t>
      </w:r>
      <w:r w:rsidRPr="003F4B35">
        <w:t xml:space="preserve"> regards a speech as a communication to a specific audience</w:t>
      </w:r>
      <w:r w:rsidR="006F304D" w:rsidRPr="006F304D">
        <w:t xml:space="preserve">, </w:t>
      </w:r>
      <w:r w:rsidRPr="003F4B35">
        <w:t>and holds its business to be the analysis and appreciation of the orator’s method of imparting his ideas to his hearers</w:t>
      </w:r>
      <w:r w:rsidRPr="00E924C6">
        <w:t>. . . .</w:t>
      </w:r>
      <w:r w:rsidRPr="003F4B35">
        <w:t xml:space="preserve"> What is the relation of rhetorical criticism </w:t>
      </w:r>
      <w:r w:rsidRPr="00E924C6">
        <w:t>. . .</w:t>
      </w:r>
      <w:r w:rsidRPr="003F4B35">
        <w:t xml:space="preserve"> to literary criticism? The latter </w:t>
      </w:r>
      <w:r w:rsidRPr="00E924C6">
        <w:t>. . .</w:t>
      </w:r>
      <w:r w:rsidRPr="003F4B35">
        <w:t xml:space="preserve"> views a literary work as the voice of a human spirit addressing itself to men of all ages </w:t>
      </w:r>
      <w:r w:rsidRPr="00E924C6">
        <w:t>. . .</w:t>
      </w:r>
      <w:r w:rsidRPr="003F4B35">
        <w:t xml:space="preserve"> the influence of the period is necessarily relegated to the background; interpretation in the light of the writer’s intention and of his situation may be ignored or slighted </w:t>
      </w:r>
      <w:r w:rsidRPr="00E924C6">
        <w:t>. . .</w:t>
      </w:r>
    </w:p>
  </w:footnote>
  <w:footnote w:id="131">
    <w:p w14:paraId="7BEAAD48" w14:textId="77777777" w:rsidR="0018433B" w:rsidRDefault="0018433B" w:rsidP="0018433B">
      <w:pPr>
        <w:widowControl w:val="0"/>
      </w:pPr>
    </w:p>
    <w:p w14:paraId="7506A1EF" w14:textId="6010E2D7" w:rsidR="0018433B" w:rsidRPr="003F4B35" w:rsidRDefault="0018433B" w:rsidP="0018433B">
      <w:pPr>
        <w:widowControl w:val="0"/>
      </w:pPr>
      <w:r w:rsidRPr="003F4B35">
        <w:rPr>
          <w:vertAlign w:val="superscript"/>
        </w:rPr>
        <w:footnoteRef/>
      </w:r>
      <w:r w:rsidRPr="00B14249">
        <w:t xml:space="preserve"> </w:t>
      </w:r>
      <w:r w:rsidRPr="003F4B35">
        <w:t>It can be argued</w:t>
      </w:r>
      <w:r w:rsidR="006F304D" w:rsidRPr="006F304D">
        <w:t xml:space="preserve">, </w:t>
      </w:r>
      <w:r w:rsidRPr="003F4B35">
        <w:t>of course</w:t>
      </w:r>
      <w:r w:rsidR="006F304D" w:rsidRPr="006F304D">
        <w:t xml:space="preserve">, </w:t>
      </w:r>
      <w:r w:rsidRPr="003F4B35">
        <w:t>that scriptural documents were either originally oral (e.g.</w:t>
      </w:r>
      <w:r w:rsidR="006F304D" w:rsidRPr="006F304D">
        <w:t xml:space="preserve">, </w:t>
      </w:r>
      <w:r w:rsidRPr="003F4B35">
        <w:t>the OT prophecies) or were written with the expectation that they would be heard rather than privately read (e.g.</w:t>
      </w:r>
      <w:r w:rsidR="006F304D" w:rsidRPr="006F304D">
        <w:t xml:space="preserve">, </w:t>
      </w:r>
      <w:r w:rsidRPr="003F4B35">
        <w:t>Paul’s epistles</w:t>
      </w:r>
      <w:r>
        <w:t xml:space="preserve"> [Col 4:16</w:t>
      </w:r>
      <w:r w:rsidR="006F304D" w:rsidRPr="006F304D">
        <w:t xml:space="preserve">, </w:t>
      </w:r>
      <w:r>
        <w:t>etc.]</w:t>
      </w:r>
      <w:r w:rsidRPr="003F4B35">
        <w:t>). These factors should be taken into account while interpreting the texts</w:t>
      </w:r>
      <w:r w:rsidR="006F304D" w:rsidRPr="006F304D">
        <w:t xml:space="preserve">, </w:t>
      </w:r>
      <w:r w:rsidRPr="003F4B35">
        <w:t>but exegesis rema</w:t>
      </w:r>
      <w:r>
        <w:t>i</w:t>
      </w:r>
      <w:r w:rsidRPr="003F4B35">
        <w:t>ns fundamentally a study of written documents</w:t>
      </w:r>
      <w:r w:rsidR="006F304D" w:rsidRPr="006F304D">
        <w:t xml:space="preserve">, </w:t>
      </w:r>
      <w:r w:rsidRPr="003F4B35">
        <w:t xml:space="preserve">since that is </w:t>
      </w:r>
      <w:r>
        <w:t xml:space="preserve">the form in which </w:t>
      </w:r>
      <w:r w:rsidRPr="003F4B35">
        <w:t xml:space="preserve">the prophecies and epistles </w:t>
      </w:r>
      <w:r>
        <w:t xml:space="preserve">are </w:t>
      </w:r>
      <w:r w:rsidRPr="003F4B35">
        <w:t xml:space="preserve">now </w:t>
      </w:r>
      <w:r>
        <w:t>available to us</w:t>
      </w:r>
      <w:r w:rsidRPr="003F4B35">
        <w:t>.</w:t>
      </w:r>
    </w:p>
  </w:footnote>
  <w:footnote w:id="132">
    <w:p w14:paraId="1A7F348E" w14:textId="4032CE97" w:rsidR="0018433B" w:rsidRPr="003F4B35" w:rsidRDefault="0018433B" w:rsidP="0018433B">
      <w:pPr>
        <w:widowControl w:val="0"/>
      </w:pPr>
      <w:r w:rsidRPr="003F4B35">
        <w:rPr>
          <w:vertAlign w:val="superscript"/>
        </w:rPr>
        <w:footnoteRef/>
      </w:r>
      <w:r w:rsidRPr="003F4B35">
        <w:t xml:space="preserve"> See </w:t>
      </w:r>
      <w:r w:rsidRPr="003F4B35">
        <w:rPr>
          <w:i/>
        </w:rPr>
        <w:t>NT Interpretation</w:t>
      </w:r>
      <w:r w:rsidR="006F304D" w:rsidRPr="006F304D">
        <w:t xml:space="preserve">, </w:t>
      </w:r>
      <w:r w:rsidRPr="003F4B35">
        <w:t>10: “the rhetorical theory of the schools found its immediate application in almost every form of oral and written communication [including] literary composition in both prose and verse.” See further the fifth chapter</w:t>
      </w:r>
      <w:r w:rsidR="006F304D" w:rsidRPr="006F304D">
        <w:t xml:space="preserve">, </w:t>
      </w:r>
      <w:r w:rsidRPr="003F4B35">
        <w:t>“The Rhetoric of the Gospels.”</w:t>
      </w:r>
    </w:p>
  </w:footnote>
  <w:footnote w:id="133">
    <w:p w14:paraId="1D0FE043" w14:textId="77777777" w:rsidR="0018433B" w:rsidRPr="003F4B35" w:rsidRDefault="0018433B" w:rsidP="0018433B">
      <w:pPr>
        <w:widowControl w:val="0"/>
      </w:pPr>
      <w:r w:rsidRPr="003F4B35">
        <w:rPr>
          <w:vertAlign w:val="superscript"/>
        </w:rPr>
        <w:footnoteRef/>
      </w:r>
      <w:r w:rsidRPr="003F4B35">
        <w:t xml:space="preserve"> It is questionable whether narratives ought to be treated as rhetorical examples even within classical rhetoric. Classical rhetoricians tended to define the scope of rhetoric even more narrowly than I have done: they treated only argumentative discourses.</w:t>
      </w:r>
    </w:p>
  </w:footnote>
  <w:footnote w:id="134">
    <w:p w14:paraId="051B386B" w14:textId="548B6C14" w:rsidR="0018433B" w:rsidRPr="003F4B35" w:rsidRDefault="0018433B" w:rsidP="0018433B">
      <w:pPr>
        <w:widowControl w:val="0"/>
      </w:pPr>
      <w:r w:rsidRPr="003F4B35">
        <w:rPr>
          <w:vertAlign w:val="superscript"/>
        </w:rPr>
        <w:footnoteRef/>
      </w:r>
      <w:r w:rsidRPr="003F4B35">
        <w:t xml:space="preserve"> Ibid.</w:t>
      </w:r>
      <w:r w:rsidR="006F304D" w:rsidRPr="006F304D">
        <w:t xml:space="preserve">, </w:t>
      </w:r>
      <w:r w:rsidRPr="003F4B35">
        <w:t>10-11.</w:t>
      </w:r>
    </w:p>
  </w:footnote>
  <w:footnote w:id="135">
    <w:p w14:paraId="00501EB1" w14:textId="28C14550" w:rsidR="0018433B" w:rsidRDefault="0018433B" w:rsidP="0018433B">
      <w:pPr>
        <w:widowControl w:val="0"/>
      </w:pPr>
      <w:r w:rsidRPr="003F4B35">
        <w:rPr>
          <w:vertAlign w:val="superscript"/>
        </w:rPr>
        <w:footnoteRef/>
      </w:r>
      <w:r w:rsidRPr="003F4B35">
        <w:t xml:space="preserve"> “Conventional form” is Kenneth Burke’s term (</w:t>
      </w:r>
      <w:r w:rsidRPr="003F4B35">
        <w:rPr>
          <w:i/>
        </w:rPr>
        <w:t>Counter-Statement</w:t>
      </w:r>
      <w:r w:rsidR="006F304D" w:rsidRPr="006F304D">
        <w:t xml:space="preserve">, </w:t>
      </w:r>
      <w:r w:rsidRPr="003F4B35">
        <w:t>126</w:t>
      </w:r>
      <w:r w:rsidR="006F304D" w:rsidRPr="006F304D">
        <w:t xml:space="preserve">, </w:t>
      </w:r>
      <w:r w:rsidRPr="003F4B35">
        <w:t>139):</w:t>
      </w:r>
    </w:p>
    <w:p w14:paraId="1CB61A29" w14:textId="77777777" w:rsidR="0018433B" w:rsidRPr="003F4B35" w:rsidRDefault="0018433B" w:rsidP="0018433B">
      <w:pPr>
        <w:widowControl w:val="0"/>
      </w:pPr>
    </w:p>
    <w:p w14:paraId="111650AB" w14:textId="1357B640" w:rsidR="0018433B" w:rsidRPr="003F4B35" w:rsidRDefault="0018433B" w:rsidP="0018433B">
      <w:pPr>
        <w:widowControl w:val="0"/>
        <w:ind w:left="720" w:right="720"/>
      </w:pPr>
      <w:r w:rsidRPr="003F4B35">
        <w:t>when a form appeals as form</w:t>
      </w:r>
      <w:r w:rsidR="006F304D" w:rsidRPr="006F304D">
        <w:t xml:space="preserve">, </w:t>
      </w:r>
      <w:r w:rsidRPr="003F4B35">
        <w:t>we designate it as conventional form. Any form can become conventional</w:t>
      </w:r>
      <w:r w:rsidR="006F304D" w:rsidRPr="006F304D">
        <w:t xml:space="preserve">, </w:t>
      </w:r>
      <w:r w:rsidRPr="003F4B35">
        <w:t>and be sought for itself—whether it be as complex as the Greek tragedy or as compact as the sonnet</w:t>
      </w:r>
      <w:r w:rsidRPr="00E924C6">
        <w:t>. . . .</w:t>
      </w:r>
      <w:r w:rsidRPr="003F4B35">
        <w:t xml:space="preserve"> the conventional forms demanded by one age are as resolutely shunned by another. Often they owe their presence in art to a survival from a different situation (as </w:t>
      </w:r>
      <w:r w:rsidRPr="00E924C6">
        <w:t>. . .</w:t>
      </w:r>
      <w:r w:rsidRPr="003F4B35">
        <w:t xml:space="preserve"> the chorus in the religious rites of Dionysus survives in the secular drama that grew out of these rites).</w:t>
      </w:r>
    </w:p>
  </w:footnote>
  <w:footnote w:id="136">
    <w:p w14:paraId="202173B5" w14:textId="77777777" w:rsidR="0018433B" w:rsidRDefault="0018433B" w:rsidP="0018433B">
      <w:pPr>
        <w:widowControl w:val="0"/>
      </w:pPr>
    </w:p>
    <w:p w14:paraId="3E60BA73" w14:textId="7B88041A" w:rsidR="0018433B" w:rsidRPr="003F4B35" w:rsidRDefault="0018433B" w:rsidP="0018433B">
      <w:pPr>
        <w:widowControl w:val="0"/>
      </w:pPr>
      <w:r w:rsidRPr="00A70A85">
        <w:rPr>
          <w:vertAlign w:val="superscript"/>
        </w:rPr>
        <w:footnoteRef/>
      </w:r>
      <w:r w:rsidRPr="00A70A85">
        <w:t xml:space="preserve"> </w:t>
      </w:r>
      <w:r w:rsidRPr="003F4B35">
        <w:rPr>
          <w:i/>
        </w:rPr>
        <w:t>NT Interpretation</w:t>
      </w:r>
      <w:r w:rsidR="006F304D" w:rsidRPr="006F304D">
        <w:t xml:space="preserve">, </w:t>
      </w:r>
      <w:r w:rsidRPr="003F4B35">
        <w:t>8.</w:t>
      </w:r>
    </w:p>
  </w:footnote>
  <w:footnote w:id="137">
    <w:p w14:paraId="1FDDA37F" w14:textId="77777777" w:rsidR="0018433B" w:rsidRPr="003F4B35" w:rsidRDefault="0018433B" w:rsidP="0018433B">
      <w:pPr>
        <w:widowControl w:val="0"/>
      </w:pPr>
      <w:r w:rsidRPr="003F4B35">
        <w:rPr>
          <w:vertAlign w:val="superscript"/>
        </w:rPr>
        <w:footnoteRef/>
      </w:r>
      <w:r w:rsidRPr="003F4B35">
        <w:t xml:space="preserve"> “Modern Theory,” 85.</w:t>
      </w:r>
    </w:p>
  </w:footnote>
  <w:footnote w:id="138">
    <w:p w14:paraId="14D61130" w14:textId="3674F6F3" w:rsidR="0018433B" w:rsidRPr="003F4B35" w:rsidRDefault="0018433B" w:rsidP="0018433B">
      <w:pPr>
        <w:widowControl w:val="0"/>
      </w:pPr>
      <w:r w:rsidRPr="003F4B35">
        <w:rPr>
          <w:vertAlign w:val="superscript"/>
        </w:rPr>
        <w:footnoteRef/>
      </w:r>
      <w:r w:rsidRPr="003F4B35">
        <w:t xml:space="preserve"> Ibid.</w:t>
      </w:r>
      <w:r w:rsidR="006F304D" w:rsidRPr="006F304D">
        <w:t xml:space="preserve">, </w:t>
      </w:r>
      <w:r w:rsidRPr="003F4B35">
        <w:t>10: “Though rhetoric is colored by the traditions and conventions of the society in which it is applied</w:t>
      </w:r>
      <w:r w:rsidR="006F304D" w:rsidRPr="006F304D">
        <w:t xml:space="preserve">, </w:t>
      </w:r>
      <w:r w:rsidRPr="003F4B35">
        <w:t>it is a universal phenomenon which is conditioned by basic workings of the human mind and heart and by the nature of all human society.”</w:t>
      </w:r>
    </w:p>
  </w:footnote>
  <w:footnote w:id="139">
    <w:p w14:paraId="735E0DF0" w14:textId="7209447D" w:rsidR="0018433B" w:rsidRDefault="0018433B" w:rsidP="0018433B">
      <w:pPr>
        <w:widowControl w:val="0"/>
      </w:pPr>
      <w:r w:rsidRPr="003F4B35">
        <w:rPr>
          <w:vertAlign w:val="superscript"/>
        </w:rPr>
        <w:footnoteRef/>
      </w:r>
      <w:r w:rsidRPr="003F4B35">
        <w:t xml:space="preserve"> See </w:t>
      </w:r>
      <w:r w:rsidRPr="003F4B35">
        <w:rPr>
          <w:i/>
        </w:rPr>
        <w:t>NT Interpretation</w:t>
      </w:r>
      <w:r w:rsidR="006F304D" w:rsidRPr="006F304D">
        <w:t xml:space="preserve">, </w:t>
      </w:r>
      <w:r w:rsidRPr="003F4B35">
        <w:t>12:</w:t>
      </w:r>
    </w:p>
    <w:p w14:paraId="7A49B688" w14:textId="77777777" w:rsidR="0018433B" w:rsidRPr="003F4B35" w:rsidRDefault="0018433B" w:rsidP="0018433B">
      <w:pPr>
        <w:widowControl w:val="0"/>
      </w:pPr>
    </w:p>
    <w:p w14:paraId="78EC7378" w14:textId="14745B62" w:rsidR="0018433B" w:rsidRPr="003F4B35" w:rsidRDefault="0018433B" w:rsidP="0018433B">
      <w:pPr>
        <w:widowControl w:val="0"/>
        <w:ind w:left="720" w:right="720"/>
      </w:pPr>
      <w:r w:rsidRPr="003F4B35">
        <w:t>[Rhetorical criticism] must embrace more than style. If fundamental and universal features of rhetoric are kept in mind and if we seek to use them in describing the logical and structural features of the text before us</w:t>
      </w:r>
      <w:r w:rsidR="006F304D" w:rsidRPr="006F304D">
        <w:t xml:space="preserve">, </w:t>
      </w:r>
      <w:r w:rsidRPr="003F4B35">
        <w:t>rather than simply quarrying a text for examples of classical figures</w:t>
      </w:r>
      <w:r w:rsidR="006F304D" w:rsidRPr="006F304D">
        <w:t xml:space="preserve">, </w:t>
      </w:r>
      <w:r w:rsidRPr="003F4B35">
        <w:t xml:space="preserve">we can significantly enhance our appreciation of its meaning </w:t>
      </w:r>
      <w:r w:rsidRPr="00E924C6">
        <w:t>. . .</w:t>
      </w:r>
    </w:p>
    <w:p w14:paraId="2216AA5F" w14:textId="77777777" w:rsidR="0018433B" w:rsidRDefault="0018433B" w:rsidP="0018433B">
      <w:pPr>
        <w:widowControl w:val="0"/>
      </w:pPr>
    </w:p>
    <w:p w14:paraId="5A92C804" w14:textId="4B048369" w:rsidR="0018433B" w:rsidRDefault="0018433B" w:rsidP="0018433B">
      <w:pPr>
        <w:widowControl w:val="0"/>
      </w:pPr>
      <w:r w:rsidRPr="003F4B35">
        <w:t>Again</w:t>
      </w:r>
      <w:r w:rsidR="006F304D" w:rsidRPr="006F304D">
        <w:t xml:space="preserve">, </w:t>
      </w:r>
      <w:r w:rsidRPr="003F4B35">
        <w:t>when Kennedy discusses the various stages involved in the practice of rhetorical criticism (ibid.</w:t>
      </w:r>
      <w:r w:rsidR="006F304D" w:rsidRPr="006F304D">
        <w:t xml:space="preserve">, </w:t>
      </w:r>
      <w:r w:rsidRPr="003F4B35">
        <w:t>33</w:t>
      </w:r>
      <w:r w:rsidR="006F304D" w:rsidRPr="006F304D">
        <w:t xml:space="preserve">, </w:t>
      </w:r>
      <w:r w:rsidRPr="003F4B35">
        <w:t>37)</w:t>
      </w:r>
      <w:r w:rsidR="006F304D" w:rsidRPr="006F304D">
        <w:t xml:space="preserve">, </w:t>
      </w:r>
      <w:r w:rsidRPr="003F4B35">
        <w:t>he emphasizes the importance of considering structure:</w:t>
      </w:r>
    </w:p>
    <w:p w14:paraId="4C10228F" w14:textId="77777777" w:rsidR="0018433B" w:rsidRPr="003F4B35" w:rsidRDefault="0018433B" w:rsidP="0018433B">
      <w:pPr>
        <w:widowControl w:val="0"/>
      </w:pPr>
    </w:p>
    <w:p w14:paraId="220AB160" w14:textId="3E5F3BFA" w:rsidR="0018433B" w:rsidRPr="003F4B35" w:rsidRDefault="0018433B" w:rsidP="0018433B">
      <w:pPr>
        <w:widowControl w:val="0"/>
        <w:ind w:left="720" w:right="720"/>
      </w:pPr>
      <w:r w:rsidRPr="003F4B35">
        <w:t xml:space="preserve">First comes a determination of the </w:t>
      </w:r>
      <w:r w:rsidRPr="003F4B35">
        <w:rPr>
          <w:i/>
        </w:rPr>
        <w:t>rhetorical unit</w:t>
      </w:r>
      <w:r w:rsidRPr="003F4B35">
        <w:t xml:space="preserve"> to be studied</w:t>
      </w:r>
      <w:r w:rsidR="006F304D" w:rsidRPr="006F304D">
        <w:t xml:space="preserve">, </w:t>
      </w:r>
      <w:r w:rsidRPr="003F4B35">
        <w:t>corresponding to the pericope in form criticism. A rhetorical unit must have a beginning</w:t>
      </w:r>
      <w:r w:rsidR="006F304D" w:rsidRPr="006F304D">
        <w:t xml:space="preserve">, </w:t>
      </w:r>
      <w:r w:rsidRPr="003F4B35">
        <w:t>a middle</w:t>
      </w:r>
      <w:r w:rsidR="006F304D" w:rsidRPr="006F304D">
        <w:t xml:space="preserve">, </w:t>
      </w:r>
      <w:r w:rsidRPr="003F4B35">
        <w:t>and an end. In some cases the determination of the unit is obvious: a speech attributed to Peter or Paul in Acts is clearly intended as a rhetorical unit</w:t>
      </w:r>
      <w:r w:rsidRPr="00E924C6">
        <w:t>. . . .</w:t>
      </w:r>
      <w:r w:rsidRPr="003F4B35">
        <w:t xml:space="preserve"> the rhetoric of large units often has to be built up from an understanding of the rhetoric of smaller units</w:t>
      </w:r>
      <w:r w:rsidRPr="00E924C6">
        <w:t>. . . .</w:t>
      </w:r>
      <w:r w:rsidRPr="003F4B35">
        <w:t xml:space="preserve"> After these considerations of preliminary matters [Kennedy includes here also consideration of the rhetorical situation and the rhetorical problem] the rhetorical critic is prepared to proceed to consider the </w:t>
      </w:r>
      <w:r w:rsidRPr="003F4B35">
        <w:rPr>
          <w:i/>
        </w:rPr>
        <w:t>arrangement of material</w:t>
      </w:r>
      <w:r w:rsidRPr="003F4B35">
        <w:t xml:space="preserve"> in the text: what subdivisions it falls into </w:t>
      </w:r>
      <w:r w:rsidRPr="00E924C6">
        <w:t>. . .</w:t>
      </w:r>
    </w:p>
    <w:p w14:paraId="0F437928" w14:textId="77777777" w:rsidR="0018433B" w:rsidRDefault="0018433B" w:rsidP="0018433B">
      <w:pPr>
        <w:widowControl w:val="0"/>
      </w:pPr>
    </w:p>
    <w:p w14:paraId="2A8BBFBC" w14:textId="1AA4E06C" w:rsidR="0018433B" w:rsidRPr="003F4B35" w:rsidRDefault="0018433B" w:rsidP="0018433B">
      <w:pPr>
        <w:widowControl w:val="0"/>
      </w:pPr>
      <w:r w:rsidRPr="003F4B35">
        <w:t>Kennedy’s emphasis on the importance of structure is</w:t>
      </w:r>
      <w:r w:rsidR="006F304D" w:rsidRPr="006F304D">
        <w:t xml:space="preserve">, </w:t>
      </w:r>
      <w:r w:rsidRPr="003F4B35">
        <w:t>in fact</w:t>
      </w:r>
      <w:r w:rsidR="006F304D" w:rsidRPr="006F304D">
        <w:t xml:space="preserve">, </w:t>
      </w:r>
      <w:r w:rsidRPr="003F4B35">
        <w:t>something he seems to have imported into his classical rhetoric from more modern developments in rhetorical theory. For</w:t>
      </w:r>
      <w:r w:rsidR="006F304D" w:rsidRPr="006F304D">
        <w:t xml:space="preserve">, </w:t>
      </w:r>
      <w:r w:rsidRPr="003F4B35">
        <w:t>aside from prescribing a mold (about which there was considerable disagreement) into which all orations were supposed to fit</w:t>
      </w:r>
      <w:r w:rsidR="006F304D" w:rsidRPr="006F304D">
        <w:t xml:space="preserve">, </w:t>
      </w:r>
      <w:r w:rsidRPr="003F4B35">
        <w:t>ancient rhetoric did not have much to say about the nature of structure in discourse</w:t>
      </w:r>
      <w:r w:rsidR="006F304D" w:rsidRPr="006F304D">
        <w:t xml:space="preserve">, </w:t>
      </w:r>
      <w:r w:rsidRPr="003F4B35">
        <w:t>as the next section of this chapter will demonstrate.</w:t>
      </w:r>
    </w:p>
  </w:footnote>
  <w:footnote w:id="140">
    <w:p w14:paraId="4E475EB8" w14:textId="288E1312" w:rsidR="0018433B" w:rsidRPr="003F4B35" w:rsidRDefault="0018433B" w:rsidP="0018433B">
      <w:pPr>
        <w:widowControl w:val="0"/>
      </w:pPr>
      <w:r w:rsidRPr="003F4B35">
        <w:rPr>
          <w:vertAlign w:val="superscript"/>
        </w:rPr>
        <w:footnoteRef/>
      </w:r>
      <w:r w:rsidRPr="003F4B35">
        <w:t xml:space="preserve"> According to Kennedy (</w:t>
      </w:r>
      <w:r w:rsidRPr="003F4B35">
        <w:rPr>
          <w:i/>
        </w:rPr>
        <w:t>NT Interpretation</w:t>
      </w:r>
      <w:r w:rsidR="006F304D" w:rsidRPr="006F304D">
        <w:t xml:space="preserve">, </w:t>
      </w:r>
      <w:r w:rsidRPr="003F4B35">
        <w:t>14)</w:t>
      </w:r>
      <w:r w:rsidR="006F304D" w:rsidRPr="006F304D">
        <w:t xml:space="preserve">, </w:t>
      </w:r>
      <w:r w:rsidRPr="003F4B35">
        <w:t>“These are universal categories</w:t>
      </w:r>
      <w:r w:rsidR="006F304D" w:rsidRPr="006F304D">
        <w:t xml:space="preserve">, </w:t>
      </w:r>
      <w:r w:rsidRPr="003F4B35">
        <w:t>not peculiar to Greek rhetoric.” Yet this schematization of the composing process into five stages is later than Aristotle. At the opening of book 3</w:t>
      </w:r>
      <w:r w:rsidR="006F304D" w:rsidRPr="006F304D">
        <w:t xml:space="preserve">, </w:t>
      </w:r>
      <w:r w:rsidRPr="003F4B35">
        <w:t>Aristotle not only sets forth only three steps</w:t>
      </w:r>
      <w:r w:rsidR="006F304D" w:rsidRPr="006F304D">
        <w:t xml:space="preserve">, </w:t>
      </w:r>
      <w:r w:rsidRPr="003F4B35">
        <w:t>but does so twice</w:t>
      </w:r>
      <w:r w:rsidR="006F304D" w:rsidRPr="006F304D">
        <w:t xml:space="preserve">, </w:t>
      </w:r>
      <w:r w:rsidRPr="003F4B35">
        <w:t>and contradictorily: first he proposes invention</w:t>
      </w:r>
      <w:r w:rsidR="006F304D" w:rsidRPr="006F304D">
        <w:t xml:space="preserve">, </w:t>
      </w:r>
      <w:r w:rsidRPr="003F4B35">
        <w:t>style</w:t>
      </w:r>
      <w:r w:rsidR="006F304D" w:rsidRPr="006F304D">
        <w:t xml:space="preserve">, </w:t>
      </w:r>
      <w:r w:rsidRPr="003F4B35">
        <w:t>and arrangement</w:t>
      </w:r>
      <w:r w:rsidR="006F304D" w:rsidRPr="006F304D">
        <w:t xml:space="preserve">, </w:t>
      </w:r>
      <w:r w:rsidRPr="003F4B35">
        <w:t>then he proposes invention</w:t>
      </w:r>
      <w:r w:rsidR="006F304D" w:rsidRPr="006F304D">
        <w:t xml:space="preserve">, </w:t>
      </w:r>
      <w:r w:rsidRPr="003F4B35">
        <w:t>style</w:t>
      </w:r>
      <w:r w:rsidR="006F304D" w:rsidRPr="006F304D">
        <w:t xml:space="preserve">, </w:t>
      </w:r>
      <w:r w:rsidRPr="003F4B35">
        <w:t>and delivery. Since book 3</w:t>
      </w:r>
      <w:r w:rsidR="006F304D" w:rsidRPr="006F304D">
        <w:t xml:space="preserve">, </w:t>
      </w:r>
      <w:r w:rsidRPr="003F4B35">
        <w:t>in its actual development</w:t>
      </w:r>
      <w:r w:rsidR="006F304D" w:rsidRPr="006F304D">
        <w:t xml:space="preserve">, </w:t>
      </w:r>
      <w:r w:rsidRPr="003F4B35">
        <w:t>deals only with style (chapters 1-12) and arrangement (chapters 13-19)</w:t>
      </w:r>
      <w:r w:rsidR="006F304D" w:rsidRPr="006F304D">
        <w:t xml:space="preserve">, </w:t>
      </w:r>
      <w:r w:rsidRPr="003F4B35">
        <w:t>and since invention had just been dealt with in book 2</w:t>
      </w:r>
      <w:r w:rsidR="006F304D" w:rsidRPr="006F304D">
        <w:t xml:space="preserve">, </w:t>
      </w:r>
      <w:r w:rsidRPr="003F4B35">
        <w:t>probably Aristotle intended to propose the three stages</w:t>
      </w:r>
      <w:r w:rsidR="006F304D" w:rsidRPr="006F304D">
        <w:t xml:space="preserve">, </w:t>
      </w:r>
      <w:r w:rsidRPr="003F4B35">
        <w:t>invention</w:t>
      </w:r>
      <w:r w:rsidR="006F304D" w:rsidRPr="006F304D">
        <w:t xml:space="preserve">, </w:t>
      </w:r>
      <w:r w:rsidRPr="003F4B35">
        <w:t>style</w:t>
      </w:r>
      <w:r w:rsidR="006F304D" w:rsidRPr="006F304D">
        <w:t xml:space="preserve">, </w:t>
      </w:r>
      <w:r w:rsidRPr="003F4B35">
        <w:t>and arrangement. (“Invention” is the “pre-writing” stage</w:t>
      </w:r>
      <w:r w:rsidR="006F304D" w:rsidRPr="006F304D">
        <w:t xml:space="preserve">, </w:t>
      </w:r>
      <w:r w:rsidRPr="003F4B35">
        <w:t>the time of “gathering and analysis of the material” [Baldwin</w:t>
      </w:r>
      <w:r w:rsidR="006F304D" w:rsidRPr="006F304D">
        <w:t xml:space="preserve">, </w:t>
      </w:r>
      <w:r w:rsidRPr="003F4B35">
        <w:rPr>
          <w:i/>
        </w:rPr>
        <w:t>Ancient Rhetoric</w:t>
      </w:r>
      <w:r w:rsidR="006F304D" w:rsidRPr="006F304D">
        <w:t xml:space="preserve">, </w:t>
      </w:r>
      <w:r w:rsidRPr="003F4B35">
        <w:t>21]).</w:t>
      </w:r>
    </w:p>
  </w:footnote>
  <w:footnote w:id="141">
    <w:p w14:paraId="2309A75D" w14:textId="13769074" w:rsidR="0018433B" w:rsidRPr="003F4B35" w:rsidRDefault="0018433B" w:rsidP="0018433B">
      <w:pPr>
        <w:widowControl w:val="0"/>
      </w:pPr>
      <w:r w:rsidRPr="003F4B35">
        <w:rPr>
          <w:vertAlign w:val="superscript"/>
        </w:rPr>
        <w:footnoteRef/>
      </w:r>
      <w:r w:rsidRPr="003F4B35">
        <w:t xml:space="preserve"> See Plato</w:t>
      </w:r>
      <w:r w:rsidR="006F304D" w:rsidRPr="006F304D">
        <w:t xml:space="preserve">, </w:t>
      </w:r>
      <w:r w:rsidRPr="003F4B35">
        <w:rPr>
          <w:i/>
        </w:rPr>
        <w:t>Phaedrus</w:t>
      </w:r>
      <w:r w:rsidR="006F304D" w:rsidRPr="006F304D">
        <w:t xml:space="preserve">, </w:t>
      </w:r>
      <w:r w:rsidRPr="003F4B35">
        <w:t>226. E.</w:t>
      </w:r>
      <w:r w:rsidR="006F304D" w:rsidRPr="006F304D">
        <w:t xml:space="preserve">, </w:t>
      </w:r>
      <w:r w:rsidRPr="003F4B35">
        <w:t>227. E. Plato mentions</w:t>
      </w:r>
      <w:r w:rsidR="006F304D" w:rsidRPr="006F304D">
        <w:t xml:space="preserve">, </w:t>
      </w:r>
      <w:r w:rsidRPr="003F4B35">
        <w:t>among others</w:t>
      </w:r>
      <w:r w:rsidR="006F304D" w:rsidRPr="006F304D">
        <w:t xml:space="preserve">, </w:t>
      </w:r>
      <w:r w:rsidRPr="003F4B35">
        <w:t>the school of Theodorus</w:t>
      </w:r>
      <w:r w:rsidR="006F304D" w:rsidRPr="006F304D">
        <w:t xml:space="preserve">, </w:t>
      </w:r>
      <w:r w:rsidRPr="003F4B35">
        <w:t>which divided orations into</w:t>
      </w:r>
      <w:r>
        <w:t xml:space="preserve"> πίστωσις</w:t>
      </w:r>
      <w:r w:rsidR="006F304D" w:rsidRPr="006F304D">
        <w:t xml:space="preserve">, </w:t>
      </w:r>
      <w:r w:rsidRPr="00CB0999">
        <w:rPr>
          <w:szCs w:val="22"/>
        </w:rPr>
        <w:t>ἐ</w:t>
      </w:r>
      <w:r>
        <w:rPr>
          <w:szCs w:val="22"/>
        </w:rPr>
        <w:t>πιπίστωσις</w:t>
      </w:r>
      <w:r w:rsidR="006F304D" w:rsidRPr="006F304D">
        <w:t xml:space="preserve">, </w:t>
      </w:r>
      <w:r w:rsidRPr="00CB0999">
        <w:rPr>
          <w:szCs w:val="22"/>
        </w:rPr>
        <w:t>ἐ</w:t>
      </w:r>
      <w:r>
        <w:rPr>
          <w:szCs w:val="22"/>
        </w:rPr>
        <w:t>λεγγχός</w:t>
      </w:r>
      <w:r w:rsidR="006F304D" w:rsidRPr="006F304D">
        <w:t xml:space="preserve">, </w:t>
      </w:r>
      <w:r w:rsidRPr="003F4B35">
        <w:t>and</w:t>
      </w:r>
      <w:r>
        <w:t xml:space="preserve"> </w:t>
      </w:r>
      <w:r w:rsidRPr="00CB0999">
        <w:rPr>
          <w:szCs w:val="22"/>
        </w:rPr>
        <w:t>ἐ</w:t>
      </w:r>
      <w:r>
        <w:rPr>
          <w:szCs w:val="22"/>
        </w:rPr>
        <w:t>πεξελεγγχός</w:t>
      </w:r>
      <w:r w:rsidRPr="003F4B35">
        <w:t>. That other divisions were also proposed</w:t>
      </w:r>
      <w:r w:rsidR="006F304D" w:rsidRPr="006F304D">
        <w:t xml:space="preserve">, </w:t>
      </w:r>
      <w:r w:rsidRPr="003F4B35">
        <w:t xml:space="preserve">such as the </w:t>
      </w:r>
      <w:r>
        <w:t>ταπρ</w:t>
      </w:r>
      <w:r w:rsidRPr="00CB0999">
        <w:rPr>
          <w:szCs w:val="22"/>
        </w:rPr>
        <w:t>ὸ</w:t>
      </w:r>
      <w:r>
        <w:rPr>
          <w:szCs w:val="22"/>
        </w:rPr>
        <w:t xml:space="preserve">ς </w:t>
      </w:r>
      <w:r w:rsidRPr="00CB0999">
        <w:rPr>
          <w:szCs w:val="22"/>
        </w:rPr>
        <w:t>ἀ</w:t>
      </w:r>
      <w:r>
        <w:rPr>
          <w:szCs w:val="22"/>
        </w:rPr>
        <w:t>ντίδιχον</w:t>
      </w:r>
      <w:r>
        <w:t xml:space="preserve"> </w:t>
      </w:r>
      <w:r w:rsidRPr="003F4B35">
        <w:t>(</w:t>
      </w:r>
      <w:r w:rsidRPr="003F4B35">
        <w:rPr>
          <w:i/>
        </w:rPr>
        <w:t>refutatio</w:t>
      </w:r>
      <w:r w:rsidR="006F304D" w:rsidRPr="006F304D">
        <w:t xml:space="preserve">, </w:t>
      </w:r>
      <w:r w:rsidRPr="003F4B35">
        <w:t>refutation of opponents)</w:t>
      </w:r>
      <w:r w:rsidR="006F304D" w:rsidRPr="006F304D">
        <w:t xml:space="preserve">, </w:t>
      </w:r>
      <w:r w:rsidRPr="003F4B35">
        <w:t>we know from Aristotle’s summary dismissal of them.</w:t>
      </w:r>
    </w:p>
  </w:footnote>
  <w:footnote w:id="142">
    <w:p w14:paraId="4466718D" w14:textId="21D8E7E2" w:rsidR="0018433B" w:rsidRPr="003F4B35" w:rsidRDefault="0018433B" w:rsidP="0018433B">
      <w:pPr>
        <w:widowControl w:val="0"/>
      </w:pPr>
      <w:r w:rsidRPr="003F4B35">
        <w:rPr>
          <w:vertAlign w:val="superscript"/>
        </w:rPr>
        <w:footnoteRef/>
      </w:r>
      <w:r w:rsidRPr="003F4B35">
        <w:t xml:space="preserve"> E. M. Cope</w:t>
      </w:r>
      <w:r w:rsidR="006F304D" w:rsidRPr="006F304D">
        <w:t xml:space="preserve">, </w:t>
      </w:r>
      <w:r w:rsidRPr="003F4B35">
        <w:rPr>
          <w:i/>
        </w:rPr>
        <w:t>An Introduction to Aristotle</w:t>
      </w:r>
      <w:r w:rsidRPr="003F4B35">
        <w:t>’</w:t>
      </w:r>
      <w:r w:rsidRPr="003F4B35">
        <w:rPr>
          <w:i/>
        </w:rPr>
        <w:t>s Rhetoric with Analysis</w:t>
      </w:r>
      <w:r w:rsidR="006F304D" w:rsidRPr="006F304D">
        <w:t xml:space="preserve">, </w:t>
      </w:r>
      <w:r w:rsidRPr="003F4B35">
        <w:rPr>
          <w:i/>
        </w:rPr>
        <w:t>Notes and Appendices</w:t>
      </w:r>
      <w:r w:rsidRPr="003F4B35">
        <w:t xml:space="preserve"> (London: Macmillan</w:t>
      </w:r>
      <w:r w:rsidR="006F304D" w:rsidRPr="006F304D">
        <w:t xml:space="preserve">, </w:t>
      </w:r>
      <w:r w:rsidRPr="003F4B35">
        <w:t>1867) 331-33</w:t>
      </w:r>
      <w:r w:rsidR="006F304D" w:rsidRPr="006F304D">
        <w:t xml:space="preserve">, </w:t>
      </w:r>
      <w:r w:rsidRPr="003F4B35">
        <w:t>331 n. 1.</w:t>
      </w:r>
    </w:p>
  </w:footnote>
  <w:footnote w:id="143">
    <w:p w14:paraId="291F151A" w14:textId="64962971" w:rsidR="0018433B" w:rsidRPr="003F4B35" w:rsidRDefault="0018433B" w:rsidP="0018433B">
      <w:pPr>
        <w:widowControl w:val="0"/>
      </w:pPr>
      <w:r w:rsidRPr="003F4B35">
        <w:rPr>
          <w:vertAlign w:val="superscript"/>
        </w:rPr>
        <w:footnoteRef/>
      </w:r>
      <w:r w:rsidRPr="003F4B35">
        <w:t xml:space="preserve"> Aristotle’s discussion of </w:t>
      </w:r>
      <w:r>
        <w:t xml:space="preserve">τάχσις </w:t>
      </w:r>
      <w:r w:rsidRPr="003F4B35">
        <w:t xml:space="preserve">is in </w:t>
      </w:r>
      <w:r w:rsidRPr="003F4B35">
        <w:rPr>
          <w:i/>
        </w:rPr>
        <w:t>Rhetoric</w:t>
      </w:r>
      <w:r w:rsidR="006F304D" w:rsidRPr="006F304D">
        <w:t xml:space="preserve">, </w:t>
      </w:r>
      <w:r w:rsidRPr="003F4B35">
        <w:t>book 3</w:t>
      </w:r>
      <w:r w:rsidR="006F304D" w:rsidRPr="006F304D">
        <w:t xml:space="preserve">, </w:t>
      </w:r>
      <w:r w:rsidRPr="003F4B35">
        <w:t>chapters 13-19 (1414a-1420a).</w:t>
      </w:r>
    </w:p>
  </w:footnote>
  <w:footnote w:id="144">
    <w:p w14:paraId="287948FC" w14:textId="4F8DE1F9" w:rsidR="0018433B" w:rsidRPr="003F4B35" w:rsidRDefault="0018433B" w:rsidP="0018433B">
      <w:pPr>
        <w:widowControl w:val="0"/>
      </w:pPr>
      <w:r w:rsidRPr="003F4B35">
        <w:rPr>
          <w:vertAlign w:val="superscript"/>
        </w:rPr>
        <w:footnoteRef/>
      </w:r>
      <w:r w:rsidRPr="003F4B35">
        <w:t xml:space="preserve"> Ibid.</w:t>
      </w:r>
      <w:r w:rsidR="006F304D" w:rsidRPr="006F304D">
        <w:t xml:space="preserve">, </w:t>
      </w:r>
      <w:r w:rsidRPr="003F4B35">
        <w:t>332-34.</w:t>
      </w:r>
    </w:p>
  </w:footnote>
  <w:footnote w:id="145">
    <w:p w14:paraId="4FF1AA69" w14:textId="2A23CAAE" w:rsidR="0018433B" w:rsidRPr="003F4B35" w:rsidRDefault="0018433B" w:rsidP="0018433B">
      <w:pPr>
        <w:widowControl w:val="0"/>
      </w:pPr>
      <w:r w:rsidRPr="003F4B35">
        <w:rPr>
          <w:vertAlign w:val="superscript"/>
        </w:rPr>
        <w:footnoteRef/>
      </w:r>
      <w:r w:rsidRPr="003F4B35">
        <w:t xml:space="preserve"> Ibid.; also Baldwin</w:t>
      </w:r>
      <w:r w:rsidR="006F304D" w:rsidRPr="006F304D">
        <w:t xml:space="preserve">, </w:t>
      </w:r>
      <w:r w:rsidRPr="003F4B35">
        <w:rPr>
          <w:i/>
        </w:rPr>
        <w:t>Ancient Rhetoric</w:t>
      </w:r>
      <w:r w:rsidR="006F304D" w:rsidRPr="006F304D">
        <w:t xml:space="preserve">, </w:t>
      </w:r>
      <w:r w:rsidRPr="003F4B35">
        <w:t>34: “The most that can be allowed are four: proposition and proof as essential</w:t>
      </w:r>
      <w:r w:rsidR="006F304D" w:rsidRPr="006F304D">
        <w:t xml:space="preserve">, </w:t>
      </w:r>
      <w:r w:rsidRPr="003F4B35">
        <w:t>exordium and peroration as usual.”</w:t>
      </w:r>
      <w:r w:rsidRPr="00E924C6">
        <w:t xml:space="preserve"> </w:t>
      </w:r>
      <w:r w:rsidRPr="003F4B35">
        <w:t>Manuals of modern rhetoric refers</w:t>
      </w:r>
      <w:r w:rsidR="006F304D" w:rsidRPr="006F304D">
        <w:t xml:space="preserve">, </w:t>
      </w:r>
      <w:r w:rsidRPr="003F4B35">
        <w:t>ordinarily</w:t>
      </w:r>
      <w:r w:rsidR="006F304D" w:rsidRPr="006F304D">
        <w:t xml:space="preserve">, </w:t>
      </w:r>
      <w:r w:rsidRPr="003F4B35">
        <w:t>to only three external sections: introduction</w:t>
      </w:r>
      <w:r w:rsidR="006F304D" w:rsidRPr="006F304D">
        <w:t xml:space="preserve">, </w:t>
      </w:r>
      <w:r w:rsidRPr="003F4B35">
        <w:t>body</w:t>
      </w:r>
      <w:r w:rsidR="006F304D" w:rsidRPr="006F304D">
        <w:t xml:space="preserve">, </w:t>
      </w:r>
      <w:r w:rsidRPr="003F4B35">
        <w:t>and conclusion (e.g.</w:t>
      </w:r>
      <w:r w:rsidR="006F304D" w:rsidRPr="006F304D">
        <w:t xml:space="preserve">, </w:t>
      </w:r>
      <w:r w:rsidRPr="003F4B35">
        <w:t>John F. Genung</w:t>
      </w:r>
      <w:r w:rsidR="006F304D" w:rsidRPr="006F304D">
        <w:t xml:space="preserve">, </w:t>
      </w:r>
      <w:r w:rsidRPr="003F4B35">
        <w:rPr>
          <w:i/>
        </w:rPr>
        <w:t>Practical Elements of Rhetoric with Illus</w:t>
      </w:r>
      <w:r>
        <w:rPr>
          <w:i/>
        </w:rPr>
        <w:t>t</w:t>
      </w:r>
      <w:r w:rsidRPr="003F4B35">
        <w:rPr>
          <w:i/>
        </w:rPr>
        <w:t>rative Examples</w:t>
      </w:r>
      <w:r w:rsidRPr="003F4B35">
        <w:t xml:space="preserve"> [Boston: Ginn</w:t>
      </w:r>
      <w:r w:rsidR="006F304D" w:rsidRPr="006F304D">
        <w:t xml:space="preserve">, </w:t>
      </w:r>
      <w:r w:rsidRPr="003F4B35">
        <w:t xml:space="preserve">1914] 266: “The three fundamental elements of the plan </w:t>
      </w:r>
      <w:r w:rsidRPr="00E924C6">
        <w:t>. . .</w:t>
      </w:r>
      <w:r w:rsidRPr="003F4B35">
        <w:t xml:space="preserve"> are the introduction</w:t>
      </w:r>
      <w:r w:rsidR="006F304D" w:rsidRPr="006F304D">
        <w:t xml:space="preserve">, </w:t>
      </w:r>
      <w:r w:rsidRPr="003F4B35">
        <w:t>the development</w:t>
      </w:r>
      <w:r w:rsidR="006F304D" w:rsidRPr="006F304D">
        <w:t xml:space="preserve">, </w:t>
      </w:r>
      <w:r w:rsidRPr="003F4B35">
        <w:t>and the conclusion”); but most include statement of thesis</w:t>
      </w:r>
      <w:r w:rsidR="006F304D" w:rsidRPr="006F304D">
        <w:t xml:space="preserve">, </w:t>
      </w:r>
      <w:r w:rsidRPr="003F4B35">
        <w:t>normally at the end of the introduction.</w:t>
      </w:r>
    </w:p>
  </w:footnote>
  <w:footnote w:id="146">
    <w:p w14:paraId="05236733" w14:textId="2A7965FE" w:rsidR="0018433B" w:rsidRPr="003F4B35" w:rsidRDefault="0018433B" w:rsidP="0018433B">
      <w:pPr>
        <w:widowControl w:val="0"/>
      </w:pPr>
      <w:r w:rsidRPr="003F4B35">
        <w:rPr>
          <w:vertAlign w:val="superscript"/>
        </w:rPr>
        <w:footnoteRef/>
      </w:r>
      <w:r w:rsidRPr="003F4B35">
        <w:t xml:space="preserve"> Cope</w:t>
      </w:r>
      <w:r w:rsidR="006F304D" w:rsidRPr="006F304D">
        <w:t xml:space="preserve">, </w:t>
      </w:r>
      <w:r w:rsidRPr="003F4B35">
        <w:rPr>
          <w:i/>
        </w:rPr>
        <w:t>Introduction</w:t>
      </w:r>
      <w:r w:rsidR="006F304D" w:rsidRPr="006F304D">
        <w:t xml:space="preserve">, </w:t>
      </w:r>
      <w:r w:rsidRPr="003F4B35">
        <w:t>331 and n. 1.</w:t>
      </w:r>
    </w:p>
  </w:footnote>
  <w:footnote w:id="147">
    <w:p w14:paraId="3A3AB5F7" w14:textId="57E4BAA3" w:rsidR="0018433B" w:rsidRPr="003F4B35" w:rsidRDefault="0018433B" w:rsidP="0018433B">
      <w:pPr>
        <w:widowControl w:val="0"/>
      </w:pPr>
      <w:r w:rsidRPr="003F4B35">
        <w:rPr>
          <w:vertAlign w:val="superscript"/>
        </w:rPr>
        <w:footnoteRef/>
      </w:r>
      <w:r w:rsidRPr="003F4B35">
        <w:t xml:space="preserve"> To some extent the number of divisions in later classical times varied according to the type of oration (legal</w:t>
      </w:r>
      <w:r w:rsidR="006F304D" w:rsidRPr="006F304D">
        <w:t xml:space="preserve">, </w:t>
      </w:r>
      <w:r w:rsidRPr="003F4B35">
        <w:t>political</w:t>
      </w:r>
      <w:r w:rsidR="006F304D" w:rsidRPr="006F304D">
        <w:t xml:space="preserve">, </w:t>
      </w:r>
      <w:r w:rsidRPr="003F4B35">
        <w:t>or ceremonial); but in general these four</w:t>
      </w:r>
      <w:r w:rsidR="006F304D" w:rsidRPr="006F304D">
        <w:t xml:space="preserve">, </w:t>
      </w:r>
      <w:r w:rsidRPr="003F4B35">
        <w:t>five</w:t>
      </w:r>
      <w:r w:rsidR="006F304D" w:rsidRPr="006F304D">
        <w:t xml:space="preserve">, </w:t>
      </w:r>
      <w:r w:rsidRPr="003F4B35">
        <w:t>or six are given.</w:t>
      </w:r>
    </w:p>
  </w:footnote>
  <w:footnote w:id="148">
    <w:p w14:paraId="7963A589" w14:textId="6DD8703A" w:rsidR="0018433B" w:rsidRDefault="0018433B" w:rsidP="0018433B">
      <w:pPr>
        <w:widowControl w:val="0"/>
      </w:pPr>
      <w:r w:rsidRPr="003F4B35">
        <w:rPr>
          <w:vertAlign w:val="superscript"/>
        </w:rPr>
        <w:footnoteRef/>
      </w:r>
      <w:r w:rsidRPr="003F4B35">
        <w:t xml:space="preserve"> E.g.</w:t>
      </w:r>
      <w:r w:rsidR="006F304D" w:rsidRPr="006F304D">
        <w:t xml:space="preserve">, </w:t>
      </w:r>
      <w:r w:rsidRPr="003F4B35">
        <w:t xml:space="preserve">Cicero’s statement in </w:t>
      </w:r>
      <w:r w:rsidRPr="003F4B35">
        <w:rPr>
          <w:i/>
        </w:rPr>
        <w:t>On the Orator</w:t>
      </w:r>
      <w:r>
        <w:t xml:space="preserve"> 72-85</w:t>
      </w:r>
      <w:r w:rsidRPr="003F4B35">
        <w:t xml:space="preserve"> </w:t>
      </w:r>
      <w:r>
        <w:t>(</w:t>
      </w:r>
      <w:r w:rsidRPr="003F4B35">
        <w:t xml:space="preserve">quoted </w:t>
      </w:r>
      <w:r>
        <w:t>in</w:t>
      </w:r>
      <w:r w:rsidRPr="003F4B35">
        <w:t xml:space="preserve"> Baldwin</w:t>
      </w:r>
      <w:r w:rsidR="006F304D" w:rsidRPr="006F304D">
        <w:t xml:space="preserve">, </w:t>
      </w:r>
      <w:r w:rsidRPr="003F4B35">
        <w:rPr>
          <w:i/>
        </w:rPr>
        <w:t>Ancient Rhetoric</w:t>
      </w:r>
      <w:r w:rsidR="006F304D" w:rsidRPr="006F304D">
        <w:t xml:space="preserve">, </w:t>
      </w:r>
      <w:r w:rsidRPr="003F4B35">
        <w:t>52-53):</w:t>
      </w:r>
    </w:p>
    <w:p w14:paraId="7ED26CAE" w14:textId="77777777" w:rsidR="0018433B" w:rsidRPr="003F4B35" w:rsidRDefault="0018433B" w:rsidP="0018433B">
      <w:pPr>
        <w:widowControl w:val="0"/>
      </w:pPr>
    </w:p>
    <w:p w14:paraId="69A04F69" w14:textId="3C48A738" w:rsidR="0018433B" w:rsidRPr="003F4B35" w:rsidRDefault="0018433B" w:rsidP="0018433B">
      <w:pPr>
        <w:widowControl w:val="0"/>
        <w:ind w:left="720" w:right="720"/>
      </w:pPr>
      <w:r w:rsidRPr="003F4B35">
        <w:t>In general</w:t>
      </w:r>
      <w:r w:rsidR="006F304D" w:rsidRPr="006F304D">
        <w:t xml:space="preserve">, </w:t>
      </w:r>
      <w:r w:rsidRPr="003F4B35">
        <w:rPr>
          <w:i/>
        </w:rPr>
        <w:t>dispositio</w:t>
      </w:r>
      <w:r w:rsidRPr="003F4B35">
        <w:t xml:space="preserve"> has to consider: how to make the most of the stronger points without seeming to slur the weaker; whether the case will prevail more readily through argument or through appeal</w:t>
      </w:r>
      <w:r w:rsidR="006F304D" w:rsidRPr="006F304D">
        <w:t xml:space="preserve">, </w:t>
      </w:r>
      <w:r w:rsidRPr="003F4B35">
        <w:t>through direct proof or through refutation; how to cover retreat at need by making sure that the case</w:t>
      </w:r>
      <w:r w:rsidR="006F304D" w:rsidRPr="006F304D">
        <w:t xml:space="preserve">, </w:t>
      </w:r>
      <w:r w:rsidRPr="003F4B35">
        <w:t>if it cannot be won</w:t>
      </w:r>
      <w:r w:rsidR="006F304D" w:rsidRPr="006F304D">
        <w:t xml:space="preserve">, </w:t>
      </w:r>
      <w:r w:rsidRPr="003F4B35">
        <w:t>shall at least not be damaged</w:t>
      </w:r>
      <w:r w:rsidRPr="00E924C6">
        <w:t>. . . .</w:t>
      </w:r>
      <w:r w:rsidRPr="003F4B35">
        <w:t xml:space="preserve"> The strongest arguments should be put first and last </w:t>
      </w:r>
      <w:r w:rsidRPr="00E924C6">
        <w:t>. . .</w:t>
      </w:r>
    </w:p>
    <w:p w14:paraId="46136741" w14:textId="77777777" w:rsidR="0018433B" w:rsidRDefault="0018433B" w:rsidP="0018433B">
      <w:pPr>
        <w:widowControl w:val="0"/>
      </w:pPr>
    </w:p>
    <w:p w14:paraId="716D08F8" w14:textId="47AA96CE" w:rsidR="0018433B" w:rsidRDefault="0018433B" w:rsidP="0018433B">
      <w:pPr>
        <w:widowControl w:val="0"/>
      </w:pPr>
      <w:r w:rsidRPr="003F4B35">
        <w:t>Quintilian</w:t>
      </w:r>
      <w:r w:rsidR="006F304D" w:rsidRPr="006F304D">
        <w:t xml:space="preserve">, </w:t>
      </w:r>
      <w:r w:rsidRPr="003F4B35">
        <w:t>too</w:t>
      </w:r>
      <w:r w:rsidR="006F304D" w:rsidRPr="006F304D">
        <w:t xml:space="preserve">, </w:t>
      </w:r>
      <w:r w:rsidRPr="003F4B35">
        <w:t xml:space="preserve">sprinkles about suggestions on arrangement in </w:t>
      </w:r>
      <w:r w:rsidRPr="003F4B35">
        <w:rPr>
          <w:i/>
        </w:rPr>
        <w:t>On the Education of the Orator</w:t>
      </w:r>
      <w:r w:rsidRPr="003F4B35">
        <w:t xml:space="preserve"> (3.10</w:t>
      </w:r>
      <w:r w:rsidR="006F304D" w:rsidRPr="006F304D">
        <w:t xml:space="preserve">, </w:t>
      </w:r>
      <w:r w:rsidRPr="003F4B35">
        <w:t>summarized by Corbett</w:t>
      </w:r>
      <w:r w:rsidR="006F304D" w:rsidRPr="006F304D">
        <w:t xml:space="preserve">, </w:t>
      </w:r>
      <w:r w:rsidRPr="003F4B35">
        <w:rPr>
          <w:i/>
        </w:rPr>
        <w:t>Classical Rhetoric</w:t>
      </w:r>
      <w:r w:rsidR="006F304D" w:rsidRPr="006F304D">
        <w:t xml:space="preserve">, </w:t>
      </w:r>
      <w:r w:rsidRPr="003F4B35">
        <w:t>301-</w:t>
      </w:r>
      <w:r>
        <w:t>0</w:t>
      </w:r>
      <w:r w:rsidRPr="003F4B35">
        <w:t>2):</w:t>
      </w:r>
    </w:p>
    <w:p w14:paraId="7EFE028F" w14:textId="77777777" w:rsidR="0018433B" w:rsidRPr="003F4B35" w:rsidRDefault="0018433B" w:rsidP="0018433B">
      <w:pPr>
        <w:widowControl w:val="0"/>
      </w:pPr>
    </w:p>
    <w:p w14:paraId="71B51A83" w14:textId="77777777" w:rsidR="0018433B" w:rsidRPr="003F4B35" w:rsidRDefault="0018433B" w:rsidP="0018433B">
      <w:pPr>
        <w:widowControl w:val="0"/>
        <w:ind w:left="720" w:right="720"/>
      </w:pPr>
      <w:r w:rsidRPr="003F4B35">
        <w:t xml:space="preserve">Quintilian pointed out that disposition was concerned with judgments and decisions about questions like these: 1. When is an introduction necessary and when can it be omitted or abbreviated? 2. When should we make our statement of facts continuous and when should we break it up and insert it </w:t>
      </w:r>
      <w:r w:rsidRPr="003F4B35">
        <w:rPr>
          <w:i/>
        </w:rPr>
        <w:t>passim</w:t>
      </w:r>
      <w:r w:rsidRPr="003F4B35">
        <w:t xml:space="preserve">? </w:t>
      </w:r>
      <w:r w:rsidRPr="00E924C6">
        <w:t>. . .</w:t>
      </w:r>
      <w:r w:rsidRPr="003F4B35">
        <w:t xml:space="preserve"> 4. When should we begin by dealing with the arguments advanced by our opponents and when should we begin by proposing our own arguments?</w:t>
      </w:r>
    </w:p>
  </w:footnote>
  <w:footnote w:id="149">
    <w:p w14:paraId="4BC70974" w14:textId="77777777" w:rsidR="0018433B" w:rsidRDefault="0018433B" w:rsidP="0018433B">
      <w:pPr>
        <w:widowControl w:val="0"/>
      </w:pPr>
    </w:p>
    <w:p w14:paraId="2DC27657" w14:textId="6D3CEFEC" w:rsidR="0018433B" w:rsidRPr="003F4B35" w:rsidRDefault="0018433B" w:rsidP="0018433B">
      <w:pPr>
        <w:widowControl w:val="0"/>
      </w:pPr>
      <w:r w:rsidRPr="003F4B35">
        <w:rPr>
          <w:vertAlign w:val="superscript"/>
        </w:rPr>
        <w:footnoteRef/>
      </w:r>
      <w:r w:rsidRPr="00B14249">
        <w:t xml:space="preserve"> </w:t>
      </w:r>
      <w:r w:rsidRPr="003F4B35">
        <w:t>Baldwin</w:t>
      </w:r>
      <w:r w:rsidR="006F304D" w:rsidRPr="006F304D">
        <w:t xml:space="preserve">, </w:t>
      </w:r>
      <w:r w:rsidRPr="003F4B35">
        <w:rPr>
          <w:i/>
        </w:rPr>
        <w:t>Ancient Rhetoric</w:t>
      </w:r>
      <w:r w:rsidR="006F304D" w:rsidRPr="006F304D">
        <w:t xml:space="preserve">, </w:t>
      </w:r>
      <w:r w:rsidRPr="003F4B35">
        <w:t xml:space="preserve">34-35. See his similar comment (52-53) on Cicero (“The treatment of </w:t>
      </w:r>
      <w:r w:rsidRPr="003F4B35">
        <w:rPr>
          <w:i/>
        </w:rPr>
        <w:t>dispositio</w:t>
      </w:r>
      <w:r w:rsidRPr="003F4B35">
        <w:t xml:space="preserve"> [in </w:t>
      </w:r>
      <w:r w:rsidRPr="003F4B35">
        <w:rPr>
          <w:i/>
        </w:rPr>
        <w:t>On the Orator</w:t>
      </w:r>
      <w:r w:rsidR="006F304D" w:rsidRPr="006F304D">
        <w:t xml:space="preserve">, </w:t>
      </w:r>
      <w:r w:rsidRPr="003F4B35">
        <w:t>72-85] gives little specific counsel toward the achievement of that sequence in which Cicero himself excelled”) and his comment on Quintilian (77-78</w:t>
      </w:r>
      <w:r w:rsidR="006F304D" w:rsidRPr="006F304D">
        <w:t xml:space="preserve">, </w:t>
      </w:r>
      <w:r w:rsidRPr="003F4B35">
        <w:t xml:space="preserve">referring to </w:t>
      </w:r>
      <w:r w:rsidRPr="003F4B35">
        <w:rPr>
          <w:i/>
        </w:rPr>
        <w:t>On the Education of the Orator</w:t>
      </w:r>
      <w:r w:rsidR="006F304D" w:rsidRPr="006F304D">
        <w:t xml:space="preserve">, </w:t>
      </w:r>
      <w:r w:rsidRPr="003F4B35">
        <w:t xml:space="preserve">7: “that so important an aspect of composition should not be a distinct topic even in Quintilian’s constructive pedagogy leaves the ancient lore of </w:t>
      </w:r>
      <w:r w:rsidRPr="003F4B35">
        <w:rPr>
          <w:i/>
        </w:rPr>
        <w:t>dispositio</w:t>
      </w:r>
      <w:r w:rsidRPr="003F4B35">
        <w:t xml:space="preserve"> too analytical to be sufficient for modern teachers”).</w:t>
      </w:r>
    </w:p>
  </w:footnote>
  <w:footnote w:id="150">
    <w:p w14:paraId="1842C139" w14:textId="2448F0C7" w:rsidR="0018433B" w:rsidRPr="003F4B35" w:rsidRDefault="0018433B" w:rsidP="0018433B">
      <w:pPr>
        <w:widowControl w:val="0"/>
      </w:pPr>
      <w:r w:rsidRPr="003F4B35">
        <w:rPr>
          <w:vertAlign w:val="superscript"/>
        </w:rPr>
        <w:footnoteRef/>
      </w:r>
      <w:r w:rsidRPr="003F4B35">
        <w:t xml:space="preserve"> Exordium</w:t>
      </w:r>
      <w:r w:rsidR="006F304D" w:rsidRPr="006F304D">
        <w:t xml:space="preserve">, </w:t>
      </w:r>
      <w:r w:rsidRPr="003F4B35">
        <w:t>narration</w:t>
      </w:r>
      <w:r w:rsidR="006F304D" w:rsidRPr="006F304D">
        <w:t xml:space="preserve">, </w:t>
      </w:r>
      <w:r w:rsidRPr="003F4B35">
        <w:t>partition</w:t>
      </w:r>
      <w:r w:rsidR="006F304D" w:rsidRPr="006F304D">
        <w:t xml:space="preserve">, </w:t>
      </w:r>
      <w:r w:rsidRPr="003F4B35">
        <w:t>confirmation</w:t>
      </w:r>
      <w:r w:rsidR="006F304D" w:rsidRPr="006F304D">
        <w:t xml:space="preserve">, </w:t>
      </w:r>
      <w:r w:rsidRPr="003F4B35">
        <w:t>rebuttal</w:t>
      </w:r>
      <w:r w:rsidR="006F304D" w:rsidRPr="006F304D">
        <w:t xml:space="preserve">, </w:t>
      </w:r>
      <w:r w:rsidRPr="003F4B35">
        <w:t>and peroration. Cassiodorus: ibid.</w:t>
      </w:r>
      <w:r w:rsidR="006F304D" w:rsidRPr="006F304D">
        <w:t xml:space="preserve">, </w:t>
      </w:r>
      <w:r w:rsidRPr="003F4B35">
        <w:t>87 n. 33. Boethius: “Overview,” in Miller</w:t>
      </w:r>
      <w:r w:rsidR="006F304D" w:rsidRPr="006F304D">
        <w:t xml:space="preserve">, </w:t>
      </w:r>
      <w:r w:rsidRPr="003F4B35">
        <w:rPr>
          <w:i/>
        </w:rPr>
        <w:t>Readings</w:t>
      </w:r>
      <w:r w:rsidR="006F304D" w:rsidRPr="006F304D">
        <w:t xml:space="preserve">, </w:t>
      </w:r>
      <w:r w:rsidRPr="003F4B35">
        <w:t>72.</w:t>
      </w:r>
    </w:p>
  </w:footnote>
  <w:footnote w:id="151">
    <w:p w14:paraId="53FB6479" w14:textId="79380A55" w:rsidR="0018433B" w:rsidRPr="003F4B35" w:rsidRDefault="0018433B" w:rsidP="0018433B">
      <w:pPr>
        <w:widowControl w:val="0"/>
      </w:pPr>
      <w:r w:rsidRPr="003F4B35">
        <w:rPr>
          <w:vertAlign w:val="superscript"/>
        </w:rPr>
        <w:footnoteRef/>
      </w:r>
      <w:r w:rsidRPr="003F4B35">
        <w:t xml:space="preserve"> Isidore of Seville</w:t>
      </w:r>
      <w:r w:rsidR="006F304D" w:rsidRPr="006F304D">
        <w:t xml:space="preserve">, </w:t>
      </w:r>
      <w:r w:rsidRPr="003F4B35">
        <w:t>“</w:t>
      </w:r>
      <w:r w:rsidRPr="003F4B35">
        <w:rPr>
          <w:i/>
        </w:rPr>
        <w:t>The Etymologies</w:t>
      </w:r>
      <w:r w:rsidR="006F304D" w:rsidRPr="006F304D">
        <w:t xml:space="preserve">, </w:t>
      </w:r>
      <w:r w:rsidRPr="003F4B35">
        <w:t>II. 1-15: ‘Concerning Rhetoric,’” in Miller</w:t>
      </w:r>
      <w:r w:rsidR="006F304D" w:rsidRPr="006F304D">
        <w:t xml:space="preserve">, </w:t>
      </w:r>
      <w:r w:rsidRPr="003F4B35">
        <w:rPr>
          <w:i/>
        </w:rPr>
        <w:t>Readings</w:t>
      </w:r>
      <w:r w:rsidR="006F304D" w:rsidRPr="006F304D">
        <w:t xml:space="preserve">, </w:t>
      </w:r>
      <w:r w:rsidRPr="003F4B35">
        <w:t>87.</w:t>
      </w:r>
    </w:p>
  </w:footnote>
  <w:footnote w:id="152">
    <w:p w14:paraId="6E4A5BB5" w14:textId="670E5F71" w:rsidR="0018433B" w:rsidRPr="003F4B35" w:rsidRDefault="0018433B" w:rsidP="0018433B">
      <w:pPr>
        <w:widowControl w:val="0"/>
      </w:pPr>
      <w:r w:rsidRPr="003F4B35">
        <w:rPr>
          <w:vertAlign w:val="superscript"/>
        </w:rPr>
        <w:footnoteRef/>
      </w:r>
      <w:r w:rsidRPr="003F4B35">
        <w:t xml:space="preserve"> In his </w:t>
      </w:r>
      <w:r w:rsidRPr="003F4B35">
        <w:rPr>
          <w:i/>
        </w:rPr>
        <w:t>Poetria nova</w:t>
      </w:r>
      <w:r w:rsidRPr="003F4B35">
        <w:t>; see Miller</w:t>
      </w:r>
      <w:r w:rsidR="006F304D" w:rsidRPr="006F304D">
        <w:t xml:space="preserve">, </w:t>
      </w:r>
      <w:r w:rsidRPr="003F4B35">
        <w:rPr>
          <w:i/>
        </w:rPr>
        <w:t>Readings</w:t>
      </w:r>
      <w:r w:rsidR="006F304D" w:rsidRPr="006F304D">
        <w:t xml:space="preserve">, </w:t>
      </w:r>
      <w:r w:rsidRPr="003F4B35">
        <w:t>244.</w:t>
      </w:r>
    </w:p>
  </w:footnote>
  <w:footnote w:id="153">
    <w:p w14:paraId="35AD2238" w14:textId="313E65BA" w:rsidR="0018433B" w:rsidRPr="003F4B35" w:rsidRDefault="0018433B" w:rsidP="0018433B">
      <w:pPr>
        <w:widowControl w:val="0"/>
      </w:pPr>
      <w:r w:rsidRPr="003F4B35">
        <w:rPr>
          <w:vertAlign w:val="superscript"/>
        </w:rPr>
        <w:footnoteRef/>
      </w:r>
      <w:r w:rsidRPr="003F4B35">
        <w:t xml:space="preserve"> See Miller</w:t>
      </w:r>
      <w:r w:rsidR="006F304D" w:rsidRPr="006F304D">
        <w:t xml:space="preserve">, </w:t>
      </w:r>
      <w:r w:rsidRPr="003F4B35">
        <w:rPr>
          <w:i/>
        </w:rPr>
        <w:t>Readings</w:t>
      </w:r>
      <w:r w:rsidR="006F304D" w:rsidRPr="006F304D">
        <w:t xml:space="preserve">, </w:t>
      </w:r>
      <w:r w:rsidRPr="003F4B35">
        <w:t>197: “the art of letter writing became the outstanding beneficiary of classical rhetorical theories during the later Middle Ages and early Renaissance.”</w:t>
      </w:r>
    </w:p>
  </w:footnote>
  <w:footnote w:id="154">
    <w:p w14:paraId="4E0694BC" w14:textId="55F0C277" w:rsidR="0018433B" w:rsidRPr="003F4B35" w:rsidRDefault="0018433B" w:rsidP="0018433B">
      <w:pPr>
        <w:widowControl w:val="0"/>
      </w:pPr>
      <w:r w:rsidRPr="003F4B35">
        <w:rPr>
          <w:vertAlign w:val="superscript"/>
        </w:rPr>
        <w:footnoteRef/>
      </w:r>
      <w:r w:rsidRPr="003F4B35">
        <w:t xml:space="preserve"> Thomas of Todi</w:t>
      </w:r>
      <w:r w:rsidR="006F304D" w:rsidRPr="006F304D">
        <w:t xml:space="preserve">, </w:t>
      </w:r>
      <w:r w:rsidRPr="003F4B35">
        <w:t>“The Art of Giving Sermons and of Preparing Conferences,” in Miller</w:t>
      </w:r>
      <w:r w:rsidR="006F304D" w:rsidRPr="006F304D">
        <w:t xml:space="preserve">, </w:t>
      </w:r>
      <w:r w:rsidRPr="003F4B35">
        <w:rPr>
          <w:i/>
        </w:rPr>
        <w:t>Readings</w:t>
      </w:r>
      <w:r w:rsidR="006F304D" w:rsidRPr="006F304D">
        <w:t xml:space="preserve">, </w:t>
      </w:r>
      <w:r w:rsidRPr="003F4B35">
        <w:t>275.</w:t>
      </w:r>
    </w:p>
  </w:footnote>
  <w:footnote w:id="155">
    <w:p w14:paraId="6D84DAB1" w14:textId="7C62B2D6" w:rsidR="0018433B" w:rsidRDefault="0018433B" w:rsidP="0018433B">
      <w:pPr>
        <w:widowControl w:val="0"/>
      </w:pPr>
      <w:r w:rsidRPr="003F4B35">
        <w:rPr>
          <w:vertAlign w:val="superscript"/>
        </w:rPr>
        <w:footnoteRef/>
      </w:r>
      <w:r w:rsidRPr="003F4B35">
        <w:t xml:space="preserve"> Young and Becker</w:t>
      </w:r>
      <w:r w:rsidR="006F304D" w:rsidRPr="006F304D">
        <w:t xml:space="preserve">, </w:t>
      </w:r>
      <w:r w:rsidRPr="003F4B35">
        <w:t>“Modern Theory,” 82. See also p. 95:</w:t>
      </w:r>
    </w:p>
    <w:p w14:paraId="1CC6B5CF" w14:textId="77777777" w:rsidR="0018433B" w:rsidRDefault="0018433B" w:rsidP="0018433B">
      <w:pPr>
        <w:widowControl w:val="0"/>
      </w:pPr>
    </w:p>
    <w:p w14:paraId="0E398345" w14:textId="275F1D36" w:rsidR="0018433B" w:rsidRDefault="0018433B" w:rsidP="0018433B">
      <w:pPr>
        <w:widowControl w:val="0"/>
        <w:ind w:left="720" w:right="720"/>
      </w:pPr>
      <w:r w:rsidRPr="003F4B35">
        <w:t>“Because it seeks identification [of the readers and the writer] rather than persuasion</w:t>
      </w:r>
      <w:r w:rsidR="006F304D" w:rsidRPr="006F304D">
        <w:t xml:space="preserve">, </w:t>
      </w:r>
      <w:r w:rsidRPr="003F4B35">
        <w:t>and because this assumption often leads the writer to modify his own position</w:t>
      </w:r>
      <w:r w:rsidR="006F304D" w:rsidRPr="006F304D">
        <w:t xml:space="preserve">, </w:t>
      </w:r>
      <w:r w:rsidRPr="003F4B35">
        <w:t>modern rhetoric—still in the process of development—is characterized by Kenneth Burke and others as ‘discussion rhetoric.</w:t>
      </w:r>
      <w:r>
        <w:t>’</w:t>
      </w:r>
    </w:p>
    <w:p w14:paraId="4F6DA2F7" w14:textId="77777777" w:rsidR="0018433B" w:rsidRDefault="0018433B" w:rsidP="0018433B">
      <w:pPr>
        <w:widowControl w:val="0"/>
      </w:pPr>
    </w:p>
    <w:p w14:paraId="3C11C0B6" w14:textId="753E2B7F" w:rsidR="0018433B" w:rsidRPr="003F4B35" w:rsidRDefault="0018433B" w:rsidP="0018433B">
      <w:pPr>
        <w:widowControl w:val="0"/>
      </w:pPr>
      <w:r w:rsidRPr="003F4B35">
        <w:t>Booth (“Revival,” 7) has also felt the change within argumentation: rhetoric today is less a speaker persuading an audience than “acts of mutual persuasion</w:t>
      </w:r>
      <w:r w:rsidR="006F304D" w:rsidRPr="006F304D">
        <w:t xml:space="preserve">, </w:t>
      </w:r>
      <w:r w:rsidRPr="003F4B35">
        <w:t>that is</w:t>
      </w:r>
      <w:r w:rsidR="006F304D" w:rsidRPr="006F304D">
        <w:t xml:space="preserve">, </w:t>
      </w:r>
      <w:r w:rsidRPr="003F4B35">
        <w:t xml:space="preserve">of mutual inquiry </w:t>
      </w:r>
      <w:r w:rsidRPr="00E924C6">
        <w:t>. . .</w:t>
      </w:r>
      <w:r w:rsidRPr="003F4B35">
        <w:t>”</w:t>
      </w:r>
    </w:p>
  </w:footnote>
  <w:footnote w:id="156">
    <w:p w14:paraId="101ADDF0" w14:textId="1DC125BD" w:rsidR="0018433B" w:rsidRDefault="0018433B" w:rsidP="0018433B">
      <w:pPr>
        <w:widowControl w:val="0"/>
      </w:pPr>
      <w:r w:rsidRPr="003F4B35">
        <w:rPr>
          <w:vertAlign w:val="superscript"/>
        </w:rPr>
        <w:footnoteRef/>
      </w:r>
      <w:r w:rsidRPr="003F4B35">
        <w:t xml:space="preserve"> Young and Becker</w:t>
      </w:r>
      <w:r w:rsidR="006F304D" w:rsidRPr="006F304D">
        <w:t xml:space="preserve">, </w:t>
      </w:r>
      <w:r w:rsidRPr="003F4B35">
        <w:t>“Modern Theory,” 83. See also Martin Steinmann</w:t>
      </w:r>
      <w:r w:rsidR="006F304D" w:rsidRPr="006F304D">
        <w:t xml:space="preserve">, </w:t>
      </w:r>
      <w:r w:rsidRPr="003F4B35">
        <w:t>Jr.</w:t>
      </w:r>
      <w:r w:rsidR="006F304D" w:rsidRPr="006F304D">
        <w:t xml:space="preserve">, </w:t>
      </w:r>
      <w:r w:rsidRPr="003F4B35">
        <w:t>“Rhetorical Research,” in Steinmann</w:t>
      </w:r>
      <w:r w:rsidR="006F304D" w:rsidRPr="006F304D">
        <w:t xml:space="preserve">, </w:t>
      </w:r>
      <w:r w:rsidRPr="003F4B35">
        <w:rPr>
          <w:i/>
        </w:rPr>
        <w:t>New Rhetorics</w:t>
      </w:r>
      <w:r w:rsidR="006F304D" w:rsidRPr="006F304D">
        <w:t xml:space="preserve">, </w:t>
      </w:r>
      <w:r w:rsidRPr="003F4B35">
        <w:t>23: “successful persuasion is only one sort of rhetorical effectiveness; successful communication of knowledge</w:t>
      </w:r>
      <w:r w:rsidR="006F304D" w:rsidRPr="006F304D">
        <w:t xml:space="preserve">, </w:t>
      </w:r>
      <w:r w:rsidRPr="003F4B35">
        <w:t>for example</w:t>
      </w:r>
      <w:r w:rsidR="006F304D" w:rsidRPr="006F304D">
        <w:t xml:space="preserve">, </w:t>
      </w:r>
      <w:r w:rsidRPr="003F4B35">
        <w:t>is another sort</w:t>
      </w:r>
      <w:r w:rsidR="006F304D" w:rsidRPr="006F304D">
        <w:t xml:space="preserve">, </w:t>
      </w:r>
      <w:r w:rsidRPr="003F4B35">
        <w:t>perhaps the most important.”</w:t>
      </w:r>
      <w:r>
        <w:t xml:space="preserve"> </w:t>
      </w:r>
      <w:r w:rsidRPr="003F4B35">
        <w:t>D’Angelo’s observations are similar (</w:t>
      </w:r>
      <w:r w:rsidRPr="003F4B35">
        <w:rPr>
          <w:i/>
        </w:rPr>
        <w:t>Conceptual Theory</w:t>
      </w:r>
      <w:r w:rsidR="006F304D" w:rsidRPr="006F304D">
        <w:t xml:space="preserve">, </w:t>
      </w:r>
      <w:r w:rsidRPr="003F4B35">
        <w:t>56):</w:t>
      </w:r>
    </w:p>
    <w:p w14:paraId="71C0EF2A" w14:textId="77777777" w:rsidR="0018433B" w:rsidRDefault="0018433B" w:rsidP="0018433B">
      <w:pPr>
        <w:widowControl w:val="0"/>
      </w:pPr>
    </w:p>
    <w:p w14:paraId="11A41A31" w14:textId="2A1094BE" w:rsidR="0018433B" w:rsidRDefault="0018433B" w:rsidP="0018433B">
      <w:pPr>
        <w:widowControl w:val="0"/>
        <w:ind w:left="720" w:right="720"/>
      </w:pPr>
      <w:r w:rsidRPr="003F4B35">
        <w:t>the classical pattern of arrangement is considered by many critics to be too mechanical</w:t>
      </w:r>
      <w:r w:rsidR="006F304D" w:rsidRPr="006F304D">
        <w:t xml:space="preserve">, </w:t>
      </w:r>
      <w:r w:rsidRPr="003F4B35">
        <w:t>static</w:t>
      </w:r>
      <w:r w:rsidR="006F304D" w:rsidRPr="006F304D">
        <w:t xml:space="preserve">, </w:t>
      </w:r>
      <w:r w:rsidRPr="003F4B35">
        <w:t xml:space="preserve">and arbitrary to be of much value today. A more serious charge is that the classical pattern of arrangement is severely limited because it applies primarily to the organization of argumentative discourse </w:t>
      </w:r>
      <w:r w:rsidRPr="00E924C6">
        <w:t>. . .</w:t>
      </w:r>
    </w:p>
    <w:p w14:paraId="5F8D8E0F" w14:textId="77777777" w:rsidR="0018433B" w:rsidRPr="003F4B35" w:rsidRDefault="0018433B" w:rsidP="0018433B">
      <w:pPr>
        <w:widowControl w:val="0"/>
      </w:pPr>
    </w:p>
  </w:footnote>
  <w:footnote w:id="157">
    <w:p w14:paraId="548FC17F" w14:textId="432AE62F" w:rsidR="0018433B" w:rsidRPr="003F4B35" w:rsidRDefault="0018433B" w:rsidP="0018433B">
      <w:pPr>
        <w:widowControl w:val="0"/>
      </w:pPr>
      <w:r w:rsidRPr="003F4B35">
        <w:rPr>
          <w:vertAlign w:val="superscript"/>
        </w:rPr>
        <w:footnoteRef/>
      </w:r>
      <w:r>
        <w:t xml:space="preserve"> Ibid.</w:t>
      </w:r>
      <w:r w:rsidR="006F304D" w:rsidRPr="006F304D">
        <w:t xml:space="preserve">, </w:t>
      </w:r>
      <w:r>
        <w:t>83. Modern rhetoric demonstrates its greater flexibility by referring</w:t>
      </w:r>
      <w:r w:rsidR="006F304D" w:rsidRPr="006F304D">
        <w:t xml:space="preserve">, </w:t>
      </w:r>
      <w:r>
        <w:t>ordinarily</w:t>
      </w:r>
      <w:r w:rsidR="006F304D" w:rsidRPr="006F304D">
        <w:t xml:space="preserve">, </w:t>
      </w:r>
      <w:r>
        <w:t>to only three external sections: introduction</w:t>
      </w:r>
      <w:r w:rsidR="006F304D" w:rsidRPr="006F304D">
        <w:t xml:space="preserve">, </w:t>
      </w:r>
      <w:r>
        <w:t>body</w:t>
      </w:r>
      <w:r w:rsidR="006F304D" w:rsidRPr="006F304D">
        <w:t xml:space="preserve">, </w:t>
      </w:r>
      <w:r>
        <w:t>and conclusion (e.g.</w:t>
      </w:r>
      <w:r w:rsidR="006F304D" w:rsidRPr="006F304D">
        <w:t xml:space="preserve">, </w:t>
      </w:r>
      <w:r>
        <w:t>John F. Genung</w:t>
      </w:r>
      <w:r w:rsidR="006F304D" w:rsidRPr="006F304D">
        <w:t xml:space="preserve">, </w:t>
      </w:r>
      <w:r>
        <w:rPr>
          <w:i/>
        </w:rPr>
        <w:t>Practical Elements of Rhetoric with Illustrative Examples</w:t>
      </w:r>
      <w:r>
        <w:t xml:space="preserve"> [Boston: Ginn</w:t>
      </w:r>
      <w:r w:rsidR="006F304D" w:rsidRPr="006F304D">
        <w:t xml:space="preserve">, </w:t>
      </w:r>
      <w:r>
        <w:t>1914] 266: “The three fundamental elements of the plan . . . are the introduction</w:t>
      </w:r>
      <w:r w:rsidR="006F304D" w:rsidRPr="006F304D">
        <w:t xml:space="preserve">, </w:t>
      </w:r>
      <w:r>
        <w:t>the development</w:t>
      </w:r>
      <w:r w:rsidR="006F304D" w:rsidRPr="006F304D">
        <w:t xml:space="preserve">, </w:t>
      </w:r>
      <w:r>
        <w:t>and the conclusion”).</w:t>
      </w:r>
    </w:p>
  </w:footnote>
  <w:footnote w:id="158">
    <w:p w14:paraId="29FEFC21" w14:textId="0D944545" w:rsidR="0018433B" w:rsidRPr="00AB4400" w:rsidRDefault="0018433B" w:rsidP="0018433B">
      <w:pPr>
        <w:widowControl w:val="0"/>
      </w:pPr>
      <w:r w:rsidRPr="00AB4400">
        <w:rPr>
          <w:vertAlign w:val="superscript"/>
        </w:rPr>
        <w:footnoteRef/>
      </w:r>
      <w:r w:rsidRPr="00AB4400">
        <w:t xml:space="preserve"> I apologize for the neologism</w:t>
      </w:r>
      <w:r w:rsidR="006F304D" w:rsidRPr="006F304D">
        <w:t xml:space="preserve">, </w:t>
      </w:r>
      <w:r w:rsidRPr="00AB4400">
        <w:t>but whereas English permits the contrast between “form” and “content,” it does not (unlike French and German) supply an adjective for the latter term. Since I will often refer to content adjectivally</w:t>
      </w:r>
      <w:r w:rsidR="006F304D" w:rsidRPr="006F304D">
        <w:t xml:space="preserve">, </w:t>
      </w:r>
      <w:r w:rsidRPr="00AB4400">
        <w:t>“contentual” seems preferable to constant circumlocution.</w:t>
      </w:r>
    </w:p>
    <w:p w14:paraId="361B5368" w14:textId="4D8FBF9E" w:rsidR="0018433B" w:rsidRPr="00AB4400" w:rsidRDefault="0018433B" w:rsidP="0018433B">
      <w:pPr>
        <w:widowControl w:val="0"/>
      </w:pPr>
      <w:r w:rsidRPr="00AB4400">
        <w:t>The distinction between formal and contentual is not hard and fast; there is some truth to the New Critics’ claim that form is content and content is form. (See Brooks and Warren</w:t>
      </w:r>
      <w:r w:rsidR="006F304D" w:rsidRPr="006F304D">
        <w:t xml:space="preserve">, </w:t>
      </w:r>
      <w:r w:rsidRPr="00AB4400">
        <w:rPr>
          <w:i/>
        </w:rPr>
        <w:t>Understanding Poetry</w:t>
      </w:r>
      <w:r w:rsidR="006F304D" w:rsidRPr="006F304D">
        <w:t xml:space="preserve">, </w:t>
      </w:r>
      <w:r w:rsidRPr="00AB4400">
        <w:t>chaps. 1-3</w:t>
      </w:r>
      <w:r w:rsidR="006F304D" w:rsidRPr="006F304D">
        <w:t xml:space="preserve">, </w:t>
      </w:r>
      <w:r w:rsidRPr="00AB4400">
        <w:t>for a discussion of the relation between form and content in a literary work.) Moreover</w:t>
      </w:r>
      <w:r w:rsidR="006F304D" w:rsidRPr="006F304D">
        <w:t xml:space="preserve">, </w:t>
      </w:r>
      <w:r w:rsidRPr="00AB4400">
        <w:t>a basis for determining structure can be sometimes formal and sometimes contentual; a couplet in Proverbs can be parallel in form (synthetic parallelism) or in content (synonymous or antithetical parallelism). (For these terms</w:t>
      </w:r>
      <w:r w:rsidR="006F304D" w:rsidRPr="006F304D">
        <w:t xml:space="preserve">, </w:t>
      </w:r>
      <w:r w:rsidRPr="00AB4400">
        <w:t>see below.) Nevertheless</w:t>
      </w:r>
      <w:r w:rsidR="006F304D" w:rsidRPr="006F304D">
        <w:t xml:space="preserve">, </w:t>
      </w:r>
      <w:r w:rsidRPr="00AB4400">
        <w:t>the distinction is useful if the two concepts are seen as a polarity</w:t>
      </w:r>
      <w:r w:rsidR="006F304D" w:rsidRPr="006F304D">
        <w:t xml:space="preserve">, </w:t>
      </w:r>
      <w:r w:rsidRPr="00AB4400">
        <w:t>with a criterion for determining structure generally falling nearer one pole or the other.</w:t>
      </w:r>
    </w:p>
  </w:footnote>
  <w:footnote w:id="159">
    <w:p w14:paraId="515B9951" w14:textId="534727A0" w:rsidR="0018433B" w:rsidRPr="00AB4400" w:rsidRDefault="0018433B" w:rsidP="0018433B">
      <w:pPr>
        <w:widowControl w:val="0"/>
      </w:pPr>
      <w:r w:rsidRPr="00AB4400">
        <w:rPr>
          <w:vertAlign w:val="superscript"/>
        </w:rPr>
        <w:footnoteRef/>
      </w:r>
      <w:r w:rsidRPr="00AB4400">
        <w:t xml:space="preserve"> The earliest instance of the word “architectonic” I have found in relation to scripture is David Heinrich Müller</w:t>
      </w:r>
      <w:r w:rsidR="006F304D" w:rsidRPr="006F304D">
        <w:t xml:space="preserve">, </w:t>
      </w:r>
      <w:r w:rsidRPr="00AB4400">
        <w:rPr>
          <w:i/>
        </w:rPr>
        <w:t>Die Bergpredigt im Lichte der Strophentheorie</w:t>
      </w:r>
      <w:r w:rsidRPr="00AB4400">
        <w:t xml:space="preserve"> (Bibel Studien 5; Vienna: Alfred Hölder</w:t>
      </w:r>
      <w:r w:rsidR="006F304D" w:rsidRPr="006F304D">
        <w:t xml:space="preserve">, </w:t>
      </w:r>
      <w:r w:rsidRPr="00AB4400">
        <w:t>1908) 7</w:t>
      </w:r>
      <w:r w:rsidR="006F304D" w:rsidRPr="006F304D">
        <w:t xml:space="preserve">, </w:t>
      </w:r>
      <w:r w:rsidRPr="00AB4400">
        <w:t>who says concerning the three paragraphs on hidden piety in the sermon on the mount (Matt 6:1-6</w:t>
      </w:r>
      <w:r w:rsidR="006F304D" w:rsidRPr="006F304D">
        <w:t xml:space="preserve">, </w:t>
      </w:r>
      <w:r w:rsidRPr="00AB4400">
        <w:t>16-18): “It is obvious that this sort of artful structure in the sermon on the mount does not happen too frequently; but the existence of such instances must lead to the recognition of the structuring of other speeches where the architecture is less clear.” See also Talbert</w:t>
      </w:r>
      <w:r w:rsidR="006F304D" w:rsidRPr="006F304D">
        <w:t xml:space="preserve">, </w:t>
      </w:r>
      <w:r w:rsidRPr="00AB4400">
        <w:rPr>
          <w:i/>
        </w:rPr>
        <w:t>Literary Patterns</w:t>
      </w:r>
      <w:r w:rsidR="006F304D" w:rsidRPr="006F304D">
        <w:t xml:space="preserve">, </w:t>
      </w:r>
      <w:r w:rsidRPr="00AB4400">
        <w:t>12-13 n. 41: “In recent years critics have turned to arts outside literature to supplement the vocabulary for the description of prose literature.</w:t>
      </w:r>
      <w:r>
        <w:t xml:space="preserve"> </w:t>
      </w:r>
      <w:r w:rsidRPr="00AB4400">
        <w:t>From painting has come the term ‘pattern,’ from music the term ‘rhythm,’ and from architectonics the term ‘architecture.’” Talbert himself chooses the label “architecture analysis” for the method he employs (ibid.</w:t>
      </w:r>
      <w:r w:rsidR="006F304D" w:rsidRPr="006F304D">
        <w:t xml:space="preserve">, </w:t>
      </w:r>
      <w:r w:rsidRPr="00AB4400">
        <w:t>5</w:t>
      </w:r>
      <w:r w:rsidR="006F304D" w:rsidRPr="006F304D">
        <w:t xml:space="preserve">, </w:t>
      </w:r>
      <w:r w:rsidRPr="00AB4400">
        <w:t>7</w:t>
      </w:r>
      <w:r w:rsidR="006F304D" w:rsidRPr="006F304D">
        <w:t xml:space="preserve">, </w:t>
      </w:r>
      <w:r w:rsidRPr="00AB4400">
        <w:t>8).</w:t>
      </w:r>
      <w:r>
        <w:t xml:space="preserve"> </w:t>
      </w:r>
      <w:r w:rsidRPr="00AB4400">
        <w:t>The use of an architectural term to describe literary structures as if they were spatial seems to be internationally accepted; see Meynet</w:t>
      </w:r>
      <w:r w:rsidR="006F304D" w:rsidRPr="006F304D">
        <w:t xml:space="preserve">, </w:t>
      </w:r>
      <w:r w:rsidRPr="00AB4400">
        <w:rPr>
          <w:i/>
        </w:rPr>
        <w:t>Quelle</w:t>
      </w:r>
      <w:r w:rsidR="006F304D" w:rsidRPr="006F304D">
        <w:t xml:space="preserve">, </w:t>
      </w:r>
      <w:r w:rsidRPr="00AB4400">
        <w:t>1. 128 (“les architectures”) and Robert Morgenthaler</w:t>
      </w:r>
      <w:r w:rsidR="006F304D" w:rsidRPr="006F304D">
        <w:t xml:space="preserve">, </w:t>
      </w:r>
      <w:r w:rsidRPr="00AB4400">
        <w:rPr>
          <w:i/>
        </w:rPr>
        <w:t>Die lukanische Geschichtsschreibung als Zeugnis</w:t>
      </w:r>
      <w:r w:rsidRPr="00AB4400">
        <w:t xml:space="preserve">: </w:t>
      </w:r>
      <w:r w:rsidRPr="00AB4400">
        <w:rPr>
          <w:i/>
        </w:rPr>
        <w:t>Gestalt und Gehalt der Kunst des Lukas</w:t>
      </w:r>
      <w:r w:rsidRPr="00AB4400">
        <w:t xml:space="preserve"> (2 vols.; Zurich: Zwingli</w:t>
      </w:r>
      <w:r w:rsidR="006F304D" w:rsidRPr="006F304D">
        <w:t xml:space="preserve">, </w:t>
      </w:r>
      <w:r w:rsidRPr="00AB4400">
        <w:t>1949)</w:t>
      </w:r>
      <w:r w:rsidR="006F304D" w:rsidRPr="006F304D">
        <w:t xml:space="preserve">, </w:t>
      </w:r>
      <w:r w:rsidRPr="00AB4400">
        <w:t>1. 37</w:t>
      </w:r>
      <w:r w:rsidR="006F304D" w:rsidRPr="006F304D">
        <w:t xml:space="preserve">, </w:t>
      </w:r>
      <w:r w:rsidRPr="00AB4400">
        <w:t>81</w:t>
      </w:r>
      <w:r w:rsidR="006F304D" w:rsidRPr="006F304D">
        <w:t xml:space="preserve">, </w:t>
      </w:r>
      <w:r w:rsidRPr="00AB4400">
        <w:t>84</w:t>
      </w:r>
      <w:r w:rsidR="006F304D" w:rsidRPr="006F304D">
        <w:t xml:space="preserve">, </w:t>
      </w:r>
      <w:r w:rsidRPr="00AB4400">
        <w:t>95 (“architektonisch,” “Architektonik”).</w:t>
      </w:r>
      <w:r>
        <w:t xml:space="preserve"> </w:t>
      </w:r>
      <w:r w:rsidRPr="00AB4400">
        <w:t>The architectural metaphor occurs also in discussions of music</w:t>
      </w:r>
      <w:r w:rsidR="006F304D" w:rsidRPr="006F304D">
        <w:t xml:space="preserve">, </w:t>
      </w:r>
      <w:r w:rsidRPr="00AB4400">
        <w:t>as if musical compositions</w:t>
      </w:r>
      <w:r w:rsidR="006F304D" w:rsidRPr="006F304D">
        <w:t xml:space="preserve">, </w:t>
      </w:r>
      <w:r w:rsidRPr="00AB4400">
        <w:t>too</w:t>
      </w:r>
      <w:r w:rsidR="006F304D" w:rsidRPr="006F304D">
        <w:t xml:space="preserve">, </w:t>
      </w:r>
      <w:r w:rsidRPr="00AB4400">
        <w:t>were spatial forms; see</w:t>
      </w:r>
      <w:r w:rsidR="006F304D" w:rsidRPr="006F304D">
        <w:t xml:space="preserve">, </w:t>
      </w:r>
      <w:r w:rsidRPr="00AB4400">
        <w:t>for example</w:t>
      </w:r>
      <w:r w:rsidR="006F304D" w:rsidRPr="006F304D">
        <w:t xml:space="preserve">, </w:t>
      </w:r>
      <w:r w:rsidRPr="00AB4400">
        <w:t>Carlos Chávez’ “rough architectural diagram” of the sonata form (</w:t>
      </w:r>
      <w:r w:rsidRPr="00AB4400">
        <w:rPr>
          <w:i/>
        </w:rPr>
        <w:t>Musical Thought</w:t>
      </w:r>
      <w:r w:rsidRPr="00AB4400">
        <w:t xml:space="preserve"> [</w:t>
      </w:r>
      <w:r w:rsidR="00E366BA" w:rsidRPr="00E366BA">
        <w:rPr>
          <w:iCs/>
        </w:rPr>
        <w:t xml:space="preserve">Cambridge MA: Harvard UP, </w:t>
      </w:r>
      <w:r w:rsidRPr="00AB4400">
        <w:t>1961] 40).</w:t>
      </w:r>
    </w:p>
    <w:p w14:paraId="42159EC7" w14:textId="6494BF22" w:rsidR="0018433B" w:rsidRPr="00AB4400" w:rsidRDefault="0018433B" w:rsidP="0018433B">
      <w:pPr>
        <w:widowControl w:val="0"/>
      </w:pPr>
      <w:r w:rsidRPr="00AB4400">
        <w:t>Instances of “architectonic” and similar words from the visual arts seem especially frequent in discussions of biblical literature. See</w:t>
      </w:r>
      <w:r w:rsidR="006F304D" w:rsidRPr="006F304D">
        <w:t xml:space="preserve">, </w:t>
      </w:r>
      <w:r w:rsidRPr="00AB4400">
        <w:t>for example</w:t>
      </w:r>
      <w:r w:rsidR="006F304D" w:rsidRPr="006F304D">
        <w:t xml:space="preserve">, </w:t>
      </w:r>
      <w:r w:rsidR="00E366BA" w:rsidRPr="00E366BA">
        <w:rPr>
          <w:iCs/>
        </w:rPr>
        <w:t>W.D.</w:t>
      </w:r>
      <w:r w:rsidRPr="00AB4400">
        <w:t xml:space="preserve"> Davies</w:t>
      </w:r>
      <w:r w:rsidR="006F304D" w:rsidRPr="006F304D">
        <w:t xml:space="preserve">, </w:t>
      </w:r>
      <w:r w:rsidRPr="00AB4400">
        <w:rPr>
          <w:i/>
        </w:rPr>
        <w:t>The Setting of the Sermon on the Mount</w:t>
      </w:r>
      <w:r w:rsidRPr="00AB4400">
        <w:t xml:space="preserve"> (</w:t>
      </w:r>
      <w:r w:rsidR="00E366BA" w:rsidRPr="00E366BA">
        <w:rPr>
          <w:iCs/>
        </w:rPr>
        <w:t>Cambridge: CUP</w:t>
      </w:r>
      <w:r w:rsidR="006F304D" w:rsidRPr="006F304D">
        <w:t xml:space="preserve">, </w:t>
      </w:r>
      <w:r w:rsidRPr="00AB4400">
        <w:t>1964) 14</w:t>
      </w:r>
      <w:r w:rsidR="006F304D" w:rsidRPr="006F304D">
        <w:t xml:space="preserve">, </w:t>
      </w:r>
      <w:r w:rsidRPr="00AB4400">
        <w:t>who says concerning the structure of Matthew’s gospel that “It reveals not only a meticulous concern</w:t>
      </w:r>
      <w:r w:rsidR="006F304D" w:rsidRPr="006F304D">
        <w:t xml:space="preserve">, </w:t>
      </w:r>
      <w:r w:rsidRPr="00AB4400">
        <w:t>numerically and otherwise</w:t>
      </w:r>
      <w:r w:rsidR="006F304D" w:rsidRPr="006F304D">
        <w:t xml:space="preserve">, </w:t>
      </w:r>
      <w:r w:rsidRPr="00AB4400">
        <w:t>in the arrangements of its details</w:t>
      </w:r>
      <w:r w:rsidR="006F304D" w:rsidRPr="006F304D">
        <w:t xml:space="preserve">, </w:t>
      </w:r>
      <w:r w:rsidRPr="00AB4400">
        <w:t>but also an architectonic grandeur in its totality”; Raymond E. Brown</w:t>
      </w:r>
      <w:r w:rsidR="006F304D" w:rsidRPr="006F304D">
        <w:t xml:space="preserve">, </w:t>
      </w:r>
      <w:r w:rsidRPr="00AB4400">
        <w:rPr>
          <w:i/>
        </w:rPr>
        <w:t>A Coming Christ in Advent</w:t>
      </w:r>
      <w:r w:rsidRPr="00AB4400">
        <w:t xml:space="preserve">: </w:t>
      </w:r>
      <w:r w:rsidRPr="00AB4400">
        <w:rPr>
          <w:i/>
        </w:rPr>
        <w:t>Essays on the Gospel Narratives Preparing for the Birth of Jesus</w:t>
      </w:r>
      <w:r w:rsidR="006F304D" w:rsidRPr="006F304D">
        <w:t xml:space="preserve">, </w:t>
      </w:r>
      <w:r w:rsidRPr="00AB4400">
        <w:rPr>
          <w:i/>
        </w:rPr>
        <w:t>Matthew 1 and Luke 1</w:t>
      </w:r>
      <w:r w:rsidRPr="00AB4400">
        <w:t xml:space="preserve"> 41: “His [Luke’s] architectonic perception of God’s plan divides all history into three parts: the time of the Law and the Prophets</w:t>
      </w:r>
      <w:r w:rsidR="006F304D" w:rsidRPr="006F304D">
        <w:t xml:space="preserve">, </w:t>
      </w:r>
      <w:r w:rsidRPr="00AB4400">
        <w:t>the time of Jesus</w:t>
      </w:r>
      <w:r w:rsidR="006F304D" w:rsidRPr="006F304D">
        <w:t xml:space="preserve">, </w:t>
      </w:r>
      <w:r w:rsidRPr="00AB4400">
        <w:t xml:space="preserve">and the time of the church—a triptych [with Jesus as] centerpiece”; and </w:t>
      </w:r>
      <w:r w:rsidRPr="00AB4400">
        <w:rPr>
          <w:i/>
        </w:rPr>
        <w:t>idem</w:t>
      </w:r>
      <w:r w:rsidR="006F304D" w:rsidRPr="006F304D">
        <w:t xml:space="preserve">, </w:t>
      </w:r>
      <w:r w:rsidRPr="00AB4400">
        <w:rPr>
          <w:i/>
        </w:rPr>
        <w:t>An Adult Christ at Christmas</w:t>
      </w:r>
      <w:r w:rsidRPr="00AB4400">
        <w:t xml:space="preserve">: </w:t>
      </w:r>
      <w:r w:rsidRPr="00AB4400">
        <w:rPr>
          <w:i/>
        </w:rPr>
        <w:t>Essays on the Three Biblical Christmas Stories</w:t>
      </w:r>
      <w:r w:rsidR="006F304D" w:rsidRPr="006F304D">
        <w:t xml:space="preserve">, </w:t>
      </w:r>
      <w:r w:rsidRPr="00AB4400">
        <w:rPr>
          <w:i/>
        </w:rPr>
        <w:t>Matthew 2 and Luke 2</w:t>
      </w:r>
      <w:r w:rsidRPr="00AB4400">
        <w:t xml:space="preserve"> (</w:t>
      </w:r>
      <w:r w:rsidR="0029762C" w:rsidRPr="0029762C">
        <w:rPr>
          <w:iCs/>
        </w:rPr>
        <w:t>Collegeville MN</w:t>
      </w:r>
      <w:r w:rsidRPr="00AB4400">
        <w:t xml:space="preserve">: </w:t>
      </w:r>
      <w:r w:rsidR="0029762C" w:rsidRPr="0029762C">
        <w:rPr>
          <w:iCs/>
        </w:rPr>
        <w:t>Liturgical</w:t>
      </w:r>
      <w:r w:rsidR="006F304D" w:rsidRPr="006F304D">
        <w:t xml:space="preserve">, </w:t>
      </w:r>
      <w:r w:rsidRPr="00AB4400">
        <w:t>1978) 38: the finding in the temple is outside the “double diptych arrangement” of Luke 1:5-2:40 (matching annunciations; matching births</w:t>
      </w:r>
      <w:r w:rsidR="006F304D" w:rsidRPr="006F304D">
        <w:t xml:space="preserve">, </w:t>
      </w:r>
      <w:r w:rsidRPr="00AB4400">
        <w:t>circumcisions</w:t>
      </w:r>
      <w:r w:rsidR="006F304D" w:rsidRPr="006F304D">
        <w:t xml:space="preserve">, </w:t>
      </w:r>
      <w:r w:rsidRPr="00AB4400">
        <w:t>and namings).</w:t>
      </w:r>
    </w:p>
  </w:footnote>
  <w:footnote w:id="160">
    <w:p w14:paraId="527916C7" w14:textId="13CFBCE9" w:rsidR="0018433B" w:rsidRPr="00AB4400" w:rsidRDefault="0018433B" w:rsidP="0018433B">
      <w:pPr>
        <w:widowControl w:val="0"/>
      </w:pPr>
      <w:r w:rsidRPr="00AB4400">
        <w:rPr>
          <w:vertAlign w:val="superscript"/>
        </w:rPr>
        <w:footnoteRef/>
      </w:r>
      <w:r w:rsidRPr="00AB4400">
        <w:t xml:space="preserve"> For the classification of the arts into “spatial” and “temporal,” see </w:t>
      </w:r>
      <w:r>
        <w:t>Max Dessoir</w:t>
      </w:r>
      <w:r w:rsidR="006F304D" w:rsidRPr="006F304D">
        <w:t xml:space="preserve">, </w:t>
      </w:r>
      <w:r>
        <w:rPr>
          <w:i/>
        </w:rPr>
        <w:t>Ästhetik und allgemeine Kunstwissenshaft</w:t>
      </w:r>
      <w:r>
        <w:t xml:space="preserve"> (Stuttgart: 1906)</w:t>
      </w:r>
      <w:r w:rsidR="006F304D" w:rsidRPr="006F304D">
        <w:t xml:space="preserve">, </w:t>
      </w:r>
      <w:r>
        <w:t xml:space="preserve">cited in </w:t>
      </w:r>
      <w:r w:rsidRPr="00AB4400">
        <w:t>Lewis Rowell</w:t>
      </w:r>
      <w:r w:rsidR="006F304D" w:rsidRPr="006F304D">
        <w:t xml:space="preserve">, </w:t>
      </w:r>
      <w:r w:rsidRPr="00AB4400">
        <w:rPr>
          <w:i/>
        </w:rPr>
        <w:t>Thinking about Music</w:t>
      </w:r>
      <w:r w:rsidRPr="00AB4400">
        <w:t xml:space="preserve">: </w:t>
      </w:r>
      <w:r w:rsidRPr="00AB4400">
        <w:rPr>
          <w:i/>
        </w:rPr>
        <w:t>An Introduction to the Philosophy of Music</w:t>
      </w:r>
      <w:r w:rsidRPr="00AB4400">
        <w:t xml:space="preserve"> (Amherst</w:t>
      </w:r>
      <w:r w:rsidR="006F304D" w:rsidRPr="006F304D">
        <w:t xml:space="preserve">, </w:t>
      </w:r>
      <w:r w:rsidRPr="00AB4400">
        <w:t>MA: University of Massachusetts</w:t>
      </w:r>
      <w:r w:rsidR="006F304D" w:rsidRPr="006F304D">
        <w:t xml:space="preserve">, </w:t>
      </w:r>
      <w:r w:rsidRPr="00AB4400">
        <w:t>1983) 22. Actually</w:t>
      </w:r>
      <w:r w:rsidR="006F304D" w:rsidRPr="006F304D">
        <w:t xml:space="preserve">, </w:t>
      </w:r>
      <w:r w:rsidRPr="00AB4400">
        <w:t>static arts do have a temporal aspect: one can move around a sculpture</w:t>
      </w:r>
      <w:r w:rsidR="006F304D" w:rsidRPr="006F304D">
        <w:t xml:space="preserve">, </w:t>
      </w:r>
      <w:r w:rsidRPr="00AB4400">
        <w:t>and a viewer notices various details of a painting one after another. Nevertheless</w:t>
      </w:r>
      <w:r w:rsidR="006F304D" w:rsidRPr="006F304D">
        <w:t xml:space="preserve">, </w:t>
      </w:r>
      <w:r w:rsidRPr="00AB4400">
        <w:t>their temporality is minimal</w:t>
      </w:r>
      <w:r w:rsidR="006F304D" w:rsidRPr="006F304D">
        <w:t xml:space="preserve">, </w:t>
      </w:r>
      <w:r w:rsidRPr="00AB4400">
        <w:t>and not of the essence of the medium</w:t>
      </w:r>
      <w:r w:rsidR="006F304D" w:rsidRPr="006F304D">
        <w:t xml:space="preserve">, </w:t>
      </w:r>
      <w:r w:rsidRPr="00AB4400">
        <w:t>when compared to the temporality of a piece of music or literature.</w:t>
      </w:r>
    </w:p>
  </w:footnote>
  <w:footnote w:id="161">
    <w:p w14:paraId="0A6BAC02" w14:textId="651CD218" w:rsidR="0018433B" w:rsidRPr="00AB4400" w:rsidRDefault="0018433B" w:rsidP="0018433B">
      <w:pPr>
        <w:widowControl w:val="0"/>
      </w:pPr>
      <w:r w:rsidRPr="00AB4400">
        <w:rPr>
          <w:vertAlign w:val="superscript"/>
        </w:rPr>
        <w:footnoteRef/>
      </w:r>
      <w:r w:rsidRPr="00AB4400">
        <w:t xml:space="preserve"> From the “Introduction” to Paul Valery’s </w:t>
      </w:r>
      <w:r w:rsidRPr="00AB4400">
        <w:rPr>
          <w:i/>
        </w:rPr>
        <w:t>Art of Poetry</w:t>
      </w:r>
      <w:r w:rsidR="006F304D" w:rsidRPr="006F304D">
        <w:t xml:space="preserve">, </w:t>
      </w:r>
      <w:r w:rsidRPr="00AB4400">
        <w:t>quoted in Kristian Smidt</w:t>
      </w:r>
      <w:r w:rsidR="006F304D" w:rsidRPr="006F304D">
        <w:t xml:space="preserve">, </w:t>
      </w:r>
      <w:r w:rsidRPr="00AB4400">
        <w:rPr>
          <w:i/>
        </w:rPr>
        <w:t>Poetry and Belief in the Work of T</w:t>
      </w:r>
      <w:r w:rsidRPr="00AB4400">
        <w:t xml:space="preserve">. </w:t>
      </w:r>
      <w:r w:rsidRPr="00AB4400">
        <w:rPr>
          <w:i/>
        </w:rPr>
        <w:t>S</w:t>
      </w:r>
      <w:r w:rsidRPr="00AB4400">
        <w:t xml:space="preserve">. </w:t>
      </w:r>
      <w:r w:rsidRPr="00AB4400">
        <w:rPr>
          <w:i/>
        </w:rPr>
        <w:t>Eliot</w:t>
      </w:r>
      <w:r w:rsidRPr="00AB4400">
        <w:t xml:space="preserve"> (New York: Humanities Press</w:t>
      </w:r>
      <w:r w:rsidR="006F304D" w:rsidRPr="006F304D">
        <w:t xml:space="preserve">, </w:t>
      </w:r>
      <w:r w:rsidRPr="00AB4400">
        <w:t>1961) 177.</w:t>
      </w:r>
    </w:p>
  </w:footnote>
  <w:footnote w:id="162">
    <w:p w14:paraId="5FB288CA" w14:textId="44A2D922" w:rsidR="0018433B" w:rsidRPr="00AB4400" w:rsidRDefault="0018433B" w:rsidP="0018433B">
      <w:pPr>
        <w:widowControl w:val="0"/>
      </w:pPr>
      <w:r w:rsidRPr="00AB4400">
        <w:rPr>
          <w:vertAlign w:val="superscript"/>
        </w:rPr>
        <w:footnoteRef/>
      </w:r>
      <w:r w:rsidRPr="00AB4400">
        <w:t xml:space="preserve"> J. G. Davies</w:t>
      </w:r>
      <w:r w:rsidR="006F304D" w:rsidRPr="006F304D">
        <w:t xml:space="preserve">, </w:t>
      </w:r>
      <w:r w:rsidRPr="00AB4400">
        <w:t xml:space="preserve">“The Prefigurement of the Ascension in the Third Gospel,” </w:t>
      </w:r>
      <w:r w:rsidRPr="00AB4400">
        <w:rPr>
          <w:i/>
        </w:rPr>
        <w:t>JTS</w:t>
      </w:r>
      <w:r w:rsidRPr="00AB4400">
        <w:t xml:space="preserve"> 6 (1955) 229-33; René Laurentin</w:t>
      </w:r>
      <w:r w:rsidR="006F304D" w:rsidRPr="006F304D">
        <w:t xml:space="preserve">, </w:t>
      </w:r>
      <w:r w:rsidRPr="00AB4400">
        <w:rPr>
          <w:i/>
        </w:rPr>
        <w:t>Structure et théologie de Luc 1-2</w:t>
      </w:r>
      <w:r w:rsidRPr="00AB4400">
        <w:t xml:space="preserve"> (Paris: Gabalda</w:t>
      </w:r>
      <w:r w:rsidR="006F304D" w:rsidRPr="006F304D">
        <w:t xml:space="preserve">, </w:t>
      </w:r>
      <w:r w:rsidRPr="00AB4400">
        <w:t>1957) 32-33; V. E. McEachern</w:t>
      </w:r>
      <w:r w:rsidR="006F304D" w:rsidRPr="006F304D">
        <w:t xml:space="preserve">, </w:t>
      </w:r>
      <w:r w:rsidRPr="00AB4400">
        <w:t xml:space="preserve">“Dual Witness and Sabbath Motif in Luke,” </w:t>
      </w:r>
      <w:r w:rsidRPr="00AB4400">
        <w:rPr>
          <w:i/>
        </w:rPr>
        <w:t>CJT</w:t>
      </w:r>
      <w:r w:rsidRPr="00AB4400">
        <w:t xml:space="preserve"> 12 (1966) 267-80; Paul Minear</w:t>
      </w:r>
      <w:r w:rsidR="006F304D" w:rsidRPr="006F304D">
        <w:t xml:space="preserve">, </w:t>
      </w:r>
      <w:r w:rsidRPr="00AB4400">
        <w:t xml:space="preserve">“Luke’s Use of the Birth Stories,” in </w:t>
      </w:r>
      <w:r w:rsidRPr="00AB4400">
        <w:rPr>
          <w:i/>
        </w:rPr>
        <w:t>Studies in Luke-Acts</w:t>
      </w:r>
      <w:r w:rsidR="00DC3006" w:rsidRPr="00DC3006">
        <w:rPr>
          <w:iCs/>
        </w:rPr>
        <w:t xml:space="preserve">. Ed. </w:t>
      </w:r>
      <w:r w:rsidRPr="00AB4400">
        <w:t>Leander E. Keck and J. Louis Martyn (Philadelphia: Fortress</w:t>
      </w:r>
      <w:r w:rsidR="006F304D" w:rsidRPr="006F304D">
        <w:t xml:space="preserve">, </w:t>
      </w:r>
      <w:r w:rsidRPr="00AB4400">
        <w:t>1966) 114-15.</w:t>
      </w:r>
    </w:p>
  </w:footnote>
  <w:footnote w:id="163">
    <w:p w14:paraId="5F3692D6" w14:textId="0F847D9B" w:rsidR="0018433B" w:rsidRPr="00AB4400" w:rsidRDefault="0018433B" w:rsidP="0018433B">
      <w:pPr>
        <w:widowControl w:val="0"/>
      </w:pPr>
      <w:r w:rsidRPr="00AB4400">
        <w:rPr>
          <w:vertAlign w:val="superscript"/>
        </w:rPr>
        <w:footnoteRef/>
      </w:r>
      <w:r w:rsidRPr="00AB4400">
        <w:t xml:space="preserve"> M.-E. Boismard</w:t>
      </w:r>
      <w:r w:rsidR="006F304D" w:rsidRPr="006F304D">
        <w:t xml:space="preserve">, </w:t>
      </w:r>
      <w:r w:rsidRPr="00AB4400">
        <w:rPr>
          <w:i/>
        </w:rPr>
        <w:t>Le prologue de saint Jean</w:t>
      </w:r>
      <w:r w:rsidRPr="00AB4400">
        <w:t xml:space="preserve"> (LD 11; Paris: Cerf</w:t>
      </w:r>
      <w:r w:rsidR="006F304D" w:rsidRPr="006F304D">
        <w:t xml:space="preserve">, </w:t>
      </w:r>
      <w:r w:rsidRPr="00AB4400">
        <w:t xml:space="preserve">1953) 103-8; </w:t>
      </w:r>
      <w:r w:rsidR="00E366BA" w:rsidRPr="00E366BA">
        <w:rPr>
          <w:iCs/>
        </w:rPr>
        <w:t>W.D.</w:t>
      </w:r>
      <w:r w:rsidRPr="00AB4400">
        <w:t xml:space="preserve"> Davies</w:t>
      </w:r>
      <w:r w:rsidR="006F304D" w:rsidRPr="006F304D">
        <w:t xml:space="preserve">, </w:t>
      </w:r>
      <w:r w:rsidRPr="00AB4400">
        <w:rPr>
          <w:i/>
        </w:rPr>
        <w:t>Setting</w:t>
      </w:r>
      <w:r w:rsidR="006F304D" w:rsidRPr="006F304D">
        <w:t xml:space="preserve">, </w:t>
      </w:r>
      <w:r w:rsidRPr="00AB4400">
        <w:t>14; Paul Gaechter</w:t>
      </w:r>
      <w:r w:rsidR="006F304D" w:rsidRPr="006F304D">
        <w:t xml:space="preserve">, </w:t>
      </w:r>
      <w:r w:rsidRPr="00AB4400">
        <w:rPr>
          <w:i/>
        </w:rPr>
        <w:t>Das Matthäus Evangelium</w:t>
      </w:r>
      <w:r w:rsidRPr="00AB4400">
        <w:t xml:space="preserve"> (Innsbruck: Tyrolia</w:t>
      </w:r>
      <w:r w:rsidR="006F304D" w:rsidRPr="006F304D">
        <w:t xml:space="preserve">, </w:t>
      </w:r>
      <w:r w:rsidRPr="00AB4400">
        <w:t xml:space="preserve">1963) 17; </w:t>
      </w:r>
      <w:r w:rsidR="00674828" w:rsidRPr="00674828">
        <w:rPr>
          <w:iCs/>
        </w:rPr>
        <w:t>C.H.</w:t>
      </w:r>
      <w:r w:rsidRPr="00AB4400">
        <w:t xml:space="preserve"> Lohr</w:t>
      </w:r>
      <w:r w:rsidR="006F304D" w:rsidRPr="006F304D">
        <w:t xml:space="preserve">, </w:t>
      </w:r>
      <w:r w:rsidRPr="00AB4400">
        <w:t xml:space="preserve">“Oral Techniques in the Gospel of Matthew,” </w:t>
      </w:r>
      <w:r w:rsidRPr="00AB4400">
        <w:rPr>
          <w:i/>
        </w:rPr>
        <w:t>CBQ</w:t>
      </w:r>
      <w:r w:rsidRPr="00AB4400">
        <w:t xml:space="preserve"> 23 (1961) 403-35; Edward Malatesta</w:t>
      </w:r>
      <w:r w:rsidR="006F304D" w:rsidRPr="006F304D">
        <w:t xml:space="preserve">, </w:t>
      </w:r>
      <w:r w:rsidRPr="00AB4400">
        <w:rPr>
          <w:i/>
        </w:rPr>
        <w:t>The Epistles of John</w:t>
      </w:r>
      <w:r w:rsidRPr="00AB4400">
        <w:t xml:space="preserve">: </w:t>
      </w:r>
      <w:r w:rsidRPr="00AB4400">
        <w:rPr>
          <w:i/>
        </w:rPr>
        <w:t>Structured Greek Text</w:t>
      </w:r>
      <w:r w:rsidRPr="00AB4400">
        <w:t xml:space="preserve"> (Fano: Typis Paulinis</w:t>
      </w:r>
      <w:r w:rsidR="006F304D" w:rsidRPr="006F304D">
        <w:t xml:space="preserve">, </w:t>
      </w:r>
      <w:r w:rsidRPr="00AB4400">
        <w:t>1966); rpt. ed.</w:t>
      </w:r>
      <w:r w:rsidR="006F304D" w:rsidRPr="006F304D">
        <w:t xml:space="preserve">, </w:t>
      </w:r>
      <w:r w:rsidRPr="00AB4400">
        <w:rPr>
          <w:i/>
        </w:rPr>
        <w:t>The Epistles of St John</w:t>
      </w:r>
      <w:r w:rsidRPr="00AB4400">
        <w:t xml:space="preserve">: </w:t>
      </w:r>
      <w:r w:rsidRPr="00AB4400">
        <w:rPr>
          <w:i/>
        </w:rPr>
        <w:t>Greek Text and English Translation Schematically Arranged</w:t>
      </w:r>
      <w:r w:rsidRPr="00AB4400">
        <w:t xml:space="preserve"> (Rome: Gregorian University</w:t>
      </w:r>
      <w:r w:rsidR="006F304D" w:rsidRPr="006F304D">
        <w:t xml:space="preserve">, </w:t>
      </w:r>
      <w:r w:rsidRPr="00AB4400">
        <w:t xml:space="preserve">1973); </w:t>
      </w:r>
      <w:r w:rsidRPr="00AB4400">
        <w:rPr>
          <w:i/>
        </w:rPr>
        <w:t>idem</w:t>
      </w:r>
      <w:r w:rsidR="006F304D" w:rsidRPr="006F304D">
        <w:t xml:space="preserve">, </w:t>
      </w:r>
      <w:r w:rsidRPr="00AB4400">
        <w:t xml:space="preserve">“The Literary Structure of John 17,” </w:t>
      </w:r>
      <w:r w:rsidRPr="00AB4400">
        <w:rPr>
          <w:i/>
        </w:rPr>
        <w:t>Bib</w:t>
      </w:r>
      <w:r w:rsidRPr="00AB4400">
        <w:t xml:space="preserve"> 52 (1971) 190-214; Béda Rigaux</w:t>
      </w:r>
      <w:r w:rsidR="006F304D" w:rsidRPr="006F304D">
        <w:t xml:space="preserve">, </w:t>
      </w:r>
      <w:r w:rsidRPr="00AB4400">
        <w:rPr>
          <w:i/>
        </w:rPr>
        <w:t>The Testimony of St</w:t>
      </w:r>
      <w:r w:rsidRPr="00AB4400">
        <w:t xml:space="preserve">. </w:t>
      </w:r>
      <w:r w:rsidRPr="00AB4400">
        <w:rPr>
          <w:i/>
        </w:rPr>
        <w:t>Matthew</w:t>
      </w:r>
      <w:r w:rsidRPr="00AB4400">
        <w:t xml:space="preserve"> (Chicago: Franciscan Herald Press</w:t>
      </w:r>
      <w:r w:rsidR="006F304D" w:rsidRPr="006F304D">
        <w:t xml:space="preserve">, </w:t>
      </w:r>
      <w:r w:rsidRPr="00AB4400">
        <w:t>1968) 22-23; J. Radermakers</w:t>
      </w:r>
      <w:r w:rsidR="006F304D" w:rsidRPr="006F304D">
        <w:t xml:space="preserve">, </w:t>
      </w:r>
      <w:r w:rsidRPr="00AB4400">
        <w:rPr>
          <w:i/>
        </w:rPr>
        <w:t>Au fil de l</w:t>
      </w:r>
      <w:r w:rsidRPr="00AB4400">
        <w:t>’</w:t>
      </w:r>
      <w:r w:rsidRPr="00AB4400">
        <w:rPr>
          <w:i/>
        </w:rPr>
        <w:t>Evangile selon saint Matthieu</w:t>
      </w:r>
      <w:r w:rsidRPr="00AB4400">
        <w:t xml:space="preserve"> (Heverlee-Louvain: 1972); </w:t>
      </w:r>
      <w:r w:rsidRPr="00AB4400">
        <w:rPr>
          <w:i/>
        </w:rPr>
        <w:t>idem</w:t>
      </w:r>
      <w:r w:rsidR="006F304D" w:rsidRPr="006F304D">
        <w:t xml:space="preserve">, </w:t>
      </w:r>
      <w:r w:rsidRPr="00AB4400">
        <w:rPr>
          <w:i/>
        </w:rPr>
        <w:t>La bonne nouvelle de Jésus selon saint Marc</w:t>
      </w:r>
      <w:r w:rsidRPr="00AB4400">
        <w:t xml:space="preserve"> (Bruxelles: 1974); L. John Topel</w:t>
      </w:r>
      <w:r w:rsidR="006F304D" w:rsidRPr="006F304D">
        <w:t xml:space="preserve">, </w:t>
      </w:r>
      <w:r w:rsidRPr="00AB4400">
        <w:t xml:space="preserve">“A Note on the Methodology of Structural Analysis in Jn 2:23-3:21,” </w:t>
      </w:r>
      <w:r w:rsidRPr="00AB4400">
        <w:rPr>
          <w:i/>
        </w:rPr>
        <w:t>CBQ</w:t>
      </w:r>
      <w:r w:rsidRPr="00AB4400">
        <w:t xml:space="preserve"> 33 (1971) 211-20.</w:t>
      </w:r>
    </w:p>
  </w:footnote>
  <w:footnote w:id="164">
    <w:p w14:paraId="4BABF355" w14:textId="28D210F2" w:rsidR="0018433B" w:rsidRPr="00AB4400" w:rsidRDefault="0018433B" w:rsidP="0018433B">
      <w:pPr>
        <w:widowControl w:val="0"/>
      </w:pPr>
      <w:r w:rsidRPr="00AB4400">
        <w:rPr>
          <w:vertAlign w:val="superscript"/>
        </w:rPr>
        <w:footnoteRef/>
      </w:r>
      <w:r w:rsidRPr="00AB4400">
        <w:t xml:space="preserve"> Stephen Bertman</w:t>
      </w:r>
      <w:r w:rsidR="006F304D" w:rsidRPr="006F304D">
        <w:t xml:space="preserve">, </w:t>
      </w:r>
      <w:r w:rsidRPr="00AB4400">
        <w:t xml:space="preserve">“Symmetrical Design in the Book of Ruth,” </w:t>
      </w:r>
      <w:r w:rsidRPr="00AB4400">
        <w:rPr>
          <w:i/>
        </w:rPr>
        <w:t>JBL</w:t>
      </w:r>
      <w:r w:rsidRPr="00AB4400">
        <w:t xml:space="preserve"> 84 (1965) 165-68; Claude Coulot</w:t>
      </w:r>
      <w:r w:rsidR="006F304D" w:rsidRPr="006F304D">
        <w:t xml:space="preserve">, </w:t>
      </w:r>
      <w:r w:rsidRPr="00AB4400">
        <w:t xml:space="preserve">“Propositions pour une structuration du Livre d’Amos au niveau rédactionnel,” </w:t>
      </w:r>
      <w:r w:rsidRPr="00AB4400">
        <w:rPr>
          <w:i/>
        </w:rPr>
        <w:t>RSR</w:t>
      </w:r>
      <w:r w:rsidRPr="00AB4400">
        <w:t xml:space="preserve"> (1977) 169-86; Jan Holman</w:t>
      </w:r>
      <w:r w:rsidR="006F304D" w:rsidRPr="006F304D">
        <w:t xml:space="preserve">, </w:t>
      </w:r>
      <w:r w:rsidRPr="00AB4400">
        <w:t xml:space="preserve">“The Structure of Psalm 139,” </w:t>
      </w:r>
      <w:r w:rsidRPr="00AB4400">
        <w:rPr>
          <w:i/>
        </w:rPr>
        <w:t>VT</w:t>
      </w:r>
      <w:r w:rsidRPr="00AB4400">
        <w:t xml:space="preserve"> 21 (1971) 298-310; J. Hontheim</w:t>
      </w:r>
      <w:r w:rsidR="006F304D" w:rsidRPr="006F304D">
        <w:t xml:space="preserve">, </w:t>
      </w:r>
      <w:r w:rsidRPr="00AB4400">
        <w:rPr>
          <w:i/>
        </w:rPr>
        <w:t>Job</w:t>
      </w:r>
      <w:r w:rsidR="006F304D" w:rsidRPr="006F304D">
        <w:t xml:space="preserve">, </w:t>
      </w:r>
      <w:r w:rsidRPr="00AB4400">
        <w:t xml:space="preserve">1904; </w:t>
      </w:r>
      <w:r w:rsidRPr="00AB4400">
        <w:rPr>
          <w:i/>
        </w:rPr>
        <w:t>idem</w:t>
      </w:r>
      <w:r w:rsidR="006F304D" w:rsidRPr="006F304D">
        <w:t xml:space="preserve">, </w:t>
      </w:r>
      <w:r w:rsidRPr="00AB4400">
        <w:rPr>
          <w:i/>
        </w:rPr>
        <w:t>Cantique</w:t>
      </w:r>
      <w:r w:rsidR="006F304D" w:rsidRPr="006F304D">
        <w:t xml:space="preserve">, </w:t>
      </w:r>
      <w:r w:rsidRPr="00AB4400">
        <w:t>1908; John T. Willis</w:t>
      </w:r>
      <w:r w:rsidR="006F304D" w:rsidRPr="006F304D">
        <w:t xml:space="preserve">, </w:t>
      </w:r>
      <w:r w:rsidRPr="00AB4400">
        <w:t xml:space="preserve">“The Structure of the Book of Micah,” </w:t>
      </w:r>
      <w:r w:rsidRPr="00AB4400">
        <w:rPr>
          <w:i/>
        </w:rPr>
        <w:t>SEA</w:t>
      </w:r>
      <w:r w:rsidRPr="00AB4400">
        <w:t xml:space="preserve"> 34 (1969) 5-42; </w:t>
      </w:r>
      <w:r w:rsidRPr="00AB4400">
        <w:rPr>
          <w:i/>
        </w:rPr>
        <w:t>idem</w:t>
      </w:r>
      <w:r w:rsidR="006F304D" w:rsidRPr="006F304D">
        <w:t xml:space="preserve">, </w:t>
      </w:r>
      <w:r w:rsidRPr="00AB4400">
        <w:t xml:space="preserve">“The Structure of Micah 3-5 and the Function of Micah 5:9-14 in the Book,” </w:t>
      </w:r>
      <w:r w:rsidRPr="00AB4400">
        <w:rPr>
          <w:i/>
        </w:rPr>
        <w:t>ZAW</w:t>
      </w:r>
      <w:r w:rsidRPr="00AB4400">
        <w:t xml:space="preserve"> 81 (1969) 191-214.</w:t>
      </w:r>
    </w:p>
  </w:footnote>
  <w:footnote w:id="165">
    <w:p w14:paraId="1EA2EAAF" w14:textId="711D2BF4" w:rsidR="0018433B" w:rsidRPr="00AB4400" w:rsidRDefault="0018433B" w:rsidP="0018433B">
      <w:pPr>
        <w:widowControl w:val="0"/>
      </w:pPr>
      <w:r w:rsidRPr="00AB4400">
        <w:rPr>
          <w:vertAlign w:val="superscript"/>
        </w:rPr>
        <w:footnoteRef/>
      </w:r>
      <w:r w:rsidRPr="00AB4400">
        <w:t xml:space="preserve"> G. E. Duckworth</w:t>
      </w:r>
      <w:r w:rsidR="006F304D" w:rsidRPr="006F304D">
        <w:t xml:space="preserve">, </w:t>
      </w:r>
      <w:r w:rsidRPr="00AB4400">
        <w:rPr>
          <w:i/>
        </w:rPr>
        <w:t>Structural Patterns and Proportions in Vergil</w:t>
      </w:r>
      <w:r w:rsidRPr="00AB4400">
        <w:t>’</w:t>
      </w:r>
      <w:r w:rsidRPr="00AB4400">
        <w:rPr>
          <w:i/>
        </w:rPr>
        <w:t>s Aeneid</w:t>
      </w:r>
      <w:r w:rsidRPr="00AB4400">
        <w:t xml:space="preserve"> (Ann Arbor</w:t>
      </w:r>
      <w:r w:rsidR="006F304D" w:rsidRPr="006F304D">
        <w:t xml:space="preserve">, </w:t>
      </w:r>
      <w:r w:rsidRPr="00AB4400">
        <w:t>MI: University of Michigan</w:t>
      </w:r>
      <w:r w:rsidR="006F304D" w:rsidRPr="006F304D">
        <w:t xml:space="preserve">, </w:t>
      </w:r>
      <w:r w:rsidRPr="00AB4400">
        <w:t>1962); Henry R. Immerwahr</w:t>
      </w:r>
      <w:r w:rsidR="006F304D" w:rsidRPr="006F304D">
        <w:t xml:space="preserve">, </w:t>
      </w:r>
      <w:r w:rsidRPr="00AB4400">
        <w:rPr>
          <w:i/>
        </w:rPr>
        <w:t>Form and Thought in Herodotus</w:t>
      </w:r>
      <w:r w:rsidRPr="00AB4400">
        <w:t xml:space="preserve"> (Cleveland: Western Reserve University</w:t>
      </w:r>
      <w:r w:rsidR="006F304D" w:rsidRPr="006F304D">
        <w:t xml:space="preserve">, </w:t>
      </w:r>
      <w:r w:rsidRPr="00AB4400">
        <w:t>1966); John L. Myres</w:t>
      </w:r>
      <w:r w:rsidR="006F304D" w:rsidRPr="006F304D">
        <w:t xml:space="preserve">, </w:t>
      </w:r>
      <w:r w:rsidRPr="00AB4400">
        <w:rPr>
          <w:i/>
        </w:rPr>
        <w:t>Who Were the Greeks</w:t>
      </w:r>
      <w:r w:rsidRPr="00AB4400">
        <w:t>? (Berkeley: University of California</w:t>
      </w:r>
      <w:r w:rsidR="006F304D" w:rsidRPr="006F304D">
        <w:t xml:space="preserve">, </w:t>
      </w:r>
      <w:r w:rsidRPr="00AB4400">
        <w:t>1930); John L. Myres</w:t>
      </w:r>
      <w:r w:rsidR="006F304D" w:rsidRPr="006F304D">
        <w:t xml:space="preserve">, </w:t>
      </w:r>
      <w:r w:rsidRPr="00AB4400">
        <w:rPr>
          <w:i/>
        </w:rPr>
        <w:t>Herodotus</w:t>
      </w:r>
      <w:r w:rsidRPr="00AB4400">
        <w:t xml:space="preserve">: </w:t>
      </w:r>
      <w:r w:rsidRPr="00AB4400">
        <w:rPr>
          <w:i/>
        </w:rPr>
        <w:t>Father of History</w:t>
      </w:r>
      <w:r w:rsidRPr="00AB4400">
        <w:t xml:space="preserve"> (Oxford: Clarendon</w:t>
      </w:r>
      <w:r w:rsidR="006F304D" w:rsidRPr="006F304D">
        <w:t xml:space="preserve">, </w:t>
      </w:r>
      <w:r w:rsidRPr="00AB4400">
        <w:t>1953); R. B. Steele</w:t>
      </w:r>
      <w:r w:rsidR="006F304D" w:rsidRPr="006F304D">
        <w:t xml:space="preserve">, </w:t>
      </w:r>
      <w:r w:rsidRPr="00AB4400">
        <w:t>“Chiasmus in the Epistles of Cicero</w:t>
      </w:r>
      <w:r w:rsidR="006F304D" w:rsidRPr="006F304D">
        <w:t xml:space="preserve">, </w:t>
      </w:r>
      <w:r w:rsidRPr="00AB4400">
        <w:t>Seneca</w:t>
      </w:r>
      <w:r w:rsidR="006F304D" w:rsidRPr="006F304D">
        <w:t xml:space="preserve">, </w:t>
      </w:r>
      <w:r w:rsidRPr="00AB4400">
        <w:t xml:space="preserve">Pliny and Fronto,” in </w:t>
      </w:r>
      <w:r w:rsidRPr="00AB4400">
        <w:rPr>
          <w:i/>
        </w:rPr>
        <w:t>Studies in Honor of Basil L</w:t>
      </w:r>
      <w:r w:rsidRPr="00AB4400">
        <w:t xml:space="preserve">. </w:t>
      </w:r>
      <w:r w:rsidRPr="00AB4400">
        <w:rPr>
          <w:i/>
        </w:rPr>
        <w:t>Gildersleeve</w:t>
      </w:r>
      <w:r w:rsidRPr="00AB4400">
        <w:t xml:space="preserve"> (Baltimore</w:t>
      </w:r>
      <w:r w:rsidR="006F304D" w:rsidRPr="006F304D">
        <w:t xml:space="preserve">, </w:t>
      </w:r>
      <w:r w:rsidRPr="00AB4400">
        <w:t>MD: Johns Hopkins</w:t>
      </w:r>
      <w:r w:rsidR="006F304D" w:rsidRPr="006F304D">
        <w:t xml:space="preserve">, </w:t>
      </w:r>
      <w:r w:rsidRPr="00AB4400">
        <w:t>1902) 339-352; P. Walcot</w:t>
      </w:r>
      <w:r w:rsidR="006F304D" w:rsidRPr="006F304D">
        <w:t xml:space="preserve">, </w:t>
      </w:r>
      <w:r w:rsidRPr="00AB4400">
        <w:t xml:space="preserve">“The </w:t>
      </w:r>
      <w:r w:rsidRPr="00AB4400">
        <w:rPr>
          <w:i/>
        </w:rPr>
        <w:t>Theogony</w:t>
      </w:r>
      <w:r w:rsidRPr="00AB4400">
        <w:t xml:space="preserve"> Has a Structure of An ABCBA Type,” </w:t>
      </w:r>
      <w:r w:rsidRPr="00AB4400">
        <w:rPr>
          <w:i/>
        </w:rPr>
        <w:t>Revue des Etudes Grecques</w:t>
      </w:r>
      <w:r w:rsidRPr="00AB4400">
        <w:t xml:space="preserve"> 74 (1961) 2; Cedric H. Whitman</w:t>
      </w:r>
      <w:r w:rsidR="006F304D" w:rsidRPr="006F304D">
        <w:t xml:space="preserve">, </w:t>
      </w:r>
      <w:r w:rsidRPr="00AB4400">
        <w:rPr>
          <w:i/>
        </w:rPr>
        <w:t>Homer and the Homeric Tradition</w:t>
      </w:r>
      <w:r w:rsidRPr="00AB4400">
        <w:t xml:space="preserve"> (</w:t>
      </w:r>
      <w:r w:rsidR="00E366BA" w:rsidRPr="00E366BA">
        <w:rPr>
          <w:iCs/>
        </w:rPr>
        <w:t xml:space="preserve">Cambridge MA: Harvard UP, </w:t>
      </w:r>
      <w:r w:rsidRPr="00AB4400">
        <w:t xml:space="preserve">1958). Whitman argues that the </w:t>
      </w:r>
      <w:r w:rsidRPr="00AB4400">
        <w:rPr>
          <w:i/>
        </w:rPr>
        <w:t>Iliad</w:t>
      </w:r>
      <w:r w:rsidRPr="00AB4400">
        <w:t xml:space="preserve"> is built up by means of a series of ever-larger concentric circles. Myres argues that Herodotus uses a “pedimental mode” (</w:t>
      </w:r>
      <w:r w:rsidR="00775F9B" w:rsidRPr="00775F9B">
        <w:rPr>
          <w:iCs/>
        </w:rPr>
        <w:t>i.e.</w:t>
      </w:r>
      <w:r w:rsidR="006F304D" w:rsidRPr="006F304D">
        <w:t xml:space="preserve">, </w:t>
      </w:r>
      <w:r w:rsidRPr="00AB4400">
        <w:t>chiastic: A B A</w:t>
      </w:r>
      <w:r>
        <w:t>´</w:t>
      </w:r>
      <w:r w:rsidRPr="00AB4400">
        <w:t>) of organization. Duckworth argues that the Aeneid exhibits three simultaneous patterns: an A B A</w:t>
      </w:r>
      <w:r>
        <w:t>´</w:t>
      </w:r>
      <w:r w:rsidRPr="00AB4400">
        <w:t xml:space="preserve"> pattern</w:t>
      </w:r>
      <w:r w:rsidR="006F304D" w:rsidRPr="006F304D">
        <w:t xml:space="preserve">, </w:t>
      </w:r>
      <w:r w:rsidRPr="00AB4400">
        <w:t>a parallelism between books 1-6 and books 7-12</w:t>
      </w:r>
      <w:r w:rsidR="006F304D" w:rsidRPr="006F304D">
        <w:t xml:space="preserve">, </w:t>
      </w:r>
      <w:r w:rsidRPr="00AB4400">
        <w:t>and an alternation between more tragic material in even-numbered books and more comic material in odd-numbered books.</w:t>
      </w:r>
    </w:p>
  </w:footnote>
  <w:footnote w:id="166">
    <w:p w14:paraId="6B11F724" w14:textId="696AE4F1" w:rsidR="0018433B" w:rsidRPr="00AB4400" w:rsidRDefault="0018433B" w:rsidP="0018433B">
      <w:pPr>
        <w:widowControl w:val="0"/>
      </w:pPr>
      <w:r w:rsidRPr="00AB4400">
        <w:rPr>
          <w:vertAlign w:val="superscript"/>
        </w:rPr>
        <w:footnoteRef/>
      </w:r>
      <w:r w:rsidRPr="00AB4400">
        <w:t xml:space="preserve"> See</w:t>
      </w:r>
      <w:r w:rsidR="006F304D" w:rsidRPr="006F304D">
        <w:t xml:space="preserve">, </w:t>
      </w:r>
      <w:r w:rsidR="00775F9B" w:rsidRPr="00775F9B">
        <w:rPr>
          <w:iCs/>
        </w:rPr>
        <w:t>e.g.</w:t>
      </w:r>
      <w:r w:rsidR="006F304D" w:rsidRPr="006F304D">
        <w:t xml:space="preserve">, </w:t>
      </w:r>
      <w:r w:rsidRPr="00AB4400">
        <w:t>Karl Shapiro and Robert Beum</w:t>
      </w:r>
      <w:r w:rsidR="006F304D" w:rsidRPr="006F304D">
        <w:t xml:space="preserve">, </w:t>
      </w:r>
      <w:r w:rsidRPr="00AB4400">
        <w:rPr>
          <w:i/>
        </w:rPr>
        <w:t>A Prosody Handbook</w:t>
      </w:r>
      <w:r w:rsidRPr="00AB4400">
        <w:t xml:space="preserve"> (New York: </w:t>
      </w:r>
      <w:r w:rsidR="00E95268" w:rsidRPr="00E95268">
        <w:rPr>
          <w:iCs/>
        </w:rPr>
        <w:t>Harper and Row</w:t>
      </w:r>
      <w:r w:rsidR="006F304D" w:rsidRPr="006F304D">
        <w:t xml:space="preserve">, </w:t>
      </w:r>
      <w:r w:rsidRPr="00AB4400">
        <w:t>1965).</w:t>
      </w:r>
    </w:p>
  </w:footnote>
  <w:footnote w:id="167">
    <w:p w14:paraId="2B43096E" w14:textId="0B4DABE9" w:rsidR="0018433B" w:rsidRPr="00AB4400" w:rsidRDefault="0018433B" w:rsidP="0018433B">
      <w:pPr>
        <w:widowControl w:val="0"/>
      </w:pPr>
      <w:r w:rsidRPr="00AB4400">
        <w:rPr>
          <w:vertAlign w:val="superscript"/>
        </w:rPr>
        <w:footnoteRef/>
      </w:r>
      <w:r w:rsidRPr="00AB4400">
        <w:t xml:space="preserve"> Axel Olrik</w:t>
      </w:r>
      <w:r w:rsidR="006F304D" w:rsidRPr="006F304D">
        <w:t xml:space="preserve">, </w:t>
      </w:r>
      <w:r w:rsidRPr="00AB4400">
        <w:t xml:space="preserve">“Epic Laws of Folk Narrative,” in </w:t>
      </w:r>
      <w:r w:rsidRPr="00AB4400">
        <w:rPr>
          <w:i/>
        </w:rPr>
        <w:t>The Study of Folklore</w:t>
      </w:r>
      <w:r w:rsidR="00DC3006" w:rsidRPr="00DC3006">
        <w:rPr>
          <w:iCs/>
        </w:rPr>
        <w:t xml:space="preserve">. Ed. </w:t>
      </w:r>
      <w:r w:rsidRPr="00AB4400">
        <w:t>Alan Dundes (</w:t>
      </w:r>
      <w:r w:rsidR="007B5BB5" w:rsidRPr="007B5BB5">
        <w:rPr>
          <w:iCs/>
        </w:rPr>
        <w:t xml:space="preserve">Englewood Cliffs </w:t>
      </w:r>
      <w:r w:rsidRPr="00AB4400">
        <w:t>NJ: Prentice-Hall</w:t>
      </w:r>
      <w:r w:rsidR="006F304D" w:rsidRPr="006F304D">
        <w:t xml:space="preserve">, </w:t>
      </w:r>
      <w:r w:rsidRPr="00AB4400">
        <w:t>1965) 140. (The article was originally published in German in 1909.)</w:t>
      </w:r>
    </w:p>
  </w:footnote>
  <w:footnote w:id="168">
    <w:p w14:paraId="45CD836C" w14:textId="77777777" w:rsidR="0018433B" w:rsidRPr="00AB4400" w:rsidRDefault="0018433B" w:rsidP="0018433B">
      <w:pPr>
        <w:widowControl w:val="0"/>
      </w:pPr>
      <w:r w:rsidRPr="00AB4400">
        <w:rPr>
          <w:vertAlign w:val="superscript"/>
        </w:rPr>
        <w:footnoteRef/>
      </w:r>
      <w:r w:rsidRPr="00AB4400">
        <w:t xml:space="preserve"> “Zwei- und Dreigliedrige Formeln: Ein Beitrag zur Vorgeschichte des Trinitätsformel,” </w:t>
      </w:r>
      <w:r w:rsidRPr="00AB4400">
        <w:rPr>
          <w:i/>
        </w:rPr>
        <w:t>JBL</w:t>
      </w:r>
      <w:r w:rsidRPr="00AB4400">
        <w:t xml:space="preserve"> 50 (1931) 117-18.</w:t>
      </w:r>
    </w:p>
  </w:footnote>
  <w:footnote w:id="169">
    <w:p w14:paraId="7837A47E" w14:textId="4C04E865" w:rsidR="0018433B" w:rsidRPr="00AB4400" w:rsidRDefault="0018433B" w:rsidP="0018433B">
      <w:pPr>
        <w:widowControl w:val="0"/>
      </w:pPr>
      <w:r w:rsidRPr="00AB4400">
        <w:rPr>
          <w:vertAlign w:val="superscript"/>
        </w:rPr>
        <w:footnoteRef/>
      </w:r>
      <w:r w:rsidRPr="00AB4400">
        <w:t xml:space="preserve"> Alan Dundes</w:t>
      </w:r>
      <w:r w:rsidR="006F304D" w:rsidRPr="006F304D">
        <w:t xml:space="preserve">, </w:t>
      </w:r>
      <w:r w:rsidRPr="00AB4400">
        <w:t>editorial comment to Olrik’s “Epic Laws,” 140 n. 26.</w:t>
      </w:r>
    </w:p>
  </w:footnote>
  <w:footnote w:id="170">
    <w:p w14:paraId="09AE62F3" w14:textId="597F1AC2" w:rsidR="0018433B" w:rsidRPr="00AB4400" w:rsidRDefault="0018433B" w:rsidP="0018433B">
      <w:pPr>
        <w:widowControl w:val="0"/>
      </w:pPr>
      <w:r w:rsidRPr="00AB4400">
        <w:rPr>
          <w:vertAlign w:val="superscript"/>
        </w:rPr>
        <w:footnoteRef/>
      </w:r>
      <w:r w:rsidRPr="00AB4400">
        <w:t xml:space="preserve"> Alan Dundes</w:t>
      </w:r>
      <w:r w:rsidR="006F304D" w:rsidRPr="006F304D">
        <w:t xml:space="preserve">, </w:t>
      </w:r>
      <w:r w:rsidRPr="00AB4400">
        <w:t xml:space="preserve">“The Number Three in American Culture,” in </w:t>
      </w:r>
      <w:r w:rsidRPr="00AB4400">
        <w:rPr>
          <w:i/>
        </w:rPr>
        <w:t>Interpreting Folklore</w:t>
      </w:r>
      <w:r w:rsidRPr="00AB4400">
        <w:t xml:space="preserve"> (Bloomington: Indiana University</w:t>
      </w:r>
      <w:r w:rsidR="006F304D" w:rsidRPr="006F304D">
        <w:t xml:space="preserve">, </w:t>
      </w:r>
      <w:r w:rsidRPr="00AB4400">
        <w:t xml:space="preserve">1980) 135. The article first appeared in Dundes’ </w:t>
      </w:r>
      <w:r w:rsidRPr="00AB4400">
        <w:rPr>
          <w:i/>
        </w:rPr>
        <w:t>Every Man His Way</w:t>
      </w:r>
      <w:r w:rsidRPr="00AB4400">
        <w:t xml:space="preserve">: </w:t>
      </w:r>
      <w:r w:rsidRPr="00AB4400">
        <w:rPr>
          <w:i/>
        </w:rPr>
        <w:t>Readings in Cultural Anthropology</w:t>
      </w:r>
      <w:r w:rsidRPr="00AB4400">
        <w:t xml:space="preserve"> (</w:t>
      </w:r>
      <w:r w:rsidR="007B5BB5" w:rsidRPr="007B5BB5">
        <w:rPr>
          <w:iCs/>
        </w:rPr>
        <w:t xml:space="preserve">Englewood Cliffs </w:t>
      </w:r>
      <w:r w:rsidRPr="00AB4400">
        <w:t>NJ: Prentice-Hall</w:t>
      </w:r>
      <w:r w:rsidR="006F304D" w:rsidRPr="006F304D">
        <w:t xml:space="preserve">, </w:t>
      </w:r>
      <w:r w:rsidRPr="00AB4400">
        <w:t>1968) 401-23.</w:t>
      </w:r>
    </w:p>
  </w:footnote>
  <w:footnote w:id="171">
    <w:p w14:paraId="0216AA6C" w14:textId="4432E339" w:rsidR="0018433B" w:rsidRPr="00AB4400" w:rsidRDefault="0018433B" w:rsidP="0018433B">
      <w:pPr>
        <w:widowControl w:val="0"/>
      </w:pPr>
      <w:r w:rsidRPr="00AB4400">
        <w:rPr>
          <w:vertAlign w:val="superscript"/>
        </w:rPr>
        <w:footnoteRef/>
      </w:r>
      <w:r w:rsidRPr="00AB4400">
        <w:t xml:space="preserve"> Dundes himself acknowledges this: “no one has questioned the importance of the number three in Greek and Roman culture [and] More recent scholarship </w:t>
      </w:r>
      <w:r>
        <w:t>. . .</w:t>
      </w:r>
      <w:r w:rsidRPr="00AB4400">
        <w:t xml:space="preserve"> has suggested it may be a characteristic of Indo-European culture” (ibid.</w:t>
      </w:r>
      <w:r w:rsidR="006F304D" w:rsidRPr="006F304D">
        <w:t xml:space="preserve">, </w:t>
      </w:r>
      <w:r w:rsidRPr="00AB4400">
        <w:t>134). Evidence for the importance of three in Semitic cultures will be cited below in examples from the OT (p.</w:t>
      </w:r>
      <w:r w:rsidR="001C646B" w:rsidRPr="001C646B">
        <w:rPr>
          <w:iCs/>
        </w:rPr>
        <w:t>)</w:t>
      </w:r>
      <w:r w:rsidRPr="00AB4400">
        <w:t>.</w:t>
      </w:r>
    </w:p>
  </w:footnote>
  <w:footnote w:id="172">
    <w:p w14:paraId="3A948FCE" w14:textId="5DC67E57" w:rsidR="0018433B" w:rsidRPr="00AB4400" w:rsidRDefault="0018433B" w:rsidP="0018433B">
      <w:pPr>
        <w:widowControl w:val="0"/>
      </w:pPr>
      <w:r w:rsidRPr="00AB4400">
        <w:rPr>
          <w:vertAlign w:val="superscript"/>
        </w:rPr>
        <w:footnoteRef/>
      </w:r>
      <w:r w:rsidRPr="00AB4400">
        <w:t xml:space="preserve"> Kenneth W. Clarke and Mary W. Clarke</w:t>
      </w:r>
      <w:r w:rsidR="006F304D" w:rsidRPr="006F304D">
        <w:t xml:space="preserve">, </w:t>
      </w:r>
      <w:r w:rsidRPr="00AB4400">
        <w:rPr>
          <w:i/>
        </w:rPr>
        <w:t>Introducing Folklore</w:t>
      </w:r>
      <w:r w:rsidRPr="00AB4400">
        <w:t xml:space="preserve"> (New York: Holt</w:t>
      </w:r>
      <w:r w:rsidR="006F304D" w:rsidRPr="006F304D">
        <w:t xml:space="preserve">, </w:t>
      </w:r>
      <w:r w:rsidR="00714629" w:rsidRPr="00714629">
        <w:rPr>
          <w:iCs/>
        </w:rPr>
        <w:t>Rinehart and Winston</w:t>
      </w:r>
      <w:r w:rsidR="006F304D" w:rsidRPr="006F304D">
        <w:t xml:space="preserve">, </w:t>
      </w:r>
      <w:r w:rsidRPr="00AB4400">
        <w:t xml:space="preserve">1963) 23. An accessible version of the tale itself is “Der Froschkönig oder Eisene Heinrich,” in </w:t>
      </w:r>
      <w:r w:rsidRPr="00AB4400">
        <w:rPr>
          <w:i/>
        </w:rPr>
        <w:t>Literatur Eins</w:t>
      </w:r>
      <w:r w:rsidRPr="00AB4400">
        <w:t xml:space="preserve">: </w:t>
      </w:r>
      <w:r w:rsidRPr="00AB4400">
        <w:rPr>
          <w:i/>
        </w:rPr>
        <w:t>A Beginning Reader with Exercises</w:t>
      </w:r>
      <w:r w:rsidRPr="00AB4400">
        <w:t xml:space="preserve"> (ed. Robert Spaethling and Eugene Weber; </w:t>
      </w:r>
      <w:r w:rsidR="0029762C" w:rsidRPr="0029762C">
        <w:rPr>
          <w:iCs/>
        </w:rPr>
        <w:t>2nd ed.</w:t>
      </w:r>
      <w:r w:rsidRPr="00AB4400">
        <w:t>; New York: W. W. Norton</w:t>
      </w:r>
      <w:r w:rsidR="006F304D" w:rsidRPr="006F304D">
        <w:t xml:space="preserve">, </w:t>
      </w:r>
      <w:r w:rsidRPr="00AB4400">
        <w:t xml:space="preserve">1979) 6-13 (the text there reproduced is from the 1812 edition of Jacob and Wilhelm Grimm’s </w:t>
      </w:r>
      <w:r w:rsidRPr="00AB4400">
        <w:rPr>
          <w:i/>
        </w:rPr>
        <w:t>Kinder- und Hausmärchen</w:t>
      </w:r>
      <w:r w:rsidRPr="00AB4400">
        <w:t>).</w:t>
      </w:r>
    </w:p>
  </w:footnote>
  <w:footnote w:id="173">
    <w:p w14:paraId="705DAFDF" w14:textId="04E5D1CE" w:rsidR="0018433B" w:rsidRPr="00AB4400" w:rsidRDefault="0018433B" w:rsidP="0018433B">
      <w:pPr>
        <w:widowControl w:val="0"/>
      </w:pPr>
      <w:r w:rsidRPr="00AB4400">
        <w:rPr>
          <w:vertAlign w:val="superscript"/>
        </w:rPr>
        <w:footnoteRef/>
      </w:r>
      <w:r w:rsidRPr="00AB4400">
        <w:t xml:space="preserve"> Dundes</w:t>
      </w:r>
      <w:r w:rsidR="006F304D" w:rsidRPr="006F304D">
        <w:t xml:space="preserve">, </w:t>
      </w:r>
      <w:r w:rsidRPr="00AB4400">
        <w:t>“Number Three,” 159.</w:t>
      </w:r>
    </w:p>
  </w:footnote>
  <w:footnote w:id="174">
    <w:p w14:paraId="5530ED47" w14:textId="05F6EB72" w:rsidR="0018433B" w:rsidRDefault="0018433B" w:rsidP="0018433B">
      <w:pPr>
        <w:widowControl w:val="0"/>
      </w:pPr>
      <w:r w:rsidRPr="00AB4400">
        <w:rPr>
          <w:vertAlign w:val="superscript"/>
        </w:rPr>
        <w:footnoteRef/>
      </w:r>
      <w:r w:rsidRPr="00AB4400">
        <w:t xml:space="preserve"> Olrik</w:t>
      </w:r>
      <w:r w:rsidR="006F304D" w:rsidRPr="006F304D">
        <w:t xml:space="preserve">, </w:t>
      </w:r>
      <w:r w:rsidRPr="00AB4400">
        <w:t>“Epic Laws,” 133-34. At the end of the article (139-40)</w:t>
      </w:r>
      <w:r w:rsidR="006F304D" w:rsidRPr="006F304D">
        <w:t xml:space="preserve">, </w:t>
      </w:r>
      <w:r w:rsidRPr="00AB4400">
        <w:t>Olrik summarizes all of the “laws” which he discerns in folk narrative:</w:t>
      </w:r>
    </w:p>
    <w:p w14:paraId="510BB2F4" w14:textId="77777777" w:rsidR="0018433B" w:rsidRPr="00AB4400" w:rsidRDefault="0018433B" w:rsidP="0018433B">
      <w:pPr>
        <w:widowControl w:val="0"/>
      </w:pPr>
    </w:p>
    <w:p w14:paraId="48DD25A3" w14:textId="4AFA7C3D" w:rsidR="0018433B" w:rsidRPr="00AB4400" w:rsidRDefault="0018433B" w:rsidP="0018433B">
      <w:pPr>
        <w:widowControl w:val="0"/>
        <w:ind w:left="720" w:right="720"/>
      </w:pPr>
      <w:r w:rsidRPr="00AB4400">
        <w:t>the Law of Opening and Closing</w:t>
      </w:r>
      <w:r w:rsidR="006F304D" w:rsidRPr="006F304D">
        <w:t xml:space="preserve">, </w:t>
      </w:r>
      <w:r w:rsidRPr="00AB4400">
        <w:t>the Law of Repetition</w:t>
      </w:r>
      <w:r w:rsidR="006F304D" w:rsidRPr="006F304D">
        <w:t xml:space="preserve">, </w:t>
      </w:r>
      <w:r w:rsidRPr="00AB4400">
        <w:t>the Law of Three</w:t>
      </w:r>
      <w:r w:rsidR="006F304D" w:rsidRPr="006F304D">
        <w:t xml:space="preserve">, </w:t>
      </w:r>
      <w:r w:rsidRPr="00AB4400">
        <w:t>the Law of Two to a Scene</w:t>
      </w:r>
      <w:r w:rsidR="006F304D" w:rsidRPr="006F304D">
        <w:t xml:space="preserve">, </w:t>
      </w:r>
      <w:r w:rsidRPr="00AB4400">
        <w:t>the Law of Contrast</w:t>
      </w:r>
      <w:r w:rsidR="006F304D" w:rsidRPr="006F304D">
        <w:t xml:space="preserve">, </w:t>
      </w:r>
      <w:r w:rsidRPr="00AB4400">
        <w:t>the Law of Twins</w:t>
      </w:r>
      <w:r w:rsidR="006F304D" w:rsidRPr="006F304D">
        <w:t xml:space="preserve">, </w:t>
      </w:r>
      <w:r w:rsidRPr="00AB4400">
        <w:t>the Importance of Final Position</w:t>
      </w:r>
      <w:r w:rsidR="006F304D" w:rsidRPr="006F304D">
        <w:t xml:space="preserve">, </w:t>
      </w:r>
      <w:r w:rsidRPr="00AB4400">
        <w:t>the Law of the Single Strand</w:t>
      </w:r>
      <w:r w:rsidR="006F304D" w:rsidRPr="006F304D">
        <w:t xml:space="preserve">, </w:t>
      </w:r>
      <w:r w:rsidRPr="00AB4400">
        <w:t>the Law of Patterning</w:t>
      </w:r>
      <w:r w:rsidR="006F304D" w:rsidRPr="006F304D">
        <w:t xml:space="preserve">, </w:t>
      </w:r>
      <w:r w:rsidRPr="00AB4400">
        <w:t>the Use of Tableaux Scenes</w:t>
      </w:r>
      <w:r w:rsidR="006F304D" w:rsidRPr="006F304D">
        <w:t xml:space="preserve">, </w:t>
      </w:r>
      <w:r w:rsidRPr="00AB4400">
        <w:t>the Logic of the Saga</w:t>
      </w:r>
      <w:r w:rsidR="006F304D" w:rsidRPr="006F304D">
        <w:t xml:space="preserve">, </w:t>
      </w:r>
      <w:r w:rsidRPr="00AB4400">
        <w:t>the Unity of Plot (both actual and ideal unity)</w:t>
      </w:r>
      <w:r w:rsidR="006F304D" w:rsidRPr="006F304D">
        <w:t xml:space="preserve">, </w:t>
      </w:r>
      <w:r w:rsidRPr="00AB4400">
        <w:t xml:space="preserve">and the Concentration on a Leading Character </w:t>
      </w:r>
      <w:r>
        <w:t>. . .</w:t>
      </w:r>
    </w:p>
    <w:p w14:paraId="66F9C6BD" w14:textId="77777777" w:rsidR="0018433B" w:rsidRDefault="0018433B" w:rsidP="0018433B">
      <w:pPr>
        <w:widowControl w:val="0"/>
      </w:pPr>
    </w:p>
    <w:p w14:paraId="174A296A" w14:textId="067EC6C9" w:rsidR="0018433B" w:rsidRPr="00AB4400" w:rsidRDefault="0018433B" w:rsidP="0018433B">
      <w:pPr>
        <w:widowControl w:val="0"/>
      </w:pPr>
      <w:r w:rsidRPr="00AB4400">
        <w:t>It is curious that so much interest in folklore studies has centered on the number three to the exclusion of the number two. For according to Dundes</w:t>
      </w:r>
      <w:r w:rsidR="006F304D" w:rsidRPr="006F304D">
        <w:t xml:space="preserve">, </w:t>
      </w:r>
      <w:r w:rsidRPr="00AB4400">
        <w:t>“‘two’ is more widely distributed in the world than ‘three’” (ibid.</w:t>
      </w:r>
      <w:r w:rsidR="006F304D" w:rsidRPr="006F304D">
        <w:t xml:space="preserve">, </w:t>
      </w:r>
      <w:r w:rsidRPr="00AB4400">
        <w:t>135).</w:t>
      </w:r>
    </w:p>
  </w:footnote>
  <w:footnote w:id="175">
    <w:p w14:paraId="13237870" w14:textId="5C037DCD" w:rsidR="0018433B" w:rsidRPr="00AB4400" w:rsidRDefault="0018433B" w:rsidP="0018433B">
      <w:pPr>
        <w:widowControl w:val="0"/>
      </w:pPr>
      <w:r w:rsidRPr="00AB4400">
        <w:rPr>
          <w:vertAlign w:val="superscript"/>
        </w:rPr>
        <w:footnoteRef/>
      </w:r>
      <w:r w:rsidRPr="00AB4400">
        <w:t xml:space="preserve"> Dundes</w:t>
      </w:r>
      <w:r w:rsidR="006F304D" w:rsidRPr="006F304D">
        <w:t xml:space="preserve">, </w:t>
      </w:r>
      <w:r w:rsidRPr="00AB4400">
        <w:t>“Number Three,” 149. For further OT examples</w:t>
      </w:r>
      <w:r w:rsidR="006F304D" w:rsidRPr="006F304D">
        <w:t xml:space="preserve">, </w:t>
      </w:r>
      <w:r w:rsidRPr="00AB4400">
        <w:t>see Alfred Lehmann</w:t>
      </w:r>
      <w:r w:rsidR="006F304D" w:rsidRPr="006F304D">
        <w:t xml:space="preserve">, </w:t>
      </w:r>
      <w:r w:rsidRPr="00AB4400">
        <w:rPr>
          <w:i/>
        </w:rPr>
        <w:t>Dreiheit und dreifache Wiederholung im deutschen Volksmärchen</w:t>
      </w:r>
      <w:r w:rsidRPr="00AB4400">
        <w:t xml:space="preserve"> (Leipzig: Robert Noske</w:t>
      </w:r>
      <w:r w:rsidR="006F304D" w:rsidRPr="006F304D">
        <w:t xml:space="preserve">, </w:t>
      </w:r>
      <w:r w:rsidRPr="00AB4400">
        <w:t>1914) 18</w:t>
      </w:r>
      <w:r w:rsidR="006F304D" w:rsidRPr="006F304D">
        <w:t xml:space="preserve">, </w:t>
      </w:r>
      <w:r w:rsidRPr="00AB4400">
        <w:t>and to Emory B. Lease</w:t>
      </w:r>
      <w:r w:rsidR="006F304D" w:rsidRPr="006F304D">
        <w:t xml:space="preserve">, </w:t>
      </w:r>
      <w:r w:rsidRPr="00AB4400">
        <w:t>“The Number Three</w:t>
      </w:r>
      <w:r w:rsidR="006F304D" w:rsidRPr="006F304D">
        <w:t xml:space="preserve">, </w:t>
      </w:r>
      <w:r w:rsidRPr="00AB4400">
        <w:t>Mysterious</w:t>
      </w:r>
      <w:r w:rsidR="006F304D" w:rsidRPr="006F304D">
        <w:t xml:space="preserve">, </w:t>
      </w:r>
      <w:r w:rsidRPr="00AB4400">
        <w:t>Mystic</w:t>
      </w:r>
      <w:r w:rsidR="006F304D" w:rsidRPr="006F304D">
        <w:t xml:space="preserve">, </w:t>
      </w:r>
      <w:r w:rsidRPr="00AB4400">
        <w:t xml:space="preserve">Magic,” </w:t>
      </w:r>
      <w:r w:rsidRPr="00AB4400">
        <w:rPr>
          <w:i/>
        </w:rPr>
        <w:t>Classical Philology</w:t>
      </w:r>
      <w:r w:rsidRPr="00AB4400">
        <w:t xml:space="preserve"> 14 (1919) 66 (cited by Dundes</w:t>
      </w:r>
      <w:r w:rsidR="006F304D" w:rsidRPr="006F304D">
        <w:t xml:space="preserve">, </w:t>
      </w:r>
      <w:r w:rsidRPr="00AB4400">
        <w:t>ibid.).</w:t>
      </w:r>
    </w:p>
  </w:footnote>
  <w:footnote w:id="176">
    <w:p w14:paraId="52D02B9D" w14:textId="2CC16F93" w:rsidR="0018433B" w:rsidRPr="00AB4400" w:rsidRDefault="0018433B" w:rsidP="0018433B">
      <w:pPr>
        <w:widowControl w:val="0"/>
      </w:pPr>
      <w:r w:rsidRPr="00AB4400">
        <w:rPr>
          <w:vertAlign w:val="superscript"/>
        </w:rPr>
        <w:footnoteRef/>
      </w:r>
      <w:r w:rsidRPr="00AB4400">
        <w:t xml:space="preserve"> Meynet</w:t>
      </w:r>
      <w:r w:rsidR="006F304D" w:rsidRPr="006F304D">
        <w:t xml:space="preserve">, </w:t>
      </w:r>
      <w:r w:rsidRPr="00AB4400">
        <w:rPr>
          <w:i/>
        </w:rPr>
        <w:t>Quelle</w:t>
      </w:r>
      <w:r w:rsidR="006F304D" w:rsidRPr="006F304D">
        <w:t xml:space="preserve">, </w:t>
      </w:r>
      <w:r w:rsidRPr="00AB4400">
        <w:t>1. 115-16 (in reference to “la loi du bilatéralisme” in the works of Marcel Jousse).</w:t>
      </w:r>
    </w:p>
  </w:footnote>
  <w:footnote w:id="177">
    <w:p w14:paraId="17261874" w14:textId="7B2BE334" w:rsidR="0018433B" w:rsidRPr="00AB4400" w:rsidRDefault="0018433B" w:rsidP="0018433B">
      <w:pPr>
        <w:widowControl w:val="0"/>
      </w:pPr>
      <w:r w:rsidRPr="00AB4400">
        <w:rPr>
          <w:vertAlign w:val="superscript"/>
        </w:rPr>
        <w:footnoteRef/>
      </w:r>
      <w:r w:rsidRPr="00AB4400">
        <w:t xml:space="preserve"> Nils Willem Lund</w:t>
      </w:r>
      <w:r w:rsidR="006F304D" w:rsidRPr="006F304D">
        <w:t xml:space="preserve">, </w:t>
      </w:r>
      <w:r w:rsidRPr="00AB4400">
        <w:rPr>
          <w:i/>
        </w:rPr>
        <w:t>Chiasmus in the New Testament</w:t>
      </w:r>
      <w:r w:rsidRPr="00AB4400">
        <w:t xml:space="preserve"> (Chapel Hill</w:t>
      </w:r>
      <w:r w:rsidR="006F304D" w:rsidRPr="006F304D">
        <w:t xml:space="preserve">, </w:t>
      </w:r>
      <w:r w:rsidRPr="00AB4400">
        <w:t>NC: University of North Carolina</w:t>
      </w:r>
      <w:r w:rsidR="006F304D" w:rsidRPr="006F304D">
        <w:t xml:space="preserve">, </w:t>
      </w:r>
      <w:r w:rsidRPr="00AB4400">
        <w:t>1942</w:t>
      </w:r>
      <w:r w:rsidR="006F304D" w:rsidRPr="006F304D">
        <w:t xml:space="preserve">, </w:t>
      </w:r>
      <w:r w:rsidRPr="00AB4400">
        <w:t>36) (Bengel “discovered the significance of chiasmus”); Meynet</w:t>
      </w:r>
      <w:r w:rsidR="006F304D" w:rsidRPr="006F304D">
        <w:t xml:space="preserve">, </w:t>
      </w:r>
      <w:r w:rsidRPr="00AB4400">
        <w:rPr>
          <w:i/>
        </w:rPr>
        <w:t>Quelle</w:t>
      </w:r>
      <w:r w:rsidR="006F304D" w:rsidRPr="006F304D">
        <w:t xml:space="preserve">, </w:t>
      </w:r>
      <w:r w:rsidRPr="00AB4400">
        <w:t>1. 116 (Bengel “is the first to draw attention to this figure”). But modern rediscovery of chiasm is not attributable to Bengel</w:t>
      </w:r>
      <w:r w:rsidR="006F304D" w:rsidRPr="006F304D">
        <w:t xml:space="preserve">, </w:t>
      </w:r>
      <w:r w:rsidRPr="00AB4400">
        <w:t>for Bengel himself (ibid.</w:t>
      </w:r>
      <w:r w:rsidR="006F304D" w:rsidRPr="006F304D">
        <w:t xml:space="preserve">, </w:t>
      </w:r>
      <w:r w:rsidRPr="00AB4400">
        <w:t>1. 118 n. 26) acknowledges that chiastic structure in scripture had already been noted by William Surenhusius (</w:t>
      </w:r>
      <w:r w:rsidRPr="00AB4400">
        <w:rPr>
          <w:i/>
        </w:rPr>
        <w:t>Biblos catallagès</w:t>
      </w:r>
      <w:r w:rsidR="006F304D" w:rsidRPr="006F304D">
        <w:t xml:space="preserve">, </w:t>
      </w:r>
      <w:r w:rsidRPr="00AB4400">
        <w:t>Amsterdam: 1713). Bengel refers to chiasm in his masterwork</w:t>
      </w:r>
      <w:r w:rsidR="006F304D" w:rsidRPr="006F304D">
        <w:t xml:space="preserve">, </w:t>
      </w:r>
      <w:r w:rsidRPr="00AB4400">
        <w:rPr>
          <w:i/>
        </w:rPr>
        <w:t>Gnomon Novi Testamenti</w:t>
      </w:r>
      <w:r w:rsidRPr="00AB4400">
        <w:t xml:space="preserve">: </w:t>
      </w:r>
      <w:r w:rsidRPr="00AB4400">
        <w:rPr>
          <w:i/>
        </w:rPr>
        <w:t>In quo ex Nativa verborum vi simplicitas</w:t>
      </w:r>
      <w:r w:rsidR="006F304D" w:rsidRPr="006F304D">
        <w:t xml:space="preserve">, </w:t>
      </w:r>
      <w:r w:rsidRPr="00AB4400">
        <w:rPr>
          <w:i/>
        </w:rPr>
        <w:t>profunditas</w:t>
      </w:r>
      <w:r w:rsidR="006F304D" w:rsidRPr="006F304D">
        <w:t xml:space="preserve">, </w:t>
      </w:r>
      <w:r w:rsidRPr="00AB4400">
        <w:rPr>
          <w:i/>
        </w:rPr>
        <w:t>concinnitas</w:t>
      </w:r>
      <w:r w:rsidR="006F304D" w:rsidRPr="006F304D">
        <w:t xml:space="preserve">, </w:t>
      </w:r>
      <w:r w:rsidRPr="00AB4400">
        <w:rPr>
          <w:i/>
        </w:rPr>
        <w:t>salubritas sensuum coelestium indicatur</w:t>
      </w:r>
      <w:r w:rsidRPr="00AB4400">
        <w:t xml:space="preserve"> (2 vols.; Tübingen: Sumtibus ac typis Io. Henr. Philippi Schrammi</w:t>
      </w:r>
      <w:r w:rsidR="006F304D" w:rsidRPr="006F304D">
        <w:t xml:space="preserve">, </w:t>
      </w:r>
      <w:r w:rsidRPr="00AB4400">
        <w:t>1742</w:t>
      </w:r>
      <w:r w:rsidR="006F304D" w:rsidRPr="006F304D">
        <w:t xml:space="preserve">, </w:t>
      </w:r>
      <w:r w:rsidRPr="00AB4400">
        <w:t>1887</w:t>
      </w:r>
      <w:r w:rsidRPr="00AB4400">
        <w:rPr>
          <w:vertAlign w:val="superscript"/>
        </w:rPr>
        <w:t>8</w:t>
      </w:r>
      <w:r w:rsidRPr="00AB4400">
        <w:t>).</w:t>
      </w:r>
    </w:p>
  </w:footnote>
  <w:footnote w:id="178">
    <w:p w14:paraId="2B84DBA1" w14:textId="7FCCEB35" w:rsidR="0018433B" w:rsidRPr="00AB4400" w:rsidRDefault="0018433B" w:rsidP="0018433B">
      <w:pPr>
        <w:widowControl w:val="0"/>
      </w:pPr>
      <w:r w:rsidRPr="00AB4400">
        <w:rPr>
          <w:vertAlign w:val="superscript"/>
        </w:rPr>
        <w:footnoteRef/>
      </w:r>
      <w:r w:rsidRPr="00AB4400">
        <w:t xml:space="preserve"> Bruce M. Metzger</w:t>
      </w:r>
      <w:r w:rsidR="006F304D" w:rsidRPr="006F304D">
        <w:t xml:space="preserve">, </w:t>
      </w:r>
      <w:r w:rsidRPr="00AB4400">
        <w:rPr>
          <w:i/>
        </w:rPr>
        <w:t>The Text of the New Testament</w:t>
      </w:r>
      <w:r w:rsidRPr="00AB4400">
        <w:t xml:space="preserve">: </w:t>
      </w:r>
      <w:r w:rsidRPr="00AB4400">
        <w:rPr>
          <w:i/>
        </w:rPr>
        <w:t>Its Transmission</w:t>
      </w:r>
      <w:r w:rsidR="006F304D" w:rsidRPr="006F304D">
        <w:t xml:space="preserve">, </w:t>
      </w:r>
      <w:r w:rsidRPr="00AB4400">
        <w:rPr>
          <w:i/>
        </w:rPr>
        <w:t>Corruption</w:t>
      </w:r>
      <w:r w:rsidR="006F304D" w:rsidRPr="006F304D">
        <w:t xml:space="preserve">, </w:t>
      </w:r>
      <w:r w:rsidRPr="00AB4400">
        <w:rPr>
          <w:i/>
        </w:rPr>
        <w:t>and Restoration</w:t>
      </w:r>
      <w:r w:rsidR="006F304D" w:rsidRPr="006F304D">
        <w:t xml:space="preserve">, </w:t>
      </w:r>
      <w:r w:rsidR="0029762C" w:rsidRPr="0029762C">
        <w:rPr>
          <w:iCs/>
        </w:rPr>
        <w:t>2nd ed.</w:t>
      </w:r>
      <w:r w:rsidRPr="00AB4400">
        <w:t xml:space="preserve"> (</w:t>
      </w:r>
      <w:r w:rsidR="00214BC2" w:rsidRPr="00214BC2">
        <w:rPr>
          <w:iCs/>
        </w:rPr>
        <w:t>Oxford: OUP</w:t>
      </w:r>
      <w:r w:rsidR="006F304D" w:rsidRPr="006F304D">
        <w:t xml:space="preserve">, </w:t>
      </w:r>
      <w:r w:rsidRPr="00AB4400">
        <w:t>1968) 112-13. Bengel was the first to: propose stemmata (arrangements of manuscripts in families); recognise the distinctness of the Byzantine</w:t>
      </w:r>
      <w:r w:rsidR="006F304D" w:rsidRPr="006F304D">
        <w:t xml:space="preserve">, </w:t>
      </w:r>
      <w:r w:rsidRPr="00AB4400">
        <w:t>Western</w:t>
      </w:r>
      <w:r w:rsidR="006F304D" w:rsidRPr="006F304D">
        <w:t xml:space="preserve">, </w:t>
      </w:r>
      <w:r w:rsidRPr="00AB4400">
        <w:t>and Alexandrian text-types; and formulate canons of textual criticism (</w:t>
      </w:r>
      <w:r w:rsidR="00775F9B" w:rsidRPr="00775F9B">
        <w:rPr>
          <w:iCs/>
        </w:rPr>
        <w:t>e.g.</w:t>
      </w:r>
      <w:r w:rsidR="006F304D" w:rsidRPr="006F304D">
        <w:t xml:space="preserve">, </w:t>
      </w:r>
      <w:r w:rsidRPr="00AB4400">
        <w:t xml:space="preserve">the </w:t>
      </w:r>
      <w:r w:rsidRPr="00AB4400">
        <w:rPr>
          <w:i/>
        </w:rPr>
        <w:t>lectio difficilior</w:t>
      </w:r>
      <w:r w:rsidRPr="00AB4400">
        <w:t>).</w:t>
      </w:r>
    </w:p>
  </w:footnote>
  <w:footnote w:id="179">
    <w:p w14:paraId="22EA7FE3" w14:textId="6379E024" w:rsidR="0018433B" w:rsidRPr="00AB4400" w:rsidRDefault="0018433B" w:rsidP="0018433B">
      <w:pPr>
        <w:widowControl w:val="0"/>
      </w:pPr>
      <w:r w:rsidRPr="00AB4400">
        <w:rPr>
          <w:vertAlign w:val="superscript"/>
        </w:rPr>
        <w:footnoteRef/>
      </w:r>
      <w:r w:rsidRPr="00AB4400">
        <w:t xml:space="preserve"> Meynet</w:t>
      </w:r>
      <w:r w:rsidR="006F304D" w:rsidRPr="006F304D">
        <w:t xml:space="preserve">, </w:t>
      </w:r>
      <w:r w:rsidRPr="00AB4400">
        <w:t>ibid.; Lund</w:t>
      </w:r>
      <w:r w:rsidR="006F304D" w:rsidRPr="006F304D">
        <w:t xml:space="preserve">, </w:t>
      </w:r>
      <w:r w:rsidRPr="00AB4400">
        <w:rPr>
          <w:i/>
        </w:rPr>
        <w:t>Chiasmus</w:t>
      </w:r>
      <w:r w:rsidR="006F304D" w:rsidRPr="006F304D">
        <w:t xml:space="preserve">, </w:t>
      </w:r>
      <w:r w:rsidRPr="00AB4400">
        <w:t>vii. (Surenhusius did not use the word.)</w:t>
      </w:r>
    </w:p>
  </w:footnote>
  <w:footnote w:id="180">
    <w:p w14:paraId="1938FD7C" w14:textId="383BD8F5" w:rsidR="0018433B" w:rsidRPr="00AB4400" w:rsidRDefault="0018433B" w:rsidP="0018433B">
      <w:pPr>
        <w:widowControl w:val="0"/>
      </w:pPr>
      <w:r w:rsidRPr="00AB4400">
        <w:rPr>
          <w:vertAlign w:val="superscript"/>
        </w:rPr>
        <w:footnoteRef/>
      </w:r>
      <w:r w:rsidRPr="00AB4400">
        <w:t xml:space="preserve"> Kennedy</w:t>
      </w:r>
      <w:r w:rsidR="006F304D" w:rsidRPr="006F304D">
        <w:t xml:space="preserve">, </w:t>
      </w:r>
      <w:r w:rsidRPr="00AB4400">
        <w:rPr>
          <w:i/>
        </w:rPr>
        <w:t>NT Interpretation</w:t>
      </w:r>
      <w:r w:rsidR="006F304D" w:rsidRPr="006F304D">
        <w:t xml:space="preserve">, </w:t>
      </w:r>
      <w:r w:rsidRPr="00AB4400">
        <w:t>28-29. See also Lund</w:t>
      </w:r>
      <w:r w:rsidR="006F304D" w:rsidRPr="006F304D">
        <w:t xml:space="preserve">, </w:t>
      </w:r>
      <w:r w:rsidRPr="00AB4400">
        <w:rPr>
          <w:i/>
        </w:rPr>
        <w:t>Chiasmus</w:t>
      </w:r>
      <w:r w:rsidR="006F304D" w:rsidRPr="006F304D">
        <w:t xml:space="preserve">, </w:t>
      </w:r>
      <w:r w:rsidRPr="00AB4400">
        <w:t>31: “According to its Greek origin the term designates a literary figure</w:t>
      </w:r>
      <w:r w:rsidR="006F304D" w:rsidRPr="006F304D">
        <w:t xml:space="preserve">, </w:t>
      </w:r>
      <w:r w:rsidRPr="00AB4400">
        <w:t>or principle</w:t>
      </w:r>
      <w:r w:rsidR="006F304D" w:rsidRPr="006F304D">
        <w:t xml:space="preserve">, </w:t>
      </w:r>
      <w:r w:rsidRPr="00AB4400">
        <w:t>which consists of ‘a placing crosswise’ of words in a sentence.”</w:t>
      </w:r>
    </w:p>
  </w:footnote>
  <w:footnote w:id="181">
    <w:p w14:paraId="3A61459B" w14:textId="3752AD51" w:rsidR="0018433B" w:rsidRPr="00AB4400" w:rsidRDefault="0018433B" w:rsidP="0018433B">
      <w:pPr>
        <w:widowControl w:val="0"/>
      </w:pPr>
      <w:r w:rsidRPr="00AB4400">
        <w:rPr>
          <w:vertAlign w:val="superscript"/>
        </w:rPr>
        <w:footnoteRef/>
      </w:r>
      <w:r w:rsidRPr="00AB4400">
        <w:t xml:space="preserve"> One often finds</w:t>
      </w:r>
      <w:r w:rsidR="006F304D" w:rsidRPr="006F304D">
        <w:t xml:space="preserve">, </w:t>
      </w:r>
      <w:r w:rsidRPr="00AB4400">
        <w:t>as a synonym for “chiasm,” a phrase with the word “concentric” in it: “concentric symmetry” (Addison G. Wright</w:t>
      </w:r>
      <w:r w:rsidR="006F304D" w:rsidRPr="006F304D">
        <w:t xml:space="preserve">, </w:t>
      </w:r>
      <w:r w:rsidRPr="00AB4400">
        <w:t xml:space="preserve">“Wisdom,” </w:t>
      </w:r>
      <w:r w:rsidRPr="00AB4400">
        <w:rPr>
          <w:i/>
        </w:rPr>
        <w:t>JBC</w:t>
      </w:r>
      <w:r w:rsidRPr="00AB4400">
        <w:t xml:space="preserve"> [</w:t>
      </w:r>
      <w:r w:rsidR="007B5BB5" w:rsidRPr="007B5BB5">
        <w:rPr>
          <w:iCs/>
        </w:rPr>
        <w:t xml:space="preserve">Englewood Cliffs </w:t>
      </w:r>
      <w:r w:rsidRPr="00AB4400">
        <w:t>NJ: Prentice-Hall</w:t>
      </w:r>
      <w:r w:rsidR="006F304D" w:rsidRPr="006F304D">
        <w:t xml:space="preserve">, </w:t>
      </w:r>
      <w:r w:rsidRPr="00AB4400">
        <w:t>1968]</w:t>
      </w:r>
      <w:r w:rsidR="006F304D" w:rsidRPr="006F304D">
        <w:t xml:space="preserve">, </w:t>
      </w:r>
      <w:r w:rsidRPr="00AB4400">
        <w:t>1. 558; Meynet</w:t>
      </w:r>
      <w:r w:rsidR="006F304D" w:rsidRPr="006F304D">
        <w:t xml:space="preserve">, </w:t>
      </w:r>
      <w:r w:rsidRPr="00AB4400">
        <w:rPr>
          <w:i/>
        </w:rPr>
        <w:t>Quelle</w:t>
      </w:r>
      <w:r w:rsidR="006F304D" w:rsidRPr="006F304D">
        <w:t xml:space="preserve">, </w:t>
      </w:r>
      <w:r w:rsidRPr="00AB4400">
        <w:t>1. 58</w:t>
      </w:r>
      <w:r w:rsidR="006F304D" w:rsidRPr="006F304D">
        <w:t xml:space="preserve">, </w:t>
      </w:r>
      <w:r w:rsidRPr="00AB4400">
        <w:t>110</w:t>
      </w:r>
      <w:r w:rsidR="006F304D" w:rsidRPr="006F304D">
        <w:t xml:space="preserve">, </w:t>
      </w:r>
      <w:r w:rsidRPr="00AB4400">
        <w:t>129); “composition concentrique” (ibid.</w:t>
      </w:r>
      <w:r w:rsidR="006F304D" w:rsidRPr="006F304D">
        <w:t xml:space="preserve">, </w:t>
      </w:r>
      <w:r w:rsidRPr="00AB4400">
        <w:t>35)</w:t>
      </w:r>
      <w:r w:rsidR="006F304D" w:rsidRPr="006F304D">
        <w:t xml:space="preserve">, </w:t>
      </w:r>
      <w:r w:rsidRPr="00AB4400">
        <w:t>“manière concentrique” (ibid.</w:t>
      </w:r>
      <w:r w:rsidR="006F304D" w:rsidRPr="006F304D">
        <w:t xml:space="preserve">, </w:t>
      </w:r>
      <w:r w:rsidRPr="00AB4400">
        <w:t>129); “concentric patterns” (Talbert</w:t>
      </w:r>
      <w:r w:rsidR="006F304D" w:rsidRPr="006F304D">
        <w:t xml:space="preserve">, </w:t>
      </w:r>
      <w:r w:rsidRPr="00AB4400">
        <w:rPr>
          <w:i/>
        </w:rPr>
        <w:t>Literary Patterns</w:t>
      </w:r>
      <w:r w:rsidR="006F304D" w:rsidRPr="006F304D">
        <w:t xml:space="preserve">, </w:t>
      </w:r>
      <w:r w:rsidRPr="00AB4400">
        <w:t>5); “concentric rings” (ibid.</w:t>
      </w:r>
      <w:r w:rsidR="006F304D" w:rsidRPr="006F304D">
        <w:t xml:space="preserve">, </w:t>
      </w:r>
      <w:r w:rsidRPr="00AB4400">
        <w:t>6). One also finds designations for the figure that incorporate the idea of inversion: “introverted parallelism” (John Jebb</w:t>
      </w:r>
      <w:r w:rsidR="006F304D" w:rsidRPr="006F304D">
        <w:t xml:space="preserve">, </w:t>
      </w:r>
      <w:r w:rsidRPr="00AB4400">
        <w:rPr>
          <w:i/>
        </w:rPr>
        <w:t>Sacred Literature</w:t>
      </w:r>
      <w:r w:rsidRPr="00AB4400">
        <w:t xml:space="preserve"> [London: 1820]</w:t>
      </w:r>
      <w:r w:rsidR="006F304D" w:rsidRPr="006F304D">
        <w:t xml:space="preserve">, </w:t>
      </w:r>
      <w:r w:rsidRPr="00AB4400">
        <w:t>cited in Lund</w:t>
      </w:r>
      <w:r w:rsidR="006F304D" w:rsidRPr="006F304D">
        <w:t xml:space="preserve">, </w:t>
      </w:r>
      <w:r w:rsidRPr="00AB4400">
        <w:rPr>
          <w:i/>
        </w:rPr>
        <w:t>Chiasmus</w:t>
      </w:r>
      <w:r w:rsidR="006F304D" w:rsidRPr="006F304D">
        <w:t xml:space="preserve">, </w:t>
      </w:r>
      <w:r w:rsidRPr="00AB4400">
        <w:t>37)</w:t>
      </w:r>
      <w:r w:rsidR="006F304D" w:rsidRPr="006F304D">
        <w:t xml:space="preserve">, </w:t>
      </w:r>
      <w:r w:rsidRPr="00AB4400">
        <w:t>“inverted parallelism” (Talbert</w:t>
      </w:r>
      <w:r w:rsidR="006F304D" w:rsidRPr="006F304D">
        <w:t xml:space="preserve">, </w:t>
      </w:r>
      <w:r w:rsidRPr="00AB4400">
        <w:rPr>
          <w:i/>
        </w:rPr>
        <w:t>Literary Patterns</w:t>
      </w:r>
      <w:r w:rsidR="006F304D" w:rsidRPr="006F304D">
        <w:t xml:space="preserve">, </w:t>
      </w:r>
      <w:r w:rsidRPr="00AB4400">
        <w:t>14)</w:t>
      </w:r>
      <w:r w:rsidR="006F304D" w:rsidRPr="006F304D">
        <w:t xml:space="preserve">, </w:t>
      </w:r>
      <w:r w:rsidRPr="00AB4400">
        <w:t>“inverted order” (Lund</w:t>
      </w:r>
      <w:r w:rsidR="006F304D" w:rsidRPr="006F304D">
        <w:t xml:space="preserve">, </w:t>
      </w:r>
      <w:r w:rsidRPr="00AB4400">
        <w:rPr>
          <w:i/>
        </w:rPr>
        <w:t>Chiasmus</w:t>
      </w:r>
      <w:r w:rsidR="006F304D" w:rsidRPr="006F304D">
        <w:t xml:space="preserve">, </w:t>
      </w:r>
      <w:r w:rsidRPr="00AB4400">
        <w:t>14</w:t>
      </w:r>
      <w:r w:rsidR="006F304D" w:rsidRPr="006F304D">
        <w:t xml:space="preserve">, </w:t>
      </w:r>
      <w:r w:rsidRPr="00AB4400">
        <w:t>38</w:t>
      </w:r>
      <w:r w:rsidR="006F304D" w:rsidRPr="006F304D">
        <w:t xml:space="preserve">, </w:t>
      </w:r>
      <w:r w:rsidRPr="00AB4400">
        <w:t>40</w:t>
      </w:r>
      <w:r w:rsidR="006F304D" w:rsidRPr="006F304D">
        <w:t xml:space="preserve">, </w:t>
      </w:r>
      <w:r w:rsidRPr="00AB4400">
        <w:t>253</w:t>
      </w:r>
      <w:r w:rsidR="006F304D" w:rsidRPr="006F304D">
        <w:t xml:space="preserve">, </w:t>
      </w:r>
      <w:r w:rsidRPr="00AB4400">
        <w:t>260). Classical scholars seem to favor the term</w:t>
      </w:r>
      <w:r w:rsidR="006F304D" w:rsidRPr="006F304D">
        <w:t xml:space="preserve">, </w:t>
      </w:r>
      <w:r w:rsidRPr="00AB4400">
        <w:t>“pedimental mode,” alluding to the structure (A B C B</w:t>
      </w:r>
      <w:r>
        <w:t>´ A´</w:t>
      </w:r>
      <w:r w:rsidRPr="00AB4400">
        <w:t>) of Greek temple pediments (Talbert</w:t>
      </w:r>
      <w:r w:rsidR="006F304D" w:rsidRPr="006F304D">
        <w:t xml:space="preserve">, </w:t>
      </w:r>
      <w:r w:rsidRPr="00AB4400">
        <w:rPr>
          <w:i/>
        </w:rPr>
        <w:t>Literary Patterns</w:t>
      </w:r>
      <w:r w:rsidR="006F304D" w:rsidRPr="006F304D">
        <w:t xml:space="preserve">, </w:t>
      </w:r>
      <w:r w:rsidRPr="00AB4400">
        <w:t>5</w:t>
      </w:r>
      <w:r w:rsidR="006F304D" w:rsidRPr="006F304D">
        <w:t xml:space="preserve">, </w:t>
      </w:r>
      <w:r w:rsidRPr="00AB4400">
        <w:t>13 n. 47). There seems no reason for preferring any of these variants to “chiasm.”</w:t>
      </w:r>
    </w:p>
  </w:footnote>
  <w:footnote w:id="182">
    <w:p w14:paraId="40B810B1" w14:textId="194CD8ED" w:rsidR="0018433B" w:rsidRPr="00E5413C" w:rsidRDefault="0018433B" w:rsidP="0018433B">
      <w:pPr>
        <w:widowControl w:val="0"/>
        <w:rPr>
          <w:lang w:val="fr-FR"/>
        </w:rPr>
      </w:pPr>
      <w:r w:rsidRPr="00AB4400">
        <w:rPr>
          <w:vertAlign w:val="superscript"/>
        </w:rPr>
        <w:footnoteRef/>
      </w:r>
      <w:r w:rsidRPr="00E5413C">
        <w:rPr>
          <w:lang w:val="fr-FR"/>
        </w:rPr>
        <w:t xml:space="preserve"> Meynet</w:t>
      </w:r>
      <w:r w:rsidR="006F304D" w:rsidRPr="00E5413C">
        <w:rPr>
          <w:lang w:val="fr-FR"/>
        </w:rPr>
        <w:t xml:space="preserve">, </w:t>
      </w:r>
      <w:r w:rsidRPr="00E5413C">
        <w:rPr>
          <w:i/>
          <w:lang w:val="fr-FR"/>
        </w:rPr>
        <w:t>Quelle</w:t>
      </w:r>
      <w:r w:rsidR="006F304D" w:rsidRPr="00E5413C">
        <w:rPr>
          <w:lang w:val="fr-FR"/>
        </w:rPr>
        <w:t xml:space="preserve">, </w:t>
      </w:r>
      <w:r w:rsidRPr="00E5413C">
        <w:rPr>
          <w:lang w:val="fr-FR"/>
        </w:rPr>
        <w:t>1. 116.</w:t>
      </w:r>
    </w:p>
  </w:footnote>
  <w:footnote w:id="183">
    <w:p w14:paraId="706537C8" w14:textId="7F2EFC9A" w:rsidR="0018433B" w:rsidRPr="00AB4400" w:rsidRDefault="0018433B" w:rsidP="0018433B">
      <w:pPr>
        <w:widowControl w:val="0"/>
      </w:pPr>
      <w:r w:rsidRPr="00AB4400">
        <w:rPr>
          <w:vertAlign w:val="superscript"/>
        </w:rPr>
        <w:footnoteRef/>
      </w:r>
      <w:r w:rsidRPr="00E5413C">
        <w:rPr>
          <w:lang w:val="fr-FR"/>
        </w:rPr>
        <w:t xml:space="preserve"> Quoted by Meynet</w:t>
      </w:r>
      <w:r w:rsidR="006F304D" w:rsidRPr="00E5413C">
        <w:rPr>
          <w:lang w:val="fr-FR"/>
        </w:rPr>
        <w:t xml:space="preserve">, </w:t>
      </w:r>
      <w:r w:rsidRPr="00E5413C">
        <w:rPr>
          <w:i/>
          <w:lang w:val="fr-FR"/>
        </w:rPr>
        <w:t>Quelle</w:t>
      </w:r>
      <w:r w:rsidR="006F304D" w:rsidRPr="00E5413C">
        <w:rPr>
          <w:lang w:val="fr-FR"/>
        </w:rPr>
        <w:t xml:space="preserve">, </w:t>
      </w:r>
      <w:r w:rsidRPr="00E5413C">
        <w:rPr>
          <w:lang w:val="fr-FR"/>
        </w:rPr>
        <w:t xml:space="preserve">1. </w:t>
      </w:r>
      <w:r w:rsidRPr="00AB4400">
        <w:t>116.</w:t>
      </w:r>
    </w:p>
  </w:footnote>
  <w:footnote w:id="184">
    <w:p w14:paraId="7619D98E" w14:textId="1DCC036A" w:rsidR="0018433B" w:rsidRDefault="0018433B" w:rsidP="0018433B">
      <w:pPr>
        <w:widowControl w:val="0"/>
      </w:pPr>
      <w:r w:rsidRPr="00AB4400">
        <w:rPr>
          <w:vertAlign w:val="superscript"/>
        </w:rPr>
        <w:footnoteRef/>
      </w:r>
      <w:r w:rsidRPr="00AB4400">
        <w:t xml:space="preserve"> For Bengel’s “direct” chiasms Meynet uses the sigla</w:t>
      </w:r>
      <w:r w:rsidR="006F304D" w:rsidRPr="006F304D">
        <w:t xml:space="preserve">, </w:t>
      </w:r>
      <w:r w:rsidRPr="00AB4400">
        <w:t>“</w:t>
      </w:r>
      <w:r>
        <w:t>A B C A´ B´ C´</w:t>
      </w:r>
      <w:r w:rsidRPr="00AB4400">
        <w:t>” (ibid.</w:t>
      </w:r>
      <w:r w:rsidR="006F304D" w:rsidRPr="006F304D">
        <w:t xml:space="preserve">, </w:t>
      </w:r>
      <w:r w:rsidRPr="00AB4400">
        <w:t>122). Lund (</w:t>
      </w:r>
      <w:r w:rsidRPr="00AB4400">
        <w:rPr>
          <w:i/>
        </w:rPr>
        <w:t>Chiasmus</w:t>
      </w:r>
      <w:r w:rsidR="006F304D" w:rsidRPr="006F304D">
        <w:t xml:space="preserve">, </w:t>
      </w:r>
      <w:r w:rsidRPr="00AB4400">
        <w:t>35) prefers another name for “direct” chiasms:</w:t>
      </w:r>
    </w:p>
    <w:p w14:paraId="58BC1DFC" w14:textId="77777777" w:rsidR="0018433B" w:rsidRPr="00AB4400" w:rsidRDefault="0018433B" w:rsidP="0018433B">
      <w:pPr>
        <w:widowControl w:val="0"/>
      </w:pPr>
    </w:p>
    <w:p w14:paraId="43D7410F" w14:textId="028BE519" w:rsidR="0018433B" w:rsidRPr="00AB4400" w:rsidRDefault="0018433B" w:rsidP="0018433B">
      <w:pPr>
        <w:widowControl w:val="0"/>
        <w:ind w:left="720" w:right="720"/>
      </w:pPr>
      <w:r w:rsidRPr="00AB4400">
        <w:t xml:space="preserve">In accordance with the practice of the early English writers we shall designate these </w:t>
      </w:r>
      <w:r w:rsidRPr="00AB4400">
        <w:rPr>
          <w:i/>
        </w:rPr>
        <w:t>alternating</w:t>
      </w:r>
      <w:r w:rsidRPr="00AB4400">
        <w:t xml:space="preserve"> parallelisms and reserve the term chiasmus only for those instances in which there is an inversion of the terms or ideas</w:t>
      </w:r>
      <w:r>
        <w:t>. . . .</w:t>
      </w:r>
      <w:r w:rsidRPr="00AB4400">
        <w:t xml:space="preserve"> both kinds of parallelism</w:t>
      </w:r>
      <w:r w:rsidR="006F304D" w:rsidRPr="006F304D">
        <w:t xml:space="preserve">, </w:t>
      </w:r>
      <w:r w:rsidRPr="00AB4400">
        <w:t>alternating and chiastic</w:t>
      </w:r>
      <w:r w:rsidR="006F304D" w:rsidRPr="006F304D">
        <w:t xml:space="preserve">, </w:t>
      </w:r>
      <w:r>
        <w:t>. . .</w:t>
      </w:r>
      <w:r w:rsidRPr="00AB4400">
        <w:t xml:space="preserve"> are often found in combination.</w:t>
      </w:r>
    </w:p>
    <w:p w14:paraId="33E7C799" w14:textId="77777777" w:rsidR="0018433B" w:rsidRDefault="0018433B" w:rsidP="0018433B">
      <w:pPr>
        <w:widowControl w:val="0"/>
      </w:pPr>
    </w:p>
    <w:p w14:paraId="5DE108AE" w14:textId="2DF22ADD" w:rsidR="0018433B" w:rsidRPr="00AB4400" w:rsidRDefault="0018433B" w:rsidP="0018433B">
      <w:pPr>
        <w:widowControl w:val="0"/>
      </w:pPr>
      <w:r w:rsidRPr="00AB4400">
        <w:t>When the two kinds are combined</w:t>
      </w:r>
      <w:r w:rsidR="006F304D" w:rsidRPr="006F304D">
        <w:t xml:space="preserve">, </w:t>
      </w:r>
      <w:r w:rsidRPr="00AB4400">
        <w:t>Lund explains</w:t>
      </w:r>
      <w:r w:rsidR="006F304D" w:rsidRPr="006F304D">
        <w:t xml:space="preserve">, </w:t>
      </w:r>
      <w:r w:rsidRPr="00AB4400">
        <w:t>the resulting structure may either begin with chiasm</w:t>
      </w:r>
      <w:r w:rsidR="006F304D" w:rsidRPr="006F304D">
        <w:t xml:space="preserve">, </w:t>
      </w:r>
      <w:r w:rsidRPr="00AB4400">
        <w:t>shift to alternating lines at the center</w:t>
      </w:r>
      <w:r w:rsidR="006F304D" w:rsidRPr="006F304D">
        <w:t xml:space="preserve">, </w:t>
      </w:r>
      <w:r w:rsidRPr="00AB4400">
        <w:t>and end with chiasm; or it may begin with alternation</w:t>
      </w:r>
      <w:r w:rsidR="006F304D" w:rsidRPr="006F304D">
        <w:t xml:space="preserve">, </w:t>
      </w:r>
      <w:r w:rsidRPr="00AB4400">
        <w:t>shift to chiasm at the center</w:t>
      </w:r>
      <w:r w:rsidR="006F304D" w:rsidRPr="006F304D">
        <w:t xml:space="preserve">, </w:t>
      </w:r>
      <w:r w:rsidRPr="00AB4400">
        <w:t>and end with alternation (ibid.</w:t>
      </w:r>
      <w:r w:rsidR="006F304D" w:rsidRPr="006F304D">
        <w:t xml:space="preserve">, </w:t>
      </w:r>
      <w:r w:rsidRPr="00AB4400">
        <w:t>44). (“Alternating parallelism” does not really describe very well the pattern</w:t>
      </w:r>
      <w:r w:rsidR="006F304D" w:rsidRPr="006F304D">
        <w:t xml:space="preserve">, </w:t>
      </w:r>
      <w:r w:rsidRPr="00AB4400">
        <w:t>A B C</w:t>
      </w:r>
      <w:r w:rsidR="006F304D" w:rsidRPr="006F304D">
        <w:t xml:space="preserve">, </w:t>
      </w:r>
      <w:r>
        <w:t>A´ B´ C´</w:t>
      </w:r>
      <w:r w:rsidRPr="00AB4400">
        <w:t>; nevertheless</w:t>
      </w:r>
      <w:r w:rsidR="006F304D" w:rsidRPr="006F304D">
        <w:t xml:space="preserve">, </w:t>
      </w:r>
      <w:r w:rsidRPr="00AB4400">
        <w:t>it has become the traditional term.)</w:t>
      </w:r>
    </w:p>
  </w:footnote>
  <w:footnote w:id="185">
    <w:p w14:paraId="1D16DBB9" w14:textId="116AEC78" w:rsidR="0018433B" w:rsidRPr="00AB4400" w:rsidRDefault="0018433B" w:rsidP="0018433B">
      <w:pPr>
        <w:widowControl w:val="0"/>
      </w:pPr>
      <w:r w:rsidRPr="00AB4400">
        <w:rPr>
          <w:vertAlign w:val="superscript"/>
        </w:rPr>
        <w:footnoteRef/>
      </w:r>
      <w:r w:rsidRPr="00AB4400">
        <w:t xml:space="preserve"> Robert Lowth</w:t>
      </w:r>
      <w:r w:rsidR="006F304D" w:rsidRPr="006F304D">
        <w:t xml:space="preserve">, </w:t>
      </w:r>
      <w:r w:rsidRPr="00AB4400">
        <w:rPr>
          <w:i/>
        </w:rPr>
        <w:t>Isaiah</w:t>
      </w:r>
      <w:r w:rsidR="006F304D" w:rsidRPr="006F304D">
        <w:t xml:space="preserve">, </w:t>
      </w:r>
      <w:r w:rsidRPr="00AB4400">
        <w:rPr>
          <w:i/>
        </w:rPr>
        <w:t>A New Translation</w:t>
      </w:r>
      <w:r w:rsidR="006F304D" w:rsidRPr="006F304D">
        <w:t xml:space="preserve">, </w:t>
      </w:r>
      <w:r w:rsidRPr="00AB4400">
        <w:rPr>
          <w:i/>
        </w:rPr>
        <w:t>with a Preliminary Dissertation and Notes Critical</w:t>
      </w:r>
      <w:r w:rsidR="006F304D" w:rsidRPr="006F304D">
        <w:t xml:space="preserve">, </w:t>
      </w:r>
      <w:r w:rsidRPr="00AB4400">
        <w:rPr>
          <w:i/>
        </w:rPr>
        <w:t>Philological</w:t>
      </w:r>
      <w:r w:rsidR="006F304D" w:rsidRPr="006F304D">
        <w:t xml:space="preserve">, </w:t>
      </w:r>
      <w:r w:rsidRPr="00AB4400">
        <w:rPr>
          <w:i/>
        </w:rPr>
        <w:t>and Explanatory</w:t>
      </w:r>
      <w:r w:rsidRPr="00AB4400">
        <w:t xml:space="preserve"> (Boston: Joseph T. Buckingham</w:t>
      </w:r>
      <w:r w:rsidR="006F304D" w:rsidRPr="006F304D">
        <w:t xml:space="preserve">, </w:t>
      </w:r>
      <w:r w:rsidRPr="00AB4400">
        <w:t>1815 [1778</w:t>
      </w:r>
      <w:r w:rsidRPr="00AB4400">
        <w:rPr>
          <w:vertAlign w:val="superscript"/>
        </w:rPr>
        <w:t>1</w:t>
      </w:r>
      <w:r w:rsidRPr="00AB4400">
        <w:t>]) (cited in Lund</w:t>
      </w:r>
      <w:r w:rsidR="006F304D" w:rsidRPr="006F304D">
        <w:t xml:space="preserve">, </w:t>
      </w:r>
      <w:r w:rsidRPr="00AB4400">
        <w:rPr>
          <w:i/>
        </w:rPr>
        <w:t>Chiasmus</w:t>
      </w:r>
      <w:r w:rsidR="006F304D" w:rsidRPr="006F304D">
        <w:t xml:space="preserve">, </w:t>
      </w:r>
      <w:r w:rsidRPr="00AB4400">
        <w:t>33). For his lectures on Hebrew parallelism</w:t>
      </w:r>
      <w:r w:rsidR="006F304D" w:rsidRPr="006F304D">
        <w:t xml:space="preserve">, </w:t>
      </w:r>
      <w:r w:rsidRPr="00AB4400">
        <w:t>first delivered in 1753</w:t>
      </w:r>
      <w:r w:rsidR="006F304D" w:rsidRPr="006F304D">
        <w:t xml:space="preserve">, </w:t>
      </w:r>
      <w:r w:rsidRPr="00AB4400">
        <w:t xml:space="preserve">see </w:t>
      </w:r>
      <w:r w:rsidRPr="00AB4400">
        <w:rPr>
          <w:i/>
        </w:rPr>
        <w:t>De sacra poesi Hebraeorum</w:t>
      </w:r>
      <w:r w:rsidRPr="00AB4400">
        <w:t xml:space="preserve">: </w:t>
      </w:r>
      <w:r w:rsidRPr="00AB4400">
        <w:rPr>
          <w:i/>
        </w:rPr>
        <w:t>praelectiones academicae Oxonii habitae</w:t>
      </w:r>
      <w:r w:rsidRPr="00AB4400">
        <w:t xml:space="preserve"> (Leipzig: A. G. Weigel</w:t>
      </w:r>
      <w:r w:rsidR="006F304D" w:rsidRPr="006F304D">
        <w:t xml:space="preserve">, </w:t>
      </w:r>
      <w:r w:rsidRPr="00AB4400">
        <w:t xml:space="preserve">1815) (English: </w:t>
      </w:r>
      <w:r w:rsidRPr="00AB4400">
        <w:rPr>
          <w:i/>
        </w:rPr>
        <w:t>Lectures on the Sacred Poetry of the Hebrews</w:t>
      </w:r>
      <w:r w:rsidR="006F304D" w:rsidRPr="006F304D">
        <w:t xml:space="preserve">, </w:t>
      </w:r>
      <w:r w:rsidRPr="00AB4400">
        <w:t>London: printed for J. Johnson</w:t>
      </w:r>
      <w:r w:rsidR="006F304D" w:rsidRPr="006F304D">
        <w:t xml:space="preserve">, </w:t>
      </w:r>
      <w:r w:rsidRPr="00AB4400">
        <w:t>1787) (cited in Lund</w:t>
      </w:r>
      <w:r w:rsidR="006F304D" w:rsidRPr="006F304D">
        <w:t xml:space="preserve">, </w:t>
      </w:r>
      <w:r w:rsidRPr="00AB4400">
        <w:rPr>
          <w:i/>
        </w:rPr>
        <w:t>Chiasmus</w:t>
      </w:r>
      <w:r w:rsidR="006F304D" w:rsidRPr="006F304D">
        <w:t xml:space="preserve">, </w:t>
      </w:r>
      <w:r w:rsidRPr="00AB4400">
        <w:t>33</w:t>
      </w:r>
      <w:r w:rsidR="006F304D" w:rsidRPr="006F304D">
        <w:t xml:space="preserve">, </w:t>
      </w:r>
      <w:r w:rsidRPr="00AB4400">
        <w:t>36 n. 3; and in Otto Eissfeldt</w:t>
      </w:r>
      <w:r w:rsidR="006F304D" w:rsidRPr="006F304D">
        <w:t xml:space="preserve">, </w:t>
      </w:r>
      <w:r w:rsidRPr="00AB4400">
        <w:rPr>
          <w:i/>
        </w:rPr>
        <w:t>The Old Testament</w:t>
      </w:r>
      <w:r w:rsidRPr="00AB4400">
        <w:t xml:space="preserve">: </w:t>
      </w:r>
      <w:r w:rsidRPr="00AB4400">
        <w:rPr>
          <w:i/>
        </w:rPr>
        <w:t>An Introduction</w:t>
      </w:r>
      <w:r w:rsidRPr="00AB4400">
        <w:t xml:space="preserve"> [New York: </w:t>
      </w:r>
      <w:r w:rsidR="00E95268" w:rsidRPr="00E95268">
        <w:rPr>
          <w:iCs/>
        </w:rPr>
        <w:t>Harper and Row</w:t>
      </w:r>
      <w:r w:rsidR="006F304D" w:rsidRPr="006F304D">
        <w:t xml:space="preserve">, </w:t>
      </w:r>
      <w:r w:rsidRPr="00AB4400">
        <w:t>1965] 3).</w:t>
      </w:r>
    </w:p>
  </w:footnote>
  <w:footnote w:id="186">
    <w:p w14:paraId="10F7F9E3" w14:textId="50E58FF6" w:rsidR="0018433B" w:rsidRPr="00AB4400" w:rsidRDefault="0018433B" w:rsidP="0018433B">
      <w:pPr>
        <w:widowControl w:val="0"/>
      </w:pPr>
      <w:r w:rsidRPr="00AB4400">
        <w:rPr>
          <w:vertAlign w:val="superscript"/>
        </w:rPr>
        <w:footnoteRef/>
      </w:r>
      <w:r w:rsidRPr="00AB4400">
        <w:t xml:space="preserve"> Jebb</w:t>
      </w:r>
      <w:r w:rsidR="006F304D" w:rsidRPr="006F304D">
        <w:t xml:space="preserve">, </w:t>
      </w:r>
      <w:r w:rsidRPr="00AB4400">
        <w:rPr>
          <w:i/>
        </w:rPr>
        <w:t>Sacred Literature</w:t>
      </w:r>
      <w:r w:rsidR="006F304D" w:rsidRPr="006F304D">
        <w:t xml:space="preserve">, </w:t>
      </w:r>
      <w:r w:rsidRPr="00AB4400">
        <w:t>quoted in Lund</w:t>
      </w:r>
      <w:r w:rsidR="006F304D" w:rsidRPr="006F304D">
        <w:t xml:space="preserve">, </w:t>
      </w:r>
      <w:r w:rsidRPr="00AB4400">
        <w:rPr>
          <w:i/>
        </w:rPr>
        <w:t>Chiasmus</w:t>
      </w:r>
      <w:r w:rsidR="006F304D" w:rsidRPr="006F304D">
        <w:t xml:space="preserve">, </w:t>
      </w:r>
      <w:r w:rsidRPr="00AB4400">
        <w:t>37.</w:t>
      </w:r>
    </w:p>
  </w:footnote>
  <w:footnote w:id="187">
    <w:p w14:paraId="143A3D5A" w14:textId="1D8206C1" w:rsidR="0018433B" w:rsidRPr="00AB4400" w:rsidRDefault="0018433B" w:rsidP="0018433B">
      <w:pPr>
        <w:widowControl w:val="0"/>
      </w:pPr>
      <w:r w:rsidRPr="00AB4400">
        <w:rPr>
          <w:vertAlign w:val="superscript"/>
        </w:rPr>
        <w:footnoteRef/>
      </w:r>
      <w:r w:rsidRPr="00AB4400">
        <w:rPr>
          <w:i/>
        </w:rPr>
        <w:t xml:space="preserve"> Tactica Sacra</w:t>
      </w:r>
      <w:r w:rsidR="006F304D" w:rsidRPr="006F304D">
        <w:t xml:space="preserve">, </w:t>
      </w:r>
      <w:r w:rsidRPr="00AB4400">
        <w:t xml:space="preserve">1824; </w:t>
      </w:r>
      <w:r w:rsidRPr="00AB4400">
        <w:rPr>
          <w:i/>
        </w:rPr>
        <w:t>Key to the Book of Psalms</w:t>
      </w:r>
      <w:r w:rsidRPr="00AB4400">
        <w:t xml:space="preserve"> (London: L. B. Seely</w:t>
      </w:r>
      <w:r w:rsidR="006F304D" w:rsidRPr="006F304D">
        <w:t xml:space="preserve">, </w:t>
      </w:r>
      <w:r w:rsidRPr="00AB4400">
        <w:t>1825) (cited in Lund</w:t>
      </w:r>
      <w:r w:rsidR="006F304D" w:rsidRPr="006F304D">
        <w:t xml:space="preserve">, </w:t>
      </w:r>
      <w:r w:rsidRPr="00AB4400">
        <w:rPr>
          <w:i/>
        </w:rPr>
        <w:t>Chiasmus</w:t>
      </w:r>
      <w:r w:rsidR="006F304D" w:rsidRPr="006F304D">
        <w:t xml:space="preserve">, </w:t>
      </w:r>
      <w:r w:rsidRPr="00AB4400">
        <w:t>38 n. 9). The second book was issued in a new edition by E. W. Bullinger (London: 1890). The first edition contained sixteen examples of chiasm.</w:t>
      </w:r>
    </w:p>
  </w:footnote>
  <w:footnote w:id="188">
    <w:p w14:paraId="19506EE7" w14:textId="08B608AE" w:rsidR="0018433B" w:rsidRPr="00AB4400" w:rsidRDefault="0018433B" w:rsidP="0018433B">
      <w:pPr>
        <w:widowControl w:val="0"/>
      </w:pPr>
      <w:r w:rsidRPr="00AB4400">
        <w:rPr>
          <w:vertAlign w:val="superscript"/>
        </w:rPr>
        <w:footnoteRef/>
      </w:r>
      <w:r w:rsidRPr="00AB4400">
        <w:rPr>
          <w:i/>
        </w:rPr>
        <w:t xml:space="preserve"> The Symmetrical Structure of Scripture</w:t>
      </w:r>
      <w:r w:rsidR="006F304D" w:rsidRPr="006F304D">
        <w:t xml:space="preserve">, </w:t>
      </w:r>
      <w:r w:rsidRPr="00AB4400">
        <w:rPr>
          <w:i/>
        </w:rPr>
        <w:t>or The Principles of Scripture Parallelism Exemplified</w:t>
      </w:r>
      <w:r w:rsidR="006F304D" w:rsidRPr="006F304D">
        <w:t xml:space="preserve">, </w:t>
      </w:r>
      <w:r w:rsidRPr="00AB4400">
        <w:rPr>
          <w:i/>
        </w:rPr>
        <w:t>in an Analysis of the Decalogue</w:t>
      </w:r>
      <w:r w:rsidR="006F304D" w:rsidRPr="006F304D">
        <w:t xml:space="preserve">, </w:t>
      </w:r>
      <w:r w:rsidRPr="00AB4400">
        <w:rPr>
          <w:i/>
        </w:rPr>
        <w:t>the Sermon on the Mount</w:t>
      </w:r>
      <w:r w:rsidR="006F304D" w:rsidRPr="006F304D">
        <w:t xml:space="preserve">, </w:t>
      </w:r>
      <w:r w:rsidRPr="00AB4400">
        <w:rPr>
          <w:i/>
        </w:rPr>
        <w:t>and Other Passages of Sacred Writings</w:t>
      </w:r>
      <w:r w:rsidRPr="00AB4400">
        <w:t xml:space="preserve"> (Edinburgh: Clark</w:t>
      </w:r>
      <w:r w:rsidR="006F304D" w:rsidRPr="006F304D">
        <w:t xml:space="preserve">, </w:t>
      </w:r>
      <w:r w:rsidRPr="00AB4400">
        <w:t xml:space="preserve">1854); </w:t>
      </w:r>
      <w:r w:rsidRPr="00AB4400">
        <w:rPr>
          <w:i/>
        </w:rPr>
        <w:t>Analytical Commentary on the Epistle to the Romans</w:t>
      </w:r>
      <w:r w:rsidRPr="00AB4400">
        <w:t xml:space="preserve"> (Edinburgh: Clark</w:t>
      </w:r>
      <w:r w:rsidR="006F304D" w:rsidRPr="006F304D">
        <w:t xml:space="preserve">, </w:t>
      </w:r>
      <w:r w:rsidRPr="00AB4400">
        <w:t>1868) (cited in Lund</w:t>
      </w:r>
      <w:r w:rsidR="006F304D" w:rsidRPr="006F304D">
        <w:t xml:space="preserve">, </w:t>
      </w:r>
      <w:r w:rsidRPr="00AB4400">
        <w:rPr>
          <w:i/>
        </w:rPr>
        <w:t>Chiasmus</w:t>
      </w:r>
      <w:r w:rsidR="006F304D" w:rsidRPr="006F304D">
        <w:t xml:space="preserve">, </w:t>
      </w:r>
      <w:r w:rsidRPr="00AB4400">
        <w:t>39 n. 12).</w:t>
      </w:r>
    </w:p>
  </w:footnote>
  <w:footnote w:id="189">
    <w:p w14:paraId="3DBB5927" w14:textId="4C5D0A96" w:rsidR="0018433B" w:rsidRPr="00AB4400" w:rsidRDefault="0018433B" w:rsidP="0018433B">
      <w:pPr>
        <w:widowControl w:val="0"/>
      </w:pPr>
      <w:r w:rsidRPr="00AB4400">
        <w:rPr>
          <w:vertAlign w:val="superscript"/>
        </w:rPr>
        <w:footnoteRef/>
      </w:r>
      <w:r w:rsidRPr="00AB4400">
        <w:rPr>
          <w:i/>
        </w:rPr>
        <w:t xml:space="preserve"> Lectures on the Apocalypse</w:t>
      </w:r>
      <w:r w:rsidRPr="00AB4400">
        <w:t xml:space="preserve"> (3rd ed.; London: 1892) (cited in Lund</w:t>
      </w:r>
      <w:r w:rsidR="006F304D" w:rsidRPr="006F304D">
        <w:t xml:space="preserve">, </w:t>
      </w:r>
      <w:r w:rsidRPr="00AB4400">
        <w:rPr>
          <w:i/>
        </w:rPr>
        <w:t>Chiasmus</w:t>
      </w:r>
      <w:r w:rsidR="006F304D" w:rsidRPr="006F304D">
        <w:t xml:space="preserve">, </w:t>
      </w:r>
      <w:r w:rsidRPr="00AB4400">
        <w:t>39 n. 14).</w:t>
      </w:r>
    </w:p>
  </w:footnote>
  <w:footnote w:id="190">
    <w:p w14:paraId="575800B6" w14:textId="0085110D" w:rsidR="0018433B" w:rsidRPr="00AB4400" w:rsidRDefault="0018433B" w:rsidP="0018433B">
      <w:pPr>
        <w:widowControl w:val="0"/>
      </w:pPr>
      <w:r w:rsidRPr="00AB4400">
        <w:rPr>
          <w:vertAlign w:val="superscript"/>
        </w:rPr>
        <w:footnoteRef/>
      </w:r>
      <w:r w:rsidRPr="00AB4400">
        <w:t xml:space="preserve"> Ernest W. Bullinger</w:t>
      </w:r>
      <w:r w:rsidR="006F304D" w:rsidRPr="006F304D">
        <w:t xml:space="preserve">, </w:t>
      </w:r>
      <w:r w:rsidRPr="00AB4400">
        <w:t>ed.</w:t>
      </w:r>
      <w:r w:rsidR="006F304D" w:rsidRPr="006F304D">
        <w:t xml:space="preserve">, </w:t>
      </w:r>
      <w:r w:rsidRPr="00AB4400">
        <w:rPr>
          <w:i/>
        </w:rPr>
        <w:t>The Companion Bible</w:t>
      </w:r>
      <w:r w:rsidRPr="00AB4400">
        <w:t xml:space="preserve"> (</w:t>
      </w:r>
      <w:r w:rsidR="00214BC2" w:rsidRPr="00214BC2">
        <w:rPr>
          <w:iCs/>
        </w:rPr>
        <w:t>Oxford: OUP</w:t>
      </w:r>
      <w:r w:rsidRPr="00AB4400">
        <w:t xml:space="preserve">); </w:t>
      </w:r>
      <w:r w:rsidRPr="00AB4400">
        <w:rPr>
          <w:i/>
        </w:rPr>
        <w:t>Figures of Speech Used in the Bible Explained and Illustrated</w:t>
      </w:r>
      <w:r w:rsidRPr="00AB4400">
        <w:t xml:space="preserve"> (London: 1898; rpt. ed.</w:t>
      </w:r>
      <w:r w:rsidR="006F304D" w:rsidRPr="006F304D">
        <w:t xml:space="preserve">, </w:t>
      </w:r>
      <w:r w:rsidR="00DC3006" w:rsidRPr="00DC3006">
        <w:rPr>
          <w:iCs/>
        </w:rPr>
        <w:t>Grand Rapids MI</w:t>
      </w:r>
      <w:r w:rsidRPr="00AB4400">
        <w:t>: Baker</w:t>
      </w:r>
      <w:r w:rsidR="006F304D" w:rsidRPr="006F304D">
        <w:t xml:space="preserve">, </w:t>
      </w:r>
      <w:r w:rsidRPr="00AB4400">
        <w:t>1969).</w:t>
      </w:r>
    </w:p>
  </w:footnote>
  <w:footnote w:id="191">
    <w:p w14:paraId="66203443" w14:textId="5875E5F4" w:rsidR="0018433B" w:rsidRPr="00E5413C" w:rsidRDefault="0018433B" w:rsidP="0018433B">
      <w:pPr>
        <w:widowControl w:val="0"/>
        <w:rPr>
          <w:lang w:val="fr-FR"/>
        </w:rPr>
      </w:pPr>
      <w:r w:rsidRPr="00AB4400">
        <w:rPr>
          <w:vertAlign w:val="superscript"/>
        </w:rPr>
        <w:footnoteRef/>
      </w:r>
      <w:r w:rsidRPr="00E5413C">
        <w:rPr>
          <w:lang w:val="fr-FR"/>
        </w:rPr>
        <w:t xml:space="preserve"> “Un psaume d’imprécation (Ps. 108</w:t>
      </w:r>
      <w:r w:rsidR="006F304D" w:rsidRPr="00E5413C">
        <w:rPr>
          <w:lang w:val="fr-FR"/>
        </w:rPr>
        <w:t xml:space="preserve">, </w:t>
      </w:r>
      <w:r w:rsidRPr="00E5413C">
        <w:rPr>
          <w:lang w:val="fr-FR"/>
        </w:rPr>
        <w:t xml:space="preserve">hébr. 109),” </w:t>
      </w:r>
      <w:r w:rsidRPr="00E5413C">
        <w:rPr>
          <w:i/>
          <w:lang w:val="fr-FR"/>
        </w:rPr>
        <w:t>Revue théologique française</w:t>
      </w:r>
      <w:r w:rsidRPr="00E5413C">
        <w:rPr>
          <w:lang w:val="fr-FR"/>
        </w:rPr>
        <w:t xml:space="preserve"> (May 1901) 246-52; </w:t>
      </w:r>
      <w:r w:rsidRPr="00E5413C">
        <w:rPr>
          <w:i/>
          <w:lang w:val="fr-FR"/>
        </w:rPr>
        <w:t>Le Livre d</w:t>
      </w:r>
      <w:r w:rsidRPr="00E5413C">
        <w:rPr>
          <w:lang w:val="fr-FR"/>
        </w:rPr>
        <w:t>’</w:t>
      </w:r>
      <w:r w:rsidRPr="00E5413C">
        <w:rPr>
          <w:i/>
          <w:lang w:val="fr-FR"/>
        </w:rPr>
        <w:t>Isaïe</w:t>
      </w:r>
      <w:r w:rsidRPr="00E5413C">
        <w:rPr>
          <w:lang w:val="fr-FR"/>
        </w:rPr>
        <w:t xml:space="preserve"> (Paris: Victor Lecoffre</w:t>
      </w:r>
      <w:r w:rsidR="006F304D" w:rsidRPr="00E5413C">
        <w:rPr>
          <w:lang w:val="fr-FR"/>
        </w:rPr>
        <w:t xml:space="preserve">, </w:t>
      </w:r>
      <w:r w:rsidRPr="00E5413C">
        <w:rPr>
          <w:lang w:val="fr-FR"/>
        </w:rPr>
        <w:t xml:space="preserve">1905); </w:t>
      </w:r>
      <w:r w:rsidRPr="00E5413C">
        <w:rPr>
          <w:i/>
          <w:lang w:val="fr-FR"/>
        </w:rPr>
        <w:t>Le Livre de Jérémie</w:t>
      </w:r>
      <w:r w:rsidRPr="00E5413C">
        <w:rPr>
          <w:lang w:val="fr-FR"/>
        </w:rPr>
        <w:t xml:space="preserve"> (Paris: Gabalda</w:t>
      </w:r>
      <w:r w:rsidR="006F304D" w:rsidRPr="00E5413C">
        <w:rPr>
          <w:lang w:val="fr-FR"/>
        </w:rPr>
        <w:t xml:space="preserve">, </w:t>
      </w:r>
      <w:r w:rsidRPr="00E5413C">
        <w:rPr>
          <w:lang w:val="fr-FR"/>
        </w:rPr>
        <w:t xml:space="preserve">1920); </w:t>
      </w:r>
      <w:r w:rsidRPr="00E5413C">
        <w:rPr>
          <w:i/>
          <w:lang w:val="fr-FR"/>
        </w:rPr>
        <w:t>Poèmes de la Bible avec une introduction sur la strophique hébraïque</w:t>
      </w:r>
      <w:r w:rsidRPr="00E5413C">
        <w:rPr>
          <w:lang w:val="fr-FR"/>
        </w:rPr>
        <w:t xml:space="preserve"> (Paris: Beauchesne</w:t>
      </w:r>
      <w:r w:rsidR="006F304D" w:rsidRPr="00E5413C">
        <w:rPr>
          <w:lang w:val="fr-FR"/>
        </w:rPr>
        <w:t xml:space="preserve">, </w:t>
      </w:r>
      <w:r w:rsidRPr="00E5413C">
        <w:rPr>
          <w:lang w:val="fr-FR"/>
        </w:rPr>
        <w:t>1933).</w:t>
      </w:r>
    </w:p>
  </w:footnote>
  <w:footnote w:id="192">
    <w:p w14:paraId="7C81C8A0" w14:textId="31CAE48A" w:rsidR="0018433B" w:rsidRPr="00AB4400" w:rsidRDefault="0018433B" w:rsidP="0018433B">
      <w:pPr>
        <w:widowControl w:val="0"/>
      </w:pPr>
      <w:r w:rsidRPr="00AB4400">
        <w:rPr>
          <w:vertAlign w:val="superscript"/>
        </w:rPr>
        <w:footnoteRef/>
      </w:r>
      <w:r w:rsidRPr="00AB4400">
        <w:t xml:space="preserve"> For more recent studies that apply the principle of chiasm to scriptural texts</w:t>
      </w:r>
      <w:r w:rsidR="006F304D" w:rsidRPr="006F304D">
        <w:t xml:space="preserve">, </w:t>
      </w:r>
      <w:r w:rsidRPr="00AB4400">
        <w:t>see: John Bligh</w:t>
      </w:r>
      <w:r w:rsidR="006F304D" w:rsidRPr="006F304D">
        <w:t xml:space="preserve">, </w:t>
      </w:r>
      <w:r w:rsidRPr="00AB4400">
        <w:rPr>
          <w:i/>
        </w:rPr>
        <w:t>Chiastic Analysis of the Epistle to the Hebrews</w:t>
      </w:r>
      <w:r w:rsidRPr="00AB4400">
        <w:t xml:space="preserve"> (Oxford: Athenaeum</w:t>
      </w:r>
      <w:r w:rsidR="006F304D" w:rsidRPr="006F304D">
        <w:t xml:space="preserve">, </w:t>
      </w:r>
      <w:r w:rsidRPr="00AB4400">
        <w:t xml:space="preserve">1966); </w:t>
      </w:r>
      <w:r w:rsidRPr="00AB4400">
        <w:rPr>
          <w:i/>
        </w:rPr>
        <w:t>idem</w:t>
      </w:r>
      <w:r w:rsidR="006F304D" w:rsidRPr="006F304D">
        <w:t xml:space="preserve">, </w:t>
      </w:r>
      <w:r w:rsidRPr="00AB4400">
        <w:rPr>
          <w:i/>
        </w:rPr>
        <w:t>Galatians</w:t>
      </w:r>
      <w:r w:rsidRPr="00AB4400">
        <w:t xml:space="preserve"> (London: St. Paul Publications</w:t>
      </w:r>
      <w:r w:rsidR="006F304D" w:rsidRPr="006F304D">
        <w:t xml:space="preserve">, </w:t>
      </w:r>
      <w:r w:rsidRPr="00AB4400">
        <w:t>1969) 7-14 (on Acts 13-14); M.-E. Boismard</w:t>
      </w:r>
      <w:r w:rsidR="006F304D" w:rsidRPr="006F304D">
        <w:t xml:space="preserve">, </w:t>
      </w:r>
      <w:r w:rsidRPr="00AB4400">
        <w:rPr>
          <w:i/>
        </w:rPr>
        <w:t>Synopse des quatre évangiles</w:t>
      </w:r>
      <w:r w:rsidRPr="00AB4400">
        <w:t xml:space="preserve"> (Paris: Cerf</w:t>
      </w:r>
      <w:r w:rsidR="006F304D" w:rsidRPr="006F304D">
        <w:t xml:space="preserve">, </w:t>
      </w:r>
      <w:r w:rsidRPr="00AB4400">
        <w:t>1972)</w:t>
      </w:r>
      <w:r w:rsidR="006F304D" w:rsidRPr="006F304D">
        <w:t xml:space="preserve">, </w:t>
      </w:r>
      <w:r w:rsidRPr="00AB4400">
        <w:t>2. 447; Raymond E. Brown</w:t>
      </w:r>
      <w:r w:rsidR="006F304D" w:rsidRPr="006F304D">
        <w:t xml:space="preserve">, </w:t>
      </w:r>
      <w:r w:rsidRPr="00AB4400">
        <w:rPr>
          <w:i/>
        </w:rPr>
        <w:t>The Gospel According to John</w:t>
      </w:r>
      <w:r w:rsidRPr="00AB4400">
        <w:t xml:space="preserve"> (</w:t>
      </w:r>
      <w:r w:rsidRPr="00AB4400">
        <w:rPr>
          <w:i/>
        </w:rPr>
        <w:t>i-xii</w:t>
      </w:r>
      <w:r w:rsidRPr="00AB4400">
        <w:t xml:space="preserve">): </w:t>
      </w:r>
      <w:r w:rsidRPr="00AB4400">
        <w:rPr>
          <w:i/>
        </w:rPr>
        <w:t>Introduction</w:t>
      </w:r>
      <w:r w:rsidR="006F304D" w:rsidRPr="006F304D">
        <w:t xml:space="preserve">, </w:t>
      </w:r>
      <w:r w:rsidRPr="00AB4400">
        <w:rPr>
          <w:i/>
        </w:rPr>
        <w:t>Translation and Notes</w:t>
      </w:r>
      <w:r w:rsidRPr="00AB4400">
        <w:t xml:space="preserve"> (AB; </w:t>
      </w:r>
      <w:r w:rsidR="00DC3006" w:rsidRPr="00DC3006">
        <w:rPr>
          <w:iCs/>
        </w:rPr>
        <w:t>Garden City NY</w:t>
      </w:r>
      <w:r w:rsidRPr="00AB4400">
        <w:t>: Doubleday</w:t>
      </w:r>
      <w:r w:rsidR="006F304D" w:rsidRPr="006F304D">
        <w:t xml:space="preserve">, </w:t>
      </w:r>
      <w:r w:rsidRPr="00AB4400">
        <w:t>1966</w:t>
      </w:r>
      <w:r w:rsidR="006F304D" w:rsidRPr="006F304D">
        <w:t xml:space="preserve">, </w:t>
      </w:r>
      <w:r w:rsidRPr="00AB4400">
        <w:t>1970)</w:t>
      </w:r>
      <w:r w:rsidR="006F304D" w:rsidRPr="006F304D">
        <w:t xml:space="preserve">, </w:t>
      </w:r>
      <w:r w:rsidRPr="00AB4400">
        <w:t>1. cxxxv and 276 (John 6:36-40)</w:t>
      </w:r>
      <w:r w:rsidR="006F304D" w:rsidRPr="006F304D">
        <w:t xml:space="preserve">, </w:t>
      </w:r>
      <w:r w:rsidRPr="00AB4400">
        <w:t>2. 857-859 (trial before Pilate); John J. Collins</w:t>
      </w:r>
      <w:r w:rsidR="006F304D" w:rsidRPr="006F304D">
        <w:t xml:space="preserve">, </w:t>
      </w:r>
      <w:r w:rsidRPr="00AB4400">
        <w:t>“Chiasmus</w:t>
      </w:r>
      <w:r w:rsidR="006F304D" w:rsidRPr="006F304D">
        <w:t xml:space="preserve">, </w:t>
      </w:r>
      <w:r w:rsidRPr="00AB4400">
        <w:t xml:space="preserve">the ‘ABA’ Pattern and the Text of Paul,” in </w:t>
      </w:r>
      <w:r w:rsidRPr="00AB4400">
        <w:rPr>
          <w:i/>
        </w:rPr>
        <w:t>Studiorum Paulinorum Congress Internationalis Catholicus</w:t>
      </w:r>
      <w:r w:rsidRPr="00AB4400">
        <w:t xml:space="preserve"> 2 (Rome: Pontifical Biblical Institute</w:t>
      </w:r>
      <w:r w:rsidR="006F304D" w:rsidRPr="006F304D">
        <w:t xml:space="preserve">, </w:t>
      </w:r>
      <w:r w:rsidRPr="00AB4400">
        <w:t>1961) 575-583; Claude Coulot</w:t>
      </w:r>
      <w:r w:rsidR="006F304D" w:rsidRPr="006F304D">
        <w:t xml:space="preserve">, </w:t>
      </w:r>
      <w:r w:rsidRPr="00AB4400">
        <w:t xml:space="preserve">“Propositions pour une structuration du Livre d’Amos au niveau rédactionnel,” </w:t>
      </w:r>
      <w:r w:rsidRPr="00AB4400">
        <w:rPr>
          <w:i/>
        </w:rPr>
        <w:t>RevScRel</w:t>
      </w:r>
      <w:r w:rsidRPr="00AB4400">
        <w:t xml:space="preserve"> (1977) 169-186; Mitchell Dahood</w:t>
      </w:r>
      <w:r w:rsidR="006F304D" w:rsidRPr="006F304D">
        <w:t xml:space="preserve">, </w:t>
      </w:r>
      <w:r w:rsidRPr="00AB4400">
        <w:t xml:space="preserve">“The Chiastic Breakup in Isaiah 58,7,” </w:t>
      </w:r>
      <w:r w:rsidRPr="00AB4400">
        <w:rPr>
          <w:i/>
        </w:rPr>
        <w:t>Bib</w:t>
      </w:r>
      <w:r w:rsidRPr="00AB4400">
        <w:t xml:space="preserve"> 57 (1976); Edouard DesPlaces</w:t>
      </w:r>
      <w:r w:rsidR="006F304D" w:rsidRPr="006F304D">
        <w:t xml:space="preserve">, </w:t>
      </w:r>
      <w:r w:rsidRPr="00AB4400">
        <w:rPr>
          <w:i/>
        </w:rPr>
        <w:t>Une formule platonicienne de recurrence</w:t>
      </w:r>
      <w:r w:rsidRPr="00AB4400">
        <w:t xml:space="preserve"> (Collection d’Etudes Anciennes</w:t>
      </w:r>
      <w:r w:rsidR="006F304D" w:rsidRPr="006F304D">
        <w:t xml:space="preserve">, </w:t>
      </w:r>
      <w:r w:rsidRPr="00AB4400">
        <w:t>Société d’Edition “Les Belles Lettres”; Paris: Université de Paris</w:t>
      </w:r>
      <w:r w:rsidR="006F304D" w:rsidRPr="006F304D">
        <w:t xml:space="preserve">, </w:t>
      </w:r>
      <w:r w:rsidRPr="00AB4400">
        <w:t xml:space="preserve">1929); </w:t>
      </w:r>
      <w:r w:rsidRPr="00AB4400">
        <w:rPr>
          <w:i/>
        </w:rPr>
        <w:t>idem</w:t>
      </w:r>
      <w:r w:rsidR="006F304D" w:rsidRPr="006F304D">
        <w:t xml:space="preserve">, </w:t>
      </w:r>
      <w:r w:rsidRPr="00AB4400">
        <w:rPr>
          <w:i/>
        </w:rPr>
        <w:t>La Religion Grecque</w:t>
      </w:r>
      <w:r w:rsidRPr="00AB4400">
        <w:t xml:space="preserve"> (Paris: A. &amp; J. Picard</w:t>
      </w:r>
      <w:r w:rsidR="006F304D" w:rsidRPr="006F304D">
        <w:t xml:space="preserve">, </w:t>
      </w:r>
      <w:r w:rsidRPr="00AB4400">
        <w:t>1961) (see pp. 354-358</w:t>
      </w:r>
      <w:r w:rsidR="006F304D" w:rsidRPr="006F304D">
        <w:t xml:space="preserve">, </w:t>
      </w:r>
      <w:r w:rsidRPr="00AB4400">
        <w:t>“Structure concentrique du discours de Paul à l’Aréopage”); Di Marco</w:t>
      </w:r>
      <w:r w:rsidR="006F304D" w:rsidRPr="006F304D">
        <w:t xml:space="preserve">, </w:t>
      </w:r>
      <w:r w:rsidRPr="00AB4400">
        <w:t xml:space="preserve">“Der Chiasmus in der Bibel,” </w:t>
      </w:r>
      <w:r w:rsidRPr="00AB4400">
        <w:rPr>
          <w:i/>
        </w:rPr>
        <w:t>LB</w:t>
      </w:r>
      <w:r w:rsidRPr="00AB4400">
        <w:t xml:space="preserve"> 39 (December 1976) 37-85; Peter F. Ellis</w:t>
      </w:r>
      <w:r w:rsidR="006F304D" w:rsidRPr="006F304D">
        <w:t xml:space="preserve">, </w:t>
      </w:r>
      <w:r w:rsidRPr="00AB4400">
        <w:rPr>
          <w:i/>
        </w:rPr>
        <w:t>Matthew</w:t>
      </w:r>
      <w:r w:rsidRPr="00AB4400">
        <w:t xml:space="preserve">: </w:t>
      </w:r>
      <w:r w:rsidRPr="00AB4400">
        <w:rPr>
          <w:i/>
        </w:rPr>
        <w:t>His Mind and His Message</w:t>
      </w:r>
      <w:r w:rsidRPr="00AB4400">
        <w:t xml:space="preserve"> (</w:t>
      </w:r>
      <w:r w:rsidR="0029762C" w:rsidRPr="0029762C">
        <w:rPr>
          <w:iCs/>
        </w:rPr>
        <w:t>Collegeville MN</w:t>
      </w:r>
      <w:r w:rsidRPr="00AB4400">
        <w:t xml:space="preserve">: </w:t>
      </w:r>
      <w:r w:rsidR="0029762C" w:rsidRPr="0029762C">
        <w:rPr>
          <w:iCs/>
        </w:rPr>
        <w:t>Liturgical</w:t>
      </w:r>
      <w:r w:rsidR="006F304D" w:rsidRPr="006F304D">
        <w:t xml:space="preserve">, </w:t>
      </w:r>
      <w:r w:rsidRPr="00AB4400">
        <w:t xml:space="preserve">1974) 10-13; </w:t>
      </w:r>
      <w:r w:rsidR="00E95268" w:rsidRPr="00E95268">
        <w:rPr>
          <w:iCs/>
        </w:rPr>
        <w:t>J.C.</w:t>
      </w:r>
      <w:r w:rsidRPr="00AB4400">
        <w:t xml:space="preserve"> Fenton</w:t>
      </w:r>
      <w:r w:rsidR="006F304D" w:rsidRPr="006F304D">
        <w:t xml:space="preserve">, </w:t>
      </w:r>
      <w:r w:rsidRPr="00AB4400">
        <w:rPr>
          <w:i/>
        </w:rPr>
        <w:t>Saint Matthew</w:t>
      </w:r>
      <w:r w:rsidRPr="00AB4400">
        <w:t xml:space="preserve"> (Pelican NT commentaries; Harmondsworth</w:t>
      </w:r>
      <w:r w:rsidR="006F304D" w:rsidRPr="006F304D">
        <w:t xml:space="preserve">, </w:t>
      </w:r>
      <w:r w:rsidRPr="00AB4400">
        <w:t>Middlesex</w:t>
      </w:r>
      <w:r w:rsidR="006F304D" w:rsidRPr="006F304D">
        <w:t xml:space="preserve">, </w:t>
      </w:r>
      <w:r w:rsidRPr="00AB4400">
        <w:t>England: Penguin</w:t>
      </w:r>
      <w:r w:rsidR="006F304D" w:rsidRPr="006F304D">
        <w:t xml:space="preserve">, </w:t>
      </w:r>
      <w:r w:rsidRPr="00AB4400">
        <w:t>1963) 15-16; David Noel Freedman</w:t>
      </w:r>
      <w:r w:rsidR="006F304D" w:rsidRPr="006F304D">
        <w:t xml:space="preserve">, </w:t>
      </w:r>
      <w:r w:rsidRPr="00AB4400">
        <w:t xml:space="preserve">“Archaic Forms in Early Hebrew Poetry,” </w:t>
      </w:r>
      <w:r w:rsidRPr="00AB4400">
        <w:rPr>
          <w:i/>
        </w:rPr>
        <w:t>ZAW</w:t>
      </w:r>
      <w:r w:rsidRPr="00AB4400">
        <w:t xml:space="preserve"> 72 (1960) 101-107; </w:t>
      </w:r>
      <w:r w:rsidRPr="00AB4400">
        <w:rPr>
          <w:i/>
        </w:rPr>
        <w:t>idem</w:t>
      </w:r>
      <w:r w:rsidR="006F304D" w:rsidRPr="006F304D">
        <w:t xml:space="preserve">, </w:t>
      </w:r>
      <w:r w:rsidRPr="00AB4400">
        <w:t xml:space="preserve">“The Structure of Psalm 137,” in </w:t>
      </w:r>
      <w:r w:rsidRPr="00AB4400">
        <w:rPr>
          <w:i/>
        </w:rPr>
        <w:t>Near Eastern Studies in Honor of William Foxwell Albright</w:t>
      </w:r>
      <w:r w:rsidRPr="00AB4400">
        <w:t xml:space="preserve"> (Baltimore</w:t>
      </w:r>
      <w:r w:rsidR="006F304D" w:rsidRPr="006F304D">
        <w:t xml:space="preserve">, </w:t>
      </w:r>
      <w:r w:rsidRPr="00AB4400">
        <w:t>MD: Johns Hopkins</w:t>
      </w:r>
      <w:r w:rsidR="006F304D" w:rsidRPr="006F304D">
        <w:t xml:space="preserve">, </w:t>
      </w:r>
      <w:r w:rsidRPr="00AB4400">
        <w:t xml:space="preserve">1971) 187-205; </w:t>
      </w:r>
      <w:r w:rsidRPr="00AB4400">
        <w:rPr>
          <w:i/>
        </w:rPr>
        <w:t>idem</w:t>
      </w:r>
      <w:r w:rsidR="006F304D" w:rsidRPr="006F304D">
        <w:t xml:space="preserve">, </w:t>
      </w:r>
      <w:r w:rsidRPr="00AB4400">
        <w:t xml:space="preserve">“The Structure of Job,” </w:t>
      </w:r>
      <w:r w:rsidRPr="00AB4400">
        <w:rPr>
          <w:i/>
        </w:rPr>
        <w:t>Bib</w:t>
      </w:r>
      <w:r w:rsidRPr="00AB4400">
        <w:t xml:space="preserve"> 49 (1968) 503-508; Paul Gaechter</w:t>
      </w:r>
      <w:r w:rsidR="006F304D" w:rsidRPr="006F304D">
        <w:t xml:space="preserve">, </w:t>
      </w:r>
      <w:r w:rsidRPr="00AB4400">
        <w:rPr>
          <w:i/>
        </w:rPr>
        <w:t>ZTK</w:t>
      </w:r>
      <w:r w:rsidRPr="00AB4400">
        <w:t xml:space="preserve"> 59 (1935)</w:t>
      </w:r>
      <w:r w:rsidR="006F304D" w:rsidRPr="006F304D">
        <w:t xml:space="preserve">, </w:t>
      </w:r>
      <w:r w:rsidRPr="00AB4400">
        <w:t>60 (1936) (on chiasm in John); Enrico Galbiati</w:t>
      </w:r>
      <w:r w:rsidR="006F304D" w:rsidRPr="006F304D">
        <w:t xml:space="preserve">, </w:t>
      </w:r>
      <w:r w:rsidRPr="00AB4400">
        <w:rPr>
          <w:i/>
        </w:rPr>
        <w:t>La struttura letteraria dell</w:t>
      </w:r>
      <w:r w:rsidRPr="00AB4400">
        <w:t>’</w:t>
      </w:r>
      <w:r w:rsidRPr="00AB4400">
        <w:rPr>
          <w:i/>
        </w:rPr>
        <w:t>Esodo</w:t>
      </w:r>
      <w:r w:rsidRPr="00AB4400">
        <w:t xml:space="preserve"> (Rome: Editiones Paulinae</w:t>
      </w:r>
      <w:r w:rsidR="006F304D" w:rsidRPr="006F304D">
        <w:t xml:space="preserve">, </w:t>
      </w:r>
      <w:r w:rsidRPr="00AB4400">
        <w:t>1956); M. Gilbert</w:t>
      </w:r>
      <w:r w:rsidR="006F304D" w:rsidRPr="006F304D">
        <w:t xml:space="preserve">, </w:t>
      </w:r>
      <w:r w:rsidRPr="00AB4400">
        <w:t xml:space="preserve">“La structure de la prière de Salomon,” </w:t>
      </w:r>
      <w:r w:rsidRPr="00AB4400">
        <w:rPr>
          <w:i/>
        </w:rPr>
        <w:t>Bib</w:t>
      </w:r>
      <w:r w:rsidRPr="00AB4400">
        <w:t xml:space="preserve"> 51 (1970) 301-331; T. F. Glasson</w:t>
      </w:r>
      <w:r w:rsidR="006F304D" w:rsidRPr="006F304D">
        <w:t xml:space="preserve">, </w:t>
      </w:r>
      <w:r w:rsidRPr="00AB4400">
        <w:t>“Chiasmus in St. Matthew 7</w:t>
      </w:r>
      <w:r w:rsidR="006F304D" w:rsidRPr="006F304D">
        <w:t xml:space="preserve">, </w:t>
      </w:r>
      <w:r w:rsidRPr="00AB4400">
        <w:t xml:space="preserve">6,” </w:t>
      </w:r>
      <w:r w:rsidRPr="00AB4400">
        <w:rPr>
          <w:i/>
        </w:rPr>
        <w:t>ExpTim</w:t>
      </w:r>
      <w:r w:rsidRPr="00AB4400">
        <w:t xml:space="preserve"> 68 (1956-57) 302; William L. Holladay</w:t>
      </w:r>
      <w:r w:rsidR="006F304D" w:rsidRPr="006F304D">
        <w:t xml:space="preserve">, </w:t>
      </w:r>
      <w:r w:rsidRPr="00AB4400">
        <w:t>“Chiasmus</w:t>
      </w:r>
      <w:r w:rsidR="006F304D" w:rsidRPr="006F304D">
        <w:t xml:space="preserve">, </w:t>
      </w:r>
      <w:r w:rsidRPr="00AB4400">
        <w:t xml:space="preserve">the Key of Hosea 12:3-6,” </w:t>
      </w:r>
      <w:r w:rsidRPr="00AB4400">
        <w:rPr>
          <w:i/>
        </w:rPr>
        <w:t>VT</w:t>
      </w:r>
      <w:r w:rsidRPr="00AB4400">
        <w:t xml:space="preserve"> 16 (1966) 53-64; Fredrick Holmgren</w:t>
      </w:r>
      <w:r w:rsidR="006F304D" w:rsidRPr="006F304D">
        <w:t xml:space="preserve">, </w:t>
      </w:r>
      <w:r w:rsidRPr="00AB4400">
        <w:t xml:space="preserve">“Chiastic Structure in Isaiah 51:1-11,” </w:t>
      </w:r>
      <w:r w:rsidRPr="00AB4400">
        <w:rPr>
          <w:i/>
        </w:rPr>
        <w:t>VT</w:t>
      </w:r>
      <w:r w:rsidRPr="00AB4400">
        <w:t xml:space="preserve"> 19 (1969) 196-201; A. Hurvitz</w:t>
      </w:r>
      <w:r w:rsidR="006F304D" w:rsidRPr="006F304D">
        <w:t xml:space="preserve">, </w:t>
      </w:r>
      <w:r w:rsidRPr="00AB4400">
        <w:t xml:space="preserve">“Chiasmus anachronicus,” in </w:t>
      </w:r>
      <w:r w:rsidRPr="00AB4400">
        <w:rPr>
          <w:i/>
        </w:rPr>
        <w:t>Lingua Hebraica Biblica</w:t>
      </w:r>
      <w:r w:rsidRPr="00AB4400">
        <w:t xml:space="preserve"> (ed. B. Uffenheimer; Tel Aviv: University of Tel Aviv</w:t>
      </w:r>
      <w:r w:rsidR="006F304D" w:rsidRPr="006F304D">
        <w:t xml:space="preserve">, </w:t>
      </w:r>
      <w:r w:rsidRPr="00AB4400">
        <w:t>1972); Joachim Jeremias</w:t>
      </w:r>
      <w:r w:rsidR="006F304D" w:rsidRPr="006F304D">
        <w:t xml:space="preserve">, </w:t>
      </w:r>
      <w:r w:rsidRPr="00AB4400">
        <w:t xml:space="preserve">“Chiasmus in den Paulusbriefen,” </w:t>
      </w:r>
      <w:r w:rsidR="00CA0334" w:rsidRPr="00CA0334">
        <w:rPr>
          <w:i/>
          <w:iCs/>
        </w:rPr>
        <w:t>Zeitschrift für die neutestamentliche Wissenschaft</w:t>
      </w:r>
      <w:r w:rsidRPr="00AB4400">
        <w:t xml:space="preserve"> (1958) 145-156; Paul Lamarche</w:t>
      </w:r>
      <w:r w:rsidR="006F304D" w:rsidRPr="006F304D">
        <w:t xml:space="preserve">, </w:t>
      </w:r>
      <w:r w:rsidRPr="00AB4400">
        <w:rPr>
          <w:i/>
        </w:rPr>
        <w:t>Zacharie IX-XIV</w:t>
      </w:r>
      <w:r w:rsidRPr="00AB4400">
        <w:t xml:space="preserve">: </w:t>
      </w:r>
      <w:r w:rsidRPr="00AB4400">
        <w:rPr>
          <w:i/>
        </w:rPr>
        <w:t>Structure littéraire et messianisme</w:t>
      </w:r>
      <w:r w:rsidRPr="00AB4400">
        <w:t xml:space="preserve"> (EBib; Paris: Gabalda</w:t>
      </w:r>
      <w:r w:rsidR="006F304D" w:rsidRPr="006F304D">
        <w:t xml:space="preserve">, </w:t>
      </w:r>
      <w:r w:rsidRPr="00AB4400">
        <w:t>1961); Xavier Léon-Dufour</w:t>
      </w:r>
      <w:r w:rsidR="006F304D" w:rsidRPr="006F304D">
        <w:t xml:space="preserve">, </w:t>
      </w:r>
      <w:r w:rsidRPr="00AB4400">
        <w:t xml:space="preserve">“Trois chiasmes johanniques,” </w:t>
      </w:r>
      <w:r w:rsidRPr="00AB4400">
        <w:rPr>
          <w:i/>
        </w:rPr>
        <w:t>NTS</w:t>
      </w:r>
      <w:r w:rsidRPr="00AB4400">
        <w:t xml:space="preserve"> 7 (1960-61) 249-255; Norbert Lohfink</w:t>
      </w:r>
      <w:r w:rsidR="006F304D" w:rsidRPr="006F304D">
        <w:t xml:space="preserve">, </w:t>
      </w:r>
      <w:r w:rsidRPr="00AB4400">
        <w:rPr>
          <w:i/>
        </w:rPr>
        <w:t>Lectures in Deuteronomy</w:t>
      </w:r>
      <w:r w:rsidRPr="00AB4400">
        <w:t xml:space="preserve"> (Rome: mimeographed publication</w:t>
      </w:r>
      <w:r w:rsidR="006F304D" w:rsidRPr="006F304D">
        <w:t xml:space="preserve">, </w:t>
      </w:r>
      <w:r w:rsidRPr="00AB4400">
        <w:t>1968); Jack R. Lundbom</w:t>
      </w:r>
      <w:r w:rsidR="006F304D" w:rsidRPr="006F304D">
        <w:t xml:space="preserve">, </w:t>
      </w:r>
      <w:r w:rsidRPr="00AB4400">
        <w:rPr>
          <w:i/>
        </w:rPr>
        <w:t>Jeremiah</w:t>
      </w:r>
      <w:r w:rsidRPr="00AB4400">
        <w:t xml:space="preserve">: </w:t>
      </w:r>
      <w:r w:rsidRPr="00AB4400">
        <w:rPr>
          <w:i/>
        </w:rPr>
        <w:t>A Study in Ancient Hebrew Rhetoric</w:t>
      </w:r>
      <w:r w:rsidRPr="00AB4400">
        <w:t xml:space="preserve"> (SBLMS 18; Philadelphia: SBL</w:t>
      </w:r>
      <w:r w:rsidR="006F304D" w:rsidRPr="006F304D">
        <w:t xml:space="preserve">, </w:t>
      </w:r>
      <w:r w:rsidRPr="00AB4400">
        <w:t>1975); MacEvenue</w:t>
      </w:r>
      <w:r w:rsidR="006F304D" w:rsidRPr="006F304D">
        <w:t xml:space="preserve">, </w:t>
      </w:r>
      <w:r w:rsidRPr="00AB4400">
        <w:rPr>
          <w:i/>
        </w:rPr>
        <w:t>The Narrative Style of the Priestly Writer</w:t>
      </w:r>
      <w:r w:rsidRPr="00AB4400">
        <w:t xml:space="preserve"> (</w:t>
      </w:r>
      <w:r w:rsidR="002E050A" w:rsidRPr="002E050A">
        <w:rPr>
          <w:iCs/>
        </w:rPr>
        <w:t>Analecta Biblica</w:t>
      </w:r>
      <w:r w:rsidRPr="00AB4400">
        <w:t xml:space="preserve"> 50; Rome: Pontifical Biblical Institute</w:t>
      </w:r>
      <w:r w:rsidR="006F304D" w:rsidRPr="006F304D">
        <w:t xml:space="preserve">, </w:t>
      </w:r>
      <w:r w:rsidRPr="00AB4400">
        <w:t>1971); R. Pesch</w:t>
      </w:r>
      <w:r w:rsidR="006F304D" w:rsidRPr="006F304D">
        <w:t xml:space="preserve">, </w:t>
      </w:r>
      <w:r w:rsidRPr="00AB4400">
        <w:t xml:space="preserve">“Zur konzentrischen Struktur von Jona 1,” </w:t>
      </w:r>
      <w:r w:rsidRPr="00AB4400">
        <w:rPr>
          <w:i/>
        </w:rPr>
        <w:t>Bib</w:t>
      </w:r>
      <w:r w:rsidRPr="00AB4400">
        <w:t xml:space="preserve"> 47 (1966) 577-581; Yehuda T. Radday</w:t>
      </w:r>
      <w:r w:rsidR="006F304D" w:rsidRPr="006F304D">
        <w:t xml:space="preserve">, </w:t>
      </w:r>
      <w:r w:rsidRPr="00AB4400">
        <w:t xml:space="preserve">“Chiasm in Samuel,” in </w:t>
      </w:r>
      <w:r w:rsidRPr="00AB4400">
        <w:rPr>
          <w:i/>
        </w:rPr>
        <w:t>LB</w:t>
      </w:r>
      <w:r w:rsidRPr="00AB4400">
        <w:t xml:space="preserve"> 9-10 (1971) 21-31; David Rhoads and Donald Michie</w:t>
      </w:r>
      <w:r w:rsidR="006F304D" w:rsidRPr="006F304D">
        <w:t xml:space="preserve">, </w:t>
      </w:r>
      <w:r w:rsidRPr="00AB4400">
        <w:rPr>
          <w:i/>
        </w:rPr>
        <w:t>Mark as Story</w:t>
      </w:r>
      <w:r w:rsidRPr="00AB4400">
        <w:t xml:space="preserve">: </w:t>
      </w:r>
      <w:r w:rsidRPr="00AB4400">
        <w:rPr>
          <w:i/>
        </w:rPr>
        <w:t>An Introduction to the Narrative of a Gospel</w:t>
      </w:r>
      <w:r w:rsidRPr="00AB4400">
        <w:t xml:space="preserve"> (Philadelphia: Fortress</w:t>
      </w:r>
      <w:r w:rsidR="006F304D" w:rsidRPr="006F304D">
        <w:t xml:space="preserve">, </w:t>
      </w:r>
      <w:r w:rsidRPr="00AB4400">
        <w:t>1982) 51-54; Edward Parish Sanders</w:t>
      </w:r>
      <w:r w:rsidR="006F304D" w:rsidRPr="006F304D">
        <w:t xml:space="preserve">, </w:t>
      </w:r>
      <w:r w:rsidRPr="00AB4400">
        <w:t>“Chiasmus and the Translation of 1 Q Hodayot 7</w:t>
      </w:r>
      <w:r w:rsidR="006F304D" w:rsidRPr="006F304D">
        <w:t xml:space="preserve">, </w:t>
      </w:r>
      <w:r w:rsidRPr="00AB4400">
        <w:t xml:space="preserve">26-27,” </w:t>
      </w:r>
      <w:r w:rsidRPr="00AB4400">
        <w:rPr>
          <w:i/>
        </w:rPr>
        <w:t>Revue Qumranienne</w:t>
      </w:r>
      <w:r w:rsidRPr="00AB4400">
        <w:t xml:space="preserve"> 23 (1968) 427-31; William H. Shea</w:t>
      </w:r>
      <w:r w:rsidR="006F304D" w:rsidRPr="006F304D">
        <w:t xml:space="preserve">, </w:t>
      </w:r>
      <w:r w:rsidRPr="00AB4400">
        <w:t xml:space="preserve">“Chiasmus and the Structure of David’s Lament,” </w:t>
      </w:r>
      <w:r w:rsidRPr="00AB4400">
        <w:rPr>
          <w:i/>
        </w:rPr>
        <w:t>JBL</w:t>
      </w:r>
      <w:r w:rsidRPr="00AB4400">
        <w:t xml:space="preserve"> 105 (1986) 13-25; Charles H. Talbert</w:t>
      </w:r>
      <w:r w:rsidR="006F304D" w:rsidRPr="006F304D">
        <w:t xml:space="preserve">, </w:t>
      </w:r>
      <w:r w:rsidRPr="00AB4400">
        <w:t xml:space="preserve">“Artistry and Theology: An Analysis of the Architecture of Jn 1,19-5,47,” </w:t>
      </w:r>
      <w:r w:rsidRPr="00AB4400">
        <w:rPr>
          <w:i/>
        </w:rPr>
        <w:t>CBQ</w:t>
      </w:r>
      <w:r w:rsidRPr="00AB4400">
        <w:t xml:space="preserve"> 32 (1970) 341-366; Albert Vanhoye</w:t>
      </w:r>
      <w:r w:rsidR="006F304D" w:rsidRPr="006F304D">
        <w:t xml:space="preserve">, </w:t>
      </w:r>
      <w:r w:rsidRPr="00AB4400">
        <w:rPr>
          <w:i/>
        </w:rPr>
        <w:t>La structure littéraire de l</w:t>
      </w:r>
      <w:r w:rsidRPr="00AB4400">
        <w:t>’</w:t>
      </w:r>
      <w:r w:rsidRPr="00AB4400">
        <w:rPr>
          <w:i/>
        </w:rPr>
        <w:t>Epître aux Hébreux</w:t>
      </w:r>
      <w:r w:rsidRPr="00AB4400">
        <w:t xml:space="preserve"> (StudNe 1; Bruges</w:t>
      </w:r>
      <w:r w:rsidR="006F304D" w:rsidRPr="006F304D">
        <w:t xml:space="preserve">, </w:t>
      </w:r>
      <w:r w:rsidRPr="00AB4400">
        <w:t>Belgium: Desclée de Brouwer</w:t>
      </w:r>
      <w:r w:rsidR="006F304D" w:rsidRPr="006F304D">
        <w:t xml:space="preserve">, </w:t>
      </w:r>
      <w:r w:rsidRPr="00AB4400">
        <w:t xml:space="preserve">1963) (English: </w:t>
      </w:r>
      <w:r w:rsidRPr="00AB4400">
        <w:rPr>
          <w:i/>
        </w:rPr>
        <w:t>A Structured Translation of the Epistle to the Hebrews</w:t>
      </w:r>
      <w:r w:rsidRPr="00AB4400">
        <w:t xml:space="preserve"> [Rome: Pontifical Biblical Institute</w:t>
      </w:r>
      <w:r w:rsidR="006F304D" w:rsidRPr="006F304D">
        <w:t xml:space="preserve">, </w:t>
      </w:r>
      <w:r w:rsidRPr="00AB4400">
        <w:t>1964]); U. Vanni</w:t>
      </w:r>
      <w:r w:rsidR="006F304D" w:rsidRPr="006F304D">
        <w:t xml:space="preserve">, </w:t>
      </w:r>
      <w:r w:rsidRPr="00AB4400">
        <w:rPr>
          <w:i/>
        </w:rPr>
        <w:t>La struttura letteraria dell</w:t>
      </w:r>
      <w:r w:rsidRPr="00AB4400">
        <w:t>’</w:t>
      </w:r>
      <w:r w:rsidRPr="00AB4400">
        <w:rPr>
          <w:i/>
        </w:rPr>
        <w:t>Apocalisse</w:t>
      </w:r>
      <w:r w:rsidRPr="00AB4400">
        <w:t xml:space="preserve"> (Aloisiana 8; Rome: 1971); J. de Waard</w:t>
      </w:r>
      <w:r w:rsidR="006F304D" w:rsidRPr="006F304D">
        <w:t xml:space="preserve">, </w:t>
      </w:r>
      <w:r w:rsidRPr="00AB4400">
        <w:t xml:space="preserve">“The Chiastic Structure of Amos 5:1-17,” </w:t>
      </w:r>
      <w:r w:rsidRPr="00AB4400">
        <w:rPr>
          <w:i/>
        </w:rPr>
        <w:t>VT</w:t>
      </w:r>
      <w:r w:rsidRPr="00AB4400">
        <w:t xml:space="preserve"> 27 (1977) 170-77; </w:t>
      </w:r>
      <w:r w:rsidR="00D42DB3" w:rsidRPr="00D42DB3">
        <w:rPr>
          <w:iCs/>
        </w:rPr>
        <w:t>H.H.</w:t>
      </w:r>
      <w:r w:rsidRPr="00AB4400">
        <w:t xml:space="preserve"> Walker and Nils Willem Lund</w:t>
      </w:r>
      <w:r w:rsidR="006F304D" w:rsidRPr="006F304D">
        <w:t xml:space="preserve">, </w:t>
      </w:r>
      <w:r w:rsidRPr="00AB4400">
        <w:t xml:space="preserve">“The Literary Structure of the Book of Habakkuk,” </w:t>
      </w:r>
      <w:r w:rsidRPr="00AB4400">
        <w:rPr>
          <w:i/>
        </w:rPr>
        <w:t>JBL</w:t>
      </w:r>
      <w:r w:rsidRPr="00AB4400">
        <w:t xml:space="preserve"> 53 (1934) 355-70.</w:t>
      </w:r>
    </w:p>
  </w:footnote>
  <w:footnote w:id="193">
    <w:p w14:paraId="19FA9D9C" w14:textId="154C813F" w:rsidR="0018433B" w:rsidRPr="00AB4400" w:rsidRDefault="0018433B" w:rsidP="0018433B">
      <w:pPr>
        <w:widowControl w:val="0"/>
      </w:pPr>
      <w:r w:rsidRPr="00D02E93">
        <w:rPr>
          <w:vertAlign w:val="superscript"/>
        </w:rPr>
        <w:footnoteRef/>
      </w:r>
      <w:r w:rsidRPr="00D02E93">
        <w:t xml:space="preserve"> </w:t>
      </w:r>
      <w:r w:rsidRPr="00AB4400">
        <w:rPr>
          <w:i/>
        </w:rPr>
        <w:t>Chiasmus in the New Testament</w:t>
      </w:r>
      <w:r w:rsidRPr="00AB4400">
        <w:t xml:space="preserve"> (Chapel Hill</w:t>
      </w:r>
      <w:r w:rsidR="006F304D" w:rsidRPr="006F304D">
        <w:t xml:space="preserve">, </w:t>
      </w:r>
      <w:r w:rsidRPr="00AB4400">
        <w:t>NC: University of North Carolina</w:t>
      </w:r>
      <w:r w:rsidR="006F304D" w:rsidRPr="006F304D">
        <w:t xml:space="preserve">, </w:t>
      </w:r>
      <w:r w:rsidRPr="00AB4400">
        <w:t>1942).</w:t>
      </w:r>
    </w:p>
  </w:footnote>
  <w:footnote w:id="194">
    <w:p w14:paraId="3E7D2A56" w14:textId="0811A65D" w:rsidR="0018433B" w:rsidRPr="00AB4400" w:rsidRDefault="0018433B" w:rsidP="0018433B">
      <w:pPr>
        <w:widowControl w:val="0"/>
      </w:pPr>
      <w:r w:rsidRPr="00D02E93">
        <w:rPr>
          <w:vertAlign w:val="superscript"/>
        </w:rPr>
        <w:footnoteRef/>
      </w:r>
      <w:r w:rsidRPr="00E5413C">
        <w:rPr>
          <w:lang w:val="fr-FR"/>
        </w:rPr>
        <w:t xml:space="preserve"> </w:t>
      </w:r>
      <w:r w:rsidRPr="00E5413C">
        <w:rPr>
          <w:i/>
          <w:lang w:val="fr-FR"/>
        </w:rPr>
        <w:t>Quelle est donc cette parole</w:t>
      </w:r>
      <w:r w:rsidRPr="00E5413C">
        <w:rPr>
          <w:lang w:val="fr-FR"/>
        </w:rPr>
        <w:t xml:space="preserve">? </w:t>
      </w:r>
      <w:r w:rsidRPr="00E5413C">
        <w:rPr>
          <w:i/>
          <w:lang w:val="fr-FR"/>
        </w:rPr>
        <w:t>Lecture</w:t>
      </w:r>
      <w:r w:rsidRPr="00E5413C">
        <w:rPr>
          <w:lang w:val="fr-FR"/>
        </w:rPr>
        <w:t xml:space="preserve"> ‘</w:t>
      </w:r>
      <w:r w:rsidRPr="00E5413C">
        <w:rPr>
          <w:i/>
          <w:lang w:val="fr-FR"/>
        </w:rPr>
        <w:t>rhétorique</w:t>
      </w:r>
      <w:r w:rsidRPr="00E5413C">
        <w:rPr>
          <w:lang w:val="fr-FR"/>
        </w:rPr>
        <w:t xml:space="preserve">’ </w:t>
      </w:r>
      <w:r w:rsidRPr="00E5413C">
        <w:rPr>
          <w:i/>
          <w:lang w:val="fr-FR"/>
        </w:rPr>
        <w:t>de l</w:t>
      </w:r>
      <w:r w:rsidRPr="00E5413C">
        <w:rPr>
          <w:lang w:val="fr-FR"/>
        </w:rPr>
        <w:t>’</w:t>
      </w:r>
      <w:r w:rsidRPr="00E5413C">
        <w:rPr>
          <w:i/>
          <w:lang w:val="fr-FR"/>
        </w:rPr>
        <w:t>évangile de Luc</w:t>
      </w:r>
      <w:r w:rsidRPr="00E5413C">
        <w:rPr>
          <w:lang w:val="fr-FR"/>
        </w:rPr>
        <w:t xml:space="preserve"> (</w:t>
      </w:r>
      <w:r w:rsidRPr="00E5413C">
        <w:rPr>
          <w:i/>
          <w:lang w:val="fr-FR"/>
        </w:rPr>
        <w:t>1-9</w:t>
      </w:r>
      <w:r w:rsidR="006F304D" w:rsidRPr="00E5413C">
        <w:rPr>
          <w:lang w:val="fr-FR"/>
        </w:rPr>
        <w:t xml:space="preserve">, </w:t>
      </w:r>
      <w:r w:rsidRPr="00E5413C">
        <w:rPr>
          <w:i/>
          <w:lang w:val="fr-FR"/>
        </w:rPr>
        <w:t>22-24</w:t>
      </w:r>
      <w:r w:rsidRPr="00E5413C">
        <w:rPr>
          <w:lang w:val="fr-FR"/>
        </w:rPr>
        <w:t>) (LD 99A and 99B; Paris: Cerf</w:t>
      </w:r>
      <w:r w:rsidR="006F304D" w:rsidRPr="00E5413C">
        <w:rPr>
          <w:lang w:val="fr-FR"/>
        </w:rPr>
        <w:t xml:space="preserve">, </w:t>
      </w:r>
      <w:r w:rsidRPr="00E5413C">
        <w:rPr>
          <w:lang w:val="fr-FR"/>
        </w:rPr>
        <w:t xml:space="preserve">1979). </w:t>
      </w:r>
      <w:r w:rsidRPr="00AB4400">
        <w:t xml:space="preserve">Volume 2 is further subtitled </w:t>
      </w:r>
      <w:r w:rsidRPr="00AB4400">
        <w:rPr>
          <w:i/>
        </w:rPr>
        <w:t>Planches</w:t>
      </w:r>
      <w:r w:rsidRPr="00AB4400">
        <w:t xml:space="preserve"> and contains approximately one hundred unbound charts.</w:t>
      </w:r>
    </w:p>
  </w:footnote>
  <w:footnote w:id="195">
    <w:p w14:paraId="62CDF5B7" w14:textId="221149FA" w:rsidR="0018433B" w:rsidRPr="00AB4400" w:rsidRDefault="0018433B" w:rsidP="0018433B">
      <w:pPr>
        <w:widowControl w:val="0"/>
      </w:pPr>
      <w:r w:rsidRPr="00AB4400">
        <w:rPr>
          <w:vertAlign w:val="superscript"/>
        </w:rPr>
        <w:footnoteRef/>
      </w:r>
      <w:r w:rsidRPr="00AB4400">
        <w:t xml:space="preserve"> Meynet distances himself from structuralism (13</w:t>
      </w:r>
      <w:r w:rsidR="006F304D" w:rsidRPr="006F304D">
        <w:t xml:space="preserve">, </w:t>
      </w:r>
      <w:r w:rsidRPr="00AB4400">
        <w:t>198-99).</w:t>
      </w:r>
    </w:p>
  </w:footnote>
  <w:footnote w:id="196">
    <w:p w14:paraId="12584A78" w14:textId="5A0F9C7D" w:rsidR="0018433B" w:rsidRPr="00AB4400" w:rsidRDefault="0018433B" w:rsidP="0018433B">
      <w:pPr>
        <w:widowControl w:val="0"/>
      </w:pPr>
      <w:r w:rsidRPr="00AB4400">
        <w:rPr>
          <w:vertAlign w:val="superscript"/>
        </w:rPr>
        <w:footnoteRef/>
      </w:r>
      <w:r w:rsidRPr="00AB4400">
        <w:t xml:space="preserve"> Lund</w:t>
      </w:r>
      <w:r w:rsidR="006F304D" w:rsidRPr="006F304D">
        <w:t xml:space="preserve">, </w:t>
      </w:r>
      <w:r w:rsidRPr="00AB4400">
        <w:rPr>
          <w:i/>
        </w:rPr>
        <w:t>Chiasmus</w:t>
      </w:r>
      <w:r w:rsidR="006F304D" w:rsidRPr="006F304D">
        <w:t xml:space="preserve">, </w:t>
      </w:r>
      <w:r w:rsidRPr="00AB4400">
        <w:t>31. Technically Lund is correct: the etymology of the word requires the existence of at least four members to have a “crossing” pattern. Yet it seems reasonable to include as “chiasm” the closely related three-member structure</w:t>
      </w:r>
      <w:r w:rsidR="006F304D" w:rsidRPr="006F304D">
        <w:t xml:space="preserve">, </w:t>
      </w:r>
      <w:r>
        <w:t>A B A´</w:t>
      </w:r>
      <w:r w:rsidR="006F304D" w:rsidRPr="006F304D">
        <w:t xml:space="preserve">, </w:t>
      </w:r>
      <w:r w:rsidRPr="00AB4400">
        <w:t>an architectonic structure found especially in music.</w:t>
      </w:r>
    </w:p>
  </w:footnote>
  <w:footnote w:id="197">
    <w:p w14:paraId="602DA107" w14:textId="4762B72E" w:rsidR="0018433B" w:rsidRPr="00E5413C" w:rsidRDefault="0018433B" w:rsidP="0018433B">
      <w:pPr>
        <w:widowControl w:val="0"/>
        <w:rPr>
          <w:lang w:val="fr-FR"/>
        </w:rPr>
      </w:pPr>
      <w:r w:rsidRPr="00AB4400">
        <w:rPr>
          <w:vertAlign w:val="superscript"/>
        </w:rPr>
        <w:footnoteRef/>
      </w:r>
      <w:r w:rsidRPr="00E5413C">
        <w:rPr>
          <w:lang w:val="fr-FR"/>
        </w:rPr>
        <w:t xml:space="preserve"> Ibid.</w:t>
      </w:r>
      <w:r w:rsidR="006F304D" w:rsidRPr="00E5413C">
        <w:rPr>
          <w:lang w:val="fr-FR"/>
        </w:rPr>
        <w:t xml:space="preserve">, </w:t>
      </w:r>
      <w:r w:rsidRPr="00E5413C">
        <w:rPr>
          <w:lang w:val="fr-FR"/>
        </w:rPr>
        <w:t>261.</w:t>
      </w:r>
    </w:p>
  </w:footnote>
  <w:footnote w:id="198">
    <w:p w14:paraId="518775AA" w14:textId="20842897" w:rsidR="0018433B" w:rsidRPr="00E5413C" w:rsidRDefault="0018433B" w:rsidP="0018433B">
      <w:pPr>
        <w:widowControl w:val="0"/>
        <w:rPr>
          <w:lang w:val="fr-FR"/>
        </w:rPr>
      </w:pPr>
      <w:r w:rsidRPr="00AB4400">
        <w:rPr>
          <w:vertAlign w:val="superscript"/>
        </w:rPr>
        <w:footnoteRef/>
      </w:r>
      <w:r w:rsidRPr="00E5413C">
        <w:rPr>
          <w:lang w:val="fr-FR"/>
        </w:rPr>
        <w:t xml:space="preserve"> Meynet</w:t>
      </w:r>
      <w:r w:rsidR="006F304D" w:rsidRPr="00E5413C">
        <w:rPr>
          <w:lang w:val="fr-FR"/>
        </w:rPr>
        <w:t xml:space="preserve">, </w:t>
      </w:r>
      <w:r w:rsidRPr="00E5413C">
        <w:rPr>
          <w:i/>
          <w:lang w:val="fr-FR"/>
        </w:rPr>
        <w:t>Quelle</w:t>
      </w:r>
      <w:r w:rsidR="006F304D" w:rsidRPr="00E5413C">
        <w:rPr>
          <w:lang w:val="fr-FR"/>
        </w:rPr>
        <w:t xml:space="preserve">, </w:t>
      </w:r>
      <w:r w:rsidRPr="00E5413C">
        <w:rPr>
          <w:i/>
          <w:lang w:val="fr-FR"/>
        </w:rPr>
        <w:t>passim</w:t>
      </w:r>
      <w:r w:rsidRPr="00E5413C">
        <w:rPr>
          <w:lang w:val="fr-FR"/>
        </w:rPr>
        <w:t>: “la chiasme stylistique ou de phrase.”</w:t>
      </w:r>
    </w:p>
  </w:footnote>
  <w:footnote w:id="199">
    <w:p w14:paraId="54B9D8B8" w14:textId="41444821" w:rsidR="0018433B" w:rsidRPr="00AB4400" w:rsidRDefault="0018433B" w:rsidP="0018433B">
      <w:pPr>
        <w:widowControl w:val="0"/>
      </w:pPr>
      <w:r w:rsidRPr="00AB4400">
        <w:rPr>
          <w:vertAlign w:val="superscript"/>
        </w:rPr>
        <w:footnoteRef/>
      </w:r>
      <w:r w:rsidRPr="00AB4400">
        <w:t xml:space="preserve"> Ibid.</w:t>
      </w:r>
      <w:r w:rsidR="006F304D" w:rsidRPr="006F304D">
        <w:t xml:space="preserve">, </w:t>
      </w:r>
      <w:r w:rsidRPr="00AB4400">
        <w:t xml:space="preserve">14: “‘Rhetoric’ is taken here in the restricted sense of </w:t>
      </w:r>
      <w:r w:rsidRPr="00AB4400">
        <w:rPr>
          <w:i/>
        </w:rPr>
        <w:t>dispositio</w:t>
      </w:r>
      <w:r w:rsidRPr="00AB4400">
        <w:t xml:space="preserve"> or composition of the discourse.” See also pp. 23</w:t>
      </w:r>
      <w:r w:rsidR="006F304D" w:rsidRPr="006F304D">
        <w:t xml:space="preserve">, </w:t>
      </w:r>
      <w:r w:rsidRPr="00AB4400">
        <w:t>50</w:t>
      </w:r>
      <w:r w:rsidR="006F304D" w:rsidRPr="006F304D">
        <w:t xml:space="preserve">, </w:t>
      </w:r>
      <w:r w:rsidRPr="00AB4400">
        <w:t xml:space="preserve">and the subtitle of the book: </w:t>
      </w:r>
      <w:r w:rsidRPr="00AB4400">
        <w:rPr>
          <w:i/>
        </w:rPr>
        <w:t>Lecture</w:t>
      </w:r>
      <w:r w:rsidRPr="005608B1">
        <w:rPr>
          <w:iCs/>
        </w:rPr>
        <w:t xml:space="preserve"> «</w:t>
      </w:r>
      <w:r w:rsidRPr="00AB4400">
        <w:rPr>
          <w:i/>
        </w:rPr>
        <w:t>rhétorique</w:t>
      </w:r>
      <w:r w:rsidR="005608B1">
        <w:rPr>
          <w:szCs w:val="32"/>
        </w:rPr>
        <w:t>»</w:t>
      </w:r>
      <w:r w:rsidRPr="00AB4400">
        <w:t xml:space="preserve"> </w:t>
      </w:r>
      <w:r w:rsidRPr="00AB4400">
        <w:rPr>
          <w:i/>
        </w:rPr>
        <w:t>de l</w:t>
      </w:r>
      <w:r w:rsidRPr="00AB4400">
        <w:t>’</w:t>
      </w:r>
      <w:r w:rsidR="006E7ABF">
        <w:rPr>
          <w:i/>
        </w:rPr>
        <w:t>é</w:t>
      </w:r>
      <w:r w:rsidR="005608B1" w:rsidRPr="00B14249">
        <w:rPr>
          <w:i/>
        </w:rPr>
        <w:t>vangile de Luc</w:t>
      </w:r>
      <w:r w:rsidRPr="00AB4400">
        <w:t>. For this use of the term “rhetoric,” see James Muilenburg</w:t>
      </w:r>
      <w:r w:rsidR="006F304D" w:rsidRPr="006F304D">
        <w:t xml:space="preserve">, </w:t>
      </w:r>
      <w:r w:rsidRPr="00AB4400">
        <w:t xml:space="preserve">“Form Criticism and Beyond,” </w:t>
      </w:r>
      <w:r w:rsidRPr="00AB4400">
        <w:rPr>
          <w:i/>
        </w:rPr>
        <w:t>JBL</w:t>
      </w:r>
      <w:r w:rsidRPr="00AB4400">
        <w:t xml:space="preserve"> 88 (1969) 1-18.</w:t>
      </w:r>
    </w:p>
  </w:footnote>
  <w:footnote w:id="200">
    <w:p w14:paraId="78BBDC23" w14:textId="75329422" w:rsidR="0018433B" w:rsidRPr="00AB4400" w:rsidRDefault="0018433B" w:rsidP="0018433B">
      <w:pPr>
        <w:widowControl w:val="0"/>
      </w:pPr>
      <w:r w:rsidRPr="00AB4400">
        <w:rPr>
          <w:vertAlign w:val="superscript"/>
        </w:rPr>
        <w:footnoteRef/>
      </w:r>
      <w:r w:rsidRPr="00E5413C">
        <w:rPr>
          <w:lang w:val="fr-FR"/>
        </w:rPr>
        <w:t xml:space="preserve"> Meynet</w:t>
      </w:r>
      <w:r w:rsidR="006F304D" w:rsidRPr="00E5413C">
        <w:rPr>
          <w:lang w:val="fr-FR"/>
        </w:rPr>
        <w:t xml:space="preserve">, </w:t>
      </w:r>
      <w:r w:rsidRPr="00E5413C">
        <w:rPr>
          <w:i/>
          <w:lang w:val="fr-FR"/>
        </w:rPr>
        <w:t>Quelle</w:t>
      </w:r>
      <w:r w:rsidR="006F304D" w:rsidRPr="00E5413C">
        <w:rPr>
          <w:lang w:val="fr-FR"/>
        </w:rPr>
        <w:t xml:space="preserve">, </w:t>
      </w:r>
      <w:r w:rsidRPr="00E5413C">
        <w:rPr>
          <w:i/>
          <w:lang w:val="fr-FR"/>
        </w:rPr>
        <w:t>passim</w:t>
      </w:r>
      <w:r w:rsidRPr="00E5413C">
        <w:rPr>
          <w:lang w:val="fr-FR"/>
        </w:rPr>
        <w:t xml:space="preserve">: “chiasme de discours.” </w:t>
      </w:r>
      <w:r w:rsidRPr="00AB4400">
        <w:t>Meynet (p. 128) criticizes Lund for neglecting to discover the existence of passage chiasms and for giving consideration only to “micro-structures”—by which he means</w:t>
      </w:r>
      <w:r w:rsidR="006F304D" w:rsidRPr="006F304D">
        <w:t xml:space="preserve">, </w:t>
      </w:r>
      <w:r w:rsidRPr="00AB4400">
        <w:t>not sentence chiasms</w:t>
      </w:r>
      <w:r w:rsidR="006F304D" w:rsidRPr="006F304D">
        <w:t xml:space="preserve">, </w:t>
      </w:r>
      <w:r w:rsidRPr="00AB4400">
        <w:t>but lexical chiasms.</w:t>
      </w:r>
    </w:p>
  </w:footnote>
  <w:footnote w:id="201">
    <w:p w14:paraId="59F92DFD" w14:textId="78DBAA7E" w:rsidR="0018433B" w:rsidRPr="00AB4400" w:rsidRDefault="0018433B" w:rsidP="0018433B">
      <w:pPr>
        <w:widowControl w:val="0"/>
      </w:pPr>
      <w:r w:rsidRPr="00AB4400">
        <w:rPr>
          <w:vertAlign w:val="superscript"/>
        </w:rPr>
        <w:footnoteRef/>
      </w:r>
      <w:r w:rsidRPr="00AB4400">
        <w:t xml:space="preserve"> Meynet</w:t>
      </w:r>
      <w:r w:rsidR="006F304D" w:rsidRPr="006F304D">
        <w:t xml:space="preserve">, </w:t>
      </w:r>
      <w:r w:rsidRPr="00AB4400">
        <w:rPr>
          <w:i/>
        </w:rPr>
        <w:t>Quelle</w:t>
      </w:r>
      <w:r w:rsidR="006F304D" w:rsidRPr="006F304D">
        <w:t xml:space="preserve">, </w:t>
      </w:r>
      <w:r w:rsidRPr="00AB4400">
        <w:t>1. 58-60. In the twelve chapters of Luke that he analyses (Luke 1-9 and 22-24)</w:t>
      </w:r>
      <w:r w:rsidR="006F304D" w:rsidRPr="006F304D">
        <w:t xml:space="preserve">, </w:t>
      </w:r>
      <w:r w:rsidRPr="00AB4400">
        <w:t>Meynet claims to have found twenty-nine lexical chiasms and twenty passage chiasms (ibid.).</w:t>
      </w:r>
    </w:p>
  </w:footnote>
  <w:footnote w:id="202">
    <w:p w14:paraId="476625BE" w14:textId="14A3C820" w:rsidR="0018433B" w:rsidRPr="00AB4400" w:rsidRDefault="0018433B" w:rsidP="0018433B">
      <w:pPr>
        <w:widowControl w:val="0"/>
      </w:pPr>
      <w:r w:rsidRPr="00AB4400">
        <w:rPr>
          <w:vertAlign w:val="superscript"/>
        </w:rPr>
        <w:footnoteRef/>
      </w:r>
      <w:r w:rsidRPr="00AB4400">
        <w:t xml:space="preserve"> Ibid.</w:t>
      </w:r>
      <w:r w:rsidR="006F304D" w:rsidRPr="006F304D">
        <w:t xml:space="preserve">, </w:t>
      </w:r>
      <w:r w:rsidRPr="00AB4400">
        <w:t>60: “This sort of chiasm organizes all of our units” (see also 138).</w:t>
      </w:r>
    </w:p>
  </w:footnote>
  <w:footnote w:id="203">
    <w:p w14:paraId="34C2B3E7" w14:textId="606083CC" w:rsidR="0018433B" w:rsidRPr="00AB4400" w:rsidRDefault="0018433B" w:rsidP="0018433B">
      <w:pPr>
        <w:widowControl w:val="0"/>
      </w:pPr>
      <w:r w:rsidRPr="00AB4400">
        <w:rPr>
          <w:vertAlign w:val="superscript"/>
        </w:rPr>
        <w:footnoteRef/>
      </w:r>
      <w:r w:rsidRPr="00AB4400">
        <w:t xml:space="preserve"> Ibid.</w:t>
      </w:r>
      <w:r w:rsidR="006F304D" w:rsidRPr="006F304D">
        <w:t xml:space="preserve">, </w:t>
      </w:r>
      <w:r w:rsidRPr="00AB4400">
        <w:t>60.</w:t>
      </w:r>
    </w:p>
  </w:footnote>
  <w:footnote w:id="204">
    <w:p w14:paraId="2C7C8281" w14:textId="4D2EB9CE" w:rsidR="0018433B" w:rsidRPr="00AB4400" w:rsidRDefault="0018433B" w:rsidP="0018433B">
      <w:pPr>
        <w:widowControl w:val="0"/>
      </w:pPr>
      <w:r w:rsidRPr="00AB4400">
        <w:rPr>
          <w:vertAlign w:val="superscript"/>
        </w:rPr>
        <w:footnoteRef/>
      </w:r>
      <w:r w:rsidRPr="00AB4400">
        <w:t xml:space="preserve"> Lund</w:t>
      </w:r>
      <w:r w:rsidR="006F304D" w:rsidRPr="006F304D">
        <w:t xml:space="preserve">, </w:t>
      </w:r>
      <w:r w:rsidRPr="00AB4400">
        <w:rPr>
          <w:i/>
        </w:rPr>
        <w:t>Chiasmus</w:t>
      </w:r>
      <w:r w:rsidR="006F304D" w:rsidRPr="006F304D">
        <w:t xml:space="preserve">, </w:t>
      </w:r>
      <w:r w:rsidRPr="00AB4400">
        <w:t>25-26</w:t>
      </w:r>
      <w:r w:rsidR="006F304D" w:rsidRPr="006F304D">
        <w:t xml:space="preserve">, </w:t>
      </w:r>
      <w:r w:rsidRPr="00AB4400">
        <w:t>29 (“The chiasmus seems to be part of Hebrew thought”); Meynet</w:t>
      </w:r>
      <w:r w:rsidR="006F304D" w:rsidRPr="006F304D">
        <w:t xml:space="preserve">, </w:t>
      </w:r>
      <w:r w:rsidRPr="00AB4400">
        <w:rPr>
          <w:i/>
        </w:rPr>
        <w:t>Quelle</w:t>
      </w:r>
      <w:r w:rsidR="006F304D" w:rsidRPr="006F304D">
        <w:t xml:space="preserve">, </w:t>
      </w:r>
      <w:r w:rsidRPr="00AB4400">
        <w:t>1. 6</w:t>
      </w:r>
      <w:r w:rsidR="006F304D" w:rsidRPr="006F304D">
        <w:t xml:space="preserve">, </w:t>
      </w:r>
      <w:r w:rsidRPr="00AB4400">
        <w:t>114</w:t>
      </w:r>
      <w:r w:rsidR="006F304D" w:rsidRPr="006F304D">
        <w:t xml:space="preserve">, </w:t>
      </w:r>
      <w:r w:rsidRPr="00AB4400">
        <w:t>126-127</w:t>
      </w:r>
      <w:r w:rsidR="006F304D" w:rsidRPr="006F304D">
        <w:t xml:space="preserve">, </w:t>
      </w:r>
      <w:r w:rsidRPr="00AB4400">
        <w:t>195</w:t>
      </w:r>
      <w:r w:rsidR="006F304D" w:rsidRPr="006F304D">
        <w:t xml:space="preserve">, </w:t>
      </w:r>
      <w:r w:rsidRPr="00AB4400">
        <w:t>198 (“rhétorique hébraïque”); 6</w:t>
      </w:r>
      <w:r w:rsidR="006F304D" w:rsidRPr="006F304D">
        <w:t xml:space="preserve">, </w:t>
      </w:r>
      <w:r w:rsidRPr="00AB4400">
        <w:t>38 (“rhétorique biblique”).</w:t>
      </w:r>
    </w:p>
  </w:footnote>
  <w:footnote w:id="205">
    <w:p w14:paraId="3FA763AF" w14:textId="529B4AC2" w:rsidR="0018433B" w:rsidRPr="00AB4400" w:rsidRDefault="0018433B" w:rsidP="0018433B">
      <w:pPr>
        <w:widowControl w:val="0"/>
      </w:pPr>
      <w:r w:rsidRPr="00AB4400">
        <w:rPr>
          <w:vertAlign w:val="superscript"/>
        </w:rPr>
        <w:footnoteRef/>
      </w:r>
      <w:r w:rsidRPr="00AB4400">
        <w:t xml:space="preserve"> Lund</w:t>
      </w:r>
      <w:r w:rsidR="006F304D" w:rsidRPr="006F304D">
        <w:t xml:space="preserve">, </w:t>
      </w:r>
      <w:r w:rsidRPr="00AB4400">
        <w:rPr>
          <w:i/>
        </w:rPr>
        <w:t>Chiasmus</w:t>
      </w:r>
      <w:r w:rsidR="006F304D" w:rsidRPr="006F304D">
        <w:t xml:space="preserve">, </w:t>
      </w:r>
      <w:r w:rsidRPr="00AB4400">
        <w:t>33 (“The simpler form in four terms frequently occurs in both classical and modern literature”)</w:t>
      </w:r>
      <w:r w:rsidR="006F304D" w:rsidRPr="006F304D">
        <w:t xml:space="preserve">, </w:t>
      </w:r>
      <w:r w:rsidRPr="00AB4400">
        <w:t>35; Meynet</w:t>
      </w:r>
      <w:r w:rsidR="006F304D" w:rsidRPr="006F304D">
        <w:t xml:space="preserve">, </w:t>
      </w:r>
      <w:r w:rsidRPr="00AB4400">
        <w:rPr>
          <w:i/>
        </w:rPr>
        <w:t>Quelle</w:t>
      </w:r>
      <w:r w:rsidR="006F304D" w:rsidRPr="006F304D">
        <w:t xml:space="preserve">, </w:t>
      </w:r>
      <w:r w:rsidRPr="00AB4400">
        <w:t>1. 6</w:t>
      </w:r>
      <w:r w:rsidR="006F304D" w:rsidRPr="006F304D">
        <w:t xml:space="preserve">, </w:t>
      </w:r>
      <w:r w:rsidRPr="00AB4400">
        <w:t>109-110 (with a quotation from Quintillian). See also Kennedy</w:t>
      </w:r>
      <w:r w:rsidR="006F304D" w:rsidRPr="006F304D">
        <w:t xml:space="preserve">, </w:t>
      </w:r>
      <w:r w:rsidRPr="00AB4400">
        <w:rPr>
          <w:i/>
        </w:rPr>
        <w:t>NT Interpretation</w:t>
      </w:r>
      <w:r w:rsidR="006F304D" w:rsidRPr="006F304D">
        <w:t xml:space="preserve">, </w:t>
      </w:r>
      <w:r w:rsidRPr="00AB4400">
        <w:t>28: “it [the stylistic chiasm] is not uncommon in classical Greek literature</w:t>
      </w:r>
      <w:r w:rsidR="006F304D" w:rsidRPr="006F304D">
        <w:t xml:space="preserve">, </w:t>
      </w:r>
      <w:r w:rsidRPr="00AB4400">
        <w:t>and very common in Latin.”</w:t>
      </w:r>
    </w:p>
  </w:footnote>
  <w:footnote w:id="206">
    <w:p w14:paraId="13A7FBBB" w14:textId="09DA7E35" w:rsidR="0018433B" w:rsidRPr="00AB4400" w:rsidRDefault="0018433B" w:rsidP="0018433B">
      <w:pPr>
        <w:widowControl w:val="0"/>
      </w:pPr>
      <w:r w:rsidRPr="00AB4400">
        <w:rPr>
          <w:vertAlign w:val="superscript"/>
        </w:rPr>
        <w:footnoteRef/>
      </w:r>
      <w:r w:rsidRPr="00AB4400">
        <w:t xml:space="preserve"> Lund</w:t>
      </w:r>
      <w:r w:rsidR="006F304D" w:rsidRPr="006F304D">
        <w:t xml:space="preserve">, </w:t>
      </w:r>
      <w:r w:rsidRPr="00AB4400">
        <w:rPr>
          <w:i/>
        </w:rPr>
        <w:t>Chiasmus</w:t>
      </w:r>
      <w:r w:rsidR="006F304D" w:rsidRPr="006F304D">
        <w:t xml:space="preserve">, </w:t>
      </w:r>
      <w:r w:rsidRPr="00AB4400">
        <w:t>33; see also pp. 35 and 233.</w:t>
      </w:r>
    </w:p>
  </w:footnote>
  <w:footnote w:id="207">
    <w:p w14:paraId="2E70EF87" w14:textId="1E5C85BE" w:rsidR="0018433B" w:rsidRPr="00AB4400" w:rsidRDefault="0018433B" w:rsidP="0018433B">
      <w:pPr>
        <w:widowControl w:val="0"/>
      </w:pPr>
      <w:r w:rsidRPr="00AB4400">
        <w:rPr>
          <w:vertAlign w:val="superscript"/>
        </w:rPr>
        <w:footnoteRef/>
      </w:r>
      <w:r w:rsidRPr="00AB4400">
        <w:t xml:space="preserve"> Meynet</w:t>
      </w:r>
      <w:r w:rsidR="006F304D" w:rsidRPr="006F304D">
        <w:t xml:space="preserve">, </w:t>
      </w:r>
      <w:r w:rsidRPr="00AB4400">
        <w:rPr>
          <w:i/>
        </w:rPr>
        <w:t>Quelle</w:t>
      </w:r>
      <w:r w:rsidR="006F304D" w:rsidRPr="006F304D">
        <w:t xml:space="preserve">, </w:t>
      </w:r>
      <w:r w:rsidRPr="00AB4400">
        <w:t>1. 113-114. Kennedy</w:t>
      </w:r>
      <w:r w:rsidR="006F304D" w:rsidRPr="006F304D">
        <w:t xml:space="preserve">, </w:t>
      </w:r>
      <w:r w:rsidRPr="00AB4400">
        <w:t>too (</w:t>
      </w:r>
      <w:r w:rsidRPr="00AB4400">
        <w:rPr>
          <w:i/>
        </w:rPr>
        <w:t>NT Interpretation</w:t>
      </w:r>
      <w:r w:rsidR="006F304D" w:rsidRPr="006F304D">
        <w:t xml:space="preserve">, </w:t>
      </w:r>
      <w:r w:rsidRPr="00AB4400">
        <w:t>28-29)</w:t>
      </w:r>
      <w:r w:rsidR="006F304D" w:rsidRPr="006F304D">
        <w:t xml:space="preserve">, </w:t>
      </w:r>
      <w:r w:rsidRPr="00AB4400">
        <w:t xml:space="preserve">notes the existence of chiasm in Homer but maintains that elaborate chiasms are “very common in Latin poetry of the Augustan period </w:t>
      </w:r>
      <w:r>
        <w:t>. . .</w:t>
      </w:r>
      <w:r w:rsidRPr="00AB4400">
        <w:t>”</w:t>
      </w:r>
    </w:p>
  </w:footnote>
  <w:footnote w:id="208">
    <w:p w14:paraId="3DA1E988" w14:textId="55ED1CC6" w:rsidR="0018433B" w:rsidRPr="00AB4400" w:rsidRDefault="0018433B" w:rsidP="0018433B">
      <w:pPr>
        <w:widowControl w:val="0"/>
      </w:pPr>
      <w:r w:rsidRPr="00AB4400">
        <w:rPr>
          <w:vertAlign w:val="superscript"/>
        </w:rPr>
        <w:footnoteRef/>
      </w:r>
      <w:r w:rsidRPr="00AB4400">
        <w:t xml:space="preserve"> Lund</w:t>
      </w:r>
      <w:r w:rsidR="006F304D" w:rsidRPr="006F304D">
        <w:t xml:space="preserve">, </w:t>
      </w:r>
      <w:r w:rsidRPr="00AB4400">
        <w:rPr>
          <w:i/>
        </w:rPr>
        <w:t>Chiasmus</w:t>
      </w:r>
      <w:r w:rsidR="006F304D" w:rsidRPr="006F304D">
        <w:t xml:space="preserve">, </w:t>
      </w:r>
      <w:r w:rsidRPr="00AB4400">
        <w:t>viii</w:t>
      </w:r>
      <w:r w:rsidR="006F304D" w:rsidRPr="006F304D">
        <w:t xml:space="preserve">, </w:t>
      </w:r>
      <w:r w:rsidRPr="00AB4400">
        <w:t>26 (contradicting his statement that chiasms are only found in scripture); Meynet</w:t>
      </w:r>
      <w:r w:rsidR="006F304D" w:rsidRPr="006F304D">
        <w:t xml:space="preserve">, </w:t>
      </w:r>
      <w:r w:rsidRPr="00AB4400">
        <w:rPr>
          <w:i/>
        </w:rPr>
        <w:t>Quelle</w:t>
      </w:r>
      <w:r w:rsidR="006F304D" w:rsidRPr="006F304D">
        <w:t xml:space="preserve">, </w:t>
      </w:r>
      <w:r w:rsidRPr="00AB4400">
        <w:t>1. 114 n. 16</w:t>
      </w:r>
      <w:r w:rsidR="006F304D" w:rsidRPr="006F304D">
        <w:t xml:space="preserve">, </w:t>
      </w:r>
      <w:r w:rsidRPr="00AB4400">
        <w:t>citing Enrico Galbiati (</w:t>
      </w:r>
      <w:r w:rsidRPr="00AB4400">
        <w:rPr>
          <w:i/>
        </w:rPr>
        <w:t>La struttura letteraria dell</w:t>
      </w:r>
      <w:r w:rsidRPr="00AB4400">
        <w:t>’</w:t>
      </w:r>
      <w:r w:rsidRPr="00AB4400">
        <w:rPr>
          <w:i/>
        </w:rPr>
        <w:t>Esodo</w:t>
      </w:r>
      <w:r w:rsidRPr="00AB4400">
        <w:t xml:space="preserve"> [Rome: Editiones Paulinae</w:t>
      </w:r>
      <w:r w:rsidR="006F304D" w:rsidRPr="006F304D">
        <w:t xml:space="preserve">, </w:t>
      </w:r>
      <w:r w:rsidRPr="00AB4400">
        <w:t>1956] 65-89)</w:t>
      </w:r>
      <w:r w:rsidR="006F304D" w:rsidRPr="006F304D">
        <w:t xml:space="preserve">, </w:t>
      </w:r>
      <w:r w:rsidRPr="00AB4400">
        <w:t>who gives Egyptian and Hittite texts construed according to the principles of chiasm and inclusion.</w:t>
      </w:r>
    </w:p>
  </w:footnote>
  <w:footnote w:id="209">
    <w:p w14:paraId="0788D7EF" w14:textId="0D85B9F3" w:rsidR="0018433B" w:rsidRPr="00AB4400" w:rsidRDefault="0018433B" w:rsidP="0018433B">
      <w:pPr>
        <w:widowControl w:val="0"/>
      </w:pPr>
      <w:r w:rsidRPr="00AB4400">
        <w:rPr>
          <w:vertAlign w:val="superscript"/>
        </w:rPr>
        <w:footnoteRef/>
      </w:r>
      <w:r w:rsidRPr="00AB4400">
        <w:t xml:space="preserve"> Lund</w:t>
      </w:r>
      <w:r w:rsidR="006F304D" w:rsidRPr="006F304D">
        <w:t xml:space="preserve">, </w:t>
      </w:r>
      <w:r w:rsidRPr="00AB4400">
        <w:rPr>
          <w:i/>
        </w:rPr>
        <w:t>Chiasmus</w:t>
      </w:r>
      <w:r w:rsidR="006F304D" w:rsidRPr="006F304D">
        <w:t xml:space="preserve">, </w:t>
      </w:r>
      <w:r w:rsidRPr="00AB4400">
        <w:t>44 (quoted also by Meynet</w:t>
      </w:r>
      <w:r w:rsidR="006F304D" w:rsidRPr="006F304D">
        <w:t xml:space="preserve">, </w:t>
      </w:r>
      <w:r w:rsidRPr="00AB4400">
        <w:rPr>
          <w:i/>
        </w:rPr>
        <w:t>Quelle</w:t>
      </w:r>
      <w:r w:rsidR="006F304D" w:rsidRPr="006F304D">
        <w:t xml:space="preserve">, </w:t>
      </w:r>
      <w:r w:rsidRPr="00AB4400">
        <w:t>1. 67).</w:t>
      </w:r>
    </w:p>
  </w:footnote>
  <w:footnote w:id="210">
    <w:p w14:paraId="27D090EA" w14:textId="6FF54495" w:rsidR="0018433B" w:rsidRPr="00AB4400" w:rsidRDefault="0018433B" w:rsidP="0018433B">
      <w:pPr>
        <w:widowControl w:val="0"/>
      </w:pPr>
      <w:r w:rsidRPr="00AB4400">
        <w:rPr>
          <w:vertAlign w:val="superscript"/>
        </w:rPr>
        <w:footnoteRef/>
      </w:r>
      <w:r w:rsidRPr="00AB4400">
        <w:t xml:space="preserve"> See</w:t>
      </w:r>
      <w:r w:rsidR="006F304D" w:rsidRPr="006F304D">
        <w:t xml:space="preserve">, </w:t>
      </w:r>
      <w:r w:rsidR="00775F9B" w:rsidRPr="00775F9B">
        <w:rPr>
          <w:iCs/>
        </w:rPr>
        <w:t>e.g.</w:t>
      </w:r>
      <w:r w:rsidR="006F304D" w:rsidRPr="006F304D">
        <w:t xml:space="preserve">, </w:t>
      </w:r>
      <w:r w:rsidRPr="00AB4400">
        <w:t>Martin Hengel</w:t>
      </w:r>
      <w:r w:rsidR="006F304D" w:rsidRPr="006F304D">
        <w:t xml:space="preserve">, </w:t>
      </w:r>
      <w:r w:rsidRPr="00AB4400">
        <w:rPr>
          <w:i/>
        </w:rPr>
        <w:t>Judaism and Hellenism</w:t>
      </w:r>
      <w:r w:rsidRPr="00AB4400">
        <w:t xml:space="preserve">: </w:t>
      </w:r>
      <w:r w:rsidRPr="00AB4400">
        <w:rPr>
          <w:i/>
        </w:rPr>
        <w:t>Studies in Their Encounter in Palestine during the Early Hellenistic Period</w:t>
      </w:r>
      <w:r w:rsidRPr="00AB4400">
        <w:t xml:space="preserve"> (2 vols. in 1; Philadelphia: Fortress</w:t>
      </w:r>
      <w:r w:rsidR="006F304D" w:rsidRPr="006F304D">
        <w:t xml:space="preserve">, </w:t>
      </w:r>
      <w:r w:rsidRPr="00AB4400">
        <w:t>1974)</w:t>
      </w:r>
      <w:r w:rsidR="006F304D" w:rsidRPr="006F304D">
        <w:t xml:space="preserve">, </w:t>
      </w:r>
      <w:r w:rsidRPr="00AB4400">
        <w:t>1. 1: “by the time of Jesus</w:t>
      </w:r>
      <w:r w:rsidR="006F304D" w:rsidRPr="006F304D">
        <w:t xml:space="preserve">, </w:t>
      </w:r>
      <w:r w:rsidRPr="00AB4400">
        <w:t>Palestine had already been under “Hellenistic” rule and its resultant cultural influence for some 360 years.”</w:t>
      </w:r>
    </w:p>
  </w:footnote>
  <w:footnote w:id="211">
    <w:p w14:paraId="0754377B" w14:textId="1828BEEC" w:rsidR="0018433B" w:rsidRDefault="0018433B" w:rsidP="0018433B">
      <w:pPr>
        <w:widowControl w:val="0"/>
      </w:pPr>
      <w:r w:rsidRPr="00AB4400">
        <w:rPr>
          <w:vertAlign w:val="superscript"/>
        </w:rPr>
        <w:footnoteRef/>
      </w:r>
      <w:r w:rsidRPr="00AB4400">
        <w:t xml:space="preserve"> Since Lund considers chiasm to be “part of Hebrew thought” (</w:t>
      </w:r>
      <w:r w:rsidRPr="00AB4400">
        <w:rPr>
          <w:i/>
        </w:rPr>
        <w:t>Chiasmus</w:t>
      </w:r>
      <w:r w:rsidR="006F304D" w:rsidRPr="006F304D">
        <w:t xml:space="preserve">, </w:t>
      </w:r>
      <w:r w:rsidRPr="00AB4400">
        <w:t>29)</w:t>
      </w:r>
      <w:r w:rsidR="006F304D" w:rsidRPr="006F304D">
        <w:t xml:space="preserve">, </w:t>
      </w:r>
      <w:r w:rsidRPr="00AB4400">
        <w:t>it would appear in Jewish compositions</w:t>
      </w:r>
      <w:r w:rsidR="006F304D" w:rsidRPr="006F304D">
        <w:t xml:space="preserve">, </w:t>
      </w:r>
      <w:r w:rsidRPr="00AB4400">
        <w:t>whatever the language. See especially Lund’s appeal to the Papias tradition concerning the authorship of Matthew (ibid.</w:t>
      </w:r>
      <w:r w:rsidR="006F304D" w:rsidRPr="006F304D">
        <w:t xml:space="preserve">, </w:t>
      </w:r>
      <w:r w:rsidRPr="00AB4400">
        <w:t xml:space="preserve">232; the reference is to Papias’ </w:t>
      </w:r>
      <w:r w:rsidRPr="00AB4400">
        <w:rPr>
          <w:i/>
        </w:rPr>
        <w:t>Explanations of the Sayings of the Lord</w:t>
      </w:r>
      <w:r w:rsidRPr="00AB4400">
        <w:t xml:space="preserve"> [c. </w:t>
      </w:r>
      <w:r w:rsidRPr="00AB4400">
        <w:rPr>
          <w:smallCaps/>
        </w:rPr>
        <w:t>ad</w:t>
      </w:r>
      <w:r w:rsidRPr="00AB4400">
        <w:t xml:space="preserve"> 130]</w:t>
      </w:r>
      <w:r w:rsidR="006F304D" w:rsidRPr="006F304D">
        <w:t xml:space="preserve">, </w:t>
      </w:r>
      <w:r w:rsidRPr="00AB4400">
        <w:t>quoted in Eusebius</w:t>
      </w:r>
      <w:r w:rsidR="006F304D" w:rsidRPr="006F304D">
        <w:t xml:space="preserve">, </w:t>
      </w:r>
      <w:r w:rsidRPr="00AB4400">
        <w:rPr>
          <w:i/>
        </w:rPr>
        <w:t>Hist</w:t>
      </w:r>
      <w:r w:rsidRPr="00AB4400">
        <w:t xml:space="preserve">. </w:t>
      </w:r>
      <w:r w:rsidRPr="00AB4400">
        <w:rPr>
          <w:i/>
        </w:rPr>
        <w:t>eccl</w:t>
      </w:r>
      <w:r w:rsidRPr="00AB4400">
        <w:t>. 3.39.16):</w:t>
      </w:r>
    </w:p>
    <w:p w14:paraId="44E10E53" w14:textId="77777777" w:rsidR="0018433B" w:rsidRPr="00AB4400" w:rsidRDefault="0018433B" w:rsidP="0018433B">
      <w:pPr>
        <w:widowControl w:val="0"/>
      </w:pPr>
    </w:p>
    <w:p w14:paraId="08EF592D" w14:textId="2BA9D23D" w:rsidR="0018433B" w:rsidRPr="00AB4400" w:rsidRDefault="0018433B" w:rsidP="0018433B">
      <w:pPr>
        <w:widowControl w:val="0"/>
        <w:ind w:left="720" w:right="720"/>
      </w:pPr>
      <w:r w:rsidRPr="00AB4400">
        <w:t>The tradition preserved by Papias of a gospel written by Matthew for Palestinian Christians in their own language would sufficiently answer the requirements for a historical situation. An Aramaic gospel</w:t>
      </w:r>
      <w:r w:rsidR="006F304D" w:rsidRPr="006F304D">
        <w:t xml:space="preserve">, </w:t>
      </w:r>
      <w:r w:rsidRPr="00AB4400">
        <w:t>written for use in the Palestinian community</w:t>
      </w:r>
      <w:r w:rsidR="006F304D" w:rsidRPr="006F304D">
        <w:t xml:space="preserve">, </w:t>
      </w:r>
      <w:r w:rsidRPr="00AB4400">
        <w:t>is the kind of document which is most likely to have first incorporated the chiastic forms.</w:t>
      </w:r>
    </w:p>
  </w:footnote>
  <w:footnote w:id="212">
    <w:p w14:paraId="613CD0B6" w14:textId="77777777" w:rsidR="0018433B" w:rsidRDefault="0018433B" w:rsidP="0018433B">
      <w:pPr>
        <w:widowControl w:val="0"/>
      </w:pPr>
    </w:p>
    <w:p w14:paraId="751FCD40" w14:textId="7E8B7A79" w:rsidR="0018433B" w:rsidRPr="00AB4400" w:rsidRDefault="0018433B" w:rsidP="0018433B">
      <w:pPr>
        <w:widowControl w:val="0"/>
      </w:pPr>
      <w:r w:rsidRPr="00AB4400">
        <w:rPr>
          <w:vertAlign w:val="superscript"/>
        </w:rPr>
        <w:footnoteRef/>
      </w:r>
      <w:r w:rsidRPr="00B14249">
        <w:t xml:space="preserve"> </w:t>
      </w:r>
      <w:r w:rsidRPr="00AB4400">
        <w:t>Meynet</w:t>
      </w:r>
      <w:r w:rsidR="006F304D" w:rsidRPr="006F304D">
        <w:t xml:space="preserve">, </w:t>
      </w:r>
      <w:r w:rsidRPr="00AB4400">
        <w:rPr>
          <w:i/>
        </w:rPr>
        <w:t>Quelle</w:t>
      </w:r>
      <w:r w:rsidR="006F304D" w:rsidRPr="006F304D">
        <w:t xml:space="preserve">, </w:t>
      </w:r>
      <w:r w:rsidRPr="00AB4400">
        <w:t>1. 124. Lund is ambiguous about the extent of chiasm in the Psalms. He says</w:t>
      </w:r>
      <w:r w:rsidR="006F304D" w:rsidRPr="006F304D">
        <w:t xml:space="preserve">, </w:t>
      </w:r>
      <w:r w:rsidRPr="00AB4400">
        <w:t>“From over a hundred psalms which have been analyzed the following examples may be given” (</w:t>
      </w:r>
      <w:r w:rsidRPr="00AB4400">
        <w:rPr>
          <w:i/>
        </w:rPr>
        <w:t>Chiasmus</w:t>
      </w:r>
      <w:r w:rsidR="006F304D" w:rsidRPr="006F304D">
        <w:t xml:space="preserve">, </w:t>
      </w:r>
      <w:r w:rsidRPr="00AB4400">
        <w:t>94); does he mean that the following examples are a few instances from among a larger number of chiastic psalms or that these are the only psalms he found that show chiastic structure? Meynet (ibid.) interprets Lund according to the former explanation</w:t>
      </w:r>
      <w:r w:rsidR="006F304D" w:rsidRPr="006F304D">
        <w:t xml:space="preserve">, </w:t>
      </w:r>
      <w:r w:rsidRPr="00AB4400">
        <w:t>but the context in Lund’s chapter suggests that the latter is meant. Lund attributes chiasm to Pss 29</w:t>
      </w:r>
      <w:r w:rsidR="006F304D" w:rsidRPr="006F304D">
        <w:t xml:space="preserve">, </w:t>
      </w:r>
      <w:r w:rsidRPr="00AB4400">
        <w:t>58</w:t>
      </w:r>
      <w:r w:rsidR="006F304D" w:rsidRPr="006F304D">
        <w:t xml:space="preserve">, </w:t>
      </w:r>
      <w:r w:rsidRPr="00AB4400">
        <w:t>67</w:t>
      </w:r>
      <w:r w:rsidR="006F304D" w:rsidRPr="006F304D">
        <w:t xml:space="preserve">, </w:t>
      </w:r>
      <w:r w:rsidRPr="00AB4400">
        <w:t>101</w:t>
      </w:r>
      <w:r w:rsidR="006F304D" w:rsidRPr="006F304D">
        <w:t xml:space="preserve">, </w:t>
      </w:r>
      <w:r w:rsidRPr="00AB4400">
        <w:t>and 115 (Meynet would add Ps 2); several others</w:t>
      </w:r>
      <w:r w:rsidR="006F304D" w:rsidRPr="006F304D">
        <w:t xml:space="preserve">, </w:t>
      </w:r>
      <w:r w:rsidRPr="00AB4400">
        <w:t>Lund says (he gives seven examples)</w:t>
      </w:r>
      <w:r w:rsidR="006F304D" w:rsidRPr="006F304D">
        <w:t xml:space="preserve">, </w:t>
      </w:r>
      <w:r w:rsidRPr="00AB4400">
        <w:t>show chiastic structure in combination with alternating parallelism.</w:t>
      </w:r>
    </w:p>
  </w:footnote>
  <w:footnote w:id="213">
    <w:p w14:paraId="6012091C" w14:textId="5F0EDF3E" w:rsidR="0018433B" w:rsidRPr="00AB4400" w:rsidRDefault="0018433B" w:rsidP="0018433B">
      <w:pPr>
        <w:widowControl w:val="0"/>
      </w:pPr>
      <w:r w:rsidRPr="00AB4400">
        <w:rPr>
          <w:vertAlign w:val="superscript"/>
        </w:rPr>
        <w:footnoteRef/>
      </w:r>
      <w:r w:rsidRPr="00AB4400">
        <w:t xml:space="preserve"> Meynet</w:t>
      </w:r>
      <w:r w:rsidR="006F304D" w:rsidRPr="006F304D">
        <w:t xml:space="preserve">, </w:t>
      </w:r>
      <w:r w:rsidRPr="00AB4400">
        <w:rPr>
          <w:i/>
        </w:rPr>
        <w:t>Quelle</w:t>
      </w:r>
      <w:r w:rsidR="006F304D" w:rsidRPr="006F304D">
        <w:t xml:space="preserve">, </w:t>
      </w:r>
      <w:r w:rsidRPr="00AB4400">
        <w:t>1. 199.</w:t>
      </w:r>
    </w:p>
  </w:footnote>
  <w:footnote w:id="214">
    <w:p w14:paraId="2EF45090" w14:textId="77777777" w:rsidR="0018433B" w:rsidRPr="00AB4400" w:rsidRDefault="0018433B" w:rsidP="0018433B">
      <w:pPr>
        <w:widowControl w:val="0"/>
      </w:pPr>
      <w:r w:rsidRPr="00AB4400">
        <w:rPr>
          <w:vertAlign w:val="superscript"/>
        </w:rPr>
        <w:footnoteRef/>
      </w:r>
      <w:r w:rsidRPr="00AB4400">
        <w:t xml:space="preserve"> The device of inclusion.</w:t>
      </w:r>
    </w:p>
  </w:footnote>
  <w:footnote w:id="215">
    <w:p w14:paraId="6DC37289" w14:textId="3D7754F8" w:rsidR="0018433B" w:rsidRPr="00AB4400" w:rsidRDefault="0018433B" w:rsidP="0018433B">
      <w:pPr>
        <w:widowControl w:val="0"/>
      </w:pPr>
      <w:r w:rsidRPr="00AB4400">
        <w:rPr>
          <w:vertAlign w:val="superscript"/>
        </w:rPr>
        <w:footnoteRef/>
      </w:r>
      <w:r w:rsidRPr="00AB4400">
        <w:t xml:space="preserve"> Lund</w:t>
      </w:r>
      <w:r w:rsidR="006F304D" w:rsidRPr="006F304D">
        <w:t xml:space="preserve">, </w:t>
      </w:r>
      <w:r w:rsidRPr="00AB4400">
        <w:rPr>
          <w:i/>
        </w:rPr>
        <w:t>Chiasmus</w:t>
      </w:r>
      <w:r w:rsidR="006F304D" w:rsidRPr="006F304D">
        <w:t xml:space="preserve">, </w:t>
      </w:r>
      <w:r w:rsidRPr="00AB4400">
        <w:t>40-41.</w:t>
      </w:r>
    </w:p>
  </w:footnote>
  <w:footnote w:id="216">
    <w:p w14:paraId="7E0DE3E2" w14:textId="64B9FA88" w:rsidR="0018433B" w:rsidRPr="00AB4400" w:rsidRDefault="0018433B" w:rsidP="0018433B">
      <w:pPr>
        <w:widowControl w:val="0"/>
      </w:pPr>
      <w:r w:rsidRPr="00AB4400">
        <w:rPr>
          <w:vertAlign w:val="superscript"/>
        </w:rPr>
        <w:footnoteRef/>
      </w:r>
      <w:r w:rsidRPr="00AB4400">
        <w:t xml:space="preserve"> Condamin</w:t>
      </w:r>
      <w:r w:rsidR="006F304D" w:rsidRPr="006F304D">
        <w:t xml:space="preserve">, </w:t>
      </w:r>
      <w:r w:rsidRPr="00AB4400">
        <w:rPr>
          <w:i/>
        </w:rPr>
        <w:t>Livre d</w:t>
      </w:r>
      <w:r w:rsidRPr="00AB4400">
        <w:t>’</w:t>
      </w:r>
      <w:r w:rsidRPr="00AB4400">
        <w:rPr>
          <w:i/>
        </w:rPr>
        <w:t>Isaïe</w:t>
      </w:r>
      <w:r w:rsidR="006F304D" w:rsidRPr="006F304D">
        <w:t xml:space="preserve">, </w:t>
      </w:r>
      <w:r w:rsidRPr="00AB4400">
        <w:t xml:space="preserve">ix-x (emphasis removed). Condamin repeats his “laws” in varying ways in </w:t>
      </w:r>
      <w:r w:rsidRPr="00AB4400">
        <w:rPr>
          <w:i/>
        </w:rPr>
        <w:t>Livre de Jérémie</w:t>
      </w:r>
      <w:r w:rsidR="006F304D" w:rsidRPr="006F304D">
        <w:t xml:space="preserve">, </w:t>
      </w:r>
      <w:r w:rsidRPr="00AB4400">
        <w:t>xxxvii</w:t>
      </w:r>
      <w:r w:rsidR="006F304D" w:rsidRPr="006F304D">
        <w:t xml:space="preserve">, </w:t>
      </w:r>
      <w:r w:rsidRPr="00AB4400">
        <w:t>xlii</w:t>
      </w:r>
      <w:r w:rsidR="006F304D" w:rsidRPr="006F304D">
        <w:t xml:space="preserve">, </w:t>
      </w:r>
      <w:r w:rsidRPr="00AB4400">
        <w:t xml:space="preserve">and </w:t>
      </w:r>
      <w:r w:rsidRPr="00AB4400">
        <w:rPr>
          <w:i/>
        </w:rPr>
        <w:t>Poèmes</w:t>
      </w:r>
      <w:r w:rsidR="006F304D" w:rsidRPr="006F304D">
        <w:t xml:space="preserve">, </w:t>
      </w:r>
      <w:r w:rsidRPr="00AB4400">
        <w:t>27-38. Meynet criticizes Condamin’s second law: the latter’s theory of Hebrew strophes</w:t>
      </w:r>
      <w:r w:rsidR="006F304D" w:rsidRPr="006F304D">
        <w:t xml:space="preserve">, </w:t>
      </w:r>
      <w:r w:rsidRPr="00AB4400">
        <w:t>he says</w:t>
      </w:r>
      <w:r w:rsidR="006F304D" w:rsidRPr="006F304D">
        <w:t xml:space="preserve">, </w:t>
      </w:r>
      <w:r w:rsidRPr="00AB4400">
        <w:t xml:space="preserve">forces each half of a chiasm to have an equal number of distichs; but in reality “the center of the chiasm </w:t>
      </w:r>
      <w:r>
        <w:t>. . .</w:t>
      </w:r>
      <w:r w:rsidRPr="00AB4400">
        <w:t xml:space="preserve"> is not necessarily the mathematical center.” (</w:t>
      </w:r>
      <w:r w:rsidRPr="00AB4400">
        <w:rPr>
          <w:i/>
        </w:rPr>
        <w:t>Quelle</w:t>
      </w:r>
      <w:r w:rsidR="006F304D" w:rsidRPr="006F304D">
        <w:t xml:space="preserve">, </w:t>
      </w:r>
      <w:r w:rsidRPr="00AB4400">
        <w:t>1. 120). (Meynet [ibid.</w:t>
      </w:r>
      <w:r w:rsidR="006F304D" w:rsidRPr="006F304D">
        <w:t xml:space="preserve">, </w:t>
      </w:r>
      <w:r w:rsidRPr="00AB4400">
        <w:t>1. 126] alludes to fifteen laws of structure formulated by Enrico Galbiati [</w:t>
      </w:r>
      <w:r w:rsidRPr="00AB4400">
        <w:rPr>
          <w:i/>
        </w:rPr>
        <w:t>Struttura</w:t>
      </w:r>
      <w:r w:rsidR="006F304D" w:rsidRPr="006F304D">
        <w:t xml:space="preserve">, </w:t>
      </w:r>
      <w:r w:rsidRPr="00AB4400">
        <w:t>37-51]</w:t>
      </w:r>
      <w:r w:rsidR="006F304D" w:rsidRPr="006F304D">
        <w:t xml:space="preserve">, </w:t>
      </w:r>
      <w:r w:rsidRPr="00AB4400">
        <w:t>four of which concern chiasm</w:t>
      </w:r>
      <w:r w:rsidR="006F304D" w:rsidRPr="006F304D">
        <w:t xml:space="preserve">, </w:t>
      </w:r>
      <w:r w:rsidRPr="00AB4400">
        <w:t>but I have been unable to obtain this work.)</w:t>
      </w:r>
    </w:p>
  </w:footnote>
  <w:footnote w:id="217">
    <w:p w14:paraId="75EC4784" w14:textId="51B256D4" w:rsidR="0018433B" w:rsidRPr="00AB4400" w:rsidRDefault="0018433B" w:rsidP="0018433B">
      <w:pPr>
        <w:widowControl w:val="0"/>
      </w:pPr>
      <w:r w:rsidRPr="00AB4400">
        <w:rPr>
          <w:vertAlign w:val="superscript"/>
        </w:rPr>
        <w:footnoteRef/>
      </w:r>
      <w:r w:rsidRPr="00AB4400">
        <w:t xml:space="preserve"> Ibid.</w:t>
      </w:r>
      <w:r w:rsidR="006F304D" w:rsidRPr="006F304D">
        <w:t xml:space="preserve">, </w:t>
      </w:r>
      <w:r w:rsidRPr="00AB4400">
        <w:t>130.</w:t>
      </w:r>
    </w:p>
  </w:footnote>
  <w:footnote w:id="218">
    <w:p w14:paraId="04807AE2" w14:textId="7EBC8ABB" w:rsidR="0018433B" w:rsidRPr="00AB4400" w:rsidRDefault="0018433B" w:rsidP="0018433B">
      <w:pPr>
        <w:widowControl w:val="0"/>
      </w:pPr>
      <w:r w:rsidRPr="00AB4400">
        <w:rPr>
          <w:vertAlign w:val="superscript"/>
        </w:rPr>
        <w:footnoteRef/>
      </w:r>
      <w:r w:rsidRPr="00AB4400">
        <w:t xml:space="preserve"> Ibid.</w:t>
      </w:r>
      <w:r w:rsidR="006F304D" w:rsidRPr="006F304D">
        <w:t xml:space="preserve">, </w:t>
      </w:r>
      <w:r w:rsidRPr="00AB4400">
        <w:t>60. See also 130: “the lexical chiasm has two functions: to indicate the unity of the text that it creates</w:t>
      </w:r>
      <w:r w:rsidR="006F304D" w:rsidRPr="006F304D">
        <w:t xml:space="preserve">, </w:t>
      </w:r>
      <w:r w:rsidRPr="00AB4400">
        <w:t>and to focus the text on the central element. In addition</w:t>
      </w:r>
      <w:r w:rsidR="006F304D" w:rsidRPr="006F304D">
        <w:t xml:space="preserve">, </w:t>
      </w:r>
      <w:r w:rsidRPr="00AB4400">
        <w:t xml:space="preserve">it is often the case that that which is at the extremes of a chiasm is found also at the center </w:t>
      </w:r>
      <w:r>
        <w:t>. . . .</w:t>
      </w:r>
      <w:r w:rsidRPr="00AB4400">
        <w:t>”</w:t>
      </w:r>
    </w:p>
  </w:footnote>
  <w:footnote w:id="219">
    <w:p w14:paraId="4FF6E12E" w14:textId="506B97CC" w:rsidR="0018433B" w:rsidRPr="00AB4400" w:rsidRDefault="0018433B" w:rsidP="0018433B">
      <w:pPr>
        <w:widowControl w:val="0"/>
      </w:pPr>
      <w:r w:rsidRPr="00AB4400">
        <w:rPr>
          <w:vertAlign w:val="superscript"/>
        </w:rPr>
        <w:footnoteRef/>
      </w:r>
      <w:r w:rsidRPr="00AB4400">
        <w:t xml:space="preserve"> Ibid.</w:t>
      </w:r>
      <w:r w:rsidR="006F304D" w:rsidRPr="006F304D">
        <w:t xml:space="preserve">, </w:t>
      </w:r>
      <w:r w:rsidRPr="00AB4400">
        <w:t>58-59</w:t>
      </w:r>
      <w:r w:rsidR="006F304D" w:rsidRPr="006F304D">
        <w:t xml:space="preserve">, </w:t>
      </w:r>
      <w:r w:rsidRPr="00AB4400">
        <w:t>145. The central element remains unique</w:t>
      </w:r>
      <w:r w:rsidR="006F304D" w:rsidRPr="006F304D">
        <w:t xml:space="preserve">, </w:t>
      </w:r>
      <w:r w:rsidRPr="00AB4400">
        <w:t>Meynet notes</w:t>
      </w:r>
      <w:r w:rsidR="006F304D" w:rsidRPr="006F304D">
        <w:t xml:space="preserve">, </w:t>
      </w:r>
      <w:r w:rsidRPr="00AB4400">
        <w:t>even if it recurs elsewhere (for example</w:t>
      </w:r>
      <w:r w:rsidR="006F304D" w:rsidRPr="006F304D">
        <w:t xml:space="preserve">, </w:t>
      </w:r>
      <w:r w:rsidRPr="00AB4400">
        <w:t>at the extremes of the chiasm); for these other occurrences of the central element have their parallels</w:t>
      </w:r>
      <w:r w:rsidR="006F304D" w:rsidRPr="006F304D">
        <w:t xml:space="preserve">, </w:t>
      </w:r>
      <w:r w:rsidRPr="00AB4400">
        <w:t>whereas the central occurrence by nature cannot (ibid.</w:t>
      </w:r>
      <w:r w:rsidR="006F304D" w:rsidRPr="006F304D">
        <w:t xml:space="preserve">, </w:t>
      </w:r>
      <w:r w:rsidRPr="00AB4400">
        <w:t>59).</w:t>
      </w:r>
    </w:p>
  </w:footnote>
  <w:footnote w:id="220">
    <w:p w14:paraId="4D297A93" w14:textId="2E017998" w:rsidR="0018433B" w:rsidRPr="00AB4400" w:rsidRDefault="0018433B" w:rsidP="0018433B">
      <w:pPr>
        <w:widowControl w:val="0"/>
      </w:pPr>
      <w:r w:rsidRPr="00AB4400">
        <w:rPr>
          <w:vertAlign w:val="superscript"/>
        </w:rPr>
        <w:footnoteRef/>
      </w:r>
      <w:r w:rsidRPr="00AB4400">
        <w:t xml:space="preserve"> Ibid.</w:t>
      </w:r>
      <w:r w:rsidR="006F304D" w:rsidRPr="006F304D">
        <w:t xml:space="preserve">, </w:t>
      </w:r>
      <w:r w:rsidRPr="00AB4400">
        <w:t>145 (emphasis added). Meynet does add in defense of himself and other chiasm detectives that “it often happens that lexical chiasms are centered on elements that are made emphatic by other rhetorical means” (ibid.)</w:t>
      </w:r>
      <w:r w:rsidR="006F304D" w:rsidRPr="006F304D">
        <w:t xml:space="preserve">, </w:t>
      </w:r>
      <w:r w:rsidRPr="00AB4400">
        <w:t>though he does not specify these means.</w:t>
      </w:r>
    </w:p>
  </w:footnote>
  <w:footnote w:id="221">
    <w:p w14:paraId="4B504393" w14:textId="18560687" w:rsidR="0018433B" w:rsidRPr="00AB4400" w:rsidRDefault="0018433B" w:rsidP="0018433B">
      <w:pPr>
        <w:widowControl w:val="0"/>
      </w:pPr>
      <w:r w:rsidRPr="00AB4400">
        <w:rPr>
          <w:vertAlign w:val="superscript"/>
        </w:rPr>
        <w:footnoteRef/>
      </w:r>
      <w:r w:rsidRPr="00AB4400">
        <w:t xml:space="preserve"> Wright</w:t>
      </w:r>
      <w:r w:rsidR="006F304D" w:rsidRPr="006F304D">
        <w:t xml:space="preserve">, </w:t>
      </w:r>
      <w:r w:rsidRPr="00AB4400">
        <w:t>“Wisdom,” 1. 558. Conversely</w:t>
      </w:r>
      <w:r w:rsidR="006F304D" w:rsidRPr="006F304D">
        <w:t xml:space="preserve">, </w:t>
      </w:r>
      <w:r w:rsidRPr="00AB4400">
        <w:t>a chiasm can be thought of as a series of inclusions</w:t>
      </w:r>
      <w:r w:rsidR="006F304D" w:rsidRPr="006F304D">
        <w:t xml:space="preserve">, </w:t>
      </w:r>
      <w:r w:rsidRPr="00AB4400">
        <w:t>one inside the other (“inclusions of several degrees”: Condamin</w:t>
      </w:r>
      <w:r w:rsidR="006F304D" w:rsidRPr="006F304D">
        <w:t xml:space="preserve">, </w:t>
      </w:r>
      <w:r w:rsidRPr="00AB4400">
        <w:t xml:space="preserve">“Les prédications nouvelles du chapitre 48 d’Isaïe,” </w:t>
      </w:r>
      <w:r w:rsidRPr="00AB4400">
        <w:rPr>
          <w:i/>
        </w:rPr>
        <w:t>RB</w:t>
      </w:r>
      <w:r w:rsidRPr="00AB4400">
        <w:t xml:space="preserve"> 7 [1910]</w:t>
      </w:r>
      <w:r w:rsidR="006F304D" w:rsidRPr="006F304D">
        <w:t xml:space="preserve">, </w:t>
      </w:r>
      <w:r w:rsidRPr="00AB4400">
        <w:t>quoted by Meynet</w:t>
      </w:r>
      <w:r w:rsidR="006F304D" w:rsidRPr="006F304D">
        <w:t xml:space="preserve">, </w:t>
      </w:r>
      <w:r w:rsidRPr="00AB4400">
        <w:rPr>
          <w:i/>
        </w:rPr>
        <w:t>Quelle</w:t>
      </w:r>
      <w:r w:rsidR="006F304D" w:rsidRPr="006F304D">
        <w:t xml:space="preserve">, </w:t>
      </w:r>
      <w:r w:rsidRPr="00AB4400">
        <w:t>1. 120. See further Meynet’s quotation [ibid.</w:t>
      </w:r>
      <w:r w:rsidR="006F304D" w:rsidRPr="006F304D">
        <w:t xml:space="preserve">, </w:t>
      </w:r>
      <w:r w:rsidRPr="00AB4400">
        <w:t xml:space="preserve">1. 119] from Condamin’s </w:t>
      </w:r>
      <w:r w:rsidRPr="00AB4400">
        <w:rPr>
          <w:i/>
        </w:rPr>
        <w:t>Le Livre d</w:t>
      </w:r>
      <w:r w:rsidRPr="00AB4400">
        <w:t>’</w:t>
      </w:r>
      <w:r w:rsidRPr="00AB4400">
        <w:rPr>
          <w:i/>
        </w:rPr>
        <w:t>Isaïe</w:t>
      </w:r>
      <w:r w:rsidR="006F304D" w:rsidRPr="006F304D">
        <w:t xml:space="preserve">, </w:t>
      </w:r>
      <w:r w:rsidRPr="00AB4400">
        <w:t>ix-x: “To distinguish the strophes</w:t>
      </w:r>
      <w:r w:rsidR="006F304D" w:rsidRPr="006F304D">
        <w:t xml:space="preserve">, </w:t>
      </w:r>
      <w:r w:rsidRPr="00AB4400">
        <w:t xml:space="preserve">one must examine </w:t>
      </w:r>
      <w:r>
        <w:t>. . .</w:t>
      </w:r>
      <w:r w:rsidRPr="00AB4400">
        <w:t xml:space="preserve"> the repetition of certain words </w:t>
      </w:r>
      <w:r>
        <w:t>. . .</w:t>
      </w:r>
      <w:r w:rsidRPr="00AB4400">
        <w:t xml:space="preserve"> at the beginning and the end of the strophes</w:t>
      </w:r>
      <w:r w:rsidR="006F304D" w:rsidRPr="006F304D">
        <w:t xml:space="preserve">, </w:t>
      </w:r>
      <w:r w:rsidRPr="00AB4400">
        <w:t xml:space="preserve">which D. H. Müller calls </w:t>
      </w:r>
      <w:r w:rsidRPr="00AB4400">
        <w:rPr>
          <w:i/>
        </w:rPr>
        <w:t>inclusio</w:t>
      </w:r>
      <w:r w:rsidRPr="00AB4400">
        <w:t xml:space="preserve"> </w:t>
      </w:r>
      <w:r>
        <w:t>. . .</w:t>
      </w:r>
      <w:r w:rsidRPr="00AB4400">
        <w:t>”) Lund</w:t>
      </w:r>
      <w:r w:rsidR="006F304D" w:rsidRPr="006F304D">
        <w:t xml:space="preserve">, </w:t>
      </w:r>
      <w:r w:rsidRPr="00AB4400">
        <w:t>Morgenthaler</w:t>
      </w:r>
      <w:r w:rsidR="006F304D" w:rsidRPr="006F304D">
        <w:t xml:space="preserve">, </w:t>
      </w:r>
      <w:r w:rsidRPr="00AB4400">
        <w:t>and Talbert also associate inclusion and chiasm. Lund (</w:t>
      </w:r>
      <w:r w:rsidRPr="00AB4400">
        <w:rPr>
          <w:i/>
        </w:rPr>
        <w:t>Chiasmus</w:t>
      </w:r>
      <w:r w:rsidR="006F304D" w:rsidRPr="006F304D">
        <w:t xml:space="preserve">, </w:t>
      </w:r>
      <w:r w:rsidRPr="00AB4400">
        <w:t xml:space="preserve">41) cites as the sixth of his “laws of chiastic structures” the fact that “Larger units are frequently introduced and concluded by </w:t>
      </w:r>
      <w:r w:rsidRPr="00AB4400">
        <w:rPr>
          <w:i/>
        </w:rPr>
        <w:t>frame-passages</w:t>
      </w:r>
      <w:r w:rsidRPr="00AB4400">
        <w:t>.” Morgenthaler discusses inclusions in his consideration of chiasms (</w:t>
      </w:r>
      <w:r w:rsidRPr="00AB4400">
        <w:rPr>
          <w:i/>
        </w:rPr>
        <w:t>Geschichtsschreibung</w:t>
      </w:r>
      <w:r w:rsidR="006F304D" w:rsidRPr="006F304D">
        <w:t xml:space="preserve">, </w:t>
      </w:r>
      <w:r w:rsidRPr="00AB4400">
        <w:t>1. 87-91); and Talbert (</w:t>
      </w:r>
      <w:r w:rsidRPr="00AB4400">
        <w:rPr>
          <w:i/>
        </w:rPr>
        <w:t>Literary Patterns</w:t>
      </w:r>
      <w:r w:rsidR="006F304D" w:rsidRPr="006F304D">
        <w:t xml:space="preserve">, </w:t>
      </w:r>
      <w:r w:rsidRPr="00AB4400">
        <w:t>14 n. 70) says that the pattern</w:t>
      </w:r>
      <w:r w:rsidR="006F304D" w:rsidRPr="006F304D">
        <w:t xml:space="preserve">, </w:t>
      </w:r>
      <w:r>
        <w:t>A B C A´</w:t>
      </w:r>
      <w:r w:rsidR="006F304D" w:rsidRPr="006F304D">
        <w:t xml:space="preserve">, </w:t>
      </w:r>
      <w:r w:rsidRPr="00AB4400">
        <w:t>“is called by some inclusion</w:t>
      </w:r>
      <w:r w:rsidR="006F304D" w:rsidRPr="006F304D">
        <w:t xml:space="preserve">, </w:t>
      </w:r>
      <w:r w:rsidRPr="00AB4400">
        <w:t>by others ring composition</w:t>
      </w:r>
      <w:r w:rsidR="006F304D" w:rsidRPr="006F304D">
        <w:t xml:space="preserve">, </w:t>
      </w:r>
      <w:r w:rsidRPr="00AB4400">
        <w:t>and by still others a bracketing or framing device”—and Talbert calls chiasms “concentric rings” (above</w:t>
      </w:r>
      <w:r w:rsidR="006F304D" w:rsidRPr="006F304D">
        <w:t xml:space="preserve">, </w:t>
      </w:r>
      <w:r w:rsidRPr="00AB4400">
        <w:t>p.</w:t>
      </w:r>
      <w:r w:rsidR="001C646B" w:rsidRPr="001C646B">
        <w:rPr>
          <w:iCs/>
        </w:rPr>
        <w:t>)</w:t>
      </w:r>
      <w:r w:rsidRPr="00AB4400">
        <w:t>.</w:t>
      </w:r>
    </w:p>
  </w:footnote>
  <w:footnote w:id="222">
    <w:p w14:paraId="613D4700" w14:textId="08AE1FBF" w:rsidR="0018433B" w:rsidRPr="00AB4400" w:rsidRDefault="0018433B" w:rsidP="0018433B">
      <w:pPr>
        <w:widowControl w:val="0"/>
      </w:pPr>
      <w:r w:rsidRPr="00AB4400">
        <w:rPr>
          <w:vertAlign w:val="superscript"/>
        </w:rPr>
        <w:footnoteRef/>
      </w:r>
      <w:r w:rsidRPr="00AB4400">
        <w:t xml:space="preserve"> Meynet</w:t>
      </w:r>
      <w:r w:rsidR="006F304D" w:rsidRPr="006F304D">
        <w:t xml:space="preserve">, </w:t>
      </w:r>
      <w:r w:rsidRPr="00AB4400">
        <w:rPr>
          <w:i/>
        </w:rPr>
        <w:t>Quelle</w:t>
      </w:r>
      <w:r w:rsidR="006F304D" w:rsidRPr="006F304D">
        <w:t xml:space="preserve">, </w:t>
      </w:r>
      <w:r w:rsidRPr="00AB4400">
        <w:t>1. 56.</w:t>
      </w:r>
    </w:p>
  </w:footnote>
  <w:footnote w:id="223">
    <w:p w14:paraId="06D9BAB9" w14:textId="74F08426" w:rsidR="0018433B" w:rsidRPr="00AB4400" w:rsidRDefault="0018433B" w:rsidP="0018433B">
      <w:pPr>
        <w:widowControl w:val="0"/>
      </w:pPr>
      <w:r w:rsidRPr="00AB4400">
        <w:rPr>
          <w:vertAlign w:val="superscript"/>
        </w:rPr>
        <w:footnoteRef/>
      </w:r>
      <w:r w:rsidRPr="00AB4400">
        <w:t xml:space="preserve"> See</w:t>
      </w:r>
      <w:r w:rsidR="006F304D" w:rsidRPr="006F304D">
        <w:t xml:space="preserve">, </w:t>
      </w:r>
      <w:r w:rsidRPr="00AB4400">
        <w:t>for example</w:t>
      </w:r>
      <w:r w:rsidR="006F304D" w:rsidRPr="006F304D">
        <w:t xml:space="preserve">, </w:t>
      </w:r>
      <w:r w:rsidRPr="00AB4400">
        <w:t>Wright</w:t>
      </w:r>
      <w:r w:rsidR="006F304D" w:rsidRPr="006F304D">
        <w:t xml:space="preserve">, </w:t>
      </w:r>
      <w:r w:rsidRPr="00AB4400">
        <w:t>“Wisdom,” 1. 558; Shea</w:t>
      </w:r>
      <w:r w:rsidR="006F304D" w:rsidRPr="006F304D">
        <w:t xml:space="preserve">, </w:t>
      </w:r>
      <w:r w:rsidRPr="00AB4400">
        <w:t>“Chiasmus,” 20 (cf. p. 15).</w:t>
      </w:r>
    </w:p>
  </w:footnote>
  <w:footnote w:id="224">
    <w:p w14:paraId="69DCF803" w14:textId="6E5BD904" w:rsidR="0018433B" w:rsidRPr="00AB4400" w:rsidRDefault="0018433B" w:rsidP="0018433B">
      <w:pPr>
        <w:widowControl w:val="0"/>
      </w:pPr>
      <w:r w:rsidRPr="00AB4400">
        <w:rPr>
          <w:vertAlign w:val="superscript"/>
        </w:rPr>
        <w:footnoteRef/>
      </w:r>
      <w:r w:rsidRPr="00AB4400">
        <w:t xml:space="preserve"> Early notice of the technique of “intercalation” was taken by Erich Klostermann</w:t>
      </w:r>
      <w:r w:rsidR="006F304D" w:rsidRPr="006F304D">
        <w:t xml:space="preserve">, </w:t>
      </w:r>
      <w:r w:rsidRPr="00AB4400">
        <w:rPr>
          <w:i/>
        </w:rPr>
        <w:t>Das Markusevangelium</w:t>
      </w:r>
      <w:r w:rsidRPr="00AB4400">
        <w:t xml:space="preserve"> (Tübingen: Mohr</w:t>
      </w:r>
      <w:r w:rsidR="006F304D" w:rsidRPr="006F304D">
        <w:t xml:space="preserve">, </w:t>
      </w:r>
      <w:r w:rsidRPr="00AB4400">
        <w:t>1907) 37 and 50; Rudolf Bultmann</w:t>
      </w:r>
      <w:r w:rsidR="006F304D" w:rsidRPr="006F304D">
        <w:t xml:space="preserve">, </w:t>
      </w:r>
      <w:r w:rsidRPr="00AB4400">
        <w:rPr>
          <w:i/>
        </w:rPr>
        <w:t>The History of the Synoptic Tradition</w:t>
      </w:r>
      <w:r w:rsidRPr="00AB4400">
        <w:t xml:space="preserve"> (rev. ed.; New York: </w:t>
      </w:r>
      <w:r w:rsidR="00E95268" w:rsidRPr="00E95268">
        <w:rPr>
          <w:iCs/>
        </w:rPr>
        <w:t>Harper and Row</w:t>
      </w:r>
      <w:r w:rsidR="006F304D" w:rsidRPr="006F304D">
        <w:t xml:space="preserve">, </w:t>
      </w:r>
      <w:r w:rsidRPr="00AB4400">
        <w:t>1968 [German: 1921]) 15-16</w:t>
      </w:r>
      <w:r w:rsidR="006F304D" w:rsidRPr="006F304D">
        <w:t xml:space="preserve">, </w:t>
      </w:r>
      <w:r w:rsidRPr="00AB4400">
        <w:t>331 (Bultmann cites as predecessors Wrede</w:t>
      </w:r>
      <w:r w:rsidR="006F304D" w:rsidRPr="006F304D">
        <w:t xml:space="preserve">, </w:t>
      </w:r>
      <w:r w:rsidRPr="00AB4400">
        <w:t>Völter</w:t>
      </w:r>
      <w:r w:rsidR="006F304D" w:rsidRPr="006F304D">
        <w:t xml:space="preserve">, </w:t>
      </w:r>
      <w:r w:rsidRPr="00AB4400">
        <w:t>Klostermann</w:t>
      </w:r>
      <w:r w:rsidR="006F304D" w:rsidRPr="006F304D">
        <w:t xml:space="preserve">, </w:t>
      </w:r>
      <w:r w:rsidRPr="00AB4400">
        <w:t>Fridrichsen</w:t>
      </w:r>
      <w:r w:rsidR="006F304D" w:rsidRPr="006F304D">
        <w:t xml:space="preserve">, </w:t>
      </w:r>
      <w:r w:rsidRPr="00AB4400">
        <w:t>and Loisy); Ernst von Dobschütz</w:t>
      </w:r>
      <w:r w:rsidR="006F304D" w:rsidRPr="006F304D">
        <w:t xml:space="preserve">, </w:t>
      </w:r>
      <w:r w:rsidRPr="00AB4400">
        <w:t xml:space="preserve">“Zur Erzählungskunst des Markus,” </w:t>
      </w:r>
      <w:r w:rsidR="00CA0334" w:rsidRPr="00CA0334">
        <w:rPr>
          <w:i/>
          <w:iCs/>
        </w:rPr>
        <w:t>Zeitschrift für die neutestamentliche Wissenschaft</w:t>
      </w:r>
      <w:r w:rsidRPr="00AB4400">
        <w:t xml:space="preserve"> 27 (1928) 193-98. More recent discussions of this “framing device” in Mark can be found in Vincent Taylor</w:t>
      </w:r>
      <w:r w:rsidR="006F304D" w:rsidRPr="006F304D">
        <w:t xml:space="preserve">, </w:t>
      </w:r>
      <w:r w:rsidRPr="00AB4400">
        <w:rPr>
          <w:i/>
        </w:rPr>
        <w:t>The Gospel According to St</w:t>
      </w:r>
      <w:r w:rsidRPr="00AB4400">
        <w:t xml:space="preserve">. </w:t>
      </w:r>
      <w:r w:rsidRPr="00AB4400">
        <w:rPr>
          <w:i/>
        </w:rPr>
        <w:t>Mark</w:t>
      </w:r>
      <w:r w:rsidRPr="00AB4400">
        <w:t xml:space="preserve">: </w:t>
      </w:r>
      <w:r w:rsidRPr="00AB4400">
        <w:rPr>
          <w:i/>
        </w:rPr>
        <w:t>The Greek Text with Introduction</w:t>
      </w:r>
      <w:r w:rsidR="006F304D" w:rsidRPr="006F304D">
        <w:t xml:space="preserve">, </w:t>
      </w:r>
      <w:r w:rsidRPr="00AB4400">
        <w:rPr>
          <w:i/>
        </w:rPr>
        <w:t>Notes</w:t>
      </w:r>
      <w:r w:rsidR="006F304D" w:rsidRPr="006F304D">
        <w:t xml:space="preserve">, </w:t>
      </w:r>
      <w:r w:rsidRPr="00AB4400">
        <w:rPr>
          <w:i/>
        </w:rPr>
        <w:t>and Indexes</w:t>
      </w:r>
      <w:r w:rsidRPr="00AB4400">
        <w:t xml:space="preserve"> (</w:t>
      </w:r>
      <w:r w:rsidR="0029762C" w:rsidRPr="0029762C">
        <w:rPr>
          <w:iCs/>
        </w:rPr>
        <w:t>2nd ed.</w:t>
      </w:r>
      <w:r w:rsidRPr="00AB4400">
        <w:t>; London: Macmillan</w:t>
      </w:r>
      <w:r w:rsidR="006F304D" w:rsidRPr="006F304D">
        <w:t xml:space="preserve">, </w:t>
      </w:r>
      <w:r w:rsidRPr="00AB4400">
        <w:t>1966) 191-92; and in Rhoads and Michie</w:t>
      </w:r>
      <w:r w:rsidR="006F304D" w:rsidRPr="006F304D">
        <w:t xml:space="preserve">, </w:t>
      </w:r>
      <w:r w:rsidRPr="00AB4400">
        <w:rPr>
          <w:i/>
        </w:rPr>
        <w:t>Mark as Story</w:t>
      </w:r>
      <w:r w:rsidR="006F304D" w:rsidRPr="006F304D">
        <w:t xml:space="preserve">, </w:t>
      </w:r>
      <w:r w:rsidRPr="00AB4400">
        <w:t>51.</w:t>
      </w:r>
    </w:p>
  </w:footnote>
  <w:footnote w:id="225">
    <w:p w14:paraId="5D237CC1" w14:textId="3CE78BE3" w:rsidR="0018433B" w:rsidRDefault="0018433B" w:rsidP="0018433B">
      <w:pPr>
        <w:widowControl w:val="0"/>
      </w:pPr>
      <w:r w:rsidRPr="00AB4400">
        <w:rPr>
          <w:vertAlign w:val="superscript"/>
        </w:rPr>
        <w:footnoteRef/>
      </w:r>
      <w:r w:rsidRPr="00AB4400">
        <w:t xml:space="preserve"> John R. Donahue</w:t>
      </w:r>
      <w:r w:rsidR="006F304D" w:rsidRPr="006F304D">
        <w:t xml:space="preserve">, </w:t>
      </w:r>
      <w:r w:rsidRPr="00AB4400">
        <w:rPr>
          <w:i/>
        </w:rPr>
        <w:t>Are You the Christ</w:t>
      </w:r>
      <w:r w:rsidRPr="00AB4400">
        <w:t xml:space="preserve">? </w:t>
      </w:r>
      <w:r w:rsidRPr="00AB4400">
        <w:rPr>
          <w:i/>
        </w:rPr>
        <w:t>The Trial Narrative in the Gospel of Mark</w:t>
      </w:r>
      <w:r w:rsidRPr="00AB4400">
        <w:t xml:space="preserve"> (SBLDS 10; </w:t>
      </w:r>
      <w:r w:rsidR="00D42DB3" w:rsidRPr="00D42DB3">
        <w:rPr>
          <w:iCs/>
        </w:rPr>
        <w:t>Missoula MT</w:t>
      </w:r>
      <w:r w:rsidRPr="00AB4400">
        <w:t>: Society of Biblical Literature</w:t>
      </w:r>
      <w:r w:rsidR="006F304D" w:rsidRPr="006F304D">
        <w:t xml:space="preserve">, </w:t>
      </w:r>
      <w:r w:rsidRPr="00AB4400">
        <w:t xml:space="preserve">1973) 77. Donahue says that “intercalation </w:t>
      </w:r>
      <w:r>
        <w:t>. . .</w:t>
      </w:r>
      <w:r w:rsidRPr="00AB4400">
        <w:t xml:space="preserve"> is in accord with the technique of </w:t>
      </w:r>
      <w:r w:rsidRPr="00AB4400">
        <w:rPr>
          <w:i/>
        </w:rPr>
        <w:t>inclusio</w:t>
      </w:r>
      <w:r w:rsidRPr="00AB4400">
        <w:t>” (59 n. 3</w:t>
      </w:r>
      <w:r>
        <w:t>).</w:t>
      </w:r>
    </w:p>
    <w:p w14:paraId="3575E702" w14:textId="776D64B3" w:rsidR="0018433B" w:rsidRPr="00AB4400" w:rsidRDefault="0018433B" w:rsidP="0018433B">
      <w:pPr>
        <w:widowControl w:val="0"/>
      </w:pPr>
      <w:r w:rsidRPr="00AB4400">
        <w:t>A different way of looking at intercalation is Howard Clark Kee’s description of the device as an “interpolation technique” (</w:t>
      </w:r>
      <w:r w:rsidRPr="00AB4400">
        <w:rPr>
          <w:i/>
        </w:rPr>
        <w:t>Community of the New Age</w:t>
      </w:r>
      <w:r w:rsidRPr="00AB4400">
        <w:t xml:space="preserve">: </w:t>
      </w:r>
      <w:r w:rsidRPr="00AB4400">
        <w:rPr>
          <w:i/>
        </w:rPr>
        <w:t>Studies in Mark</w:t>
      </w:r>
      <w:r w:rsidRPr="00AB4400">
        <w:t>’</w:t>
      </w:r>
      <w:r w:rsidRPr="00AB4400">
        <w:rPr>
          <w:i/>
        </w:rPr>
        <w:t>s Gospel</w:t>
      </w:r>
      <w:r w:rsidRPr="00AB4400">
        <w:t xml:space="preserve"> [Philadelphia: Westminster</w:t>
      </w:r>
      <w:r w:rsidR="006F304D" w:rsidRPr="006F304D">
        <w:t xml:space="preserve">, </w:t>
      </w:r>
      <w:r w:rsidRPr="00AB4400">
        <w:t>1977] 55): “Mark has inserted material as a unit in the middle of another unit” (ibid.</w:t>
      </w:r>
      <w:r w:rsidR="006F304D" w:rsidRPr="006F304D">
        <w:t xml:space="preserve">, </w:t>
      </w:r>
      <w:r w:rsidRPr="00AB4400">
        <w:t>54). Here the emphasis is not on the framed unit but on the frame itself.</w:t>
      </w:r>
    </w:p>
  </w:footnote>
  <w:footnote w:id="226">
    <w:p w14:paraId="072C0AFA" w14:textId="737C9EDD" w:rsidR="0018433B" w:rsidRDefault="0018433B" w:rsidP="0018433B">
      <w:pPr>
        <w:widowControl w:val="0"/>
      </w:pPr>
      <w:r w:rsidRPr="00AB4400">
        <w:rPr>
          <w:vertAlign w:val="superscript"/>
        </w:rPr>
        <w:footnoteRef/>
      </w:r>
      <w:r w:rsidRPr="00AB4400">
        <w:t xml:space="preserve"> Donahue</w:t>
      </w:r>
      <w:r w:rsidR="006F304D" w:rsidRPr="006F304D">
        <w:t xml:space="preserve">, </w:t>
      </w:r>
      <w:r w:rsidRPr="00AB4400">
        <w:rPr>
          <w:i/>
        </w:rPr>
        <w:t>Are You the Christ</w:t>
      </w:r>
      <w:r w:rsidRPr="00AB4400">
        <w:t>? 42 n. 2</w:t>
      </w:r>
      <w:r w:rsidR="006F304D" w:rsidRPr="006F304D">
        <w:t xml:space="preserve">, </w:t>
      </w:r>
      <w:r w:rsidRPr="00AB4400">
        <w:t>58-63; the seven are numbers 3</w:t>
      </w:r>
      <w:r>
        <w:t>-</w:t>
      </w:r>
      <w:r w:rsidRPr="00AB4400">
        <w:t>9 below. Kee’s list (</w:t>
      </w:r>
      <w:r w:rsidRPr="00AB4400">
        <w:rPr>
          <w:i/>
        </w:rPr>
        <w:t>Community</w:t>
      </w:r>
      <w:r w:rsidR="006F304D" w:rsidRPr="006F304D">
        <w:t xml:space="preserve">, </w:t>
      </w:r>
      <w:r w:rsidRPr="00AB4400">
        <w:t>54) lacks 7 and 8 but adds 1</w:t>
      </w:r>
      <w:r w:rsidR="006F304D" w:rsidRPr="006F304D">
        <w:t xml:space="preserve">, </w:t>
      </w:r>
      <w:r w:rsidRPr="00AB4400">
        <w:t>2</w:t>
      </w:r>
      <w:r w:rsidR="006F304D" w:rsidRPr="006F304D">
        <w:t xml:space="preserve">, </w:t>
      </w:r>
      <w:r w:rsidRPr="00AB4400">
        <w:t>and 10</w:t>
      </w:r>
      <w:r w:rsidR="006F304D" w:rsidRPr="006F304D">
        <w:t xml:space="preserve">, </w:t>
      </w:r>
      <w:r w:rsidRPr="00AB4400">
        <w:t>for a total of eight. S</w:t>
      </w:r>
      <w:r>
        <w:t xml:space="preserve">ix </w:t>
      </w:r>
      <w:r w:rsidRPr="00AB4400">
        <w:t>of these intercalations are found also in Luke:</w:t>
      </w:r>
    </w:p>
    <w:p w14:paraId="3FADC4BB" w14:textId="77777777" w:rsidR="0018433B" w:rsidRPr="00AB4400" w:rsidRDefault="0018433B" w:rsidP="0018433B">
      <w:pPr>
        <w:widowControl w:val="0"/>
      </w:pPr>
    </w:p>
    <w:p w14:paraId="0860FE59" w14:textId="77777777" w:rsidR="0018433B" w:rsidRPr="00AB4400" w:rsidRDefault="0018433B" w:rsidP="0018433B">
      <w:pPr>
        <w:widowControl w:val="0"/>
        <w:tabs>
          <w:tab w:val="right" w:pos="931"/>
          <w:tab w:val="left" w:pos="1384"/>
          <w:tab w:val="left" w:pos="2834"/>
          <w:tab w:val="left" w:pos="7560"/>
        </w:tabs>
      </w:pPr>
      <w:r w:rsidRPr="00AB4400">
        <w:tab/>
      </w:r>
      <w:r w:rsidRPr="00AB4400">
        <w:tab/>
      </w:r>
      <w:r w:rsidRPr="00AB4400">
        <w:rPr>
          <w:i/>
        </w:rPr>
        <w:t>Mark</w:t>
      </w:r>
      <w:r w:rsidRPr="00AB4400">
        <w:t>:</w:t>
      </w:r>
      <w:r w:rsidRPr="00AB4400">
        <w:tab/>
      </w:r>
      <w:r w:rsidRPr="00AB4400">
        <w:rPr>
          <w:i/>
        </w:rPr>
        <w:t>pericopes</w:t>
      </w:r>
      <w:r w:rsidRPr="00AB4400">
        <w:t xml:space="preserve"> (the second interrupts the first):</w:t>
      </w:r>
      <w:r w:rsidRPr="00AB4400">
        <w:tab/>
      </w:r>
      <w:r w:rsidRPr="00AB4400">
        <w:rPr>
          <w:i/>
        </w:rPr>
        <w:t>Luke</w:t>
      </w:r>
      <w:r w:rsidRPr="00AB4400">
        <w:t>:</w:t>
      </w:r>
    </w:p>
    <w:p w14:paraId="0C0A4998" w14:textId="6328BD46" w:rsidR="0018433B" w:rsidRPr="00AB4400" w:rsidRDefault="0018433B" w:rsidP="0018433B">
      <w:pPr>
        <w:widowControl w:val="0"/>
        <w:tabs>
          <w:tab w:val="right" w:pos="931"/>
          <w:tab w:val="left" w:pos="1384"/>
          <w:tab w:val="left" w:pos="2834"/>
          <w:tab w:val="left" w:pos="7560"/>
        </w:tabs>
      </w:pPr>
      <w:r w:rsidRPr="00AB4400">
        <w:tab/>
        <w:t>1)</w:t>
      </w:r>
      <w:r w:rsidRPr="00AB4400">
        <w:tab/>
        <w:t>2:1-12</w:t>
      </w:r>
      <w:r w:rsidRPr="00AB4400">
        <w:tab/>
        <w:t>paralytic</w:t>
      </w:r>
      <w:r w:rsidR="006F304D" w:rsidRPr="006F304D">
        <w:t xml:space="preserve">, </w:t>
      </w:r>
      <w:r w:rsidRPr="00AB4400">
        <w:t>forgiveness controversy</w:t>
      </w:r>
      <w:r w:rsidRPr="00AB4400">
        <w:tab/>
        <w:t>5:18-26</w:t>
      </w:r>
    </w:p>
    <w:p w14:paraId="01B5F49C" w14:textId="60734A03" w:rsidR="0018433B" w:rsidRPr="00AB4400" w:rsidRDefault="0018433B" w:rsidP="0018433B">
      <w:pPr>
        <w:widowControl w:val="0"/>
        <w:tabs>
          <w:tab w:val="right" w:pos="931"/>
          <w:tab w:val="left" w:pos="1384"/>
          <w:tab w:val="left" w:pos="2834"/>
          <w:tab w:val="left" w:pos="7560"/>
        </w:tabs>
      </w:pPr>
      <w:r w:rsidRPr="00AB4400">
        <w:tab/>
        <w:t>2)</w:t>
      </w:r>
      <w:r w:rsidRPr="00AB4400">
        <w:tab/>
        <w:t>3:1-6</w:t>
      </w:r>
      <w:r w:rsidRPr="00AB4400">
        <w:tab/>
        <w:t>withered hand</w:t>
      </w:r>
      <w:r w:rsidR="006F304D" w:rsidRPr="006F304D">
        <w:t xml:space="preserve">, </w:t>
      </w:r>
      <w:r w:rsidRPr="00AB4400">
        <w:t>sabbath controversy</w:t>
      </w:r>
      <w:r w:rsidRPr="00AB4400">
        <w:tab/>
        <w:t>6:6-11</w:t>
      </w:r>
    </w:p>
    <w:p w14:paraId="3C75B47A" w14:textId="77777777" w:rsidR="0018433B" w:rsidRPr="00AB4400" w:rsidRDefault="0018433B" w:rsidP="0018433B">
      <w:pPr>
        <w:widowControl w:val="0"/>
        <w:tabs>
          <w:tab w:val="right" w:pos="931"/>
          <w:tab w:val="left" w:pos="1384"/>
          <w:tab w:val="left" w:pos="2834"/>
          <w:tab w:val="left" w:pos="7560"/>
        </w:tabs>
      </w:pPr>
      <w:r w:rsidRPr="00AB4400">
        <w:tab/>
        <w:t>3)</w:t>
      </w:r>
      <w:r w:rsidRPr="00AB4400">
        <w:tab/>
        <w:t>3:20-35</w:t>
      </w:r>
      <w:r w:rsidRPr="00AB4400">
        <w:tab/>
        <w:t>Beelzebul controversy</w:t>
      </w:r>
    </w:p>
    <w:p w14:paraId="0A9981D2" w14:textId="7B901749" w:rsidR="0018433B" w:rsidRPr="00AB4400" w:rsidRDefault="0018433B" w:rsidP="0018433B">
      <w:pPr>
        <w:widowControl w:val="0"/>
        <w:tabs>
          <w:tab w:val="right" w:pos="931"/>
          <w:tab w:val="left" w:pos="1384"/>
          <w:tab w:val="left" w:pos="2834"/>
          <w:tab w:val="left" w:pos="7560"/>
        </w:tabs>
      </w:pPr>
      <w:r w:rsidRPr="00AB4400">
        <w:tab/>
        <w:t>4)</w:t>
      </w:r>
      <w:r w:rsidRPr="00AB4400">
        <w:tab/>
        <w:t>5:21-43</w:t>
      </w:r>
      <w:r w:rsidRPr="00AB4400">
        <w:tab/>
        <w:t>Jairus</w:t>
      </w:r>
      <w:r w:rsidR="006F304D" w:rsidRPr="006F304D">
        <w:t xml:space="preserve">, </w:t>
      </w:r>
      <w:r w:rsidRPr="00AB4400">
        <w:t>woman with a haemorrhage</w:t>
      </w:r>
      <w:r w:rsidRPr="00AB4400">
        <w:tab/>
        <w:t>8:40-56</w:t>
      </w:r>
    </w:p>
    <w:p w14:paraId="3E160312" w14:textId="0F3BA283" w:rsidR="0018433B" w:rsidRPr="00AB4400" w:rsidRDefault="0018433B" w:rsidP="0018433B">
      <w:pPr>
        <w:widowControl w:val="0"/>
        <w:tabs>
          <w:tab w:val="right" w:pos="931"/>
          <w:tab w:val="left" w:pos="1384"/>
          <w:tab w:val="left" w:pos="2834"/>
          <w:tab w:val="left" w:pos="7560"/>
        </w:tabs>
      </w:pPr>
      <w:r w:rsidRPr="00AB4400">
        <w:tab/>
        <w:t>5)</w:t>
      </w:r>
      <w:r w:rsidRPr="00AB4400">
        <w:tab/>
        <w:t>6:7-32</w:t>
      </w:r>
      <w:r w:rsidRPr="00AB4400">
        <w:tab/>
        <w:t>mission of the twelve</w:t>
      </w:r>
      <w:r w:rsidR="006F304D" w:rsidRPr="006F304D">
        <w:t xml:space="preserve">, </w:t>
      </w:r>
      <w:r w:rsidRPr="00AB4400">
        <w:t>beheading of John</w:t>
      </w:r>
      <w:r w:rsidRPr="00AB4400">
        <w:tab/>
        <w:t>9:1-10</w:t>
      </w:r>
    </w:p>
    <w:p w14:paraId="6D80A2B4" w14:textId="1C1219C6" w:rsidR="0018433B" w:rsidRPr="00AB4400" w:rsidRDefault="0018433B" w:rsidP="0018433B">
      <w:pPr>
        <w:widowControl w:val="0"/>
        <w:tabs>
          <w:tab w:val="right" w:pos="931"/>
          <w:tab w:val="left" w:pos="1384"/>
          <w:tab w:val="left" w:pos="2834"/>
          <w:tab w:val="left" w:pos="7560"/>
        </w:tabs>
      </w:pPr>
      <w:r w:rsidRPr="00AB4400">
        <w:tab/>
        <w:t>6)</w:t>
      </w:r>
      <w:r w:rsidRPr="00AB4400">
        <w:tab/>
        <w:t>11:12-26</w:t>
      </w:r>
      <w:r w:rsidRPr="00AB4400">
        <w:tab/>
        <w:t>cursed fig tree</w:t>
      </w:r>
      <w:r w:rsidR="006F304D" w:rsidRPr="006F304D">
        <w:t xml:space="preserve">, </w:t>
      </w:r>
      <w:r w:rsidRPr="00AB4400">
        <w:t>cleansing the temple</w:t>
      </w:r>
    </w:p>
    <w:p w14:paraId="7AEEB312" w14:textId="5395B0D0" w:rsidR="0018433B" w:rsidRPr="00AB4400" w:rsidRDefault="0018433B" w:rsidP="0018433B">
      <w:pPr>
        <w:widowControl w:val="0"/>
        <w:tabs>
          <w:tab w:val="right" w:pos="931"/>
          <w:tab w:val="left" w:pos="1384"/>
          <w:tab w:val="left" w:pos="2834"/>
          <w:tab w:val="left" w:pos="7560"/>
        </w:tabs>
      </w:pPr>
      <w:r w:rsidRPr="00AB4400">
        <w:tab/>
        <w:t>7)</w:t>
      </w:r>
      <w:r w:rsidRPr="00AB4400">
        <w:tab/>
        <w:t>14:1-11</w:t>
      </w:r>
      <w:r w:rsidRPr="00AB4400">
        <w:tab/>
        <w:t>betrayal of Jesus</w:t>
      </w:r>
      <w:r w:rsidR="006F304D" w:rsidRPr="006F304D">
        <w:t xml:space="preserve">, </w:t>
      </w:r>
      <w:r w:rsidRPr="00AB4400">
        <w:t>anointing of his feet</w:t>
      </w:r>
    </w:p>
    <w:p w14:paraId="3258B818" w14:textId="75804B66" w:rsidR="0018433B" w:rsidRPr="00AB4400" w:rsidRDefault="0018433B" w:rsidP="0018433B">
      <w:pPr>
        <w:widowControl w:val="0"/>
        <w:tabs>
          <w:tab w:val="right" w:pos="931"/>
          <w:tab w:val="left" w:pos="1384"/>
          <w:tab w:val="left" w:pos="2834"/>
          <w:tab w:val="left" w:pos="7560"/>
        </w:tabs>
      </w:pPr>
      <w:r w:rsidRPr="00AB4400">
        <w:tab/>
        <w:t>8)</w:t>
      </w:r>
      <w:r w:rsidRPr="00AB4400">
        <w:tab/>
        <w:t>14:12-25</w:t>
      </w:r>
      <w:r w:rsidRPr="00AB4400">
        <w:tab/>
        <w:t>last supper</w:t>
      </w:r>
      <w:r w:rsidR="006F304D" w:rsidRPr="006F304D">
        <w:t xml:space="preserve">, </w:t>
      </w:r>
      <w:r w:rsidRPr="00AB4400">
        <w:t>“one will betray me”</w:t>
      </w:r>
      <w:r w:rsidRPr="00AB4400">
        <w:tab/>
        <w:t>22:7-23</w:t>
      </w:r>
    </w:p>
    <w:p w14:paraId="109B429E" w14:textId="13B4F017" w:rsidR="0018433B" w:rsidRPr="00AB4400" w:rsidRDefault="0018433B" w:rsidP="0018433B">
      <w:pPr>
        <w:widowControl w:val="0"/>
        <w:tabs>
          <w:tab w:val="right" w:pos="931"/>
          <w:tab w:val="left" w:pos="1384"/>
          <w:tab w:val="left" w:pos="2834"/>
          <w:tab w:val="left" w:pos="7560"/>
        </w:tabs>
      </w:pPr>
      <w:r w:rsidRPr="00AB4400">
        <w:tab/>
        <w:t>9)</w:t>
      </w:r>
      <w:r w:rsidRPr="00AB4400">
        <w:tab/>
        <w:t>14:54-72</w:t>
      </w:r>
      <w:r w:rsidRPr="00AB4400">
        <w:tab/>
        <w:t>Peter’s denials</w:t>
      </w:r>
      <w:r w:rsidR="006F304D" w:rsidRPr="006F304D">
        <w:t xml:space="preserve">, </w:t>
      </w:r>
      <w:r w:rsidRPr="00AB4400">
        <w:t>the Sanhedrin trial</w:t>
      </w:r>
      <w:r w:rsidRPr="00AB4400">
        <w:tab/>
        <w:t>22:54-71</w:t>
      </w:r>
    </w:p>
    <w:p w14:paraId="2F576F55" w14:textId="54934CE9" w:rsidR="0018433B" w:rsidRPr="00AB4400" w:rsidRDefault="0018433B" w:rsidP="0018433B">
      <w:pPr>
        <w:widowControl w:val="0"/>
        <w:tabs>
          <w:tab w:val="right" w:pos="931"/>
          <w:tab w:val="left" w:pos="1384"/>
          <w:tab w:val="left" w:pos="2834"/>
          <w:tab w:val="left" w:pos="7560"/>
        </w:tabs>
      </w:pPr>
      <w:r w:rsidRPr="00AB4400">
        <w:tab/>
        <w:t>10)</w:t>
      </w:r>
      <w:r w:rsidRPr="00AB4400">
        <w:tab/>
        <w:t>15:6-32</w:t>
      </w:r>
      <w:r w:rsidRPr="00AB4400">
        <w:tab/>
        <w:t>Barabbas</w:t>
      </w:r>
      <w:r w:rsidR="006F304D" w:rsidRPr="006F304D">
        <w:t xml:space="preserve">, </w:t>
      </w:r>
      <w:r w:rsidRPr="00AB4400">
        <w:t>mocking</w:t>
      </w:r>
      <w:r w:rsidR="006F304D" w:rsidRPr="006F304D">
        <w:t xml:space="preserve">, </w:t>
      </w:r>
      <w:r w:rsidRPr="00AB4400">
        <w:t>crucifixion</w:t>
      </w:r>
    </w:p>
  </w:footnote>
  <w:footnote w:id="227">
    <w:p w14:paraId="4856D1BE" w14:textId="77777777" w:rsidR="0018433B" w:rsidRDefault="0018433B" w:rsidP="0018433B">
      <w:pPr>
        <w:widowControl w:val="0"/>
      </w:pPr>
    </w:p>
    <w:p w14:paraId="45B932E6" w14:textId="6DC7418B" w:rsidR="0018433B" w:rsidRPr="00AB4400" w:rsidRDefault="0018433B" w:rsidP="0018433B">
      <w:pPr>
        <w:widowControl w:val="0"/>
      </w:pPr>
      <w:r w:rsidRPr="00AB4400">
        <w:rPr>
          <w:vertAlign w:val="superscript"/>
        </w:rPr>
        <w:footnoteRef/>
      </w:r>
      <w:r w:rsidRPr="00B14249">
        <w:t xml:space="preserve"> </w:t>
      </w:r>
      <w:r w:rsidRPr="00AB4400">
        <w:t>Donahue</w:t>
      </w:r>
      <w:r w:rsidR="006F304D" w:rsidRPr="006F304D">
        <w:t xml:space="preserve">, </w:t>
      </w:r>
      <w:r w:rsidRPr="00AB4400">
        <w:rPr>
          <w:i/>
        </w:rPr>
        <w:t>Are You the Christ</w:t>
      </w:r>
      <w:r w:rsidRPr="00AB4400">
        <w:t>? 42.</w:t>
      </w:r>
    </w:p>
  </w:footnote>
  <w:footnote w:id="228">
    <w:p w14:paraId="6CE28954" w14:textId="125437E0" w:rsidR="0018433B" w:rsidRDefault="0018433B" w:rsidP="0018433B">
      <w:pPr>
        <w:widowControl w:val="0"/>
      </w:pPr>
      <w:r w:rsidRPr="00AB4400">
        <w:rPr>
          <w:vertAlign w:val="superscript"/>
        </w:rPr>
        <w:footnoteRef/>
      </w:r>
      <w:r w:rsidRPr="00AB4400">
        <w:t xml:space="preserve"> Rhythm is a property of all temporal arts</w:t>
      </w:r>
      <w:r w:rsidR="006F304D" w:rsidRPr="006F304D">
        <w:t xml:space="preserve">, </w:t>
      </w:r>
      <w:r w:rsidRPr="00AB4400">
        <w:t>including music and dance. See Chávez</w:t>
      </w:r>
      <w:r w:rsidR="006F304D" w:rsidRPr="006F304D">
        <w:t xml:space="preserve">, </w:t>
      </w:r>
      <w:r w:rsidRPr="00AB4400">
        <w:rPr>
          <w:i/>
        </w:rPr>
        <w:t>Musical Thought</w:t>
      </w:r>
      <w:r w:rsidR="006F304D" w:rsidRPr="006F304D">
        <w:t xml:space="preserve">, </w:t>
      </w:r>
      <w:r w:rsidRPr="00AB4400">
        <w:t>39:</w:t>
      </w:r>
    </w:p>
    <w:p w14:paraId="49BB4B4F" w14:textId="77777777" w:rsidR="0018433B" w:rsidRPr="00AB4400" w:rsidRDefault="0018433B" w:rsidP="0018433B">
      <w:pPr>
        <w:widowControl w:val="0"/>
      </w:pPr>
    </w:p>
    <w:p w14:paraId="3144EFD7" w14:textId="6DF58D38" w:rsidR="0018433B" w:rsidRPr="00AB4400" w:rsidRDefault="0018433B" w:rsidP="0018433B">
      <w:pPr>
        <w:widowControl w:val="0"/>
        <w:ind w:left="720" w:right="720"/>
      </w:pPr>
      <w:r w:rsidRPr="00AB4400">
        <w:t>Syllables</w:t>
      </w:r>
      <w:r w:rsidR="006F304D" w:rsidRPr="006F304D">
        <w:t xml:space="preserve">, </w:t>
      </w:r>
      <w:r w:rsidRPr="00AB4400">
        <w:t>beats</w:t>
      </w:r>
      <w:r w:rsidR="006F304D" w:rsidRPr="006F304D">
        <w:t xml:space="preserve">, </w:t>
      </w:r>
      <w:r w:rsidRPr="00AB4400">
        <w:t>steps are all in the same manner the basic structural elements of poetry</w:t>
      </w:r>
      <w:r w:rsidR="006F304D" w:rsidRPr="006F304D">
        <w:t xml:space="preserve">, </w:t>
      </w:r>
      <w:r w:rsidRPr="00AB4400">
        <w:t>music</w:t>
      </w:r>
      <w:r w:rsidR="006F304D" w:rsidRPr="006F304D">
        <w:t xml:space="preserve">, </w:t>
      </w:r>
      <w:r w:rsidRPr="00AB4400">
        <w:t>and dance</w:t>
      </w:r>
      <w:r w:rsidR="006F304D" w:rsidRPr="006F304D">
        <w:t xml:space="preserve">, </w:t>
      </w:r>
      <w:r w:rsidRPr="00AB4400">
        <w:t>respectively</w:t>
      </w:r>
      <w:r w:rsidR="006F304D" w:rsidRPr="006F304D">
        <w:t xml:space="preserve">, </w:t>
      </w:r>
      <w:r w:rsidRPr="00AB4400">
        <w:t>since in the early days these three arts were a single</w:t>
      </w:r>
      <w:r w:rsidR="006F304D" w:rsidRPr="006F304D">
        <w:t xml:space="preserve">, </w:t>
      </w:r>
      <w:r w:rsidRPr="00AB4400">
        <w:t>united practice. Dancing seems at first to have been nothing but a form of walking</w:t>
      </w:r>
      <w:r>
        <w:t>. . . .</w:t>
      </w:r>
      <w:r w:rsidRPr="00AB4400">
        <w:t xml:space="preserve"> As dancing began to develop</w:t>
      </w:r>
      <w:r w:rsidR="006F304D" w:rsidRPr="006F304D">
        <w:t xml:space="preserve">, </w:t>
      </w:r>
      <w:r w:rsidRPr="00AB4400">
        <w:t xml:space="preserve">other groupings or patterns developed which were called </w:t>
      </w:r>
      <w:r w:rsidRPr="00AB4400">
        <w:rPr>
          <w:i/>
        </w:rPr>
        <w:t>steps</w:t>
      </w:r>
      <w:r w:rsidRPr="00AB4400">
        <w:t xml:space="preserve"> or </w:t>
      </w:r>
      <w:r w:rsidRPr="00AB4400">
        <w:rPr>
          <w:i/>
        </w:rPr>
        <w:t>feet</w:t>
      </w:r>
      <w:r w:rsidRPr="00AB4400">
        <w:t xml:space="preserve"> [as in prosody] </w:t>
      </w:r>
      <w:r>
        <w:t>. . .</w:t>
      </w:r>
    </w:p>
  </w:footnote>
  <w:footnote w:id="229">
    <w:p w14:paraId="3CB1D24A" w14:textId="77777777" w:rsidR="0018433B" w:rsidRDefault="0018433B" w:rsidP="0018433B">
      <w:pPr>
        <w:widowControl w:val="0"/>
      </w:pPr>
    </w:p>
    <w:p w14:paraId="0CDD29CB" w14:textId="2FFA5211" w:rsidR="0018433B" w:rsidRDefault="0018433B" w:rsidP="0018433B">
      <w:pPr>
        <w:widowControl w:val="0"/>
      </w:pPr>
      <w:r w:rsidRPr="00AB4400">
        <w:rPr>
          <w:vertAlign w:val="superscript"/>
        </w:rPr>
        <w:footnoteRef/>
      </w:r>
      <w:r w:rsidRPr="00B14249">
        <w:t xml:space="preserve"> </w:t>
      </w:r>
      <w:r w:rsidRPr="00AB4400">
        <w:t>On Luke</w:t>
      </w:r>
      <w:r w:rsidR="006F304D" w:rsidRPr="006F304D">
        <w:t xml:space="preserve">, </w:t>
      </w:r>
      <w:r w:rsidRPr="00AB4400">
        <w:t>see C. K. Barrett (</w:t>
      </w:r>
      <w:r w:rsidRPr="00AB4400">
        <w:rPr>
          <w:i/>
        </w:rPr>
        <w:t>Luke the Historian in Recent Study</w:t>
      </w:r>
      <w:r w:rsidRPr="00AB4400">
        <w:t xml:space="preserve"> [Philadelphia: Fortress</w:t>
      </w:r>
      <w:r w:rsidR="006F304D" w:rsidRPr="006F304D">
        <w:t xml:space="preserve">, </w:t>
      </w:r>
      <w:r w:rsidRPr="00AB4400">
        <w:t>1970] 16): “parts at least of the non-Marcan areas in Luke are as Semitic as Mark himself</w:t>
      </w:r>
      <w:r w:rsidR="006F304D" w:rsidRPr="006F304D">
        <w:t xml:space="preserve">, </w:t>
      </w:r>
      <w:r w:rsidRPr="00AB4400">
        <w:t xml:space="preserve">and among the so-called Q passages </w:t>
      </w:r>
      <w:r>
        <w:t>. . .</w:t>
      </w:r>
      <w:r w:rsidRPr="00AB4400">
        <w:t>” Acts too was probably in part originally in Aramaic. C. C. Torrey (</w:t>
      </w:r>
      <w:r w:rsidRPr="00AB4400">
        <w:rPr>
          <w:i/>
        </w:rPr>
        <w:t>The Composition and Date of Acts</w:t>
      </w:r>
      <w:r w:rsidRPr="00AB4400">
        <w:t xml:space="preserve"> (HTS 1; </w:t>
      </w:r>
      <w:r w:rsidR="00E366BA" w:rsidRPr="00E366BA">
        <w:rPr>
          <w:iCs/>
        </w:rPr>
        <w:t xml:space="preserve">Cambridge MA: Harvard UP, </w:t>
      </w:r>
      <w:r w:rsidRPr="00AB4400">
        <w:t xml:space="preserve">1916]) argues that Acts 1-15 was originally written in Aramaic; and J. de Zwaan (“The Use of the Greek Language in Acts,” in </w:t>
      </w:r>
      <w:r w:rsidRPr="00AB4400">
        <w:rPr>
          <w:i/>
        </w:rPr>
        <w:t>Beginnings of Christianity</w:t>
      </w:r>
      <w:r w:rsidRPr="00AB4400">
        <w:t xml:space="preserve"> [ed. </w:t>
      </w:r>
      <w:r w:rsidR="00B2337F" w:rsidRPr="00B2337F">
        <w:rPr>
          <w:iCs/>
        </w:rPr>
        <w:t>F.J.</w:t>
      </w:r>
      <w:r w:rsidRPr="00AB4400">
        <w:t xml:space="preserve"> Foakes-Jackson and Kirsopp Lake; 5 vols.; London: Macmillan</w:t>
      </w:r>
      <w:r w:rsidR="006F304D" w:rsidRPr="006F304D">
        <w:t xml:space="preserve">, </w:t>
      </w:r>
      <w:r w:rsidRPr="00AB4400">
        <w:t>1920-33]</w:t>
      </w:r>
      <w:r w:rsidR="006F304D" w:rsidRPr="006F304D">
        <w:t xml:space="preserve">, </w:t>
      </w:r>
      <w:r w:rsidRPr="00AB4400">
        <w:t>2. 30-65)</w:t>
      </w:r>
      <w:r w:rsidR="006F304D" w:rsidRPr="006F304D">
        <w:t xml:space="preserve">, </w:t>
      </w:r>
      <w:r w:rsidRPr="00AB4400">
        <w:t xml:space="preserve">followed by </w:t>
      </w:r>
      <w:r w:rsidR="00674828" w:rsidRPr="00674828">
        <w:rPr>
          <w:iCs/>
        </w:rPr>
        <w:t>C.H.</w:t>
      </w:r>
      <w:r w:rsidRPr="00AB4400">
        <w:t xml:space="preserve"> Dodd (</w:t>
      </w:r>
      <w:r w:rsidRPr="00AB4400">
        <w:rPr>
          <w:i/>
        </w:rPr>
        <w:t>The Apostolic Preaching and Its Developments</w:t>
      </w:r>
      <w:r w:rsidRPr="00AB4400">
        <w:t xml:space="preserve">: </w:t>
      </w:r>
      <w:r w:rsidRPr="00AB4400">
        <w:rPr>
          <w:i/>
        </w:rPr>
        <w:t>Three Lectures with an Appendix on Eschatology and History</w:t>
      </w:r>
      <w:r w:rsidRPr="00AB4400">
        <w:t xml:space="preserve"> [new ed.; London: </w:t>
      </w:r>
      <w:r w:rsidR="00110AE7" w:rsidRPr="00110AE7">
        <w:rPr>
          <w:iCs/>
        </w:rPr>
        <w:t>Hodder and Stoughton</w:t>
      </w:r>
      <w:r w:rsidR="006F304D" w:rsidRPr="006F304D">
        <w:t xml:space="preserve">, </w:t>
      </w:r>
      <w:r w:rsidRPr="00AB4400">
        <w:t>1944] 20 n. 1)</w:t>
      </w:r>
      <w:r w:rsidR="006F304D" w:rsidRPr="006F304D">
        <w:t xml:space="preserve">, </w:t>
      </w:r>
      <w:r w:rsidRPr="00AB4400">
        <w:t>sees the Semitisms in Acts confined primarily to the early speeches and concludes that these speeches stem from the early</w:t>
      </w:r>
      <w:r w:rsidR="006F304D" w:rsidRPr="006F304D">
        <w:t xml:space="preserve">, </w:t>
      </w:r>
      <w:r w:rsidRPr="00AB4400">
        <w:t>Aramaic church. Concerning the sermon on the plain in particular</w:t>
      </w:r>
      <w:r w:rsidR="006F304D" w:rsidRPr="006F304D">
        <w:t xml:space="preserve">, </w:t>
      </w:r>
      <w:r w:rsidRPr="00AB4400">
        <w:t xml:space="preserve">see the comment of B. Weber (“Exegese über Luk. 6,20-26,” </w:t>
      </w:r>
      <w:r w:rsidRPr="00AB4400">
        <w:rPr>
          <w:i/>
        </w:rPr>
        <w:t>Estudos Teológicos</w:t>
      </w:r>
      <w:r w:rsidRPr="00AB4400">
        <w:t xml:space="preserve">: </w:t>
      </w:r>
      <w:r w:rsidRPr="00AB4400">
        <w:rPr>
          <w:i/>
        </w:rPr>
        <w:t>Orgão da Faculdade de Teologia</w:t>
      </w:r>
      <w:r w:rsidRPr="00AB4400">
        <w:t xml:space="preserve"> 10 [1970] 37-38) (by “translation variants,” Weber means differences between two evangelists that can best be explained as two ways of translating the same Aramaic original):</w:t>
      </w:r>
    </w:p>
    <w:p w14:paraId="1B98FA1C" w14:textId="77777777" w:rsidR="0018433B" w:rsidRPr="00AB4400" w:rsidRDefault="0018433B" w:rsidP="0018433B">
      <w:pPr>
        <w:widowControl w:val="0"/>
      </w:pPr>
    </w:p>
    <w:p w14:paraId="56BFC1D6" w14:textId="160A44F2" w:rsidR="0018433B" w:rsidRPr="00AB4400" w:rsidRDefault="0018433B" w:rsidP="0018433B">
      <w:pPr>
        <w:widowControl w:val="0"/>
        <w:ind w:left="720" w:right="720"/>
      </w:pPr>
      <w:r w:rsidRPr="00AB4400">
        <w:t>For the understanding of the original individual logion</w:t>
      </w:r>
      <w:r w:rsidR="006F304D" w:rsidRPr="006F304D">
        <w:t xml:space="preserve">, </w:t>
      </w:r>
      <w:r w:rsidRPr="00AB4400">
        <w:t>insight into the Palestinian character of the oral background (which remains transparent in the Greek text) is more important than the composition and redactional fixing of the materials by the evangelists. The deviations in wording</w:t>
      </w:r>
      <w:r w:rsidR="006F304D" w:rsidRPr="006F304D">
        <w:t xml:space="preserve">, </w:t>
      </w:r>
      <w:r w:rsidRPr="00AB4400">
        <w:t>otherwise inexplicable</w:t>
      </w:r>
      <w:r w:rsidR="006F304D" w:rsidRPr="006F304D">
        <w:t xml:space="preserve">, </w:t>
      </w:r>
      <w:r w:rsidRPr="00AB4400">
        <w:t>can only be understood as translation variants</w:t>
      </w:r>
      <w:r w:rsidR="006F304D" w:rsidRPr="006F304D">
        <w:t xml:space="preserve">, </w:t>
      </w:r>
      <w:r w:rsidRPr="00AB4400">
        <w:t>considered as variant hearings or readings by Matthew and Luke; these supply an indirect proof that</w:t>
      </w:r>
      <w:r w:rsidR="006F304D" w:rsidRPr="006F304D">
        <w:t xml:space="preserve">, </w:t>
      </w:r>
      <w:r w:rsidRPr="00AB4400">
        <w:t>already before the final shape had been fixed in different writings</w:t>
      </w:r>
      <w:r w:rsidR="006F304D" w:rsidRPr="006F304D">
        <w:t xml:space="preserve">, </w:t>
      </w:r>
      <w:r w:rsidRPr="00AB4400">
        <w:t>the common stock of an Aramaic “primitive sermon” was the basis for the translation into Greek (either in oral or written form).</w:t>
      </w:r>
    </w:p>
  </w:footnote>
  <w:footnote w:id="230">
    <w:p w14:paraId="157C1B64" w14:textId="77777777" w:rsidR="0018433B" w:rsidRDefault="0018433B" w:rsidP="0018433B">
      <w:pPr>
        <w:widowControl w:val="0"/>
      </w:pPr>
    </w:p>
    <w:p w14:paraId="55338D57" w14:textId="49F0D7CB" w:rsidR="0018433B" w:rsidRPr="00AB4400" w:rsidRDefault="0018433B" w:rsidP="0018433B">
      <w:pPr>
        <w:widowControl w:val="0"/>
      </w:pPr>
      <w:r w:rsidRPr="00AB4400">
        <w:rPr>
          <w:vertAlign w:val="superscript"/>
        </w:rPr>
        <w:footnoteRef/>
      </w:r>
      <w:r w:rsidRPr="00B14249">
        <w:t xml:space="preserve"> </w:t>
      </w:r>
      <w:r w:rsidRPr="00AB4400">
        <w:t>See Lund</w:t>
      </w:r>
      <w:r w:rsidR="006F304D" w:rsidRPr="006F304D">
        <w:t xml:space="preserve">, </w:t>
      </w:r>
      <w:r w:rsidRPr="00AB4400">
        <w:rPr>
          <w:i/>
        </w:rPr>
        <w:t>Chiasmus</w:t>
      </w:r>
      <w:r w:rsidR="006F304D" w:rsidRPr="006F304D">
        <w:t xml:space="preserve">, </w:t>
      </w:r>
      <w:r w:rsidRPr="00AB4400">
        <w:t>26-27: “If we possessed the literary remains of the Aramaic language</w:t>
      </w:r>
      <w:r w:rsidR="006F304D" w:rsidRPr="006F304D">
        <w:t xml:space="preserve">, </w:t>
      </w:r>
      <w:r w:rsidRPr="00AB4400">
        <w:t>we would be assured of another substantial body of writings which now has perished. Collections like the Elephantine Papyri</w:t>
      </w:r>
      <w:r w:rsidR="006F304D" w:rsidRPr="006F304D">
        <w:t xml:space="preserve">, </w:t>
      </w:r>
      <w:r w:rsidRPr="00AB4400">
        <w:t>however</w:t>
      </w:r>
      <w:r w:rsidR="006F304D" w:rsidRPr="006F304D">
        <w:t xml:space="preserve">, </w:t>
      </w:r>
      <w:r w:rsidRPr="00AB4400">
        <w:t xml:space="preserve">show us how widely distributed Aramaic writing was </w:t>
      </w:r>
      <w:r>
        <w:t>. . .</w:t>
      </w:r>
      <w:r w:rsidRPr="00AB4400">
        <w:t>”</w:t>
      </w:r>
    </w:p>
  </w:footnote>
  <w:footnote w:id="231">
    <w:p w14:paraId="35C21D6B" w14:textId="22B8E340" w:rsidR="0018433B" w:rsidRPr="00AB4400" w:rsidRDefault="0018433B" w:rsidP="0018433B">
      <w:pPr>
        <w:widowControl w:val="0"/>
      </w:pPr>
      <w:r w:rsidRPr="00AB4400">
        <w:rPr>
          <w:vertAlign w:val="superscript"/>
        </w:rPr>
        <w:footnoteRef/>
      </w:r>
      <w:r w:rsidRPr="00AB4400">
        <w:t xml:space="preserve"> For the principles of Greek metrics</w:t>
      </w:r>
      <w:r w:rsidR="006F304D" w:rsidRPr="006F304D">
        <w:t xml:space="preserve">, </w:t>
      </w:r>
      <w:r w:rsidRPr="00AB4400">
        <w:t>see the excellent summaries</w:t>
      </w:r>
      <w:r w:rsidR="006F304D" w:rsidRPr="006F304D">
        <w:t xml:space="preserve">, </w:t>
      </w:r>
      <w:r w:rsidRPr="00AB4400">
        <w:t>“Greek Verse Structure” and “Quantity</w:t>
      </w:r>
      <w:r w:rsidR="006F304D" w:rsidRPr="006F304D">
        <w:t xml:space="preserve">, </w:t>
      </w:r>
      <w:r w:rsidRPr="00AB4400">
        <w:t xml:space="preserve">Prosody and the Basic Rhythms,” in </w:t>
      </w:r>
      <w:r w:rsidR="007B5BB5" w:rsidRPr="007B5BB5">
        <w:rPr>
          <w:iCs/>
        </w:rPr>
        <w:t>D.S.</w:t>
      </w:r>
      <w:r w:rsidRPr="00AB4400">
        <w:t xml:space="preserve"> Raven</w:t>
      </w:r>
      <w:r w:rsidR="006F304D" w:rsidRPr="006F304D">
        <w:t xml:space="preserve">, </w:t>
      </w:r>
      <w:r w:rsidRPr="00AB4400">
        <w:rPr>
          <w:i/>
        </w:rPr>
        <w:t>Greek Metre</w:t>
      </w:r>
      <w:r w:rsidRPr="00AB4400">
        <w:t xml:space="preserve">: </w:t>
      </w:r>
      <w:r w:rsidRPr="00AB4400">
        <w:rPr>
          <w:i/>
        </w:rPr>
        <w:t>An Introduction</w:t>
      </w:r>
      <w:r w:rsidRPr="00AB4400">
        <w:t xml:space="preserve"> (London: Faber &amp; Faber</w:t>
      </w:r>
      <w:r w:rsidR="006F304D" w:rsidRPr="006F304D">
        <w:t xml:space="preserve">, </w:t>
      </w:r>
      <w:r w:rsidRPr="00AB4400">
        <w:t>1968) 17-26. The principles of metrics apply to poetry; for the principles of Greek prose rhythm</w:t>
      </w:r>
      <w:r w:rsidR="006F304D" w:rsidRPr="006F304D">
        <w:t xml:space="preserve">, </w:t>
      </w:r>
      <w:r w:rsidRPr="00AB4400">
        <w:t xml:space="preserve">see </w:t>
      </w:r>
      <w:r w:rsidR="00457786" w:rsidRPr="00457786">
        <w:rPr>
          <w:iCs/>
        </w:rPr>
        <w:t>J.D.</w:t>
      </w:r>
      <w:r w:rsidRPr="00AB4400">
        <w:t xml:space="preserve"> Denniston</w:t>
      </w:r>
      <w:r w:rsidR="006F304D" w:rsidRPr="006F304D">
        <w:t xml:space="preserve">, </w:t>
      </w:r>
      <w:r w:rsidRPr="00AB4400">
        <w:rPr>
          <w:i/>
        </w:rPr>
        <w:t>Greek Prose Style</w:t>
      </w:r>
      <w:r w:rsidRPr="00AB4400">
        <w:t xml:space="preserve"> (New York: Oxford University</w:t>
      </w:r>
      <w:r w:rsidR="006F304D" w:rsidRPr="006F304D">
        <w:t xml:space="preserve">, </w:t>
      </w:r>
      <w:r w:rsidRPr="00AB4400">
        <w:t xml:space="preserve">1952). Denniston acknowledges (14) that “the whole question of Greek prose rhythm is obscure </w:t>
      </w:r>
      <w:r>
        <w:t>. . .</w:t>
      </w:r>
      <w:r w:rsidRPr="00AB4400">
        <w:t>” See also pp. 13-14 (Thrasymachus’ use of the paeon)</w:t>
      </w:r>
      <w:r w:rsidR="006F304D" w:rsidRPr="006F304D">
        <w:t xml:space="preserve">, </w:t>
      </w:r>
      <w:r w:rsidRPr="00AB4400">
        <w:t>14 (the period is to prose as meter is to poetry)</w:t>
      </w:r>
      <w:r w:rsidR="006F304D" w:rsidRPr="006F304D">
        <w:t xml:space="preserve">, </w:t>
      </w:r>
      <w:r w:rsidRPr="00AB4400">
        <w:t>41 (the influence of word placement on rhythm)</w:t>
      </w:r>
      <w:r w:rsidR="006F304D" w:rsidRPr="006F304D">
        <w:t xml:space="preserve">, </w:t>
      </w:r>
      <w:r w:rsidRPr="00AB4400">
        <w:t>and 51</w:t>
      </w:r>
      <w:r w:rsidR="006F304D" w:rsidRPr="006F304D">
        <w:t xml:space="preserve">, </w:t>
      </w:r>
      <w:r w:rsidRPr="00AB4400">
        <w:t>51 n. 1</w:t>
      </w:r>
      <w:r w:rsidR="006F304D" w:rsidRPr="006F304D">
        <w:t xml:space="preserve">, </w:t>
      </w:r>
      <w:r w:rsidRPr="00AB4400">
        <w:t>and 58-59 (the use of hyperbaton [unnatural word order] for rhythmical purposes).</w:t>
      </w:r>
    </w:p>
    <w:p w14:paraId="72EF7167" w14:textId="76D4A40C" w:rsidR="0018433B" w:rsidRPr="00AB4400" w:rsidRDefault="0018433B" w:rsidP="0018433B">
      <w:pPr>
        <w:widowControl w:val="0"/>
      </w:pPr>
      <w:r w:rsidRPr="00AB4400">
        <w:t>Several ancient authors attributed Greek meter to biblical books. According to Josephus [</w:t>
      </w:r>
      <w:r w:rsidRPr="00AB4400">
        <w:rPr>
          <w:i/>
        </w:rPr>
        <w:t>Ant</w:t>
      </w:r>
      <w:r w:rsidRPr="00AB4400">
        <w:t>. 2.16.4; 4.8.44; 7.12.3]</w:t>
      </w:r>
      <w:r w:rsidR="006F304D" w:rsidRPr="006F304D">
        <w:t xml:space="preserve">, </w:t>
      </w:r>
      <w:r w:rsidRPr="00AB4400">
        <w:t>Exodus 15 and Deuteronomy 32 are in hexameter while the Psalms are in trimeter and pentameter (see also Eubebius [</w:t>
      </w:r>
      <w:r w:rsidRPr="00AB4400">
        <w:rPr>
          <w:i/>
        </w:rPr>
        <w:t>Praep</w:t>
      </w:r>
      <w:r w:rsidRPr="00AB4400">
        <w:t xml:space="preserve">. </w:t>
      </w:r>
      <w:r w:rsidRPr="00AB4400">
        <w:rPr>
          <w:i/>
        </w:rPr>
        <w:t>ev</w:t>
      </w:r>
      <w:r w:rsidRPr="00AB4400">
        <w:t>. 11.5] and Jerome [</w:t>
      </w:r>
      <w:r w:rsidRPr="00AB4400">
        <w:rPr>
          <w:i/>
        </w:rPr>
        <w:t>Preface to Job</w:t>
      </w:r>
      <w:r w:rsidRPr="00AB4400">
        <w:t>]</w:t>
      </w:r>
      <w:r w:rsidR="006F304D" w:rsidRPr="006F304D">
        <w:t xml:space="preserve">, </w:t>
      </w:r>
      <w:r w:rsidRPr="00AB4400">
        <w:t>cited in Lund</w:t>
      </w:r>
      <w:r w:rsidR="006F304D" w:rsidRPr="006F304D">
        <w:t xml:space="preserve">, </w:t>
      </w:r>
      <w:r w:rsidRPr="00AB4400">
        <w:rPr>
          <w:i/>
        </w:rPr>
        <w:t>Chiasmus</w:t>
      </w:r>
      <w:r w:rsidR="006F304D" w:rsidRPr="006F304D">
        <w:t xml:space="preserve">, </w:t>
      </w:r>
      <w:r w:rsidRPr="00AB4400">
        <w:t>3). But such comments should be seen as accomodations to a Greek audience—rather like Josephus’ identification of the Sadducees</w:t>
      </w:r>
      <w:r w:rsidR="006F304D" w:rsidRPr="006F304D">
        <w:t xml:space="preserve">, </w:t>
      </w:r>
      <w:r w:rsidRPr="00AB4400">
        <w:t>Pharisees</w:t>
      </w:r>
      <w:r w:rsidR="006F304D" w:rsidRPr="006F304D">
        <w:t xml:space="preserve">, </w:t>
      </w:r>
      <w:r w:rsidRPr="00AB4400">
        <w:t>and Essenes with the Epicureans</w:t>
      </w:r>
      <w:r w:rsidR="006F304D" w:rsidRPr="006F304D">
        <w:t xml:space="preserve">, </w:t>
      </w:r>
      <w:r w:rsidRPr="00AB4400">
        <w:t>Stoics</w:t>
      </w:r>
      <w:r w:rsidR="006F304D" w:rsidRPr="006F304D">
        <w:t xml:space="preserve">, </w:t>
      </w:r>
      <w:r w:rsidRPr="00AB4400">
        <w:t>and Pythagoreans respectively (</w:t>
      </w:r>
      <w:r w:rsidRPr="00AB4400">
        <w:rPr>
          <w:i/>
        </w:rPr>
        <w:t>Ant</w:t>
      </w:r>
      <w:r w:rsidRPr="00AB4400">
        <w:t>. 13.5.9</w:t>
      </w:r>
      <w:r w:rsidR="006F304D" w:rsidRPr="006F304D">
        <w:t xml:space="preserve">, </w:t>
      </w:r>
      <w:r w:rsidRPr="00AB4400">
        <w:t>13.10.6</w:t>
      </w:r>
      <w:r w:rsidR="006F304D" w:rsidRPr="006F304D">
        <w:t xml:space="preserve">, </w:t>
      </w:r>
      <w:r w:rsidRPr="00AB4400">
        <w:t xml:space="preserve">18.1.2-4; </w:t>
      </w:r>
      <w:r w:rsidRPr="00AB4400">
        <w:rPr>
          <w:i/>
        </w:rPr>
        <w:t>J</w:t>
      </w:r>
      <w:r w:rsidRPr="00AB4400">
        <w:t>.</w:t>
      </w:r>
      <w:r w:rsidRPr="00AB4400">
        <w:rPr>
          <w:i/>
        </w:rPr>
        <w:t>W</w:t>
      </w:r>
      <w:r w:rsidRPr="00AB4400">
        <w:t xml:space="preserve">. 2.8.14; </w:t>
      </w:r>
      <w:r w:rsidRPr="00AB4400">
        <w:rPr>
          <w:i/>
        </w:rPr>
        <w:t>Life</w:t>
      </w:r>
      <w:r w:rsidRPr="00AB4400">
        <w:t xml:space="preserve"> 28)</w:t>
      </w:r>
      <w:r w:rsidR="006F304D" w:rsidRPr="006F304D">
        <w:t xml:space="preserve">, </w:t>
      </w:r>
      <w:r w:rsidRPr="00AB4400">
        <w:t>a comparison which is obviously “oversimplified and oversystematized” (Marcel Simon</w:t>
      </w:r>
      <w:r w:rsidR="006F304D" w:rsidRPr="006F304D">
        <w:t xml:space="preserve">, </w:t>
      </w:r>
      <w:r w:rsidRPr="00AB4400">
        <w:rPr>
          <w:i/>
        </w:rPr>
        <w:t>Jewish Sects at the Time of Jesus</w:t>
      </w:r>
      <w:r w:rsidRPr="00AB4400">
        <w:t xml:space="preserve"> [Philadelphia: Fortress</w:t>
      </w:r>
      <w:r w:rsidR="006F304D" w:rsidRPr="006F304D">
        <w:t xml:space="preserve">, </w:t>
      </w:r>
      <w:r w:rsidRPr="00AB4400">
        <w:t>1967] 22).</w:t>
      </w:r>
    </w:p>
  </w:footnote>
  <w:footnote w:id="232">
    <w:p w14:paraId="66DE6CF5" w14:textId="1591D97C" w:rsidR="0018433B" w:rsidRPr="00AB4400" w:rsidRDefault="0018433B" w:rsidP="0018433B">
      <w:pPr>
        <w:widowControl w:val="0"/>
      </w:pPr>
      <w:r w:rsidRPr="00AB4400">
        <w:rPr>
          <w:vertAlign w:val="superscript"/>
        </w:rPr>
        <w:footnoteRef/>
      </w:r>
      <w:r w:rsidRPr="00AB4400">
        <w:t xml:space="preserve"> </w:t>
      </w:r>
      <w:r w:rsidR="00714629" w:rsidRPr="00714629">
        <w:rPr>
          <w:iCs/>
        </w:rPr>
        <w:t>C.F.</w:t>
      </w:r>
      <w:r w:rsidRPr="00AB4400">
        <w:t xml:space="preserve"> Burney</w:t>
      </w:r>
      <w:r w:rsidR="006F304D" w:rsidRPr="006F304D">
        <w:t xml:space="preserve">, </w:t>
      </w:r>
      <w:r w:rsidRPr="00AB4400">
        <w:rPr>
          <w:i/>
        </w:rPr>
        <w:t>The Poetry of Our Lord</w:t>
      </w:r>
      <w:r w:rsidRPr="00AB4400">
        <w:t xml:space="preserve">: </w:t>
      </w:r>
      <w:r w:rsidRPr="00AB4400">
        <w:rPr>
          <w:i/>
        </w:rPr>
        <w:t>An Examination of the Formal Elements of Hebrew Poetry in the Discourses of Jesus Christ</w:t>
      </w:r>
      <w:r w:rsidRPr="00AB4400">
        <w:t xml:space="preserve"> (Oxford: Clarendon</w:t>
      </w:r>
      <w:r w:rsidR="006F304D" w:rsidRPr="006F304D">
        <w:t xml:space="preserve">, </w:t>
      </w:r>
      <w:r w:rsidRPr="00AB4400">
        <w:t>1925).</w:t>
      </w:r>
    </w:p>
  </w:footnote>
  <w:footnote w:id="233">
    <w:p w14:paraId="7E06EC9C" w14:textId="762F5141" w:rsidR="0018433B" w:rsidRPr="00AB4400" w:rsidRDefault="0018433B" w:rsidP="0018433B">
      <w:pPr>
        <w:widowControl w:val="0"/>
      </w:pPr>
      <w:r w:rsidRPr="00AB4400">
        <w:rPr>
          <w:vertAlign w:val="superscript"/>
        </w:rPr>
        <w:footnoteRef/>
      </w:r>
      <w:r w:rsidRPr="00AB4400">
        <w:t xml:space="preserve"> Burney restricts himself to the sayings materials within the synoptic tradition. Though his motive in doing so no doubt stems from his overarching aim of authenticating the gospels</w:t>
      </w:r>
      <w:r w:rsidR="006F304D" w:rsidRPr="006F304D">
        <w:t xml:space="preserve">, </w:t>
      </w:r>
      <w:r w:rsidRPr="00AB4400">
        <w:t>still</w:t>
      </w:r>
      <w:r w:rsidR="006F304D" w:rsidRPr="006F304D">
        <w:t xml:space="preserve">, </w:t>
      </w:r>
      <w:r w:rsidRPr="00AB4400">
        <w:t>the sayings are the best material with which to work</w:t>
      </w:r>
      <w:r w:rsidR="006F304D" w:rsidRPr="006F304D">
        <w:t xml:space="preserve">, </w:t>
      </w:r>
      <w:r w:rsidRPr="00AB4400">
        <w:t>since sayings tend to be preserved more conservatively than narratives and thus have a better chance of retaining characteristics of a primitive Aramaic form (see Joachim Jeremias</w:t>
      </w:r>
      <w:r w:rsidR="006F304D" w:rsidRPr="006F304D">
        <w:t xml:space="preserve">, </w:t>
      </w:r>
      <w:r w:rsidRPr="00AB4400">
        <w:rPr>
          <w:i/>
        </w:rPr>
        <w:t>New Testament Theology</w:t>
      </w:r>
      <w:r w:rsidRPr="00AB4400">
        <w:t xml:space="preserve">: </w:t>
      </w:r>
      <w:r w:rsidRPr="00AB4400">
        <w:rPr>
          <w:i/>
        </w:rPr>
        <w:t>The Proclamation of Jesus</w:t>
      </w:r>
      <w:r w:rsidRPr="00AB4400">
        <w:t xml:space="preserve"> [New York: Scribner’s</w:t>
      </w:r>
      <w:r w:rsidR="006F304D" w:rsidRPr="006F304D">
        <w:t xml:space="preserve">, </w:t>
      </w:r>
      <w:r w:rsidRPr="00AB4400">
        <w:t xml:space="preserve">1971] 41: “whereas Luke has made considerable stylistic changes in all the material that belongs to the framework </w:t>
      </w:r>
      <w:r>
        <w:t>. . .</w:t>
      </w:r>
      <w:r w:rsidR="006F304D" w:rsidRPr="006F304D">
        <w:t xml:space="preserve">, </w:t>
      </w:r>
      <w:r w:rsidRPr="00AB4400">
        <w:t>he treats the words of Jesus with the greatest reverence”).</w:t>
      </w:r>
    </w:p>
  </w:footnote>
  <w:footnote w:id="234">
    <w:p w14:paraId="6AB0154E" w14:textId="3A7DC375" w:rsidR="0018433B" w:rsidRPr="00AB4400" w:rsidRDefault="0018433B" w:rsidP="0018433B">
      <w:pPr>
        <w:widowControl w:val="0"/>
      </w:pPr>
      <w:r w:rsidRPr="00AB4400">
        <w:rPr>
          <w:vertAlign w:val="superscript"/>
        </w:rPr>
        <w:footnoteRef/>
      </w:r>
      <w:r w:rsidRPr="00AB4400">
        <w:t xml:space="preserve"> Burney</w:t>
      </w:r>
      <w:r w:rsidR="006F304D" w:rsidRPr="006F304D">
        <w:t xml:space="preserve">, </w:t>
      </w:r>
      <w:r w:rsidRPr="00AB4400">
        <w:rPr>
          <w:i/>
        </w:rPr>
        <w:t>Poetry</w:t>
      </w:r>
      <w:r w:rsidR="006F304D" w:rsidRPr="006F304D">
        <w:t xml:space="preserve">, </w:t>
      </w:r>
      <w:r w:rsidRPr="00AB4400">
        <w:t>102.</w:t>
      </w:r>
    </w:p>
  </w:footnote>
  <w:footnote w:id="235">
    <w:p w14:paraId="002E3C43" w14:textId="465646D8" w:rsidR="0018433B" w:rsidRPr="00AB4400" w:rsidRDefault="0018433B" w:rsidP="0018433B">
      <w:pPr>
        <w:widowControl w:val="0"/>
      </w:pPr>
      <w:r w:rsidRPr="00AB4400">
        <w:rPr>
          <w:vertAlign w:val="superscript"/>
        </w:rPr>
        <w:footnoteRef/>
      </w:r>
      <w:r w:rsidRPr="00AB4400">
        <w:t xml:space="preserve"> It is to Burney’s credit that he attempts to retranslate</w:t>
      </w:r>
      <w:r w:rsidR="006F304D" w:rsidRPr="006F304D">
        <w:t xml:space="preserve">, </w:t>
      </w:r>
      <w:r w:rsidRPr="00AB4400">
        <w:t>not just into Aramaic</w:t>
      </w:r>
      <w:r w:rsidR="006F304D" w:rsidRPr="006F304D">
        <w:t xml:space="preserve">, </w:t>
      </w:r>
      <w:r w:rsidRPr="00AB4400">
        <w:t>but into the dialect of Aramaic existing in Galilee in Jesus’ day. (According to Jeremias [</w:t>
      </w:r>
      <w:r w:rsidRPr="00AB4400">
        <w:rPr>
          <w:i/>
        </w:rPr>
        <w:t>NT Theology</w:t>
      </w:r>
      <w:r w:rsidR="006F304D" w:rsidRPr="006F304D">
        <w:t xml:space="preserve">, </w:t>
      </w:r>
      <w:r w:rsidRPr="00AB4400">
        <w:t>4]</w:t>
      </w:r>
      <w:r w:rsidR="006F304D" w:rsidRPr="006F304D">
        <w:t xml:space="preserve">, </w:t>
      </w:r>
      <w:r w:rsidRPr="00AB4400">
        <w:t>Jesus spoke “a Galilean version of western Aramaic [which] differed from that of southern Palestine (Judaic Aramaic)” [emphasis deleted].) But here</w:t>
      </w:r>
      <w:r w:rsidR="006F304D" w:rsidRPr="006F304D">
        <w:t xml:space="preserve">, </w:t>
      </w:r>
      <w:r w:rsidRPr="00AB4400">
        <w:t>too</w:t>
      </w:r>
      <w:r w:rsidR="006F304D" w:rsidRPr="006F304D">
        <w:t xml:space="preserve">, </w:t>
      </w:r>
      <w:r w:rsidRPr="00AB4400">
        <w:t>a limitation must be acknowledged: for the Galilean dialect of the first century “the evidence can only be derived from sources dating from a period somewhat later than our Lord’s day—the Aramaic sections of the Palestinian Talmud and the Midrashim</w:t>
      </w:r>
      <w:r w:rsidR="006F304D" w:rsidRPr="006F304D">
        <w:t xml:space="preserve">, </w:t>
      </w:r>
      <w:r w:rsidRPr="00AB4400">
        <w:t>dating from the fourth to the sixth centuries A.D.</w:t>
      </w:r>
      <w:r w:rsidR="006F304D" w:rsidRPr="006F304D">
        <w:t xml:space="preserve">, </w:t>
      </w:r>
      <w:r w:rsidRPr="00AB4400">
        <w:t>and the Palestinian-Syriac Lectionary of unknown date” (Burney</w:t>
      </w:r>
      <w:r w:rsidR="006F304D" w:rsidRPr="006F304D">
        <w:t xml:space="preserve">, </w:t>
      </w:r>
      <w:r w:rsidRPr="00AB4400">
        <w:rPr>
          <w:i/>
        </w:rPr>
        <w:t>Poetry</w:t>
      </w:r>
      <w:r w:rsidR="006F304D" w:rsidRPr="006F304D">
        <w:t xml:space="preserve">, </w:t>
      </w:r>
      <w:r w:rsidRPr="00AB4400">
        <w:t>9-10). Of course</w:t>
      </w:r>
      <w:r w:rsidR="006F304D" w:rsidRPr="006F304D">
        <w:t xml:space="preserve">, </w:t>
      </w:r>
      <w:r w:rsidRPr="00AB4400">
        <w:t>new Aramaic materials from Palestine have become available since Burney’s day</w:t>
      </w:r>
      <w:r w:rsidR="006F304D" w:rsidRPr="006F304D">
        <w:t xml:space="preserve">, </w:t>
      </w:r>
      <w:r w:rsidRPr="00AB4400">
        <w:t xml:space="preserve">such as the </w:t>
      </w:r>
      <w:r w:rsidRPr="00AB4400">
        <w:rPr>
          <w:i/>
        </w:rPr>
        <w:t>Genesis Apocryphon</w:t>
      </w:r>
      <w:r w:rsidRPr="00AB4400">
        <w:t xml:space="preserve"> from Qumran and the </w:t>
      </w:r>
      <w:r w:rsidRPr="00AB4400">
        <w:rPr>
          <w:i/>
        </w:rPr>
        <w:t>Targum Yerushalmi to the Pentateuch</w:t>
      </w:r>
      <w:r w:rsidRPr="00AB4400">
        <w:t xml:space="preserve"> (Codex Neofiti I in the Vatican Library); but they hardly overwhelm the scanty received textbase.</w:t>
      </w:r>
    </w:p>
  </w:footnote>
  <w:footnote w:id="236">
    <w:p w14:paraId="08CA9189" w14:textId="65E1A488" w:rsidR="0018433B" w:rsidRPr="00AB4400" w:rsidRDefault="0018433B" w:rsidP="0018433B">
      <w:pPr>
        <w:widowControl w:val="0"/>
      </w:pPr>
      <w:r w:rsidRPr="00AB4400">
        <w:rPr>
          <w:vertAlign w:val="superscript"/>
        </w:rPr>
        <w:footnoteRef/>
      </w:r>
      <w:r w:rsidRPr="00AB4400">
        <w:t xml:space="preserve"> Burney</w:t>
      </w:r>
      <w:r w:rsidR="006F304D" w:rsidRPr="006F304D">
        <w:t xml:space="preserve">, </w:t>
      </w:r>
      <w:r w:rsidRPr="00AB4400">
        <w:rPr>
          <w:i/>
        </w:rPr>
        <w:t>Poetry</w:t>
      </w:r>
      <w:r w:rsidR="006F304D" w:rsidRPr="006F304D">
        <w:t xml:space="preserve">, </w:t>
      </w:r>
      <w:r w:rsidRPr="00AB4400">
        <w:t>109. Burney assumes that Jesus’ teachings were always poetic; but the prose of Dan 2-7</w:t>
      </w:r>
      <w:r w:rsidR="006F304D" w:rsidRPr="006F304D">
        <w:t xml:space="preserve">, </w:t>
      </w:r>
      <w:r w:rsidRPr="00AB4400">
        <w:t>and the other Aramaic passages in the OT (Gen 31:47</w:t>
      </w:r>
      <w:r w:rsidR="006F304D" w:rsidRPr="006F304D">
        <w:t xml:space="preserve">, </w:t>
      </w:r>
      <w:r w:rsidRPr="00AB4400">
        <w:t>Jer 10:11</w:t>
      </w:r>
      <w:r w:rsidR="006F304D" w:rsidRPr="006F304D">
        <w:t xml:space="preserve">, </w:t>
      </w:r>
      <w:r w:rsidRPr="00AB4400">
        <w:t>Ezra 4:8-6:18</w:t>
      </w:r>
      <w:r w:rsidR="006F304D" w:rsidRPr="006F304D">
        <w:t xml:space="preserve">, </w:t>
      </w:r>
      <w:r w:rsidRPr="00AB4400">
        <w:t>7:12-26) could be used as analogues for Jesus’ prose rhythms.</w:t>
      </w:r>
    </w:p>
  </w:footnote>
  <w:footnote w:id="237">
    <w:p w14:paraId="5E3DFB47" w14:textId="3F44D3BD" w:rsidR="0018433B" w:rsidRPr="00AB4400" w:rsidRDefault="0018433B" w:rsidP="0018433B">
      <w:pPr>
        <w:widowControl w:val="0"/>
      </w:pPr>
      <w:r w:rsidRPr="00AB4400">
        <w:rPr>
          <w:vertAlign w:val="superscript"/>
        </w:rPr>
        <w:footnoteRef/>
      </w:r>
      <w:r w:rsidRPr="00AB4400">
        <w:t xml:space="preserve"> Based on this conclusion</w:t>
      </w:r>
      <w:r w:rsidR="006F304D" w:rsidRPr="006F304D">
        <w:t xml:space="preserve">, </w:t>
      </w:r>
      <w:r w:rsidRPr="00AB4400">
        <w:t>Burney adds a (somewhat risky) corollary. He reminds us that</w:t>
      </w:r>
      <w:r w:rsidR="006F304D" w:rsidRPr="006F304D">
        <w:t xml:space="preserve">, </w:t>
      </w:r>
      <w:r w:rsidRPr="00AB4400">
        <w:t>in Hebrew verse</w:t>
      </w:r>
      <w:r w:rsidR="006F304D" w:rsidRPr="006F304D">
        <w:t xml:space="preserve">, </w:t>
      </w:r>
      <w:r w:rsidRPr="00AB4400">
        <w:t>two parallel lines that correspond in content ordinarily correspond in rhythm as well (ibid.</w:t>
      </w:r>
      <w:r w:rsidR="006F304D" w:rsidRPr="006F304D">
        <w:t xml:space="preserve">, </w:t>
      </w:r>
      <w:r w:rsidRPr="00AB4400">
        <w:t>102). Hence</w:t>
      </w:r>
      <w:r w:rsidR="006F304D" w:rsidRPr="006F304D">
        <w:t xml:space="preserve">, </w:t>
      </w:r>
      <w:r w:rsidRPr="00AB4400">
        <w:t>where we find parallelism of content in Jesus’ sayings</w:t>
      </w:r>
      <w:r w:rsidR="006F304D" w:rsidRPr="006F304D">
        <w:t xml:space="preserve">, </w:t>
      </w:r>
      <w:r w:rsidRPr="00AB4400">
        <w:t>we may infer parallelism of rhythm in the Aramaic original.</w:t>
      </w:r>
    </w:p>
  </w:footnote>
  <w:footnote w:id="238">
    <w:p w14:paraId="0ADDB817" w14:textId="77777777" w:rsidR="0018433B" w:rsidRDefault="0018433B" w:rsidP="0018433B">
      <w:pPr>
        <w:widowControl w:val="0"/>
      </w:pPr>
      <w:r w:rsidRPr="00AB4400">
        <w:rPr>
          <w:vertAlign w:val="superscript"/>
        </w:rPr>
        <w:footnoteRef/>
      </w:r>
      <w:r w:rsidRPr="00AB4400">
        <w:t xml:space="preserve"> Burney prefers to speak of rules of “rhythm” rather than of “meter”:</w:t>
      </w:r>
    </w:p>
    <w:p w14:paraId="76EC04B9" w14:textId="77777777" w:rsidR="0018433B" w:rsidRPr="00AB4400" w:rsidRDefault="0018433B" w:rsidP="0018433B">
      <w:pPr>
        <w:widowControl w:val="0"/>
      </w:pPr>
    </w:p>
    <w:p w14:paraId="577E1A27" w14:textId="3ED89E58" w:rsidR="0018433B" w:rsidRPr="00AB4400" w:rsidRDefault="0018433B" w:rsidP="0018433B">
      <w:pPr>
        <w:widowControl w:val="0"/>
        <w:ind w:left="720" w:right="720"/>
      </w:pPr>
      <w:r w:rsidRPr="00AB4400">
        <w:t>there seems to exist in Hebrew poetry no regularly quantitative system of metre (</w:t>
      </w:r>
      <w:r w:rsidR="00775F9B" w:rsidRPr="00775F9B">
        <w:rPr>
          <w:iCs/>
        </w:rPr>
        <w:t>i.e.</w:t>
      </w:r>
      <w:r w:rsidRPr="00AB4400">
        <w:t xml:space="preserve"> a strict form of scansion by feet consisting each of so many syllables in regular sequence)</w:t>
      </w:r>
      <w:r w:rsidR="006F304D" w:rsidRPr="006F304D">
        <w:t xml:space="preserve">, </w:t>
      </w:r>
      <w:r w:rsidRPr="00AB4400">
        <w:t xml:space="preserve">but rather a system of so many </w:t>
      </w:r>
      <w:r w:rsidRPr="00AB4400">
        <w:rPr>
          <w:i/>
        </w:rPr>
        <w:t>ictûs</w:t>
      </w:r>
      <w:r w:rsidRPr="00AB4400">
        <w:t xml:space="preserve"> or rhythmical beats in each stichos</w:t>
      </w:r>
      <w:r w:rsidR="006F304D" w:rsidRPr="006F304D">
        <w:t xml:space="preserve">, </w:t>
      </w:r>
      <w:r w:rsidRPr="00AB4400">
        <w:t>the number of intervening unstressed syllables being governed merely by the possibilities of pronounciation. (Ibid.</w:t>
      </w:r>
      <w:r w:rsidR="006F304D" w:rsidRPr="006F304D">
        <w:t xml:space="preserve">, </w:t>
      </w:r>
      <w:r w:rsidRPr="00AB4400">
        <w:t>22.)</w:t>
      </w:r>
    </w:p>
    <w:p w14:paraId="1BBE2835" w14:textId="77777777" w:rsidR="0018433B" w:rsidRDefault="0018433B" w:rsidP="0018433B">
      <w:pPr>
        <w:widowControl w:val="0"/>
      </w:pPr>
    </w:p>
    <w:p w14:paraId="69192B27" w14:textId="790250D1" w:rsidR="0018433B" w:rsidRPr="00AB4400" w:rsidRDefault="0018433B" w:rsidP="0018433B">
      <w:pPr>
        <w:widowControl w:val="0"/>
      </w:pPr>
      <w:r w:rsidRPr="00AB4400">
        <w:t xml:space="preserve">He notes the similarity of this rhythm to William Langland’s </w:t>
      </w:r>
      <w:r w:rsidRPr="00AB4400">
        <w:rPr>
          <w:i/>
        </w:rPr>
        <w:t>Piers Plowman</w:t>
      </w:r>
      <w:r w:rsidRPr="00AB4400">
        <w:t xml:space="preserve"> (c. </w:t>
      </w:r>
      <w:r w:rsidRPr="00AB4400">
        <w:rPr>
          <w:smallCaps/>
        </w:rPr>
        <w:t>ad</w:t>
      </w:r>
      <w:r w:rsidRPr="00AB4400">
        <w:t xml:space="preserve"> 1335) (ibid.</w:t>
      </w:r>
      <w:r w:rsidR="006F304D" w:rsidRPr="006F304D">
        <w:t xml:space="preserve">, </w:t>
      </w:r>
      <w:r w:rsidRPr="00AB4400">
        <w:t xml:space="preserve">27); and I once argued in a presentation before a College Composition and Communication Conference in Chicago in 1973 for the similarity between the biblical rhythmical scheme (which comes through with undiminished force in the King James) and the rhythmical scheme of T. S. Eliot’s </w:t>
      </w:r>
      <w:r w:rsidRPr="00AB4400">
        <w:rPr>
          <w:i/>
        </w:rPr>
        <w:t>Four Quartets</w:t>
      </w:r>
      <w:r w:rsidRPr="00AB4400">
        <w:t>.</w:t>
      </w:r>
    </w:p>
  </w:footnote>
  <w:footnote w:id="239">
    <w:p w14:paraId="05997653" w14:textId="732D60B4" w:rsidR="0018433B" w:rsidRPr="00AB4400" w:rsidRDefault="0018433B" w:rsidP="0018433B">
      <w:pPr>
        <w:widowControl w:val="0"/>
      </w:pPr>
      <w:r w:rsidRPr="00AB4400">
        <w:rPr>
          <w:vertAlign w:val="superscript"/>
        </w:rPr>
        <w:footnoteRef/>
      </w:r>
      <w:r w:rsidRPr="00AB4400">
        <w:t xml:space="preserve"> Burney might have added here another principle of Hebrew rhythm which results from the influence of parallelism: when one term in the first of two parallel lines is not reproduced in the second</w:t>
      </w:r>
      <w:r w:rsidR="006F304D" w:rsidRPr="006F304D">
        <w:t xml:space="preserve">, </w:t>
      </w:r>
      <w:r w:rsidRPr="00AB4400">
        <w:t>frequently another of the first line’s terms will be duplicated or extended in the second to compensate.</w:t>
      </w:r>
    </w:p>
  </w:footnote>
  <w:footnote w:id="240">
    <w:p w14:paraId="6B5D0AFE" w14:textId="3FA809D7" w:rsidR="0018433B" w:rsidRPr="00AB4400" w:rsidRDefault="0018433B" w:rsidP="0018433B">
      <w:pPr>
        <w:widowControl w:val="0"/>
      </w:pPr>
      <w:r w:rsidRPr="00AB4400">
        <w:rPr>
          <w:vertAlign w:val="superscript"/>
        </w:rPr>
        <w:footnoteRef/>
      </w:r>
      <w:r w:rsidRPr="00AB4400">
        <w:t xml:space="preserve"> Burney</w:t>
      </w:r>
      <w:r w:rsidR="006F304D" w:rsidRPr="006F304D">
        <w:t xml:space="preserve">, </w:t>
      </w:r>
      <w:r w:rsidRPr="00AB4400">
        <w:rPr>
          <w:i/>
        </w:rPr>
        <w:t>Poetry</w:t>
      </w:r>
      <w:r w:rsidR="006F304D" w:rsidRPr="006F304D">
        <w:t xml:space="preserve">, </w:t>
      </w:r>
      <w:r w:rsidRPr="00AB4400">
        <w:t>43-58.</w:t>
      </w:r>
    </w:p>
  </w:footnote>
  <w:footnote w:id="241">
    <w:p w14:paraId="6B7B9EFE" w14:textId="6839A425" w:rsidR="0018433B" w:rsidRDefault="0018433B" w:rsidP="0018433B">
      <w:pPr>
        <w:widowControl w:val="0"/>
      </w:pPr>
      <w:r w:rsidRPr="00AB4400">
        <w:rPr>
          <w:vertAlign w:val="superscript"/>
        </w:rPr>
        <w:footnoteRef/>
      </w:r>
      <w:r w:rsidRPr="00AB4400">
        <w:t xml:space="preserve"> There may also exist two-beat lines</w:t>
      </w:r>
      <w:r w:rsidR="006F304D" w:rsidRPr="006F304D">
        <w:t xml:space="preserve">, </w:t>
      </w:r>
      <w:r w:rsidR="00775F9B" w:rsidRPr="00775F9B">
        <w:rPr>
          <w:iCs/>
        </w:rPr>
        <w:t>e.g.</w:t>
      </w:r>
      <w:r w:rsidR="006F304D" w:rsidRPr="006F304D">
        <w:t xml:space="preserve">, </w:t>
      </w:r>
      <w:r w:rsidRPr="00AB4400">
        <w:t>Isa 1:4-6 (ibid.</w:t>
      </w:r>
      <w:r w:rsidR="006F304D" w:rsidRPr="006F304D">
        <w:t xml:space="preserve">, </w:t>
      </w:r>
      <w:r w:rsidRPr="00AB4400">
        <w:t>28):</w:t>
      </w:r>
    </w:p>
    <w:p w14:paraId="008F65B2" w14:textId="77777777" w:rsidR="0018433B" w:rsidRPr="00AB4400" w:rsidRDefault="0018433B" w:rsidP="0018433B">
      <w:pPr>
        <w:widowControl w:val="0"/>
      </w:pPr>
    </w:p>
    <w:p w14:paraId="183D150A" w14:textId="78270491" w:rsidR="0018433B" w:rsidRPr="00AB4400" w:rsidRDefault="0018433B" w:rsidP="0018433B">
      <w:pPr>
        <w:widowControl w:val="0"/>
        <w:ind w:left="720" w:right="720"/>
      </w:pPr>
      <w:r w:rsidRPr="00AB4400">
        <w:t>Occasionally in Hebrew rhythm of this character [</w:t>
      </w:r>
      <w:r w:rsidR="00775F9B" w:rsidRPr="00775F9B">
        <w:rPr>
          <w:iCs/>
        </w:rPr>
        <w:t>i.e.</w:t>
      </w:r>
      <w:r w:rsidR="006F304D" w:rsidRPr="006F304D">
        <w:t xml:space="preserve">, </w:t>
      </w:r>
      <w:r w:rsidRPr="00AB4400">
        <w:t>poetry with four-beat lines] we find parallelism</w:t>
      </w:r>
      <w:r w:rsidR="006F304D" w:rsidRPr="006F304D">
        <w:t xml:space="preserve">, </w:t>
      </w:r>
      <w:r w:rsidRPr="00AB4400">
        <w:t>not between line and line of the couplets</w:t>
      </w:r>
      <w:r w:rsidR="006F304D" w:rsidRPr="006F304D">
        <w:t xml:space="preserve">, </w:t>
      </w:r>
      <w:r w:rsidRPr="00AB4400">
        <w:t>but between the first and second halves of lines; and these should perhaps be reckoned</w:t>
      </w:r>
      <w:r w:rsidR="006F304D" w:rsidRPr="006F304D">
        <w:t xml:space="preserve">, </w:t>
      </w:r>
      <w:r w:rsidRPr="00AB4400">
        <w:t>not as four-beat stichoi</w:t>
      </w:r>
      <w:r w:rsidR="006F304D" w:rsidRPr="006F304D">
        <w:t xml:space="preserve">, </w:t>
      </w:r>
      <w:r w:rsidRPr="00AB4400">
        <w:t>but as couplets formed of short two-beat stichoi.</w:t>
      </w:r>
    </w:p>
    <w:p w14:paraId="7A5CDD06" w14:textId="77777777" w:rsidR="0018433B" w:rsidRDefault="0018433B" w:rsidP="0018433B">
      <w:pPr>
        <w:widowControl w:val="0"/>
      </w:pPr>
    </w:p>
    <w:p w14:paraId="579823F4" w14:textId="11ABB671" w:rsidR="0018433B" w:rsidRPr="00AB4400" w:rsidRDefault="0018433B" w:rsidP="0018433B">
      <w:pPr>
        <w:widowControl w:val="0"/>
      </w:pPr>
      <w:r w:rsidRPr="00AB4400">
        <w:t>Jeremias is thus incorrect to imply that Burney neglected two-beat lines (</w:t>
      </w:r>
      <w:r w:rsidRPr="00AB4400">
        <w:rPr>
          <w:i/>
        </w:rPr>
        <w:t>NT Theology</w:t>
      </w:r>
      <w:r w:rsidR="006F304D" w:rsidRPr="006F304D">
        <w:t xml:space="preserve">, </w:t>
      </w:r>
      <w:r w:rsidRPr="00AB4400">
        <w:t>20</w:t>
      </w:r>
      <w:r w:rsidR="006F304D" w:rsidRPr="006F304D">
        <w:t xml:space="preserve">, </w:t>
      </w:r>
      <w:r w:rsidRPr="00AB4400">
        <w:t>where Jeremias claims to add “a fourth</w:t>
      </w:r>
      <w:r w:rsidR="006F304D" w:rsidRPr="006F304D">
        <w:t xml:space="preserve">, </w:t>
      </w:r>
      <w:r w:rsidRPr="00AB4400">
        <w:t>two-beat rhythm” to Burney’s three-</w:t>
      </w:r>
      <w:r w:rsidR="006F304D" w:rsidRPr="006F304D">
        <w:t xml:space="preserve">, </w:t>
      </w:r>
      <w:r w:rsidRPr="00AB4400">
        <w:t>four-</w:t>
      </w:r>
      <w:r w:rsidR="006F304D" w:rsidRPr="006F304D">
        <w:t xml:space="preserve">, </w:t>
      </w:r>
      <w:r w:rsidRPr="00AB4400">
        <w:t>and five-beat rhythms).</w:t>
      </w:r>
    </w:p>
  </w:footnote>
  <w:footnote w:id="242">
    <w:p w14:paraId="02A8381D" w14:textId="310469B1" w:rsidR="0018433B" w:rsidRPr="00AB4400" w:rsidRDefault="0018433B" w:rsidP="0018433B">
      <w:pPr>
        <w:widowControl w:val="0"/>
      </w:pPr>
      <w:r w:rsidRPr="00AB4400">
        <w:rPr>
          <w:vertAlign w:val="superscript"/>
        </w:rPr>
        <w:footnoteRef/>
      </w:r>
      <w:r w:rsidRPr="00AB4400">
        <w:t xml:space="preserve"> Burney</w:t>
      </w:r>
      <w:r w:rsidR="006F304D" w:rsidRPr="006F304D">
        <w:t xml:space="preserve">, </w:t>
      </w:r>
      <w:r w:rsidRPr="00AB4400">
        <w:rPr>
          <w:i/>
        </w:rPr>
        <w:t>Poetry</w:t>
      </w:r>
      <w:r w:rsidR="006F304D" w:rsidRPr="006F304D">
        <w:t xml:space="preserve">, </w:t>
      </w:r>
      <w:r w:rsidRPr="00AB4400">
        <w:t>25. But in all of these OT examples</w:t>
      </w:r>
      <w:r w:rsidR="006F304D" w:rsidRPr="006F304D">
        <w:t xml:space="preserve">, </w:t>
      </w:r>
      <w:r w:rsidRPr="00AB4400">
        <w:t>four-beat lines alternate with three-beat.</w:t>
      </w:r>
    </w:p>
  </w:footnote>
  <w:footnote w:id="243">
    <w:p w14:paraId="0A7D564D" w14:textId="050573BD" w:rsidR="0018433B" w:rsidRPr="00AB4400" w:rsidRDefault="0018433B" w:rsidP="0018433B">
      <w:pPr>
        <w:widowControl w:val="0"/>
      </w:pPr>
      <w:r w:rsidRPr="00AB4400">
        <w:rPr>
          <w:vertAlign w:val="superscript"/>
        </w:rPr>
        <w:footnoteRef/>
      </w:r>
      <w:r w:rsidRPr="00AB4400">
        <w:t xml:space="preserve"> Ibid.</w:t>
      </w:r>
      <w:r w:rsidR="006F304D" w:rsidRPr="006F304D">
        <w:t xml:space="preserve">, </w:t>
      </w:r>
      <w:r w:rsidRPr="00AB4400">
        <w:t>34. According to Jeremias</w:t>
      </w:r>
      <w:r w:rsidR="006F304D" w:rsidRPr="006F304D">
        <w:t xml:space="preserve">, </w:t>
      </w:r>
      <w:r w:rsidRPr="00AB4400">
        <w:t>“the singer who leads the lament utters a longer cry (three-beat) to which the lamenting women make answer with a shorter echo (two-beat)” (</w:t>
      </w:r>
      <w:r w:rsidRPr="00AB4400">
        <w:rPr>
          <w:i/>
        </w:rPr>
        <w:t>NT Theology</w:t>
      </w:r>
      <w:r w:rsidR="006F304D" w:rsidRPr="006F304D">
        <w:t xml:space="preserve">, </w:t>
      </w:r>
      <w:r w:rsidRPr="00AB4400">
        <w:t>24-25).</w:t>
      </w:r>
    </w:p>
  </w:footnote>
  <w:footnote w:id="244">
    <w:p w14:paraId="0564906F" w14:textId="4881CDF2" w:rsidR="0018433B" w:rsidRPr="00AB4400" w:rsidRDefault="0018433B" w:rsidP="0018433B">
      <w:pPr>
        <w:widowControl w:val="0"/>
      </w:pPr>
      <w:r w:rsidRPr="00AB4400">
        <w:rPr>
          <w:vertAlign w:val="superscript"/>
        </w:rPr>
        <w:footnoteRef/>
      </w:r>
      <w:r w:rsidRPr="00AB4400">
        <w:t xml:space="preserve"> See Burney</w:t>
      </w:r>
      <w:r w:rsidR="006F304D" w:rsidRPr="006F304D">
        <w:t xml:space="preserve">, </w:t>
      </w:r>
      <w:r w:rsidRPr="00AB4400">
        <w:rPr>
          <w:i/>
        </w:rPr>
        <w:t>Poetry</w:t>
      </w:r>
      <w:r w:rsidR="006F304D" w:rsidRPr="006F304D">
        <w:t xml:space="preserve">, </w:t>
      </w:r>
      <w:r w:rsidRPr="00AB4400">
        <w:t>107.</w:t>
      </w:r>
    </w:p>
  </w:footnote>
  <w:footnote w:id="245">
    <w:p w14:paraId="7E05AF3A" w14:textId="76A5C8DB" w:rsidR="0018433B" w:rsidRPr="005C0DF3" w:rsidRDefault="0018433B" w:rsidP="0018433B">
      <w:r w:rsidRPr="005C0DF3">
        <w:rPr>
          <w:rStyle w:val="FootnoteReference"/>
        </w:rPr>
        <w:footnoteRef/>
      </w:r>
      <w:r w:rsidRPr="005C0DF3">
        <w:t xml:space="preserve"> </w:t>
      </w:r>
      <w:r w:rsidR="00457786" w:rsidRPr="00457786">
        <w:rPr>
          <w:iCs/>
        </w:rPr>
        <w:t>E.D.</w:t>
      </w:r>
      <w:r w:rsidRPr="005C0DF3">
        <w:t xml:space="preserve"> Hirsch</w:t>
      </w:r>
      <w:r w:rsidR="006F304D" w:rsidRPr="006F304D">
        <w:t xml:space="preserve">, </w:t>
      </w:r>
      <w:r w:rsidRPr="005C0DF3">
        <w:t>Jr.</w:t>
      </w:r>
      <w:r w:rsidR="006F304D" w:rsidRPr="006F304D">
        <w:t xml:space="preserve">, </w:t>
      </w:r>
      <w:r w:rsidRPr="005C0DF3">
        <w:rPr>
          <w:i/>
        </w:rPr>
        <w:t>The Philosophy of Composition</w:t>
      </w:r>
      <w:r w:rsidRPr="005C0DF3">
        <w:t xml:space="preserve"> </w:t>
      </w:r>
      <w:r>
        <w:t>(</w:t>
      </w:r>
      <w:r w:rsidR="000644ED" w:rsidRPr="000644ED">
        <w:rPr>
          <w:iCs/>
        </w:rPr>
        <w:t>Chicago: U of Chicago P</w:t>
      </w:r>
      <w:r w:rsidR="006F304D" w:rsidRPr="006F304D">
        <w:t xml:space="preserve">, </w:t>
      </w:r>
      <w:r w:rsidRPr="005C0DF3">
        <w:t>1977</w:t>
      </w:r>
      <w:r>
        <w:t>)</w:t>
      </w:r>
      <w:r w:rsidRPr="005C0DF3">
        <w:t xml:space="preserve"> 152. A similar principle of closure exists in music (Leonard B. Mey</w:t>
      </w:r>
      <w:r w:rsidRPr="005C0DF3">
        <w:softHyphen/>
        <w:t>er</w:t>
      </w:r>
      <w:r w:rsidR="006F304D" w:rsidRPr="006F304D">
        <w:t xml:space="preserve">, </w:t>
      </w:r>
      <w:r w:rsidRPr="005C0DF3">
        <w:rPr>
          <w:i/>
        </w:rPr>
        <w:t>Explain</w:t>
      </w:r>
      <w:r w:rsidRPr="005C0DF3">
        <w:rPr>
          <w:i/>
        </w:rPr>
        <w:softHyphen/>
        <w:t>ing Music</w:t>
      </w:r>
      <w:r w:rsidRPr="005C0DF3">
        <w:t xml:space="preserve">: </w:t>
      </w:r>
      <w:r w:rsidRPr="005C0DF3">
        <w:rPr>
          <w:i/>
        </w:rPr>
        <w:t>Essays and Explorations</w:t>
      </w:r>
      <w:r w:rsidRPr="005C0DF3">
        <w:t xml:space="preserve"> [</w:t>
      </w:r>
      <w:r w:rsidR="00714629" w:rsidRPr="00714629">
        <w:rPr>
          <w:iCs/>
        </w:rPr>
        <w:t>Berkeley CA: U of California P</w:t>
      </w:r>
      <w:r w:rsidR="006F304D" w:rsidRPr="006F304D">
        <w:t xml:space="preserve">, </w:t>
      </w:r>
      <w:r w:rsidRPr="005C0DF3">
        <w:t>1973] 89):</w:t>
      </w:r>
    </w:p>
    <w:p w14:paraId="3B204EDE" w14:textId="77777777" w:rsidR="0018433B" w:rsidRPr="005C0DF3" w:rsidRDefault="0018433B" w:rsidP="0018433B"/>
    <w:p w14:paraId="617E64E7" w14:textId="4638E46F" w:rsidR="0018433B" w:rsidRPr="005C0DF3" w:rsidRDefault="0018433B" w:rsidP="0018433B">
      <w:pPr>
        <w:ind w:left="720" w:right="720"/>
      </w:pPr>
      <w:r w:rsidRPr="005C0DF3">
        <w:t>For a series of stimuli to form separable events which can act as ele</w:t>
      </w:r>
      <w:r w:rsidRPr="005C0DF3">
        <w:softHyphen/>
        <w:t>ments with</w:t>
      </w:r>
      <w:r w:rsidRPr="005C0DF3">
        <w:softHyphen/>
        <w:t>in a hierarchy</w:t>
      </w:r>
      <w:r w:rsidR="006F304D" w:rsidRPr="006F304D">
        <w:t xml:space="preserve">, </w:t>
      </w:r>
      <w:r w:rsidRPr="005C0DF3">
        <w:t>there must be some degree of clo</w:t>
      </w:r>
      <w:r w:rsidRPr="005C0DF3">
        <w:softHyphen/>
        <w:t>sure</w:t>
      </w:r>
      <w:r w:rsidRPr="00963D68">
        <w:t>. . . .</w:t>
      </w:r>
      <w:r w:rsidRPr="005C0DF3">
        <w:t xml:space="preserve"> The more deci</w:t>
      </w:r>
      <w:r w:rsidRPr="005C0DF3">
        <w:softHyphen/>
        <w:t>sive the closure at a par</w:t>
      </w:r>
      <w:r w:rsidRPr="005C0DF3">
        <w:softHyphen/>
        <w:t>ticular point</w:t>
      </w:r>
      <w:r w:rsidR="006F304D" w:rsidRPr="006F304D">
        <w:t xml:space="preserve">, </w:t>
      </w:r>
      <w:r w:rsidRPr="005C0DF3">
        <w:t>the more important the structural ar</w:t>
      </w:r>
      <w:r w:rsidRPr="005C0DF3">
        <w:softHyphen/>
        <w:t>ticula</w:t>
      </w:r>
      <w:r w:rsidRPr="005C0DF3">
        <w:softHyphen/>
        <w:t>tion. Or</w:t>
      </w:r>
      <w:r w:rsidR="006F304D" w:rsidRPr="006F304D">
        <w:t xml:space="preserve">, </w:t>
      </w:r>
      <w:r w:rsidRPr="005C0DF3">
        <w:rPr>
          <w:i/>
        </w:rPr>
        <w:t>the structure of a com</w:t>
      </w:r>
      <w:r w:rsidRPr="005C0DF3">
        <w:rPr>
          <w:i/>
        </w:rPr>
        <w:softHyphen/>
        <w:t>posi</w:t>
      </w:r>
      <w:r w:rsidRPr="005C0DF3">
        <w:rPr>
          <w:i/>
        </w:rPr>
        <w:softHyphen/>
        <w:t>tion is something which we infer from the hierarchy of closures which it presents</w:t>
      </w:r>
      <w:r w:rsidRPr="005C0DF3">
        <w:t>.</w:t>
      </w:r>
    </w:p>
    <w:p w14:paraId="48F1CBFB" w14:textId="77777777" w:rsidR="0018433B" w:rsidRPr="005C0DF3" w:rsidRDefault="0018433B" w:rsidP="0018433B"/>
    <w:p w14:paraId="7F2B42C2" w14:textId="389833A9" w:rsidR="0018433B" w:rsidRPr="005C0DF3" w:rsidRDefault="0018433B" w:rsidP="0018433B">
      <w:r w:rsidRPr="005C0DF3">
        <w:t>Meyer (81 n. 2) bases himself in part on Barbara H. Smith</w:t>
      </w:r>
      <w:r w:rsidR="006F304D" w:rsidRPr="006F304D">
        <w:t xml:space="preserve">, </w:t>
      </w:r>
      <w:r w:rsidRPr="005C0DF3">
        <w:rPr>
          <w:i/>
        </w:rPr>
        <w:t>Poetic Closure</w:t>
      </w:r>
      <w:r w:rsidRPr="005C0DF3">
        <w:t xml:space="preserve">: </w:t>
      </w:r>
      <w:r w:rsidRPr="005C0DF3">
        <w:rPr>
          <w:i/>
        </w:rPr>
        <w:t>Or Why Poems End</w:t>
      </w:r>
      <w:r w:rsidRPr="005C0DF3">
        <w:t xml:space="preserve"> (</w:t>
      </w:r>
      <w:r w:rsidR="000644ED" w:rsidRPr="000644ED">
        <w:rPr>
          <w:iCs/>
        </w:rPr>
        <w:t>Chicago: U of Chicago P</w:t>
      </w:r>
      <w:r w:rsidR="006F304D" w:rsidRPr="006F304D">
        <w:t xml:space="preserve">, </w:t>
      </w:r>
      <w:r w:rsidRPr="005C0DF3">
        <w:t>1969).</w:t>
      </w:r>
    </w:p>
  </w:footnote>
  <w:footnote w:id="246">
    <w:p w14:paraId="39ACFFDE" w14:textId="49206030" w:rsidR="0018433B" w:rsidRPr="005C0DF3" w:rsidRDefault="0018433B" w:rsidP="0018433B">
      <w:r w:rsidRPr="005C0DF3">
        <w:rPr>
          <w:rStyle w:val="FootnoteReference"/>
        </w:rPr>
        <w:footnoteRef/>
      </w:r>
      <w:r w:rsidRPr="005C0DF3">
        <w:t xml:space="preserve"> I do not know when paragraphing as a typographical feature began</w:t>
      </w:r>
      <w:r w:rsidR="006F304D" w:rsidRPr="006F304D">
        <w:t xml:space="preserve">, </w:t>
      </w:r>
      <w:r w:rsidRPr="005C0DF3">
        <w:t>though I assume it was introduced after the invention of printing; perhaps the costs of man</w:t>
      </w:r>
      <w:r w:rsidRPr="005C0DF3">
        <w:softHyphen/>
        <w:t>uscript manu</w:t>
      </w:r>
      <w:r w:rsidRPr="005C0DF3">
        <w:softHyphen/>
        <w:t>facture ordinarily made white space an inadmissable luxury</w:t>
      </w:r>
      <w:r w:rsidR="006F304D" w:rsidRPr="006F304D">
        <w:t xml:space="preserve">, </w:t>
      </w:r>
      <w:r w:rsidRPr="005C0DF3">
        <w:t xml:space="preserve">or perhaps the habit of reading slowly and aloud made visual cues to the progression of ideas less necessary (see </w:t>
      </w:r>
      <w:r w:rsidR="00674828" w:rsidRPr="00674828">
        <w:rPr>
          <w:iCs/>
        </w:rPr>
        <w:t>H.J.</w:t>
      </w:r>
      <w:r w:rsidRPr="005C0DF3">
        <w:t xml:space="preserve"> Chay</w:t>
      </w:r>
      <w:r w:rsidRPr="005C0DF3">
        <w:softHyphen/>
        <w:t>tor</w:t>
      </w:r>
      <w:r w:rsidR="006F304D" w:rsidRPr="006F304D">
        <w:t xml:space="preserve">, </w:t>
      </w:r>
      <w:r w:rsidRPr="005C0DF3">
        <w:rPr>
          <w:i/>
        </w:rPr>
        <w:t>From Script to Print</w:t>
      </w:r>
      <w:r w:rsidRPr="005C0DF3">
        <w:t xml:space="preserve">: </w:t>
      </w:r>
      <w:r w:rsidRPr="005C0DF3">
        <w:rPr>
          <w:i/>
        </w:rPr>
        <w:t>An Introduction to Medieval Ver</w:t>
      </w:r>
      <w:r w:rsidRPr="005C0DF3">
        <w:rPr>
          <w:i/>
        </w:rPr>
        <w:softHyphen/>
        <w:t>nacular Literature</w:t>
      </w:r>
      <w:r w:rsidRPr="005C0DF3">
        <w:t xml:space="preserve"> [Cambridge</w:t>
      </w:r>
      <w:r w:rsidR="006F304D" w:rsidRPr="006F304D">
        <w:t xml:space="preserve">, </w:t>
      </w:r>
      <w:r w:rsidRPr="005C0DF3">
        <w:t>England: W. Heffer</w:t>
      </w:r>
      <w:r w:rsidR="006F304D" w:rsidRPr="006F304D">
        <w:t xml:space="preserve">, </w:t>
      </w:r>
      <w:r w:rsidRPr="005C0DF3">
        <w:t>1950</w:t>
      </w:r>
      <w:r w:rsidR="006F304D" w:rsidRPr="006F304D">
        <w:t xml:space="preserve">, </w:t>
      </w:r>
      <w:r w:rsidRPr="005C0DF3">
        <w:t>1967</w:t>
      </w:r>
      <w:r w:rsidRPr="005C0DF3">
        <w:rPr>
          <w:vertAlign w:val="superscript"/>
        </w:rPr>
        <w:t>2</w:t>
      </w:r>
      <w:r w:rsidRPr="005C0DF3">
        <w:t>] 13-21 [cited in Hirsch</w:t>
      </w:r>
      <w:r w:rsidR="006F304D" w:rsidRPr="006F304D">
        <w:t xml:space="preserve">, </w:t>
      </w:r>
      <w:r w:rsidRPr="005C0DF3">
        <w:rPr>
          <w:i/>
        </w:rPr>
        <w:t>Philosophy</w:t>
      </w:r>
      <w:r w:rsidR="006F304D" w:rsidRPr="006F304D">
        <w:t xml:space="preserve">, </w:t>
      </w:r>
      <w:r w:rsidRPr="005C0DF3">
        <w:t>66 n. 18]; also Peter Brown</w:t>
      </w:r>
      <w:r w:rsidR="006F304D" w:rsidRPr="006F304D">
        <w:t xml:space="preserve">, </w:t>
      </w:r>
      <w:r w:rsidRPr="005C0DF3">
        <w:rPr>
          <w:i/>
        </w:rPr>
        <w:t>Augustine of Hippo</w:t>
      </w:r>
      <w:r w:rsidRPr="005C0DF3">
        <w:t xml:space="preserve"> [</w:t>
      </w:r>
      <w:r w:rsidR="00714629" w:rsidRPr="00714629">
        <w:rPr>
          <w:iCs/>
        </w:rPr>
        <w:t>Berkeley CA: U of California P</w:t>
      </w:r>
      <w:r w:rsidR="006F304D" w:rsidRPr="006F304D">
        <w:t xml:space="preserve">, </w:t>
      </w:r>
      <w:r w:rsidRPr="005C0DF3">
        <w:t>1967] 82-83). The earli</w:t>
      </w:r>
      <w:r w:rsidRPr="005C0DF3">
        <w:softHyphen/>
        <w:t>est manu</w:t>
      </w:r>
      <w:r w:rsidRPr="005C0DF3">
        <w:softHyphen/>
        <w:t>scripts of the Greek NT are not broken into paragraphs</w:t>
      </w:r>
      <w:r w:rsidR="006F304D" w:rsidRPr="006F304D">
        <w:t xml:space="preserve">, </w:t>
      </w:r>
      <w:r w:rsidRPr="005C0DF3">
        <w:t>though a few manu</w:t>
      </w:r>
      <w:r w:rsidRPr="005C0DF3">
        <w:softHyphen/>
        <w:t>scripts break the text into lines (gen</w:t>
      </w:r>
      <w:r w:rsidRPr="005C0DF3">
        <w:softHyphen/>
        <w:t>erally clauses). The divi</w:t>
      </w:r>
      <w:r w:rsidRPr="005C0DF3">
        <w:softHyphen/>
        <w:t>sions of the scrip</w:t>
      </w:r>
      <w:r w:rsidRPr="005C0DF3">
        <w:softHyphen/>
        <w:t xml:space="preserve">tures into chapters (c. </w:t>
      </w:r>
      <w:r w:rsidRPr="005C0DF3">
        <w:rPr>
          <w:smallCaps/>
        </w:rPr>
        <w:t>ad</w:t>
      </w:r>
      <w:r w:rsidRPr="005C0DF3">
        <w:t xml:space="preserve"> 1200</w:t>
      </w:r>
      <w:r w:rsidR="006F304D" w:rsidRPr="006F304D">
        <w:t xml:space="preserve">, </w:t>
      </w:r>
      <w:r w:rsidRPr="005C0DF3">
        <w:t>by Ste</w:t>
      </w:r>
      <w:r w:rsidRPr="005C0DF3">
        <w:softHyphen/>
        <w:t>phen Lang</w:t>
      </w:r>
      <w:r w:rsidRPr="005C0DF3">
        <w:softHyphen/>
        <w:t>ton</w:t>
      </w:r>
      <w:r w:rsidR="006F304D" w:rsidRPr="006F304D">
        <w:t xml:space="preserve">, </w:t>
      </w:r>
      <w:r w:rsidRPr="005C0DF3">
        <w:t>archbishop of Can</w:t>
      </w:r>
      <w:r w:rsidRPr="005C0DF3">
        <w:softHyphen/>
        <w:t>terbury) and into ver</w:t>
      </w:r>
      <w:r w:rsidRPr="005C0DF3">
        <w:softHyphen/>
        <w:t>ses (by Sanctes Pagnini</w:t>
      </w:r>
      <w:r w:rsidR="006F304D" w:rsidRPr="006F304D">
        <w:t xml:space="preserve">, </w:t>
      </w:r>
      <w:r w:rsidRPr="005C0DF3">
        <w:t>O. P.</w:t>
      </w:r>
      <w:r w:rsidR="006F304D" w:rsidRPr="006F304D">
        <w:t xml:space="preserve">, </w:t>
      </w:r>
      <w:r w:rsidRPr="005C0DF3">
        <w:rPr>
          <w:smallCaps/>
        </w:rPr>
        <w:t>ad</w:t>
      </w:r>
      <w:r w:rsidRPr="005C0DF3">
        <w:t xml:space="preserve"> 1528 [O</w:t>
      </w:r>
      <w:r>
        <w:t xml:space="preserve">ld </w:t>
      </w:r>
      <w:r w:rsidRPr="005C0DF3">
        <w:t>T</w:t>
      </w:r>
      <w:r>
        <w:t>estament</w:t>
      </w:r>
      <w:r w:rsidRPr="005C0DF3">
        <w:t>] and Robert Esti</w:t>
      </w:r>
      <w:r w:rsidRPr="005C0DF3">
        <w:softHyphen/>
        <w:t>enne</w:t>
      </w:r>
      <w:r w:rsidR="006F304D" w:rsidRPr="006F304D">
        <w:t xml:space="preserve">, </w:t>
      </w:r>
      <w:r w:rsidRPr="005C0DF3">
        <w:rPr>
          <w:smallCaps/>
        </w:rPr>
        <w:t>ad</w:t>
      </w:r>
      <w:r w:rsidRPr="005C0DF3">
        <w:t xml:space="preserve"> 1551 [N</w:t>
      </w:r>
      <w:r>
        <w:t xml:space="preserve">ew </w:t>
      </w:r>
      <w:r w:rsidRPr="005C0DF3">
        <w:t>T</w:t>
      </w:r>
      <w:r>
        <w:t>estament</w:t>
      </w:r>
      <w:r w:rsidRPr="005C0DF3">
        <w:t>]) sometimes do and some</w:t>
      </w:r>
      <w:r w:rsidRPr="005C0DF3">
        <w:softHyphen/>
        <w:t>times do not match the mean</w:t>
      </w:r>
      <w:r w:rsidRPr="005C0DF3">
        <w:softHyphen/>
        <w:t>ing-units of the texts. (On Langton: Beryl Smal</w:t>
      </w:r>
      <w:r w:rsidRPr="005C0DF3">
        <w:softHyphen/>
        <w:t>ley</w:t>
      </w:r>
      <w:r w:rsidR="006F304D" w:rsidRPr="006F304D">
        <w:t xml:space="preserve">, </w:t>
      </w:r>
      <w:r w:rsidRPr="005C0DF3">
        <w:rPr>
          <w:i/>
        </w:rPr>
        <w:t>The Study of the Bible in the Middle Ages</w:t>
      </w:r>
      <w:r w:rsidRPr="005C0DF3">
        <w:t xml:space="preserve"> [South Bend</w:t>
      </w:r>
      <w:r w:rsidR="006F304D" w:rsidRPr="006F304D">
        <w:t xml:space="preserve">, </w:t>
      </w:r>
      <w:r w:rsidRPr="005C0DF3">
        <w:t>IN: University of Notre Dame</w:t>
      </w:r>
      <w:r w:rsidR="006F304D" w:rsidRPr="006F304D">
        <w:t xml:space="preserve">, </w:t>
      </w:r>
      <w:r w:rsidRPr="005C0DF3">
        <w:t>1964] 221-24</w:t>
      </w:r>
      <w:r w:rsidR="006F304D" w:rsidRPr="006F304D">
        <w:t xml:space="preserve">, </w:t>
      </w:r>
      <w:r w:rsidRPr="005C0DF3">
        <w:t>333-34. On Pagnini: John L. McKenzie</w:t>
      </w:r>
      <w:r w:rsidR="006F304D" w:rsidRPr="006F304D">
        <w:t xml:space="preserve">, </w:t>
      </w:r>
      <w:r w:rsidRPr="005C0DF3">
        <w:rPr>
          <w:i/>
        </w:rPr>
        <w:t>Dic</w:t>
      </w:r>
      <w:r w:rsidRPr="005C0DF3">
        <w:rPr>
          <w:i/>
        </w:rPr>
        <w:softHyphen/>
        <w:t>tionary of the Bible</w:t>
      </w:r>
      <w:r w:rsidRPr="005C0DF3">
        <w:t xml:space="preserve"> </w:t>
      </w:r>
      <w:r>
        <w:t>[</w:t>
      </w:r>
      <w:r w:rsidRPr="005C0DF3">
        <w:t>Mil</w:t>
      </w:r>
      <w:r w:rsidRPr="005C0DF3">
        <w:softHyphen/>
        <w:t>waukee</w:t>
      </w:r>
      <w:r w:rsidR="006F304D" w:rsidRPr="006F304D">
        <w:t xml:space="preserve">, </w:t>
      </w:r>
      <w:r w:rsidRPr="005C0DF3">
        <w:t>WI: Bruce</w:t>
      </w:r>
      <w:r w:rsidR="006F304D" w:rsidRPr="006F304D">
        <w:t xml:space="preserve">, </w:t>
      </w:r>
      <w:r w:rsidRPr="005C0DF3">
        <w:t>1965</w:t>
      </w:r>
      <w:r>
        <w:t>]</w:t>
      </w:r>
      <w:r w:rsidRPr="005C0DF3">
        <w:t xml:space="preserve"> 96. On Estienne: Edgar Good</w:t>
      </w:r>
      <w:r w:rsidRPr="005C0DF3">
        <w:softHyphen/>
        <w:t>speed</w:t>
      </w:r>
      <w:r w:rsidR="006F304D" w:rsidRPr="006F304D">
        <w:t xml:space="preserve">, </w:t>
      </w:r>
      <w:r w:rsidRPr="005C0DF3">
        <w:rPr>
          <w:i/>
        </w:rPr>
        <w:t>The Mak</w:t>
      </w:r>
      <w:r w:rsidRPr="005C0DF3">
        <w:rPr>
          <w:i/>
        </w:rPr>
        <w:softHyphen/>
        <w:t>ing of the English New Testa</w:t>
      </w:r>
      <w:r w:rsidRPr="005C0DF3">
        <w:rPr>
          <w:i/>
        </w:rPr>
        <w:softHyphen/>
        <w:t>ment</w:t>
      </w:r>
      <w:r w:rsidRPr="005C0DF3">
        <w:t xml:space="preserve"> </w:t>
      </w:r>
      <w:r>
        <w:t>[</w:t>
      </w:r>
      <w:r w:rsidR="000644ED" w:rsidRPr="000644ED">
        <w:rPr>
          <w:iCs/>
        </w:rPr>
        <w:t>Chicago: U of Chicago P</w:t>
      </w:r>
      <w:r w:rsidR="006F304D" w:rsidRPr="006F304D">
        <w:t xml:space="preserve">, </w:t>
      </w:r>
      <w:r w:rsidRPr="005C0DF3">
        <w:t>1925</w:t>
      </w:r>
      <w:r>
        <w:t>]</w:t>
      </w:r>
      <w:r w:rsidRPr="005C0DF3">
        <w:t xml:space="preserve"> 25-26.)</w:t>
      </w:r>
      <w:r>
        <w:t xml:space="preserve"> Thus biblical chapters and verses may or may not illustrate Hirsh’s principle of “semantic closure.”</w:t>
      </w:r>
    </w:p>
  </w:footnote>
  <w:footnote w:id="247">
    <w:p w14:paraId="3CE0B6FF" w14:textId="4A3FFECA" w:rsidR="0018433B" w:rsidRPr="005C0DF3" w:rsidRDefault="0018433B" w:rsidP="0018433B">
      <w:r w:rsidRPr="005C0DF3">
        <w:rPr>
          <w:rStyle w:val="FootnoteReference"/>
        </w:rPr>
        <w:footnoteRef/>
      </w:r>
      <w:r w:rsidRPr="00C853E7">
        <w:t xml:space="preserve"> Charles Sears Baldwin</w:t>
      </w:r>
      <w:r w:rsidR="006F304D" w:rsidRPr="006F304D">
        <w:t xml:space="preserve">, </w:t>
      </w:r>
      <w:r w:rsidRPr="00C853E7">
        <w:rPr>
          <w:i/>
        </w:rPr>
        <w:t>Ancient Rhetoric and Poetic</w:t>
      </w:r>
      <w:r w:rsidRPr="00C853E7">
        <w:t xml:space="preserve">: </w:t>
      </w:r>
      <w:r w:rsidRPr="00C853E7">
        <w:rPr>
          <w:i/>
        </w:rPr>
        <w:t>Interpreted from Representative Works</w:t>
      </w:r>
      <w:r w:rsidRPr="00C853E7">
        <w:t>. New York: Macmillan; Gloucester</w:t>
      </w:r>
      <w:r w:rsidR="006F304D" w:rsidRPr="006F304D">
        <w:t xml:space="preserve">, </w:t>
      </w:r>
      <w:r w:rsidRPr="00C853E7">
        <w:t>MA: Peter Smith</w:t>
      </w:r>
      <w:r w:rsidR="006F304D" w:rsidRPr="006F304D">
        <w:t xml:space="preserve">, </w:t>
      </w:r>
      <w:r w:rsidRPr="00C853E7">
        <w:t>1924. 34.</w:t>
      </w:r>
    </w:p>
  </w:footnote>
  <w:footnote w:id="248">
    <w:p w14:paraId="13D93C31" w14:textId="16559D6C" w:rsidR="0018433B" w:rsidRDefault="0018433B" w:rsidP="0018433B">
      <w:r w:rsidRPr="005C0DF3">
        <w:rPr>
          <w:rStyle w:val="FootnoteReference"/>
        </w:rPr>
        <w:footnoteRef/>
      </w:r>
      <w:r w:rsidRPr="005C0DF3">
        <w:t xml:space="preserve"> Baldwin</w:t>
      </w:r>
      <w:r w:rsidR="006F304D" w:rsidRPr="006F304D">
        <w:t xml:space="preserve">, </w:t>
      </w:r>
      <w:r w:rsidRPr="005C0DF3">
        <w:rPr>
          <w:i/>
        </w:rPr>
        <w:t>Ancient Rhetoric</w:t>
      </w:r>
      <w:r w:rsidR="006F304D" w:rsidRPr="006F304D">
        <w:t xml:space="preserve">, </w:t>
      </w:r>
      <w:r w:rsidRPr="005C0DF3">
        <w:t>35. See also 78:</w:t>
      </w:r>
    </w:p>
    <w:p w14:paraId="0FE6D854" w14:textId="77777777" w:rsidR="0018433B" w:rsidRPr="005C0DF3" w:rsidRDefault="0018433B" w:rsidP="0018433B"/>
    <w:p w14:paraId="2605CEA8" w14:textId="3C99FB1B" w:rsidR="0018433B" w:rsidRDefault="0018433B" w:rsidP="0018433B">
      <w:pPr>
        <w:ind w:left="720" w:right="720"/>
      </w:pPr>
      <w:r w:rsidRPr="005C0DF3">
        <w:t>The elementary working out of what is now unfortunately called a de</w:t>
      </w:r>
      <w:r w:rsidRPr="005C0DF3">
        <w:softHyphen/>
        <w:t>tached para</w:t>
      </w:r>
      <w:r w:rsidRPr="005C0DF3">
        <w:softHyphen/>
        <w:t>graph</w:t>
      </w:r>
      <w:r w:rsidR="006F304D" w:rsidRPr="006F304D">
        <w:t xml:space="preserve">, </w:t>
      </w:r>
      <w:r w:rsidR="00775F9B" w:rsidRPr="00775F9B">
        <w:rPr>
          <w:iCs/>
        </w:rPr>
        <w:t>i.e.</w:t>
      </w:r>
      <w:r w:rsidR="006F304D" w:rsidRPr="006F304D">
        <w:t xml:space="preserve">, </w:t>
      </w:r>
      <w:r w:rsidRPr="005C0DF3">
        <w:t>of a single short composition</w:t>
      </w:r>
      <w:r w:rsidR="006F304D" w:rsidRPr="006F304D">
        <w:t xml:space="preserve">, </w:t>
      </w:r>
      <w:r w:rsidRPr="005C0DF3">
        <w:t>is pre</w:t>
      </w:r>
      <w:r w:rsidRPr="005C0DF3">
        <w:softHyphen/>
        <w:t xml:space="preserve">scribed in the </w:t>
      </w:r>
      <w:r w:rsidRPr="005C0DF3">
        <w:rPr>
          <w:i/>
        </w:rPr>
        <w:t>chria</w:t>
      </w:r>
      <w:r w:rsidRPr="005C0DF3">
        <w:t xml:space="preserve"> [</w:t>
      </w:r>
      <w:r w:rsidRPr="005C0DF3">
        <w:rPr>
          <w:i/>
        </w:rPr>
        <w:t>Rhetoric</w:t>
      </w:r>
      <w:r w:rsidRPr="005C0DF3">
        <w:t xml:space="preserve"> 1.9] much as in modern manuals; but that does not touch the art of composing a sustained speech </w:t>
      </w:r>
      <w:r w:rsidRPr="005C0DF3">
        <w:rPr>
          <w:i/>
        </w:rPr>
        <w:t>by</w:t>
      </w:r>
      <w:r w:rsidRPr="005C0DF3">
        <w:t xml:space="preserve"> paragraphs. In the cogency of mounting by stages we miss the typ</w:t>
      </w:r>
      <w:r w:rsidRPr="005C0DF3">
        <w:softHyphen/>
        <w:t>i</w:t>
      </w:r>
      <w:r w:rsidRPr="005C0DF3">
        <w:softHyphen/>
        <w:t>cal systematic instruc</w:t>
      </w:r>
      <w:r w:rsidRPr="005C0DF3">
        <w:softHyphen/>
        <w:t>tion.</w:t>
      </w:r>
    </w:p>
    <w:p w14:paraId="47D5C917" w14:textId="77777777" w:rsidR="0018433B" w:rsidRPr="005C0DF3" w:rsidRDefault="0018433B" w:rsidP="0018433B"/>
  </w:footnote>
  <w:footnote w:id="249">
    <w:p w14:paraId="6F904AD3" w14:textId="5278D5C9" w:rsidR="0018433B" w:rsidRDefault="0018433B" w:rsidP="0018433B">
      <w:r w:rsidRPr="005C0DF3">
        <w:rPr>
          <w:rStyle w:val="FootnoteReference"/>
        </w:rPr>
        <w:footnoteRef/>
      </w:r>
      <w:r w:rsidRPr="005C0DF3">
        <w:t xml:space="preserve"> In our text</w:t>
      </w:r>
      <w:r w:rsidRPr="005C0DF3">
        <w:softHyphen/>
        <w:t>books</w:t>
      </w:r>
      <w:r w:rsidR="006F304D" w:rsidRPr="006F304D">
        <w:t xml:space="preserve">, </w:t>
      </w:r>
      <w:r w:rsidRPr="005C0DF3">
        <w:t xml:space="preserve">Francis Christensen </w:t>
      </w:r>
      <w:r>
        <w:t xml:space="preserve">notes </w:t>
      </w:r>
      <w:r w:rsidRPr="005C0DF3">
        <w:t xml:space="preserve">(“A Generative Rhetoric of the Paragraph,” </w:t>
      </w:r>
      <w:r w:rsidRPr="005C0DF3">
        <w:rPr>
          <w:i/>
        </w:rPr>
        <w:t>College Com</w:t>
      </w:r>
      <w:r w:rsidRPr="005C0DF3">
        <w:rPr>
          <w:i/>
        </w:rPr>
        <w:softHyphen/>
        <w:t>posi</w:t>
      </w:r>
      <w:r w:rsidRPr="005C0DF3">
        <w:rPr>
          <w:i/>
        </w:rPr>
        <w:softHyphen/>
        <w:t>tion and Commu</w:t>
      </w:r>
      <w:r w:rsidRPr="005C0DF3">
        <w:rPr>
          <w:i/>
        </w:rPr>
        <w:softHyphen/>
        <w:t>nication</w:t>
      </w:r>
      <w:r w:rsidRPr="005C0DF3">
        <w:t xml:space="preserve"> 16 [1965] 144-45)</w:t>
      </w:r>
      <w:r>
        <w:t>,</w:t>
      </w:r>
    </w:p>
    <w:p w14:paraId="0D9367D5" w14:textId="77777777" w:rsidR="0018433B" w:rsidRPr="005C0DF3" w:rsidRDefault="0018433B" w:rsidP="0018433B"/>
    <w:p w14:paraId="6B030E7F" w14:textId="77777777" w:rsidR="0018433B" w:rsidRPr="005C0DF3" w:rsidRDefault="0018433B" w:rsidP="0018433B">
      <w:pPr>
        <w:ind w:left="720" w:right="720"/>
      </w:pPr>
      <w:r w:rsidRPr="005C0DF3">
        <w:t>The prescription is always the same: the writer should work out a topic sentence and then choose one of the so-called methods of par</w:t>
      </w:r>
      <w:r w:rsidRPr="005C0DF3">
        <w:softHyphen/>
        <w:t>agraph development to substantiate it</w:t>
      </w:r>
      <w:r w:rsidRPr="00963D68">
        <w:t>. . . .</w:t>
      </w:r>
      <w:r w:rsidRPr="005C0DF3">
        <w:t xml:space="preserve"> This prescription [is] unworkable </w:t>
      </w:r>
      <w:r w:rsidRPr="00963D68">
        <w:t>. . .</w:t>
      </w:r>
      <w:r w:rsidRPr="005C0DF3">
        <w:t xml:space="preserve"> [because] the methods of par</w:t>
      </w:r>
      <w:r w:rsidRPr="005C0DF3">
        <w:softHyphen/>
        <w:t xml:space="preserve">agraph development </w:t>
      </w:r>
      <w:r w:rsidRPr="00963D68">
        <w:t>. . .</w:t>
      </w:r>
      <w:r w:rsidRPr="005C0DF3">
        <w:t xml:space="preserve"> are the topics of classical rhetoric </w:t>
      </w:r>
      <w:r w:rsidRPr="00963D68">
        <w:t>. . .</w:t>
      </w:r>
      <w:r>
        <w:t xml:space="preserve"> the methods </w:t>
      </w:r>
      <w:r w:rsidRPr="00963D68">
        <w:t>. . .</w:t>
      </w:r>
      <w:r>
        <w:t xml:space="preserve"> are hard to discern </w:t>
      </w:r>
      <w:r w:rsidRPr="00963D68">
        <w:t>. . .</w:t>
      </w:r>
    </w:p>
    <w:p w14:paraId="6F502036" w14:textId="77777777" w:rsidR="0018433B" w:rsidRDefault="0018433B" w:rsidP="0018433B"/>
    <w:p w14:paraId="6FF09E0B" w14:textId="698D6D5A" w:rsidR="0018433B" w:rsidRDefault="0018433B" w:rsidP="0018433B">
      <w:r w:rsidRPr="005C0DF3">
        <w:t xml:space="preserve">D’Angelo agrees: “few essays reveal such patterns </w:t>
      </w:r>
      <w:r w:rsidRPr="00963D68">
        <w:t>. . .</w:t>
      </w:r>
      <w:r w:rsidRPr="005C0DF3">
        <w:t xml:space="preserve"> in a ‘pure,’ for</w:t>
      </w:r>
      <w:r w:rsidRPr="005C0DF3">
        <w:softHyphen/>
        <w:t>mal ar</w:t>
      </w:r>
      <w:r w:rsidRPr="005C0DF3">
        <w:softHyphen/>
        <w:t>rangement” (</w:t>
      </w:r>
      <w:r w:rsidRPr="005C0DF3">
        <w:rPr>
          <w:i/>
        </w:rPr>
        <w:t>Conceptual Theory</w:t>
      </w:r>
      <w:r w:rsidR="006F304D" w:rsidRPr="006F304D">
        <w:t xml:space="preserve">, </w:t>
      </w:r>
      <w:r w:rsidRPr="005C0DF3">
        <w:t>27</w:t>
      </w:r>
      <w:r>
        <w:t>). Wayne C. Booth is harshest of all: “we have offered a collection of high school and freshman textbooks that</w:t>
      </w:r>
      <w:r w:rsidR="006F304D" w:rsidRPr="006F304D">
        <w:t xml:space="preserve">, </w:t>
      </w:r>
      <w:r>
        <w:t>with a few exceptions</w:t>
      </w:r>
      <w:r w:rsidR="006F304D" w:rsidRPr="006F304D">
        <w:t xml:space="preserve">, </w:t>
      </w:r>
      <w:r>
        <w:t xml:space="preserve">are as shameful as any of the ills they purport to cure </w:t>
      </w:r>
      <w:r w:rsidRPr="00963D68">
        <w:t>. . .</w:t>
      </w:r>
      <w:r>
        <w:t xml:space="preserve"> works designed</w:t>
      </w:r>
      <w:r w:rsidR="006F304D" w:rsidRPr="006F304D">
        <w:t xml:space="preserve">, </w:t>
      </w:r>
      <w:r>
        <w:t>for the most part</w:t>
      </w:r>
      <w:r w:rsidR="006F304D" w:rsidRPr="006F304D">
        <w:t xml:space="preserve">, </w:t>
      </w:r>
      <w:r>
        <w:t>for semi-literates” (“The Revival of Rhetoric” 9).</w:t>
      </w:r>
    </w:p>
    <w:p w14:paraId="7CEBF185" w14:textId="403BC01B" w:rsidR="0018433B" w:rsidRPr="005C0DF3" w:rsidRDefault="0018433B" w:rsidP="0018433B">
      <w:r w:rsidRPr="005C0DF3">
        <w:t>On the topics (Greek τόπoι</w:t>
      </w:r>
      <w:r w:rsidR="006F304D" w:rsidRPr="006F304D">
        <w:t xml:space="preserve">, </w:t>
      </w:r>
      <w:r w:rsidRPr="005C0DF3">
        <w:t xml:space="preserve">Latin </w:t>
      </w:r>
      <w:r w:rsidRPr="005C0DF3">
        <w:rPr>
          <w:i/>
        </w:rPr>
        <w:t>loci</w:t>
      </w:r>
      <w:r w:rsidRPr="005C0DF3">
        <w:t>)</w:t>
      </w:r>
      <w:r w:rsidR="006F304D" w:rsidRPr="006F304D">
        <w:t xml:space="preserve">, </w:t>
      </w:r>
      <w:r w:rsidRPr="005C0DF3">
        <w:t>see Aristotle</w:t>
      </w:r>
      <w:r w:rsidR="006F304D" w:rsidRPr="006F304D">
        <w:t xml:space="preserve">, </w:t>
      </w:r>
      <w:r w:rsidRPr="005C0DF3">
        <w:rPr>
          <w:i/>
        </w:rPr>
        <w:t>Rhetoric</w:t>
      </w:r>
      <w:r w:rsidR="006F304D" w:rsidRPr="006F304D">
        <w:t xml:space="preserve">, </w:t>
      </w:r>
      <w:r w:rsidRPr="005C0DF3">
        <w:t>1.48</w:t>
      </w:r>
      <w:r w:rsidR="006F304D" w:rsidRPr="006F304D">
        <w:t xml:space="preserve">, </w:t>
      </w:r>
      <w:r w:rsidRPr="005C0DF3">
        <w:t>2.19</w:t>
      </w:r>
      <w:r w:rsidR="006F304D" w:rsidRPr="006F304D">
        <w:t xml:space="preserve">, </w:t>
      </w:r>
      <w:r w:rsidRPr="005C0DF3">
        <w:t>2.23. Most of the modern patterns of paragraph development were not pro</w:t>
      </w:r>
      <w:r w:rsidRPr="005C0DF3">
        <w:softHyphen/>
        <w:t>posed as τόπoι by Aris</w:t>
      </w:r>
      <w:r w:rsidRPr="005C0DF3">
        <w:softHyphen/>
        <w:t>totle but by Cicero in his elaboration of Aris</w:t>
      </w:r>
      <w:r w:rsidRPr="005C0DF3">
        <w:softHyphen/>
        <w:t>to</w:t>
      </w:r>
      <w:r w:rsidRPr="005C0DF3">
        <w:softHyphen/>
        <w:t>tel</w:t>
      </w:r>
      <w:r w:rsidRPr="005C0DF3">
        <w:softHyphen/>
        <w:t>i</w:t>
      </w:r>
      <w:r w:rsidRPr="005C0DF3">
        <w:softHyphen/>
        <w:t>an doc</w:t>
      </w:r>
      <w:r w:rsidRPr="005C0DF3">
        <w:softHyphen/>
        <w:t>trine</w:t>
      </w:r>
      <w:r w:rsidR="006F304D" w:rsidRPr="006F304D">
        <w:t xml:space="preserve">, </w:t>
      </w:r>
      <w:r w:rsidRPr="005C0DF3">
        <w:t xml:space="preserve">the </w:t>
      </w:r>
      <w:r w:rsidRPr="005C0DF3">
        <w:rPr>
          <w:i/>
        </w:rPr>
        <w:t>Top</w:t>
      </w:r>
      <w:r w:rsidRPr="005C0DF3">
        <w:rPr>
          <w:i/>
        </w:rPr>
        <w:softHyphen/>
        <w:t>ica</w:t>
      </w:r>
      <w:r w:rsidRPr="005C0DF3">
        <w:t>.</w:t>
      </w:r>
    </w:p>
  </w:footnote>
  <w:footnote w:id="250">
    <w:p w14:paraId="029D8051" w14:textId="6C09EB67" w:rsidR="0018433B" w:rsidRPr="005C0DF3" w:rsidRDefault="0018433B" w:rsidP="0018433B">
      <w:r w:rsidRPr="001C59E1">
        <w:rPr>
          <w:rStyle w:val="FootnoteReference"/>
        </w:rPr>
        <w:footnoteRef/>
      </w:r>
      <w:r w:rsidRPr="001C59E1">
        <w:t xml:space="preserve"> </w:t>
      </w:r>
      <w:r>
        <w:t>Frank D’Angelo</w:t>
      </w:r>
      <w:r w:rsidR="006F304D" w:rsidRPr="006F304D">
        <w:t xml:space="preserve">, </w:t>
      </w:r>
      <w:r w:rsidRPr="003F2DD4">
        <w:rPr>
          <w:i/>
        </w:rPr>
        <w:t>A Conceptual Theory of Rhetoric</w:t>
      </w:r>
      <w:r>
        <w:t xml:space="preserve"> (Cambridge MA: Winthrop</w:t>
      </w:r>
      <w:r w:rsidR="006F304D" w:rsidRPr="006F304D">
        <w:t xml:space="preserve">, </w:t>
      </w:r>
      <w:r>
        <w:t xml:space="preserve">1975) </w:t>
      </w:r>
      <w:r w:rsidRPr="005C0DF3">
        <w:t>19</w:t>
      </w:r>
      <w:r w:rsidR="006F304D" w:rsidRPr="006F304D">
        <w:t xml:space="preserve">, </w:t>
      </w:r>
      <w:r w:rsidRPr="005C0DF3">
        <w:t>26</w:t>
      </w:r>
      <w:r w:rsidR="006F304D" w:rsidRPr="006F304D">
        <w:t xml:space="preserve">, </w:t>
      </w:r>
      <w:r w:rsidRPr="005C0DF3">
        <w:t>30</w:t>
      </w:r>
      <w:r w:rsidR="006F304D" w:rsidRPr="006F304D">
        <w:t xml:space="preserve">, </w:t>
      </w:r>
      <w:r w:rsidRPr="005C0DF3">
        <w:t>34</w:t>
      </w:r>
      <w:r w:rsidR="006F304D" w:rsidRPr="006F304D">
        <w:t xml:space="preserve">, </w:t>
      </w:r>
      <w:r w:rsidRPr="005C0DF3">
        <w:t>55</w:t>
      </w:r>
      <w:r w:rsidR="006F304D" w:rsidRPr="006F304D">
        <w:t xml:space="preserve">, </w:t>
      </w:r>
      <w:r w:rsidRPr="005C0DF3">
        <w:t>57-58.</w:t>
      </w:r>
    </w:p>
  </w:footnote>
  <w:footnote w:id="251">
    <w:p w14:paraId="6F5066C9" w14:textId="5D2D0A60" w:rsidR="0018433B" w:rsidRPr="005C0DF3" w:rsidRDefault="0018433B" w:rsidP="0018433B">
      <w:r w:rsidRPr="005C0DF3">
        <w:rPr>
          <w:rStyle w:val="FootnoteReference"/>
        </w:rPr>
        <w:footnoteRef/>
      </w:r>
      <w:r w:rsidRPr="003F4B35">
        <w:t xml:space="preserve"> In </w:t>
      </w:r>
      <w:r w:rsidRPr="003F4B35">
        <w:rPr>
          <w:i/>
        </w:rPr>
        <w:t>Counter-Statement</w:t>
      </w:r>
      <w:r>
        <w:t xml:space="preserve">. </w:t>
      </w:r>
      <w:r w:rsidRPr="003F4B35">
        <w:t>Los Altos</w:t>
      </w:r>
      <w:r w:rsidR="006F304D" w:rsidRPr="006F304D">
        <w:t xml:space="preserve">, </w:t>
      </w:r>
      <w:r w:rsidRPr="003F4B35">
        <w:t>CA: Hermes</w:t>
      </w:r>
      <w:r w:rsidR="006F304D" w:rsidRPr="006F304D">
        <w:t xml:space="preserve">, </w:t>
      </w:r>
      <w:r w:rsidRPr="003F4B35">
        <w:t xml:space="preserve">1953; </w:t>
      </w:r>
      <w:r w:rsidR="00714629" w:rsidRPr="00714629">
        <w:rPr>
          <w:iCs/>
        </w:rPr>
        <w:t>Berkeley CA: U of California P</w:t>
      </w:r>
      <w:r w:rsidR="006F304D" w:rsidRPr="006F304D">
        <w:t xml:space="preserve">, </w:t>
      </w:r>
      <w:r w:rsidRPr="003F4B35">
        <w:t>1968</w:t>
      </w:r>
      <w:r w:rsidRPr="003F4B35">
        <w:rPr>
          <w:vertAlign w:val="superscript"/>
        </w:rPr>
        <w:t>2</w:t>
      </w:r>
      <w:r w:rsidR="006F304D" w:rsidRPr="006F304D">
        <w:t xml:space="preserve">, </w:t>
      </w:r>
      <w:r w:rsidRPr="005C0DF3">
        <w:t>46 n. 14.</w:t>
      </w:r>
    </w:p>
  </w:footnote>
  <w:footnote w:id="252">
    <w:p w14:paraId="7A84122C" w14:textId="67E7921E" w:rsidR="0018433B" w:rsidRPr="005C0DF3" w:rsidRDefault="0018433B" w:rsidP="0018433B">
      <w:r w:rsidRPr="005C0DF3">
        <w:rPr>
          <w:rStyle w:val="FootnoteReference"/>
        </w:rPr>
        <w:footnoteRef/>
      </w:r>
      <w:r w:rsidRPr="005C0DF3">
        <w:t xml:space="preserve"> Ibid.</w:t>
      </w:r>
      <w:r w:rsidR="006F304D" w:rsidRPr="006F304D">
        <w:t xml:space="preserve">, </w:t>
      </w:r>
      <w:r w:rsidRPr="005C0DF3">
        <w:t>124.</w:t>
      </w:r>
    </w:p>
  </w:footnote>
  <w:footnote w:id="253">
    <w:p w14:paraId="37BA1B25" w14:textId="009FB61E" w:rsidR="0018433B" w:rsidRPr="005C0DF3" w:rsidRDefault="0018433B" w:rsidP="0018433B">
      <w:r w:rsidRPr="005C0DF3">
        <w:rPr>
          <w:rStyle w:val="FootnoteReference"/>
        </w:rPr>
        <w:footnoteRef/>
      </w:r>
      <w:r w:rsidRPr="005C0DF3">
        <w:t xml:space="preserve"> Ibid.</w:t>
      </w:r>
      <w:r w:rsidR="006F304D" w:rsidRPr="006F304D">
        <w:t xml:space="preserve">, </w:t>
      </w:r>
      <w:r w:rsidRPr="005C0DF3">
        <w:t>125.</w:t>
      </w:r>
    </w:p>
  </w:footnote>
  <w:footnote w:id="254">
    <w:p w14:paraId="79B02956" w14:textId="77777777" w:rsidR="0018433B" w:rsidRPr="005C0DF3" w:rsidRDefault="0018433B" w:rsidP="0018433B">
      <w:r w:rsidRPr="005C0DF3">
        <w:rPr>
          <w:rStyle w:val="FootnoteReference"/>
        </w:rPr>
        <w:footnoteRef/>
      </w:r>
      <w:r w:rsidRPr="005C0DF3">
        <w:t xml:space="preserve"> Ibid.</w:t>
      </w:r>
    </w:p>
  </w:footnote>
  <w:footnote w:id="255">
    <w:p w14:paraId="762ED2B5" w14:textId="2C20405B" w:rsidR="0018433B" w:rsidRPr="005C0DF3" w:rsidRDefault="0018433B" w:rsidP="0018433B">
      <w:r w:rsidRPr="005C0DF3">
        <w:rPr>
          <w:rStyle w:val="FootnoteReference"/>
        </w:rPr>
        <w:footnoteRef/>
      </w:r>
      <w:r w:rsidRPr="005C0DF3">
        <w:t xml:space="preserve"> Ibid.</w:t>
      </w:r>
      <w:r w:rsidR="006F304D" w:rsidRPr="006F304D">
        <w:t xml:space="preserve">, </w:t>
      </w:r>
      <w:r w:rsidRPr="005C0DF3">
        <w:t>127.</w:t>
      </w:r>
    </w:p>
  </w:footnote>
  <w:footnote w:id="256">
    <w:p w14:paraId="7D565D5D" w14:textId="77777777" w:rsidR="0018433B" w:rsidRPr="005C0DF3" w:rsidRDefault="0018433B" w:rsidP="0018433B">
      <w:r w:rsidRPr="005C0DF3">
        <w:rPr>
          <w:rStyle w:val="FootnoteReference"/>
        </w:rPr>
        <w:footnoteRef/>
      </w:r>
      <w:r w:rsidRPr="005C0DF3">
        <w:t xml:space="preserve"> Ibid.</w:t>
      </w:r>
    </w:p>
  </w:footnote>
  <w:footnote w:id="257">
    <w:p w14:paraId="7548C379" w14:textId="133DAE08" w:rsidR="0018433B" w:rsidRDefault="0018433B" w:rsidP="0018433B">
      <w:r w:rsidRPr="005C0DF3">
        <w:rPr>
          <w:rStyle w:val="FootnoteReference"/>
        </w:rPr>
        <w:footnoteRef/>
      </w:r>
      <w:r w:rsidRPr="005C0DF3">
        <w:t xml:space="preserve"> Ibid.</w:t>
      </w:r>
      <w:r w:rsidR="006F304D" w:rsidRPr="006F304D">
        <w:t xml:space="preserve">, </w:t>
      </w:r>
      <w:r w:rsidRPr="005C0DF3">
        <w:t>128:</w:t>
      </w:r>
    </w:p>
    <w:p w14:paraId="0380018E" w14:textId="77777777" w:rsidR="0018433B" w:rsidRPr="005C0DF3" w:rsidRDefault="0018433B" w:rsidP="0018433B"/>
    <w:p w14:paraId="60C85D28" w14:textId="57FDD749" w:rsidR="0018433B" w:rsidRDefault="0018433B" w:rsidP="0018433B">
      <w:pPr>
        <w:ind w:left="720" w:right="720"/>
      </w:pPr>
      <w:r w:rsidRPr="005C0DF3">
        <w:t>A closing scene may be syllogistic in that its particular events mark the dramat</w:t>
      </w:r>
      <w:r w:rsidRPr="005C0DF3">
        <w:softHyphen/>
        <w:t>ic conclusion of the dramatic premises; qualitative in that it ex</w:t>
      </w:r>
      <w:r w:rsidRPr="005C0DF3">
        <w:softHyphen/>
        <w:t>em</w:t>
      </w:r>
      <w:r w:rsidRPr="005C0DF3">
        <w:softHyphen/>
        <w:t>plifies some mood made desirable by the preceding matter; re</w:t>
      </w:r>
      <w:r w:rsidRPr="005C0DF3">
        <w:softHyphen/>
        <w:t>pe</w:t>
      </w:r>
      <w:r w:rsidRPr="005C0DF3">
        <w:softHyphen/>
        <w:t>ti</w:t>
      </w:r>
      <w:r w:rsidRPr="005C0DF3">
        <w:softHyphen/>
        <w:t>tive in that the characters once again proclaim their identity; conventional in that it has about it some</w:t>
      </w:r>
      <w:r w:rsidRPr="005C0DF3">
        <w:softHyphen/>
        <w:t>thing categor</w:t>
      </w:r>
      <w:r w:rsidRPr="005C0DF3">
        <w:softHyphen/>
        <w:t>ically terminal</w:t>
      </w:r>
      <w:r w:rsidR="006F304D" w:rsidRPr="006F304D">
        <w:t xml:space="preserve">, </w:t>
      </w:r>
      <w:r w:rsidRPr="005C0DF3">
        <w:t>as a farewell or death; and minor or incidental in that it contains a speech displaying a structural rise</w:t>
      </w:r>
      <w:r w:rsidR="006F304D" w:rsidRPr="006F304D">
        <w:t xml:space="preserve">, </w:t>
      </w:r>
      <w:r w:rsidRPr="005C0DF3">
        <w:t>develop</w:t>
      </w:r>
      <w:r w:rsidRPr="005C0DF3">
        <w:softHyphen/>
        <w:t>ment</w:t>
      </w:r>
      <w:r w:rsidR="006F304D" w:rsidRPr="006F304D">
        <w:t xml:space="preserve">, </w:t>
      </w:r>
      <w:r w:rsidRPr="005C0DF3">
        <w:t>and fall inde</w:t>
      </w:r>
      <w:r w:rsidRPr="005C0DF3">
        <w:softHyphen/>
        <w:t>pen</w:t>
      </w:r>
      <w:r w:rsidRPr="005C0DF3">
        <w:softHyphen/>
        <w:t>dently of its con</w:t>
      </w:r>
      <w:r w:rsidRPr="005C0DF3">
        <w:softHyphen/>
        <w:t>text.</w:t>
      </w:r>
    </w:p>
    <w:p w14:paraId="01AAA6B2" w14:textId="77777777" w:rsidR="0018433B" w:rsidRPr="005C0DF3" w:rsidRDefault="0018433B" w:rsidP="0018433B"/>
  </w:footnote>
  <w:footnote w:id="258">
    <w:p w14:paraId="0AC9A201" w14:textId="622587B2" w:rsidR="0018433B" w:rsidRPr="005C0DF3" w:rsidRDefault="0018433B" w:rsidP="0018433B">
      <w:r w:rsidRPr="005C0DF3">
        <w:rPr>
          <w:rStyle w:val="FootnoteReference"/>
        </w:rPr>
        <w:footnoteRef/>
      </w:r>
      <w:r w:rsidRPr="005C0DF3">
        <w:t xml:space="preserve"> Ibid.</w:t>
      </w:r>
      <w:r w:rsidR="006F304D" w:rsidRPr="006F304D">
        <w:t xml:space="preserve">, </w:t>
      </w:r>
      <w:r w:rsidRPr="005C0DF3">
        <w:t>129.</w:t>
      </w:r>
    </w:p>
  </w:footnote>
  <w:footnote w:id="259">
    <w:p w14:paraId="7458C1B3" w14:textId="55703D4A" w:rsidR="0018433B" w:rsidRPr="005C0DF3" w:rsidRDefault="0018433B" w:rsidP="0018433B">
      <w:r w:rsidRPr="005C0DF3">
        <w:rPr>
          <w:rStyle w:val="FootnoteReference"/>
        </w:rPr>
        <w:footnoteRef/>
      </w:r>
      <w:r w:rsidRPr="005C0DF3">
        <w:t xml:space="preserve"> Ibid.</w:t>
      </w:r>
      <w:r w:rsidR="006F304D" w:rsidRPr="006F304D">
        <w:t xml:space="preserve">, </w:t>
      </w:r>
      <w:r w:rsidRPr="005C0DF3">
        <w:t>124.</w:t>
      </w:r>
    </w:p>
  </w:footnote>
  <w:footnote w:id="260">
    <w:p w14:paraId="0C0BEFD9" w14:textId="5F836485" w:rsidR="0018433B" w:rsidRDefault="0018433B" w:rsidP="0018433B">
      <w:r w:rsidRPr="005C0DF3">
        <w:rPr>
          <w:rStyle w:val="FootnoteReference"/>
        </w:rPr>
        <w:footnoteRef/>
      </w:r>
      <w:r w:rsidRPr="005C0DF3">
        <w:t xml:space="preserve"> Like so many others in our century who are interested in structure in the lan</w:t>
      </w:r>
      <w:r w:rsidRPr="005C0DF3">
        <w:softHyphen/>
        <w:t>guage dis</w:t>
      </w:r>
      <w:r w:rsidRPr="005C0DF3">
        <w:softHyphen/>
        <w:t>ciplines</w:t>
      </w:r>
      <w:r w:rsidR="006F304D" w:rsidRPr="006F304D">
        <w:t xml:space="preserve">, </w:t>
      </w:r>
      <w:r w:rsidRPr="005C0DF3">
        <w:t>D’An</w:t>
      </w:r>
      <w:r w:rsidRPr="005C0DF3">
        <w:softHyphen/>
        <w:t>gelo de</w:t>
      </w:r>
      <w:r w:rsidRPr="005C0DF3">
        <w:softHyphen/>
        <w:t>rives his inspiration from linguistics (</w:t>
      </w:r>
      <w:r w:rsidRPr="005C0DF3">
        <w:rPr>
          <w:i/>
        </w:rPr>
        <w:t>Conceptual Theory</w:t>
      </w:r>
      <w:r w:rsidR="006F304D" w:rsidRPr="006F304D">
        <w:t xml:space="preserve">, </w:t>
      </w:r>
      <w:r w:rsidRPr="005C0DF3">
        <w:t>19</w:t>
      </w:r>
      <w:r w:rsidR="006F304D" w:rsidRPr="006F304D">
        <w:t xml:space="preserve">, </w:t>
      </w:r>
      <w:r w:rsidRPr="005C0DF3">
        <w:t>26):</w:t>
      </w:r>
    </w:p>
    <w:p w14:paraId="40FD1DE4" w14:textId="77777777" w:rsidR="0018433B" w:rsidRPr="005C0DF3" w:rsidRDefault="0018433B" w:rsidP="0018433B">
      <w:pPr>
        <w:ind w:firstLine="720"/>
      </w:pPr>
    </w:p>
    <w:p w14:paraId="4970874C" w14:textId="73BC41BF" w:rsidR="0018433B" w:rsidRDefault="0018433B" w:rsidP="0018433B">
      <w:pPr>
        <w:ind w:left="720" w:right="720"/>
      </w:pPr>
      <w:r w:rsidRPr="005C0DF3">
        <w:t>Just as lin</w:t>
      </w:r>
      <w:r w:rsidRPr="005C0DF3">
        <w:softHyphen/>
        <w:t>guists have been able to reduce almost all English sen</w:t>
      </w:r>
      <w:r w:rsidRPr="005C0DF3">
        <w:softHyphen/>
        <w:t>ten</w:t>
      </w:r>
      <w:r w:rsidRPr="005C0DF3">
        <w:softHyphen/>
        <w:t>ces to a few basic types</w:t>
      </w:r>
      <w:r w:rsidR="006F304D" w:rsidRPr="006F304D">
        <w:t xml:space="preserve">, </w:t>
      </w:r>
      <w:r w:rsidRPr="005C0DF3">
        <w:t>perhaps rhe</w:t>
      </w:r>
      <w:r w:rsidRPr="005C0DF3">
        <w:softHyphen/>
        <w:t>tor</w:t>
      </w:r>
      <w:r w:rsidRPr="005C0DF3">
        <w:softHyphen/>
        <w:t>icians will dis</w:t>
      </w:r>
      <w:r w:rsidRPr="005C0DF3">
        <w:softHyphen/>
        <w:t>cover the basic pattern types of ex</w:t>
      </w:r>
      <w:r w:rsidRPr="005C0DF3">
        <w:softHyphen/>
        <w:t>tend</w:t>
      </w:r>
      <w:r w:rsidRPr="005C0DF3">
        <w:softHyphen/>
        <w:t>ed units of dis</w:t>
      </w:r>
      <w:r w:rsidRPr="005C0DF3">
        <w:softHyphen/>
        <w:t>course</w:t>
      </w:r>
      <w:r w:rsidRPr="00963D68">
        <w:t>. . . .</w:t>
      </w:r>
      <w:r w:rsidRPr="005C0DF3">
        <w:t xml:space="preserve"> the task of the rhe</w:t>
      </w:r>
      <w:r w:rsidRPr="005C0DF3">
        <w:softHyphen/>
        <w:t>tori</w:t>
      </w:r>
      <w:r w:rsidRPr="005C0DF3">
        <w:softHyphen/>
        <w:t>cian is to lay bare the under</w:t>
      </w:r>
      <w:r w:rsidRPr="005C0DF3">
        <w:softHyphen/>
        <w:t>lying formal rela</w:t>
      </w:r>
      <w:r w:rsidRPr="005C0DF3">
        <w:softHyphen/>
        <w:t>tions of these concep</w:t>
      </w:r>
      <w:r w:rsidRPr="005C0DF3">
        <w:softHyphen/>
        <w:t>tual struc</w:t>
      </w:r>
      <w:r w:rsidRPr="005C0DF3">
        <w:softHyphen/>
        <w:t>tur</w:t>
      </w:r>
      <w:r w:rsidRPr="005C0DF3">
        <w:softHyphen/>
        <w:t>es.</w:t>
      </w:r>
    </w:p>
    <w:p w14:paraId="7D0355C8" w14:textId="77777777" w:rsidR="0018433B" w:rsidRPr="005C0DF3" w:rsidRDefault="0018433B" w:rsidP="0018433B"/>
  </w:footnote>
  <w:footnote w:id="261">
    <w:p w14:paraId="03FEDE6F" w14:textId="0CCBF1A4" w:rsidR="0018433B" w:rsidRPr="005C0DF3" w:rsidRDefault="0018433B" w:rsidP="0018433B">
      <w:r w:rsidRPr="005C0DF3">
        <w:rPr>
          <w:rStyle w:val="FootnoteReference"/>
        </w:rPr>
        <w:footnoteRef/>
      </w:r>
      <w:r w:rsidRPr="005C0DF3">
        <w:t xml:space="preserve"> Ibid.</w:t>
      </w:r>
      <w:r w:rsidR="006F304D" w:rsidRPr="006F304D">
        <w:t xml:space="preserve">, </w:t>
      </w:r>
      <w:r w:rsidRPr="005C0DF3">
        <w:t>57. Figures of speech (metaphor</w:t>
      </w:r>
      <w:r w:rsidR="006F304D" w:rsidRPr="006F304D">
        <w:t xml:space="preserve">, </w:t>
      </w:r>
      <w:r w:rsidRPr="005C0DF3">
        <w:t>etc.) are included under com</w:t>
      </w:r>
      <w:r w:rsidRPr="005C0DF3">
        <w:softHyphen/>
        <w:t>parison.</w:t>
      </w:r>
    </w:p>
  </w:footnote>
  <w:footnote w:id="262">
    <w:p w14:paraId="63A7F6B4" w14:textId="6DB4FD4C" w:rsidR="0018433B" w:rsidRPr="005C0DF3" w:rsidRDefault="0018433B" w:rsidP="0018433B">
      <w:r w:rsidRPr="005C0DF3">
        <w:rPr>
          <w:rStyle w:val="FootnoteReference"/>
        </w:rPr>
        <w:footnoteRef/>
      </w:r>
      <w:r w:rsidRPr="005C0DF3">
        <w:t xml:space="preserve"> Ibid.</w:t>
      </w:r>
      <w:r w:rsidR="006F304D" w:rsidRPr="006F304D">
        <w:t xml:space="preserve">, </w:t>
      </w:r>
      <w:r w:rsidRPr="005C0DF3">
        <w:t>57-58.</w:t>
      </w:r>
    </w:p>
  </w:footnote>
  <w:footnote w:id="263">
    <w:p w14:paraId="3DB041F0" w14:textId="13A99B40" w:rsidR="0018433B" w:rsidRPr="005C0DF3" w:rsidRDefault="0018433B" w:rsidP="0018433B">
      <w:r w:rsidRPr="005C0DF3">
        <w:rPr>
          <w:rStyle w:val="FootnoteReference"/>
        </w:rPr>
        <w:footnoteRef/>
      </w:r>
      <w:r w:rsidRPr="005C0DF3">
        <w:t xml:space="preserve"> Ibid.</w:t>
      </w:r>
      <w:r w:rsidR="006F304D" w:rsidRPr="006F304D">
        <w:t xml:space="preserve">, </w:t>
      </w:r>
      <w:r w:rsidRPr="005C0DF3">
        <w:t>97.</w:t>
      </w:r>
    </w:p>
  </w:footnote>
  <w:footnote w:id="264">
    <w:p w14:paraId="2DDE7944" w14:textId="57CDF50B" w:rsidR="0018433B" w:rsidRPr="005C0DF3" w:rsidRDefault="0018433B" w:rsidP="0018433B">
      <w:r w:rsidRPr="005C0DF3">
        <w:rPr>
          <w:rStyle w:val="FootnoteReference"/>
        </w:rPr>
        <w:footnoteRef/>
      </w:r>
      <w:r w:rsidRPr="005C0DF3">
        <w:t xml:space="preserve"> Ibid.</w:t>
      </w:r>
      <w:r w:rsidR="006F304D" w:rsidRPr="006F304D">
        <w:t xml:space="preserve">, </w:t>
      </w:r>
      <w:r w:rsidRPr="005C0DF3">
        <w:t>44-45</w:t>
      </w:r>
      <w:r w:rsidR="006F304D" w:rsidRPr="006F304D">
        <w:t xml:space="preserve">, </w:t>
      </w:r>
      <w:r w:rsidRPr="005C0DF3">
        <w:t>53.</w:t>
      </w:r>
    </w:p>
  </w:footnote>
  <w:footnote w:id="265">
    <w:p w14:paraId="4ADF00D1" w14:textId="613A53E5" w:rsidR="0018433B" w:rsidRPr="005C0DF3" w:rsidRDefault="0018433B" w:rsidP="0018433B">
      <w:r w:rsidRPr="001C59E1">
        <w:rPr>
          <w:rStyle w:val="FootnoteReference"/>
        </w:rPr>
        <w:footnoteRef/>
      </w:r>
      <w:r w:rsidRPr="001C59E1">
        <w:t xml:space="preserve"> </w:t>
      </w:r>
      <w:r w:rsidRPr="005C0DF3">
        <w:rPr>
          <w:i/>
        </w:rPr>
        <w:t>Essais</w:t>
      </w:r>
      <w:r w:rsidR="006F304D" w:rsidRPr="006F304D">
        <w:t xml:space="preserve">, </w:t>
      </w:r>
      <w:r w:rsidRPr="005C0DF3">
        <w:t>20 n. 27.</w:t>
      </w:r>
    </w:p>
  </w:footnote>
  <w:footnote w:id="266">
    <w:p w14:paraId="682F26F8" w14:textId="4F34881C" w:rsidR="0018433B" w:rsidRPr="005C0DF3" w:rsidRDefault="0018433B" w:rsidP="0018433B">
      <w:r w:rsidRPr="001C59E1">
        <w:rPr>
          <w:rStyle w:val="FootnoteReference"/>
        </w:rPr>
        <w:footnoteRef/>
      </w:r>
      <w:r w:rsidRPr="001C59E1">
        <w:t xml:space="preserve"> </w:t>
      </w:r>
      <w:r w:rsidRPr="005C0DF3">
        <w:rPr>
          <w:i/>
        </w:rPr>
        <w:t>Musical Thought</w:t>
      </w:r>
      <w:r w:rsidR="006F304D" w:rsidRPr="006F304D">
        <w:t xml:space="preserve">, </w:t>
      </w:r>
      <w:r w:rsidRPr="005C0DF3">
        <w:t>35.</w:t>
      </w:r>
    </w:p>
  </w:footnote>
  <w:footnote w:id="267">
    <w:p w14:paraId="73F6D826" w14:textId="6C39BFE4" w:rsidR="0018433B" w:rsidRPr="005C0DF3" w:rsidRDefault="0018433B" w:rsidP="0018433B">
      <w:r w:rsidRPr="001C59E1">
        <w:rPr>
          <w:rStyle w:val="FootnoteReference"/>
        </w:rPr>
        <w:footnoteRef/>
      </w:r>
      <w:r w:rsidRPr="001C59E1">
        <w:t xml:space="preserve"> </w:t>
      </w:r>
      <w:r w:rsidRPr="005C0DF3">
        <w:rPr>
          <w:i/>
        </w:rPr>
        <w:t>Explaining Music</w:t>
      </w:r>
      <w:r w:rsidR="006F304D" w:rsidRPr="006F304D">
        <w:t xml:space="preserve">, </w:t>
      </w:r>
      <w:r w:rsidRPr="005C0DF3">
        <w:t>83.</w:t>
      </w:r>
    </w:p>
  </w:footnote>
  <w:footnote w:id="268">
    <w:p w14:paraId="5FCF24C3" w14:textId="182BD7D0" w:rsidR="0018433B" w:rsidRPr="005C0DF3" w:rsidRDefault="0018433B" w:rsidP="0018433B">
      <w:r w:rsidRPr="001C59E1">
        <w:rPr>
          <w:rStyle w:val="FootnoteReference"/>
        </w:rPr>
        <w:footnoteRef/>
      </w:r>
      <w:r w:rsidRPr="001C59E1">
        <w:t xml:space="preserve"> </w:t>
      </w:r>
      <w:r w:rsidRPr="005C0DF3">
        <w:rPr>
          <w:i/>
        </w:rPr>
        <w:t>Counter-Statement</w:t>
      </w:r>
      <w:r w:rsidR="006F304D" w:rsidRPr="006F304D">
        <w:t xml:space="preserve">, </w:t>
      </w:r>
      <w:r w:rsidRPr="005C0DF3">
        <w:t>142.</w:t>
      </w:r>
    </w:p>
  </w:footnote>
  <w:footnote w:id="269">
    <w:p w14:paraId="28C22987" w14:textId="70BFEFC6" w:rsidR="0018433B" w:rsidRPr="005C0DF3" w:rsidRDefault="0018433B" w:rsidP="0018433B">
      <w:r w:rsidRPr="005C0DF3">
        <w:rPr>
          <w:rStyle w:val="FootnoteReference"/>
        </w:rPr>
        <w:footnoteRef/>
      </w:r>
      <w:r w:rsidRPr="005C0DF3">
        <w:t xml:space="preserve"> “A Generative Rhetoric of the Paragraph,” </w:t>
      </w:r>
      <w:r w:rsidRPr="005C0DF3">
        <w:rPr>
          <w:i/>
        </w:rPr>
        <w:t>College Composi</w:t>
      </w:r>
      <w:r w:rsidRPr="005C0DF3">
        <w:rPr>
          <w:i/>
        </w:rPr>
        <w:softHyphen/>
        <w:t>tion and Com</w:t>
      </w:r>
      <w:r w:rsidRPr="005C0DF3">
        <w:rPr>
          <w:i/>
        </w:rPr>
        <w:softHyphen/>
        <w:t>muni</w:t>
      </w:r>
      <w:r w:rsidRPr="005C0DF3">
        <w:rPr>
          <w:i/>
        </w:rPr>
        <w:softHyphen/>
        <w:t>cation</w:t>
      </w:r>
      <w:r w:rsidRPr="005C0DF3">
        <w:t xml:space="preserve"> 16 (1965) 144-56. An earlier article along the same lines is the same author’s “A Generative Rhetoric of the Sentence,” </w:t>
      </w:r>
      <w:r w:rsidRPr="005C0DF3">
        <w:rPr>
          <w:i/>
        </w:rPr>
        <w:t>College Com</w:t>
      </w:r>
      <w:r w:rsidRPr="005C0DF3">
        <w:rPr>
          <w:i/>
        </w:rPr>
        <w:softHyphen/>
        <w:t>posi</w:t>
      </w:r>
      <w:r w:rsidRPr="005C0DF3">
        <w:rPr>
          <w:i/>
        </w:rPr>
        <w:softHyphen/>
        <w:t>tion and Com</w:t>
      </w:r>
      <w:r w:rsidRPr="005C0DF3">
        <w:rPr>
          <w:i/>
        </w:rPr>
        <w:softHyphen/>
        <w:t>munication</w:t>
      </w:r>
      <w:r>
        <w:t xml:space="preserve"> 14 (1963) 155-61. L</w:t>
      </w:r>
      <w:r w:rsidRPr="005C0DF3">
        <w:t>ater addition</w:t>
      </w:r>
      <w:r>
        <w:t>s</w:t>
      </w:r>
      <w:r w:rsidRPr="005C0DF3">
        <w:t xml:space="preserve"> to the series</w:t>
      </w:r>
      <w:r>
        <w:t xml:space="preserve"> are:</w:t>
      </w:r>
      <w:r w:rsidRPr="00FF74EC">
        <w:t xml:space="preserve"> </w:t>
      </w:r>
      <w:r w:rsidRPr="005C0DF3">
        <w:t>Michael Grady</w:t>
      </w:r>
      <w:r>
        <w:t xml:space="preserve"> (</w:t>
      </w:r>
      <w:r w:rsidRPr="005C0DF3">
        <w:t>a col</w:t>
      </w:r>
      <w:r w:rsidRPr="005C0DF3">
        <w:softHyphen/>
        <w:t>league of Christensen’s at Northern Illinois University</w:t>
      </w:r>
      <w:r>
        <w:t>)</w:t>
      </w:r>
      <w:r w:rsidR="006F304D" w:rsidRPr="006F304D">
        <w:t xml:space="preserve">, </w:t>
      </w:r>
      <w:r w:rsidRPr="005C0DF3">
        <w:t>“A Generat</w:t>
      </w:r>
      <w:r>
        <w:t>ive Rhet</w:t>
      </w:r>
      <w:r>
        <w:softHyphen/>
        <w:t>oric of the Dis</w:t>
      </w:r>
      <w:r>
        <w:softHyphen/>
        <w:t>course</w:t>
      </w:r>
      <w:r w:rsidRPr="005C0DF3">
        <w:t xml:space="preserve">” </w:t>
      </w:r>
      <w:r>
        <w:t>(</w:t>
      </w:r>
      <w:r w:rsidRPr="001C59E1">
        <w:rPr>
          <w:i/>
        </w:rPr>
        <w:t>College Composition and Communication</w:t>
      </w:r>
      <w:r>
        <w:t xml:space="preserve"> 22 [1971]); Michael Grady</w:t>
      </w:r>
      <w:r w:rsidR="006F304D" w:rsidRPr="006F304D">
        <w:t xml:space="preserve">, </w:t>
      </w:r>
      <w:r>
        <w:t>“A Conceptual Rhetoric of the Composition” (</w:t>
      </w:r>
      <w:r w:rsidRPr="003F2DD4">
        <w:rPr>
          <w:i/>
        </w:rPr>
        <w:t>College Composition and Communication</w:t>
      </w:r>
      <w:r>
        <w:t xml:space="preserve"> 22 [1971] 348-54); and Frank D’Angelo (“A Generative Rhetoric of the Essay,” </w:t>
      </w:r>
      <w:r w:rsidRPr="003F2DD4">
        <w:rPr>
          <w:i/>
        </w:rPr>
        <w:t>College Composition and Communication</w:t>
      </w:r>
      <w:r>
        <w:t xml:space="preserve"> 24 [1974] 388-96). (“Generative rhetoric” wa</w:t>
      </w:r>
      <w:r w:rsidRPr="005C0DF3">
        <w:t xml:space="preserve">s </w:t>
      </w:r>
      <w:r>
        <w:t xml:space="preserve">perhaps </w:t>
      </w:r>
      <w:r w:rsidRPr="005C0DF3">
        <w:t>hit upon to echo Noam Chomsky’s “generative gram</w:t>
      </w:r>
      <w:r w:rsidRPr="005C0DF3">
        <w:softHyphen/>
        <w:t xml:space="preserve">mar,” </w:t>
      </w:r>
      <w:r w:rsidR="00775F9B" w:rsidRPr="00775F9B">
        <w:rPr>
          <w:iCs/>
        </w:rPr>
        <w:t>e.g.</w:t>
      </w:r>
      <w:r w:rsidR="006F304D" w:rsidRPr="006F304D">
        <w:t xml:space="preserve">, </w:t>
      </w:r>
      <w:r w:rsidRPr="005C0DF3">
        <w:rPr>
          <w:i/>
        </w:rPr>
        <w:t>Studies on Semantics in Generative Grammar</w:t>
      </w:r>
      <w:r w:rsidRPr="005C0DF3">
        <w:t xml:space="preserve"> [The Hague: Mou</w:t>
      </w:r>
      <w:r w:rsidRPr="005C0DF3">
        <w:softHyphen/>
        <w:t>ton</w:t>
      </w:r>
      <w:r w:rsidR="006F304D" w:rsidRPr="006F304D">
        <w:t xml:space="preserve">, </w:t>
      </w:r>
      <w:r w:rsidRPr="005C0DF3">
        <w:t>1972].)</w:t>
      </w:r>
    </w:p>
  </w:footnote>
  <w:footnote w:id="270">
    <w:p w14:paraId="3BBFEDF8" w14:textId="14BF3C8B" w:rsidR="0018433B" w:rsidRDefault="0018433B" w:rsidP="0018433B">
      <w:r w:rsidRPr="005C0DF3">
        <w:rPr>
          <w:rStyle w:val="FootnoteReference"/>
        </w:rPr>
        <w:footnoteRef/>
      </w:r>
      <w:r>
        <w:t xml:space="preserve"> C</w:t>
      </w:r>
      <w:r w:rsidRPr="005C0DF3">
        <w:t>hristensen</w:t>
      </w:r>
      <w:r w:rsidR="006F304D" w:rsidRPr="006F304D">
        <w:t xml:space="preserve">, </w:t>
      </w:r>
      <w:r w:rsidRPr="005C0DF3">
        <w:t>“Generative Rhetoric of the Paragraph,” 148:</w:t>
      </w:r>
    </w:p>
    <w:p w14:paraId="4D191956" w14:textId="77777777" w:rsidR="0018433B" w:rsidRPr="005C0DF3" w:rsidRDefault="0018433B" w:rsidP="0018433B"/>
    <w:p w14:paraId="56EDD4B4" w14:textId="7BA5AB3C" w:rsidR="0018433B" w:rsidRDefault="0018433B" w:rsidP="0018433B">
      <w:pPr>
        <w:ind w:left="720" w:right="720"/>
      </w:pPr>
      <w:r w:rsidRPr="005C0DF3">
        <w:t>subor</w:t>
      </w:r>
      <w:r w:rsidRPr="005C0DF3">
        <w:softHyphen/>
        <w:t>dinate sentences are added to add depth to coordi</w:t>
      </w:r>
      <w:r w:rsidRPr="005C0DF3">
        <w:softHyphen/>
        <w:t>nate se</w:t>
      </w:r>
      <w:r w:rsidRPr="005C0DF3">
        <w:softHyphen/>
        <w:t>quences</w:t>
      </w:r>
      <w:r w:rsidR="006F304D" w:rsidRPr="006F304D">
        <w:t xml:space="preserve">, </w:t>
      </w:r>
      <w:r w:rsidRPr="005C0DF3">
        <w:t>and co</w:t>
      </w:r>
      <w:r w:rsidRPr="005C0DF3">
        <w:softHyphen/>
        <w:t>ordi</w:t>
      </w:r>
      <w:r w:rsidRPr="005C0DF3">
        <w:softHyphen/>
        <w:t>nate sentences are added to em</w:t>
      </w:r>
      <w:r w:rsidRPr="005C0DF3">
        <w:softHyphen/>
        <w:t>phasize points made in sub</w:t>
      </w:r>
      <w:r w:rsidRPr="005C0DF3">
        <w:softHyphen/>
        <w:t>or</w:t>
      </w:r>
      <w:r w:rsidRPr="005C0DF3">
        <w:softHyphen/>
        <w:t>dinate se</w:t>
      </w:r>
      <w:r w:rsidRPr="005C0DF3">
        <w:softHyphen/>
        <w:t>quences</w:t>
      </w:r>
      <w:r w:rsidRPr="00963D68">
        <w:t>. . . .</w:t>
      </w:r>
      <w:r w:rsidRPr="005C0DF3">
        <w:t xml:space="preserve"> My justi</w:t>
      </w:r>
      <w:r w:rsidRPr="005C0DF3">
        <w:softHyphen/>
        <w:t xml:space="preserve">fication for the term </w:t>
      </w:r>
      <w:r w:rsidRPr="005C0DF3">
        <w:rPr>
          <w:i/>
        </w:rPr>
        <w:t>generative</w:t>
      </w:r>
      <w:r w:rsidRPr="005C0DF3">
        <w:t xml:space="preserve"> lies here. The teacher can</w:t>
      </w:r>
      <w:r w:rsidR="006F304D" w:rsidRPr="006F304D">
        <w:t xml:space="preserve">, </w:t>
      </w:r>
      <w:r w:rsidRPr="005C0DF3">
        <w:t>with perfect natural</w:t>
      </w:r>
      <w:r w:rsidRPr="005C0DF3">
        <w:softHyphen/>
        <w:t>ness</w:t>
      </w:r>
      <w:r w:rsidR="006F304D" w:rsidRPr="006F304D">
        <w:t xml:space="preserve">, </w:t>
      </w:r>
      <w:r w:rsidRPr="005C0DF3">
        <w:t>suggest the addition of subordi</w:t>
      </w:r>
      <w:r w:rsidRPr="005C0DF3">
        <w:softHyphen/>
        <w:t>nate sentences to clar</w:t>
      </w:r>
      <w:r w:rsidRPr="005C0DF3">
        <w:softHyphen/>
        <w:t>ify and of coordinate sen</w:t>
      </w:r>
      <w:r w:rsidRPr="005C0DF3">
        <w:softHyphen/>
        <w:t>tences to em</w:t>
      </w:r>
      <w:r w:rsidRPr="005C0DF3">
        <w:softHyphen/>
        <w:t>phasize or to enumer</w:t>
      </w:r>
      <w:r w:rsidRPr="005C0DF3">
        <w:softHyphen/>
        <w:t>ate.</w:t>
      </w:r>
    </w:p>
    <w:p w14:paraId="7D05DCC5" w14:textId="77777777" w:rsidR="0018433B" w:rsidRPr="005C0DF3" w:rsidRDefault="0018433B" w:rsidP="0018433B"/>
  </w:footnote>
  <w:footnote w:id="271">
    <w:p w14:paraId="64F37A89" w14:textId="271FF269" w:rsidR="0018433B" w:rsidRPr="005C0DF3" w:rsidRDefault="0018433B" w:rsidP="0018433B">
      <w:r w:rsidRPr="005C0DF3">
        <w:rPr>
          <w:rStyle w:val="FootnoteReference"/>
        </w:rPr>
        <w:footnoteRef/>
      </w:r>
      <w:r>
        <w:t xml:space="preserve"> I</w:t>
      </w:r>
      <w:r w:rsidRPr="005C0DF3">
        <w:t>bid.</w:t>
      </w:r>
      <w:r w:rsidR="006F304D" w:rsidRPr="006F304D">
        <w:t xml:space="preserve">, </w:t>
      </w:r>
      <w:r w:rsidRPr="005C0DF3">
        <w:t>147-48. Though I have categorized logical out</w:t>
      </w:r>
      <w:r w:rsidRPr="005C0DF3">
        <w:softHyphen/>
        <w:t>lining as a “conten</w:t>
      </w:r>
      <w:r w:rsidRPr="005C0DF3">
        <w:softHyphen/>
        <w:t>tual” rather than “formal” method of structuring a text</w:t>
      </w:r>
      <w:r w:rsidR="006F304D" w:rsidRPr="006F304D">
        <w:t xml:space="preserve">, </w:t>
      </w:r>
      <w:r w:rsidRPr="005C0DF3">
        <w:t>Chris</w:t>
      </w:r>
      <w:r w:rsidRPr="005C0DF3">
        <w:softHyphen/>
        <w:t>tensen right</w:t>
      </w:r>
      <w:r w:rsidRPr="005C0DF3">
        <w:softHyphen/>
        <w:t>ly notes that formal clues to sim</w:t>
      </w:r>
      <w:r w:rsidRPr="005C0DF3">
        <w:softHyphen/>
        <w:t>i</w:t>
      </w:r>
      <w:r w:rsidRPr="005C0DF3">
        <w:softHyphen/>
        <w:t>larity or dif</w:t>
      </w:r>
      <w:r w:rsidRPr="005C0DF3">
        <w:softHyphen/>
        <w:t>ference in content cannot be ignored. Because the same basic content can be said in more than one way</w:t>
      </w:r>
      <w:r w:rsidR="006F304D" w:rsidRPr="006F304D">
        <w:t xml:space="preserve">, </w:t>
      </w:r>
      <w:r w:rsidRPr="005C0DF3">
        <w:t>a good writer’s choice of form will help to com</w:t>
      </w:r>
      <w:r w:rsidRPr="005C0DF3">
        <w:softHyphen/>
        <w:t>municate to the reader the relations within his content. This is because ap</w:t>
      </w:r>
      <w:r w:rsidRPr="005C0DF3">
        <w:softHyphen/>
        <w:t>prox</w:t>
      </w:r>
      <w:r w:rsidRPr="005C0DF3">
        <w:softHyphen/>
        <w:t>i</w:t>
      </w:r>
      <w:r w:rsidRPr="005C0DF3">
        <w:softHyphen/>
        <w:t xml:space="preserve">mately the same meaning can be presented in more than one </w:t>
      </w:r>
      <w:r w:rsidRPr="005C0DF3">
        <w:softHyphen/>
        <w:t>form. A meaning in the mind is not the same as a “propo</w:t>
      </w:r>
      <w:r w:rsidRPr="005C0DF3">
        <w:softHyphen/>
        <w:t>sition” that ex</w:t>
      </w:r>
      <w:r w:rsidRPr="005C0DF3">
        <w:softHyphen/>
        <w:t>pres</w:t>
      </w:r>
      <w:r w:rsidRPr="005C0DF3">
        <w:softHyphen/>
        <w:t>ses it: “He hit the ball” and “The ball was hit by him” are approximately the same</w:t>
      </w:r>
      <w:r w:rsidR="006F304D" w:rsidRPr="006F304D">
        <w:t xml:space="preserve">, </w:t>
      </w:r>
      <w:r w:rsidRPr="005C0DF3">
        <w:t>because the same images (ball</w:t>
      </w:r>
      <w:r w:rsidR="006F304D" w:rsidRPr="006F304D">
        <w:t xml:space="preserve">, </w:t>
      </w:r>
      <w:r w:rsidRPr="005C0DF3">
        <w:t>bat</w:t>
      </w:r>
      <w:r w:rsidR="006F304D" w:rsidRPr="006F304D">
        <w:t xml:space="preserve">, </w:t>
      </w:r>
      <w:r w:rsidRPr="005C0DF3">
        <w:t>hitter) in the same relations (hitter hold</w:t>
      </w:r>
      <w:r w:rsidRPr="005C0DF3">
        <w:softHyphen/>
        <w:t>ing bat</w:t>
      </w:r>
      <w:r w:rsidR="006F304D" w:rsidRPr="006F304D">
        <w:t xml:space="preserve">, </w:t>
      </w:r>
      <w:r w:rsidRPr="005C0DF3">
        <w:t>bat hitting ball) will occur to the reader</w:t>
      </w:r>
      <w:r w:rsidR="006F304D" w:rsidRPr="006F304D">
        <w:t xml:space="preserve">, </w:t>
      </w:r>
      <w:r w:rsidRPr="005C0DF3">
        <w:t>which</w:t>
      </w:r>
      <w:r w:rsidRPr="005C0DF3">
        <w:softHyphen/>
        <w:t>ever sentence is read. True</w:t>
      </w:r>
      <w:r w:rsidR="006F304D" w:rsidRPr="006F304D">
        <w:t xml:space="preserve">, </w:t>
      </w:r>
      <w:r w:rsidRPr="005C0DF3">
        <w:t>the passive con</w:t>
      </w:r>
      <w:r w:rsidRPr="005C0DF3">
        <w:softHyphen/>
        <w:t>struc</w:t>
      </w:r>
      <w:r w:rsidRPr="005C0DF3">
        <w:softHyphen/>
        <w:t>tion empha</w:t>
      </w:r>
      <w:r w:rsidRPr="005C0DF3">
        <w:softHyphen/>
        <w:t>sizes the di</w:t>
      </w:r>
      <w:r w:rsidRPr="005C0DF3">
        <w:softHyphen/>
        <w:t>rect object</w:t>
      </w:r>
      <w:r w:rsidR="006F304D" w:rsidRPr="006F304D">
        <w:t xml:space="preserve">, </w:t>
      </w:r>
      <w:r w:rsidRPr="005C0DF3">
        <w:t xml:space="preserve">and </w:t>
      </w:r>
      <w:r w:rsidRPr="005C0DF3">
        <w:softHyphen/>
      </w:r>
      <w:r w:rsidRPr="005C0DF3">
        <w:softHyphen/>
        <w:t>perhaps the hitter (“by him”)</w:t>
      </w:r>
      <w:r w:rsidR="006F304D" w:rsidRPr="006F304D">
        <w:t xml:space="preserve">, </w:t>
      </w:r>
      <w:r w:rsidRPr="005C0DF3">
        <w:t>but such dif</w:t>
      </w:r>
      <w:r w:rsidRPr="005C0DF3">
        <w:softHyphen/>
        <w:t>fer</w:t>
      </w:r>
      <w:r w:rsidRPr="005C0DF3">
        <w:softHyphen/>
        <w:t>ences are small in proportion to the sen</w:t>
      </w:r>
      <w:r w:rsidRPr="005C0DF3">
        <w:softHyphen/>
        <w:t>tences’ shared meaning. (The situation is the same with one prop</w:t>
      </w:r>
      <w:r w:rsidRPr="005C0DF3">
        <w:softHyphen/>
        <w:t>osi</w:t>
      </w:r>
      <w:r w:rsidRPr="005C0DF3">
        <w:softHyphen/>
        <w:t>tion in two lan</w:t>
      </w:r>
      <w:r w:rsidRPr="005C0DF3">
        <w:softHyphen/>
      </w:r>
      <w:r w:rsidRPr="005C0DF3">
        <w:softHyphen/>
      </w:r>
      <w:r w:rsidRPr="005C0DF3">
        <w:softHyphen/>
      </w:r>
      <w:r w:rsidRPr="005C0DF3">
        <w:softHyphen/>
      </w:r>
      <w:r w:rsidRPr="005C0DF3">
        <w:softHyphen/>
        <w:t>guages</w:t>
      </w:r>
      <w:r w:rsidR="006F304D" w:rsidRPr="006F304D">
        <w:t xml:space="preserve">, </w:t>
      </w:r>
      <w:r w:rsidRPr="005C0DF3">
        <w:t>such as “The snow is white” and “Der Schnee ist weiß”: the regions of mean</w:t>
      </w:r>
      <w:r w:rsidRPr="005C0DF3">
        <w:softHyphen/>
        <w:t>ing are not precisely coter</w:t>
      </w:r>
      <w:r w:rsidRPr="005C0DF3">
        <w:softHyphen/>
        <w:t>minous but are large</w:t>
      </w:r>
      <w:r w:rsidRPr="005C0DF3">
        <w:softHyphen/>
        <w:t>ly the same.) Since writers can choose how they will com</w:t>
      </w:r>
      <w:r w:rsidRPr="005C0DF3">
        <w:softHyphen/>
        <w:t>municate a given meaning</w:t>
      </w:r>
      <w:r w:rsidR="006F304D" w:rsidRPr="006F304D">
        <w:t xml:space="preserve">, </w:t>
      </w:r>
      <w:r w:rsidRPr="005C0DF3">
        <w:t>Christensen’s impera</w:t>
      </w:r>
      <w:r w:rsidRPr="005C0DF3">
        <w:softHyphen/>
        <w:t>tive is good advice: “like things in like ways” lets simi</w:t>
      </w:r>
      <w:r w:rsidRPr="005C0DF3">
        <w:softHyphen/>
        <w:t>larities and dif</w:t>
      </w:r>
      <w:r w:rsidRPr="005C0DF3">
        <w:softHyphen/>
        <w:t>ferences in form reveal simi</w:t>
      </w:r>
      <w:r w:rsidRPr="005C0DF3">
        <w:softHyphen/>
        <w:t>larities and dif</w:t>
      </w:r>
      <w:r w:rsidRPr="005C0DF3">
        <w:softHyphen/>
        <w:t>fer</w:t>
      </w:r>
      <w:r w:rsidRPr="005C0DF3">
        <w:softHyphen/>
        <w:t>ences in con</w:t>
      </w:r>
      <w:r w:rsidRPr="005C0DF3">
        <w:softHyphen/>
        <w:t>tent. (Later</w:t>
      </w:r>
      <w:r w:rsidR="006F304D" w:rsidRPr="006F304D">
        <w:t xml:space="preserve">, </w:t>
      </w:r>
      <w:r w:rsidRPr="005C0DF3">
        <w:t>when we analyze the sermon on the plain as a test case for the principles of logical out</w:t>
      </w:r>
      <w:r w:rsidRPr="005C0DF3">
        <w:softHyphen/>
      </w:r>
      <w:r w:rsidRPr="005C0DF3">
        <w:softHyphen/>
      </w:r>
      <w:r w:rsidRPr="005C0DF3">
        <w:softHyphen/>
        <w:t>lining</w:t>
      </w:r>
      <w:r w:rsidR="006F304D" w:rsidRPr="006F304D">
        <w:t xml:space="preserve">, </w:t>
      </w:r>
      <w:r w:rsidRPr="005C0DF3">
        <w:t>we will see the impor</w:t>
      </w:r>
      <w:r w:rsidRPr="005C0DF3">
        <w:softHyphen/>
        <w:t>tance of attending to form in the application of this con</w:t>
      </w:r>
      <w:r w:rsidRPr="005C0DF3">
        <w:softHyphen/>
        <w:t>tentual criterion.)</w:t>
      </w:r>
    </w:p>
  </w:footnote>
  <w:footnote w:id="272">
    <w:p w14:paraId="6BB0B51B" w14:textId="46FD1DE6" w:rsidR="0018433B" w:rsidRPr="005C0DF3" w:rsidRDefault="0018433B" w:rsidP="0018433B">
      <w:r w:rsidRPr="005C0DF3">
        <w:rPr>
          <w:rStyle w:val="FootnoteReference"/>
        </w:rPr>
        <w:footnoteRef/>
      </w:r>
      <w:r w:rsidRPr="005C0DF3">
        <w:t xml:space="preserve"> In actual practice</w:t>
      </w:r>
      <w:r w:rsidR="006F304D" w:rsidRPr="006F304D">
        <w:t xml:space="preserve">, </w:t>
      </w:r>
      <w:r w:rsidRPr="005C0DF3">
        <w:t>to recognize 27b-28 as a unit one must also dis</w:t>
      </w:r>
      <w:r w:rsidRPr="005C0DF3">
        <w:softHyphen/>
        <w:t>cern dis</w:t>
      </w:r>
      <w:r w:rsidRPr="005C0DF3">
        <w:softHyphen/>
        <w:t>similar</w:t>
      </w:r>
      <w:r w:rsidRPr="005C0DF3">
        <w:softHyphen/>
        <w:t>ity between the four clauses and the text that precedes and follows them. For simp</w:t>
      </w:r>
      <w:r w:rsidRPr="005C0DF3">
        <w:softHyphen/>
        <w:t>licity</w:t>
      </w:r>
      <w:r w:rsidR="006F304D" w:rsidRPr="006F304D">
        <w:t xml:space="preserve">, </w:t>
      </w:r>
      <w:r w:rsidRPr="005C0DF3">
        <w:t>we re</w:t>
      </w:r>
      <w:r w:rsidRPr="005C0DF3">
        <w:softHyphen/>
        <w:t>strict the example to an internal struc</w:t>
      </w:r>
      <w:r w:rsidRPr="005C0DF3">
        <w:softHyphen/>
        <w:t>tural analy</w:t>
      </w:r>
      <w:r w:rsidRPr="005C0DF3">
        <w:softHyphen/>
        <w:t>sis.</w:t>
      </w:r>
    </w:p>
  </w:footnote>
  <w:footnote w:id="273">
    <w:p w14:paraId="7520B6C1" w14:textId="2D003FF5" w:rsidR="0018433B" w:rsidRPr="005C0DF3" w:rsidRDefault="0018433B" w:rsidP="0018433B">
      <w:r w:rsidRPr="005C0DF3">
        <w:rPr>
          <w:rStyle w:val="FootnoteReference"/>
        </w:rPr>
        <w:footnoteRef/>
      </w:r>
      <w:r w:rsidRPr="005C0DF3">
        <w:t xml:space="preserve"> In saying that a distinction into parts must precede a determin</w:t>
      </w:r>
      <w:r w:rsidRPr="005C0DF3">
        <w:softHyphen/>
        <w:t>ation of the parts’ rela</w:t>
      </w:r>
      <w:r w:rsidRPr="005C0DF3">
        <w:softHyphen/>
        <w:t>tions</w:t>
      </w:r>
      <w:r w:rsidR="006F304D" w:rsidRPr="006F304D">
        <w:t xml:space="preserve">, </w:t>
      </w:r>
      <w:r w:rsidRPr="005C0DF3">
        <w:t>we mean to assert the logical priority of the former over the lat</w:t>
      </w:r>
      <w:r w:rsidRPr="005C0DF3">
        <w:softHyphen/>
        <w:t>ter</w:t>
      </w:r>
      <w:r w:rsidR="006F304D" w:rsidRPr="006F304D">
        <w:t xml:space="preserve">, </w:t>
      </w:r>
      <w:r w:rsidRPr="005C0DF3">
        <w:t>not its temporal priority. In actual practice</w:t>
      </w:r>
      <w:r w:rsidR="006F304D" w:rsidRPr="006F304D">
        <w:t xml:space="preserve">, </w:t>
      </w:r>
      <w:r w:rsidRPr="005C0DF3">
        <w:t>re</w:t>
      </w:r>
      <w:r w:rsidRPr="005C0DF3">
        <w:softHyphen/>
        <w:t>cog</w:t>
      </w:r>
      <w:r w:rsidRPr="005C0DF3">
        <w:softHyphen/>
        <w:t>ni</w:t>
      </w:r>
      <w:r w:rsidRPr="005C0DF3">
        <w:softHyphen/>
        <w:t>tion of similarity and difference</w:t>
      </w:r>
      <w:r w:rsidR="006F304D" w:rsidRPr="006F304D">
        <w:t xml:space="preserve">, </w:t>
      </w:r>
      <w:r w:rsidRPr="005C0DF3">
        <w:t>resulting divisions</w:t>
      </w:r>
      <w:r w:rsidR="006F304D" w:rsidRPr="006F304D">
        <w:t xml:space="preserve">, </w:t>
      </w:r>
      <w:r w:rsidRPr="005C0DF3">
        <w:t>and rela</w:t>
      </w:r>
      <w:r w:rsidRPr="005C0DF3">
        <w:softHyphen/>
        <w:t>tions among divi</w:t>
      </w:r>
      <w:r w:rsidRPr="005C0DF3">
        <w:softHyphen/>
        <w:t xml:space="preserve">sions is often random and </w:t>
      </w:r>
      <w:r w:rsidRPr="005C0DF3">
        <w:softHyphen/>
        <w:t>re</w:t>
      </w:r>
      <w:r w:rsidRPr="005C0DF3">
        <w:softHyphen/>
        <w:t>petitive</w:t>
      </w:r>
      <w:r w:rsidR="006F304D" w:rsidRPr="006F304D">
        <w:t xml:space="preserve">, </w:t>
      </w:r>
      <w:r w:rsidRPr="005C0DF3">
        <w:t>since in</w:t>
      </w:r>
      <w:r w:rsidRPr="005C0DF3">
        <w:softHyphen/>
        <w:t>for</w:t>
      </w:r>
      <w:r w:rsidRPr="005C0DF3">
        <w:softHyphen/>
        <w:t>mation from any of the three acts of recognition en</w:t>
      </w:r>
      <w:r w:rsidRPr="005C0DF3">
        <w:softHyphen/>
        <w:t>han</w:t>
      </w:r>
      <w:r w:rsidRPr="005C0DF3">
        <w:softHyphen/>
        <w:t>ces exe</w:t>
      </w:r>
      <w:r w:rsidRPr="005C0DF3">
        <w:softHyphen/>
        <w:t>cution of the others.</w:t>
      </w:r>
    </w:p>
  </w:footnote>
  <w:footnote w:id="274">
    <w:p w14:paraId="03100453" w14:textId="0CE85677" w:rsidR="0018433B" w:rsidRPr="005C0DF3" w:rsidRDefault="0018433B" w:rsidP="0018433B">
      <w:r w:rsidRPr="005C0DF3">
        <w:rPr>
          <w:rStyle w:val="FootnoteReference"/>
        </w:rPr>
        <w:footnoteRef/>
      </w:r>
      <w:r w:rsidRPr="005C0DF3">
        <w:t xml:space="preserve"> In chap</w:t>
      </w:r>
      <w:r w:rsidRPr="005C0DF3">
        <w:softHyphen/>
        <w:t>ters 8 and 9,</w:t>
      </w:r>
      <w:r w:rsidRPr="005C0DF3">
        <w:rPr>
          <w:vanish/>
        </w:rPr>
        <w:t>??</w:t>
      </w:r>
      <w:r w:rsidRPr="005C0DF3">
        <w:t xml:space="preserve"> when we logi</w:t>
      </w:r>
      <w:r w:rsidRPr="005C0DF3">
        <w:softHyphen/>
        <w:t>cally out</w:t>
      </w:r>
      <w:r w:rsidRPr="005C0DF3">
        <w:softHyphen/>
        <w:t>line the sermon on the plain</w:t>
      </w:r>
      <w:r w:rsidR="006F304D" w:rsidRPr="006F304D">
        <w:t xml:space="preserve">, </w:t>
      </w:r>
      <w:r w:rsidRPr="005C0DF3">
        <w:t>this con</w:t>
      </w:r>
      <w:r w:rsidRPr="005C0DF3">
        <w:softHyphen/>
        <w:t>sideration con</w:t>
      </w:r>
      <w:r w:rsidRPr="005C0DF3">
        <w:softHyphen/>
        <w:t>cern</w:t>
      </w:r>
      <w:r w:rsidRPr="005C0DF3">
        <w:softHyphen/>
        <w:t>ing depth of di</w:t>
      </w:r>
      <w:r w:rsidRPr="005C0DF3">
        <w:softHyphen/>
        <w:t>vision take on special importance: our outline will be much more minute than most commenta</w:t>
      </w:r>
      <w:r w:rsidRPr="005C0DF3">
        <w:softHyphen/>
        <w:t>tors’</w:t>
      </w:r>
      <w:r w:rsidR="006F304D" w:rsidRPr="006F304D">
        <w:t xml:space="preserve">, </w:t>
      </w:r>
      <w:r w:rsidRPr="005C0DF3">
        <w:t>since for us the structure of the sermon will be the primary consideration</w:t>
      </w:r>
      <w:r w:rsidR="006F304D" w:rsidRPr="006F304D">
        <w:t xml:space="preserve">, </w:t>
      </w:r>
      <w:r w:rsidRPr="005C0DF3">
        <w:t xml:space="preserve">whereas </w:t>
      </w:r>
      <w:r w:rsidRPr="005C0DF3">
        <w:softHyphen/>
        <w:t>for most it is merely a preliminary consideration.</w:t>
      </w:r>
    </w:p>
  </w:footnote>
  <w:footnote w:id="275">
    <w:p w14:paraId="1882A185" w14:textId="6C828C76" w:rsidR="0018433B" w:rsidRPr="005C0DF3" w:rsidRDefault="0018433B" w:rsidP="0018433B">
      <w:r w:rsidRPr="005C0DF3">
        <w:rPr>
          <w:rStyle w:val="FootnoteReference"/>
        </w:rPr>
        <w:footnoteRef/>
      </w:r>
      <w:r>
        <w:t xml:space="preserve"> </w:t>
      </w:r>
      <w:r w:rsidRPr="005C0DF3">
        <w:t>Bengel</w:t>
      </w:r>
      <w:r w:rsidR="006F304D" w:rsidRPr="006F304D">
        <w:t xml:space="preserve">, </w:t>
      </w:r>
      <w:r w:rsidRPr="005C0DF3">
        <w:rPr>
          <w:i/>
        </w:rPr>
        <w:t>Gnomon</w:t>
      </w:r>
      <w:r w:rsidR="006F304D" w:rsidRPr="006F304D">
        <w:t xml:space="preserve">, </w:t>
      </w:r>
      <w:r w:rsidRPr="005C0DF3">
        <w:t>quoted in Meynet</w:t>
      </w:r>
      <w:r w:rsidR="006F304D" w:rsidRPr="006F304D">
        <w:t xml:space="preserve">, </w:t>
      </w:r>
      <w:r w:rsidRPr="005C0DF3">
        <w:rPr>
          <w:i/>
        </w:rPr>
        <w:t>Quelle</w:t>
      </w:r>
      <w:r w:rsidR="006F304D" w:rsidRPr="006F304D">
        <w:t xml:space="preserve">, </w:t>
      </w:r>
      <w:r w:rsidRPr="005C0DF3">
        <w:t>116. (On Bengel</w:t>
      </w:r>
      <w:r w:rsidR="006F304D" w:rsidRPr="006F304D">
        <w:t xml:space="preserve">, </w:t>
      </w:r>
      <w:r w:rsidRPr="005C0DF3">
        <w:t>see ? above.)</w:t>
      </w:r>
    </w:p>
  </w:footnote>
  <w:footnote w:id="276">
    <w:p w14:paraId="667B3C17" w14:textId="7BD20695" w:rsidR="0018433B" w:rsidRPr="005C0DF3" w:rsidRDefault="0018433B" w:rsidP="0018433B">
      <w:r w:rsidRPr="005C0DF3">
        <w:rPr>
          <w:rStyle w:val="FootnoteReference"/>
        </w:rPr>
        <w:footnoteRef/>
      </w:r>
      <w:r>
        <w:t xml:space="preserve"> </w:t>
      </w:r>
      <w:r w:rsidRPr="005C0DF3">
        <w:t>Lund</w:t>
      </w:r>
      <w:r w:rsidR="006F304D" w:rsidRPr="006F304D">
        <w:t xml:space="preserve">, </w:t>
      </w:r>
      <w:r w:rsidRPr="005C0DF3">
        <w:rPr>
          <w:i/>
        </w:rPr>
        <w:t>Chias</w:t>
      </w:r>
      <w:r w:rsidRPr="005C0DF3">
        <w:rPr>
          <w:i/>
        </w:rPr>
        <w:softHyphen/>
        <w:t>mus</w:t>
      </w:r>
      <w:r w:rsidR="006F304D" w:rsidRPr="006F304D">
        <w:t xml:space="preserve">, </w:t>
      </w:r>
      <w:r w:rsidRPr="005C0DF3">
        <w:t>35: “In accordance with the prac</w:t>
      </w:r>
      <w:r w:rsidRPr="005C0DF3">
        <w:softHyphen/>
        <w:t>tice of the early English wri</w:t>
      </w:r>
      <w:r w:rsidRPr="005C0DF3">
        <w:softHyphen/>
        <w:t>ters we shall designate these [Ben</w:t>
      </w:r>
      <w:r w:rsidRPr="005C0DF3">
        <w:softHyphen/>
        <w:t>gel’s di</w:t>
      </w:r>
      <w:r w:rsidRPr="005C0DF3">
        <w:softHyphen/>
        <w:t>rect chi</w:t>
      </w:r>
      <w:r w:rsidRPr="005C0DF3">
        <w:softHyphen/>
        <w:t xml:space="preserve">asms] </w:t>
      </w:r>
      <w:r w:rsidRPr="005C0DF3">
        <w:rPr>
          <w:i/>
        </w:rPr>
        <w:t>alter</w:t>
      </w:r>
      <w:r w:rsidRPr="005C0DF3">
        <w:rPr>
          <w:i/>
        </w:rPr>
        <w:softHyphen/>
        <w:t>nating</w:t>
      </w:r>
      <w:r w:rsidRPr="005C0DF3">
        <w:t xml:space="preserve"> par</w:t>
      </w:r>
      <w:r>
        <w:t>al</w:t>
      </w:r>
      <w:r>
        <w:softHyphen/>
        <w:t>lel</w:t>
      </w:r>
      <w:r>
        <w:softHyphen/>
        <w:t>isms” (</w:t>
      </w:r>
      <w:r w:rsidR="00775F9B" w:rsidRPr="00775F9B">
        <w:rPr>
          <w:iCs/>
        </w:rPr>
        <w:t>i.e.</w:t>
      </w:r>
      <w:r w:rsidR="006F304D" w:rsidRPr="006F304D">
        <w:t xml:space="preserve">, </w:t>
      </w:r>
      <w:r>
        <w:softHyphen/>
      </w:r>
      <w:r>
        <w:softHyphen/>
      </w:r>
      <w:r>
        <w:softHyphen/>
        <w:t>A B C A´ B´ C´</w:t>
      </w:r>
      <w:r w:rsidR="006F304D" w:rsidRPr="006F304D">
        <w:t xml:space="preserve">, </w:t>
      </w:r>
      <w:r w:rsidRPr="005C0DF3">
        <w:t>etc.). Confusion between chiasm and parallelism perhaps resulted from the fact that chiasm can be consid</w:t>
      </w:r>
      <w:r w:rsidRPr="005C0DF3">
        <w:softHyphen/>
        <w:t>ered a subtype of parallelism. Thus John Jebb (</w:t>
      </w:r>
      <w:r w:rsidRPr="005C0DF3">
        <w:rPr>
          <w:i/>
        </w:rPr>
        <w:t>Sac</w:t>
      </w:r>
      <w:r w:rsidRPr="005C0DF3">
        <w:rPr>
          <w:i/>
        </w:rPr>
        <w:softHyphen/>
        <w:t>red Litera</w:t>
      </w:r>
      <w:r w:rsidRPr="005C0DF3">
        <w:rPr>
          <w:i/>
        </w:rPr>
        <w:softHyphen/>
        <w:t>ture</w:t>
      </w:r>
      <w:r w:rsidR="006F304D" w:rsidRPr="006F304D">
        <w:t xml:space="preserve">, </w:t>
      </w:r>
      <w:r w:rsidRPr="005C0DF3">
        <w:t>cited in Lund</w:t>
      </w:r>
      <w:r w:rsidR="006F304D" w:rsidRPr="006F304D">
        <w:t xml:space="preserve">, </w:t>
      </w:r>
      <w:r w:rsidRPr="005C0DF3">
        <w:rPr>
          <w:i/>
        </w:rPr>
        <w:t>Chiasmus</w:t>
      </w:r>
      <w:r w:rsidR="006F304D" w:rsidRPr="006F304D">
        <w:t xml:space="preserve">, </w:t>
      </w:r>
      <w:r w:rsidRPr="005C0DF3">
        <w:t>37) called chiasm “introverted parallelism,” Lund (35) calls chiasms and alternating parallelisms “both kinds of parallelism,” and Talbert (</w:t>
      </w:r>
      <w:r w:rsidRPr="005C0DF3">
        <w:rPr>
          <w:i/>
        </w:rPr>
        <w:t>Liter</w:t>
      </w:r>
      <w:r w:rsidRPr="005C0DF3">
        <w:rPr>
          <w:i/>
        </w:rPr>
        <w:softHyphen/>
        <w:t>ary Pat</w:t>
      </w:r>
      <w:r w:rsidRPr="005C0DF3">
        <w:rPr>
          <w:i/>
        </w:rPr>
        <w:softHyphen/>
        <w:t>terns</w:t>
      </w:r>
      <w:r w:rsidR="006F304D" w:rsidRPr="006F304D">
        <w:t xml:space="preserve">, </w:t>
      </w:r>
      <w:r w:rsidRPr="005C0DF3">
        <w:t>14) speaks of chi</w:t>
      </w:r>
      <w:r w:rsidRPr="005C0DF3">
        <w:softHyphen/>
        <w:t>asm as “in</w:t>
      </w:r>
      <w:r w:rsidRPr="005C0DF3">
        <w:softHyphen/>
        <w:t>verted par</w:t>
      </w:r>
      <w:r w:rsidRPr="005C0DF3">
        <w:softHyphen/>
        <w:t>al</w:t>
      </w:r>
      <w:r w:rsidRPr="005C0DF3">
        <w:softHyphen/>
        <w:t>lelism.”</w:t>
      </w:r>
    </w:p>
  </w:footnote>
  <w:footnote w:id="277">
    <w:p w14:paraId="20BD27DB" w14:textId="0D402300" w:rsidR="0018433B" w:rsidRPr="005C0DF3" w:rsidRDefault="0018433B" w:rsidP="0018433B">
      <w:r w:rsidRPr="005C0DF3">
        <w:rPr>
          <w:rStyle w:val="FootnoteReference"/>
        </w:rPr>
        <w:footnoteRef/>
      </w:r>
      <w:r>
        <w:t xml:space="preserve"> </w:t>
      </w:r>
      <w:r w:rsidRPr="005C0DF3">
        <w:t>Bur</w:t>
      </w:r>
      <w:r w:rsidRPr="005C0DF3">
        <w:softHyphen/>
        <w:t>ney claims (</w:t>
      </w:r>
      <w:r w:rsidRPr="005C0DF3">
        <w:rPr>
          <w:i/>
        </w:rPr>
        <w:t>Poetry</w:t>
      </w:r>
      <w:r w:rsidR="006F304D" w:rsidRPr="006F304D">
        <w:t xml:space="preserve">, </w:t>
      </w:r>
      <w:r w:rsidRPr="005C0DF3">
        <w:t xml:space="preserve">15) that Lowth first used the term in the introduction to </w:t>
      </w:r>
      <w:r w:rsidRPr="005C0DF3">
        <w:rPr>
          <w:i/>
        </w:rPr>
        <w:t>Isaiah</w:t>
      </w:r>
      <w:r w:rsidR="006F304D" w:rsidRPr="006F304D">
        <w:t xml:space="preserve">, </w:t>
      </w:r>
      <w:r w:rsidRPr="005C0DF3">
        <w:t>published in 1778; but he also cites (16 n. 1) the introduction to Lowth’s lec</w:t>
      </w:r>
      <w:r w:rsidRPr="005C0DF3">
        <w:softHyphen/>
        <w:t>ture series</w:t>
      </w:r>
      <w:r w:rsidR="006F304D" w:rsidRPr="006F304D">
        <w:t xml:space="preserve">, </w:t>
      </w:r>
      <w:r w:rsidRPr="005C0DF3">
        <w:rPr>
          <w:i/>
        </w:rPr>
        <w:t>De sacra poesi Heb</w:t>
      </w:r>
      <w:r w:rsidRPr="005C0DF3">
        <w:rPr>
          <w:i/>
        </w:rPr>
        <w:softHyphen/>
        <w:t>rae</w:t>
      </w:r>
      <w:r w:rsidRPr="005C0DF3">
        <w:rPr>
          <w:i/>
        </w:rPr>
        <w:softHyphen/>
        <w:t>orum</w:t>
      </w:r>
      <w:r w:rsidR="006F304D" w:rsidRPr="006F304D">
        <w:t xml:space="preserve">, </w:t>
      </w:r>
      <w:r w:rsidRPr="005C0DF3">
        <w:t>de</w:t>
      </w:r>
      <w:r w:rsidRPr="005C0DF3">
        <w:softHyphen/>
        <w:t>livered</w:t>
      </w:r>
      <w:r w:rsidR="006F304D" w:rsidRPr="006F304D">
        <w:t xml:space="preserve">, </w:t>
      </w:r>
      <w:r w:rsidRPr="005C0DF3">
        <w:t>according to Lund (</w:t>
      </w:r>
      <w:r w:rsidRPr="005C0DF3">
        <w:rPr>
          <w:i/>
        </w:rPr>
        <w:t>Chias</w:t>
      </w:r>
      <w:r w:rsidRPr="005C0DF3">
        <w:rPr>
          <w:i/>
        </w:rPr>
        <w:softHyphen/>
        <w:t>mus</w:t>
      </w:r>
      <w:r w:rsidR="006F304D" w:rsidRPr="006F304D">
        <w:t xml:space="preserve">, </w:t>
      </w:r>
      <w:r w:rsidRPr="005C0DF3">
        <w:t>33</w:t>
      </w:r>
      <w:r w:rsidR="006F304D" w:rsidRPr="006F304D">
        <w:t xml:space="preserve">, </w:t>
      </w:r>
      <w:r w:rsidRPr="005C0DF3">
        <w:t>36 n. 3) and Eissfeldt (</w:t>
      </w:r>
      <w:r w:rsidRPr="005C0DF3">
        <w:rPr>
          <w:i/>
        </w:rPr>
        <w:t>OT</w:t>
      </w:r>
      <w:r w:rsidR="006F304D" w:rsidRPr="006F304D">
        <w:t xml:space="preserve">, </w:t>
      </w:r>
      <w:r w:rsidRPr="005C0DF3">
        <w:t>3)</w:t>
      </w:r>
      <w:r w:rsidR="006F304D" w:rsidRPr="006F304D">
        <w:t xml:space="preserve">, </w:t>
      </w:r>
      <w:r w:rsidRPr="005C0DF3">
        <w:t>in 1753. (On Lowth</w:t>
      </w:r>
      <w:r w:rsidR="006F304D" w:rsidRPr="006F304D">
        <w:t xml:space="preserve">, </w:t>
      </w:r>
      <w:r w:rsidRPr="005C0DF3">
        <w:t>see 73 n. 29 above).</w:t>
      </w:r>
    </w:p>
    <w:p w14:paraId="13AECCCF" w14:textId="49012493" w:rsidR="0018433B" w:rsidRPr="005C0DF3" w:rsidRDefault="0018433B" w:rsidP="0018433B">
      <w:r w:rsidRPr="005C0DF3">
        <w:t>It is perhaps no accident that the discovery of parallelism in scrip</w:t>
      </w:r>
      <w:r w:rsidRPr="005C0DF3">
        <w:softHyphen/>
        <w:t>ture occurred in the eigh</w:t>
      </w:r>
      <w:r w:rsidRPr="005C0DF3">
        <w:softHyphen/>
        <w:t>teenth century. The observations of Richard M. Weav</w:t>
      </w:r>
      <w:r w:rsidRPr="005C0DF3">
        <w:softHyphen/>
        <w:t>er on the use of the compound sentence by eighteenth-century styl</w:t>
      </w:r>
      <w:r w:rsidRPr="005C0DF3">
        <w:softHyphen/>
        <w:t>ists (</w:t>
      </w:r>
      <w:r w:rsidR="00775F9B" w:rsidRPr="00775F9B">
        <w:rPr>
          <w:iCs/>
        </w:rPr>
        <w:t>e.g.</w:t>
      </w:r>
      <w:r w:rsidR="006F304D" w:rsidRPr="006F304D">
        <w:t xml:space="preserve">, </w:t>
      </w:r>
      <w:r w:rsidRPr="005C0DF3">
        <w:t>Gibbon) are rele</w:t>
      </w:r>
      <w:r w:rsidRPr="005C0DF3">
        <w:softHyphen/>
        <w:t>vant in this regard</w:t>
      </w:r>
      <w:r w:rsidR="006F304D" w:rsidRPr="006F304D">
        <w:t xml:space="preserve">, </w:t>
      </w:r>
      <w:r w:rsidRPr="005C0DF3">
        <w:t>since biblical parallelism is also a bal</w:t>
      </w:r>
      <w:r w:rsidRPr="005C0DF3">
        <w:softHyphen/>
        <w:t>ancing of clauses: “the compound sentence has</w:t>
      </w:r>
      <w:r w:rsidR="006F304D" w:rsidRPr="006F304D">
        <w:t xml:space="preserve">, </w:t>
      </w:r>
      <w:r w:rsidRPr="005C0DF3">
        <w:t>in practice</w:t>
      </w:r>
      <w:r w:rsidR="006F304D" w:rsidRPr="006F304D">
        <w:t xml:space="preserve">, </w:t>
      </w:r>
      <w:r w:rsidRPr="005C0DF3">
        <w:t>been markedly favored by per</w:t>
      </w:r>
      <w:r w:rsidRPr="005C0DF3">
        <w:softHyphen/>
        <w:t>i</w:t>
      </w:r>
      <w:r w:rsidRPr="005C0DF3">
        <w:softHyphen/>
        <w:t>ods of repose like that of the eigh</w:t>
      </w:r>
      <w:r w:rsidRPr="005C0DF3">
        <w:softHyphen/>
        <w:t>teenth century. There is con</w:t>
      </w:r>
      <w:r w:rsidRPr="005C0DF3">
        <w:softHyphen/>
        <w:t>geni</w:t>
      </w:r>
      <w:r w:rsidRPr="005C0DF3">
        <w:softHyphen/>
        <w:t>ality between its internal balance and a concept of the world as an e</w:t>
      </w:r>
      <w:r w:rsidRPr="005C0DF3">
        <w:softHyphen/>
        <w:t>quili</w:t>
      </w:r>
      <w:r w:rsidRPr="005C0DF3">
        <w:softHyphen/>
        <w:t>bri</w:t>
      </w:r>
      <w:r w:rsidRPr="005C0DF3">
        <w:softHyphen/>
        <w:t>um of forces.” (“Some Rhetorical Aspects of Grammat</w:t>
      </w:r>
      <w:r w:rsidRPr="005C0DF3">
        <w:softHyphen/>
        <w:t>i</w:t>
      </w:r>
      <w:r w:rsidRPr="005C0DF3">
        <w:softHyphen/>
        <w:t xml:space="preserve">cal Categories,” in </w:t>
      </w:r>
      <w:r w:rsidRPr="005C0DF3">
        <w:rPr>
          <w:i/>
        </w:rPr>
        <w:t>The Ethics of Rhetoric</w:t>
      </w:r>
      <w:r w:rsidR="006F304D" w:rsidRPr="006F304D">
        <w:t xml:space="preserve">, </w:t>
      </w:r>
      <w:r w:rsidRPr="005C0DF3">
        <w:t>by Richard M. Weaver [</w:t>
      </w:r>
      <w:r w:rsidR="00E565D9" w:rsidRPr="00E565D9">
        <w:rPr>
          <w:iCs/>
        </w:rPr>
        <w:t>Chicago IL</w:t>
      </w:r>
      <w:r w:rsidRPr="005C0DF3">
        <w:t>: Henry Reg</w:t>
      </w:r>
      <w:r w:rsidRPr="005C0DF3">
        <w:softHyphen/>
        <w:t>nery</w:t>
      </w:r>
      <w:r w:rsidR="006F304D" w:rsidRPr="006F304D">
        <w:t xml:space="preserve">, </w:t>
      </w:r>
      <w:r w:rsidRPr="005C0DF3">
        <w:t>1953]; rpt. in Brock and Scott</w:t>
      </w:r>
      <w:r w:rsidR="006F304D" w:rsidRPr="006F304D">
        <w:t xml:space="preserve">, </w:t>
      </w:r>
      <w:r w:rsidRPr="005C0DF3">
        <w:rPr>
          <w:i/>
        </w:rPr>
        <w:t>Methods</w:t>
      </w:r>
      <w:r w:rsidR="006F304D" w:rsidRPr="006F304D">
        <w:t xml:space="preserve">, </w:t>
      </w:r>
      <w:r w:rsidRPr="005C0DF3">
        <w:t>285-86.) Weaver even refers to bib</w:t>
      </w:r>
      <w:r w:rsidRPr="005C0DF3">
        <w:softHyphen/>
        <w:t>lical paral</w:t>
      </w:r>
      <w:r w:rsidRPr="005C0DF3">
        <w:softHyphen/>
        <w:t>lel</w:t>
      </w:r>
      <w:r w:rsidRPr="005C0DF3">
        <w:softHyphen/>
        <w:t>ism (286).</w:t>
      </w:r>
    </w:p>
  </w:footnote>
  <w:footnote w:id="278">
    <w:p w14:paraId="33F3E948" w14:textId="238B9257" w:rsidR="0018433B" w:rsidRPr="005C0DF3" w:rsidRDefault="0018433B" w:rsidP="0018433B">
      <w:r w:rsidRPr="005C0DF3">
        <w:rPr>
          <w:rStyle w:val="FootnoteReference"/>
        </w:rPr>
        <w:footnoteRef/>
      </w:r>
      <w:r>
        <w:t xml:space="preserve"> </w:t>
      </w:r>
      <w:r w:rsidRPr="005C0DF3">
        <w:t>Lowth</w:t>
      </w:r>
      <w:r w:rsidR="006F304D" w:rsidRPr="006F304D">
        <w:t xml:space="preserve">, </w:t>
      </w:r>
      <w:r w:rsidRPr="005C0DF3">
        <w:rPr>
          <w:i/>
        </w:rPr>
        <w:t>Isaiah</w:t>
      </w:r>
      <w:r w:rsidRPr="005C0DF3">
        <w:t xml:space="preserve"> (3rd ed.)</w:t>
      </w:r>
      <w:r w:rsidR="006F304D" w:rsidRPr="006F304D">
        <w:t xml:space="preserve">, </w:t>
      </w:r>
      <w:r w:rsidRPr="005C0DF3">
        <w:t>xiv</w:t>
      </w:r>
      <w:r w:rsidR="006F304D" w:rsidRPr="006F304D">
        <w:t xml:space="preserve">, </w:t>
      </w:r>
      <w:r w:rsidRPr="005C0DF3">
        <w:t>quoted by George Buchanan Gray</w:t>
      </w:r>
      <w:r w:rsidR="006F304D" w:rsidRPr="006F304D">
        <w:t xml:space="preserve">, </w:t>
      </w:r>
      <w:r w:rsidRPr="005C0DF3">
        <w:rPr>
          <w:i/>
        </w:rPr>
        <w:t>The Forms of He</w:t>
      </w:r>
      <w:r w:rsidRPr="005C0DF3">
        <w:rPr>
          <w:i/>
        </w:rPr>
        <w:softHyphen/>
        <w:t>brew Po</w:t>
      </w:r>
      <w:r w:rsidRPr="005C0DF3">
        <w:rPr>
          <w:i/>
        </w:rPr>
        <w:softHyphen/>
        <w:t>etry</w:t>
      </w:r>
      <w:r w:rsidRPr="005C0DF3">
        <w:t xml:space="preserve"> (New York: 1915) 48-49.</w:t>
      </w:r>
      <w:r w:rsidRPr="005C0DF3">
        <w:rPr>
          <w:vanish/>
        </w:rPr>
        <w:t>Need place &amp; name of publisher.</w:t>
      </w:r>
    </w:p>
  </w:footnote>
  <w:footnote w:id="279">
    <w:p w14:paraId="2F493EF5" w14:textId="489401FD" w:rsidR="0018433B" w:rsidRPr="005C0DF3" w:rsidRDefault="0018433B" w:rsidP="0018433B">
      <w:r w:rsidRPr="005C0DF3">
        <w:rPr>
          <w:rStyle w:val="FootnoteReference"/>
        </w:rPr>
        <w:footnoteRef/>
      </w:r>
      <w:r>
        <w:t xml:space="preserve"> </w:t>
      </w:r>
      <w:r w:rsidRPr="005C0DF3">
        <w:t>Burney</w:t>
      </w:r>
      <w:r w:rsidR="006F304D" w:rsidRPr="006F304D">
        <w:t xml:space="preserve">, </w:t>
      </w:r>
      <w:r w:rsidRPr="005C0DF3">
        <w:rPr>
          <w:i/>
        </w:rPr>
        <w:t>Poetry</w:t>
      </w:r>
      <w:r w:rsidR="006F304D" w:rsidRPr="006F304D">
        <w:t xml:space="preserve">, </w:t>
      </w:r>
      <w:r w:rsidRPr="005C0DF3">
        <w:t>16. Burney suggests (90)</w:t>
      </w:r>
      <w:r w:rsidR="006F304D" w:rsidRPr="006F304D">
        <w:t xml:space="preserve">, </w:t>
      </w:r>
      <w:r w:rsidRPr="005C0DF3">
        <w:t>as an alternate name</w:t>
      </w:r>
      <w:r w:rsidR="006F304D" w:rsidRPr="006F304D">
        <w:t xml:space="preserve">, </w:t>
      </w:r>
      <w:r w:rsidRPr="005C0DF3">
        <w:t>the term “identi</w:t>
      </w:r>
      <w:r w:rsidRPr="005C0DF3">
        <w:softHyphen/>
        <w:t>cal parallel</w:t>
      </w:r>
      <w:r w:rsidRPr="005C0DF3">
        <w:softHyphen/>
        <w:t>ism.” Jebb</w:t>
      </w:r>
      <w:r w:rsidR="006F304D" w:rsidRPr="006F304D">
        <w:t xml:space="preserve">, </w:t>
      </w:r>
      <w:r w:rsidRPr="005C0DF3">
        <w:t>in the second genera</w:t>
      </w:r>
      <w:r w:rsidRPr="005C0DF3">
        <w:softHyphen/>
        <w:t>tion after Lowth</w:t>
      </w:r>
      <w:r w:rsidR="006F304D" w:rsidRPr="006F304D">
        <w:t xml:space="preserve">, </w:t>
      </w:r>
      <w:r w:rsidRPr="005C0DF3">
        <w:t>had already proposed “cog</w:t>
      </w:r>
      <w:r w:rsidRPr="005C0DF3">
        <w:softHyphen/>
        <w:t>nate par</w:t>
      </w:r>
      <w:r w:rsidRPr="005C0DF3">
        <w:softHyphen/>
        <w:t>al</w:t>
      </w:r>
      <w:r w:rsidRPr="005C0DF3">
        <w:softHyphen/>
        <w:t>lelism,” “since the second mem</w:t>
      </w:r>
      <w:r w:rsidRPr="005C0DF3">
        <w:softHyphen/>
        <w:t>ber of a series al</w:t>
      </w:r>
      <w:r w:rsidRPr="005C0DF3">
        <w:softHyphen/>
        <w:t>ways diversi</w:t>
      </w:r>
      <w:r w:rsidRPr="005C0DF3">
        <w:softHyphen/>
        <w:t>fies and gen</w:t>
      </w:r>
      <w:r w:rsidRPr="005C0DF3">
        <w:softHyphen/>
        <w:t>erally enhan</w:t>
      </w:r>
      <w:r w:rsidRPr="005C0DF3">
        <w:softHyphen/>
        <w:t xml:space="preserve">ces the first member. The word </w:t>
      </w:r>
      <w:r w:rsidRPr="005C0DF3">
        <w:rPr>
          <w:i/>
        </w:rPr>
        <w:t>synony</w:t>
      </w:r>
      <w:r w:rsidRPr="005C0DF3">
        <w:rPr>
          <w:i/>
        </w:rPr>
        <w:softHyphen/>
        <w:t>mous</w:t>
      </w:r>
      <w:r w:rsidRPr="005C0DF3">
        <w:t xml:space="preserve"> implies mere repeti</w:t>
      </w:r>
      <w:r w:rsidRPr="005C0DF3">
        <w:softHyphen/>
        <w:t>tion” (quoted in Lund</w:t>
      </w:r>
      <w:r w:rsidR="006F304D" w:rsidRPr="006F304D">
        <w:t xml:space="preserve">, </w:t>
      </w:r>
      <w:r w:rsidRPr="005C0DF3">
        <w:rPr>
          <w:i/>
        </w:rPr>
        <w:t>Chi</w:t>
      </w:r>
      <w:r w:rsidRPr="005C0DF3">
        <w:rPr>
          <w:i/>
        </w:rPr>
        <w:softHyphen/>
        <w:t>asmus</w:t>
      </w:r>
      <w:r w:rsidRPr="005C0DF3">
        <w:rPr>
          <w:i/>
        </w:rPr>
        <w:softHyphen/>
      </w:r>
      <w:r w:rsidR="006F304D" w:rsidRPr="006F304D">
        <w:t xml:space="preserve">, </w:t>
      </w:r>
      <w:r w:rsidRPr="005C0DF3">
        <w:t>37).</w:t>
      </w:r>
    </w:p>
  </w:footnote>
  <w:footnote w:id="280">
    <w:p w14:paraId="280101A4" w14:textId="05DA334A" w:rsidR="0018433B" w:rsidRPr="005C0DF3" w:rsidRDefault="0018433B" w:rsidP="0018433B">
      <w:r w:rsidRPr="0017124C">
        <w:rPr>
          <w:rStyle w:val="FootnoteReference"/>
        </w:rPr>
        <w:footnoteRef/>
      </w:r>
      <w:r w:rsidRPr="0017124C">
        <w:t xml:space="preserve"> </w:t>
      </w:r>
      <w:r w:rsidRPr="005C0DF3">
        <w:rPr>
          <w:i/>
        </w:rPr>
        <w:t>Poetry</w:t>
      </w:r>
      <w:r w:rsidR="006F304D" w:rsidRPr="006F304D">
        <w:t xml:space="preserve">, </w:t>
      </w:r>
      <w:r w:rsidRPr="005C0DF3">
        <w:t>17.</w:t>
      </w:r>
    </w:p>
  </w:footnote>
  <w:footnote w:id="281">
    <w:p w14:paraId="49A8B2BD" w14:textId="3524A595" w:rsidR="0018433B" w:rsidRPr="005C0DF3" w:rsidRDefault="0018433B" w:rsidP="0018433B">
      <w:r w:rsidRPr="005C0DF3">
        <w:rPr>
          <w:rStyle w:val="FootnoteReference"/>
        </w:rPr>
        <w:footnoteRef/>
      </w:r>
      <w:r>
        <w:t xml:space="preserve"> </w:t>
      </w:r>
      <w:r w:rsidRPr="005C0DF3">
        <w:t>Ibid.</w:t>
      </w:r>
      <w:r w:rsidR="006F304D" w:rsidRPr="006F304D">
        <w:t xml:space="preserve">, </w:t>
      </w:r>
      <w:r w:rsidRPr="005C0DF3">
        <w:t>105.</w:t>
      </w:r>
    </w:p>
  </w:footnote>
  <w:footnote w:id="282">
    <w:p w14:paraId="67DDE568" w14:textId="338BEE0B" w:rsidR="0018433B" w:rsidRPr="005C0DF3" w:rsidRDefault="0018433B" w:rsidP="0018433B">
      <w:r w:rsidRPr="005C0DF3">
        <w:rPr>
          <w:rStyle w:val="FootnoteReference"/>
        </w:rPr>
        <w:footnoteRef/>
      </w:r>
      <w:r>
        <w:t xml:space="preserve"> </w:t>
      </w:r>
      <w:r w:rsidRPr="005C0DF3">
        <w:t>Ibid. In the OT</w:t>
      </w:r>
      <w:r w:rsidR="006F304D" w:rsidRPr="006F304D">
        <w:t xml:space="preserve">, </w:t>
      </w:r>
      <w:r w:rsidRPr="005C0DF3">
        <w:t>synonymous parallelism is most frequently found in the Psalms (ibid.</w:t>
      </w:r>
      <w:r w:rsidR="006F304D" w:rsidRPr="006F304D">
        <w:t xml:space="preserve">, </w:t>
      </w:r>
      <w:r w:rsidRPr="005C0DF3">
        <w:t>20) or</w:t>
      </w:r>
      <w:r w:rsidR="006F304D" w:rsidRPr="006F304D">
        <w:t xml:space="preserve">, </w:t>
      </w:r>
      <w:r w:rsidRPr="005C0DF3">
        <w:t>more broadly</w:t>
      </w:r>
      <w:r w:rsidR="006F304D" w:rsidRPr="006F304D">
        <w:t xml:space="preserve">, </w:t>
      </w:r>
      <w:r w:rsidRPr="005C0DF3">
        <w:t>in “devotional literature” (Jere</w:t>
      </w:r>
      <w:r w:rsidRPr="005C0DF3">
        <w:softHyphen/>
        <w:t>mias</w:t>
      </w:r>
      <w:r w:rsidR="006F304D" w:rsidRPr="006F304D">
        <w:t xml:space="preserve">, </w:t>
      </w:r>
      <w:r w:rsidRPr="005C0DF3">
        <w:rPr>
          <w:i/>
        </w:rPr>
        <w:t>NT Theology</w:t>
      </w:r>
      <w:r w:rsidR="006F304D" w:rsidRPr="006F304D">
        <w:t xml:space="preserve">, </w:t>
      </w:r>
      <w:r w:rsidRPr="005C0DF3">
        <w:t>19).</w:t>
      </w:r>
    </w:p>
  </w:footnote>
  <w:footnote w:id="283">
    <w:p w14:paraId="46B6C470" w14:textId="6C8C0AB1" w:rsidR="0018433B" w:rsidRPr="005C0DF3" w:rsidRDefault="0018433B" w:rsidP="0018433B">
      <w:r w:rsidRPr="0017124C">
        <w:rPr>
          <w:rStyle w:val="FootnoteReference"/>
        </w:rPr>
        <w:footnoteRef/>
      </w:r>
      <w:r w:rsidRPr="0017124C">
        <w:t xml:space="preserve"> </w:t>
      </w:r>
      <w:r w:rsidRPr="005C0DF3">
        <w:rPr>
          <w:i/>
        </w:rPr>
        <w:t>Poetry</w:t>
      </w:r>
      <w:r w:rsidR="006F304D" w:rsidRPr="006F304D">
        <w:t xml:space="preserve">, </w:t>
      </w:r>
      <w:r w:rsidRPr="005C0DF3">
        <w:t>104.</w:t>
      </w:r>
    </w:p>
  </w:footnote>
  <w:footnote w:id="284">
    <w:p w14:paraId="6C9AC79D" w14:textId="0B5E61AB" w:rsidR="0018433B" w:rsidRPr="005C0DF3" w:rsidRDefault="0018433B" w:rsidP="0018433B">
      <w:r w:rsidRPr="0017124C">
        <w:rPr>
          <w:rStyle w:val="FootnoteReference"/>
        </w:rPr>
        <w:footnoteRef/>
      </w:r>
      <w:r w:rsidRPr="0017124C">
        <w:t xml:space="preserve"> </w:t>
      </w:r>
      <w:r w:rsidRPr="005C0DF3">
        <w:rPr>
          <w:i/>
        </w:rPr>
        <w:t>Poetry</w:t>
      </w:r>
      <w:r w:rsidR="006F304D" w:rsidRPr="006F304D">
        <w:t xml:space="preserve">, </w:t>
      </w:r>
      <w:r w:rsidRPr="005C0DF3">
        <w:t>20</w:t>
      </w:r>
      <w:r w:rsidR="006F304D" w:rsidRPr="006F304D">
        <w:t xml:space="preserve">, </w:t>
      </w:r>
      <w:r w:rsidRPr="005C0DF3">
        <w:t>71-73; cf. Jeremias</w:t>
      </w:r>
      <w:r w:rsidR="006F304D" w:rsidRPr="006F304D">
        <w:t xml:space="preserve">, </w:t>
      </w:r>
      <w:r w:rsidRPr="005C0DF3">
        <w:rPr>
          <w:i/>
        </w:rPr>
        <w:t>NT Theology</w:t>
      </w:r>
      <w:r w:rsidR="006F304D" w:rsidRPr="006F304D">
        <w:t xml:space="preserve">, </w:t>
      </w:r>
      <w:r w:rsidRPr="005C0DF3">
        <w:t>19: “pro</w:t>
      </w:r>
      <w:r w:rsidRPr="005C0DF3">
        <w:softHyphen/>
        <w:t>verbial wis</w:t>
      </w:r>
      <w:r w:rsidRPr="005C0DF3">
        <w:softHyphen/>
        <w:t>dom</w:t>
      </w:r>
      <w:r w:rsidR="006F304D" w:rsidRPr="006F304D">
        <w:t xml:space="preserve">, </w:t>
      </w:r>
      <w:r w:rsidRPr="005C0DF3">
        <w:t>max</w:t>
      </w:r>
      <w:r w:rsidRPr="005C0DF3">
        <w:softHyphen/>
        <w:t>ims</w:t>
      </w:r>
      <w:r w:rsidR="006F304D" w:rsidRPr="006F304D">
        <w:t xml:space="preserve">, </w:t>
      </w:r>
      <w:r w:rsidRPr="005C0DF3">
        <w:t>legal axioms</w:t>
      </w:r>
      <w:r w:rsidR="006F304D" w:rsidRPr="006F304D">
        <w:t xml:space="preserve">, </w:t>
      </w:r>
      <w:r w:rsidRPr="005C0DF3">
        <w:t>truths of life and rules for wise con</w:t>
      </w:r>
      <w:r w:rsidRPr="005C0DF3">
        <w:softHyphen/>
        <w:t>duct; it also oc</w:t>
      </w:r>
      <w:r w:rsidRPr="005C0DF3">
        <w:softHyphen/>
        <w:t>cur</w:t>
      </w:r>
      <w:r w:rsidRPr="005C0DF3">
        <w:softHyphen/>
        <w:t>red in apoca</w:t>
      </w:r>
      <w:r w:rsidRPr="005C0DF3">
        <w:softHyphen/>
        <w:t>lyptic sayings.”</w:t>
      </w:r>
    </w:p>
  </w:footnote>
  <w:footnote w:id="285">
    <w:p w14:paraId="08E8C474" w14:textId="23696020" w:rsidR="0018433B" w:rsidRPr="005C0DF3" w:rsidRDefault="0018433B" w:rsidP="0018433B">
      <w:r w:rsidRPr="005C0DF3">
        <w:rPr>
          <w:rStyle w:val="FootnoteReference"/>
        </w:rPr>
        <w:footnoteRef/>
      </w:r>
      <w:r>
        <w:t xml:space="preserve"> </w:t>
      </w:r>
      <w:r w:rsidRPr="005C0DF3">
        <w:t>Ibid.</w:t>
      </w:r>
      <w:r w:rsidR="006F304D" w:rsidRPr="006F304D">
        <w:t xml:space="preserve">, </w:t>
      </w:r>
      <w:r w:rsidRPr="005C0DF3">
        <w:t>84.</w:t>
      </w:r>
    </w:p>
  </w:footnote>
  <w:footnote w:id="286">
    <w:p w14:paraId="64C557B3" w14:textId="0683129B" w:rsidR="0018433B" w:rsidRPr="005C0DF3" w:rsidRDefault="0018433B" w:rsidP="0018433B">
      <w:r w:rsidRPr="005C0DF3">
        <w:rPr>
          <w:rStyle w:val="FootnoteReference"/>
        </w:rPr>
        <w:footnoteRef/>
      </w:r>
      <w:r>
        <w:t xml:space="preserve"> </w:t>
      </w:r>
      <w:r w:rsidRPr="005C0DF3">
        <w:t>Ibid.</w:t>
      </w:r>
      <w:r w:rsidR="006F304D" w:rsidRPr="006F304D">
        <w:t xml:space="preserve">, </w:t>
      </w:r>
      <w:r w:rsidRPr="005C0DF3">
        <w:t>20. The first fourteen verses of Prov 10</w:t>
      </w:r>
      <w:r w:rsidR="006F304D" w:rsidRPr="006F304D">
        <w:t xml:space="preserve">, </w:t>
      </w:r>
      <w:r w:rsidRPr="005C0DF3">
        <w:t>in fact</w:t>
      </w:r>
      <w:r w:rsidR="006F304D" w:rsidRPr="006F304D">
        <w:t xml:space="preserve">, </w:t>
      </w:r>
      <w:r w:rsidRPr="005C0DF3">
        <w:t>are of</w:t>
      </w:r>
      <w:r w:rsidRPr="005C0DF3">
        <w:softHyphen/>
        <w:t>ten quoted as exam</w:t>
      </w:r>
      <w:r w:rsidRPr="005C0DF3">
        <w:softHyphen/>
        <w:t>ples of antithetic parallelism (</w:t>
      </w:r>
      <w:r w:rsidR="00775F9B" w:rsidRPr="00775F9B">
        <w:rPr>
          <w:iCs/>
        </w:rPr>
        <w:t>e.g.</w:t>
      </w:r>
      <w:r w:rsidR="006F304D" w:rsidRPr="006F304D">
        <w:t xml:space="preserve">, </w:t>
      </w:r>
      <w:r w:rsidRPr="005C0DF3">
        <w:t>Jeremias</w:t>
      </w:r>
      <w:r w:rsidR="006F304D" w:rsidRPr="006F304D">
        <w:t xml:space="preserve">, </w:t>
      </w:r>
      <w:r w:rsidRPr="005C0DF3">
        <w:rPr>
          <w:i/>
        </w:rPr>
        <w:t>NT</w:t>
      </w:r>
      <w:r w:rsidRPr="005C0DF3">
        <w:rPr>
          <w:i/>
        </w:rPr>
        <w:softHyphen/>
        <w:t xml:space="preserve"> Theology</w:t>
      </w:r>
      <w:r w:rsidR="006F304D" w:rsidRPr="006F304D">
        <w:t xml:space="preserve">, </w:t>
      </w:r>
      <w:r w:rsidRPr="005C0DF3">
        <w:t>18)</w:t>
      </w:r>
      <w:r w:rsidR="006F304D" w:rsidRPr="006F304D">
        <w:t xml:space="preserve">, </w:t>
      </w:r>
      <w:r w:rsidRPr="005C0DF3">
        <w:t>since they are con</w:t>
      </w:r>
      <w:r w:rsidRPr="005C0DF3">
        <w:softHyphen/>
        <w:t>sistently antithetical</w:t>
      </w:r>
      <w:r w:rsidR="006F304D" w:rsidRPr="006F304D">
        <w:t xml:space="preserve">, </w:t>
      </w:r>
      <w:r w:rsidRPr="005C0DF3">
        <w:t>each begin</w:t>
      </w:r>
      <w:r w:rsidRPr="005C0DF3">
        <w:softHyphen/>
        <w:t>ning its second line with “</w:t>
      </w:r>
      <w:r>
        <w:t>but” (Heb</w:t>
      </w:r>
      <w:r>
        <w:softHyphen/>
        <w:t xml:space="preserve">rew </w:t>
      </w:r>
      <w:r>
        <w:rPr>
          <w:rtl/>
        </w:rPr>
        <w:t>ו</w:t>
      </w:r>
      <w:r w:rsidRPr="005C0DF3">
        <w:t>).</w:t>
      </w:r>
    </w:p>
  </w:footnote>
  <w:footnote w:id="287">
    <w:p w14:paraId="01C26BC3" w14:textId="3F33DB38" w:rsidR="0018433B" w:rsidRPr="005C0DF3" w:rsidRDefault="0018433B" w:rsidP="0018433B">
      <w:r w:rsidRPr="005C0DF3">
        <w:rPr>
          <w:rStyle w:val="FootnoteReference"/>
        </w:rPr>
        <w:footnoteRef/>
      </w:r>
      <w:r>
        <w:t xml:space="preserve"> </w:t>
      </w:r>
      <w:r w:rsidRPr="005C0DF3">
        <w:t>Ibid.</w:t>
      </w:r>
      <w:r w:rsidR="006F304D" w:rsidRPr="006F304D">
        <w:t xml:space="preserve">, </w:t>
      </w:r>
      <w:r w:rsidRPr="005C0DF3">
        <w:t>89.</w:t>
      </w:r>
    </w:p>
  </w:footnote>
  <w:footnote w:id="288">
    <w:p w14:paraId="1AACC360" w14:textId="1A237C82" w:rsidR="0018433B" w:rsidRDefault="0018433B" w:rsidP="0018433B">
      <w:r w:rsidRPr="005C0DF3">
        <w:rPr>
          <w:rStyle w:val="FootnoteReference"/>
        </w:rPr>
        <w:footnoteRef/>
      </w:r>
      <w:r>
        <w:t xml:space="preserve"> </w:t>
      </w:r>
      <w:r w:rsidRPr="005C0DF3">
        <w:t>Lowth had said that in synthet</w:t>
      </w:r>
      <w:r w:rsidRPr="005C0DF3">
        <w:softHyphen/>
        <w:t>ic parallelism</w:t>
      </w:r>
      <w:r w:rsidR="006F304D" w:rsidRPr="006F304D">
        <w:t xml:space="preserve">, </w:t>
      </w:r>
      <w:r w:rsidRPr="005C0DF3">
        <w:t>“there is a correspon</w:t>
      </w:r>
      <w:r w:rsidRPr="005C0DF3">
        <w:softHyphen/>
        <w:t>dence and equality bet</w:t>
      </w:r>
      <w:r w:rsidRPr="005C0DF3">
        <w:softHyphen/>
        <w:t>ween dif</w:t>
      </w:r>
      <w:r w:rsidRPr="005C0DF3">
        <w:softHyphen/>
        <w:t>fer</w:t>
      </w:r>
      <w:r w:rsidRPr="005C0DF3">
        <w:softHyphen/>
        <w:t>ent proposi</w:t>
      </w:r>
      <w:r w:rsidRPr="005C0DF3">
        <w:softHyphen/>
        <w:t>tions in respect of the shape and turn of the whole sen</w:t>
      </w:r>
      <w:r w:rsidRPr="005C0DF3">
        <w:softHyphen/>
        <w:t>tence</w:t>
      </w:r>
      <w:r w:rsidR="006F304D" w:rsidRPr="006F304D">
        <w:t xml:space="preserve">, </w:t>
      </w:r>
      <w:r w:rsidRPr="005C0DF3">
        <w:t>and of the constructive parts” (</w:t>
      </w:r>
      <w:r w:rsidRPr="005C0DF3">
        <w:rPr>
          <w:i/>
        </w:rPr>
        <w:t>Isaiah</w:t>
      </w:r>
      <w:r w:rsidRPr="005C0DF3">
        <w:rPr>
          <w:vertAlign w:val="superscript"/>
        </w:rPr>
        <w:t>1</w:t>
      </w:r>
      <w:r w:rsidR="006F304D" w:rsidRPr="006F304D">
        <w:t xml:space="preserve">, </w:t>
      </w:r>
      <w:r w:rsidRPr="005C0DF3">
        <w:t>xxi</w:t>
      </w:r>
      <w:r w:rsidR="006F304D" w:rsidRPr="006F304D">
        <w:t xml:space="preserve">, </w:t>
      </w:r>
      <w:r w:rsidRPr="005C0DF3">
        <w:t>quoted in Burney</w:t>
      </w:r>
      <w:r w:rsidR="006F304D" w:rsidRPr="006F304D">
        <w:t xml:space="preserve">, </w:t>
      </w:r>
      <w:r w:rsidRPr="005C0DF3">
        <w:rPr>
          <w:i/>
        </w:rPr>
        <w:t>Po</w:t>
      </w:r>
      <w:r w:rsidRPr="005C0DF3">
        <w:rPr>
          <w:i/>
        </w:rPr>
        <w:softHyphen/>
        <w:t>etry</w:t>
      </w:r>
      <w:r w:rsidR="006F304D" w:rsidRPr="006F304D">
        <w:t xml:space="preserve">, </w:t>
      </w:r>
      <w:r w:rsidRPr="005C0DF3">
        <w:t xml:space="preserve">21). But does “shape and turn” refer to </w:t>
      </w:r>
      <w:r w:rsidRPr="005C0DF3">
        <w:softHyphen/>
        <w:t>form or con</w:t>
      </w:r>
      <w:r w:rsidRPr="005C0DF3">
        <w:softHyphen/>
        <w:t>tent? Lowth seems to mean content</w:t>
      </w:r>
      <w:r w:rsidR="006F304D" w:rsidRPr="006F304D">
        <w:t xml:space="preserve">, </w:t>
      </w:r>
      <w:r w:rsidRPr="005C0DF3">
        <w:t>but we have already seen him de</w:t>
      </w:r>
      <w:r w:rsidRPr="005C0DF3">
        <w:softHyphen/>
        <w:t>fine synthetic par</w:t>
      </w:r>
      <w:r w:rsidRPr="005C0DF3">
        <w:softHyphen/>
        <w:t>allelism as paral</w:t>
      </w:r>
      <w:r w:rsidRPr="005C0DF3">
        <w:softHyphen/>
        <w:t xml:space="preserve">lelism of form (“similar </w:t>
      </w:r>
      <w:r w:rsidRPr="00963D68">
        <w:t>. . .</w:t>
      </w:r>
      <w:r w:rsidRPr="005C0DF3">
        <w:t xml:space="preserve"> form of grammatical construc</w:t>
      </w:r>
      <w:r w:rsidRPr="005C0DF3">
        <w:softHyphen/>
        <w:t>tion,” 113 above). Most modern pres</w:t>
      </w:r>
      <w:r w:rsidRPr="005C0DF3">
        <w:softHyphen/>
        <w:t>entations treat syn</w:t>
      </w:r>
      <w:r w:rsidRPr="005C0DF3">
        <w:softHyphen/>
        <w:t>thetic parallelism as parallelism of con</w:t>
      </w:r>
      <w:r w:rsidRPr="005C0DF3">
        <w:softHyphen/>
        <w:t>tent</w:t>
      </w:r>
      <w:r w:rsidR="006F304D" w:rsidRPr="006F304D">
        <w:t xml:space="preserve">, </w:t>
      </w:r>
      <w:r w:rsidR="00775F9B" w:rsidRPr="00775F9B">
        <w:rPr>
          <w:iCs/>
        </w:rPr>
        <w:t>e.g.</w:t>
      </w:r>
      <w:r w:rsidR="006F304D" w:rsidRPr="006F304D">
        <w:t xml:space="preserve">, </w:t>
      </w:r>
      <w:r w:rsidRPr="005C0DF3">
        <w:t>“it simply takes the thought further and com</w:t>
      </w:r>
      <w:r w:rsidRPr="005C0DF3">
        <w:softHyphen/>
        <w:t>pletes it” (Eiss</w:t>
      </w:r>
      <w:r w:rsidRPr="005C0DF3">
        <w:softHyphen/>
        <w:t>feldt</w:t>
      </w:r>
      <w:r w:rsidR="006F304D" w:rsidRPr="006F304D">
        <w:t xml:space="preserve">, </w:t>
      </w:r>
      <w:r w:rsidRPr="005C0DF3">
        <w:rPr>
          <w:i/>
        </w:rPr>
        <w:t>OT</w:t>
      </w:r>
      <w:r w:rsidR="006F304D" w:rsidRPr="006F304D">
        <w:t xml:space="preserve">, </w:t>
      </w:r>
      <w:r w:rsidRPr="005C0DF3">
        <w:t>57). At first Burney (21-22) defines synthetic parallelism for</w:t>
      </w:r>
      <w:r w:rsidRPr="005C0DF3">
        <w:softHyphen/>
        <w:t>mally as paral</w:t>
      </w:r>
      <w:r w:rsidRPr="005C0DF3">
        <w:softHyphen/>
        <w:t xml:space="preserve">lelism “in </w:t>
      </w:r>
      <w:r w:rsidRPr="005C0DF3">
        <w:rPr>
          <w:i/>
        </w:rPr>
        <w:t>form</w:t>
      </w:r>
      <w:r w:rsidRPr="005C0DF3">
        <w:t xml:space="preserve"> only</w:t>
      </w:r>
      <w:r w:rsidRPr="00963D68">
        <w:t>. . . .</w:t>
      </w:r>
      <w:r w:rsidRPr="005C0DF3">
        <w:t xml:space="preserve"> The reason why we regard couplets of this char</w:t>
      </w:r>
      <w:r w:rsidRPr="005C0DF3">
        <w:softHyphen/>
        <w:t xml:space="preserve">acter as parallel </w:t>
      </w:r>
      <w:r w:rsidRPr="00963D68">
        <w:t>. . .</w:t>
      </w:r>
      <w:r w:rsidRPr="005C0DF3">
        <w:t xml:space="preserve"> really lies in the fact that they are charac</w:t>
      </w:r>
      <w:r w:rsidRPr="005C0DF3">
        <w:softHyphen/>
        <w:t xml:space="preserve">terized by </w:t>
      </w:r>
      <w:r w:rsidRPr="005C0DF3">
        <w:rPr>
          <w:i/>
        </w:rPr>
        <w:t>identity of rhy</w:t>
      </w:r>
      <w:r w:rsidRPr="005C0DF3">
        <w:rPr>
          <w:i/>
        </w:rPr>
        <w:softHyphen/>
        <w:t>thm</w:t>
      </w:r>
      <w:r w:rsidRPr="005C0DF3">
        <w:t>.” Later (89) he shows nervousness over this description and tries to streng</w:t>
      </w:r>
      <w:r w:rsidRPr="005C0DF3">
        <w:softHyphen/>
        <w:t>then it:</w:t>
      </w:r>
    </w:p>
    <w:p w14:paraId="70D001CE" w14:textId="77777777" w:rsidR="0018433B" w:rsidRPr="005C0DF3" w:rsidRDefault="0018433B" w:rsidP="0018433B"/>
    <w:p w14:paraId="76E23B10" w14:textId="6A64F056" w:rsidR="0018433B" w:rsidRPr="005C0DF3" w:rsidRDefault="0018433B" w:rsidP="0018433B">
      <w:pPr>
        <w:ind w:left="720" w:right="720"/>
      </w:pPr>
      <w:r w:rsidRPr="005C0DF3">
        <w:t>a cor</w:t>
      </w:r>
      <w:r w:rsidRPr="005C0DF3">
        <w:softHyphen/>
        <w:t xml:space="preserve">respondence between line and line of the couplet </w:t>
      </w:r>
      <w:r w:rsidRPr="00963D68">
        <w:t>. . .</w:t>
      </w:r>
      <w:r w:rsidRPr="005C0DF3">
        <w:t xml:space="preserve"> ap</w:t>
      </w:r>
      <w:r w:rsidRPr="005C0DF3">
        <w:softHyphen/>
        <w:t xml:space="preserve">pears both in </w:t>
      </w:r>
      <w:r w:rsidRPr="005C0DF3">
        <w:rPr>
          <w:i/>
        </w:rPr>
        <w:t>sense</w:t>
      </w:r>
      <w:r w:rsidR="006F304D" w:rsidRPr="006F304D">
        <w:t xml:space="preserve">, </w:t>
      </w:r>
      <w:r w:rsidRPr="005C0DF3">
        <w:t>the sec</w:t>
      </w:r>
      <w:r w:rsidRPr="005C0DF3">
        <w:softHyphen/>
        <w:t>ond line completing or sup</w:t>
      </w:r>
      <w:r w:rsidRPr="005C0DF3">
        <w:softHyphen/>
        <w:t>ple</w:t>
      </w:r>
      <w:r w:rsidRPr="005C0DF3">
        <w:softHyphen/>
        <w:t>menting the first</w:t>
      </w:r>
      <w:r w:rsidR="006F304D" w:rsidRPr="006F304D">
        <w:t xml:space="preserve">, </w:t>
      </w:r>
      <w:r w:rsidRPr="005C0DF3">
        <w:t xml:space="preserve">and also in </w:t>
      </w:r>
      <w:r w:rsidRPr="005C0DF3">
        <w:rPr>
          <w:i/>
        </w:rPr>
        <w:t>form</w:t>
      </w:r>
      <w:r w:rsidR="006F304D" w:rsidRPr="006F304D">
        <w:t xml:space="preserve">, </w:t>
      </w:r>
      <w:r w:rsidRPr="005C0DF3">
        <w:t>the two lines balancing one an</w:t>
      </w:r>
      <w:r w:rsidRPr="005C0DF3">
        <w:softHyphen/>
        <w:t>other</w:t>
      </w:r>
      <w:r w:rsidR="006F304D" w:rsidRPr="006F304D">
        <w:t xml:space="preserve">, </w:t>
      </w:r>
      <w:r w:rsidRPr="005C0DF3">
        <w:t>and being com</w:t>
      </w:r>
      <w:r w:rsidRPr="005C0DF3">
        <w:softHyphen/>
        <w:t>monly marked by iden</w:t>
      </w:r>
      <w:r w:rsidRPr="005C0DF3">
        <w:softHyphen/>
        <w:t xml:space="preserve">tity of </w:t>
      </w:r>
      <w:r w:rsidRPr="005C0DF3">
        <w:rPr>
          <w:i/>
        </w:rPr>
        <w:t>rhythm</w:t>
      </w:r>
      <w:r w:rsidRPr="005C0DF3">
        <w:t>.</w:t>
      </w:r>
    </w:p>
    <w:p w14:paraId="6000BF22" w14:textId="77777777" w:rsidR="0018433B" w:rsidRDefault="0018433B" w:rsidP="0018433B"/>
    <w:p w14:paraId="17B171F7" w14:textId="653E20E9" w:rsidR="0018433B" w:rsidRPr="005C0DF3" w:rsidRDefault="0018433B" w:rsidP="0018433B">
      <w:r w:rsidRPr="005C0DF3">
        <w:t>Identity of rhythm would at least make something parallel; but since such identity is only “com</w:t>
      </w:r>
      <w:r w:rsidRPr="005C0DF3">
        <w:softHyphen/>
        <w:t>monly” characteristic</w:t>
      </w:r>
      <w:r w:rsidR="006F304D" w:rsidRPr="006F304D">
        <w:t xml:space="preserve">, </w:t>
      </w:r>
      <w:r w:rsidRPr="005C0DF3">
        <w:t xml:space="preserve">apparently any couplet whose sense is neither synonymous nor antithetic is </w:t>
      </w:r>
      <w:r w:rsidRPr="005C0DF3">
        <w:rPr>
          <w:i/>
        </w:rPr>
        <w:t>ipso facto</w:t>
      </w:r>
      <w:r w:rsidRPr="005C0DF3">
        <w:t xml:space="preserve"> synthetic.</w:t>
      </w:r>
    </w:p>
  </w:footnote>
  <w:footnote w:id="289">
    <w:p w14:paraId="0D6DD8D1" w14:textId="72B5F74F" w:rsidR="0018433B" w:rsidRPr="005C0DF3" w:rsidRDefault="0018433B" w:rsidP="0018433B">
      <w:r w:rsidRPr="005C0DF3">
        <w:rPr>
          <w:rStyle w:val="FootnoteReference"/>
        </w:rPr>
        <w:footnoteRef/>
      </w:r>
      <w:r>
        <w:t xml:space="preserve"> </w:t>
      </w:r>
      <w:r w:rsidRPr="005C0DF3">
        <w:t>“Ascents” is ordinarily ex</w:t>
      </w:r>
      <w:r w:rsidRPr="005C0DF3">
        <w:softHyphen/>
        <w:t>plained as refer</w:t>
      </w:r>
      <w:r w:rsidRPr="005C0DF3">
        <w:softHyphen/>
        <w:t>ring to pil</w:t>
      </w:r>
      <w:r w:rsidRPr="005C0DF3">
        <w:softHyphen/>
        <w:t>grim</w:t>
      </w:r>
      <w:r w:rsidRPr="005C0DF3">
        <w:softHyphen/>
        <w:t>ages “up” to Jerusa</w:t>
      </w:r>
      <w:r w:rsidRPr="005C0DF3">
        <w:softHyphen/>
        <w:t>lem</w:t>
      </w:r>
      <w:r w:rsidR="006F304D" w:rsidRPr="006F304D">
        <w:t xml:space="preserve">, </w:t>
      </w:r>
      <w:r w:rsidRPr="005C0DF3">
        <w:t>but Burney hypothesizes that the phrase refers to “the step-like struc</w:t>
      </w:r>
      <w:r w:rsidRPr="005C0DF3">
        <w:softHyphen/>
        <w:t>ture” (ib</w:t>
      </w:r>
      <w:r w:rsidRPr="005C0DF3">
        <w:softHyphen/>
        <w:t>id.</w:t>
      </w:r>
      <w:r w:rsidR="006F304D" w:rsidRPr="006F304D">
        <w:t xml:space="preserve">, </w:t>
      </w:r>
      <w:r w:rsidRPr="005C0DF3">
        <w:t>96).</w:t>
      </w:r>
    </w:p>
  </w:footnote>
  <w:footnote w:id="290">
    <w:p w14:paraId="4A23735C" w14:textId="542A7CFA" w:rsidR="0018433B" w:rsidRPr="005C0DF3" w:rsidRDefault="0018433B" w:rsidP="0018433B">
      <w:r w:rsidRPr="005C0DF3">
        <w:rPr>
          <w:rStyle w:val="FootnoteReference"/>
        </w:rPr>
        <w:footnoteRef/>
      </w:r>
      <w:r>
        <w:t xml:space="preserve"> </w:t>
      </w:r>
      <w:r w:rsidRPr="005C0DF3">
        <w:t>Ibid.</w:t>
      </w:r>
      <w:r w:rsidR="006F304D" w:rsidRPr="006F304D">
        <w:t xml:space="preserve">, </w:t>
      </w:r>
      <w:r w:rsidRPr="005C0DF3">
        <w:t>90.</w:t>
      </w:r>
    </w:p>
  </w:footnote>
  <w:footnote w:id="291">
    <w:p w14:paraId="4D0D7B6B" w14:textId="6887D54C" w:rsidR="0018433B" w:rsidRDefault="0018433B" w:rsidP="0018433B">
      <w:r w:rsidRPr="005C0DF3">
        <w:rPr>
          <w:rStyle w:val="FootnoteReference"/>
        </w:rPr>
        <w:footnoteRef/>
      </w:r>
      <w:r>
        <w:t xml:space="preserve"> </w:t>
      </w:r>
      <w:r w:rsidRPr="005C0DF3">
        <w:t>Ibid.</w:t>
      </w:r>
      <w:r w:rsidR="006F304D" w:rsidRPr="006F304D">
        <w:t xml:space="preserve">, </w:t>
      </w:r>
      <w:r w:rsidRPr="005C0DF3">
        <w:t>91-92. Note that Matt 6:6 can also be de</w:t>
      </w:r>
      <w:r w:rsidRPr="005C0DF3">
        <w:softHyphen/>
        <w:t>scribed as a chiasm; cf. Manson</w:t>
      </w:r>
      <w:r w:rsidR="006F304D" w:rsidRPr="006F304D">
        <w:t xml:space="preserve">, </w:t>
      </w:r>
      <w:r w:rsidRPr="005C0DF3">
        <w:rPr>
          <w:i/>
        </w:rPr>
        <w:t>The Teach</w:t>
      </w:r>
      <w:r w:rsidRPr="005C0DF3">
        <w:rPr>
          <w:i/>
        </w:rPr>
        <w:softHyphen/>
        <w:t>ing of Jesus</w:t>
      </w:r>
      <w:r w:rsidRPr="005C0DF3">
        <w:t xml:space="preserve">: </w:t>
      </w:r>
      <w:r w:rsidRPr="005C0DF3">
        <w:rPr>
          <w:i/>
        </w:rPr>
        <w:t>Studies of Its Form and Content</w:t>
      </w:r>
      <w:r w:rsidRPr="005C0DF3">
        <w:t xml:space="preserve"> (</w:t>
      </w:r>
      <w:r w:rsidR="00E366BA" w:rsidRPr="00E366BA">
        <w:rPr>
          <w:iCs/>
        </w:rPr>
        <w:t>Cambridge: CUP</w:t>
      </w:r>
      <w:r w:rsidR="006F304D" w:rsidRPr="006F304D">
        <w:t xml:space="preserve">, </w:t>
      </w:r>
      <w:r w:rsidRPr="005C0DF3">
        <w:t>1935</w:t>
      </w:r>
      <w:r w:rsidRPr="005C0DF3">
        <w:rPr>
          <w:vertAlign w:val="superscript"/>
        </w:rPr>
        <w:t>2</w:t>
      </w:r>
      <w:r w:rsidRPr="005C0DF3">
        <w:t xml:space="preserve">) 52 </w:t>
      </w:r>
      <w:r>
        <w:t>and</w:t>
      </w:r>
      <w:r w:rsidRPr="005C0DF3">
        <w:t xml:space="preserve"> n. 2. Burney also mentions a fifth form of parallelism</w:t>
      </w:r>
      <w:r w:rsidR="006F304D" w:rsidRPr="006F304D">
        <w:t xml:space="preserve">, </w:t>
      </w:r>
      <w:r w:rsidRPr="005C0DF3">
        <w:t>“cli</w:t>
      </w:r>
      <w:r w:rsidRPr="005C0DF3">
        <w:softHyphen/>
        <w:t>mactic” (94-95):</w:t>
      </w:r>
    </w:p>
    <w:p w14:paraId="1944A066" w14:textId="77777777" w:rsidR="0018433B" w:rsidRPr="005C0DF3" w:rsidRDefault="0018433B" w:rsidP="0018433B"/>
    <w:p w14:paraId="78CA2B70" w14:textId="216F9B90" w:rsidR="0018433B" w:rsidRPr="005C0DF3" w:rsidRDefault="0018433B" w:rsidP="0018433B">
      <w:pPr>
        <w:ind w:left="720" w:right="720"/>
      </w:pPr>
      <w:r w:rsidRPr="005C0DF3">
        <w:t xml:space="preserve">[Step parallelism] might be termed </w:t>
      </w:r>
      <w:r w:rsidRPr="005C0DF3">
        <w:rPr>
          <w:i/>
        </w:rPr>
        <w:t>Cli</w:t>
      </w:r>
      <w:r w:rsidRPr="005C0DF3">
        <w:rPr>
          <w:i/>
        </w:rPr>
        <w:softHyphen/>
        <w:t>mac</w:t>
      </w:r>
      <w:r w:rsidRPr="005C0DF3">
        <w:rPr>
          <w:i/>
        </w:rPr>
        <w:softHyphen/>
        <w:t>tic</w:t>
      </w:r>
      <w:r w:rsidR="006F304D" w:rsidRPr="006F304D">
        <w:t xml:space="preserve">, </w:t>
      </w:r>
      <w:r w:rsidRPr="005C0DF3">
        <w:t>had not this term been already appro</w:t>
      </w:r>
      <w:r w:rsidRPr="005C0DF3">
        <w:softHyphen/>
        <w:t>priated for a divergent and somewhat rare form of O. T. parallelism which is no</w:t>
      </w:r>
      <w:r w:rsidRPr="005C0DF3">
        <w:softHyphen/>
        <w:t xml:space="preserve">ted by Dr. Driver in his </w:t>
      </w:r>
      <w:r w:rsidRPr="005C0DF3">
        <w:rPr>
          <w:i/>
        </w:rPr>
        <w:t>Introduc</w:t>
      </w:r>
      <w:r w:rsidRPr="005C0DF3">
        <w:rPr>
          <w:i/>
        </w:rPr>
        <w:softHyphen/>
        <w:t>tion to the Liter</w:t>
      </w:r>
      <w:r w:rsidRPr="005C0DF3">
        <w:rPr>
          <w:i/>
        </w:rPr>
        <w:softHyphen/>
        <w:t>a</w:t>
      </w:r>
      <w:r w:rsidRPr="005C0DF3">
        <w:rPr>
          <w:i/>
        </w:rPr>
        <w:softHyphen/>
        <w:t>ture of the O</w:t>
      </w:r>
      <w:r w:rsidRPr="005C0DF3">
        <w:t xml:space="preserve">. </w:t>
      </w:r>
      <w:r w:rsidRPr="005C0DF3">
        <w:rPr>
          <w:i/>
        </w:rPr>
        <w:t>T</w:t>
      </w:r>
      <w:r w:rsidRPr="005C0DF3">
        <w:t>.</w:t>
      </w:r>
      <w:r w:rsidRPr="005C0DF3">
        <w:rPr>
          <w:vertAlign w:val="superscript"/>
        </w:rPr>
        <w:t>9</w:t>
      </w:r>
      <w:r w:rsidR="006F304D" w:rsidRPr="006F304D">
        <w:t xml:space="preserve">, </w:t>
      </w:r>
      <w:r w:rsidRPr="005C0DF3">
        <w:t>p. 363. In [step parallelism] the first line in a cou</w:t>
      </w:r>
      <w:r w:rsidRPr="005C0DF3">
        <w:softHyphen/>
        <w:t>p</w:t>
      </w:r>
      <w:r w:rsidRPr="005C0DF3">
        <w:softHyphen/>
        <w:t>let is usually complete as re</w:t>
      </w:r>
      <w:r w:rsidRPr="005C0DF3">
        <w:softHyphen/>
        <w:t xml:space="preserve">gards </w:t>
      </w:r>
      <w:r w:rsidRPr="005C0DF3">
        <w:rPr>
          <w:i/>
        </w:rPr>
        <w:t>sense</w:t>
      </w:r>
      <w:r w:rsidR="006F304D" w:rsidRPr="006F304D">
        <w:t xml:space="preserve">, </w:t>
      </w:r>
      <w:r w:rsidRPr="005C0DF3">
        <w:t>and might con</w:t>
      </w:r>
      <w:r w:rsidRPr="005C0DF3">
        <w:softHyphen/>
        <w:t>ceivably stand by itself without the develop</w:t>
      </w:r>
      <w:r w:rsidRPr="005C0DF3">
        <w:softHyphen/>
        <w:t>ment in thought involved in the second line. In the O. T. examples of par</w:t>
      </w:r>
      <w:r w:rsidRPr="005C0DF3">
        <w:softHyphen/>
        <w:t xml:space="preserve">allelism which is termed Climactic the sense of the first line is </w:t>
      </w:r>
      <w:r w:rsidRPr="005C0DF3">
        <w:rPr>
          <w:i/>
        </w:rPr>
        <w:t>incomplete</w:t>
      </w:r>
      <w:r w:rsidRPr="005C0DF3">
        <w:t xml:space="preserve"> </w:t>
      </w:r>
      <w:r w:rsidRPr="00963D68">
        <w:t>. . .</w:t>
      </w:r>
    </w:p>
    <w:p w14:paraId="7EF16557" w14:textId="77777777" w:rsidR="0018433B" w:rsidRDefault="0018433B" w:rsidP="0018433B"/>
    <w:p w14:paraId="0DC9ABFA" w14:textId="10A4EAB9" w:rsidR="0018433B" w:rsidRPr="005C0DF3" w:rsidRDefault="0018433B" w:rsidP="0018433B">
      <w:r w:rsidRPr="005C0DF3">
        <w:t>Whether the categories of synthetic</w:t>
      </w:r>
      <w:r w:rsidR="006F304D" w:rsidRPr="006F304D">
        <w:t xml:space="preserve">, </w:t>
      </w:r>
      <w:r w:rsidRPr="005C0DF3">
        <w:t>step</w:t>
      </w:r>
      <w:r w:rsidR="006F304D" w:rsidRPr="006F304D">
        <w:t xml:space="preserve">, </w:t>
      </w:r>
      <w:r w:rsidRPr="005C0DF3">
        <w:t>and climactic parallelism are useful and ne</w:t>
      </w:r>
      <w:r w:rsidRPr="005C0DF3">
        <w:softHyphen/>
        <w:t xml:space="preserve">cessary types of parallelism has frequently been asked; thus Aloysius Fitzgerald (“Hebrew Poetry,” </w:t>
      </w:r>
      <w:r w:rsidRPr="005C0DF3">
        <w:rPr>
          <w:i/>
        </w:rPr>
        <w:t>JBC</w:t>
      </w:r>
      <w:r w:rsidR="006F304D" w:rsidRPr="006F304D">
        <w:t xml:space="preserve">, </w:t>
      </w:r>
      <w:r w:rsidRPr="005C0DF3">
        <w:t>2. 242) has remarked that synthetic parallel</w:t>
      </w:r>
      <w:r w:rsidRPr="005C0DF3">
        <w:softHyphen/>
        <w:t>ism “is not actu</w:t>
      </w:r>
      <w:r w:rsidRPr="005C0DF3">
        <w:softHyphen/>
        <w:t>ally parallel</w:t>
      </w:r>
      <w:r w:rsidRPr="005C0DF3">
        <w:softHyphen/>
        <w:t>ism but is rath</w:t>
      </w:r>
      <w:r w:rsidRPr="005C0DF3">
        <w:softHyphen/>
        <w:t>er a catch-all to include every</w:t>
      </w:r>
      <w:r w:rsidRPr="005C0DF3">
        <w:softHyphen/>
        <w:t>thing that does not fit into the other two cat</w:t>
      </w:r>
      <w:r w:rsidRPr="005C0DF3">
        <w:softHyphen/>
        <w:t>ego</w:t>
      </w:r>
      <w:r w:rsidRPr="005C0DF3">
        <w:softHyphen/>
        <w:t>ries.” At any rate</w:t>
      </w:r>
      <w:r w:rsidR="006F304D" w:rsidRPr="006F304D">
        <w:t xml:space="preserve">, </w:t>
      </w:r>
      <w:r w:rsidRPr="005C0DF3">
        <w:t>since all in</w:t>
      </w:r>
      <w:r w:rsidRPr="005C0DF3">
        <w:softHyphen/>
        <w:t>stances of parallel</w:t>
      </w:r>
      <w:r w:rsidRPr="005C0DF3">
        <w:softHyphen/>
        <w:t>ism that have been re</w:t>
      </w:r>
      <w:r w:rsidRPr="005C0DF3">
        <w:softHyphen/>
        <w:t>commended for the sermon on the plain have been either synony</w:t>
      </w:r>
      <w:r w:rsidRPr="005C0DF3">
        <w:softHyphen/>
        <w:t>mous or an</w:t>
      </w:r>
      <w:r w:rsidRPr="005C0DF3">
        <w:softHyphen/>
        <w:t>tithetic paral</w:t>
      </w:r>
      <w:r w:rsidRPr="005C0DF3">
        <w:softHyphen/>
        <w:t>lelism</w:t>
      </w:r>
      <w:r w:rsidR="006F304D" w:rsidRPr="006F304D">
        <w:t xml:space="preserve">, </w:t>
      </w:r>
      <w:r w:rsidRPr="005C0DF3">
        <w:t>we will</w:t>
      </w:r>
      <w:r w:rsidR="006F304D" w:rsidRPr="006F304D">
        <w:t xml:space="preserve">, </w:t>
      </w:r>
      <w:r w:rsidRPr="005C0DF3">
        <w:t>in our application of the principles of parallelism to the example text</w:t>
      </w:r>
      <w:r w:rsidR="006F304D" w:rsidRPr="006F304D">
        <w:t xml:space="preserve">, </w:t>
      </w:r>
      <w:r w:rsidRPr="005C0DF3">
        <w:t>mostly be concerned with these.</w:t>
      </w:r>
    </w:p>
  </w:footnote>
  <w:footnote w:id="292">
    <w:p w14:paraId="0CD7428E" w14:textId="77777777" w:rsidR="0018433B" w:rsidRDefault="0018433B" w:rsidP="0018433B">
      <w:r w:rsidRPr="005C0DF3">
        <w:rPr>
          <w:rStyle w:val="FootnoteReference"/>
        </w:rPr>
        <w:footnoteRef/>
      </w:r>
      <w:r>
        <w:t xml:space="preserve"> </w:t>
      </w:r>
      <w:r w:rsidRPr="005C0DF3">
        <w:t>The passage reads:</w:t>
      </w:r>
    </w:p>
    <w:p w14:paraId="392105EC" w14:textId="77777777" w:rsidR="0018433B" w:rsidRPr="005C0DF3" w:rsidRDefault="0018433B" w:rsidP="0018433B"/>
    <w:p w14:paraId="42ECFB63" w14:textId="398784C2" w:rsidR="0018433B" w:rsidRPr="005C0DF3" w:rsidRDefault="0018433B" w:rsidP="0018433B">
      <w:pPr>
        <w:ind w:left="720" w:right="720"/>
      </w:pPr>
      <w:r w:rsidRPr="005C0DF3">
        <w:t>At that time Jesus said</w:t>
      </w:r>
      <w:r w:rsidR="006F304D" w:rsidRPr="006F304D">
        <w:t xml:space="preserve">, </w:t>
      </w:r>
      <w:r w:rsidRPr="005C0DF3">
        <w:t>“I thank you</w:t>
      </w:r>
      <w:r w:rsidR="006F304D" w:rsidRPr="006F304D">
        <w:t xml:space="preserve">, </w:t>
      </w:r>
      <w:r w:rsidRPr="005C0DF3">
        <w:t>Father</w:t>
      </w:r>
      <w:r w:rsidR="006F304D" w:rsidRPr="006F304D">
        <w:t xml:space="preserve">, </w:t>
      </w:r>
      <w:r w:rsidRPr="005C0DF3">
        <w:t>Lord of heaven and earth</w:t>
      </w:r>
      <w:r w:rsidR="006F304D" w:rsidRPr="006F304D">
        <w:t xml:space="preserve">, </w:t>
      </w:r>
      <w:r w:rsidRPr="005C0DF3">
        <w:t xml:space="preserve">because you have hidden these things from the wise and the intelligent and have revealed them to infants; </w:t>
      </w:r>
      <w:r w:rsidRPr="005C0DF3">
        <w:rPr>
          <w:vertAlign w:val="superscript"/>
        </w:rPr>
        <w:t>26</w:t>
      </w:r>
      <w:r w:rsidRPr="005C0DF3">
        <w:t>yes</w:t>
      </w:r>
      <w:r w:rsidR="006F304D" w:rsidRPr="006F304D">
        <w:t xml:space="preserve">, </w:t>
      </w:r>
      <w:r w:rsidRPr="005C0DF3">
        <w:t>Father</w:t>
      </w:r>
      <w:r w:rsidR="006F304D" w:rsidRPr="006F304D">
        <w:t xml:space="preserve">, </w:t>
      </w:r>
      <w:r w:rsidRPr="005C0DF3">
        <w:t xml:space="preserve">for such was your gracious will. </w:t>
      </w:r>
      <w:r w:rsidRPr="005C0DF3">
        <w:rPr>
          <w:vertAlign w:val="superscript"/>
        </w:rPr>
        <w:t>27</w:t>
      </w:r>
      <w:r w:rsidRPr="005C0DF3">
        <w:t>All things have been handed over to me by my Father; and no one knows the Son except the Father</w:t>
      </w:r>
      <w:r w:rsidR="006F304D" w:rsidRPr="006F304D">
        <w:t xml:space="preserve">, </w:t>
      </w:r>
      <w:r w:rsidRPr="005C0DF3">
        <w:t>and no one knows the Father except the Son and anyone to whom the Son chooses to reveal him.”</w:t>
      </w:r>
    </w:p>
    <w:p w14:paraId="1874D7D7" w14:textId="77777777" w:rsidR="0018433B" w:rsidRDefault="0018433B" w:rsidP="0018433B"/>
    <w:p w14:paraId="55890289" w14:textId="0E2A6A11" w:rsidR="0018433B" w:rsidRPr="005C0DF3" w:rsidRDefault="0018433B" w:rsidP="0018433B">
      <w:r w:rsidRPr="005C0DF3">
        <w:t>These verses have been well described as a “meteorite fallen from the Jo</w:t>
      </w:r>
      <w:r w:rsidRPr="005C0DF3">
        <w:softHyphen/>
        <w:t>han</w:t>
      </w:r>
      <w:r w:rsidRPr="005C0DF3">
        <w:softHyphen/>
        <w:t>nine sky” (K. A. von Hase</w:t>
      </w:r>
      <w:r w:rsidR="006F304D" w:rsidRPr="006F304D">
        <w:t xml:space="preserve">, </w:t>
      </w:r>
      <w:r w:rsidRPr="005C0DF3">
        <w:rPr>
          <w:i/>
        </w:rPr>
        <w:t>Geschichte Jesu</w:t>
      </w:r>
      <w:r w:rsidRPr="005C0DF3">
        <w:t xml:space="preserve"> [</w:t>
      </w:r>
      <w:r w:rsidR="0029762C" w:rsidRPr="0029762C">
        <w:rPr>
          <w:iCs/>
        </w:rPr>
        <w:t>2nd ed.</w:t>
      </w:r>
      <w:r w:rsidRPr="005C0DF3">
        <w:t>; Leip</w:t>
      </w:r>
      <w:r w:rsidRPr="005C0DF3">
        <w:softHyphen/>
        <w:t>zig: Breit</w:t>
      </w:r>
      <w:r w:rsidRPr="005C0DF3">
        <w:softHyphen/>
        <w:t xml:space="preserve">kopf </w:t>
      </w:r>
      <w:r>
        <w:t>and</w:t>
      </w:r>
      <w:r w:rsidRPr="005C0DF3">
        <w:t xml:space="preserve"> Här</w:t>
      </w:r>
      <w:r w:rsidRPr="005C0DF3">
        <w:softHyphen/>
        <w:t>tel</w:t>
      </w:r>
      <w:r w:rsidR="006F304D" w:rsidRPr="006F304D">
        <w:t xml:space="preserve">, </w:t>
      </w:r>
      <w:r w:rsidRPr="005C0DF3">
        <w:t>1891] 422</w:t>
      </w:r>
      <w:r w:rsidR="006F304D" w:rsidRPr="006F304D">
        <w:t xml:space="preserve">, </w:t>
      </w:r>
      <w:r w:rsidRPr="005C0DF3">
        <w:t>quoted in Joseph A. Fitz</w:t>
      </w:r>
      <w:r w:rsidRPr="005C0DF3">
        <w:softHyphen/>
        <w:t>myer</w:t>
      </w:r>
      <w:r w:rsidR="006F304D" w:rsidRPr="006F304D">
        <w:t xml:space="preserve">, </w:t>
      </w:r>
      <w:r w:rsidRPr="005C0DF3">
        <w:rPr>
          <w:i/>
        </w:rPr>
        <w:t>The Gos</w:t>
      </w:r>
      <w:r w:rsidRPr="005C0DF3">
        <w:rPr>
          <w:i/>
        </w:rPr>
        <w:softHyphen/>
        <w:t>pel According to Luke</w:t>
      </w:r>
      <w:r w:rsidR="006F304D" w:rsidRPr="006F304D">
        <w:t xml:space="preserve">, </w:t>
      </w:r>
      <w:r w:rsidRPr="005C0DF3">
        <w:t>2 vols. (AB 28 and 28a; Garden City NY: Dou</w:t>
      </w:r>
      <w:r w:rsidRPr="005C0DF3">
        <w:softHyphen/>
        <w:t>bleday</w:t>
      </w:r>
      <w:r w:rsidR="006F304D" w:rsidRPr="006F304D">
        <w:t xml:space="preserve">, </w:t>
      </w:r>
      <w:r w:rsidRPr="005C0DF3">
        <w:t>1981</w:t>
      </w:r>
      <w:r w:rsidR="006F304D" w:rsidRPr="006F304D">
        <w:t xml:space="preserve">, </w:t>
      </w:r>
      <w:r w:rsidRPr="005C0DF3">
        <w:t>1985)</w:t>
      </w:r>
      <w:r w:rsidR="006F304D" w:rsidRPr="006F304D">
        <w:t xml:space="preserve">, </w:t>
      </w:r>
      <w:r w:rsidRPr="005C0DF3">
        <w:t>2. 866</w:t>
      </w:r>
      <w:r w:rsidR="006F304D" w:rsidRPr="006F304D">
        <w:t xml:space="preserve">, </w:t>
      </w:r>
      <w:r w:rsidRPr="005C0DF3">
        <w:t>in his dis</w:t>
      </w:r>
      <w:r w:rsidRPr="005C0DF3">
        <w:softHyphen/>
        <w:t>cus</w:t>
      </w:r>
      <w:r w:rsidRPr="005C0DF3">
        <w:softHyphen/>
        <w:t>sion of the Lu</w:t>
      </w:r>
      <w:r w:rsidRPr="005C0DF3">
        <w:softHyphen/>
        <w:t>kan paral</w:t>
      </w:r>
      <w:r w:rsidRPr="005C0DF3">
        <w:softHyphen/>
        <w:t>lel</w:t>
      </w:r>
      <w:r w:rsidR="006F304D" w:rsidRPr="006F304D">
        <w:t xml:space="preserve">, </w:t>
      </w:r>
      <w:r w:rsidRPr="005C0DF3">
        <w:t>10:21-22). Cf. Bult</w:t>
      </w:r>
      <w:r w:rsidRPr="005C0DF3">
        <w:softHyphen/>
        <w:t>mann’s com</w:t>
      </w:r>
      <w:r w:rsidRPr="005C0DF3">
        <w:softHyphen/>
        <w:t>ment: verse 27 “has the ring of Hellenistic revela</w:t>
      </w:r>
      <w:r w:rsidRPr="005C0DF3">
        <w:softHyphen/>
        <w:t>tion-dis</w:t>
      </w:r>
      <w:r w:rsidRPr="005C0DF3">
        <w:softHyphen/>
        <w:t>course” (quoted in Francis W. Beare</w:t>
      </w:r>
      <w:r w:rsidR="006F304D" w:rsidRPr="006F304D">
        <w:t xml:space="preserve">, </w:t>
      </w:r>
      <w:r w:rsidRPr="005C0DF3">
        <w:rPr>
          <w:i/>
        </w:rPr>
        <w:t>The Earliest Records of Je</w:t>
      </w:r>
      <w:r w:rsidRPr="005C0DF3">
        <w:rPr>
          <w:i/>
        </w:rPr>
        <w:softHyphen/>
        <w:t>sus</w:t>
      </w:r>
      <w:r w:rsidRPr="005C0DF3">
        <w:t xml:space="preserve">: </w:t>
      </w:r>
      <w:r w:rsidRPr="005C0DF3">
        <w:rPr>
          <w:i/>
        </w:rPr>
        <w:t>A Com</w:t>
      </w:r>
      <w:r w:rsidRPr="005C0DF3">
        <w:rPr>
          <w:i/>
        </w:rPr>
        <w:softHyphen/>
        <w:t>panion to the Synopsis of the First Three Gospels by Albert Huck</w:t>
      </w:r>
      <w:r w:rsidRPr="005C0DF3">
        <w:t xml:space="preserve"> [</w:t>
      </w:r>
      <w:r w:rsidR="000644ED" w:rsidRPr="000644ED">
        <w:rPr>
          <w:iCs/>
        </w:rPr>
        <w:t>Nashville</w:t>
      </w:r>
      <w:r w:rsidRPr="005C0DF3">
        <w:t>: Abingdon</w:t>
      </w:r>
      <w:r w:rsidR="006F304D" w:rsidRPr="006F304D">
        <w:t xml:space="preserve">, </w:t>
      </w:r>
      <w:r w:rsidRPr="005C0DF3">
        <w:t>1962] 89).</w:t>
      </w:r>
    </w:p>
  </w:footnote>
  <w:footnote w:id="293">
    <w:p w14:paraId="04331ACA" w14:textId="1B0A6478" w:rsidR="0018433B" w:rsidRPr="00321D65" w:rsidRDefault="0018433B" w:rsidP="0018433B">
      <w:r w:rsidRPr="005C0DF3">
        <w:rPr>
          <w:rStyle w:val="FootnoteReference"/>
        </w:rPr>
        <w:footnoteRef/>
      </w:r>
      <w:r>
        <w:t xml:space="preserve"> </w:t>
      </w:r>
      <w:r w:rsidRPr="005C0DF3">
        <w:t>Petrus Dausch</w:t>
      </w:r>
      <w:r w:rsidR="006F304D" w:rsidRPr="006F304D">
        <w:t xml:space="preserve">, </w:t>
      </w:r>
      <w:r w:rsidRPr="005C0DF3">
        <w:rPr>
          <w:i/>
        </w:rPr>
        <w:t>Die drei älteren Evangelien</w:t>
      </w:r>
      <w:r w:rsidR="006F304D" w:rsidRPr="006F304D">
        <w:t xml:space="preserve">, </w:t>
      </w:r>
      <w:r w:rsidRPr="005C0DF3">
        <w:rPr>
          <w:i/>
        </w:rPr>
        <w:t>übersetzt und er</w:t>
      </w:r>
      <w:r w:rsidRPr="005C0DF3">
        <w:rPr>
          <w:i/>
        </w:rPr>
        <w:softHyphen/>
        <w:t>klärt</w:t>
      </w:r>
      <w:r>
        <w:t xml:space="preserve">. </w:t>
      </w:r>
      <w:r w:rsidRPr="005C0DF3">
        <w:t>Die Heil</w:t>
      </w:r>
      <w:r w:rsidRPr="005C0DF3">
        <w:softHyphen/>
        <w:t>ige Schrift des Neuen Testamentes</w:t>
      </w:r>
      <w:r w:rsidR="006F304D" w:rsidRPr="006F304D">
        <w:t xml:space="preserve">, </w:t>
      </w:r>
      <w:r w:rsidRPr="005C0DF3">
        <w:t>3 vols. (Bonn: Peter Hanstein</w:t>
      </w:r>
      <w:r w:rsidR="006F304D" w:rsidRPr="006F304D">
        <w:t xml:space="preserve">, </w:t>
      </w:r>
      <w:r w:rsidRPr="005C0DF3">
        <w:t>1932</w:t>
      </w:r>
      <w:r w:rsidRPr="005C0DF3">
        <w:rPr>
          <w:vertAlign w:val="superscript"/>
        </w:rPr>
        <w:t>4</w:t>
      </w:r>
      <w:r w:rsidRPr="005C0DF3">
        <w:t>)</w:t>
      </w:r>
      <w:r w:rsidR="006F304D" w:rsidRPr="006F304D">
        <w:t xml:space="preserve">, </w:t>
      </w:r>
      <w:r w:rsidRPr="005C0DF3">
        <w:t>2. 133. Note that Burney (</w:t>
      </w:r>
      <w:r w:rsidRPr="005C0DF3">
        <w:rPr>
          <w:i/>
        </w:rPr>
        <w:t>Poetry</w:t>
      </w:r>
      <w:r w:rsidR="006F304D" w:rsidRPr="006F304D">
        <w:t xml:space="preserve">, </w:t>
      </w:r>
      <w:r w:rsidRPr="005C0DF3">
        <w:t>97) also allows for the development of three-line stan</w:t>
      </w:r>
      <w:r w:rsidRPr="005C0DF3">
        <w:softHyphen/>
        <w:t>zas: an ap</w:t>
      </w:r>
      <w:r w:rsidRPr="005C0DF3">
        <w:softHyphen/>
        <w:t>pended line can function as an “explana</w:t>
      </w:r>
      <w:r w:rsidRPr="005C0DF3">
        <w:softHyphen/>
        <w:t>tion of the couplet</w:t>
      </w:r>
      <w:r w:rsidR="006F304D" w:rsidRPr="006F304D">
        <w:t xml:space="preserve">, </w:t>
      </w:r>
      <w:r w:rsidRPr="005C0DF3">
        <w:t>development of its thought</w:t>
      </w:r>
      <w:r w:rsidR="006F304D" w:rsidRPr="006F304D">
        <w:t xml:space="preserve">, </w:t>
      </w:r>
      <w:r w:rsidRPr="005C0DF3">
        <w:t>or deduc</w:t>
      </w:r>
      <w:r w:rsidRPr="005C0DF3">
        <w:softHyphen/>
        <w:t>tion from it. This single line may be re</w:t>
      </w:r>
      <w:r w:rsidRPr="005C0DF3">
        <w:softHyphen/>
        <w:t>garded as turning the par</w:t>
      </w:r>
      <w:r w:rsidRPr="005C0DF3">
        <w:softHyphen/>
        <w:t>allel distich into a tris</w:t>
      </w:r>
      <w:r w:rsidRPr="005C0DF3">
        <w:softHyphen/>
        <w:t>tich; or</w:t>
      </w:r>
      <w:r w:rsidR="006F304D" w:rsidRPr="006F304D">
        <w:t xml:space="preserve">, </w:t>
      </w:r>
      <w:r w:rsidRPr="005C0DF3">
        <w:t>as it is often of unequal length</w:t>
      </w:r>
      <w:r w:rsidR="006F304D" w:rsidRPr="006F304D">
        <w:t xml:space="preserve">, </w:t>
      </w:r>
      <w:r w:rsidRPr="005C0DF3">
        <w:t>as a prose-comment upon it.” He also allows for the existence of four-line stanzas; but by “qua</w:t>
      </w:r>
      <w:r w:rsidRPr="005C0DF3">
        <w:softHyphen/>
        <w:t>train” he means</w:t>
      </w:r>
      <w:r w:rsidR="006F304D" w:rsidRPr="006F304D">
        <w:t xml:space="preserve">, </w:t>
      </w:r>
      <w:r w:rsidRPr="005C0DF3">
        <w:t>not a pair of parallel couplets (see Morgen</w:t>
      </w:r>
      <w:r w:rsidRPr="005C0DF3">
        <w:softHyphen/>
        <w:t>thaler [</w:t>
      </w:r>
      <w:r w:rsidRPr="005C0DF3">
        <w:rPr>
          <w:i/>
        </w:rPr>
        <w:t>Ges</w:t>
      </w:r>
      <w:r w:rsidRPr="005C0DF3">
        <w:rPr>
          <w:i/>
        </w:rPr>
        <w:softHyphen/>
        <w:t>chichts</w:t>
      </w:r>
      <w:r w:rsidRPr="005C0DF3">
        <w:rPr>
          <w:i/>
        </w:rPr>
        <w:softHyphen/>
        <w:t>schreibung</w:t>
      </w:r>
      <w:r w:rsidR="006F304D" w:rsidRPr="006F304D">
        <w:t xml:space="preserve">, </w:t>
      </w:r>
      <w:r w:rsidRPr="005C0DF3">
        <w:t>1. 136]: quat</w:t>
      </w:r>
      <w:r w:rsidRPr="005C0DF3">
        <w:softHyphen/>
        <w:t>rains are com</w:t>
      </w:r>
      <w:r w:rsidRPr="005C0DF3">
        <w:softHyphen/>
        <w:t>mon in Q “be</w:t>
      </w:r>
      <w:r w:rsidRPr="005C0DF3">
        <w:softHyphen/>
        <w:t xml:space="preserve">cause of the potential for </w:t>
      </w:r>
      <w:r w:rsidRPr="005C0DF3">
        <w:rPr>
          <w:i/>
        </w:rPr>
        <w:t>paral</w:t>
      </w:r>
      <w:r w:rsidRPr="005C0DF3">
        <w:rPr>
          <w:i/>
        </w:rPr>
        <w:softHyphen/>
        <w:t>lel</w:t>
      </w:r>
      <w:r w:rsidRPr="005C0DF3">
        <w:rPr>
          <w:i/>
        </w:rPr>
        <w:softHyphen/>
        <w:t>is</w:t>
      </w:r>
      <w:r w:rsidRPr="005C0DF3">
        <w:rPr>
          <w:i/>
        </w:rPr>
        <w:softHyphen/>
        <w:t>mus membror</w:t>
      </w:r>
      <w:r w:rsidRPr="005C0DF3">
        <w:rPr>
          <w:i/>
        </w:rPr>
        <w:softHyphen/>
        <w:t>um</w:t>
      </w:r>
      <w:r w:rsidRPr="005C0DF3">
        <w:t xml:space="preserve"> to form eas</w:t>
      </w:r>
      <w:r w:rsidRPr="005C0DF3">
        <w:softHyphen/>
        <w:t>ily into un</w:t>
      </w:r>
      <w:r w:rsidRPr="005C0DF3">
        <w:softHyphen/>
        <w:t>its with four mem</w:t>
      </w:r>
      <w:r w:rsidRPr="005C0DF3">
        <w:softHyphen/>
        <w:t>bers”) but “alternat</w:t>
      </w:r>
      <w:r w:rsidRPr="005C0DF3">
        <w:softHyphen/>
        <w:t>ing paral</w:t>
      </w:r>
      <w:r w:rsidRPr="005C0DF3">
        <w:softHyphen/>
        <w:t>lelis</w:t>
      </w:r>
      <w:r>
        <w:t>m,” where the pat</w:t>
      </w:r>
      <w:r>
        <w:softHyphen/>
        <w:t>tern is A B A´</w:t>
      </w:r>
      <w:r w:rsidRPr="005C0DF3">
        <w:t xml:space="preserve"> B</w:t>
      </w:r>
      <w:r>
        <w:t>´</w:t>
      </w:r>
      <w:r w:rsidRPr="005C0DF3">
        <w:t xml:space="preserve"> (112 n. 36). An example is Luke 12:48 (107):</w:t>
      </w:r>
    </w:p>
    <w:p w14:paraId="379762C4" w14:textId="77777777" w:rsidR="0018433B" w:rsidRPr="005C0DF3" w:rsidRDefault="0018433B" w:rsidP="0018433B"/>
    <w:p w14:paraId="45B4D990" w14:textId="77777777" w:rsidR="0018433B" w:rsidRPr="005C0DF3" w:rsidRDefault="0018433B" w:rsidP="0018433B">
      <w:pPr>
        <w:ind w:left="720"/>
      </w:pPr>
      <w:r w:rsidRPr="005C0DF3">
        <w:t>To whomsoever</w:t>
      </w:r>
      <w:r w:rsidRPr="005C0DF3">
        <w:tab/>
        <w:t>| is given</w:t>
      </w:r>
      <w:r w:rsidRPr="005C0DF3">
        <w:tab/>
      </w:r>
      <w:r w:rsidRPr="005C0DF3">
        <w:tab/>
      </w:r>
      <w:r>
        <w:tab/>
      </w:r>
      <w:r w:rsidRPr="005C0DF3">
        <w:t>| much,</w:t>
      </w:r>
    </w:p>
    <w:p w14:paraId="460B336B" w14:textId="77777777" w:rsidR="0018433B" w:rsidRPr="005C0DF3" w:rsidRDefault="0018433B" w:rsidP="0018433B">
      <w:pPr>
        <w:ind w:left="720"/>
      </w:pPr>
      <w:r w:rsidRPr="005C0DF3">
        <w:t>Of him</w:t>
      </w:r>
      <w:r w:rsidRPr="005C0DF3">
        <w:tab/>
      </w:r>
      <w:r w:rsidRPr="005C0DF3">
        <w:tab/>
      </w:r>
      <w:r w:rsidRPr="005C0DF3">
        <w:tab/>
        <w:t>| much</w:t>
      </w:r>
      <w:r w:rsidRPr="005C0DF3">
        <w:tab/>
      </w:r>
      <w:r w:rsidRPr="005C0DF3">
        <w:tab/>
      </w:r>
      <w:r w:rsidRPr="005C0DF3">
        <w:tab/>
      </w:r>
      <w:r>
        <w:tab/>
      </w:r>
      <w:r w:rsidRPr="005C0DF3">
        <w:t>| shall be required;</w:t>
      </w:r>
    </w:p>
    <w:p w14:paraId="36C05C00" w14:textId="77777777" w:rsidR="0018433B" w:rsidRPr="005C0DF3" w:rsidRDefault="0018433B" w:rsidP="0018433B">
      <w:pPr>
        <w:ind w:left="720"/>
      </w:pPr>
      <w:r w:rsidRPr="005C0DF3">
        <w:t>And to whom</w:t>
      </w:r>
      <w:r w:rsidRPr="005C0DF3">
        <w:tab/>
      </w:r>
      <w:r w:rsidRPr="005C0DF3">
        <w:tab/>
        <w:t>| they commit</w:t>
      </w:r>
      <w:r w:rsidRPr="005C0DF3">
        <w:tab/>
      </w:r>
      <w:r w:rsidRPr="005C0DF3">
        <w:tab/>
      </w:r>
      <w:r>
        <w:tab/>
      </w:r>
      <w:r w:rsidRPr="005C0DF3">
        <w:t>| much,</w:t>
      </w:r>
    </w:p>
    <w:p w14:paraId="0C963476" w14:textId="77777777" w:rsidR="0018433B" w:rsidRPr="005C0DF3" w:rsidRDefault="0018433B" w:rsidP="0018433B">
      <w:pPr>
        <w:ind w:left="720"/>
      </w:pPr>
      <w:r>
        <w:t>The more</w:t>
      </w:r>
      <w:r>
        <w:tab/>
      </w:r>
      <w:r>
        <w:tab/>
        <w:t>| shall they ask</w:t>
      </w:r>
      <w:r>
        <w:tab/>
      </w:r>
      <w:r>
        <w:tab/>
      </w:r>
      <w:r>
        <w:tab/>
      </w:r>
      <w:r w:rsidRPr="005C0DF3">
        <w:t>| of him.</w:t>
      </w:r>
    </w:p>
    <w:p w14:paraId="796738C7" w14:textId="77777777" w:rsidR="0018433B" w:rsidRDefault="0018433B" w:rsidP="0018433B"/>
    <w:p w14:paraId="07FA270D" w14:textId="36A67084" w:rsidR="0018433B" w:rsidRPr="005C0DF3" w:rsidRDefault="0018433B" w:rsidP="0018433B">
      <w:r w:rsidRPr="005C0DF3">
        <w:t>But Burney shows confusion over the parallelism that results. He says such quatrains are “Synony</w:t>
      </w:r>
      <w:r w:rsidRPr="005C0DF3">
        <w:softHyphen/>
        <w:t>mous or Anti</w:t>
      </w:r>
      <w:r w:rsidRPr="005C0DF3">
        <w:softHyphen/>
        <w:t>thetic par</w:t>
      </w:r>
      <w:r w:rsidRPr="005C0DF3">
        <w:softHyphen/>
        <w:t>al</w:t>
      </w:r>
      <w:r w:rsidRPr="005C0DF3">
        <w:softHyphen/>
        <w:t>lelism</w:t>
      </w:r>
      <w:r w:rsidR="006F304D" w:rsidRPr="006F304D">
        <w:t xml:space="preserve">, </w:t>
      </w:r>
      <w:r w:rsidRPr="005C0DF3">
        <w:t>not between successive lines</w:t>
      </w:r>
      <w:r w:rsidR="006F304D" w:rsidRPr="006F304D">
        <w:t xml:space="preserve">, </w:t>
      </w:r>
      <w:r w:rsidRPr="005C0DF3">
        <w:t>but between alternate lines” (ibid.); but elsewhere he maintains that</w:t>
      </w:r>
      <w:r w:rsidR="006F304D" w:rsidRPr="006F304D">
        <w:t xml:space="preserve">, </w:t>
      </w:r>
      <w:r w:rsidRPr="005C0DF3">
        <w:t xml:space="preserve">“since the sense runs on from </w:t>
      </w:r>
      <w:r w:rsidRPr="005C0DF3">
        <w:rPr>
          <w:i/>
        </w:rPr>
        <w:t>a</w:t>
      </w:r>
      <w:r w:rsidRPr="005C0DF3">
        <w:t xml:space="preserve"> to </w:t>
      </w:r>
      <w:r w:rsidRPr="005C0DF3">
        <w:rPr>
          <w:i/>
        </w:rPr>
        <w:t>b</w:t>
      </w:r>
      <w:r w:rsidRPr="005C0DF3">
        <w:t xml:space="preserve"> and from </w:t>
      </w:r>
      <w:r w:rsidRPr="005C0DF3">
        <w:rPr>
          <w:i/>
        </w:rPr>
        <w:t>c</w:t>
      </w:r>
      <w:r w:rsidRPr="005C0DF3">
        <w:t xml:space="preserve"> to </w:t>
      </w:r>
      <w:r w:rsidRPr="005C0DF3">
        <w:rPr>
          <w:i/>
        </w:rPr>
        <w:t>d</w:t>
      </w:r>
      <w:r w:rsidRPr="005C0DF3">
        <w:t xml:space="preserve"> </w:t>
      </w:r>
      <w:r w:rsidRPr="00963D68">
        <w:t>. . .</w:t>
      </w:r>
      <w:r w:rsidR="006F304D" w:rsidRPr="006F304D">
        <w:t xml:space="preserve">, </w:t>
      </w:r>
      <w:r w:rsidRPr="005C0DF3">
        <w:t>the parallel</w:t>
      </w:r>
      <w:r w:rsidRPr="005C0DF3">
        <w:softHyphen/>
        <w:t xml:space="preserve">ism is </w:t>
      </w:r>
      <w:r w:rsidRPr="00963D68">
        <w:t>. . .</w:t>
      </w:r>
      <w:r w:rsidRPr="005C0DF3">
        <w:t xml:space="preserve"> </w:t>
      </w:r>
      <w:r w:rsidRPr="005C0DF3">
        <w:rPr>
          <w:i/>
        </w:rPr>
        <w:t>Synthetic</w:t>
      </w:r>
      <w:r w:rsidRPr="005C0DF3">
        <w:t>,” adding that such “quat</w:t>
      </w:r>
      <w:r w:rsidRPr="005C0DF3">
        <w:softHyphen/>
        <w:t>rains in fact are charac</w:t>
      </w:r>
      <w:r w:rsidRPr="005C0DF3">
        <w:softHyphen/>
        <w:t>terized by identity of rhythm in every line” (108).</w:t>
      </w:r>
    </w:p>
  </w:footnote>
  <w:footnote w:id="294">
    <w:p w14:paraId="22B8E1D6" w14:textId="272FCB95" w:rsidR="0018433B" w:rsidRPr="005C0DF3" w:rsidRDefault="0018433B" w:rsidP="0018433B">
      <w:r w:rsidRPr="005C0DF3">
        <w:rPr>
          <w:rStyle w:val="FootnoteReference"/>
        </w:rPr>
        <w:footnoteRef/>
      </w:r>
      <w:r>
        <w:t xml:space="preserve"> </w:t>
      </w:r>
      <w:r w:rsidRPr="005C0DF3">
        <w:t>Ibid.</w:t>
      </w:r>
      <w:r w:rsidR="006F304D" w:rsidRPr="006F304D">
        <w:t xml:space="preserve">, </w:t>
      </w:r>
      <w:r w:rsidRPr="005C0DF3">
        <w:t>89-90.</w:t>
      </w:r>
    </w:p>
  </w:footnote>
  <w:footnote w:id="295">
    <w:p w14:paraId="29BC867E" w14:textId="31CA9ABE" w:rsidR="0018433B" w:rsidRDefault="0018433B" w:rsidP="0018433B">
      <w:r w:rsidRPr="005C0DF3">
        <w:rPr>
          <w:rStyle w:val="FootnoteReference"/>
        </w:rPr>
        <w:footnoteRef/>
      </w:r>
      <w:r>
        <w:t xml:space="preserve"> </w:t>
      </w:r>
      <w:r w:rsidRPr="005C0DF3">
        <w:t>Ibid.</w:t>
      </w:r>
      <w:r w:rsidR="006F304D" w:rsidRPr="006F304D">
        <w:t xml:space="preserve">, </w:t>
      </w:r>
      <w:r w:rsidRPr="005C0DF3">
        <w:t>91-93:</w:t>
      </w:r>
    </w:p>
    <w:p w14:paraId="408048A5" w14:textId="77777777" w:rsidR="0018433B" w:rsidRPr="005C0DF3" w:rsidRDefault="0018433B" w:rsidP="0018433B"/>
    <w:p w14:paraId="146FB69D" w14:textId="77777777" w:rsidR="0018433B" w:rsidRPr="005C0DF3" w:rsidRDefault="0018433B" w:rsidP="0018433B">
      <w:pPr>
        <w:ind w:firstLine="720"/>
      </w:pPr>
      <w:r w:rsidRPr="005C0DF3">
        <w:t>Mark 9:37//Matt 18:5//Luke 9:48</w:t>
      </w:r>
      <w:r w:rsidRPr="005C0DF3">
        <w:tab/>
      </w:r>
      <w:r w:rsidRPr="005C0DF3">
        <w:tab/>
        <w:t>Matt 10:40</w:t>
      </w:r>
    </w:p>
    <w:p w14:paraId="1CBD6241" w14:textId="77777777" w:rsidR="0018433B" w:rsidRPr="005C0DF3" w:rsidRDefault="0018433B" w:rsidP="0018433B">
      <w:pPr>
        <w:ind w:firstLine="720"/>
      </w:pPr>
      <w:r>
        <w:t>Matt 5:17</w:t>
      </w:r>
      <w:r>
        <w:tab/>
      </w:r>
      <w:r>
        <w:tab/>
      </w:r>
      <w:r>
        <w:tab/>
      </w:r>
      <w:r>
        <w:tab/>
      </w:r>
      <w:r>
        <w:tab/>
      </w:r>
      <w:r w:rsidRPr="005C0DF3">
        <w:t>Matt 12:39//Luke 11:29</w:t>
      </w:r>
    </w:p>
    <w:p w14:paraId="286F1A73" w14:textId="77777777" w:rsidR="0018433B" w:rsidRPr="005C0DF3" w:rsidRDefault="0018433B" w:rsidP="0018433B">
      <w:pPr>
        <w:ind w:firstLine="720"/>
      </w:pPr>
      <w:r w:rsidRPr="005C0DF3">
        <w:t>Matt 6:6</w:t>
      </w:r>
      <w:r w:rsidRPr="005C0DF3">
        <w:tab/>
      </w:r>
      <w:r w:rsidRPr="005C0DF3">
        <w:tab/>
      </w:r>
      <w:r w:rsidRPr="005C0DF3">
        <w:tab/>
      </w:r>
      <w:r w:rsidRPr="005C0DF3">
        <w:tab/>
      </w:r>
      <w:r w:rsidRPr="005C0DF3">
        <w:tab/>
        <w:t>Luke 10:</w:t>
      </w:r>
      <w:r w:rsidRPr="005C0DF3">
        <w:softHyphen/>
        <w:t>16</w:t>
      </w:r>
    </w:p>
    <w:p w14:paraId="49568884" w14:textId="77777777" w:rsidR="0018433B" w:rsidRPr="005C0DF3" w:rsidRDefault="0018433B" w:rsidP="0018433B">
      <w:pPr>
        <w:ind w:firstLine="720"/>
      </w:pPr>
      <w:r w:rsidRPr="005C0DF3">
        <w:t>Matt 6:22//Luke 11:34</w:t>
      </w:r>
      <w:r w:rsidRPr="005C0DF3">
        <w:tab/>
      </w:r>
      <w:r w:rsidRPr="005C0DF3">
        <w:tab/>
      </w:r>
      <w:r w:rsidRPr="005C0DF3">
        <w:tab/>
        <w:t>Luke 12:5</w:t>
      </w:r>
    </w:p>
    <w:p w14:paraId="17C00885" w14:textId="77777777" w:rsidR="0018433B" w:rsidRPr="005C0DF3" w:rsidRDefault="0018433B" w:rsidP="0018433B">
      <w:pPr>
        <w:ind w:firstLine="720"/>
      </w:pPr>
      <w:r w:rsidRPr="005C0DF3">
        <w:t>Matt 6:34</w:t>
      </w:r>
      <w:r w:rsidRPr="005C0DF3">
        <w:tab/>
      </w:r>
      <w:r w:rsidRPr="005C0DF3">
        <w:tab/>
      </w:r>
      <w:r w:rsidRPr="005C0DF3">
        <w:tab/>
      </w:r>
      <w:r w:rsidRPr="005C0DF3">
        <w:tab/>
      </w:r>
      <w:r w:rsidRPr="005C0DF3">
        <w:tab/>
        <w:t>(also 13 examples from John).</w:t>
      </w:r>
    </w:p>
    <w:p w14:paraId="3D13A49E" w14:textId="77777777" w:rsidR="0018433B" w:rsidRDefault="0018433B" w:rsidP="0018433B">
      <w:pPr>
        <w:ind w:firstLine="720"/>
      </w:pPr>
      <w:r w:rsidRPr="005C0DF3">
        <w:t>Matt 10:</w:t>
      </w:r>
      <w:r w:rsidRPr="005C0DF3">
        <w:softHyphen/>
        <w:t>34</w:t>
      </w:r>
    </w:p>
    <w:p w14:paraId="359F141F" w14:textId="77777777" w:rsidR="0018433B" w:rsidRPr="005C0DF3" w:rsidRDefault="0018433B" w:rsidP="0018433B"/>
  </w:footnote>
  <w:footnote w:id="296">
    <w:p w14:paraId="32D3B11E" w14:textId="2AF6C3F4" w:rsidR="0018433B" w:rsidRPr="005C0DF3" w:rsidRDefault="0018433B" w:rsidP="0018433B">
      <w:pPr>
        <w:rPr>
          <w:vanish/>
        </w:rPr>
      </w:pPr>
      <w:r w:rsidRPr="005C0DF3">
        <w:rPr>
          <w:rStyle w:val="FootnoteReference"/>
        </w:rPr>
        <w:footnoteRef/>
      </w:r>
      <w:r>
        <w:t xml:space="preserve"> </w:t>
      </w:r>
      <w:r w:rsidRPr="005C0DF3">
        <w:t>Burney</w:t>
      </w:r>
      <w:r w:rsidR="006F304D" w:rsidRPr="006F304D">
        <w:t xml:space="preserve">, </w:t>
      </w:r>
      <w:r w:rsidRPr="005C0DF3">
        <w:rPr>
          <w:i/>
        </w:rPr>
        <w:t>Poetry</w:t>
      </w:r>
      <w:r w:rsidR="006F304D" w:rsidRPr="006F304D">
        <w:t xml:space="preserve">, </w:t>
      </w:r>
      <w:r w:rsidRPr="005C0DF3">
        <w:t>63-71:</w:t>
      </w:r>
    </w:p>
    <w:p w14:paraId="7E3EAD27" w14:textId="77777777" w:rsidR="0018433B" w:rsidRPr="005C0DF3" w:rsidRDefault="0018433B" w:rsidP="0018433B"/>
    <w:p w14:paraId="4585A887" w14:textId="77777777" w:rsidR="0018433B" w:rsidRPr="005C0DF3" w:rsidRDefault="0018433B" w:rsidP="0018433B">
      <w:pPr>
        <w:ind w:firstLine="720"/>
      </w:pPr>
      <w:r w:rsidRPr="005C0DF3">
        <w:t>Mark 3:4//</w:t>
      </w:r>
      <w:r w:rsidRPr="005C0DF3">
        <w:softHyphen/>
      </w:r>
      <w:r w:rsidRPr="005C0DF3">
        <w:softHyphen/>
        <w:t>Luke 6:9</w:t>
      </w:r>
      <w:r w:rsidRPr="005C0DF3">
        <w:tab/>
      </w:r>
      <w:r w:rsidRPr="005C0DF3">
        <w:tab/>
      </w:r>
      <w:r w:rsidRPr="005C0DF3">
        <w:tab/>
      </w:r>
      <w:r w:rsidRPr="005C0DF3">
        <w:tab/>
        <w:t>Matt 6:25//Luke 12:22-23</w:t>
      </w:r>
    </w:p>
    <w:p w14:paraId="339F2A85" w14:textId="77777777" w:rsidR="0018433B" w:rsidRPr="005C0DF3" w:rsidRDefault="0018433B" w:rsidP="0018433B">
      <w:pPr>
        <w:ind w:firstLine="720"/>
      </w:pPr>
      <w:r w:rsidRPr="005C0DF3">
        <w:t>Mark 3:24-25//</w:t>
      </w:r>
      <w:r w:rsidRPr="005C0DF3">
        <w:softHyphen/>
        <w:t>Matt 12:25//</w:t>
      </w:r>
      <w:r w:rsidRPr="005C0DF3">
        <w:softHyphen/>
        <w:t>Luke 11:17</w:t>
      </w:r>
      <w:r w:rsidRPr="005C0DF3">
        <w:tab/>
        <w:t>Matt 7:7-8//</w:t>
      </w:r>
      <w:r w:rsidRPr="005C0DF3">
        <w:softHyphen/>
        <w:t>Luke 11:9-10</w:t>
      </w:r>
    </w:p>
    <w:p w14:paraId="7C2F043C" w14:textId="77777777" w:rsidR="0018433B" w:rsidRPr="005C0DF3" w:rsidRDefault="0018433B" w:rsidP="0018433B">
      <w:pPr>
        <w:ind w:firstLine="720"/>
      </w:pPr>
      <w:r w:rsidRPr="005C0DF3">
        <w:t>Mark 3:28-29</w:t>
      </w:r>
      <w:r w:rsidRPr="005C0DF3">
        <w:tab/>
      </w:r>
      <w:r w:rsidRPr="005C0DF3">
        <w:tab/>
      </w:r>
      <w:r w:rsidRPr="005C0DF3">
        <w:tab/>
      </w:r>
      <w:r w:rsidRPr="005C0DF3">
        <w:tab/>
      </w:r>
      <w:r w:rsidRPr="005C0DF3">
        <w:tab/>
        <w:t>Matt 10:24-25//</w:t>
      </w:r>
      <w:r w:rsidRPr="005C0DF3">
        <w:softHyphen/>
      </w:r>
      <w:r w:rsidRPr="005C0DF3">
        <w:softHyphen/>
        <w:t>Luke 6:40</w:t>
      </w:r>
    </w:p>
    <w:p w14:paraId="32C25C6C" w14:textId="77777777" w:rsidR="0018433B" w:rsidRPr="005C0DF3" w:rsidRDefault="0018433B" w:rsidP="0018433B">
      <w:pPr>
        <w:ind w:firstLine="720"/>
      </w:pPr>
      <w:r w:rsidRPr="005C0DF3">
        <w:t>Mark 4:22//</w:t>
      </w:r>
      <w:r w:rsidRPr="005C0DF3">
        <w:softHyphen/>
        <w:t>Luke 8:17</w:t>
      </w:r>
      <w:r w:rsidRPr="005C0DF3">
        <w:tab/>
      </w:r>
      <w:r w:rsidRPr="005C0DF3">
        <w:tab/>
      </w:r>
      <w:r>
        <w:tab/>
      </w:r>
      <w:r w:rsidRPr="005C0DF3">
        <w:tab/>
        <w:t>Matt 11:12</w:t>
      </w:r>
      <w:r w:rsidRPr="005C0DF3">
        <w:softHyphen/>
        <w:t>//</w:t>
      </w:r>
      <w:r w:rsidRPr="005C0DF3">
        <w:softHyphen/>
        <w:t>Luke 16:16</w:t>
      </w:r>
    </w:p>
    <w:p w14:paraId="656060FE" w14:textId="77777777" w:rsidR="0018433B" w:rsidRPr="005C0DF3" w:rsidRDefault="0018433B" w:rsidP="0018433B">
      <w:pPr>
        <w:ind w:firstLine="720"/>
      </w:pPr>
      <w:r w:rsidRPr="005C0DF3">
        <w:t>Mark 4:30//</w:t>
      </w:r>
      <w:r w:rsidRPr="005C0DF3">
        <w:softHyphen/>
      </w:r>
      <w:r w:rsidRPr="005C0DF3">
        <w:softHyphen/>
        <w:t>Luke 13:18</w:t>
      </w:r>
      <w:r w:rsidRPr="005C0DF3">
        <w:tab/>
      </w:r>
      <w:r w:rsidRPr="005C0DF3">
        <w:tab/>
      </w:r>
      <w:r w:rsidRPr="005C0DF3">
        <w:tab/>
        <w:t>Matt 12:30//</w:t>
      </w:r>
      <w:r w:rsidRPr="005C0DF3">
        <w:softHyphen/>
        <w:t>Luke 11:23</w:t>
      </w:r>
    </w:p>
    <w:p w14:paraId="3D75CE3C" w14:textId="77777777" w:rsidR="0018433B" w:rsidRPr="005C0DF3" w:rsidRDefault="0018433B" w:rsidP="0018433B">
      <w:pPr>
        <w:ind w:firstLine="720"/>
      </w:pPr>
      <w:r w:rsidRPr="005C0DF3">
        <w:t>Mark 8:17-18</w:t>
      </w:r>
      <w:r w:rsidRPr="005C0DF3">
        <w:tab/>
      </w:r>
      <w:r w:rsidRPr="005C0DF3">
        <w:tab/>
      </w:r>
      <w:r w:rsidRPr="005C0DF3">
        <w:tab/>
      </w:r>
      <w:r w:rsidRPr="005C0DF3">
        <w:tab/>
      </w:r>
      <w:r w:rsidRPr="005C0DF3">
        <w:tab/>
        <w:t>Matt 23:29//</w:t>
      </w:r>
      <w:r w:rsidRPr="005C0DF3">
        <w:softHyphen/>
      </w:r>
      <w:r w:rsidRPr="005C0DF3">
        <w:softHyphen/>
        <w:t>Luke 11:</w:t>
      </w:r>
      <w:r w:rsidRPr="005C0DF3">
        <w:softHyphen/>
        <w:t>47</w:t>
      </w:r>
    </w:p>
    <w:p w14:paraId="6B75A517" w14:textId="77777777" w:rsidR="0018433B" w:rsidRPr="005C0DF3" w:rsidRDefault="0018433B" w:rsidP="0018433B">
      <w:pPr>
        <w:ind w:firstLine="720"/>
      </w:pPr>
      <w:r w:rsidRPr="005C0DF3">
        <w:t>Mark 8:34//</w:t>
      </w:r>
      <w:r w:rsidRPr="005C0DF3">
        <w:softHyphen/>
        <w:t>Matt 16:24//</w:t>
      </w:r>
      <w:r w:rsidRPr="005C0DF3">
        <w:softHyphen/>
        <w:t>Luke 9:23</w:t>
      </w:r>
      <w:r w:rsidRPr="005C0DF3">
        <w:tab/>
      </w:r>
      <w:r w:rsidRPr="005C0DF3">
        <w:tab/>
        <w:t>Matt 24:50-51//</w:t>
      </w:r>
      <w:r w:rsidRPr="005C0DF3">
        <w:softHyphen/>
      </w:r>
      <w:r w:rsidRPr="005C0DF3">
        <w:softHyphen/>
        <w:t>Luke 12:46</w:t>
      </w:r>
    </w:p>
    <w:p w14:paraId="1B4B66A2" w14:textId="77777777" w:rsidR="0018433B" w:rsidRPr="005C0DF3" w:rsidRDefault="0018433B" w:rsidP="0018433B">
      <w:pPr>
        <w:ind w:firstLine="720"/>
      </w:pPr>
      <w:r w:rsidRPr="005C0DF3">
        <w:t>Mark 9:19//</w:t>
      </w:r>
      <w:r w:rsidRPr="005C0DF3">
        <w:softHyphen/>
        <w:t>Matt 17:17</w:t>
      </w:r>
      <w:r w:rsidRPr="005C0DF3">
        <w:softHyphen/>
        <w:t>//</w:t>
      </w:r>
      <w:r w:rsidRPr="005C0DF3">
        <w:softHyphen/>
      </w:r>
      <w:r w:rsidRPr="005C0DF3">
        <w:softHyphen/>
      </w:r>
      <w:r w:rsidRPr="005C0DF3">
        <w:softHyphen/>
        <w:t>Luke 9:41</w:t>
      </w:r>
      <w:r w:rsidRPr="005C0DF3">
        <w:tab/>
      </w:r>
      <w:r w:rsidRPr="005C0DF3">
        <w:tab/>
        <w:t>Matt 7:6</w:t>
      </w:r>
    </w:p>
    <w:p w14:paraId="36AD1152" w14:textId="77777777" w:rsidR="0018433B" w:rsidRPr="005C0DF3" w:rsidRDefault="0018433B" w:rsidP="0018433B">
      <w:pPr>
        <w:ind w:firstLine="720"/>
      </w:pPr>
      <w:r w:rsidRPr="005C0DF3">
        <w:t>Mark 10:14//</w:t>
      </w:r>
      <w:r w:rsidRPr="005C0DF3">
        <w:softHyphen/>
        <w:t>Matt 19:14//</w:t>
      </w:r>
      <w:r w:rsidRPr="005C0DF3">
        <w:softHyphen/>
        <w:t>Luke 18:16</w:t>
      </w:r>
      <w:r w:rsidRPr="005C0DF3">
        <w:tab/>
      </w:r>
      <w:r>
        <w:tab/>
      </w:r>
      <w:r w:rsidRPr="005C0DF3">
        <w:t>Matt 10:41</w:t>
      </w:r>
    </w:p>
    <w:p w14:paraId="287E40AC" w14:textId="77777777" w:rsidR="0018433B" w:rsidRPr="005C0DF3" w:rsidRDefault="0018433B" w:rsidP="0018433B">
      <w:pPr>
        <w:ind w:firstLine="720"/>
      </w:pPr>
      <w:r w:rsidRPr="005C0DF3">
        <w:t>Mark 10:38ff//</w:t>
      </w:r>
      <w:r w:rsidRPr="005C0DF3">
        <w:softHyphen/>
        <w:t>Matt 20:22ff</w:t>
      </w:r>
      <w:r w:rsidRPr="005C0DF3">
        <w:tab/>
      </w:r>
      <w:r w:rsidRPr="005C0DF3">
        <w:tab/>
      </w:r>
      <w:r w:rsidRPr="005C0DF3">
        <w:tab/>
        <w:t>Luke 12:48</w:t>
      </w:r>
    </w:p>
    <w:p w14:paraId="0E83BDB6" w14:textId="77777777" w:rsidR="0018433B" w:rsidRPr="005C0DF3" w:rsidRDefault="0018433B" w:rsidP="0018433B">
      <w:pPr>
        <w:ind w:firstLine="720"/>
      </w:pPr>
      <w:r w:rsidRPr="005C0DF3">
        <w:t>Mark 13:8//</w:t>
      </w:r>
      <w:r w:rsidRPr="005C0DF3">
        <w:softHyphen/>
      </w:r>
      <w:r w:rsidRPr="005C0DF3">
        <w:softHyphen/>
      </w:r>
      <w:r w:rsidRPr="005C0DF3">
        <w:softHyphen/>
        <w:t>Matt 24:7//</w:t>
      </w:r>
      <w:r w:rsidRPr="005C0DF3">
        <w:softHyphen/>
        <w:t>Luke 21:10</w:t>
      </w:r>
      <w:r w:rsidRPr="005C0DF3">
        <w:tab/>
      </w:r>
      <w:r w:rsidRPr="005C0DF3">
        <w:tab/>
        <w:t>Luke 15:32</w:t>
      </w:r>
    </w:p>
    <w:p w14:paraId="6F119D92" w14:textId="77777777" w:rsidR="0018433B" w:rsidRPr="005C0DF3" w:rsidRDefault="0018433B" w:rsidP="0018433B">
      <w:pPr>
        <w:ind w:firstLine="720"/>
      </w:pPr>
      <w:r w:rsidRPr="005C0DF3">
        <w:t>Mark 13:24-25//</w:t>
      </w:r>
      <w:r w:rsidRPr="005C0DF3">
        <w:softHyphen/>
        <w:t>Matt 24:29</w:t>
      </w:r>
      <w:r w:rsidRPr="005C0DF3">
        <w:tab/>
      </w:r>
      <w:r w:rsidRPr="005C0DF3">
        <w:tab/>
      </w:r>
      <w:r w:rsidRPr="005C0DF3">
        <w:tab/>
        <w:t>Luke 19:43-44</w:t>
      </w:r>
    </w:p>
    <w:p w14:paraId="11D6DB8F" w14:textId="77777777" w:rsidR="0018433B" w:rsidRPr="005C0DF3" w:rsidRDefault="0018433B" w:rsidP="0018433B">
      <w:pPr>
        <w:ind w:firstLine="720"/>
      </w:pPr>
      <w:r w:rsidRPr="005C0DF3">
        <w:t>Matt 5:44//Luke 6:27-28</w:t>
      </w:r>
      <w:r w:rsidRPr="005C0DF3">
        <w:tab/>
      </w:r>
      <w:r w:rsidRPr="005C0DF3">
        <w:tab/>
      </w:r>
      <w:r w:rsidRPr="005C0DF3">
        <w:tab/>
        <w:t>Luke 24:38</w:t>
      </w:r>
    </w:p>
    <w:p w14:paraId="7AB1B79D" w14:textId="77777777" w:rsidR="0018433B" w:rsidRPr="005C0DF3" w:rsidRDefault="0018433B" w:rsidP="0018433B">
      <w:pPr>
        <w:ind w:firstLine="720"/>
      </w:pPr>
      <w:r w:rsidRPr="005C0DF3">
        <w:t>Matt 5:45//</w:t>
      </w:r>
      <w:r w:rsidRPr="005C0DF3">
        <w:softHyphen/>
      </w:r>
      <w:r w:rsidRPr="005C0DF3">
        <w:softHyphen/>
        <w:t>Luke 6:35b</w:t>
      </w:r>
      <w:r w:rsidRPr="005C0DF3">
        <w:tab/>
      </w:r>
      <w:r w:rsidRPr="005C0DF3">
        <w:tab/>
      </w:r>
      <w:r w:rsidRPr="005C0DF3">
        <w:tab/>
        <w:t>(also 13 instances in John).</w:t>
      </w:r>
    </w:p>
    <w:p w14:paraId="0EDE0ADC" w14:textId="77777777" w:rsidR="0018433B" w:rsidRDefault="0018433B" w:rsidP="0018433B"/>
    <w:p w14:paraId="7753411B" w14:textId="6936B4B7" w:rsidR="0018433B" w:rsidRPr="005C0DF3" w:rsidRDefault="0018433B" w:rsidP="0018433B">
      <w:r w:rsidRPr="005C0DF3">
        <w:t>Burney notes that “The use of Synonymous Parallelism by our Lord is con</w:t>
      </w:r>
      <w:r w:rsidRPr="005C0DF3">
        <w:softHyphen/>
        <w:t>fined</w:t>
      </w:r>
      <w:r w:rsidR="006F304D" w:rsidRPr="006F304D">
        <w:t xml:space="preserve">, </w:t>
      </w:r>
      <w:r w:rsidRPr="005C0DF3">
        <w:t>for the most part</w:t>
      </w:r>
      <w:r w:rsidR="006F304D" w:rsidRPr="006F304D">
        <w:t xml:space="preserve">, </w:t>
      </w:r>
      <w:r w:rsidRPr="005C0DF3">
        <w:t>to single couplets” (63). The longest example of con</w:t>
      </w:r>
      <w:r w:rsidRPr="005C0DF3">
        <w:softHyphen/>
        <w:t>tinu</w:t>
      </w:r>
      <w:r w:rsidRPr="005C0DF3">
        <w:softHyphen/>
        <w:t>ous use</w:t>
      </w:r>
      <w:r w:rsidR="006F304D" w:rsidRPr="006F304D">
        <w:t xml:space="preserve">, </w:t>
      </w:r>
      <w:r w:rsidRPr="005C0DF3">
        <w:t>he says</w:t>
      </w:r>
      <w:r w:rsidR="006F304D" w:rsidRPr="006F304D">
        <w:t xml:space="preserve">, </w:t>
      </w:r>
      <w:r w:rsidRPr="005C0DF3">
        <w:t>is Mark 10:38-45 (in fact</w:t>
      </w:r>
      <w:r w:rsidR="006F304D" w:rsidRPr="006F304D">
        <w:t xml:space="preserve">, </w:t>
      </w:r>
      <w:r w:rsidRPr="005C0DF3">
        <w:t>only the first</w:t>
      </w:r>
      <w:r w:rsidR="006F304D" w:rsidRPr="006F304D">
        <w:t xml:space="preserve">, </w:t>
      </w:r>
      <w:r w:rsidRPr="005C0DF3">
        <w:t>sec</w:t>
      </w:r>
      <w:r w:rsidRPr="005C0DF3">
        <w:softHyphen/>
        <w:t>ond</w:t>
      </w:r>
      <w:r w:rsidR="006F304D" w:rsidRPr="006F304D">
        <w:t xml:space="preserve">, </w:t>
      </w:r>
      <w:r w:rsidRPr="005C0DF3">
        <w:t>fourth</w:t>
      </w:r>
      <w:r w:rsidR="006F304D" w:rsidRPr="006F304D">
        <w:t xml:space="preserve">, </w:t>
      </w:r>
      <w:r w:rsidRPr="005C0DF3">
        <w:t>and fifth couplets are synonymous: the third is antithetic and the sixth synthet</w:t>
      </w:r>
      <w:r w:rsidRPr="005C0DF3">
        <w:softHyphen/>
        <w:t>ic). “Instances of synonymous distichs or tris</w:t>
      </w:r>
      <w:r w:rsidRPr="005C0DF3">
        <w:softHyphen/>
        <w:t>tichs oc</w:t>
      </w:r>
      <w:r w:rsidRPr="005C0DF3">
        <w:softHyphen/>
        <w:t>cur</w:t>
      </w:r>
      <w:r w:rsidRPr="005C0DF3">
        <w:softHyphen/>
        <w:t>ring singly or in groups of two or three,” he adds</w:t>
      </w:r>
      <w:r w:rsidR="006F304D" w:rsidRPr="006F304D">
        <w:t xml:space="preserve">, </w:t>
      </w:r>
      <w:r w:rsidRPr="005C0DF3">
        <w:t>“are fre</w:t>
      </w:r>
      <w:r w:rsidRPr="005C0DF3">
        <w:softHyphen/>
        <w:t>quent” (64).</w:t>
      </w:r>
    </w:p>
  </w:footnote>
  <w:footnote w:id="297">
    <w:p w14:paraId="4FF5A8EF" w14:textId="1213CC46" w:rsidR="0018433B" w:rsidRPr="005C0DF3" w:rsidRDefault="0018433B" w:rsidP="0018433B">
      <w:r w:rsidRPr="005C0DF3">
        <w:rPr>
          <w:rStyle w:val="FootnoteReference"/>
        </w:rPr>
        <w:footnoteRef/>
      </w:r>
      <w:r>
        <w:t xml:space="preserve"> </w:t>
      </w:r>
      <w:r w:rsidRPr="005C0DF3">
        <w:t>Ibid.</w:t>
      </w:r>
      <w:r w:rsidR="006F304D" w:rsidRPr="006F304D">
        <w:t xml:space="preserve">, </w:t>
      </w:r>
      <w:r w:rsidRPr="005C0DF3">
        <w:t>84: “In this and in similar forms of antithesis we may sure</w:t>
      </w:r>
      <w:r w:rsidRPr="005C0DF3">
        <w:softHyphen/>
        <w:t xml:space="preserve">ly believe that we possess our Lord’s </w:t>
      </w:r>
      <w:r w:rsidRPr="005C0DF3">
        <w:rPr>
          <w:i/>
        </w:rPr>
        <w:t>ipsissima verba</w:t>
      </w:r>
      <w:r w:rsidRPr="005C0DF3">
        <w:t xml:space="preserve"> [“very own words”] more nearly than in any sentence otherwise ex</w:t>
      </w:r>
      <w:r w:rsidRPr="005C0DF3">
        <w:softHyphen/>
        <w:t xml:space="preserve">pressed.” Jeremias (who prefers to speak of retrieving Jesus’ </w:t>
      </w:r>
      <w:r w:rsidRPr="005C0DF3">
        <w:rPr>
          <w:i/>
        </w:rPr>
        <w:t>ipsissima vox</w:t>
      </w:r>
      <w:r w:rsidR="006F304D" w:rsidRPr="006F304D">
        <w:t xml:space="preserve">, </w:t>
      </w:r>
      <w:r w:rsidRPr="005C0DF3">
        <w:t>“very own voice”) puts antithetic parallelism in the context of other criteria of authenticity (</w:t>
      </w:r>
      <w:r w:rsidRPr="005C0DF3">
        <w:rPr>
          <w:i/>
        </w:rPr>
        <w:t>NT Theology</w:t>
      </w:r>
      <w:r w:rsidR="006F304D" w:rsidRPr="006F304D">
        <w:t xml:space="preserve">, </w:t>
      </w:r>
      <w:r w:rsidRPr="005C0DF3">
        <w:t>3-30). He men</w:t>
      </w:r>
      <w:r w:rsidRPr="005C0DF3">
        <w:softHyphen/>
        <w:t>tions two stylistic criteria</w:t>
      </w:r>
      <w:r w:rsidR="006F304D" w:rsidRPr="006F304D">
        <w:t xml:space="preserve">, </w:t>
      </w:r>
      <w:r w:rsidRPr="005C0DF3">
        <w:t>Aramaisms (and Aramaic loan</w:t>
      </w:r>
      <w:r w:rsidRPr="005C0DF3">
        <w:softHyphen/>
        <w:t>words) and “ways of speaking preferred by Jesus,” which in</w:t>
      </w:r>
      <w:r w:rsidRPr="005C0DF3">
        <w:softHyphen/>
      </w:r>
      <w:r w:rsidRPr="005C0DF3">
        <w:softHyphen/>
        <w:t>clude: the divine passive (charac</w:t>
      </w:r>
      <w:r w:rsidRPr="005C0DF3">
        <w:softHyphen/>
        <w:t>teristic not of rabbinic but of apoc</w:t>
      </w:r>
      <w:r w:rsidRPr="005C0DF3">
        <w:softHyphen/>
        <w:t>alyptic lit</w:t>
      </w:r>
      <w:r w:rsidRPr="005C0DF3">
        <w:softHyphen/>
        <w:t>erature)</w:t>
      </w:r>
      <w:r w:rsidR="006F304D" w:rsidRPr="006F304D">
        <w:t xml:space="preserve">, </w:t>
      </w:r>
      <w:r w:rsidRPr="005C0DF3">
        <w:t>antithetic parallelism</w:t>
      </w:r>
      <w:r w:rsidR="006F304D" w:rsidRPr="006F304D">
        <w:t xml:space="preserve">, </w:t>
      </w:r>
      <w:r w:rsidRPr="005C0DF3">
        <w:t>rhy</w:t>
      </w:r>
      <w:r w:rsidRPr="005C0DF3">
        <w:softHyphen/>
        <w:t>thm</w:t>
      </w:r>
      <w:r w:rsidR="006F304D" w:rsidRPr="006F304D">
        <w:t xml:space="preserve">, </w:t>
      </w:r>
      <w:r w:rsidRPr="005C0DF3">
        <w:t>alliteration</w:t>
      </w:r>
      <w:r w:rsidR="006F304D" w:rsidRPr="006F304D">
        <w:t xml:space="preserve">, </w:t>
      </w:r>
      <w:r w:rsidRPr="005C0DF3">
        <w:t>asso</w:t>
      </w:r>
      <w:r w:rsidRPr="005C0DF3">
        <w:softHyphen/>
        <w:t>nance</w:t>
      </w:r>
      <w:r w:rsidR="006F304D" w:rsidRPr="006F304D">
        <w:t xml:space="preserve">, </w:t>
      </w:r>
      <w:r w:rsidRPr="005C0DF3">
        <w:t>and parono</w:t>
      </w:r>
      <w:r w:rsidRPr="005C0DF3">
        <w:softHyphen/>
        <w:t>masia (pun).</w:t>
      </w:r>
      <w:r w:rsidR="00AC038F" w:rsidRPr="00AC038F">
        <w:rPr>
          <w:iCs/>
        </w:rPr>
        <w:t xml:space="preserve"> </w:t>
      </w:r>
      <w:r w:rsidRPr="005C0DF3">
        <w:t>He mentions also non-stylistic criteria: characteristics of the para</w:t>
      </w:r>
      <w:r w:rsidRPr="005C0DF3">
        <w:softHyphen/>
        <w:t>bles (“Their nearness to life</w:t>
      </w:r>
      <w:r w:rsidR="006F304D" w:rsidRPr="006F304D">
        <w:t xml:space="preserve">, </w:t>
      </w:r>
      <w:r w:rsidRPr="005C0DF3">
        <w:t>their simplicity and clari</w:t>
      </w:r>
      <w:r w:rsidRPr="005C0DF3">
        <w:softHyphen/>
        <w:t>ty</w:t>
      </w:r>
      <w:r w:rsidR="006F304D" w:rsidRPr="006F304D">
        <w:t xml:space="preserve">, </w:t>
      </w:r>
      <w:r w:rsidRPr="005C0DF3">
        <w:t>the masterly brevity with which they are told</w:t>
      </w:r>
      <w:r w:rsidR="006F304D" w:rsidRPr="006F304D">
        <w:t xml:space="preserve">, </w:t>
      </w:r>
      <w:r w:rsidRPr="005C0DF3">
        <w:t>the seriousness of their ap</w:t>
      </w:r>
      <w:r w:rsidRPr="005C0DF3">
        <w:softHyphen/>
        <w:t>peal to the con</w:t>
      </w:r>
      <w:r w:rsidRPr="005C0DF3">
        <w:softHyphen/>
        <w:t>science</w:t>
      </w:r>
      <w:r w:rsidR="006F304D" w:rsidRPr="006F304D">
        <w:t xml:space="preserve">, </w:t>
      </w:r>
      <w:r w:rsidRPr="005C0DF3">
        <w:t>their loving understanding of the outcasts of reli</w:t>
      </w:r>
      <w:r w:rsidRPr="005C0DF3">
        <w:softHyphen/>
        <w:t>gion,” 30); rid</w:t>
      </w:r>
      <w:r w:rsidRPr="005C0DF3">
        <w:softHyphen/>
        <w:t xml:space="preserve">dles; “kingdom of </w:t>
      </w:r>
      <w:r>
        <w:t>God”; “Amen”; and “´Abbā</w:t>
      </w:r>
      <w:r w:rsidRPr="005C0DF3">
        <w:t>.” For further discussion of the criteria of authenticity</w:t>
      </w:r>
      <w:r w:rsidR="006F304D" w:rsidRPr="006F304D">
        <w:t xml:space="preserve">, </w:t>
      </w:r>
      <w:r w:rsidRPr="005C0DF3">
        <w:t>see: Harvey K. McArthur</w:t>
      </w:r>
      <w:r w:rsidR="006F304D" w:rsidRPr="006F304D">
        <w:t xml:space="preserve">, </w:t>
      </w:r>
      <w:r w:rsidRPr="005C0DF3">
        <w:t>“Ba</w:t>
      </w:r>
      <w:r w:rsidRPr="005C0DF3">
        <w:softHyphen/>
        <w:t>sic Issues</w:t>
      </w:r>
      <w:r w:rsidR="006F304D" w:rsidRPr="006F304D">
        <w:t xml:space="preserve">, </w:t>
      </w:r>
      <w:r w:rsidRPr="005C0DF3">
        <w:t>A Survey of Recent Gospel Re</w:t>
      </w:r>
      <w:r w:rsidRPr="005C0DF3">
        <w:softHyphen/>
        <w:t xml:space="preserve">search,” in </w:t>
      </w:r>
      <w:r w:rsidRPr="005C0DF3">
        <w:rPr>
          <w:i/>
        </w:rPr>
        <w:t>In Search of the Histori</w:t>
      </w:r>
      <w:r w:rsidRPr="005C0DF3">
        <w:rPr>
          <w:i/>
        </w:rPr>
        <w:softHyphen/>
        <w:t>cal Jesus</w:t>
      </w:r>
      <w:r w:rsidRPr="005C0DF3">
        <w:t xml:space="preserve"> (ed. McAr</w:t>
      </w:r>
      <w:r w:rsidRPr="005C0DF3">
        <w:softHyphen/>
        <w:t>thur; New York: Scrib</w:t>
      </w:r>
      <w:r w:rsidRPr="005C0DF3">
        <w:softHyphen/>
        <w:t>ner’s</w:t>
      </w:r>
      <w:r w:rsidR="006F304D" w:rsidRPr="006F304D">
        <w:t xml:space="preserve">, </w:t>
      </w:r>
      <w:r w:rsidRPr="005C0DF3">
        <w:t xml:space="preserve">1969) 39-55; </w:t>
      </w:r>
      <w:r w:rsidR="000C4944" w:rsidRPr="000C4944">
        <w:rPr>
          <w:iCs/>
        </w:rPr>
        <w:t>E.P.</w:t>
      </w:r>
      <w:r w:rsidRPr="005C0DF3">
        <w:t xml:space="preserve"> Sanders</w:t>
      </w:r>
      <w:r w:rsidR="006F304D" w:rsidRPr="006F304D">
        <w:t xml:space="preserve">, </w:t>
      </w:r>
      <w:r w:rsidRPr="005C0DF3">
        <w:rPr>
          <w:i/>
        </w:rPr>
        <w:t>The Ten</w:t>
      </w:r>
      <w:r w:rsidRPr="005C0DF3">
        <w:rPr>
          <w:i/>
        </w:rPr>
        <w:softHyphen/>
        <w:t>den</w:t>
      </w:r>
      <w:r w:rsidRPr="005C0DF3">
        <w:rPr>
          <w:i/>
        </w:rPr>
        <w:softHyphen/>
        <w:t>cies of the Synop</w:t>
      </w:r>
      <w:r w:rsidRPr="005C0DF3">
        <w:rPr>
          <w:i/>
        </w:rPr>
        <w:softHyphen/>
        <w:t>tic Tra</w:t>
      </w:r>
      <w:r w:rsidRPr="005C0DF3">
        <w:rPr>
          <w:i/>
        </w:rPr>
        <w:softHyphen/>
        <w:t>dition</w:t>
      </w:r>
      <w:r w:rsidRPr="005C0DF3">
        <w:t xml:space="preserve"> (</w:t>
      </w:r>
      <w:r w:rsidR="00826EC1" w:rsidRPr="00826EC1">
        <w:rPr>
          <w:iCs/>
        </w:rPr>
        <w:t>Society for New Testament Studies Monograph Series</w:t>
      </w:r>
      <w:r w:rsidRPr="005C0DF3">
        <w:t xml:space="preserve"> 9; </w:t>
      </w:r>
      <w:r w:rsidR="00E366BA" w:rsidRPr="00E366BA">
        <w:rPr>
          <w:iCs/>
        </w:rPr>
        <w:t>Cambridge: CUP</w:t>
      </w:r>
      <w:r w:rsidR="006F304D" w:rsidRPr="006F304D">
        <w:t xml:space="preserve">, </w:t>
      </w:r>
      <w:r w:rsidRPr="005C0DF3">
        <w:t>1969) 275; Norman Perrin</w:t>
      </w:r>
      <w:r w:rsidR="006F304D" w:rsidRPr="006F304D">
        <w:t xml:space="preserve">, </w:t>
      </w:r>
      <w:r w:rsidRPr="005C0DF3">
        <w:rPr>
          <w:i/>
        </w:rPr>
        <w:t>Rediscov</w:t>
      </w:r>
      <w:r w:rsidRPr="005C0DF3">
        <w:rPr>
          <w:i/>
        </w:rPr>
        <w:softHyphen/>
        <w:t>ering the Teaching of Jesus</w:t>
      </w:r>
      <w:r w:rsidRPr="005C0DF3">
        <w:t xml:space="preserve"> (New York: Harper </w:t>
      </w:r>
      <w:r>
        <w:t>and</w:t>
      </w:r>
      <w:r w:rsidRPr="005C0DF3">
        <w:t xml:space="preserve"> Row</w:t>
      </w:r>
      <w:r w:rsidR="006F304D" w:rsidRPr="006F304D">
        <w:t xml:space="preserve">, </w:t>
      </w:r>
      <w:r w:rsidRPr="005C0DF3">
        <w:t>1967) 39-49; Robert Stein,; and Robert Funk</w:t>
      </w:r>
      <w:r w:rsidR="006F304D" w:rsidRPr="006F304D">
        <w:t xml:space="preserve">, </w:t>
      </w:r>
      <w:r w:rsidRPr="005C0DF3">
        <w:rPr>
          <w:i/>
        </w:rPr>
        <w:t>The Five Gospels</w:t>
      </w:r>
      <w:r w:rsidRPr="005C0DF3">
        <w:t>.</w:t>
      </w:r>
      <w:r w:rsidRPr="005C0DF3">
        <w:rPr>
          <w:vanish/>
        </w:rPr>
        <w:t>Need Stein and Funk bib. info.</w:t>
      </w:r>
    </w:p>
  </w:footnote>
  <w:footnote w:id="298">
    <w:p w14:paraId="1E5ECA0B" w14:textId="0B84A205" w:rsidR="0018433B" w:rsidRPr="005C0DF3" w:rsidRDefault="0018433B" w:rsidP="0018433B">
      <w:r w:rsidRPr="00C04763">
        <w:rPr>
          <w:rStyle w:val="FootnoteReference"/>
        </w:rPr>
        <w:footnoteRef/>
      </w:r>
      <w:r w:rsidRPr="00C04763">
        <w:t xml:space="preserve"> </w:t>
      </w:r>
      <w:r w:rsidRPr="005C0DF3">
        <w:rPr>
          <w:i/>
        </w:rPr>
        <w:t>NT Theology</w:t>
      </w:r>
      <w:r w:rsidR="006F304D" w:rsidRPr="006F304D">
        <w:t xml:space="preserve">, </w:t>
      </w:r>
      <w:r w:rsidRPr="005C0DF3">
        <w:t>14.</w:t>
      </w:r>
    </w:p>
  </w:footnote>
  <w:footnote w:id="299">
    <w:p w14:paraId="3579CD15" w14:textId="437F1FC5" w:rsidR="0018433B" w:rsidRPr="005C0DF3" w:rsidRDefault="0018433B" w:rsidP="0018433B">
      <w:r w:rsidRPr="005C0DF3">
        <w:rPr>
          <w:rStyle w:val="FootnoteReference"/>
        </w:rPr>
        <w:footnoteRef/>
      </w:r>
      <w:r>
        <w:t xml:space="preserve"> </w:t>
      </w:r>
      <w:r w:rsidRPr="005C0DF3">
        <w:t>Ibid.</w:t>
      </w:r>
      <w:r w:rsidR="006F304D" w:rsidRPr="006F304D">
        <w:t xml:space="preserve">, </w:t>
      </w:r>
      <w:r w:rsidRPr="005C0DF3">
        <w:t>17.</w:t>
      </w:r>
    </w:p>
  </w:footnote>
  <w:footnote w:id="300">
    <w:p w14:paraId="1CBD643D" w14:textId="3E94F2B6" w:rsidR="0018433B" w:rsidRPr="005C0DF3" w:rsidRDefault="0018433B" w:rsidP="0018433B">
      <w:r w:rsidRPr="005C0DF3">
        <w:rPr>
          <w:rStyle w:val="FootnoteReference"/>
        </w:rPr>
        <w:footnoteRef/>
      </w:r>
      <w:r>
        <w:t xml:space="preserve"> </w:t>
      </w:r>
      <w:r w:rsidRPr="005C0DF3">
        <w:t>Ibid.</w:t>
      </w:r>
      <w:r w:rsidR="006F304D" w:rsidRPr="006F304D">
        <w:t xml:space="preserve">, </w:t>
      </w:r>
      <w:r w:rsidRPr="005C0DF3">
        <w:t>20.</w:t>
      </w:r>
    </w:p>
  </w:footnote>
  <w:footnote w:id="301">
    <w:p w14:paraId="28BB482F" w14:textId="137F5EC0" w:rsidR="0018433B" w:rsidRPr="005C0DF3" w:rsidRDefault="0018433B" w:rsidP="0018433B">
      <w:r w:rsidRPr="005C0DF3">
        <w:rPr>
          <w:rStyle w:val="FootnoteReference"/>
        </w:rPr>
        <w:footnoteRef/>
      </w:r>
      <w:r>
        <w:t xml:space="preserve"> </w:t>
      </w:r>
      <w:r w:rsidRPr="005C0DF3">
        <w:t>Ibid.</w:t>
      </w:r>
      <w:r w:rsidR="006F304D" w:rsidRPr="006F304D">
        <w:t xml:space="preserve">, </w:t>
      </w:r>
      <w:r w:rsidRPr="005C0DF3">
        <w:t>19.</w:t>
      </w:r>
    </w:p>
  </w:footnote>
  <w:footnote w:id="302">
    <w:p w14:paraId="33CD0C9D" w14:textId="24718603" w:rsidR="0018433B" w:rsidRPr="005C0DF3" w:rsidRDefault="0018433B" w:rsidP="0018433B">
      <w:r w:rsidRPr="005C0DF3">
        <w:rPr>
          <w:rStyle w:val="FootnoteReference"/>
        </w:rPr>
        <w:footnoteRef/>
      </w:r>
      <w:r>
        <w:t xml:space="preserve"> </w:t>
      </w:r>
      <w:r w:rsidRPr="005C0DF3">
        <w:t>Ibid. In OT antithetic parallelisms</w:t>
      </w:r>
      <w:r w:rsidR="006F304D" w:rsidRPr="006F304D">
        <w:t xml:space="preserve">, </w:t>
      </w:r>
      <w:r w:rsidRPr="005C0DF3">
        <w:t>the first line states the point</w:t>
      </w:r>
      <w:r w:rsidR="006F304D" w:rsidRPr="006F304D">
        <w:t xml:space="preserve">, </w:t>
      </w:r>
      <w:r w:rsidRPr="005C0DF3">
        <w:t>and the second line merely sustains it: “A wise son makes a glad father</w:t>
      </w:r>
      <w:r w:rsidR="006F304D" w:rsidRPr="006F304D">
        <w:t xml:space="preserve">, </w:t>
      </w:r>
      <w:r w:rsidRPr="005C0DF3">
        <w:t>but a foolish son is a sorrow to his mother” (Prov 10:1). Of the more than one hundred antithetic parallel</w:t>
      </w:r>
      <w:r w:rsidRPr="005C0DF3">
        <w:softHyphen/>
        <w:t>isms in the synoptic mate</w:t>
      </w:r>
      <w:r w:rsidRPr="005C0DF3">
        <w:softHyphen/>
        <w:t>rial</w:t>
      </w:r>
      <w:r w:rsidR="006F304D" w:rsidRPr="006F304D">
        <w:t xml:space="preserve">, </w:t>
      </w:r>
      <w:r w:rsidRPr="005C0DF3">
        <w:t>only five stress the first line (and these are explicable as popular proverbs used by Je</w:t>
      </w:r>
      <w:r w:rsidRPr="005C0DF3">
        <w:softHyphen/>
        <w:t>sus); elsewhere the stress is on the second half or is uncertain (in which case</w:t>
      </w:r>
      <w:r w:rsidR="006F304D" w:rsidRPr="006F304D">
        <w:t xml:space="preserve">, </w:t>
      </w:r>
      <w:r w:rsidRPr="005C0DF3">
        <w:t>Jeremias advises</w:t>
      </w:r>
      <w:r w:rsidR="006F304D" w:rsidRPr="006F304D">
        <w:t xml:space="preserve">, </w:t>
      </w:r>
      <w:r w:rsidRPr="005C0DF3">
        <w:t>emphasis should be put on the sec</w:t>
      </w:r>
      <w:r w:rsidRPr="005C0DF3">
        <w:softHyphen/>
        <w:t>ond line).</w:t>
      </w:r>
    </w:p>
  </w:footnote>
  <w:footnote w:id="303">
    <w:p w14:paraId="5C69BF32" w14:textId="4D2147DE" w:rsidR="0018433B" w:rsidRDefault="0018433B" w:rsidP="0018433B">
      <w:r w:rsidRPr="005C0DF3">
        <w:rPr>
          <w:rStyle w:val="FootnoteReference"/>
        </w:rPr>
        <w:footnoteRef/>
      </w:r>
      <w:r>
        <w:t xml:space="preserve"> </w:t>
      </w:r>
      <w:r w:rsidRPr="005C0DF3">
        <w:t>Ibid.</w:t>
      </w:r>
      <w:r w:rsidR="006F304D" w:rsidRPr="006F304D">
        <w:t xml:space="preserve">, </w:t>
      </w:r>
      <w:r w:rsidRPr="005C0DF3">
        <w:t>16:</w:t>
      </w:r>
    </w:p>
    <w:p w14:paraId="5FD8CB09" w14:textId="77777777" w:rsidR="0018433B" w:rsidRPr="005C0DF3" w:rsidRDefault="0018433B" w:rsidP="0018433B"/>
    <w:p w14:paraId="1AF20B5D" w14:textId="0A84483F" w:rsidR="0018433B" w:rsidRPr="005C0DF3" w:rsidRDefault="0018433B" w:rsidP="0018433B">
      <w:pPr>
        <w:ind w:left="720" w:right="720"/>
      </w:pPr>
      <w:r w:rsidRPr="005C0DF3">
        <w:t>The parallelism is achieved by the use of nouns</w:t>
      </w:r>
      <w:r w:rsidR="006F304D" w:rsidRPr="006F304D">
        <w:t xml:space="preserve">, </w:t>
      </w:r>
      <w:r w:rsidRPr="005C0DF3">
        <w:t>adjec</w:t>
      </w:r>
      <w:r w:rsidRPr="005C0DF3">
        <w:softHyphen/>
        <w:t>tives or verbs as oppo</w:t>
      </w:r>
      <w:r w:rsidRPr="005C0DF3">
        <w:softHyphen/>
        <w:t>sites (usually pairs of oppo</w:t>
      </w:r>
      <w:r w:rsidRPr="005C0DF3">
        <w:softHyphen/>
        <w:t>sites)</w:t>
      </w:r>
      <w:r w:rsidR="006F304D" w:rsidRPr="006F304D">
        <w:t xml:space="preserve">, </w:t>
      </w:r>
      <w:r w:rsidRPr="005C0DF3">
        <w:t>by negation (usu</w:t>
      </w:r>
      <w:r w:rsidRPr="005C0DF3">
        <w:softHyphen/>
        <w:t>ally of the sec</w:t>
      </w:r>
      <w:r w:rsidRPr="005C0DF3">
        <w:softHyphen/>
        <w:t>ond mem</w:t>
      </w:r>
      <w:r w:rsidRPr="005C0DF3">
        <w:softHyphen/>
        <w:t>ber)</w:t>
      </w:r>
      <w:r w:rsidR="006F304D" w:rsidRPr="006F304D">
        <w:t xml:space="preserve">, </w:t>
      </w:r>
      <w:r w:rsidRPr="005C0DF3">
        <w:t>by the contrast of ques</w:t>
      </w:r>
      <w:r w:rsidRPr="005C0DF3">
        <w:softHyphen/>
        <w:t>tion and state</w:t>
      </w:r>
      <w:r w:rsidRPr="005C0DF3">
        <w:softHyphen/>
        <w:t>ment</w:t>
      </w:r>
      <w:r w:rsidR="006F304D" w:rsidRPr="006F304D">
        <w:t xml:space="preserve">, </w:t>
      </w:r>
      <w:r w:rsidRPr="005C0DF3">
        <w:t>by inver</w:t>
      </w:r>
      <w:r w:rsidRPr="005C0DF3">
        <w:softHyphen/>
        <w:t>sion</w:t>
      </w:r>
      <w:r w:rsidR="006F304D" w:rsidRPr="006F304D">
        <w:t xml:space="preserve">, </w:t>
      </w:r>
      <w:r w:rsidRPr="005C0DF3">
        <w:t>by pol</w:t>
      </w:r>
      <w:r w:rsidRPr="005C0DF3">
        <w:softHyphen/>
        <w:t>ariza</w:t>
      </w:r>
      <w:r w:rsidRPr="005C0DF3">
        <w:softHyphen/>
        <w:t>tion</w:t>
      </w:r>
      <w:r w:rsidR="006F304D" w:rsidRPr="006F304D">
        <w:t xml:space="preserve">, </w:t>
      </w:r>
      <w:r w:rsidRPr="005C0DF3">
        <w:t>by complementary expres</w:t>
      </w:r>
      <w:r w:rsidRPr="005C0DF3">
        <w:softHyphen/>
        <w:t>sions (including periphrases for totali</w:t>
      </w:r>
      <w:r w:rsidRPr="005C0DF3">
        <w:softHyphen/>
        <w:t>ties)</w:t>
      </w:r>
      <w:r w:rsidR="006F304D" w:rsidRPr="006F304D">
        <w:t xml:space="preserve">, </w:t>
      </w:r>
      <w:r w:rsidRPr="005C0DF3">
        <w:t>and very often by the com</w:t>
      </w:r>
      <w:r w:rsidRPr="005C0DF3">
        <w:softHyphen/>
        <w:t>bina</w:t>
      </w:r>
      <w:r w:rsidRPr="005C0DF3">
        <w:softHyphen/>
        <w:t>tion of an opposition with a nega</w:t>
      </w:r>
      <w:r w:rsidRPr="005C0DF3">
        <w:softHyphen/>
        <w:t>tion.</w:t>
      </w:r>
    </w:p>
    <w:p w14:paraId="52AAA243" w14:textId="77777777" w:rsidR="0018433B" w:rsidRDefault="0018433B" w:rsidP="0018433B"/>
    <w:p w14:paraId="771FB602" w14:textId="78CFE02A" w:rsidR="0018433B" w:rsidRPr="005C0DF3" w:rsidRDefault="0018433B" w:rsidP="0018433B">
      <w:r w:rsidRPr="005C0DF3">
        <w:t>Burney (</w:t>
      </w:r>
      <w:r w:rsidRPr="005C0DF3">
        <w:rPr>
          <w:i/>
        </w:rPr>
        <w:t>Poetry</w:t>
      </w:r>
      <w:r w:rsidR="006F304D" w:rsidRPr="006F304D">
        <w:t xml:space="preserve">, </w:t>
      </w:r>
      <w:r w:rsidRPr="005C0DF3">
        <w:t>72-73) only mentions “opposites,” “positive and negative,” and “inver</w:t>
      </w:r>
      <w:r w:rsidRPr="005C0DF3">
        <w:softHyphen/>
        <w:t>sion of terms” (</w:t>
      </w:r>
      <w:r w:rsidR="00775F9B" w:rsidRPr="00775F9B">
        <w:rPr>
          <w:iCs/>
        </w:rPr>
        <w:t>e.g.</w:t>
      </w:r>
      <w:r w:rsidR="006F304D" w:rsidRPr="006F304D">
        <w:t xml:space="preserve">, </w:t>
      </w:r>
      <w:r w:rsidRPr="005C0DF3">
        <w:t>Matt 10:39</w:t>
      </w:r>
      <w:r w:rsidR="006F304D" w:rsidRPr="006F304D">
        <w:t xml:space="preserve">, </w:t>
      </w:r>
      <w:r w:rsidRPr="005C0DF3">
        <w:t>“He who finds his life will lose it</w:t>
      </w:r>
      <w:r w:rsidR="006F304D" w:rsidRPr="006F304D">
        <w:t xml:space="preserve">, </w:t>
      </w:r>
      <w:r w:rsidRPr="005C0DF3">
        <w:t>and he who loses his life for my sake will find it”); the latter</w:t>
      </w:r>
      <w:r w:rsidR="006F304D" w:rsidRPr="006F304D">
        <w:t xml:space="preserve">, </w:t>
      </w:r>
      <w:r w:rsidRPr="005C0DF3">
        <w:t>of course</w:t>
      </w:r>
      <w:r w:rsidR="006F304D" w:rsidRPr="006F304D">
        <w:t xml:space="preserve">, </w:t>
      </w:r>
      <w:r w:rsidRPr="005C0DF3">
        <w:t>is chiasm.</w:t>
      </w:r>
    </w:p>
  </w:footnote>
  <w:footnote w:id="304">
    <w:p w14:paraId="16966A7B" w14:textId="19857309" w:rsidR="0018433B" w:rsidRPr="005C0DF3" w:rsidRDefault="0018433B" w:rsidP="0018433B">
      <w:r w:rsidRPr="005C0DF3">
        <w:rPr>
          <w:rStyle w:val="FootnoteReference"/>
        </w:rPr>
        <w:footnoteRef/>
      </w:r>
      <w:r>
        <w:t xml:space="preserve"> </w:t>
      </w:r>
      <w:r w:rsidR="00674828" w:rsidRPr="00674828">
        <w:rPr>
          <w:iCs/>
        </w:rPr>
        <w:t>H.J.</w:t>
      </w:r>
      <w:r w:rsidRPr="005C0DF3">
        <w:t xml:space="preserve"> Holtzmann</w:t>
      </w:r>
      <w:r w:rsidR="006F304D" w:rsidRPr="006F304D">
        <w:t xml:space="preserve">, </w:t>
      </w:r>
      <w:r w:rsidRPr="005C0DF3">
        <w:rPr>
          <w:i/>
        </w:rPr>
        <w:t>Die Synoptischen Evangelien</w:t>
      </w:r>
      <w:r w:rsidRPr="005C0DF3">
        <w:t xml:space="preserve">: </w:t>
      </w:r>
      <w:r w:rsidRPr="005C0DF3">
        <w:rPr>
          <w:i/>
        </w:rPr>
        <w:t>Ihr Ursprung und ihr ge</w:t>
      </w:r>
      <w:r w:rsidRPr="005C0DF3">
        <w:rPr>
          <w:i/>
        </w:rPr>
        <w:softHyphen/>
        <w:t>s</w:t>
      </w:r>
      <w:r w:rsidRPr="005C0DF3">
        <w:rPr>
          <w:i/>
        </w:rPr>
        <w:softHyphen/>
        <w:t>chichtlicher Charakter</w:t>
      </w:r>
      <w:r w:rsidRPr="005C0DF3">
        <w:t xml:space="preserve"> (3rd ed.; Tübingen: 1901) 22-23.</w:t>
      </w:r>
    </w:p>
  </w:footnote>
  <w:footnote w:id="305">
    <w:p w14:paraId="237FBEFC" w14:textId="44198FAF" w:rsidR="0018433B" w:rsidRPr="005C0DF3" w:rsidRDefault="0018433B" w:rsidP="0018433B">
      <w:r w:rsidRPr="005C0DF3">
        <w:rPr>
          <w:rStyle w:val="FootnoteReference"/>
        </w:rPr>
        <w:footnoteRef/>
      </w:r>
      <w:r>
        <w:t xml:space="preserve"> </w:t>
      </w:r>
      <w:r w:rsidRPr="005C0DF3">
        <w:t>See Thaddäus Soir</w:t>
      </w:r>
      <w:r w:rsidRPr="005C0DF3">
        <w:softHyphen/>
        <w:t>on</w:t>
      </w:r>
      <w:r w:rsidR="006F304D" w:rsidRPr="006F304D">
        <w:t xml:space="preserve">, </w:t>
      </w:r>
      <w:r w:rsidRPr="005C0DF3">
        <w:rPr>
          <w:i/>
        </w:rPr>
        <w:t>Die Logia Jesu</w:t>
      </w:r>
      <w:r w:rsidRPr="005C0DF3">
        <w:t xml:space="preserve">: </w:t>
      </w:r>
      <w:r w:rsidRPr="005C0DF3">
        <w:rPr>
          <w:i/>
        </w:rPr>
        <w:t>Eine literarkritische und literarge</w:t>
      </w:r>
      <w:r w:rsidRPr="005C0DF3">
        <w:rPr>
          <w:i/>
        </w:rPr>
        <w:softHyphen/>
        <w:t>schicht</w:t>
      </w:r>
      <w:r w:rsidRPr="005C0DF3">
        <w:rPr>
          <w:i/>
        </w:rPr>
        <w:softHyphen/>
        <w:t>liche Untersuchung zum synoptischen Problem</w:t>
      </w:r>
      <w:r w:rsidRPr="005C0DF3">
        <w:t xml:space="preserve"> (NTAbh 6/4; Mün</w:t>
      </w:r>
      <w:r w:rsidRPr="005C0DF3">
        <w:softHyphen/>
        <w:t>ster: Aschen</w:t>
      </w:r>
      <w:r w:rsidRPr="005C0DF3">
        <w:softHyphen/>
        <w:t>dorffsche Ver</w:t>
      </w:r>
      <w:r w:rsidRPr="005C0DF3">
        <w:softHyphen/>
        <w:t>lags</w:t>
      </w:r>
      <w:r w:rsidRPr="005C0DF3">
        <w:softHyphen/>
      </w:r>
      <w:r w:rsidRPr="005C0DF3">
        <w:softHyphen/>
        <w:t>buch</w:t>
      </w:r>
      <w:r w:rsidRPr="005C0DF3">
        <w:softHyphen/>
        <w:t>handlung</w:t>
      </w:r>
      <w:r w:rsidR="006F304D" w:rsidRPr="006F304D">
        <w:t xml:space="preserve">, </w:t>
      </w:r>
      <w:r w:rsidRPr="005C0DF3">
        <w:t>1916) 134: “Stich</w:t>
      </w:r>
      <w:r w:rsidRPr="005C0DF3">
        <w:softHyphen/>
        <w:t>wort</w:t>
      </w:r>
      <w:r w:rsidRPr="005C0DF3">
        <w:softHyphen/>
        <w:t>as</w:t>
      </w:r>
      <w:r w:rsidRPr="005C0DF3">
        <w:softHyphen/>
        <w:t>sozi</w:t>
      </w:r>
      <w:r w:rsidRPr="005C0DF3">
        <w:softHyphen/>
        <w:t>ation,” “Ide</w:t>
      </w:r>
      <w:r w:rsidRPr="005C0DF3">
        <w:softHyphen/>
        <w:t>en</w:t>
      </w:r>
      <w:r w:rsidRPr="005C0DF3">
        <w:softHyphen/>
        <w:t>assozi</w:t>
      </w:r>
      <w:r w:rsidRPr="005C0DF3">
        <w:softHyphen/>
        <w:t>ation”; and Jacques Dupont</w:t>
      </w:r>
      <w:r w:rsidR="006F304D" w:rsidRPr="006F304D">
        <w:t xml:space="preserve">, </w:t>
      </w:r>
      <w:r w:rsidRPr="005C0DF3">
        <w:rPr>
          <w:i/>
        </w:rPr>
        <w:t>Les Béa</w:t>
      </w:r>
      <w:r w:rsidRPr="005C0DF3">
        <w:rPr>
          <w:i/>
        </w:rPr>
        <w:softHyphen/>
        <w:t>titudes</w:t>
      </w:r>
      <w:r w:rsidRPr="005C0DF3">
        <w:t xml:space="preserve"> (EBib; rev. ed.; 3 vols.; Bruges: Editions de l’Ab</w:t>
      </w:r>
      <w:r w:rsidRPr="005C0DF3">
        <w:softHyphen/>
        <w:t>baye de Saint-André</w:t>
      </w:r>
      <w:r w:rsidR="006F304D" w:rsidRPr="006F304D">
        <w:t xml:space="preserve">, </w:t>
      </w:r>
      <w:r w:rsidRPr="005C0DF3">
        <w:t>1958-73)</w:t>
      </w:r>
      <w:r w:rsidR="006F304D" w:rsidRPr="006F304D">
        <w:t xml:space="preserve">, </w:t>
      </w:r>
      <w:r w:rsidRPr="005C0DF3">
        <w:t>1. 50</w:t>
      </w:r>
      <w:r w:rsidR="006F304D" w:rsidRPr="006F304D">
        <w:t xml:space="preserve">, </w:t>
      </w:r>
      <w:r w:rsidRPr="005C0DF3">
        <w:t>52: “mot-crochet,” “groupement d’images.”</w:t>
      </w:r>
    </w:p>
  </w:footnote>
  <w:footnote w:id="306">
    <w:p w14:paraId="76CE9C44" w14:textId="47AC27CF" w:rsidR="0018433B" w:rsidRPr="005C0DF3" w:rsidRDefault="0018433B" w:rsidP="0018433B">
      <w:r w:rsidRPr="005C0DF3">
        <w:rPr>
          <w:rStyle w:val="FootnoteReference"/>
        </w:rPr>
        <w:footnoteRef/>
      </w:r>
      <w:r>
        <w:t xml:space="preserve"> </w:t>
      </w:r>
      <w:r w:rsidR="00775F9B" w:rsidRPr="00775F9B">
        <w:rPr>
          <w:iCs/>
        </w:rPr>
        <w:t>E.g.</w:t>
      </w:r>
      <w:r w:rsidR="006F304D" w:rsidRPr="006F304D">
        <w:t xml:space="preserve">, </w:t>
      </w:r>
      <w:r w:rsidRPr="005C0DF3">
        <w:t>I. Howard Marshall (</w:t>
      </w:r>
      <w:r w:rsidRPr="005C0DF3">
        <w:rPr>
          <w:i/>
        </w:rPr>
        <w:t>The Gospel of Luke</w:t>
      </w:r>
      <w:r w:rsidRPr="005C0DF3">
        <w:t xml:space="preserve">: </w:t>
      </w:r>
      <w:r w:rsidRPr="005C0DF3">
        <w:rPr>
          <w:i/>
        </w:rPr>
        <w:t>A Commentary on the Greek Text</w:t>
      </w:r>
      <w:r w:rsidRPr="005C0DF3">
        <w:t xml:space="preserve"> (New International Greek Testament Commentary; </w:t>
      </w:r>
      <w:r w:rsidR="00DC3006" w:rsidRPr="00DC3006">
        <w:rPr>
          <w:iCs/>
        </w:rPr>
        <w:t>Grand Rapids MI</w:t>
      </w:r>
      <w:r w:rsidRPr="005C0DF3">
        <w:t>: Eerd</w:t>
      </w:r>
      <w:r w:rsidRPr="005C0DF3">
        <w:softHyphen/>
        <w:t>mans</w:t>
      </w:r>
      <w:r w:rsidR="006F304D" w:rsidRPr="006F304D">
        <w:t xml:space="preserve">, </w:t>
      </w:r>
      <w:r w:rsidRPr="005C0DF3">
        <w:t>1978] 244): “the thought pro</w:t>
      </w:r>
      <w:r w:rsidRPr="005C0DF3">
        <w:softHyphen/>
        <w:t>ceeds more by as</w:t>
      </w:r>
      <w:r w:rsidRPr="005C0DF3">
        <w:softHyphen/>
        <w:t xml:space="preserve">sociation of ideas </w:t>
      </w:r>
      <w:r w:rsidRPr="00963D68">
        <w:t>. . .</w:t>
      </w:r>
      <w:r w:rsidRPr="005C0DF3">
        <w:t xml:space="preserve"> using catch</w:t>
      </w:r>
      <w:r w:rsidRPr="005C0DF3">
        <w:softHyphen/>
        <w:t xml:space="preserve">words </w:t>
      </w:r>
      <w:r w:rsidRPr="00963D68">
        <w:t>. . .</w:t>
      </w:r>
      <w:r w:rsidRPr="005C0DF3">
        <w:t>” Vin</w:t>
      </w:r>
      <w:r w:rsidRPr="005C0DF3">
        <w:softHyphen/>
        <w:t>cent Taylor</w:t>
      </w:r>
      <w:r w:rsidR="006F304D" w:rsidRPr="006F304D">
        <w:t xml:space="preserve">, </w:t>
      </w:r>
      <w:r w:rsidRPr="005C0DF3">
        <w:t>too</w:t>
      </w:r>
      <w:r w:rsidR="006F304D" w:rsidRPr="006F304D">
        <w:t xml:space="preserve">, </w:t>
      </w:r>
      <w:r w:rsidRPr="005C0DF3">
        <w:t>uses “catch</w:t>
      </w:r>
      <w:r w:rsidRPr="005C0DF3">
        <w:softHyphen/>
        <w:t>word” to mean all forms of “artificial ar</w:t>
      </w:r>
      <w:r w:rsidRPr="005C0DF3">
        <w:softHyphen/>
        <w:t xml:space="preserve">rangement,” </w:t>
      </w:r>
      <w:r w:rsidR="00775F9B" w:rsidRPr="00775F9B">
        <w:rPr>
          <w:iCs/>
        </w:rPr>
        <w:t>i.e.</w:t>
      </w:r>
      <w:r w:rsidR="006F304D" w:rsidRPr="006F304D">
        <w:t xml:space="preserve">, </w:t>
      </w:r>
      <w:r w:rsidRPr="005C0DF3">
        <w:t>con</w:t>
      </w:r>
      <w:r w:rsidRPr="005C0DF3">
        <w:softHyphen/>
        <w:t>nections through “sim</w:t>
      </w:r>
      <w:r w:rsidRPr="005C0DF3">
        <w:softHyphen/>
        <w:t>ilari</w:t>
      </w:r>
      <w:r w:rsidRPr="005C0DF3">
        <w:softHyphen/>
        <w:t>ties which lie on the sur</w:t>
      </w:r>
      <w:r w:rsidRPr="005C0DF3">
        <w:softHyphen/>
        <w:t>face” (</w:t>
      </w:r>
      <w:r w:rsidRPr="005C0DF3">
        <w:rPr>
          <w:i/>
        </w:rPr>
        <w:t>The For</w:t>
      </w:r>
      <w:r w:rsidRPr="005C0DF3">
        <w:rPr>
          <w:i/>
        </w:rPr>
        <w:softHyphen/>
        <w:t>mation of the Gospel Tra</w:t>
      </w:r>
      <w:r w:rsidRPr="005C0DF3">
        <w:rPr>
          <w:i/>
        </w:rPr>
        <w:softHyphen/>
        <w:t>di</w:t>
      </w:r>
      <w:r w:rsidRPr="005C0DF3">
        <w:rPr>
          <w:i/>
        </w:rPr>
        <w:softHyphen/>
        <w:t>tion</w:t>
      </w:r>
      <w:r w:rsidRPr="005C0DF3">
        <w:t xml:space="preserve"> [</w:t>
      </w:r>
      <w:r w:rsidR="0029762C" w:rsidRPr="0029762C">
        <w:rPr>
          <w:iCs/>
        </w:rPr>
        <w:t>2nd ed.</w:t>
      </w:r>
      <w:r w:rsidRPr="005C0DF3">
        <w:t>; Lon</w:t>
      </w:r>
      <w:r w:rsidRPr="005C0DF3">
        <w:softHyphen/>
        <w:t>don: Mac</w:t>
      </w:r>
      <w:r w:rsidRPr="005C0DF3">
        <w:softHyphen/>
        <w:t>millan</w:t>
      </w:r>
      <w:r w:rsidR="006F304D" w:rsidRPr="006F304D">
        <w:t xml:space="preserve">, </w:t>
      </w:r>
      <w:r w:rsidRPr="005C0DF3">
        <w:t>1935] 91-92). One might argue that a shared word or a shared image is always a shared idea</w:t>
      </w:r>
      <w:r w:rsidR="006F304D" w:rsidRPr="006F304D">
        <w:t xml:space="preserve">, </w:t>
      </w:r>
      <w:r w:rsidRPr="005C0DF3">
        <w:t>and that there</w:t>
      </w:r>
      <w:r w:rsidRPr="005C0DF3">
        <w:softHyphen/>
        <w:t>fore idea-associations should be treated as the broadest category. I agree</w:t>
      </w:r>
      <w:r w:rsidR="006F304D" w:rsidRPr="006F304D">
        <w:t xml:space="preserve">, </w:t>
      </w:r>
      <w:r w:rsidRPr="005C0DF3">
        <w:t>but traditional usage has established “catchword” as the most general term.</w:t>
      </w:r>
    </w:p>
  </w:footnote>
  <w:footnote w:id="307">
    <w:p w14:paraId="6F4DCAEC" w14:textId="416FF1F8" w:rsidR="0018433B" w:rsidRPr="005C0DF3" w:rsidRDefault="0018433B" w:rsidP="0018433B">
      <w:r w:rsidRPr="005C0DF3">
        <w:rPr>
          <w:rStyle w:val="FootnoteReference"/>
        </w:rPr>
        <w:footnoteRef/>
      </w:r>
      <w:r>
        <w:t xml:space="preserve"> </w:t>
      </w:r>
      <w:r w:rsidRPr="005C0DF3">
        <w:t>Soir</w:t>
      </w:r>
      <w:r w:rsidRPr="005C0DF3">
        <w:softHyphen/>
        <w:t>on</w:t>
      </w:r>
      <w:r w:rsidR="006F304D" w:rsidRPr="006F304D">
        <w:t xml:space="preserve">, </w:t>
      </w:r>
      <w:r w:rsidRPr="005C0DF3">
        <w:rPr>
          <w:i/>
        </w:rPr>
        <w:t>Logia</w:t>
      </w:r>
      <w:r w:rsidR="006F304D" w:rsidRPr="006F304D">
        <w:t xml:space="preserve">, </w:t>
      </w:r>
      <w:r w:rsidRPr="005C0DF3">
        <w:t>134-35; Jeremias</w:t>
      </w:r>
      <w:r w:rsidR="006F304D" w:rsidRPr="006F304D">
        <w:t xml:space="preserve">, </w:t>
      </w:r>
      <w:r w:rsidRPr="005C0DF3">
        <w:rPr>
          <w:i/>
        </w:rPr>
        <w:t>NT Theology</w:t>
      </w:r>
      <w:r w:rsidR="006F304D" w:rsidRPr="006F304D">
        <w:t xml:space="preserve">, </w:t>
      </w:r>
      <w:r w:rsidRPr="005C0DF3">
        <w:t>39; Dupont</w:t>
      </w:r>
      <w:r w:rsidR="006F304D" w:rsidRPr="006F304D">
        <w:t xml:space="preserve">, </w:t>
      </w:r>
      <w:r w:rsidRPr="005C0DF3">
        <w:rPr>
          <w:i/>
        </w:rPr>
        <w:t>Béati</w:t>
      </w:r>
      <w:r w:rsidRPr="005C0DF3">
        <w:rPr>
          <w:i/>
        </w:rPr>
        <w:softHyphen/>
        <w:t>tudes</w:t>
      </w:r>
      <w:r w:rsidR="006F304D" w:rsidRPr="006F304D">
        <w:t xml:space="preserve">, </w:t>
      </w:r>
      <w:r w:rsidRPr="005C0DF3">
        <w:t>1. 52.</w:t>
      </w:r>
    </w:p>
  </w:footnote>
  <w:footnote w:id="308">
    <w:p w14:paraId="166EA112" w14:textId="5CB426C1" w:rsidR="0018433B" w:rsidRPr="005C0DF3" w:rsidRDefault="0018433B" w:rsidP="0018433B">
      <w:r w:rsidRPr="005C0DF3">
        <w:rPr>
          <w:rStyle w:val="FootnoteReference"/>
        </w:rPr>
        <w:footnoteRef/>
      </w:r>
      <w:r>
        <w:t xml:space="preserve"> </w:t>
      </w:r>
      <w:r w:rsidRPr="005C0DF3">
        <w:t>Soi</w:t>
      </w:r>
      <w:r w:rsidRPr="005C0DF3">
        <w:softHyphen/>
        <w:t>ron</w:t>
      </w:r>
      <w:r w:rsidR="006F304D" w:rsidRPr="006F304D">
        <w:t xml:space="preserve">, </w:t>
      </w:r>
      <w:r w:rsidRPr="005C0DF3">
        <w:rPr>
          <w:i/>
        </w:rPr>
        <w:t>Logia</w:t>
      </w:r>
      <w:r w:rsidR="006F304D" w:rsidRPr="006F304D">
        <w:t xml:space="preserve">, </w:t>
      </w:r>
      <w:r w:rsidRPr="005C0DF3">
        <w:t>144 (emphasized in the original).</w:t>
      </w:r>
    </w:p>
  </w:footnote>
  <w:footnote w:id="309">
    <w:p w14:paraId="2D25E138" w14:textId="4D7B7318" w:rsidR="0018433B" w:rsidRPr="005C0DF3" w:rsidRDefault="0018433B" w:rsidP="0018433B">
      <w:pPr>
        <w:spacing w:after="240"/>
      </w:pPr>
      <w:r w:rsidRPr="005C0DF3">
        <w:rPr>
          <w:rStyle w:val="FootnoteReference"/>
        </w:rPr>
        <w:footnoteRef/>
      </w:r>
      <w:r>
        <w:t xml:space="preserve"> </w:t>
      </w:r>
      <w:r w:rsidRPr="005C0DF3">
        <w:t>Joachim Jeremias</w:t>
      </w:r>
      <w:r w:rsidR="006F304D" w:rsidRPr="006F304D">
        <w:t xml:space="preserve">, </w:t>
      </w:r>
      <w:r w:rsidRPr="005C0DF3">
        <w:t xml:space="preserve">“Zur Hypothese einer schriftlichen Logienquelle Q,” </w:t>
      </w:r>
      <w:r w:rsidR="00CA0334" w:rsidRPr="00CA0334">
        <w:rPr>
          <w:i/>
          <w:iCs/>
        </w:rPr>
        <w:t>Zeitschrift für die neutestamentliche Wissenschaft</w:t>
      </w:r>
      <w:r w:rsidRPr="005C0DF3">
        <w:t xml:space="preserve"> 29 (1930) 148-49.</w:t>
      </w:r>
    </w:p>
  </w:footnote>
  <w:footnote w:id="310">
    <w:p w14:paraId="213DE53B" w14:textId="3A53C8C2" w:rsidR="0018433B" w:rsidRPr="00B43126" w:rsidRDefault="0018433B" w:rsidP="0018433B">
      <w:r w:rsidRPr="00B43126">
        <w:rPr>
          <w:rStyle w:val="FootnoteReference"/>
        </w:rPr>
        <w:footnoteRef/>
      </w:r>
      <w:r w:rsidRPr="00B43126">
        <w:t xml:space="preserve"> “Paarung und Dreiung in der evangelischen Überlieferung,” in </w:t>
      </w:r>
      <w:r w:rsidRPr="00B43126">
        <w:rPr>
          <w:i/>
          <w:iCs/>
        </w:rPr>
        <w:t>Neutestamentlichen Studien</w:t>
      </w:r>
      <w:r w:rsidRPr="00B43126">
        <w:rPr>
          <w:iCs/>
        </w:rPr>
        <w:t xml:space="preserve"> [</w:t>
      </w:r>
      <w:r w:rsidRPr="00B43126">
        <w:rPr>
          <w:i/>
          <w:iCs/>
        </w:rPr>
        <w:t>für</w:t>
      </w:r>
      <w:r w:rsidRPr="00B43126">
        <w:rPr>
          <w:iCs/>
        </w:rPr>
        <w:t xml:space="preserve">] </w:t>
      </w:r>
      <w:r w:rsidRPr="00B43126">
        <w:rPr>
          <w:i/>
          <w:iCs/>
        </w:rPr>
        <w:t>Georg Heinrici zu seinem 70</w:t>
      </w:r>
      <w:r w:rsidRPr="00B43126">
        <w:rPr>
          <w:iCs/>
        </w:rPr>
        <w:t xml:space="preserve">. </w:t>
      </w:r>
      <w:r w:rsidRPr="00B43126">
        <w:rPr>
          <w:i/>
          <w:iCs/>
        </w:rPr>
        <w:t>Geburtstag</w:t>
      </w:r>
      <w:r w:rsidRPr="00B43126">
        <w:rPr>
          <w:iCs/>
        </w:rPr>
        <w:t xml:space="preserve"> (</w:t>
      </w:r>
      <w:r w:rsidRPr="00B43126">
        <w:rPr>
          <w:i/>
          <w:iCs/>
        </w:rPr>
        <w:t>14</w:t>
      </w:r>
      <w:r w:rsidRPr="00B43126">
        <w:rPr>
          <w:iCs/>
        </w:rPr>
        <w:t xml:space="preserve">. </w:t>
      </w:r>
      <w:r w:rsidRPr="00B43126">
        <w:rPr>
          <w:i/>
          <w:iCs/>
        </w:rPr>
        <w:t>März 1914</w:t>
      </w:r>
      <w:r w:rsidRPr="00B43126">
        <w:rPr>
          <w:iCs/>
        </w:rPr>
        <w:t xml:space="preserve">) </w:t>
      </w:r>
      <w:r w:rsidRPr="00B43126">
        <w:rPr>
          <w:i/>
          <w:iCs/>
        </w:rPr>
        <w:t>dargebracht von Fachgenossen</w:t>
      </w:r>
      <w:r w:rsidR="006F304D" w:rsidRPr="006F304D">
        <w:rPr>
          <w:iCs/>
        </w:rPr>
        <w:t xml:space="preserve">, </w:t>
      </w:r>
      <w:r w:rsidRPr="00B43126">
        <w:rPr>
          <w:i/>
          <w:iCs/>
        </w:rPr>
        <w:t>Freunden und Schülern</w:t>
      </w:r>
      <w:r w:rsidRPr="00B43126">
        <w:t xml:space="preserve"> (UNT 6; Leipzig: J. G. Hinrich</w:t>
      </w:r>
      <w:r w:rsidR="006F304D" w:rsidRPr="006F304D">
        <w:t xml:space="preserve">, </w:t>
      </w:r>
      <w:r w:rsidRPr="00B43126">
        <w:t>1914) 92-100. Despite the efforts of my university librarians</w:t>
      </w:r>
      <w:r w:rsidR="006F304D" w:rsidRPr="006F304D">
        <w:t xml:space="preserve">, </w:t>
      </w:r>
      <w:r w:rsidRPr="00B43126">
        <w:t>this work is unavailable to me; it is cited by Lyder Brun</w:t>
      </w:r>
      <w:r w:rsidR="006F304D" w:rsidRPr="006F304D">
        <w:t xml:space="preserve">, </w:t>
      </w:r>
      <w:r w:rsidRPr="00B43126">
        <w:t>“Zur Kompositions</w:t>
      </w:r>
      <w:r w:rsidRPr="00B43126">
        <w:softHyphen/>
        <w:t xml:space="preserve">technik des Lukasevangeliums,” </w:t>
      </w:r>
      <w:r w:rsidRPr="00B43126">
        <w:rPr>
          <w:i/>
          <w:iCs/>
        </w:rPr>
        <w:t>SO</w:t>
      </w:r>
      <w:r w:rsidRPr="00B43126">
        <w:t xml:space="preserve"> 9 (1930) 38</w:t>
      </w:r>
      <w:r w:rsidR="006F304D" w:rsidRPr="006F304D">
        <w:t xml:space="preserve">, </w:t>
      </w:r>
      <w:r w:rsidRPr="00B43126">
        <w:t>and by Robert Morgenthaler</w:t>
      </w:r>
      <w:r w:rsidR="006F304D" w:rsidRPr="006F304D">
        <w:t xml:space="preserve">, </w:t>
      </w:r>
      <w:r w:rsidRPr="00B43126">
        <w:rPr>
          <w:i/>
          <w:iCs/>
        </w:rPr>
        <w:t>Geschichtsschrei</w:t>
      </w:r>
      <w:r w:rsidRPr="00B43126">
        <w:rPr>
          <w:i/>
          <w:iCs/>
        </w:rPr>
        <w:softHyphen/>
        <w:t>bung</w:t>
      </w:r>
      <w:r w:rsidR="006F304D" w:rsidRPr="006F304D">
        <w:rPr>
          <w:iCs/>
        </w:rPr>
        <w:t xml:space="preserve">, </w:t>
      </w:r>
      <w:r w:rsidRPr="00B43126">
        <w:t>1. 79.</w:t>
      </w:r>
    </w:p>
  </w:footnote>
  <w:footnote w:id="311">
    <w:p w14:paraId="5E8FD1A3" w14:textId="4596C0E5" w:rsidR="0018433B" w:rsidRPr="00B43126" w:rsidRDefault="0018433B" w:rsidP="0018433B">
      <w:r w:rsidRPr="00B43126">
        <w:rPr>
          <w:rStyle w:val="FootnoteReference"/>
        </w:rPr>
        <w:footnoteRef/>
      </w:r>
      <w:r w:rsidRPr="00B43126">
        <w:t xml:space="preserve"> “Zwei- und dreigliedrige Formeln,” </w:t>
      </w:r>
      <w:r w:rsidRPr="00B43126">
        <w:rPr>
          <w:i/>
          <w:iCs/>
        </w:rPr>
        <w:t>JBL</w:t>
      </w:r>
      <w:r w:rsidRPr="00B43126">
        <w:t xml:space="preserve"> 50 (1931) 117-47. Dobschütz mentions (I include an example of threefoldness in each case</w:t>
      </w:r>
      <w:r w:rsidR="006F304D" w:rsidRPr="006F304D">
        <w:t xml:space="preserve">, </w:t>
      </w:r>
      <w:r w:rsidRPr="00B43126">
        <w:t>since examples of twofoldness come more readily to mind): two- and three-member parallelism (Ps 1:1) (119-23)</w:t>
      </w:r>
      <w:r w:rsidR="006F304D" w:rsidRPr="006F304D">
        <w:t xml:space="preserve">, </w:t>
      </w:r>
      <w:r w:rsidRPr="00B43126">
        <w:t>multiple vocatives (“Lord Jesus Christ”) (124-25)</w:t>
      </w:r>
      <w:r w:rsidR="006F304D" w:rsidRPr="006F304D">
        <w:t xml:space="preserve">, </w:t>
      </w:r>
      <w:r w:rsidRPr="00B43126">
        <w:t>liturgical formulas (“For thine is the kingdom</w:t>
      </w:r>
      <w:r w:rsidR="006F304D" w:rsidRPr="006F304D">
        <w:t xml:space="preserve">, </w:t>
      </w:r>
      <w:r w:rsidRPr="00B43126">
        <w:t>and the power</w:t>
      </w:r>
      <w:r w:rsidR="006F304D" w:rsidRPr="006F304D">
        <w:t xml:space="preserve">, </w:t>
      </w:r>
      <w:r w:rsidRPr="00B43126">
        <w:t>and the glory”) (126)</w:t>
      </w:r>
      <w:r w:rsidR="006F304D" w:rsidRPr="006F304D">
        <w:t xml:space="preserve">, </w:t>
      </w:r>
      <w:r w:rsidRPr="00B43126">
        <w:t>canonical divisions (</w:t>
      </w:r>
      <w:r w:rsidRPr="00B43126">
        <w:rPr>
          <w:i/>
          <w:iCs/>
        </w:rPr>
        <w:t>torah</w:t>
      </w:r>
      <w:r w:rsidR="006F304D" w:rsidRPr="006F304D">
        <w:rPr>
          <w:iCs/>
        </w:rPr>
        <w:t xml:space="preserve">, </w:t>
      </w:r>
      <w:r w:rsidRPr="00B43126">
        <w:rPr>
          <w:i/>
          <w:iCs/>
        </w:rPr>
        <w:t>nebiim</w:t>
      </w:r>
      <w:r w:rsidR="006F304D" w:rsidRPr="006F304D">
        <w:rPr>
          <w:iCs/>
        </w:rPr>
        <w:t xml:space="preserve">, </w:t>
      </w:r>
      <w:r w:rsidRPr="00B43126">
        <w:rPr>
          <w:i/>
          <w:iCs/>
        </w:rPr>
        <w:t>kethubim</w:t>
      </w:r>
      <w:r w:rsidRPr="00B43126">
        <w:t>) (126-28)</w:t>
      </w:r>
      <w:r w:rsidR="006F304D" w:rsidRPr="006F304D">
        <w:t xml:space="preserve">, </w:t>
      </w:r>
      <w:r w:rsidRPr="00B43126">
        <w:t>liturgical offices (high priest</w:t>
      </w:r>
      <w:r w:rsidR="006F304D" w:rsidRPr="006F304D">
        <w:t xml:space="preserve">, </w:t>
      </w:r>
      <w:r w:rsidRPr="00B43126">
        <w:t>priests</w:t>
      </w:r>
      <w:r w:rsidR="006F304D" w:rsidRPr="006F304D">
        <w:t xml:space="preserve">, </w:t>
      </w:r>
      <w:r w:rsidRPr="00B43126">
        <w:t>Levites) (128-30)</w:t>
      </w:r>
      <w:r w:rsidR="006F304D" w:rsidRPr="006F304D">
        <w:t xml:space="preserve">, </w:t>
      </w:r>
      <w:r w:rsidRPr="00B43126">
        <w:t>charismatic offices (apostle</w:t>
      </w:r>
      <w:r w:rsidR="006F304D" w:rsidRPr="006F304D">
        <w:t xml:space="preserve">, </w:t>
      </w:r>
      <w:r w:rsidRPr="00B43126">
        <w:t>prophet</w:t>
      </w:r>
      <w:r w:rsidR="006F304D" w:rsidRPr="006F304D">
        <w:t xml:space="preserve">, </w:t>
      </w:r>
      <w:r w:rsidRPr="00B43126">
        <w:t>teacher</w:t>
      </w:r>
      <w:r w:rsidR="006F304D" w:rsidRPr="006F304D">
        <w:t xml:space="preserve">, </w:t>
      </w:r>
      <w:r w:rsidRPr="00B43126">
        <w:t>1 Cor 12:28) (130-31)</w:t>
      </w:r>
      <w:r w:rsidR="006F304D" w:rsidRPr="006F304D">
        <w:t xml:space="preserve">, </w:t>
      </w:r>
      <w:r w:rsidRPr="00B43126">
        <w:t>double and triple items within pericopes (Peter’s threefold denial) (132-33)</w:t>
      </w:r>
      <w:r w:rsidR="006F304D" w:rsidRPr="006F304D">
        <w:t xml:space="preserve">, </w:t>
      </w:r>
      <w:r w:rsidRPr="00B43126">
        <w:t>series of two and three pericopes (three ac</w:t>
      </w:r>
      <w:r w:rsidRPr="00B43126">
        <w:softHyphen/>
        <w:t>counts of Paul’s conversion) (ibid.)</w:t>
      </w:r>
      <w:r w:rsidR="006F304D" w:rsidRPr="006F304D">
        <w:t xml:space="preserve">, </w:t>
      </w:r>
      <w:r w:rsidRPr="00B43126">
        <w:t>doubling and tripling of items within parables (one</w:t>
      </w:r>
      <w:r w:rsidR="006F304D" w:rsidRPr="006F304D">
        <w:t xml:space="preserve">, </w:t>
      </w:r>
      <w:r w:rsidRPr="00B43126">
        <w:t>two</w:t>
      </w:r>
      <w:r w:rsidR="006F304D" w:rsidRPr="006F304D">
        <w:t xml:space="preserve">, </w:t>
      </w:r>
      <w:r w:rsidRPr="00B43126">
        <w:t>and five talents)</w:t>
      </w:r>
      <w:r w:rsidR="006F304D" w:rsidRPr="006F304D">
        <w:t xml:space="preserve">, </w:t>
      </w:r>
      <w:r w:rsidRPr="00B43126">
        <w:t>and series of two or three parables (three parables of judgment in Matt 25) (ibid.). Dob</w:t>
      </w:r>
      <w:r w:rsidRPr="00B43126">
        <w:softHyphen/>
        <w:t>schütz’s purpose</w:t>
      </w:r>
      <w:r w:rsidR="006F304D" w:rsidRPr="006F304D">
        <w:t xml:space="preserve">, </w:t>
      </w:r>
      <w:r w:rsidRPr="00B43126">
        <w:t>however</w:t>
      </w:r>
      <w:r w:rsidR="006F304D" w:rsidRPr="006F304D">
        <w:t xml:space="preserve">, </w:t>
      </w:r>
      <w:r w:rsidRPr="00B43126">
        <w:t>is not to prove the existence of numerical principles in scripture</w:t>
      </w:r>
      <w:r w:rsidR="006F304D" w:rsidRPr="006F304D">
        <w:t xml:space="preserve">, </w:t>
      </w:r>
      <w:r w:rsidRPr="00B43126">
        <w:t>but to demonstrate that such principles point toward the mystery of the Trinity.</w:t>
      </w:r>
    </w:p>
  </w:footnote>
  <w:footnote w:id="312">
    <w:p w14:paraId="4E6A45D0" w14:textId="188FCEA6" w:rsidR="0018433B" w:rsidRDefault="0018433B" w:rsidP="0018433B">
      <w:pPr>
        <w:rPr>
          <w:iCs/>
        </w:rPr>
      </w:pPr>
      <w:r w:rsidRPr="00C81D8C">
        <w:rPr>
          <w:rStyle w:val="FootnoteReference"/>
        </w:rPr>
        <w:footnoteRef/>
      </w:r>
      <w:r w:rsidRPr="00C81D8C">
        <w:rPr>
          <w:iCs/>
        </w:rPr>
        <w:t xml:space="preserve"> </w:t>
      </w:r>
      <w:r w:rsidRPr="00B43126">
        <w:rPr>
          <w:i/>
          <w:iCs/>
        </w:rPr>
        <w:t>The Making of Luke-Acts</w:t>
      </w:r>
      <w:r w:rsidRPr="00B43126">
        <w:t xml:space="preserve"> (New York: Macmillan</w:t>
      </w:r>
      <w:r w:rsidR="006F304D" w:rsidRPr="006F304D">
        <w:t xml:space="preserve">, </w:t>
      </w:r>
      <w:r w:rsidRPr="00B43126">
        <w:t>1927) 233-34. It is odd that early form criticism (</w:t>
      </w:r>
      <w:r w:rsidR="00775F9B" w:rsidRPr="00775F9B">
        <w:rPr>
          <w:iCs/>
        </w:rPr>
        <w:t>i.e.</w:t>
      </w:r>
      <w:r w:rsidR="006F304D" w:rsidRPr="006F304D">
        <w:t xml:space="preserve">, </w:t>
      </w:r>
      <w:r w:rsidRPr="00B43126">
        <w:t>Dibelius and Bultmann) did not consider the presence of numerical principles in the synoptic tradition. On the one hand</w:t>
      </w:r>
      <w:r w:rsidR="006F304D" w:rsidRPr="006F304D">
        <w:t xml:space="preserve">, </w:t>
      </w:r>
      <w:r w:rsidRPr="00B43126">
        <w:t xml:space="preserve">they conceived of oral tradition as anonymous pre-literate material that develops according to fixed </w:t>
      </w:r>
      <w:r w:rsidRPr="00B43126">
        <w:rPr>
          <w:i/>
          <w:iCs/>
        </w:rPr>
        <w:t>laws</w:t>
      </w:r>
      <w:r w:rsidRPr="00B43126">
        <w:rPr>
          <w:iCs/>
        </w:rPr>
        <w:t>. (</w:t>
      </w:r>
      <w:r w:rsidRPr="00B43126">
        <w:t>For “laws” in oral tradition</w:t>
      </w:r>
      <w:r w:rsidR="006F304D" w:rsidRPr="006F304D">
        <w:t xml:space="preserve">, </w:t>
      </w:r>
      <w:r w:rsidRPr="00B43126">
        <w:t>see: Martin Dibelius</w:t>
      </w:r>
      <w:r w:rsidR="006F304D" w:rsidRPr="006F304D">
        <w:t xml:space="preserve">, </w:t>
      </w:r>
      <w:r w:rsidRPr="00B43126">
        <w:rPr>
          <w:i/>
          <w:iCs/>
        </w:rPr>
        <w:t>From Tradition to Gospel</w:t>
      </w:r>
      <w:r w:rsidRPr="00B43126">
        <w:t xml:space="preserve"> [New York: Scribner’s</w:t>
      </w:r>
      <w:r w:rsidR="006F304D" w:rsidRPr="006F304D">
        <w:t xml:space="preserve">, </w:t>
      </w:r>
      <w:r w:rsidRPr="00B43126">
        <w:t>1935 (German original: 1919)] 1</w:t>
      </w:r>
      <w:r w:rsidR="006F304D" w:rsidRPr="006F304D">
        <w:t xml:space="preserve">, </w:t>
      </w:r>
      <w:r w:rsidRPr="00B43126">
        <w:t>4</w:t>
      </w:r>
      <w:r w:rsidR="006F304D" w:rsidRPr="006F304D">
        <w:t xml:space="preserve">, </w:t>
      </w:r>
      <w:r w:rsidRPr="00B43126">
        <w:t>6</w:t>
      </w:r>
      <w:r w:rsidR="006F304D" w:rsidRPr="006F304D">
        <w:t xml:space="preserve">, </w:t>
      </w:r>
      <w:r w:rsidRPr="00B43126">
        <w:t>7</w:t>
      </w:r>
      <w:r w:rsidR="006F304D" w:rsidRPr="006F304D">
        <w:t xml:space="preserve">, </w:t>
      </w:r>
      <w:r w:rsidRPr="00B43126">
        <w:t>8</w:t>
      </w:r>
      <w:r w:rsidR="006F304D" w:rsidRPr="006F304D">
        <w:t xml:space="preserve">, </w:t>
      </w:r>
      <w:r w:rsidRPr="00B43126">
        <w:t>11</w:t>
      </w:r>
      <w:r w:rsidR="006F304D" w:rsidRPr="006F304D">
        <w:t xml:space="preserve">, </w:t>
      </w:r>
      <w:r w:rsidRPr="00B43126">
        <w:t>10</w:t>
      </w:r>
      <w:r w:rsidR="006F304D" w:rsidRPr="006F304D">
        <w:t xml:space="preserve">, </w:t>
      </w:r>
      <w:r w:rsidRPr="00B43126">
        <w:t>28</w:t>
      </w:r>
      <w:r w:rsidR="006F304D" w:rsidRPr="006F304D">
        <w:t xml:space="preserve">, </w:t>
      </w:r>
      <w:r w:rsidRPr="00B43126">
        <w:t>39</w:t>
      </w:r>
      <w:r w:rsidR="006F304D" w:rsidRPr="006F304D">
        <w:t xml:space="preserve">, </w:t>
      </w:r>
      <w:r w:rsidRPr="00B43126">
        <w:t>42</w:t>
      </w:r>
      <w:r w:rsidR="006F304D" w:rsidRPr="006F304D">
        <w:t xml:space="preserve">, </w:t>
      </w:r>
      <w:r w:rsidRPr="00B43126">
        <w:t>59</w:t>
      </w:r>
      <w:r w:rsidR="006F304D" w:rsidRPr="006F304D">
        <w:t xml:space="preserve">, </w:t>
      </w:r>
      <w:r w:rsidRPr="00B43126">
        <w:t>99</w:t>
      </w:r>
      <w:r w:rsidR="006F304D" w:rsidRPr="006F304D">
        <w:t xml:space="preserve">, </w:t>
      </w:r>
      <w:r w:rsidRPr="00B43126">
        <w:t>107</w:t>
      </w:r>
      <w:r w:rsidR="006F304D" w:rsidRPr="006F304D">
        <w:t xml:space="preserve">, </w:t>
      </w:r>
      <w:r w:rsidRPr="00B43126">
        <w:t>108-9</w:t>
      </w:r>
      <w:r w:rsidR="006F304D" w:rsidRPr="006F304D">
        <w:t xml:space="preserve">, </w:t>
      </w:r>
      <w:r w:rsidRPr="00B43126">
        <w:t>237-38</w:t>
      </w:r>
      <w:r w:rsidR="006F304D" w:rsidRPr="006F304D">
        <w:t xml:space="preserve">, </w:t>
      </w:r>
      <w:r w:rsidRPr="00B43126">
        <w:t>258; and Bultmann</w:t>
      </w:r>
      <w:r w:rsidR="006F304D" w:rsidRPr="006F304D">
        <w:t xml:space="preserve">, </w:t>
      </w:r>
      <w:r w:rsidRPr="00B43126">
        <w:rPr>
          <w:i/>
          <w:iCs/>
        </w:rPr>
        <w:t>History</w:t>
      </w:r>
      <w:r w:rsidR="006F304D" w:rsidRPr="006F304D">
        <w:rPr>
          <w:iCs/>
        </w:rPr>
        <w:t xml:space="preserve">, </w:t>
      </w:r>
    </w:p>
    <w:p w14:paraId="5E05101B" w14:textId="77777777" w:rsidR="0018433B" w:rsidRDefault="0018433B" w:rsidP="0018433B">
      <w:pPr>
        <w:rPr>
          <w:iCs/>
        </w:rPr>
      </w:pPr>
    </w:p>
    <w:p w14:paraId="0347C9F5" w14:textId="0B7C0273" w:rsidR="0018433B" w:rsidRDefault="0018433B" w:rsidP="0018433B">
      <w:pPr>
        <w:ind w:left="720" w:right="720"/>
        <w:rPr>
          <w:iCs/>
        </w:rPr>
      </w:pPr>
      <w:r>
        <w:rPr>
          <w:iCs/>
        </w:rPr>
        <w:t>. . . it is possible on occasion</w:t>
      </w:r>
      <w:r w:rsidR="006F304D" w:rsidRPr="006F304D">
        <w:rPr>
          <w:iCs/>
        </w:rPr>
        <w:t xml:space="preserve">, </w:t>
      </w:r>
      <w:r>
        <w:rPr>
          <w:iCs/>
        </w:rPr>
        <w:t>by comparing Matthew and Luke to recognize what laws governed the development of material from Q to Matthew and Luke. If we are able to detect any such laws</w:t>
      </w:r>
      <w:r w:rsidR="006F304D" w:rsidRPr="006F304D">
        <w:rPr>
          <w:iCs/>
        </w:rPr>
        <w:t xml:space="preserve">, </w:t>
      </w:r>
      <w:r>
        <w:rPr>
          <w:iCs/>
        </w:rPr>
        <w:t>we may assume that they were operative on the traditional material even before it was given its form in Mark and Q . . .</w:t>
      </w:r>
    </w:p>
    <w:p w14:paraId="741B6FED" w14:textId="77777777" w:rsidR="0018433B" w:rsidRDefault="0018433B" w:rsidP="0018433B">
      <w:pPr>
        <w:rPr>
          <w:iCs/>
        </w:rPr>
      </w:pPr>
    </w:p>
    <w:p w14:paraId="5BA1D295" w14:textId="50456345" w:rsidR="0018433B" w:rsidRDefault="0018433B" w:rsidP="0018433B">
      <w:r>
        <w:t xml:space="preserve">(Further references to “laws” in Bultmann’s work are on pp. </w:t>
      </w:r>
      <w:r w:rsidRPr="00B43126">
        <w:t>6</w:t>
      </w:r>
      <w:r w:rsidR="006F304D" w:rsidRPr="006F304D">
        <w:t xml:space="preserve">, </w:t>
      </w:r>
      <w:r w:rsidRPr="00B43126">
        <w:t>47 n. 3</w:t>
      </w:r>
      <w:r w:rsidR="006F304D" w:rsidRPr="006F304D">
        <w:t xml:space="preserve">, </w:t>
      </w:r>
      <w:r w:rsidRPr="00B43126">
        <w:t>51 n. 4</w:t>
      </w:r>
      <w:r w:rsidR="006F304D" w:rsidRPr="006F304D">
        <w:t xml:space="preserve">, </w:t>
      </w:r>
      <w:r w:rsidRPr="00B43126">
        <w:t>61</w:t>
      </w:r>
      <w:r w:rsidR="006F304D" w:rsidRPr="006F304D">
        <w:t xml:space="preserve">, </w:t>
      </w:r>
      <w:r w:rsidRPr="00B43126">
        <w:t>67</w:t>
      </w:r>
      <w:r w:rsidR="006F304D" w:rsidRPr="006F304D">
        <w:t xml:space="preserve">, </w:t>
      </w:r>
      <w:r w:rsidRPr="00B43126">
        <w:t>68</w:t>
      </w:r>
      <w:r w:rsidR="006F304D" w:rsidRPr="006F304D">
        <w:t xml:space="preserve">, </w:t>
      </w:r>
      <w:r w:rsidRPr="00B43126">
        <w:t>etc.)</w:t>
      </w:r>
    </w:p>
    <w:p w14:paraId="6A1875DE" w14:textId="36687748" w:rsidR="0018433B" w:rsidRPr="00B43126" w:rsidRDefault="0018433B" w:rsidP="0018433B">
      <w:r w:rsidRPr="00B43126">
        <w:t>On the other hand</w:t>
      </w:r>
      <w:r w:rsidR="006F304D" w:rsidRPr="006F304D">
        <w:t xml:space="preserve">, </w:t>
      </w:r>
      <w:r w:rsidRPr="00B43126">
        <w:t>they were interested in analogies between the synoptic material and folk tales from all parts of the world. (See Bultmann’s frequent references to the series</w:t>
      </w:r>
      <w:r w:rsidR="006F304D" w:rsidRPr="006F304D">
        <w:t xml:space="preserve">, </w:t>
      </w:r>
      <w:r w:rsidRPr="00B43126">
        <w:t xml:space="preserve">Märchen der Weltliteratur: </w:t>
      </w:r>
      <w:r w:rsidRPr="00B43126">
        <w:rPr>
          <w:i/>
          <w:iCs/>
        </w:rPr>
        <w:t>Deutsche Märchen seit Grimm</w:t>
      </w:r>
      <w:r w:rsidR="006F304D" w:rsidRPr="006F304D">
        <w:rPr>
          <w:iCs/>
        </w:rPr>
        <w:t xml:space="preserve">, </w:t>
      </w:r>
      <w:r w:rsidRPr="00B43126">
        <w:rPr>
          <w:i/>
          <w:iCs/>
        </w:rPr>
        <w:t>Indische Märchen</w:t>
      </w:r>
      <w:r w:rsidR="006F304D" w:rsidRPr="006F304D">
        <w:rPr>
          <w:iCs/>
        </w:rPr>
        <w:t xml:space="preserve">, </w:t>
      </w:r>
      <w:r w:rsidRPr="00B43126">
        <w:rPr>
          <w:i/>
          <w:iCs/>
        </w:rPr>
        <w:t>Afrikanische Märchen</w:t>
      </w:r>
      <w:r w:rsidR="006F304D" w:rsidRPr="006F304D">
        <w:rPr>
          <w:iCs/>
        </w:rPr>
        <w:t xml:space="preserve">, </w:t>
      </w:r>
      <w:r w:rsidRPr="00B43126">
        <w:rPr>
          <w:i/>
          <w:iCs/>
        </w:rPr>
        <w:t>Turkestan Märchen</w:t>
      </w:r>
      <w:r w:rsidR="006F304D" w:rsidRPr="006F304D">
        <w:rPr>
          <w:iCs/>
        </w:rPr>
        <w:t xml:space="preserve">, </w:t>
      </w:r>
      <w:r w:rsidRPr="00B43126">
        <w:t>etc.). With such material available to them as Raimund Müller’s “Die Zahl 3 in Sage</w:t>
      </w:r>
      <w:r w:rsidR="006F304D" w:rsidRPr="006F304D">
        <w:t xml:space="preserve">, </w:t>
      </w:r>
      <w:r w:rsidRPr="00B43126">
        <w:t xml:space="preserve">Dichtung und Kunst” (in </w:t>
      </w:r>
      <w:r w:rsidRPr="00B43126">
        <w:rPr>
          <w:i/>
          <w:iCs/>
        </w:rPr>
        <w:t>XXX Jahresbericht der K</w:t>
      </w:r>
      <w:r w:rsidRPr="00B43126">
        <w:rPr>
          <w:iCs/>
        </w:rPr>
        <w:t xml:space="preserve">. </w:t>
      </w:r>
      <w:r w:rsidRPr="00B43126">
        <w:rPr>
          <w:i/>
          <w:iCs/>
        </w:rPr>
        <w:t>K</w:t>
      </w:r>
      <w:r w:rsidRPr="00B43126">
        <w:rPr>
          <w:iCs/>
        </w:rPr>
        <w:t xml:space="preserve">. </w:t>
      </w:r>
      <w:r w:rsidRPr="00B43126">
        <w:rPr>
          <w:i/>
          <w:iCs/>
        </w:rPr>
        <w:t>Stauts-Oberrealschule in Teschen am Schlusse des Schuljahres 1902-1903</w:t>
      </w:r>
      <w:r w:rsidRPr="00B43126">
        <w:t xml:space="preserve"> [Teschen: K. &amp; K. Hofbuchdruckerei Karl Prochaska</w:t>
      </w:r>
      <w:r w:rsidR="006F304D" w:rsidRPr="006F304D">
        <w:t xml:space="preserve">, </w:t>
      </w:r>
      <w:r w:rsidRPr="00B43126">
        <w:t>1903] 1-23)</w:t>
      </w:r>
      <w:r w:rsidR="006F304D" w:rsidRPr="006F304D">
        <w:t xml:space="preserve">, </w:t>
      </w:r>
      <w:r w:rsidRPr="00B43126">
        <w:t>Hermann Usener’s “Dreiheit” (</w:t>
      </w:r>
      <w:r w:rsidRPr="00B43126">
        <w:rPr>
          <w:i/>
          <w:iCs/>
        </w:rPr>
        <w:t>Rheinisches Museum für Philologie</w:t>
      </w:r>
      <w:r w:rsidRPr="00B43126">
        <w:t xml:space="preserve"> 58 [1903] 1-47</w:t>
      </w:r>
      <w:r w:rsidR="006F304D" w:rsidRPr="006F304D">
        <w:t xml:space="preserve">, </w:t>
      </w:r>
      <w:r w:rsidRPr="00B43126">
        <w:t>161-208</w:t>
      </w:r>
      <w:r w:rsidR="006F304D" w:rsidRPr="006F304D">
        <w:t xml:space="preserve">, </w:t>
      </w:r>
      <w:r w:rsidRPr="00B43126">
        <w:t>321-62)</w:t>
      </w:r>
      <w:r w:rsidR="006F304D" w:rsidRPr="006F304D">
        <w:t xml:space="preserve">, </w:t>
      </w:r>
      <w:r w:rsidRPr="00B43126">
        <w:t xml:space="preserve">Axel Olrik’s “Epische Gesetze der Volksdichtung,” </w:t>
      </w:r>
      <w:r w:rsidRPr="00B43126">
        <w:rPr>
          <w:i/>
          <w:iCs/>
        </w:rPr>
        <w:t>Zeitschrift für Deutsches Altertum und Deutsche Literatur</w:t>
      </w:r>
      <w:r w:rsidRPr="00B43126">
        <w:t xml:space="preserve"> 51 (1909) 1-12</w:t>
      </w:r>
      <w:r w:rsidR="006F304D" w:rsidRPr="006F304D">
        <w:t xml:space="preserve">, </w:t>
      </w:r>
      <w:r w:rsidRPr="00B43126">
        <w:t>Dobschütz’s articles (cited above</w:t>
      </w:r>
      <w:r w:rsidR="006F304D" w:rsidRPr="006F304D">
        <w:t xml:space="preserve">, </w:t>
      </w:r>
      <w:r w:rsidRPr="00B43126">
        <w:t>p. ? nn. ? and ?)</w:t>
      </w:r>
      <w:r w:rsidR="006F304D" w:rsidRPr="006F304D">
        <w:t xml:space="preserve">, </w:t>
      </w:r>
      <w:r w:rsidRPr="00B43126">
        <w:t xml:space="preserve">and Alfred Lehmann’s </w:t>
      </w:r>
      <w:r w:rsidRPr="00B43126">
        <w:rPr>
          <w:i/>
          <w:iCs/>
        </w:rPr>
        <w:t>Dreiheit und dreifache Wiederholung im deutschen Volksmärchen</w:t>
      </w:r>
      <w:r w:rsidRPr="00B43126">
        <w:t xml:space="preserve"> (Leipzig: Robert Noske</w:t>
      </w:r>
      <w:r w:rsidR="006F304D" w:rsidRPr="006F304D">
        <w:t xml:space="preserve">, </w:t>
      </w:r>
      <w:r w:rsidRPr="00B43126">
        <w:t>1914)</w:t>
      </w:r>
      <w:r w:rsidR="006F304D" w:rsidRPr="006F304D">
        <w:t xml:space="preserve">, </w:t>
      </w:r>
      <w:r w:rsidRPr="00B43126">
        <w:t>it is strange they did not notice an idea so audibly “in the air.” This omission is especially peculiar in light of Erich Fascher’s recognition that Olrik was one of “the forerunners of the form-critical method” (</w:t>
      </w:r>
      <w:r w:rsidRPr="00B43126">
        <w:rPr>
          <w:i/>
          <w:iCs/>
        </w:rPr>
        <w:t>Die formgeschichtliche Methode</w:t>
      </w:r>
      <w:r w:rsidRPr="00B43126">
        <w:rPr>
          <w:iCs/>
        </w:rPr>
        <w:t xml:space="preserve">: </w:t>
      </w:r>
      <w:r w:rsidRPr="00B43126">
        <w:rPr>
          <w:i/>
          <w:iCs/>
        </w:rPr>
        <w:t>Eine Darstellung und Kritik zugleich ein Beitrag zur Geschichte des synoptischen Problems</w:t>
      </w:r>
      <w:r w:rsidRPr="00B43126">
        <w:t xml:space="preserve"> [Gießen: Alfred Töpelmann</w:t>
      </w:r>
      <w:r w:rsidR="006F304D" w:rsidRPr="006F304D">
        <w:t xml:space="preserve">, </w:t>
      </w:r>
      <w:r w:rsidRPr="00B43126">
        <w:t>1924] 234; see his summary of Olrik’s laws</w:t>
      </w:r>
      <w:r w:rsidR="006F304D" w:rsidRPr="006F304D">
        <w:t xml:space="preserve">, </w:t>
      </w:r>
      <w:r w:rsidRPr="00B43126">
        <w:t>40).</w:t>
      </w:r>
    </w:p>
  </w:footnote>
  <w:footnote w:id="313">
    <w:p w14:paraId="476EBA63" w14:textId="77777777" w:rsidR="0018433B" w:rsidRPr="00B43126" w:rsidRDefault="0018433B" w:rsidP="0018433B">
      <w:r w:rsidRPr="00B43126">
        <w:rPr>
          <w:rStyle w:val="FootnoteReference"/>
        </w:rPr>
        <w:footnoteRef/>
      </w:r>
      <w:r w:rsidRPr="00B43126">
        <w:t xml:space="preserve"> “Kompositionstechnik,” 38.</w:t>
      </w:r>
    </w:p>
  </w:footnote>
  <w:footnote w:id="314">
    <w:p w14:paraId="7DF141A7" w14:textId="141582BF" w:rsidR="0018433B" w:rsidRPr="00B43126" w:rsidRDefault="0018433B" w:rsidP="0018433B">
      <w:r w:rsidRPr="00B43126">
        <w:rPr>
          <w:rStyle w:val="FootnoteReference"/>
        </w:rPr>
        <w:footnoteRef/>
      </w:r>
      <w:r w:rsidRPr="00B43126">
        <w:t xml:space="preserve"> Ibid.</w:t>
      </w:r>
      <w:r w:rsidR="006F304D" w:rsidRPr="006F304D">
        <w:t xml:space="preserve">, </w:t>
      </w:r>
      <w:r w:rsidRPr="00B43126">
        <w:t>42.</w:t>
      </w:r>
    </w:p>
  </w:footnote>
  <w:footnote w:id="315">
    <w:p w14:paraId="2B708DC5" w14:textId="01B2A1C9" w:rsidR="0018433B" w:rsidRPr="00B43126" w:rsidRDefault="0018433B" w:rsidP="0018433B">
      <w:r w:rsidRPr="00B43126">
        <w:rPr>
          <w:rStyle w:val="FootnoteReference"/>
        </w:rPr>
        <w:footnoteRef/>
      </w:r>
      <w:r w:rsidRPr="00B43126">
        <w:t xml:space="preserve"> “Formeln,” 120</w:t>
      </w:r>
      <w:r w:rsidR="006F304D" w:rsidRPr="006F304D">
        <w:t xml:space="preserve">, </w:t>
      </w:r>
      <w:r w:rsidRPr="00B43126">
        <w:t>122</w:t>
      </w:r>
      <w:r w:rsidR="006F304D" w:rsidRPr="006F304D">
        <w:t xml:space="preserve">, </w:t>
      </w:r>
      <w:r w:rsidRPr="00B43126">
        <w:t>125</w:t>
      </w:r>
      <w:r w:rsidR="006F304D" w:rsidRPr="006F304D">
        <w:t xml:space="preserve">, </w:t>
      </w:r>
      <w:r w:rsidRPr="00B43126">
        <w:t>128</w:t>
      </w:r>
      <w:r w:rsidR="006F304D" w:rsidRPr="006F304D">
        <w:t xml:space="preserve">, </w:t>
      </w:r>
      <w:r w:rsidRPr="00B43126">
        <w:t>130</w:t>
      </w:r>
      <w:r w:rsidR="006F304D" w:rsidRPr="006F304D">
        <w:t xml:space="preserve">, </w:t>
      </w:r>
      <w:r w:rsidRPr="00B43126">
        <w:t>132</w:t>
      </w:r>
      <w:r w:rsidR="006F304D" w:rsidRPr="006F304D">
        <w:t xml:space="preserve">, </w:t>
      </w:r>
      <w:r w:rsidRPr="00B43126">
        <w:t>134. Though Dobschütz does not attribute numerical developments to a “law” of oral tradition (in every sentence on development the subject is passive or indefinite</w:t>
      </w:r>
      <w:r w:rsidR="006F304D" w:rsidRPr="006F304D">
        <w:t xml:space="preserve">, </w:t>
      </w:r>
      <w:r w:rsidR="00775F9B" w:rsidRPr="00775F9B">
        <w:rPr>
          <w:iCs/>
        </w:rPr>
        <w:t>e.g.</w:t>
      </w:r>
      <w:r w:rsidR="006F304D" w:rsidRPr="006F304D">
        <w:t xml:space="preserve">, </w:t>
      </w:r>
      <w:r w:rsidRPr="00B43126">
        <w:t>“the development into threefoldness shows itself,” 134)</w:t>
      </w:r>
      <w:r w:rsidR="006F304D" w:rsidRPr="006F304D">
        <w:t xml:space="preserve">, </w:t>
      </w:r>
      <w:r w:rsidRPr="00B43126">
        <w:t>he seems to allege such a law. He never says why three-member units always expand from two-member units</w:t>
      </w:r>
      <w:r w:rsidR="006F304D" w:rsidRPr="006F304D">
        <w:t xml:space="preserve">, </w:t>
      </w:r>
      <w:r w:rsidRPr="00B43126">
        <w:t>and four-member units from three-member; it seems more likely that two-</w:t>
      </w:r>
      <w:r w:rsidR="006F304D" w:rsidRPr="006F304D">
        <w:t xml:space="preserve">, </w:t>
      </w:r>
      <w:r w:rsidRPr="00B43126">
        <w:t>three-</w:t>
      </w:r>
      <w:r w:rsidR="006F304D" w:rsidRPr="006F304D">
        <w:t xml:space="preserve">, </w:t>
      </w:r>
      <w:r w:rsidRPr="00B43126">
        <w:t>and four-member units existed alongside one another throughout the tradition’s development.</w:t>
      </w:r>
    </w:p>
  </w:footnote>
  <w:footnote w:id="316">
    <w:p w14:paraId="17FB79D6" w14:textId="098C340F" w:rsidR="0018433B" w:rsidRPr="00B43126" w:rsidRDefault="0018433B" w:rsidP="0018433B">
      <w:r w:rsidRPr="00B43126">
        <w:rPr>
          <w:rStyle w:val="FootnoteReference"/>
        </w:rPr>
        <w:footnoteRef/>
      </w:r>
      <w:r w:rsidRPr="00B43126">
        <w:t xml:space="preserve"> “The Partiality of Luke for ‘Three’</w:t>
      </w:r>
      <w:r w:rsidR="006F304D" w:rsidRPr="006F304D">
        <w:t xml:space="preserve">, </w:t>
      </w:r>
      <w:r w:rsidRPr="00B43126">
        <w:t xml:space="preserve">and Its Bearing on the Original of Q,” </w:t>
      </w:r>
      <w:r w:rsidRPr="00B43126">
        <w:rPr>
          <w:i/>
          <w:iCs/>
        </w:rPr>
        <w:t>JTS</w:t>
      </w:r>
      <w:r w:rsidRPr="00B43126">
        <w:t xml:space="preserve"> 37 (1936) 141: “the Third Gospel exhibits a phenomenon which is Greek rather than Semitic—the prevailing form is ternary and not binary </w:t>
      </w:r>
      <w:r>
        <w:t>. . .</w:t>
      </w:r>
      <w:r w:rsidRPr="00B43126">
        <w:t>”</w:t>
      </w:r>
    </w:p>
  </w:footnote>
  <w:footnote w:id="317">
    <w:p w14:paraId="257DD438" w14:textId="348A0FDB" w:rsidR="0018433B" w:rsidRPr="00B43126" w:rsidRDefault="0018433B" w:rsidP="0018433B">
      <w:r w:rsidRPr="00B43126">
        <w:rPr>
          <w:rStyle w:val="FootnoteReference"/>
        </w:rPr>
        <w:footnoteRef/>
      </w:r>
      <w:r w:rsidRPr="00B43126">
        <w:t xml:space="preserve"> Ibid.</w:t>
      </w:r>
      <w:r w:rsidR="006F304D" w:rsidRPr="006F304D">
        <w:t xml:space="preserve">, </w:t>
      </w:r>
      <w:r w:rsidRPr="00B43126">
        <w:t>141</w:t>
      </w:r>
      <w:r w:rsidR="006F304D" w:rsidRPr="006F304D">
        <w:t xml:space="preserve">, </w:t>
      </w:r>
      <w:r w:rsidRPr="00B43126">
        <w:t>144-45.</w:t>
      </w:r>
    </w:p>
  </w:footnote>
  <w:footnote w:id="318">
    <w:p w14:paraId="67433B23" w14:textId="1C3B5285" w:rsidR="0018433B" w:rsidRPr="00B43126" w:rsidRDefault="0018433B" w:rsidP="0018433B">
      <w:r w:rsidRPr="00C81D8C">
        <w:rPr>
          <w:rStyle w:val="FootnoteReference"/>
        </w:rPr>
        <w:footnoteRef/>
      </w:r>
      <w:r w:rsidRPr="00C81D8C">
        <w:rPr>
          <w:iCs/>
        </w:rPr>
        <w:t xml:space="preserve"> </w:t>
      </w:r>
      <w:r w:rsidRPr="00B43126">
        <w:rPr>
          <w:i/>
          <w:iCs/>
        </w:rPr>
        <w:t>Die lukanische Geschichtsschreibung als Zeugnis</w:t>
      </w:r>
      <w:r w:rsidRPr="00B43126">
        <w:rPr>
          <w:iCs/>
        </w:rPr>
        <w:t xml:space="preserve">: </w:t>
      </w:r>
      <w:r w:rsidRPr="00B43126">
        <w:rPr>
          <w:i/>
          <w:iCs/>
        </w:rPr>
        <w:t>Gestalt und Gehalt in der Kunst des Lukas</w:t>
      </w:r>
      <w:r w:rsidRPr="00B43126">
        <w:t xml:space="preserve"> (ATANT 14-15; Zurich: Zwingli</w:t>
      </w:r>
      <w:r w:rsidR="006F304D" w:rsidRPr="006F304D">
        <w:t xml:space="preserve">, </w:t>
      </w:r>
      <w:r w:rsidRPr="00B43126">
        <w:t>1949). Quotations throughout are from the first volume unless noted otherwise.</w:t>
      </w:r>
    </w:p>
  </w:footnote>
  <w:footnote w:id="319">
    <w:p w14:paraId="1940A2E8" w14:textId="51A1E82F" w:rsidR="0018433B" w:rsidRPr="00B43126" w:rsidRDefault="0018433B" w:rsidP="0018433B">
      <w:r w:rsidRPr="00B43126">
        <w:rPr>
          <w:rStyle w:val="FootnoteReference"/>
        </w:rPr>
        <w:footnoteRef/>
      </w:r>
      <w:r w:rsidRPr="00B43126">
        <w:t xml:space="preserve"> See 44: “our thesis of the principle of twofoldness”; cf. 73</w:t>
      </w:r>
      <w:r w:rsidR="006F304D" w:rsidRPr="006F304D">
        <w:t xml:space="preserve">, </w:t>
      </w:r>
      <w:r w:rsidRPr="00B43126">
        <w:t>112</w:t>
      </w:r>
      <w:r w:rsidR="006F304D" w:rsidRPr="006F304D">
        <w:t xml:space="preserve">, </w:t>
      </w:r>
      <w:r w:rsidRPr="00B43126">
        <w:t>and the introduction to the second volume: “The law of twofoldness</w:t>
      </w:r>
      <w:r w:rsidR="006F304D" w:rsidRPr="006F304D">
        <w:t xml:space="preserve">, </w:t>
      </w:r>
      <w:r w:rsidRPr="00B43126">
        <w:t>which manifests itself to the observer of the art of Luke</w:t>
      </w:r>
      <w:r w:rsidR="006F304D" w:rsidRPr="006F304D">
        <w:t xml:space="preserve">, </w:t>
      </w:r>
      <w:r w:rsidRPr="00B43126">
        <w:t>controls the work of the third evangelist throughout.”</w:t>
      </w:r>
    </w:p>
  </w:footnote>
  <w:footnote w:id="320">
    <w:p w14:paraId="5FB6550D" w14:textId="7777946F" w:rsidR="0018433B" w:rsidRPr="00B43126" w:rsidRDefault="0018433B" w:rsidP="0018433B">
      <w:r w:rsidRPr="00B43126">
        <w:rPr>
          <w:rStyle w:val="FootnoteReference"/>
        </w:rPr>
        <w:footnoteRef/>
      </w:r>
      <w:r w:rsidRPr="00B43126">
        <w:t xml:space="preserve"> 2. 8: “Our thesis asserts: the twofold architecture of the Lukan work is nothing other than the formal expression of the single-minded will of the whole of early Christianity</w:t>
      </w:r>
      <w:r w:rsidR="006F304D" w:rsidRPr="006F304D">
        <w:t xml:space="preserve">, </w:t>
      </w:r>
      <w:r w:rsidRPr="00B43126">
        <w:t>and not least of Luke himself</w:t>
      </w:r>
      <w:r w:rsidR="006F304D" w:rsidRPr="006F304D">
        <w:t xml:space="preserve">, </w:t>
      </w:r>
      <w:r w:rsidRPr="00B43126">
        <w:t>to set forth to the surrounding world the witness of the events concerning Jesus of Nazareth.” The necessity of at least two witnesses is in Deut 17:6a</w:t>
      </w:r>
      <w:r w:rsidR="006F304D" w:rsidRPr="006F304D">
        <w:t xml:space="preserve">, </w:t>
      </w:r>
      <w:r w:rsidRPr="00B43126">
        <w:t>“On the evidence of two or three witnesses the death sentence shall be executed,” and 19:15b (already cited in connection with numerical principles by Dobschütz</w:t>
      </w:r>
      <w:r w:rsidR="006F304D" w:rsidRPr="006F304D">
        <w:t xml:space="preserve">, </w:t>
      </w:r>
      <w:r w:rsidRPr="00B43126">
        <w:t>“Formeln,” 131)</w:t>
      </w:r>
      <w:r w:rsidR="006F304D" w:rsidRPr="006F304D">
        <w:t xml:space="preserve">, </w:t>
      </w:r>
      <w:r w:rsidRPr="00B43126">
        <w:t>“Only on the evidence of two or three wit</w:t>
      </w:r>
      <w:r w:rsidRPr="00B43126">
        <w:softHyphen/>
        <w:t>nesses shall a charge be sustained.” Matt 18:16-18</w:t>
      </w:r>
      <w:r w:rsidR="006F304D" w:rsidRPr="006F304D">
        <w:t xml:space="preserve">, </w:t>
      </w:r>
      <w:r w:rsidRPr="00B43126">
        <w:t>2 Cor 13:1</w:t>
      </w:r>
      <w:r w:rsidR="006F304D" w:rsidRPr="006F304D">
        <w:t xml:space="preserve">, </w:t>
      </w:r>
      <w:r w:rsidRPr="00B43126">
        <w:t>1 Tim 5:19</w:t>
      </w:r>
      <w:r w:rsidR="006F304D" w:rsidRPr="006F304D">
        <w:t xml:space="preserve">, </w:t>
      </w:r>
      <w:r w:rsidRPr="00B43126">
        <w:t>Heb 10:28</w:t>
      </w:r>
      <w:r w:rsidR="006F304D" w:rsidRPr="006F304D">
        <w:t xml:space="preserve">, </w:t>
      </w:r>
      <w:r w:rsidRPr="00B43126">
        <w:t>and 1 John 5:6-8 show that the requirement of two or three witnesses was taken seriously in early Christianity and that Luke may therefore have used a principle of twofoldness in the structuring of his composi</w:t>
      </w:r>
      <w:r w:rsidRPr="00B43126">
        <w:softHyphen/>
        <w:t>tion to prove his case (</w:t>
      </w:r>
      <w:r w:rsidRPr="00B43126">
        <w:rPr>
          <w:i/>
          <w:iCs/>
        </w:rPr>
        <w:t>Geschichtsschreibung</w:t>
      </w:r>
      <w:r w:rsidR="006F304D" w:rsidRPr="006F304D">
        <w:rPr>
          <w:iCs/>
        </w:rPr>
        <w:t xml:space="preserve">, </w:t>
      </w:r>
      <w:r w:rsidRPr="00B43126">
        <w:t>2. 8).</w:t>
      </w:r>
    </w:p>
  </w:footnote>
  <w:footnote w:id="321">
    <w:p w14:paraId="70E9CB75" w14:textId="051DC32D" w:rsidR="0018433B" w:rsidRPr="00B43126" w:rsidRDefault="0018433B" w:rsidP="0018433B">
      <w:r w:rsidRPr="00B43126">
        <w:rPr>
          <w:rStyle w:val="FootnoteReference"/>
        </w:rPr>
        <w:footnoteRef/>
      </w:r>
      <w:r w:rsidRPr="00B43126">
        <w:t xml:space="preserve"> Still</w:t>
      </w:r>
      <w:r w:rsidR="006F304D" w:rsidRPr="006F304D">
        <w:t xml:space="preserve">, </w:t>
      </w:r>
      <w:r w:rsidRPr="00B43126">
        <w:t>we may note in passing: Luke nowhere cites Deut 17:6 or 19:15 (a criticism already brought forward by W. G. Kümmel</w:t>
      </w:r>
      <w:r w:rsidR="006F304D" w:rsidRPr="006F304D">
        <w:t xml:space="preserve">, </w:t>
      </w:r>
      <w:r w:rsidRPr="00B43126">
        <w:t xml:space="preserve">“Das Urchristentum,” </w:t>
      </w:r>
      <w:r w:rsidRPr="00B43126">
        <w:rPr>
          <w:i/>
          <w:iCs/>
        </w:rPr>
        <w:t>TRu</w:t>
      </w:r>
      <w:r w:rsidRPr="00B43126">
        <w:t xml:space="preserve"> 22 [1952] 198); the second thesis assumes that Luke was obsessive dominated by a forensic analogy (proclaiming the gospel is like presenting a court case); and it is not clear how a </w:t>
      </w:r>
      <w:r w:rsidRPr="00B43126">
        <w:rPr>
          <w:i/>
          <w:iCs/>
        </w:rPr>
        <w:t>formal</w:t>
      </w:r>
      <w:r w:rsidRPr="00B43126">
        <w:t xml:space="preserve"> twofoldness can supply the </w:t>
      </w:r>
      <w:r w:rsidRPr="00B43126">
        <w:rPr>
          <w:i/>
          <w:iCs/>
        </w:rPr>
        <w:t>content</w:t>
      </w:r>
      <w:r w:rsidRPr="00B43126">
        <w:t xml:space="preserve"> of two witnesses’ testimony.</w:t>
      </w:r>
    </w:p>
  </w:footnote>
  <w:footnote w:id="322">
    <w:p w14:paraId="542F2B62" w14:textId="4E5CB4F3" w:rsidR="0018433B" w:rsidRPr="00B43126" w:rsidRDefault="0018433B" w:rsidP="0018433B">
      <w:r w:rsidRPr="00B43126">
        <w:rPr>
          <w:rStyle w:val="FootnoteReference"/>
        </w:rPr>
        <w:footnoteRef/>
      </w:r>
      <w:r w:rsidRPr="00B43126">
        <w:t xml:space="preserve"> C. K. Barrett</w:t>
      </w:r>
      <w:r w:rsidR="006F304D" w:rsidRPr="006F304D">
        <w:t xml:space="preserve">, </w:t>
      </w:r>
      <w:r w:rsidRPr="00B43126">
        <w:rPr>
          <w:i/>
          <w:iCs/>
        </w:rPr>
        <w:t>Luke the Historian in Recent Study</w:t>
      </w:r>
      <w:r w:rsidRPr="00B43126">
        <w:t xml:space="preserve"> (</w:t>
      </w:r>
      <w:r w:rsidR="002E050A" w:rsidRPr="002E050A">
        <w:rPr>
          <w:iCs/>
        </w:rPr>
        <w:t>A.S.</w:t>
      </w:r>
      <w:r w:rsidRPr="00B43126">
        <w:t xml:space="preserve"> Peake Memorial Lecture 6; London: Epworth</w:t>
      </w:r>
      <w:r w:rsidR="006F304D" w:rsidRPr="006F304D">
        <w:t xml:space="preserve">, </w:t>
      </w:r>
      <w:r w:rsidRPr="00B43126">
        <w:t>1961) 39. Other translations include “principle of doubling</w:t>
      </w:r>
      <w:r w:rsidR="006F304D" w:rsidRPr="006F304D">
        <w:t xml:space="preserve">, </w:t>
      </w:r>
      <w:r w:rsidRPr="00B43126">
        <w:t>or of pairs” (ibid.</w:t>
      </w:r>
      <w:r w:rsidR="006F304D" w:rsidRPr="006F304D">
        <w:t xml:space="preserve">, </w:t>
      </w:r>
      <w:r w:rsidRPr="00B43126">
        <w:t>36)</w:t>
      </w:r>
      <w:r w:rsidR="006F304D" w:rsidRPr="006F304D">
        <w:t xml:space="preserve">, </w:t>
      </w:r>
      <w:r w:rsidRPr="00B43126">
        <w:t>“rule of duality” (Ernst Haenchen</w:t>
      </w:r>
      <w:r w:rsidR="006F304D" w:rsidRPr="006F304D">
        <w:t xml:space="preserve">, </w:t>
      </w:r>
      <w:r w:rsidRPr="00B43126">
        <w:rPr>
          <w:i/>
          <w:iCs/>
        </w:rPr>
        <w:t>The Acts of the Apostles</w:t>
      </w:r>
      <w:r w:rsidRPr="00B43126">
        <w:rPr>
          <w:iCs/>
        </w:rPr>
        <w:t xml:space="preserve">: </w:t>
      </w:r>
      <w:r w:rsidRPr="00B43126">
        <w:rPr>
          <w:i/>
          <w:iCs/>
        </w:rPr>
        <w:t>A Commentary</w:t>
      </w:r>
      <w:r w:rsidRPr="00B43126">
        <w:t xml:space="preserve"> [Oxford: Basil Blackwell; Philadelphia: Westminster</w:t>
      </w:r>
      <w:r w:rsidR="006F304D" w:rsidRPr="006F304D">
        <w:t xml:space="preserve">, </w:t>
      </w:r>
      <w:r w:rsidRPr="00B43126">
        <w:t>1971] 47)</w:t>
      </w:r>
      <w:r w:rsidR="006F304D" w:rsidRPr="006F304D">
        <w:t xml:space="preserve">, </w:t>
      </w:r>
      <w:r w:rsidRPr="00B43126">
        <w:t>and “law of duality” (Talbert</w:t>
      </w:r>
      <w:r w:rsidR="006F304D" w:rsidRPr="006F304D">
        <w:t xml:space="preserve">, </w:t>
      </w:r>
      <w:r w:rsidRPr="00B43126">
        <w:rPr>
          <w:i/>
          <w:iCs/>
        </w:rPr>
        <w:t>Literary Patterns</w:t>
      </w:r>
      <w:r w:rsidR="006F304D" w:rsidRPr="006F304D">
        <w:rPr>
          <w:iCs/>
        </w:rPr>
        <w:t xml:space="preserve">, </w:t>
      </w:r>
      <w:r w:rsidRPr="00B43126">
        <w:t>2-3). Talbert prefers “principle of balance” (4-5</w:t>
      </w:r>
      <w:r w:rsidR="006F304D" w:rsidRPr="006F304D">
        <w:t xml:space="preserve">, </w:t>
      </w:r>
      <w:r w:rsidRPr="00B43126">
        <w:t>14</w:t>
      </w:r>
      <w:r w:rsidR="006F304D" w:rsidRPr="006F304D">
        <w:t xml:space="preserve">, </w:t>
      </w:r>
      <w:r w:rsidRPr="00B43126">
        <w:t xml:space="preserve">etc.) but does not advance it as a translation of </w:t>
      </w:r>
      <w:r w:rsidRPr="00B43126">
        <w:rPr>
          <w:i/>
          <w:iCs/>
        </w:rPr>
        <w:t>Zweigliedrigkeit</w:t>
      </w:r>
      <w:r w:rsidRPr="00B43126">
        <w:t xml:space="preserve"> or </w:t>
      </w:r>
      <w:r w:rsidRPr="00B43126">
        <w:rPr>
          <w:i/>
          <w:iCs/>
        </w:rPr>
        <w:t>Zweiheitsgesetz</w:t>
      </w:r>
      <w:r w:rsidRPr="00B43126">
        <w:rPr>
          <w:iCs/>
        </w:rPr>
        <w:t>.</w:t>
      </w:r>
    </w:p>
  </w:footnote>
  <w:footnote w:id="323">
    <w:p w14:paraId="30A02D63" w14:textId="39BF2641" w:rsidR="0018433B" w:rsidRPr="00B43126" w:rsidRDefault="0018433B" w:rsidP="0018433B">
      <w:r w:rsidRPr="00A71A39">
        <w:rPr>
          <w:rStyle w:val="FootnoteReference"/>
        </w:rPr>
        <w:footnoteRef/>
      </w:r>
      <w:r w:rsidRPr="00A71A39">
        <w:rPr>
          <w:iCs/>
        </w:rPr>
        <w:t xml:space="preserve"> </w:t>
      </w:r>
      <w:r w:rsidRPr="00B43126">
        <w:rPr>
          <w:i/>
          <w:iCs/>
        </w:rPr>
        <w:t>Kunst</w:t>
      </w:r>
      <w:r w:rsidRPr="00B43126">
        <w:t xml:space="preserve"> in the title of Morgenthaler’s work does not in fact refer to literary art</w:t>
      </w:r>
      <w:r w:rsidR="006F304D" w:rsidRPr="006F304D">
        <w:t xml:space="preserve">, </w:t>
      </w:r>
      <w:r w:rsidRPr="00B43126">
        <w:t>in the usual sense of plot</w:t>
      </w:r>
      <w:r w:rsidR="006F304D" w:rsidRPr="006F304D">
        <w:t xml:space="preserve">, </w:t>
      </w:r>
      <w:r w:rsidRPr="00B43126">
        <w:t>point of view</w:t>
      </w:r>
      <w:r w:rsidR="006F304D" w:rsidRPr="006F304D">
        <w:t xml:space="preserve">, </w:t>
      </w:r>
      <w:r w:rsidRPr="00B43126">
        <w:t>style</w:t>
      </w:r>
      <w:r w:rsidR="006F304D" w:rsidRPr="006F304D">
        <w:t xml:space="preserve">, </w:t>
      </w:r>
      <w:r w:rsidRPr="00B43126">
        <w:t>figures of speech</w:t>
      </w:r>
      <w:r w:rsidR="006F304D" w:rsidRPr="006F304D">
        <w:t xml:space="preserve">, </w:t>
      </w:r>
      <w:r w:rsidRPr="00B43126">
        <w:t>and so on; rather</w:t>
      </w:r>
      <w:r w:rsidR="006F304D" w:rsidRPr="006F304D">
        <w:t xml:space="preserve">, </w:t>
      </w:r>
      <w:r w:rsidRPr="00B43126">
        <w:t xml:space="preserve">it means simply the principle of twofoldness </w:t>
      </w:r>
      <w:r w:rsidR="001C646B" w:rsidRPr="001C646B">
        <w:rPr>
          <w:iCs/>
        </w:rPr>
        <w:t>(</w:t>
      </w:r>
      <w:r w:rsidRPr="00B43126">
        <w:t>“for the art of Luke</w:t>
      </w:r>
      <w:r w:rsidR="006F304D" w:rsidRPr="006F304D">
        <w:t xml:space="preserve">, </w:t>
      </w:r>
      <w:r w:rsidR="00775F9B" w:rsidRPr="00775F9B">
        <w:rPr>
          <w:iCs/>
        </w:rPr>
        <w:t>i.e.</w:t>
      </w:r>
      <w:r w:rsidR="006F304D" w:rsidRPr="006F304D">
        <w:t xml:space="preserve">, </w:t>
      </w:r>
      <w:r w:rsidRPr="00B43126">
        <w:t>for the architechtonics of his style,” 81). See Haenchen’s comment</w:t>
      </w:r>
      <w:r w:rsidR="006F304D" w:rsidRPr="006F304D">
        <w:t xml:space="preserve">, </w:t>
      </w:r>
      <w:r w:rsidRPr="00B43126">
        <w:rPr>
          <w:i/>
          <w:iCs/>
        </w:rPr>
        <w:t>Acts</w:t>
      </w:r>
      <w:r w:rsidR="006F304D" w:rsidRPr="006F304D">
        <w:rPr>
          <w:iCs/>
        </w:rPr>
        <w:t xml:space="preserve">, </w:t>
      </w:r>
      <w:r w:rsidRPr="00B43126">
        <w:t>47: “Morgenthaler threw a new idea into the debate: the Lucan writings are a work of art! Unfortunately this fruitful idea was reduced to the simple implication that Luke deliberately followed the ‘rule of duality’ (‘duality’ here being understood in very various ways).”</w:t>
      </w:r>
    </w:p>
  </w:footnote>
  <w:footnote w:id="324">
    <w:p w14:paraId="0BFA0031" w14:textId="4D52C59D" w:rsidR="0018433B" w:rsidRPr="00B43126" w:rsidRDefault="0018433B" w:rsidP="0018433B">
      <w:r w:rsidRPr="00B43126">
        <w:rPr>
          <w:rStyle w:val="FootnoteReference"/>
        </w:rPr>
        <w:footnoteRef/>
      </w:r>
      <w:r w:rsidRPr="00B43126">
        <w:t xml:space="preserve"> In detailed scriptural exegesis it is sometimes hard not to get lost in the “trees”; to view the sermon whole</w:t>
      </w:r>
      <w:r w:rsidR="006F304D" w:rsidRPr="006F304D">
        <w:t xml:space="preserve">, </w:t>
      </w:r>
      <w:r w:rsidRPr="00B43126">
        <w:t xml:space="preserve">see Appendix </w:t>
      </w:r>
      <w:r w:rsidR="00904123">
        <w:t>1</w:t>
      </w:r>
      <w:r w:rsidRPr="00B43126">
        <w:t>.</w:t>
      </w:r>
    </w:p>
  </w:footnote>
  <w:footnote w:id="325">
    <w:p w14:paraId="10E60762" w14:textId="7F04F172" w:rsidR="0018433B" w:rsidRPr="00B43126" w:rsidRDefault="0018433B" w:rsidP="0018433B">
      <w:r w:rsidRPr="00A71A39">
        <w:rPr>
          <w:rStyle w:val="FootnoteReference"/>
        </w:rPr>
        <w:footnoteRef/>
      </w:r>
      <w:r w:rsidRPr="00A71A39">
        <w:rPr>
          <w:iCs/>
        </w:rPr>
        <w:t xml:space="preserve"> </w:t>
      </w:r>
      <w:r w:rsidRPr="00B43126">
        <w:rPr>
          <w:i/>
          <w:iCs/>
        </w:rPr>
        <w:t>Geschichtsschreibung</w:t>
      </w:r>
      <w:r w:rsidR="006F304D" w:rsidRPr="006F304D">
        <w:rPr>
          <w:iCs/>
        </w:rPr>
        <w:t xml:space="preserve">, </w:t>
      </w:r>
      <w:r w:rsidRPr="00B43126">
        <w:t>17. Cadbury (</w:t>
      </w:r>
      <w:r w:rsidRPr="00B43126">
        <w:rPr>
          <w:i/>
          <w:iCs/>
        </w:rPr>
        <w:t>Making</w:t>
      </w:r>
      <w:r w:rsidR="006F304D" w:rsidRPr="006F304D">
        <w:rPr>
          <w:iCs/>
        </w:rPr>
        <w:t xml:space="preserve">, </w:t>
      </w:r>
      <w:r w:rsidRPr="00B43126">
        <w:t>218) had already noted</w:t>
      </w:r>
      <w:r w:rsidR="006F304D" w:rsidRPr="006F304D">
        <w:t xml:space="preserve">, </w:t>
      </w:r>
      <w:r w:rsidRPr="00B43126">
        <w:t>two decades before Morgenthaler</w:t>
      </w:r>
      <w:r w:rsidR="006F304D" w:rsidRPr="006F304D">
        <w:t xml:space="preserve">, </w:t>
      </w:r>
      <w:r w:rsidRPr="00B43126">
        <w:t>that Luke</w:t>
      </w:r>
      <w:r w:rsidR="006F304D" w:rsidRPr="006F304D">
        <w:t xml:space="preserve">, </w:t>
      </w:r>
      <w:r w:rsidRPr="00B43126">
        <w:t>“like the ‘Elohist’ in the Old Testament</w:t>
      </w:r>
      <w:r w:rsidR="006F304D" w:rsidRPr="006F304D">
        <w:t xml:space="preserve">, </w:t>
      </w:r>
      <w:r w:rsidRPr="00B43126">
        <w:t>doubles the vocatives: ‘master</w:t>
      </w:r>
      <w:r w:rsidR="006F304D" w:rsidRPr="006F304D">
        <w:t xml:space="preserve">, </w:t>
      </w:r>
      <w:r w:rsidRPr="00B43126">
        <w:t>master’; ‘Martha</w:t>
      </w:r>
      <w:r w:rsidR="006F304D" w:rsidRPr="006F304D">
        <w:t xml:space="preserve">, </w:t>
      </w:r>
      <w:r w:rsidRPr="00B43126">
        <w:t>Martha’; ‘Simon</w:t>
      </w:r>
      <w:r w:rsidR="006F304D" w:rsidRPr="006F304D">
        <w:t xml:space="preserve">, </w:t>
      </w:r>
      <w:r w:rsidRPr="00B43126">
        <w:t>Simon’; ‘Saul</w:t>
      </w:r>
      <w:r w:rsidR="006F304D" w:rsidRPr="006F304D">
        <w:t xml:space="preserve">, </w:t>
      </w:r>
      <w:r w:rsidRPr="00B43126">
        <w:t>Saul’”; and Dobschütz noted the same phenome</w:t>
      </w:r>
      <w:r w:rsidRPr="00B43126">
        <w:softHyphen/>
        <w:t>non (“Formeln,” 124).</w:t>
      </w:r>
    </w:p>
  </w:footnote>
  <w:footnote w:id="326">
    <w:p w14:paraId="63B5FB30" w14:textId="05DAE5FC" w:rsidR="0018433B" w:rsidRPr="00B43126" w:rsidRDefault="0018433B" w:rsidP="0018433B">
      <w:r w:rsidRPr="00A71A39">
        <w:rPr>
          <w:rStyle w:val="FootnoteReference"/>
        </w:rPr>
        <w:footnoteRef/>
      </w:r>
      <w:r w:rsidRPr="00A71A39">
        <w:rPr>
          <w:iCs/>
        </w:rPr>
        <w:t xml:space="preserve"> </w:t>
      </w:r>
      <w:r w:rsidRPr="00B43126">
        <w:rPr>
          <w:i/>
          <w:iCs/>
        </w:rPr>
        <w:t>Geschichtsschreibung</w:t>
      </w:r>
      <w:r w:rsidR="006F304D" w:rsidRPr="006F304D">
        <w:rPr>
          <w:iCs/>
        </w:rPr>
        <w:t xml:space="preserve">, </w:t>
      </w:r>
      <w:r w:rsidRPr="00B43126">
        <w:t>18. Adolf von Harnack had previously noted this phenonmenon (</w:t>
      </w:r>
      <w:r w:rsidRPr="00B43126">
        <w:rPr>
          <w:i/>
          <w:iCs/>
        </w:rPr>
        <w:t>The Sayings of Jesus</w:t>
      </w:r>
      <w:r w:rsidRPr="00B43126">
        <w:rPr>
          <w:iCs/>
        </w:rPr>
        <w:t xml:space="preserve">: </w:t>
      </w:r>
      <w:r w:rsidRPr="00B43126">
        <w:rPr>
          <w:i/>
          <w:iCs/>
        </w:rPr>
        <w:t>The Second Source of St</w:t>
      </w:r>
      <w:r w:rsidRPr="00B43126">
        <w:rPr>
          <w:iCs/>
        </w:rPr>
        <w:t xml:space="preserve">. </w:t>
      </w:r>
      <w:r w:rsidRPr="00B43126">
        <w:rPr>
          <w:i/>
          <w:iCs/>
        </w:rPr>
        <w:t>Matthew and St</w:t>
      </w:r>
      <w:r w:rsidRPr="00B43126">
        <w:rPr>
          <w:iCs/>
        </w:rPr>
        <w:t xml:space="preserve">. </w:t>
      </w:r>
      <w:r w:rsidRPr="00B43126">
        <w:rPr>
          <w:i/>
          <w:iCs/>
        </w:rPr>
        <w:t>Luke</w:t>
      </w:r>
      <w:r w:rsidRPr="00B43126">
        <w:t xml:space="preserve"> (Crown Theological Library 23</w:t>
      </w:r>
      <w:r w:rsidR="006F304D" w:rsidRPr="006F304D">
        <w:t xml:space="preserve">, </w:t>
      </w:r>
      <w:r w:rsidRPr="00B43126">
        <w:t>NT Studies 2; New York: Putnam’s</w:t>
      </w:r>
      <w:r w:rsidR="006F304D" w:rsidRPr="006F304D">
        <w:t xml:space="preserve">, </w:t>
      </w:r>
      <w:r w:rsidRPr="00B43126">
        <w:t xml:space="preserve">1908) [German: </w:t>
      </w:r>
      <w:r w:rsidRPr="00B43126">
        <w:rPr>
          <w:i/>
          <w:iCs/>
        </w:rPr>
        <w:t>Sprüche und Reden Jesu</w:t>
      </w:r>
      <w:r w:rsidRPr="00B43126">
        <w:t xml:space="preserve"> (Beiträge zur Einleit</w:t>
      </w:r>
      <w:r w:rsidRPr="00B43126">
        <w:softHyphen/>
        <w:t>ung ins Neuen Testament 4; Leipzig: 1907) 83]).</w:t>
      </w:r>
      <w:r w:rsidRPr="00B43126">
        <w:rPr>
          <w:vanish/>
        </w:rPr>
        <w:t>?? Need p. no. for English version of Harnack.</w:t>
      </w:r>
    </w:p>
  </w:footnote>
  <w:footnote w:id="327">
    <w:p w14:paraId="5772504E" w14:textId="0B4065BB" w:rsidR="0018433B" w:rsidRPr="00B43126" w:rsidRDefault="0018433B" w:rsidP="0018433B">
      <w:r w:rsidRPr="00A71A39">
        <w:rPr>
          <w:rStyle w:val="FootnoteReference"/>
        </w:rPr>
        <w:footnoteRef/>
      </w:r>
      <w:r w:rsidRPr="00A71A39">
        <w:rPr>
          <w:iCs/>
        </w:rPr>
        <w:t xml:space="preserve"> </w:t>
      </w:r>
      <w:r w:rsidRPr="00B43126">
        <w:rPr>
          <w:i/>
          <w:iCs/>
        </w:rPr>
        <w:t>Geschichtsschreibung</w:t>
      </w:r>
      <w:r w:rsidR="006F304D" w:rsidRPr="006F304D">
        <w:rPr>
          <w:iCs/>
        </w:rPr>
        <w:t xml:space="preserve">, </w:t>
      </w:r>
      <w:r w:rsidRPr="00B43126">
        <w:t>23</w:t>
      </w:r>
      <w:r>
        <w:t>.</w:t>
      </w:r>
    </w:p>
  </w:footnote>
  <w:footnote w:id="328">
    <w:p w14:paraId="577FA171" w14:textId="7900324C" w:rsidR="0018433B" w:rsidRPr="00B43126" w:rsidRDefault="0018433B" w:rsidP="0018433B">
      <w:r w:rsidRPr="00B43126">
        <w:rPr>
          <w:rStyle w:val="FootnoteReference"/>
        </w:rPr>
        <w:footnoteRef/>
      </w:r>
      <w:r w:rsidRPr="00B43126">
        <w:t xml:space="preserve"> Ibid.</w:t>
      </w:r>
      <w:r w:rsidR="006F304D" w:rsidRPr="006F304D">
        <w:t xml:space="preserve">, </w:t>
      </w:r>
      <w:r w:rsidRPr="00B43126">
        <w:t>38. Morgenthaler says concerning this figure: “This asyndetic collection of four words is striking. One notes the homoioteleuton! Is the figure purely pleonastic? Or do both of the middle words belong together because of content</w:t>
      </w:r>
      <w:r w:rsidR="006F304D" w:rsidRPr="006F304D">
        <w:t xml:space="preserve">, </w:t>
      </w:r>
      <w:r w:rsidRPr="00B43126">
        <w:t>while the first and the fourth form the framework? Is the row moreover ordered climactically</w:t>
      </w:r>
      <w:r w:rsidR="006F304D" w:rsidRPr="006F304D">
        <w:t xml:space="preserve">, </w:t>
      </w:r>
      <w:r w:rsidRPr="00B43126">
        <w:t>and not by form (each word is longer) and by content?” (ibid.). (Asyndeton is a lack of conjunctions; homoioteleuton is words with the same ending; pleonasm is redundancy; see BDF 239-40</w:t>
      </w:r>
      <w:r w:rsidR="006F304D" w:rsidRPr="006F304D">
        <w:t xml:space="preserve">, </w:t>
      </w:r>
      <w:r w:rsidRPr="00B43126">
        <w:t>258</w:t>
      </w:r>
      <w:r w:rsidR="006F304D" w:rsidRPr="006F304D">
        <w:t xml:space="preserve">, </w:t>
      </w:r>
      <w:r w:rsidRPr="00B43126">
        <w:t>256</w:t>
      </w:r>
      <w:r w:rsidR="006F304D" w:rsidRPr="006F304D">
        <w:t xml:space="preserve">, </w:t>
      </w:r>
      <w:r w:rsidRPr="00B43126">
        <w:t>respectively.) Morgenthaler lets his questions remain rhetorical.</w:t>
      </w:r>
    </w:p>
  </w:footnote>
  <w:footnote w:id="329">
    <w:p w14:paraId="56615579" w14:textId="025E7DD5" w:rsidR="0018433B" w:rsidRPr="00B43126" w:rsidRDefault="0018433B" w:rsidP="0018433B">
      <w:r w:rsidRPr="00B43126">
        <w:rPr>
          <w:rStyle w:val="FootnoteReference"/>
        </w:rPr>
        <w:footnoteRef/>
      </w:r>
      <w:r w:rsidRPr="00B43126">
        <w:t xml:space="preserve"> Ibid.</w:t>
      </w:r>
      <w:r w:rsidR="006F304D" w:rsidRPr="006F304D">
        <w:t xml:space="preserve">, </w:t>
      </w:r>
      <w:r w:rsidRPr="00B43126">
        <w:t>50.</w:t>
      </w:r>
    </w:p>
  </w:footnote>
  <w:footnote w:id="330">
    <w:p w14:paraId="6F18F299" w14:textId="7BF9C699" w:rsidR="0018433B" w:rsidRPr="00B43126" w:rsidRDefault="0018433B" w:rsidP="0018433B">
      <w:r w:rsidRPr="00B43126">
        <w:rPr>
          <w:rStyle w:val="FootnoteReference"/>
        </w:rPr>
        <w:footnoteRef/>
      </w:r>
      <w:r w:rsidRPr="00B43126">
        <w:t xml:space="preserve"> See BDF</w:t>
      </w:r>
      <w:r w:rsidR="006F304D" w:rsidRPr="006F304D">
        <w:t xml:space="preserve">, </w:t>
      </w:r>
      <w:r w:rsidRPr="00B43126">
        <w:t>259 (§ 489).</w:t>
      </w:r>
    </w:p>
  </w:footnote>
  <w:footnote w:id="331">
    <w:p w14:paraId="2B1FCA26" w14:textId="6254125E" w:rsidR="0018433B" w:rsidRPr="00B43126" w:rsidRDefault="0018433B" w:rsidP="0018433B">
      <w:r w:rsidRPr="00A71A39">
        <w:rPr>
          <w:rStyle w:val="FootnoteReference"/>
        </w:rPr>
        <w:footnoteRef/>
      </w:r>
      <w:r w:rsidRPr="00A71A39">
        <w:rPr>
          <w:iCs/>
        </w:rPr>
        <w:t xml:space="preserve"> </w:t>
      </w:r>
      <w:r w:rsidRPr="00B43126">
        <w:rPr>
          <w:i/>
          <w:iCs/>
        </w:rPr>
        <w:t>Geschichtsschreibung</w:t>
      </w:r>
      <w:r w:rsidR="006F304D" w:rsidRPr="006F304D">
        <w:rPr>
          <w:iCs/>
        </w:rPr>
        <w:t xml:space="preserve">, </w:t>
      </w:r>
      <w:r w:rsidRPr="00B43126">
        <w:t>68. Morgenthaler seems to intend that the repeated word be</w:t>
      </w:r>
      <w:r>
        <w:t xml:space="preserve"> ε</w:t>
      </w:r>
      <w:r w:rsidRPr="00CB0999">
        <w:rPr>
          <w:szCs w:val="22"/>
          <w:lang w:bidi="he-IL"/>
        </w:rPr>
        <w:t>ἰ</w:t>
      </w:r>
      <w:r>
        <w:rPr>
          <w:szCs w:val="22"/>
          <w:lang w:bidi="he-IL"/>
        </w:rPr>
        <w:t>μί</w:t>
      </w:r>
      <w:r w:rsidR="006F304D" w:rsidRPr="006F304D">
        <w:t xml:space="preserve">, </w:t>
      </w:r>
      <w:r w:rsidRPr="00B43126">
        <w:t xml:space="preserve">not </w:t>
      </w:r>
      <w:r>
        <w:t xml:space="preserve">καί </w:t>
      </w:r>
      <w:r w:rsidRPr="00B43126">
        <w:t>(see 83).</w:t>
      </w:r>
    </w:p>
  </w:footnote>
  <w:footnote w:id="332">
    <w:p w14:paraId="7D9AE34D" w14:textId="2BE3557B" w:rsidR="0018433B" w:rsidRPr="00B43126" w:rsidRDefault="0018433B" w:rsidP="0018433B">
      <w:r w:rsidRPr="00B43126">
        <w:rPr>
          <w:rStyle w:val="FootnoteReference"/>
        </w:rPr>
        <w:footnoteRef/>
      </w:r>
      <w:r w:rsidRPr="00B43126">
        <w:t xml:space="preserve"> Ibid.</w:t>
      </w:r>
      <w:r w:rsidR="006F304D" w:rsidRPr="006F304D">
        <w:t xml:space="preserve">, </w:t>
      </w:r>
      <w:r w:rsidRPr="00B43126">
        <w:t>80.</w:t>
      </w:r>
    </w:p>
  </w:footnote>
  <w:footnote w:id="333">
    <w:p w14:paraId="3A0EF676" w14:textId="77777777" w:rsidR="0018433B" w:rsidRPr="00B43126" w:rsidRDefault="0018433B" w:rsidP="0018433B">
      <w:r w:rsidRPr="00B43126">
        <w:rPr>
          <w:rStyle w:val="FootnoteReference"/>
        </w:rPr>
        <w:footnoteRef/>
      </w:r>
      <w:r w:rsidRPr="00B43126">
        <w:t xml:space="preserve"> 6:20a is editorial: “Then he looked up at his disciples and said </w:t>
      </w:r>
      <w:r>
        <w:t>. . .</w:t>
      </w:r>
      <w:r w:rsidRPr="00B43126">
        <w:t>”</w:t>
      </w:r>
    </w:p>
  </w:footnote>
  <w:footnote w:id="334">
    <w:p w14:paraId="6B11DF83" w14:textId="2D24B5C8" w:rsidR="0018433B" w:rsidRPr="00B43126" w:rsidRDefault="0018433B" w:rsidP="0018433B">
      <w:r w:rsidRPr="00B43126">
        <w:rPr>
          <w:rStyle w:val="FootnoteReference"/>
        </w:rPr>
        <w:footnoteRef/>
      </w:r>
      <w:r w:rsidRPr="00B43126">
        <w:t xml:space="preserve"> Ibid.</w:t>
      </w:r>
      <w:r w:rsidR="006F304D" w:rsidRPr="006F304D">
        <w:t xml:space="preserve">, </w:t>
      </w:r>
      <w:r w:rsidRPr="00B43126">
        <w:t>81. Morgenthaler’s typographical arrangements of Greek passages are reproduced throughout this chapter</w:t>
      </w:r>
      <w:r w:rsidR="006F304D" w:rsidRPr="006F304D">
        <w:t xml:space="preserve">, </w:t>
      </w:r>
      <w:r w:rsidRPr="00B43126">
        <w:t>but because of different word order they cannot be reproduced in English; therefore</w:t>
      </w:r>
      <w:r w:rsidR="006F304D" w:rsidRPr="006F304D">
        <w:t xml:space="preserve">, </w:t>
      </w:r>
      <w:r w:rsidRPr="00B43126">
        <w:t>I simply reproduce the English text after each Greek pattern. (Though for some reason he does not include much of 22c-23 or 26c</w:t>
      </w:r>
      <w:r w:rsidR="006F304D" w:rsidRPr="006F304D">
        <w:t xml:space="preserve">, </w:t>
      </w:r>
      <w:r w:rsidRPr="00B43126">
        <w:t>I include them [in italics] for completeness.)</w:t>
      </w:r>
      <w:r>
        <w:t xml:space="preserve"> Morgenthaler also does not reproduce Luke 6:39-49</w:t>
      </w:r>
      <w:r w:rsidR="006F304D" w:rsidRPr="006F304D">
        <w:t xml:space="preserve">, </w:t>
      </w:r>
      <w:r>
        <w:t>so my presentation of these verses should not be attributed to him.</w:t>
      </w:r>
    </w:p>
  </w:footnote>
  <w:footnote w:id="335">
    <w:p w14:paraId="27B88BD8" w14:textId="77777777" w:rsidR="0018433B" w:rsidRPr="00B43126" w:rsidRDefault="0018433B" w:rsidP="0018433B">
      <w:r w:rsidRPr="00B43126">
        <w:rPr>
          <w:rStyle w:val="FootnoteReference"/>
        </w:rPr>
        <w:footnoteRef/>
      </w:r>
      <w:r w:rsidRPr="00B43126">
        <w:t xml:space="preserve"> 27a is editorial: “But I say to you that listen </w:t>
      </w:r>
      <w:r>
        <w:t>. . .</w:t>
      </w:r>
      <w:r w:rsidRPr="00B43126">
        <w:t>”</w:t>
      </w:r>
    </w:p>
  </w:footnote>
  <w:footnote w:id="336">
    <w:p w14:paraId="6DD99CA1" w14:textId="6895A01A" w:rsidR="0018433B" w:rsidRPr="00B43126" w:rsidRDefault="0018433B" w:rsidP="0018433B">
      <w:r w:rsidRPr="00B43126">
        <w:rPr>
          <w:rStyle w:val="FootnoteReference"/>
        </w:rPr>
        <w:footnoteRef/>
      </w:r>
      <w:r w:rsidRPr="00B43126">
        <w:t xml:space="preserve"> Ibid.</w:t>
      </w:r>
      <w:r w:rsidR="006F304D" w:rsidRPr="006F304D">
        <w:t xml:space="preserve">, </w:t>
      </w:r>
      <w:r w:rsidRPr="00B43126">
        <w:t>82.</w:t>
      </w:r>
    </w:p>
  </w:footnote>
  <w:footnote w:id="337">
    <w:p w14:paraId="505AD169" w14:textId="77777777" w:rsidR="0018433B" w:rsidRPr="00B43126" w:rsidRDefault="0018433B" w:rsidP="0018433B">
      <w:r w:rsidRPr="00B43126">
        <w:rPr>
          <w:rStyle w:val="FootnoteReference"/>
        </w:rPr>
        <w:footnoteRef/>
      </w:r>
      <w:r w:rsidRPr="00B43126">
        <w:t xml:space="preserve"> Ibid.</w:t>
      </w:r>
    </w:p>
  </w:footnote>
  <w:footnote w:id="338">
    <w:p w14:paraId="47208BFA" w14:textId="66CA8402" w:rsidR="0018433B" w:rsidRPr="00B43126" w:rsidRDefault="0018433B" w:rsidP="0018433B">
      <w:r w:rsidRPr="00B43126">
        <w:rPr>
          <w:rStyle w:val="FootnoteReference"/>
        </w:rPr>
        <w:footnoteRef/>
      </w:r>
      <w:r w:rsidRPr="00B43126">
        <w:t xml:space="preserve"> Ibid.</w:t>
      </w:r>
      <w:r w:rsidR="006F304D" w:rsidRPr="006F304D">
        <w:t xml:space="preserve">, </w:t>
      </w:r>
      <w:r w:rsidRPr="00B43126">
        <w:t>83.</w:t>
      </w:r>
    </w:p>
  </w:footnote>
  <w:footnote w:id="339">
    <w:p w14:paraId="46A6BFB3" w14:textId="3D3E7313" w:rsidR="0018433B" w:rsidRPr="00B43126" w:rsidRDefault="0018433B" w:rsidP="0018433B">
      <w:r w:rsidRPr="00B43126">
        <w:rPr>
          <w:rStyle w:val="FootnoteReference"/>
        </w:rPr>
        <w:footnoteRef/>
      </w:r>
      <w:r w:rsidRPr="00B43126">
        <w:t xml:space="preserve"> Ibid</w:t>
      </w:r>
      <w:r>
        <w:t>.</w:t>
      </w:r>
      <w:r w:rsidRPr="00B43126">
        <w:t xml:space="preserve"> </w:t>
      </w:r>
      <w:r>
        <w:t>C</w:t>
      </w:r>
      <w:r w:rsidRPr="00B43126">
        <w:t xml:space="preserve">f. 87: “we suppose Luke 6:36-38 to be a framed passage </w:t>
      </w:r>
      <w:r>
        <w:t>. . .</w:t>
      </w:r>
      <w:r w:rsidRPr="00B43126">
        <w:t>” “Anaphora” ordinarily means identity of initial words in members of a unit (BDF</w:t>
      </w:r>
      <w:r w:rsidR="006F304D" w:rsidRPr="006F304D">
        <w:t xml:space="preserve">, </w:t>
      </w:r>
      <w:r w:rsidRPr="00B43126">
        <w:t>259</w:t>
      </w:r>
      <w:r>
        <w:t xml:space="preserve"> § 489);</w:t>
      </w:r>
      <w:r w:rsidRPr="00B43126">
        <w:t xml:space="preserve"> but</w:t>
      </w:r>
      <w:r>
        <w:t xml:space="preserve"> </w:t>
      </w:r>
      <w:r w:rsidRPr="00B43126">
        <w:t>Morgenthaler seems to mean identity of words anywhere in a unit</w:t>
      </w:r>
      <w:r>
        <w:t xml:space="preserve"> (</w:t>
      </w:r>
      <w:r w:rsidRPr="005B36A4">
        <w:t>36a</w:t>
      </w:r>
      <w:r w:rsidR="006F304D" w:rsidRPr="006F304D">
        <w:t xml:space="preserve">, </w:t>
      </w:r>
      <w:r w:rsidRPr="00CE06CA">
        <w:rPr>
          <w:bCs/>
          <w:szCs w:val="22"/>
          <w:lang w:val="el-GR"/>
        </w:rPr>
        <w:t>οἰκτίρμονες</w:t>
      </w:r>
      <w:r>
        <w:rPr>
          <w:bCs/>
          <w:szCs w:val="22"/>
        </w:rPr>
        <w:t xml:space="preserve">; </w:t>
      </w:r>
      <w:r w:rsidRPr="005B36A4">
        <w:t>36b</w:t>
      </w:r>
      <w:r w:rsidR="006F304D" w:rsidRPr="006F304D">
        <w:t xml:space="preserve">, </w:t>
      </w:r>
      <w:r w:rsidRPr="00CE06CA">
        <w:rPr>
          <w:bCs/>
          <w:szCs w:val="22"/>
          <w:lang w:val="el-GR"/>
        </w:rPr>
        <w:t>οἰκτίρμων</w:t>
      </w:r>
      <w:r>
        <w:rPr>
          <w:bCs/>
          <w:szCs w:val="22"/>
        </w:rPr>
        <w:t>)</w:t>
      </w:r>
      <w:r w:rsidRPr="00B43126">
        <w:t>.</w:t>
      </w:r>
    </w:p>
  </w:footnote>
  <w:footnote w:id="340">
    <w:p w14:paraId="0615139E" w14:textId="77777777" w:rsidR="0018433B" w:rsidRPr="00B43126" w:rsidRDefault="0018433B" w:rsidP="0018433B">
      <w:r w:rsidRPr="00B43126">
        <w:rPr>
          <w:rStyle w:val="FootnoteReference"/>
        </w:rPr>
        <w:footnoteRef/>
      </w:r>
      <w:r w:rsidRPr="00B43126">
        <w:t xml:space="preserve"> 39a is editorial: “He also told them a parable </w:t>
      </w:r>
      <w:r>
        <w:t>. . .</w:t>
      </w:r>
      <w:r w:rsidRPr="00B43126">
        <w:t>”</w:t>
      </w:r>
    </w:p>
  </w:footnote>
  <w:footnote w:id="341">
    <w:p w14:paraId="719E42DA" w14:textId="394A7B39" w:rsidR="0018433B" w:rsidRPr="00B43126" w:rsidRDefault="0018433B" w:rsidP="0018433B">
      <w:r w:rsidRPr="00B43126">
        <w:rPr>
          <w:rStyle w:val="FootnoteReference"/>
        </w:rPr>
        <w:footnoteRef/>
      </w:r>
      <w:r w:rsidRPr="00B43126">
        <w:t xml:space="preserve"> Ibid.</w:t>
      </w:r>
      <w:r w:rsidR="006F304D" w:rsidRPr="006F304D">
        <w:t xml:space="preserve">, </w:t>
      </w:r>
      <w:r w:rsidRPr="00B43126">
        <w:t>83. Perhaps for “44-45” he means “43-45”; otherwise</w:t>
      </w:r>
      <w:r w:rsidR="006F304D" w:rsidRPr="006F304D">
        <w:t xml:space="preserve">, </w:t>
      </w:r>
      <w:r w:rsidRPr="00B43126">
        <w:t>43 is omitted.</w:t>
      </w:r>
    </w:p>
  </w:footnote>
  <w:footnote w:id="342">
    <w:p w14:paraId="5F7796B6" w14:textId="77777777" w:rsidR="0018433B" w:rsidRPr="00B43126" w:rsidRDefault="0018433B" w:rsidP="0018433B">
      <w:r w:rsidRPr="00B43126">
        <w:rPr>
          <w:rStyle w:val="FootnoteReference"/>
        </w:rPr>
        <w:footnoteRef/>
      </w:r>
      <w:r w:rsidRPr="00B43126">
        <w:t xml:space="preserve"> Ibid. (almost the same schema can be found on 136).</w:t>
      </w:r>
    </w:p>
  </w:footnote>
  <w:footnote w:id="343">
    <w:p w14:paraId="09DDA527" w14:textId="5C9B4CEF" w:rsidR="0018433B" w:rsidRPr="00B43126" w:rsidRDefault="0018433B" w:rsidP="0018433B">
      <w:r w:rsidRPr="00B43126">
        <w:rPr>
          <w:rStyle w:val="FootnoteReference"/>
        </w:rPr>
        <w:footnoteRef/>
      </w:r>
      <w:r w:rsidRPr="00B43126">
        <w:t xml:space="preserve"> Ibid.</w:t>
      </w:r>
      <w:r w:rsidR="006F304D" w:rsidRPr="006F304D">
        <w:t xml:space="preserve">, </w:t>
      </w:r>
      <w:r w:rsidRPr="00B43126">
        <w:t>113.</w:t>
      </w:r>
    </w:p>
  </w:footnote>
  <w:footnote w:id="344">
    <w:p w14:paraId="17158543" w14:textId="490BD78C" w:rsidR="0018433B" w:rsidRPr="00B43126" w:rsidRDefault="0018433B" w:rsidP="0018433B">
      <w:r w:rsidRPr="00B43126">
        <w:rPr>
          <w:rStyle w:val="FootnoteReference"/>
        </w:rPr>
        <w:footnoteRef/>
      </w:r>
      <w:r w:rsidRPr="00B43126">
        <w:t xml:space="preserve"> Ibid.</w:t>
      </w:r>
      <w:r w:rsidR="006F304D" w:rsidRPr="006F304D">
        <w:t xml:space="preserve">, </w:t>
      </w:r>
      <w:r w:rsidRPr="00B43126">
        <w:t>111.</w:t>
      </w:r>
    </w:p>
  </w:footnote>
  <w:footnote w:id="345">
    <w:p w14:paraId="2FA628BE" w14:textId="77777777" w:rsidR="0018433B" w:rsidRPr="00B43126" w:rsidRDefault="0018433B" w:rsidP="0018433B">
      <w:r w:rsidRPr="00B43126">
        <w:rPr>
          <w:rStyle w:val="FootnoteReference"/>
        </w:rPr>
        <w:footnoteRef/>
      </w:r>
      <w:r w:rsidRPr="00B43126">
        <w:t xml:space="preserve"> Ibid.</w:t>
      </w:r>
    </w:p>
  </w:footnote>
  <w:footnote w:id="346">
    <w:p w14:paraId="1475CCDB" w14:textId="17569F05" w:rsidR="0018433B" w:rsidRDefault="0018433B" w:rsidP="0018433B">
      <w:r w:rsidRPr="00B43126">
        <w:rPr>
          <w:rStyle w:val="FootnoteReference"/>
        </w:rPr>
        <w:footnoteRef/>
      </w:r>
      <w:r w:rsidRPr="00B43126">
        <w:t xml:space="preserve"> Morgenthaler (97) proposes another way in which the principle of twofoldness applies to the sermon on the plain at the level of pericopes. The sermon</w:t>
      </w:r>
      <w:r w:rsidR="006F304D" w:rsidRPr="006F304D">
        <w:t xml:space="preserve">, </w:t>
      </w:r>
      <w:r w:rsidRPr="00B43126">
        <w:t>he says</w:t>
      </w:r>
      <w:r w:rsidR="006F304D" w:rsidRPr="006F304D">
        <w:t xml:space="preserve">, </w:t>
      </w:r>
      <w:r w:rsidRPr="00B43126">
        <w:t>is one-half of a larger whole: it and Jesus’ speech on John the Baptist</w:t>
      </w:r>
      <w:r w:rsidR="006F304D" w:rsidRPr="006F304D">
        <w:t xml:space="preserve">, </w:t>
      </w:r>
      <w:r w:rsidRPr="00B43126">
        <w:t>7:24-35</w:t>
      </w:r>
      <w:r w:rsidR="006F304D" w:rsidRPr="006F304D">
        <w:t xml:space="preserve">, </w:t>
      </w:r>
      <w:r w:rsidRPr="00B43126">
        <w:t xml:space="preserve">form a symmetrical pair. Though this suggestion is outside </w:t>
      </w:r>
      <w:r>
        <w:t>our</w:t>
      </w:r>
      <w:r w:rsidRPr="00B43126">
        <w:t xml:space="preserve"> present subject (the structure within the sermon)</w:t>
      </w:r>
      <w:r w:rsidR="006F304D" w:rsidRPr="006F304D">
        <w:t xml:space="preserve">, </w:t>
      </w:r>
      <w:r w:rsidRPr="00B43126">
        <w:t xml:space="preserve">one may note that there is nothing unique in the contents of these two speeches (no more than could be found in any two speeches by Jesus in Luke) that would argue for their special pairing. The suspicion arises that Morgenthaler has </w:t>
      </w:r>
      <w:r>
        <w:t>paired the two because</w:t>
      </w:r>
      <w:r w:rsidR="006F304D" w:rsidRPr="006F304D">
        <w:t xml:space="preserve">, </w:t>
      </w:r>
      <w:r>
        <w:t>among the speeches</w:t>
      </w:r>
      <w:r w:rsidR="006F304D" w:rsidRPr="006F304D">
        <w:t xml:space="preserve">, </w:t>
      </w:r>
      <w:r>
        <w:t>they are</w:t>
      </w:r>
      <w:r w:rsidRPr="00B43126">
        <w:t xml:space="preserve"> adjacent and because</w:t>
      </w:r>
      <w:r w:rsidR="006F304D" w:rsidRPr="006F304D">
        <w:t xml:space="preserve">, </w:t>
      </w:r>
      <w:r w:rsidRPr="00B43126">
        <w:t>perhaps</w:t>
      </w:r>
      <w:r w:rsidR="006F304D" w:rsidRPr="006F304D">
        <w:t xml:space="preserve">, </w:t>
      </w:r>
      <w:r w:rsidRPr="00B43126">
        <w:t>other pairs of speeches require that the</w:t>
      </w:r>
      <w:r>
        <w:t>se</w:t>
      </w:r>
      <w:r w:rsidRPr="00B43126">
        <w:t xml:space="preserve"> two be grouped to maintain the principle of twofoldness.</w:t>
      </w:r>
    </w:p>
    <w:p w14:paraId="06409A25" w14:textId="71CB796A" w:rsidR="0018433B" w:rsidRPr="00B43126" w:rsidRDefault="0018433B" w:rsidP="0018433B">
      <w:r w:rsidRPr="00B43126">
        <w:t>He does pair most of the other speeches in Luke. This forces him to argue that 11:1-13 and 14-26 are dis</w:t>
      </w:r>
      <w:r>
        <w:t xml:space="preserve">tinct speeches </w:t>
      </w:r>
      <w:r w:rsidRPr="00B43126">
        <w:t>(ibid.) and that 11:17-26 and 29-36 (even though this division cuts across 11:1-13 and 14-26!) are distinct speeches</w:t>
      </w:r>
      <w:r w:rsidR="006F304D" w:rsidRPr="006F304D">
        <w:t xml:space="preserve">, </w:t>
      </w:r>
      <w:r w:rsidRPr="00B43126">
        <w:t>hinged by 27-28 (blessedness of Jesus’ mother) (112). He uses another hinge</w:t>
      </w:r>
      <w:r w:rsidR="006F304D" w:rsidRPr="006F304D">
        <w:t xml:space="preserve">, </w:t>
      </w:r>
      <w:r w:rsidRPr="00B43126">
        <w:t>11:45 (“One of the lawyers answered him”)</w:t>
      </w:r>
      <w:r w:rsidR="006F304D" w:rsidRPr="006F304D">
        <w:t xml:space="preserve">, </w:t>
      </w:r>
      <w:r w:rsidRPr="00B43126">
        <w:t>to divide the discourse against the Pharisees and lawyers into two speeches (ibid.)</w:t>
      </w:r>
      <w:r w:rsidR="006F304D" w:rsidRPr="006F304D">
        <w:t xml:space="preserve">, </w:t>
      </w:r>
      <w:r w:rsidRPr="00B43126">
        <w:t>even though that speech consists of three woes. And he claims that Luke 14 and 15 are two halves of a whole</w:t>
      </w:r>
      <w:r w:rsidR="006F304D" w:rsidRPr="006F304D">
        <w:t xml:space="preserve">, </w:t>
      </w:r>
      <w:r w:rsidRPr="00B43126">
        <w:t>as are 16 and 17 (111).</w:t>
      </w:r>
    </w:p>
  </w:footnote>
  <w:footnote w:id="347">
    <w:p w14:paraId="776633D6" w14:textId="4A77A40C" w:rsidR="0018433B" w:rsidRPr="00B43126" w:rsidRDefault="0018433B" w:rsidP="0018433B">
      <w:r w:rsidRPr="00B43126">
        <w:rPr>
          <w:rStyle w:val="FootnoteReference"/>
        </w:rPr>
        <w:footnoteRef/>
      </w:r>
      <w:r w:rsidRPr="00B43126">
        <w:t xml:space="preserve"> The double vocative can be found in Gen 22:11-12</w:t>
      </w:r>
      <w:r w:rsidR="006F304D" w:rsidRPr="006F304D">
        <w:t xml:space="preserve">, </w:t>
      </w:r>
      <w:r w:rsidRPr="00B43126">
        <w:t>46:2; Exod 3:4; 1 Sam 3:10; etc. It was also common in later Jewish writings; see Hermann L. Strack and Paul Billerbeck</w:t>
      </w:r>
      <w:r w:rsidR="006F304D" w:rsidRPr="006F304D">
        <w:t xml:space="preserve">, </w:t>
      </w:r>
      <w:r w:rsidRPr="00B43126">
        <w:rPr>
          <w:i/>
          <w:iCs/>
        </w:rPr>
        <w:t>Kommentar zum Neuen Testament aus Talmud und Midrasch</w:t>
      </w:r>
      <w:r w:rsidRPr="00B43126">
        <w:t xml:space="preserve"> (</w:t>
      </w:r>
      <w:r>
        <w:t xml:space="preserve">1922; </w:t>
      </w:r>
      <w:r w:rsidRPr="00B43126">
        <w:t xml:space="preserve">3rd ed.; Munich: </w:t>
      </w:r>
      <w:r>
        <w:t>Beck</w:t>
      </w:r>
      <w:r w:rsidR="006F304D" w:rsidRPr="006F304D">
        <w:t xml:space="preserve">, </w:t>
      </w:r>
      <w:r w:rsidRPr="00B43126">
        <w:t>1956)</w:t>
      </w:r>
      <w:r w:rsidR="006F304D" w:rsidRPr="006F304D">
        <w:t xml:space="preserve">, </w:t>
      </w:r>
      <w:r w:rsidRPr="00B43126">
        <w:t>1. 943</w:t>
      </w:r>
      <w:r w:rsidR="006F304D" w:rsidRPr="006F304D">
        <w:t xml:space="preserve">, </w:t>
      </w:r>
      <w:r w:rsidRPr="00B43126">
        <w:t>2. 258 (cited by Marshall</w:t>
      </w:r>
      <w:r w:rsidR="006F304D" w:rsidRPr="006F304D">
        <w:t xml:space="preserve">, </w:t>
      </w:r>
      <w:r w:rsidRPr="00B43126">
        <w:rPr>
          <w:i/>
          <w:iCs/>
        </w:rPr>
        <w:t>Gospel</w:t>
      </w:r>
      <w:r w:rsidR="006F304D" w:rsidRPr="006F304D">
        <w:rPr>
          <w:iCs/>
        </w:rPr>
        <w:t xml:space="preserve">, </w:t>
      </w:r>
      <w:r w:rsidRPr="00B43126">
        <w:t>274). Luke’s imitation of Septuagintal style is widely acknowledged; the principal ex</w:t>
      </w:r>
      <w:r>
        <w:t>ample is the infancy narratives;</w:t>
      </w:r>
      <w:r w:rsidRPr="00B43126">
        <w:t xml:space="preserve"> but others occur</w:t>
      </w:r>
      <w:r w:rsidR="006F304D" w:rsidRPr="006F304D">
        <w:t xml:space="preserve">, </w:t>
      </w:r>
      <w:r w:rsidRPr="00B43126">
        <w:t>particularly “at junctures of sources or where Luke is freely reworking the transitions from scene to scene” (Cadbury</w:t>
      </w:r>
      <w:r w:rsidR="006F304D" w:rsidRPr="006F304D">
        <w:t xml:space="preserve">, </w:t>
      </w:r>
      <w:r w:rsidRPr="00B43126">
        <w:rPr>
          <w:i/>
          <w:iCs/>
        </w:rPr>
        <w:t>Making</w:t>
      </w:r>
      <w:r w:rsidR="006F304D" w:rsidRPr="006F304D">
        <w:rPr>
          <w:iCs/>
        </w:rPr>
        <w:t xml:space="preserve">, </w:t>
      </w:r>
      <w:r w:rsidRPr="00B43126">
        <w:t>224). Moulton</w:t>
      </w:r>
      <w:r w:rsidR="006F304D" w:rsidRPr="006F304D">
        <w:t xml:space="preserve">, </w:t>
      </w:r>
      <w:r w:rsidRPr="00B43126">
        <w:t>Howard</w:t>
      </w:r>
      <w:r w:rsidR="006F304D" w:rsidRPr="006F304D">
        <w:t xml:space="preserve">, </w:t>
      </w:r>
      <w:r w:rsidRPr="00B43126">
        <w:t>and Turner (</w:t>
      </w:r>
      <w:r w:rsidRPr="00B43126">
        <w:rPr>
          <w:i/>
          <w:iCs/>
        </w:rPr>
        <w:t>A Grammar of New Testament Greek</w:t>
      </w:r>
      <w:r w:rsidRPr="00B43126">
        <w:t xml:space="preserve"> [4 vols.; Edinburgh: Clark</w:t>
      </w:r>
      <w:r w:rsidR="006F304D" w:rsidRPr="006F304D">
        <w:t xml:space="preserve">, </w:t>
      </w:r>
      <w:r w:rsidRPr="00B43126">
        <w:t>1906-76]</w:t>
      </w:r>
      <w:r w:rsidR="006F304D" w:rsidRPr="006F304D">
        <w:t xml:space="preserve">, </w:t>
      </w:r>
      <w:r w:rsidRPr="00B43126">
        <w:t>2. 7</w:t>
      </w:r>
      <w:r w:rsidRPr="00B43126">
        <w:noBreakHyphen/>
        <w:t>8) note that Luke “steeps his style in Biblical phraseology</w:t>
      </w:r>
      <w:r w:rsidR="006F304D" w:rsidRPr="006F304D">
        <w:t xml:space="preserve">, </w:t>
      </w:r>
      <w:r w:rsidRPr="00B43126">
        <w:t>drawn from the Greek Old Testament</w:t>
      </w:r>
      <w:r w:rsidR="006F304D" w:rsidRPr="006F304D">
        <w:t xml:space="preserve">, </w:t>
      </w:r>
      <w:r w:rsidRPr="00B43126">
        <w:t>so long as his narrative moves in Palestinian circles</w:t>
      </w:r>
      <w:r w:rsidR="006F304D" w:rsidRPr="006F304D">
        <w:t xml:space="preserve">, </w:t>
      </w:r>
      <w:r w:rsidRPr="00B43126">
        <w:t xml:space="preserve">where the speakers use Greek that obviously represents a foreign idiom </w:t>
      </w:r>
      <w:r>
        <w:t>. . .</w:t>
      </w:r>
      <w:r w:rsidRPr="00B43126">
        <w:t>” See also E. Franklin (</w:t>
      </w:r>
      <w:r w:rsidRPr="00B43126">
        <w:rPr>
          <w:i/>
          <w:iCs/>
        </w:rPr>
        <w:t>Christ the Lord</w:t>
      </w:r>
      <w:r w:rsidRPr="00B43126">
        <w:rPr>
          <w:iCs/>
        </w:rPr>
        <w:t xml:space="preserve">: </w:t>
      </w:r>
      <w:r w:rsidRPr="00B43126">
        <w:rPr>
          <w:i/>
          <w:iCs/>
        </w:rPr>
        <w:t>A Study in the Purpose and Theology of Luke-Acts</w:t>
      </w:r>
      <w:r w:rsidRPr="00B43126">
        <w:t xml:space="preserve"> [Philadelphia: Westminster</w:t>
      </w:r>
      <w:r w:rsidR="006F304D" w:rsidRPr="006F304D">
        <w:t xml:space="preserve">, </w:t>
      </w:r>
      <w:r w:rsidRPr="00B43126">
        <w:t>1975] 73): “He introduces them [Septuagintisms] at significant points</w:t>
      </w:r>
      <w:r w:rsidR="006F304D" w:rsidRPr="006F304D">
        <w:t xml:space="preserve">, </w:t>
      </w:r>
      <w:r w:rsidRPr="00B43126">
        <w:t>when he is wanting to emphasize the solemnity and mystery of what he is proclaiming and its importance in the history of God’s redemptive acts.” For a list of twenty-three Septuagintal phrases</w:t>
      </w:r>
      <w:r w:rsidR="006F304D" w:rsidRPr="006F304D">
        <w:t xml:space="preserve">, </w:t>
      </w:r>
      <w:r w:rsidRPr="00B43126">
        <w:t>see Fitzmyer</w:t>
      </w:r>
      <w:r w:rsidR="006F304D" w:rsidRPr="006F304D">
        <w:t xml:space="preserve">, </w:t>
      </w:r>
      <w:r w:rsidRPr="00B43126">
        <w:rPr>
          <w:i/>
          <w:iCs/>
        </w:rPr>
        <w:t>Gospel</w:t>
      </w:r>
      <w:r w:rsidR="006F304D" w:rsidRPr="006F304D">
        <w:rPr>
          <w:iCs/>
        </w:rPr>
        <w:t xml:space="preserve">, </w:t>
      </w:r>
      <w:r w:rsidRPr="00B43126">
        <w:t>1. 114-16.</w:t>
      </w:r>
    </w:p>
  </w:footnote>
  <w:footnote w:id="348">
    <w:p w14:paraId="26DF9400" w14:textId="45EBE45E" w:rsidR="0018433B" w:rsidRPr="00B43126" w:rsidRDefault="0018433B" w:rsidP="0018433B">
      <w:r w:rsidRPr="00B43126">
        <w:rPr>
          <w:rStyle w:val="FootnoteReference"/>
        </w:rPr>
        <w:footnoteRef/>
      </w:r>
      <w:r w:rsidRPr="00B43126">
        <w:t xml:space="preserve"> See “Formation of Words” in Herbert Weir Smyth</w:t>
      </w:r>
      <w:r w:rsidR="006F304D" w:rsidRPr="006F304D">
        <w:t xml:space="preserve">, </w:t>
      </w:r>
      <w:r w:rsidRPr="00B43126">
        <w:rPr>
          <w:i/>
          <w:iCs/>
        </w:rPr>
        <w:t>A Greek Grammar for Schools and Colleges</w:t>
      </w:r>
      <w:r w:rsidRPr="00B43126">
        <w:t xml:space="preserve"> (New York: American</w:t>
      </w:r>
      <w:r w:rsidR="006F304D" w:rsidRPr="006F304D">
        <w:t xml:space="preserve">, </w:t>
      </w:r>
      <w:r w:rsidRPr="00B43126">
        <w:t>1916) 174-87 (§§ 576-643). The treatment in Bruce M. Metzger</w:t>
      </w:r>
      <w:r w:rsidR="006F304D" w:rsidRPr="006F304D">
        <w:t xml:space="preserve">, </w:t>
      </w:r>
      <w:r w:rsidRPr="00B43126">
        <w:rPr>
          <w:i/>
          <w:iCs/>
        </w:rPr>
        <w:t>Lexical Aids for the Student of New Testament Greek</w:t>
      </w:r>
      <w:r w:rsidRPr="00B43126">
        <w:t xml:space="preserve"> (new ed.; Princeton</w:t>
      </w:r>
      <w:r w:rsidR="006F304D" w:rsidRPr="006F304D">
        <w:t xml:space="preserve">, </w:t>
      </w:r>
      <w:r w:rsidRPr="00B43126">
        <w:t>NJ: published by the author</w:t>
      </w:r>
      <w:r w:rsidR="006F304D" w:rsidRPr="006F304D">
        <w:t xml:space="preserve">, </w:t>
      </w:r>
      <w:r w:rsidRPr="00B43126">
        <w:t>1976)</w:t>
      </w:r>
      <w:r w:rsidR="006F304D" w:rsidRPr="006F304D">
        <w:t xml:space="preserve">, </w:t>
      </w:r>
      <w:r w:rsidRPr="00B43126">
        <w:t>is more popular in scope</w:t>
      </w:r>
      <w:r w:rsidR="006F304D" w:rsidRPr="006F304D">
        <w:t xml:space="preserve">, </w:t>
      </w:r>
      <w:r w:rsidRPr="00B43126">
        <w:t>while that of Moulton</w:t>
      </w:r>
      <w:r w:rsidR="006F304D" w:rsidRPr="006F304D">
        <w:t xml:space="preserve">, </w:t>
      </w:r>
      <w:r w:rsidRPr="00B43126">
        <w:t>Howard</w:t>
      </w:r>
      <w:r w:rsidR="006F304D" w:rsidRPr="006F304D">
        <w:t xml:space="preserve">, </w:t>
      </w:r>
      <w:r w:rsidRPr="00B43126">
        <w:t>and Turner (</w:t>
      </w:r>
      <w:r w:rsidRPr="00B43126">
        <w:rPr>
          <w:i/>
          <w:iCs/>
        </w:rPr>
        <w:t>Grammar</w:t>
      </w:r>
      <w:r w:rsidR="006F304D" w:rsidRPr="006F304D">
        <w:rPr>
          <w:iCs/>
        </w:rPr>
        <w:t xml:space="preserve">, </w:t>
      </w:r>
      <w:r w:rsidRPr="00B43126">
        <w:t xml:space="preserve">2: </w:t>
      </w:r>
      <w:r w:rsidRPr="00B43126">
        <w:rPr>
          <w:i/>
          <w:iCs/>
        </w:rPr>
        <w:t>Accidence and Word Formation</w:t>
      </w:r>
      <w:r w:rsidRPr="00B43126">
        <w:t>) is more extensive.</w:t>
      </w:r>
    </w:p>
  </w:footnote>
  <w:footnote w:id="349">
    <w:p w14:paraId="6A3D9632" w14:textId="32D04A24" w:rsidR="0018433B" w:rsidRDefault="0018433B" w:rsidP="00573F48">
      <w:pPr>
        <w:pStyle w:val="FootnoteText"/>
      </w:pPr>
      <w:r>
        <w:rPr>
          <w:rStyle w:val="FootnoteReference"/>
        </w:rPr>
        <w:footnoteRef/>
      </w:r>
      <w:r>
        <w:t xml:space="preserve"> The word order</w:t>
      </w:r>
      <w:r w:rsidR="006F304D" w:rsidRPr="006F304D">
        <w:t xml:space="preserve">, </w:t>
      </w:r>
      <w:r>
        <w:t>however</w:t>
      </w:r>
      <w:r w:rsidR="006F304D" w:rsidRPr="006F304D">
        <w:t xml:space="preserve">, </w:t>
      </w:r>
      <w:r>
        <w:t>puts the predicate adjective (“yours”) prior to the verb and the subject (“the kingdom of God”) after.</w:t>
      </w:r>
    </w:p>
  </w:footnote>
  <w:footnote w:id="350">
    <w:p w14:paraId="57B7DFF8" w14:textId="24E4C354" w:rsidR="0018433B" w:rsidRPr="00B43126" w:rsidRDefault="0018433B" w:rsidP="0018433B">
      <w:r w:rsidRPr="00B43126">
        <w:rPr>
          <w:rStyle w:val="FootnoteReference"/>
        </w:rPr>
        <w:footnoteRef/>
      </w:r>
      <w:r w:rsidRPr="00B43126">
        <w:t xml:space="preserve"> There is some textual ambivalence: Nestle-Aland</w:t>
      </w:r>
      <w:r w:rsidRPr="00B43126">
        <w:rPr>
          <w:vertAlign w:val="superscript"/>
        </w:rPr>
        <w:t>26</w:t>
      </w:r>
      <w:r w:rsidRPr="00B43126">
        <w:t xml:space="preserve"> </w:t>
      </w:r>
      <w:r>
        <w:t>and UBS</w:t>
      </w:r>
      <w:r w:rsidRPr="006224DB">
        <w:rPr>
          <w:vertAlign w:val="superscript"/>
        </w:rPr>
        <w:t>3</w:t>
      </w:r>
      <w:r>
        <w:t xml:space="preserve"> omit</w:t>
      </w:r>
      <w:r w:rsidRPr="00B43126">
        <w:t xml:space="preserve"> “to you” (</w:t>
      </w:r>
      <w:r w:rsidRPr="00CE06CA">
        <w:rPr>
          <w:bCs/>
          <w:szCs w:val="22"/>
          <w:lang w:val="el-GR"/>
        </w:rPr>
        <w:t>ὑμῖν</w:t>
      </w:r>
      <w:r>
        <w:t>). That is</w:t>
      </w:r>
      <w:r w:rsidRPr="00B43126">
        <w:t xml:space="preserve"> proba</w:t>
      </w:r>
      <w:r>
        <w:t>bly cor</w:t>
      </w:r>
      <w:r>
        <w:softHyphen/>
        <w:t>rect:</w:t>
      </w:r>
      <w:r w:rsidRPr="00B43126">
        <w:t xml:space="preserve"> though manuscripts </w:t>
      </w:r>
      <w:r w:rsidRPr="006224DB">
        <w:rPr>
          <w:rFonts w:ascii="Cambria Math" w:hAnsi="Cambria Math" w:cs="Cambria Math"/>
        </w:rPr>
        <w:t>𝔓</w:t>
      </w:r>
      <w:r w:rsidRPr="006224DB">
        <w:rPr>
          <w:vertAlign w:val="superscript"/>
        </w:rPr>
        <w:t>75</w:t>
      </w:r>
      <w:r w:rsidR="006F304D" w:rsidRPr="006F304D">
        <w:t xml:space="preserve">, </w:t>
      </w:r>
      <w:r w:rsidRPr="00B43126">
        <w:t>A</w:t>
      </w:r>
      <w:r w:rsidR="006F304D" w:rsidRPr="006F304D">
        <w:t xml:space="preserve">, </w:t>
      </w:r>
      <w:r w:rsidRPr="00B43126">
        <w:t>C</w:t>
      </w:r>
      <w:r w:rsidR="006F304D" w:rsidRPr="006F304D">
        <w:t xml:space="preserve">, </w:t>
      </w:r>
      <w:r w:rsidRPr="00B43126">
        <w:t>and the Byzantine tradition support its insertion</w:t>
      </w:r>
      <w:r w:rsidR="006F304D" w:rsidRPr="006F304D">
        <w:t xml:space="preserve">, </w:t>
      </w:r>
      <w:r w:rsidRPr="00B43126">
        <w:t xml:space="preserve">codices </w:t>
      </w:r>
      <w:r w:rsidRPr="00B43126">
        <w:sym w:font="Symbol" w:char="F0C0"/>
      </w:r>
      <w:r w:rsidR="006F304D" w:rsidRPr="006F304D">
        <w:t xml:space="preserve">, </w:t>
      </w:r>
      <w:r w:rsidRPr="00B43126">
        <w:t>B</w:t>
      </w:r>
      <w:r w:rsidR="006F304D" w:rsidRPr="006F304D">
        <w:t xml:space="preserve">, </w:t>
      </w:r>
      <w:r w:rsidRPr="00B43126">
        <w:t>L</w:t>
      </w:r>
      <w:r w:rsidR="006F304D" w:rsidRPr="006F304D">
        <w:t xml:space="preserve">, </w:t>
      </w:r>
      <w:r w:rsidRPr="00B43126">
        <w:t>Θ</w:t>
      </w:r>
      <w:r w:rsidR="006F304D" w:rsidRPr="006F304D">
        <w:t xml:space="preserve">, </w:t>
      </w:r>
      <w:r w:rsidRPr="00B43126">
        <w:t>and the Freer Gospels support its omission.</w:t>
      </w:r>
    </w:p>
  </w:footnote>
  <w:footnote w:id="351">
    <w:p w14:paraId="441804D6" w14:textId="5257F063" w:rsidR="0018433B" w:rsidRPr="006224DB" w:rsidRDefault="0018433B" w:rsidP="0018433B">
      <w:r>
        <w:rPr>
          <w:rStyle w:val="FootnoteReference"/>
        </w:rPr>
        <w:footnoteRef/>
      </w:r>
      <w:r>
        <w:t xml:space="preserve"> Here again</w:t>
      </w:r>
      <w:r w:rsidR="006F304D" w:rsidRPr="006F304D">
        <w:t xml:space="preserve">, </w:t>
      </w:r>
      <w:r>
        <w:t xml:space="preserve">the existence of </w:t>
      </w:r>
      <w:r w:rsidRPr="00CE06CA">
        <w:rPr>
          <w:bCs/>
          <w:szCs w:val="22"/>
          <w:lang w:val="el-GR"/>
        </w:rPr>
        <w:t>ὑμῖν</w:t>
      </w:r>
      <w:r>
        <w:rPr>
          <w:bCs/>
          <w:szCs w:val="22"/>
        </w:rPr>
        <w:t xml:space="preserve"> at this point in the pattern is disputed. This time the omission is more strongly supported: in favor of </w:t>
      </w:r>
      <w:r w:rsidRPr="00CE06CA">
        <w:rPr>
          <w:bCs/>
          <w:szCs w:val="22"/>
          <w:lang w:val="el-GR"/>
        </w:rPr>
        <w:t>ὑμῖν</w:t>
      </w:r>
      <w:r>
        <w:rPr>
          <w:bCs/>
          <w:szCs w:val="22"/>
        </w:rPr>
        <w:t xml:space="preserve"> are only Codices Bezae</w:t>
      </w:r>
      <w:r w:rsidR="006F304D" w:rsidRPr="006F304D">
        <w:rPr>
          <w:bCs/>
          <w:szCs w:val="22"/>
        </w:rPr>
        <w:t xml:space="preserve">, </w:t>
      </w:r>
      <w:r>
        <w:rPr>
          <w:bCs/>
          <w:szCs w:val="22"/>
        </w:rPr>
        <w:t>Washingtonianus</w:t>
      </w:r>
      <w:r w:rsidR="006F304D" w:rsidRPr="006F304D">
        <w:rPr>
          <w:bCs/>
          <w:szCs w:val="22"/>
        </w:rPr>
        <w:t xml:space="preserve">, </w:t>
      </w:r>
      <w:r>
        <w:rPr>
          <w:bCs/>
          <w:szCs w:val="22"/>
        </w:rPr>
        <w:t>the Syriac and Coptic traditions</w:t>
      </w:r>
      <w:r w:rsidR="006F304D" w:rsidRPr="006F304D">
        <w:rPr>
          <w:bCs/>
          <w:szCs w:val="22"/>
        </w:rPr>
        <w:t xml:space="preserve">, </w:t>
      </w:r>
      <w:r>
        <w:rPr>
          <w:bCs/>
          <w:szCs w:val="22"/>
        </w:rPr>
        <w:t>and a few others. Thus the bulk of Nestle-Aland’s “constant witnesses” (</w:t>
      </w:r>
      <w:r>
        <w:rPr>
          <w:bCs/>
          <w:i/>
          <w:szCs w:val="22"/>
        </w:rPr>
        <w:t>Greek-English New Testament</w:t>
      </w:r>
      <w:r>
        <w:rPr>
          <w:bCs/>
          <w:szCs w:val="22"/>
        </w:rPr>
        <w:t xml:space="preserve"> 9) are against its inclusion.</w:t>
      </w:r>
    </w:p>
  </w:footnote>
  <w:footnote w:id="352">
    <w:p w14:paraId="687E541D" w14:textId="66201C66" w:rsidR="0018433B" w:rsidRPr="00B43126" w:rsidRDefault="0018433B" w:rsidP="0018433B">
      <w:r w:rsidRPr="00B43126">
        <w:rPr>
          <w:rStyle w:val="FootnoteReference"/>
        </w:rPr>
        <w:footnoteRef/>
      </w:r>
      <w:r w:rsidRPr="00B43126">
        <w:t xml:space="preserve"> “</w:t>
      </w:r>
      <w:r w:rsidRPr="003E4259">
        <w:rPr>
          <w:bCs/>
          <w:szCs w:val="22"/>
          <w:vertAlign w:val="superscript"/>
        </w:rPr>
        <w:t>22a</w:t>
      </w:r>
      <w:r>
        <w:rPr>
          <w:bCs/>
          <w:szCs w:val="22"/>
        </w:rPr>
        <w:t xml:space="preserve"> </w:t>
      </w:r>
      <w:r w:rsidRPr="00CE06CA">
        <w:rPr>
          <w:bCs/>
          <w:szCs w:val="22"/>
          <w:lang w:val="el-GR"/>
        </w:rPr>
        <w:t>μακάριοί ἐστε</w:t>
      </w:r>
      <w:r>
        <w:rPr>
          <w:bCs/>
          <w:szCs w:val="22"/>
        </w:rPr>
        <w:t xml:space="preserve"> </w:t>
      </w:r>
      <w:r w:rsidRPr="00CE06CA">
        <w:rPr>
          <w:bCs/>
          <w:szCs w:val="22"/>
          <w:lang w:val="el-GR"/>
        </w:rPr>
        <w:t>ὅταν μισήσωσιν ὑμᾶς οἱ ἄνθρωποι</w:t>
      </w:r>
      <w:r>
        <w:rPr>
          <w:bCs/>
          <w:szCs w:val="22"/>
        </w:rPr>
        <w:t xml:space="preserve"> . . . </w:t>
      </w:r>
      <w:r w:rsidRPr="003E4259">
        <w:rPr>
          <w:bCs/>
          <w:szCs w:val="22"/>
          <w:vertAlign w:val="superscript"/>
        </w:rPr>
        <w:t>23c</w:t>
      </w:r>
      <w:r>
        <w:rPr>
          <w:bCs/>
          <w:szCs w:val="22"/>
        </w:rPr>
        <w:t xml:space="preserve"> </w:t>
      </w:r>
      <w:r w:rsidRPr="00CE06CA">
        <w:rPr>
          <w:bCs/>
          <w:szCs w:val="22"/>
          <w:lang w:val="el-GR"/>
        </w:rPr>
        <w:t>κατὰ τὰ αὐτὰ γὰρ ἐποίουν τοῖς προφήταις οἱ πατέρες αὐτῶν.</w:t>
      </w:r>
      <w:r>
        <w:rPr>
          <w:bCs/>
          <w:szCs w:val="22"/>
        </w:rPr>
        <w:t>” “</w:t>
      </w:r>
      <w:r w:rsidRPr="003E4259">
        <w:rPr>
          <w:bCs/>
          <w:szCs w:val="22"/>
          <w:vertAlign w:val="superscript"/>
        </w:rPr>
        <w:t>26</w:t>
      </w:r>
      <w:r>
        <w:rPr>
          <w:bCs/>
          <w:szCs w:val="22"/>
        </w:rPr>
        <w:t xml:space="preserve"> </w:t>
      </w:r>
      <w:r w:rsidRPr="00CE06CA">
        <w:rPr>
          <w:bCs/>
          <w:szCs w:val="22"/>
          <w:lang w:val="el-GR"/>
        </w:rPr>
        <w:t>οὐαὶ</w:t>
      </w:r>
      <w:r>
        <w:rPr>
          <w:bCs/>
          <w:szCs w:val="22"/>
        </w:rPr>
        <w:t xml:space="preserve"> </w:t>
      </w:r>
      <w:r w:rsidRPr="00CE06CA">
        <w:rPr>
          <w:bCs/>
          <w:szCs w:val="22"/>
          <w:lang w:val="el-GR"/>
        </w:rPr>
        <w:t>ὅταν ὑμᾶς καλῶς εἴπωσιν πάντες οἱ ἄνθρωποι·</w:t>
      </w:r>
      <w:r>
        <w:rPr>
          <w:bCs/>
          <w:szCs w:val="22"/>
        </w:rPr>
        <w:t xml:space="preserve"> </w:t>
      </w:r>
      <w:r w:rsidRPr="00CE06CA">
        <w:rPr>
          <w:bCs/>
          <w:szCs w:val="22"/>
          <w:lang w:val="el-GR"/>
        </w:rPr>
        <w:t>κατὰ τὰ αὐτὰ γὰρ ἐποίουν τοῖς ψευδοπροφήταις οἱ πατέρες αὐτῶν.</w:t>
      </w:r>
      <w:r>
        <w:rPr>
          <w:bCs/>
          <w:szCs w:val="22"/>
        </w:rPr>
        <w:t>”</w:t>
      </w:r>
      <w:r w:rsidRPr="00B43126">
        <w:t xml:space="preserve"> </w:t>
      </w:r>
      <w:r>
        <w:rPr>
          <w:szCs w:val="22"/>
          <w:lang w:bidi="he-IL"/>
        </w:rPr>
        <w:t>Ὑ</w:t>
      </w:r>
      <w:r w:rsidRPr="00CE06CA">
        <w:rPr>
          <w:bCs/>
          <w:szCs w:val="22"/>
          <w:lang w:val="el-GR"/>
        </w:rPr>
        <w:t>μᾶς</w:t>
      </w:r>
      <w:r>
        <w:t xml:space="preserve"> </w:t>
      </w:r>
      <w:r w:rsidRPr="00B43126">
        <w:t xml:space="preserve">after </w:t>
      </w:r>
      <w:r w:rsidRPr="00CE06CA">
        <w:rPr>
          <w:bCs/>
          <w:szCs w:val="22"/>
          <w:lang w:val="el-GR"/>
        </w:rPr>
        <w:t>οὐαὶ</w:t>
      </w:r>
      <w:r w:rsidRPr="00B43126">
        <w:t xml:space="preserve"> is</w:t>
      </w:r>
      <w:r w:rsidR="006F304D" w:rsidRPr="006F304D">
        <w:t xml:space="preserve">, </w:t>
      </w:r>
      <w:r w:rsidRPr="00B43126">
        <w:t>like</w:t>
      </w:r>
      <w:r>
        <w:t xml:space="preserve"> </w:t>
      </w:r>
      <w:r w:rsidRPr="00CE06CA">
        <w:rPr>
          <w:bCs/>
          <w:szCs w:val="22"/>
          <w:lang w:val="el-GR"/>
        </w:rPr>
        <w:t>ὑμῖν</w:t>
      </w:r>
      <w:r w:rsidRPr="00B43126">
        <w:t xml:space="preserve"> in the third</w:t>
      </w:r>
      <w:r>
        <w:t xml:space="preserve"> woe</w:t>
      </w:r>
      <w:r w:rsidR="006F304D" w:rsidRPr="006F304D">
        <w:t xml:space="preserve">, </w:t>
      </w:r>
      <w:r>
        <w:t>uncertain;</w:t>
      </w:r>
      <w:r w:rsidRPr="00B43126">
        <w:t xml:space="preserve"> but this time omission is more strongly supported: in favor of</w:t>
      </w:r>
      <w:r>
        <w:t xml:space="preserve"> </w:t>
      </w:r>
      <w:r w:rsidRPr="00CE06CA">
        <w:rPr>
          <w:bCs/>
          <w:szCs w:val="22"/>
          <w:lang w:val="el-GR"/>
        </w:rPr>
        <w:t>ὑμᾶς</w:t>
      </w:r>
      <w:r w:rsidRPr="00B43126">
        <w:t xml:space="preserve"> are only C and W (the Syriac and Coptic traditions) and a few others</w:t>
      </w:r>
      <w:r w:rsidR="006F304D" w:rsidRPr="006F304D">
        <w:t xml:space="preserve">, </w:t>
      </w:r>
      <w:r w:rsidRPr="00B43126">
        <w:t>making most of Nestle-Aland’s “constant witnesses” (see “Introduction,” 9) against inclusion.</w:t>
      </w:r>
    </w:p>
  </w:footnote>
  <w:footnote w:id="353">
    <w:p w14:paraId="516DDC96" w14:textId="77777777" w:rsidR="0018433B" w:rsidRPr="00B43126" w:rsidRDefault="0018433B" w:rsidP="0018433B">
      <w:r w:rsidRPr="00B43126">
        <w:rPr>
          <w:rStyle w:val="FootnoteReference"/>
        </w:rPr>
        <w:footnoteRef/>
      </w:r>
      <w:r w:rsidRPr="00B43126">
        <w:t xml:space="preserve"> The only variant cited by Nestle-Aland</w:t>
      </w:r>
      <w:r w:rsidRPr="00B43126">
        <w:rPr>
          <w:vertAlign w:val="superscript"/>
        </w:rPr>
        <w:t>26</w:t>
      </w:r>
      <w:r w:rsidRPr="00B43126">
        <w:t xml:space="preserve"> is Marcion’s omission in 22c of </w:t>
      </w:r>
      <w:r w:rsidRPr="00CE06CA">
        <w:rPr>
          <w:bCs/>
          <w:szCs w:val="22"/>
          <w:lang w:val="el-GR"/>
        </w:rPr>
        <w:t>καὶ ὅταν ἀφορίσωσιν ὑμᾶς</w:t>
      </w:r>
      <w:r w:rsidRPr="00B43126">
        <w:t xml:space="preserve"> and of 23ab.</w:t>
      </w:r>
    </w:p>
  </w:footnote>
  <w:footnote w:id="354">
    <w:p w14:paraId="7EB45096" w14:textId="2EBBAB3D" w:rsidR="0018433B" w:rsidRPr="00B43126" w:rsidRDefault="0018433B" w:rsidP="0018433B">
      <w:r w:rsidRPr="00B43126">
        <w:rPr>
          <w:rStyle w:val="FootnoteReference"/>
        </w:rPr>
        <w:footnoteRef/>
      </w:r>
      <w:r w:rsidRPr="00B43126">
        <w:t xml:space="preserve"> In the present state of the text the fourth beatitude has four verbs in its subordinate clause: “Blessed are you when people </w:t>
      </w:r>
      <w:r w:rsidRPr="00B43126">
        <w:rPr>
          <w:i/>
          <w:iCs/>
        </w:rPr>
        <w:t>hate</w:t>
      </w:r>
      <w:r w:rsidRPr="00B43126">
        <w:t xml:space="preserve"> you</w:t>
      </w:r>
      <w:r w:rsidR="006F304D" w:rsidRPr="006F304D">
        <w:t xml:space="preserve">, </w:t>
      </w:r>
      <w:r w:rsidRPr="00B43126">
        <w:t xml:space="preserve">and when they </w:t>
      </w:r>
      <w:r w:rsidRPr="00B43126">
        <w:rPr>
          <w:i/>
          <w:iCs/>
        </w:rPr>
        <w:t>exclude</w:t>
      </w:r>
      <w:r w:rsidRPr="00B43126">
        <w:t xml:space="preserve"> you</w:t>
      </w:r>
      <w:r w:rsidR="006F304D" w:rsidRPr="006F304D">
        <w:t xml:space="preserve">, </w:t>
      </w:r>
      <w:r w:rsidRPr="00B43126">
        <w:rPr>
          <w:i/>
          <w:iCs/>
        </w:rPr>
        <w:t>revile</w:t>
      </w:r>
      <w:r w:rsidRPr="00B43126">
        <w:t xml:space="preserve"> you</w:t>
      </w:r>
      <w:r w:rsidR="006F304D" w:rsidRPr="006F304D">
        <w:t xml:space="preserve">, </w:t>
      </w:r>
      <w:r w:rsidRPr="00B43126">
        <w:t xml:space="preserve">and </w:t>
      </w:r>
      <w:r w:rsidRPr="00B43126">
        <w:rPr>
          <w:i/>
          <w:iCs/>
        </w:rPr>
        <w:t>defame</w:t>
      </w:r>
      <w:r w:rsidRPr="00B43126">
        <w:t xml:space="preserve"> you.” But the fourth woe has only one verb in its subordinate clause: “Woe to you when all </w:t>
      </w:r>
      <w:r w:rsidRPr="00B43126">
        <w:rPr>
          <w:i/>
          <w:iCs/>
        </w:rPr>
        <w:t>speak well of</w:t>
      </w:r>
      <w:r w:rsidRPr="00B43126">
        <w:t xml:space="preserve"> [</w:t>
      </w:r>
      <w:r w:rsidRPr="00CE06CA">
        <w:rPr>
          <w:bCs/>
          <w:szCs w:val="22"/>
          <w:lang w:val="el-GR"/>
        </w:rPr>
        <w:t>καλῶς εἴπωσιν</w:t>
      </w:r>
      <w:r w:rsidRPr="00B43126">
        <w:t>] you.” Since the original verb of the fourth beatitude probably contrasted as neatly with the fourth woe’s verb as do the verbs in the other three pairs of beatitudes and woes</w:t>
      </w:r>
      <w:r w:rsidR="006F304D" w:rsidRPr="006F304D">
        <w:t xml:space="preserve">, </w:t>
      </w:r>
      <w:r w:rsidRPr="00B43126">
        <w:t>the original verb in the fourth beatitude was presumably “revile” or “defame,” since these are more precisely the opposite of “speak well of” than are “hate” or “exclude.” The fourth beatitude is likely to have captured the attention of Luke or his source because contemporary non-Christians were reviling or defaming Christians. Adding “hate” and “exclude” would further describe the persecution and so further encourage the Christians.</w:t>
      </w:r>
    </w:p>
  </w:footnote>
  <w:footnote w:id="355">
    <w:p w14:paraId="6684927C" w14:textId="30CD4087" w:rsidR="0018433B" w:rsidRPr="00B43126" w:rsidRDefault="0018433B" w:rsidP="0018433B">
      <w:r w:rsidRPr="00B43126">
        <w:rPr>
          <w:rStyle w:val="FootnoteReference"/>
        </w:rPr>
        <w:footnoteRef/>
      </w:r>
      <w:r w:rsidRPr="00B43126">
        <w:t xml:space="preserve"> But if Luke were truly intent on archtectonic structure</w:t>
      </w:r>
      <w:r w:rsidR="006F304D" w:rsidRPr="006F304D">
        <w:t xml:space="preserve">, </w:t>
      </w:r>
      <w:r w:rsidRPr="00B43126">
        <w:t>he would probably have written in 27c</w:t>
      </w:r>
      <w:r w:rsidR="006F304D" w:rsidRPr="006F304D">
        <w:t xml:space="preserve">, </w:t>
      </w:r>
      <w:r w:rsidRPr="00B43126">
        <w:t xml:space="preserve">not </w:t>
      </w:r>
      <w:r w:rsidRPr="00CE06CA">
        <w:rPr>
          <w:bCs/>
          <w:szCs w:val="22"/>
          <w:lang w:val="el-GR"/>
        </w:rPr>
        <w:t>καλῶ</w:t>
      </w:r>
      <w:r>
        <w:rPr>
          <w:bCs/>
          <w:szCs w:val="22"/>
          <w:lang w:val="el-GR"/>
        </w:rPr>
        <w:t>ς πο</w:t>
      </w:r>
      <w:r w:rsidRPr="00CE06CA">
        <w:rPr>
          <w:bCs/>
          <w:szCs w:val="22"/>
          <w:lang w:val="el-GR"/>
        </w:rPr>
        <w:t>ι</w:t>
      </w:r>
      <w:r>
        <w:rPr>
          <w:bCs/>
          <w:szCs w:val="22"/>
          <w:lang w:val="el-GR"/>
        </w:rPr>
        <w:t>έω</w:t>
      </w:r>
      <w:r w:rsidR="006F304D" w:rsidRPr="006F304D">
        <w:t xml:space="preserve">, </w:t>
      </w:r>
      <w:r w:rsidRPr="00B43126">
        <w:t xml:space="preserve">but </w:t>
      </w:r>
      <w:r w:rsidRPr="00CE06CA">
        <w:rPr>
          <w:bCs/>
          <w:szCs w:val="22"/>
          <w:lang w:val="el-GR"/>
        </w:rPr>
        <w:t>ἀγαθοποι</w:t>
      </w:r>
      <w:r>
        <w:rPr>
          <w:bCs/>
          <w:szCs w:val="22"/>
          <w:lang w:val="el-GR"/>
        </w:rPr>
        <w:t>έω</w:t>
      </w:r>
      <w:r>
        <w:t xml:space="preserve"> (as in 33a and 35b)</w:t>
      </w:r>
      <w:r w:rsidR="006F304D" w:rsidRPr="006F304D">
        <w:t xml:space="preserve">, </w:t>
      </w:r>
      <w:r w:rsidRPr="00B43126">
        <w:t>to tie 27c to 33a and 35b.</w:t>
      </w:r>
    </w:p>
  </w:footnote>
  <w:footnote w:id="356">
    <w:p w14:paraId="06F492F7" w14:textId="6FAD2302" w:rsidR="0018433B" w:rsidRPr="00B43126" w:rsidRDefault="0018433B" w:rsidP="0018433B">
      <w:r w:rsidRPr="00B43126">
        <w:rPr>
          <w:rStyle w:val="FootnoteReference"/>
        </w:rPr>
        <w:footnoteRef/>
      </w:r>
      <w:r w:rsidRPr="00B43126">
        <w:t xml:space="preserve"> Though the parts of a two-member unit need not have exact proportions</w:t>
      </w:r>
      <w:r w:rsidR="006F304D" w:rsidRPr="006F304D">
        <w:t xml:space="preserve">, </w:t>
      </w:r>
      <w:r w:rsidRPr="00B43126">
        <w:t xml:space="preserve">the degree of disproportion between 32-34 and 35a is so great as to argue against the idea that Luke intended them as </w:t>
      </w:r>
      <w:r w:rsidRPr="00B43126">
        <w:rPr>
          <w:i/>
          <w:iCs/>
        </w:rPr>
        <w:t>formally</w:t>
      </w:r>
      <w:r w:rsidRPr="00B43126">
        <w:t xml:space="preserve"> coordinated units. Whether they are </w:t>
      </w:r>
      <w:r w:rsidRPr="00B43126">
        <w:rPr>
          <w:i/>
          <w:iCs/>
        </w:rPr>
        <w:t>contentually</w:t>
      </w:r>
      <w:r w:rsidRPr="00B43126">
        <w:t xml:space="preserve"> coordinated units is something to consider when examining logical principles in the sermon. (To justify disproportionate members in eight other twofold units</w:t>
      </w:r>
      <w:r w:rsidR="006F304D" w:rsidRPr="006F304D">
        <w:t xml:space="preserve">, </w:t>
      </w:r>
      <w:r w:rsidRPr="00B43126">
        <w:t>Morgenthaler [112] quotes Hermann Gunkel: “The second part contains</w:t>
      </w:r>
      <w:r w:rsidR="006F304D" w:rsidRPr="006F304D">
        <w:t xml:space="preserve">, </w:t>
      </w:r>
      <w:r w:rsidRPr="00B43126">
        <w:rPr>
          <w:i/>
          <w:iCs/>
        </w:rPr>
        <w:t>if only briefly</w:t>
      </w:r>
      <w:r w:rsidR="006F304D" w:rsidRPr="006F304D">
        <w:rPr>
          <w:iCs/>
        </w:rPr>
        <w:t xml:space="preserve">, </w:t>
      </w:r>
      <w:r w:rsidRPr="00B43126">
        <w:t>the same as the first part” [</w:t>
      </w:r>
      <w:r>
        <w:t xml:space="preserve">italics in original; </w:t>
      </w:r>
      <w:r w:rsidRPr="00B43126">
        <w:t xml:space="preserve">Morgenthaler </w:t>
      </w:r>
      <w:r>
        <w:t xml:space="preserve">gives </w:t>
      </w:r>
      <w:r w:rsidRPr="00B43126">
        <w:t xml:space="preserve">no </w:t>
      </w:r>
      <w:r>
        <w:t>citation for this quotation</w:t>
      </w:r>
      <w:r w:rsidR="006F304D" w:rsidRPr="006F304D">
        <w:t xml:space="preserve">, </w:t>
      </w:r>
      <w:r w:rsidRPr="00B43126">
        <w:t xml:space="preserve">but in his </w:t>
      </w:r>
      <w:r w:rsidRPr="00B43126">
        <w:rPr>
          <w:i/>
          <w:iCs/>
        </w:rPr>
        <w:t>Literaturan</w:t>
      </w:r>
      <w:r w:rsidRPr="00B43126">
        <w:rPr>
          <w:i/>
          <w:iCs/>
        </w:rPr>
        <w:softHyphen/>
        <w:t>gabe</w:t>
      </w:r>
      <w:r w:rsidRPr="00B43126">
        <w:t xml:space="preserve"> (8) </w:t>
      </w:r>
      <w:r>
        <w:t xml:space="preserve">he </w:t>
      </w:r>
      <w:r w:rsidRPr="00B43126">
        <w:t xml:space="preserve">cites Gunkel’s “Die Lieder in der Kindheitsgeschichte Jesu bei Lk.,” in </w:t>
      </w:r>
      <w:r w:rsidRPr="00B43126">
        <w:rPr>
          <w:i/>
          <w:iCs/>
        </w:rPr>
        <w:t>Festschrift für Adolf Harnack</w:t>
      </w:r>
      <w:r w:rsidRPr="00B43126">
        <w:t xml:space="preserve"> (Tübingen: 1921) 43-60].)</w:t>
      </w:r>
    </w:p>
  </w:footnote>
  <w:footnote w:id="357">
    <w:p w14:paraId="6FB6C121" w14:textId="0282B350" w:rsidR="0018433B" w:rsidRPr="00B43126" w:rsidRDefault="0018433B" w:rsidP="0018433B">
      <w:r w:rsidRPr="00A71A39">
        <w:rPr>
          <w:rStyle w:val="FootnoteReference"/>
        </w:rPr>
        <w:footnoteRef/>
      </w:r>
      <w:r w:rsidRPr="00A71A39">
        <w:rPr>
          <w:iCs/>
        </w:rPr>
        <w:t xml:space="preserve"> </w:t>
      </w:r>
      <w:r w:rsidRPr="00B43126">
        <w:rPr>
          <w:i/>
          <w:iCs/>
        </w:rPr>
        <w:t>Geschichtsschreibung</w:t>
      </w:r>
      <w:r w:rsidR="006F304D" w:rsidRPr="006F304D">
        <w:rPr>
          <w:iCs/>
        </w:rPr>
        <w:t xml:space="preserve">, </w:t>
      </w:r>
      <w:r w:rsidRPr="00B43126">
        <w:t xml:space="preserve">83 (his brief discussion of </w:t>
      </w:r>
      <w:r w:rsidRPr="00B43126">
        <w:rPr>
          <w:i/>
          <w:iCs/>
        </w:rPr>
        <w:t>Dreiergruppen</w:t>
      </w:r>
      <w:r w:rsidRPr="00B43126">
        <w:t xml:space="preserve"> is on 73-79).</w:t>
      </w:r>
    </w:p>
  </w:footnote>
  <w:footnote w:id="358">
    <w:p w14:paraId="511C000E" w14:textId="1F2A6FE4" w:rsidR="0018433B" w:rsidRPr="00B43126" w:rsidRDefault="0018433B" w:rsidP="0018433B">
      <w:r w:rsidRPr="00B43126">
        <w:rPr>
          <w:rStyle w:val="FootnoteReference"/>
        </w:rPr>
        <w:footnoteRef/>
      </w:r>
      <w:r w:rsidRPr="00B43126">
        <w:t xml:space="preserve"> See the discussion below</w:t>
      </w:r>
      <w:r w:rsidR="006F304D" w:rsidRPr="006F304D">
        <w:t xml:space="preserve">, </w:t>
      </w:r>
      <w:r w:rsidRPr="00B43126">
        <w:t>where “forgive” is shown not to be equivalent to “acquit.”</w:t>
      </w:r>
    </w:p>
  </w:footnote>
  <w:footnote w:id="359">
    <w:p w14:paraId="3A3AF6AC" w14:textId="216FC105" w:rsidR="0018433B" w:rsidRPr="00B43126" w:rsidRDefault="0018433B" w:rsidP="0018433B">
      <w:r w:rsidRPr="00B43126">
        <w:rPr>
          <w:rStyle w:val="FootnoteReference"/>
        </w:rPr>
        <w:footnoteRef/>
      </w:r>
      <w:r w:rsidRPr="00B43126">
        <w:t xml:space="preserve"> The </w:t>
      </w:r>
      <w:r>
        <w:t xml:space="preserve">previously seen </w:t>
      </w:r>
      <w:r w:rsidRPr="00B43126">
        <w:t>verses all have to do with pos</w:t>
      </w:r>
      <w:r>
        <w:t>s</w:t>
      </w:r>
      <w:r w:rsidRPr="00B43126">
        <w:t>essions: 20b</w:t>
      </w:r>
      <w:r w:rsidR="006F304D" w:rsidRPr="006F304D">
        <w:t xml:space="preserve">, </w:t>
      </w:r>
      <w:r w:rsidRPr="00B43126">
        <w:t>blessed are the poor; 24</w:t>
      </w:r>
      <w:r w:rsidR="006F304D" w:rsidRPr="006F304D">
        <w:t xml:space="preserve">, </w:t>
      </w:r>
      <w:r w:rsidRPr="00B43126">
        <w:t>woe to the rich; 30a</w:t>
      </w:r>
      <w:r w:rsidR="006F304D" w:rsidRPr="006F304D">
        <w:t xml:space="preserve">, </w:t>
      </w:r>
      <w:r w:rsidRPr="00B43126">
        <w:t>give to beggars; 30b</w:t>
      </w:r>
      <w:r w:rsidR="006F304D" w:rsidRPr="006F304D">
        <w:t xml:space="preserve">, </w:t>
      </w:r>
      <w:r w:rsidRPr="00B43126">
        <w:t>do not seek taken goods; 34 and 35c</w:t>
      </w:r>
      <w:r w:rsidR="006F304D" w:rsidRPr="006F304D">
        <w:t xml:space="preserve">, </w:t>
      </w:r>
      <w:r w:rsidRPr="00B43126">
        <w:t>lending. Luke’s special interest in the ethics of possessions is well-known. In the great supper (14:16-24; cf. 14:12-14 and Matt 15:30-31)</w:t>
      </w:r>
      <w:r w:rsidR="006F304D" w:rsidRPr="006F304D">
        <w:t xml:space="preserve">, </w:t>
      </w:r>
      <w:r w:rsidRPr="00B43126">
        <w:t>only in Luke are “the poor</w:t>
      </w:r>
      <w:r w:rsidR="006F304D" w:rsidRPr="006F304D">
        <w:t xml:space="preserve">, </w:t>
      </w:r>
      <w:r w:rsidRPr="00B43126">
        <w:t>the crippled</w:t>
      </w:r>
      <w:r w:rsidR="006F304D" w:rsidRPr="006F304D">
        <w:t xml:space="preserve">, </w:t>
      </w:r>
      <w:r w:rsidRPr="00B43126">
        <w:t>the blind</w:t>
      </w:r>
      <w:r w:rsidR="006F304D" w:rsidRPr="006F304D">
        <w:t xml:space="preserve">, </w:t>
      </w:r>
      <w:r w:rsidRPr="00B43126">
        <w:t>and the lame” invited in (Reginald H. Fuller</w:t>
      </w:r>
      <w:r w:rsidR="006F304D" w:rsidRPr="006F304D">
        <w:t xml:space="preserve">, </w:t>
      </w:r>
      <w:r w:rsidRPr="00B43126">
        <w:rPr>
          <w:i/>
          <w:iCs/>
        </w:rPr>
        <w:t>A Critical Introduction to the New Testament</w:t>
      </w:r>
      <w:r w:rsidRPr="00B43126">
        <w:t xml:space="preserve"> [London: Duckworth</w:t>
      </w:r>
      <w:r w:rsidR="006F304D" w:rsidRPr="006F304D">
        <w:t xml:space="preserve">, </w:t>
      </w:r>
      <w:r w:rsidRPr="00B43126">
        <w:t>1966] 14). Several parables unique to Luke deal with possessions (Juel</w:t>
      </w:r>
      <w:r w:rsidR="006F304D" w:rsidRPr="006F304D">
        <w:t xml:space="preserve">, </w:t>
      </w:r>
      <w:r w:rsidRPr="00B43126">
        <w:rPr>
          <w:i/>
          <w:iCs/>
        </w:rPr>
        <w:t>Luke-Acts</w:t>
      </w:r>
      <w:r w:rsidR="006F304D" w:rsidRPr="006F304D">
        <w:rPr>
          <w:iCs/>
        </w:rPr>
        <w:t xml:space="preserve">, </w:t>
      </w:r>
      <w:r w:rsidRPr="00B43126">
        <w:t>3): the two debtors (7:41-43)</w:t>
      </w:r>
      <w:r w:rsidR="006F304D" w:rsidRPr="006F304D">
        <w:t xml:space="preserve">, </w:t>
      </w:r>
      <w:r w:rsidRPr="00B43126">
        <w:t>the good Samaritan (10:29-37)</w:t>
      </w:r>
      <w:r w:rsidR="006F304D" w:rsidRPr="006F304D">
        <w:t xml:space="preserve">, </w:t>
      </w:r>
      <w:r w:rsidRPr="00B43126">
        <w:t>the rich fool (12:16-21)</w:t>
      </w:r>
      <w:r w:rsidR="006F304D" w:rsidRPr="006F304D">
        <w:t xml:space="preserve">, </w:t>
      </w:r>
      <w:r w:rsidRPr="00B43126">
        <w:t>the unjust steward (16:1-8)</w:t>
      </w:r>
      <w:r w:rsidR="006F304D" w:rsidRPr="006F304D">
        <w:t xml:space="preserve">, </w:t>
      </w:r>
      <w:r w:rsidRPr="00B43126">
        <w:t>the rich man and Lazarus (16:19-31). In Acts one thinks of community of goods (2:44-45</w:t>
      </w:r>
      <w:r w:rsidR="006F304D" w:rsidRPr="006F304D">
        <w:t xml:space="preserve">, </w:t>
      </w:r>
      <w:r w:rsidRPr="00B43126">
        <w:t xml:space="preserve">4:32-37) and </w:t>
      </w:r>
      <w:r>
        <w:t xml:space="preserve">of </w:t>
      </w:r>
      <w:r w:rsidRPr="00B43126">
        <w:t>the deaths of Ananias and Sapphira (5:1-11). Fitzmyer believes (</w:t>
      </w:r>
      <w:r w:rsidRPr="00B43126">
        <w:rPr>
          <w:i/>
          <w:iCs/>
        </w:rPr>
        <w:t>Gospel</w:t>
      </w:r>
      <w:r w:rsidR="006F304D" w:rsidRPr="006F304D">
        <w:rPr>
          <w:iCs/>
        </w:rPr>
        <w:t xml:space="preserve">, </w:t>
      </w:r>
      <w:r w:rsidRPr="00B43126">
        <w:t>247) that Luke “is not satisfied with what he has seen of the Christian use of wealth in his ecclesial community and makes use of sayings of Jesus to correct attitudes within it.” Since they exemplify Luke’s special interest</w:t>
      </w:r>
      <w:r w:rsidR="006F304D" w:rsidRPr="006F304D">
        <w:t xml:space="preserve">, </w:t>
      </w:r>
      <w:r>
        <w:t xml:space="preserve">the previously seen </w:t>
      </w:r>
      <w:r w:rsidRPr="00B43126">
        <w:t>verses (20b</w:t>
      </w:r>
      <w:r w:rsidR="006F304D" w:rsidRPr="006F304D">
        <w:t xml:space="preserve">, </w:t>
      </w:r>
      <w:r w:rsidRPr="00B43126">
        <w:t>24</w:t>
      </w:r>
      <w:r w:rsidR="006F304D" w:rsidRPr="006F304D">
        <w:t xml:space="preserve">, </w:t>
      </w:r>
      <w:r w:rsidRPr="00B43126">
        <w:t>30</w:t>
      </w:r>
      <w:r w:rsidR="006F304D" w:rsidRPr="006F304D">
        <w:t xml:space="preserve">, </w:t>
      </w:r>
      <w:r w:rsidRPr="00B43126">
        <w:t>34</w:t>
      </w:r>
      <w:r w:rsidR="006F304D" w:rsidRPr="006F304D">
        <w:t xml:space="preserve">, </w:t>
      </w:r>
      <w:r w:rsidRPr="00B43126">
        <w:t>35c) are probably redactional; and since some of these disturb the neatness of Morgenthaler’s tetrastiches</w:t>
      </w:r>
      <w:r w:rsidR="006F304D" w:rsidRPr="006F304D">
        <w:t xml:space="preserve">, </w:t>
      </w:r>
      <w:r w:rsidRPr="00B43126">
        <w:t>it again appears that Luke cared more about the content of what he wrote than about its form.</w:t>
      </w:r>
    </w:p>
  </w:footnote>
  <w:footnote w:id="360">
    <w:p w14:paraId="0315F94F" w14:textId="5AB93757" w:rsidR="0018433B" w:rsidRPr="00B43126" w:rsidRDefault="0018433B" w:rsidP="0018433B">
      <w:r w:rsidRPr="00B43126">
        <w:rPr>
          <w:rStyle w:val="FootnoteReference"/>
        </w:rPr>
        <w:footnoteRef/>
      </w:r>
      <w:r w:rsidRPr="00B43126">
        <w:t xml:space="preserve"> This is the translation which Jeremias (</w:t>
      </w:r>
      <w:r w:rsidRPr="00B43126">
        <w:rPr>
          <w:i/>
          <w:iCs/>
        </w:rPr>
        <w:t>Parables of Jesus</w:t>
      </w:r>
      <w:r w:rsidRPr="00B43126">
        <w:t xml:space="preserve"> [</w:t>
      </w:r>
      <w:r w:rsidR="0029762C" w:rsidRPr="0029762C">
        <w:rPr>
          <w:iCs/>
        </w:rPr>
        <w:t>2nd ed.</w:t>
      </w:r>
      <w:r w:rsidRPr="00B43126">
        <w:t>; New York: Scribner’s</w:t>
      </w:r>
      <w:r w:rsidR="006F304D" w:rsidRPr="006F304D">
        <w:t xml:space="preserve">, </w:t>
      </w:r>
      <w:r w:rsidRPr="00B43126">
        <w:t>1963] 20) prefers for παραβoλή in 6:39</w:t>
      </w:r>
      <w:r w:rsidR="006F304D" w:rsidRPr="006F304D">
        <w:t xml:space="preserve">, </w:t>
      </w:r>
      <w:r w:rsidRPr="00B43126">
        <w:t>though in other contexts he suggests other translations: “parable,” “allegory,” “riddle,” etc. (See also Jeremias</w:t>
      </w:r>
      <w:r w:rsidR="006F304D" w:rsidRPr="006F304D">
        <w:t xml:space="preserve">, </w:t>
      </w:r>
      <w:r w:rsidRPr="00B43126">
        <w:t>92; Archibald Hunter</w:t>
      </w:r>
      <w:r w:rsidR="006F304D" w:rsidRPr="006F304D">
        <w:t xml:space="preserve">, </w:t>
      </w:r>
      <w:r w:rsidRPr="00B43126">
        <w:rPr>
          <w:i/>
          <w:iCs/>
        </w:rPr>
        <w:t>Interpreting the Parables</w:t>
      </w:r>
      <w:r w:rsidRPr="00B43126">
        <w:t xml:space="preserve"> [Philadelphia: Westminster</w:t>
      </w:r>
      <w:r w:rsidR="006F304D" w:rsidRPr="006F304D">
        <w:t xml:space="preserve">, </w:t>
      </w:r>
      <w:r w:rsidRPr="00B43126">
        <w:t>1960] 8-10; and especially Bultmann</w:t>
      </w:r>
      <w:r w:rsidR="006F304D" w:rsidRPr="006F304D">
        <w:t xml:space="preserve">, </w:t>
      </w:r>
      <w:r w:rsidRPr="00B43126">
        <w:rPr>
          <w:i/>
          <w:iCs/>
        </w:rPr>
        <w:t>History</w:t>
      </w:r>
      <w:r w:rsidR="006F304D" w:rsidRPr="006F304D">
        <w:rPr>
          <w:iCs/>
        </w:rPr>
        <w:t xml:space="preserve">, </w:t>
      </w:r>
      <w:r w:rsidRPr="00B43126">
        <w:t>166-78.)</w:t>
      </w:r>
      <w:r>
        <w:t xml:space="preserve"> </w:t>
      </w:r>
      <w:r w:rsidRPr="00B43126">
        <w:t>For παραβoλή in Hellenistic culture</w:t>
      </w:r>
      <w:r w:rsidR="006F304D" w:rsidRPr="006F304D">
        <w:t xml:space="preserve">, </w:t>
      </w:r>
      <w:r w:rsidRPr="00B43126">
        <w:t>see Marsh H. McCall</w:t>
      </w:r>
      <w:r w:rsidR="006F304D" w:rsidRPr="006F304D">
        <w:t xml:space="preserve">, </w:t>
      </w:r>
      <w:r w:rsidRPr="00B43126">
        <w:t>Jr.</w:t>
      </w:r>
      <w:r w:rsidR="006F304D" w:rsidRPr="006F304D">
        <w:t xml:space="preserve">, </w:t>
      </w:r>
      <w:r w:rsidRPr="00B43126">
        <w:rPr>
          <w:i/>
          <w:iCs/>
        </w:rPr>
        <w:t>Ancient Rhetorical Theories of Simile and Comparison</w:t>
      </w:r>
      <w:r w:rsidRPr="00B43126">
        <w:t xml:space="preserve"> (Cambridge: Harvard </w:t>
      </w:r>
      <w:r w:rsidR="00E95268" w:rsidRPr="00E95268">
        <w:rPr>
          <w:iCs/>
        </w:rPr>
        <w:t>UP</w:t>
      </w:r>
      <w:r w:rsidR="006F304D" w:rsidRPr="006F304D">
        <w:t xml:space="preserve">, </w:t>
      </w:r>
      <w:r w:rsidRPr="00B43126">
        <w:t>1969)</w:t>
      </w:r>
      <w:r w:rsidR="006F304D" w:rsidRPr="006F304D">
        <w:t xml:space="preserve">, </w:t>
      </w:r>
      <w:r w:rsidRPr="00B43126">
        <w:t>5-8 (Theramenes of Ceos)</w:t>
      </w:r>
      <w:r w:rsidR="006F304D" w:rsidRPr="006F304D">
        <w:t xml:space="preserve">, </w:t>
      </w:r>
      <w:r w:rsidRPr="00B43126">
        <w:t>18 (Plato)</w:t>
      </w:r>
      <w:r w:rsidR="006F304D" w:rsidRPr="006F304D">
        <w:t xml:space="preserve">, </w:t>
      </w:r>
      <w:r w:rsidRPr="00B43126">
        <w:t>19 (Isocrates)</w:t>
      </w:r>
      <w:r w:rsidR="006F304D" w:rsidRPr="006F304D">
        <w:t xml:space="preserve">, </w:t>
      </w:r>
      <w:r w:rsidRPr="00B43126">
        <w:t>25-29 (Aristotle)</w:t>
      </w:r>
      <w:r w:rsidR="006F304D" w:rsidRPr="006F304D">
        <w:t xml:space="preserve">, </w:t>
      </w:r>
      <w:r w:rsidRPr="00B43126">
        <w:t>131 (Dionysius Thrax)</w:t>
      </w:r>
      <w:r w:rsidR="006F304D" w:rsidRPr="006F304D">
        <w:t xml:space="preserve">, </w:t>
      </w:r>
      <w:r w:rsidRPr="00B43126">
        <w:t>134-35 (Philodemus)</w:t>
      </w:r>
      <w:r w:rsidR="006F304D" w:rsidRPr="006F304D">
        <w:t xml:space="preserve">, </w:t>
      </w:r>
      <w:r w:rsidRPr="00B43126">
        <w:t>147-53 (Demetrius)</w:t>
      </w:r>
      <w:r w:rsidR="006F304D" w:rsidRPr="006F304D">
        <w:t xml:space="preserve">, </w:t>
      </w:r>
      <w:r w:rsidRPr="00B43126">
        <w:t>155 (Dionysius of Halicarnassus)</w:t>
      </w:r>
      <w:r w:rsidR="006F304D" w:rsidRPr="006F304D">
        <w:t xml:space="preserve">, </w:t>
      </w:r>
      <w:r w:rsidRPr="00B43126">
        <w:t>158 (Longinus)</w:t>
      </w:r>
      <w:r w:rsidR="006F304D" w:rsidRPr="006F304D">
        <w:t xml:space="preserve">, </w:t>
      </w:r>
      <w:r w:rsidRPr="00B43126">
        <w:t>197 (Quintilian)</w:t>
      </w:r>
      <w:r w:rsidR="006F304D" w:rsidRPr="006F304D">
        <w:t xml:space="preserve">, </w:t>
      </w:r>
      <w:r w:rsidRPr="00B43126">
        <w:t>238 (Plutarch)</w:t>
      </w:r>
      <w:r w:rsidR="006F304D" w:rsidRPr="006F304D">
        <w:t xml:space="preserve">, </w:t>
      </w:r>
      <w:r w:rsidRPr="00B43126">
        <w:t>253-55 (Trypho).</w:t>
      </w:r>
    </w:p>
  </w:footnote>
  <w:footnote w:id="361">
    <w:p w14:paraId="7D09F07C" w14:textId="3E480274" w:rsidR="0018433B" w:rsidRPr="00B43126" w:rsidRDefault="0018433B" w:rsidP="0018433B">
      <w:r w:rsidRPr="00B43126">
        <w:rPr>
          <w:rStyle w:val="FootnoteReference"/>
        </w:rPr>
        <w:footnoteRef/>
      </w:r>
      <w:r w:rsidRPr="00B43126">
        <w:t xml:space="preserve"> On the frequent pairing of parables in the synoptic material</w:t>
      </w:r>
      <w:r w:rsidR="006F304D" w:rsidRPr="006F304D">
        <w:t xml:space="preserve">, </w:t>
      </w:r>
      <w:r w:rsidRPr="00B43126">
        <w:t>see B. H. Streeter</w:t>
      </w:r>
      <w:r w:rsidR="006F304D" w:rsidRPr="006F304D">
        <w:t xml:space="preserve">, </w:t>
      </w:r>
      <w:r w:rsidRPr="00B43126">
        <w:rPr>
          <w:i/>
          <w:iCs/>
        </w:rPr>
        <w:t>The Four Gospels</w:t>
      </w:r>
      <w:r w:rsidRPr="00B43126">
        <w:t xml:space="preserve"> (New York: Macmillan</w:t>
      </w:r>
      <w:r w:rsidR="006F304D" w:rsidRPr="006F304D">
        <w:t xml:space="preserve">, </w:t>
      </w:r>
      <w:r w:rsidRPr="00B43126">
        <w:t>1924) 189</w:t>
      </w:r>
      <w:r w:rsidR="006F304D" w:rsidRPr="006F304D">
        <w:t xml:space="preserve">, </w:t>
      </w:r>
      <w:r w:rsidRPr="00B43126">
        <w:t>243-44; Jeremias</w:t>
      </w:r>
      <w:r w:rsidR="006F304D" w:rsidRPr="006F304D">
        <w:t xml:space="preserve">, </w:t>
      </w:r>
      <w:r w:rsidRPr="00B43126">
        <w:rPr>
          <w:i/>
          <w:iCs/>
        </w:rPr>
        <w:t>Parables</w:t>
      </w:r>
      <w:r w:rsidR="006F304D" w:rsidRPr="006F304D">
        <w:rPr>
          <w:iCs/>
        </w:rPr>
        <w:t xml:space="preserve">, </w:t>
      </w:r>
      <w:r w:rsidRPr="00B43126">
        <w:t>90-92.</w:t>
      </w:r>
    </w:p>
  </w:footnote>
  <w:footnote w:id="362">
    <w:p w14:paraId="015BCC60" w14:textId="3793F910" w:rsidR="0018433B" w:rsidRPr="00B43126" w:rsidRDefault="0018433B" w:rsidP="0018433B">
      <w:r w:rsidRPr="00B43126">
        <w:rPr>
          <w:rStyle w:val="FootnoteReference"/>
        </w:rPr>
        <w:footnoteRef/>
      </w:r>
      <w:r w:rsidRPr="00B43126">
        <w:t xml:space="preserve"> For the distinction between “literal term” and “figurative term” in a metaphor</w:t>
      </w:r>
      <w:r w:rsidR="006F304D" w:rsidRPr="006F304D">
        <w:t xml:space="preserve">, </w:t>
      </w:r>
      <w:r w:rsidRPr="00B43126">
        <w:t>see Laurence Perrine</w:t>
      </w:r>
      <w:r w:rsidR="006F304D" w:rsidRPr="006F304D">
        <w:t xml:space="preserve">, </w:t>
      </w:r>
      <w:r w:rsidRPr="00B43126">
        <w:t xml:space="preserve">“Four Forms of Metaphor,” </w:t>
      </w:r>
      <w:r w:rsidRPr="00B43126">
        <w:rPr>
          <w:i/>
          <w:iCs/>
        </w:rPr>
        <w:t>College English</w:t>
      </w:r>
      <w:r w:rsidRPr="00B43126">
        <w:t xml:space="preserve"> 33 (1971) 125.</w:t>
      </w:r>
    </w:p>
  </w:footnote>
  <w:footnote w:id="363">
    <w:p w14:paraId="39BC24B7" w14:textId="07B033E3" w:rsidR="0018433B" w:rsidRPr="00B43126" w:rsidRDefault="0018433B" w:rsidP="0018433B">
      <w:r w:rsidRPr="00B43126">
        <w:rPr>
          <w:rStyle w:val="FootnoteReference"/>
        </w:rPr>
        <w:footnoteRef/>
      </w:r>
      <w:r w:rsidRPr="00B43126">
        <w:t xml:space="preserve"> That 39-40 and 43-45 are composed of “individual </w:t>
      </w:r>
      <w:r w:rsidRPr="00B43126">
        <w:rPr>
          <w:i/>
          <w:iCs/>
        </w:rPr>
        <w:t>logia</w:t>
      </w:r>
      <w:r w:rsidRPr="00B43126">
        <w:t>” (</w:t>
      </w:r>
      <w:r w:rsidRPr="00B43126">
        <w:rPr>
          <w:i/>
          <w:iCs/>
        </w:rPr>
        <w:t>Einzelspruchs</w:t>
      </w:r>
      <w:r w:rsidRPr="00B43126">
        <w:t>) is also the opinion of Georg Heinrici</w:t>
      </w:r>
      <w:r w:rsidR="006F304D" w:rsidRPr="006F304D">
        <w:t xml:space="preserve">, </w:t>
      </w:r>
      <w:r w:rsidRPr="00B43126">
        <w:rPr>
          <w:i/>
          <w:iCs/>
        </w:rPr>
        <w:t>Die Bergpredigt</w:t>
      </w:r>
      <w:r w:rsidRPr="00B43126">
        <w:rPr>
          <w:iCs/>
        </w:rPr>
        <w:t xml:space="preserve"> (</w:t>
      </w:r>
      <w:r w:rsidRPr="00B43126">
        <w:rPr>
          <w:i/>
          <w:iCs/>
        </w:rPr>
        <w:t>Matth</w:t>
      </w:r>
      <w:r w:rsidRPr="00B43126">
        <w:rPr>
          <w:iCs/>
        </w:rPr>
        <w:t xml:space="preserve">. </w:t>
      </w:r>
      <w:r w:rsidRPr="00B43126">
        <w:rPr>
          <w:i/>
          <w:iCs/>
        </w:rPr>
        <w:t>5-7</w:t>
      </w:r>
      <w:r w:rsidRPr="00B43126">
        <w:rPr>
          <w:iCs/>
        </w:rPr>
        <w:t xml:space="preserve">. </w:t>
      </w:r>
      <w:r w:rsidRPr="00B43126">
        <w:rPr>
          <w:i/>
          <w:iCs/>
        </w:rPr>
        <w:t>Luk</w:t>
      </w:r>
      <w:r w:rsidRPr="00B43126">
        <w:rPr>
          <w:iCs/>
        </w:rPr>
        <w:t xml:space="preserve">. </w:t>
      </w:r>
      <w:r w:rsidRPr="00B43126">
        <w:rPr>
          <w:i/>
          <w:iCs/>
        </w:rPr>
        <w:t>6</w:t>
      </w:r>
      <w:r w:rsidR="006F304D" w:rsidRPr="006F304D">
        <w:rPr>
          <w:iCs/>
        </w:rPr>
        <w:t xml:space="preserve">, </w:t>
      </w:r>
      <w:r w:rsidRPr="00B43126">
        <w:rPr>
          <w:i/>
          <w:iCs/>
        </w:rPr>
        <w:t>20-49</w:t>
      </w:r>
      <w:r w:rsidRPr="00B43126">
        <w:rPr>
          <w:iCs/>
        </w:rPr>
        <w:t xml:space="preserve">) </w:t>
      </w:r>
      <w:r w:rsidRPr="00B43126">
        <w:rPr>
          <w:i/>
          <w:iCs/>
        </w:rPr>
        <w:t>quellenkritisch und begriffs</w:t>
      </w:r>
      <w:r w:rsidRPr="00B43126">
        <w:rPr>
          <w:i/>
          <w:iCs/>
        </w:rPr>
        <w:softHyphen/>
        <w:t>ge</w:t>
      </w:r>
      <w:r w:rsidRPr="00B43126">
        <w:rPr>
          <w:i/>
          <w:iCs/>
        </w:rPr>
        <w:softHyphen/>
        <w:t>schicht</w:t>
      </w:r>
      <w:r w:rsidRPr="00B43126">
        <w:rPr>
          <w:i/>
          <w:iCs/>
        </w:rPr>
        <w:softHyphen/>
        <w:t>lich untersucht</w:t>
      </w:r>
      <w:r w:rsidRPr="00B43126">
        <w:t xml:space="preserve"> (Beiträge zur Geschichte und Erklärung des Neuen Testament 2-3; Leipzig: 1899</w:t>
      </w:r>
      <w:r w:rsidR="006F304D" w:rsidRPr="006F304D">
        <w:t xml:space="preserve">, </w:t>
      </w:r>
      <w:r w:rsidRPr="00B43126">
        <w:t>1905)</w:t>
      </w:r>
      <w:r w:rsidR="006F304D" w:rsidRPr="006F304D">
        <w:t xml:space="preserve">, </w:t>
      </w:r>
      <w:r w:rsidRPr="00B43126">
        <w:t>1. 40.</w:t>
      </w:r>
    </w:p>
  </w:footnote>
  <w:footnote w:id="364">
    <w:p w14:paraId="01D94FE9" w14:textId="16B430D4" w:rsidR="0018433B" w:rsidRPr="00B43126" w:rsidRDefault="0018433B" w:rsidP="0018433B">
      <w:r w:rsidRPr="00A71A39">
        <w:rPr>
          <w:rStyle w:val="FootnoteReference"/>
        </w:rPr>
        <w:footnoteRef/>
      </w:r>
      <w:r w:rsidRPr="00A71A39">
        <w:rPr>
          <w:iCs/>
        </w:rPr>
        <w:t xml:space="preserve"> </w:t>
      </w:r>
      <w:r w:rsidRPr="00B43126">
        <w:rPr>
          <w:i/>
          <w:iCs/>
        </w:rPr>
        <w:t>Geschichtsschreibung</w:t>
      </w:r>
      <w:r w:rsidR="006F304D" w:rsidRPr="006F304D">
        <w:rPr>
          <w:iCs/>
        </w:rPr>
        <w:t xml:space="preserve">, </w:t>
      </w:r>
      <w:r w:rsidRPr="00B43126">
        <w:t>83.</w:t>
      </w:r>
    </w:p>
  </w:footnote>
  <w:footnote w:id="365">
    <w:p w14:paraId="08DB4AE8" w14:textId="13B918F1" w:rsidR="0018433B" w:rsidRPr="00B43126" w:rsidRDefault="0018433B" w:rsidP="0018433B">
      <w:r w:rsidRPr="00B43126">
        <w:rPr>
          <w:rStyle w:val="FootnoteReference"/>
        </w:rPr>
        <w:footnoteRef/>
      </w:r>
      <w:r w:rsidRPr="00B43126">
        <w:t xml:space="preserve"> Ibid.</w:t>
      </w:r>
      <w:r w:rsidR="006F304D" w:rsidRPr="006F304D">
        <w:t xml:space="preserve">, </w:t>
      </w:r>
      <w:r w:rsidRPr="00B43126">
        <w:t xml:space="preserve">136: “we have already seen in the sermon on the plain two groups of four that are by no means accidental </w:t>
      </w:r>
      <w:r>
        <w:t>. . .</w:t>
      </w:r>
      <w:r w:rsidRPr="00B43126">
        <w:t>” Morgenthaler follows this sentence with a repetition of his summary outline of the structure of the sermon (presented above</w:t>
      </w:r>
      <w:r w:rsidR="006F304D" w:rsidRPr="006F304D">
        <w:t xml:space="preserve">, </w:t>
      </w:r>
      <w:r w:rsidRPr="00B43126">
        <w:t>143).</w:t>
      </w:r>
    </w:p>
  </w:footnote>
  <w:footnote w:id="366">
    <w:p w14:paraId="5FD54EAB" w14:textId="44F5AD90" w:rsidR="0018433B" w:rsidRPr="00B43126" w:rsidRDefault="0018433B" w:rsidP="0018433B">
      <w:r w:rsidRPr="00B43126">
        <w:rPr>
          <w:rStyle w:val="FootnoteReference"/>
        </w:rPr>
        <w:footnoteRef/>
      </w:r>
      <w:r w:rsidRPr="00B43126">
        <w:t xml:space="preserve"> Below</w:t>
      </w:r>
      <w:r w:rsidR="006F304D" w:rsidRPr="006F304D">
        <w:t xml:space="preserve">, </w:t>
      </w:r>
      <w:r w:rsidRPr="00B43126">
        <w:t>171-179.</w:t>
      </w:r>
    </w:p>
  </w:footnote>
  <w:footnote w:id="367">
    <w:p w14:paraId="1537E349" w14:textId="656F0BF8" w:rsidR="0018433B" w:rsidRPr="00B43126" w:rsidRDefault="0018433B" w:rsidP="0018433B">
      <w:r w:rsidRPr="00B43126">
        <w:rPr>
          <w:rStyle w:val="FootnoteReference"/>
        </w:rPr>
        <w:footnoteRef/>
      </w:r>
      <w:r w:rsidRPr="00B43126">
        <w:t xml:space="preserve"> Kümmel (“Urchristentum,” 197-200) also criticizes the tendency we have noted</w:t>
      </w:r>
      <w:r w:rsidR="006F304D" w:rsidRPr="006F304D">
        <w:t xml:space="preserve">, </w:t>
      </w:r>
      <w:r w:rsidRPr="00B43126">
        <w:t>though none of the examples he excoriates is from the sermon on the plain. Minear is more sympathetic: though he admits that “Morgenthaler may be vulnerable to the charge of unjustified schematization,” he argues that “this charge should not become an excuse for ignoring his observations” (“Luke’s Use,” 115). He then uses Morgenthaler to demonstrate that twofoldness permeates Luke 1-2 and concludes that the infancy narratives must have been an integral part of Luke-Acts from the begin</w:t>
      </w:r>
      <w:r w:rsidRPr="00B43126">
        <w:softHyphen/>
        <w:t>ning. Fitzmyer (</w:t>
      </w:r>
      <w:r w:rsidRPr="00B43126">
        <w:rPr>
          <w:i/>
          <w:iCs/>
        </w:rPr>
        <w:t>Gospel</w:t>
      </w:r>
      <w:r w:rsidR="006F304D" w:rsidRPr="006F304D">
        <w:rPr>
          <w:iCs/>
        </w:rPr>
        <w:t xml:space="preserve">, </w:t>
      </w:r>
      <w:r w:rsidRPr="00B43126">
        <w:t>1. 184) disapproves of Minear’s reliance on Morgenthaler.</w:t>
      </w:r>
    </w:p>
  </w:footnote>
  <w:footnote w:id="368">
    <w:p w14:paraId="1C1724AA" w14:textId="21804CFC" w:rsidR="0018433B" w:rsidRPr="00B43126" w:rsidRDefault="0018433B" w:rsidP="0018433B">
      <w:r w:rsidRPr="00B43126">
        <w:rPr>
          <w:rStyle w:val="FootnoteReference"/>
        </w:rPr>
        <w:footnoteRef/>
      </w:r>
      <w:r w:rsidRPr="00B43126">
        <w:t xml:space="preserve"> But Morgenthaler himself (</w:t>
      </w:r>
      <w:r w:rsidRPr="00B43126">
        <w:rPr>
          <w:i/>
          <w:iCs/>
        </w:rPr>
        <w:t>Geschichtsschreibung</w:t>
      </w:r>
      <w:r w:rsidR="006F304D" w:rsidRPr="006F304D">
        <w:rPr>
          <w:iCs/>
        </w:rPr>
        <w:t xml:space="preserve">, </w:t>
      </w:r>
      <w:r w:rsidRPr="00B43126">
        <w:t>136) admits that some of his four-part units result from the influence of parallelism: Q contains groups of four</w:t>
      </w:r>
      <w:r w:rsidR="006F304D" w:rsidRPr="006F304D">
        <w:t xml:space="preserve">, </w:t>
      </w:r>
      <w:r w:rsidRPr="00B43126">
        <w:t>he says</w:t>
      </w:r>
      <w:r w:rsidR="006F304D" w:rsidRPr="006F304D">
        <w:t xml:space="preserve">, </w:t>
      </w:r>
      <w:r w:rsidRPr="00B43126">
        <w:t xml:space="preserve">“because of the potential for </w:t>
      </w:r>
      <w:r w:rsidRPr="00B43126">
        <w:rPr>
          <w:i/>
          <w:iCs/>
        </w:rPr>
        <w:t>parallelismus membrorum</w:t>
      </w:r>
      <w:r w:rsidRPr="00B43126">
        <w:t xml:space="preserve"> to quite easily form units with four members.”</w:t>
      </w:r>
    </w:p>
  </w:footnote>
  <w:footnote w:id="369">
    <w:p w14:paraId="3EE649A0" w14:textId="64918853" w:rsidR="0018433B" w:rsidRPr="00B43126" w:rsidRDefault="0018433B" w:rsidP="0018433B">
      <w:r w:rsidRPr="00A71A39">
        <w:rPr>
          <w:rStyle w:val="FootnoteReference"/>
        </w:rPr>
        <w:footnoteRef/>
      </w:r>
      <w:r w:rsidRPr="00A71A39">
        <w:rPr>
          <w:iCs/>
        </w:rPr>
        <w:t xml:space="preserve"> </w:t>
      </w:r>
      <w:r w:rsidRPr="00B43126">
        <w:rPr>
          <w:i/>
          <w:iCs/>
        </w:rPr>
        <w:t>Das Evangelium nach Lukas</w:t>
      </w:r>
      <w:r w:rsidRPr="00B43126">
        <w:t xml:space="preserve"> (THKNT 3</w:t>
      </w:r>
      <w:r w:rsidR="006F304D" w:rsidRPr="006F304D">
        <w:t xml:space="preserve">, </w:t>
      </w:r>
      <w:r w:rsidRPr="00B43126">
        <w:t>4th ed.; East Berlin: Evangelische Verlagsanstalt</w:t>
      </w:r>
      <w:r w:rsidR="006F304D" w:rsidRPr="006F304D">
        <w:t xml:space="preserve">, </w:t>
      </w:r>
      <w:r w:rsidRPr="00B43126">
        <w:t xml:space="preserve">1966) 140 n. 7. Morgenthaler never used the term </w:t>
      </w:r>
      <w:r w:rsidRPr="00B43126">
        <w:rPr>
          <w:i/>
          <w:iCs/>
        </w:rPr>
        <w:t>Viererprinzip</w:t>
      </w:r>
      <w:r w:rsidR="006F304D" w:rsidRPr="006F304D">
        <w:rPr>
          <w:iCs/>
        </w:rPr>
        <w:t xml:space="preserve">, </w:t>
      </w:r>
      <w:r w:rsidRPr="00B43126">
        <w:t xml:space="preserve">preferring instead </w:t>
      </w:r>
      <w:r w:rsidRPr="00B43126">
        <w:rPr>
          <w:i/>
          <w:iCs/>
        </w:rPr>
        <w:t>Viererparallelis</w:t>
      </w:r>
      <w:r w:rsidRPr="00B43126">
        <w:rPr>
          <w:i/>
          <w:iCs/>
        </w:rPr>
        <w:softHyphen/>
        <w:t>mus</w:t>
      </w:r>
      <w:r w:rsidRPr="00B43126">
        <w:t xml:space="preserve">; perhaps this was to avoid suggesting that another principle alongside that of twofoldness governed Luke’s thought (though he seems never to have used the term </w:t>
      </w:r>
      <w:r w:rsidRPr="00B43126">
        <w:rPr>
          <w:i/>
          <w:iCs/>
        </w:rPr>
        <w:t>Zweierprinzip</w:t>
      </w:r>
      <w:r w:rsidRPr="00B43126">
        <w:t xml:space="preserve"> either</w:t>
      </w:r>
      <w:r w:rsidR="006F304D" w:rsidRPr="006F304D">
        <w:t xml:space="preserve">, </w:t>
      </w:r>
      <w:r w:rsidRPr="00B43126">
        <w:t xml:space="preserve">preferring </w:t>
      </w:r>
      <w:r w:rsidRPr="00B43126">
        <w:rPr>
          <w:i/>
          <w:iCs/>
        </w:rPr>
        <w:t>Zweigliedrigkeit</w:t>
      </w:r>
      <w:r w:rsidRPr="00B43126">
        <w:t xml:space="preserve"> or </w:t>
      </w:r>
      <w:r w:rsidRPr="00B43126">
        <w:rPr>
          <w:i/>
          <w:iCs/>
        </w:rPr>
        <w:t>Zweiheitsgesetz</w:t>
      </w:r>
      <w:r w:rsidRPr="00B43126">
        <w:t>).</w:t>
      </w:r>
    </w:p>
  </w:footnote>
  <w:footnote w:id="370">
    <w:p w14:paraId="23A35DFC" w14:textId="14A4C649" w:rsidR="0018433B" w:rsidRPr="00B43126" w:rsidRDefault="0018433B" w:rsidP="0018433B">
      <w:r w:rsidRPr="00B43126">
        <w:rPr>
          <w:rStyle w:val="FootnoteReference"/>
        </w:rPr>
        <w:footnoteRef/>
      </w:r>
      <w:r w:rsidRPr="00B43126">
        <w:t xml:space="preserve"> Ibid.</w:t>
      </w:r>
      <w:r w:rsidR="006F304D" w:rsidRPr="006F304D">
        <w:t xml:space="preserve">, </w:t>
      </w:r>
      <w:r w:rsidRPr="00B43126">
        <w:t>140.</w:t>
      </w:r>
    </w:p>
  </w:footnote>
  <w:footnote w:id="371">
    <w:p w14:paraId="4D5964BD" w14:textId="09552326" w:rsidR="0018433B" w:rsidRPr="00B43126" w:rsidRDefault="0018433B" w:rsidP="0018433B">
      <w:r w:rsidRPr="00B43126">
        <w:rPr>
          <w:rStyle w:val="FootnoteReference"/>
        </w:rPr>
        <w:footnoteRef/>
      </w:r>
      <w:r w:rsidRPr="00B43126">
        <w:t xml:space="preserve"> Ibid.</w:t>
      </w:r>
      <w:r w:rsidR="006F304D" w:rsidRPr="006F304D">
        <w:t xml:space="preserve">, </w:t>
      </w:r>
      <w:r w:rsidRPr="00B43126">
        <w:t>146.</w:t>
      </w:r>
    </w:p>
  </w:footnote>
  <w:footnote w:id="372">
    <w:p w14:paraId="797A787B" w14:textId="77777777" w:rsidR="0018433B" w:rsidRDefault="0018433B" w:rsidP="0018433B">
      <w:r w:rsidRPr="00B43126">
        <w:rPr>
          <w:rStyle w:val="FootnoteReference"/>
        </w:rPr>
        <w:footnoteRef/>
      </w:r>
      <w:r w:rsidRPr="00B43126">
        <w:t xml:space="preserve"> The English </w:t>
      </w:r>
      <w:r>
        <w:t>(“</w:t>
      </w:r>
      <w:r w:rsidRPr="00CD75A6">
        <w:t>Do to others</w:t>
      </w:r>
      <w:r>
        <w:t xml:space="preserve"> </w:t>
      </w:r>
      <w:r w:rsidRPr="00CD75A6">
        <w:t>a</w:t>
      </w:r>
      <w:r>
        <w:t xml:space="preserve">s you would have them do to you”) </w:t>
      </w:r>
      <w:r w:rsidRPr="00B43126">
        <w:t>reverses the order of the Greek:</w:t>
      </w:r>
    </w:p>
    <w:p w14:paraId="6A6CEE02" w14:textId="77777777" w:rsidR="0018433B" w:rsidRDefault="0018433B" w:rsidP="0018433B">
      <w:pPr>
        <w:rPr>
          <w:bCs/>
          <w:szCs w:val="22"/>
        </w:rPr>
      </w:pPr>
      <w:r>
        <w:tab/>
      </w:r>
      <w:r w:rsidRPr="00E9400D">
        <w:t>31a</w:t>
      </w:r>
      <w:r w:rsidRPr="00E9400D">
        <w:tab/>
      </w:r>
      <w:r w:rsidRPr="00CE06CA">
        <w:rPr>
          <w:bCs/>
          <w:szCs w:val="22"/>
          <w:lang w:val="el-GR"/>
        </w:rPr>
        <w:t>Καὶ καθὼς θέλετε</w:t>
      </w:r>
      <w:r>
        <w:rPr>
          <w:bCs/>
          <w:szCs w:val="22"/>
        </w:rPr>
        <w:t xml:space="preserve"> </w:t>
      </w:r>
      <w:r w:rsidRPr="00CE06CA">
        <w:rPr>
          <w:bCs/>
          <w:szCs w:val="22"/>
          <w:lang w:val="el-GR"/>
        </w:rPr>
        <w:t>ἵνα ποιῶσιν ὑμῖ</w:t>
      </w:r>
      <w:r>
        <w:rPr>
          <w:bCs/>
          <w:szCs w:val="22"/>
          <w:lang w:val="el-GR"/>
        </w:rPr>
        <w:t>ν</w:t>
      </w:r>
      <w:r>
        <w:rPr>
          <w:bCs/>
          <w:szCs w:val="22"/>
        </w:rPr>
        <w:t xml:space="preserve"> </w:t>
      </w:r>
      <w:r w:rsidRPr="00CE06CA">
        <w:rPr>
          <w:bCs/>
          <w:szCs w:val="22"/>
          <w:lang w:val="el-GR"/>
        </w:rPr>
        <w:t>οἱ ἄνθρωποι</w:t>
      </w:r>
    </w:p>
    <w:p w14:paraId="6FF3AF25" w14:textId="77777777" w:rsidR="0018433B" w:rsidRPr="00E9400D" w:rsidRDefault="0018433B" w:rsidP="0018433B">
      <w:pPr>
        <w:rPr>
          <w:bCs/>
          <w:szCs w:val="22"/>
        </w:rPr>
      </w:pPr>
      <w:r>
        <w:rPr>
          <w:bCs/>
          <w:szCs w:val="22"/>
        </w:rPr>
        <w:tab/>
      </w:r>
      <w:r>
        <w:rPr>
          <w:bCs/>
          <w:szCs w:val="22"/>
        </w:rPr>
        <w:tab/>
        <w:t>(lit. “And just as you wish that others do to you”)</w:t>
      </w:r>
    </w:p>
    <w:p w14:paraId="72931846" w14:textId="77777777" w:rsidR="0018433B" w:rsidRDefault="0018433B" w:rsidP="0018433B">
      <w:pPr>
        <w:rPr>
          <w:bCs/>
          <w:szCs w:val="22"/>
        </w:rPr>
      </w:pPr>
      <w:r>
        <w:rPr>
          <w:bCs/>
          <w:szCs w:val="22"/>
        </w:rPr>
        <w:tab/>
        <w:t>31b</w:t>
      </w:r>
      <w:r>
        <w:rPr>
          <w:bCs/>
          <w:szCs w:val="22"/>
        </w:rPr>
        <w:tab/>
      </w:r>
      <w:r w:rsidRPr="00CE06CA">
        <w:rPr>
          <w:bCs/>
          <w:szCs w:val="22"/>
          <w:lang w:val="el-GR"/>
        </w:rPr>
        <w:t>ποιεῖτε αὐτοῖς ὁμοί</w:t>
      </w:r>
      <w:r>
        <w:rPr>
          <w:bCs/>
          <w:szCs w:val="22"/>
          <w:lang w:val="el-GR"/>
        </w:rPr>
        <w:t>ως</w:t>
      </w:r>
    </w:p>
    <w:p w14:paraId="10171CC2" w14:textId="77777777" w:rsidR="0018433B" w:rsidRPr="00E9400D" w:rsidRDefault="0018433B" w:rsidP="0018433B">
      <w:pPr>
        <w:rPr>
          <w:bCs/>
          <w:szCs w:val="22"/>
        </w:rPr>
      </w:pPr>
      <w:r>
        <w:rPr>
          <w:bCs/>
          <w:szCs w:val="22"/>
        </w:rPr>
        <w:tab/>
      </w:r>
      <w:r>
        <w:rPr>
          <w:bCs/>
          <w:szCs w:val="22"/>
        </w:rPr>
        <w:tab/>
      </w:r>
      <w:r>
        <w:t>(lit. “do the same to them”)</w:t>
      </w:r>
    </w:p>
  </w:footnote>
  <w:footnote w:id="373">
    <w:p w14:paraId="61B70488" w14:textId="7A39C7E2" w:rsidR="0018433B" w:rsidRPr="00B43126" w:rsidRDefault="0018433B" w:rsidP="0018433B">
      <w:r w:rsidRPr="00B43126">
        <w:rPr>
          <w:rStyle w:val="FootnoteReference"/>
        </w:rPr>
        <w:footnoteRef/>
      </w:r>
      <w:r w:rsidRPr="00B43126">
        <w:t xml:space="preserve"> Ibid.</w:t>
      </w:r>
      <w:r w:rsidR="006F304D" w:rsidRPr="006F304D">
        <w:t xml:space="preserve">, </w:t>
      </w:r>
      <w:r w:rsidRPr="00B43126">
        <w:t>145-46.</w:t>
      </w:r>
    </w:p>
  </w:footnote>
  <w:footnote w:id="374">
    <w:p w14:paraId="4535CF3D" w14:textId="05396B18" w:rsidR="0018433B" w:rsidRPr="00B43126" w:rsidRDefault="0018433B" w:rsidP="0018433B">
      <w:r w:rsidRPr="00B43126">
        <w:rPr>
          <w:rStyle w:val="FootnoteReference"/>
        </w:rPr>
        <w:footnoteRef/>
      </w:r>
      <w:r w:rsidRPr="00B43126">
        <w:t xml:space="preserve"> Ibid.</w:t>
      </w:r>
      <w:r w:rsidR="006F304D" w:rsidRPr="006F304D">
        <w:t xml:space="preserve">, </w:t>
      </w:r>
      <w:r w:rsidRPr="00B43126">
        <w:t>152.</w:t>
      </w:r>
    </w:p>
  </w:footnote>
  <w:footnote w:id="375">
    <w:p w14:paraId="3C5C3E56" w14:textId="5C0D5641" w:rsidR="0018433B" w:rsidRPr="00B43126" w:rsidRDefault="0018433B" w:rsidP="0018433B">
      <w:r w:rsidRPr="00B43126">
        <w:rPr>
          <w:rStyle w:val="FootnoteReference"/>
        </w:rPr>
        <w:footnoteRef/>
      </w:r>
      <w:r w:rsidRPr="00B43126">
        <w:t xml:space="preserve"> Grundmannn might have tried </w:t>
      </w:r>
      <w:r>
        <w:t>to save</w:t>
      </w:r>
      <w:r w:rsidRPr="00B43126">
        <w:t xml:space="preserve"> himself here by calling 38cd a two-line unit and then arguing that two two-line units</w:t>
      </w:r>
      <w:r w:rsidR="006F304D" w:rsidRPr="006F304D">
        <w:t xml:space="preserve">, </w:t>
      </w:r>
      <w:r w:rsidRPr="00B43126">
        <w:t>36 and 38cd</w:t>
      </w:r>
      <w:r w:rsidR="006F304D" w:rsidRPr="006F304D">
        <w:t xml:space="preserve">, </w:t>
      </w:r>
      <w:r w:rsidRPr="00B43126">
        <w:t>“frame” a four-line unit</w:t>
      </w:r>
      <w:r w:rsidR="006F304D" w:rsidRPr="006F304D">
        <w:t xml:space="preserve">, </w:t>
      </w:r>
      <w:r w:rsidRPr="00B43126">
        <w:t xml:space="preserve">37-38b. Perhaps this solution smacked too much of Morgenthaler’s </w:t>
      </w:r>
      <w:r w:rsidRPr="00B43126">
        <w:rPr>
          <w:i/>
          <w:iCs/>
        </w:rPr>
        <w:t>Zweiheitsgesetz</w:t>
      </w:r>
      <w:r w:rsidR="006F304D" w:rsidRPr="006F304D">
        <w:rPr>
          <w:iCs/>
        </w:rPr>
        <w:t xml:space="preserve">, </w:t>
      </w:r>
      <w:r w:rsidRPr="00B43126">
        <w:t>for this is in fact Morgenthaler’s solution (see above</w:t>
      </w:r>
      <w:r w:rsidR="006F304D" w:rsidRPr="006F304D">
        <w:t xml:space="preserve">, </w:t>
      </w:r>
      <w:r w:rsidRPr="00B43126">
        <w:t>153).</w:t>
      </w:r>
    </w:p>
  </w:footnote>
  <w:footnote w:id="376">
    <w:p w14:paraId="39D047A7" w14:textId="47D7ECBD" w:rsidR="0018433B" w:rsidRPr="00B43126" w:rsidRDefault="0018433B" w:rsidP="0018433B">
      <w:r w:rsidRPr="00A71A39">
        <w:rPr>
          <w:rStyle w:val="FootnoteReference"/>
        </w:rPr>
        <w:footnoteRef/>
      </w:r>
      <w:r w:rsidRPr="00A71A39">
        <w:rPr>
          <w:iCs/>
        </w:rPr>
        <w:t xml:space="preserve"> </w:t>
      </w:r>
      <w:r w:rsidRPr="00B43126">
        <w:rPr>
          <w:i/>
          <w:iCs/>
        </w:rPr>
        <w:t>The Gospel of Luke</w:t>
      </w:r>
      <w:r w:rsidRPr="00B43126">
        <w:t xml:space="preserve"> (NCB; London: Thomas Nelson &amp; Sons</w:t>
      </w:r>
      <w:r w:rsidR="006F304D" w:rsidRPr="006F304D">
        <w:t xml:space="preserve">, </w:t>
      </w:r>
      <w:r w:rsidRPr="00B43126">
        <w:t>1966; rev. ed.</w:t>
      </w:r>
      <w:r w:rsidR="006F304D" w:rsidRPr="006F304D">
        <w:t xml:space="preserve">, </w:t>
      </w:r>
      <w:r w:rsidRPr="00B43126">
        <w:t>London: Oliphants</w:t>
      </w:r>
      <w:r w:rsidR="006F304D" w:rsidRPr="006F304D">
        <w:t xml:space="preserve">, </w:t>
      </w:r>
      <w:r w:rsidRPr="00B43126">
        <w:t>1974; paperback ed.</w:t>
      </w:r>
      <w:r w:rsidR="006F304D" w:rsidRPr="006F304D">
        <w:t xml:space="preserve">, </w:t>
      </w:r>
      <w:r w:rsidR="00DC3006" w:rsidRPr="00DC3006">
        <w:rPr>
          <w:iCs/>
        </w:rPr>
        <w:t>Grand Rapids MI</w:t>
      </w:r>
      <w:r w:rsidRPr="00B43126">
        <w:t>: Eerdmans</w:t>
      </w:r>
      <w:r w:rsidR="006F304D" w:rsidRPr="006F304D">
        <w:t xml:space="preserve">, </w:t>
      </w:r>
      <w:r w:rsidRPr="00B43126">
        <w:t>1983).</w:t>
      </w:r>
    </w:p>
  </w:footnote>
  <w:footnote w:id="377">
    <w:p w14:paraId="0659A66A" w14:textId="68831E8F" w:rsidR="0018433B" w:rsidRPr="00B43126" w:rsidRDefault="0018433B" w:rsidP="0018433B">
      <w:r w:rsidRPr="00B43126">
        <w:rPr>
          <w:rStyle w:val="FootnoteReference"/>
        </w:rPr>
        <w:footnoteRef/>
      </w:r>
      <w:r w:rsidRPr="00B43126">
        <w:t xml:space="preserve"> In the gospel as a whole</w:t>
      </w:r>
      <w:r w:rsidR="006F304D" w:rsidRPr="006F304D">
        <w:t xml:space="preserve">, </w:t>
      </w:r>
      <w:r w:rsidRPr="00B43126">
        <w:t>Ellis recognizes a principle of threefoldness</w:t>
      </w:r>
      <w:r w:rsidR="006F304D" w:rsidRPr="006F304D">
        <w:t xml:space="preserve">, </w:t>
      </w:r>
      <w:r w:rsidRPr="00B43126">
        <w:t>though never refer</w:t>
      </w:r>
      <w:r w:rsidRPr="00B43126">
        <w:softHyphen/>
        <w:t>ring explicitly to such a principle. In a section of his introduction entitled “The Structure of Luke” (ibid.</w:t>
      </w:r>
      <w:r w:rsidR="006F304D" w:rsidRPr="006F304D">
        <w:t xml:space="preserve">, </w:t>
      </w:r>
      <w:r w:rsidRPr="00B43126">
        <w:t>29-36)</w:t>
      </w:r>
      <w:r w:rsidR="006F304D" w:rsidRPr="006F304D">
        <w:t xml:space="preserve">, </w:t>
      </w:r>
      <w:r w:rsidRPr="00B43126">
        <w:t>he says that: the infancy narrative “falls into a sixfold series of visions and prophecies”; the succeeding section contains “five or six episodes attesting the messiahship of Jesus”; 1:5-4:30 contains two sections; 4:31-9:50 contains four</w:t>
      </w:r>
      <w:r w:rsidR="006F304D" w:rsidRPr="006F304D">
        <w:t xml:space="preserve">, </w:t>
      </w:r>
      <w:r w:rsidRPr="00B43126">
        <w:t>with each section divisible into “a series of twenty-four acts of Messiah”; and the passion narrative has three main sections (30-31). Though he ac</w:t>
      </w:r>
      <w:r w:rsidRPr="00B43126">
        <w:softHyphen/>
        <w:t>knowledges that the travel narrative (9:51-18:14) is difficult to outline and that the partitioning of the passion narrative is troublesome because of its nature as “a running account” (31)</w:t>
      </w:r>
      <w:r w:rsidR="006F304D" w:rsidRPr="006F304D">
        <w:t xml:space="preserve">, </w:t>
      </w:r>
      <w:r w:rsidRPr="00B43126">
        <w:t>he maintains that “part of the Gospel manifests a sixfold combination of episodes” and that “The rest yields to this arrangement without great difficulty” (32). The outline he finally presents is a very exact plan based on a numerical principle: Luke’s gospel has three major sections</w:t>
      </w:r>
      <w:r w:rsidR="006F304D" w:rsidRPr="006F304D">
        <w:t xml:space="preserve">, </w:t>
      </w:r>
      <w:r w:rsidRPr="00B43126">
        <w:t>the first two of which have six subsections each and the last of which has three subsections</w:t>
      </w:r>
      <w:r w:rsidR="006F304D" w:rsidRPr="006F304D">
        <w:t xml:space="preserve">, </w:t>
      </w:r>
      <w:r w:rsidRPr="00B43126">
        <w:t>with all fifteen subsections containing exactly six episodes. Ellis believes that this arrangement “represent[s] the intention of Luke himself” (ibid.).</w:t>
      </w:r>
    </w:p>
  </w:footnote>
  <w:footnote w:id="378">
    <w:p w14:paraId="3851F4B1" w14:textId="4EB6C839" w:rsidR="0018433B" w:rsidRPr="00B43126" w:rsidRDefault="0018433B" w:rsidP="0018433B">
      <w:r w:rsidRPr="00B43126">
        <w:rPr>
          <w:rStyle w:val="FootnoteReference"/>
        </w:rPr>
        <w:footnoteRef/>
      </w:r>
      <w:r w:rsidRPr="00B43126">
        <w:t xml:space="preserve"> Ibid.</w:t>
      </w:r>
      <w:r w:rsidR="006F304D" w:rsidRPr="006F304D">
        <w:t xml:space="preserve">, </w:t>
      </w:r>
      <w:r w:rsidRPr="00B43126">
        <w:t>116. The principle of threefoldness that Ellis sees in the gospel as a whole does not appear in his treatment of the sermon.</w:t>
      </w:r>
    </w:p>
  </w:footnote>
  <w:footnote w:id="379">
    <w:p w14:paraId="3B250F61" w14:textId="155A6F00" w:rsidR="0018433B" w:rsidRPr="00B43126" w:rsidRDefault="0018433B" w:rsidP="0018433B">
      <w:r w:rsidRPr="00B43126">
        <w:rPr>
          <w:rStyle w:val="FootnoteReference"/>
        </w:rPr>
        <w:footnoteRef/>
      </w:r>
      <w:r w:rsidRPr="00B43126">
        <w:t xml:space="preserve"> Ibid.</w:t>
      </w:r>
      <w:r w:rsidR="006F304D" w:rsidRPr="006F304D">
        <w:t xml:space="preserve">, </w:t>
      </w:r>
      <w:r w:rsidRPr="00B43126">
        <w:t>114.</w:t>
      </w:r>
    </w:p>
  </w:footnote>
  <w:footnote w:id="380">
    <w:p w14:paraId="17CBD75B" w14:textId="2C533033" w:rsidR="0018433B" w:rsidRPr="00B43126" w:rsidRDefault="0018433B" w:rsidP="0018433B">
      <w:r w:rsidRPr="00B43126">
        <w:rPr>
          <w:rStyle w:val="FootnoteReference"/>
        </w:rPr>
        <w:footnoteRef/>
      </w:r>
      <w:r w:rsidRPr="00B43126">
        <w:t xml:space="preserve"> Ibid.</w:t>
      </w:r>
      <w:r w:rsidR="006F304D" w:rsidRPr="006F304D">
        <w:t xml:space="preserve">, </w:t>
      </w:r>
      <w:r w:rsidRPr="00B43126">
        <w:t>112-13.</w:t>
      </w:r>
    </w:p>
  </w:footnote>
  <w:footnote w:id="381">
    <w:p w14:paraId="02116CBE" w14:textId="7F89514A" w:rsidR="0018433B" w:rsidRPr="00B43126" w:rsidRDefault="0018433B" w:rsidP="0018433B">
      <w:r w:rsidRPr="00B43126">
        <w:rPr>
          <w:rStyle w:val="FootnoteReference"/>
        </w:rPr>
        <w:footnoteRef/>
      </w:r>
      <w:r w:rsidRPr="00B43126">
        <w:t xml:space="preserve"> Ibid.</w:t>
      </w:r>
      <w:r w:rsidR="006F304D" w:rsidRPr="006F304D">
        <w:t xml:space="preserve">, </w:t>
      </w:r>
      <w:r w:rsidRPr="00B43126">
        <w:t>114.</w:t>
      </w:r>
    </w:p>
  </w:footnote>
  <w:footnote w:id="382">
    <w:p w14:paraId="71856EB7" w14:textId="78700F4D" w:rsidR="0018433B" w:rsidRPr="00B43126" w:rsidRDefault="0018433B" w:rsidP="0018433B">
      <w:r w:rsidRPr="00B43126">
        <w:rPr>
          <w:rStyle w:val="FootnoteReference"/>
        </w:rPr>
        <w:footnoteRef/>
      </w:r>
      <w:r w:rsidRPr="00B43126">
        <w:t xml:space="preserve"> For the extension of the fourth beatitude as a disruption</w:t>
      </w:r>
      <w:r w:rsidR="006F304D" w:rsidRPr="006F304D">
        <w:t xml:space="preserve">, </w:t>
      </w:r>
      <w:r w:rsidRPr="00B43126">
        <w:t>see my comments above</w:t>
      </w:r>
      <w:r w:rsidR="006F304D" w:rsidRPr="006F304D">
        <w:t xml:space="preserve">, </w:t>
      </w:r>
      <w:r w:rsidRPr="00B43126">
        <w:t>149.</w:t>
      </w:r>
    </w:p>
  </w:footnote>
  <w:footnote w:id="383">
    <w:p w14:paraId="26F55D71" w14:textId="143D9106" w:rsidR="0018433B" w:rsidRPr="00B43126" w:rsidRDefault="0018433B" w:rsidP="0018433B">
      <w:r w:rsidRPr="00B43126">
        <w:rPr>
          <w:rStyle w:val="FootnoteReference"/>
        </w:rPr>
        <w:footnoteRef/>
      </w:r>
      <w:r w:rsidRPr="00B43126">
        <w:t xml:space="preserve"> Above</w:t>
      </w:r>
      <w:r w:rsidR="006F304D" w:rsidRPr="006F304D">
        <w:t xml:space="preserve">, </w:t>
      </w:r>
      <w:r w:rsidRPr="00B43126">
        <w:t>162: the major difficulty is that 35abc is a summary of 32-34.</w:t>
      </w:r>
    </w:p>
  </w:footnote>
  <w:footnote w:id="384">
    <w:p w14:paraId="2E0E854E" w14:textId="4BFCD9C9" w:rsidR="0018433B" w:rsidRPr="00B43126" w:rsidRDefault="0018433B" w:rsidP="0018433B">
      <w:r w:rsidRPr="00B43126">
        <w:rPr>
          <w:rStyle w:val="FootnoteReference"/>
        </w:rPr>
        <w:footnoteRef/>
      </w:r>
      <w:r w:rsidRPr="00B43126">
        <w:t xml:space="preserve"> It is</w:t>
      </w:r>
      <w:r w:rsidR="006F304D" w:rsidRPr="006F304D">
        <w:t xml:space="preserve">, </w:t>
      </w:r>
      <w:r w:rsidRPr="00B43126">
        <w:t>in fact</w:t>
      </w:r>
      <w:r w:rsidR="006F304D" w:rsidRPr="006F304D">
        <w:t xml:space="preserve">, </w:t>
      </w:r>
      <w:r w:rsidRPr="00B43126">
        <w:t xml:space="preserve">another instance of Luke’s interest in the ethics </w:t>
      </w:r>
      <w:r>
        <w:t>of possession</w:t>
      </w:r>
      <w:r w:rsidRPr="00B43126">
        <w:t>.</w:t>
      </w:r>
    </w:p>
  </w:footnote>
  <w:footnote w:id="385">
    <w:p w14:paraId="7E1CBF39" w14:textId="18EA905D" w:rsidR="0018433B" w:rsidRPr="00B43126" w:rsidRDefault="0018433B" w:rsidP="0018433B">
      <w:r w:rsidRPr="00B43126">
        <w:rPr>
          <w:rStyle w:val="FootnoteReference"/>
        </w:rPr>
        <w:footnoteRef/>
      </w:r>
      <w:r w:rsidRPr="00B43126">
        <w:t xml:space="preserve"> Ibid.</w:t>
      </w:r>
      <w:r w:rsidR="006F304D" w:rsidRPr="006F304D">
        <w:t xml:space="preserve">, </w:t>
      </w:r>
      <w:r w:rsidRPr="00B43126">
        <w:t>114.</w:t>
      </w:r>
    </w:p>
  </w:footnote>
  <w:footnote w:id="386">
    <w:p w14:paraId="2FE0EF42" w14:textId="3F89862E" w:rsidR="0018433B" w:rsidRDefault="0018433B" w:rsidP="0018433B">
      <w:r w:rsidRPr="00B43126">
        <w:rPr>
          <w:rStyle w:val="FootnoteReference"/>
        </w:rPr>
        <w:footnoteRef/>
      </w:r>
      <w:r w:rsidRPr="00B43126">
        <w:t xml:space="preserve"> Ellis is not alone in seeing climax in the sermon on the plain. </w:t>
      </w:r>
      <w:r w:rsidR="004843D0" w:rsidRPr="004843D0">
        <w:rPr>
          <w:iCs/>
        </w:rPr>
        <w:t>B.S.</w:t>
      </w:r>
      <w:r w:rsidRPr="00B43126">
        <w:t xml:space="preserve"> Easton said concerning the fourth beatitude</w:t>
      </w:r>
      <w:r w:rsidR="006F304D" w:rsidRPr="006F304D">
        <w:t xml:space="preserve">, </w:t>
      </w:r>
      <w:r w:rsidRPr="00B43126">
        <w:t>22-23 (</w:t>
      </w:r>
      <w:r w:rsidRPr="00B43126">
        <w:rPr>
          <w:i/>
          <w:iCs/>
        </w:rPr>
        <w:t>The Gospel According to Saint Luke</w:t>
      </w:r>
      <w:r w:rsidRPr="00B43126">
        <w:t xml:space="preserve"> [New York: Scribner’s</w:t>
      </w:r>
      <w:r w:rsidR="006F304D" w:rsidRPr="006F304D">
        <w:t xml:space="preserve">, </w:t>
      </w:r>
      <w:r w:rsidRPr="00B43126">
        <w:t>1926] 83-84): “Note the progression</w:t>
      </w:r>
      <w:r w:rsidR="006F304D" w:rsidRPr="006F304D">
        <w:t xml:space="preserve">, </w:t>
      </w:r>
      <w:r w:rsidRPr="00B43126">
        <w:t>‘Hate</w:t>
      </w:r>
      <w:r w:rsidR="006F304D" w:rsidRPr="006F304D">
        <w:t xml:space="preserve">, </w:t>
      </w:r>
      <w:r>
        <w:t>. . .</w:t>
      </w:r>
      <w:r w:rsidRPr="00B43126">
        <w:t xml:space="preserve"> separate themselves from</w:t>
      </w:r>
      <w:r w:rsidR="006F304D" w:rsidRPr="006F304D">
        <w:t xml:space="preserve">, </w:t>
      </w:r>
      <w:r>
        <w:t>. . .</w:t>
      </w:r>
      <w:r w:rsidRPr="00B43126">
        <w:t xml:space="preserve"> revile</w:t>
      </w:r>
      <w:r w:rsidR="006F304D" w:rsidRPr="006F304D">
        <w:t xml:space="preserve">, </w:t>
      </w:r>
      <w:r>
        <w:t>. . .</w:t>
      </w:r>
      <w:r w:rsidRPr="00B43126">
        <w:t xml:space="preserve"> accurse your name.’” Easton notes</w:t>
      </w:r>
      <w:r w:rsidR="006F304D" w:rsidRPr="006F304D">
        <w:t xml:space="preserve">, </w:t>
      </w:r>
      <w:r w:rsidRPr="00B43126">
        <w:t>however</w:t>
      </w:r>
      <w:r w:rsidR="006F304D" w:rsidRPr="006F304D">
        <w:t xml:space="preserve">, </w:t>
      </w:r>
      <w:r w:rsidRPr="00B43126">
        <w:t>that “The last phrase may</w:t>
      </w:r>
      <w:r w:rsidR="006F304D" w:rsidRPr="006F304D">
        <w:t xml:space="preserve">, </w:t>
      </w:r>
      <w:r w:rsidRPr="00B43126">
        <w:t>indeed</w:t>
      </w:r>
      <w:r w:rsidR="006F304D" w:rsidRPr="006F304D">
        <w:t xml:space="preserve">, </w:t>
      </w:r>
      <w:r w:rsidRPr="00B43126">
        <w:t xml:space="preserve">be translated ‘give a bad name to,’ ‘slander’ </w:t>
      </w:r>
      <w:r>
        <w:t>. . .</w:t>
      </w:r>
      <w:r w:rsidR="006F304D" w:rsidRPr="006F304D">
        <w:t xml:space="preserve">, </w:t>
      </w:r>
      <w:r w:rsidRPr="00B43126">
        <w:t xml:space="preserve">but in this case there is no advance on ‘revile,’ and the climax is lost.” </w:t>
      </w:r>
      <w:r w:rsidR="00A27610" w:rsidRPr="00A27610">
        <w:rPr>
          <w:iCs/>
        </w:rPr>
        <w:t>F.W.</w:t>
      </w:r>
      <w:r w:rsidRPr="00B43126">
        <w:t xml:space="preserve"> Beare has observed concerning the fourth beatitude (</w:t>
      </w:r>
      <w:r w:rsidRPr="00B43126">
        <w:rPr>
          <w:i/>
          <w:iCs/>
        </w:rPr>
        <w:t>Earliest Records</w:t>
      </w:r>
      <w:r w:rsidR="006F304D" w:rsidRPr="006F304D">
        <w:rPr>
          <w:iCs/>
        </w:rPr>
        <w:t xml:space="preserve">, </w:t>
      </w:r>
      <w:r w:rsidRPr="00B43126">
        <w:t>96) that “The first clause</w:t>
      </w:r>
      <w:r w:rsidR="006F304D" w:rsidRPr="006F304D">
        <w:t xml:space="preserve">, </w:t>
      </w:r>
      <w:r w:rsidRPr="00B43126">
        <w:t>‘when men hate you’</w:t>
      </w:r>
      <w:r w:rsidR="006F304D" w:rsidRPr="006F304D">
        <w:t xml:space="preserve">, </w:t>
      </w:r>
      <w:r w:rsidRPr="00B43126">
        <w:t>embraces all that follow”; hence there is no increasing movement and no climax.</w:t>
      </w:r>
    </w:p>
    <w:p w14:paraId="63479310" w14:textId="4A764A05" w:rsidR="0018433B" w:rsidRDefault="0018433B" w:rsidP="0018433B">
      <w:r w:rsidRPr="00B43126">
        <w:t xml:space="preserve">Several commentators have discerned climax in verses 27-28. According to Marriott (quoted in </w:t>
      </w:r>
      <w:r w:rsidR="00E95268" w:rsidRPr="00E95268">
        <w:rPr>
          <w:iCs/>
        </w:rPr>
        <w:t>C.G.</w:t>
      </w:r>
      <w:r w:rsidRPr="00B43126">
        <w:t xml:space="preserve"> Montefiore</w:t>
      </w:r>
      <w:r w:rsidR="006F304D" w:rsidRPr="006F304D">
        <w:t xml:space="preserve">, </w:t>
      </w:r>
      <w:r w:rsidRPr="00B43126">
        <w:rPr>
          <w:i/>
          <w:iCs/>
        </w:rPr>
        <w:t>The Gospel According to Luke</w:t>
      </w:r>
      <w:r w:rsidR="006F304D" w:rsidRPr="006F304D">
        <w:rPr>
          <w:iCs/>
        </w:rPr>
        <w:t xml:space="preserve">, </w:t>
      </w:r>
      <w:r w:rsidRPr="00B43126">
        <w:t xml:space="preserve">in </w:t>
      </w:r>
      <w:r w:rsidRPr="00B43126">
        <w:rPr>
          <w:i/>
          <w:iCs/>
        </w:rPr>
        <w:t>The Synoptic Gospels</w:t>
      </w:r>
      <w:r w:rsidRPr="00B43126">
        <w:t xml:space="preserve"> [4 vols.</w:t>
      </w:r>
      <w:r w:rsidR="006F304D" w:rsidRPr="006F304D">
        <w:t xml:space="preserve">, </w:t>
      </w:r>
      <w:r>
        <w:rPr>
          <w:rStyle w:val="itempublisher"/>
        </w:rPr>
        <w:t>London: Macmillan</w:t>
      </w:r>
      <w:r w:rsidR="006F304D" w:rsidRPr="006F304D">
        <w:rPr>
          <w:rStyle w:val="itempublisher"/>
        </w:rPr>
        <w:t xml:space="preserve">, </w:t>
      </w:r>
      <w:r w:rsidRPr="00B43126">
        <w:t>1927] 416)</w:t>
      </w:r>
      <w:r w:rsidR="006F304D" w:rsidRPr="006F304D">
        <w:t xml:space="preserve">, </w:t>
      </w:r>
      <w:r w:rsidRPr="00B43126">
        <w:t>“There are two climaxes: evil given (enemies</w:t>
      </w:r>
      <w:r w:rsidR="006F304D" w:rsidRPr="006F304D">
        <w:t xml:space="preserve">, </w:t>
      </w:r>
      <w:r w:rsidRPr="00B43126">
        <w:t>hate</w:t>
      </w:r>
      <w:r w:rsidR="006F304D" w:rsidRPr="006F304D">
        <w:t xml:space="preserve">, </w:t>
      </w:r>
      <w:r w:rsidRPr="00B43126">
        <w:t>curse</w:t>
      </w:r>
      <w:r w:rsidR="006F304D" w:rsidRPr="006F304D">
        <w:t xml:space="preserve">, </w:t>
      </w:r>
      <w:r w:rsidRPr="00B43126">
        <w:t>abuse); and good returned (love</w:t>
      </w:r>
      <w:r w:rsidR="006F304D" w:rsidRPr="006F304D">
        <w:t xml:space="preserve">, </w:t>
      </w:r>
      <w:r w:rsidRPr="00B43126">
        <w:t>do good</w:t>
      </w:r>
      <w:r w:rsidR="006F304D" w:rsidRPr="006F304D">
        <w:t xml:space="preserve">, </w:t>
      </w:r>
      <w:r w:rsidRPr="00B43126">
        <w:t>bless</w:t>
      </w:r>
      <w:r w:rsidR="006F304D" w:rsidRPr="006F304D">
        <w:t xml:space="preserve">, </w:t>
      </w:r>
      <w:r w:rsidRPr="00B43126">
        <w:t>pray).” Alfred Plummer (</w:t>
      </w:r>
      <w:r w:rsidRPr="00B43126">
        <w:rPr>
          <w:i/>
          <w:iCs/>
        </w:rPr>
        <w:t>A Critical and Exegetical Commentary on the Gospel According to S</w:t>
      </w:r>
      <w:r w:rsidRPr="00B43126">
        <w:rPr>
          <w:iCs/>
        </w:rPr>
        <w:t xml:space="preserve">. </w:t>
      </w:r>
      <w:r w:rsidRPr="00B43126">
        <w:rPr>
          <w:i/>
          <w:iCs/>
        </w:rPr>
        <w:t>Luke</w:t>
      </w:r>
      <w:r w:rsidRPr="00B43126">
        <w:t xml:space="preserve"> (ICC</w:t>
      </w:r>
      <w:r w:rsidR="006F304D" w:rsidRPr="006F304D">
        <w:t xml:space="preserve">, </w:t>
      </w:r>
      <w:r w:rsidRPr="00B43126">
        <w:t>5th ed.; New York: Scribner’s</w:t>
      </w:r>
      <w:r w:rsidR="006F304D" w:rsidRPr="006F304D">
        <w:t xml:space="preserve">, </w:t>
      </w:r>
      <w:r w:rsidRPr="00B43126">
        <w:t>1922] 184) is similar: “There is on the whole a double climax in what follows [verse 27],—the worse the treatment received</w:t>
      </w:r>
      <w:r w:rsidR="006F304D" w:rsidRPr="006F304D">
        <w:t xml:space="preserve">, </w:t>
      </w:r>
      <w:r w:rsidRPr="00B43126">
        <w:t xml:space="preserve">the better the return made </w:t>
      </w:r>
      <w:r>
        <w:t>. . . .</w:t>
      </w:r>
      <w:r w:rsidRPr="00B43126">
        <w:t xml:space="preserve">” But Plummer recognizes that the correspondence is faulty: “it is not quite exact. One would expect that </w:t>
      </w:r>
      <w:r w:rsidRPr="00CE06CA">
        <w:rPr>
          <w:bCs/>
          <w:szCs w:val="22"/>
          <w:lang w:val="el-GR"/>
        </w:rPr>
        <w:t>ἀγαπᾶτε</w:t>
      </w:r>
      <w:r w:rsidRPr="00B43126">
        <w:t xml:space="preserve"> would be coupled with τo</w:t>
      </w:r>
      <w:bookmarkStart w:id="37" w:name="_Hlk509085572"/>
      <w:r w:rsidRPr="00CB0999">
        <w:rPr>
          <w:szCs w:val="22"/>
          <w:lang w:bidi="he-IL"/>
        </w:rPr>
        <w:t>ῦ</w:t>
      </w:r>
      <w:bookmarkEnd w:id="37"/>
      <w:r w:rsidRPr="00B43126">
        <w:t>ς μισo</w:t>
      </w:r>
      <w:r w:rsidRPr="00CB0999">
        <w:rPr>
          <w:szCs w:val="22"/>
          <w:lang w:bidi="he-IL"/>
        </w:rPr>
        <w:t>ῦ</w:t>
      </w:r>
      <w:r>
        <w:t>ν</w:t>
      </w:r>
      <w:r w:rsidRPr="00B43126">
        <w:t>τας.” Béda Rigaux (</w:t>
      </w:r>
      <w:r w:rsidRPr="00B43126">
        <w:rPr>
          <w:i/>
          <w:iCs/>
        </w:rPr>
        <w:t>Témoignage de l</w:t>
      </w:r>
      <w:r w:rsidRPr="00B43126">
        <w:rPr>
          <w:iCs/>
        </w:rPr>
        <w:t>’</w:t>
      </w:r>
      <w:r w:rsidR="005608B1">
        <w:rPr>
          <w:i/>
          <w:iCs/>
        </w:rPr>
        <w:t>É</w:t>
      </w:r>
      <w:r w:rsidRPr="00B43126">
        <w:rPr>
          <w:i/>
          <w:iCs/>
        </w:rPr>
        <w:t>vangile de Luc</w:t>
      </w:r>
      <w:r w:rsidRPr="00B43126">
        <w:t xml:space="preserve"> (Pour une histoire de Jésus 4; Bruges: Desclée de Brouwer</w:t>
      </w:r>
      <w:r w:rsidR="006F304D" w:rsidRPr="006F304D">
        <w:t xml:space="preserve">, </w:t>
      </w:r>
      <w:r w:rsidRPr="00B43126">
        <w:t>1970] 169) even uses the principle of climax as a criterion of authenticity: because Luke maintains the two climaxes</w:t>
      </w:r>
      <w:r w:rsidR="006F304D" w:rsidRPr="006F304D">
        <w:t xml:space="preserve">, </w:t>
      </w:r>
      <w:r w:rsidRPr="00B43126">
        <w:t>evil given (enemies</w:t>
      </w:r>
      <w:r w:rsidR="006F304D" w:rsidRPr="006F304D">
        <w:t xml:space="preserve">, </w:t>
      </w:r>
      <w:r w:rsidRPr="00B43126">
        <w:t>hate</w:t>
      </w:r>
      <w:r w:rsidR="006F304D" w:rsidRPr="006F304D">
        <w:t xml:space="preserve">, </w:t>
      </w:r>
      <w:r w:rsidRPr="00B43126">
        <w:t>curse</w:t>
      </w:r>
      <w:r w:rsidR="006F304D" w:rsidRPr="006F304D">
        <w:t xml:space="preserve">, </w:t>
      </w:r>
      <w:r w:rsidRPr="00B43126">
        <w:t>abuse) and good returned (love</w:t>
      </w:r>
      <w:r w:rsidR="006F304D" w:rsidRPr="006F304D">
        <w:t xml:space="preserve">, </w:t>
      </w:r>
      <w:r w:rsidRPr="00B43126">
        <w:t>do good</w:t>
      </w:r>
      <w:r w:rsidR="006F304D" w:rsidRPr="006F304D">
        <w:t xml:space="preserve">, </w:t>
      </w:r>
      <w:r w:rsidRPr="00B43126">
        <w:t>bless</w:t>
      </w:r>
      <w:r w:rsidR="006F304D" w:rsidRPr="006F304D">
        <w:t xml:space="preserve">, </w:t>
      </w:r>
      <w:r w:rsidRPr="00B43126">
        <w:t>pray)</w:t>
      </w:r>
      <w:r w:rsidR="006F304D" w:rsidRPr="006F304D">
        <w:t xml:space="preserve">, </w:t>
      </w:r>
      <w:r w:rsidRPr="00B43126">
        <w:t>his version of verse 28 is more original (than Matt 5:44). Easton (</w:t>
      </w:r>
      <w:r w:rsidRPr="00B43126">
        <w:rPr>
          <w:i/>
          <w:iCs/>
        </w:rPr>
        <w:t>Gospel</w:t>
      </w:r>
      <w:r w:rsidR="006F304D" w:rsidRPr="006F304D">
        <w:rPr>
          <w:iCs/>
        </w:rPr>
        <w:t xml:space="preserve">, </w:t>
      </w:r>
      <w:r w:rsidRPr="00B43126">
        <w:t>86) is particularly ingenious in these verses: the movement in 27</w:t>
      </w:r>
      <w:r w:rsidR="006F304D" w:rsidRPr="006F304D">
        <w:t xml:space="preserve">, </w:t>
      </w:r>
      <w:r w:rsidRPr="00B43126">
        <w:t>“enemies</w:t>
      </w:r>
      <w:r w:rsidR="006F304D" w:rsidRPr="006F304D">
        <w:t xml:space="preserve">, </w:t>
      </w:r>
      <w:r>
        <w:t>. . .</w:t>
      </w:r>
      <w:r w:rsidRPr="00B43126">
        <w:t xml:space="preserve"> hating you</w:t>
      </w:r>
      <w:r w:rsidR="006F304D" w:rsidRPr="006F304D">
        <w:t xml:space="preserve">, </w:t>
      </w:r>
      <w:r>
        <w:t>. . .</w:t>
      </w:r>
      <w:r w:rsidRPr="00B43126">
        <w:t xml:space="preserve"> cursing you</w:t>
      </w:r>
      <w:r w:rsidR="006F304D" w:rsidRPr="006F304D">
        <w:t xml:space="preserve">, </w:t>
      </w:r>
      <w:r>
        <w:t>. . .</w:t>
      </w:r>
      <w:r w:rsidRPr="00B43126">
        <w:t xml:space="preserve"> grossly insulting you,” is</w:t>
      </w:r>
      <w:r w:rsidR="006F304D" w:rsidRPr="006F304D">
        <w:t xml:space="preserve">, </w:t>
      </w:r>
      <w:r w:rsidRPr="00B43126">
        <w:t>he suggests</w:t>
      </w:r>
      <w:r w:rsidR="006F304D" w:rsidRPr="006F304D">
        <w:t xml:space="preserve">, </w:t>
      </w:r>
      <w:r w:rsidRPr="00B43126">
        <w:t>“perhaps a climax of ‘thought</w:t>
      </w:r>
      <w:r w:rsidR="006F304D" w:rsidRPr="006F304D">
        <w:t xml:space="preserve">, </w:t>
      </w:r>
      <w:r w:rsidRPr="00B43126">
        <w:t>word</w:t>
      </w:r>
      <w:r w:rsidR="006F304D" w:rsidRPr="006F304D">
        <w:t xml:space="preserve">, </w:t>
      </w:r>
      <w:r w:rsidRPr="00B43126">
        <w:t xml:space="preserve">deed.’” The “perhaps” here seems well-advised. Climax in 27-28 is most glowingly acclaimed by </w:t>
      </w:r>
      <w:r w:rsidR="00E366BA" w:rsidRPr="00E366BA">
        <w:rPr>
          <w:iCs/>
        </w:rPr>
        <w:t>W.F.</w:t>
      </w:r>
      <w:r w:rsidRPr="00B43126">
        <w:t xml:space="preserve"> Burnside (</w:t>
      </w:r>
      <w:r w:rsidRPr="00B43126">
        <w:rPr>
          <w:i/>
          <w:iCs/>
        </w:rPr>
        <w:t>The Gospel According to St</w:t>
      </w:r>
      <w:r w:rsidRPr="00B43126">
        <w:rPr>
          <w:iCs/>
        </w:rPr>
        <w:t xml:space="preserve">. </w:t>
      </w:r>
      <w:r w:rsidRPr="00B43126">
        <w:rPr>
          <w:i/>
          <w:iCs/>
        </w:rPr>
        <w:t>Luke</w:t>
      </w:r>
      <w:r w:rsidRPr="00B43126">
        <w:rPr>
          <w:iCs/>
        </w:rPr>
        <w:t xml:space="preserve">: </w:t>
      </w:r>
      <w:r w:rsidRPr="00B43126">
        <w:rPr>
          <w:i/>
          <w:iCs/>
        </w:rPr>
        <w:t>The Greek Text Edited with Introduction and Notes for the Use of Schools</w:t>
      </w:r>
      <w:r w:rsidRPr="00B43126">
        <w:t xml:space="preserve"> [</w:t>
      </w:r>
      <w:r w:rsidR="00E366BA" w:rsidRPr="00E366BA">
        <w:rPr>
          <w:iCs/>
        </w:rPr>
        <w:t>Cambridge: CUP</w:t>
      </w:r>
      <w:r w:rsidR="006F304D" w:rsidRPr="006F304D">
        <w:t xml:space="preserve">, </w:t>
      </w:r>
      <w:r w:rsidRPr="00B43126">
        <w:t>1913] 132):</w:t>
      </w:r>
    </w:p>
    <w:p w14:paraId="4BE1AFB8" w14:textId="77777777" w:rsidR="0018433B" w:rsidRPr="00B43126" w:rsidRDefault="0018433B" w:rsidP="0018433B"/>
    <w:p w14:paraId="2C1EF6B1" w14:textId="2A172B64" w:rsidR="0018433B" w:rsidRPr="00B43126" w:rsidRDefault="0018433B" w:rsidP="0018433B">
      <w:pPr>
        <w:ind w:left="720" w:right="720"/>
      </w:pPr>
      <w:r w:rsidRPr="00B43126">
        <w:t xml:space="preserve">There is an exquisite balance and climax in these two verses: </w:t>
      </w:r>
      <w:r>
        <w:rPr>
          <w:bCs/>
          <w:szCs w:val="22"/>
          <w:lang w:val="el-GR"/>
        </w:rPr>
        <w:t>ἀγαπᾶτε</w:t>
      </w:r>
      <w:r w:rsidRPr="00B43126">
        <w:t xml:space="preserve"> [“love”]</w:t>
      </w:r>
      <w:r w:rsidR="006F304D" w:rsidRPr="006F304D">
        <w:t xml:space="preserve">, </w:t>
      </w:r>
      <w:r w:rsidRPr="00B43126">
        <w:t xml:space="preserve">general injunction; </w:t>
      </w:r>
      <w:r w:rsidRPr="00CE06CA">
        <w:rPr>
          <w:bCs/>
          <w:szCs w:val="22"/>
          <w:lang w:val="el-GR"/>
        </w:rPr>
        <w:t>τοὺς ἐχθρο</w:t>
      </w:r>
      <w:r w:rsidRPr="00B43126">
        <w:t>ύς [“enemies”]</w:t>
      </w:r>
      <w:r w:rsidR="006F304D" w:rsidRPr="006F304D">
        <w:t xml:space="preserve">, </w:t>
      </w:r>
      <w:r w:rsidRPr="00B43126">
        <w:t xml:space="preserve">general description; </w:t>
      </w:r>
      <w:r w:rsidRPr="00CE06CA">
        <w:rPr>
          <w:bCs/>
          <w:szCs w:val="22"/>
          <w:lang w:val="el-GR"/>
        </w:rPr>
        <w:t>καλῶς ποιεῖτε</w:t>
      </w:r>
      <w:r w:rsidRPr="00B43126">
        <w:t xml:space="preserve"> [“do good”]</w:t>
      </w:r>
      <w:r w:rsidR="006F304D" w:rsidRPr="006F304D">
        <w:t xml:space="preserve">, </w:t>
      </w:r>
      <w:r w:rsidRPr="00B43126">
        <w:t xml:space="preserve">practical proof of </w:t>
      </w:r>
      <w:r w:rsidRPr="00CB0999">
        <w:rPr>
          <w:szCs w:val="22"/>
          <w:lang w:bidi="he-IL"/>
        </w:rPr>
        <w:t>ἀ</w:t>
      </w:r>
      <w:r w:rsidRPr="00B43126">
        <w:t xml:space="preserve">γάπη; </w:t>
      </w:r>
      <w:r>
        <w:rPr>
          <w:bCs/>
          <w:szCs w:val="22"/>
          <w:lang w:val="el-GR"/>
        </w:rPr>
        <w:t xml:space="preserve">τοῖς μισοῦσιν </w:t>
      </w:r>
      <w:r w:rsidRPr="00B43126">
        <w:t>[“those who hate”]</w:t>
      </w:r>
      <w:r w:rsidR="006F304D" w:rsidRPr="006F304D">
        <w:t xml:space="preserve">, </w:t>
      </w:r>
      <w:r w:rsidRPr="00B43126">
        <w:t xml:space="preserve">definite example of enmity; </w:t>
      </w:r>
      <w:r w:rsidRPr="00CE06CA">
        <w:rPr>
          <w:bCs/>
          <w:szCs w:val="22"/>
          <w:lang w:val="el-GR"/>
        </w:rPr>
        <w:t>εὐλογεῖτε</w:t>
      </w:r>
      <w:r w:rsidR="006F304D" w:rsidRPr="006F304D">
        <w:t xml:space="preserve">, </w:t>
      </w:r>
      <w:r w:rsidRPr="00B43126">
        <w:t xml:space="preserve">‘invoke blessings,’ greater proof still of love; </w:t>
      </w:r>
      <w:r w:rsidRPr="00CE06CA">
        <w:rPr>
          <w:bCs/>
          <w:szCs w:val="22"/>
          <w:lang w:val="el-GR"/>
        </w:rPr>
        <w:t xml:space="preserve">τοὺς καταρωμένους </w:t>
      </w:r>
      <w:r w:rsidRPr="00B43126">
        <w:t>[“those who curse”]</w:t>
      </w:r>
      <w:r w:rsidR="006F304D" w:rsidRPr="006F304D">
        <w:t xml:space="preserve">, </w:t>
      </w:r>
      <w:r w:rsidRPr="00B43126">
        <w:t>more virulent proof of hatred. πρoσεύχεσθε</w:t>
      </w:r>
      <w:r w:rsidR="006F304D" w:rsidRPr="006F304D">
        <w:t xml:space="preserve">, </w:t>
      </w:r>
      <w:r w:rsidRPr="00B43126">
        <w:t>‘praying,’ the greatest proof of all</w:t>
      </w:r>
      <w:r w:rsidR="006F304D" w:rsidRPr="006F304D">
        <w:t xml:space="preserve">, </w:t>
      </w:r>
      <w:r w:rsidR="00775F9B" w:rsidRPr="00775F9B">
        <w:rPr>
          <w:iCs/>
        </w:rPr>
        <w:t>e.g.</w:t>
      </w:r>
      <w:r w:rsidRPr="00B43126">
        <w:t xml:space="preserve"> our Lord Himself prayed for His murderers</w:t>
      </w:r>
      <w:r w:rsidR="006F304D" w:rsidRPr="006F304D">
        <w:t xml:space="preserve">, </w:t>
      </w:r>
      <w:r w:rsidRPr="00B43126">
        <w:t>Lk. xxiii. 34 (“Father</w:t>
      </w:r>
      <w:r w:rsidR="006F304D" w:rsidRPr="006F304D">
        <w:t xml:space="preserve">, </w:t>
      </w:r>
      <w:r w:rsidRPr="00B43126">
        <w:t xml:space="preserve">forgive them”). </w:t>
      </w:r>
      <w:r w:rsidRPr="00CE06CA">
        <w:rPr>
          <w:bCs/>
          <w:szCs w:val="22"/>
          <w:lang w:val="el-GR"/>
        </w:rPr>
        <w:t xml:space="preserve">τῶν ἐπηρεαζόντων </w:t>
      </w:r>
      <w:r w:rsidRPr="00B43126">
        <w:t>[“those who abuse”:] Practical example of hatred shewn in spiteful treatment.</w:t>
      </w:r>
    </w:p>
    <w:p w14:paraId="3AEABDC4" w14:textId="77777777" w:rsidR="0018433B" w:rsidRDefault="0018433B" w:rsidP="0018433B"/>
    <w:p w14:paraId="5A7EDD65" w14:textId="0B6B8AB2" w:rsidR="0018433B" w:rsidRPr="00B43126" w:rsidRDefault="0018433B" w:rsidP="0018433B">
      <w:r w:rsidRPr="00B43126">
        <w:t>Finally</w:t>
      </w:r>
      <w:r w:rsidR="006F304D" w:rsidRPr="006F304D">
        <w:t xml:space="preserve">, </w:t>
      </w:r>
      <w:r w:rsidRPr="00B43126">
        <w:t>Plummer (</w:t>
      </w:r>
      <w:r w:rsidRPr="00B43126">
        <w:rPr>
          <w:i/>
          <w:iCs/>
        </w:rPr>
        <w:t>Commentary</w:t>
      </w:r>
      <w:r w:rsidR="006F304D" w:rsidRPr="006F304D">
        <w:rPr>
          <w:iCs/>
        </w:rPr>
        <w:t xml:space="preserve">, </w:t>
      </w:r>
      <w:r w:rsidRPr="00B43126">
        <w:t>189) says of verse 38</w:t>
      </w:r>
      <w:r w:rsidR="006F304D" w:rsidRPr="006F304D">
        <w:t xml:space="preserve">, </w:t>
      </w:r>
      <w:r w:rsidRPr="00B43126">
        <w:t xml:space="preserve">“an accumulation of metaphors </w:t>
      </w:r>
      <w:r>
        <w:t>. . .</w:t>
      </w:r>
      <w:r w:rsidRPr="00B43126">
        <w:t xml:space="preserve"> form a climax.” By “metaphors,” presumably he means the four adjectives in 38c</w:t>
      </w:r>
      <w:r w:rsidR="006F304D" w:rsidRPr="006F304D">
        <w:t xml:space="preserve">, </w:t>
      </w:r>
      <w:r w:rsidRPr="00CE06CA">
        <w:rPr>
          <w:bCs/>
          <w:szCs w:val="22"/>
          <w:lang w:val="el-GR"/>
        </w:rPr>
        <w:t xml:space="preserve">καλὸν πεπιεσμένον σεσαλευμένον ὑπερεκχυννόμενον </w:t>
      </w:r>
      <w:r w:rsidRPr="00B43126">
        <w:t>(“good [measure]</w:t>
      </w:r>
      <w:r w:rsidR="006F304D" w:rsidRPr="006F304D">
        <w:t xml:space="preserve">, </w:t>
      </w:r>
      <w:r w:rsidRPr="00B43126">
        <w:t>pressed down</w:t>
      </w:r>
      <w:r w:rsidR="006F304D" w:rsidRPr="006F304D">
        <w:t xml:space="preserve">, </w:t>
      </w:r>
      <w:r w:rsidRPr="00B43126">
        <w:t>shaken together</w:t>
      </w:r>
      <w:r w:rsidR="006F304D" w:rsidRPr="006F304D">
        <w:t xml:space="preserve">, </w:t>
      </w:r>
      <w:r w:rsidRPr="00B43126">
        <w:t>running over”). Not only is there no progression here</w:t>
      </w:r>
      <w:r w:rsidR="006F304D" w:rsidRPr="006F304D">
        <w:t xml:space="preserve">, </w:t>
      </w:r>
      <w:r w:rsidRPr="00B43126">
        <w:t>but the adjectives are all part of one metaphor: the recompense for returning good for evil is like grain.</w:t>
      </w:r>
    </w:p>
  </w:footnote>
  <w:footnote w:id="387">
    <w:p w14:paraId="500059AF" w14:textId="239DE8FE" w:rsidR="0018433B" w:rsidRPr="00B43126" w:rsidRDefault="0018433B" w:rsidP="0018433B">
      <w:r w:rsidRPr="00B43126">
        <w:rPr>
          <w:rStyle w:val="FootnoteReference"/>
        </w:rPr>
        <w:footnoteRef/>
      </w:r>
      <w:r w:rsidRPr="00B43126">
        <w:t xml:space="preserve"> See below</w:t>
      </w:r>
      <w:r w:rsidR="006F304D" w:rsidRPr="006F304D">
        <w:t xml:space="preserve">, </w:t>
      </w:r>
      <w:r w:rsidRPr="00B43126">
        <w:t>279-282.</w:t>
      </w:r>
    </w:p>
  </w:footnote>
  <w:footnote w:id="388">
    <w:p w14:paraId="387D814A" w14:textId="682AEEC2" w:rsidR="0018433B" w:rsidRPr="00B43126" w:rsidRDefault="0018433B" w:rsidP="0018433B">
      <w:r w:rsidRPr="00A71A39">
        <w:rPr>
          <w:rStyle w:val="FootnoteReference"/>
        </w:rPr>
        <w:footnoteRef/>
      </w:r>
      <w:r w:rsidRPr="00A71A39">
        <w:rPr>
          <w:iCs/>
        </w:rPr>
        <w:t xml:space="preserve"> </w:t>
      </w:r>
      <w:r w:rsidRPr="00B43126">
        <w:rPr>
          <w:i/>
          <w:iCs/>
        </w:rPr>
        <w:t>Literary Patterns</w:t>
      </w:r>
      <w:r w:rsidR="006F304D" w:rsidRPr="006F304D">
        <w:rPr>
          <w:iCs/>
        </w:rPr>
        <w:t xml:space="preserve">, </w:t>
      </w:r>
      <w:r w:rsidRPr="00B43126">
        <w:rPr>
          <w:i/>
          <w:iCs/>
        </w:rPr>
        <w:t>Theological Themes</w:t>
      </w:r>
      <w:r w:rsidR="006F304D" w:rsidRPr="006F304D">
        <w:rPr>
          <w:iCs/>
        </w:rPr>
        <w:t xml:space="preserve">, </w:t>
      </w:r>
      <w:r w:rsidRPr="00B43126">
        <w:rPr>
          <w:i/>
          <w:iCs/>
        </w:rPr>
        <w:t>and the Genre of Luke</w:t>
      </w:r>
      <w:r w:rsidRPr="00B43126">
        <w:rPr>
          <w:i/>
          <w:iCs/>
        </w:rPr>
        <w:noBreakHyphen/>
        <w:t>Acts</w:t>
      </w:r>
      <w:r w:rsidRPr="00B43126">
        <w:t xml:space="preserve"> (SBLMS 20; </w:t>
      </w:r>
      <w:r w:rsidR="00D42DB3" w:rsidRPr="00D42DB3">
        <w:rPr>
          <w:iCs/>
        </w:rPr>
        <w:t>Missoula MT</w:t>
      </w:r>
      <w:r w:rsidRPr="00B43126">
        <w:t>: Scholars</w:t>
      </w:r>
      <w:r w:rsidR="006F304D" w:rsidRPr="006F304D">
        <w:t xml:space="preserve">, </w:t>
      </w:r>
      <w:r w:rsidRPr="00B43126">
        <w:t>1974) 4</w:t>
      </w:r>
      <w:r w:rsidR="006F304D" w:rsidRPr="006F304D">
        <w:t xml:space="preserve">, </w:t>
      </w:r>
      <w:r w:rsidRPr="00B43126">
        <w:t>5.</w:t>
      </w:r>
    </w:p>
  </w:footnote>
  <w:footnote w:id="389">
    <w:p w14:paraId="41D5D13E" w14:textId="1D40145E" w:rsidR="0018433B" w:rsidRPr="00B43126" w:rsidRDefault="0018433B" w:rsidP="0018433B">
      <w:r w:rsidRPr="00B43126">
        <w:rPr>
          <w:rStyle w:val="FootnoteReference"/>
        </w:rPr>
        <w:footnoteRef/>
      </w:r>
      <w:r w:rsidRPr="00B43126">
        <w:t xml:space="preserve"> Ibid.</w:t>
      </w:r>
      <w:r w:rsidR="006F304D" w:rsidRPr="006F304D">
        <w:t xml:space="preserve">, </w:t>
      </w:r>
      <w:r w:rsidRPr="00B43126">
        <w:t>1.</w:t>
      </w:r>
    </w:p>
  </w:footnote>
  <w:footnote w:id="390">
    <w:p w14:paraId="42C91DCD" w14:textId="5A844AF5" w:rsidR="0018433B" w:rsidRPr="00B43126" w:rsidRDefault="0018433B" w:rsidP="0018433B">
      <w:r w:rsidRPr="00B43126">
        <w:rPr>
          <w:rStyle w:val="FootnoteReference"/>
        </w:rPr>
        <w:footnoteRef/>
      </w:r>
      <w:r w:rsidRPr="00B43126">
        <w:t xml:space="preserve"> Ibid.</w:t>
      </w:r>
      <w:r w:rsidR="006F304D" w:rsidRPr="006F304D">
        <w:t xml:space="preserve">, </w:t>
      </w:r>
      <w:r w:rsidRPr="00B43126">
        <w:t>5. Talbert does submit two criticisms of Morgenthaler</w:t>
      </w:r>
      <w:r w:rsidR="006F304D" w:rsidRPr="006F304D">
        <w:t xml:space="preserve">, </w:t>
      </w:r>
      <w:r w:rsidRPr="00B43126">
        <w:t>or rather</w:t>
      </w:r>
      <w:r w:rsidR="006F304D" w:rsidRPr="006F304D">
        <w:t xml:space="preserve">, </w:t>
      </w:r>
      <w:r w:rsidRPr="00B43126">
        <w:t xml:space="preserve">two reasons why Morgenthaler has not been more influential: Morgenthaler’s explanation of Luke’s theological motive for adherence to </w:t>
      </w:r>
      <w:r w:rsidRPr="00B43126">
        <w:rPr>
          <w:i/>
          <w:iCs/>
        </w:rPr>
        <w:t>Zweigliedrigkeit</w:t>
      </w:r>
      <w:r w:rsidRPr="00B43126">
        <w:t xml:space="preserve"> is unacceptable</w:t>
      </w:r>
      <w:r w:rsidR="006F304D" w:rsidRPr="006F304D">
        <w:t xml:space="preserve">, </w:t>
      </w:r>
      <w:r w:rsidRPr="00B43126">
        <w:t>namely</w:t>
      </w:r>
      <w:r w:rsidR="006F304D" w:rsidRPr="006F304D">
        <w:t xml:space="preserve">, </w:t>
      </w:r>
      <w:r w:rsidRPr="00B43126">
        <w:t>a desire to provide two witnesses in conformity with the law in Deut 19:15; and Morgenthaler fails to compare Luke’s use of architech</w:t>
      </w:r>
      <w:r w:rsidRPr="00B43126">
        <w:softHyphen/>
        <w:t>tonics with similar instances in classical literature (ibid.</w:t>
      </w:r>
      <w:r w:rsidR="006F304D" w:rsidRPr="006F304D">
        <w:t xml:space="preserve">, </w:t>
      </w:r>
      <w:r w:rsidRPr="00B43126">
        <w:t>3). Nevertheless</w:t>
      </w:r>
      <w:r w:rsidR="006F304D" w:rsidRPr="006F304D">
        <w:t xml:space="preserve">, </w:t>
      </w:r>
      <w:r w:rsidRPr="00B43126">
        <w:t xml:space="preserve">Talbert never suggests that the formal patterns themselves which Morgenthaler advanced are in any way deficient. It should be added that Talbert does not derive his patterns in Luke-Acts </w:t>
      </w:r>
      <w:r w:rsidRPr="00B43126">
        <w:rPr>
          <w:i/>
          <w:iCs/>
        </w:rPr>
        <w:t>exclusively</w:t>
      </w:r>
      <w:r w:rsidRPr="00B43126">
        <w:t xml:space="preserve"> from Morgen</w:t>
      </w:r>
      <w:r w:rsidRPr="00B43126">
        <w:softHyphen/>
        <w:t>thaler. Not only is much of his work the result of his own investigations</w:t>
      </w:r>
      <w:r w:rsidR="006F304D" w:rsidRPr="006F304D">
        <w:t xml:space="preserve">, </w:t>
      </w:r>
      <w:r w:rsidRPr="00B43126">
        <w:t xml:space="preserve">but he has been influenced by the formal patterns of classical literature. Analogous to Morgenthaler’s </w:t>
      </w:r>
      <w:r w:rsidRPr="00B43126">
        <w:rPr>
          <w:i/>
          <w:iCs/>
        </w:rPr>
        <w:t>Zweiheitsgesetz</w:t>
      </w:r>
      <w:r w:rsidR="006F304D" w:rsidRPr="006F304D">
        <w:rPr>
          <w:iCs/>
        </w:rPr>
        <w:t xml:space="preserve">, </w:t>
      </w:r>
      <w:r w:rsidRPr="00B43126">
        <w:t>for example</w:t>
      </w:r>
      <w:r w:rsidR="006F304D" w:rsidRPr="006F304D">
        <w:t xml:space="preserve">, </w:t>
      </w:r>
      <w:r w:rsidRPr="00B43126">
        <w:t>is the pattern</w:t>
      </w:r>
      <w:r w:rsidR="006F304D" w:rsidRPr="006F304D">
        <w:t xml:space="preserve">, </w:t>
      </w:r>
      <w:r w:rsidRPr="00B43126">
        <w:t>AB:A</w:t>
      </w:r>
      <w:r>
        <w:t>´</w:t>
      </w:r>
      <w:r w:rsidRPr="00B43126">
        <w:t>B</w:t>
      </w:r>
      <w:r>
        <w:t>´</w:t>
      </w:r>
      <w:r w:rsidR="006F304D" w:rsidRPr="006F304D">
        <w:t xml:space="preserve">, </w:t>
      </w:r>
      <w:r w:rsidRPr="00B43126">
        <w:t>which “involves the recurrence of some element in natural order” (ibid.</w:t>
      </w:r>
      <w:r w:rsidR="006F304D" w:rsidRPr="006F304D">
        <w:t xml:space="preserve">, </w:t>
      </w:r>
      <w:r w:rsidRPr="00B43126">
        <w:t>14 n. 70).</w:t>
      </w:r>
    </w:p>
  </w:footnote>
  <w:footnote w:id="391">
    <w:p w14:paraId="388918FD" w14:textId="5BE2673D" w:rsidR="0018433B" w:rsidRPr="00B43126" w:rsidRDefault="0018433B" w:rsidP="0018433B">
      <w:pPr>
        <w:rPr>
          <w:vanish/>
        </w:rPr>
      </w:pPr>
      <w:r w:rsidRPr="00B43126">
        <w:rPr>
          <w:rStyle w:val="FootnoteReference"/>
        </w:rPr>
        <w:footnoteRef/>
      </w:r>
      <w:r w:rsidRPr="00B43126">
        <w:t xml:space="preserve"> Ibid.</w:t>
      </w:r>
      <w:r w:rsidR="006F304D" w:rsidRPr="006F304D">
        <w:t xml:space="preserve">, </w:t>
      </w:r>
      <w:r w:rsidRPr="00B43126">
        <w:t>40</w:t>
      </w:r>
      <w:r w:rsidR="006F304D" w:rsidRPr="006F304D">
        <w:t xml:space="preserve">, </w:t>
      </w:r>
      <w:r w:rsidRPr="00B43126">
        <w:t>42. Talbert argues for the correspondence as follows (40):</w:t>
      </w:r>
    </w:p>
    <w:p w14:paraId="7E9081BD" w14:textId="77777777" w:rsidR="0018433B" w:rsidRDefault="0018433B" w:rsidP="0018433B"/>
    <w:tbl>
      <w:tblPr>
        <w:tblW w:w="0" w:type="auto"/>
        <w:tblInd w:w="738" w:type="dxa"/>
        <w:tblLayout w:type="fixed"/>
        <w:tblLook w:val="04A0" w:firstRow="1" w:lastRow="0" w:firstColumn="1" w:lastColumn="0" w:noHBand="0" w:noVBand="1"/>
      </w:tblPr>
      <w:tblGrid>
        <w:gridCol w:w="3960"/>
        <w:gridCol w:w="3960"/>
      </w:tblGrid>
      <w:tr w:rsidR="0018433B" w14:paraId="5CE3B7E6" w14:textId="77777777" w:rsidTr="00C81D8C">
        <w:tc>
          <w:tcPr>
            <w:tcW w:w="3960" w:type="dxa"/>
          </w:tcPr>
          <w:p w14:paraId="08CE3C14" w14:textId="77777777" w:rsidR="0018433B" w:rsidRDefault="0018433B" w:rsidP="003A55D8">
            <w:pPr>
              <w:jc w:val="left"/>
            </w:pPr>
            <w:r w:rsidRPr="00B43126">
              <w:t>6:12-16</w:t>
            </w:r>
            <w:r>
              <w:t xml:space="preserve"> </w:t>
            </w:r>
            <w:r w:rsidRPr="00B43126">
              <w:t>The Twelve are chosen.</w:t>
            </w:r>
            <w:r>
              <w:t xml:space="preserve"> </w:t>
            </w:r>
            <w:r w:rsidRPr="00B43126">
              <w:t>This immediately precedes</w:t>
            </w:r>
            <w:r>
              <w:t xml:space="preserve"> </w:t>
            </w:r>
            <w:r w:rsidRPr="00B43126">
              <w:t>Jesus’ teaching in the hearing</w:t>
            </w:r>
            <w:r>
              <w:t xml:space="preserve"> </w:t>
            </w:r>
            <w:r w:rsidRPr="00B43126">
              <w:t>of the crowds.</w:t>
            </w:r>
          </w:p>
        </w:tc>
        <w:tc>
          <w:tcPr>
            <w:tcW w:w="3960" w:type="dxa"/>
          </w:tcPr>
          <w:p w14:paraId="6AE38E06" w14:textId="77777777" w:rsidR="0018433B" w:rsidRDefault="0018433B" w:rsidP="003A55D8">
            <w:pPr>
              <w:jc w:val="left"/>
            </w:pPr>
            <w:r>
              <w:t xml:space="preserve">8:1-3 </w:t>
            </w:r>
            <w:r w:rsidRPr="00B43126">
              <w:t>Jesus is with the Twelve.</w:t>
            </w:r>
            <w:r>
              <w:t xml:space="preserve"> </w:t>
            </w:r>
            <w:r w:rsidRPr="00B43126">
              <w:t>This immediately precedes</w:t>
            </w:r>
            <w:r>
              <w:t xml:space="preserve"> </w:t>
            </w:r>
            <w:r w:rsidRPr="00B43126">
              <w:t>Jesus’ teaching the crowds.</w:t>
            </w:r>
          </w:p>
          <w:p w14:paraId="36CC7650" w14:textId="77777777" w:rsidR="0018433B" w:rsidRDefault="0018433B" w:rsidP="003A55D8">
            <w:pPr>
              <w:jc w:val="left"/>
            </w:pPr>
          </w:p>
        </w:tc>
      </w:tr>
      <w:tr w:rsidR="0018433B" w14:paraId="7E45C438" w14:textId="77777777" w:rsidTr="00C81D8C">
        <w:tc>
          <w:tcPr>
            <w:tcW w:w="3960" w:type="dxa"/>
          </w:tcPr>
          <w:p w14:paraId="2712CE6B" w14:textId="77777777" w:rsidR="0018433B" w:rsidRDefault="0018433B" w:rsidP="003A55D8">
            <w:pPr>
              <w:jc w:val="left"/>
            </w:pPr>
            <w:r w:rsidRPr="00B43126">
              <w:t>6:17-49</w:t>
            </w:r>
            <w:r>
              <w:t xml:space="preserve"> </w:t>
            </w:r>
            <w:r w:rsidRPr="00B43126">
              <w:t>Jesus teaches the multitudes.</w:t>
            </w:r>
            <w:r>
              <w:t xml:space="preserve"> </w:t>
            </w:r>
            <w:r w:rsidRPr="00B43126">
              <w:t>The conclusion concerns “hearing” Jesus’ teaching</w:t>
            </w:r>
            <w:r>
              <w:t xml:space="preserve"> </w:t>
            </w:r>
            <w:r w:rsidRPr="00B43126">
              <w:t>and “doing” it.</w:t>
            </w:r>
          </w:p>
        </w:tc>
        <w:tc>
          <w:tcPr>
            <w:tcW w:w="3960" w:type="dxa"/>
          </w:tcPr>
          <w:p w14:paraId="1785ACE0" w14:textId="59F37204" w:rsidR="0018433B" w:rsidRDefault="0018433B" w:rsidP="003A55D8">
            <w:pPr>
              <w:jc w:val="left"/>
            </w:pPr>
            <w:r w:rsidRPr="00B43126">
              <w:t>8:4-8</w:t>
            </w:r>
            <w:r w:rsidR="006F304D" w:rsidRPr="006F304D">
              <w:t xml:space="preserve">, </w:t>
            </w:r>
            <w:r w:rsidRPr="00B43126">
              <w:t>16-21</w:t>
            </w:r>
            <w:r>
              <w:t xml:space="preserve"> </w:t>
            </w:r>
            <w:r w:rsidRPr="00B43126">
              <w:t>Jesus teaches the multitudes.</w:t>
            </w:r>
            <w:r>
              <w:t xml:space="preserve"> </w:t>
            </w:r>
            <w:r w:rsidRPr="00B43126">
              <w:t>The conclusion concerns</w:t>
            </w:r>
            <w:r>
              <w:t xml:space="preserve"> </w:t>
            </w:r>
            <w:r w:rsidRPr="00B43126">
              <w:t>“hearing” Jesus’ teaching</w:t>
            </w:r>
            <w:r>
              <w:t xml:space="preserve"> </w:t>
            </w:r>
            <w:r w:rsidRPr="00B43126">
              <w:t>and “doing” it.</w:t>
            </w:r>
          </w:p>
        </w:tc>
      </w:tr>
    </w:tbl>
    <w:p w14:paraId="5585970C" w14:textId="77777777" w:rsidR="0018433B" w:rsidRPr="00B43126" w:rsidRDefault="0018433B" w:rsidP="0018433B"/>
    <w:p w14:paraId="01008732" w14:textId="099F1BA4" w:rsidR="0018433B" w:rsidRPr="00B43126" w:rsidRDefault="0018433B" w:rsidP="001843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907"/>
          <w:tab w:val="left" w:pos="6120"/>
          <w:tab w:val="left" w:pos="6480"/>
          <w:tab w:val="left" w:pos="6840"/>
          <w:tab w:val="left" w:pos="7200"/>
          <w:tab w:val="left" w:pos="7560"/>
          <w:tab w:val="left" w:pos="7920"/>
          <w:tab w:val="left" w:pos="8280"/>
          <w:tab w:val="left" w:pos="8640"/>
          <w:tab w:val="left" w:pos="9000"/>
          <w:tab w:val="left" w:pos="9360"/>
        </w:tabs>
      </w:pPr>
      <w:r w:rsidRPr="00B43126">
        <w:t>(To substantiate the correspondence</w:t>
      </w:r>
      <w:r w:rsidR="006F304D" w:rsidRPr="006F304D">
        <w:t xml:space="preserve">, </w:t>
      </w:r>
      <w:r w:rsidRPr="00B43126">
        <w:t>Talbert would have to answer possible objections: 8:1-3 concerns the women around Jesus</w:t>
      </w:r>
      <w:r w:rsidR="006F304D" w:rsidRPr="006F304D">
        <w:t xml:space="preserve">, </w:t>
      </w:r>
      <w:r w:rsidRPr="00B43126">
        <w:t>the twelve being no more than an incidental mention in 8:1b; 8:9-15 are left out of account; and the themes of “hearing” and “doing” in 8:21 occur in an apophthegm [the blessedness of Jesus’ mother]</w:t>
      </w:r>
      <w:r w:rsidR="006F304D" w:rsidRPr="006F304D">
        <w:t xml:space="preserve">, </w:t>
      </w:r>
      <w:r w:rsidRPr="00B43126">
        <w:t>not at the end of a speech.)</w:t>
      </w:r>
    </w:p>
  </w:footnote>
  <w:footnote w:id="392">
    <w:p w14:paraId="0C4F48DB" w14:textId="2B355ACB" w:rsidR="0018433B" w:rsidRPr="00B43126" w:rsidRDefault="0018433B" w:rsidP="0018433B">
      <w:r w:rsidRPr="00A71A39">
        <w:rPr>
          <w:rStyle w:val="FootnoteReference"/>
        </w:rPr>
        <w:footnoteRef/>
      </w:r>
      <w:r w:rsidRPr="00A71A39">
        <w:rPr>
          <w:iCs/>
        </w:rPr>
        <w:t xml:space="preserve"> </w:t>
      </w:r>
      <w:r w:rsidRPr="00B43126">
        <w:rPr>
          <w:i/>
          <w:iCs/>
        </w:rPr>
        <w:t>Reading Luke</w:t>
      </w:r>
      <w:r w:rsidRPr="00B43126">
        <w:rPr>
          <w:iCs/>
        </w:rPr>
        <w:t xml:space="preserve">: </w:t>
      </w:r>
      <w:r w:rsidRPr="00B43126">
        <w:rPr>
          <w:i/>
          <w:iCs/>
        </w:rPr>
        <w:t>A Literary and Theological Commentary on the Third Gospel</w:t>
      </w:r>
      <w:r w:rsidRPr="00B43126">
        <w:t xml:space="preserve"> (New York: Crossroad</w:t>
      </w:r>
      <w:r w:rsidR="006F304D" w:rsidRPr="006F304D">
        <w:t xml:space="preserve">, </w:t>
      </w:r>
      <w:r w:rsidRPr="00B43126">
        <w:t>1982).</w:t>
      </w:r>
    </w:p>
  </w:footnote>
  <w:footnote w:id="393">
    <w:p w14:paraId="58AABC2B" w14:textId="58E86FC5" w:rsidR="0018433B" w:rsidRPr="00B43126" w:rsidRDefault="0018433B" w:rsidP="0018433B">
      <w:r w:rsidRPr="00B43126">
        <w:rPr>
          <w:rStyle w:val="FootnoteReference"/>
        </w:rPr>
        <w:footnoteRef/>
      </w:r>
      <w:r w:rsidRPr="00B43126">
        <w:t xml:space="preserve"> Ibid.</w:t>
      </w:r>
      <w:r w:rsidR="006F304D" w:rsidRPr="006F304D">
        <w:t xml:space="preserve">, </w:t>
      </w:r>
      <w:r w:rsidRPr="00B43126">
        <w:t>2.</w:t>
      </w:r>
    </w:p>
  </w:footnote>
  <w:footnote w:id="394">
    <w:p w14:paraId="2901B552" w14:textId="012EE1DE" w:rsidR="0018433B" w:rsidRPr="00B43126" w:rsidRDefault="0018433B" w:rsidP="0018433B">
      <w:r w:rsidRPr="00B43126">
        <w:rPr>
          <w:rStyle w:val="FootnoteReference"/>
        </w:rPr>
        <w:footnoteRef/>
      </w:r>
      <w:r w:rsidRPr="00B43126">
        <w:t xml:space="preserve"> Ibid.</w:t>
      </w:r>
      <w:r w:rsidR="006F304D" w:rsidRPr="006F304D">
        <w:t xml:space="preserve">, </w:t>
      </w:r>
      <w:r w:rsidRPr="00B43126">
        <w:t>68-69. The pages refer to Morgenthaler’s discussion of “sections” (</w:t>
      </w:r>
      <w:r w:rsidRPr="00B43126">
        <w:rPr>
          <w:i/>
          <w:iCs/>
        </w:rPr>
        <w:t>Satzkomposi</w:t>
      </w:r>
      <w:r w:rsidRPr="00B43126">
        <w:rPr>
          <w:i/>
          <w:iCs/>
        </w:rPr>
        <w:softHyphen/>
        <w:t>tionen</w:t>
      </w:r>
      <w:r w:rsidRPr="00B43126">
        <w:t>) in the sermon.</w:t>
      </w:r>
    </w:p>
  </w:footnote>
  <w:footnote w:id="395">
    <w:p w14:paraId="4195D7F7" w14:textId="01D7CF90" w:rsidR="0018433B" w:rsidRPr="00B43126" w:rsidRDefault="0018433B" w:rsidP="0018433B">
      <w:r w:rsidRPr="00B43126">
        <w:rPr>
          <w:rStyle w:val="FootnoteReference"/>
        </w:rPr>
        <w:footnoteRef/>
      </w:r>
      <w:r w:rsidRPr="00B43126">
        <w:t xml:space="preserve"> Talbert does not use the words “triptych” or “panel” at this point in his text</w:t>
      </w:r>
      <w:r w:rsidR="006F304D" w:rsidRPr="006F304D">
        <w:t xml:space="preserve">, </w:t>
      </w:r>
      <w:r w:rsidRPr="00B43126">
        <w:t>but he has written that “In recent years critics have turned to arts outside literature to supplement the vocabu</w:t>
      </w:r>
      <w:r w:rsidRPr="00B43126">
        <w:softHyphen/>
        <w:t>lary for the description of prose literature” (</w:t>
      </w:r>
      <w:r w:rsidRPr="00B43126">
        <w:rPr>
          <w:i/>
          <w:iCs/>
        </w:rPr>
        <w:t>Literary Patterns</w:t>
      </w:r>
      <w:r w:rsidR="006F304D" w:rsidRPr="006F304D">
        <w:rPr>
          <w:iCs/>
        </w:rPr>
        <w:t xml:space="preserve">, </w:t>
      </w:r>
      <w:r w:rsidRPr="00B43126">
        <w:t>12 n. 41). He does use the word “panel” to describe the two sections that he discerns in Luke 4:16-8:56 (ibid.</w:t>
      </w:r>
      <w:r w:rsidR="006F304D" w:rsidRPr="006F304D">
        <w:t xml:space="preserve">, </w:t>
      </w:r>
      <w:r w:rsidRPr="00B43126">
        <w:t>2</w:t>
      </w:r>
      <w:r w:rsidR="006F304D" w:rsidRPr="006F304D">
        <w:t xml:space="preserve">, </w:t>
      </w:r>
      <w:r w:rsidRPr="00B43126">
        <w:t>referring to his article</w:t>
      </w:r>
      <w:r w:rsidR="006F304D" w:rsidRPr="006F304D">
        <w:t xml:space="preserve">, </w:t>
      </w:r>
      <w:r w:rsidRPr="00B43126">
        <w:t xml:space="preserve">“The Lukan Presentation of Jesus’ Ministry in Galilee,” </w:t>
      </w:r>
      <w:r w:rsidRPr="00B43126">
        <w:rPr>
          <w:i/>
          <w:iCs/>
        </w:rPr>
        <w:t>Review and Expositor</w:t>
      </w:r>
      <w:r w:rsidRPr="00B43126">
        <w:t xml:space="preserve"> 64 [1967] 485-97). See also Cadbury’s reference (</w:t>
      </w:r>
      <w:r w:rsidRPr="00B43126">
        <w:rPr>
          <w:i/>
          <w:iCs/>
        </w:rPr>
        <w:t>Making</w:t>
      </w:r>
      <w:r w:rsidR="006F304D" w:rsidRPr="006F304D">
        <w:rPr>
          <w:iCs/>
        </w:rPr>
        <w:t xml:space="preserve">, </w:t>
      </w:r>
      <w:r w:rsidRPr="00B43126">
        <w:t xml:space="preserve">325) to </w:t>
      </w:r>
      <w:r w:rsidR="00674828" w:rsidRPr="00674828">
        <w:rPr>
          <w:iCs/>
        </w:rPr>
        <w:t>C.H.</w:t>
      </w:r>
      <w:r w:rsidRPr="00B43126">
        <w:t xml:space="preserve"> Turner’s discovery of “panels” (Hastings’ </w:t>
      </w:r>
      <w:r w:rsidRPr="00B43126">
        <w:rPr>
          <w:i/>
          <w:iCs/>
        </w:rPr>
        <w:t>Dictionary of the Bible</w:t>
      </w:r>
      <w:r w:rsidR="006F304D" w:rsidRPr="006F304D">
        <w:rPr>
          <w:iCs/>
        </w:rPr>
        <w:t xml:space="preserve">, </w:t>
      </w:r>
      <w:r w:rsidRPr="00B43126">
        <w:t>1. 421).</w:t>
      </w:r>
    </w:p>
  </w:footnote>
  <w:footnote w:id="396">
    <w:p w14:paraId="2C8AFC05" w14:textId="3756D7F3" w:rsidR="0018433B" w:rsidRPr="00B43126" w:rsidRDefault="0018433B" w:rsidP="0018433B">
      <w:r w:rsidRPr="00A71A39">
        <w:rPr>
          <w:rStyle w:val="FootnoteReference"/>
        </w:rPr>
        <w:footnoteRef/>
      </w:r>
      <w:r w:rsidRPr="00A71A39">
        <w:rPr>
          <w:iCs/>
        </w:rPr>
        <w:t xml:space="preserve"> </w:t>
      </w:r>
      <w:r w:rsidRPr="00B43126">
        <w:rPr>
          <w:i/>
          <w:iCs/>
        </w:rPr>
        <w:t>Reading Luke</w:t>
      </w:r>
      <w:r w:rsidR="006F304D" w:rsidRPr="006F304D">
        <w:rPr>
          <w:iCs/>
        </w:rPr>
        <w:t xml:space="preserve">, </w:t>
      </w:r>
      <w:r w:rsidRPr="00B43126">
        <w:t>69.</w:t>
      </w:r>
    </w:p>
  </w:footnote>
  <w:footnote w:id="397">
    <w:p w14:paraId="6AF304C2" w14:textId="46C0D4F9" w:rsidR="0018433B" w:rsidRPr="00B43126" w:rsidRDefault="0018433B" w:rsidP="0018433B">
      <w:r w:rsidRPr="00B43126">
        <w:rPr>
          <w:rStyle w:val="FootnoteReference"/>
        </w:rPr>
        <w:footnoteRef/>
      </w:r>
      <w:r w:rsidRPr="00B43126">
        <w:t xml:space="preserve"> For evidence that 20a introduces the entire sermon</w:t>
      </w:r>
      <w:r w:rsidR="006F304D" w:rsidRPr="006F304D">
        <w:t xml:space="preserve">, </w:t>
      </w:r>
      <w:r w:rsidRPr="00B43126">
        <w:t>see 234 below and Appendix 2</w:t>
      </w:r>
      <w:r w:rsidR="006F304D" w:rsidRPr="006F304D">
        <w:t xml:space="preserve">, </w:t>
      </w:r>
      <w:r w:rsidRPr="00B43126">
        <w:t>408-425.</w:t>
      </w:r>
    </w:p>
  </w:footnote>
  <w:footnote w:id="398">
    <w:p w14:paraId="080A887B" w14:textId="06B6D16B" w:rsidR="0018433B" w:rsidRPr="00B43126" w:rsidRDefault="0018433B" w:rsidP="0018433B">
      <w:r w:rsidRPr="00B43126">
        <w:rPr>
          <w:rStyle w:val="FootnoteReference"/>
        </w:rPr>
        <w:footnoteRef/>
      </w:r>
      <w:r w:rsidRPr="00B43126">
        <w:t xml:space="preserve"> For evidence that the woes are addressed to disciples and not the eavesdropping multitude</w:t>
      </w:r>
      <w:r w:rsidR="006F304D" w:rsidRPr="006F304D">
        <w:t xml:space="preserve">, </w:t>
      </w:r>
      <w:r w:rsidRPr="00B43126">
        <w:t>see Appendix 2.</w:t>
      </w:r>
    </w:p>
  </w:footnote>
  <w:footnote w:id="399">
    <w:p w14:paraId="17228FDB" w14:textId="3D16870F" w:rsidR="0018433B" w:rsidRPr="00B43126" w:rsidRDefault="0018433B" w:rsidP="0018433B">
      <w:r w:rsidRPr="00B43126">
        <w:rPr>
          <w:rStyle w:val="FootnoteReference"/>
        </w:rPr>
        <w:footnoteRef/>
      </w:r>
      <w:r w:rsidRPr="00B43126">
        <w:t xml:space="preserve"> Plummer</w:t>
      </w:r>
      <w:r w:rsidR="006F304D" w:rsidRPr="006F304D">
        <w:t xml:space="preserve">, </w:t>
      </w:r>
      <w:r w:rsidRPr="00B43126">
        <w:rPr>
          <w:i/>
          <w:iCs/>
        </w:rPr>
        <w:t>Commentary</w:t>
      </w:r>
      <w:r w:rsidR="006F304D" w:rsidRPr="006F304D">
        <w:rPr>
          <w:iCs/>
        </w:rPr>
        <w:t xml:space="preserve">, </w:t>
      </w:r>
      <w:r w:rsidRPr="00B43126">
        <w:t>190.</w:t>
      </w:r>
    </w:p>
  </w:footnote>
  <w:footnote w:id="400">
    <w:p w14:paraId="23F58EBD" w14:textId="7D4C0C12" w:rsidR="0018433B" w:rsidRPr="00B43126" w:rsidRDefault="0018433B" w:rsidP="0018433B">
      <w:r w:rsidRPr="00B43126">
        <w:rPr>
          <w:rStyle w:val="FootnoteReference"/>
        </w:rPr>
        <w:footnoteRef/>
      </w:r>
      <w:r w:rsidRPr="00B43126">
        <w:t xml:space="preserve"> See above</w:t>
      </w:r>
      <w:r w:rsidR="006F304D" w:rsidRPr="006F304D">
        <w:t xml:space="preserve">, </w:t>
      </w:r>
      <w:r w:rsidRPr="00B43126">
        <w:t>143.</w:t>
      </w:r>
    </w:p>
  </w:footnote>
  <w:footnote w:id="401">
    <w:p w14:paraId="1E71BBC2" w14:textId="3D2828CA" w:rsidR="0018433B" w:rsidRPr="00B43126" w:rsidRDefault="0018433B" w:rsidP="0018433B">
      <w:r w:rsidRPr="00B43126">
        <w:rPr>
          <w:rStyle w:val="FootnoteReference"/>
        </w:rPr>
        <w:footnoteRef/>
      </w:r>
      <w:r w:rsidRPr="00B43126">
        <w:t xml:space="preserve"> Fitzmyer (</w:t>
      </w:r>
      <w:r w:rsidRPr="00B43126">
        <w:rPr>
          <w:i/>
          <w:iCs/>
        </w:rPr>
        <w:t>Gospel</w:t>
      </w:r>
      <w:r w:rsidR="006F304D" w:rsidRPr="006F304D">
        <w:rPr>
          <w:iCs/>
        </w:rPr>
        <w:t xml:space="preserve">, </w:t>
      </w:r>
      <w:r w:rsidRPr="00B43126">
        <w:t>1. 641) agrees that 39a is an introduction only to 39-40.</w:t>
      </w:r>
    </w:p>
  </w:footnote>
  <w:footnote w:id="402">
    <w:p w14:paraId="0C3CC5D1" w14:textId="616EF2A1" w:rsidR="0018433B" w:rsidRPr="00B43126" w:rsidRDefault="0018433B" w:rsidP="0018433B">
      <w:r w:rsidRPr="00A71A39">
        <w:rPr>
          <w:rStyle w:val="FootnoteReference"/>
        </w:rPr>
        <w:footnoteRef/>
      </w:r>
      <w:r w:rsidRPr="00A71A39">
        <w:rPr>
          <w:iCs/>
        </w:rPr>
        <w:t xml:space="preserve"> </w:t>
      </w:r>
      <w:r w:rsidRPr="00B43126">
        <w:rPr>
          <w:i/>
          <w:iCs/>
        </w:rPr>
        <w:t>Reading Luke</w:t>
      </w:r>
      <w:r w:rsidR="006F304D" w:rsidRPr="006F304D">
        <w:rPr>
          <w:iCs/>
        </w:rPr>
        <w:t xml:space="preserve">, </w:t>
      </w:r>
      <w:r w:rsidRPr="00B43126">
        <w:t>79.</w:t>
      </w:r>
    </w:p>
  </w:footnote>
  <w:footnote w:id="403">
    <w:p w14:paraId="127D8938" w14:textId="6D55C612" w:rsidR="0018433B" w:rsidRPr="00B43126" w:rsidRDefault="0018433B" w:rsidP="0018433B">
      <w:r w:rsidRPr="00B43126">
        <w:rPr>
          <w:rStyle w:val="FootnoteReference"/>
        </w:rPr>
        <w:footnoteRef/>
      </w:r>
      <w:r w:rsidRPr="00B43126">
        <w:t xml:space="preserve"> Ibid. (emphasis added). On the definition of “parable,” see above</w:t>
      </w:r>
      <w:r w:rsidR="006F304D" w:rsidRPr="006F304D">
        <w:t xml:space="preserve">, </w:t>
      </w:r>
      <w:r w:rsidRPr="00B43126">
        <w:t>154 n. 53.</w:t>
      </w:r>
    </w:p>
  </w:footnote>
  <w:footnote w:id="404">
    <w:p w14:paraId="7505D5D9" w14:textId="54B770AF" w:rsidR="0018433B" w:rsidRPr="00B43126" w:rsidRDefault="0018433B" w:rsidP="0018433B">
      <w:r w:rsidRPr="00B43126">
        <w:rPr>
          <w:rStyle w:val="FootnoteReference"/>
        </w:rPr>
        <w:footnoteRef/>
      </w:r>
      <w:r w:rsidRPr="00B43126">
        <w:t xml:space="preserve"> A similitude is a transitional form between a metaphor and a full-blown parable: “Expand it [a simile or metaphor] into a </w:t>
      </w:r>
      <w:r w:rsidRPr="00B43126">
        <w:rPr>
          <w:i/>
          <w:iCs/>
        </w:rPr>
        <w:t>picture</w:t>
      </w:r>
      <w:r w:rsidRPr="00B43126">
        <w:t xml:space="preserve"> and you get a similitude </w:t>
      </w:r>
      <w:r>
        <w:t>. . .</w:t>
      </w:r>
      <w:r w:rsidRPr="00B43126">
        <w:t xml:space="preserve"> Expand it [a similitude] into a </w:t>
      </w:r>
      <w:r w:rsidRPr="00B43126">
        <w:rPr>
          <w:i/>
          <w:iCs/>
        </w:rPr>
        <w:t>story</w:t>
      </w:r>
      <w:r w:rsidRPr="00B43126">
        <w:t xml:space="preserve"> </w:t>
      </w:r>
      <w:r>
        <w:t>. . .</w:t>
      </w:r>
      <w:r w:rsidRPr="00B43126">
        <w:t xml:space="preserve"> and you get a story-parable” (Hunter</w:t>
      </w:r>
      <w:r w:rsidR="006F304D" w:rsidRPr="006F304D">
        <w:t xml:space="preserve">, </w:t>
      </w:r>
      <w:r w:rsidRPr="00B43126">
        <w:rPr>
          <w:i/>
          <w:iCs/>
        </w:rPr>
        <w:t>Interpreting the Parables</w:t>
      </w:r>
      <w:r w:rsidR="006F304D" w:rsidRPr="006F304D">
        <w:rPr>
          <w:iCs/>
        </w:rPr>
        <w:t xml:space="preserve">, </w:t>
      </w:r>
      <w:r w:rsidRPr="00B43126">
        <w:t>9). Whereas a similitude tells “what men commonly do,” a parable tells “what one man did” (ibid.). As examples Hunter contrasts the lost sheep (Luke 15:4-7) and he lost coin (15:8-10) with the lost son (15:11-32). The distinction is well-established in scholarly tradition; as Bultmann said in 1919 (</w:t>
      </w:r>
      <w:r w:rsidRPr="00B43126">
        <w:rPr>
          <w:i/>
          <w:iCs/>
        </w:rPr>
        <w:t>History</w:t>
      </w:r>
      <w:r w:rsidR="006F304D" w:rsidRPr="006F304D">
        <w:rPr>
          <w:iCs/>
        </w:rPr>
        <w:t xml:space="preserve">, </w:t>
      </w:r>
      <w:r w:rsidRPr="00B43126">
        <w:t>174</w:t>
      </w:r>
      <w:r w:rsidR="006F304D" w:rsidRPr="006F304D">
        <w:t xml:space="preserve">, </w:t>
      </w:r>
      <w:r w:rsidRPr="00B43126">
        <w:t>follow</w:t>
      </w:r>
      <w:r w:rsidRPr="00B43126">
        <w:softHyphen/>
        <w:t>ing Adolf Jülicher</w:t>
      </w:r>
      <w:r w:rsidR="006F304D" w:rsidRPr="006F304D">
        <w:t xml:space="preserve">, </w:t>
      </w:r>
      <w:r w:rsidRPr="00B43126">
        <w:rPr>
          <w:i/>
          <w:iCs/>
        </w:rPr>
        <w:t>Die Gleichnisreden Jesu</w:t>
      </w:r>
      <w:r w:rsidRPr="00B43126">
        <w:t xml:space="preserve"> [2 vols.; Tübingen: 1899</w:t>
      </w:r>
      <w:r w:rsidR="006F304D" w:rsidRPr="006F304D">
        <w:t xml:space="preserve">, </w:t>
      </w:r>
      <w:r w:rsidRPr="00B43126">
        <w:t>1910])</w:t>
      </w:r>
      <w:r w:rsidR="006F304D" w:rsidRPr="006F304D">
        <w:t xml:space="preserve">, </w:t>
      </w:r>
      <w:r w:rsidRPr="00B43126">
        <w:t xml:space="preserve">“the </w:t>
      </w:r>
      <w:r w:rsidRPr="00B43126">
        <w:rPr>
          <w:i/>
          <w:iCs/>
        </w:rPr>
        <w:t>Parable</w:t>
      </w:r>
      <w:r w:rsidRPr="00B43126">
        <w:t xml:space="preserve"> [trans</w:t>
      </w:r>
      <w:r w:rsidRPr="00B43126">
        <w:softHyphen/>
        <w:t>poses] a similitude into a story</w:t>
      </w:r>
      <w:r w:rsidR="006F304D" w:rsidRPr="006F304D">
        <w:t xml:space="preserve">, </w:t>
      </w:r>
      <w:r w:rsidRPr="00B43126">
        <w:t>or</w:t>
      </w:r>
      <w:r w:rsidR="006F304D" w:rsidRPr="006F304D">
        <w:t xml:space="preserve">, </w:t>
      </w:r>
      <w:r w:rsidRPr="00B43126">
        <w:t>to put it in different terms</w:t>
      </w:r>
      <w:r w:rsidR="006F304D" w:rsidRPr="006F304D">
        <w:t xml:space="preserve">, </w:t>
      </w:r>
      <w:r w:rsidRPr="00B43126">
        <w:t>gives as its picture not a typical condition or a typical</w:t>
      </w:r>
      <w:r w:rsidR="006F304D" w:rsidRPr="006F304D">
        <w:t xml:space="preserve">, </w:t>
      </w:r>
      <w:r w:rsidRPr="00B43126">
        <w:t>recurrent event</w:t>
      </w:r>
      <w:r w:rsidR="006F304D" w:rsidRPr="006F304D">
        <w:t xml:space="preserve">, </w:t>
      </w:r>
      <w:r w:rsidRPr="00B43126">
        <w:t>but some interesting particular situation.”</w:t>
      </w:r>
    </w:p>
  </w:footnote>
  <w:footnote w:id="405">
    <w:p w14:paraId="7BE9E1FC" w14:textId="794B18F7" w:rsidR="0018433B" w:rsidRPr="00B43126" w:rsidRDefault="0018433B" w:rsidP="0018433B">
      <w:r w:rsidRPr="00B43126">
        <w:rPr>
          <w:rStyle w:val="FootnoteReference"/>
        </w:rPr>
        <w:footnoteRef/>
      </w:r>
      <w:r w:rsidRPr="00B43126">
        <w:t xml:space="preserve"> One is tempted to include 45 as nonfigurative as well</w:t>
      </w:r>
      <w:r w:rsidR="006F304D" w:rsidRPr="006F304D">
        <w:t xml:space="preserve">, </w:t>
      </w:r>
      <w:r w:rsidRPr="00B43126">
        <w:t>for the metaphor in that verse (the heart is treasure) is merely decorative (in contrast to the functional metaphors in</w:t>
      </w:r>
      <w:r w:rsidR="006F304D" w:rsidRPr="006F304D">
        <w:t xml:space="preserve">, </w:t>
      </w:r>
      <w:r w:rsidRPr="00B43126">
        <w:t>for example</w:t>
      </w:r>
      <w:r w:rsidR="006F304D" w:rsidRPr="006F304D">
        <w:t xml:space="preserve">, </w:t>
      </w:r>
      <w:r w:rsidRPr="00B43126">
        <w:t>39bc or 43). (For the distinction between “decorative” and “functional” metaphors</w:t>
      </w:r>
      <w:r w:rsidR="006F304D" w:rsidRPr="006F304D">
        <w:t xml:space="preserve">, </w:t>
      </w:r>
      <w:r w:rsidRPr="00B43126">
        <w:t>see Cleanth Brooks</w:t>
      </w:r>
      <w:r w:rsidR="006F304D" w:rsidRPr="006F304D">
        <w:t xml:space="preserve">, </w:t>
      </w:r>
      <w:r>
        <w:rPr>
          <w:i/>
        </w:rPr>
        <w:t xml:space="preserve">The </w:t>
      </w:r>
      <w:r w:rsidRPr="00B43126">
        <w:rPr>
          <w:i/>
          <w:iCs/>
        </w:rPr>
        <w:t>Well</w:t>
      </w:r>
      <w:r>
        <w:rPr>
          <w:i/>
          <w:iCs/>
        </w:rPr>
        <w:t xml:space="preserve"> </w:t>
      </w:r>
      <w:r w:rsidRPr="00B43126">
        <w:rPr>
          <w:i/>
          <w:iCs/>
        </w:rPr>
        <w:t>Wrought Urn</w:t>
      </w:r>
      <w:r>
        <w:rPr>
          <w:iCs/>
        </w:rPr>
        <w:t xml:space="preserve"> [New York: Harcourt</w:t>
      </w:r>
      <w:r w:rsidR="006F304D" w:rsidRPr="006F304D">
        <w:rPr>
          <w:iCs/>
        </w:rPr>
        <w:t xml:space="preserve">, </w:t>
      </w:r>
      <w:r>
        <w:rPr>
          <w:iCs/>
        </w:rPr>
        <w:t>Brace</w:t>
      </w:r>
      <w:r w:rsidR="006F304D" w:rsidRPr="006F304D">
        <w:rPr>
          <w:iCs/>
        </w:rPr>
        <w:t xml:space="preserve">, </w:t>
      </w:r>
      <w:r>
        <w:rPr>
          <w:iCs/>
        </w:rPr>
        <w:t>1947]</w:t>
      </w:r>
      <w:r w:rsidR="006F304D" w:rsidRPr="006F304D">
        <w:rPr>
          <w:iCs/>
        </w:rPr>
        <w:t xml:space="preserve">, </w:t>
      </w:r>
      <w:r w:rsidRPr="00B43126">
        <w:t>259-60.)</w:t>
      </w:r>
    </w:p>
  </w:footnote>
  <w:footnote w:id="406">
    <w:p w14:paraId="568F8000" w14:textId="29AD93D9" w:rsidR="0018433B" w:rsidRPr="00B43126" w:rsidRDefault="0018433B" w:rsidP="0018433B">
      <w:r w:rsidRPr="00B43126">
        <w:rPr>
          <w:rStyle w:val="FootnoteReference"/>
        </w:rPr>
        <w:footnoteRef/>
      </w:r>
      <w:r w:rsidRPr="00B43126">
        <w:t xml:space="preserve"> One way in which Talbert could explain these non-narrative logia would be to use “parable” in its ancient sense</w:t>
      </w:r>
      <w:r w:rsidR="006F304D" w:rsidRPr="006F304D">
        <w:t xml:space="preserve">, </w:t>
      </w:r>
      <w:r w:rsidRPr="00B43126">
        <w:t>in which all comparisons without distinction</w:t>
      </w:r>
      <w:r w:rsidR="006F304D" w:rsidRPr="006F304D">
        <w:t xml:space="preserve">, </w:t>
      </w:r>
      <w:r w:rsidRPr="00B43126">
        <w:t>and some polished sayings that lack comparisons</w:t>
      </w:r>
      <w:r w:rsidR="006F304D" w:rsidRPr="006F304D">
        <w:t xml:space="preserve">, </w:t>
      </w:r>
      <w:r w:rsidRPr="00B43126">
        <w:t>are included (again</w:t>
      </w:r>
      <w:r w:rsidR="006F304D" w:rsidRPr="006F304D">
        <w:t xml:space="preserve">, </w:t>
      </w:r>
      <w:r w:rsidRPr="00B43126">
        <w:t>see 154 n. 53). (One commentator who does use the word in this sense is Burnside</w:t>
      </w:r>
      <w:r w:rsidR="006F304D" w:rsidRPr="006F304D">
        <w:t xml:space="preserve">, </w:t>
      </w:r>
      <w:r w:rsidRPr="00B43126">
        <w:rPr>
          <w:i/>
          <w:iCs/>
        </w:rPr>
        <w:t>Gospel</w:t>
      </w:r>
      <w:r w:rsidR="006F304D" w:rsidRPr="006F304D">
        <w:rPr>
          <w:iCs/>
        </w:rPr>
        <w:t xml:space="preserve">, </w:t>
      </w:r>
      <w:r w:rsidRPr="00B43126">
        <w:t>139.)</w:t>
      </w:r>
    </w:p>
  </w:footnote>
  <w:footnote w:id="407">
    <w:p w14:paraId="5A2E58CA" w14:textId="6EA84B2E" w:rsidR="0018433B" w:rsidRPr="00B43126" w:rsidRDefault="0018433B" w:rsidP="0018433B">
      <w:r w:rsidRPr="00B43126">
        <w:rPr>
          <w:rStyle w:val="FootnoteReference"/>
        </w:rPr>
        <w:footnoteRef/>
      </w:r>
      <w:r w:rsidRPr="00B43126">
        <w:t xml:space="preserve"> Talbert argues for the unity of 39-45 (</w:t>
      </w:r>
      <w:r w:rsidRPr="00B43126">
        <w:rPr>
          <w:i/>
          <w:iCs/>
        </w:rPr>
        <w:t>Reading Luke</w:t>
      </w:r>
      <w:r w:rsidR="006F304D" w:rsidRPr="006F304D">
        <w:rPr>
          <w:iCs/>
        </w:rPr>
        <w:t xml:space="preserve">, </w:t>
      </w:r>
      <w:r w:rsidRPr="00B43126">
        <w:t>75): 39-45 are “concerned with the matter of Christian influence</w:t>
      </w:r>
      <w:r>
        <w:t>. . . .</w:t>
      </w:r>
      <w:r w:rsidRPr="00B43126">
        <w:t xml:space="preserve"> the pattern of the section is ABA´ </w:t>
      </w:r>
      <w:r>
        <w:t>. . .</w:t>
      </w:r>
      <w:r w:rsidRPr="00B43126">
        <w:t xml:space="preserve"> [41-42] speaks of the need for the guide to be self-critical [and 39-40 and 43-45] function as motivations for the central concern </w:t>
      </w:r>
      <w:r>
        <w:t>. . .</w:t>
      </w:r>
      <w:r w:rsidRPr="00B43126">
        <w:t>” But he does not explain the connection between 39-45 and 46-49</w:t>
      </w:r>
      <w:r w:rsidR="006F304D" w:rsidRPr="006F304D">
        <w:t xml:space="preserve">, </w:t>
      </w:r>
      <w:r w:rsidRPr="00B43126">
        <w:t>other than to say</w:t>
      </w:r>
      <w:r w:rsidR="006F304D" w:rsidRPr="006F304D">
        <w:t xml:space="preserve">, </w:t>
      </w:r>
      <w:r w:rsidRPr="00B43126">
        <w:t>“The final parable (6:46-49) serves both as the end of section three (6:39-49) and as the conclusion of the entirety of the Sermon on the Plain.” The only reason to see 46-49 as a conclusion to 39-45 is formal (to form four parables); nothing in the content of 39-49 makes it a conclusion of 39-45.</w:t>
      </w:r>
    </w:p>
  </w:footnote>
  <w:footnote w:id="408">
    <w:p w14:paraId="3F112097" w14:textId="6C29D23C" w:rsidR="0018433B" w:rsidRPr="00B43126" w:rsidRDefault="0018433B" w:rsidP="0018433B">
      <w:r w:rsidRPr="00B43126">
        <w:rPr>
          <w:rStyle w:val="FootnoteReference"/>
        </w:rPr>
        <w:footnoteRef/>
      </w:r>
      <w:r w:rsidRPr="00B43126">
        <w:t xml:space="preserve"> I am giving Talbert the benefit of the doubt in calling these verses a “series” of parables. Verses 36bcd and 37-38 are similitudes rather than parables (Hunter</w:t>
      </w:r>
      <w:r w:rsidR="006F304D" w:rsidRPr="006F304D">
        <w:t xml:space="preserve">, </w:t>
      </w:r>
      <w:r w:rsidRPr="00B43126">
        <w:rPr>
          <w:i/>
          <w:iCs/>
        </w:rPr>
        <w:t>Interpreting the Parables</w:t>
      </w:r>
      <w:r w:rsidR="006F304D" w:rsidRPr="006F304D">
        <w:rPr>
          <w:iCs/>
        </w:rPr>
        <w:t xml:space="preserve">, </w:t>
      </w:r>
      <w:r w:rsidRPr="00B43126">
        <w:t>9)</w:t>
      </w:r>
      <w:r w:rsidR="006F304D" w:rsidRPr="006F304D">
        <w:t xml:space="preserve">, </w:t>
      </w:r>
      <w:r w:rsidRPr="00B43126">
        <w:t>and 39 is a gnomic utterance; but Talbert could argue that all of them fall within the ancient meaning of παραβoλή. (Incidentally</w:t>
      </w:r>
      <w:r w:rsidR="006F304D" w:rsidRPr="006F304D">
        <w:t xml:space="preserve">, </w:t>
      </w:r>
      <w:r w:rsidRPr="00B43126">
        <w:t>38 and 39 are probably appended logia. Verse 38 may be the creation of a redactor [Luke or a predecessor]: it disturbs the parallelism of the pair of similitudes [36</w:t>
      </w:r>
      <w:r w:rsidR="006F304D" w:rsidRPr="006F304D">
        <w:t xml:space="preserve">, </w:t>
      </w:r>
      <w:r w:rsidRPr="00B43126">
        <w:t>37] by overextending the latter. Verse 39 might be an originally separate logion that was added to 36-37 on the basis of the catchwords “new wine” and “old wine,” but given the exactness of the match [not just “wine,” but “new wine” and “old wine” in both]</w:t>
      </w:r>
      <w:r w:rsidR="006F304D" w:rsidRPr="006F304D">
        <w:t xml:space="preserve">, </w:t>
      </w:r>
      <w:r w:rsidRPr="00B43126">
        <w:t>it seems more likely that 39 too is the creation of a redactor.)</w:t>
      </w:r>
    </w:p>
  </w:footnote>
  <w:footnote w:id="409">
    <w:p w14:paraId="0F1C0737" w14:textId="364EE98A" w:rsidR="0018433B" w:rsidRPr="00B43126" w:rsidRDefault="0018433B" w:rsidP="0018433B">
      <w:r w:rsidRPr="00B43126">
        <w:rPr>
          <w:rStyle w:val="FootnoteReference"/>
        </w:rPr>
        <w:footnoteRef/>
      </w:r>
      <w:r w:rsidRPr="00B43126">
        <w:t xml:space="preserve"> It could be</w:t>
      </w:r>
      <w:r w:rsidR="006F304D" w:rsidRPr="006F304D">
        <w:t xml:space="preserve">, </w:t>
      </w:r>
      <w:r w:rsidRPr="00B43126">
        <w:t>too</w:t>
      </w:r>
      <w:r w:rsidR="006F304D" w:rsidRPr="006F304D">
        <w:t xml:space="preserve">, </w:t>
      </w:r>
      <w:r w:rsidRPr="00B43126">
        <w:t>that in 5:36a he meant by παραβoλή only the first saying that follows (36bcd);</w:t>
      </w:r>
      <w:r>
        <w:t xml:space="preserve"> we have already seen</w:t>
      </w:r>
      <w:r w:rsidRPr="00B43126">
        <w:t xml:space="preserve"> that such is probable in 6:39a. But 5:36a once again cannot justi</w:t>
      </w:r>
      <w:r>
        <w:t>fy reading 6:39a as ref</w:t>
      </w:r>
      <w:r w:rsidRPr="00B43126">
        <w:t>erring to all of 6:39-49.</w:t>
      </w:r>
    </w:p>
  </w:footnote>
  <w:footnote w:id="410">
    <w:p w14:paraId="414D91F6" w14:textId="0B6E88EE" w:rsidR="0018433B" w:rsidRPr="00B43126" w:rsidRDefault="0018433B" w:rsidP="0018433B">
      <w:r w:rsidRPr="00B43126">
        <w:rPr>
          <w:rStyle w:val="FootnoteReference"/>
        </w:rPr>
        <w:footnoteRef/>
      </w:r>
      <w:r w:rsidRPr="00B43126">
        <w:t xml:space="preserve"> The only narrative “ligaments” in 14:28-16:31</w:t>
      </w:r>
      <w:r w:rsidR="006F304D" w:rsidRPr="006F304D">
        <w:t xml:space="preserve">, </w:t>
      </w:r>
      <w:r w:rsidRPr="00B43126">
        <w:t>aside from 15:1-3</w:t>
      </w:r>
      <w:r w:rsidR="006F304D" w:rsidRPr="006F304D">
        <w:t xml:space="preserve">, </w:t>
      </w:r>
      <w:r w:rsidRPr="00B43126">
        <w:t>are 15:11 (“Then Jesus said”)</w:t>
      </w:r>
      <w:r w:rsidR="006F304D" w:rsidRPr="006F304D">
        <w:t xml:space="preserve">, </w:t>
      </w:r>
      <w:r w:rsidRPr="00B43126">
        <w:t>16:1 (“Then Jesus said to the disciples”)</w:t>
      </w:r>
      <w:r w:rsidR="006F304D" w:rsidRPr="006F304D">
        <w:t xml:space="preserve">, </w:t>
      </w:r>
      <w:r w:rsidRPr="00B43126">
        <w:t>and 16:14-15 (“The Pharisees</w:t>
      </w:r>
      <w:r w:rsidR="006F304D" w:rsidRPr="006F304D">
        <w:t xml:space="preserve">, </w:t>
      </w:r>
      <w:r w:rsidRPr="00B43126">
        <w:t>who were lovers of money</w:t>
      </w:r>
      <w:r w:rsidR="006F304D" w:rsidRPr="006F304D">
        <w:t xml:space="preserve">, </w:t>
      </w:r>
      <w:r w:rsidRPr="00B43126">
        <w:t>heard all this</w:t>
      </w:r>
      <w:r w:rsidR="006F304D" w:rsidRPr="006F304D">
        <w:t xml:space="preserve">, </w:t>
      </w:r>
      <w:r w:rsidRPr="00B43126">
        <w:t>and they ridiculed him. So he said to them”).</w:t>
      </w:r>
    </w:p>
  </w:footnote>
  <w:footnote w:id="411">
    <w:p w14:paraId="57E5610F" w14:textId="37BE22F8" w:rsidR="0018433B" w:rsidRPr="00B43126" w:rsidRDefault="0018433B" w:rsidP="0018433B">
      <w:r w:rsidRPr="00B43126">
        <w:rPr>
          <w:rStyle w:val="FootnoteReference"/>
        </w:rPr>
        <w:footnoteRef/>
      </w:r>
      <w:r w:rsidRPr="00B43126">
        <w:t xml:space="preserve"> In 20:19</w:t>
      </w:r>
      <w:r w:rsidR="006F304D" w:rsidRPr="006F304D">
        <w:t xml:space="preserve">, </w:t>
      </w:r>
      <w:r w:rsidRPr="00B43126">
        <w:t>the clause follows its parable.</w:t>
      </w:r>
    </w:p>
  </w:footnote>
  <w:footnote w:id="412">
    <w:p w14:paraId="15C95C5C" w14:textId="6A0B0D2D" w:rsidR="0018433B" w:rsidRPr="00B43126" w:rsidRDefault="0018433B" w:rsidP="0018433B">
      <w:r w:rsidRPr="00A71A39">
        <w:rPr>
          <w:rStyle w:val="FootnoteReference"/>
        </w:rPr>
        <w:footnoteRef/>
      </w:r>
      <w:r w:rsidRPr="00A71A39">
        <w:rPr>
          <w:iCs/>
        </w:rPr>
        <w:t xml:space="preserve"> </w:t>
      </w:r>
      <w:r w:rsidRPr="00B43126">
        <w:rPr>
          <w:i/>
          <w:iCs/>
        </w:rPr>
        <w:t>Reading Luke</w:t>
      </w:r>
      <w:r w:rsidR="006F304D" w:rsidRPr="006F304D">
        <w:rPr>
          <w:iCs/>
        </w:rPr>
        <w:t xml:space="preserve">, </w:t>
      </w:r>
      <w:r w:rsidRPr="00B43126">
        <w:t>69.</w:t>
      </w:r>
    </w:p>
  </w:footnote>
  <w:footnote w:id="413">
    <w:p w14:paraId="68E8FC14" w14:textId="7A3EB6A1" w:rsidR="0018433B" w:rsidRPr="00B43126" w:rsidRDefault="0018433B" w:rsidP="0018433B">
      <w:r w:rsidRPr="00B43126">
        <w:rPr>
          <w:rStyle w:val="FootnoteReference"/>
        </w:rPr>
        <w:footnoteRef/>
      </w:r>
      <w:r w:rsidRPr="00B43126">
        <w:t xml:space="preserve"> Talbert says that 38b is the summary for verses 37-38; by 38b he no doubt means 38c</w:t>
      </w:r>
      <w:r w:rsidR="006F304D" w:rsidRPr="006F304D">
        <w:t xml:space="preserve">, </w:t>
      </w:r>
      <w:r w:rsidRPr="00B43126">
        <w:t>“For the measure you give will be the measure you get back.”</w:t>
      </w:r>
    </w:p>
  </w:footnote>
  <w:footnote w:id="414">
    <w:p w14:paraId="4D1B701E" w14:textId="0AFF09A3" w:rsidR="0018433B" w:rsidRPr="00B43126" w:rsidRDefault="0018433B" w:rsidP="0018433B">
      <w:r w:rsidRPr="00B43126">
        <w:rPr>
          <w:rStyle w:val="FootnoteReference"/>
        </w:rPr>
        <w:footnoteRef/>
      </w:r>
      <w:r w:rsidRPr="00B43126">
        <w:t xml:space="preserve"> See above</w:t>
      </w:r>
      <w:r w:rsidR="006F304D" w:rsidRPr="006F304D">
        <w:t xml:space="preserve">, </w:t>
      </w:r>
      <w:r w:rsidRPr="00B43126">
        <w:t>pp. 154-156.</w:t>
      </w:r>
    </w:p>
  </w:footnote>
  <w:footnote w:id="415">
    <w:p w14:paraId="30A91B79" w14:textId="415B1AE6" w:rsidR="0018433B" w:rsidRPr="00B43126" w:rsidRDefault="0018433B" w:rsidP="0018433B">
      <w:r w:rsidRPr="00B43126">
        <w:rPr>
          <w:rStyle w:val="FootnoteReference"/>
        </w:rPr>
        <w:footnoteRef/>
      </w:r>
      <w:r w:rsidRPr="00B43126">
        <w:t xml:space="preserve"> As we begin</w:t>
      </w:r>
      <w:r w:rsidR="006F304D" w:rsidRPr="006F304D">
        <w:t xml:space="preserve">, </w:t>
      </w:r>
      <w:r w:rsidRPr="00B43126">
        <w:t>it may be noted that the influential Lukan scholar Hans Conzelmann</w:t>
      </w:r>
      <w:r w:rsidR="006F304D" w:rsidRPr="006F304D">
        <w:t xml:space="preserve">, </w:t>
      </w:r>
      <w:r w:rsidRPr="00B43126">
        <w:t>whose seminal work on Luke (</w:t>
      </w:r>
      <w:r w:rsidRPr="00B43126">
        <w:rPr>
          <w:i/>
          <w:iCs/>
        </w:rPr>
        <w:t>The Theology of St Luke</w:t>
      </w:r>
      <w:r w:rsidRPr="00B43126">
        <w:t xml:space="preserve"> [New York: </w:t>
      </w:r>
      <w:r w:rsidR="00E95268" w:rsidRPr="00E95268">
        <w:rPr>
          <w:iCs/>
        </w:rPr>
        <w:t>Harper and Row</w:t>
      </w:r>
      <w:r w:rsidR="006F304D" w:rsidRPr="006F304D">
        <w:t xml:space="preserve">, </w:t>
      </w:r>
      <w:r w:rsidRPr="00B43126">
        <w:t>1960]) appeared only five years after Morgenthaler’s volumes</w:t>
      </w:r>
      <w:r w:rsidR="006F304D" w:rsidRPr="006F304D">
        <w:t xml:space="preserve">, </w:t>
      </w:r>
      <w:r w:rsidRPr="00B43126">
        <w:t xml:space="preserve">displays </w:t>
      </w:r>
      <w:r w:rsidRPr="00B43126">
        <w:rPr>
          <w:i/>
          <w:iCs/>
        </w:rPr>
        <w:t>no</w:t>
      </w:r>
      <w:r w:rsidRPr="00B43126">
        <w:t xml:space="preserve"> interest in numerical principles of organization in Luke-Acts. Yet Conzelmann knew of Morgenthaler’s work. Conzel</w:t>
      </w:r>
      <w:r w:rsidRPr="00B43126">
        <w:softHyphen/>
        <w:t>mann refers to Morgenthaler only once</w:t>
      </w:r>
      <w:r w:rsidR="006F304D" w:rsidRPr="006F304D">
        <w:t xml:space="preserve">, </w:t>
      </w:r>
      <w:r w:rsidRPr="00B43126">
        <w:t>while d</w:t>
      </w:r>
      <w:r>
        <w:t>iscussing the verb “proclaim” (κ</w:t>
      </w:r>
      <w:r w:rsidRPr="00B43126">
        <w:t xml:space="preserve">ηρύσσειv): noting how often Luke couples </w:t>
      </w:r>
      <w:r>
        <w:t>χ</w:t>
      </w:r>
      <w:r w:rsidRPr="00B43126">
        <w:t>ηρύσσειv with a second verb (</w:t>
      </w:r>
      <w:r w:rsidR="00775F9B" w:rsidRPr="00775F9B">
        <w:rPr>
          <w:iCs/>
        </w:rPr>
        <w:t>e.g.</w:t>
      </w:r>
      <w:r w:rsidR="006F304D" w:rsidRPr="006F304D">
        <w:t xml:space="preserve">, </w:t>
      </w:r>
      <w:r w:rsidRPr="00B43126">
        <w:t>“evangelize” [ε</w:t>
      </w:r>
      <w:r w:rsidRPr="00CB0999">
        <w:rPr>
          <w:szCs w:val="22"/>
          <w:lang w:bidi="he-IL"/>
        </w:rPr>
        <w:t>ὐ</w:t>
      </w:r>
      <w:r w:rsidRPr="00B43126">
        <w:t>αγγελίζεσθαι]</w:t>
      </w:r>
      <w:r w:rsidR="006F304D" w:rsidRPr="006F304D">
        <w:t xml:space="preserve">, </w:t>
      </w:r>
      <w:r w:rsidRPr="00B43126">
        <w:rPr>
          <w:i/>
          <w:iCs/>
        </w:rPr>
        <w:t>Theology</w:t>
      </w:r>
      <w:r w:rsidR="006F304D" w:rsidRPr="006F304D">
        <w:rPr>
          <w:iCs/>
        </w:rPr>
        <w:t xml:space="preserve">, </w:t>
      </w:r>
      <w:r w:rsidRPr="00B43126">
        <w:t>222)</w:t>
      </w:r>
      <w:r w:rsidR="006F304D" w:rsidRPr="006F304D">
        <w:t xml:space="preserve">, </w:t>
      </w:r>
      <w:r w:rsidRPr="00B43126">
        <w:t>he says (ibid. n. 2)</w:t>
      </w:r>
      <w:r w:rsidR="006F304D" w:rsidRPr="006F304D">
        <w:t xml:space="preserve">, </w:t>
      </w:r>
      <w:r w:rsidRPr="00B43126">
        <w:t>“This rhetorical duplication is a common feature</w:t>
      </w:r>
      <w:r w:rsidR="006F304D" w:rsidRPr="006F304D">
        <w:t xml:space="preserve">, </w:t>
      </w:r>
      <w:r w:rsidRPr="00B43126">
        <w:t>although particularly frequent in Luke in the New Testament. (Cf. the figures given by Morgenthaler.)” But he adds a caution: “We must of course distinguish between duplications which are purely rhetorical and those which have real significance.” The distinction between the merely rhetorical and the significant suggests that by “real significance” Conzelmann means “contentual significance”; and this in turn explains his lack of interest in numerical principles (indeed</w:t>
      </w:r>
      <w:r w:rsidR="006F304D" w:rsidRPr="006F304D">
        <w:t xml:space="preserve">, </w:t>
      </w:r>
      <w:r w:rsidRPr="00B43126">
        <w:t>in any formal principles of organization).</w:t>
      </w:r>
    </w:p>
    <w:p w14:paraId="628FAC00" w14:textId="6D17BAA9" w:rsidR="0018433B" w:rsidRPr="00B43126" w:rsidRDefault="0018433B" w:rsidP="0018433B">
      <w:r w:rsidRPr="00B43126">
        <w:t>Yet Conzelmann finds many schemata in Luke-Acts. As Werner Wiater comments</w:t>
      </w:r>
      <w:r w:rsidR="006F304D" w:rsidRPr="006F304D">
        <w:t xml:space="preserve">, </w:t>
      </w:r>
      <w:r w:rsidRPr="00B43126">
        <w:t>“the method of composition of Luke in the gospel and Acts is</w:t>
      </w:r>
      <w:r w:rsidR="006F304D" w:rsidRPr="006F304D">
        <w:t xml:space="preserve">, </w:t>
      </w:r>
      <w:r w:rsidRPr="00B43126">
        <w:t>according to H. Conzelmann</w:t>
      </w:r>
      <w:r w:rsidR="006F304D" w:rsidRPr="006F304D">
        <w:t xml:space="preserve">, </w:t>
      </w:r>
      <w:r w:rsidRPr="00B43126">
        <w:t>schematic</w:t>
      </w:r>
      <w:r w:rsidR="006F304D" w:rsidRPr="006F304D">
        <w:t xml:space="preserve">, </w:t>
      </w:r>
      <w:r w:rsidRPr="00B43126">
        <w:t>as numerous schemata in the two volumes</w:t>
      </w:r>
      <w:r w:rsidR="006F304D" w:rsidRPr="006F304D">
        <w:t xml:space="preserve">, </w:t>
      </w:r>
      <w:r w:rsidRPr="00B43126">
        <w:t>as well as the ‘schematizing’ in the Acts</w:t>
      </w:r>
      <w:r w:rsidR="006F304D" w:rsidRPr="006F304D">
        <w:t xml:space="preserve">, </w:t>
      </w:r>
      <w:r w:rsidRPr="00B43126">
        <w:t>demonstrates” (“Komposition als Mittel der Interpretation im Lukanischen Doppelwerk” [Ph.D. dissertation</w:t>
      </w:r>
      <w:r w:rsidR="006F304D" w:rsidRPr="006F304D">
        <w:t xml:space="preserve">, </w:t>
      </w:r>
      <w:r w:rsidRPr="00B43126">
        <w:t>Rheinischen Friedrich-Wilhelms-Universität</w:t>
      </w:r>
      <w:r w:rsidR="006F304D" w:rsidRPr="006F304D">
        <w:t xml:space="preserve">, </w:t>
      </w:r>
      <w:r w:rsidRPr="00B43126">
        <w:t>Bonn</w:t>
      </w:r>
      <w:r w:rsidR="006F304D" w:rsidRPr="006F304D">
        <w:t xml:space="preserve">, </w:t>
      </w:r>
      <w:r w:rsidRPr="00B43126">
        <w:t>1972] 38). Wiater lists a number of these sche</w:t>
      </w:r>
      <w:r w:rsidRPr="00B43126">
        <w:softHyphen/>
        <w:t>mata (253 n. 19): “In addition to the three-part scheme of redemptive history</w:t>
      </w:r>
      <w:r w:rsidR="006F304D" w:rsidRPr="006F304D">
        <w:t xml:space="preserve">, </w:t>
      </w:r>
      <w:r w:rsidRPr="00B43126">
        <w:t>see the scheme of the travel narrative</w:t>
      </w:r>
      <w:r w:rsidR="006F304D" w:rsidRPr="006F304D">
        <w:t xml:space="preserve">, </w:t>
      </w:r>
      <w:r w:rsidRPr="00B43126">
        <w:t>the scheme of prophecy—fulfillment</w:t>
      </w:r>
      <w:r w:rsidR="006F304D" w:rsidRPr="006F304D">
        <w:t xml:space="preserve">, </w:t>
      </w:r>
      <w:r w:rsidRPr="00B43126">
        <w:t>the conversion scheme</w:t>
      </w:r>
      <w:r w:rsidR="006F304D" w:rsidRPr="006F304D">
        <w:t xml:space="preserve">, </w:t>
      </w:r>
      <w:r w:rsidRPr="00B43126">
        <w:t>the scheme: eschato</w:t>
      </w:r>
      <w:r w:rsidRPr="00B43126">
        <w:softHyphen/>
        <w:t>logical instruction—parenesis</w:t>
      </w:r>
      <w:r w:rsidR="006F304D" w:rsidRPr="006F304D">
        <w:t xml:space="preserve">, </w:t>
      </w:r>
      <w:r w:rsidRPr="00B43126">
        <w:t>etc.; in the Acts</w:t>
      </w:r>
      <w:r w:rsidR="006F304D" w:rsidRPr="006F304D">
        <w:t xml:space="preserve">, </w:t>
      </w:r>
      <w:r w:rsidRPr="00B43126">
        <w:t>the scheme of the speeches</w:t>
      </w:r>
      <w:r w:rsidR="006F304D" w:rsidRPr="006F304D">
        <w:t xml:space="preserve">, </w:t>
      </w:r>
      <w:r w:rsidRPr="00B43126">
        <w:t>the scheme: scene—spreading</w:t>
      </w:r>
      <w:r>
        <w:t xml:space="preserve"> of the call—activity</w:t>
      </w:r>
      <w:r w:rsidR="006F304D" w:rsidRPr="006F304D">
        <w:t xml:space="preserve">, </w:t>
      </w:r>
      <w:r>
        <w:t>etc.” (For</w:t>
      </w:r>
      <w:r w:rsidRPr="00B43126">
        <w:t xml:space="preserve"> his own comments on “schematizing” in Acts</w:t>
      </w:r>
      <w:r w:rsidR="006F304D" w:rsidRPr="006F304D">
        <w:t xml:space="preserve">, </w:t>
      </w:r>
      <w:r w:rsidRPr="00B43126">
        <w:t>see Conzel</w:t>
      </w:r>
      <w:r w:rsidRPr="00B43126">
        <w:softHyphen/>
        <w:t>mann</w:t>
      </w:r>
      <w:r w:rsidR="006F304D" w:rsidRPr="006F304D">
        <w:t xml:space="preserve">, </w:t>
      </w:r>
      <w:r w:rsidRPr="00B43126">
        <w:rPr>
          <w:i/>
          <w:iCs/>
        </w:rPr>
        <w:t>Die Apostelgeschichte</w:t>
      </w:r>
      <w:r w:rsidRPr="00B43126">
        <w:t xml:space="preserve"> [HNT 7; </w:t>
      </w:r>
      <w:r w:rsidR="0029762C" w:rsidRPr="0029762C">
        <w:rPr>
          <w:iCs/>
        </w:rPr>
        <w:t>2nd ed.</w:t>
      </w:r>
      <w:r w:rsidRPr="00B43126">
        <w:t>; Tübingen: Mohr</w:t>
      </w:r>
      <w:r w:rsidR="006F304D" w:rsidRPr="006F304D">
        <w:t xml:space="preserve">, </w:t>
      </w:r>
      <w:r w:rsidRPr="00B43126">
        <w:t>1972] 7 [cited by Wiater</w:t>
      </w:r>
      <w:r w:rsidR="006F304D" w:rsidRPr="006F304D">
        <w:t xml:space="preserve">, </w:t>
      </w:r>
      <w:r w:rsidRPr="00B43126">
        <w:t>“Komposi</w:t>
      </w:r>
      <w:r w:rsidRPr="00B43126">
        <w:softHyphen/>
        <w:t>tion,” 253 n. 20].) All of these schemes</w:t>
      </w:r>
      <w:r w:rsidR="006F304D" w:rsidRPr="006F304D">
        <w:t xml:space="preserve">, </w:t>
      </w:r>
      <w:r w:rsidRPr="00B43126">
        <w:t>however</w:t>
      </w:r>
      <w:r w:rsidR="006F304D" w:rsidRPr="006F304D">
        <w:t xml:space="preserve">, </w:t>
      </w:r>
      <w:r w:rsidRPr="00B43126">
        <w:t>are founded on contentual</w:t>
      </w:r>
      <w:r w:rsidR="006F304D" w:rsidRPr="006F304D">
        <w:t xml:space="preserve">, </w:t>
      </w:r>
      <w:r w:rsidRPr="00B43126">
        <w:t>not formal</w:t>
      </w:r>
      <w:r w:rsidR="006F304D" w:rsidRPr="006F304D">
        <w:t xml:space="preserve">, </w:t>
      </w:r>
      <w:r w:rsidRPr="00B43126">
        <w:t>principles.</w:t>
      </w:r>
    </w:p>
  </w:footnote>
  <w:footnote w:id="416">
    <w:p w14:paraId="3CC65AEF" w14:textId="71E01E88" w:rsidR="0018433B" w:rsidRPr="00B43126" w:rsidRDefault="0018433B" w:rsidP="0018433B">
      <w:r w:rsidRPr="00B43126">
        <w:rPr>
          <w:rStyle w:val="FootnoteReference"/>
        </w:rPr>
        <w:footnoteRef/>
      </w:r>
      <w:r w:rsidRPr="00B43126">
        <w:t xml:space="preserve"> “Die Motivierung der Feindesliebe in Lukas VI 32-35,” </w:t>
      </w:r>
      <w:r w:rsidR="00826EC1" w:rsidRPr="00826EC1">
        <w:rPr>
          <w:i/>
        </w:rPr>
        <w:t>Novum Testamentum</w:t>
      </w:r>
      <w:r w:rsidRPr="00B43126">
        <w:t xml:space="preserve"> 8 (1966) 284-300.</w:t>
      </w:r>
    </w:p>
  </w:footnote>
  <w:footnote w:id="417">
    <w:p w14:paraId="209B61FC" w14:textId="2907E564" w:rsidR="0018433B" w:rsidRPr="00B43126" w:rsidRDefault="0018433B" w:rsidP="0018433B">
      <w:r w:rsidRPr="00B43126">
        <w:rPr>
          <w:rStyle w:val="FootnoteReference"/>
        </w:rPr>
        <w:footnoteRef/>
      </w:r>
      <w:r w:rsidRPr="00B43126">
        <w:t xml:space="preserve"> Ibid.</w:t>
      </w:r>
      <w:r w:rsidR="006F304D" w:rsidRPr="006F304D">
        <w:t xml:space="preserve">, </w:t>
      </w:r>
      <w:r w:rsidRPr="00B43126">
        <w:t>287-88 (van Unnik even cites Morgenthaler [</w:t>
      </w:r>
      <w:r w:rsidRPr="00B43126">
        <w:rPr>
          <w:i/>
          <w:iCs/>
        </w:rPr>
        <w:t>Geschichtsschreibung</w:t>
      </w:r>
      <w:r w:rsidR="006F304D" w:rsidRPr="006F304D">
        <w:rPr>
          <w:iCs/>
        </w:rPr>
        <w:t xml:space="preserve">, </w:t>
      </w:r>
      <w:r w:rsidRPr="00B43126">
        <w:t>73-79] explic</w:t>
      </w:r>
      <w:r w:rsidRPr="00B43126">
        <w:softHyphen/>
        <w:t>itly</w:t>
      </w:r>
      <w:r w:rsidR="006F304D" w:rsidRPr="006F304D">
        <w:t xml:space="preserve">, </w:t>
      </w:r>
      <w:r w:rsidRPr="00B43126">
        <w:t>288 n. 1).</w:t>
      </w:r>
    </w:p>
  </w:footnote>
  <w:footnote w:id="418">
    <w:p w14:paraId="040ACE40" w14:textId="7918B23E" w:rsidR="0018433B" w:rsidRPr="00B43126" w:rsidRDefault="0018433B" w:rsidP="0018433B">
      <w:r w:rsidRPr="00B43126">
        <w:rPr>
          <w:rStyle w:val="FootnoteReference"/>
        </w:rPr>
        <w:footnoteRef/>
      </w:r>
      <w:r w:rsidRPr="00B43126">
        <w:t xml:space="preserve"> Ibid.</w:t>
      </w:r>
      <w:r w:rsidR="006F304D" w:rsidRPr="006F304D">
        <w:t xml:space="preserve">, </w:t>
      </w:r>
      <w:r w:rsidRPr="00B43126">
        <w:t>287-88.</w:t>
      </w:r>
    </w:p>
  </w:footnote>
  <w:footnote w:id="419">
    <w:p w14:paraId="2D972E97" w14:textId="5E30DF25" w:rsidR="0018433B" w:rsidRPr="00B43126" w:rsidRDefault="0018433B" w:rsidP="0018433B">
      <w:r w:rsidRPr="00B43126">
        <w:rPr>
          <w:rStyle w:val="FootnoteReference"/>
        </w:rPr>
        <w:footnoteRef/>
      </w:r>
      <w:r w:rsidRPr="00B43126">
        <w:t xml:space="preserve"> Ibid.</w:t>
      </w:r>
      <w:r w:rsidR="006F304D" w:rsidRPr="006F304D">
        <w:t xml:space="preserve">, </w:t>
      </w:r>
      <w:r w:rsidRPr="00B43126">
        <w:t>288.</w:t>
      </w:r>
    </w:p>
  </w:footnote>
  <w:footnote w:id="420">
    <w:p w14:paraId="1BE31952" w14:textId="6805E6E6" w:rsidR="0018433B" w:rsidRPr="00B43126" w:rsidRDefault="0018433B" w:rsidP="0018433B">
      <w:r w:rsidRPr="00B43126">
        <w:rPr>
          <w:rStyle w:val="FootnoteReference"/>
        </w:rPr>
        <w:footnoteRef/>
      </w:r>
      <w:r w:rsidRPr="00B43126">
        <w:t xml:space="preserve"> “Die theologische Struktur der Komposition des Lukasevangeliums,” </w:t>
      </w:r>
      <w:r w:rsidR="00826EC1" w:rsidRPr="00826EC1">
        <w:rPr>
          <w:i/>
        </w:rPr>
        <w:t>Theologische Zeitschrift</w:t>
      </w:r>
      <w:r w:rsidRPr="00B43126">
        <w:t xml:space="preserve"> 34 (January-February 1978) 1-13. An anonymous</w:t>
      </w:r>
      <w:r w:rsidR="006F304D" w:rsidRPr="006F304D">
        <w:t xml:space="preserve">, </w:t>
      </w:r>
      <w:r w:rsidRPr="00B43126">
        <w:t xml:space="preserve">condensed (and very loose) translation appears as: “Luke’s Theological Structure,” </w:t>
      </w:r>
      <w:r w:rsidRPr="00B43126">
        <w:rPr>
          <w:i/>
          <w:iCs/>
        </w:rPr>
        <w:t>TD</w:t>
      </w:r>
      <w:r w:rsidRPr="00B43126">
        <w:t xml:space="preserve"> 27 (Spring 1979) 41-47.</w:t>
      </w:r>
    </w:p>
  </w:footnote>
  <w:footnote w:id="421">
    <w:p w14:paraId="724F16AF" w14:textId="65AF2EFA" w:rsidR="0018433B" w:rsidRPr="00B43126" w:rsidRDefault="0018433B" w:rsidP="0018433B">
      <w:r w:rsidRPr="00B43126">
        <w:rPr>
          <w:rStyle w:val="FootnoteReference"/>
        </w:rPr>
        <w:footnoteRef/>
      </w:r>
      <w:r w:rsidRPr="00B43126">
        <w:t xml:space="preserve"> “Theologische Struktur,” 13. Wilkens carries out his analysis of Luke on the basis of proclamation—revelation—mission very thoroughly. The first </w:t>
      </w:r>
      <w:r w:rsidRPr="00B43126">
        <w:rPr>
          <w:i/>
          <w:iCs/>
        </w:rPr>
        <w:t>Hauptteil</w:t>
      </w:r>
      <w:r w:rsidRPr="00B43126">
        <w:t xml:space="preserve"> has two sections</w:t>
      </w:r>
      <w:r w:rsidR="006F304D" w:rsidRPr="006F304D">
        <w:t xml:space="preserve">, </w:t>
      </w:r>
      <w:r w:rsidRPr="00B43126">
        <w:t>each divided into three subsections: annunciations and visitation (1:5-56)</w:t>
      </w:r>
      <w:r w:rsidR="006F304D" w:rsidRPr="006F304D">
        <w:t xml:space="preserve">, </w:t>
      </w:r>
      <w:r w:rsidRPr="00B43126">
        <w:t>births (1:57-2:52)</w:t>
      </w:r>
      <w:r w:rsidR="006F304D" w:rsidRPr="006F304D">
        <w:t xml:space="preserve">, </w:t>
      </w:r>
      <w:r w:rsidRPr="00B43126">
        <w:t>and John and Jesus’ first activities (3:1-4:44); then call of the first disciples and animosity (5:1-6:11)</w:t>
      </w:r>
      <w:r w:rsidR="006F304D" w:rsidRPr="006F304D">
        <w:t xml:space="preserve">, </w:t>
      </w:r>
      <w:r w:rsidRPr="00B43126">
        <w:t>choosing the twelve and healings (6:12-7:50)</w:t>
      </w:r>
      <w:r w:rsidR="006F304D" w:rsidRPr="006F304D">
        <w:t xml:space="preserve">, </w:t>
      </w:r>
      <w:r w:rsidRPr="00B43126">
        <w:t xml:space="preserve">and discipleship and mission (8:1-9:50). The second and third </w:t>
      </w:r>
      <w:r w:rsidRPr="00B43126">
        <w:rPr>
          <w:i/>
          <w:iCs/>
        </w:rPr>
        <w:t>Hauptteile</w:t>
      </w:r>
      <w:r w:rsidRPr="00B43126">
        <w:t xml:space="preserve"> also have three subsections: promise of the kingdom (9:51-13:21)</w:t>
      </w:r>
      <w:r w:rsidR="006F304D" w:rsidRPr="006F304D">
        <w:t xml:space="preserve">, </w:t>
      </w:r>
      <w:r w:rsidRPr="00B43126">
        <w:t>conditions for entering the kingdom (13:22-17:10)</w:t>
      </w:r>
      <w:r w:rsidR="006F304D" w:rsidRPr="006F304D">
        <w:t xml:space="preserve">, </w:t>
      </w:r>
      <w:r w:rsidRPr="00B43126">
        <w:t>and the kingdom’s opening (17:11-19:27); then Jesus teaching in the temple (19:28-21:38)</w:t>
      </w:r>
      <w:r w:rsidR="006F304D" w:rsidRPr="006F304D">
        <w:t xml:space="preserve">, </w:t>
      </w:r>
      <w:r w:rsidRPr="00B43126">
        <w:t>Jesus’ cross (22:1-23:56)</w:t>
      </w:r>
      <w:r w:rsidR="006F304D" w:rsidRPr="006F304D">
        <w:t xml:space="preserve">, </w:t>
      </w:r>
      <w:r w:rsidRPr="00B43126">
        <w:t>and the Easter event (24:1-53). Needless to say</w:t>
      </w:r>
      <w:r w:rsidR="006F304D" w:rsidRPr="006F304D">
        <w:t xml:space="preserve">, </w:t>
      </w:r>
      <w:r w:rsidRPr="00B43126">
        <w:t>each set of three ilustrates the pattern</w:t>
      </w:r>
      <w:r w:rsidR="006F304D" w:rsidRPr="006F304D">
        <w:t xml:space="preserve">, </w:t>
      </w:r>
      <w:r w:rsidRPr="00B43126">
        <w:t>proclamation—revelation—mission; each subsection divides into three and illustrates the pattern; and so on.</w:t>
      </w:r>
    </w:p>
  </w:footnote>
  <w:footnote w:id="422">
    <w:p w14:paraId="5F2624BE" w14:textId="05B2795E" w:rsidR="0018433B" w:rsidRPr="00B43126" w:rsidRDefault="0018433B" w:rsidP="0018433B">
      <w:r w:rsidRPr="00B43126">
        <w:rPr>
          <w:rStyle w:val="FootnoteReference"/>
        </w:rPr>
        <w:footnoteRef/>
      </w:r>
      <w:r w:rsidRPr="00B43126">
        <w:t xml:space="preserve"> In his outlining</w:t>
      </w:r>
      <w:r w:rsidR="006F304D" w:rsidRPr="006F304D">
        <w:t xml:space="preserve">, </w:t>
      </w:r>
      <w:r w:rsidRPr="00B43126">
        <w:t>Wilkens uses Peano numbers (1</w:t>
      </w:r>
      <w:r w:rsidR="006F304D" w:rsidRPr="006F304D">
        <w:t xml:space="preserve">, </w:t>
      </w:r>
      <w:r w:rsidRPr="00B43126">
        <w:t>1.1</w:t>
      </w:r>
      <w:r w:rsidR="006F304D" w:rsidRPr="006F304D">
        <w:t xml:space="preserve">, </w:t>
      </w:r>
      <w:r w:rsidRPr="00B43126">
        <w:t>1.11</w:t>
      </w:r>
      <w:r w:rsidR="006F304D" w:rsidRPr="006F304D">
        <w:t xml:space="preserve">, </w:t>
      </w:r>
      <w:r w:rsidRPr="00B43126">
        <w:t>1.12</w:t>
      </w:r>
      <w:r w:rsidR="006F304D" w:rsidRPr="006F304D">
        <w:t xml:space="preserve">, </w:t>
      </w:r>
      <w:r w:rsidRPr="00B43126">
        <w:t xml:space="preserve">etc.); I have substituted </w:t>
      </w:r>
      <w:r>
        <w:t xml:space="preserve">ordinary </w:t>
      </w:r>
      <w:r w:rsidRPr="00B43126">
        <w:t>outline numberings.</w:t>
      </w:r>
    </w:p>
  </w:footnote>
  <w:footnote w:id="423">
    <w:p w14:paraId="555C7FE3" w14:textId="6EA7EEC3" w:rsidR="0018433B" w:rsidRPr="00B43126" w:rsidRDefault="0018433B" w:rsidP="0018433B">
      <w:r w:rsidRPr="00B43126">
        <w:rPr>
          <w:rStyle w:val="FootnoteReference"/>
        </w:rPr>
        <w:footnoteRef/>
      </w:r>
      <w:r w:rsidRPr="00B43126">
        <w:t xml:space="preserve"> Ibid.</w:t>
      </w:r>
      <w:r w:rsidR="006F304D" w:rsidRPr="006F304D">
        <w:t xml:space="preserve">, </w:t>
      </w:r>
      <w:r w:rsidRPr="00B43126">
        <w:t>6.</w:t>
      </w:r>
    </w:p>
  </w:footnote>
  <w:footnote w:id="424">
    <w:p w14:paraId="58A312C3" w14:textId="3A5AE4B7" w:rsidR="0018433B" w:rsidRPr="00B43126" w:rsidRDefault="0018433B" w:rsidP="0018433B">
      <w:r w:rsidRPr="00A71A39">
        <w:rPr>
          <w:rStyle w:val="FootnoteReference"/>
        </w:rPr>
        <w:footnoteRef/>
      </w:r>
      <w:r w:rsidRPr="00A71A39">
        <w:rPr>
          <w:iCs/>
        </w:rPr>
        <w:t xml:space="preserve"> </w:t>
      </w:r>
      <w:r w:rsidRPr="00B43126">
        <w:rPr>
          <w:i/>
          <w:iCs/>
        </w:rPr>
        <w:t>Glaube und Handeln in der Theologie des Lukas</w:t>
      </w:r>
      <w:r w:rsidRPr="00B43126">
        <w:t xml:space="preserve"> (GTA 26; Göttingen: </w:t>
      </w:r>
      <w:r w:rsidR="00D42DB3" w:rsidRPr="00D42DB3">
        <w:rPr>
          <w:iCs/>
        </w:rPr>
        <w:t>Vandenhoeck und Ruprecht</w:t>
      </w:r>
      <w:r w:rsidR="006F304D" w:rsidRPr="006F304D">
        <w:t xml:space="preserve">, </w:t>
      </w:r>
      <w:r w:rsidRPr="00B43126">
        <w:t>1983) 99.</w:t>
      </w:r>
    </w:p>
  </w:footnote>
  <w:footnote w:id="425">
    <w:p w14:paraId="0313A0E1" w14:textId="4E83CDFA" w:rsidR="0018433B" w:rsidRPr="00B43126" w:rsidRDefault="0018433B" w:rsidP="0018433B">
      <w:r w:rsidRPr="00B43126">
        <w:rPr>
          <w:rStyle w:val="FootnoteReference"/>
        </w:rPr>
        <w:footnoteRef/>
      </w:r>
      <w:r w:rsidRPr="00B43126">
        <w:t xml:space="preserve"> Ibid.</w:t>
      </w:r>
      <w:r w:rsidR="006F304D" w:rsidRPr="006F304D">
        <w:t xml:space="preserve">, </w:t>
      </w:r>
      <w:r w:rsidRPr="00B43126">
        <w:t>100.</w:t>
      </w:r>
    </w:p>
  </w:footnote>
  <w:footnote w:id="426">
    <w:p w14:paraId="230F89A5" w14:textId="45565C32" w:rsidR="0018433B" w:rsidRPr="00B43126" w:rsidRDefault="0018433B" w:rsidP="0018433B">
      <w:r w:rsidRPr="00B43126">
        <w:rPr>
          <w:rStyle w:val="FootnoteReference"/>
        </w:rPr>
        <w:footnoteRef/>
      </w:r>
      <w:r w:rsidRPr="00B43126">
        <w:t xml:space="preserve"> A. Büchele</w:t>
      </w:r>
      <w:r w:rsidR="006F304D" w:rsidRPr="006F304D">
        <w:t xml:space="preserve">, </w:t>
      </w:r>
      <w:r w:rsidRPr="00B43126">
        <w:t>for example</w:t>
      </w:r>
      <w:r w:rsidR="006F304D" w:rsidRPr="006F304D">
        <w:t xml:space="preserve">, </w:t>
      </w:r>
      <w:r w:rsidRPr="00B43126">
        <w:t xml:space="preserve">maintains that Luke used a principle of </w:t>
      </w:r>
      <w:r w:rsidRPr="00B43126">
        <w:rPr>
          <w:i/>
          <w:iCs/>
        </w:rPr>
        <w:t>Dreierstruktur</w:t>
      </w:r>
      <w:r w:rsidRPr="00B43126">
        <w:t xml:space="preserve"> in the passion narrative because important items are repeated thrice (Peter’s denials</w:t>
      </w:r>
      <w:r w:rsidR="006F304D" w:rsidRPr="006F304D">
        <w:t xml:space="preserve">, </w:t>
      </w:r>
      <w:r w:rsidRPr="00B43126">
        <w:t>etc.) (</w:t>
      </w:r>
      <w:r w:rsidRPr="00B43126">
        <w:rPr>
          <w:i/>
          <w:iCs/>
        </w:rPr>
        <w:t>Der Tod Jesu im Lukasevangelium</w:t>
      </w:r>
      <w:r w:rsidRPr="00B43126">
        <w:rPr>
          <w:iCs/>
        </w:rPr>
        <w:t xml:space="preserve">: </w:t>
      </w:r>
      <w:r w:rsidRPr="00B43126">
        <w:rPr>
          <w:i/>
          <w:iCs/>
        </w:rPr>
        <w:t>Eine redaktionsgeschichtliche Untersuchung zu Lk 23</w:t>
      </w:r>
      <w:r w:rsidRPr="00B43126">
        <w:t xml:space="preserve"> [Frankfurter Theolo</w:t>
      </w:r>
      <w:r w:rsidRPr="00B43126">
        <w:softHyphen/>
        <w:t>gische Studien 26; Frankfurt am Main: Josef Knecht</w:t>
      </w:r>
      <w:r w:rsidR="006F304D" w:rsidRPr="006F304D">
        <w:t xml:space="preserve">, </w:t>
      </w:r>
      <w:r w:rsidRPr="00B43126">
        <w:t>1978] 193).</w:t>
      </w:r>
    </w:p>
  </w:footnote>
  <w:footnote w:id="427">
    <w:p w14:paraId="2620315F" w14:textId="4DB6C679" w:rsidR="0018433B" w:rsidRPr="00B43126" w:rsidRDefault="0018433B" w:rsidP="0018433B">
      <w:r w:rsidRPr="00B43126">
        <w:rPr>
          <w:rStyle w:val="FootnoteReference"/>
        </w:rPr>
        <w:footnoteRef/>
      </w:r>
      <w:r w:rsidRPr="00B43126">
        <w:t xml:space="preserve"> Above</w:t>
      </w:r>
      <w:r w:rsidR="006F304D" w:rsidRPr="006F304D">
        <w:t xml:space="preserve">, </w:t>
      </w:r>
      <w:r w:rsidRPr="00B43126">
        <w:t>158.</w:t>
      </w:r>
    </w:p>
  </w:footnote>
  <w:footnote w:id="428">
    <w:p w14:paraId="3C12DD5B" w14:textId="3F7D5057" w:rsidR="0018433B" w:rsidRPr="00B43126" w:rsidRDefault="0018433B" w:rsidP="0018433B">
      <w:r w:rsidRPr="00B43126">
        <w:rPr>
          <w:rStyle w:val="FootnoteReference"/>
        </w:rPr>
        <w:footnoteRef/>
      </w:r>
      <w:r w:rsidRPr="00B43126">
        <w:t xml:space="preserve"> See below</w:t>
      </w:r>
      <w:r w:rsidR="006F304D" w:rsidRPr="006F304D">
        <w:t xml:space="preserve">, </w:t>
      </w:r>
      <w:r w:rsidRPr="00B43126">
        <w:t>pp. 338-367.</w:t>
      </w:r>
    </w:p>
  </w:footnote>
  <w:footnote w:id="429">
    <w:p w14:paraId="3AC2CFB7" w14:textId="77777777" w:rsidR="0018433B" w:rsidRPr="00B43126" w:rsidRDefault="0018433B" w:rsidP="0018433B">
      <w:r w:rsidRPr="00B43126">
        <w:rPr>
          <w:rStyle w:val="FootnoteReference"/>
        </w:rPr>
        <w:footnoteRef/>
      </w:r>
      <w:r w:rsidRPr="00B43126">
        <w:t xml:space="preserve"> See 164-169.</w:t>
      </w:r>
    </w:p>
  </w:footnote>
  <w:footnote w:id="430">
    <w:p w14:paraId="5EA76949" w14:textId="56DF42C7" w:rsidR="0018433B" w:rsidRPr="00B43126" w:rsidRDefault="0018433B" w:rsidP="0018433B">
      <w:r w:rsidRPr="00B43126">
        <w:rPr>
          <w:rStyle w:val="FootnoteReference"/>
        </w:rPr>
        <w:footnoteRef/>
      </w:r>
      <w:r w:rsidRPr="00B43126">
        <w:t xml:space="preserve"> Above</w:t>
      </w:r>
      <w:r w:rsidR="006F304D" w:rsidRPr="006F304D">
        <w:t xml:space="preserve">, </w:t>
      </w:r>
      <w:r w:rsidRPr="00B43126">
        <w:t>171-179.</w:t>
      </w:r>
    </w:p>
  </w:footnote>
  <w:footnote w:id="431">
    <w:p w14:paraId="577EEC23" w14:textId="552A3C83"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E. Earle Ellis</w:t>
      </w:r>
      <w:r w:rsidR="006F304D" w:rsidRPr="006F304D">
        <w:rPr>
          <w:szCs w:val="28"/>
        </w:rPr>
        <w:t xml:space="preserve">, </w:t>
      </w:r>
      <w:r w:rsidRPr="00516853">
        <w:rPr>
          <w:i/>
          <w:iCs/>
          <w:szCs w:val="28"/>
        </w:rPr>
        <w:t>Eschatology in Luke</w:t>
      </w:r>
      <w:r w:rsidRPr="00516853">
        <w:rPr>
          <w:szCs w:val="28"/>
        </w:rPr>
        <w:t xml:space="preserve"> (FBBS 30; Phila</w:t>
      </w:r>
      <w:r w:rsidRPr="00516853">
        <w:rPr>
          <w:szCs w:val="28"/>
        </w:rPr>
        <w:softHyphen/>
        <w:t>delphia: Fortress</w:t>
      </w:r>
      <w:r w:rsidR="006F304D" w:rsidRPr="006F304D">
        <w:rPr>
          <w:szCs w:val="28"/>
        </w:rPr>
        <w:t xml:space="preserve">, </w:t>
      </w:r>
      <w:r w:rsidRPr="00516853">
        <w:rPr>
          <w:szCs w:val="28"/>
        </w:rPr>
        <w:t>1972) 6 n. 12.</w:t>
      </w:r>
    </w:p>
  </w:footnote>
  <w:footnote w:id="432">
    <w:p w14:paraId="3B35D3A8" w14:textId="7BBF8D6F" w:rsidR="0018433B" w:rsidRPr="00E5413C" w:rsidRDefault="0018433B" w:rsidP="0018433B">
      <w:pPr>
        <w:rPr>
          <w:szCs w:val="28"/>
          <w:lang w:val="fr-FR"/>
        </w:rPr>
      </w:pPr>
      <w:r w:rsidRPr="00516853">
        <w:rPr>
          <w:rStyle w:val="FootnoteReference"/>
          <w:szCs w:val="28"/>
        </w:rPr>
        <w:footnoteRef/>
      </w:r>
      <w:r>
        <w:rPr>
          <w:szCs w:val="28"/>
        </w:rPr>
        <w:t xml:space="preserve"> </w:t>
      </w:r>
      <w:r w:rsidRPr="00516853">
        <w:rPr>
          <w:szCs w:val="28"/>
        </w:rPr>
        <w:t>Soeur Jeanne d’Arc</w:t>
      </w:r>
      <w:r w:rsidR="006F304D" w:rsidRPr="006F304D">
        <w:rPr>
          <w:szCs w:val="28"/>
        </w:rPr>
        <w:t xml:space="preserve">, </w:t>
      </w:r>
      <w:r w:rsidRPr="00516853">
        <w:rPr>
          <w:i/>
          <w:iCs/>
          <w:szCs w:val="28"/>
        </w:rPr>
        <w:t>Les pèle</w:t>
      </w:r>
      <w:r w:rsidRPr="00516853">
        <w:rPr>
          <w:i/>
          <w:iCs/>
          <w:szCs w:val="28"/>
        </w:rPr>
        <w:softHyphen/>
        <w:t>rins d</w:t>
      </w:r>
      <w:r w:rsidRPr="00516853">
        <w:rPr>
          <w:iCs/>
          <w:szCs w:val="28"/>
        </w:rPr>
        <w:t>’</w:t>
      </w:r>
      <w:r w:rsidRPr="00516853">
        <w:rPr>
          <w:i/>
          <w:iCs/>
          <w:szCs w:val="28"/>
        </w:rPr>
        <w:t>Emmaüs</w:t>
      </w:r>
      <w:r w:rsidRPr="00516853">
        <w:rPr>
          <w:szCs w:val="28"/>
        </w:rPr>
        <w:t xml:space="preserve"> (Lire la Bible 47; Paris: Cerf</w:t>
      </w:r>
      <w:r w:rsidR="006F304D" w:rsidRPr="006F304D">
        <w:rPr>
          <w:szCs w:val="28"/>
        </w:rPr>
        <w:t xml:space="preserve">, </w:t>
      </w:r>
      <w:r w:rsidRPr="00516853">
        <w:rPr>
          <w:szCs w:val="28"/>
        </w:rPr>
        <w:t>1977); Xavier Léon-Dufour</w:t>
      </w:r>
      <w:r w:rsidR="006F304D" w:rsidRPr="006F304D">
        <w:rPr>
          <w:szCs w:val="28"/>
        </w:rPr>
        <w:t xml:space="preserve">, </w:t>
      </w:r>
      <w:r w:rsidRPr="00516853">
        <w:rPr>
          <w:i/>
          <w:iCs/>
          <w:szCs w:val="28"/>
        </w:rPr>
        <w:t>Resurrec</w:t>
      </w:r>
      <w:r w:rsidRPr="00516853">
        <w:rPr>
          <w:i/>
          <w:iCs/>
          <w:szCs w:val="28"/>
        </w:rPr>
        <w:softHyphen/>
        <w:t>tion and the Mes</w:t>
      </w:r>
      <w:r w:rsidRPr="00516853">
        <w:rPr>
          <w:i/>
          <w:iCs/>
          <w:szCs w:val="28"/>
        </w:rPr>
        <w:softHyphen/>
        <w:t>sage of Easter</w:t>
      </w:r>
      <w:r w:rsidRPr="00516853">
        <w:rPr>
          <w:szCs w:val="28"/>
        </w:rPr>
        <w:t xml:space="preserve"> (London: Geoffrey Chapman; New York: Holt</w:t>
      </w:r>
      <w:r w:rsidR="006F304D" w:rsidRPr="006F304D">
        <w:rPr>
          <w:szCs w:val="28"/>
        </w:rPr>
        <w:t xml:space="preserve">, </w:t>
      </w:r>
      <w:r w:rsidR="00714629" w:rsidRPr="00714629">
        <w:rPr>
          <w:iCs/>
          <w:szCs w:val="28"/>
        </w:rPr>
        <w:t>Rinehart and Winston</w:t>
      </w:r>
      <w:r w:rsidR="006F304D" w:rsidRPr="006F304D">
        <w:rPr>
          <w:szCs w:val="28"/>
        </w:rPr>
        <w:t xml:space="preserve">, </w:t>
      </w:r>
      <w:r w:rsidRPr="00516853">
        <w:rPr>
          <w:szCs w:val="28"/>
        </w:rPr>
        <w:t>1974) 161-62</w:t>
      </w:r>
      <w:r w:rsidR="006F304D" w:rsidRPr="006F304D">
        <w:rPr>
          <w:szCs w:val="28"/>
        </w:rPr>
        <w:t xml:space="preserve">, </w:t>
      </w:r>
      <w:r w:rsidRPr="00516853">
        <w:rPr>
          <w:szCs w:val="28"/>
        </w:rPr>
        <w:t>164-65. (Léon-Dufour notes [315 n. 16] that his at</w:t>
      </w:r>
      <w:r w:rsidRPr="00516853">
        <w:rPr>
          <w:szCs w:val="28"/>
        </w:rPr>
        <w:softHyphen/>
        <w:t>ten</w:t>
      </w:r>
      <w:r w:rsidRPr="00516853">
        <w:rPr>
          <w:szCs w:val="28"/>
        </w:rPr>
        <w:softHyphen/>
        <w:t>tion “was drawn to this lay-out [of both peri</w:t>
      </w:r>
      <w:r w:rsidRPr="00516853">
        <w:rPr>
          <w:szCs w:val="28"/>
        </w:rPr>
        <w:softHyphen/>
        <w:t>copes] by an un</w:t>
      </w:r>
      <w:r w:rsidRPr="00516853">
        <w:rPr>
          <w:szCs w:val="28"/>
        </w:rPr>
        <w:softHyphen/>
        <w:t>published stu</w:t>
      </w:r>
      <w:r w:rsidRPr="00516853">
        <w:rPr>
          <w:szCs w:val="28"/>
        </w:rPr>
        <w:softHyphen/>
        <w:t>dy by G. Stem</w:t>
      </w:r>
      <w:r w:rsidRPr="00516853">
        <w:rPr>
          <w:szCs w:val="28"/>
        </w:rPr>
        <w:softHyphen/>
        <w:t xml:space="preserve">berger.”) </w:t>
      </w:r>
      <w:r w:rsidRPr="00E5413C">
        <w:rPr>
          <w:szCs w:val="28"/>
          <w:lang w:val="fr-FR"/>
        </w:rPr>
        <w:t>Both articles are assessed by Roland Meynet in “Com</w:t>
      </w:r>
      <w:r w:rsidRPr="00E5413C">
        <w:rPr>
          <w:szCs w:val="28"/>
          <w:lang w:val="fr-FR"/>
        </w:rPr>
        <w:softHyphen/>
        <w:t>ment établir un chi</w:t>
      </w:r>
      <w:r w:rsidRPr="00E5413C">
        <w:rPr>
          <w:szCs w:val="28"/>
          <w:lang w:val="fr-FR"/>
        </w:rPr>
        <w:softHyphen/>
        <w:t xml:space="preserve">asme: à propos des </w:t>
      </w:r>
      <w:r w:rsidRPr="00E5413C">
        <w:rPr>
          <w:i/>
          <w:iCs/>
          <w:szCs w:val="28"/>
          <w:lang w:val="fr-FR"/>
        </w:rPr>
        <w:t>Pèlerins d</w:t>
      </w:r>
      <w:r w:rsidRPr="00E5413C">
        <w:rPr>
          <w:iCs/>
          <w:szCs w:val="28"/>
          <w:lang w:val="fr-FR"/>
        </w:rPr>
        <w:t>’</w:t>
      </w:r>
      <w:r w:rsidRPr="00E5413C">
        <w:rPr>
          <w:i/>
          <w:iCs/>
          <w:szCs w:val="28"/>
          <w:lang w:val="fr-FR"/>
        </w:rPr>
        <w:t>Emmaüs</w:t>
      </w:r>
      <w:r w:rsidRPr="00E5413C">
        <w:rPr>
          <w:iCs/>
          <w:szCs w:val="28"/>
          <w:lang w:val="fr-FR"/>
        </w:rPr>
        <w:t>,</w:t>
      </w:r>
      <w:r w:rsidRPr="00E5413C">
        <w:rPr>
          <w:szCs w:val="28"/>
          <w:lang w:val="fr-FR"/>
        </w:rPr>
        <w:t xml:space="preserve">” </w:t>
      </w:r>
      <w:r w:rsidRPr="00E5413C">
        <w:rPr>
          <w:i/>
          <w:iCs/>
          <w:szCs w:val="28"/>
          <w:lang w:val="fr-FR"/>
        </w:rPr>
        <w:t>Nouvelle revue théologique</w:t>
      </w:r>
      <w:r w:rsidRPr="00E5413C">
        <w:rPr>
          <w:szCs w:val="28"/>
          <w:lang w:val="fr-FR"/>
        </w:rPr>
        <w:t xml:space="preserve"> (1978) 233-49.</w:t>
      </w:r>
    </w:p>
  </w:footnote>
  <w:footnote w:id="433">
    <w:p w14:paraId="1B059ED0" w14:textId="25CE076B" w:rsidR="0018433B" w:rsidRDefault="0018433B" w:rsidP="0018433B">
      <w:pPr>
        <w:rPr>
          <w:szCs w:val="28"/>
        </w:rPr>
      </w:pPr>
      <w:r w:rsidRPr="00516853">
        <w:rPr>
          <w:rStyle w:val="FootnoteReference"/>
          <w:szCs w:val="28"/>
        </w:rPr>
        <w:footnoteRef/>
      </w:r>
      <w:r>
        <w:rPr>
          <w:szCs w:val="28"/>
        </w:rPr>
        <w:t xml:space="preserve"> In Luke 2:4152</w:t>
      </w:r>
      <w:r w:rsidR="006F304D" w:rsidRPr="006F304D">
        <w:rPr>
          <w:szCs w:val="28"/>
        </w:rPr>
        <w:t xml:space="preserve">, </w:t>
      </w:r>
      <w:r>
        <w:rPr>
          <w:szCs w:val="28"/>
        </w:rPr>
        <w:t>Brown</w:t>
      </w:r>
      <w:r w:rsidRPr="00516853">
        <w:rPr>
          <w:szCs w:val="28"/>
        </w:rPr>
        <w:t xml:space="preserve"> </w:t>
      </w:r>
      <w:r>
        <w:rPr>
          <w:szCs w:val="28"/>
        </w:rPr>
        <w:t>(</w:t>
      </w:r>
      <w:r>
        <w:rPr>
          <w:i/>
          <w:szCs w:val="28"/>
        </w:rPr>
        <w:t xml:space="preserve">An </w:t>
      </w:r>
      <w:r w:rsidRPr="00516853">
        <w:rPr>
          <w:i/>
          <w:iCs/>
          <w:szCs w:val="28"/>
        </w:rPr>
        <w:t>Adult Christ</w:t>
      </w:r>
      <w:r>
        <w:rPr>
          <w:i/>
          <w:iCs/>
          <w:szCs w:val="28"/>
        </w:rPr>
        <w:t xml:space="preserve"> at Christmas</w:t>
      </w:r>
      <w:r w:rsidR="006F304D" w:rsidRPr="006F304D">
        <w:rPr>
          <w:iCs/>
          <w:szCs w:val="28"/>
        </w:rPr>
        <w:t xml:space="preserve">, </w:t>
      </w:r>
      <w:r w:rsidRPr="00516853">
        <w:rPr>
          <w:szCs w:val="28"/>
        </w:rPr>
        <w:t>38-52</w:t>
      </w:r>
      <w:r>
        <w:rPr>
          <w:szCs w:val="28"/>
        </w:rPr>
        <w:t>) detects the following structure:</w:t>
      </w:r>
    </w:p>
    <w:p w14:paraId="41AA4FAE" w14:textId="77777777" w:rsidR="0018433B" w:rsidRDefault="0018433B" w:rsidP="0018433B">
      <w:pPr>
        <w:rPr>
          <w:szCs w:val="28"/>
        </w:rPr>
      </w:pPr>
    </w:p>
    <w:p w14:paraId="3DBF8FF1" w14:textId="3DB1185D" w:rsidR="0018433B" w:rsidRDefault="0018433B" w:rsidP="0018433B">
      <w:pPr>
        <w:ind w:left="720"/>
        <w:rPr>
          <w:szCs w:val="28"/>
        </w:rPr>
      </w:pPr>
      <w:r>
        <w:rPr>
          <w:i/>
          <w:szCs w:val="28"/>
        </w:rPr>
        <w:t>Framework Statement</w:t>
      </w:r>
      <w:r>
        <w:rPr>
          <w:szCs w:val="28"/>
        </w:rPr>
        <w:t xml:space="preserve"> about Jesus’ growth</w:t>
      </w:r>
      <w:r w:rsidR="006F304D" w:rsidRPr="006F304D">
        <w:rPr>
          <w:szCs w:val="28"/>
        </w:rPr>
        <w:t xml:space="preserve">, </w:t>
      </w:r>
      <w:r>
        <w:rPr>
          <w:szCs w:val="28"/>
        </w:rPr>
        <w:t>his wisdom and favor</w:t>
      </w:r>
    </w:p>
    <w:p w14:paraId="7901E032" w14:textId="77777777" w:rsidR="0018433B" w:rsidRDefault="0018433B" w:rsidP="0018433B">
      <w:pPr>
        <w:ind w:left="1440"/>
        <w:rPr>
          <w:szCs w:val="28"/>
        </w:rPr>
      </w:pPr>
      <w:r>
        <w:rPr>
          <w:i/>
          <w:szCs w:val="28"/>
        </w:rPr>
        <w:t>Geographical Introduction</w:t>
      </w:r>
      <w:r>
        <w:rPr>
          <w:szCs w:val="28"/>
        </w:rPr>
        <w:t>: Jesus and his parents had gone up to Jerusalem</w:t>
      </w:r>
    </w:p>
    <w:p w14:paraId="5802E196" w14:textId="77777777" w:rsidR="0018433B" w:rsidRDefault="0018433B" w:rsidP="0018433B">
      <w:pPr>
        <w:ind w:left="2160"/>
        <w:rPr>
          <w:szCs w:val="28"/>
        </w:rPr>
      </w:pPr>
      <w:r>
        <w:rPr>
          <w:i/>
          <w:szCs w:val="28"/>
        </w:rPr>
        <w:t>Setting</w:t>
      </w:r>
      <w:r>
        <w:rPr>
          <w:szCs w:val="28"/>
        </w:rPr>
        <w:t>: The parents lost Jesus and searched for him</w:t>
      </w:r>
    </w:p>
    <w:p w14:paraId="0195286A" w14:textId="77777777" w:rsidR="0018433B" w:rsidRDefault="0018433B" w:rsidP="0018433B">
      <w:pPr>
        <w:ind w:left="2160"/>
        <w:rPr>
          <w:szCs w:val="28"/>
        </w:rPr>
      </w:pPr>
      <w:r>
        <w:rPr>
          <w:i/>
          <w:szCs w:val="28"/>
        </w:rPr>
        <w:t>Core of the Story</w:t>
      </w:r>
      <w:r>
        <w:rPr>
          <w:szCs w:val="28"/>
        </w:rPr>
        <w:t>: The parents found the child and were amazed; Jesus answered them by stressing his Father’s claim</w:t>
      </w:r>
    </w:p>
    <w:p w14:paraId="523C13B8" w14:textId="77777777" w:rsidR="0018433B" w:rsidRDefault="0018433B" w:rsidP="0018433B">
      <w:pPr>
        <w:ind w:left="1440"/>
        <w:rPr>
          <w:szCs w:val="28"/>
        </w:rPr>
      </w:pPr>
      <w:r>
        <w:rPr>
          <w:i/>
          <w:szCs w:val="28"/>
        </w:rPr>
        <w:t>Geographical Conclusion</w:t>
      </w:r>
      <w:r>
        <w:rPr>
          <w:szCs w:val="28"/>
        </w:rPr>
        <w:t>: Jesus went down with his parents to Nazareth</w:t>
      </w:r>
    </w:p>
    <w:p w14:paraId="65CD4FEF" w14:textId="2ADE3521" w:rsidR="0018433B" w:rsidRPr="00A10245" w:rsidRDefault="0018433B" w:rsidP="0018433B">
      <w:pPr>
        <w:ind w:left="720"/>
        <w:rPr>
          <w:szCs w:val="28"/>
        </w:rPr>
      </w:pPr>
      <w:r>
        <w:rPr>
          <w:i/>
          <w:szCs w:val="28"/>
        </w:rPr>
        <w:t>Framework Statement</w:t>
      </w:r>
      <w:r>
        <w:rPr>
          <w:szCs w:val="28"/>
        </w:rPr>
        <w:t xml:space="preserve"> about Jesus’ progress in wisdom</w:t>
      </w:r>
      <w:r w:rsidR="006F304D" w:rsidRPr="006F304D">
        <w:rPr>
          <w:szCs w:val="28"/>
        </w:rPr>
        <w:t xml:space="preserve">, </w:t>
      </w:r>
      <w:r>
        <w:rPr>
          <w:szCs w:val="28"/>
        </w:rPr>
        <w:t>maturity</w:t>
      </w:r>
      <w:r w:rsidR="006F304D" w:rsidRPr="006F304D">
        <w:rPr>
          <w:szCs w:val="28"/>
        </w:rPr>
        <w:t xml:space="preserve">, </w:t>
      </w:r>
      <w:r>
        <w:rPr>
          <w:szCs w:val="28"/>
        </w:rPr>
        <w:t>and favor.</w:t>
      </w:r>
    </w:p>
    <w:p w14:paraId="1080842E" w14:textId="77777777" w:rsidR="0018433B" w:rsidRPr="00516853" w:rsidRDefault="0018433B" w:rsidP="0018433B">
      <w:pPr>
        <w:rPr>
          <w:szCs w:val="28"/>
        </w:rPr>
      </w:pPr>
    </w:p>
  </w:footnote>
  <w:footnote w:id="434">
    <w:p w14:paraId="2D5B91F5" w14:textId="15AB1052"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M. D. Goulder</w:t>
      </w:r>
      <w:r w:rsidR="006F304D" w:rsidRPr="006F304D">
        <w:rPr>
          <w:szCs w:val="28"/>
        </w:rPr>
        <w:t xml:space="preserve">, </w:t>
      </w:r>
      <w:r w:rsidRPr="00516853">
        <w:rPr>
          <w:szCs w:val="28"/>
        </w:rPr>
        <w:t>“The Chiastic Struc</w:t>
      </w:r>
      <w:r w:rsidRPr="00516853">
        <w:rPr>
          <w:szCs w:val="28"/>
        </w:rPr>
        <w:softHyphen/>
        <w:t>ture of the Lucan Jour</w:t>
      </w:r>
      <w:r w:rsidRPr="00516853">
        <w:rPr>
          <w:szCs w:val="28"/>
        </w:rPr>
        <w:softHyphen/>
        <w:t xml:space="preserve">ney,” in </w:t>
      </w:r>
      <w:r w:rsidRPr="00516853">
        <w:rPr>
          <w:i/>
          <w:iCs/>
          <w:szCs w:val="28"/>
        </w:rPr>
        <w:t>Stu</w:t>
      </w:r>
      <w:r w:rsidRPr="00516853">
        <w:rPr>
          <w:i/>
          <w:iCs/>
          <w:szCs w:val="28"/>
        </w:rPr>
        <w:softHyphen/>
        <w:t>dia Evan</w:t>
      </w:r>
      <w:r w:rsidRPr="00516853">
        <w:rPr>
          <w:i/>
          <w:iCs/>
          <w:szCs w:val="28"/>
        </w:rPr>
        <w:softHyphen/>
        <w:t>gelica</w:t>
      </w:r>
      <w:r w:rsidRPr="00516853">
        <w:rPr>
          <w:iCs/>
          <w:szCs w:val="28"/>
        </w:rPr>
        <w:t xml:space="preserve">: </w:t>
      </w:r>
      <w:r w:rsidRPr="00516853">
        <w:rPr>
          <w:i/>
          <w:iCs/>
          <w:szCs w:val="28"/>
        </w:rPr>
        <w:t>Papers of the Second Interna</w:t>
      </w:r>
      <w:r w:rsidRPr="00516853">
        <w:rPr>
          <w:i/>
          <w:iCs/>
          <w:szCs w:val="28"/>
        </w:rPr>
        <w:softHyphen/>
        <w:t>tional Congress on New Testament Stu</w:t>
      </w:r>
      <w:r w:rsidRPr="00516853">
        <w:rPr>
          <w:i/>
          <w:iCs/>
          <w:szCs w:val="28"/>
        </w:rPr>
        <w:softHyphen/>
        <w:t>dies</w:t>
      </w:r>
      <w:r w:rsidRPr="00516853">
        <w:rPr>
          <w:szCs w:val="28"/>
        </w:rPr>
        <w:t xml:space="preserve"> (2 vols.</w:t>
      </w:r>
      <w:r w:rsidR="00DC3006" w:rsidRPr="00DC3006">
        <w:rPr>
          <w:iCs/>
          <w:szCs w:val="28"/>
        </w:rPr>
        <w:t xml:space="preserve">. Ed. </w:t>
      </w:r>
      <w:r w:rsidR="00457786" w:rsidRPr="00457786">
        <w:rPr>
          <w:iCs/>
          <w:szCs w:val="28"/>
        </w:rPr>
        <w:t>F.L.</w:t>
      </w:r>
      <w:r w:rsidRPr="00516853">
        <w:rPr>
          <w:szCs w:val="28"/>
        </w:rPr>
        <w:t xml:space="preserve"> Cross; Ber</w:t>
      </w:r>
      <w:r w:rsidRPr="00516853">
        <w:rPr>
          <w:szCs w:val="28"/>
        </w:rPr>
        <w:softHyphen/>
        <w:t>lin: Akademie</w:t>
      </w:r>
      <w:r w:rsidR="006F304D" w:rsidRPr="006F304D">
        <w:rPr>
          <w:szCs w:val="28"/>
        </w:rPr>
        <w:t xml:space="preserve">, </w:t>
      </w:r>
      <w:r w:rsidRPr="00516853">
        <w:rPr>
          <w:szCs w:val="28"/>
        </w:rPr>
        <w:t xml:space="preserve">1964) 195-202; see also </w:t>
      </w:r>
      <w:r w:rsidRPr="00516853">
        <w:rPr>
          <w:i/>
          <w:iCs/>
          <w:szCs w:val="28"/>
        </w:rPr>
        <w:t>idem</w:t>
      </w:r>
      <w:r w:rsidR="006F304D" w:rsidRPr="006F304D">
        <w:rPr>
          <w:iCs/>
          <w:szCs w:val="28"/>
        </w:rPr>
        <w:t xml:space="preserve">, </w:t>
      </w:r>
      <w:r w:rsidRPr="00516853">
        <w:rPr>
          <w:i/>
          <w:iCs/>
          <w:szCs w:val="28"/>
        </w:rPr>
        <w:t>Type and History in Acts</w:t>
      </w:r>
      <w:r w:rsidRPr="00516853">
        <w:rPr>
          <w:szCs w:val="28"/>
        </w:rPr>
        <w:t xml:space="preserve"> (London: SPCK</w:t>
      </w:r>
      <w:r w:rsidR="006F304D" w:rsidRPr="006F304D">
        <w:rPr>
          <w:szCs w:val="28"/>
        </w:rPr>
        <w:t xml:space="preserve">, </w:t>
      </w:r>
      <w:r w:rsidRPr="00516853">
        <w:rPr>
          <w:szCs w:val="28"/>
        </w:rPr>
        <w:t>1964) 138-39.</w:t>
      </w:r>
    </w:p>
  </w:footnote>
  <w:footnote w:id="435">
    <w:p w14:paraId="2CFB3527" w14:textId="1C4F317B" w:rsidR="0018433B" w:rsidRPr="00516853" w:rsidRDefault="0018433B" w:rsidP="0018433B">
      <w:pPr>
        <w:rPr>
          <w:szCs w:val="28"/>
        </w:rPr>
      </w:pPr>
      <w:r w:rsidRPr="00565750">
        <w:rPr>
          <w:rStyle w:val="FootnoteReference"/>
          <w:szCs w:val="28"/>
        </w:rPr>
        <w:footnoteRef/>
      </w:r>
      <w:r w:rsidRPr="00565750">
        <w:rPr>
          <w:iCs/>
          <w:szCs w:val="28"/>
        </w:rPr>
        <w:t xml:space="preserve"> </w:t>
      </w:r>
      <w:r w:rsidRPr="00516853">
        <w:rPr>
          <w:i/>
          <w:iCs/>
          <w:szCs w:val="28"/>
        </w:rPr>
        <w:t>Literary Patterns</w:t>
      </w:r>
      <w:r w:rsidR="006F304D" w:rsidRPr="006F304D">
        <w:rPr>
          <w:iCs/>
          <w:szCs w:val="28"/>
        </w:rPr>
        <w:t xml:space="preserve">, </w:t>
      </w:r>
      <w:r w:rsidRPr="00516853">
        <w:rPr>
          <w:szCs w:val="28"/>
        </w:rPr>
        <w:t>51-58. Tal</w:t>
      </w:r>
      <w:r w:rsidRPr="00516853">
        <w:rPr>
          <w:szCs w:val="28"/>
        </w:rPr>
        <w:softHyphen/>
        <w:t>bert’s analysis of Luke 10-18 is based largely on Goulder (previous note) and Morgen</w:t>
      </w:r>
      <w:r w:rsidRPr="00516853">
        <w:rPr>
          <w:szCs w:val="28"/>
        </w:rPr>
        <w:softHyphen/>
        <w:t>thaler (next paragraph).</w:t>
      </w:r>
    </w:p>
  </w:footnote>
  <w:footnote w:id="436">
    <w:p w14:paraId="3C32E825" w14:textId="5963548B" w:rsidR="0018433B" w:rsidRPr="00516853" w:rsidRDefault="0018433B" w:rsidP="0018433B">
      <w:pPr>
        <w:rPr>
          <w:szCs w:val="28"/>
        </w:rPr>
      </w:pPr>
      <w:r w:rsidRPr="00565750">
        <w:rPr>
          <w:rStyle w:val="FootnoteReference"/>
          <w:szCs w:val="28"/>
        </w:rPr>
        <w:footnoteRef/>
      </w:r>
      <w:r w:rsidRPr="00565750">
        <w:rPr>
          <w:iCs/>
          <w:szCs w:val="28"/>
        </w:rPr>
        <w:t xml:space="preserve"> </w:t>
      </w:r>
      <w:r w:rsidRPr="00516853">
        <w:rPr>
          <w:i/>
          <w:iCs/>
          <w:szCs w:val="28"/>
        </w:rPr>
        <w:t>Geschichtsschreibung</w:t>
      </w:r>
      <w:r w:rsidR="006F304D" w:rsidRPr="006F304D">
        <w:rPr>
          <w:iCs/>
          <w:szCs w:val="28"/>
        </w:rPr>
        <w:t xml:space="preserve">, </w:t>
      </w:r>
      <w:r w:rsidRPr="00516853">
        <w:rPr>
          <w:szCs w:val="28"/>
        </w:rPr>
        <w:t>42.</w:t>
      </w:r>
    </w:p>
  </w:footnote>
  <w:footnote w:id="437">
    <w:p w14:paraId="08009828" w14:textId="25DA6289"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Ibid.</w:t>
      </w:r>
      <w:r w:rsidR="006F304D" w:rsidRPr="006F304D">
        <w:rPr>
          <w:szCs w:val="28"/>
        </w:rPr>
        <w:t xml:space="preserve">, </w:t>
      </w:r>
      <w:r w:rsidRPr="00516853">
        <w:rPr>
          <w:szCs w:val="28"/>
        </w:rPr>
        <w:t>43.</w:t>
      </w:r>
    </w:p>
  </w:footnote>
  <w:footnote w:id="438">
    <w:p w14:paraId="19D9D94D" w14:textId="7B75A199"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Ibid.</w:t>
      </w:r>
      <w:r w:rsidR="006F304D" w:rsidRPr="006F304D">
        <w:rPr>
          <w:szCs w:val="28"/>
        </w:rPr>
        <w:t xml:space="preserve">, </w:t>
      </w:r>
      <w:r w:rsidRPr="00516853">
        <w:rPr>
          <w:szCs w:val="28"/>
        </w:rPr>
        <w:t>91 (Morgen</w:t>
      </w:r>
      <w:r w:rsidRPr="00516853">
        <w:rPr>
          <w:szCs w:val="28"/>
        </w:rPr>
        <w:softHyphen/>
        <w:t>thaler acknow</w:t>
      </w:r>
      <w:r w:rsidRPr="00516853">
        <w:rPr>
          <w:szCs w:val="28"/>
        </w:rPr>
        <w:softHyphen/>
        <w:t>ledges dependence on Klostermann for this ex</w:t>
      </w:r>
      <w:r w:rsidRPr="00516853">
        <w:rPr>
          <w:szCs w:val="28"/>
        </w:rPr>
        <w:softHyphen/>
        <w:t>am</w:t>
      </w:r>
      <w:r w:rsidRPr="00516853">
        <w:rPr>
          <w:szCs w:val="28"/>
        </w:rPr>
        <w:softHyphen/>
        <w:t>ple).</w:t>
      </w:r>
    </w:p>
  </w:footnote>
  <w:footnote w:id="439">
    <w:p w14:paraId="55721D3D" w14:textId="5C6A3860" w:rsidR="0018433B" w:rsidRDefault="0018433B" w:rsidP="0018433B">
      <w:pPr>
        <w:rPr>
          <w:szCs w:val="28"/>
        </w:rPr>
      </w:pPr>
      <w:r w:rsidRPr="00516853">
        <w:rPr>
          <w:rStyle w:val="FootnoteReference"/>
          <w:szCs w:val="28"/>
        </w:rPr>
        <w:footnoteRef/>
      </w:r>
      <w:r>
        <w:rPr>
          <w:szCs w:val="28"/>
        </w:rPr>
        <w:t xml:space="preserve"> </w:t>
      </w:r>
      <w:r w:rsidRPr="00516853">
        <w:rPr>
          <w:szCs w:val="28"/>
        </w:rPr>
        <w:t>Ibid.</w:t>
      </w:r>
      <w:r w:rsidR="006F304D" w:rsidRPr="006F304D">
        <w:rPr>
          <w:szCs w:val="28"/>
        </w:rPr>
        <w:t xml:space="preserve">, </w:t>
      </w:r>
      <w:r w:rsidRPr="00516853">
        <w:rPr>
          <w:szCs w:val="28"/>
        </w:rPr>
        <w:t>142. Of Morgenthaler’s pericope-level chiasms Meynet says (</w:t>
      </w:r>
      <w:r w:rsidRPr="00516853">
        <w:rPr>
          <w:i/>
          <w:iCs/>
          <w:szCs w:val="28"/>
        </w:rPr>
        <w:t>Quelle</w:t>
      </w:r>
      <w:r w:rsidR="006F304D" w:rsidRPr="006F304D">
        <w:rPr>
          <w:iCs/>
          <w:szCs w:val="28"/>
        </w:rPr>
        <w:t xml:space="preserve">, </w:t>
      </w:r>
      <w:r w:rsidRPr="00516853">
        <w:rPr>
          <w:szCs w:val="28"/>
        </w:rPr>
        <w:t>1. 118-19):</w:t>
      </w:r>
    </w:p>
    <w:p w14:paraId="15D884D4" w14:textId="77777777" w:rsidR="0018433B" w:rsidRPr="00516853" w:rsidRDefault="0018433B" w:rsidP="0018433B">
      <w:pPr>
        <w:rPr>
          <w:szCs w:val="28"/>
        </w:rPr>
      </w:pPr>
    </w:p>
    <w:p w14:paraId="2E6C806C" w14:textId="1D39BEE3" w:rsidR="0018433B" w:rsidRPr="00516853" w:rsidRDefault="0018433B" w:rsidP="0018433B">
      <w:pPr>
        <w:ind w:left="720" w:right="720"/>
        <w:rPr>
          <w:szCs w:val="28"/>
        </w:rPr>
      </w:pPr>
      <w:r>
        <w:rPr>
          <w:szCs w:val="28"/>
        </w:rPr>
        <w:t xml:space="preserve">. . . </w:t>
      </w:r>
      <w:r w:rsidRPr="00516853">
        <w:rPr>
          <w:szCs w:val="28"/>
        </w:rPr>
        <w:t>Morgenthaler</w:t>
      </w:r>
      <w:r w:rsidR="006F304D" w:rsidRPr="006F304D">
        <w:rPr>
          <w:szCs w:val="28"/>
        </w:rPr>
        <w:t xml:space="preserve">, </w:t>
      </w:r>
      <w:r w:rsidRPr="00516853">
        <w:rPr>
          <w:szCs w:val="28"/>
        </w:rPr>
        <w:t>who remarks upon stylistic [sentence-length] chiasms</w:t>
      </w:r>
      <w:r w:rsidR="006F304D" w:rsidRPr="006F304D">
        <w:rPr>
          <w:szCs w:val="28"/>
        </w:rPr>
        <w:t xml:space="preserve">, </w:t>
      </w:r>
      <w:r w:rsidRPr="00516853">
        <w:rPr>
          <w:szCs w:val="28"/>
        </w:rPr>
        <w:t>presents also some passages of about five verses which are struc</w:t>
      </w:r>
      <w:r w:rsidRPr="00516853">
        <w:rPr>
          <w:szCs w:val="28"/>
        </w:rPr>
        <w:softHyphen/>
        <w:t>tured thus</w:t>
      </w:r>
      <w:r w:rsidR="006F304D" w:rsidRPr="006F304D">
        <w:rPr>
          <w:szCs w:val="28"/>
        </w:rPr>
        <w:t xml:space="preserve">, </w:t>
      </w:r>
      <w:r w:rsidRPr="00516853">
        <w:rPr>
          <w:szCs w:val="28"/>
        </w:rPr>
        <w:t>verses which we have called passage chiasms; but the examples that he gives of this latter category remain superfi</w:t>
      </w:r>
      <w:r w:rsidRPr="00516853">
        <w:rPr>
          <w:szCs w:val="28"/>
        </w:rPr>
        <w:softHyphen/>
        <w:t>cial. For example</w:t>
      </w:r>
      <w:r w:rsidR="006F304D" w:rsidRPr="006F304D">
        <w:rPr>
          <w:szCs w:val="28"/>
        </w:rPr>
        <w:t xml:space="preserve">, </w:t>
      </w:r>
      <w:r w:rsidRPr="00516853">
        <w:rPr>
          <w:szCs w:val="28"/>
        </w:rPr>
        <w:t>he presents the inclusion of the heal</w:t>
      </w:r>
      <w:r w:rsidRPr="00516853">
        <w:rPr>
          <w:szCs w:val="28"/>
        </w:rPr>
        <w:softHyphen/>
        <w:t xml:space="preserve">ing of the woman with a hemorrhage [Luke 8:43-48] </w:t>
      </w:r>
      <w:r w:rsidRPr="005F51B1">
        <w:rPr>
          <w:szCs w:val="28"/>
        </w:rPr>
        <w:t>. . .</w:t>
      </w:r>
      <w:r w:rsidRPr="00516853">
        <w:rPr>
          <w:szCs w:val="28"/>
        </w:rPr>
        <w:t xml:space="preserve"> as a chiasm</w:t>
      </w:r>
      <w:r w:rsidR="006F304D" w:rsidRPr="006F304D">
        <w:rPr>
          <w:szCs w:val="28"/>
        </w:rPr>
        <w:t xml:space="preserve">, </w:t>
      </w:r>
      <w:r w:rsidRPr="00516853">
        <w:rPr>
          <w:szCs w:val="28"/>
        </w:rPr>
        <w:t>or the tri</w:t>
      </w:r>
      <w:r w:rsidRPr="00516853">
        <w:rPr>
          <w:szCs w:val="28"/>
        </w:rPr>
        <w:softHyphen/>
        <w:t>al before Herod in the middle of the trial before Pilate [23:2-25].</w:t>
      </w:r>
    </w:p>
  </w:footnote>
  <w:footnote w:id="440">
    <w:p w14:paraId="13878D0C" w14:textId="77777777" w:rsidR="0018433B" w:rsidRDefault="0018433B" w:rsidP="0018433B">
      <w:pPr>
        <w:rPr>
          <w:iCs/>
          <w:szCs w:val="28"/>
        </w:rPr>
      </w:pPr>
    </w:p>
    <w:p w14:paraId="523AC8B8" w14:textId="46E9725A" w:rsidR="0018433B" w:rsidRPr="0054735E" w:rsidRDefault="0018433B" w:rsidP="0018433B">
      <w:pPr>
        <w:rPr>
          <w:szCs w:val="28"/>
        </w:rPr>
      </w:pPr>
      <w:r w:rsidRPr="00565750">
        <w:rPr>
          <w:rStyle w:val="FootnoteReference"/>
          <w:szCs w:val="28"/>
        </w:rPr>
        <w:footnoteRef/>
      </w:r>
      <w:r w:rsidRPr="00565750">
        <w:rPr>
          <w:iCs/>
          <w:szCs w:val="28"/>
        </w:rPr>
        <w:t xml:space="preserve"> </w:t>
      </w:r>
      <w:r w:rsidRPr="00516853">
        <w:rPr>
          <w:i/>
          <w:iCs/>
          <w:szCs w:val="28"/>
        </w:rPr>
        <w:t>Geschichtsschreibung</w:t>
      </w:r>
      <w:r w:rsidR="006F304D" w:rsidRPr="006F304D">
        <w:rPr>
          <w:iCs/>
          <w:szCs w:val="28"/>
        </w:rPr>
        <w:t xml:space="preserve">, </w:t>
      </w:r>
      <w:r>
        <w:rPr>
          <w:szCs w:val="28"/>
        </w:rPr>
        <w:t xml:space="preserve">66: “Oder 6,44: </w:t>
      </w:r>
      <w:r w:rsidRPr="0046708B">
        <w:rPr>
          <w:szCs w:val="28"/>
        </w:rPr>
        <w:t>συλλέγουσιν σῦ</w:t>
      </w:r>
      <w:r>
        <w:rPr>
          <w:szCs w:val="28"/>
        </w:rPr>
        <w:t>κα</w:t>
      </w:r>
      <w:r w:rsidR="006F304D" w:rsidRPr="006F304D">
        <w:rPr>
          <w:szCs w:val="28"/>
        </w:rPr>
        <w:t xml:space="preserve">, </w:t>
      </w:r>
      <w:r w:rsidRPr="0046708B">
        <w:rPr>
          <w:szCs w:val="28"/>
        </w:rPr>
        <w:t>σταφυλὴν τρυγῶσιν</w:t>
      </w:r>
      <w:r>
        <w:rPr>
          <w:szCs w:val="28"/>
        </w:rPr>
        <w:t>.” Notice that Mogenthaler</w:t>
      </w:r>
      <w:r w:rsidR="006F304D" w:rsidRPr="006F304D">
        <w:rPr>
          <w:szCs w:val="28"/>
        </w:rPr>
        <w:t xml:space="preserve">, </w:t>
      </w:r>
      <w:r>
        <w:rPr>
          <w:szCs w:val="28"/>
        </w:rPr>
        <w:t xml:space="preserve">by means of the comma after </w:t>
      </w:r>
      <w:r w:rsidRPr="0046708B">
        <w:rPr>
          <w:szCs w:val="28"/>
        </w:rPr>
        <w:t>σῦ</w:t>
      </w:r>
      <w:r>
        <w:rPr>
          <w:szCs w:val="28"/>
        </w:rPr>
        <w:t>κα</w:t>
      </w:r>
      <w:r w:rsidR="006F304D" w:rsidRPr="006F304D">
        <w:rPr>
          <w:szCs w:val="28"/>
        </w:rPr>
        <w:t xml:space="preserve">, </w:t>
      </w:r>
      <w:r>
        <w:rPr>
          <w:szCs w:val="28"/>
        </w:rPr>
        <w:t>eliminates the intervening words: the full phrase reads</w:t>
      </w:r>
      <w:r w:rsidR="006F304D" w:rsidRPr="006F304D">
        <w:rPr>
          <w:szCs w:val="28"/>
        </w:rPr>
        <w:t xml:space="preserve">, </w:t>
      </w:r>
      <w:r>
        <w:rPr>
          <w:szCs w:val="28"/>
        </w:rPr>
        <w:t>“</w:t>
      </w:r>
      <w:r w:rsidRPr="00CE06CA">
        <w:rPr>
          <w:bCs/>
          <w:szCs w:val="22"/>
          <w:lang w:val="el-GR"/>
        </w:rPr>
        <w:t>συλλέγουσιν σῦκα</w:t>
      </w:r>
      <w:r>
        <w:rPr>
          <w:bCs/>
          <w:szCs w:val="22"/>
        </w:rPr>
        <w:t xml:space="preserve"> </w:t>
      </w:r>
      <w:r w:rsidRPr="00CE06CA">
        <w:rPr>
          <w:bCs/>
          <w:szCs w:val="22"/>
          <w:lang w:val="el-GR"/>
        </w:rPr>
        <w:t>οὐδὲ ἐκ βάτου σταφυλὴν τρυγῶσιν.</w:t>
      </w:r>
      <w:r>
        <w:rPr>
          <w:bCs/>
          <w:szCs w:val="22"/>
        </w:rPr>
        <w:t>”</w:t>
      </w:r>
    </w:p>
  </w:footnote>
  <w:footnote w:id="441">
    <w:p w14:paraId="34331FFF" w14:textId="70E559B3"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Ibid.</w:t>
      </w:r>
      <w:r w:rsidR="006F304D" w:rsidRPr="006F304D">
        <w:rPr>
          <w:szCs w:val="28"/>
        </w:rPr>
        <w:t xml:space="preserve">, </w:t>
      </w:r>
      <w:r w:rsidRPr="00516853">
        <w:rPr>
          <w:szCs w:val="28"/>
        </w:rPr>
        <w:t>83.</w:t>
      </w:r>
    </w:p>
  </w:footnote>
  <w:footnote w:id="442">
    <w:p w14:paraId="285F5BB8" w14:textId="174EB3EB" w:rsidR="0018433B" w:rsidRPr="00516853" w:rsidRDefault="0018433B" w:rsidP="0018433B">
      <w:pPr>
        <w:rPr>
          <w:szCs w:val="28"/>
        </w:rPr>
      </w:pPr>
      <w:r w:rsidRPr="00516853">
        <w:rPr>
          <w:rStyle w:val="FootnoteReference"/>
          <w:szCs w:val="28"/>
        </w:rPr>
        <w:footnoteRef/>
      </w:r>
      <w:r>
        <w:rPr>
          <w:szCs w:val="28"/>
        </w:rPr>
        <w:t xml:space="preserve"> This order (</w:t>
      </w:r>
      <w:r w:rsidRPr="00AA14EA">
        <w:rPr>
          <w:szCs w:val="28"/>
        </w:rPr>
        <w:t>verb + object + locale</w:t>
      </w:r>
      <w:r>
        <w:rPr>
          <w:szCs w:val="28"/>
        </w:rPr>
        <w:t>)</w:t>
      </w:r>
      <w:r w:rsidRPr="00516853">
        <w:rPr>
          <w:szCs w:val="28"/>
        </w:rPr>
        <w:t xml:space="preserve"> also occur</w:t>
      </w:r>
      <w:r>
        <w:rPr>
          <w:szCs w:val="28"/>
        </w:rPr>
        <w:t>s in Matthew’s parallel to 42bc</w:t>
      </w:r>
      <w:r w:rsidR="006F304D" w:rsidRPr="006F304D">
        <w:rPr>
          <w:szCs w:val="28"/>
        </w:rPr>
        <w:t xml:space="preserve">, </w:t>
      </w:r>
      <w:r w:rsidRPr="00516853">
        <w:rPr>
          <w:szCs w:val="28"/>
        </w:rPr>
        <w:t xml:space="preserve">Matt 7:3: </w:t>
      </w:r>
      <w:r w:rsidRPr="0054735E">
        <w:rPr>
          <w:szCs w:val="28"/>
        </w:rPr>
        <w:t>τί δὲ βλέπεις τὸ κάρφος τὸ ἐν τῷ ὀφθαλμῷ τοῦ ἀδελφοῦ σου</w:t>
      </w:r>
      <w:r w:rsidR="006F304D" w:rsidRPr="006F304D">
        <w:rPr>
          <w:szCs w:val="28"/>
        </w:rPr>
        <w:t xml:space="preserve">, </w:t>
      </w:r>
      <w:r w:rsidRPr="0054735E">
        <w:rPr>
          <w:szCs w:val="28"/>
        </w:rPr>
        <w:t>τὴν δὲ ἐν τῷ σῷ ὀφθαλμῷ δοκὸν οὐ κατανοεῖς;</w:t>
      </w:r>
    </w:p>
  </w:footnote>
  <w:footnote w:id="443">
    <w:p w14:paraId="6D4E72C4" w14:textId="04600552"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Max Zerwick and Mary Grosvenor</w:t>
      </w:r>
      <w:r w:rsidR="006F304D" w:rsidRPr="006F304D">
        <w:rPr>
          <w:szCs w:val="28"/>
        </w:rPr>
        <w:t xml:space="preserve">, </w:t>
      </w:r>
      <w:r w:rsidRPr="00516853">
        <w:rPr>
          <w:i/>
          <w:iCs/>
          <w:szCs w:val="28"/>
        </w:rPr>
        <w:t>A Grammatical Analysis of the Greek New Tes</w:t>
      </w:r>
      <w:r w:rsidRPr="00516853">
        <w:rPr>
          <w:i/>
          <w:iCs/>
          <w:szCs w:val="28"/>
        </w:rPr>
        <w:softHyphen/>
        <w:t>tament</w:t>
      </w:r>
      <w:r w:rsidRPr="00516853">
        <w:rPr>
          <w:szCs w:val="28"/>
        </w:rPr>
        <w:t xml:space="preserve"> (Rome: Pontifical Biblical Institute</w:t>
      </w:r>
      <w:r w:rsidR="006F304D" w:rsidRPr="006F304D">
        <w:rPr>
          <w:szCs w:val="28"/>
        </w:rPr>
        <w:t xml:space="preserve">, </w:t>
      </w:r>
      <w:r w:rsidRPr="00516853">
        <w:rPr>
          <w:szCs w:val="28"/>
        </w:rPr>
        <w:t>1974)</w:t>
      </w:r>
      <w:r w:rsidR="006F304D" w:rsidRPr="006F304D">
        <w:rPr>
          <w:szCs w:val="28"/>
        </w:rPr>
        <w:t xml:space="preserve">, </w:t>
      </w:r>
      <w:r w:rsidRPr="00516853">
        <w:rPr>
          <w:szCs w:val="28"/>
        </w:rPr>
        <w:t>1. 197.</w:t>
      </w:r>
    </w:p>
  </w:footnote>
  <w:footnote w:id="444">
    <w:p w14:paraId="7595A9A2" w14:textId="5B4D46CC" w:rsidR="0018433B" w:rsidRDefault="0018433B" w:rsidP="0018433B">
      <w:pPr>
        <w:rPr>
          <w:szCs w:val="28"/>
        </w:rPr>
      </w:pPr>
      <w:r w:rsidRPr="00516853">
        <w:rPr>
          <w:rStyle w:val="FootnoteReference"/>
          <w:szCs w:val="28"/>
        </w:rPr>
        <w:footnoteRef/>
      </w:r>
      <w:r>
        <w:rPr>
          <w:szCs w:val="28"/>
        </w:rPr>
        <w:t xml:space="preserve"> </w:t>
      </w:r>
      <w:r w:rsidRPr="00516853">
        <w:rPr>
          <w:szCs w:val="28"/>
        </w:rPr>
        <w:t>Lund does not deal with the sermon on the plain directly but with the sermon on the mount. This prefer</w:t>
      </w:r>
      <w:r w:rsidRPr="00516853">
        <w:rPr>
          <w:szCs w:val="28"/>
        </w:rPr>
        <w:softHyphen/>
        <w:t>ence reflects a predilec</w:t>
      </w:r>
      <w:r w:rsidRPr="00516853">
        <w:rPr>
          <w:szCs w:val="28"/>
        </w:rPr>
        <w:softHyphen/>
        <w:t>tion throughout Lund’s volume for Matthew’s gos</w:t>
      </w:r>
      <w:r w:rsidRPr="00516853">
        <w:rPr>
          <w:szCs w:val="28"/>
        </w:rPr>
        <w:softHyphen/>
        <w:t>pel. The reason for this partiality is not far to find: Lund is able to find chiasms in Mat</w:t>
      </w:r>
      <w:r w:rsidRPr="00516853">
        <w:rPr>
          <w:szCs w:val="28"/>
        </w:rPr>
        <w:softHyphen/>
        <w:t>thew’s sermon more easily than in Luke’s (</w:t>
      </w:r>
      <w:r w:rsidRPr="00516853">
        <w:rPr>
          <w:i/>
          <w:iCs/>
          <w:szCs w:val="28"/>
        </w:rPr>
        <w:t>Chiasmus in the NT</w:t>
      </w:r>
      <w:r w:rsidR="006F304D" w:rsidRPr="006F304D">
        <w:rPr>
          <w:iCs/>
          <w:szCs w:val="28"/>
        </w:rPr>
        <w:t xml:space="preserve">, </w:t>
      </w:r>
      <w:r w:rsidRPr="00516853">
        <w:rPr>
          <w:szCs w:val="28"/>
        </w:rPr>
        <w:t>319</w:t>
      </w:r>
      <w:r w:rsidR="006F304D" w:rsidRPr="006F304D">
        <w:rPr>
          <w:szCs w:val="28"/>
        </w:rPr>
        <w:t xml:space="preserve">, </w:t>
      </w:r>
      <w:r w:rsidRPr="00516853">
        <w:rPr>
          <w:szCs w:val="28"/>
        </w:rPr>
        <w:t>296):</w:t>
      </w:r>
    </w:p>
    <w:p w14:paraId="0999A35E" w14:textId="77777777" w:rsidR="0018433B" w:rsidRPr="00516853" w:rsidRDefault="0018433B" w:rsidP="0018433B">
      <w:pPr>
        <w:rPr>
          <w:szCs w:val="28"/>
        </w:rPr>
      </w:pPr>
    </w:p>
    <w:p w14:paraId="661CF5D5" w14:textId="48779BA1" w:rsidR="0018433B" w:rsidRPr="00516853" w:rsidRDefault="0018433B" w:rsidP="0018433B">
      <w:pPr>
        <w:ind w:left="720" w:right="720"/>
        <w:rPr>
          <w:szCs w:val="28"/>
        </w:rPr>
      </w:pPr>
      <w:r w:rsidRPr="00516853">
        <w:rPr>
          <w:szCs w:val="28"/>
        </w:rPr>
        <w:t>Luke more often breaks up the chiastic patterns than he pre</w:t>
      </w:r>
      <w:r w:rsidRPr="00516853">
        <w:rPr>
          <w:szCs w:val="28"/>
        </w:rPr>
        <w:softHyphen/>
        <w:t>serves them</w:t>
      </w:r>
      <w:r w:rsidR="006F304D" w:rsidRPr="006F304D">
        <w:rPr>
          <w:szCs w:val="28"/>
        </w:rPr>
        <w:t xml:space="preserve">, </w:t>
      </w:r>
      <w:r w:rsidRPr="00516853">
        <w:rPr>
          <w:szCs w:val="28"/>
        </w:rPr>
        <w:t>and the explanation nearest at hand is</w:t>
      </w:r>
      <w:r w:rsidR="006F304D" w:rsidRPr="006F304D">
        <w:rPr>
          <w:szCs w:val="28"/>
        </w:rPr>
        <w:t xml:space="preserve">, </w:t>
      </w:r>
      <w:r w:rsidRPr="00516853">
        <w:rPr>
          <w:szCs w:val="28"/>
        </w:rPr>
        <w:t>that these forms were to him and his prospective readers un-Greek and un-lit</w:t>
      </w:r>
      <w:r w:rsidRPr="00516853">
        <w:rPr>
          <w:szCs w:val="28"/>
        </w:rPr>
        <w:softHyphen/>
        <w:t>er</w:t>
      </w:r>
      <w:r w:rsidRPr="00516853">
        <w:rPr>
          <w:szCs w:val="28"/>
        </w:rPr>
        <w:softHyphen/>
        <w:t>ary judged by Greek stan</w:t>
      </w:r>
      <w:r w:rsidRPr="00516853">
        <w:rPr>
          <w:szCs w:val="28"/>
        </w:rPr>
        <w:softHyphen/>
        <w:t>dards</w:t>
      </w:r>
      <w:r w:rsidRPr="005F51B1">
        <w:rPr>
          <w:szCs w:val="28"/>
        </w:rPr>
        <w:t>. . . .</w:t>
      </w:r>
      <w:r w:rsidRPr="00516853">
        <w:rPr>
          <w:szCs w:val="28"/>
        </w:rPr>
        <w:t xml:space="preserve"> Luke was ac</w:t>
      </w:r>
      <w:r w:rsidRPr="00516853">
        <w:rPr>
          <w:szCs w:val="28"/>
        </w:rPr>
        <w:softHyphen/>
        <w:t>quainted with these structures</w:t>
      </w:r>
      <w:r w:rsidR="006F304D" w:rsidRPr="006F304D">
        <w:rPr>
          <w:szCs w:val="28"/>
        </w:rPr>
        <w:t xml:space="preserve">, </w:t>
      </w:r>
      <w:r w:rsidRPr="00516853">
        <w:rPr>
          <w:szCs w:val="28"/>
        </w:rPr>
        <w:t>[but] they were Hebrew and not Greek. How</w:t>
      </w:r>
      <w:r w:rsidRPr="00516853">
        <w:rPr>
          <w:szCs w:val="28"/>
        </w:rPr>
        <w:softHyphen/>
        <w:t>ever such structures might have appealed to a Jew</w:t>
      </w:r>
      <w:r w:rsidR="006F304D" w:rsidRPr="006F304D">
        <w:rPr>
          <w:szCs w:val="28"/>
        </w:rPr>
        <w:t xml:space="preserve">, </w:t>
      </w:r>
      <w:r w:rsidRPr="00516853">
        <w:rPr>
          <w:szCs w:val="28"/>
        </w:rPr>
        <w:t>to a Greek they must have looked like unneces</w:t>
      </w:r>
      <w:r w:rsidRPr="00516853">
        <w:rPr>
          <w:szCs w:val="28"/>
        </w:rPr>
        <w:softHyphen/>
        <w:t>sary repeti</w:t>
      </w:r>
      <w:r w:rsidRPr="00516853">
        <w:rPr>
          <w:szCs w:val="28"/>
        </w:rPr>
        <w:softHyphen/>
        <w:t>tion. It is easily seen when we com</w:t>
      </w:r>
      <w:r w:rsidRPr="00516853">
        <w:rPr>
          <w:szCs w:val="28"/>
        </w:rPr>
        <w:softHyphen/>
        <w:t>pare smaller sections of Matthew (where these forms are perfect) with parallel sections in Luke (where the forms break down) that some such motive of taste under</w:t>
      </w:r>
      <w:r w:rsidRPr="00516853">
        <w:rPr>
          <w:szCs w:val="28"/>
        </w:rPr>
        <w:softHyphen/>
        <w:t>lies the modifications. The failure to repeat a word</w:t>
      </w:r>
      <w:r w:rsidR="006F304D" w:rsidRPr="006F304D">
        <w:rPr>
          <w:szCs w:val="28"/>
        </w:rPr>
        <w:t xml:space="preserve">, </w:t>
      </w:r>
      <w:r w:rsidRPr="00516853">
        <w:rPr>
          <w:szCs w:val="28"/>
        </w:rPr>
        <w:t>the recast</w:t>
      </w:r>
      <w:r w:rsidRPr="00516853">
        <w:rPr>
          <w:szCs w:val="28"/>
        </w:rPr>
        <w:softHyphen/>
        <w:t>ing of the order of the sen</w:t>
      </w:r>
      <w:r w:rsidRPr="00516853">
        <w:rPr>
          <w:szCs w:val="28"/>
        </w:rPr>
        <w:softHyphen/>
        <w:t>tence</w:t>
      </w:r>
      <w:r w:rsidR="006F304D" w:rsidRPr="006F304D">
        <w:rPr>
          <w:szCs w:val="28"/>
        </w:rPr>
        <w:t xml:space="preserve">, </w:t>
      </w:r>
      <w:r w:rsidRPr="00516853">
        <w:rPr>
          <w:szCs w:val="28"/>
        </w:rPr>
        <w:t>the elimina</w:t>
      </w:r>
      <w:r w:rsidRPr="00516853">
        <w:rPr>
          <w:szCs w:val="28"/>
        </w:rPr>
        <w:softHyphen/>
        <w:t>tion of a term or two</w:t>
      </w:r>
      <w:r w:rsidR="006F304D" w:rsidRPr="006F304D">
        <w:rPr>
          <w:szCs w:val="28"/>
        </w:rPr>
        <w:t xml:space="preserve">, </w:t>
      </w:r>
      <w:r w:rsidRPr="00516853">
        <w:rPr>
          <w:szCs w:val="28"/>
        </w:rPr>
        <w:t>or the substitu</w:t>
      </w:r>
      <w:r w:rsidRPr="00516853">
        <w:rPr>
          <w:szCs w:val="28"/>
        </w:rPr>
        <w:softHyphen/>
        <w:t>tion of one for anoth</w:t>
      </w:r>
      <w:r w:rsidRPr="00516853">
        <w:rPr>
          <w:szCs w:val="28"/>
        </w:rPr>
        <w:softHyphen/>
        <w:t>er—all these things are done by Luke with a Greek interest in style</w:t>
      </w:r>
      <w:r w:rsidR="006F304D" w:rsidRPr="006F304D">
        <w:rPr>
          <w:szCs w:val="28"/>
        </w:rPr>
        <w:t xml:space="preserve">, </w:t>
      </w:r>
      <w:r w:rsidRPr="00516853">
        <w:rPr>
          <w:szCs w:val="28"/>
        </w:rPr>
        <w:t>but they result in destruction of much of that which is charac</w:t>
      </w:r>
      <w:r w:rsidRPr="00516853">
        <w:rPr>
          <w:szCs w:val="28"/>
        </w:rPr>
        <w:softHyphen/>
        <w:t>teris</w:t>
      </w:r>
      <w:r w:rsidRPr="00516853">
        <w:rPr>
          <w:szCs w:val="28"/>
        </w:rPr>
        <w:softHyphen/>
        <w:t>tic in Matthew’s style.</w:t>
      </w:r>
    </w:p>
    <w:p w14:paraId="000FDE6D" w14:textId="77777777" w:rsidR="0018433B" w:rsidRPr="00516853" w:rsidRDefault="0018433B" w:rsidP="0018433B">
      <w:pPr>
        <w:rPr>
          <w:szCs w:val="28"/>
        </w:rPr>
      </w:pPr>
    </w:p>
    <w:p w14:paraId="7BD49A3D" w14:textId="52C92D0B" w:rsidR="0018433B" w:rsidRPr="00516853" w:rsidRDefault="0018433B" w:rsidP="0018433B">
      <w:pPr>
        <w:rPr>
          <w:szCs w:val="28"/>
        </w:rPr>
      </w:pPr>
      <w:r w:rsidRPr="00516853">
        <w:rPr>
          <w:szCs w:val="28"/>
        </w:rPr>
        <w:t>(See also 282</w:t>
      </w:r>
      <w:r w:rsidR="006F304D" w:rsidRPr="006F304D">
        <w:rPr>
          <w:szCs w:val="28"/>
        </w:rPr>
        <w:t xml:space="preserve">, </w:t>
      </w:r>
      <w:r w:rsidRPr="00516853">
        <w:rPr>
          <w:szCs w:val="28"/>
        </w:rPr>
        <w:t>where Lund refers to Luke’s “aversion to chiastic forms,” and especially 294-300: Matthew preserves Q’s chia</w:t>
      </w:r>
      <w:r>
        <w:rPr>
          <w:szCs w:val="28"/>
        </w:rPr>
        <w:t>sms</w:t>
      </w:r>
      <w:r w:rsidR="006F304D" w:rsidRPr="006F304D">
        <w:rPr>
          <w:szCs w:val="28"/>
        </w:rPr>
        <w:t xml:space="preserve">, </w:t>
      </w:r>
      <w:r>
        <w:rPr>
          <w:szCs w:val="28"/>
        </w:rPr>
        <w:t>while Luke destroys them.)</w:t>
      </w:r>
    </w:p>
  </w:footnote>
  <w:footnote w:id="445">
    <w:p w14:paraId="262E2188" w14:textId="6769C1CE"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Ibid.</w:t>
      </w:r>
      <w:r w:rsidR="006F304D" w:rsidRPr="006F304D">
        <w:rPr>
          <w:szCs w:val="28"/>
        </w:rPr>
        <w:t xml:space="preserve">, </w:t>
      </w:r>
      <w:r w:rsidRPr="00516853">
        <w:rPr>
          <w:szCs w:val="28"/>
        </w:rPr>
        <w:t>248 (italics in origi</w:t>
      </w:r>
      <w:r w:rsidRPr="00516853">
        <w:rPr>
          <w:szCs w:val="28"/>
        </w:rPr>
        <w:softHyphen/>
        <w:t>nal; I have added the line num</w:t>
      </w:r>
      <w:r w:rsidRPr="00516853">
        <w:rPr>
          <w:szCs w:val="28"/>
        </w:rPr>
        <w:softHyphen/>
        <w:t>bers). Lund uses the texts of the American Standard Bible and of</w:t>
      </w:r>
      <w:r>
        <w:rPr>
          <w:szCs w:val="28"/>
        </w:rPr>
        <w:t xml:space="preserve"> Westcott and Hort (ibid.</w:t>
      </w:r>
      <w:r w:rsidR="006F304D" w:rsidRPr="006F304D">
        <w:rPr>
          <w:szCs w:val="28"/>
        </w:rPr>
        <w:t xml:space="preserve">, </w:t>
      </w:r>
      <w:r>
        <w:rPr>
          <w:szCs w:val="28"/>
        </w:rPr>
        <w:t>viii).</w:t>
      </w:r>
      <w:r w:rsidRPr="00516853">
        <w:rPr>
          <w:szCs w:val="28"/>
        </w:rPr>
        <w:t xml:space="preserve"> </w:t>
      </w:r>
      <w:r>
        <w:rPr>
          <w:szCs w:val="28"/>
        </w:rPr>
        <w:t>(</w:t>
      </w:r>
      <w:r w:rsidRPr="00516853">
        <w:rPr>
          <w:szCs w:val="28"/>
        </w:rPr>
        <w:t>The ASV is a revision of the Revised Ver</w:t>
      </w:r>
      <w:r w:rsidRPr="00516853">
        <w:rPr>
          <w:szCs w:val="28"/>
        </w:rPr>
        <w:softHyphen/>
        <w:t>sion [Luther A. Weigle</w:t>
      </w:r>
      <w:r w:rsidR="006F304D" w:rsidRPr="006F304D">
        <w:rPr>
          <w:szCs w:val="28"/>
        </w:rPr>
        <w:t xml:space="preserve">, </w:t>
      </w:r>
      <w:r w:rsidRPr="00516853">
        <w:rPr>
          <w:i/>
          <w:iCs/>
          <w:szCs w:val="28"/>
        </w:rPr>
        <w:t>The English New Testament from Tyndale to the Revised Standard Version</w:t>
      </w:r>
      <w:r w:rsidRPr="00516853">
        <w:rPr>
          <w:szCs w:val="28"/>
        </w:rPr>
        <w:t xml:space="preserve"> (New York: Abing</w:t>
      </w:r>
      <w:r w:rsidRPr="00516853">
        <w:rPr>
          <w:szCs w:val="28"/>
        </w:rPr>
        <w:softHyphen/>
        <w:t>don-Cokes</w:t>
      </w:r>
      <w:r w:rsidRPr="00516853">
        <w:rPr>
          <w:szCs w:val="28"/>
        </w:rPr>
        <w:softHyphen/>
        <w:t>bury</w:t>
      </w:r>
      <w:r w:rsidR="006F304D" w:rsidRPr="006F304D">
        <w:rPr>
          <w:szCs w:val="28"/>
        </w:rPr>
        <w:t xml:space="preserve">, </w:t>
      </w:r>
      <w:r w:rsidRPr="00516853">
        <w:rPr>
          <w:szCs w:val="28"/>
        </w:rPr>
        <w:t>1949) 96-100]).</w:t>
      </w:r>
    </w:p>
  </w:footnote>
  <w:footnote w:id="446">
    <w:p w14:paraId="52C919F9" w14:textId="50C5F71B"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For the law</w:t>
      </w:r>
      <w:r w:rsidR="006F304D" w:rsidRPr="006F304D">
        <w:rPr>
          <w:szCs w:val="28"/>
        </w:rPr>
        <w:t xml:space="preserve">, </w:t>
      </w:r>
      <w:r w:rsidRPr="00516853">
        <w:rPr>
          <w:szCs w:val="28"/>
        </w:rPr>
        <w:t>see 83 above; for a two-line center</w:t>
      </w:r>
      <w:r w:rsidR="006F304D" w:rsidRPr="006F304D">
        <w:rPr>
          <w:szCs w:val="28"/>
        </w:rPr>
        <w:t xml:space="preserve">, </w:t>
      </w:r>
      <w:r w:rsidRPr="00516853">
        <w:rPr>
          <w:szCs w:val="28"/>
        </w:rPr>
        <w:t>see his treatment of Matt 6:24</w:t>
      </w:r>
      <w:r w:rsidR="006F304D" w:rsidRPr="006F304D">
        <w:rPr>
          <w:szCs w:val="28"/>
        </w:rPr>
        <w:t xml:space="preserve">, </w:t>
      </w:r>
      <w:r w:rsidRPr="00516853">
        <w:rPr>
          <w:i/>
          <w:iCs/>
          <w:szCs w:val="28"/>
        </w:rPr>
        <w:t>Chiasmus</w:t>
      </w:r>
      <w:r w:rsidRPr="00516853">
        <w:rPr>
          <w:szCs w:val="28"/>
        </w:rPr>
        <w:t xml:space="preserve"> 247.</w:t>
      </w:r>
    </w:p>
  </w:footnote>
  <w:footnote w:id="447">
    <w:p w14:paraId="07F64ECF" w14:textId="509D549E"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Ibid.</w:t>
      </w:r>
      <w:r w:rsidR="006F304D" w:rsidRPr="006F304D">
        <w:rPr>
          <w:szCs w:val="28"/>
        </w:rPr>
        <w:t xml:space="preserve">, </w:t>
      </w:r>
      <w:r w:rsidRPr="00516853">
        <w:rPr>
          <w:szCs w:val="28"/>
        </w:rPr>
        <w:t>260.</w:t>
      </w:r>
    </w:p>
  </w:footnote>
  <w:footnote w:id="448">
    <w:p w14:paraId="0F3A1D84" w14:textId="74FFEA91"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The spaces between words</w:t>
      </w:r>
      <w:r w:rsidR="006F304D" w:rsidRPr="006F304D">
        <w:rPr>
          <w:szCs w:val="28"/>
        </w:rPr>
        <w:t xml:space="preserve">, </w:t>
      </w:r>
      <w:r w:rsidRPr="00516853">
        <w:rPr>
          <w:szCs w:val="28"/>
        </w:rPr>
        <w:t>of course</w:t>
      </w:r>
      <w:r w:rsidR="006F304D" w:rsidRPr="006F304D">
        <w:rPr>
          <w:szCs w:val="28"/>
        </w:rPr>
        <w:t xml:space="preserve">, </w:t>
      </w:r>
      <w:r w:rsidRPr="00516853">
        <w:rPr>
          <w:szCs w:val="28"/>
        </w:rPr>
        <w:t>must be ignored</w:t>
      </w:r>
      <w:r w:rsidR="006F304D" w:rsidRPr="006F304D">
        <w:rPr>
          <w:szCs w:val="28"/>
        </w:rPr>
        <w:t xml:space="preserve">, </w:t>
      </w:r>
      <w:r w:rsidRPr="00516853">
        <w:rPr>
          <w:szCs w:val="28"/>
        </w:rPr>
        <w:t xml:space="preserve">since they are supplied by modern editors: Greek manuscripts were typically in </w:t>
      </w:r>
      <w:r w:rsidRPr="00516853">
        <w:rPr>
          <w:i/>
          <w:iCs/>
          <w:szCs w:val="28"/>
        </w:rPr>
        <w:t>scriptio continua</w:t>
      </w:r>
      <w:r w:rsidRPr="00516853">
        <w:rPr>
          <w:iCs/>
          <w:szCs w:val="28"/>
        </w:rPr>
        <w:t>.</w:t>
      </w:r>
    </w:p>
  </w:footnote>
  <w:footnote w:id="449">
    <w:p w14:paraId="438AFAEA" w14:textId="7912A616"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I base this count on facsimile pages in Frederic Kenyon</w:t>
      </w:r>
      <w:r w:rsidR="006F304D" w:rsidRPr="006F304D">
        <w:rPr>
          <w:szCs w:val="28"/>
        </w:rPr>
        <w:t xml:space="preserve">, </w:t>
      </w:r>
      <w:r w:rsidRPr="00516853">
        <w:rPr>
          <w:i/>
          <w:iCs/>
          <w:szCs w:val="28"/>
        </w:rPr>
        <w:t>Our Bible and the Ancient Manuscripts</w:t>
      </w:r>
      <w:r w:rsidRPr="00516853">
        <w:rPr>
          <w:szCs w:val="28"/>
        </w:rPr>
        <w:t xml:space="preserve"> (5th ed.</w:t>
      </w:r>
      <w:r w:rsidR="006F304D" w:rsidRPr="006F304D">
        <w:rPr>
          <w:szCs w:val="28"/>
        </w:rPr>
        <w:t xml:space="preserve">, </w:t>
      </w:r>
      <w:r w:rsidRPr="00516853">
        <w:rPr>
          <w:szCs w:val="28"/>
        </w:rPr>
        <w:t xml:space="preserve">rev. </w:t>
      </w:r>
      <w:r w:rsidR="000644ED" w:rsidRPr="000644ED">
        <w:rPr>
          <w:iCs/>
          <w:szCs w:val="28"/>
        </w:rPr>
        <w:t>A.W.</w:t>
      </w:r>
      <w:r w:rsidRPr="00516853">
        <w:rPr>
          <w:szCs w:val="28"/>
        </w:rPr>
        <w:t xml:space="preserve"> Adams; London: Eyre &amp; Spottis</w:t>
      </w:r>
      <w:r w:rsidRPr="00516853">
        <w:rPr>
          <w:szCs w:val="28"/>
        </w:rPr>
        <w:softHyphen/>
        <w:t>woode</w:t>
      </w:r>
      <w:r w:rsidR="006F304D" w:rsidRPr="006F304D">
        <w:rPr>
          <w:szCs w:val="28"/>
        </w:rPr>
        <w:t xml:space="preserve">, </w:t>
      </w:r>
      <w:r w:rsidRPr="00516853">
        <w:rPr>
          <w:szCs w:val="28"/>
        </w:rPr>
        <w:t>1958)</w:t>
      </w:r>
      <w:r w:rsidR="006F304D" w:rsidRPr="006F304D">
        <w:rPr>
          <w:szCs w:val="28"/>
        </w:rPr>
        <w:t xml:space="preserve">, </w:t>
      </w:r>
      <w:r w:rsidRPr="00516853">
        <w:rPr>
          <w:szCs w:val="28"/>
        </w:rPr>
        <w:t>plates xxiii and xxv.</w:t>
      </w:r>
    </w:p>
  </w:footnote>
  <w:footnote w:id="450">
    <w:p w14:paraId="45C8B20F" w14:textId="41472AAD"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Metzger</w:t>
      </w:r>
      <w:r w:rsidR="006F304D" w:rsidRPr="006F304D">
        <w:rPr>
          <w:szCs w:val="28"/>
        </w:rPr>
        <w:t xml:space="preserve">, </w:t>
      </w:r>
      <w:r w:rsidRPr="00516853">
        <w:rPr>
          <w:i/>
          <w:iCs/>
          <w:szCs w:val="28"/>
        </w:rPr>
        <w:t>Text</w:t>
      </w:r>
      <w:r w:rsidR="006F304D" w:rsidRPr="006F304D">
        <w:rPr>
          <w:iCs/>
          <w:szCs w:val="28"/>
        </w:rPr>
        <w:t xml:space="preserve">, </w:t>
      </w:r>
      <w:r w:rsidRPr="00516853">
        <w:rPr>
          <w:szCs w:val="28"/>
        </w:rPr>
        <w:t>29-30.</w:t>
      </w:r>
    </w:p>
  </w:footnote>
  <w:footnote w:id="451">
    <w:p w14:paraId="3F63B521" w14:textId="06C411F9"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See Metzger’s chapter</w:t>
      </w:r>
      <w:r w:rsidR="006F304D" w:rsidRPr="006F304D">
        <w:rPr>
          <w:szCs w:val="28"/>
        </w:rPr>
        <w:t xml:space="preserve">, </w:t>
      </w:r>
      <w:r w:rsidRPr="00516853">
        <w:rPr>
          <w:szCs w:val="28"/>
        </w:rPr>
        <w:t>“The Causes of Error in the Transmission of the Text of the New Tes</w:t>
      </w:r>
      <w:r w:rsidRPr="00516853">
        <w:rPr>
          <w:szCs w:val="28"/>
        </w:rPr>
        <w:softHyphen/>
        <w:t>tament,” ibid.</w:t>
      </w:r>
      <w:r w:rsidR="006F304D" w:rsidRPr="006F304D">
        <w:rPr>
          <w:szCs w:val="28"/>
        </w:rPr>
        <w:t xml:space="preserve">, </w:t>
      </w:r>
      <w:r w:rsidRPr="00516853">
        <w:rPr>
          <w:szCs w:val="28"/>
        </w:rPr>
        <w:t>186-206. No textual variants of any kind are cited in Nestle-Aland</w:t>
      </w:r>
      <w:r w:rsidRPr="00516853">
        <w:rPr>
          <w:szCs w:val="28"/>
          <w:vertAlign w:val="superscript"/>
        </w:rPr>
        <w:t>26</w:t>
      </w:r>
      <w:r w:rsidRPr="00516853">
        <w:rPr>
          <w:szCs w:val="28"/>
        </w:rPr>
        <w:t xml:space="preserve"> for lines 20 and 21.</w:t>
      </w:r>
    </w:p>
  </w:footnote>
  <w:footnote w:id="452">
    <w:p w14:paraId="6F2877FF" w14:textId="27E1B748"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This parallelism is more fully discussed below</w:t>
      </w:r>
      <w:r w:rsidR="006F304D" w:rsidRPr="006F304D">
        <w:rPr>
          <w:szCs w:val="28"/>
        </w:rPr>
        <w:t xml:space="preserve">, </w:t>
      </w:r>
      <w:r>
        <w:rPr>
          <w:szCs w:val="28"/>
        </w:rPr>
        <w:t>in chapter 10</w:t>
      </w:r>
      <w:r w:rsidRPr="00516853">
        <w:rPr>
          <w:szCs w:val="28"/>
        </w:rPr>
        <w:t>.</w:t>
      </w:r>
    </w:p>
  </w:footnote>
  <w:footnote w:id="453">
    <w:p w14:paraId="7E9056A3" w14:textId="721850C3" w:rsidR="0018433B" w:rsidRPr="00516853" w:rsidRDefault="0018433B" w:rsidP="0018433B">
      <w:pPr>
        <w:rPr>
          <w:szCs w:val="28"/>
        </w:rPr>
      </w:pPr>
      <w:r w:rsidRPr="00565750">
        <w:rPr>
          <w:rStyle w:val="FootnoteReference"/>
          <w:szCs w:val="28"/>
        </w:rPr>
        <w:footnoteRef/>
      </w:r>
      <w:r w:rsidRPr="00565750">
        <w:rPr>
          <w:iCs/>
          <w:szCs w:val="28"/>
        </w:rPr>
        <w:t xml:space="preserve"> </w:t>
      </w:r>
      <w:r w:rsidRPr="00516853">
        <w:rPr>
          <w:i/>
          <w:iCs/>
          <w:szCs w:val="28"/>
        </w:rPr>
        <w:t>Geschichtsschreibung</w:t>
      </w:r>
      <w:r w:rsidR="006F304D" w:rsidRPr="006F304D">
        <w:rPr>
          <w:iCs/>
          <w:szCs w:val="28"/>
        </w:rPr>
        <w:t xml:space="preserve">, </w:t>
      </w:r>
      <w:r w:rsidRPr="00516853">
        <w:rPr>
          <w:szCs w:val="28"/>
        </w:rPr>
        <w:t>66.</w:t>
      </w:r>
    </w:p>
  </w:footnote>
  <w:footnote w:id="454">
    <w:p w14:paraId="0258A5BA" w14:textId="4660642E"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Lund (ibid.</w:t>
      </w:r>
      <w:r w:rsidR="006F304D" w:rsidRPr="006F304D">
        <w:rPr>
          <w:szCs w:val="28"/>
        </w:rPr>
        <w:t xml:space="preserve">, </w:t>
      </w:r>
      <w:r w:rsidRPr="00516853">
        <w:rPr>
          <w:szCs w:val="28"/>
        </w:rPr>
        <w:t>249)</w:t>
      </w:r>
      <w:r w:rsidR="006F304D" w:rsidRPr="006F304D">
        <w:rPr>
          <w:szCs w:val="28"/>
        </w:rPr>
        <w:t xml:space="preserve">, </w:t>
      </w:r>
      <w:r>
        <w:rPr>
          <w:szCs w:val="28"/>
        </w:rPr>
        <w:t>in his treatment of Matt 7:16b</w:t>
      </w:r>
      <w:r w:rsidRPr="00516853">
        <w:rPr>
          <w:szCs w:val="28"/>
        </w:rPr>
        <w:t xml:space="preserve"> </w:t>
      </w:r>
      <w:r>
        <w:rPr>
          <w:szCs w:val="28"/>
        </w:rPr>
        <w:t>(</w:t>
      </w:r>
      <w:r w:rsidRPr="00516853">
        <w:rPr>
          <w:szCs w:val="28"/>
        </w:rPr>
        <w:t>which parallels Luke 7:44bc</w:t>
      </w:r>
      <w:r>
        <w:rPr>
          <w:szCs w:val="28"/>
        </w:rPr>
        <w:t>)</w:t>
      </w:r>
      <w:r w:rsidR="006F304D" w:rsidRPr="006F304D">
        <w:rPr>
          <w:szCs w:val="28"/>
        </w:rPr>
        <w:t xml:space="preserve">, </w:t>
      </w:r>
      <w:r w:rsidRPr="00516853">
        <w:rPr>
          <w:szCs w:val="28"/>
        </w:rPr>
        <w:t xml:space="preserve">seems to have missed for once an opportunity to claim a chiasm. </w:t>
      </w:r>
      <w:r>
        <w:rPr>
          <w:szCs w:val="28"/>
        </w:rPr>
        <w:t>The Matthean verse in literal order says: “</w:t>
      </w:r>
      <w:r w:rsidRPr="000E1BD6">
        <w:rPr>
          <w:szCs w:val="28"/>
        </w:rPr>
        <w:t>Do they gather from thorns grapes or from thistles figs?</w:t>
      </w:r>
      <w:r>
        <w:rPr>
          <w:szCs w:val="28"/>
        </w:rPr>
        <w:t xml:space="preserve">” Though willing to emend the text of Matt </w:t>
      </w:r>
      <w:r w:rsidRPr="00AA14EA">
        <w:rPr>
          <w:szCs w:val="28"/>
        </w:rPr>
        <w:t>7:4</w:t>
      </w:r>
      <w:r>
        <w:rPr>
          <w:szCs w:val="28"/>
        </w:rPr>
        <w:t>-5 to create a chiasm</w:t>
      </w:r>
      <w:r w:rsidR="006F304D" w:rsidRPr="006F304D">
        <w:rPr>
          <w:szCs w:val="28"/>
        </w:rPr>
        <w:t xml:space="preserve">, </w:t>
      </w:r>
      <w:r>
        <w:rPr>
          <w:szCs w:val="28"/>
        </w:rPr>
        <w:t>Lund does not emend 7:16b to</w:t>
      </w:r>
      <w:r w:rsidRPr="00516853">
        <w:rPr>
          <w:szCs w:val="28"/>
        </w:rPr>
        <w:t xml:space="preserve"> “For not out of thorns do they gather grapes</w:t>
      </w:r>
      <w:r w:rsidR="006F304D" w:rsidRPr="006F304D">
        <w:rPr>
          <w:szCs w:val="28"/>
        </w:rPr>
        <w:t xml:space="preserve">, </w:t>
      </w:r>
      <w:r w:rsidRPr="00516853">
        <w:rPr>
          <w:szCs w:val="28"/>
        </w:rPr>
        <w:t xml:space="preserve">/ Nor </w:t>
      </w:r>
      <w:r>
        <w:rPr>
          <w:szCs w:val="28"/>
        </w:rPr>
        <w:t>out of thistles are figs picked</w:t>
      </w:r>
      <w:r w:rsidRPr="00516853">
        <w:rPr>
          <w:szCs w:val="28"/>
        </w:rPr>
        <w:t xml:space="preserve">” </w:t>
      </w:r>
      <w:r>
        <w:rPr>
          <w:szCs w:val="28"/>
        </w:rPr>
        <w:t xml:space="preserve">but instead </w:t>
      </w:r>
      <w:r w:rsidRPr="00516853">
        <w:rPr>
          <w:szCs w:val="28"/>
        </w:rPr>
        <w:t>translates the versicles as two parallel lines: “Do they gather grapes of thorns</w:t>
      </w:r>
      <w:r w:rsidR="006F304D" w:rsidRPr="006F304D">
        <w:rPr>
          <w:szCs w:val="28"/>
        </w:rPr>
        <w:t xml:space="preserve">, </w:t>
      </w:r>
      <w:r w:rsidRPr="00516853">
        <w:rPr>
          <w:szCs w:val="28"/>
        </w:rPr>
        <w:t>/ Or figs of thistles?”</w:t>
      </w:r>
    </w:p>
  </w:footnote>
  <w:footnote w:id="455">
    <w:p w14:paraId="1DDA8373" w14:textId="738FFB78" w:rsidR="0018433B" w:rsidRPr="00516853" w:rsidRDefault="0018433B" w:rsidP="0018433B">
      <w:pPr>
        <w:rPr>
          <w:szCs w:val="28"/>
        </w:rPr>
      </w:pPr>
      <w:r w:rsidRPr="00516853">
        <w:rPr>
          <w:rStyle w:val="FootnoteReference"/>
          <w:szCs w:val="28"/>
        </w:rPr>
        <w:footnoteRef/>
      </w:r>
      <w:r w:rsidRPr="00E5413C">
        <w:rPr>
          <w:szCs w:val="28"/>
          <w:lang w:val="fr-FR"/>
        </w:rPr>
        <w:t xml:space="preserve"> Roland Meynet</w:t>
      </w:r>
      <w:r w:rsidR="006F304D" w:rsidRPr="00E5413C">
        <w:rPr>
          <w:szCs w:val="28"/>
          <w:lang w:val="fr-FR"/>
        </w:rPr>
        <w:t xml:space="preserve">, </w:t>
      </w:r>
      <w:r w:rsidRPr="00E5413C">
        <w:rPr>
          <w:szCs w:val="28"/>
          <w:lang w:val="fr-FR"/>
        </w:rPr>
        <w:t>SJ</w:t>
      </w:r>
      <w:r w:rsidR="006F304D" w:rsidRPr="00E5413C">
        <w:rPr>
          <w:szCs w:val="28"/>
          <w:lang w:val="fr-FR"/>
        </w:rPr>
        <w:t xml:space="preserve">, </w:t>
      </w:r>
      <w:r w:rsidRPr="00E5413C">
        <w:rPr>
          <w:i/>
          <w:iCs/>
          <w:szCs w:val="28"/>
          <w:lang w:val="fr-FR"/>
        </w:rPr>
        <w:t>Quelle est donc cette parole?</w:t>
      </w:r>
      <w:r w:rsidRPr="00E5413C">
        <w:rPr>
          <w:iCs/>
          <w:szCs w:val="28"/>
          <w:lang w:val="fr-FR"/>
        </w:rPr>
        <w:t xml:space="preserve"> </w:t>
      </w:r>
      <w:r w:rsidRPr="00E5413C">
        <w:rPr>
          <w:i/>
          <w:iCs/>
          <w:szCs w:val="28"/>
          <w:lang w:val="fr-FR"/>
        </w:rPr>
        <w:t>Lecture</w:t>
      </w:r>
      <w:r w:rsidRPr="00E5413C">
        <w:rPr>
          <w:szCs w:val="28"/>
          <w:lang w:val="fr-FR"/>
        </w:rPr>
        <w:t xml:space="preserve"> «</w:t>
      </w:r>
      <w:r w:rsidRPr="00E5413C">
        <w:rPr>
          <w:i/>
          <w:iCs/>
          <w:szCs w:val="28"/>
          <w:lang w:val="fr-FR"/>
        </w:rPr>
        <w:t>rhétorique</w:t>
      </w:r>
      <w:r w:rsidRPr="00E5413C">
        <w:rPr>
          <w:szCs w:val="28"/>
          <w:lang w:val="fr-FR"/>
        </w:rPr>
        <w:t>»</w:t>
      </w:r>
      <w:r w:rsidR="006E7ABF" w:rsidRPr="00E5413C">
        <w:rPr>
          <w:szCs w:val="28"/>
          <w:lang w:val="fr-FR"/>
        </w:rPr>
        <w:t xml:space="preserve"> </w:t>
      </w:r>
      <w:r w:rsidRPr="00E5413C">
        <w:rPr>
          <w:i/>
          <w:iCs/>
          <w:szCs w:val="28"/>
          <w:lang w:val="fr-FR"/>
        </w:rPr>
        <w:t>de l</w:t>
      </w:r>
      <w:r w:rsidRPr="00E5413C">
        <w:rPr>
          <w:iCs/>
          <w:szCs w:val="28"/>
          <w:lang w:val="fr-FR"/>
        </w:rPr>
        <w:t>’</w:t>
      </w:r>
      <w:r w:rsidRPr="00E5413C">
        <w:rPr>
          <w:i/>
          <w:iCs/>
          <w:szCs w:val="28"/>
          <w:lang w:val="fr-FR"/>
        </w:rPr>
        <w:t>évangile de Luc</w:t>
      </w:r>
      <w:r w:rsidRPr="00E5413C">
        <w:rPr>
          <w:iCs/>
          <w:szCs w:val="28"/>
          <w:lang w:val="fr-FR"/>
        </w:rPr>
        <w:t xml:space="preserve"> (</w:t>
      </w:r>
      <w:r w:rsidRPr="00E5413C">
        <w:rPr>
          <w:i/>
          <w:iCs/>
          <w:szCs w:val="28"/>
          <w:lang w:val="fr-FR"/>
        </w:rPr>
        <w:t>1-9</w:t>
      </w:r>
      <w:r w:rsidR="006F304D" w:rsidRPr="00E5413C">
        <w:rPr>
          <w:iCs/>
          <w:szCs w:val="28"/>
          <w:lang w:val="fr-FR"/>
        </w:rPr>
        <w:t xml:space="preserve">, </w:t>
      </w:r>
      <w:r w:rsidRPr="00E5413C">
        <w:rPr>
          <w:i/>
          <w:iCs/>
          <w:szCs w:val="28"/>
          <w:lang w:val="fr-FR"/>
        </w:rPr>
        <w:t>22-24</w:t>
      </w:r>
      <w:r w:rsidRPr="00E5413C">
        <w:rPr>
          <w:iCs/>
          <w:szCs w:val="28"/>
          <w:lang w:val="fr-FR"/>
        </w:rPr>
        <w:t>)</w:t>
      </w:r>
      <w:r w:rsidR="006F304D" w:rsidRPr="00E5413C">
        <w:rPr>
          <w:iCs/>
          <w:szCs w:val="28"/>
          <w:lang w:val="fr-FR"/>
        </w:rPr>
        <w:t xml:space="preserve">, </w:t>
      </w:r>
      <w:r w:rsidRPr="00E5413C">
        <w:rPr>
          <w:iCs/>
          <w:szCs w:val="28"/>
          <w:lang w:val="fr-FR"/>
        </w:rPr>
        <w:t xml:space="preserve">2 vols. </w:t>
      </w:r>
      <w:r>
        <w:rPr>
          <w:iCs/>
          <w:szCs w:val="28"/>
        </w:rPr>
        <w:t>(Paris: Éditions du Cerf</w:t>
      </w:r>
      <w:r w:rsidR="006F304D" w:rsidRPr="006F304D">
        <w:rPr>
          <w:iCs/>
          <w:szCs w:val="28"/>
        </w:rPr>
        <w:t xml:space="preserve">, </w:t>
      </w:r>
      <w:r>
        <w:rPr>
          <w:iCs/>
          <w:szCs w:val="28"/>
        </w:rPr>
        <w:t>1979)</w:t>
      </w:r>
      <w:r w:rsidRPr="00516853">
        <w:rPr>
          <w:szCs w:val="28"/>
        </w:rPr>
        <w:t xml:space="preserve">. </w:t>
      </w:r>
      <w:r>
        <w:rPr>
          <w:szCs w:val="28"/>
        </w:rPr>
        <w:t xml:space="preserve">Meynet’s </w:t>
      </w:r>
      <w:r w:rsidRPr="00516853">
        <w:rPr>
          <w:szCs w:val="28"/>
        </w:rPr>
        <w:t>first vol</w:t>
      </w:r>
      <w:r>
        <w:rPr>
          <w:szCs w:val="28"/>
        </w:rPr>
        <w:t>ume</w:t>
      </w:r>
      <w:r w:rsidRPr="00516853">
        <w:rPr>
          <w:szCs w:val="28"/>
        </w:rPr>
        <w:t xml:space="preserve"> </w:t>
      </w:r>
      <w:r w:rsidRPr="00516853">
        <w:rPr>
          <w:szCs w:val="28"/>
        </w:rPr>
        <w:softHyphen/>
        <w:t>ex</w:t>
      </w:r>
      <w:r w:rsidRPr="00516853">
        <w:rPr>
          <w:szCs w:val="28"/>
        </w:rPr>
        <w:softHyphen/>
        <w:t xml:space="preserve">plains </w:t>
      </w:r>
      <w:r>
        <w:rPr>
          <w:szCs w:val="28"/>
        </w:rPr>
        <w:t xml:space="preserve">his </w:t>
      </w:r>
      <w:r w:rsidRPr="00516853">
        <w:rPr>
          <w:szCs w:val="28"/>
        </w:rPr>
        <w:t xml:space="preserve">methodology and comments on </w:t>
      </w:r>
      <w:r w:rsidRPr="00516853">
        <w:rPr>
          <w:szCs w:val="28"/>
        </w:rPr>
        <w:softHyphen/>
        <w:t>Luke 1-9</w:t>
      </w:r>
      <w:r w:rsidR="006F304D" w:rsidRPr="006F304D">
        <w:rPr>
          <w:szCs w:val="28"/>
        </w:rPr>
        <w:t xml:space="preserve">, </w:t>
      </w:r>
      <w:r w:rsidRPr="00516853">
        <w:rPr>
          <w:szCs w:val="28"/>
        </w:rPr>
        <w:t>22-24</w:t>
      </w:r>
      <w:r w:rsidR="006F304D" w:rsidRPr="006F304D">
        <w:rPr>
          <w:szCs w:val="28"/>
        </w:rPr>
        <w:t xml:space="preserve">, </w:t>
      </w:r>
      <w:r w:rsidRPr="00516853">
        <w:rPr>
          <w:szCs w:val="28"/>
        </w:rPr>
        <w:t>includ</w:t>
      </w:r>
      <w:r w:rsidRPr="00516853">
        <w:rPr>
          <w:szCs w:val="28"/>
        </w:rPr>
        <w:softHyphen/>
        <w:t xml:space="preserve">ing the sermon on the plain (1. 97-104). The second volume is subtitled </w:t>
      </w:r>
      <w:r w:rsidRPr="00516853">
        <w:rPr>
          <w:i/>
          <w:iCs/>
          <w:szCs w:val="28"/>
        </w:rPr>
        <w:t>Planches</w:t>
      </w:r>
      <w:r w:rsidRPr="00516853">
        <w:rPr>
          <w:szCs w:val="28"/>
        </w:rPr>
        <w:t xml:space="preserve"> (“charts”) and contains only </w:t>
      </w:r>
      <w:r w:rsidRPr="00516853">
        <w:rPr>
          <w:szCs w:val="28"/>
        </w:rPr>
        <w:softHyphen/>
      </w:r>
      <w:r w:rsidRPr="00516853">
        <w:rPr>
          <w:szCs w:val="28"/>
        </w:rPr>
        <w:softHyphen/>
        <w:t xml:space="preserve">sixty </w:t>
      </w:r>
      <w:r w:rsidRPr="00516853">
        <w:rPr>
          <w:szCs w:val="28"/>
        </w:rPr>
        <w:softHyphen/>
        <w:t xml:space="preserve">or so </w:t>
      </w:r>
      <w:r>
        <w:rPr>
          <w:szCs w:val="28"/>
        </w:rPr>
        <w:t>folded</w:t>
      </w:r>
      <w:r w:rsidR="006F304D" w:rsidRPr="006F304D">
        <w:rPr>
          <w:szCs w:val="28"/>
        </w:rPr>
        <w:t xml:space="preserve">, </w:t>
      </w:r>
      <w:r>
        <w:rPr>
          <w:szCs w:val="28"/>
        </w:rPr>
        <w:t>unbound</w:t>
      </w:r>
      <w:r w:rsidR="006F304D" w:rsidRPr="006F304D">
        <w:rPr>
          <w:szCs w:val="28"/>
        </w:rPr>
        <w:t xml:space="preserve">, </w:t>
      </w:r>
      <w:r>
        <w:rPr>
          <w:szCs w:val="28"/>
        </w:rPr>
        <w:t xml:space="preserve">8½´´ x 11´´ </w:t>
      </w:r>
      <w:r w:rsidRPr="00516853">
        <w:rPr>
          <w:szCs w:val="28"/>
        </w:rPr>
        <w:t>charts.</w:t>
      </w:r>
    </w:p>
  </w:footnote>
  <w:footnote w:id="456">
    <w:p w14:paraId="62F19311" w14:textId="7CDF91E5" w:rsidR="0018433B" w:rsidRPr="00516853" w:rsidRDefault="0018433B" w:rsidP="0018433B">
      <w:pPr>
        <w:rPr>
          <w:szCs w:val="28"/>
        </w:rPr>
      </w:pPr>
      <w:r w:rsidRPr="00516853">
        <w:rPr>
          <w:rStyle w:val="FootnoteReference"/>
          <w:szCs w:val="28"/>
        </w:rPr>
        <w:footnoteRef/>
      </w:r>
      <w:r>
        <w:rPr>
          <w:szCs w:val="28"/>
        </w:rPr>
        <w:t xml:space="preserve"> Meynet labels the unit (</w:t>
      </w:r>
      <w:r w:rsidRPr="00A4384D">
        <w:rPr>
          <w:i/>
          <w:szCs w:val="28"/>
        </w:rPr>
        <w:t>Unité</w:t>
      </w:r>
      <w:r w:rsidRPr="00516853">
        <w:rPr>
          <w:szCs w:val="28"/>
        </w:rPr>
        <w:t>) to which the sermon on the plain belongs “B5” (Luke 6:17-7:17)</w:t>
      </w:r>
      <w:r w:rsidR="006F304D" w:rsidRPr="006F304D">
        <w:rPr>
          <w:szCs w:val="28"/>
        </w:rPr>
        <w:t xml:space="preserve">, </w:t>
      </w:r>
      <w:r w:rsidRPr="00516853">
        <w:rPr>
          <w:szCs w:val="28"/>
        </w:rPr>
        <w:t>and in volume 2 the sermon charts come immediately after the charts of the whole of B5; presumably</w:t>
      </w:r>
      <w:r w:rsidR="006F304D" w:rsidRPr="006F304D">
        <w:rPr>
          <w:szCs w:val="28"/>
        </w:rPr>
        <w:t xml:space="preserve">, </w:t>
      </w:r>
      <w:r w:rsidRPr="00516853">
        <w:rPr>
          <w:szCs w:val="28"/>
        </w:rPr>
        <w:t>these are his reasons for de</w:t>
      </w:r>
      <w:r w:rsidRPr="00516853">
        <w:rPr>
          <w:szCs w:val="28"/>
        </w:rPr>
        <w:softHyphen/>
        <w:t>signating the sermon charts “B5</w:t>
      </w:r>
      <w:r>
        <w:rPr>
          <w:szCs w:val="28"/>
        </w:rPr>
        <w:t>´</w:t>
      </w:r>
      <w:r w:rsidRPr="00516853">
        <w:rPr>
          <w:szCs w:val="28"/>
        </w:rPr>
        <w:t>.”</w:t>
      </w:r>
      <w:r>
        <w:rPr>
          <w:szCs w:val="28"/>
        </w:rPr>
        <w:t xml:space="preserve"> Why he does not entitles these charts “Planches,” like most of the charts in volume 2</w:t>
      </w:r>
      <w:r w:rsidR="006F304D" w:rsidRPr="006F304D">
        <w:rPr>
          <w:szCs w:val="28"/>
        </w:rPr>
        <w:t xml:space="preserve">, </w:t>
      </w:r>
      <w:r>
        <w:rPr>
          <w:szCs w:val="28"/>
        </w:rPr>
        <w:t>is unclear; they are so designated in the text itself (ibid. 97).</w:t>
      </w:r>
    </w:p>
  </w:footnote>
  <w:footnote w:id="457">
    <w:p w14:paraId="68A3DE2C" w14:textId="23EB95B0" w:rsidR="0018433B" w:rsidRPr="00516853" w:rsidRDefault="0018433B" w:rsidP="0018433B">
      <w:pPr>
        <w:rPr>
          <w:szCs w:val="28"/>
        </w:rPr>
      </w:pPr>
      <w:r w:rsidRPr="00516853">
        <w:rPr>
          <w:rStyle w:val="FootnoteReference"/>
          <w:szCs w:val="28"/>
        </w:rPr>
        <w:footnoteRef/>
      </w:r>
      <w:r>
        <w:rPr>
          <w:szCs w:val="28"/>
        </w:rPr>
        <w:t xml:space="preserve"> To reproduce </w:t>
      </w:r>
      <w:r w:rsidRPr="00516853">
        <w:rPr>
          <w:szCs w:val="28"/>
        </w:rPr>
        <w:t>Meynet’s charts</w:t>
      </w:r>
      <w:r>
        <w:rPr>
          <w:szCs w:val="28"/>
        </w:rPr>
        <w:t xml:space="preserve"> is impossible</w:t>
      </w:r>
      <w:r w:rsidR="006F304D" w:rsidRPr="006F304D">
        <w:rPr>
          <w:szCs w:val="28"/>
        </w:rPr>
        <w:t xml:space="preserve">, </w:t>
      </w:r>
      <w:r>
        <w:rPr>
          <w:szCs w:val="28"/>
        </w:rPr>
        <w:t>since the French cannot be reproduced word-for-word into English</w:t>
      </w:r>
      <w:r w:rsidR="006F304D" w:rsidRPr="006F304D">
        <w:rPr>
          <w:szCs w:val="28"/>
        </w:rPr>
        <w:t xml:space="preserve">, </w:t>
      </w:r>
      <w:r>
        <w:rPr>
          <w:szCs w:val="28"/>
        </w:rPr>
        <w:t xml:space="preserve">and hence the very detailed </w:t>
      </w:r>
      <w:r w:rsidRPr="00516853">
        <w:rPr>
          <w:szCs w:val="28"/>
        </w:rPr>
        <w:t>typo</w:t>
      </w:r>
      <w:r w:rsidRPr="00516853">
        <w:rPr>
          <w:szCs w:val="28"/>
        </w:rPr>
        <w:softHyphen/>
        <w:t>graph</w:t>
      </w:r>
      <w:r w:rsidRPr="00516853">
        <w:rPr>
          <w:szCs w:val="28"/>
        </w:rPr>
        <w:softHyphen/>
        <w:t>ical subtleties</w:t>
      </w:r>
      <w:r>
        <w:rPr>
          <w:szCs w:val="28"/>
        </w:rPr>
        <w:t xml:space="preserve"> would be lost. </w:t>
      </w:r>
      <w:r w:rsidRPr="00516853">
        <w:rPr>
          <w:szCs w:val="28"/>
        </w:rPr>
        <w:t xml:space="preserve">The original charts </w:t>
      </w:r>
      <w:r>
        <w:rPr>
          <w:szCs w:val="28"/>
        </w:rPr>
        <w:t xml:space="preserve">are </w:t>
      </w:r>
      <w:r w:rsidRPr="00516853">
        <w:rPr>
          <w:szCs w:val="28"/>
        </w:rPr>
        <w:t>therefore avail</w:t>
      </w:r>
      <w:r w:rsidRPr="00516853">
        <w:rPr>
          <w:szCs w:val="28"/>
        </w:rPr>
        <w:softHyphen/>
        <w:t>able in Appendix 3</w:t>
      </w:r>
      <w:r>
        <w:rPr>
          <w:szCs w:val="28"/>
        </w:rPr>
        <w:t xml:space="preserve">. </w:t>
      </w:r>
      <w:r w:rsidRPr="00516853">
        <w:rPr>
          <w:szCs w:val="28"/>
        </w:rPr>
        <w:t>Referral to the first sermon chart</w:t>
      </w:r>
      <w:r w:rsidRPr="00A4384D">
        <w:rPr>
          <w:szCs w:val="28"/>
        </w:rPr>
        <w:t xml:space="preserve"> </w:t>
      </w:r>
      <w:r w:rsidRPr="00516853">
        <w:rPr>
          <w:szCs w:val="28"/>
        </w:rPr>
        <w:t>will simplify the following discussion.</w:t>
      </w:r>
    </w:p>
  </w:footnote>
  <w:footnote w:id="458">
    <w:p w14:paraId="718F2682" w14:textId="12D16465"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Ibid.</w:t>
      </w:r>
      <w:r w:rsidR="006F304D" w:rsidRPr="006F304D">
        <w:rPr>
          <w:szCs w:val="28"/>
        </w:rPr>
        <w:t xml:space="preserve">, </w:t>
      </w:r>
      <w:r w:rsidRPr="00516853">
        <w:rPr>
          <w:szCs w:val="28"/>
        </w:rPr>
        <w:t>141.</w:t>
      </w:r>
    </w:p>
  </w:footnote>
  <w:footnote w:id="459">
    <w:p w14:paraId="1BC531FB" w14:textId="125D00B2"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For discussion of these models</w:t>
      </w:r>
      <w:r w:rsidR="006F304D" w:rsidRPr="006F304D">
        <w:rPr>
          <w:szCs w:val="28"/>
        </w:rPr>
        <w:t xml:space="preserve">, </w:t>
      </w:r>
      <w:r w:rsidRPr="00516853">
        <w:rPr>
          <w:szCs w:val="28"/>
        </w:rPr>
        <w:t>see Appendix 1,</w:t>
      </w:r>
      <w:r w:rsidRPr="00516853">
        <w:rPr>
          <w:vanish/>
          <w:szCs w:val="28"/>
        </w:rPr>
        <w:t xml:space="preserve">Correct no.? </w:t>
      </w:r>
      <w:r w:rsidRPr="00516853">
        <w:rPr>
          <w:szCs w:val="28"/>
        </w:rPr>
        <w:t>404-407.</w:t>
      </w:r>
    </w:p>
  </w:footnote>
  <w:footnote w:id="460">
    <w:p w14:paraId="771B1B42" w14:textId="68064FD2"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Ibid.</w:t>
      </w:r>
      <w:r w:rsidR="006F304D" w:rsidRPr="006F304D">
        <w:rPr>
          <w:szCs w:val="28"/>
        </w:rPr>
        <w:t xml:space="preserve">, </w:t>
      </w:r>
      <w:r w:rsidRPr="00516853">
        <w:rPr>
          <w:szCs w:val="28"/>
        </w:rPr>
        <w:t>143-44.</w:t>
      </w:r>
    </w:p>
  </w:footnote>
  <w:footnote w:id="461">
    <w:p w14:paraId="65F1B234" w14:textId="58618956" w:rsidR="0018433B" w:rsidRPr="00516853" w:rsidRDefault="0018433B" w:rsidP="0018433B">
      <w:pPr>
        <w:rPr>
          <w:szCs w:val="28"/>
        </w:rPr>
      </w:pPr>
      <w:r w:rsidRPr="00565750">
        <w:rPr>
          <w:rStyle w:val="FootnoteReference"/>
          <w:szCs w:val="28"/>
        </w:rPr>
        <w:footnoteRef/>
      </w:r>
      <w:r w:rsidRPr="00565750">
        <w:rPr>
          <w:iCs/>
          <w:szCs w:val="28"/>
        </w:rPr>
        <w:t xml:space="preserve"> </w:t>
      </w:r>
      <w:r w:rsidRPr="00516853">
        <w:rPr>
          <w:i/>
          <w:iCs/>
          <w:szCs w:val="28"/>
        </w:rPr>
        <w:t>Écou</w:t>
      </w:r>
      <w:r w:rsidRPr="00516853">
        <w:rPr>
          <w:i/>
          <w:iCs/>
          <w:szCs w:val="28"/>
        </w:rPr>
        <w:softHyphen/>
        <w:t>tent</w:t>
      </w:r>
      <w:r w:rsidRPr="00516853">
        <w:rPr>
          <w:szCs w:val="28"/>
        </w:rPr>
        <w:t xml:space="preserve"> in 6:27a is also in capi</w:t>
      </w:r>
      <w:r w:rsidRPr="00516853">
        <w:rPr>
          <w:szCs w:val="28"/>
        </w:rPr>
        <w:softHyphen/>
        <w:t>tals</w:t>
      </w:r>
      <w:r w:rsidR="006F304D" w:rsidRPr="006F304D">
        <w:rPr>
          <w:szCs w:val="28"/>
        </w:rPr>
        <w:t xml:space="preserve">, </w:t>
      </w:r>
      <w:r w:rsidRPr="00516853">
        <w:rPr>
          <w:szCs w:val="28"/>
        </w:rPr>
        <w:t>presumably to indicate that “hear” is related to “say.”</w:t>
      </w:r>
    </w:p>
  </w:footnote>
  <w:footnote w:id="462">
    <w:p w14:paraId="044E5F38" w14:textId="1E92F326"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It does not follow</w:t>
      </w:r>
      <w:r w:rsidR="006F304D" w:rsidRPr="006F304D">
        <w:rPr>
          <w:szCs w:val="28"/>
        </w:rPr>
        <w:t xml:space="preserve">, </w:t>
      </w:r>
      <w:r w:rsidRPr="00516853">
        <w:rPr>
          <w:szCs w:val="28"/>
        </w:rPr>
        <w:t>of course</w:t>
      </w:r>
      <w:r w:rsidR="006F304D" w:rsidRPr="006F304D">
        <w:rPr>
          <w:szCs w:val="28"/>
        </w:rPr>
        <w:t xml:space="preserve">, </w:t>
      </w:r>
      <w:r w:rsidRPr="00516853">
        <w:rPr>
          <w:szCs w:val="28"/>
        </w:rPr>
        <w:t>that the sermon does not in fact break at 20a</w:t>
      </w:r>
      <w:r w:rsidR="006F304D" w:rsidRPr="006F304D">
        <w:rPr>
          <w:szCs w:val="28"/>
        </w:rPr>
        <w:t xml:space="preserve">, </w:t>
      </w:r>
      <w:r w:rsidRPr="00516853">
        <w:rPr>
          <w:szCs w:val="28"/>
        </w:rPr>
        <w:t>27a</w:t>
      </w:r>
      <w:r w:rsidR="006F304D" w:rsidRPr="006F304D">
        <w:rPr>
          <w:szCs w:val="28"/>
        </w:rPr>
        <w:t xml:space="preserve">, </w:t>
      </w:r>
      <w:r w:rsidRPr="00516853">
        <w:rPr>
          <w:szCs w:val="28"/>
        </w:rPr>
        <w:t>and 39a; as we shall see</w:t>
      </w:r>
      <w:r w:rsidR="006F304D" w:rsidRPr="006F304D">
        <w:rPr>
          <w:szCs w:val="28"/>
        </w:rPr>
        <w:t xml:space="preserve">, </w:t>
      </w:r>
      <w:r w:rsidRPr="00516853">
        <w:rPr>
          <w:szCs w:val="28"/>
        </w:rPr>
        <w:t>there are other grounds for arguing that it does so</w:t>
      </w:r>
      <w:r w:rsidR="006F304D" w:rsidRPr="006F304D">
        <w:rPr>
          <w:szCs w:val="28"/>
        </w:rPr>
        <w:t xml:space="preserve">, </w:t>
      </w:r>
      <w:r w:rsidRPr="00516853">
        <w:rPr>
          <w:szCs w:val="28"/>
        </w:rPr>
        <w:t>and those must be considered on their own merits. Our criti</w:t>
      </w:r>
      <w:r w:rsidRPr="00516853">
        <w:rPr>
          <w:szCs w:val="28"/>
        </w:rPr>
        <w:softHyphen/>
        <w:t>cism here is only of the reason</w:t>
      </w:r>
      <w:r w:rsidR="006F304D" w:rsidRPr="006F304D">
        <w:rPr>
          <w:szCs w:val="28"/>
        </w:rPr>
        <w:t xml:space="preserve">, </w:t>
      </w:r>
      <w:r w:rsidRPr="00516853">
        <w:rPr>
          <w:szCs w:val="28"/>
        </w:rPr>
        <w:t>denoted typographically</w:t>
      </w:r>
      <w:r w:rsidR="006F304D" w:rsidRPr="006F304D">
        <w:rPr>
          <w:szCs w:val="28"/>
        </w:rPr>
        <w:t xml:space="preserve">, </w:t>
      </w:r>
      <w:r w:rsidRPr="00516853">
        <w:rPr>
          <w:szCs w:val="28"/>
        </w:rPr>
        <w:t>for which Meynet divides at these points.</w:t>
      </w:r>
    </w:p>
  </w:footnote>
  <w:footnote w:id="463">
    <w:p w14:paraId="4DA79127" w14:textId="71BC1FA0"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It might be added that the division of both 31 and 38c into two halves is unneces</w:t>
      </w:r>
      <w:r w:rsidRPr="00516853">
        <w:rPr>
          <w:szCs w:val="28"/>
        </w:rPr>
        <w:softHyphen/>
        <w:t>sary: no special relation between 31a and 27-28 (the verses in the box above 31a) is discernible</w:t>
      </w:r>
      <w:r w:rsidR="006F304D" w:rsidRPr="006F304D">
        <w:rPr>
          <w:szCs w:val="28"/>
        </w:rPr>
        <w:t xml:space="preserve">, </w:t>
      </w:r>
      <w:r w:rsidRPr="00516853">
        <w:rPr>
          <w:szCs w:val="28"/>
        </w:rPr>
        <w:t>nor between 31b and 29-30 (the verses in the box above 31b); and the same may be said for 38dα and 37-38b</w:t>
      </w:r>
      <w:r w:rsidR="006F304D" w:rsidRPr="006F304D">
        <w:rPr>
          <w:szCs w:val="28"/>
        </w:rPr>
        <w:t xml:space="preserve">, </w:t>
      </w:r>
      <w:r w:rsidRPr="00516853">
        <w:rPr>
          <w:szCs w:val="28"/>
        </w:rPr>
        <w:t>and for 38dβ and 38c.</w:t>
      </w:r>
    </w:p>
  </w:footnote>
  <w:footnote w:id="464">
    <w:p w14:paraId="30786CA5" w14:textId="19AE8D0F"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That the similarity in typeface is intended to denote special con</w:t>
      </w:r>
      <w:r w:rsidRPr="00516853">
        <w:rPr>
          <w:szCs w:val="28"/>
        </w:rPr>
        <w:softHyphen/>
        <w:t>nection is borne out by a distinc</w:t>
      </w:r>
      <w:r w:rsidRPr="00516853">
        <w:rPr>
          <w:szCs w:val="28"/>
        </w:rPr>
        <w:softHyphen/>
        <w:t>tion Meynet makes between “couplets” and “refrains.” The sermon</w:t>
      </w:r>
      <w:r w:rsidR="006F304D" w:rsidRPr="006F304D">
        <w:rPr>
          <w:szCs w:val="28"/>
        </w:rPr>
        <w:t xml:space="preserve">, </w:t>
      </w:r>
      <w:r w:rsidRPr="00516853">
        <w:rPr>
          <w:szCs w:val="28"/>
        </w:rPr>
        <w:t>he says</w:t>
      </w:r>
      <w:r w:rsidR="006F304D" w:rsidRPr="006F304D">
        <w:rPr>
          <w:szCs w:val="28"/>
        </w:rPr>
        <w:t xml:space="preserve">, </w:t>
      </w:r>
      <w:r w:rsidRPr="00516853">
        <w:rPr>
          <w:szCs w:val="28"/>
        </w:rPr>
        <w:t>is “A very rhythmical text of 2-</w:t>
      </w:r>
      <w:r w:rsidR="006F304D" w:rsidRPr="006F304D">
        <w:rPr>
          <w:szCs w:val="28"/>
        </w:rPr>
        <w:t xml:space="preserve">, </w:t>
      </w:r>
      <w:r w:rsidRPr="00516853">
        <w:rPr>
          <w:szCs w:val="28"/>
        </w:rPr>
        <w:t>3-</w:t>
      </w:r>
      <w:r w:rsidR="006F304D" w:rsidRPr="006F304D">
        <w:rPr>
          <w:szCs w:val="28"/>
        </w:rPr>
        <w:t xml:space="preserve">, </w:t>
      </w:r>
      <w:r w:rsidRPr="00516853">
        <w:rPr>
          <w:szCs w:val="28"/>
        </w:rPr>
        <w:t>and 4-beat me</w:t>
      </w:r>
      <w:r w:rsidRPr="00516853">
        <w:rPr>
          <w:szCs w:val="28"/>
        </w:rPr>
        <w:softHyphen/>
        <w:t>ters</w:t>
      </w:r>
      <w:r w:rsidR="006F304D" w:rsidRPr="006F304D">
        <w:rPr>
          <w:szCs w:val="28"/>
        </w:rPr>
        <w:t xml:space="preserve">, </w:t>
      </w:r>
      <w:r w:rsidRPr="00516853">
        <w:rPr>
          <w:szCs w:val="28"/>
        </w:rPr>
        <w:t>which create what may be called ‘coup</w:t>
      </w:r>
      <w:r w:rsidRPr="00516853">
        <w:rPr>
          <w:szCs w:val="28"/>
        </w:rPr>
        <w:softHyphen/>
        <w:t>lets.’ The elements which do not enter into the rhythm of the couplets will be consid</w:t>
      </w:r>
      <w:r w:rsidRPr="00516853">
        <w:rPr>
          <w:szCs w:val="28"/>
        </w:rPr>
        <w:softHyphen/>
        <w:t>ered as ‘re</w:t>
      </w:r>
      <w:r w:rsidRPr="00516853">
        <w:rPr>
          <w:szCs w:val="28"/>
        </w:rPr>
        <w:softHyphen/>
        <w:t>frains,’ since they are often paral</w:t>
      </w:r>
      <w:r w:rsidRPr="00516853">
        <w:rPr>
          <w:szCs w:val="28"/>
        </w:rPr>
        <w:softHyphen/>
        <w:t>lel to one another” (1. 97). Pre</w:t>
      </w:r>
      <w:r w:rsidRPr="00516853">
        <w:rPr>
          <w:szCs w:val="28"/>
        </w:rPr>
        <w:softHyphen/>
        <w:t>sumably</w:t>
      </w:r>
      <w:r w:rsidR="006F304D" w:rsidRPr="006F304D">
        <w:rPr>
          <w:szCs w:val="28"/>
        </w:rPr>
        <w:t xml:space="preserve">, </w:t>
      </w:r>
      <w:r w:rsidRPr="00516853">
        <w:rPr>
          <w:szCs w:val="28"/>
        </w:rPr>
        <w:t>the four capitalized passages in bold type (23ab</w:t>
      </w:r>
      <w:r w:rsidR="006F304D" w:rsidRPr="006F304D">
        <w:rPr>
          <w:szCs w:val="28"/>
        </w:rPr>
        <w:t xml:space="preserve">, </w:t>
      </w:r>
      <w:r w:rsidRPr="00516853">
        <w:rPr>
          <w:szCs w:val="28"/>
        </w:rPr>
        <w:t>35d-36</w:t>
      </w:r>
      <w:r w:rsidR="006F304D" w:rsidRPr="006F304D">
        <w:rPr>
          <w:szCs w:val="28"/>
        </w:rPr>
        <w:t xml:space="preserve">, </w:t>
      </w:r>
      <w:r w:rsidRPr="00516853">
        <w:rPr>
          <w:szCs w:val="28"/>
        </w:rPr>
        <w:t>44a</w:t>
      </w:r>
      <w:r w:rsidR="006F304D" w:rsidRPr="006F304D">
        <w:rPr>
          <w:szCs w:val="28"/>
        </w:rPr>
        <w:t xml:space="preserve">, </w:t>
      </w:r>
      <w:r w:rsidRPr="00516853">
        <w:rPr>
          <w:szCs w:val="28"/>
        </w:rPr>
        <w:t>45c)</w:t>
      </w:r>
      <w:r w:rsidR="006F304D" w:rsidRPr="006F304D">
        <w:rPr>
          <w:szCs w:val="28"/>
        </w:rPr>
        <w:t xml:space="preserve">, </w:t>
      </w:r>
      <w:r w:rsidRPr="00516853">
        <w:rPr>
          <w:szCs w:val="28"/>
        </w:rPr>
        <w:t>as well as the uncapitalized bold sen</w:t>
      </w:r>
      <w:r w:rsidRPr="00516853">
        <w:rPr>
          <w:szCs w:val="28"/>
        </w:rPr>
        <w:softHyphen/>
        <w:t>tences (31 and 38d</w:t>
      </w:r>
      <w:r w:rsidR="006F304D" w:rsidRPr="006F304D">
        <w:rPr>
          <w:szCs w:val="28"/>
        </w:rPr>
        <w:t xml:space="preserve">, </w:t>
      </w:r>
      <w:r w:rsidRPr="00516853">
        <w:rPr>
          <w:szCs w:val="28"/>
        </w:rPr>
        <w:t>which we have just remarked upon</w:t>
      </w:r>
      <w:r w:rsidR="006F304D" w:rsidRPr="006F304D">
        <w:rPr>
          <w:szCs w:val="28"/>
        </w:rPr>
        <w:t xml:space="preserve">, </w:t>
      </w:r>
      <w:r w:rsidRPr="00516853">
        <w:rPr>
          <w:szCs w:val="28"/>
        </w:rPr>
        <w:t>and 22cδ</w:t>
      </w:r>
      <w:r w:rsidR="006F304D" w:rsidRPr="006F304D">
        <w:rPr>
          <w:szCs w:val="28"/>
        </w:rPr>
        <w:t xml:space="preserve">, </w:t>
      </w:r>
      <w:r w:rsidRPr="00516853">
        <w:rPr>
          <w:szCs w:val="28"/>
        </w:rPr>
        <w:t>40</w:t>
      </w:r>
      <w:r w:rsidR="006F304D" w:rsidRPr="006F304D">
        <w:rPr>
          <w:szCs w:val="28"/>
        </w:rPr>
        <w:t xml:space="preserve">, </w:t>
      </w:r>
      <w:r w:rsidRPr="00516853">
        <w:rPr>
          <w:szCs w:val="28"/>
        </w:rPr>
        <w:t>and 42de)</w:t>
      </w:r>
      <w:r w:rsidR="006F304D" w:rsidRPr="006F304D">
        <w:rPr>
          <w:szCs w:val="28"/>
        </w:rPr>
        <w:t xml:space="preserve">, </w:t>
      </w:r>
      <w:r w:rsidRPr="00516853">
        <w:rPr>
          <w:szCs w:val="28"/>
        </w:rPr>
        <w:t>are “refrains.”</w:t>
      </w:r>
    </w:p>
  </w:footnote>
  <w:footnote w:id="465">
    <w:p w14:paraId="16ECC9DD" w14:textId="63E0A70F"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Dennis Sylva</w:t>
      </w:r>
      <w:r w:rsidR="006F304D" w:rsidRPr="006F304D">
        <w:rPr>
          <w:szCs w:val="28"/>
        </w:rPr>
        <w:t xml:space="preserve">, </w:t>
      </w:r>
      <w:r w:rsidRPr="00516853">
        <w:rPr>
          <w:szCs w:val="28"/>
        </w:rPr>
        <w:t xml:space="preserve">“The Temple Curtain and Jesus’ Death in the Gospel of Luke,” </w:t>
      </w:r>
      <w:r w:rsidRPr="00516853">
        <w:rPr>
          <w:i/>
          <w:iCs/>
          <w:szCs w:val="28"/>
        </w:rPr>
        <w:t>JBL</w:t>
      </w:r>
      <w:r w:rsidRPr="00516853">
        <w:rPr>
          <w:szCs w:val="28"/>
        </w:rPr>
        <w:t xml:space="preserve"> 105 (1986) 250.</w:t>
      </w:r>
    </w:p>
  </w:footnote>
  <w:footnote w:id="466">
    <w:p w14:paraId="1508E78C" w14:textId="2388C999" w:rsidR="0018433B" w:rsidRPr="008B2FAA" w:rsidRDefault="0018433B" w:rsidP="0018433B">
      <w:pPr>
        <w:rPr>
          <w:szCs w:val="28"/>
        </w:rPr>
      </w:pPr>
      <w:r w:rsidRPr="00516853">
        <w:rPr>
          <w:rStyle w:val="FootnoteReference"/>
          <w:szCs w:val="28"/>
        </w:rPr>
        <w:footnoteRef/>
      </w:r>
      <w:r>
        <w:rPr>
          <w:szCs w:val="28"/>
        </w:rPr>
        <w:t xml:space="preserve"> </w:t>
      </w:r>
      <w:r w:rsidRPr="00516853">
        <w:rPr>
          <w:szCs w:val="28"/>
        </w:rPr>
        <w:t>Brown</w:t>
      </w:r>
      <w:r w:rsidR="006F304D" w:rsidRPr="006F304D">
        <w:rPr>
          <w:szCs w:val="28"/>
        </w:rPr>
        <w:t xml:space="preserve">, </w:t>
      </w:r>
      <w:r w:rsidRPr="00516853">
        <w:rPr>
          <w:i/>
          <w:iCs/>
          <w:szCs w:val="28"/>
        </w:rPr>
        <w:t>Adult Christ</w:t>
      </w:r>
      <w:r w:rsidR="006F304D" w:rsidRPr="006F304D">
        <w:rPr>
          <w:iCs/>
          <w:szCs w:val="28"/>
        </w:rPr>
        <w:t xml:space="preserve">, </w:t>
      </w:r>
      <w:r>
        <w:rPr>
          <w:szCs w:val="28"/>
        </w:rPr>
        <w:t>28 n. 46</w:t>
      </w:r>
      <w:r w:rsidRPr="00516853">
        <w:rPr>
          <w:szCs w:val="28"/>
        </w:rPr>
        <w:t>.</w:t>
      </w:r>
      <w:r>
        <w:rPr>
          <w:szCs w:val="28"/>
        </w:rPr>
        <w:t xml:space="preserve"> Brown suggests that the infancy narrative’s original ending was 2:39-40; this would make Simeon and Anna the final scene. In this way</w:t>
      </w:r>
      <w:r w:rsidR="006F304D" w:rsidRPr="006F304D">
        <w:rPr>
          <w:szCs w:val="28"/>
        </w:rPr>
        <w:t xml:space="preserve">, </w:t>
      </w:r>
      <w:r>
        <w:rPr>
          <w:szCs w:val="28"/>
        </w:rPr>
        <w:t>the scene in which Elizabeth and the Spirit-filled Zechariah (1:5-7) proclaim the good news about John the Baptist</w:t>
      </w:r>
      <w:r w:rsidR="006F304D" w:rsidRPr="006F304D">
        <w:rPr>
          <w:szCs w:val="28"/>
        </w:rPr>
        <w:t xml:space="preserve">, </w:t>
      </w:r>
      <w:r>
        <w:rPr>
          <w:szCs w:val="28"/>
        </w:rPr>
        <w:t>the prophet of the Most High (1:67</w:t>
      </w:r>
      <w:r w:rsidR="006F304D" w:rsidRPr="006F304D">
        <w:rPr>
          <w:szCs w:val="28"/>
        </w:rPr>
        <w:t xml:space="preserve">, </w:t>
      </w:r>
      <w:r>
        <w:rPr>
          <w:szCs w:val="28"/>
        </w:rPr>
        <w:t>76)</w:t>
      </w:r>
      <w:r w:rsidR="006F304D" w:rsidRPr="006F304D">
        <w:rPr>
          <w:szCs w:val="28"/>
        </w:rPr>
        <w:t xml:space="preserve">, </w:t>
      </w:r>
      <w:r>
        <w:rPr>
          <w:szCs w:val="28"/>
        </w:rPr>
        <w:t xml:space="preserve">would form an </w:t>
      </w:r>
      <w:r>
        <w:rPr>
          <w:i/>
          <w:szCs w:val="28"/>
        </w:rPr>
        <w:t>inclusio</w:t>
      </w:r>
      <w:r>
        <w:rPr>
          <w:szCs w:val="28"/>
        </w:rPr>
        <w:t xml:space="preserve"> with Anna and the Spirit-filled Simeon proclaiming the good news about the Son of the Most High (1:32) (ibid. 29). As Elizabeth gave thanks (1:24-25)</w:t>
      </w:r>
      <w:r w:rsidR="006F304D" w:rsidRPr="006F304D">
        <w:rPr>
          <w:szCs w:val="28"/>
        </w:rPr>
        <w:t xml:space="preserve">, </w:t>
      </w:r>
      <w:r>
        <w:rPr>
          <w:szCs w:val="28"/>
        </w:rPr>
        <w:t>and after John’s birth the good news reached her neighbors (1:57-58)</w:t>
      </w:r>
      <w:r w:rsidR="006F304D" w:rsidRPr="006F304D">
        <w:rPr>
          <w:szCs w:val="28"/>
        </w:rPr>
        <w:t xml:space="preserve">, </w:t>
      </w:r>
      <w:r>
        <w:rPr>
          <w:szCs w:val="28"/>
        </w:rPr>
        <w:t>so Anna “gave thanks to God</w:t>
      </w:r>
      <w:r w:rsidR="006F304D" w:rsidRPr="006F304D">
        <w:rPr>
          <w:szCs w:val="28"/>
        </w:rPr>
        <w:t xml:space="preserve">, </w:t>
      </w:r>
      <w:r>
        <w:rPr>
          <w:szCs w:val="28"/>
        </w:rPr>
        <w:t>and spoke of him to all who were looking for the redemption of Jerusalem” (2:38) (ibid.).</w:t>
      </w:r>
    </w:p>
  </w:footnote>
  <w:footnote w:id="467">
    <w:p w14:paraId="11A7AB8C" w14:textId="22507112"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Meynet (</w:t>
      </w:r>
      <w:r w:rsidRPr="00516853">
        <w:rPr>
          <w:i/>
          <w:iCs/>
          <w:szCs w:val="28"/>
        </w:rPr>
        <w:t>Quelle</w:t>
      </w:r>
      <w:r w:rsidR="006F304D" w:rsidRPr="006F304D">
        <w:rPr>
          <w:iCs/>
          <w:szCs w:val="28"/>
        </w:rPr>
        <w:t xml:space="preserve">, </w:t>
      </w:r>
      <w:r w:rsidRPr="00516853">
        <w:rPr>
          <w:szCs w:val="28"/>
        </w:rPr>
        <w:t>1. 64</w:t>
      </w:r>
      <w:r w:rsidR="006F304D" w:rsidRPr="006F304D">
        <w:rPr>
          <w:szCs w:val="28"/>
        </w:rPr>
        <w:t xml:space="preserve">, </w:t>
      </w:r>
      <w:r w:rsidRPr="00516853">
        <w:rPr>
          <w:szCs w:val="28"/>
        </w:rPr>
        <w:t>cf. 173) speaks of the “chi</w:t>
      </w:r>
      <w:r w:rsidRPr="00516853">
        <w:rPr>
          <w:szCs w:val="28"/>
        </w:rPr>
        <w:softHyphen/>
        <w:t>asm and triple inclusion of the Magnificat (very exact</w:t>
      </w:r>
      <w:r w:rsidR="006F304D" w:rsidRPr="006F304D">
        <w:rPr>
          <w:szCs w:val="28"/>
        </w:rPr>
        <w:t xml:space="preserve">, </w:t>
      </w:r>
      <w:r w:rsidRPr="00516853">
        <w:rPr>
          <w:szCs w:val="28"/>
        </w:rPr>
        <w:t>Luke 1:45-55).” He also says (33) that “4:43-44 formed an inclusion with the preceding occurrence of the ‘first ele</w:t>
      </w:r>
      <w:r w:rsidRPr="00516853">
        <w:rPr>
          <w:szCs w:val="28"/>
        </w:rPr>
        <w:softHyphen/>
        <w:t>ment,’ 4:31-32. It was the same for 5:15-16</w:t>
      </w:r>
      <w:r w:rsidR="006F304D" w:rsidRPr="006F304D">
        <w:rPr>
          <w:szCs w:val="28"/>
        </w:rPr>
        <w:t xml:space="preserve">, </w:t>
      </w:r>
      <w:r w:rsidRPr="00516853">
        <w:rPr>
          <w:szCs w:val="28"/>
        </w:rPr>
        <w:t>which forms an inclusion with 5:1-3</w:t>
      </w:r>
      <w:r w:rsidR="006F304D" w:rsidRPr="006F304D">
        <w:rPr>
          <w:szCs w:val="28"/>
        </w:rPr>
        <w:t xml:space="preserve">, </w:t>
      </w:r>
      <w:r w:rsidRPr="00516853">
        <w:rPr>
          <w:szCs w:val="28"/>
        </w:rPr>
        <w:t>and for 6:6-7</w:t>
      </w:r>
      <w:r w:rsidR="006F304D" w:rsidRPr="006F304D">
        <w:rPr>
          <w:szCs w:val="28"/>
        </w:rPr>
        <w:t xml:space="preserve">, </w:t>
      </w:r>
      <w:r w:rsidRPr="00516853">
        <w:rPr>
          <w:szCs w:val="28"/>
        </w:rPr>
        <w:t>which forms an inclusion with 5:17.” In general</w:t>
      </w:r>
      <w:r w:rsidR="006F304D" w:rsidRPr="006F304D">
        <w:rPr>
          <w:szCs w:val="28"/>
        </w:rPr>
        <w:t xml:space="preserve">, </w:t>
      </w:r>
      <w:r w:rsidRPr="00516853">
        <w:rPr>
          <w:szCs w:val="28"/>
        </w:rPr>
        <w:t>however</w:t>
      </w:r>
      <w:r w:rsidR="006F304D" w:rsidRPr="006F304D">
        <w:rPr>
          <w:szCs w:val="28"/>
        </w:rPr>
        <w:t xml:space="preserve">, </w:t>
      </w:r>
      <w:r w:rsidRPr="00516853">
        <w:rPr>
          <w:szCs w:val="28"/>
        </w:rPr>
        <w:t>Meynet concentrates on chi</w:t>
      </w:r>
      <w:r w:rsidRPr="00516853">
        <w:rPr>
          <w:szCs w:val="28"/>
        </w:rPr>
        <w:softHyphen/>
        <w:t>asms and rarely mentions inclusions.</w:t>
      </w:r>
    </w:p>
  </w:footnote>
  <w:footnote w:id="468">
    <w:p w14:paraId="686CCA7C" w14:textId="30668E42"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See above</w:t>
      </w:r>
      <w:r w:rsidR="006F304D" w:rsidRPr="006F304D">
        <w:rPr>
          <w:szCs w:val="28"/>
        </w:rPr>
        <w:t xml:space="preserve">, </w:t>
      </w:r>
      <w:r w:rsidRPr="00516853">
        <w:rPr>
          <w:szCs w:val="28"/>
        </w:rPr>
        <w:t>87-88. An “intercalation” is a text in which one pe</w:t>
      </w:r>
      <w:r w:rsidRPr="00516853">
        <w:rPr>
          <w:szCs w:val="28"/>
        </w:rPr>
        <w:softHyphen/>
        <w:t>ricope (</w:t>
      </w:r>
      <w:r w:rsidR="00775F9B" w:rsidRPr="00775F9B">
        <w:rPr>
          <w:iCs/>
          <w:szCs w:val="28"/>
        </w:rPr>
        <w:t>e.g.</w:t>
      </w:r>
      <w:r w:rsidR="006F304D" w:rsidRPr="006F304D">
        <w:rPr>
          <w:szCs w:val="28"/>
        </w:rPr>
        <w:t xml:space="preserve">, </w:t>
      </w:r>
      <w:r w:rsidRPr="00516853">
        <w:rPr>
          <w:szCs w:val="28"/>
        </w:rPr>
        <w:t>the controversy over forgiveness) is embedded within another pericope (</w:t>
      </w:r>
      <w:r w:rsidR="00775F9B" w:rsidRPr="00775F9B">
        <w:rPr>
          <w:iCs/>
          <w:szCs w:val="28"/>
        </w:rPr>
        <w:t>e.g.</w:t>
      </w:r>
      <w:r w:rsidR="006F304D" w:rsidRPr="006F304D">
        <w:rPr>
          <w:szCs w:val="28"/>
        </w:rPr>
        <w:t xml:space="preserve">, </w:t>
      </w:r>
      <w:r w:rsidRPr="00516853">
        <w:rPr>
          <w:szCs w:val="28"/>
        </w:rPr>
        <w:t>the healing of the paralytic).</w:t>
      </w:r>
    </w:p>
  </w:footnote>
  <w:footnote w:id="469">
    <w:p w14:paraId="30A0F2D4" w14:textId="0E4227B9"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Morgenthaler</w:t>
      </w:r>
      <w:r w:rsidR="006F304D" w:rsidRPr="006F304D">
        <w:rPr>
          <w:szCs w:val="28"/>
        </w:rPr>
        <w:t xml:space="preserve">, </w:t>
      </w:r>
      <w:r w:rsidRPr="00516853">
        <w:rPr>
          <w:i/>
          <w:iCs/>
          <w:szCs w:val="28"/>
        </w:rPr>
        <w:t>Geschichtsschreibung</w:t>
      </w:r>
      <w:r w:rsidR="006F304D" w:rsidRPr="006F304D">
        <w:rPr>
          <w:iCs/>
          <w:szCs w:val="28"/>
        </w:rPr>
        <w:t xml:space="preserve">, </w:t>
      </w:r>
      <w:r w:rsidRPr="00516853">
        <w:rPr>
          <w:szCs w:val="28"/>
        </w:rPr>
        <w:t>1. 87-91.</w:t>
      </w:r>
    </w:p>
  </w:footnote>
  <w:footnote w:id="470">
    <w:p w14:paraId="29908B8E" w14:textId="0C3CBCAD"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Meynet</w:t>
      </w:r>
      <w:r w:rsidR="006F304D" w:rsidRPr="006F304D">
        <w:rPr>
          <w:szCs w:val="28"/>
        </w:rPr>
        <w:t xml:space="preserve">, </w:t>
      </w:r>
      <w:r w:rsidRPr="00516853">
        <w:rPr>
          <w:i/>
          <w:iCs/>
          <w:szCs w:val="28"/>
        </w:rPr>
        <w:t>Quelle</w:t>
      </w:r>
      <w:r w:rsidR="006F304D" w:rsidRPr="006F304D">
        <w:rPr>
          <w:iCs/>
          <w:szCs w:val="28"/>
        </w:rPr>
        <w:t xml:space="preserve">, </w:t>
      </w:r>
      <w:r w:rsidRPr="00516853">
        <w:rPr>
          <w:szCs w:val="28"/>
        </w:rPr>
        <w:t>1. 118-19.</w:t>
      </w:r>
    </w:p>
  </w:footnote>
  <w:footnote w:id="471">
    <w:p w14:paraId="29468694" w14:textId="3D6FC4C3"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Morgenthaler</w:t>
      </w:r>
      <w:r w:rsidR="006F304D" w:rsidRPr="006F304D">
        <w:rPr>
          <w:szCs w:val="28"/>
        </w:rPr>
        <w:t xml:space="preserve">, </w:t>
      </w:r>
      <w:r w:rsidRPr="00516853">
        <w:rPr>
          <w:i/>
          <w:iCs/>
          <w:szCs w:val="28"/>
        </w:rPr>
        <w:t>Geschichtsschreibung</w:t>
      </w:r>
      <w:r w:rsidR="006F304D" w:rsidRPr="006F304D">
        <w:rPr>
          <w:iCs/>
          <w:szCs w:val="28"/>
        </w:rPr>
        <w:t xml:space="preserve">, </w:t>
      </w:r>
      <w:r w:rsidRPr="00516853">
        <w:rPr>
          <w:szCs w:val="28"/>
        </w:rPr>
        <w:t>1. 87.</w:t>
      </w:r>
    </w:p>
  </w:footnote>
  <w:footnote w:id="472">
    <w:p w14:paraId="11A593E4" w14:textId="34DB6EFF"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Morgenthaler</w:t>
      </w:r>
      <w:r w:rsidR="006F304D" w:rsidRPr="006F304D">
        <w:rPr>
          <w:szCs w:val="28"/>
        </w:rPr>
        <w:t xml:space="preserve">, </w:t>
      </w:r>
      <w:r w:rsidRPr="00516853">
        <w:rPr>
          <w:i/>
          <w:iCs/>
          <w:szCs w:val="28"/>
        </w:rPr>
        <w:t>Geschichtsschreibung</w:t>
      </w:r>
      <w:r w:rsidR="006F304D" w:rsidRPr="006F304D">
        <w:rPr>
          <w:iCs/>
          <w:szCs w:val="28"/>
        </w:rPr>
        <w:t xml:space="preserve">, </w:t>
      </w:r>
      <w:r w:rsidRPr="00516853">
        <w:rPr>
          <w:szCs w:val="28"/>
        </w:rPr>
        <w:t>1. 83</w:t>
      </w:r>
      <w:r w:rsidR="006F304D" w:rsidRPr="006F304D">
        <w:rPr>
          <w:szCs w:val="28"/>
        </w:rPr>
        <w:t xml:space="preserve">, </w:t>
      </w:r>
      <w:r w:rsidRPr="00516853">
        <w:rPr>
          <w:szCs w:val="28"/>
        </w:rPr>
        <w:t>136.</w:t>
      </w:r>
    </w:p>
  </w:footnote>
  <w:footnote w:id="473">
    <w:p w14:paraId="1827472E" w14:textId="24E4387A" w:rsidR="0018433B" w:rsidRPr="00516853" w:rsidRDefault="0018433B" w:rsidP="0018433B">
      <w:pPr>
        <w:rPr>
          <w:szCs w:val="28"/>
        </w:rPr>
      </w:pPr>
      <w:r w:rsidRPr="00565750">
        <w:rPr>
          <w:rStyle w:val="FootnoteReference"/>
          <w:szCs w:val="28"/>
        </w:rPr>
        <w:footnoteRef/>
      </w:r>
      <w:r w:rsidRPr="00565750">
        <w:rPr>
          <w:iCs/>
          <w:szCs w:val="28"/>
        </w:rPr>
        <w:t xml:space="preserve"> </w:t>
      </w:r>
      <w:r w:rsidRPr="00516853">
        <w:rPr>
          <w:i/>
          <w:iCs/>
          <w:szCs w:val="28"/>
        </w:rPr>
        <w:t>Reading Luke</w:t>
      </w:r>
      <w:r w:rsidR="006F304D" w:rsidRPr="006F304D">
        <w:rPr>
          <w:iCs/>
          <w:szCs w:val="28"/>
        </w:rPr>
        <w:t xml:space="preserve">, </w:t>
      </w:r>
      <w:r w:rsidRPr="00516853">
        <w:rPr>
          <w:szCs w:val="28"/>
        </w:rPr>
        <w:softHyphen/>
        <w:t>69.</w:t>
      </w:r>
    </w:p>
  </w:footnote>
  <w:footnote w:id="474">
    <w:p w14:paraId="35E26FC7" w14:textId="6E5F6A2F"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It is true that the parable refers to individuals (“I will show you what someone is like,” etc.); but</w:t>
      </w:r>
      <w:r w:rsidR="006F304D" w:rsidRPr="006F304D">
        <w:rPr>
          <w:szCs w:val="28"/>
        </w:rPr>
        <w:t xml:space="preserve">, </w:t>
      </w:r>
      <w:r w:rsidRPr="00516853">
        <w:rPr>
          <w:szCs w:val="28"/>
        </w:rPr>
        <w:t>as the second-person plural verb in the intro</w:t>
      </w:r>
      <w:r w:rsidRPr="00516853">
        <w:rPr>
          <w:szCs w:val="28"/>
        </w:rPr>
        <w:softHyphen/>
        <w:t>duction to the parable (verse 46) shows (“Why do you call [χαλε</w:t>
      </w:r>
      <w:r w:rsidRPr="00CB0999">
        <w:rPr>
          <w:szCs w:val="22"/>
          <w:lang w:bidi="he-IL"/>
        </w:rPr>
        <w:t>ῖ</w:t>
      </w:r>
      <w:r w:rsidRPr="00516853">
        <w:rPr>
          <w:szCs w:val="28"/>
        </w:rPr>
        <w:t>τε] me ‘Lord</w:t>
      </w:r>
      <w:r w:rsidR="006F304D" w:rsidRPr="006F304D">
        <w:rPr>
          <w:szCs w:val="28"/>
        </w:rPr>
        <w:t xml:space="preserve">, </w:t>
      </w:r>
      <w:r w:rsidRPr="00516853">
        <w:rPr>
          <w:szCs w:val="28"/>
        </w:rPr>
        <w:t>Lord’”)</w:t>
      </w:r>
      <w:r w:rsidR="006F304D" w:rsidRPr="006F304D">
        <w:rPr>
          <w:szCs w:val="28"/>
        </w:rPr>
        <w:t xml:space="preserve">, </w:t>
      </w:r>
      <w:r w:rsidRPr="00516853">
        <w:rPr>
          <w:szCs w:val="28"/>
        </w:rPr>
        <w:t>the individu</w:t>
      </w:r>
      <w:r w:rsidRPr="00516853">
        <w:rPr>
          <w:szCs w:val="28"/>
        </w:rPr>
        <w:softHyphen/>
        <w:t>als in the parable represent persons within the collec</w:t>
      </w:r>
      <w:r w:rsidRPr="00516853">
        <w:rPr>
          <w:szCs w:val="28"/>
        </w:rPr>
        <w:softHyphen/>
        <w:t>tivity of the disciples.</w:t>
      </w:r>
    </w:p>
  </w:footnote>
  <w:footnote w:id="475">
    <w:p w14:paraId="4AE6E462" w14:textId="3954BC4D"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For the argument that the entirety of the sermon on the plain</w:t>
      </w:r>
      <w:r w:rsidR="006F304D" w:rsidRPr="006F304D">
        <w:rPr>
          <w:szCs w:val="28"/>
        </w:rPr>
        <w:t xml:space="preserve">, </w:t>
      </w:r>
      <w:r w:rsidRPr="00516853">
        <w:rPr>
          <w:szCs w:val="28"/>
        </w:rPr>
        <w:t>includ</w:t>
      </w:r>
      <w:r w:rsidRPr="00516853">
        <w:rPr>
          <w:szCs w:val="28"/>
        </w:rPr>
        <w:softHyphen/>
        <w:t>ing the woes</w:t>
      </w:r>
      <w:r w:rsidR="006F304D" w:rsidRPr="006F304D">
        <w:rPr>
          <w:szCs w:val="28"/>
        </w:rPr>
        <w:t xml:space="preserve">, </w:t>
      </w:r>
      <w:r w:rsidRPr="00516853">
        <w:rPr>
          <w:szCs w:val="28"/>
        </w:rPr>
        <w:t>is addressed to Jesus’ disciples</w:t>
      </w:r>
      <w:r w:rsidR="006F304D" w:rsidRPr="006F304D">
        <w:rPr>
          <w:szCs w:val="28"/>
        </w:rPr>
        <w:t xml:space="preserve">, </w:t>
      </w:r>
      <w:r w:rsidRPr="00516853">
        <w:rPr>
          <w:szCs w:val="28"/>
        </w:rPr>
        <w:t xml:space="preserve">see Appendix </w:t>
      </w:r>
      <w:r>
        <w:rPr>
          <w:szCs w:val="28"/>
        </w:rPr>
        <w:t>2</w:t>
      </w:r>
      <w:r w:rsidR="006F304D" w:rsidRPr="006F304D">
        <w:rPr>
          <w:szCs w:val="28"/>
        </w:rPr>
        <w:t xml:space="preserve">, </w:t>
      </w:r>
      <w:r>
        <w:rPr>
          <w:szCs w:val="28"/>
        </w:rPr>
        <w:t>“</w:t>
      </w:r>
      <w:r w:rsidRPr="00516853">
        <w:rPr>
          <w:szCs w:val="28"/>
        </w:rPr>
        <w:t>The Audience of the</w:t>
      </w:r>
      <w:r>
        <w:rPr>
          <w:szCs w:val="28"/>
        </w:rPr>
        <w:t xml:space="preserve"> Sermon on the Plain.”</w:t>
      </w:r>
    </w:p>
  </w:footnote>
  <w:footnote w:id="476">
    <w:p w14:paraId="16D45B32" w14:textId="363EA2D7"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See</w:t>
      </w:r>
      <w:r w:rsidR="006F304D" w:rsidRPr="006F304D">
        <w:rPr>
          <w:szCs w:val="28"/>
        </w:rPr>
        <w:t xml:space="preserve">, </w:t>
      </w:r>
      <w:r w:rsidRPr="00516853">
        <w:rPr>
          <w:szCs w:val="28"/>
        </w:rPr>
        <w:t>for example</w:t>
      </w:r>
      <w:r w:rsidR="006F304D" w:rsidRPr="006F304D">
        <w:rPr>
          <w:szCs w:val="28"/>
        </w:rPr>
        <w:t xml:space="preserve">, </w:t>
      </w:r>
      <w:r w:rsidRPr="00516853">
        <w:rPr>
          <w:szCs w:val="28"/>
        </w:rPr>
        <w:t>8:18 (“to those who have</w:t>
      </w:r>
      <w:r w:rsidR="006F304D" w:rsidRPr="006F304D">
        <w:rPr>
          <w:szCs w:val="28"/>
        </w:rPr>
        <w:t xml:space="preserve">, </w:t>
      </w:r>
      <w:r w:rsidRPr="00516853">
        <w:rPr>
          <w:szCs w:val="28"/>
        </w:rPr>
        <w:t>more will be given; and from those who do not have</w:t>
      </w:r>
      <w:r w:rsidR="006F304D" w:rsidRPr="006F304D">
        <w:rPr>
          <w:szCs w:val="28"/>
        </w:rPr>
        <w:t xml:space="preserve">, </w:t>
      </w:r>
      <w:r w:rsidRPr="00516853">
        <w:rPr>
          <w:szCs w:val="28"/>
        </w:rPr>
        <w:t>even what they seem to have will be taken away”—the conclusion to Luke’s parable dis</w:t>
      </w:r>
      <w:r w:rsidRPr="00516853">
        <w:rPr>
          <w:szCs w:val="28"/>
        </w:rPr>
        <w:softHyphen/>
        <w:t>course); 13:30 (“some are last who will be first</w:t>
      </w:r>
      <w:r w:rsidR="006F304D" w:rsidRPr="006F304D">
        <w:rPr>
          <w:szCs w:val="28"/>
        </w:rPr>
        <w:t xml:space="preserve">, </w:t>
      </w:r>
      <w:r w:rsidRPr="00516853">
        <w:rPr>
          <w:szCs w:val="28"/>
        </w:rPr>
        <w:t>and some are first who will be last”—the conclusion to the discourse after healing the bent woman); 14:15-24 (the great supper</w:t>
      </w:r>
      <w:r w:rsidR="006F304D" w:rsidRPr="006F304D">
        <w:rPr>
          <w:szCs w:val="28"/>
        </w:rPr>
        <w:t xml:space="preserve">, </w:t>
      </w:r>
      <w:r w:rsidRPr="00516853">
        <w:rPr>
          <w:szCs w:val="28"/>
        </w:rPr>
        <w:t>which contrasts those initially invited with the poor</w:t>
      </w:r>
      <w:r w:rsidR="006F304D" w:rsidRPr="006F304D">
        <w:rPr>
          <w:szCs w:val="28"/>
        </w:rPr>
        <w:t xml:space="preserve">, </w:t>
      </w:r>
      <w:r w:rsidRPr="00516853">
        <w:rPr>
          <w:szCs w:val="28"/>
        </w:rPr>
        <w:t>maimed</w:t>
      </w:r>
      <w:r w:rsidR="006F304D" w:rsidRPr="006F304D">
        <w:rPr>
          <w:szCs w:val="28"/>
        </w:rPr>
        <w:t xml:space="preserve">, </w:t>
      </w:r>
      <w:r w:rsidRPr="00516853">
        <w:rPr>
          <w:szCs w:val="28"/>
        </w:rPr>
        <w:t>blind</w:t>
      </w:r>
      <w:r w:rsidR="006F304D" w:rsidRPr="006F304D">
        <w:rPr>
          <w:szCs w:val="28"/>
        </w:rPr>
        <w:t xml:space="preserve">, </w:t>
      </w:r>
      <w:r w:rsidRPr="00516853">
        <w:rPr>
          <w:szCs w:val="28"/>
        </w:rPr>
        <w:t>and lame—the great supper is the conclusion to the “Lukan sym</w:t>
      </w:r>
      <w:r w:rsidRPr="00516853">
        <w:rPr>
          <w:szCs w:val="28"/>
        </w:rPr>
        <w:softHyphen/>
        <w:t>posium,” as Grundmann [</w:t>
      </w:r>
      <w:r w:rsidRPr="00516853">
        <w:rPr>
          <w:i/>
          <w:iCs/>
          <w:szCs w:val="28"/>
        </w:rPr>
        <w:t>Evan</w:t>
      </w:r>
      <w:r w:rsidRPr="00516853">
        <w:rPr>
          <w:i/>
          <w:iCs/>
          <w:szCs w:val="28"/>
        </w:rPr>
        <w:softHyphen/>
        <w:t>gelium</w:t>
      </w:r>
      <w:r w:rsidR="006F304D" w:rsidRPr="006F304D">
        <w:rPr>
          <w:iCs/>
          <w:szCs w:val="28"/>
        </w:rPr>
        <w:t xml:space="preserve">, </w:t>
      </w:r>
      <w:r w:rsidRPr="00516853">
        <w:rPr>
          <w:szCs w:val="28"/>
        </w:rPr>
        <w:t>27-28] calls 14:1-24); 17:34-35 (two in bed</w:t>
      </w:r>
      <w:r w:rsidR="006F304D" w:rsidRPr="006F304D">
        <w:rPr>
          <w:szCs w:val="28"/>
        </w:rPr>
        <w:t xml:space="preserve">, </w:t>
      </w:r>
      <w:r w:rsidRPr="00516853">
        <w:rPr>
          <w:szCs w:val="28"/>
        </w:rPr>
        <w:t>one taken; two grinding</w:t>
      </w:r>
      <w:r w:rsidR="006F304D" w:rsidRPr="006F304D">
        <w:rPr>
          <w:szCs w:val="28"/>
        </w:rPr>
        <w:t xml:space="preserve">, </w:t>
      </w:r>
      <w:r w:rsidRPr="00516853">
        <w:rPr>
          <w:szCs w:val="28"/>
        </w:rPr>
        <w:t>one taken—the conclusion to the eschatolog</w:t>
      </w:r>
      <w:r w:rsidRPr="00516853">
        <w:rPr>
          <w:szCs w:val="28"/>
        </w:rPr>
        <w:softHyphen/>
        <w:t>ical dis</w:t>
      </w:r>
      <w:r w:rsidRPr="00516853">
        <w:rPr>
          <w:szCs w:val="28"/>
        </w:rPr>
        <w:softHyphen/>
        <w:t>course</w:t>
      </w:r>
      <w:r w:rsidR="006F304D" w:rsidRPr="006F304D">
        <w:rPr>
          <w:szCs w:val="28"/>
        </w:rPr>
        <w:t xml:space="preserve">, </w:t>
      </w:r>
      <w:r w:rsidRPr="00516853">
        <w:rPr>
          <w:szCs w:val="28"/>
        </w:rPr>
        <w:t>though the similitude of the gathering eagles is appended). See also the great as</w:t>
      </w:r>
      <w:r w:rsidRPr="00516853">
        <w:rPr>
          <w:szCs w:val="28"/>
        </w:rPr>
        <w:softHyphen/>
        <w:t>size in Matthew (sheep contrasted with goats</w:t>
      </w:r>
      <w:r w:rsidR="006F304D" w:rsidRPr="006F304D">
        <w:rPr>
          <w:szCs w:val="28"/>
        </w:rPr>
        <w:t xml:space="preserve">, </w:t>
      </w:r>
      <w:r w:rsidRPr="00516853">
        <w:rPr>
          <w:szCs w:val="28"/>
        </w:rPr>
        <w:t>Matt 25:31-46)</w:t>
      </w:r>
      <w:r w:rsidR="006F304D" w:rsidRPr="006F304D">
        <w:rPr>
          <w:szCs w:val="28"/>
        </w:rPr>
        <w:t xml:space="preserve">, </w:t>
      </w:r>
      <w:r w:rsidRPr="00516853">
        <w:rPr>
          <w:szCs w:val="28"/>
        </w:rPr>
        <w:t>which con</w:t>
      </w:r>
      <w:r w:rsidRPr="00516853">
        <w:rPr>
          <w:szCs w:val="28"/>
        </w:rPr>
        <w:softHyphen/>
        <w:t>cludes Matthew’s great eschatological discourse; or the bless</w:t>
      </w:r>
      <w:r w:rsidRPr="00516853">
        <w:rPr>
          <w:szCs w:val="28"/>
        </w:rPr>
        <w:softHyphen/>
        <w:t>ings and cur</w:t>
      </w:r>
      <w:r w:rsidRPr="00516853">
        <w:rPr>
          <w:szCs w:val="28"/>
        </w:rPr>
        <w:softHyphen/>
        <w:t>ses at the end of Moses’ discourse in Deut</w:t>
      </w:r>
      <w:r w:rsidRPr="00516853">
        <w:rPr>
          <w:szCs w:val="28"/>
        </w:rPr>
        <w:softHyphen/>
        <w:t>eronomy (Deut 28-30).</w:t>
      </w:r>
    </w:p>
  </w:footnote>
  <w:footnote w:id="477">
    <w:p w14:paraId="6BBB4D9A" w14:textId="58F2D772"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Meynet</w:t>
      </w:r>
      <w:r w:rsidR="006F304D" w:rsidRPr="006F304D">
        <w:rPr>
          <w:szCs w:val="28"/>
        </w:rPr>
        <w:t xml:space="preserve">, </w:t>
      </w:r>
      <w:r w:rsidRPr="00516853">
        <w:rPr>
          <w:i/>
          <w:iCs/>
          <w:szCs w:val="28"/>
        </w:rPr>
        <w:t>Quelle</w:t>
      </w:r>
      <w:r w:rsidR="006F304D" w:rsidRPr="006F304D">
        <w:rPr>
          <w:iCs/>
          <w:szCs w:val="28"/>
        </w:rPr>
        <w:t xml:space="preserve">, </w:t>
      </w:r>
      <w:r w:rsidRPr="00516853">
        <w:rPr>
          <w:szCs w:val="28"/>
        </w:rPr>
        <w:t xml:space="preserve">1. 97. </w:t>
      </w:r>
      <w:r>
        <w:rPr>
          <w:szCs w:val="28"/>
        </w:rPr>
        <w:t xml:space="preserve">Previously </w:t>
      </w:r>
      <w:r w:rsidRPr="00516853">
        <w:rPr>
          <w:szCs w:val="28"/>
        </w:rPr>
        <w:t>we suggested that Meynet in</w:t>
      </w:r>
      <w:r w:rsidRPr="00516853">
        <w:rPr>
          <w:szCs w:val="28"/>
        </w:rPr>
        <w:softHyphen/>
        <w:t>tends the emboldened versicles in his first chart (see Appendix 3) to be the “refrains” (22cδ</w:t>
      </w:r>
      <w:r w:rsidR="006F304D" w:rsidRPr="006F304D">
        <w:rPr>
          <w:szCs w:val="28"/>
        </w:rPr>
        <w:t xml:space="preserve">, </w:t>
      </w:r>
      <w:r w:rsidRPr="00516853">
        <w:rPr>
          <w:szCs w:val="28"/>
        </w:rPr>
        <w:t>23ab</w:t>
      </w:r>
      <w:r w:rsidR="006F304D" w:rsidRPr="006F304D">
        <w:rPr>
          <w:szCs w:val="28"/>
        </w:rPr>
        <w:t xml:space="preserve">, </w:t>
      </w:r>
      <w:r w:rsidRPr="00516853">
        <w:rPr>
          <w:szCs w:val="28"/>
        </w:rPr>
        <w:t>31</w:t>
      </w:r>
      <w:r w:rsidR="006F304D" w:rsidRPr="006F304D">
        <w:rPr>
          <w:szCs w:val="28"/>
        </w:rPr>
        <w:t xml:space="preserve">, </w:t>
      </w:r>
      <w:r w:rsidRPr="00516853">
        <w:rPr>
          <w:szCs w:val="28"/>
        </w:rPr>
        <w:t>35d-36</w:t>
      </w:r>
      <w:r w:rsidR="006F304D" w:rsidRPr="006F304D">
        <w:rPr>
          <w:szCs w:val="28"/>
        </w:rPr>
        <w:t xml:space="preserve">, </w:t>
      </w:r>
      <w:r w:rsidRPr="00516853">
        <w:rPr>
          <w:szCs w:val="28"/>
        </w:rPr>
        <w:t>38d</w:t>
      </w:r>
      <w:r w:rsidR="006F304D" w:rsidRPr="006F304D">
        <w:rPr>
          <w:szCs w:val="28"/>
        </w:rPr>
        <w:t xml:space="preserve">, </w:t>
      </w:r>
      <w:r w:rsidRPr="00516853">
        <w:rPr>
          <w:szCs w:val="28"/>
        </w:rPr>
        <w:t>40</w:t>
      </w:r>
      <w:r w:rsidR="006F304D" w:rsidRPr="006F304D">
        <w:rPr>
          <w:szCs w:val="28"/>
        </w:rPr>
        <w:t xml:space="preserve">, </w:t>
      </w:r>
      <w:r w:rsidRPr="00516853">
        <w:rPr>
          <w:szCs w:val="28"/>
        </w:rPr>
        <w:t>42de</w:t>
      </w:r>
      <w:r w:rsidR="006F304D" w:rsidRPr="006F304D">
        <w:rPr>
          <w:szCs w:val="28"/>
        </w:rPr>
        <w:t xml:space="preserve">, </w:t>
      </w:r>
      <w:r w:rsidRPr="00516853">
        <w:rPr>
          <w:szCs w:val="28"/>
        </w:rPr>
        <w:t>44a</w:t>
      </w:r>
      <w:r w:rsidR="006F304D" w:rsidRPr="006F304D">
        <w:rPr>
          <w:szCs w:val="28"/>
        </w:rPr>
        <w:t xml:space="preserve">, </w:t>
      </w:r>
      <w:r w:rsidRPr="00516853">
        <w:rPr>
          <w:szCs w:val="28"/>
        </w:rPr>
        <w:t>and 45c)</w:t>
      </w:r>
      <w:r w:rsidR="006F304D" w:rsidRPr="006F304D">
        <w:rPr>
          <w:szCs w:val="28"/>
        </w:rPr>
        <w:t xml:space="preserve">, </w:t>
      </w:r>
      <w:r w:rsidRPr="00516853">
        <w:rPr>
          <w:szCs w:val="28"/>
        </w:rPr>
        <w:t>and the intervening verses to be the couplets. But since he does not discuss the rhythm of the sermon beyond the above-quoted remark</w:t>
      </w:r>
      <w:r w:rsidR="006F304D" w:rsidRPr="006F304D">
        <w:rPr>
          <w:szCs w:val="28"/>
        </w:rPr>
        <w:t xml:space="preserve">, </w:t>
      </w:r>
      <w:r w:rsidRPr="00516853">
        <w:rPr>
          <w:szCs w:val="28"/>
        </w:rPr>
        <w:t>one cannot know how he would scan the verses. Meynet’s only other remark on rhythm in Luke’s gospel refers to “Unité B6” (7:18-50): “There are indeed passages in which cer</w:t>
      </w:r>
      <w:r w:rsidRPr="00516853">
        <w:rPr>
          <w:szCs w:val="28"/>
        </w:rPr>
        <w:softHyphen/>
        <w:t xml:space="preserve">tain precise elements are parallel </w:t>
      </w:r>
      <w:r w:rsidRPr="005F51B1">
        <w:rPr>
          <w:szCs w:val="28"/>
        </w:rPr>
        <w:t>. . .</w:t>
      </w:r>
      <w:r w:rsidRPr="00516853">
        <w:rPr>
          <w:szCs w:val="28"/>
        </w:rPr>
        <w:t xml:space="preserve"> In unit B6 these are the rhythms (6 + 3)” (ibid.</w:t>
      </w:r>
      <w:r w:rsidR="006F304D" w:rsidRPr="006F304D">
        <w:rPr>
          <w:szCs w:val="28"/>
        </w:rPr>
        <w:t xml:space="preserve">, </w:t>
      </w:r>
      <w:r w:rsidRPr="00516853">
        <w:rPr>
          <w:szCs w:val="28"/>
        </w:rPr>
        <w:t>129) This re</w:t>
      </w:r>
      <w:r w:rsidRPr="00516853">
        <w:rPr>
          <w:szCs w:val="28"/>
        </w:rPr>
        <w:softHyphen/>
        <w:t>mark too is not elucidated.</w:t>
      </w:r>
    </w:p>
  </w:footnote>
  <w:footnote w:id="478">
    <w:p w14:paraId="0B9CEEE1" w14:textId="0880179C"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Burney</w:t>
      </w:r>
      <w:r w:rsidR="006F304D" w:rsidRPr="006F304D">
        <w:rPr>
          <w:szCs w:val="28"/>
        </w:rPr>
        <w:t xml:space="preserve">, </w:t>
      </w:r>
      <w:r w:rsidRPr="00516853">
        <w:rPr>
          <w:i/>
          <w:iCs/>
          <w:szCs w:val="28"/>
        </w:rPr>
        <w:t>Poetry</w:t>
      </w:r>
      <w:r w:rsidR="006F304D" w:rsidRPr="006F304D">
        <w:rPr>
          <w:iCs/>
          <w:szCs w:val="28"/>
        </w:rPr>
        <w:t xml:space="preserve">, </w:t>
      </w:r>
      <w:r w:rsidRPr="00516853">
        <w:rPr>
          <w:szCs w:val="28"/>
        </w:rPr>
        <w:t xml:space="preserve">130. Elsewhere he qualifies the latter declaration by stating that </w:t>
      </w:r>
      <w:r w:rsidRPr="00516853">
        <w:rPr>
          <w:szCs w:val="28"/>
        </w:rPr>
        <w:softHyphen/>
        <w:t>Matthew’s beatitudes are “in the main” three-beat rhythm. Other instances cited by Burney of three-beat rhythm in the sermon on the mount are Matt 5:14-16 and 7:6 (131)</w:t>
      </w:r>
      <w:r w:rsidR="006F304D" w:rsidRPr="006F304D">
        <w:rPr>
          <w:szCs w:val="28"/>
        </w:rPr>
        <w:t xml:space="preserve">, </w:t>
      </w:r>
      <w:r w:rsidRPr="00516853">
        <w:rPr>
          <w:szCs w:val="28"/>
        </w:rPr>
        <w:t>but neither of these has a Lukan parallel. According to Jeremias (</w:t>
      </w:r>
      <w:r w:rsidRPr="00516853">
        <w:rPr>
          <w:i/>
          <w:iCs/>
          <w:szCs w:val="28"/>
        </w:rPr>
        <w:t>NT Theology</w:t>
      </w:r>
      <w:r w:rsidR="006F304D" w:rsidRPr="006F304D">
        <w:rPr>
          <w:iCs/>
          <w:szCs w:val="28"/>
        </w:rPr>
        <w:t xml:space="preserve">, </w:t>
      </w:r>
      <w:r w:rsidRPr="00516853">
        <w:rPr>
          <w:szCs w:val="28"/>
        </w:rPr>
        <w:t>25)</w:t>
      </w:r>
      <w:r w:rsidR="006F304D" w:rsidRPr="006F304D">
        <w:rPr>
          <w:szCs w:val="28"/>
        </w:rPr>
        <w:t xml:space="preserve">, </w:t>
      </w:r>
      <w:r w:rsidRPr="00516853">
        <w:rPr>
          <w:szCs w:val="28"/>
        </w:rPr>
        <w:t xml:space="preserve">“the three-beat line </w:t>
      </w:r>
      <w:r w:rsidRPr="005F51B1">
        <w:rPr>
          <w:szCs w:val="28"/>
        </w:rPr>
        <w:t>. . .</w:t>
      </w:r>
      <w:r w:rsidRPr="00516853">
        <w:rPr>
          <w:szCs w:val="28"/>
        </w:rPr>
        <w:t xml:space="preserve"> is the most frequent rhythm to be used in the sayings of Jesus; it serves </w:t>
      </w:r>
      <w:r w:rsidRPr="00516853">
        <w:rPr>
          <w:i/>
          <w:iCs/>
          <w:szCs w:val="28"/>
        </w:rPr>
        <w:t>to drive home important sayings and maxims</w:t>
      </w:r>
      <w:r w:rsidRPr="00516853">
        <w:rPr>
          <w:iCs/>
          <w:szCs w:val="28"/>
        </w:rPr>
        <w:t>.</w:t>
      </w:r>
      <w:r w:rsidRPr="00516853">
        <w:rPr>
          <w:szCs w:val="28"/>
        </w:rPr>
        <w:t>”</w:t>
      </w:r>
    </w:p>
  </w:footnote>
  <w:footnote w:id="479">
    <w:p w14:paraId="1E84F0CD" w14:textId="65FC0564"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Ibid.</w:t>
      </w:r>
      <w:r w:rsidR="006F304D" w:rsidRPr="006F304D">
        <w:rPr>
          <w:szCs w:val="28"/>
        </w:rPr>
        <w:t xml:space="preserve">, </w:t>
      </w:r>
      <w:r w:rsidRPr="00516853">
        <w:rPr>
          <w:szCs w:val="28"/>
        </w:rPr>
        <w:t xml:space="preserve">123-24. Citing </w:t>
      </w:r>
      <w:r w:rsidRPr="00516853">
        <w:rPr>
          <w:i/>
          <w:iCs/>
          <w:szCs w:val="28"/>
        </w:rPr>
        <w:t>Pirk</w:t>
      </w:r>
      <w:r>
        <w:rPr>
          <w:i/>
          <w:iCs/>
          <w:szCs w:val="28"/>
        </w:rPr>
        <w:t>ē</w:t>
      </w:r>
      <w:r w:rsidRPr="00516853">
        <w:rPr>
          <w:i/>
          <w:iCs/>
          <w:szCs w:val="28"/>
        </w:rPr>
        <w:t xml:space="preserve"> Ab</w:t>
      </w:r>
      <w:r>
        <w:rPr>
          <w:i/>
          <w:iCs/>
          <w:szCs w:val="28"/>
        </w:rPr>
        <w:t>ō</w:t>
      </w:r>
      <w:r w:rsidRPr="00516853">
        <w:rPr>
          <w:i/>
          <w:iCs/>
          <w:szCs w:val="28"/>
        </w:rPr>
        <w:t>th</w:t>
      </w:r>
      <w:r w:rsidRPr="00516853">
        <w:rPr>
          <w:szCs w:val="28"/>
        </w:rPr>
        <w:t xml:space="preserve"> 1:2</w:t>
      </w:r>
      <w:r w:rsidR="006F304D" w:rsidRPr="006F304D">
        <w:rPr>
          <w:szCs w:val="28"/>
        </w:rPr>
        <w:t xml:space="preserve">, </w:t>
      </w:r>
      <w:r w:rsidRPr="00516853">
        <w:rPr>
          <w:szCs w:val="28"/>
        </w:rPr>
        <w:t>4</w:t>
      </w:r>
      <w:r w:rsidR="006F304D" w:rsidRPr="006F304D">
        <w:rPr>
          <w:szCs w:val="28"/>
        </w:rPr>
        <w:t xml:space="preserve">, </w:t>
      </w:r>
      <w:r w:rsidRPr="00516853">
        <w:rPr>
          <w:szCs w:val="28"/>
        </w:rPr>
        <w:t>5</w:t>
      </w:r>
      <w:r w:rsidR="006F304D" w:rsidRPr="006F304D">
        <w:rPr>
          <w:szCs w:val="28"/>
        </w:rPr>
        <w:t xml:space="preserve">, </w:t>
      </w:r>
      <w:r w:rsidRPr="00516853">
        <w:rPr>
          <w:szCs w:val="28"/>
        </w:rPr>
        <w:t>6</w:t>
      </w:r>
      <w:r w:rsidR="006F304D" w:rsidRPr="006F304D">
        <w:rPr>
          <w:szCs w:val="28"/>
        </w:rPr>
        <w:t xml:space="preserve">, </w:t>
      </w:r>
      <w:r w:rsidRPr="00516853">
        <w:rPr>
          <w:szCs w:val="28"/>
        </w:rPr>
        <w:t>and 2:8 (124-26)</w:t>
      </w:r>
      <w:r w:rsidR="006F304D" w:rsidRPr="006F304D">
        <w:rPr>
          <w:szCs w:val="28"/>
        </w:rPr>
        <w:t xml:space="preserve">, </w:t>
      </w:r>
      <w:r w:rsidRPr="00516853">
        <w:rPr>
          <w:szCs w:val="28"/>
        </w:rPr>
        <w:t>Burney (126) comments</w:t>
      </w:r>
      <w:r w:rsidR="006F304D" w:rsidRPr="006F304D">
        <w:rPr>
          <w:szCs w:val="28"/>
        </w:rPr>
        <w:t xml:space="preserve">, </w:t>
      </w:r>
      <w:r w:rsidRPr="00516853">
        <w:rPr>
          <w:szCs w:val="28"/>
        </w:rPr>
        <w:t>“We have</w:t>
      </w:r>
      <w:r w:rsidR="006F304D" w:rsidRPr="006F304D">
        <w:rPr>
          <w:szCs w:val="28"/>
        </w:rPr>
        <w:t xml:space="preserve">, </w:t>
      </w:r>
      <w:r w:rsidRPr="00516853">
        <w:rPr>
          <w:szCs w:val="28"/>
        </w:rPr>
        <w:t>in fact</w:t>
      </w:r>
      <w:r w:rsidR="006F304D" w:rsidRPr="006F304D">
        <w:rPr>
          <w:szCs w:val="28"/>
        </w:rPr>
        <w:t xml:space="preserve">, </w:t>
      </w:r>
      <w:r w:rsidRPr="00516853">
        <w:rPr>
          <w:szCs w:val="28"/>
        </w:rPr>
        <w:t>in these passages exam</w:t>
      </w:r>
      <w:r w:rsidRPr="00516853">
        <w:rPr>
          <w:szCs w:val="28"/>
        </w:rPr>
        <w:softHyphen/>
        <w:t>ples of the ordinary method in which our Lord as a Rabbi instructed His fol</w:t>
      </w:r>
      <w:r w:rsidRPr="00516853">
        <w:rPr>
          <w:szCs w:val="28"/>
        </w:rPr>
        <w:softHyphen/>
        <w:t xml:space="preserve">lowers </w:t>
      </w:r>
      <w:r w:rsidRPr="005F51B1">
        <w:rPr>
          <w:szCs w:val="28"/>
        </w:rPr>
        <w:t>. . .</w:t>
      </w:r>
      <w:r w:rsidRPr="00516853">
        <w:rPr>
          <w:szCs w:val="28"/>
        </w:rPr>
        <w:t>” Jeremias (</w:t>
      </w:r>
      <w:r w:rsidRPr="00516853">
        <w:rPr>
          <w:i/>
          <w:iCs/>
          <w:szCs w:val="28"/>
        </w:rPr>
        <w:t>NT Theology</w:t>
      </w:r>
      <w:r w:rsidR="006F304D" w:rsidRPr="006F304D">
        <w:rPr>
          <w:iCs/>
          <w:szCs w:val="28"/>
        </w:rPr>
        <w:t xml:space="preserve">, </w:t>
      </w:r>
      <w:r w:rsidRPr="00516853">
        <w:rPr>
          <w:szCs w:val="28"/>
        </w:rPr>
        <w:t>23) speaks of the “re</w:t>
      </w:r>
      <w:r w:rsidRPr="00516853">
        <w:rPr>
          <w:szCs w:val="28"/>
        </w:rPr>
        <w:softHyphen/>
        <w:t>pose” and “matter-of-factness” of the four-beat line</w:t>
      </w:r>
      <w:r w:rsidR="006F304D" w:rsidRPr="006F304D">
        <w:rPr>
          <w:szCs w:val="28"/>
        </w:rPr>
        <w:t xml:space="preserve">, </w:t>
      </w:r>
      <w:r w:rsidRPr="00516853">
        <w:rPr>
          <w:szCs w:val="28"/>
        </w:rPr>
        <w:t>which “make it especial</w:t>
      </w:r>
      <w:r w:rsidRPr="00516853">
        <w:rPr>
          <w:szCs w:val="28"/>
        </w:rPr>
        <w:softHyphen/>
        <w:t>ly ap</w:t>
      </w:r>
      <w:r w:rsidRPr="00516853">
        <w:rPr>
          <w:szCs w:val="28"/>
        </w:rPr>
        <w:softHyphen/>
        <w:t>prop</w:t>
      </w:r>
      <w:r w:rsidRPr="00516853">
        <w:rPr>
          <w:szCs w:val="28"/>
        </w:rPr>
        <w:softHyphen/>
        <w:t>riate for conveying didactic themes.” He adds (ibid.) that “The pat</w:t>
      </w:r>
      <w:r w:rsidRPr="00516853">
        <w:rPr>
          <w:szCs w:val="28"/>
        </w:rPr>
        <w:softHyphen/>
        <w:t xml:space="preserve">tern 4 + 4 + 2 occurs again and again in sayings of Jesus </w:t>
      </w:r>
      <w:r w:rsidRPr="005F51B1">
        <w:rPr>
          <w:szCs w:val="28"/>
        </w:rPr>
        <w:t>. . .</w:t>
      </w:r>
      <w:r w:rsidRPr="00516853">
        <w:rPr>
          <w:szCs w:val="28"/>
        </w:rPr>
        <w:t>”</w:t>
      </w:r>
    </w:p>
  </w:footnote>
  <w:footnote w:id="480">
    <w:p w14:paraId="6D16B1C0" w14:textId="24B8D2ED" w:rsidR="0018433B" w:rsidRPr="00516853" w:rsidRDefault="0018433B" w:rsidP="0018433B">
      <w:pPr>
        <w:rPr>
          <w:szCs w:val="28"/>
        </w:rPr>
      </w:pPr>
      <w:r w:rsidRPr="00565750">
        <w:rPr>
          <w:rStyle w:val="FootnoteReference"/>
          <w:szCs w:val="28"/>
        </w:rPr>
        <w:footnoteRef/>
      </w:r>
      <w:r w:rsidRPr="00565750">
        <w:rPr>
          <w:iCs/>
          <w:szCs w:val="28"/>
        </w:rPr>
        <w:t xml:space="preserve"> </w:t>
      </w:r>
      <w:r w:rsidRPr="00516853">
        <w:rPr>
          <w:i/>
          <w:iCs/>
          <w:szCs w:val="28"/>
        </w:rPr>
        <w:t>Poetry</w:t>
      </w:r>
      <w:r w:rsidR="006F304D" w:rsidRPr="006F304D">
        <w:rPr>
          <w:iCs/>
          <w:szCs w:val="28"/>
        </w:rPr>
        <w:t xml:space="preserve">, </w:t>
      </w:r>
      <w:r w:rsidRPr="00516853">
        <w:rPr>
          <w:szCs w:val="28"/>
        </w:rPr>
        <w:t>137. (Jeremias [</w:t>
      </w:r>
      <w:r w:rsidRPr="00516853">
        <w:rPr>
          <w:i/>
          <w:iCs/>
          <w:szCs w:val="28"/>
        </w:rPr>
        <w:t>NT Theology</w:t>
      </w:r>
      <w:r w:rsidR="006F304D" w:rsidRPr="006F304D">
        <w:rPr>
          <w:iCs/>
          <w:szCs w:val="28"/>
        </w:rPr>
        <w:t xml:space="preserve">, </w:t>
      </w:r>
      <w:r w:rsidRPr="00516853">
        <w:rPr>
          <w:szCs w:val="28"/>
        </w:rPr>
        <w:t>22]</w:t>
      </w:r>
      <w:r w:rsidR="006F304D" w:rsidRPr="006F304D">
        <w:rPr>
          <w:szCs w:val="28"/>
        </w:rPr>
        <w:t xml:space="preserve">, </w:t>
      </w:r>
      <w:r w:rsidRPr="00516853">
        <w:rPr>
          <w:szCs w:val="28"/>
        </w:rPr>
        <w:t>who unlike Burney empha</w:t>
      </w:r>
      <w:r w:rsidRPr="00516853">
        <w:rPr>
          <w:szCs w:val="28"/>
        </w:rPr>
        <w:softHyphen/>
        <w:t xml:space="preserve">sizes Burney </w:t>
      </w:r>
      <w:r w:rsidRPr="00516853">
        <w:rPr>
          <w:szCs w:val="28"/>
        </w:rPr>
        <w:softHyphen/>
        <w:t>Jesus’ two-beat-line sayings (see above</w:t>
      </w:r>
      <w:r w:rsidR="006F304D" w:rsidRPr="006F304D">
        <w:rPr>
          <w:szCs w:val="28"/>
        </w:rPr>
        <w:t xml:space="preserve">, </w:t>
      </w:r>
      <w:r w:rsidRPr="00516853">
        <w:rPr>
          <w:szCs w:val="28"/>
        </w:rPr>
        <w:t>94 n. 88)</w:t>
      </w:r>
      <w:r w:rsidR="006F304D" w:rsidRPr="006F304D">
        <w:rPr>
          <w:szCs w:val="28"/>
        </w:rPr>
        <w:t xml:space="preserve">, </w:t>
      </w:r>
      <w:r w:rsidRPr="00516853">
        <w:rPr>
          <w:szCs w:val="28"/>
        </w:rPr>
        <w:t>empha</w:t>
      </w:r>
      <w:r w:rsidRPr="00516853">
        <w:rPr>
          <w:szCs w:val="28"/>
        </w:rPr>
        <w:softHyphen/>
        <w:t>sizes that their “sparse</w:t>
      </w:r>
      <w:r w:rsidRPr="00516853">
        <w:rPr>
          <w:szCs w:val="28"/>
        </w:rPr>
        <w:softHyphen/>
        <w:t xml:space="preserve">ness and monotony lend </w:t>
      </w:r>
      <w:r w:rsidRPr="005F51B1">
        <w:rPr>
          <w:szCs w:val="28"/>
        </w:rPr>
        <w:t>. . .</w:t>
      </w:r>
      <w:r w:rsidRPr="00516853">
        <w:rPr>
          <w:szCs w:val="28"/>
        </w:rPr>
        <w:t xml:space="preserve"> them the utmost urgen</w:t>
      </w:r>
      <w:r w:rsidRPr="00516853">
        <w:rPr>
          <w:szCs w:val="28"/>
        </w:rPr>
        <w:softHyphen/>
        <w:t xml:space="preserve">cy,” and that therefore “Jesus used the two-beat line above all to impress upon his hearers </w:t>
      </w:r>
      <w:r w:rsidRPr="00516853">
        <w:rPr>
          <w:i/>
          <w:iCs/>
          <w:szCs w:val="28"/>
        </w:rPr>
        <w:t>central ideas</w:t>
      </w:r>
      <w:r w:rsidRPr="00516853">
        <w:rPr>
          <w:szCs w:val="28"/>
        </w:rPr>
        <w:t xml:space="preserve"> of his mes</w:t>
      </w:r>
      <w:r w:rsidRPr="00516853">
        <w:rPr>
          <w:szCs w:val="28"/>
        </w:rPr>
        <w:softHyphen/>
        <w:t>sage.”)</w:t>
      </w:r>
    </w:p>
  </w:footnote>
  <w:footnote w:id="481">
    <w:p w14:paraId="1AAE0551" w14:textId="6CA860C1"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Ordinarily Burney believes that underlying Aramaic rhythms are better pre</w:t>
      </w:r>
      <w:r w:rsidRPr="00516853">
        <w:rPr>
          <w:szCs w:val="28"/>
        </w:rPr>
        <w:softHyphen/>
        <w:t>served in Matthew than in Luke (</w:t>
      </w:r>
      <w:r w:rsidRPr="00516853">
        <w:rPr>
          <w:i/>
          <w:iCs/>
          <w:szCs w:val="28"/>
        </w:rPr>
        <w:t>Poetry</w:t>
      </w:r>
      <w:r w:rsidR="006F304D" w:rsidRPr="006F304D">
        <w:rPr>
          <w:iCs/>
          <w:szCs w:val="28"/>
        </w:rPr>
        <w:t xml:space="preserve">, </w:t>
      </w:r>
      <w:r w:rsidRPr="00516853">
        <w:rPr>
          <w:szCs w:val="28"/>
        </w:rPr>
        <w:t>6</w:t>
      </w:r>
      <w:r w:rsidR="006F304D" w:rsidRPr="006F304D">
        <w:rPr>
          <w:szCs w:val="28"/>
        </w:rPr>
        <w:t xml:space="preserve">, </w:t>
      </w:r>
      <w:r w:rsidRPr="00516853">
        <w:rPr>
          <w:szCs w:val="28"/>
        </w:rPr>
        <w:t>7</w:t>
      </w:r>
      <w:r w:rsidR="006F304D" w:rsidRPr="006F304D">
        <w:rPr>
          <w:szCs w:val="28"/>
        </w:rPr>
        <w:t xml:space="preserve">, </w:t>
      </w:r>
      <w:r w:rsidRPr="00516853">
        <w:rPr>
          <w:szCs w:val="28"/>
        </w:rPr>
        <w:t>87</w:t>
      </w:r>
      <w:r w:rsidR="006F304D" w:rsidRPr="006F304D">
        <w:rPr>
          <w:szCs w:val="28"/>
        </w:rPr>
        <w:t xml:space="preserve">, </w:t>
      </w:r>
      <w:r w:rsidRPr="00516853">
        <w:rPr>
          <w:szCs w:val="28"/>
        </w:rPr>
        <w:t>87 n. 1</w:t>
      </w:r>
      <w:r w:rsidR="006F304D" w:rsidRPr="006F304D">
        <w:rPr>
          <w:szCs w:val="28"/>
        </w:rPr>
        <w:t xml:space="preserve">, </w:t>
      </w:r>
      <w:r w:rsidRPr="00516853">
        <w:rPr>
          <w:szCs w:val="28"/>
        </w:rPr>
        <w:t>115 n. 2). A good example is his treatment of the Lord’s Prayer (112-13): Matt 6:9-13 is “a little poem or hymn consist</w:t>
      </w:r>
      <w:r w:rsidRPr="00516853">
        <w:rPr>
          <w:szCs w:val="28"/>
        </w:rPr>
        <w:softHyphen/>
        <w:t xml:space="preserve">ing of </w:t>
      </w:r>
      <w:r w:rsidRPr="005F51B1">
        <w:rPr>
          <w:szCs w:val="28"/>
        </w:rPr>
        <w:t>. . .</w:t>
      </w:r>
      <w:r w:rsidRPr="00516853">
        <w:rPr>
          <w:szCs w:val="28"/>
        </w:rPr>
        <w:t xml:space="preserve"> 2 (stanzas) x 3 (stichoi) x 4 (beats)”; Luke’s parallel</w:t>
      </w:r>
      <w:r w:rsidR="006F304D" w:rsidRPr="006F304D">
        <w:rPr>
          <w:szCs w:val="28"/>
        </w:rPr>
        <w:t xml:space="preserve">, </w:t>
      </w:r>
      <w:r w:rsidRPr="00516853">
        <w:rPr>
          <w:szCs w:val="28"/>
        </w:rPr>
        <w:t>11:2-4</w:t>
      </w:r>
      <w:r w:rsidR="006F304D" w:rsidRPr="006F304D">
        <w:rPr>
          <w:szCs w:val="28"/>
        </w:rPr>
        <w:t xml:space="preserve">, </w:t>
      </w:r>
      <w:r w:rsidRPr="00516853">
        <w:rPr>
          <w:szCs w:val="28"/>
        </w:rPr>
        <w:t>by contrast</w:t>
      </w:r>
      <w:r w:rsidR="006F304D" w:rsidRPr="006F304D">
        <w:rPr>
          <w:szCs w:val="28"/>
        </w:rPr>
        <w:t xml:space="preserve">, </w:t>
      </w:r>
      <w:r w:rsidRPr="00516853">
        <w:rPr>
          <w:szCs w:val="28"/>
        </w:rPr>
        <w:t>is “muti</w:t>
      </w:r>
      <w:r w:rsidRPr="00516853">
        <w:rPr>
          <w:szCs w:val="28"/>
        </w:rPr>
        <w:softHyphen/>
        <w:t>lated.” It follows that for Burney Jesus’ authentic sayings are better preserved in Matthew. Yet in his treatment of sayings in Luke’s sermon</w:t>
      </w:r>
      <w:r w:rsidR="006F304D" w:rsidRPr="006F304D">
        <w:rPr>
          <w:szCs w:val="28"/>
        </w:rPr>
        <w:t xml:space="preserve">, </w:t>
      </w:r>
      <w:r w:rsidRPr="00516853">
        <w:rPr>
          <w:szCs w:val="28"/>
        </w:rPr>
        <w:t>he more than once con</w:t>
      </w:r>
      <w:r w:rsidRPr="00516853">
        <w:rPr>
          <w:szCs w:val="28"/>
        </w:rPr>
        <w:softHyphen/>
        <w:t>cedes that the ori</w:t>
      </w:r>
      <w:r w:rsidRPr="00516853">
        <w:rPr>
          <w:szCs w:val="28"/>
        </w:rPr>
        <w:softHyphen/>
        <w:t>ginal rhythms are better preserved in Luke (112-13</w:t>
      </w:r>
      <w:r w:rsidR="006F304D" w:rsidRPr="006F304D">
        <w:rPr>
          <w:szCs w:val="28"/>
        </w:rPr>
        <w:t xml:space="preserve">, </w:t>
      </w:r>
      <w:r w:rsidRPr="00516853">
        <w:rPr>
          <w:szCs w:val="28"/>
        </w:rPr>
        <w:t>114 n. 1</w:t>
      </w:r>
      <w:r w:rsidR="006F304D" w:rsidRPr="006F304D">
        <w:rPr>
          <w:szCs w:val="28"/>
        </w:rPr>
        <w:t xml:space="preserve">, </w:t>
      </w:r>
      <w:r w:rsidRPr="00516853">
        <w:rPr>
          <w:szCs w:val="28"/>
        </w:rPr>
        <w:t>165-67). In the beati</w:t>
      </w:r>
      <w:r w:rsidRPr="00516853">
        <w:rPr>
          <w:szCs w:val="28"/>
        </w:rPr>
        <w:softHyphen/>
        <w:t>tudes</w:t>
      </w:r>
      <w:r w:rsidR="006F304D" w:rsidRPr="006F304D">
        <w:rPr>
          <w:szCs w:val="28"/>
        </w:rPr>
        <w:t xml:space="preserve">, </w:t>
      </w:r>
      <w:r w:rsidRPr="00516853">
        <w:rPr>
          <w:szCs w:val="28"/>
        </w:rPr>
        <w:t>for example</w:t>
      </w:r>
      <w:r w:rsidR="006F304D" w:rsidRPr="006F304D">
        <w:rPr>
          <w:szCs w:val="28"/>
        </w:rPr>
        <w:t xml:space="preserve">, </w:t>
      </w:r>
      <w:r w:rsidRPr="00516853">
        <w:rPr>
          <w:szCs w:val="28"/>
        </w:rPr>
        <w:t xml:space="preserve">he uses rhythmical grounds to </w:t>
      </w:r>
      <w:r w:rsidRPr="00516853">
        <w:rPr>
          <w:szCs w:val="28"/>
        </w:rPr>
        <w:softHyphen/>
      </w:r>
      <w:r w:rsidRPr="00516853">
        <w:rPr>
          <w:szCs w:val="28"/>
        </w:rPr>
        <w:softHyphen/>
        <w:t>argue against the authen</w:t>
      </w:r>
      <w:r w:rsidRPr="00516853">
        <w:rPr>
          <w:szCs w:val="28"/>
        </w:rPr>
        <w:softHyphen/>
        <w:t>ticity of “in spirit” (</w:t>
      </w:r>
      <w:r w:rsidRPr="00D934B1">
        <w:rPr>
          <w:szCs w:val="28"/>
        </w:rPr>
        <w:t>τῷ</w:t>
      </w:r>
      <w:r>
        <w:rPr>
          <w:szCs w:val="28"/>
        </w:rPr>
        <w:t xml:space="preserve"> πν</w:t>
      </w:r>
      <w:r w:rsidRPr="00516853">
        <w:rPr>
          <w:szCs w:val="28"/>
        </w:rPr>
        <w:t>εύ</w:t>
      </w:r>
      <w:r w:rsidRPr="00516853">
        <w:rPr>
          <w:szCs w:val="28"/>
        </w:rPr>
        <w:softHyphen/>
        <w:t>ματι) in Matt 5:3</w:t>
      </w:r>
      <w:r w:rsidR="006F304D" w:rsidRPr="006F304D">
        <w:rPr>
          <w:szCs w:val="28"/>
        </w:rPr>
        <w:t xml:space="preserve">, </w:t>
      </w:r>
      <w:r w:rsidRPr="00516853">
        <w:rPr>
          <w:szCs w:val="28"/>
        </w:rPr>
        <w:t>of “for righteousness” (</w:t>
      </w:r>
      <w:r w:rsidRPr="00D934B1">
        <w:rPr>
          <w:szCs w:val="28"/>
        </w:rPr>
        <w:t>τὴν</w:t>
      </w:r>
      <w:r>
        <w:rPr>
          <w:szCs w:val="28"/>
        </w:rPr>
        <w:t xml:space="preserve"> διχαιoσύvην</w:t>
      </w:r>
      <w:r w:rsidRPr="00516853">
        <w:rPr>
          <w:szCs w:val="28"/>
        </w:rPr>
        <w:t>) in 5:6</w:t>
      </w:r>
      <w:r w:rsidR="006F304D" w:rsidRPr="006F304D">
        <w:rPr>
          <w:szCs w:val="28"/>
        </w:rPr>
        <w:t xml:space="preserve">, </w:t>
      </w:r>
      <w:r w:rsidRPr="00516853">
        <w:rPr>
          <w:szCs w:val="28"/>
        </w:rPr>
        <w:t>and of the entire ninth beatitude</w:t>
      </w:r>
      <w:r w:rsidR="006F304D" w:rsidRPr="006F304D">
        <w:rPr>
          <w:szCs w:val="28"/>
        </w:rPr>
        <w:t xml:space="preserve">, </w:t>
      </w:r>
      <w:r w:rsidRPr="00516853">
        <w:rPr>
          <w:szCs w:val="28"/>
        </w:rPr>
        <w:t>5:11-12 (166-67). Never</w:t>
      </w:r>
      <w:r w:rsidRPr="00516853">
        <w:rPr>
          <w:szCs w:val="28"/>
        </w:rPr>
        <w:softHyphen/>
        <w:t>theless</w:t>
      </w:r>
      <w:r w:rsidR="006F304D" w:rsidRPr="006F304D">
        <w:rPr>
          <w:szCs w:val="28"/>
        </w:rPr>
        <w:t xml:space="preserve">, </w:t>
      </w:r>
      <w:r w:rsidRPr="00516853">
        <w:rPr>
          <w:szCs w:val="28"/>
        </w:rPr>
        <w:t>he still uses the text of Matthew as the basis for reverting from Greek to the original Aramaic of the beatitudes.</w:t>
      </w:r>
    </w:p>
  </w:footnote>
  <w:footnote w:id="482">
    <w:p w14:paraId="210EC3ED" w14:textId="6E869297"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Ibid.</w:t>
      </w:r>
      <w:r w:rsidR="006F304D" w:rsidRPr="006F304D">
        <w:rPr>
          <w:szCs w:val="28"/>
        </w:rPr>
        <w:t xml:space="preserve">, </w:t>
      </w:r>
      <w:r w:rsidRPr="00516853">
        <w:rPr>
          <w:szCs w:val="28"/>
        </w:rPr>
        <w:t>166.</w:t>
      </w:r>
    </w:p>
  </w:footnote>
  <w:footnote w:id="483">
    <w:p w14:paraId="4E7F2A39" w14:textId="59DF2390"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Ibid.</w:t>
      </w:r>
      <w:r w:rsidR="006F304D" w:rsidRPr="006F304D">
        <w:rPr>
          <w:szCs w:val="28"/>
        </w:rPr>
        <w:t xml:space="preserve">, </w:t>
      </w:r>
      <w:r w:rsidRPr="00516853">
        <w:rPr>
          <w:szCs w:val="28"/>
        </w:rPr>
        <w:t>169. In deciding for the authenticity of Luke’s version of these verses</w:t>
      </w:r>
      <w:r w:rsidR="006F304D" w:rsidRPr="006F304D">
        <w:rPr>
          <w:szCs w:val="28"/>
        </w:rPr>
        <w:t xml:space="preserve">, </w:t>
      </w:r>
      <w:r w:rsidRPr="00516853">
        <w:rPr>
          <w:szCs w:val="28"/>
        </w:rPr>
        <w:t>Burney not only points out that Matthew lacks Luke 6:27b and 28a (Matt 5:39b-40 = Luke 6:29; Matt 5:44 = Luke 6:27a</w:t>
      </w:r>
      <w:r w:rsidR="006F304D" w:rsidRPr="006F304D">
        <w:rPr>
          <w:szCs w:val="28"/>
        </w:rPr>
        <w:t xml:space="preserve">, </w:t>
      </w:r>
      <w:r w:rsidRPr="00516853">
        <w:rPr>
          <w:szCs w:val="28"/>
        </w:rPr>
        <w:t>28b)</w:t>
      </w:r>
      <w:r w:rsidR="006F304D" w:rsidRPr="006F304D">
        <w:rPr>
          <w:szCs w:val="28"/>
        </w:rPr>
        <w:t xml:space="preserve">, </w:t>
      </w:r>
      <w:r w:rsidRPr="00516853">
        <w:rPr>
          <w:szCs w:val="28"/>
        </w:rPr>
        <w:t>but also recognizes that Matthew’s addition of “right” before “cheek” (Matt 5:39b) and his read</w:t>
      </w:r>
      <w:r w:rsidRPr="00516853">
        <w:rPr>
          <w:szCs w:val="28"/>
        </w:rPr>
        <w:softHyphen/>
        <w:t>ing</w:t>
      </w:r>
      <w:r w:rsidR="006F304D" w:rsidRPr="006F304D">
        <w:rPr>
          <w:szCs w:val="28"/>
        </w:rPr>
        <w:t xml:space="preserve">, </w:t>
      </w:r>
      <w:r w:rsidRPr="00516853">
        <w:rPr>
          <w:szCs w:val="28"/>
        </w:rPr>
        <w:t>“if any one would sue you and take” (Matt 5:40a)</w:t>
      </w:r>
      <w:r w:rsidR="006F304D" w:rsidRPr="006F304D">
        <w:rPr>
          <w:szCs w:val="28"/>
        </w:rPr>
        <w:t xml:space="preserve">, </w:t>
      </w:r>
      <w:r w:rsidRPr="00516853">
        <w:rPr>
          <w:szCs w:val="28"/>
        </w:rPr>
        <w:t>instead of Luke’s “of him who takes” (Luke 6:30b)</w:t>
      </w:r>
      <w:r w:rsidR="006F304D" w:rsidRPr="006F304D">
        <w:rPr>
          <w:szCs w:val="28"/>
        </w:rPr>
        <w:t xml:space="preserve">, </w:t>
      </w:r>
      <w:r w:rsidRPr="00516853">
        <w:rPr>
          <w:szCs w:val="28"/>
        </w:rPr>
        <w:t xml:space="preserve">“spoils the rhythm </w:t>
      </w:r>
      <w:r w:rsidRPr="005F51B1">
        <w:rPr>
          <w:szCs w:val="28"/>
        </w:rPr>
        <w:t>. . .</w:t>
      </w:r>
      <w:r w:rsidRPr="00516853">
        <w:rPr>
          <w:szCs w:val="28"/>
        </w:rPr>
        <w:t>” (ibid.</w:t>
      </w:r>
      <w:r w:rsidR="006F304D" w:rsidRPr="006F304D">
        <w:rPr>
          <w:szCs w:val="28"/>
        </w:rPr>
        <w:t xml:space="preserve">, </w:t>
      </w:r>
      <w:r w:rsidRPr="00516853">
        <w:rPr>
          <w:szCs w:val="28"/>
        </w:rPr>
        <w:t>114 n. 1).</w:t>
      </w:r>
    </w:p>
    <w:p w14:paraId="7F839F59" w14:textId="77777777" w:rsidR="0018433B" w:rsidRPr="00516853" w:rsidRDefault="0018433B" w:rsidP="0018433B">
      <w:pPr>
        <w:rPr>
          <w:szCs w:val="28"/>
        </w:rPr>
      </w:pPr>
      <w:r w:rsidRPr="00516853">
        <w:rPr>
          <w:szCs w:val="28"/>
        </w:rPr>
        <w:t>Burney justifies the interpretation of these lines as four-beat rhythm thus:</w:t>
      </w:r>
    </w:p>
    <w:p w14:paraId="778526F2" w14:textId="77777777" w:rsidR="0018433B" w:rsidRPr="00516853" w:rsidRDefault="0018433B" w:rsidP="0018433B">
      <w:pPr>
        <w:rPr>
          <w:szCs w:val="28"/>
        </w:rPr>
      </w:pPr>
    </w:p>
    <w:p w14:paraId="4A33F771" w14:textId="7C147361" w:rsidR="0018433B" w:rsidRPr="00516853" w:rsidRDefault="0018433B" w:rsidP="0018433B">
      <w:pPr>
        <w:ind w:left="720" w:right="720"/>
        <w:rPr>
          <w:szCs w:val="28"/>
        </w:rPr>
      </w:pPr>
      <w:r w:rsidRPr="00516853">
        <w:rPr>
          <w:szCs w:val="28"/>
        </w:rPr>
        <w:t>In this passage it would be possible</w:t>
      </w:r>
      <w:r w:rsidR="006F304D" w:rsidRPr="006F304D">
        <w:rPr>
          <w:szCs w:val="28"/>
        </w:rPr>
        <w:t xml:space="preserve">, </w:t>
      </w:r>
      <w:r w:rsidRPr="00516853">
        <w:rPr>
          <w:szCs w:val="28"/>
        </w:rPr>
        <w:t>for the most part</w:t>
      </w:r>
      <w:r w:rsidR="006F304D" w:rsidRPr="006F304D">
        <w:rPr>
          <w:szCs w:val="28"/>
        </w:rPr>
        <w:t xml:space="preserve">, </w:t>
      </w:r>
      <w:r w:rsidRPr="00516853">
        <w:rPr>
          <w:szCs w:val="28"/>
        </w:rPr>
        <w:t>to regard each line as properly consisting of two paral</w:t>
      </w:r>
      <w:r w:rsidRPr="00516853">
        <w:rPr>
          <w:szCs w:val="28"/>
        </w:rPr>
        <w:softHyphen/>
        <w:t>lel three-beat sti</w:t>
      </w:r>
      <w:r w:rsidRPr="00516853">
        <w:rPr>
          <w:szCs w:val="28"/>
        </w:rPr>
        <w:softHyphen/>
        <w:t xml:space="preserve">choi </w:t>
      </w:r>
      <w:r w:rsidRPr="005F51B1">
        <w:rPr>
          <w:szCs w:val="28"/>
        </w:rPr>
        <w:t>. . .</w:t>
      </w:r>
      <w:r w:rsidRPr="00516853">
        <w:rPr>
          <w:szCs w:val="28"/>
        </w:rPr>
        <w:t xml:space="preserve"> The considera</w:t>
      </w:r>
      <w:r w:rsidRPr="00516853">
        <w:rPr>
          <w:szCs w:val="28"/>
        </w:rPr>
        <w:softHyphen/>
        <w:t>tion which guides us to regard it [</w:t>
      </w:r>
      <w:r w:rsidR="00775F9B" w:rsidRPr="00775F9B">
        <w:rPr>
          <w:iCs/>
          <w:szCs w:val="28"/>
        </w:rPr>
        <w:t>i.e.</w:t>
      </w:r>
      <w:r w:rsidR="006F304D" w:rsidRPr="006F304D">
        <w:rPr>
          <w:szCs w:val="28"/>
        </w:rPr>
        <w:t xml:space="preserve">, </w:t>
      </w:r>
      <w:r w:rsidRPr="00516853">
        <w:rPr>
          <w:szCs w:val="28"/>
        </w:rPr>
        <w:t>each line] rather as a single four-beat stichos</w:t>
      </w:r>
      <w:r w:rsidR="006F304D" w:rsidRPr="006F304D">
        <w:rPr>
          <w:szCs w:val="28"/>
        </w:rPr>
        <w:t xml:space="preserve">, </w:t>
      </w:r>
      <w:r w:rsidRPr="00516853">
        <w:rPr>
          <w:szCs w:val="28"/>
        </w:rPr>
        <w:t>parallel with the similar sti</w:t>
      </w:r>
      <w:r w:rsidRPr="00516853">
        <w:rPr>
          <w:szCs w:val="28"/>
        </w:rPr>
        <w:softHyphen/>
        <w:t>chos which accompa</w:t>
      </w:r>
      <w:r w:rsidRPr="00516853">
        <w:rPr>
          <w:szCs w:val="28"/>
        </w:rPr>
        <w:softHyphen/>
        <w:t>nies it</w:t>
      </w:r>
      <w:r w:rsidR="006F304D" w:rsidRPr="006F304D">
        <w:rPr>
          <w:szCs w:val="28"/>
        </w:rPr>
        <w:t xml:space="preserve">, </w:t>
      </w:r>
      <w:r w:rsidRPr="00516853">
        <w:rPr>
          <w:szCs w:val="28"/>
        </w:rPr>
        <w:t>is [the fact that] Each half-line regu</w:t>
      </w:r>
      <w:r w:rsidRPr="00516853">
        <w:rPr>
          <w:szCs w:val="28"/>
        </w:rPr>
        <w:softHyphen/>
        <w:t>larly consists of two parts of a proposition</w:t>
      </w:r>
      <w:r w:rsidR="006F304D" w:rsidRPr="006F304D">
        <w:rPr>
          <w:szCs w:val="28"/>
        </w:rPr>
        <w:t xml:space="preserve">, </w:t>
      </w:r>
      <w:r w:rsidR="00775F9B" w:rsidRPr="00775F9B">
        <w:rPr>
          <w:iCs/>
          <w:szCs w:val="28"/>
        </w:rPr>
        <w:t>e.g.</w:t>
      </w:r>
      <w:r w:rsidRPr="00516853">
        <w:rPr>
          <w:szCs w:val="28"/>
        </w:rPr>
        <w:t xml:space="preserve"> verb and object; and thus regarded offers two stresses and not more. (Ibid.</w:t>
      </w:r>
      <w:r w:rsidR="006F304D" w:rsidRPr="006F304D">
        <w:rPr>
          <w:szCs w:val="28"/>
        </w:rPr>
        <w:t xml:space="preserve">, </w:t>
      </w:r>
      <w:r w:rsidRPr="00516853">
        <w:rPr>
          <w:szCs w:val="28"/>
        </w:rPr>
        <w:t>169 n. 1.)</w:t>
      </w:r>
    </w:p>
  </w:footnote>
  <w:footnote w:id="484">
    <w:p w14:paraId="46A888AF" w14:textId="77777777" w:rsidR="0018433B" w:rsidRPr="00516853" w:rsidRDefault="0018433B" w:rsidP="0018433B">
      <w:pPr>
        <w:rPr>
          <w:szCs w:val="28"/>
        </w:rPr>
      </w:pPr>
    </w:p>
    <w:p w14:paraId="4A908B39" w14:textId="0D47423A"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Ibid.</w:t>
      </w:r>
      <w:r w:rsidR="006F304D" w:rsidRPr="006F304D">
        <w:rPr>
          <w:szCs w:val="28"/>
        </w:rPr>
        <w:t xml:space="preserve">, </w:t>
      </w:r>
      <w:r w:rsidRPr="00516853">
        <w:rPr>
          <w:szCs w:val="28"/>
        </w:rPr>
        <w:t>114. Burney prefers Luke here also</w:t>
      </w:r>
      <w:r w:rsidR="006F304D" w:rsidRPr="006F304D">
        <w:rPr>
          <w:szCs w:val="28"/>
        </w:rPr>
        <w:t xml:space="preserve">, </w:t>
      </w:r>
      <w:r w:rsidRPr="00516853">
        <w:rPr>
          <w:szCs w:val="28"/>
        </w:rPr>
        <w:t>since all but Luke 6:36</w:t>
      </w:r>
      <w:r w:rsidR="006F304D" w:rsidRPr="006F304D">
        <w:rPr>
          <w:szCs w:val="28"/>
        </w:rPr>
        <w:t xml:space="preserve">, </w:t>
      </w:r>
      <w:r w:rsidRPr="00516853">
        <w:rPr>
          <w:szCs w:val="28"/>
        </w:rPr>
        <w:t>37a</w:t>
      </w:r>
      <w:r w:rsidR="006F304D" w:rsidRPr="006F304D">
        <w:rPr>
          <w:szCs w:val="28"/>
        </w:rPr>
        <w:t xml:space="preserve">, </w:t>
      </w:r>
      <w:r w:rsidRPr="00516853">
        <w:rPr>
          <w:szCs w:val="28"/>
        </w:rPr>
        <w:t>and 38b is unparalleled in Matthew. The angle brackets indicate that scribes have accidentally omitted</w:t>
      </w:r>
      <w:r>
        <w:rPr>
          <w:szCs w:val="28"/>
        </w:rPr>
        <w:t xml:space="preserve"> </w:t>
      </w:r>
      <w:r w:rsidRPr="00516853">
        <w:rPr>
          <w:szCs w:val="28"/>
        </w:rPr>
        <w:t>words at this point. (In a list of pas</w:t>
      </w:r>
      <w:r w:rsidRPr="00516853">
        <w:rPr>
          <w:szCs w:val="28"/>
        </w:rPr>
        <w:softHyphen/>
        <w:t>sa</w:t>
      </w:r>
      <w:r w:rsidRPr="00516853">
        <w:rPr>
          <w:szCs w:val="28"/>
        </w:rPr>
        <w:softHyphen/>
        <w:t>ges</w:t>
      </w:r>
      <w:r w:rsidR="006F304D" w:rsidRPr="006F304D">
        <w:rPr>
          <w:szCs w:val="28"/>
        </w:rPr>
        <w:t xml:space="preserve">, </w:t>
      </w:r>
      <w:r w:rsidRPr="00516853">
        <w:rPr>
          <w:szCs w:val="28"/>
        </w:rPr>
        <w:t>p. 11 n. 1</w:t>
      </w:r>
      <w:r w:rsidR="006F304D" w:rsidRPr="006F304D">
        <w:rPr>
          <w:szCs w:val="28"/>
        </w:rPr>
        <w:t xml:space="preserve">, </w:t>
      </w:r>
      <w:r w:rsidRPr="00516853">
        <w:rPr>
          <w:szCs w:val="28"/>
        </w:rPr>
        <w:t>where such dele</w:t>
      </w:r>
      <w:r w:rsidRPr="00516853">
        <w:rPr>
          <w:szCs w:val="28"/>
        </w:rPr>
        <w:softHyphen/>
        <w:t>tions occur</w:t>
      </w:r>
      <w:r w:rsidR="006F304D" w:rsidRPr="006F304D">
        <w:rPr>
          <w:szCs w:val="28"/>
        </w:rPr>
        <w:t xml:space="preserve">, </w:t>
      </w:r>
      <w:r w:rsidRPr="00516853">
        <w:rPr>
          <w:szCs w:val="28"/>
        </w:rPr>
        <w:t>Burney fails to mention Luke 6:</w:t>
      </w:r>
      <w:r w:rsidRPr="00516853">
        <w:rPr>
          <w:szCs w:val="28"/>
        </w:rPr>
        <w:softHyphen/>
        <w:t>38). He comments (p. 114 n. 2): “In the half-stichos ‘over</w:t>
      </w:r>
      <w:r w:rsidRPr="00516853">
        <w:rPr>
          <w:szCs w:val="28"/>
        </w:rPr>
        <w:softHyphen/>
        <w:t>flowing’ we seem to need some parallel term to com</w:t>
      </w:r>
      <w:r w:rsidRPr="00516853">
        <w:rPr>
          <w:szCs w:val="28"/>
        </w:rPr>
        <w:softHyphen/>
        <w:t>plete the rhythm</w:t>
      </w:r>
      <w:r w:rsidR="006F304D" w:rsidRPr="006F304D">
        <w:rPr>
          <w:szCs w:val="28"/>
        </w:rPr>
        <w:t xml:space="preserve">, </w:t>
      </w:r>
      <w:r w:rsidRPr="00516853">
        <w:rPr>
          <w:szCs w:val="28"/>
        </w:rPr>
        <w:t>unless</w:t>
      </w:r>
      <w:r w:rsidR="006F304D" w:rsidRPr="006F304D">
        <w:rPr>
          <w:szCs w:val="28"/>
        </w:rPr>
        <w:t xml:space="preserve">, </w:t>
      </w:r>
      <w:r w:rsidRPr="00516853">
        <w:rPr>
          <w:szCs w:val="28"/>
        </w:rPr>
        <w:t>as is quite possible</w:t>
      </w:r>
      <w:r w:rsidR="006F304D" w:rsidRPr="006F304D">
        <w:rPr>
          <w:szCs w:val="28"/>
        </w:rPr>
        <w:t xml:space="preserve">, </w:t>
      </w:r>
      <w:r w:rsidRPr="00516853">
        <w:rPr>
          <w:szCs w:val="28"/>
        </w:rPr>
        <w:t>‘over</w:t>
      </w:r>
      <w:r w:rsidRPr="00516853">
        <w:rPr>
          <w:szCs w:val="28"/>
        </w:rPr>
        <w:softHyphen/>
        <w:t>flowing’ was expressed in two words in Aram</w:t>
      </w:r>
      <w:r w:rsidRPr="00516853">
        <w:rPr>
          <w:szCs w:val="28"/>
        </w:rPr>
        <w:softHyphen/>
        <w:t>aic</w:t>
      </w:r>
      <w:r w:rsidR="006F304D" w:rsidRPr="006F304D">
        <w:rPr>
          <w:szCs w:val="28"/>
        </w:rPr>
        <w:t xml:space="preserve">, </w:t>
      </w:r>
      <w:r w:rsidR="00775F9B" w:rsidRPr="00775F9B">
        <w:rPr>
          <w:iCs/>
          <w:szCs w:val="28"/>
        </w:rPr>
        <w:t>e.g.</w:t>
      </w:r>
      <w:r w:rsidRPr="00516853">
        <w:rPr>
          <w:szCs w:val="28"/>
        </w:rPr>
        <w:t xml:space="preserve"> ‘running outside’.”</w:t>
      </w:r>
    </w:p>
  </w:footnote>
  <w:footnote w:id="485">
    <w:p w14:paraId="2639E7E5" w14:textId="2FB5275C"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Ibid.</w:t>
      </w:r>
      <w:r w:rsidR="006F304D" w:rsidRPr="006F304D">
        <w:rPr>
          <w:szCs w:val="28"/>
        </w:rPr>
        <w:t xml:space="preserve">, </w:t>
      </w:r>
      <w:r w:rsidRPr="00516853">
        <w:rPr>
          <w:szCs w:val="28"/>
        </w:rPr>
        <w:t>170 (see also 133).</w:t>
      </w:r>
    </w:p>
  </w:footnote>
  <w:footnote w:id="486">
    <w:p w14:paraId="1681FC08" w14:textId="041888FB"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Ibid.</w:t>
      </w:r>
      <w:r w:rsidR="006F304D" w:rsidRPr="006F304D">
        <w:rPr>
          <w:szCs w:val="28"/>
        </w:rPr>
        <w:t xml:space="preserve">, </w:t>
      </w:r>
      <w:r w:rsidRPr="00516853">
        <w:rPr>
          <w:szCs w:val="28"/>
        </w:rPr>
        <w:t>122. Luke 6:40 reads</w:t>
      </w:r>
      <w:r w:rsidR="006F304D" w:rsidRPr="006F304D">
        <w:rPr>
          <w:szCs w:val="28"/>
        </w:rPr>
        <w:t xml:space="preserve">, </w:t>
      </w:r>
      <w:r w:rsidRPr="00516853">
        <w:rPr>
          <w:szCs w:val="28"/>
        </w:rPr>
        <w:t>“A disciple is not above his teacher</w:t>
      </w:r>
      <w:r w:rsidR="006F304D" w:rsidRPr="006F304D">
        <w:rPr>
          <w:szCs w:val="28"/>
        </w:rPr>
        <w:t xml:space="preserve">, </w:t>
      </w:r>
      <w:r w:rsidRPr="00516853">
        <w:rPr>
          <w:szCs w:val="28"/>
        </w:rPr>
        <w:t>but every one when he is fully taught will be like his teacher.”</w:t>
      </w:r>
    </w:p>
  </w:footnote>
  <w:footnote w:id="487">
    <w:p w14:paraId="13AE8F75" w14:textId="735C82D1" w:rsidR="0018433B" w:rsidRPr="00516853" w:rsidRDefault="0018433B" w:rsidP="0018433B">
      <w:pPr>
        <w:rPr>
          <w:szCs w:val="28"/>
        </w:rPr>
      </w:pPr>
      <w:r w:rsidRPr="00565750">
        <w:rPr>
          <w:rStyle w:val="FootnoteReference"/>
          <w:szCs w:val="28"/>
        </w:rPr>
        <w:footnoteRef/>
      </w:r>
      <w:r w:rsidRPr="00565750">
        <w:rPr>
          <w:iCs/>
          <w:szCs w:val="28"/>
        </w:rPr>
        <w:t xml:space="preserve"> </w:t>
      </w:r>
      <w:r w:rsidRPr="00516853">
        <w:rPr>
          <w:i/>
          <w:iCs/>
          <w:szCs w:val="28"/>
        </w:rPr>
        <w:t>Making</w:t>
      </w:r>
      <w:r w:rsidR="006F304D" w:rsidRPr="006F304D">
        <w:rPr>
          <w:iCs/>
          <w:szCs w:val="28"/>
        </w:rPr>
        <w:t xml:space="preserve">, </w:t>
      </w:r>
      <w:r w:rsidRPr="00516853">
        <w:rPr>
          <w:szCs w:val="28"/>
        </w:rPr>
        <w:t>70. Cadbury is referring (see 31) to C. C. Torrey</w:t>
      </w:r>
      <w:r w:rsidR="006F304D" w:rsidRPr="006F304D">
        <w:rPr>
          <w:szCs w:val="28"/>
        </w:rPr>
        <w:t xml:space="preserve">, </w:t>
      </w:r>
      <w:r w:rsidRPr="00516853">
        <w:rPr>
          <w:i/>
          <w:iCs/>
          <w:szCs w:val="28"/>
        </w:rPr>
        <w:t>The Composi</w:t>
      </w:r>
      <w:r w:rsidRPr="00516853">
        <w:rPr>
          <w:i/>
          <w:iCs/>
          <w:szCs w:val="28"/>
        </w:rPr>
        <w:softHyphen/>
        <w:t>tion and Date of Acts</w:t>
      </w:r>
      <w:r w:rsidRPr="00516853">
        <w:rPr>
          <w:szCs w:val="28"/>
        </w:rPr>
        <w:t xml:space="preserve"> (HTS 1; </w:t>
      </w:r>
      <w:r w:rsidR="00E366BA" w:rsidRPr="00E366BA">
        <w:rPr>
          <w:iCs/>
          <w:szCs w:val="28"/>
        </w:rPr>
        <w:t xml:space="preserve">Cambridge MA: Harvard UP, </w:t>
      </w:r>
      <w:r w:rsidRPr="00516853">
        <w:rPr>
          <w:szCs w:val="28"/>
        </w:rPr>
        <w:t>1916)</w:t>
      </w:r>
      <w:r w:rsidR="006F304D" w:rsidRPr="006F304D">
        <w:rPr>
          <w:szCs w:val="28"/>
        </w:rPr>
        <w:t xml:space="preserve">, </w:t>
      </w:r>
      <w:r w:rsidRPr="00516853">
        <w:rPr>
          <w:szCs w:val="28"/>
        </w:rPr>
        <w:t>who argues that Acts 1:1-15:35 is a trans</w:t>
      </w:r>
      <w:r w:rsidRPr="00516853">
        <w:rPr>
          <w:szCs w:val="28"/>
        </w:rPr>
        <w:softHyphen/>
        <w:t>lation from a single Aramaic source written c. 49-50; and to Bur</w:t>
      </w:r>
      <w:r w:rsidRPr="00516853">
        <w:rPr>
          <w:szCs w:val="28"/>
        </w:rPr>
        <w:softHyphen/>
        <w:t>ney</w:t>
      </w:r>
      <w:r w:rsidR="006F304D" w:rsidRPr="006F304D">
        <w:rPr>
          <w:szCs w:val="28"/>
        </w:rPr>
        <w:t xml:space="preserve">, </w:t>
      </w:r>
      <w:r w:rsidRPr="00516853">
        <w:rPr>
          <w:i/>
          <w:iCs/>
          <w:szCs w:val="28"/>
        </w:rPr>
        <w:t>The Aramaic Origin of the Fourth Gospel</w:t>
      </w:r>
      <w:r w:rsidRPr="00516853">
        <w:rPr>
          <w:szCs w:val="28"/>
        </w:rPr>
        <w:t xml:space="preserve"> (</w:t>
      </w:r>
      <w:r w:rsidR="00214BC2" w:rsidRPr="00214BC2">
        <w:rPr>
          <w:iCs/>
          <w:szCs w:val="28"/>
        </w:rPr>
        <w:t>Oxford: OUP</w:t>
      </w:r>
      <w:r w:rsidR="006F304D" w:rsidRPr="006F304D">
        <w:rPr>
          <w:szCs w:val="28"/>
        </w:rPr>
        <w:t xml:space="preserve">, </w:t>
      </w:r>
      <w:r w:rsidRPr="00516853">
        <w:rPr>
          <w:szCs w:val="28"/>
        </w:rPr>
        <w:t>1922)</w:t>
      </w:r>
      <w:r w:rsidR="006F304D" w:rsidRPr="006F304D">
        <w:rPr>
          <w:szCs w:val="28"/>
        </w:rPr>
        <w:t xml:space="preserve">, </w:t>
      </w:r>
      <w:r w:rsidRPr="00516853">
        <w:rPr>
          <w:szCs w:val="28"/>
        </w:rPr>
        <w:t>who argues that John is a trans</w:t>
      </w:r>
      <w:r w:rsidRPr="00516853">
        <w:rPr>
          <w:szCs w:val="28"/>
        </w:rPr>
        <w:softHyphen/>
        <w:t>lation from an Aramaic document. In addition to advancing his own thesis</w:t>
      </w:r>
      <w:r w:rsidR="006F304D" w:rsidRPr="006F304D">
        <w:rPr>
          <w:szCs w:val="28"/>
        </w:rPr>
        <w:t xml:space="preserve">, </w:t>
      </w:r>
      <w:r w:rsidRPr="00516853">
        <w:rPr>
          <w:szCs w:val="28"/>
        </w:rPr>
        <w:t>Torrey concurs with Bur</w:t>
      </w:r>
      <w:r w:rsidRPr="00516853">
        <w:rPr>
          <w:szCs w:val="28"/>
        </w:rPr>
        <w:softHyphen/>
        <w:t xml:space="preserve">ney’s: see </w:t>
      </w:r>
      <w:r w:rsidRPr="00516853">
        <w:rPr>
          <w:i/>
          <w:iCs/>
          <w:szCs w:val="28"/>
        </w:rPr>
        <w:t>HTR</w:t>
      </w:r>
      <w:r w:rsidRPr="00516853">
        <w:rPr>
          <w:szCs w:val="28"/>
        </w:rPr>
        <w:t xml:space="preserve"> (1923) 326 (cited in Streeter</w:t>
      </w:r>
      <w:r w:rsidR="006F304D" w:rsidRPr="006F304D">
        <w:rPr>
          <w:szCs w:val="28"/>
        </w:rPr>
        <w:t xml:space="preserve">, </w:t>
      </w:r>
      <w:r w:rsidRPr="00516853">
        <w:rPr>
          <w:i/>
          <w:iCs/>
          <w:szCs w:val="28"/>
        </w:rPr>
        <w:t>Four Gos</w:t>
      </w:r>
      <w:r w:rsidRPr="00516853">
        <w:rPr>
          <w:i/>
          <w:iCs/>
          <w:szCs w:val="28"/>
        </w:rPr>
        <w:softHyphen/>
        <w:t>pels</w:t>
      </w:r>
      <w:r w:rsidR="006F304D" w:rsidRPr="006F304D">
        <w:rPr>
          <w:iCs/>
          <w:szCs w:val="28"/>
        </w:rPr>
        <w:t xml:space="preserve">, </w:t>
      </w:r>
      <w:r w:rsidRPr="00516853">
        <w:rPr>
          <w:szCs w:val="28"/>
        </w:rPr>
        <w:t>400 n. 2).</w:t>
      </w:r>
    </w:p>
    <w:p w14:paraId="2AC23919" w14:textId="64831D01" w:rsidR="0018433B" w:rsidRPr="00516853" w:rsidRDefault="0018433B" w:rsidP="0018433B">
      <w:pPr>
        <w:rPr>
          <w:szCs w:val="28"/>
        </w:rPr>
      </w:pPr>
      <w:r w:rsidRPr="00516853">
        <w:rPr>
          <w:szCs w:val="28"/>
        </w:rPr>
        <w:t xml:space="preserve">Cadbury’s reference to the “implication of primitiveness” applies both to these volumes and also to Burney’s </w:t>
      </w:r>
      <w:r w:rsidRPr="00516853">
        <w:rPr>
          <w:i/>
          <w:iCs/>
          <w:szCs w:val="28"/>
        </w:rPr>
        <w:t>Poetry of Our Lord</w:t>
      </w:r>
      <w:r w:rsidRPr="00516853">
        <w:rPr>
          <w:iCs/>
          <w:szCs w:val="28"/>
        </w:rPr>
        <w:t xml:space="preserve">: </w:t>
      </w:r>
      <w:r w:rsidRPr="00516853">
        <w:rPr>
          <w:szCs w:val="28"/>
        </w:rPr>
        <w:t>in the latter Burney wants to prove not only that John is based on Aramaic—and therefore trust</w:t>
      </w:r>
      <w:r w:rsidRPr="00516853">
        <w:rPr>
          <w:szCs w:val="28"/>
        </w:rPr>
        <w:softHyphen/>
        <w:t>worthy—sources (5</w:t>
      </w:r>
      <w:r w:rsidR="006F304D" w:rsidRPr="006F304D">
        <w:rPr>
          <w:szCs w:val="28"/>
        </w:rPr>
        <w:t xml:space="preserve">, </w:t>
      </w:r>
      <w:r w:rsidRPr="00516853">
        <w:rPr>
          <w:szCs w:val="28"/>
        </w:rPr>
        <w:t>84</w:t>
      </w:r>
      <w:r w:rsidR="006F304D" w:rsidRPr="006F304D">
        <w:rPr>
          <w:szCs w:val="28"/>
        </w:rPr>
        <w:t xml:space="preserve">, </w:t>
      </w:r>
      <w:r w:rsidRPr="00516853">
        <w:rPr>
          <w:szCs w:val="28"/>
        </w:rPr>
        <w:t>96-99</w:t>
      </w:r>
      <w:r w:rsidR="006F304D" w:rsidRPr="006F304D">
        <w:rPr>
          <w:szCs w:val="28"/>
        </w:rPr>
        <w:t xml:space="preserve">, </w:t>
      </w:r>
      <w:r w:rsidRPr="00516853">
        <w:rPr>
          <w:szCs w:val="28"/>
        </w:rPr>
        <w:t>and 175)</w:t>
      </w:r>
      <w:r w:rsidR="006F304D" w:rsidRPr="006F304D">
        <w:rPr>
          <w:szCs w:val="28"/>
        </w:rPr>
        <w:t xml:space="preserve">, </w:t>
      </w:r>
      <w:r w:rsidRPr="00516853">
        <w:rPr>
          <w:szCs w:val="28"/>
        </w:rPr>
        <w:t>but also that Jesus’ sayings in the synop</w:t>
      </w:r>
      <w:r w:rsidRPr="00516853">
        <w:rPr>
          <w:szCs w:val="28"/>
        </w:rPr>
        <w:softHyphen/>
        <w:t>tics are authentic (</w:t>
      </w:r>
      <w:r w:rsidR="00775F9B" w:rsidRPr="00775F9B">
        <w:rPr>
          <w:iCs/>
          <w:szCs w:val="28"/>
        </w:rPr>
        <w:t>e.g.</w:t>
      </w:r>
      <w:r w:rsidR="006F304D" w:rsidRPr="006F304D">
        <w:rPr>
          <w:szCs w:val="28"/>
        </w:rPr>
        <w:t xml:space="preserve">, </w:t>
      </w:r>
      <w:r w:rsidRPr="00516853">
        <w:rPr>
          <w:szCs w:val="28"/>
        </w:rPr>
        <w:t>6: “it is scarce</w:t>
      </w:r>
      <w:r w:rsidRPr="00516853">
        <w:rPr>
          <w:szCs w:val="28"/>
        </w:rPr>
        <w:softHyphen/>
        <w:t>ly over</w:t>
      </w:r>
      <w:r w:rsidRPr="00516853">
        <w:rPr>
          <w:szCs w:val="28"/>
        </w:rPr>
        <w:softHyphen/>
        <w:t>bold to believe that the Matthean tradition re</w:t>
      </w:r>
      <w:r w:rsidRPr="00516853">
        <w:rPr>
          <w:szCs w:val="28"/>
        </w:rPr>
        <w:softHyphen/>
        <w:t>presents the actual words of the [Lord’s] prayer as they issued from His lips”). Another motive which ari</w:t>
      </w:r>
      <w:r w:rsidRPr="00516853">
        <w:rPr>
          <w:szCs w:val="28"/>
        </w:rPr>
        <w:softHyphen/>
        <w:t xml:space="preserve">ses from time to time in </w:t>
      </w:r>
      <w:r>
        <w:rPr>
          <w:i/>
          <w:szCs w:val="28"/>
        </w:rPr>
        <w:t xml:space="preserve">The </w:t>
      </w:r>
      <w:r w:rsidRPr="00516853">
        <w:rPr>
          <w:i/>
          <w:iCs/>
          <w:szCs w:val="28"/>
        </w:rPr>
        <w:t>Poetry of Our Lord</w:t>
      </w:r>
      <w:r w:rsidRPr="00516853">
        <w:rPr>
          <w:szCs w:val="28"/>
        </w:rPr>
        <w:t xml:space="preserve"> is the desire to prove that Mark used Q (8-9</w:t>
      </w:r>
      <w:r w:rsidR="006F304D" w:rsidRPr="006F304D">
        <w:rPr>
          <w:szCs w:val="28"/>
        </w:rPr>
        <w:t xml:space="preserve">, </w:t>
      </w:r>
      <w:r w:rsidRPr="00516853">
        <w:rPr>
          <w:szCs w:val="28"/>
        </w:rPr>
        <w:t>74 n. 4</w:t>
      </w:r>
      <w:r w:rsidR="006F304D" w:rsidRPr="006F304D">
        <w:rPr>
          <w:szCs w:val="28"/>
        </w:rPr>
        <w:t xml:space="preserve">, </w:t>
      </w:r>
      <w:r w:rsidRPr="00516853">
        <w:rPr>
          <w:szCs w:val="28"/>
        </w:rPr>
        <w:t>85-87); and finally</w:t>
      </w:r>
      <w:r w:rsidR="006F304D" w:rsidRPr="006F304D">
        <w:rPr>
          <w:szCs w:val="28"/>
        </w:rPr>
        <w:t xml:space="preserve">, </w:t>
      </w:r>
      <w:r w:rsidRPr="00516853">
        <w:rPr>
          <w:szCs w:val="28"/>
        </w:rPr>
        <w:t xml:space="preserve">as a pervasive </w:t>
      </w:r>
      <w:r w:rsidRPr="00516853">
        <w:rPr>
          <w:i/>
          <w:iCs/>
          <w:szCs w:val="28"/>
        </w:rPr>
        <w:t>Tendenz</w:t>
      </w:r>
      <w:r w:rsidRPr="00516853">
        <w:rPr>
          <w:szCs w:val="28"/>
        </w:rPr>
        <w:t xml:space="preserve"> in the work</w:t>
      </w:r>
      <w:r w:rsidR="006F304D" w:rsidRPr="006F304D">
        <w:rPr>
          <w:szCs w:val="28"/>
        </w:rPr>
        <w:t xml:space="preserve">, </w:t>
      </w:r>
      <w:r w:rsidRPr="00516853">
        <w:rPr>
          <w:szCs w:val="28"/>
        </w:rPr>
        <w:t>there is a desire to portray “Jesus the spontaneous</w:t>
      </w:r>
      <w:r w:rsidR="006F304D" w:rsidRPr="006F304D">
        <w:rPr>
          <w:szCs w:val="28"/>
        </w:rPr>
        <w:t xml:space="preserve">, </w:t>
      </w:r>
      <w:r w:rsidRPr="00516853">
        <w:rPr>
          <w:szCs w:val="28"/>
        </w:rPr>
        <w:t>rustic poet” (Prof. Ju</w:t>
      </w:r>
      <w:r w:rsidRPr="00516853">
        <w:rPr>
          <w:szCs w:val="28"/>
        </w:rPr>
        <w:softHyphen/>
        <w:t>lian Hills of Marquette Uni</w:t>
      </w:r>
      <w:r w:rsidRPr="00516853">
        <w:rPr>
          <w:szCs w:val="28"/>
        </w:rPr>
        <w:softHyphen/>
        <w:t>ver</w:t>
      </w:r>
      <w:r w:rsidRPr="00516853">
        <w:rPr>
          <w:szCs w:val="28"/>
        </w:rPr>
        <w:softHyphen/>
        <w:t>sity</w:t>
      </w:r>
      <w:r w:rsidR="006F304D" w:rsidRPr="006F304D">
        <w:rPr>
          <w:szCs w:val="28"/>
        </w:rPr>
        <w:t xml:space="preserve">, </w:t>
      </w:r>
      <w:r w:rsidRPr="00516853">
        <w:rPr>
          <w:szCs w:val="28"/>
        </w:rPr>
        <w:t>private conver</w:t>
      </w:r>
      <w:r w:rsidRPr="00516853">
        <w:rPr>
          <w:szCs w:val="28"/>
        </w:rPr>
        <w:softHyphen/>
        <w:t>sa</w:t>
      </w:r>
      <w:r w:rsidRPr="00516853">
        <w:rPr>
          <w:szCs w:val="28"/>
        </w:rPr>
        <w:softHyphen/>
        <w:t>tion). All of these subor</w:t>
      </w:r>
      <w:r w:rsidRPr="00516853">
        <w:rPr>
          <w:szCs w:val="28"/>
        </w:rPr>
        <w:softHyphen/>
        <w:t>dinate motives are instances of Burney’s passion to prove “prim</w:t>
      </w:r>
      <w:r w:rsidRPr="00516853">
        <w:rPr>
          <w:szCs w:val="28"/>
        </w:rPr>
        <w:softHyphen/>
        <w:t>itiveness.”</w:t>
      </w:r>
    </w:p>
  </w:footnote>
  <w:footnote w:id="488">
    <w:p w14:paraId="78153365" w14:textId="77777777"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See our treatment of the content of these verses in chapter 8 below.</w:t>
      </w:r>
    </w:p>
  </w:footnote>
  <w:footnote w:id="489">
    <w:p w14:paraId="60619630" w14:textId="4DAE86AC"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Jeremias</w:t>
      </w:r>
      <w:r w:rsidR="006F304D" w:rsidRPr="006F304D">
        <w:rPr>
          <w:szCs w:val="28"/>
        </w:rPr>
        <w:t xml:space="preserve">, </w:t>
      </w:r>
      <w:r w:rsidRPr="00516853">
        <w:rPr>
          <w:i/>
          <w:iCs/>
          <w:szCs w:val="28"/>
        </w:rPr>
        <w:t>NT Theology</w:t>
      </w:r>
      <w:r w:rsidR="006F304D" w:rsidRPr="006F304D">
        <w:rPr>
          <w:iCs/>
          <w:szCs w:val="28"/>
        </w:rPr>
        <w:t xml:space="preserve">, </w:t>
      </w:r>
      <w:r w:rsidRPr="00516853">
        <w:rPr>
          <w:szCs w:val="28"/>
        </w:rPr>
        <w:t>20-27.</w:t>
      </w:r>
    </w:p>
  </w:footnote>
  <w:footnote w:id="490">
    <w:p w14:paraId="1ACB89E1" w14:textId="1E64E9AA"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Topel</w:t>
      </w:r>
      <w:r w:rsidR="006F304D" w:rsidRPr="006F304D">
        <w:rPr>
          <w:szCs w:val="28"/>
        </w:rPr>
        <w:t xml:space="preserve">, </w:t>
      </w:r>
      <w:r w:rsidRPr="00516853">
        <w:rPr>
          <w:szCs w:val="28"/>
        </w:rPr>
        <w:t>“Christian Ethics,” 190. In a footnote to this sentence</w:t>
      </w:r>
      <w:r w:rsidR="006F304D" w:rsidRPr="006F304D">
        <w:rPr>
          <w:szCs w:val="28"/>
        </w:rPr>
        <w:t xml:space="preserve">, </w:t>
      </w:r>
      <w:r>
        <w:rPr>
          <w:szCs w:val="28"/>
        </w:rPr>
        <w:t>Topel adds (n. 23)</w:t>
      </w:r>
      <w:r w:rsidR="006F304D" w:rsidRPr="006F304D">
        <w:rPr>
          <w:szCs w:val="28"/>
        </w:rPr>
        <w:t xml:space="preserve">, </w:t>
      </w:r>
      <w:r w:rsidRPr="00516853">
        <w:rPr>
          <w:szCs w:val="28"/>
        </w:rPr>
        <w:t xml:space="preserve">“Taking his inspiration from </w:t>
      </w:r>
      <w:r w:rsidR="00714629" w:rsidRPr="00714629">
        <w:rPr>
          <w:iCs/>
          <w:szCs w:val="28"/>
        </w:rPr>
        <w:t>C.F.</w:t>
      </w:r>
      <w:r w:rsidRPr="00516853">
        <w:rPr>
          <w:szCs w:val="28"/>
        </w:rPr>
        <w:t xml:space="preserve"> Burney</w:t>
      </w:r>
      <w:r w:rsidR="006F304D" w:rsidRPr="006F304D">
        <w:rPr>
          <w:szCs w:val="28"/>
        </w:rPr>
        <w:t xml:space="preserve">, </w:t>
      </w:r>
      <w:r w:rsidRPr="00516853">
        <w:rPr>
          <w:i/>
          <w:iCs/>
          <w:szCs w:val="28"/>
        </w:rPr>
        <w:t>The Poetry of Our Lord</w:t>
      </w:r>
      <w:r w:rsidRPr="00516853">
        <w:rPr>
          <w:szCs w:val="28"/>
        </w:rPr>
        <w:t xml:space="preserve"> (Oxford: Claren</w:t>
      </w:r>
      <w:r w:rsidRPr="00516853">
        <w:rPr>
          <w:szCs w:val="28"/>
        </w:rPr>
        <w:softHyphen/>
        <w:t>don</w:t>
      </w:r>
      <w:r w:rsidR="006F304D" w:rsidRPr="006F304D">
        <w:rPr>
          <w:szCs w:val="28"/>
        </w:rPr>
        <w:t xml:space="preserve">, </w:t>
      </w:r>
      <w:r w:rsidRPr="00516853">
        <w:rPr>
          <w:szCs w:val="28"/>
        </w:rPr>
        <w:t>1925) 113-14.” Ernst’s commen</w:t>
      </w:r>
      <w:r w:rsidRPr="00516853">
        <w:rPr>
          <w:szCs w:val="28"/>
        </w:rPr>
        <w:softHyphen/>
        <w:t>tary</w:t>
      </w:r>
      <w:r w:rsidR="006F304D" w:rsidRPr="006F304D">
        <w:rPr>
          <w:szCs w:val="28"/>
        </w:rPr>
        <w:t xml:space="preserve">, </w:t>
      </w:r>
      <w:r w:rsidRPr="00516853">
        <w:rPr>
          <w:szCs w:val="28"/>
        </w:rPr>
        <w:t xml:space="preserve">though it discusses </w:t>
      </w:r>
      <w:r w:rsidRPr="00516853">
        <w:rPr>
          <w:szCs w:val="28"/>
        </w:rPr>
        <w:softHyphen/>
        <w:t>the rhythm of 6:27-38</w:t>
      </w:r>
      <w:r w:rsidR="006F304D" w:rsidRPr="006F304D">
        <w:rPr>
          <w:szCs w:val="28"/>
        </w:rPr>
        <w:t xml:space="preserve">, </w:t>
      </w:r>
      <w:r w:rsidRPr="00516853">
        <w:rPr>
          <w:szCs w:val="28"/>
        </w:rPr>
        <w:t>makes no reference to Burney</w:t>
      </w:r>
      <w:r w:rsidR="006F304D" w:rsidRPr="006F304D">
        <w:rPr>
          <w:szCs w:val="28"/>
        </w:rPr>
        <w:t xml:space="preserve">, </w:t>
      </w:r>
      <w:r w:rsidRPr="00516853">
        <w:rPr>
          <w:szCs w:val="28"/>
        </w:rPr>
        <w:t>nor does Burney appear in Ernst’s later work</w:t>
      </w:r>
      <w:r w:rsidR="006F304D" w:rsidRPr="006F304D">
        <w:rPr>
          <w:szCs w:val="28"/>
        </w:rPr>
        <w:t xml:space="preserve">, </w:t>
      </w:r>
      <w:r w:rsidRPr="00516853">
        <w:rPr>
          <w:i/>
          <w:iCs/>
          <w:szCs w:val="28"/>
        </w:rPr>
        <w:t>Herr der Geschichte</w:t>
      </w:r>
      <w:r w:rsidRPr="00516853">
        <w:rPr>
          <w:iCs/>
          <w:szCs w:val="28"/>
        </w:rPr>
        <w:t xml:space="preserve">: </w:t>
      </w:r>
      <w:r w:rsidRPr="00516853">
        <w:rPr>
          <w:i/>
          <w:iCs/>
          <w:szCs w:val="28"/>
        </w:rPr>
        <w:t>Perspek</w:t>
      </w:r>
      <w:r w:rsidRPr="00516853">
        <w:rPr>
          <w:i/>
          <w:iCs/>
          <w:szCs w:val="28"/>
        </w:rPr>
        <w:softHyphen/>
        <w:t>tiven der lukanischen Es</w:t>
      </w:r>
      <w:r w:rsidRPr="00516853">
        <w:rPr>
          <w:i/>
          <w:iCs/>
          <w:szCs w:val="28"/>
        </w:rPr>
        <w:softHyphen/>
        <w:t>chatologie</w:t>
      </w:r>
      <w:r w:rsidRPr="00516853">
        <w:rPr>
          <w:szCs w:val="28"/>
        </w:rPr>
        <w:t xml:space="preserve"> (SBS 88 [Stuttgart: Katholisches Bi</w:t>
      </w:r>
      <w:r w:rsidRPr="00516853">
        <w:rPr>
          <w:szCs w:val="28"/>
        </w:rPr>
        <w:softHyphen/>
        <w:t>bel</w:t>
      </w:r>
      <w:r w:rsidRPr="00516853">
        <w:rPr>
          <w:szCs w:val="28"/>
        </w:rPr>
        <w:softHyphen/>
        <w:t>werk</w:t>
      </w:r>
      <w:r w:rsidR="006F304D" w:rsidRPr="006F304D">
        <w:rPr>
          <w:szCs w:val="28"/>
        </w:rPr>
        <w:t xml:space="preserve">, </w:t>
      </w:r>
      <w:r w:rsidRPr="00516853">
        <w:rPr>
          <w:szCs w:val="28"/>
        </w:rPr>
        <w:t>1978]) or in any of the ap</w:t>
      </w:r>
      <w:r w:rsidRPr="00516853">
        <w:rPr>
          <w:szCs w:val="28"/>
        </w:rPr>
        <w:softHyphen/>
        <w:t xml:space="preserve">proximately twenty articles by Ernst that have appeared in </w:t>
      </w:r>
      <w:r w:rsidRPr="00516853">
        <w:rPr>
          <w:i/>
          <w:iCs/>
          <w:szCs w:val="28"/>
        </w:rPr>
        <w:t>NTA</w:t>
      </w:r>
      <w:r w:rsidRPr="00516853">
        <w:rPr>
          <w:szCs w:val="28"/>
        </w:rPr>
        <w:t xml:space="preserve"> since the mid-six</w:t>
      </w:r>
      <w:r w:rsidRPr="00516853">
        <w:rPr>
          <w:szCs w:val="28"/>
        </w:rPr>
        <w:softHyphen/>
        <w:t>ties. Topel does not discuss this aspect of Ernst’s analysis in To</w:t>
      </w:r>
      <w:r w:rsidRPr="00516853">
        <w:rPr>
          <w:szCs w:val="28"/>
        </w:rPr>
        <w:softHyphen/>
        <w:t>pel’s earlier article on the ser</w:t>
      </w:r>
      <w:r w:rsidRPr="00516853">
        <w:rPr>
          <w:szCs w:val="28"/>
        </w:rPr>
        <w:softHyphen/>
        <w:t>mon on the plain</w:t>
      </w:r>
      <w:r w:rsidR="006F304D" w:rsidRPr="006F304D">
        <w:rPr>
          <w:szCs w:val="28"/>
        </w:rPr>
        <w:t xml:space="preserve">, </w:t>
      </w:r>
      <w:r w:rsidRPr="00516853">
        <w:rPr>
          <w:szCs w:val="28"/>
        </w:rPr>
        <w:t>“The Lukan Ver</w:t>
      </w:r>
      <w:r w:rsidRPr="00516853">
        <w:rPr>
          <w:szCs w:val="28"/>
        </w:rPr>
        <w:softHyphen/>
        <w:t>sion of the Lord’s Ser</w:t>
      </w:r>
      <w:r w:rsidRPr="00516853">
        <w:rPr>
          <w:szCs w:val="28"/>
        </w:rPr>
        <w:softHyphen/>
        <w:t>mon” (</w:t>
      </w:r>
      <w:r w:rsidRPr="00516853">
        <w:rPr>
          <w:i/>
          <w:iCs/>
          <w:szCs w:val="28"/>
        </w:rPr>
        <w:t>BTB</w:t>
      </w:r>
      <w:r w:rsidRPr="00516853">
        <w:rPr>
          <w:szCs w:val="28"/>
        </w:rPr>
        <w:t xml:space="preserve"> 11 [1981] 48-53); his single reference to Ernst (50) is unrelated to rhythm.</w:t>
      </w:r>
    </w:p>
  </w:footnote>
  <w:footnote w:id="491">
    <w:p w14:paraId="0D75396F" w14:textId="0F8EEEA0" w:rsidR="0018433B" w:rsidRPr="00516853" w:rsidRDefault="0018433B" w:rsidP="0018433B">
      <w:pPr>
        <w:rPr>
          <w:szCs w:val="28"/>
        </w:rPr>
      </w:pPr>
      <w:r w:rsidRPr="00565750">
        <w:rPr>
          <w:rStyle w:val="FootnoteReference"/>
          <w:szCs w:val="28"/>
        </w:rPr>
        <w:footnoteRef/>
      </w:r>
      <w:r w:rsidRPr="00565750">
        <w:rPr>
          <w:iCs/>
          <w:szCs w:val="28"/>
        </w:rPr>
        <w:t xml:space="preserve"> </w:t>
      </w:r>
      <w:r w:rsidRPr="00516853">
        <w:rPr>
          <w:i/>
          <w:iCs/>
          <w:szCs w:val="28"/>
        </w:rPr>
        <w:t>Das Evangelium nach Lukas übersetzt und er</w:t>
      </w:r>
      <w:r w:rsidRPr="00516853">
        <w:rPr>
          <w:i/>
          <w:iCs/>
          <w:szCs w:val="28"/>
        </w:rPr>
        <w:softHyphen/>
        <w:t>klärt</w:t>
      </w:r>
      <w:r w:rsidRPr="00516853">
        <w:rPr>
          <w:szCs w:val="28"/>
        </w:rPr>
        <w:t xml:space="preserve"> (RNT 3; Re</w:t>
      </w:r>
      <w:r w:rsidRPr="00516853">
        <w:rPr>
          <w:szCs w:val="28"/>
        </w:rPr>
        <w:softHyphen/>
        <w:t>gensburg: Friedrich Pustet</w:t>
      </w:r>
      <w:r w:rsidR="006F304D" w:rsidRPr="006F304D">
        <w:rPr>
          <w:szCs w:val="28"/>
        </w:rPr>
        <w:t xml:space="preserve">, </w:t>
      </w:r>
      <w:r w:rsidRPr="00516853">
        <w:rPr>
          <w:szCs w:val="28"/>
        </w:rPr>
        <w:t>1977) 223-24.</w:t>
      </w:r>
    </w:p>
  </w:footnote>
  <w:footnote w:id="492">
    <w:p w14:paraId="65290FBE" w14:textId="5CA06D79"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Thus the major division in the first para</w:t>
      </w:r>
      <w:r w:rsidRPr="00516853">
        <w:rPr>
          <w:szCs w:val="28"/>
        </w:rPr>
        <w:softHyphen/>
        <w:t>graph quoted above is according to theme</w:t>
      </w:r>
      <w:r w:rsidR="006F304D" w:rsidRPr="006F304D">
        <w:rPr>
          <w:szCs w:val="28"/>
        </w:rPr>
        <w:t xml:space="preserve">, </w:t>
      </w:r>
      <w:r w:rsidRPr="00516853">
        <w:rPr>
          <w:szCs w:val="28"/>
        </w:rPr>
        <w:t>not rhythm: 27-35 set forth the message of “love of enemies,” and 37-38 make the message concrete and practical. (This division</w:t>
      </w:r>
      <w:r w:rsidR="006F304D" w:rsidRPr="006F304D">
        <w:rPr>
          <w:szCs w:val="28"/>
        </w:rPr>
        <w:t xml:space="preserve">, </w:t>
      </w:r>
      <w:r w:rsidRPr="00516853">
        <w:rPr>
          <w:szCs w:val="28"/>
        </w:rPr>
        <w:t>in fact</w:t>
      </w:r>
      <w:r w:rsidR="006F304D" w:rsidRPr="006F304D">
        <w:rPr>
          <w:szCs w:val="28"/>
        </w:rPr>
        <w:t xml:space="preserve">, </w:t>
      </w:r>
      <w:r w:rsidRPr="00516853">
        <w:rPr>
          <w:szCs w:val="28"/>
        </w:rPr>
        <w:t>tends to conceal the rhythmi</w:t>
      </w:r>
      <w:r w:rsidRPr="00516853">
        <w:rPr>
          <w:szCs w:val="28"/>
        </w:rPr>
        <w:softHyphen/>
        <w:t>cal division into three stro</w:t>
      </w:r>
      <w:r w:rsidRPr="00516853">
        <w:rPr>
          <w:szCs w:val="28"/>
        </w:rPr>
        <w:softHyphen/>
        <w:t>phes</w:t>
      </w:r>
      <w:r w:rsidR="006F304D" w:rsidRPr="006F304D">
        <w:rPr>
          <w:szCs w:val="28"/>
        </w:rPr>
        <w:t xml:space="preserve">, </w:t>
      </w:r>
      <w:r w:rsidRPr="00516853">
        <w:rPr>
          <w:szCs w:val="28"/>
        </w:rPr>
        <w:t>since the first two strophes equal the first thematic divi</w:t>
      </w:r>
      <w:r w:rsidRPr="00516853">
        <w:rPr>
          <w:szCs w:val="28"/>
        </w:rPr>
        <w:softHyphen/>
        <w:t>sion</w:t>
      </w:r>
      <w:r w:rsidR="006F304D" w:rsidRPr="006F304D">
        <w:rPr>
          <w:szCs w:val="28"/>
        </w:rPr>
        <w:t xml:space="preserve">, </w:t>
      </w:r>
      <w:r w:rsidRPr="00516853">
        <w:rPr>
          <w:szCs w:val="28"/>
        </w:rPr>
        <w:t>while the third strophe equals the second thematic division.) An</w:t>
      </w:r>
      <w:r w:rsidRPr="00516853">
        <w:rPr>
          <w:szCs w:val="28"/>
        </w:rPr>
        <w:softHyphen/>
        <w:t>other example of Ernst’s thematic preoccupa</w:t>
      </w:r>
      <w:r w:rsidRPr="00516853">
        <w:rPr>
          <w:szCs w:val="28"/>
        </w:rPr>
        <w:softHyphen/>
        <w:t>tions are his treat</w:t>
      </w:r>
      <w:r w:rsidRPr="00516853">
        <w:rPr>
          <w:szCs w:val="28"/>
        </w:rPr>
        <w:softHyphen/>
        <w:t>ment of the concluding verses of the first two strophes</w:t>
      </w:r>
      <w:r w:rsidR="006F304D" w:rsidRPr="006F304D">
        <w:rPr>
          <w:szCs w:val="28"/>
        </w:rPr>
        <w:t xml:space="preserve">, </w:t>
      </w:r>
      <w:r w:rsidRPr="00516853">
        <w:rPr>
          <w:szCs w:val="28"/>
        </w:rPr>
        <w:t>31 and 35b; these are recognized as con</w:t>
      </w:r>
      <w:r w:rsidRPr="00516853">
        <w:rPr>
          <w:szCs w:val="28"/>
        </w:rPr>
        <w:softHyphen/>
        <w:t>clusions not on rhyth</w:t>
      </w:r>
      <w:r w:rsidRPr="00516853">
        <w:rPr>
          <w:szCs w:val="28"/>
        </w:rPr>
        <w:softHyphen/>
        <w:t>mical grounds</w:t>
      </w:r>
      <w:r w:rsidR="006F304D" w:rsidRPr="006F304D">
        <w:rPr>
          <w:szCs w:val="28"/>
        </w:rPr>
        <w:t xml:space="preserve">, </w:t>
      </w:r>
      <w:r w:rsidRPr="00516853">
        <w:rPr>
          <w:szCs w:val="28"/>
        </w:rPr>
        <w:t>but because they sum</w:t>
      </w:r>
      <w:r w:rsidRPr="00516853">
        <w:rPr>
          <w:szCs w:val="28"/>
        </w:rPr>
        <w:softHyphen/>
        <w:t>marize what precedes them (thus the division into strophes is itself based ultimately on con</w:t>
      </w:r>
      <w:r w:rsidRPr="00516853">
        <w:rPr>
          <w:szCs w:val="28"/>
        </w:rPr>
        <w:softHyphen/>
        <w:t>tent</w:t>
      </w:r>
      <w:r w:rsidR="006F304D" w:rsidRPr="006F304D">
        <w:rPr>
          <w:szCs w:val="28"/>
        </w:rPr>
        <w:t xml:space="preserve">, </w:t>
      </w:r>
      <w:r w:rsidRPr="00516853">
        <w:rPr>
          <w:szCs w:val="28"/>
        </w:rPr>
        <w:t>not form). The repeated re</w:t>
      </w:r>
      <w:r w:rsidRPr="00516853">
        <w:rPr>
          <w:szCs w:val="28"/>
        </w:rPr>
        <w:softHyphen/>
        <w:t>ferences in the quotation above to “theme,” “message,” and so on further show that Ernst’s interests are primarily them</w:t>
      </w:r>
      <w:r w:rsidRPr="00516853">
        <w:rPr>
          <w:szCs w:val="28"/>
        </w:rPr>
        <w:softHyphen/>
        <w:t>atic. Besides rhythmic and thematic considerations</w:t>
      </w:r>
      <w:r w:rsidR="006F304D" w:rsidRPr="006F304D">
        <w:rPr>
          <w:szCs w:val="28"/>
        </w:rPr>
        <w:t xml:space="preserve">, </w:t>
      </w:r>
      <w:r w:rsidRPr="00516853">
        <w:rPr>
          <w:szCs w:val="28"/>
        </w:rPr>
        <w:t>a third structural principle</w:t>
      </w:r>
      <w:r w:rsidR="006F304D" w:rsidRPr="006F304D">
        <w:rPr>
          <w:szCs w:val="28"/>
        </w:rPr>
        <w:t xml:space="preserve">, </w:t>
      </w:r>
      <w:r w:rsidRPr="00516853">
        <w:rPr>
          <w:szCs w:val="28"/>
        </w:rPr>
        <w:t>rhetorical con</w:t>
      </w:r>
      <w:r w:rsidRPr="00516853">
        <w:rPr>
          <w:szCs w:val="28"/>
        </w:rPr>
        <w:softHyphen/>
        <w:t>siderations</w:t>
      </w:r>
      <w:r w:rsidR="006F304D" w:rsidRPr="006F304D">
        <w:rPr>
          <w:szCs w:val="28"/>
        </w:rPr>
        <w:t xml:space="preserve">, </w:t>
      </w:r>
      <w:r w:rsidRPr="00516853">
        <w:rPr>
          <w:szCs w:val="28"/>
        </w:rPr>
        <w:t>is also mixed into Ernst’s analysis. Thus he notes that the three ex</w:t>
      </w:r>
      <w:r w:rsidRPr="00516853">
        <w:rPr>
          <w:szCs w:val="28"/>
        </w:rPr>
        <w:softHyphen/>
        <w:t>amples in 32-34 share “the same formal rhetori</w:t>
      </w:r>
      <w:r w:rsidRPr="00516853">
        <w:rPr>
          <w:szCs w:val="28"/>
        </w:rPr>
        <w:softHyphen/>
        <w:t>cal struc</w:t>
      </w:r>
      <w:r w:rsidRPr="00516853">
        <w:rPr>
          <w:szCs w:val="28"/>
        </w:rPr>
        <w:softHyphen/>
        <w:t>ture,” and he points out the rhetorical form of the four lines in 29-30 and the four in</w:t>
      </w:r>
      <w:r w:rsidRPr="00516853">
        <w:rPr>
          <w:szCs w:val="28"/>
        </w:rPr>
        <w:softHyphen/>
        <w:t>structions in 37-38</w:t>
      </w:r>
      <w:r w:rsidR="006F304D" w:rsidRPr="006F304D">
        <w:rPr>
          <w:szCs w:val="28"/>
        </w:rPr>
        <w:t xml:space="preserve">, </w:t>
      </w:r>
      <w:r w:rsidRPr="00516853">
        <w:rPr>
          <w:szCs w:val="28"/>
        </w:rPr>
        <w:t>saying that the former are “parti</w:t>
      </w:r>
      <w:r w:rsidRPr="00516853">
        <w:rPr>
          <w:szCs w:val="28"/>
        </w:rPr>
        <w:softHyphen/>
        <w:t>cipial in form” and the latter are “nega</w:t>
      </w:r>
      <w:r w:rsidRPr="00516853">
        <w:rPr>
          <w:szCs w:val="28"/>
        </w:rPr>
        <w:softHyphen/>
        <w:t>tive pro</w:t>
      </w:r>
      <w:r w:rsidRPr="00516853">
        <w:rPr>
          <w:szCs w:val="28"/>
        </w:rPr>
        <w:softHyphen/>
        <w:t>hibi</w:t>
      </w:r>
      <w:r w:rsidRPr="00516853">
        <w:rPr>
          <w:szCs w:val="28"/>
        </w:rPr>
        <w:softHyphen/>
        <w:t>tions (a + b) and posi</w:t>
      </w:r>
      <w:r w:rsidRPr="00516853">
        <w:rPr>
          <w:szCs w:val="28"/>
        </w:rPr>
        <w:softHyphen/>
        <w:t>tive ex</w:t>
      </w:r>
      <w:r w:rsidRPr="00516853">
        <w:rPr>
          <w:szCs w:val="28"/>
        </w:rPr>
        <w:softHyphen/>
        <w:t>horta</w:t>
      </w:r>
      <w:r w:rsidRPr="00516853">
        <w:rPr>
          <w:szCs w:val="28"/>
        </w:rPr>
        <w:softHyphen/>
        <w:t xml:space="preserve">tions (c + d) </w:t>
      </w:r>
      <w:r w:rsidRPr="005F51B1">
        <w:rPr>
          <w:szCs w:val="28"/>
        </w:rPr>
        <w:t>. . .</w:t>
      </w:r>
      <w:r w:rsidRPr="00516853">
        <w:rPr>
          <w:szCs w:val="28"/>
        </w:rPr>
        <w:t>”</w:t>
      </w:r>
    </w:p>
  </w:footnote>
  <w:footnote w:id="493">
    <w:p w14:paraId="734DE39B" w14:textId="4AA0C7B7"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Topel</w:t>
      </w:r>
      <w:r w:rsidR="006F304D" w:rsidRPr="006F304D">
        <w:rPr>
          <w:szCs w:val="28"/>
        </w:rPr>
        <w:t xml:space="preserve">, </w:t>
      </w:r>
      <w:r w:rsidRPr="00516853">
        <w:rPr>
          <w:szCs w:val="28"/>
        </w:rPr>
        <w:t>“Christian Ethics,” 190. Actually</w:t>
      </w:r>
      <w:r w:rsidR="006F304D" w:rsidRPr="006F304D">
        <w:rPr>
          <w:szCs w:val="28"/>
        </w:rPr>
        <w:t xml:space="preserve">, </w:t>
      </w:r>
      <w:r w:rsidRPr="00516853">
        <w:rPr>
          <w:szCs w:val="28"/>
        </w:rPr>
        <w:t>Ernst’s third strophe extends from 36 to 38 (“the third strophe (36-38)”).</w:t>
      </w:r>
    </w:p>
  </w:footnote>
  <w:footnote w:id="494">
    <w:p w14:paraId="0E21AD9E" w14:textId="76447C05"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Surprisingly</w:t>
      </w:r>
      <w:r w:rsidR="006F304D" w:rsidRPr="006F304D">
        <w:rPr>
          <w:szCs w:val="28"/>
        </w:rPr>
        <w:t xml:space="preserve">, </w:t>
      </w:r>
      <w:r w:rsidRPr="00516853">
        <w:rPr>
          <w:szCs w:val="28"/>
        </w:rPr>
        <w:t>Topel himself</w:t>
      </w:r>
      <w:r w:rsidR="006F304D" w:rsidRPr="006F304D">
        <w:rPr>
          <w:szCs w:val="28"/>
        </w:rPr>
        <w:t xml:space="preserve">, </w:t>
      </w:r>
      <w:r w:rsidRPr="00516853">
        <w:rPr>
          <w:szCs w:val="28"/>
        </w:rPr>
        <w:t>in his discussion of Ernst’s schema follow</w:t>
      </w:r>
      <w:r w:rsidRPr="00516853">
        <w:rPr>
          <w:szCs w:val="28"/>
        </w:rPr>
        <w:softHyphen/>
        <w:t>ing his des</w:t>
      </w:r>
      <w:r w:rsidRPr="00516853">
        <w:rPr>
          <w:szCs w:val="28"/>
        </w:rPr>
        <w:softHyphen/>
        <w:t>cription of it (“Christian Ethics,” 190-91)</w:t>
      </w:r>
      <w:r w:rsidR="006F304D" w:rsidRPr="006F304D">
        <w:rPr>
          <w:szCs w:val="28"/>
        </w:rPr>
        <w:t xml:space="preserve">, </w:t>
      </w:r>
      <w:r w:rsidRPr="00516853">
        <w:rPr>
          <w:szCs w:val="28"/>
        </w:rPr>
        <w:t>criticizes Ernst on grounds similar to our own: he too sug</w:t>
      </w:r>
      <w:r w:rsidRPr="00516853">
        <w:rPr>
          <w:szCs w:val="28"/>
        </w:rPr>
        <w:softHyphen/>
        <w:t>gests that Ernst’s analysis is more thematic and rhetorical than rhythmi</w:t>
      </w:r>
      <w:r w:rsidRPr="00516853">
        <w:rPr>
          <w:szCs w:val="28"/>
        </w:rPr>
        <w:softHyphen/>
        <w:t>cal.</w:t>
      </w:r>
    </w:p>
    <w:p w14:paraId="3D0E4710" w14:textId="77777777" w:rsidR="0018433B" w:rsidRPr="00516853" w:rsidRDefault="0018433B" w:rsidP="0018433B">
      <w:pPr>
        <w:rPr>
          <w:szCs w:val="28"/>
        </w:rPr>
      </w:pPr>
    </w:p>
    <w:p w14:paraId="67C90149" w14:textId="6C31534E" w:rsidR="0018433B" w:rsidRPr="00516853" w:rsidRDefault="0018433B" w:rsidP="0018433B">
      <w:pPr>
        <w:ind w:left="720" w:right="720"/>
        <w:rPr>
          <w:szCs w:val="28"/>
        </w:rPr>
      </w:pPr>
      <w:r w:rsidRPr="00516853">
        <w:rPr>
          <w:szCs w:val="28"/>
        </w:rPr>
        <w:t>Upon closer examination</w:t>
      </w:r>
      <w:r w:rsidR="006F304D" w:rsidRPr="006F304D">
        <w:rPr>
          <w:szCs w:val="28"/>
        </w:rPr>
        <w:t xml:space="preserve">, </w:t>
      </w:r>
      <w:r w:rsidRPr="00516853">
        <w:rPr>
          <w:szCs w:val="28"/>
        </w:rPr>
        <w:t>however</w:t>
      </w:r>
      <w:r w:rsidR="006F304D" w:rsidRPr="006F304D">
        <w:rPr>
          <w:szCs w:val="28"/>
        </w:rPr>
        <w:t xml:space="preserve">, </w:t>
      </w:r>
      <w:r w:rsidRPr="00516853">
        <w:rPr>
          <w:szCs w:val="28"/>
        </w:rPr>
        <w:t>the expansions he [Ernst] admits into the last strophe really destroy the pattern he has created. Ernst’s problem is that he wants v. 36 to go with v. 37f to form a unit on judging</w:t>
      </w:r>
      <w:r w:rsidR="006F304D" w:rsidRPr="006F304D">
        <w:rPr>
          <w:szCs w:val="28"/>
        </w:rPr>
        <w:t xml:space="preserve">, </w:t>
      </w:r>
      <w:r w:rsidRPr="00516853">
        <w:rPr>
          <w:szCs w:val="28"/>
        </w:rPr>
        <w:t>and that theological perception has distorted his lit</w:t>
      </w:r>
      <w:r w:rsidRPr="00516853">
        <w:rPr>
          <w:szCs w:val="28"/>
        </w:rPr>
        <w:softHyphen/>
        <w:t>erary ar</w:t>
      </w:r>
      <w:r w:rsidRPr="00516853">
        <w:rPr>
          <w:szCs w:val="28"/>
        </w:rPr>
        <w:softHyphen/>
        <w:t>rangement.</w:t>
      </w:r>
    </w:p>
    <w:p w14:paraId="25432A82" w14:textId="77777777" w:rsidR="0018433B" w:rsidRPr="00516853" w:rsidRDefault="0018433B" w:rsidP="0018433B">
      <w:pPr>
        <w:rPr>
          <w:szCs w:val="28"/>
        </w:rPr>
      </w:pPr>
    </w:p>
    <w:p w14:paraId="1CC280AA" w14:textId="63C82281" w:rsidR="0018433B" w:rsidRPr="00516853" w:rsidRDefault="0018433B" w:rsidP="0018433B">
      <w:pPr>
        <w:rPr>
          <w:szCs w:val="28"/>
        </w:rPr>
      </w:pPr>
      <w:r w:rsidRPr="00516853">
        <w:rPr>
          <w:szCs w:val="28"/>
        </w:rPr>
        <w:t>By “theological,” Topel apparently means what we have meant by “them</w:t>
      </w:r>
      <w:r w:rsidRPr="00516853">
        <w:rPr>
          <w:szCs w:val="28"/>
        </w:rPr>
        <w:softHyphen/>
        <w:t>atic” (“theologi</w:t>
      </w:r>
      <w:r w:rsidRPr="00516853">
        <w:rPr>
          <w:szCs w:val="28"/>
        </w:rPr>
        <w:softHyphen/>
        <w:t>cal” is simply narrower</w:t>
      </w:r>
      <w:r w:rsidR="006F304D" w:rsidRPr="006F304D">
        <w:rPr>
          <w:szCs w:val="28"/>
        </w:rPr>
        <w:t xml:space="preserve">, </w:t>
      </w:r>
      <w:r w:rsidRPr="00516853">
        <w:rPr>
          <w:szCs w:val="28"/>
        </w:rPr>
        <w:t>specifying what kind of theme); and by “literary,” he seems to mean what we have meant by “rhyth</w:t>
      </w:r>
      <w:r w:rsidRPr="00516853">
        <w:rPr>
          <w:szCs w:val="28"/>
        </w:rPr>
        <w:softHyphen/>
        <w:t>mical.”</w:t>
      </w:r>
    </w:p>
  </w:footnote>
  <w:footnote w:id="495">
    <w:p w14:paraId="6CCEBF83" w14:textId="3978130C" w:rsidR="0018433B" w:rsidRPr="00516853" w:rsidRDefault="0018433B" w:rsidP="0018433B">
      <w:pPr>
        <w:rPr>
          <w:szCs w:val="28"/>
        </w:rPr>
      </w:pPr>
      <w:r w:rsidRPr="00516853">
        <w:rPr>
          <w:rStyle w:val="FootnoteReference"/>
          <w:szCs w:val="28"/>
        </w:rPr>
        <w:footnoteRef/>
      </w:r>
      <w:r>
        <w:rPr>
          <w:szCs w:val="28"/>
        </w:rPr>
        <w:t xml:space="preserve"> </w:t>
      </w:r>
      <w:r w:rsidRPr="00516853">
        <w:rPr>
          <w:szCs w:val="28"/>
        </w:rPr>
        <w:t>Ibid.</w:t>
      </w:r>
      <w:r w:rsidR="006F304D" w:rsidRPr="006F304D">
        <w:rPr>
          <w:szCs w:val="28"/>
        </w:rPr>
        <w:t xml:space="preserve">, </w:t>
      </w:r>
      <w:r w:rsidRPr="00516853">
        <w:rPr>
          <w:szCs w:val="28"/>
        </w:rPr>
        <w:t>191.</w:t>
      </w:r>
    </w:p>
  </w:footnote>
  <w:footnote w:id="496">
    <w:p w14:paraId="529608EA" w14:textId="0D479B7D" w:rsidR="0018433B" w:rsidRPr="004C516D" w:rsidRDefault="0018433B" w:rsidP="00573F48">
      <w:pPr>
        <w:pStyle w:val="FootnoteText"/>
      </w:pPr>
      <w:r>
        <w:rPr>
          <w:rStyle w:val="FootnoteReference"/>
        </w:rPr>
        <w:footnoteRef/>
      </w:r>
      <w:r>
        <w:t xml:space="preserve"> </w:t>
      </w:r>
      <w:r w:rsidRPr="00B51852">
        <w:t>Marshall</w:t>
      </w:r>
      <w:r w:rsidR="006F304D" w:rsidRPr="006F304D">
        <w:t xml:space="preserve">, </w:t>
      </w:r>
      <w:r w:rsidRPr="00B51852">
        <w:rPr>
          <w:i/>
          <w:iCs/>
        </w:rPr>
        <w:t>Gospel of Luke</w:t>
      </w:r>
      <w:r w:rsidRPr="004C516D">
        <w:rPr>
          <w:iCs/>
        </w:rPr>
        <w:t xml:space="preserve"> </w:t>
      </w:r>
      <w:r w:rsidRPr="00B51852">
        <w:t>243.</w:t>
      </w:r>
    </w:p>
  </w:footnote>
  <w:footnote w:id="497">
    <w:p w14:paraId="60E0CA74" w14:textId="42DA4D1C" w:rsidR="0018433B" w:rsidRPr="00B51852" w:rsidRDefault="0018433B" w:rsidP="0018433B">
      <w:pPr>
        <w:pStyle w:val="Style"/>
        <w:widowControl/>
        <w:jc w:val="both"/>
        <w:textAlignment w:val="baseline"/>
        <w:rPr>
          <w:szCs w:val="25"/>
        </w:rPr>
      </w:pPr>
      <w:r>
        <w:rPr>
          <w:rStyle w:val="FootnoteReference"/>
        </w:rPr>
        <w:footnoteRef/>
      </w:r>
      <w:r>
        <w:t xml:space="preserve"> </w:t>
      </w:r>
      <w:r w:rsidRPr="00B51852">
        <w:rPr>
          <w:szCs w:val="25"/>
        </w:rPr>
        <w:t>The commentaries referred to in this chapter are listed in the bibliography</w:t>
      </w:r>
      <w:r w:rsidR="006F304D" w:rsidRPr="006F304D">
        <w:rPr>
          <w:szCs w:val="25"/>
        </w:rPr>
        <w:t xml:space="preserve">, </w:t>
      </w:r>
      <w:r w:rsidRPr="00B51852">
        <w:rPr>
          <w:szCs w:val="25"/>
        </w:rPr>
        <w:t>in the section</w:t>
      </w:r>
      <w:r w:rsidR="006F304D" w:rsidRPr="006F304D">
        <w:rPr>
          <w:szCs w:val="25"/>
        </w:rPr>
        <w:t xml:space="preserve">, </w:t>
      </w:r>
      <w:r w:rsidRPr="00B51852">
        <w:rPr>
          <w:szCs w:val="25"/>
        </w:rPr>
        <w:t>“Commentaries on Luke.”</w:t>
      </w:r>
    </w:p>
    <w:p w14:paraId="2AC3AEFD" w14:textId="0551610B" w:rsidR="0018433B" w:rsidRDefault="0018433B" w:rsidP="00573F48">
      <w:pPr>
        <w:pStyle w:val="FootnoteText"/>
      </w:pPr>
      <w:r w:rsidRPr="00B51852">
        <w:t>None of the commentators mentioned there has presented the structure of the sermon on the plain in outline form. Many</w:t>
      </w:r>
      <w:r w:rsidR="006F304D" w:rsidRPr="006F304D">
        <w:t xml:space="preserve">, </w:t>
      </w:r>
      <w:r w:rsidRPr="00B51852">
        <w:t>in fact</w:t>
      </w:r>
      <w:r w:rsidR="006F304D" w:rsidRPr="006F304D">
        <w:t xml:space="preserve">, </w:t>
      </w:r>
      <w:r w:rsidRPr="00B51852">
        <w:t>have not directly addressed the question of structure</w:t>
      </w:r>
      <w:r w:rsidR="006F304D" w:rsidRPr="006F304D">
        <w:t xml:space="preserve">, </w:t>
      </w:r>
      <w:r w:rsidRPr="00B51852">
        <w:t>and their divisions of the text and understandings of the relations among divisions must be gleaned from incidental comments or even from the verse-number headings which begin the paragraphs of their commentaries. Such verse-number headings may or may not be followed by section titles; where they are not</w:t>
      </w:r>
      <w:r w:rsidR="006F304D" w:rsidRPr="006F304D">
        <w:t xml:space="preserve">, </w:t>
      </w:r>
      <w:r w:rsidRPr="00B51852">
        <w:t xml:space="preserve">I have chosen a phrase from the commentary itself </w:t>
      </w:r>
      <w:r w:rsidRPr="004C516D">
        <w:t>(</w:t>
      </w:r>
      <w:r w:rsidRPr="00B51852">
        <w:t>or</w:t>
      </w:r>
      <w:r w:rsidR="006F304D" w:rsidRPr="006F304D">
        <w:t xml:space="preserve">, </w:t>
      </w:r>
      <w:r w:rsidRPr="00B51852">
        <w:t>in one or two cases</w:t>
      </w:r>
      <w:r w:rsidR="006F304D" w:rsidRPr="006F304D">
        <w:t xml:space="preserve">, </w:t>
      </w:r>
      <w:r w:rsidRPr="00B51852">
        <w:t>a phrase of my own devising) which seem best to represent the author’s reasons for dividing the text as he or she has. Reducing all of the commentaries’ statements on structure to outline form is necessary in order to present them briefly and in a form in which they are easily compared; I can only hope that in so doing I have not misrepresented the intention of any commentator.</w:t>
      </w:r>
    </w:p>
  </w:footnote>
  <w:footnote w:id="498">
    <w:p w14:paraId="301CFA80" w14:textId="77777777" w:rsidR="0018433B" w:rsidRDefault="0018433B" w:rsidP="00573F48">
      <w:pPr>
        <w:pStyle w:val="FootnoteText"/>
      </w:pPr>
      <w:r>
        <w:rPr>
          <w:rStyle w:val="FootnoteReference"/>
        </w:rPr>
        <w:footnoteRef/>
      </w:r>
      <w:r>
        <w:t xml:space="preserve"> See the section “</w:t>
      </w:r>
      <w:r>
        <w:rPr>
          <w:szCs w:val="25"/>
        </w:rPr>
        <w:t>Logical Principles”</w:t>
      </w:r>
      <w:r>
        <w:t xml:space="preserve"> in chapter 5.</w:t>
      </w:r>
    </w:p>
  </w:footnote>
  <w:footnote w:id="499">
    <w:p w14:paraId="62C2CB20" w14:textId="337D4110" w:rsidR="0018433B" w:rsidRDefault="0018433B" w:rsidP="00573F48">
      <w:pPr>
        <w:pStyle w:val="FootnoteText"/>
      </w:pPr>
      <w:r>
        <w:rPr>
          <w:rStyle w:val="FootnoteReference"/>
        </w:rPr>
        <w:footnoteRef/>
      </w:r>
      <w:r>
        <w:t xml:space="preserve"> </w:t>
      </w:r>
      <w:r w:rsidRPr="00B51852">
        <w:t>For the argument that Jesus addresses his disciples throughout the di</w:t>
      </w:r>
      <w:r>
        <w:t>scourse</w:t>
      </w:r>
      <w:r w:rsidR="006F304D" w:rsidRPr="006F304D">
        <w:t xml:space="preserve">, </w:t>
      </w:r>
      <w:r>
        <w:t>see Appendix 2</w:t>
      </w:r>
      <w:r w:rsidRPr="00B51852">
        <w:t>.</w:t>
      </w:r>
    </w:p>
  </w:footnote>
  <w:footnote w:id="500">
    <w:p w14:paraId="65F78787" w14:textId="783ACA9B" w:rsidR="0018433B" w:rsidRDefault="0018433B" w:rsidP="00573F48">
      <w:pPr>
        <w:pStyle w:val="FootnoteText"/>
      </w:pPr>
      <w:r>
        <w:rPr>
          <w:rStyle w:val="FootnoteReference"/>
        </w:rPr>
        <w:footnoteRef/>
      </w:r>
      <w:r>
        <w:t xml:space="preserve"> </w:t>
      </w:r>
      <w:r w:rsidRPr="00B51852">
        <w:t xml:space="preserve">Thus </w:t>
      </w:r>
      <w:r w:rsidR="00B40CBB" w:rsidRPr="00B40CBB">
        <w:rPr>
          <w:iCs/>
        </w:rPr>
        <w:t>A.</w:t>
      </w:r>
      <w:r w:rsidR="00457786" w:rsidRPr="00457786">
        <w:rPr>
          <w:iCs/>
        </w:rPr>
        <w:t>J.B.</w:t>
      </w:r>
      <w:r w:rsidRPr="00B51852">
        <w:t xml:space="preserve"> Higgins</w:t>
      </w:r>
      <w:r w:rsidR="006F304D" w:rsidRPr="006F304D">
        <w:t xml:space="preserve">, </w:t>
      </w:r>
      <w:r w:rsidRPr="00B51852">
        <w:rPr>
          <w:i/>
          <w:iCs/>
        </w:rPr>
        <w:t>Jesus and the Son of Man</w:t>
      </w:r>
      <w:r w:rsidRPr="00B51852">
        <w:rPr>
          <w:iCs/>
        </w:rPr>
        <w:t xml:space="preserve"> (</w:t>
      </w:r>
      <w:r w:rsidRPr="00B51852">
        <w:t>Philadelphia: Fortress</w:t>
      </w:r>
      <w:r w:rsidR="006F304D" w:rsidRPr="006F304D">
        <w:t xml:space="preserve">, </w:t>
      </w:r>
      <w:r w:rsidRPr="00B51852">
        <w:t>1964)</w:t>
      </w:r>
      <w:r>
        <w:t>.</w:t>
      </w:r>
    </w:p>
  </w:footnote>
  <w:footnote w:id="501">
    <w:p w14:paraId="64173E60" w14:textId="61DC57E6" w:rsidR="0018433B" w:rsidRDefault="0018433B" w:rsidP="00573F48">
      <w:pPr>
        <w:pStyle w:val="FootnoteText"/>
      </w:pPr>
      <w:r>
        <w:rPr>
          <w:rStyle w:val="FootnoteReference"/>
        </w:rPr>
        <w:footnoteRef/>
      </w:r>
      <w:r>
        <w:t xml:space="preserve"> </w:t>
      </w:r>
      <w:r w:rsidRPr="00B51852">
        <w:rPr>
          <w:szCs w:val="25"/>
        </w:rPr>
        <w:t>Edwards</w:t>
      </w:r>
      <w:r w:rsidR="006F304D" w:rsidRPr="006F304D">
        <w:rPr>
          <w:szCs w:val="25"/>
        </w:rPr>
        <w:t xml:space="preserve">, </w:t>
      </w:r>
      <w:r w:rsidRPr="00B51852">
        <w:rPr>
          <w:i/>
        </w:rPr>
        <w:t>Story of Jesus</w:t>
      </w:r>
      <w:r w:rsidRPr="002E0FF6">
        <w:t xml:space="preserve"> </w:t>
      </w:r>
      <w:r w:rsidRPr="00B51852">
        <w:rPr>
          <w:szCs w:val="25"/>
        </w:rPr>
        <w:t>41.</w:t>
      </w:r>
    </w:p>
  </w:footnote>
  <w:footnote w:id="502">
    <w:p w14:paraId="6AC0DE23" w14:textId="7048056D" w:rsidR="0018433B" w:rsidRDefault="0018433B" w:rsidP="00573F48">
      <w:pPr>
        <w:pStyle w:val="FootnoteText"/>
      </w:pPr>
      <w:r>
        <w:rPr>
          <w:rStyle w:val="FootnoteReference"/>
        </w:rPr>
        <w:footnoteRef/>
      </w:r>
      <w:r>
        <w:t xml:space="preserve"> </w:t>
      </w:r>
      <w:r>
        <w:rPr>
          <w:szCs w:val="25"/>
        </w:rPr>
        <w:t>Stö</w:t>
      </w:r>
      <w:r w:rsidRPr="00B51852">
        <w:rPr>
          <w:szCs w:val="25"/>
        </w:rPr>
        <w:t>ger</w:t>
      </w:r>
      <w:r w:rsidR="006F304D" w:rsidRPr="006F304D">
        <w:rPr>
          <w:szCs w:val="25"/>
        </w:rPr>
        <w:t xml:space="preserve">, </w:t>
      </w:r>
      <w:r w:rsidRPr="00B51852">
        <w:t>Gospel According to St. Luke</w:t>
      </w:r>
      <w:r w:rsidRPr="002E0FF6">
        <w:t xml:space="preserve"> </w:t>
      </w:r>
      <w:r w:rsidRPr="00B51852">
        <w:rPr>
          <w:szCs w:val="25"/>
        </w:rPr>
        <w:t>117.</w:t>
      </w:r>
    </w:p>
  </w:footnote>
  <w:footnote w:id="503">
    <w:p w14:paraId="0416C8D3" w14:textId="5ACBC4F7" w:rsidR="0018433B" w:rsidRDefault="0018433B" w:rsidP="00573F48">
      <w:pPr>
        <w:pStyle w:val="FootnoteText"/>
      </w:pPr>
      <w:r>
        <w:rPr>
          <w:rStyle w:val="FootnoteReference"/>
        </w:rPr>
        <w:footnoteRef/>
      </w:r>
      <w:r>
        <w:t xml:space="preserve"> </w:t>
      </w:r>
      <w:r w:rsidRPr="00B51852">
        <w:t>Franklin</w:t>
      </w:r>
      <w:r w:rsidR="006F304D" w:rsidRPr="006F304D">
        <w:t xml:space="preserve">, </w:t>
      </w:r>
      <w:r w:rsidRPr="00B51852">
        <w:rPr>
          <w:i/>
          <w:iCs/>
        </w:rPr>
        <w:t>Christ the Lord</w:t>
      </w:r>
      <w:r w:rsidRPr="002E0FF6">
        <w:rPr>
          <w:iCs/>
        </w:rPr>
        <w:t xml:space="preserve"> </w:t>
      </w:r>
      <w:r>
        <w:t xml:space="preserve">168: “the Sermon on the Plain </w:t>
      </w:r>
      <w:r w:rsidRPr="002E0FF6">
        <w:t>. . .</w:t>
      </w:r>
      <w:r>
        <w:t xml:space="preserve"> </w:t>
      </w:r>
      <w:r w:rsidRPr="00B51852">
        <w:t xml:space="preserve">depends upon them </w:t>
      </w:r>
      <w:r w:rsidRPr="004C516D">
        <w:t>[</w:t>
      </w:r>
      <w:r w:rsidRPr="00B51852">
        <w:t xml:space="preserve">the beatitudes and woes] </w:t>
      </w:r>
      <w:r w:rsidRPr="002E0FF6">
        <w:t>. . .</w:t>
      </w:r>
      <w:r>
        <w:t>”</w:t>
      </w:r>
    </w:p>
  </w:footnote>
  <w:footnote w:id="504">
    <w:p w14:paraId="7922ED89" w14:textId="77777777" w:rsidR="0018433B" w:rsidRDefault="0018433B" w:rsidP="00573F48">
      <w:pPr>
        <w:pStyle w:val="FootnoteText"/>
      </w:pPr>
      <w:r>
        <w:rPr>
          <w:rStyle w:val="FootnoteReference"/>
        </w:rPr>
        <w:footnoteRef/>
      </w:r>
      <w:r>
        <w:t xml:space="preserve"> </w:t>
      </w:r>
      <w:r w:rsidRPr="00B51852">
        <w:t>This contrast between 20a and 27a has important ramifications for the fixing of the major sections of the sermon.</w:t>
      </w:r>
      <w:r>
        <w:t xml:space="preserve"> See above.</w:t>
      </w:r>
    </w:p>
  </w:footnote>
  <w:footnote w:id="505">
    <w:p w14:paraId="4BFFAB63" w14:textId="7F7A9DE2" w:rsidR="0018433B" w:rsidRDefault="0018433B" w:rsidP="00573F48">
      <w:pPr>
        <w:pStyle w:val="FootnoteText"/>
      </w:pPr>
      <w:r>
        <w:rPr>
          <w:rStyle w:val="FootnoteReference"/>
        </w:rPr>
        <w:footnoteRef/>
      </w:r>
      <w:r>
        <w:t xml:space="preserve"> </w:t>
      </w:r>
      <w:r w:rsidRPr="00B51852">
        <w:t>Thus Geldenhuys</w:t>
      </w:r>
      <w:r w:rsidR="006F304D" w:rsidRPr="006F304D">
        <w:t xml:space="preserve">, </w:t>
      </w:r>
      <w:r w:rsidRPr="00B51852">
        <w:rPr>
          <w:i/>
          <w:iCs/>
        </w:rPr>
        <w:t>Commentary on the Gospel of Luke</w:t>
      </w:r>
      <w:r w:rsidRPr="00CF4CFD">
        <w:rPr>
          <w:iCs/>
        </w:rPr>
        <w:t xml:space="preserve"> </w:t>
      </w:r>
      <w:r w:rsidRPr="00B51852">
        <w:t xml:space="preserve">211: 27c-28b are </w:t>
      </w:r>
      <w:r>
        <w:t>“</w:t>
      </w:r>
      <w:r w:rsidRPr="00B51852">
        <w:t>prac</w:t>
      </w:r>
      <w:r w:rsidRPr="00B51852">
        <w:softHyphen/>
        <w:t xml:space="preserve">tical examples” of </w:t>
      </w:r>
      <w:r>
        <w:t>“</w:t>
      </w:r>
      <w:r w:rsidRPr="00B51852">
        <w:t>love your enemies” (27b). Shuyler Brown</w:t>
      </w:r>
      <w:r w:rsidR="006F304D" w:rsidRPr="006F304D">
        <w:t xml:space="preserve">, </w:t>
      </w:r>
      <w:r w:rsidRPr="00B51852">
        <w:rPr>
          <w:i/>
          <w:iCs/>
        </w:rPr>
        <w:t>Apostasy and Persev</w:t>
      </w:r>
      <w:r w:rsidRPr="00B51852">
        <w:rPr>
          <w:i/>
          <w:iCs/>
        </w:rPr>
        <w:softHyphen/>
        <w:t>erance in the Gospel of St</w:t>
      </w:r>
      <w:r w:rsidRPr="00B51852">
        <w:rPr>
          <w:iCs/>
        </w:rPr>
        <w:t xml:space="preserve">. </w:t>
      </w:r>
      <w:r w:rsidRPr="00B51852">
        <w:rPr>
          <w:i/>
          <w:iCs/>
        </w:rPr>
        <w:t>Luke</w:t>
      </w:r>
      <w:r w:rsidRPr="00CF4CFD">
        <w:t xml:space="preserve"> </w:t>
      </w:r>
      <w:r>
        <w:t>120: “Love your enemies</w:t>
      </w:r>
      <w:r w:rsidRPr="00B51852">
        <w:t xml:space="preserve"> </w:t>
      </w:r>
      <w:r>
        <w:t>[</w:t>
      </w:r>
      <w:r w:rsidRPr="00B51852">
        <w:t>in 27b</w:t>
      </w:r>
      <w:r>
        <w:t>]</w:t>
      </w:r>
      <w:r w:rsidRPr="00B51852">
        <w:t xml:space="preserve"> is immediately followed by a clarification not found in Matthew: ‘Do good to those who hate you’ (v.27) </w:t>
      </w:r>
      <w:r>
        <w:t>. . .”</w:t>
      </w:r>
      <w:r w:rsidRPr="00B51852">
        <w:t xml:space="preserve"> If 27c</w:t>
      </w:r>
      <w:r w:rsidR="006F304D" w:rsidRPr="006F304D">
        <w:t xml:space="preserve">, </w:t>
      </w:r>
      <w:r w:rsidRPr="00B51852">
        <w:t>28a</w:t>
      </w:r>
      <w:r w:rsidR="006F304D" w:rsidRPr="006F304D">
        <w:t xml:space="preserve">, </w:t>
      </w:r>
      <w:r w:rsidRPr="00B51852">
        <w:t>and 28b are clarifications of 27b (in the sense that each refers to an action which is a subset within the set of actions</w:t>
      </w:r>
      <w:r w:rsidR="006F304D" w:rsidRPr="006F304D">
        <w:t xml:space="preserve">, </w:t>
      </w:r>
      <w:r>
        <w:t>“</w:t>
      </w:r>
      <w:r w:rsidRPr="00B51852">
        <w:t>loving one’s ene</w:t>
      </w:r>
      <w:r w:rsidRPr="00B51852">
        <w:softHyphen/>
        <w:t>mies”)</w:t>
      </w:r>
      <w:r w:rsidR="006F304D" w:rsidRPr="006F304D">
        <w:t xml:space="preserve">, </w:t>
      </w:r>
      <w:r w:rsidRPr="00B51852">
        <w:t>then it is incorrect to say that the four verbs construct a climax (thus Montefiore</w:t>
      </w:r>
      <w:r w:rsidR="006F304D" w:rsidRPr="006F304D">
        <w:t xml:space="preserve">, </w:t>
      </w:r>
      <w:r w:rsidRPr="00B51852">
        <w:t>Easton</w:t>
      </w:r>
      <w:r w:rsidR="006F304D" w:rsidRPr="006F304D">
        <w:t xml:space="preserve">, </w:t>
      </w:r>
      <w:r w:rsidRPr="00B51852">
        <w:t>Plummer</w:t>
      </w:r>
      <w:r w:rsidR="006F304D" w:rsidRPr="006F304D">
        <w:t xml:space="preserve">, </w:t>
      </w:r>
      <w:r w:rsidRPr="00B51852">
        <w:t>Rigaux).</w:t>
      </w:r>
    </w:p>
  </w:footnote>
  <w:footnote w:id="506">
    <w:p w14:paraId="2A5ED04E" w14:textId="3091E976" w:rsidR="0018433B" w:rsidRDefault="0018433B" w:rsidP="00573F48">
      <w:pPr>
        <w:pStyle w:val="FootnoteText"/>
      </w:pPr>
      <w:r>
        <w:rPr>
          <w:rStyle w:val="FootnoteReference"/>
        </w:rPr>
        <w:footnoteRef/>
      </w:r>
      <w:r>
        <w:t xml:space="preserve"> Technically </w:t>
      </w:r>
      <w:r w:rsidRPr="00630BEC">
        <w:t>ἐχθρο</w:t>
      </w:r>
      <w:r>
        <w:t>ύ</w:t>
      </w:r>
      <w:r w:rsidRPr="00630BEC">
        <w:t>ς</w:t>
      </w:r>
      <w:r>
        <w:t xml:space="preserve"> is an adjective</w:t>
      </w:r>
      <w:r w:rsidR="006F304D" w:rsidRPr="006F304D">
        <w:t xml:space="preserve">, </w:t>
      </w:r>
      <w:r>
        <w:t>but it in this instance it functions as a noun.</w:t>
      </w:r>
    </w:p>
  </w:footnote>
  <w:footnote w:id="507">
    <w:p w14:paraId="126A03ED" w14:textId="7CCA45E3" w:rsidR="0018433B" w:rsidRDefault="0018433B" w:rsidP="00573F48">
      <w:pPr>
        <w:pStyle w:val="FootnoteText"/>
      </w:pPr>
      <w:r>
        <w:rPr>
          <w:rStyle w:val="FootnoteReference"/>
        </w:rPr>
        <w:footnoteRef/>
      </w:r>
      <w:r>
        <w:t xml:space="preserve"> </w:t>
      </w:r>
      <w:r w:rsidRPr="00653D6A">
        <w:t>Danker</w:t>
      </w:r>
      <w:r w:rsidR="006F304D" w:rsidRPr="006F304D">
        <w:t xml:space="preserve">, </w:t>
      </w:r>
      <w:r w:rsidRPr="00653D6A">
        <w:t>Frederick William</w:t>
      </w:r>
      <w:r w:rsidR="006F304D" w:rsidRPr="006F304D">
        <w:t xml:space="preserve">, </w:t>
      </w:r>
      <w:r>
        <w:t>et al.</w:t>
      </w:r>
      <w:r w:rsidR="00DC3006" w:rsidRPr="00DC3006">
        <w:rPr>
          <w:iCs/>
        </w:rPr>
        <w:t xml:space="preserve">. Eds. </w:t>
      </w:r>
      <w:r w:rsidRPr="00CD2E8A">
        <w:rPr>
          <w:i/>
        </w:rPr>
        <w:t>A Greek-English Lexicon of the New Testament and Other Early Christian Literature</w:t>
      </w:r>
      <w:r>
        <w:t xml:space="preserve">: </w:t>
      </w:r>
      <w:r w:rsidRPr="00CD2E8A">
        <w:rPr>
          <w:i/>
        </w:rPr>
        <w:t>Based on Walter Bauer</w:t>
      </w:r>
      <w:r>
        <w:t>’</w:t>
      </w:r>
      <w:r w:rsidRPr="00CD2E8A">
        <w:rPr>
          <w:i/>
        </w:rPr>
        <w:t>s</w:t>
      </w:r>
      <w:r>
        <w:t xml:space="preserve"> Griechisch-deutsches Wörterbuch zu den Schriften des Neuen Testaments und der frühchristlichen Literatur</w:t>
      </w:r>
      <w:r w:rsidR="006F304D" w:rsidRPr="006F304D">
        <w:t xml:space="preserve">, </w:t>
      </w:r>
      <w:r w:rsidRPr="00CD2E8A">
        <w:rPr>
          <w:i/>
        </w:rPr>
        <w:t>Sixth Edition</w:t>
      </w:r>
      <w:r w:rsidR="006F304D" w:rsidRPr="006F304D">
        <w:t xml:space="preserve">, </w:t>
      </w:r>
      <w:r w:rsidRPr="00CD2E8A">
        <w:rPr>
          <w:i/>
        </w:rPr>
        <w:t>Edi</w:t>
      </w:r>
      <w:r>
        <w:rPr>
          <w:i/>
        </w:rPr>
        <w:t>ted by</w:t>
      </w:r>
      <w:r w:rsidRPr="00CD2E8A">
        <w:rPr>
          <w:i/>
        </w:rPr>
        <w:t xml:space="preserve"> Kurt Aland and Barbara Aland</w:t>
      </w:r>
      <w:r w:rsidR="006F304D" w:rsidRPr="006F304D">
        <w:t xml:space="preserve">, </w:t>
      </w:r>
      <w:r w:rsidRPr="00CD2E8A">
        <w:rPr>
          <w:i/>
        </w:rPr>
        <w:t>with Viktor Reichmann and on Previous English Editions by W</w:t>
      </w:r>
      <w:r>
        <w:rPr>
          <w:i/>
        </w:rPr>
        <w:t xml:space="preserve">illiam </w:t>
      </w:r>
      <w:r w:rsidRPr="00CD2E8A">
        <w:rPr>
          <w:i/>
        </w:rPr>
        <w:t>F</w:t>
      </w:r>
      <w:r>
        <w:t xml:space="preserve">. </w:t>
      </w:r>
      <w:r w:rsidRPr="00CD2E8A">
        <w:rPr>
          <w:i/>
        </w:rPr>
        <w:t>Arndt</w:t>
      </w:r>
      <w:r w:rsidR="006F304D" w:rsidRPr="006F304D">
        <w:t xml:space="preserve">, </w:t>
      </w:r>
      <w:r w:rsidRPr="00CD2E8A">
        <w:rPr>
          <w:i/>
        </w:rPr>
        <w:t>F</w:t>
      </w:r>
      <w:r>
        <w:t xml:space="preserve">. </w:t>
      </w:r>
      <w:r w:rsidRPr="00CD2E8A">
        <w:rPr>
          <w:i/>
        </w:rPr>
        <w:t>W</w:t>
      </w:r>
      <w:r>
        <w:rPr>
          <w:i/>
        </w:rPr>
        <w:t xml:space="preserve">ilbur </w:t>
      </w:r>
      <w:r w:rsidRPr="00CD2E8A">
        <w:rPr>
          <w:i/>
        </w:rPr>
        <w:t>Gingrich</w:t>
      </w:r>
      <w:r w:rsidR="006F304D" w:rsidRPr="006F304D">
        <w:t xml:space="preserve">, </w:t>
      </w:r>
      <w:r w:rsidRPr="00CD2E8A">
        <w:rPr>
          <w:i/>
        </w:rPr>
        <w:t>and F</w:t>
      </w:r>
      <w:r>
        <w:t>.</w:t>
      </w:r>
      <w:r w:rsidRPr="00CD2E8A">
        <w:rPr>
          <w:i/>
        </w:rPr>
        <w:t>W</w:t>
      </w:r>
      <w:r>
        <w:t xml:space="preserve">. </w:t>
      </w:r>
      <w:r w:rsidRPr="00CD2E8A">
        <w:rPr>
          <w:i/>
        </w:rPr>
        <w:t>Danker</w:t>
      </w:r>
      <w:r>
        <w:t xml:space="preserve">. </w:t>
      </w:r>
      <w:r w:rsidRPr="00914F45">
        <w:t xml:space="preserve">Chicago: </w:t>
      </w:r>
      <w:r>
        <w:t>U of Chicago P</w:t>
      </w:r>
      <w:r w:rsidR="006F304D" w:rsidRPr="006F304D">
        <w:t xml:space="preserve">, </w:t>
      </w:r>
      <w:r>
        <w:t>2000. (The 2nd ed. [1979] is referred to as “</w:t>
      </w:r>
      <w:r w:rsidRPr="009B6DAC">
        <w:t>BAGD</w:t>
      </w:r>
      <w:r>
        <w:t>”; the 3rd ed. [2000] is referred to as “</w:t>
      </w:r>
      <w:r w:rsidRPr="009B6DAC">
        <w:t>BDAG</w:t>
      </w:r>
      <w:r w:rsidRPr="009836E0">
        <w:t>.</w:t>
      </w:r>
      <w:r>
        <w:t>”)</w:t>
      </w:r>
    </w:p>
  </w:footnote>
  <w:footnote w:id="508">
    <w:p w14:paraId="0825486F" w14:textId="23527936" w:rsidR="0018433B" w:rsidRDefault="0018433B" w:rsidP="00573F48">
      <w:pPr>
        <w:pStyle w:val="FootnoteText"/>
      </w:pPr>
      <w:r>
        <w:rPr>
          <w:rStyle w:val="FootnoteReference"/>
        </w:rPr>
        <w:footnoteRef/>
      </w:r>
      <w:r>
        <w:t xml:space="preserve"> I </w:t>
      </w:r>
      <w:r w:rsidRPr="00B51852">
        <w:t xml:space="preserve">use the word “dramatic” here in the sense in which it is used by Cleanth Brooks and Robert Penn Warren in </w:t>
      </w:r>
      <w:r w:rsidRPr="00B51852">
        <w:rPr>
          <w:i/>
          <w:iCs/>
        </w:rPr>
        <w:t>Understanding Poetry</w:t>
      </w:r>
      <w:r w:rsidRPr="00B51852">
        <w:t>: any good poem</w:t>
      </w:r>
      <w:r w:rsidR="006F304D" w:rsidRPr="006F304D">
        <w:t xml:space="preserve">, </w:t>
      </w:r>
      <w:r w:rsidRPr="00B51852">
        <w:t>no matter how brief</w:t>
      </w:r>
      <w:r w:rsidR="006F304D" w:rsidRPr="006F304D">
        <w:t xml:space="preserve">, </w:t>
      </w:r>
      <w:r w:rsidRPr="00B51852">
        <w:t>creates a situation with actors moving through a plot. Each of the simple clauses in 29a and 29b deftly paints just such a scene</w:t>
      </w:r>
      <w:r w:rsidR="006F304D" w:rsidRPr="006F304D">
        <w:t xml:space="preserve">, </w:t>
      </w:r>
      <w:r w:rsidRPr="00B51852">
        <w:t xml:space="preserve">with antagonists and protagonists and at least with a </w:t>
      </w:r>
      <w:r>
        <w:t>“</w:t>
      </w:r>
      <w:r w:rsidRPr="00B51852">
        <w:t>complication.”</w:t>
      </w:r>
    </w:p>
  </w:footnote>
  <w:footnote w:id="509">
    <w:p w14:paraId="195879AE" w14:textId="6D7445E9" w:rsidR="0018433B" w:rsidRDefault="0018433B" w:rsidP="00573F48">
      <w:pPr>
        <w:pStyle w:val="FootnoteText"/>
      </w:pPr>
      <w:r>
        <w:rPr>
          <w:rStyle w:val="FootnoteReference"/>
        </w:rPr>
        <w:footnoteRef/>
      </w:r>
      <w:r>
        <w:t xml:space="preserve"> </w:t>
      </w:r>
      <w:r w:rsidRPr="00B51852">
        <w:t>Expecting the two verses to be formally parallel in this regard</w:t>
      </w:r>
      <w:r w:rsidR="006F304D" w:rsidRPr="006F304D">
        <w:t xml:space="preserve">, </w:t>
      </w:r>
      <w:r w:rsidRPr="00B51852">
        <w:t>one would have supposed verse 33 to end</w:t>
      </w:r>
      <w:r w:rsidR="006F304D" w:rsidRPr="006F304D">
        <w:t xml:space="preserve">, </w:t>
      </w:r>
      <w:r w:rsidRPr="00CE06CA">
        <w:rPr>
          <w:bCs/>
          <w:szCs w:val="22"/>
          <w:lang w:val="el-GR"/>
        </w:rPr>
        <w:t>τοὺς ἀγαθοποιοῦντας</w:t>
      </w:r>
      <w:r>
        <w:rPr>
          <w:bCs/>
          <w:szCs w:val="22"/>
        </w:rPr>
        <w:t xml:space="preserve"> </w:t>
      </w:r>
      <w:r w:rsidRPr="00CE06CA">
        <w:rPr>
          <w:bCs/>
          <w:szCs w:val="22"/>
          <w:lang w:val="el-GR"/>
        </w:rPr>
        <w:t>αὐτοὺς</w:t>
      </w:r>
      <w:r>
        <w:rPr>
          <w:bCs/>
          <w:szCs w:val="22"/>
        </w:rPr>
        <w:t xml:space="preserve"> </w:t>
      </w:r>
      <w:r w:rsidRPr="00CE06CA">
        <w:rPr>
          <w:bCs/>
          <w:szCs w:val="22"/>
          <w:lang w:val="el-GR"/>
        </w:rPr>
        <w:t>ἀγαθοποιοῦσιν</w:t>
      </w:r>
      <w:r w:rsidRPr="00B51852">
        <w:t>.</w:t>
      </w:r>
    </w:p>
  </w:footnote>
  <w:footnote w:id="510">
    <w:p w14:paraId="7240DA41" w14:textId="7526005E" w:rsidR="0018433B" w:rsidRDefault="0018433B" w:rsidP="00573F48">
      <w:pPr>
        <w:pStyle w:val="FootnoteText"/>
      </w:pPr>
      <w:r>
        <w:rPr>
          <w:rStyle w:val="FootnoteReference"/>
        </w:rPr>
        <w:footnoteRef/>
      </w:r>
      <w:r>
        <w:t xml:space="preserve"> </w:t>
      </w:r>
      <w:r w:rsidRPr="00B51852">
        <w:t>The twenty-sixth edition of Nestle</w:t>
      </w:r>
      <w:r>
        <w:t>-Aland</w:t>
      </w:r>
      <w:r w:rsidRPr="00B51852">
        <w:t xml:space="preserve"> prints </w:t>
      </w:r>
      <w:r w:rsidRPr="00CE06CA">
        <w:rPr>
          <w:bCs/>
          <w:szCs w:val="22"/>
          <w:lang w:val="el-GR"/>
        </w:rPr>
        <w:t>ἐστίν</w:t>
      </w:r>
      <w:r w:rsidRPr="00B51852">
        <w:t xml:space="preserve"> in brackets at the end of 34b</w:t>
      </w:r>
      <w:r w:rsidR="006F304D" w:rsidRPr="006F304D">
        <w:t xml:space="preserve">, </w:t>
      </w:r>
      <w:r w:rsidRPr="00B51852">
        <w:t xml:space="preserve">thus indicating its acceptance of the verb </w:t>
      </w:r>
      <w:r w:rsidRPr="004C516D">
        <w:t>(</w:t>
      </w:r>
      <w:r w:rsidRPr="00B51852">
        <w:t>albeit with hesitation) into the text. Yet the witnesses which omit the verb</w:t>
      </w:r>
      <w:r w:rsidRPr="00230C90">
        <w:t>—</w:t>
      </w:r>
      <w:r w:rsidRPr="00B51852">
        <w:t>the papyri 45 and 75</w:t>
      </w:r>
      <w:r w:rsidR="006F304D" w:rsidRPr="006F304D">
        <w:t xml:space="preserve">, </w:t>
      </w:r>
      <w:r w:rsidRPr="00B51852">
        <w:t>Codex Vaticanus</w:t>
      </w:r>
      <w:r w:rsidR="006F304D" w:rsidRPr="006F304D">
        <w:t xml:space="preserve">, </w:t>
      </w:r>
      <w:r w:rsidRPr="00B51852">
        <w:t>the minuscule 700</w:t>
      </w:r>
      <w:r w:rsidR="006F304D" w:rsidRPr="006F304D">
        <w:t xml:space="preserve">, </w:t>
      </w:r>
      <w:r w:rsidRPr="00B51852">
        <w:t xml:space="preserve">and the Latin manuscript </w:t>
      </w:r>
      <w:r w:rsidRPr="00B51852">
        <w:rPr>
          <w:i/>
          <w:iCs/>
        </w:rPr>
        <w:t>e</w:t>
      </w:r>
      <w:r w:rsidRPr="00230C90">
        <w:rPr>
          <w:iCs/>
        </w:rPr>
        <w:t>—</w:t>
      </w:r>
      <w:r w:rsidRPr="00B51852">
        <w:t>include three o</w:t>
      </w:r>
      <w:r>
        <w:t>f the best witnesses for the Luk</w:t>
      </w:r>
      <w:r w:rsidRPr="00B51852">
        <w:t>an text: both papyri are early third century</w:t>
      </w:r>
      <w:r w:rsidR="006F304D" w:rsidRPr="006F304D">
        <w:t xml:space="preserve">, </w:t>
      </w:r>
      <w:r w:rsidRPr="00B51852">
        <w:t>and Vaticanus is early fourth. True</w:t>
      </w:r>
      <w:r w:rsidR="006F304D" w:rsidRPr="006F304D">
        <w:t xml:space="preserve">, </w:t>
      </w:r>
      <w:r w:rsidRPr="00B51852">
        <w:t>Codex Alexandrinus includes the verb; but it is a century later than Vaticanus and tends</w:t>
      </w:r>
      <w:r w:rsidR="006F304D" w:rsidRPr="006F304D">
        <w:t xml:space="preserve">, </w:t>
      </w:r>
      <w:r w:rsidRPr="00B51852">
        <w:t>in comparison to Vaticanus</w:t>
      </w:r>
      <w:r w:rsidR="006F304D" w:rsidRPr="006F304D">
        <w:t xml:space="preserve">, </w:t>
      </w:r>
      <w:r w:rsidRPr="00B51852">
        <w:t>to be a somewhat less pure representative of the Alexandrian text-type. The other major witnesses for inclusion of the verb are for the most part representatives of the Western (Bezae</w:t>
      </w:r>
      <w:r w:rsidR="006F304D" w:rsidRPr="006F304D">
        <w:t xml:space="preserve">, </w:t>
      </w:r>
      <w:r w:rsidRPr="00B51852">
        <w:t>Washingtoniensis</w:t>
      </w:r>
      <w:r w:rsidR="006F304D" w:rsidRPr="006F304D">
        <w:t xml:space="preserve">, </w:t>
      </w:r>
      <w:r w:rsidRPr="00B51852">
        <w:t>etc.)</w:t>
      </w:r>
      <w:r w:rsidR="006F304D" w:rsidRPr="006F304D">
        <w:t xml:space="preserve">, </w:t>
      </w:r>
      <w:r w:rsidRPr="00B51852">
        <w:t>Caesarean (Koridethi</w:t>
      </w:r>
      <w:r w:rsidR="006F304D" w:rsidRPr="006F304D">
        <w:t xml:space="preserve">, </w:t>
      </w:r>
      <w:r w:rsidRPr="00B51852">
        <w:t>families 1 and 13</w:t>
      </w:r>
      <w:r w:rsidR="006F304D" w:rsidRPr="006F304D">
        <w:t xml:space="preserve">, </w:t>
      </w:r>
      <w:r w:rsidRPr="00B51852">
        <w:t>etc.)</w:t>
      </w:r>
      <w:r w:rsidR="006F304D" w:rsidRPr="006F304D">
        <w:t xml:space="preserve">, </w:t>
      </w:r>
      <w:r w:rsidRPr="00B51852">
        <w:t>and Byzantine text-types. Moreover</w:t>
      </w:r>
      <w:r w:rsidR="006F304D" w:rsidRPr="006F304D">
        <w:t xml:space="preserve">, </w:t>
      </w:r>
      <w:r w:rsidRPr="00B51852">
        <w:t xml:space="preserve">omission of the verb is to be preferred because it is the </w:t>
      </w:r>
      <w:r w:rsidRPr="00B51852">
        <w:rPr>
          <w:i/>
          <w:iCs/>
          <w:szCs w:val="23"/>
        </w:rPr>
        <w:t>lectio difficilior</w:t>
      </w:r>
      <w:r w:rsidRPr="00B51852">
        <w:rPr>
          <w:iCs/>
          <w:szCs w:val="23"/>
        </w:rPr>
        <w:t xml:space="preserve">: </w:t>
      </w:r>
      <w:r w:rsidRPr="00B51852">
        <w:t xml:space="preserve">inclusion </w:t>
      </w:r>
      <w:r w:rsidRPr="004C516D">
        <w:t>(</w:t>
      </w:r>
      <w:r w:rsidRPr="00B51852">
        <w:t xml:space="preserve">to make 34b parallel with 32b and 33b) is more likely to have occurred than deletion. </w:t>
      </w:r>
      <w:r>
        <w:t>We may finally note that Nestle-Aland</w:t>
      </w:r>
      <w:r w:rsidRPr="00230C90">
        <w:rPr>
          <w:vertAlign w:val="superscript"/>
        </w:rPr>
        <w:t>26</w:t>
      </w:r>
      <w:r w:rsidRPr="00B51852">
        <w:t xml:space="preserve"> is somewhat inconsistent in rejecting the reading of </w:t>
      </w:r>
      <w:r>
        <w:rPr>
          <w:rFonts w:ascii="Cambria Math" w:hAnsi="Cambria Math" w:cs="Cambria Math"/>
        </w:rPr>
        <w:t>P</w:t>
      </w:r>
      <w:r w:rsidRPr="00B51852">
        <w:rPr>
          <w:szCs w:val="18"/>
          <w:vertAlign w:val="superscript"/>
        </w:rPr>
        <w:t>45</w:t>
      </w:r>
      <w:r w:rsidR="006F304D" w:rsidRPr="006F304D">
        <w:rPr>
          <w:szCs w:val="18"/>
        </w:rPr>
        <w:t xml:space="preserve">, </w:t>
      </w:r>
      <w:r>
        <w:rPr>
          <w:rFonts w:ascii="Cambria Math" w:hAnsi="Cambria Math" w:cs="Cambria Math"/>
        </w:rPr>
        <w:t>P</w:t>
      </w:r>
      <w:r w:rsidRPr="00B51852">
        <w:rPr>
          <w:szCs w:val="18"/>
          <w:vertAlign w:val="superscript"/>
        </w:rPr>
        <w:t>75</w:t>
      </w:r>
      <w:r w:rsidR="006F304D" w:rsidRPr="006F304D">
        <w:rPr>
          <w:szCs w:val="18"/>
        </w:rPr>
        <w:t xml:space="preserve">, </w:t>
      </w:r>
      <w:r w:rsidRPr="00B51852">
        <w:t>B</w:t>
      </w:r>
      <w:r w:rsidR="006F304D" w:rsidRPr="006F304D">
        <w:t xml:space="preserve">, </w:t>
      </w:r>
      <w:r w:rsidRPr="00B51852">
        <w:t>700</w:t>
      </w:r>
      <w:r w:rsidR="006F304D" w:rsidRPr="006F304D">
        <w:t xml:space="preserve">, </w:t>
      </w:r>
      <w:r w:rsidRPr="00B51852">
        <w:t xml:space="preserve">and </w:t>
      </w:r>
      <w:r w:rsidRPr="00230C90">
        <w:rPr>
          <w:i/>
        </w:rPr>
        <w:t>e</w:t>
      </w:r>
      <w:r w:rsidRPr="00B51852">
        <w:t xml:space="preserve"> in 34b; for in 33a</w:t>
      </w:r>
      <w:r w:rsidR="006F304D" w:rsidRPr="006F304D">
        <w:t xml:space="preserve">, </w:t>
      </w:r>
      <w:r w:rsidRPr="00B51852">
        <w:t xml:space="preserve">it accepts the reading of </w:t>
      </w:r>
      <w:r>
        <w:rPr>
          <w:rFonts w:ascii="Cambria Math" w:hAnsi="Cambria Math" w:cs="Cambria Math"/>
        </w:rPr>
        <w:t>P</w:t>
      </w:r>
      <w:r w:rsidRPr="00B51852">
        <w:rPr>
          <w:szCs w:val="18"/>
          <w:vertAlign w:val="superscript"/>
        </w:rPr>
        <w:t>45</w:t>
      </w:r>
      <w:r w:rsidR="006F304D" w:rsidRPr="006F304D">
        <w:rPr>
          <w:szCs w:val="18"/>
        </w:rPr>
        <w:t xml:space="preserve">, </w:t>
      </w:r>
      <w:r>
        <w:rPr>
          <w:rFonts w:ascii="Cambria Math" w:hAnsi="Cambria Math" w:cs="Cambria Math"/>
        </w:rPr>
        <w:t>P</w:t>
      </w:r>
      <w:r w:rsidRPr="00B51852">
        <w:rPr>
          <w:szCs w:val="18"/>
          <w:vertAlign w:val="superscript"/>
        </w:rPr>
        <w:t>75</w:t>
      </w:r>
      <w:r w:rsidR="006F304D" w:rsidRPr="006F304D">
        <w:rPr>
          <w:szCs w:val="18"/>
        </w:rPr>
        <w:t xml:space="preserve">, </w:t>
      </w:r>
      <w:r w:rsidRPr="00B51852">
        <w:t>B</w:t>
      </w:r>
      <w:r w:rsidR="006F304D" w:rsidRPr="006F304D">
        <w:t xml:space="preserve">, </w:t>
      </w:r>
      <w:r w:rsidRPr="00B51852">
        <w:t>and 700</w:t>
      </w:r>
      <w:r w:rsidR="006F304D" w:rsidRPr="006F304D">
        <w:t xml:space="preserve">, </w:t>
      </w:r>
      <w:r w:rsidRPr="00B51852">
        <w:t xml:space="preserve">which include </w:t>
      </w:r>
      <w:r>
        <w:rPr>
          <w:bCs/>
          <w:kern w:val="0"/>
          <w:szCs w:val="22"/>
          <w:lang w:val="el-GR"/>
        </w:rPr>
        <w:t>γάρ</w:t>
      </w:r>
      <w:r>
        <w:rPr>
          <w:rFonts w:eastAsia="Arial"/>
          <w:szCs w:val="22"/>
        </w:rPr>
        <w:t xml:space="preserve"> </w:t>
      </w:r>
      <w:r w:rsidRPr="00B51852">
        <w:t>in the phrase</w:t>
      </w:r>
      <w:r w:rsidR="006F304D" w:rsidRPr="006F304D">
        <w:t xml:space="preserve">, </w:t>
      </w:r>
      <w:r w:rsidRPr="00CE06CA">
        <w:rPr>
          <w:bCs/>
          <w:szCs w:val="22"/>
          <w:lang w:val="el-GR"/>
        </w:rPr>
        <w:t>καὶ</w:t>
      </w:r>
      <w:r>
        <w:rPr>
          <w:bCs/>
          <w:szCs w:val="22"/>
          <w:lang w:val="el-GR"/>
        </w:rPr>
        <w:t xml:space="preserve"> </w:t>
      </w:r>
      <w:r w:rsidRPr="00CE06CA">
        <w:rPr>
          <w:bCs/>
          <w:szCs w:val="22"/>
          <w:lang w:val="el-GR"/>
        </w:rPr>
        <w:t>γὰ</w:t>
      </w:r>
      <w:r>
        <w:rPr>
          <w:bCs/>
          <w:szCs w:val="22"/>
          <w:lang w:val="el-GR"/>
        </w:rPr>
        <w:t>ρ</w:t>
      </w:r>
      <w:r w:rsidRPr="00CE06CA">
        <w:rPr>
          <w:bCs/>
          <w:szCs w:val="22"/>
          <w:lang w:val="el-GR"/>
        </w:rPr>
        <w:t xml:space="preserve"> ἐὰν</w:t>
      </w:r>
      <w:r w:rsidR="006F304D" w:rsidRPr="006F304D">
        <w:t xml:space="preserve">, </w:t>
      </w:r>
      <w:r w:rsidRPr="00B51852">
        <w:t>whereas all other manuscripts cit</w:t>
      </w:r>
      <w:r>
        <w:t>ed by Nestle-Aland</w:t>
      </w:r>
      <w:r w:rsidRPr="002E0C53">
        <w:rPr>
          <w:vertAlign w:val="superscript"/>
        </w:rPr>
        <w:t>26</w:t>
      </w:r>
      <w:r w:rsidRPr="00B51852">
        <w:t xml:space="preserve"> delete </w:t>
      </w:r>
      <w:r>
        <w:rPr>
          <w:bCs/>
          <w:kern w:val="0"/>
          <w:szCs w:val="22"/>
          <w:lang w:val="el-GR"/>
        </w:rPr>
        <w:t>γάρ</w:t>
      </w:r>
      <w:r>
        <w:rPr>
          <w:rFonts w:eastAsia="Arial"/>
          <w:szCs w:val="22"/>
        </w:rPr>
        <w:t xml:space="preserve"> </w:t>
      </w:r>
      <w:r w:rsidRPr="00B51852">
        <w:t>at that point.</w:t>
      </w:r>
    </w:p>
  </w:footnote>
  <w:footnote w:id="511">
    <w:p w14:paraId="3D01EBD8" w14:textId="7D7A05B8" w:rsidR="0018433B" w:rsidRDefault="0018433B" w:rsidP="00573F48">
      <w:pPr>
        <w:pStyle w:val="FootnoteText"/>
      </w:pPr>
      <w:r>
        <w:rPr>
          <w:rStyle w:val="FootnoteReference"/>
        </w:rPr>
        <w:footnoteRef/>
      </w:r>
      <w:r>
        <w:t xml:space="preserve"> </w:t>
      </w:r>
      <w:r w:rsidRPr="00B51852">
        <w:t>That this disruption is redactional is evident by the frequent emphasis in Luke</w:t>
      </w:r>
      <w:r>
        <w:t>-</w:t>
      </w:r>
      <w:r w:rsidRPr="00B51852">
        <w:t>Acts on the ethics of material possessions. (In addition to the references to it in the sermon on the plain [6:20b (poor)</w:t>
      </w:r>
      <w:r w:rsidR="006F304D" w:rsidRPr="006F304D">
        <w:t xml:space="preserve">, </w:t>
      </w:r>
      <w:r w:rsidRPr="00B51852">
        <w:t>24a (rich)</w:t>
      </w:r>
      <w:r w:rsidR="006F304D" w:rsidRPr="006F304D">
        <w:t xml:space="preserve">, </w:t>
      </w:r>
      <w:r w:rsidRPr="00B51852">
        <w:t>30a (alms)</w:t>
      </w:r>
      <w:r w:rsidR="006F304D" w:rsidRPr="006F304D">
        <w:t xml:space="preserve">, </w:t>
      </w:r>
      <w:r w:rsidRPr="00B51852">
        <w:t>30b (do not ask back)</w:t>
      </w:r>
      <w:r w:rsidR="006F304D" w:rsidRPr="006F304D">
        <w:t xml:space="preserve">, </w:t>
      </w:r>
      <w:r w:rsidRPr="00B51852">
        <w:t>34 (lend)</w:t>
      </w:r>
      <w:r w:rsidR="006F304D" w:rsidRPr="006F304D">
        <w:t xml:space="preserve">, </w:t>
      </w:r>
      <w:r>
        <w:t>38 (give)]</w:t>
      </w:r>
      <w:r w:rsidR="006F304D" w:rsidRPr="006F304D">
        <w:t xml:space="preserve">, </w:t>
      </w:r>
      <w:r>
        <w:t>see 5:11</w:t>
      </w:r>
      <w:r w:rsidR="006F304D" w:rsidRPr="006F304D">
        <w:t xml:space="preserve">, </w:t>
      </w:r>
      <w:r>
        <w:t>28 (“all”</w:t>
      </w:r>
      <w:r w:rsidRPr="00B51852">
        <w:t xml:space="preserve"> is only in Luke)</w:t>
      </w:r>
      <w:r w:rsidR="006F304D" w:rsidRPr="006F304D">
        <w:t xml:space="preserve">, </w:t>
      </w:r>
      <w:r w:rsidRPr="00B51852">
        <w:t>12:32</w:t>
      </w:r>
      <w:r w:rsidR="006F304D" w:rsidRPr="006F304D">
        <w:t xml:space="preserve">, </w:t>
      </w:r>
      <w:r w:rsidRPr="00B51852">
        <w:t>and 12:33a [see Hawkins</w:t>
      </w:r>
      <w:r w:rsidR="006F304D" w:rsidRPr="006F304D">
        <w:t xml:space="preserve">, </w:t>
      </w:r>
      <w:r w:rsidRPr="00B51852">
        <w:rPr>
          <w:i/>
          <w:iCs/>
          <w:szCs w:val="23"/>
        </w:rPr>
        <w:t>Horae Synopticae</w:t>
      </w:r>
      <w:r w:rsidRPr="002E0C53">
        <w:rPr>
          <w:iCs/>
          <w:szCs w:val="23"/>
        </w:rPr>
        <w:t xml:space="preserve"> </w:t>
      </w:r>
      <w:r w:rsidRPr="00B51852">
        <w:t>195]). To the present verse (34) compare especially Luke 14:14: invite the poor</w:t>
      </w:r>
      <w:r w:rsidR="006F304D" w:rsidRPr="006F304D">
        <w:t xml:space="preserve">, </w:t>
      </w:r>
      <w:r w:rsidRPr="00B51852">
        <w:t>the maimed</w:t>
      </w:r>
      <w:r w:rsidR="006F304D" w:rsidRPr="006F304D">
        <w:t xml:space="preserve">, </w:t>
      </w:r>
      <w:r w:rsidRPr="00B51852">
        <w:t>etc.</w:t>
      </w:r>
      <w:r w:rsidR="006F304D" w:rsidRPr="006F304D">
        <w:t xml:space="preserve">, </w:t>
      </w:r>
      <w:r w:rsidRPr="00B51852">
        <w:t>and you will be blessed [</w:t>
      </w:r>
      <w:r w:rsidRPr="002E0C53">
        <w:t>καὶ μακάριος ἔσῃ</w:t>
      </w:r>
      <w:r w:rsidRPr="00B51852">
        <w:rPr>
          <w:rFonts w:eastAsia="Arial"/>
          <w:iCs/>
        </w:rPr>
        <w:t>]</w:t>
      </w:r>
      <w:r w:rsidR="006F304D" w:rsidRPr="006F304D">
        <w:rPr>
          <w:rFonts w:eastAsia="Arial"/>
          <w:iCs/>
        </w:rPr>
        <w:t xml:space="preserve">, </w:t>
      </w:r>
      <w:r w:rsidRPr="00B51852">
        <w:t>because they cannot repay you [</w:t>
      </w:r>
      <w:r w:rsidRPr="002E0C53">
        <w:t>ὅτι οὐκ ἔχουσιν ἀνταποδοῦναί σοι</w:t>
      </w:r>
      <w:r w:rsidRPr="00B51852">
        <w:t>].” (Cited in this connection by Unnik</w:t>
      </w:r>
      <w:r w:rsidR="006F304D" w:rsidRPr="006F304D">
        <w:t xml:space="preserve">, </w:t>
      </w:r>
      <w:r w:rsidRPr="00B51852">
        <w:t>“Die Motivierung der Feindesliebe in Lukas VI 32-35,’ p. 297 n. 3.)</w:t>
      </w:r>
    </w:p>
  </w:footnote>
  <w:footnote w:id="512">
    <w:p w14:paraId="0DC19D9B" w14:textId="61D3B215" w:rsidR="0018433B" w:rsidRDefault="0018433B" w:rsidP="00573F48">
      <w:pPr>
        <w:pStyle w:val="FootnoteText"/>
      </w:pPr>
      <w:r>
        <w:rPr>
          <w:rStyle w:val="FootnoteReference"/>
        </w:rPr>
        <w:footnoteRef/>
      </w:r>
      <w:r>
        <w:t xml:space="preserve"> </w:t>
      </w:r>
      <w:r w:rsidRPr="00B51852">
        <w:t>Blass-Debrunner-Funk</w:t>
      </w:r>
      <w:r w:rsidR="006F304D" w:rsidRPr="006F304D">
        <w:t xml:space="preserve">, </w:t>
      </w:r>
      <w:r w:rsidRPr="00B51852">
        <w:rPr>
          <w:i/>
          <w:iCs/>
        </w:rPr>
        <w:t>Greek Grammar</w:t>
      </w:r>
      <w:r w:rsidRPr="006A16AF">
        <w:rPr>
          <w:iCs/>
        </w:rPr>
        <w:t xml:space="preserve"> </w:t>
      </w:r>
      <w:r w:rsidRPr="00B51852">
        <w:t>184. Though Fitzmyer (</w:t>
      </w:r>
      <w:r w:rsidRPr="00B51852">
        <w:rPr>
          <w:i/>
          <w:iCs/>
        </w:rPr>
        <w:t>Gospel Ac</w:t>
      </w:r>
      <w:r w:rsidRPr="00B51852">
        <w:rPr>
          <w:i/>
          <w:iCs/>
        </w:rPr>
        <w:softHyphen/>
        <w:t>cording to Luke</w:t>
      </w:r>
      <w:r w:rsidR="006F304D" w:rsidRPr="006F304D">
        <w:rPr>
          <w:iCs/>
        </w:rPr>
        <w:t xml:space="preserve">, </w:t>
      </w:r>
      <w:r>
        <w:t>1.</w:t>
      </w:r>
      <w:r w:rsidRPr="00B51852">
        <w:t>641) says</w:t>
      </w:r>
      <w:r w:rsidR="006F304D" w:rsidRPr="006F304D">
        <w:t xml:space="preserve">, </w:t>
      </w:r>
      <w:r w:rsidRPr="00B51852">
        <w:t xml:space="preserve">‘The aor. pass. subj. with </w:t>
      </w:r>
      <w:r w:rsidRPr="00B51852">
        <w:rPr>
          <w:i/>
          <w:iCs/>
        </w:rPr>
        <w:t>ou me</w:t>
      </w:r>
      <w:r w:rsidRPr="006A16AF">
        <w:rPr>
          <w:iCs/>
        </w:rPr>
        <w:t xml:space="preserve"> </w:t>
      </w:r>
      <w:r w:rsidRPr="00B51852">
        <w:t>in the first two [37b</w:t>
      </w:r>
      <w:r w:rsidR="006F304D" w:rsidRPr="006F304D">
        <w:t xml:space="preserve">, </w:t>
      </w:r>
      <w:r w:rsidRPr="00B51852">
        <w:t>37d] is a way of expressing the emphatic neg. fut.” Blass-Debrunner-Funk (ibid.) say that</w:t>
      </w:r>
      <w:r>
        <w:t xml:space="preserve"> “</w:t>
      </w:r>
      <w:r w:rsidRPr="00CE06CA">
        <w:rPr>
          <w:bCs/>
          <w:szCs w:val="22"/>
          <w:lang w:val="el-GR"/>
        </w:rPr>
        <w:t>Οὐ μ</w:t>
      </w:r>
      <w:r>
        <w:rPr>
          <w:bCs/>
          <w:szCs w:val="22"/>
          <w:lang w:val="el-GR"/>
        </w:rPr>
        <w:t>ή</w:t>
      </w:r>
      <w:r w:rsidRPr="00B51852">
        <w:rPr>
          <w:iCs/>
        </w:rPr>
        <w:t xml:space="preserve"> </w:t>
      </w:r>
      <w:r w:rsidRPr="00B51852">
        <w:t>with the aorist subjunctive [is] for the most part less emphatic than</w:t>
      </w:r>
      <w:r>
        <w:t xml:space="preserve"> in the classical language . . .”</w:t>
      </w:r>
    </w:p>
  </w:footnote>
  <w:footnote w:id="513">
    <w:p w14:paraId="57C7F882" w14:textId="382797FA" w:rsidR="0018433B" w:rsidRDefault="0018433B" w:rsidP="00573F48">
      <w:pPr>
        <w:pStyle w:val="FootnoteText"/>
      </w:pPr>
      <w:r>
        <w:rPr>
          <w:rStyle w:val="FootnoteReference"/>
        </w:rPr>
        <w:footnoteRef/>
      </w:r>
      <w:r>
        <w:t xml:space="preserve"> </w:t>
      </w:r>
      <w:r>
        <w:rPr>
          <w:szCs w:val="22"/>
        </w:rPr>
        <w:t>If “</w:t>
      </w:r>
      <w:r w:rsidRPr="00B51852">
        <w:t xml:space="preserve">judge” in this context were wider in meaning than </w:t>
      </w:r>
      <w:r>
        <w:t>“</w:t>
      </w:r>
      <w:r w:rsidRPr="00B51852">
        <w:t>condemn”</w:t>
      </w:r>
      <w:r w:rsidRPr="00230C90">
        <w:t>—</w:t>
      </w:r>
      <w:r w:rsidRPr="00B51852">
        <w:t xml:space="preserve">if it included </w:t>
      </w:r>
      <w:r>
        <w:t>“acquitting”</w:t>
      </w:r>
      <w:r w:rsidRPr="00B51852">
        <w:t xml:space="preserve"> as well as condemning</w:t>
      </w:r>
      <w:r w:rsidRPr="00230C90">
        <w:t>—</w:t>
      </w:r>
      <w:r w:rsidRPr="00B51852">
        <w:t>then the parallelism would be synthetic</w:t>
      </w:r>
      <w:r w:rsidR="006F304D" w:rsidRPr="006F304D">
        <w:t xml:space="preserve">, </w:t>
      </w:r>
      <w:r w:rsidRPr="00B51852">
        <w:t>since the second member would add to (in this case</w:t>
      </w:r>
      <w:r w:rsidR="006F304D" w:rsidRPr="006F304D">
        <w:t xml:space="preserve">, </w:t>
      </w:r>
      <w:r w:rsidRPr="00B51852">
        <w:t xml:space="preserve">clarify) the meaning of the first. But </w:t>
      </w:r>
      <w:r>
        <w:t>“judge”</w:t>
      </w:r>
      <w:r w:rsidRPr="00B51852">
        <w:t xml:space="preserve"> as an individual’s day-to-day act surely refers only to “con</w:t>
      </w:r>
      <w:r w:rsidRPr="00B51852">
        <w:softHyphen/>
        <w:t xml:space="preserve">demn.” If “judge” in this verse could mean either “condemn” or </w:t>
      </w:r>
      <w:r>
        <w:t>“</w:t>
      </w:r>
      <w:r w:rsidRPr="00B51852">
        <w:t>ac</w:t>
      </w:r>
      <w:r>
        <w:t>quit,”</w:t>
      </w:r>
      <w:r w:rsidRPr="00B51852">
        <w:t xml:space="preserve"> </w:t>
      </w:r>
      <w:r>
        <w:t>“</w:t>
      </w:r>
      <w:r w:rsidRPr="00B51852">
        <w:t>judging” would not necessarily place one in danger of God’s judgment (“and you will not be judged”).</w:t>
      </w:r>
    </w:p>
  </w:footnote>
  <w:footnote w:id="514">
    <w:p w14:paraId="2D956BB8" w14:textId="5A4CD5AC" w:rsidR="0018433B" w:rsidRDefault="0018433B" w:rsidP="00573F48">
      <w:pPr>
        <w:pStyle w:val="FootnoteText"/>
      </w:pPr>
      <w:r>
        <w:rPr>
          <w:rStyle w:val="FootnoteReference"/>
        </w:rPr>
        <w:footnoteRef/>
      </w:r>
      <w:r>
        <w:t xml:space="preserve"> O</w:t>
      </w:r>
      <w:r w:rsidRPr="00B51852">
        <w:t>ne could argue that</w:t>
      </w:r>
      <w:r w:rsidR="006F304D" w:rsidRPr="006F304D">
        <w:t xml:space="preserve">, </w:t>
      </w:r>
      <w:r>
        <w:t>in its literal (non-metaphoric) sense</w:t>
      </w:r>
      <w:r w:rsidR="006F304D" w:rsidRPr="006F304D">
        <w:t xml:space="preserve">, </w:t>
      </w:r>
      <w:r>
        <w:rPr>
          <w:rFonts w:eastAsia="Arial"/>
          <w:szCs w:val="21"/>
        </w:rPr>
        <w:t>κρίνω can</w:t>
      </w:r>
      <w:r>
        <w:t xml:space="preserve"> </w:t>
      </w:r>
      <w:r w:rsidRPr="00B51852">
        <w:t>refer just as easily to an individual’s thinking harshly about</w:t>
      </w:r>
      <w:r>
        <w:t xml:space="preserve"> his neighbor as to an official judicial act</w:t>
      </w:r>
      <w:r w:rsidRPr="00B51852">
        <w:t xml:space="preserve"> and that therefore there is no need to see metaphor here. </w:t>
      </w:r>
      <w:r>
        <w:t>However</w:t>
      </w:r>
      <w:r w:rsidR="006F304D" w:rsidRPr="006F304D">
        <w:t xml:space="preserve">, </w:t>
      </w:r>
      <w:r>
        <w:t>i</w:t>
      </w:r>
      <w:r w:rsidRPr="00B51852">
        <w:t xml:space="preserve">n the preceding verse </w:t>
      </w:r>
      <w:r w:rsidRPr="004C516D">
        <w:t>(</w:t>
      </w:r>
      <w:r w:rsidRPr="00B51852">
        <w:t>6:</w:t>
      </w:r>
      <w:r>
        <w:t>36)</w:t>
      </w:r>
      <w:r w:rsidRPr="00B51852">
        <w:t xml:space="preserve"> the disciples have been instructed to “be merciful</w:t>
      </w:r>
      <w:r w:rsidR="006F304D" w:rsidRPr="006F304D">
        <w:t xml:space="preserve">, </w:t>
      </w:r>
      <w:r w:rsidRPr="00B51852">
        <w:t xml:space="preserve">even as your Father is merciful”; and certainly </w:t>
      </w:r>
      <w:r>
        <w:t>“</w:t>
      </w:r>
      <w:r w:rsidRPr="00B51852">
        <w:t>condemn not</w:t>
      </w:r>
      <w:r>
        <w:t>,</w:t>
      </w:r>
      <w:r w:rsidRPr="00B51852">
        <w:t>”</w:t>
      </w:r>
      <w:r>
        <w:t xml:space="preserve"> </w:t>
      </w:r>
      <w:r w:rsidRPr="00B51852">
        <w:t xml:space="preserve">the imperative verb following </w:t>
      </w:r>
      <w:r>
        <w:t>“</w:t>
      </w:r>
      <w:r w:rsidRPr="00B51852">
        <w:t>judge not</w:t>
      </w:r>
      <w:r>
        <w:t>,</w:t>
      </w:r>
      <w:r w:rsidRPr="00B51852">
        <w:t>”</w:t>
      </w:r>
      <w:r>
        <w:t xml:space="preserve"> </w:t>
      </w:r>
      <w:r w:rsidRPr="00B51852">
        <w:t xml:space="preserve">is </w:t>
      </w:r>
      <w:r>
        <w:t>in its literal sense</w:t>
      </w:r>
      <w:r w:rsidRPr="00B51852">
        <w:t xml:space="preserve"> applied more easily to a judge than to an individual. Moreover</w:t>
      </w:r>
      <w:r w:rsidR="006F304D" w:rsidRPr="006F304D">
        <w:t xml:space="preserve">, </w:t>
      </w:r>
      <w:r w:rsidRPr="00B51852">
        <w:t>the entire sermon (like most of the traditions of Jesus’ sayings in the synoptic gospels) is lush with figurative language. It is very likely</w:t>
      </w:r>
      <w:r w:rsidR="006F304D" w:rsidRPr="006F304D">
        <w:t xml:space="preserve">, </w:t>
      </w:r>
      <w:r w:rsidRPr="00B51852">
        <w:t>therefore</w:t>
      </w:r>
      <w:r w:rsidR="006F304D" w:rsidRPr="006F304D">
        <w:t xml:space="preserve">, </w:t>
      </w:r>
      <w:r w:rsidRPr="00B51852">
        <w:t>that 37a</w:t>
      </w:r>
      <w:r w:rsidR="006F304D" w:rsidRPr="006F304D">
        <w:t xml:space="preserve">, </w:t>
      </w:r>
      <w:r w:rsidRPr="00B51852">
        <w:t>given its contexts</w:t>
      </w:r>
      <w:r w:rsidR="006F304D" w:rsidRPr="006F304D">
        <w:t xml:space="preserve">, </w:t>
      </w:r>
      <w:r w:rsidRPr="00B51852">
        <w:t>contains a submerged metaphor</w:t>
      </w:r>
      <w:r>
        <w:t xml:space="preserve"> (submerged because the figurative element</w:t>
      </w:r>
      <w:r w:rsidR="006F304D" w:rsidRPr="006F304D">
        <w:t xml:space="preserve">, </w:t>
      </w:r>
      <w:r>
        <w:t>a judge</w:t>
      </w:r>
      <w:r w:rsidR="006F304D" w:rsidRPr="006F304D">
        <w:t xml:space="preserve">, </w:t>
      </w:r>
      <w:r>
        <w:t>is not explicitly named)</w:t>
      </w:r>
      <w:r w:rsidRPr="00B51852">
        <w:t>.</w:t>
      </w:r>
    </w:p>
  </w:footnote>
  <w:footnote w:id="515">
    <w:p w14:paraId="5852392D" w14:textId="5F1E9A42" w:rsidR="0018433B" w:rsidRDefault="0018433B" w:rsidP="00573F48">
      <w:pPr>
        <w:pStyle w:val="FootnoteText"/>
      </w:pPr>
      <w:r>
        <w:rPr>
          <w:rStyle w:val="FootnoteReference"/>
        </w:rPr>
        <w:footnoteRef/>
      </w:r>
      <w:r>
        <w:t xml:space="preserve"> </w:t>
      </w:r>
      <w:r w:rsidRPr="00B51852">
        <w:t>T</w:t>
      </w:r>
      <w:r>
        <w:t>h</w:t>
      </w:r>
      <w:r w:rsidRPr="00B51852">
        <w:t>e differences between “judge” and condemn” on the one hand and “for</w:t>
      </w:r>
      <w:r w:rsidRPr="00B51852">
        <w:softHyphen/>
        <w:t>give” on the other</w:t>
      </w:r>
      <w:r w:rsidR="006F304D" w:rsidRPr="006F304D">
        <w:t xml:space="preserve">, </w:t>
      </w:r>
      <w:r w:rsidRPr="00B51852">
        <w:t>makes one suspect redactional activity here that is casual toward consistency of content. The present sequence of verbs may suggest a connection between judging (critical-mindedness) and forgiving. Perhaps the implication is that the state of critical-mindedness results from not forgiving: holding grudges makes one eventually expect the worst of everyone. But it is unlikely that this was the author’s intention</w:t>
      </w:r>
      <w:r w:rsidR="006F304D" w:rsidRPr="006F304D">
        <w:t xml:space="preserve">, </w:t>
      </w:r>
      <w:r w:rsidRPr="00B51852">
        <w:t>since the addition of “give” in the next pair of clauses (38ab) shows further redactional lack of concern. The author seems willing to add ethical concepts that surely he too recognized are only tenuously related to judging.</w:t>
      </w:r>
    </w:p>
  </w:footnote>
  <w:footnote w:id="516">
    <w:p w14:paraId="65684A30" w14:textId="77777777" w:rsidR="0018433B" w:rsidRPr="00B51852" w:rsidRDefault="0018433B" w:rsidP="0018433B">
      <w:pPr>
        <w:pStyle w:val="Style"/>
        <w:widowControl/>
        <w:jc w:val="both"/>
        <w:textAlignment w:val="baseline"/>
        <w:rPr>
          <w:szCs w:val="25"/>
        </w:rPr>
      </w:pPr>
      <w:r>
        <w:rPr>
          <w:rStyle w:val="FootnoteReference"/>
        </w:rPr>
        <w:footnoteRef/>
      </w:r>
      <w:r>
        <w:t xml:space="preserve"> </w:t>
      </w:r>
      <w:r w:rsidRPr="00B51852">
        <w:rPr>
          <w:szCs w:val="25"/>
        </w:rPr>
        <w:t>Attempts to integrate “give” with “judge not” seems to me less than successful.</w:t>
      </w:r>
    </w:p>
    <w:p w14:paraId="6CF30148" w14:textId="4D798B8B" w:rsidR="0018433B" w:rsidRPr="00B51852" w:rsidRDefault="0018433B" w:rsidP="0018433B">
      <w:pPr>
        <w:pStyle w:val="Style"/>
        <w:widowControl/>
        <w:jc w:val="both"/>
        <w:textAlignment w:val="baseline"/>
        <w:rPr>
          <w:szCs w:val="25"/>
        </w:rPr>
      </w:pPr>
      <w:r w:rsidRPr="00B51852">
        <w:rPr>
          <w:szCs w:val="25"/>
        </w:rPr>
        <w:t>(1) Fitzmyer</w:t>
      </w:r>
      <w:r w:rsidR="006F304D" w:rsidRPr="006F304D">
        <w:rPr>
          <w:szCs w:val="25"/>
        </w:rPr>
        <w:t xml:space="preserve">, </w:t>
      </w:r>
      <w:r w:rsidRPr="00B51852">
        <w:rPr>
          <w:szCs w:val="25"/>
        </w:rPr>
        <w:t>for example</w:t>
      </w:r>
      <w:r w:rsidR="006F304D" w:rsidRPr="006F304D">
        <w:rPr>
          <w:szCs w:val="25"/>
        </w:rPr>
        <w:t xml:space="preserve">, </w:t>
      </w:r>
      <w:r w:rsidRPr="00B51852">
        <w:rPr>
          <w:szCs w:val="25"/>
        </w:rPr>
        <w:t>says (</w:t>
      </w:r>
      <w:r w:rsidRPr="00B51852">
        <w:rPr>
          <w:i/>
          <w:iCs/>
          <w:szCs w:val="26"/>
        </w:rPr>
        <w:t>Gospel According to Luke</w:t>
      </w:r>
      <w:r w:rsidR="006F304D" w:rsidRPr="006F304D">
        <w:rPr>
          <w:iCs/>
          <w:szCs w:val="26"/>
        </w:rPr>
        <w:t xml:space="preserve">, </w:t>
      </w:r>
      <w:r w:rsidRPr="00B51852">
        <w:rPr>
          <w:szCs w:val="25"/>
        </w:rPr>
        <w:t>1. 641): Mercy in judging should lead also to generosity in giving</w:t>
      </w:r>
      <w:r w:rsidR="006F304D" w:rsidRPr="006F304D">
        <w:rPr>
          <w:szCs w:val="25"/>
        </w:rPr>
        <w:t xml:space="preserve">, </w:t>
      </w:r>
      <w:r w:rsidRPr="00B51852">
        <w:rPr>
          <w:szCs w:val="25"/>
        </w:rPr>
        <w:t>and so the foursome is united.” But</w:t>
      </w:r>
      <w:r w:rsidR="006F304D" w:rsidRPr="006F304D">
        <w:rPr>
          <w:szCs w:val="25"/>
        </w:rPr>
        <w:t xml:space="preserve">, </w:t>
      </w:r>
      <w:r w:rsidRPr="00B51852">
        <w:rPr>
          <w:szCs w:val="25"/>
        </w:rPr>
        <w:t>though one disposed to have mercy on another is more likely to be further inclined to give material help than one disposed to condemn</w:t>
      </w:r>
      <w:r w:rsidR="006F304D" w:rsidRPr="006F304D">
        <w:rPr>
          <w:szCs w:val="25"/>
        </w:rPr>
        <w:t xml:space="preserve">, </w:t>
      </w:r>
      <w:r w:rsidRPr="00B51852">
        <w:rPr>
          <w:szCs w:val="25"/>
        </w:rPr>
        <w:t>there is really no inherent causal connection between “judge not” and “give.”</w:t>
      </w:r>
    </w:p>
    <w:p w14:paraId="41850BEF" w14:textId="3A628230" w:rsidR="0018433B" w:rsidRPr="00B51852" w:rsidRDefault="0018433B" w:rsidP="0018433B">
      <w:pPr>
        <w:pStyle w:val="Style"/>
        <w:widowControl/>
        <w:jc w:val="both"/>
        <w:textAlignment w:val="baseline"/>
        <w:rPr>
          <w:szCs w:val="25"/>
        </w:rPr>
      </w:pPr>
      <w:r>
        <w:rPr>
          <w:szCs w:val="25"/>
        </w:rPr>
        <w:t>(2) Stö</w:t>
      </w:r>
      <w:r w:rsidRPr="00B51852">
        <w:rPr>
          <w:szCs w:val="25"/>
        </w:rPr>
        <w:t>ger’s effort (</w:t>
      </w:r>
      <w:r w:rsidRPr="00B51852">
        <w:rPr>
          <w:i/>
          <w:iCs/>
          <w:szCs w:val="26"/>
        </w:rPr>
        <w:t>Gospel According to St</w:t>
      </w:r>
      <w:r w:rsidRPr="00B51852">
        <w:rPr>
          <w:iCs/>
          <w:szCs w:val="26"/>
        </w:rPr>
        <w:t xml:space="preserve">. </w:t>
      </w:r>
      <w:r w:rsidRPr="00B51852">
        <w:rPr>
          <w:i/>
          <w:iCs/>
          <w:szCs w:val="26"/>
        </w:rPr>
        <w:t>Luke</w:t>
      </w:r>
      <w:r w:rsidRPr="00FF03AB">
        <w:rPr>
          <w:iCs/>
          <w:szCs w:val="26"/>
        </w:rPr>
        <w:t xml:space="preserve"> </w:t>
      </w:r>
      <w:r w:rsidRPr="00B51852">
        <w:rPr>
          <w:szCs w:val="25"/>
        </w:rPr>
        <w:t>123) is equally strained: forgiving razes obstacles to an I-Thou relationship</w:t>
      </w:r>
      <w:r w:rsidR="006F304D" w:rsidRPr="006F304D">
        <w:rPr>
          <w:szCs w:val="25"/>
        </w:rPr>
        <w:t xml:space="preserve">, </w:t>
      </w:r>
      <w:r w:rsidRPr="00B51852">
        <w:rPr>
          <w:szCs w:val="25"/>
        </w:rPr>
        <w:t>while giving builds up an I-Thou</w:t>
      </w:r>
      <w:r>
        <w:rPr>
          <w:szCs w:val="25"/>
        </w:rPr>
        <w:t xml:space="preserve"> </w:t>
      </w:r>
      <w:r w:rsidRPr="00B51852">
        <w:rPr>
          <w:szCs w:val="25"/>
        </w:rPr>
        <w:t>relationship. There is truth here</w:t>
      </w:r>
      <w:r w:rsidR="006F304D" w:rsidRPr="006F304D">
        <w:rPr>
          <w:szCs w:val="25"/>
        </w:rPr>
        <w:t xml:space="preserve">, </w:t>
      </w:r>
      <w:r w:rsidRPr="00B51852">
        <w:rPr>
          <w:szCs w:val="25"/>
        </w:rPr>
        <w:t>but is this connection between “forgive” and “give’ actually asserted in Luke 6:37cd-38ab?</w:t>
      </w:r>
    </w:p>
    <w:p w14:paraId="2827B581" w14:textId="4FBC0BAB" w:rsidR="0018433B" w:rsidRPr="00B51852" w:rsidRDefault="0018433B" w:rsidP="0018433B">
      <w:pPr>
        <w:pStyle w:val="Style"/>
        <w:widowControl/>
        <w:jc w:val="both"/>
        <w:textAlignment w:val="baseline"/>
        <w:rPr>
          <w:szCs w:val="25"/>
        </w:rPr>
      </w:pPr>
      <w:r w:rsidRPr="00B51852">
        <w:rPr>
          <w:szCs w:val="25"/>
        </w:rPr>
        <w:t>(3) Easton (</w:t>
      </w:r>
      <w:r w:rsidRPr="00B51852">
        <w:rPr>
          <w:i/>
          <w:iCs/>
          <w:szCs w:val="25"/>
        </w:rPr>
        <w:t>Gospel According to St</w:t>
      </w:r>
      <w:r w:rsidRPr="00B51852">
        <w:rPr>
          <w:iCs/>
          <w:szCs w:val="25"/>
        </w:rPr>
        <w:t xml:space="preserve">. </w:t>
      </w:r>
      <w:r w:rsidRPr="00B51852">
        <w:rPr>
          <w:i/>
          <w:iCs/>
          <w:szCs w:val="25"/>
        </w:rPr>
        <w:t>Luke</w:t>
      </w:r>
      <w:r w:rsidRPr="00FF03AB">
        <w:rPr>
          <w:iCs/>
          <w:szCs w:val="25"/>
        </w:rPr>
        <w:t xml:space="preserve"> </w:t>
      </w:r>
      <w:r w:rsidRPr="00B51852">
        <w:rPr>
          <w:szCs w:val="25"/>
        </w:rPr>
        <w:t xml:space="preserve">80) suggests that </w:t>
      </w:r>
      <w:r>
        <w:rPr>
          <w:szCs w:val="25"/>
        </w:rPr>
        <w:t>“</w:t>
      </w:r>
      <w:r w:rsidRPr="00B51852">
        <w:rPr>
          <w:szCs w:val="25"/>
        </w:rPr>
        <w:t xml:space="preserve">In the context ‘give’ should properly be ‘make all allowance for </w:t>
      </w:r>
      <w:r w:rsidRPr="002E0FF6">
        <w:rPr>
          <w:szCs w:val="25"/>
        </w:rPr>
        <w:t>. . .</w:t>
      </w:r>
      <w:r w:rsidRPr="00B51852">
        <w:rPr>
          <w:szCs w:val="25"/>
        </w:rPr>
        <w:t>’</w:t>
      </w:r>
      <w:r w:rsidRPr="00FF03AB">
        <w:rPr>
          <w:szCs w:val="25"/>
        </w:rPr>
        <w:t>”</w:t>
      </w:r>
      <w:r w:rsidRPr="00B51852">
        <w:rPr>
          <w:szCs w:val="25"/>
        </w:rPr>
        <w:t xml:space="preserve"> But given the emphasis on </w:t>
      </w:r>
      <w:r w:rsidRPr="00B51852">
        <w:rPr>
          <w:i/>
          <w:iCs/>
          <w:szCs w:val="25"/>
        </w:rPr>
        <w:t>quantity</w:t>
      </w:r>
      <w:r w:rsidRPr="00FF03AB">
        <w:rPr>
          <w:iCs/>
          <w:szCs w:val="25"/>
        </w:rPr>
        <w:t xml:space="preserve"> </w:t>
      </w:r>
      <w:r w:rsidRPr="00B51852">
        <w:rPr>
          <w:szCs w:val="25"/>
        </w:rPr>
        <w:t>of return in 38c (</w:t>
      </w:r>
      <w:r>
        <w:rPr>
          <w:szCs w:val="25"/>
        </w:rPr>
        <w:t>“</w:t>
      </w:r>
      <w:r w:rsidRPr="00B51852">
        <w:rPr>
          <w:szCs w:val="25"/>
        </w:rPr>
        <w:t xml:space="preserve">good measure </w:t>
      </w:r>
      <w:r>
        <w:rPr>
          <w:szCs w:val="25"/>
        </w:rPr>
        <w:t xml:space="preserve">. . . </w:t>
      </w:r>
      <w:r w:rsidRPr="00B51852">
        <w:rPr>
          <w:szCs w:val="25"/>
        </w:rPr>
        <w:t>running over,” etc.)</w:t>
      </w:r>
      <w:r w:rsidR="006F304D" w:rsidRPr="006F304D">
        <w:rPr>
          <w:szCs w:val="25"/>
        </w:rPr>
        <w:t xml:space="preserve">, </w:t>
      </w:r>
      <w:r w:rsidRPr="00B51852">
        <w:rPr>
          <w:szCs w:val="25"/>
        </w:rPr>
        <w:t>this is unlikely</w:t>
      </w:r>
      <w:r w:rsidR="006F304D" w:rsidRPr="006F304D">
        <w:rPr>
          <w:szCs w:val="25"/>
        </w:rPr>
        <w:t xml:space="preserve">, </w:t>
      </w:r>
      <w:r w:rsidRPr="00B51852">
        <w:rPr>
          <w:szCs w:val="25"/>
        </w:rPr>
        <w:t xml:space="preserve">and Easton himself admits that “this is probably too narrow </w:t>
      </w:r>
      <w:r w:rsidRPr="002E0FF6">
        <w:rPr>
          <w:szCs w:val="25"/>
        </w:rPr>
        <w:t>. . .</w:t>
      </w:r>
      <w:r>
        <w:rPr>
          <w:szCs w:val="25"/>
        </w:rPr>
        <w:t>”</w:t>
      </w:r>
      <w:r w:rsidRPr="00B51852">
        <w:rPr>
          <w:szCs w:val="25"/>
        </w:rPr>
        <w:t xml:space="preserve"> Easton’s similar suggestion (ibid. 90) that “give” is </w:t>
      </w:r>
      <w:r>
        <w:rPr>
          <w:szCs w:val="25"/>
        </w:rPr>
        <w:t>“</w:t>
      </w:r>
      <w:r w:rsidRPr="00B51852">
        <w:rPr>
          <w:szCs w:val="34"/>
        </w:rPr>
        <w:t xml:space="preserve">an </w:t>
      </w:r>
      <w:r w:rsidRPr="00B51852">
        <w:rPr>
          <w:szCs w:val="25"/>
        </w:rPr>
        <w:t>impressive generalization” that concludes the other three clause pairs is misguided</w:t>
      </w:r>
      <w:r w:rsidR="006F304D" w:rsidRPr="006F304D">
        <w:rPr>
          <w:szCs w:val="25"/>
        </w:rPr>
        <w:t xml:space="preserve">, </w:t>
      </w:r>
      <w:r w:rsidRPr="00B51852">
        <w:rPr>
          <w:szCs w:val="25"/>
        </w:rPr>
        <w:t xml:space="preserve">since </w:t>
      </w:r>
      <w:r w:rsidRPr="00FF03AB">
        <w:rPr>
          <w:szCs w:val="25"/>
        </w:rPr>
        <w:t>“</w:t>
      </w:r>
      <w:r w:rsidRPr="00B51852">
        <w:rPr>
          <w:szCs w:val="25"/>
        </w:rPr>
        <w:t>give</w:t>
      </w:r>
      <w:r w:rsidRPr="00FF03AB">
        <w:rPr>
          <w:szCs w:val="25"/>
        </w:rPr>
        <w:t>”</w:t>
      </w:r>
      <w:r w:rsidRPr="00B51852">
        <w:rPr>
          <w:szCs w:val="25"/>
        </w:rPr>
        <w:t xml:space="preserve"> is not easily a genus within which “judge not,” “condemn not,” and “forgive” are species.</w:t>
      </w:r>
    </w:p>
    <w:p w14:paraId="166ADC00" w14:textId="3C2ED612" w:rsidR="0018433B" w:rsidRDefault="0018433B" w:rsidP="0018433B">
      <w:pPr>
        <w:pStyle w:val="Style"/>
        <w:widowControl/>
        <w:jc w:val="both"/>
        <w:textAlignment w:val="baseline"/>
        <w:rPr>
          <w:szCs w:val="25"/>
        </w:rPr>
      </w:pPr>
      <w:r w:rsidRPr="00B51852">
        <w:rPr>
          <w:szCs w:val="25"/>
        </w:rPr>
        <w:t>It does not follow that “the second saying [“give,” 38a] has no connection with the first” (Rigaux</w:t>
      </w:r>
      <w:r w:rsidR="006F304D" w:rsidRPr="006F304D">
        <w:rPr>
          <w:szCs w:val="25"/>
        </w:rPr>
        <w:t xml:space="preserve">, </w:t>
      </w:r>
      <w:r>
        <w:rPr>
          <w:i/>
          <w:iCs/>
          <w:szCs w:val="25"/>
        </w:rPr>
        <w:t>Té</w:t>
      </w:r>
      <w:r w:rsidRPr="00B51852">
        <w:rPr>
          <w:i/>
          <w:iCs/>
          <w:szCs w:val="25"/>
        </w:rPr>
        <w:t>moignage de L</w:t>
      </w:r>
      <w:r w:rsidRPr="00B51852">
        <w:rPr>
          <w:iCs/>
          <w:szCs w:val="25"/>
        </w:rPr>
        <w:t>’</w:t>
      </w:r>
      <w:r>
        <w:rPr>
          <w:i/>
          <w:iCs/>
          <w:szCs w:val="25"/>
        </w:rPr>
        <w:t>É</w:t>
      </w:r>
      <w:r w:rsidRPr="00B51852">
        <w:rPr>
          <w:i/>
          <w:iCs/>
          <w:szCs w:val="25"/>
        </w:rPr>
        <w:t>vangile de Luc</w:t>
      </w:r>
      <w:r w:rsidRPr="00FF03AB">
        <w:rPr>
          <w:szCs w:val="25"/>
        </w:rPr>
        <w:t xml:space="preserve"> </w:t>
      </w:r>
      <w:r w:rsidRPr="00B51852">
        <w:rPr>
          <w:szCs w:val="25"/>
        </w:rPr>
        <w:t>170)</w:t>
      </w:r>
      <w:r w:rsidR="006F304D" w:rsidRPr="006F304D">
        <w:rPr>
          <w:szCs w:val="25"/>
        </w:rPr>
        <w:t xml:space="preserve">, </w:t>
      </w:r>
      <w:r w:rsidRPr="00B51852">
        <w:rPr>
          <w:szCs w:val="25"/>
        </w:rPr>
        <w:t xml:space="preserve">although it certainly overstates the case to declare that </w:t>
      </w:r>
      <w:r>
        <w:rPr>
          <w:szCs w:val="25"/>
        </w:rPr>
        <w:t>“</w:t>
      </w:r>
      <w:r w:rsidRPr="00B51852">
        <w:rPr>
          <w:szCs w:val="25"/>
        </w:rPr>
        <w:t>The transition is easy” (Plummer</w:t>
      </w:r>
      <w:r w:rsidR="006F304D" w:rsidRPr="006F304D">
        <w:rPr>
          <w:szCs w:val="25"/>
        </w:rPr>
        <w:t xml:space="preserve">, </w:t>
      </w:r>
      <w:r w:rsidRPr="00B51852">
        <w:rPr>
          <w:i/>
          <w:iCs/>
          <w:szCs w:val="25"/>
        </w:rPr>
        <w:t>Critical and Exegetical Commentary</w:t>
      </w:r>
      <w:r w:rsidRPr="00FF03AB">
        <w:rPr>
          <w:iCs/>
          <w:szCs w:val="25"/>
        </w:rPr>
        <w:t xml:space="preserve"> </w:t>
      </w:r>
      <w:r w:rsidRPr="00B51852">
        <w:rPr>
          <w:szCs w:val="25"/>
        </w:rPr>
        <w:t xml:space="preserve">189). It is not so much that </w:t>
      </w:r>
      <w:r w:rsidRPr="00FF03AB">
        <w:rPr>
          <w:szCs w:val="25"/>
        </w:rPr>
        <w:t>“</w:t>
      </w:r>
      <w:r w:rsidRPr="00B51852">
        <w:rPr>
          <w:szCs w:val="25"/>
        </w:rPr>
        <w:t>Mercy in judging should lead also to generosity in giv</w:t>
      </w:r>
      <w:r w:rsidRPr="00B51852">
        <w:rPr>
          <w:szCs w:val="25"/>
        </w:rPr>
        <w:softHyphen/>
        <w:t>ing” (ibid.) as that</w:t>
      </w:r>
      <w:r w:rsidR="006F304D" w:rsidRPr="006F304D">
        <w:rPr>
          <w:szCs w:val="25"/>
        </w:rPr>
        <w:t xml:space="preserve">, </w:t>
      </w:r>
      <w:r w:rsidRPr="00B51852">
        <w:rPr>
          <w:szCs w:val="25"/>
        </w:rPr>
        <w:t>perhaps</w:t>
      </w:r>
      <w:r w:rsidR="006F304D" w:rsidRPr="006F304D">
        <w:rPr>
          <w:szCs w:val="25"/>
        </w:rPr>
        <w:t xml:space="preserve">, </w:t>
      </w:r>
      <w:r w:rsidRPr="00B51852">
        <w:rPr>
          <w:szCs w:val="25"/>
        </w:rPr>
        <w:t>experience simply shows that the two are most often found in the same individual. Still</w:t>
      </w:r>
      <w:r w:rsidR="006F304D" w:rsidRPr="006F304D">
        <w:rPr>
          <w:szCs w:val="25"/>
        </w:rPr>
        <w:t xml:space="preserve">, </w:t>
      </w:r>
      <w:r w:rsidRPr="00B51852">
        <w:rPr>
          <w:szCs w:val="25"/>
        </w:rPr>
        <w:t>Vaganay’s characterization of the passage remains true: the additions</w:t>
      </w:r>
      <w:r w:rsidR="006F304D" w:rsidRPr="006F304D">
        <w:rPr>
          <w:szCs w:val="25"/>
        </w:rPr>
        <w:t xml:space="preserve">, </w:t>
      </w:r>
      <w:r w:rsidRPr="00B51852">
        <w:rPr>
          <w:szCs w:val="25"/>
        </w:rPr>
        <w:t>“forgive” and “give,” “paint the passage with indecision” (</w:t>
      </w:r>
      <w:r>
        <w:rPr>
          <w:szCs w:val="25"/>
        </w:rPr>
        <w:t>“</w:t>
      </w:r>
      <w:r w:rsidRPr="00B51852">
        <w:rPr>
          <w:szCs w:val="25"/>
        </w:rPr>
        <w:t xml:space="preserve">donne </w:t>
      </w:r>
      <w:r>
        <w:rPr>
          <w:szCs w:val="36"/>
        </w:rPr>
        <w:t>à</w:t>
      </w:r>
      <w:r w:rsidRPr="00B51852">
        <w:rPr>
          <w:szCs w:val="36"/>
        </w:rPr>
        <w:t xml:space="preserve"> </w:t>
      </w:r>
      <w:r>
        <w:rPr>
          <w:szCs w:val="25"/>
        </w:rPr>
        <w:t>l’ensemble une couleur indé</w:t>
      </w:r>
      <w:r w:rsidRPr="00B51852">
        <w:rPr>
          <w:szCs w:val="25"/>
        </w:rPr>
        <w:t xml:space="preserve">cise”). </w:t>
      </w:r>
      <w:r w:rsidRPr="00E5413C">
        <w:rPr>
          <w:szCs w:val="25"/>
          <w:lang w:val="fr-FR"/>
        </w:rPr>
        <w:t>(Vaganay</w:t>
      </w:r>
      <w:r w:rsidR="006F304D" w:rsidRPr="00E5413C">
        <w:rPr>
          <w:szCs w:val="25"/>
          <w:lang w:val="fr-FR"/>
        </w:rPr>
        <w:t xml:space="preserve">, </w:t>
      </w:r>
      <w:r w:rsidRPr="00E5413C">
        <w:rPr>
          <w:szCs w:val="25"/>
          <w:lang w:val="fr-FR"/>
        </w:rPr>
        <w:t xml:space="preserve">“Existe-t-il chez Marc quelques traces du Sermon sur la montagne?” </w:t>
      </w:r>
      <w:r w:rsidRPr="00B51852">
        <w:rPr>
          <w:i/>
          <w:iCs/>
          <w:szCs w:val="25"/>
        </w:rPr>
        <w:t>New Testament Studies</w:t>
      </w:r>
      <w:r w:rsidRPr="00FF03AB">
        <w:rPr>
          <w:iCs/>
          <w:szCs w:val="25"/>
        </w:rPr>
        <w:t xml:space="preserve"> </w:t>
      </w:r>
      <w:r>
        <w:rPr>
          <w:szCs w:val="25"/>
        </w:rPr>
        <w:t>1 (1954-1955) 192-200</w:t>
      </w:r>
      <w:r w:rsidR="006F304D" w:rsidRPr="006F304D">
        <w:rPr>
          <w:szCs w:val="25"/>
        </w:rPr>
        <w:t xml:space="preserve">, </w:t>
      </w:r>
      <w:r>
        <w:rPr>
          <w:szCs w:val="25"/>
        </w:rPr>
        <w:t>here</w:t>
      </w:r>
      <w:r w:rsidRPr="00B51852">
        <w:rPr>
          <w:szCs w:val="25"/>
        </w:rPr>
        <w:t xml:space="preserve"> 194.)</w:t>
      </w:r>
    </w:p>
    <w:p w14:paraId="1C86A014" w14:textId="5FE30192" w:rsidR="0018433B" w:rsidRPr="00E5413C" w:rsidRDefault="0018433B" w:rsidP="0018433B">
      <w:pPr>
        <w:pStyle w:val="Style"/>
        <w:widowControl/>
        <w:jc w:val="both"/>
        <w:textAlignment w:val="baseline"/>
        <w:rPr>
          <w:szCs w:val="25"/>
          <w:lang w:val="fr-FR"/>
        </w:rPr>
      </w:pPr>
      <w:r w:rsidRPr="00B51852">
        <w:rPr>
          <w:szCs w:val="25"/>
        </w:rPr>
        <w:t>Cf. Dupont</w:t>
      </w:r>
      <w:r w:rsidR="006F304D" w:rsidRPr="006F304D">
        <w:rPr>
          <w:szCs w:val="25"/>
        </w:rPr>
        <w:t xml:space="preserve">, </w:t>
      </w:r>
      <w:r w:rsidRPr="00B51852">
        <w:rPr>
          <w:i/>
          <w:iCs/>
          <w:szCs w:val="25"/>
        </w:rPr>
        <w:t>Beatitudes</w:t>
      </w:r>
      <w:r w:rsidR="006F304D" w:rsidRPr="006F304D">
        <w:rPr>
          <w:iCs/>
          <w:szCs w:val="25"/>
        </w:rPr>
        <w:t xml:space="preserve">, </w:t>
      </w:r>
      <w:r w:rsidRPr="00B51852">
        <w:rPr>
          <w:szCs w:val="25"/>
        </w:rPr>
        <w:t xml:space="preserve">l. 199: </w:t>
      </w:r>
      <w:r w:rsidRPr="00FF03AB">
        <w:rPr>
          <w:szCs w:val="25"/>
        </w:rPr>
        <w:t>“</w:t>
      </w:r>
      <w:r w:rsidRPr="00B51852">
        <w:rPr>
          <w:szCs w:val="25"/>
        </w:rPr>
        <w:t>From the prohibition of judging</w:t>
      </w:r>
      <w:r w:rsidR="006F304D" w:rsidRPr="006F304D">
        <w:rPr>
          <w:szCs w:val="25"/>
        </w:rPr>
        <w:t xml:space="preserve">, </w:t>
      </w:r>
      <w:r w:rsidRPr="00B51852">
        <w:rPr>
          <w:szCs w:val="25"/>
        </w:rPr>
        <w:t>the thought glides toward the necessity of consideration and generosity</w:t>
      </w:r>
      <w:r w:rsidR="006F304D" w:rsidRPr="006F304D">
        <w:rPr>
          <w:szCs w:val="25"/>
        </w:rPr>
        <w:t xml:space="preserve">, </w:t>
      </w:r>
      <w:r w:rsidRPr="00B51852">
        <w:rPr>
          <w:szCs w:val="25"/>
        </w:rPr>
        <w:t xml:space="preserve">without it being possible or necessary to integrate all the sayings of the section under one idea.” </w:t>
      </w:r>
      <w:r w:rsidRPr="00E5413C">
        <w:rPr>
          <w:szCs w:val="25"/>
          <w:lang w:val="fr-FR"/>
        </w:rPr>
        <w:t>(“De l’interdiction de juger</w:t>
      </w:r>
      <w:r w:rsidR="006F304D" w:rsidRPr="00E5413C">
        <w:rPr>
          <w:szCs w:val="25"/>
          <w:lang w:val="fr-FR"/>
        </w:rPr>
        <w:t xml:space="preserve">, </w:t>
      </w:r>
      <w:r w:rsidRPr="00E5413C">
        <w:rPr>
          <w:szCs w:val="25"/>
          <w:lang w:val="fr-FR"/>
        </w:rPr>
        <w:t>la pensee glisse vers un devoir de condescendance et de generosite</w:t>
      </w:r>
      <w:r w:rsidR="006F304D" w:rsidRPr="00E5413C">
        <w:rPr>
          <w:szCs w:val="25"/>
          <w:lang w:val="fr-FR"/>
        </w:rPr>
        <w:t xml:space="preserve">, </w:t>
      </w:r>
      <w:r w:rsidRPr="00E5413C">
        <w:rPr>
          <w:szCs w:val="25"/>
          <w:lang w:val="fr-FR"/>
        </w:rPr>
        <w:t>sans qu’il soit possible ou necessaire d’integrer tous les logia de la sec</w:t>
      </w:r>
      <w:r w:rsidRPr="00E5413C">
        <w:rPr>
          <w:szCs w:val="25"/>
          <w:lang w:val="fr-FR"/>
        </w:rPr>
        <w:softHyphen/>
        <w:t>tion sous cette idée.”)</w:t>
      </w:r>
    </w:p>
  </w:footnote>
  <w:footnote w:id="517">
    <w:p w14:paraId="73B7DBF4" w14:textId="5C98BC24" w:rsidR="0018433B" w:rsidRDefault="0018433B" w:rsidP="00573F48">
      <w:pPr>
        <w:pStyle w:val="FootnoteText"/>
      </w:pPr>
      <w:r>
        <w:rPr>
          <w:rStyle w:val="FootnoteReference"/>
        </w:rPr>
        <w:footnoteRef/>
      </w:r>
      <w:r>
        <w:t xml:space="preserve"> </w:t>
      </w:r>
      <w:r w:rsidRPr="00B51852">
        <w:rPr>
          <w:szCs w:val="36"/>
        </w:rPr>
        <w:t xml:space="preserve">An </w:t>
      </w:r>
      <w:r w:rsidRPr="00B51852">
        <w:t>anachronistic translation of</w:t>
      </w:r>
      <w:r>
        <w:t xml:space="preserve"> </w:t>
      </w:r>
      <w:r w:rsidRPr="00CE06CA">
        <w:rPr>
          <w:bCs/>
          <w:szCs w:val="22"/>
          <w:lang w:val="el-GR"/>
        </w:rPr>
        <w:t>κό</w:t>
      </w:r>
      <w:r>
        <w:rPr>
          <w:bCs/>
          <w:szCs w:val="22"/>
          <w:lang w:val="el-GR"/>
        </w:rPr>
        <w:t>λπος</w:t>
      </w:r>
      <w:r w:rsidRPr="00B51852">
        <w:t>. See Easton</w:t>
      </w:r>
      <w:r w:rsidR="006F304D" w:rsidRPr="006F304D">
        <w:t xml:space="preserve">, </w:t>
      </w:r>
      <w:r w:rsidRPr="00B51852">
        <w:rPr>
          <w:i/>
          <w:iCs/>
          <w:szCs w:val="26"/>
        </w:rPr>
        <w:t>Gospel According to Saint Luke</w:t>
      </w:r>
      <w:r w:rsidRPr="0082082F">
        <w:rPr>
          <w:iCs/>
          <w:szCs w:val="26"/>
        </w:rPr>
        <w:t xml:space="preserve"> </w:t>
      </w:r>
      <w:r w:rsidRPr="00B51852">
        <w:t xml:space="preserve">88: </w:t>
      </w:r>
      <w:r>
        <w:t>“</w:t>
      </w:r>
      <w:r w:rsidRPr="00B51852">
        <w:t>the girded upper-garment formed an excellent means of carrying bulky commodities; the custom and its designating phrase [</w:t>
      </w:r>
      <w:r w:rsidRPr="00CE06CA">
        <w:rPr>
          <w:bCs/>
          <w:szCs w:val="22"/>
          <w:lang w:val="el-GR"/>
        </w:rPr>
        <w:t>εἰς τὸν κόλπον</w:t>
      </w:r>
      <w:r w:rsidR="006F304D" w:rsidRPr="006F304D">
        <w:t xml:space="preserve">, </w:t>
      </w:r>
      <w:r w:rsidRPr="00B51852">
        <w:t>lit. into the bosom”] existed in Greece as well as in the Orient.</w:t>
      </w:r>
      <w:r w:rsidRPr="00FF03AB">
        <w:t>”</w:t>
      </w:r>
      <w:r w:rsidRPr="00B51852">
        <w:t xml:space="preserve"> The figurative term</w:t>
      </w:r>
      <w:r w:rsidR="006F304D" w:rsidRPr="006F304D">
        <w:t xml:space="preserve">, </w:t>
      </w:r>
      <w:r w:rsidRPr="00B51852">
        <w:t>to which is compar</w:t>
      </w:r>
      <w:r>
        <w:t>ed that which one literally rec</w:t>
      </w:r>
      <w:r w:rsidRPr="00B51852">
        <w:t>e</w:t>
      </w:r>
      <w:r>
        <w:t>i</w:t>
      </w:r>
      <w:r w:rsidRPr="00B51852">
        <w:t>ves</w:t>
      </w:r>
      <w:r w:rsidR="006F304D" w:rsidRPr="006F304D">
        <w:t xml:space="preserve">, </w:t>
      </w:r>
      <w:r w:rsidRPr="00B51852">
        <w:t>is surely grain or meal: it is something pourable</w:t>
      </w:r>
      <w:r w:rsidR="006F304D" w:rsidRPr="006F304D">
        <w:t xml:space="preserve">, </w:t>
      </w:r>
      <w:r w:rsidRPr="00B51852">
        <w:t>yet not a liquid</w:t>
      </w:r>
      <w:r w:rsidR="006F304D" w:rsidRPr="006F304D">
        <w:t xml:space="preserve">, </w:t>
      </w:r>
      <w:r w:rsidRPr="00B51852">
        <w:t>hence something existing in small</w:t>
      </w:r>
      <w:r w:rsidR="006F304D" w:rsidRPr="006F304D">
        <w:t xml:space="preserve">, </w:t>
      </w:r>
      <w:r w:rsidRPr="00B51852">
        <w:t xml:space="preserve">discrete </w:t>
      </w:r>
      <w:r>
        <w:t>bits</w:t>
      </w:r>
      <w:r w:rsidRPr="00B51852">
        <w:t>.</w:t>
      </w:r>
    </w:p>
  </w:footnote>
  <w:footnote w:id="518">
    <w:p w14:paraId="6F7E24C9" w14:textId="006C208E" w:rsidR="0018433B" w:rsidRDefault="0018433B" w:rsidP="00573F48">
      <w:pPr>
        <w:pStyle w:val="FootnoteText"/>
      </w:pPr>
      <w:r>
        <w:rPr>
          <w:rStyle w:val="FootnoteReference"/>
        </w:rPr>
        <w:footnoteRef/>
      </w:r>
      <w:r>
        <w:t xml:space="preserve"> </w:t>
      </w:r>
      <w:r>
        <w:rPr>
          <w:szCs w:val="35"/>
        </w:rPr>
        <w:t xml:space="preserve">In </w:t>
      </w:r>
      <w:r w:rsidRPr="00B51852">
        <w:t>the Greek the “it” is implicit in the ending of the passive verb</w:t>
      </w:r>
      <w:r w:rsidR="006F304D" w:rsidRPr="006F304D">
        <w:t xml:space="preserve">, </w:t>
      </w:r>
      <w:r>
        <w:t>δοθήσεται</w:t>
      </w:r>
      <w:r w:rsidRPr="00B51852">
        <w:t xml:space="preserve">. (The identity of ‘it’ in 38b and </w:t>
      </w:r>
      <w:r w:rsidRPr="00FF03AB">
        <w:t>“</w:t>
      </w:r>
      <w:r w:rsidRPr="00B51852">
        <w:t>good measure</w:t>
      </w:r>
      <w:r w:rsidRPr="00FF03AB">
        <w:t>”</w:t>
      </w:r>
      <w:r w:rsidRPr="00B51852">
        <w:t xml:space="preserve"> in 38c would be heightened in the English if a colon</w:t>
      </w:r>
      <w:r w:rsidR="006F304D" w:rsidRPr="006F304D">
        <w:t xml:space="preserve">, </w:t>
      </w:r>
      <w:r w:rsidRPr="00B51852">
        <w:t>rather than a semicolon</w:t>
      </w:r>
      <w:r w:rsidR="006F304D" w:rsidRPr="006F304D">
        <w:t xml:space="preserve">, </w:t>
      </w:r>
      <w:r w:rsidRPr="00B51852">
        <w:t>connected them.)</w:t>
      </w:r>
    </w:p>
  </w:footnote>
  <w:footnote w:id="519">
    <w:p w14:paraId="55562AAE" w14:textId="72948FE1" w:rsidR="0018433B" w:rsidRDefault="0018433B" w:rsidP="00573F48">
      <w:pPr>
        <w:pStyle w:val="FootnoteText"/>
      </w:pPr>
      <w:r>
        <w:rPr>
          <w:rStyle w:val="FootnoteReference"/>
        </w:rPr>
        <w:footnoteRef/>
      </w:r>
      <w:r>
        <w:t xml:space="preserve"> </w:t>
      </w:r>
      <w:r w:rsidRPr="00B51852">
        <w:t>See Creed</w:t>
      </w:r>
      <w:r w:rsidR="006F304D" w:rsidRPr="006F304D">
        <w:t xml:space="preserve">, </w:t>
      </w:r>
      <w:r w:rsidRPr="00B51852">
        <w:rPr>
          <w:i/>
          <w:iCs/>
        </w:rPr>
        <w:t>Gospel According to St</w:t>
      </w:r>
      <w:r w:rsidRPr="00B51852">
        <w:rPr>
          <w:iCs/>
        </w:rPr>
        <w:t xml:space="preserve">. </w:t>
      </w:r>
      <w:r w:rsidRPr="00B51852">
        <w:rPr>
          <w:i/>
          <w:iCs/>
        </w:rPr>
        <w:t>Luke</w:t>
      </w:r>
      <w:r w:rsidRPr="00724817">
        <w:rPr>
          <w:iCs/>
        </w:rPr>
        <w:t xml:space="preserve"> </w:t>
      </w:r>
      <w:r w:rsidRPr="00B51852">
        <w:t xml:space="preserve">96: in 38d </w:t>
      </w:r>
      <w:r>
        <w:t xml:space="preserve">μέτρον </w:t>
      </w:r>
      <w:r w:rsidRPr="00B51852">
        <w:t xml:space="preserve">means </w:t>
      </w:r>
      <w:r>
        <w:t>“</w:t>
      </w:r>
      <w:r w:rsidRPr="00B51852">
        <w:rPr>
          <w:rFonts w:eastAsia="Arial"/>
          <w:szCs w:val="31"/>
        </w:rPr>
        <w:t xml:space="preserve">a </w:t>
      </w:r>
      <w:r w:rsidRPr="00B51852">
        <w:t>standard of judgment,” but in 38c</w:t>
      </w:r>
      <w:r w:rsidR="006F304D" w:rsidRPr="006F304D">
        <w:t xml:space="preserve">, </w:t>
      </w:r>
      <w:r>
        <w:t>μέτρον</w:t>
      </w:r>
      <w:r w:rsidRPr="00B51852">
        <w:t xml:space="preserve"> is “a measure of </w:t>
      </w:r>
      <w:r w:rsidRPr="00B51852">
        <w:rPr>
          <w:i/>
          <w:iCs/>
        </w:rPr>
        <w:t>capacity</w:t>
      </w:r>
      <w:r w:rsidRPr="00724817">
        <w:rPr>
          <w:iCs/>
        </w:rPr>
        <w:t xml:space="preserve"> </w:t>
      </w:r>
      <w:r w:rsidRPr="002E0FF6">
        <w:t>. . .</w:t>
      </w:r>
      <w:r w:rsidRPr="00FF03AB">
        <w:t>”</w:t>
      </w:r>
      <w:r w:rsidRPr="00B51852">
        <w:t xml:space="preserve"> (italics in original).</w:t>
      </w:r>
    </w:p>
  </w:footnote>
  <w:footnote w:id="520">
    <w:p w14:paraId="65B03232" w14:textId="4F258131" w:rsidR="0018433B" w:rsidRDefault="0018433B" w:rsidP="00573F48">
      <w:pPr>
        <w:pStyle w:val="FootnoteText"/>
      </w:pPr>
      <w:r>
        <w:rPr>
          <w:rStyle w:val="FootnoteReference"/>
        </w:rPr>
        <w:footnoteRef/>
      </w:r>
      <w:r>
        <w:t xml:space="preserve"> </w:t>
      </w:r>
      <w:r w:rsidRPr="00B51852">
        <w:t>T</w:t>
      </w:r>
      <w:r>
        <w:t>h</w:t>
      </w:r>
      <w:r w:rsidRPr="00B51852">
        <w:t xml:space="preserve">is is the conclusion of Creed </w:t>
      </w:r>
      <w:r>
        <w:t xml:space="preserve">as well </w:t>
      </w:r>
      <w:r w:rsidRPr="00B51852">
        <w:t>(ibid.): “the saying expands the thought of</w:t>
      </w:r>
      <w:r>
        <w:t xml:space="preserve"> </w:t>
      </w:r>
      <w:r w:rsidRPr="00CE06CA">
        <w:rPr>
          <w:bCs/>
          <w:szCs w:val="22"/>
          <w:lang w:val="el-GR"/>
        </w:rPr>
        <w:t>δίδοτε</w:t>
      </w:r>
      <w:r w:rsidR="006F304D" w:rsidRPr="006F304D">
        <w:rPr>
          <w:bCs/>
          <w:szCs w:val="22"/>
          <w:lang w:val="el-GR"/>
        </w:rPr>
        <w:t xml:space="preserve">, </w:t>
      </w:r>
      <w:r w:rsidRPr="00CE06CA">
        <w:rPr>
          <w:bCs/>
          <w:szCs w:val="22"/>
          <w:lang w:val="el-GR"/>
        </w:rPr>
        <w:t>καὶ δοθήσεται ὑμῖ</w:t>
      </w:r>
      <w:r>
        <w:rPr>
          <w:bCs/>
          <w:szCs w:val="22"/>
          <w:lang w:val="el-GR"/>
        </w:rPr>
        <w:t>ν</w:t>
      </w:r>
      <w:r>
        <w:rPr>
          <w:bCs/>
          <w:szCs w:val="22"/>
        </w:rPr>
        <w:t xml:space="preserve"> [“give</w:t>
      </w:r>
      <w:r w:rsidR="006F304D" w:rsidRPr="006F304D">
        <w:rPr>
          <w:bCs/>
          <w:szCs w:val="22"/>
        </w:rPr>
        <w:t xml:space="preserve">, </w:t>
      </w:r>
      <w:r>
        <w:t>and it will be given to you”]</w:t>
      </w:r>
      <w:r>
        <w:rPr>
          <w:bCs/>
          <w:szCs w:val="22"/>
        </w:rPr>
        <w:t xml:space="preserve"> . . .</w:t>
      </w:r>
      <w:r w:rsidRPr="00B51852">
        <w:t xml:space="preserve">” Fitzmyer </w:t>
      </w:r>
      <w:r>
        <w:t xml:space="preserve">concurs </w:t>
      </w:r>
      <w:r w:rsidRPr="00B51852">
        <w:t>(</w:t>
      </w:r>
      <w:r w:rsidRPr="00B51852">
        <w:rPr>
          <w:i/>
          <w:iCs/>
        </w:rPr>
        <w:t>Gospel According to Luke</w:t>
      </w:r>
      <w:r w:rsidRPr="00B51852">
        <w:rPr>
          <w:iCs/>
        </w:rPr>
        <w:t xml:space="preserve"> </w:t>
      </w:r>
      <w:r>
        <w:t>l.</w:t>
      </w:r>
      <w:r w:rsidRPr="00B51852">
        <w:t>641): “</w:t>
      </w:r>
      <w:r w:rsidRPr="00B51852">
        <w:rPr>
          <w:i/>
          <w:iCs/>
        </w:rPr>
        <w:t>the measure you use</w:t>
      </w:r>
      <w:r w:rsidRPr="00724817">
        <w:rPr>
          <w:iCs/>
        </w:rPr>
        <w:t xml:space="preserve"> </w:t>
      </w:r>
      <w:r>
        <w:rPr>
          <w:iCs/>
        </w:rPr>
        <w:t>[38d] . . .</w:t>
      </w:r>
      <w:r w:rsidRPr="00724817">
        <w:t xml:space="preserve"> e</w:t>
      </w:r>
      <w:r w:rsidRPr="00B51852">
        <w:t>xplains v. 38a [“give”]</w:t>
      </w:r>
      <w:r w:rsidR="006F304D" w:rsidRPr="006F304D">
        <w:t xml:space="preserve">, </w:t>
      </w:r>
      <w:r w:rsidRPr="00B51852">
        <w:t>not v. 37 [judge not”].”</w:t>
      </w:r>
    </w:p>
  </w:footnote>
  <w:footnote w:id="521">
    <w:p w14:paraId="338291F7" w14:textId="4DA11586" w:rsidR="0018433B" w:rsidRDefault="0018433B" w:rsidP="00573F48">
      <w:pPr>
        <w:pStyle w:val="FootnoteText"/>
      </w:pPr>
      <w:r>
        <w:rPr>
          <w:rStyle w:val="FootnoteReference"/>
        </w:rPr>
        <w:footnoteRef/>
      </w:r>
      <w:r>
        <w:t xml:space="preserve"> </w:t>
      </w:r>
      <w:r w:rsidRPr="00B51852">
        <w:t xml:space="preserve">Probably </w:t>
      </w:r>
      <w:r w:rsidRPr="00B51852">
        <w:rPr>
          <w:szCs w:val="22"/>
        </w:rPr>
        <w:t xml:space="preserve">Q </w:t>
      </w:r>
      <w:r w:rsidRPr="00B51852">
        <w:t>had only the sayings found in Matt 7:1-2: “</w:t>
      </w:r>
      <w:r w:rsidRPr="00D43999">
        <w:t>Do not judge</w:t>
      </w:r>
      <w:r w:rsidR="006F304D" w:rsidRPr="006F304D">
        <w:t xml:space="preserve">, </w:t>
      </w:r>
      <w:r w:rsidRPr="00D43999">
        <w:t xml:space="preserve">so that you may not be judged. </w:t>
      </w:r>
      <w:r w:rsidRPr="00D43999">
        <w:rPr>
          <w:vertAlign w:val="superscript"/>
        </w:rPr>
        <w:t>2</w:t>
      </w:r>
      <w:r w:rsidRPr="00D43999">
        <w:t xml:space="preserve"> For with the judgment you make you will be judged</w:t>
      </w:r>
      <w:r w:rsidR="006F304D" w:rsidRPr="006F304D">
        <w:t xml:space="preserve">, </w:t>
      </w:r>
      <w:r w:rsidRPr="00D43999">
        <w:t>and the measure you give will be the measure you get.</w:t>
      </w:r>
      <w:r w:rsidRPr="00B51852">
        <w:t>” Luke dropped the middle logion</w:t>
      </w:r>
      <w:r w:rsidR="006F304D" w:rsidRPr="006F304D">
        <w:t xml:space="preserve">, </w:t>
      </w:r>
      <w:r w:rsidRPr="00B51852">
        <w:t>repeated the first for the sake of parallelism (</w:t>
      </w:r>
      <w:r>
        <w:t xml:space="preserve">“do not </w:t>
      </w:r>
      <w:r w:rsidRPr="00B51852">
        <w:t>condemn</w:t>
      </w:r>
      <w:r>
        <w:t>”</w:t>
      </w:r>
      <w:r w:rsidRPr="00B51852">
        <w:t>)</w:t>
      </w:r>
      <w:r w:rsidR="006F304D" w:rsidRPr="006F304D">
        <w:t xml:space="preserve">, </w:t>
      </w:r>
      <w:r w:rsidRPr="00B51852">
        <w:t>and once again intruded a teaching about material possessions</w:t>
      </w:r>
      <w:r w:rsidR="006F304D" w:rsidRPr="006F304D">
        <w:t xml:space="preserve">, </w:t>
      </w:r>
      <w:r>
        <w:t>perhaps</w:t>
      </w:r>
      <w:r w:rsidRPr="00B51852">
        <w:t xml:space="preserve"> justifying the intrusion on the basis of the verb “give” in the final </w:t>
      </w:r>
      <w:r w:rsidRPr="00B51852">
        <w:rPr>
          <w:szCs w:val="22"/>
        </w:rPr>
        <w:t xml:space="preserve">Q </w:t>
      </w:r>
      <w:r w:rsidRPr="00B51852">
        <w:t>logion. He then added the “good measure”</w:t>
      </w:r>
      <w:r>
        <w:t xml:space="preserve"> </w:t>
      </w:r>
      <w:r w:rsidRPr="00B51852">
        <w:t xml:space="preserve">saying </w:t>
      </w:r>
      <w:r>
        <w:t>(38c)</w:t>
      </w:r>
      <w:r w:rsidR="006F304D" w:rsidRPr="006F304D">
        <w:t xml:space="preserve">, </w:t>
      </w:r>
      <w:r w:rsidRPr="00B51852">
        <w:t>either because it was a traditional logion and could be associated with 38</w:t>
      </w:r>
      <w:r>
        <w:t>d on the basis of the catchword</w:t>
      </w:r>
      <w:r w:rsidRPr="00B51852">
        <w:t xml:space="preserve"> </w:t>
      </w:r>
      <w:r>
        <w:t>“</w:t>
      </w:r>
      <w:r w:rsidRPr="00B51852">
        <w:t>measure,” or (more likely) because he created it to make especially emphatic the command dear to his heart</w:t>
      </w:r>
      <w:r w:rsidR="006F304D" w:rsidRPr="006F304D">
        <w:t xml:space="preserve">, </w:t>
      </w:r>
      <w:r w:rsidRPr="00B51852">
        <w:t>“give.” He then probably added a second positive command</w:t>
      </w:r>
      <w:r w:rsidR="006F304D" w:rsidRPr="006F304D">
        <w:t xml:space="preserve">, </w:t>
      </w:r>
      <w:r w:rsidRPr="00FF03AB">
        <w:t>“</w:t>
      </w:r>
      <w:r w:rsidRPr="00B51852">
        <w:t>forgive,</w:t>
      </w:r>
      <w:r w:rsidRPr="00FF03AB">
        <w:t>”</w:t>
      </w:r>
      <w:r w:rsidRPr="00B51852">
        <w:t xml:space="preserve"> between “judge not</w:t>
      </w:r>
      <w:r w:rsidR="006F304D" w:rsidRPr="006F304D">
        <w:t xml:space="preserve">, </w:t>
      </w:r>
      <w:r w:rsidRPr="00B51852">
        <w:t>condemn not,” and “give,” again for the sake of parallelism.</w:t>
      </w:r>
    </w:p>
  </w:footnote>
  <w:footnote w:id="522">
    <w:p w14:paraId="3326767D" w14:textId="405139AB" w:rsidR="0018433B" w:rsidRDefault="0018433B" w:rsidP="00573F48">
      <w:pPr>
        <w:pStyle w:val="FootnoteText"/>
      </w:pPr>
      <w:r>
        <w:rPr>
          <w:rStyle w:val="FootnoteReference"/>
        </w:rPr>
        <w:footnoteRef/>
      </w:r>
      <w:r>
        <w:t xml:space="preserve"> </w:t>
      </w:r>
      <w:r w:rsidRPr="00B51852">
        <w:t>See Matthew 7:1-2</w:t>
      </w:r>
      <w:r w:rsidR="006F304D" w:rsidRPr="006F304D">
        <w:t xml:space="preserve">, </w:t>
      </w:r>
      <w:r w:rsidRPr="00B51852">
        <w:t xml:space="preserve">where Luke 6:38d does provide a conclusion for </w:t>
      </w:r>
      <w:r>
        <w:t>“</w:t>
      </w:r>
      <w:r w:rsidRPr="00B51852">
        <w:t>judge not</w:t>
      </w:r>
      <w:r w:rsidRPr="00FF03AB">
        <w:t>”</w:t>
      </w:r>
      <w:r w:rsidRPr="00B51852">
        <w:t>:</w:t>
      </w:r>
      <w:r>
        <w:t xml:space="preserve"> “</w:t>
      </w:r>
      <w:r w:rsidRPr="0056020E">
        <w:t>Do not judge</w:t>
      </w:r>
      <w:r w:rsidR="006F304D" w:rsidRPr="006F304D">
        <w:t xml:space="preserve">, </w:t>
      </w:r>
      <w:r w:rsidRPr="0056020E">
        <w:t xml:space="preserve">so that you may not be judged. </w:t>
      </w:r>
      <w:r w:rsidRPr="0056020E">
        <w:rPr>
          <w:vertAlign w:val="superscript"/>
        </w:rPr>
        <w:t>2</w:t>
      </w:r>
      <w:r w:rsidRPr="0056020E">
        <w:t xml:space="preserve"> For with the judgment you make you will be judged</w:t>
      </w:r>
      <w:r w:rsidR="006F304D" w:rsidRPr="006F304D">
        <w:t xml:space="preserve">, </w:t>
      </w:r>
      <w:r w:rsidRPr="0056020E">
        <w:t>and the measure you give will be the measure you get.</w:t>
      </w:r>
      <w:r>
        <w:t>” (Cf</w:t>
      </w:r>
      <w:r w:rsidRPr="00B51852">
        <w:t>. Dupont</w:t>
      </w:r>
      <w:r w:rsidR="006F304D" w:rsidRPr="006F304D">
        <w:t xml:space="preserve">, </w:t>
      </w:r>
      <w:r>
        <w:rPr>
          <w:i/>
          <w:iCs/>
        </w:rPr>
        <w:t>Bé</w:t>
      </w:r>
      <w:r w:rsidRPr="00B51852">
        <w:rPr>
          <w:i/>
          <w:iCs/>
        </w:rPr>
        <w:t>atitudes</w:t>
      </w:r>
      <w:r w:rsidR="006F304D" w:rsidRPr="006F304D">
        <w:rPr>
          <w:iCs/>
        </w:rPr>
        <w:t xml:space="preserve">, </w:t>
      </w:r>
      <w:r>
        <w:t>1.</w:t>
      </w:r>
      <w:r w:rsidRPr="00B51852">
        <w:t>194: “</w:t>
      </w:r>
      <w:r>
        <w:t>‘</w:t>
      </w:r>
      <w:r w:rsidRPr="00B51852">
        <w:t xml:space="preserve">judge not’ </w:t>
      </w:r>
      <w:r>
        <w:t>. . .</w:t>
      </w:r>
      <w:r w:rsidRPr="00B51852">
        <w:t xml:space="preserve"> receives its justification in [38d</w:t>
      </w:r>
      <w:r>
        <w:t>] . . .”)</w:t>
      </w:r>
    </w:p>
  </w:footnote>
  <w:footnote w:id="523">
    <w:p w14:paraId="659C775E" w14:textId="0399C28A" w:rsidR="0018433B" w:rsidRDefault="0018433B" w:rsidP="00573F48">
      <w:pPr>
        <w:pStyle w:val="FootnoteText"/>
      </w:pPr>
      <w:r>
        <w:rPr>
          <w:rStyle w:val="FootnoteReference"/>
        </w:rPr>
        <w:footnoteRef/>
      </w:r>
      <w:r>
        <w:t xml:space="preserve"> </w:t>
      </w:r>
      <w:r w:rsidRPr="00B51852">
        <w:t>Fitzmyer</w:t>
      </w:r>
      <w:r w:rsidR="006F304D" w:rsidRPr="006F304D">
        <w:t xml:space="preserve">, </w:t>
      </w:r>
      <w:r w:rsidRPr="00B51852">
        <w:t>startlingly enough</w:t>
      </w:r>
      <w:r w:rsidR="006F304D" w:rsidRPr="006F304D">
        <w:t xml:space="preserve">, </w:t>
      </w:r>
      <w:r w:rsidRPr="00B51852">
        <w:t xml:space="preserve">makes 38d the conclusion only </w:t>
      </w:r>
      <w:r>
        <w:t>o</w:t>
      </w:r>
      <w:r w:rsidRPr="00B51852">
        <w:t>f 38ab</w:t>
      </w:r>
      <w:r>
        <w:t xml:space="preserve"> [“give</w:t>
      </w:r>
      <w:r w:rsidR="006F304D" w:rsidRPr="006F304D">
        <w:t xml:space="preserve">, </w:t>
      </w:r>
      <w:r w:rsidRPr="00CD75A6">
        <w:t>and it will be given to you</w:t>
      </w:r>
      <w:r>
        <w:t>”]</w:t>
      </w:r>
      <w:r w:rsidRPr="00B51852">
        <w:t>! Verse 38d</w:t>
      </w:r>
      <w:r w:rsidR="006F304D" w:rsidRPr="006F304D">
        <w:t xml:space="preserve">, </w:t>
      </w:r>
      <w:r w:rsidRPr="00B51852">
        <w:t>he says</w:t>
      </w:r>
      <w:r w:rsidR="006F304D" w:rsidRPr="006F304D">
        <w:t xml:space="preserve">, </w:t>
      </w:r>
      <w:r w:rsidRPr="00B51852">
        <w:t>“explains v. 38a [give”]</w:t>
      </w:r>
      <w:r w:rsidR="006F304D" w:rsidRPr="006F304D">
        <w:t xml:space="preserve">, </w:t>
      </w:r>
      <w:r w:rsidRPr="00B51852">
        <w:t>not v. 37 [judge not”]” (</w:t>
      </w:r>
      <w:r w:rsidRPr="00B51852">
        <w:rPr>
          <w:i/>
          <w:iCs/>
        </w:rPr>
        <w:t>Gospel According to Luke</w:t>
      </w:r>
      <w:r w:rsidRPr="00B51852">
        <w:rPr>
          <w:iCs/>
        </w:rPr>
        <w:t xml:space="preserve"> </w:t>
      </w:r>
      <w:r>
        <w:t>1.</w:t>
      </w:r>
      <w:r w:rsidRPr="00B51852">
        <w:t>641</w:t>
      </w:r>
      <w:r w:rsidRPr="004C516D">
        <w:t>)</w:t>
      </w:r>
      <w:r w:rsidRPr="00B51852">
        <w:t>.</w:t>
      </w:r>
    </w:p>
  </w:footnote>
  <w:footnote w:id="524">
    <w:p w14:paraId="3E9C48CF" w14:textId="7E649AF2" w:rsidR="0018433B" w:rsidRDefault="0018433B" w:rsidP="00573F48">
      <w:pPr>
        <w:pStyle w:val="FootnoteText"/>
      </w:pPr>
      <w:r>
        <w:rPr>
          <w:rStyle w:val="FootnoteReference"/>
        </w:rPr>
        <w:footnoteRef/>
      </w:r>
      <w:r>
        <w:t xml:space="preserve"> See the next chapter</w:t>
      </w:r>
      <w:r w:rsidR="006F304D" w:rsidRPr="006F304D">
        <w:t xml:space="preserve">, </w:t>
      </w:r>
      <w:r>
        <w:t>Chapter 9.</w:t>
      </w:r>
    </w:p>
  </w:footnote>
  <w:footnote w:id="525">
    <w:p w14:paraId="0CA20A1D" w14:textId="77777777" w:rsidR="0018433B" w:rsidRDefault="0018433B" w:rsidP="00573F48">
      <w:pPr>
        <w:pStyle w:val="FootnoteText"/>
      </w:pPr>
      <w:r>
        <w:rPr>
          <w:rStyle w:val="FootnoteReference"/>
        </w:rPr>
        <w:footnoteRef/>
      </w:r>
      <w:r>
        <w:t xml:space="preserve"> </w:t>
      </w:r>
      <w:r w:rsidRPr="00B51852">
        <w:t>Fitzmyer (</w:t>
      </w:r>
      <w:r w:rsidRPr="00B51852">
        <w:rPr>
          <w:i/>
          <w:iCs/>
        </w:rPr>
        <w:t>Gospel According to Luke</w:t>
      </w:r>
      <w:r w:rsidRPr="00B51852">
        <w:rPr>
          <w:iCs/>
        </w:rPr>
        <w:t xml:space="preserve"> </w:t>
      </w:r>
      <w:r>
        <w:t>1.</w:t>
      </w:r>
      <w:r w:rsidRPr="00B51852">
        <w:t xml:space="preserve">642) takes 40a as interrogative also: </w:t>
      </w:r>
      <w:r w:rsidRPr="00CE06CA">
        <w:rPr>
          <w:bCs/>
          <w:szCs w:val="22"/>
          <w:lang w:val="el-GR"/>
        </w:rPr>
        <w:t>οὐκ ἔστιν μαθητὴς ὑπὲρ τὸν διδά</w:t>
      </w:r>
      <w:r>
        <w:rPr>
          <w:bCs/>
          <w:szCs w:val="22"/>
          <w:lang w:val="el-GR"/>
        </w:rPr>
        <w:t>σκαλον</w:t>
      </w:r>
      <w:r>
        <w:t xml:space="preserve"> </w:t>
      </w:r>
      <w:r w:rsidRPr="00B51852">
        <w:t>(“Is a pupil superior to his teacher?”). See below.</w:t>
      </w:r>
    </w:p>
  </w:footnote>
  <w:footnote w:id="526">
    <w:p w14:paraId="3F6AB701" w14:textId="36395D93" w:rsidR="0018433B" w:rsidRDefault="0018433B" w:rsidP="00573F48">
      <w:pPr>
        <w:pStyle w:val="FootnoteText"/>
      </w:pPr>
      <w:r>
        <w:rPr>
          <w:rStyle w:val="FootnoteReference"/>
        </w:rPr>
        <w:footnoteRef/>
      </w:r>
      <w:r>
        <w:t xml:space="preserve"> Th</w:t>
      </w:r>
      <w:r w:rsidRPr="00B51852">
        <w:t xml:space="preserve">is seems to be the meaning of </w:t>
      </w:r>
      <w:r w:rsidRPr="00CE06CA">
        <w:rPr>
          <w:bCs/>
          <w:szCs w:val="22"/>
          <w:lang w:val="el-GR"/>
        </w:rPr>
        <w:t>δ</w:t>
      </w:r>
      <w:r>
        <w:rPr>
          <w:bCs/>
          <w:szCs w:val="22"/>
          <w:lang w:val="el-GR"/>
        </w:rPr>
        <w:t>έ</w:t>
      </w:r>
      <w:r w:rsidRPr="00B51852">
        <w:t xml:space="preserve"> here: not contrast but qualification. One may perhaps paraphrase: “Although a disciple is not above his teacher</w:t>
      </w:r>
      <w:r w:rsidR="006F304D" w:rsidRPr="006F304D">
        <w:t xml:space="preserve">, </w:t>
      </w:r>
      <w:r w:rsidRPr="00B51852">
        <w:t xml:space="preserve">I will tell you the true relation between them: every one </w:t>
      </w:r>
      <w:r>
        <w:t>. . .”</w:t>
      </w:r>
    </w:p>
  </w:footnote>
  <w:footnote w:id="527">
    <w:p w14:paraId="7BFB6B3D" w14:textId="17FCBE14" w:rsidR="0018433B" w:rsidRDefault="0018433B" w:rsidP="00573F48">
      <w:pPr>
        <w:pStyle w:val="FootnoteText"/>
      </w:pPr>
      <w:r>
        <w:rPr>
          <w:rStyle w:val="FootnoteReference"/>
        </w:rPr>
        <w:footnoteRef/>
      </w:r>
      <w:r>
        <w:t xml:space="preserve"> Th</w:t>
      </w:r>
      <w:r w:rsidRPr="00B51852">
        <w:t>e direct address does not make the si</w:t>
      </w:r>
      <w:r>
        <w:t>militude of 41 into a parable. T</w:t>
      </w:r>
      <w:r w:rsidRPr="00B51852">
        <w:t>hough the direct address adds a necessary narrative element</w:t>
      </w:r>
      <w:r w:rsidR="006F304D" w:rsidRPr="006F304D">
        <w:t xml:space="preserve">, </w:t>
      </w:r>
      <w:r w:rsidRPr="00B51852">
        <w:t>the introductory clause</w:t>
      </w:r>
      <w:r w:rsidR="006F304D" w:rsidRPr="006F304D">
        <w:t xml:space="preserve">, </w:t>
      </w:r>
      <w:r w:rsidRPr="00B51852">
        <w:t>42a (</w:t>
      </w:r>
      <w:r>
        <w:t>“</w:t>
      </w:r>
      <w:r w:rsidRPr="00CD75A6">
        <w:t>Or h</w:t>
      </w:r>
      <w:r>
        <w:t>ow can you say to your neighbor</w:t>
      </w:r>
      <w:r w:rsidRPr="00B51852">
        <w:t xml:space="preserve">”) keep the action </w:t>
      </w:r>
      <w:r w:rsidRPr="00FF03AB">
        <w:t>“</w:t>
      </w:r>
      <w:r w:rsidRPr="00B51852">
        <w:t>subjunctive,</w:t>
      </w:r>
      <w:r w:rsidRPr="00FF03AB">
        <w:t>”</w:t>
      </w:r>
      <w:r w:rsidRPr="00B51852">
        <w:t xml:space="preserve"> in the realm of the potential.</w:t>
      </w:r>
    </w:p>
  </w:footnote>
  <w:footnote w:id="528">
    <w:p w14:paraId="774E071B" w14:textId="320B2D01" w:rsidR="0018433B" w:rsidRDefault="0018433B" w:rsidP="00573F48">
      <w:pPr>
        <w:pStyle w:val="FootnoteText"/>
      </w:pPr>
      <w:r>
        <w:rPr>
          <w:rStyle w:val="FootnoteReference"/>
        </w:rPr>
        <w:footnoteRef/>
      </w:r>
      <w:r>
        <w:t xml:space="preserve"> </w:t>
      </w:r>
      <w:r w:rsidRPr="00B51852">
        <w:t>One cannot escape the impression that the original saying was merely 41</w:t>
      </w:r>
      <w:r w:rsidR="006F304D" w:rsidRPr="006F304D">
        <w:t xml:space="preserve">, </w:t>
      </w:r>
      <w:r w:rsidRPr="00B51852">
        <w:t>and that 42abc and 42de were added later. Interestingly</w:t>
      </w:r>
      <w:r w:rsidR="006F304D" w:rsidRPr="006F304D">
        <w:t xml:space="preserve">, </w:t>
      </w:r>
      <w:r w:rsidRPr="00B51852">
        <w:t xml:space="preserve">saying 26 in the </w:t>
      </w:r>
      <w:r w:rsidRPr="00B51852">
        <w:rPr>
          <w:i/>
          <w:iCs/>
        </w:rPr>
        <w:t>Gospel of Thomas</w:t>
      </w:r>
      <w:r w:rsidRPr="005B6B48">
        <w:rPr>
          <w:iCs/>
        </w:rPr>
        <w:t xml:space="preserve"> </w:t>
      </w:r>
      <w:r w:rsidRPr="00B51852">
        <w:t xml:space="preserve">has 41 </w:t>
      </w:r>
      <w:r w:rsidRPr="00B51852">
        <w:rPr>
          <w:szCs w:val="27"/>
        </w:rPr>
        <w:t xml:space="preserve">+ </w:t>
      </w:r>
      <w:r w:rsidRPr="00B51852">
        <w:t>42de</w:t>
      </w:r>
      <w:r w:rsidR="006F304D" w:rsidRPr="006F304D">
        <w:t xml:space="preserve">, </w:t>
      </w:r>
      <w:r>
        <w:t>lacking</w:t>
      </w:r>
      <w:r w:rsidRPr="00B51852">
        <w:t xml:space="preserve"> 42abc (Robinson and Koester</w:t>
      </w:r>
      <w:r w:rsidR="006F304D" w:rsidRPr="006F304D">
        <w:t xml:space="preserve">, </w:t>
      </w:r>
      <w:r w:rsidRPr="00B51852">
        <w:rPr>
          <w:i/>
          <w:iCs/>
        </w:rPr>
        <w:t>Trajectories through Early Christianity</w:t>
      </w:r>
      <w:r w:rsidRPr="005B6B48">
        <w:rPr>
          <w:iCs/>
        </w:rPr>
        <w:t xml:space="preserve"> </w:t>
      </w:r>
      <w:r>
        <w:t>181-</w:t>
      </w:r>
      <w:r w:rsidRPr="00B51852">
        <w:t>82 n. 80</w:t>
      </w:r>
      <w:r>
        <w:t>)</w:t>
      </w:r>
      <w:r w:rsidRPr="00B51852">
        <w:t>.</w:t>
      </w:r>
    </w:p>
  </w:footnote>
  <w:footnote w:id="529">
    <w:p w14:paraId="07739212" w14:textId="79AD89FE" w:rsidR="0018433B" w:rsidRDefault="0018433B" w:rsidP="00573F48">
      <w:pPr>
        <w:pStyle w:val="FootnoteText"/>
      </w:pPr>
      <w:r>
        <w:rPr>
          <w:rStyle w:val="FootnoteReference"/>
        </w:rPr>
        <w:footnoteRef/>
      </w:r>
      <w:r>
        <w:t xml:space="preserve"> </w:t>
      </w:r>
      <w:r w:rsidRPr="00B51852">
        <w:t>Familiarity with these verses sho</w:t>
      </w:r>
      <w:r>
        <w:t>u</w:t>
      </w:r>
      <w:r w:rsidRPr="00B51852">
        <w:t xml:space="preserve">ld not make us miss their humor: </w:t>
      </w:r>
      <w:r>
        <w:t>“</w:t>
      </w:r>
      <w:r w:rsidRPr="00B51852">
        <w:t xml:space="preserve">The figure of the beam </w:t>
      </w:r>
      <w:r w:rsidRPr="00B51852">
        <w:rPr>
          <w:szCs w:val="23"/>
        </w:rPr>
        <w:t xml:space="preserve">is </w:t>
      </w:r>
      <w:r w:rsidRPr="00B51852">
        <w:t>intentionally grotesque” (Easton</w:t>
      </w:r>
      <w:r w:rsidR="006F304D" w:rsidRPr="006F304D">
        <w:t xml:space="preserve">, </w:t>
      </w:r>
      <w:r w:rsidRPr="00B51852">
        <w:rPr>
          <w:i/>
          <w:iCs/>
        </w:rPr>
        <w:t>Gospel According to St</w:t>
      </w:r>
      <w:r w:rsidRPr="00B51852">
        <w:rPr>
          <w:iCs/>
        </w:rPr>
        <w:t xml:space="preserve">. </w:t>
      </w:r>
      <w:r w:rsidRPr="00B51852">
        <w:rPr>
          <w:i/>
          <w:iCs/>
        </w:rPr>
        <w:t>Luke</w:t>
      </w:r>
      <w:r w:rsidRPr="005B6B48">
        <w:rPr>
          <w:iCs/>
        </w:rPr>
        <w:t xml:space="preserve"> </w:t>
      </w:r>
      <w:r w:rsidRPr="00B51852">
        <w:t>91).</w:t>
      </w:r>
    </w:p>
  </w:footnote>
  <w:footnote w:id="530">
    <w:p w14:paraId="77B7685E" w14:textId="34B90EC4" w:rsidR="0018433B" w:rsidRDefault="0018433B" w:rsidP="00573F48">
      <w:pPr>
        <w:pStyle w:val="FootnoteText"/>
      </w:pPr>
      <w:r>
        <w:rPr>
          <w:rStyle w:val="FootnoteReference"/>
        </w:rPr>
        <w:footnoteRef/>
      </w:r>
      <w:r>
        <w:t xml:space="preserve"> Th</w:t>
      </w:r>
      <w:r w:rsidRPr="00B51852">
        <w:t>is conclusion</w:t>
      </w:r>
      <w:r w:rsidR="006F304D" w:rsidRPr="006F304D">
        <w:t xml:space="preserve">, </w:t>
      </w:r>
      <w:r w:rsidRPr="00B51852">
        <w:t>drawn on internal grounds</w:t>
      </w:r>
      <w:r w:rsidR="006F304D" w:rsidRPr="006F304D">
        <w:t xml:space="preserve">, </w:t>
      </w:r>
      <w:r w:rsidRPr="00B51852">
        <w:t xml:space="preserve">is further supported by </w:t>
      </w:r>
      <w:r>
        <w:t xml:space="preserve">the absence of “comes to me” in verse </w:t>
      </w:r>
      <w:r w:rsidRPr="00B51852">
        <w:t>47</w:t>
      </w:r>
      <w:r>
        <w:t>’s</w:t>
      </w:r>
      <w:r w:rsidRPr="00B51852">
        <w:t xml:space="preserve"> Matthean equivalent</w:t>
      </w:r>
      <w:r w:rsidR="006F304D" w:rsidRPr="006F304D">
        <w:t xml:space="preserve">, </w:t>
      </w:r>
      <w:r w:rsidRPr="00B51852">
        <w:t xml:space="preserve">Matt 7:24: </w:t>
      </w:r>
      <w:r>
        <w:t>“</w:t>
      </w:r>
      <w:r w:rsidRPr="00312CCD">
        <w:t>Everyone then who hears these words of mine and acts on them</w:t>
      </w:r>
      <w:r>
        <w:t xml:space="preserve"> . . .”</w:t>
      </w:r>
    </w:p>
  </w:footnote>
  <w:footnote w:id="531">
    <w:p w14:paraId="522BE851" w14:textId="1341F6F6" w:rsidR="0018433B" w:rsidRDefault="0018433B" w:rsidP="00573F48">
      <w:pPr>
        <w:pStyle w:val="FootnoteText"/>
      </w:pPr>
      <w:r>
        <w:rPr>
          <w:rStyle w:val="FootnoteReference"/>
        </w:rPr>
        <w:footnoteRef/>
      </w:r>
      <w:r>
        <w:t xml:space="preserve"> </w:t>
      </w:r>
      <w:r w:rsidRPr="00B51852">
        <w:t>While Luke refers to three actions</w:t>
      </w:r>
      <w:r w:rsidRPr="00230C90">
        <w:t>—</w:t>
      </w:r>
      <w:r w:rsidRPr="00B51852">
        <w:t>digging</w:t>
      </w:r>
      <w:r w:rsidR="006F304D" w:rsidRPr="006F304D">
        <w:t xml:space="preserve">, </w:t>
      </w:r>
      <w:r w:rsidRPr="00B51852">
        <w:t>deepening</w:t>
      </w:r>
      <w:r w:rsidR="006F304D" w:rsidRPr="006F304D">
        <w:t xml:space="preserve">, </w:t>
      </w:r>
      <w:r w:rsidRPr="00B51852">
        <w:t>and founding on rock</w:t>
      </w:r>
      <w:r w:rsidRPr="00230C90">
        <w:t>—</w:t>
      </w:r>
      <w:r w:rsidRPr="00B51852">
        <w:t>Matthew 7:24 refers only to founding on rock (</w:t>
      </w:r>
      <w:r w:rsidRPr="00DE5DE9">
        <w:rPr>
          <w:bCs/>
          <w:kern w:val="0"/>
          <w:szCs w:val="20"/>
          <w:lang w:val="el-GR"/>
        </w:rPr>
        <w:t>οἰκοδομέω</w:t>
      </w:r>
      <w:r>
        <w:rPr>
          <w:bCs/>
          <w:szCs w:val="20"/>
        </w:rPr>
        <w:t xml:space="preserve"> </w:t>
      </w:r>
      <w:r w:rsidRPr="00873AEB">
        <w:rPr>
          <w:bCs/>
          <w:szCs w:val="20"/>
        </w:rPr>
        <w:t>τὴν οἰκίαν ἐπὶ τὴν πέτραν</w:t>
      </w:r>
      <w:r w:rsidRPr="00B51852">
        <w:t>). Many commentators have proposed that Matthew’s house on sand re</w:t>
      </w:r>
      <w:r w:rsidRPr="00B51852">
        <w:softHyphen/>
        <w:t>flects his (or his audience’s) Palestinian background</w:t>
      </w:r>
      <w:r w:rsidR="006F304D" w:rsidRPr="006F304D">
        <w:t xml:space="preserve">, </w:t>
      </w:r>
      <w:r w:rsidRPr="00B51852">
        <w:t xml:space="preserve">while Luke’s house on soil reflects his </w:t>
      </w:r>
      <w:r w:rsidRPr="004C516D">
        <w:t>(</w:t>
      </w:r>
      <w:r w:rsidRPr="00B51852">
        <w:t>or his audience’s) Hellenistic background. Perhaps th</w:t>
      </w:r>
      <w:r>
        <w:t>e additional verbs in Luke 6:48 (σκάπω</w:t>
      </w:r>
      <w:r w:rsidR="006F304D" w:rsidRPr="006F304D">
        <w:rPr>
          <w:rFonts w:eastAsia="Arial"/>
          <w:szCs w:val="22"/>
        </w:rPr>
        <w:t xml:space="preserve">, </w:t>
      </w:r>
      <w:r>
        <w:t>βαθύω)</w:t>
      </w:r>
      <w:r w:rsidRPr="00B51852">
        <w:t xml:space="preserve"> also reflect this difference in climatic and architectural background.</w:t>
      </w:r>
    </w:p>
  </w:footnote>
  <w:footnote w:id="532">
    <w:p w14:paraId="797C432A" w14:textId="54C52CBB" w:rsidR="0018433B" w:rsidRDefault="0018433B" w:rsidP="00573F48">
      <w:pPr>
        <w:pStyle w:val="FootnoteText"/>
      </w:pPr>
      <w:r>
        <w:rPr>
          <w:rStyle w:val="FootnoteReference"/>
        </w:rPr>
        <w:footnoteRef/>
      </w:r>
      <w:r>
        <w:t xml:space="preserve"> </w:t>
      </w:r>
      <w:r w:rsidRPr="0050641A">
        <w:t xml:space="preserve">If Luke had before him in </w:t>
      </w:r>
      <w:r w:rsidRPr="0050641A">
        <w:rPr>
          <w:rFonts w:eastAsia="Arial"/>
        </w:rPr>
        <w:t xml:space="preserve">Q </w:t>
      </w:r>
      <w:r w:rsidRPr="0050641A">
        <w:t xml:space="preserve">the </w:t>
      </w:r>
      <w:r>
        <w:t xml:space="preserve">more </w:t>
      </w:r>
      <w:r w:rsidRPr="0050641A">
        <w:t>sweeping description of the storm as found in Matthew</w:t>
      </w:r>
      <w:r w:rsidR="006F304D" w:rsidRPr="006F304D">
        <w:t xml:space="preserve">, </w:t>
      </w:r>
      <w:r w:rsidRPr="0050641A">
        <w:t xml:space="preserve">then perhaps πλημμύρης δὲ γενομένης </w:t>
      </w:r>
      <w:r>
        <w:t>(lit. “but a flood</w:t>
      </w:r>
      <w:r w:rsidR="006F304D" w:rsidRPr="006F304D">
        <w:t xml:space="preserve">, </w:t>
      </w:r>
      <w:r>
        <w:t xml:space="preserve">becoming,”) </w:t>
      </w:r>
      <w:r w:rsidRPr="0050641A">
        <w:t xml:space="preserve">is the sole </w:t>
      </w:r>
      <w:r>
        <w:t xml:space="preserve">echo of </w:t>
      </w:r>
      <w:r w:rsidRPr="0050641A">
        <w:t xml:space="preserve">that </w:t>
      </w:r>
      <w:r>
        <w:t xml:space="preserve">more </w:t>
      </w:r>
      <w:r w:rsidRPr="0050641A">
        <w:t>ample description: Matt 7:25 reads</w:t>
      </w:r>
      <w:r w:rsidR="006F304D" w:rsidRPr="006F304D">
        <w:t xml:space="preserve">, </w:t>
      </w:r>
      <w:r w:rsidRPr="0050641A">
        <w:t>“The rain fell</w:t>
      </w:r>
      <w:r w:rsidR="006F304D" w:rsidRPr="006F304D">
        <w:t xml:space="preserve">, </w:t>
      </w:r>
      <w:r w:rsidRPr="0050641A">
        <w:t>the floods came</w:t>
      </w:r>
      <w:r>
        <w:t xml:space="preserve"> [</w:t>
      </w:r>
      <w:r w:rsidRPr="0050641A">
        <w:rPr>
          <w:kern w:val="0"/>
          <w:szCs w:val="20"/>
          <w:lang w:val="el-GR"/>
        </w:rPr>
        <w:t>ἦλθον οἱ ποταμοὶ</w:t>
      </w:r>
      <w:r w:rsidR="006F304D" w:rsidRPr="006F304D">
        <w:rPr>
          <w:kern w:val="0"/>
          <w:szCs w:val="20"/>
        </w:rPr>
        <w:t xml:space="preserve">, </w:t>
      </w:r>
      <w:r>
        <w:rPr>
          <w:kern w:val="0"/>
          <w:szCs w:val="20"/>
        </w:rPr>
        <w:t>the river came]</w:t>
      </w:r>
      <w:r w:rsidR="006F304D" w:rsidRPr="006F304D">
        <w:t xml:space="preserve">, </w:t>
      </w:r>
      <w:r w:rsidRPr="0050641A">
        <w:t>and the winds blew and beat on that house” (</w:t>
      </w:r>
      <w:r w:rsidRPr="0050641A">
        <w:rPr>
          <w:kern w:val="0"/>
          <w:szCs w:val="20"/>
          <w:lang w:val="el-GR"/>
        </w:rPr>
        <w:t>καὶ κατέβη ἡ βροχὴ καὶ ἦλθον οἱ ποταμοὶ καὶ ἔπνευσαν οἱ ἄνεμοι καὶ προσέπεσαν τῇ οἰκίᾳ ἐκείνη</w:t>
      </w:r>
      <w:r w:rsidRPr="0050641A">
        <w:t>).</w:t>
      </w:r>
      <w:r>
        <w:t xml:space="preserve"> </w:t>
      </w:r>
      <w:r w:rsidRPr="00B51852">
        <w:t>Matthew repeats this description word for word when the storm comes against the second house. Luke</w:t>
      </w:r>
      <w:r w:rsidR="006F304D" w:rsidRPr="006F304D">
        <w:t xml:space="preserve">, </w:t>
      </w:r>
      <w:r w:rsidRPr="00B51852">
        <w:t>on the other hand</w:t>
      </w:r>
      <w:r w:rsidR="006F304D" w:rsidRPr="006F304D">
        <w:t xml:space="preserve">, </w:t>
      </w:r>
      <w:r w:rsidRPr="00B51852">
        <w:t>drops even</w:t>
      </w:r>
      <w:r>
        <w:t xml:space="preserve"> </w:t>
      </w:r>
      <w:r w:rsidRPr="0050641A">
        <w:t>πλημμύρης δὲ γενομένης</w:t>
      </w:r>
      <w:r>
        <w:t xml:space="preserve"> for the second storm</w:t>
      </w:r>
      <w:r w:rsidRPr="00B51852">
        <w:t xml:space="preserve"> (49b)</w:t>
      </w:r>
      <w:r w:rsidRPr="00B51852">
        <w:rPr>
          <w:rFonts w:eastAsia="Arial"/>
          <w:iCs/>
          <w:szCs w:val="27"/>
        </w:rPr>
        <w:t xml:space="preserve">. </w:t>
      </w:r>
      <w:r w:rsidRPr="00B51852">
        <w:t>Presumably this deletion merely reflects the ability of 49 to be elliptical</w:t>
      </w:r>
      <w:r w:rsidR="006F304D" w:rsidRPr="006F304D">
        <w:t xml:space="preserve">, </w:t>
      </w:r>
      <w:r w:rsidRPr="00B51852">
        <w:t>now that 48 has preceded it.</w:t>
      </w:r>
    </w:p>
  </w:footnote>
  <w:footnote w:id="533">
    <w:p w14:paraId="2F2996FF" w14:textId="5869EB3A" w:rsidR="0018433B" w:rsidRDefault="0018433B" w:rsidP="00573F48">
      <w:pPr>
        <w:pStyle w:val="FootnoteText"/>
      </w:pPr>
      <w:r>
        <w:rPr>
          <w:rStyle w:val="FootnoteReference"/>
        </w:rPr>
        <w:footnoteRef/>
      </w:r>
      <w:r>
        <w:t xml:space="preserve"> The parallel in Matt</w:t>
      </w:r>
      <w:r w:rsidRPr="00B51852">
        <w:t xml:space="preserve"> 7:25</w:t>
      </w:r>
      <w:r w:rsidR="006F304D" w:rsidRPr="006F304D">
        <w:t xml:space="preserve">, </w:t>
      </w:r>
      <w:r w:rsidRPr="00422AD4">
        <w:t>τεθεμελίωτο γὰρ ἐπὶ τὴν πέτραν</w:t>
      </w:r>
      <w:r w:rsidRPr="00B51852">
        <w:t xml:space="preserve"> </w:t>
      </w:r>
      <w:r>
        <w:t>(</w:t>
      </w:r>
      <w:r w:rsidRPr="00B51852">
        <w:t>“because it had been founded on rock</w:t>
      </w:r>
      <w:r>
        <w:t>”)</w:t>
      </w:r>
      <w:r w:rsidR="006F304D" w:rsidRPr="006F304D">
        <w:t xml:space="preserve">, </w:t>
      </w:r>
      <w:r w:rsidRPr="00B51852">
        <w:t xml:space="preserve">which many manuscripts </w:t>
      </w:r>
      <w:r w:rsidRPr="004C516D">
        <w:t>(</w:t>
      </w:r>
      <w:r w:rsidRPr="00B51852">
        <w:t>mostly of the Caesarean</w:t>
      </w:r>
      <w:r w:rsidR="006F304D" w:rsidRPr="006F304D">
        <w:t xml:space="preserve">, </w:t>
      </w:r>
      <w:r w:rsidRPr="00B51852">
        <w:t>Western</w:t>
      </w:r>
      <w:r w:rsidR="006F304D" w:rsidRPr="006F304D">
        <w:t xml:space="preserve">, </w:t>
      </w:r>
      <w:r w:rsidRPr="00B51852">
        <w:t>and Byzantine text-types) have adopted into Luke’s text at this point</w:t>
      </w:r>
      <w:r w:rsidR="006F304D" w:rsidRPr="006F304D">
        <w:t xml:space="preserve">, </w:t>
      </w:r>
      <w:r w:rsidRPr="00B51852">
        <w:t>is no less redundant. It is interesting to note that the very early P</w:t>
      </w:r>
      <w:r w:rsidRPr="00B51852">
        <w:rPr>
          <w:vertAlign w:val="superscript"/>
        </w:rPr>
        <w:t>75</w:t>
      </w:r>
      <w:r w:rsidRPr="00422AD4">
        <w:t xml:space="preserve"> </w:t>
      </w:r>
      <w:r w:rsidRPr="00B51852">
        <w:t>does not definitely attest the Lucan phrase</w:t>
      </w:r>
      <w:r w:rsidR="006F304D" w:rsidRPr="006F304D">
        <w:t xml:space="preserve">, </w:t>
      </w:r>
      <w:r>
        <w:t xml:space="preserve">“because it had been well built” (48d); </w:t>
      </w:r>
      <w:r w:rsidRPr="00B51852">
        <w:t>and the phrase appears to be missing in P</w:t>
      </w:r>
      <w:r w:rsidRPr="00B51852">
        <w:rPr>
          <w:szCs w:val="20"/>
          <w:vertAlign w:val="superscript"/>
        </w:rPr>
        <w:t>45</w:t>
      </w:r>
      <w:r w:rsidR="006F304D" w:rsidRPr="006F304D">
        <w:rPr>
          <w:szCs w:val="20"/>
        </w:rPr>
        <w:t xml:space="preserve">, </w:t>
      </w:r>
      <w:r>
        <w:t>minuscule 700</w:t>
      </w:r>
      <w:r w:rsidR="006F304D" w:rsidRPr="006F304D">
        <w:t xml:space="preserve">, </w:t>
      </w:r>
      <w:r>
        <w:t>and the Sinai</w:t>
      </w:r>
      <w:r w:rsidRPr="00B51852">
        <w:t>tic Syriac. Could “because it had been well built” be an unoriginal phrase</w:t>
      </w:r>
      <w:r w:rsidR="006F304D" w:rsidRPr="006F304D">
        <w:t xml:space="preserve">, </w:t>
      </w:r>
      <w:r w:rsidRPr="00B51852">
        <w:t>added very early in the gospel’s transmission by someone with a moralizing tendency to add emphasis to the obvious?</w:t>
      </w:r>
    </w:p>
  </w:footnote>
  <w:footnote w:id="534">
    <w:p w14:paraId="69928E79" w14:textId="1AF8B559" w:rsidR="0018433B" w:rsidRDefault="0018433B" w:rsidP="00573F48">
      <w:pPr>
        <w:pStyle w:val="FootnoteText"/>
      </w:pPr>
      <w:r>
        <w:rPr>
          <w:rStyle w:val="FootnoteReference"/>
        </w:rPr>
        <w:footnoteRef/>
      </w:r>
      <w:r>
        <w:t xml:space="preserve"> </w:t>
      </w:r>
      <w:r w:rsidRPr="00B51852">
        <w:t>See Plummer</w:t>
      </w:r>
      <w:r w:rsidR="006F304D" w:rsidRPr="006F304D">
        <w:t xml:space="preserve">, </w:t>
      </w:r>
      <w:r w:rsidRPr="00B51852">
        <w:rPr>
          <w:i/>
          <w:iCs/>
        </w:rPr>
        <w:t>Commentary on the Gospel According to S</w:t>
      </w:r>
      <w:r>
        <w:rPr>
          <w:i/>
          <w:iCs/>
        </w:rPr>
        <w:t>t</w:t>
      </w:r>
      <w:r w:rsidRPr="00B51852">
        <w:rPr>
          <w:iCs/>
        </w:rPr>
        <w:t xml:space="preserve">. </w:t>
      </w:r>
      <w:r w:rsidRPr="00B51852">
        <w:rPr>
          <w:i/>
          <w:iCs/>
        </w:rPr>
        <w:t>Luke</w:t>
      </w:r>
      <w:r w:rsidRPr="00422AD4">
        <w:rPr>
          <w:iCs/>
        </w:rPr>
        <w:t xml:space="preserve"> </w:t>
      </w:r>
      <w:r w:rsidRPr="00B51852">
        <w:t>193: ‘The au</w:t>
      </w:r>
      <w:r w:rsidRPr="00B51852">
        <w:softHyphen/>
        <w:t>dience are left with the crash of the unreal disciple’s house sounidng in their ears.”</w:t>
      </w:r>
    </w:p>
  </w:footnote>
  <w:footnote w:id="535">
    <w:p w14:paraId="3670AFFE" w14:textId="299019D6" w:rsidR="0018433B" w:rsidRDefault="0018433B" w:rsidP="00573F48">
      <w:pPr>
        <w:pStyle w:val="FootnoteText"/>
      </w:pPr>
      <w:r>
        <w:rPr>
          <w:rStyle w:val="FootnoteReference"/>
        </w:rPr>
        <w:footnoteRef/>
      </w:r>
      <w:r>
        <w:t xml:space="preserve"> </w:t>
      </w:r>
      <w:r w:rsidRPr="00B51852">
        <w:t>Luce</w:t>
      </w:r>
      <w:r w:rsidR="006F304D" w:rsidRPr="006F304D">
        <w:t xml:space="preserve">, </w:t>
      </w:r>
      <w:r w:rsidRPr="00B51852">
        <w:rPr>
          <w:i/>
          <w:iCs/>
        </w:rPr>
        <w:t>Gospel According to S</w:t>
      </w:r>
      <w:r>
        <w:rPr>
          <w:i/>
          <w:iCs/>
        </w:rPr>
        <w:t>t</w:t>
      </w:r>
      <w:r w:rsidRPr="00B51852">
        <w:rPr>
          <w:iCs/>
        </w:rPr>
        <w:t xml:space="preserve">. </w:t>
      </w:r>
      <w:r w:rsidRPr="00B51852">
        <w:rPr>
          <w:i/>
          <w:iCs/>
        </w:rPr>
        <w:t>Luke</w:t>
      </w:r>
      <w:r w:rsidRPr="006B2056">
        <w:t xml:space="preserve"> </w:t>
      </w:r>
      <w:r w:rsidRPr="00B51852">
        <w:t>148. The 26th edition of Nestle-Aland also attaches 31 to 32-35.</w:t>
      </w:r>
    </w:p>
  </w:footnote>
  <w:footnote w:id="536">
    <w:p w14:paraId="1C1C7CAA" w14:textId="6EF4A3C8" w:rsidR="0018433B" w:rsidRDefault="0018433B" w:rsidP="00573F48">
      <w:pPr>
        <w:pStyle w:val="FootnoteText"/>
      </w:pPr>
      <w:r>
        <w:rPr>
          <w:rStyle w:val="FootnoteReference"/>
        </w:rPr>
        <w:footnoteRef/>
      </w:r>
      <w:r>
        <w:t xml:space="preserve"> See M.-J. Lagrange</w:t>
      </w:r>
      <w:r w:rsidRPr="00B51852">
        <w:t xml:space="preserve"> </w:t>
      </w:r>
      <w:r>
        <w:t>(</w:t>
      </w:r>
      <w:r w:rsidRPr="00B51852">
        <w:rPr>
          <w:i/>
          <w:iCs/>
        </w:rPr>
        <w:t>Evangile selon Saint Luc</w:t>
      </w:r>
      <w:r w:rsidRPr="00F93BA1">
        <w:rPr>
          <w:iCs/>
        </w:rPr>
        <w:t xml:space="preserve"> </w:t>
      </w:r>
      <w:r w:rsidRPr="00B51852">
        <w:t>194</w:t>
      </w:r>
      <w:r>
        <w:t>)</w:t>
      </w:r>
      <w:r w:rsidRPr="00B51852">
        <w:t>: “Jesus does not say to his disciples</w:t>
      </w:r>
      <w:r w:rsidR="006F304D" w:rsidRPr="006F304D">
        <w:t xml:space="preserve">, </w:t>
      </w:r>
      <w:r w:rsidRPr="00B51852">
        <w:t>‘Treat others as you would like to be treated if you were the aggressors,’ for this hypothesis need not be posed.” Lagrange</w:t>
      </w:r>
      <w:r w:rsidR="006F304D" w:rsidRPr="006F304D">
        <w:t xml:space="preserve">, </w:t>
      </w:r>
      <w:r w:rsidRPr="00B51852">
        <w:t>nevertheless</w:t>
      </w:r>
      <w:r w:rsidR="006F304D" w:rsidRPr="006F304D">
        <w:t xml:space="preserve">, </w:t>
      </w:r>
      <w:r w:rsidRPr="00B51852">
        <w:t xml:space="preserve">is another who makes 31 an introduction to what follows (ibid.): </w:t>
      </w:r>
      <w:r w:rsidRPr="00FF03AB">
        <w:t>“</w:t>
      </w:r>
      <w:r w:rsidRPr="00B51852">
        <w:t xml:space="preserve">verse 31 is </w:t>
      </w:r>
      <w:r w:rsidRPr="002E0FF6">
        <w:t>. . .</w:t>
      </w:r>
      <w:r w:rsidRPr="00B51852">
        <w:t xml:space="preserve"> a general principle</w:t>
      </w:r>
      <w:r w:rsidR="006F304D" w:rsidRPr="006F304D">
        <w:t xml:space="preserve">, </w:t>
      </w:r>
      <w:r w:rsidRPr="00B51852">
        <w:t>which it is necessary to take as such</w:t>
      </w:r>
      <w:r w:rsidR="006F304D" w:rsidRPr="006F304D">
        <w:t xml:space="preserve">, </w:t>
      </w:r>
      <w:r w:rsidRPr="00B51852">
        <w:t>and which serves to establish what follows.”</w:t>
      </w:r>
    </w:p>
  </w:footnote>
  <w:footnote w:id="537">
    <w:p w14:paraId="0BE753FD" w14:textId="12348F2F" w:rsidR="0018433B" w:rsidRDefault="0018433B" w:rsidP="00573F48">
      <w:pPr>
        <w:pStyle w:val="FootnoteText"/>
      </w:pPr>
      <w:r>
        <w:rPr>
          <w:rStyle w:val="FootnoteReference"/>
        </w:rPr>
        <w:footnoteRef/>
      </w:r>
      <w:r>
        <w:t xml:space="preserve"> Reinhold Merkelbach (“Ü</w:t>
      </w:r>
      <w:r w:rsidRPr="00B51852">
        <w:t>ber eine Stel</w:t>
      </w:r>
      <w:r>
        <w:t>le im Evangelium des Lukas,” Grä</w:t>
      </w:r>
      <w:r w:rsidRPr="00B51852">
        <w:t>zer</w:t>
      </w:r>
      <w:r>
        <w:t xml:space="preserve"> </w:t>
      </w:r>
      <w:r w:rsidRPr="00B51852">
        <w:t xml:space="preserve">Beitrage: </w:t>
      </w:r>
      <w:r w:rsidRPr="00B51852">
        <w:rPr>
          <w:i/>
          <w:iCs/>
        </w:rPr>
        <w:t>Zeitschrift fur die klassische Alerumswissenschaft</w:t>
      </w:r>
      <w:r w:rsidRPr="00F93BA1">
        <w:rPr>
          <w:iCs/>
        </w:rPr>
        <w:t xml:space="preserve"> </w:t>
      </w:r>
      <w:r>
        <w:t>1 [1973] 171-</w:t>
      </w:r>
      <w:r w:rsidRPr="00B51852">
        <w:t>75</w:t>
      </w:r>
      <w:r w:rsidR="006F304D" w:rsidRPr="006F304D">
        <w:t xml:space="preserve">, </w:t>
      </w:r>
      <w:r>
        <w:t>here 173</w:t>
      </w:r>
      <w:r w:rsidRPr="00B51852">
        <w:t>)</w:t>
      </w:r>
      <w:r>
        <w:t xml:space="preserve">. </w:t>
      </w:r>
      <w:r w:rsidRPr="00B51852">
        <w:t>Agreeing with Merkelbach is Lagrange (</w:t>
      </w:r>
      <w:r w:rsidRPr="00B51852">
        <w:rPr>
          <w:i/>
          <w:iCs/>
        </w:rPr>
        <w:t>Evangile selon Saint Luc</w:t>
      </w:r>
      <w:r w:rsidRPr="00F93BA1">
        <w:rPr>
          <w:iCs/>
        </w:rPr>
        <w:t xml:space="preserve"> </w:t>
      </w:r>
      <w:r w:rsidRPr="00B51852">
        <w:t>194</w:t>
      </w:r>
      <w:r w:rsidR="006F304D" w:rsidRPr="006F304D">
        <w:t xml:space="preserve">, </w:t>
      </w:r>
      <w:r w:rsidRPr="00B51852">
        <w:t>citing</w:t>
      </w:r>
      <w:r>
        <w:t xml:space="preserve"> </w:t>
      </w:r>
      <w:r w:rsidRPr="00B51852">
        <w:t>Schanz)</w:t>
      </w:r>
      <w:r w:rsidR="006F304D" w:rsidRPr="006F304D">
        <w:t xml:space="preserve">, </w:t>
      </w:r>
      <w:r w:rsidRPr="00B51852">
        <w:t xml:space="preserve">who also argues that </w:t>
      </w:r>
      <w:r>
        <w:t>“</w:t>
      </w:r>
      <w:r w:rsidRPr="00B51852">
        <w:t>The plural in place of the singular in itself indicates</w:t>
      </w:r>
      <w:r>
        <w:t xml:space="preserve"> </w:t>
      </w:r>
      <w:r w:rsidRPr="006A51BA">
        <w:t xml:space="preserve">a </w:t>
      </w:r>
      <w:r>
        <w:t>transition . . .”</w:t>
      </w:r>
    </w:p>
  </w:footnote>
  <w:footnote w:id="538">
    <w:p w14:paraId="448DB64D" w14:textId="13B4EED3" w:rsidR="0018433B" w:rsidRDefault="0018433B" w:rsidP="00573F48">
      <w:pPr>
        <w:pStyle w:val="FootnoteText"/>
      </w:pPr>
      <w:r>
        <w:rPr>
          <w:rStyle w:val="FootnoteReference"/>
        </w:rPr>
        <w:footnoteRef/>
      </w:r>
      <w:r>
        <w:t xml:space="preserve"> Th</w:t>
      </w:r>
      <w:r w:rsidRPr="006A51BA">
        <w:t>ey are not alone. Montefiore</w:t>
      </w:r>
      <w:r w:rsidR="006F304D" w:rsidRPr="006F304D">
        <w:t xml:space="preserve">, </w:t>
      </w:r>
      <w:r w:rsidRPr="006A51BA">
        <w:t xml:space="preserve">for example </w:t>
      </w:r>
      <w:r w:rsidRPr="004C516D">
        <w:t>(</w:t>
      </w:r>
      <w:r w:rsidRPr="006A51BA">
        <w:rPr>
          <w:i/>
          <w:iCs/>
        </w:rPr>
        <w:t>Gospel According to Luke</w:t>
      </w:r>
      <w:r w:rsidRPr="00F93BA1">
        <w:rPr>
          <w:iCs/>
        </w:rPr>
        <w:t xml:space="preserve"> </w:t>
      </w:r>
      <w:r w:rsidRPr="006A51BA">
        <w:t>417)</w:t>
      </w:r>
      <w:r w:rsidR="006F304D" w:rsidRPr="006F304D">
        <w:t xml:space="preserve">, </w:t>
      </w:r>
      <w:r w:rsidRPr="006A51BA">
        <w:t xml:space="preserve">although he says that </w:t>
      </w:r>
      <w:r w:rsidRPr="00FF03AB">
        <w:t>“</w:t>
      </w:r>
      <w:r w:rsidRPr="006A51BA">
        <w:t xml:space="preserve">31 justifies 27-30,” also maintains that </w:t>
      </w:r>
      <w:r w:rsidRPr="00FF03AB">
        <w:t>“</w:t>
      </w:r>
      <w:r w:rsidRPr="006A51BA">
        <w:t>32-34 are further il</w:t>
      </w:r>
      <w:r w:rsidRPr="006A51BA">
        <w:softHyphen/>
        <w:t>lustrations of 31.”</w:t>
      </w:r>
    </w:p>
  </w:footnote>
  <w:footnote w:id="539">
    <w:p w14:paraId="0B9773F4" w14:textId="2C13F78F" w:rsidR="0018433B" w:rsidRDefault="0018433B" w:rsidP="00573F48">
      <w:pPr>
        <w:pStyle w:val="FootnoteText"/>
      </w:pPr>
      <w:r>
        <w:rPr>
          <w:rStyle w:val="FootnoteReference"/>
        </w:rPr>
        <w:footnoteRef/>
      </w:r>
      <w:r>
        <w:t xml:space="preserve"> Another difference between 27-30 and 32-34 is that the latter is largely </w:t>
      </w:r>
      <w:r w:rsidRPr="006A51BA">
        <w:t>flaccid language</w:t>
      </w:r>
      <w:r w:rsidR="006F304D" w:rsidRPr="006F304D">
        <w:t xml:space="preserve">, </w:t>
      </w:r>
      <w:r>
        <w:t xml:space="preserve">whereas </w:t>
      </w:r>
      <w:r w:rsidRPr="006A51BA">
        <w:t xml:space="preserve">the </w:t>
      </w:r>
      <w:r>
        <w:t xml:space="preserve">former includes the </w:t>
      </w:r>
      <w:r w:rsidRPr="006A51BA">
        <w:t xml:space="preserve">crisp examples </w:t>
      </w:r>
      <w:r>
        <w:t>of turning the other cheek (29a) and foregoing both coat and shirt (29b).</w:t>
      </w:r>
    </w:p>
  </w:footnote>
  <w:footnote w:id="540">
    <w:p w14:paraId="4C481229" w14:textId="2E731997" w:rsidR="0018433B" w:rsidRPr="006A51BA" w:rsidRDefault="0018433B" w:rsidP="0018433B">
      <w:pPr>
        <w:pStyle w:val="Style"/>
        <w:widowControl/>
        <w:jc w:val="both"/>
        <w:textAlignment w:val="baseline"/>
        <w:rPr>
          <w:szCs w:val="25"/>
        </w:rPr>
      </w:pPr>
      <w:r>
        <w:rPr>
          <w:rStyle w:val="FootnoteReference"/>
        </w:rPr>
        <w:footnoteRef/>
      </w:r>
      <w:r>
        <w:t xml:space="preserve"> </w:t>
      </w:r>
      <w:r>
        <w:rPr>
          <w:szCs w:val="25"/>
        </w:rPr>
        <w:t>C</w:t>
      </w:r>
      <w:r w:rsidRPr="006A51BA">
        <w:rPr>
          <w:szCs w:val="25"/>
        </w:rPr>
        <w:t>uriously</w:t>
      </w:r>
      <w:r w:rsidR="006F304D" w:rsidRPr="006F304D">
        <w:rPr>
          <w:szCs w:val="25"/>
        </w:rPr>
        <w:t xml:space="preserve">, </w:t>
      </w:r>
      <w:r w:rsidRPr="006A51BA">
        <w:rPr>
          <w:szCs w:val="25"/>
        </w:rPr>
        <w:t>Merkelbach himself elsewhere declares that 31 really cannot serve</w:t>
      </w:r>
      <w:r>
        <w:rPr>
          <w:szCs w:val="25"/>
        </w:rPr>
        <w:t xml:space="preserve"> </w:t>
      </w:r>
      <w:r w:rsidRPr="006A51BA">
        <w:rPr>
          <w:szCs w:val="25"/>
        </w:rPr>
        <w:t>as an in</w:t>
      </w:r>
      <w:r>
        <w:rPr>
          <w:szCs w:val="25"/>
        </w:rPr>
        <w:t>troduction to 32-34 (“Ü</w:t>
      </w:r>
      <w:r w:rsidRPr="00B51852">
        <w:rPr>
          <w:szCs w:val="25"/>
        </w:rPr>
        <w:t>ber eine Stel</w:t>
      </w:r>
      <w:r>
        <w:rPr>
          <w:szCs w:val="25"/>
        </w:rPr>
        <w:t>le” 171-</w:t>
      </w:r>
      <w:r w:rsidRPr="006A51BA">
        <w:rPr>
          <w:szCs w:val="25"/>
        </w:rPr>
        <w:t>72):</w:t>
      </w:r>
    </w:p>
    <w:p w14:paraId="03ED836B" w14:textId="77777777" w:rsidR="0018433B" w:rsidRDefault="0018433B" w:rsidP="0018433B">
      <w:pPr>
        <w:pStyle w:val="Style"/>
        <w:widowControl/>
        <w:jc w:val="both"/>
        <w:textAlignment w:val="baseline"/>
        <w:rPr>
          <w:szCs w:val="25"/>
        </w:rPr>
      </w:pPr>
    </w:p>
    <w:p w14:paraId="49D74F27" w14:textId="6D62A22F" w:rsidR="0018433B" w:rsidRPr="006A51BA" w:rsidRDefault="0018433B" w:rsidP="0018433B">
      <w:pPr>
        <w:pStyle w:val="Style"/>
        <w:widowControl/>
        <w:ind w:left="720" w:right="720"/>
        <w:jc w:val="both"/>
        <w:textAlignment w:val="baseline"/>
        <w:rPr>
          <w:szCs w:val="25"/>
        </w:rPr>
      </w:pPr>
      <w:r w:rsidRPr="006A51BA">
        <w:rPr>
          <w:szCs w:val="25"/>
        </w:rPr>
        <w:t xml:space="preserve">In this setting [27-34] the golden rule is completely isolated </w:t>
      </w:r>
      <w:r>
        <w:rPr>
          <w:szCs w:val="25"/>
        </w:rPr>
        <w:t xml:space="preserve">. . . </w:t>
      </w:r>
      <w:r w:rsidRPr="006A51BA">
        <w:rPr>
          <w:szCs w:val="25"/>
        </w:rPr>
        <w:t>The context of ideas doubtless demands that the golden rule be negated; the words</w:t>
      </w:r>
      <w:r w:rsidR="006F304D" w:rsidRPr="006F304D">
        <w:rPr>
          <w:szCs w:val="25"/>
        </w:rPr>
        <w:t xml:space="preserve">, </w:t>
      </w:r>
      <w:r w:rsidRPr="00CE06CA">
        <w:rPr>
          <w:bCs/>
          <w:szCs w:val="22"/>
          <w:lang w:val="el-GR"/>
        </w:rPr>
        <w:t>καθὼς θέλετε</w:t>
      </w:r>
      <w:r>
        <w:rPr>
          <w:bCs/>
          <w:szCs w:val="22"/>
        </w:rPr>
        <w:t xml:space="preserve"> </w:t>
      </w:r>
      <w:r w:rsidRPr="00CE06CA">
        <w:rPr>
          <w:bCs/>
          <w:szCs w:val="22"/>
          <w:lang w:val="el-GR"/>
        </w:rPr>
        <w:t>ἵνα ποιῶσιν ὑμῖν οἱ ἄνθρωποι ποιεῖτε αὐτοῖς ὁμοίως</w:t>
      </w:r>
      <w:r>
        <w:rPr>
          <w:bCs/>
          <w:szCs w:val="22"/>
        </w:rPr>
        <w:t xml:space="preserve"> [“</w:t>
      </w:r>
      <w:r w:rsidRPr="00CD75A6">
        <w:t>Do to others</w:t>
      </w:r>
      <w:r>
        <w:t xml:space="preserve"> </w:t>
      </w:r>
      <w:r w:rsidRPr="00CD75A6">
        <w:t>as you would have them do to you</w:t>
      </w:r>
      <w:r>
        <w:t>”]</w:t>
      </w:r>
      <w:r w:rsidR="006F304D" w:rsidRPr="006F304D">
        <w:rPr>
          <w:szCs w:val="25"/>
        </w:rPr>
        <w:t xml:space="preserve">, </w:t>
      </w:r>
      <w:r w:rsidRPr="006A51BA">
        <w:rPr>
          <w:szCs w:val="25"/>
        </w:rPr>
        <w:t xml:space="preserve">cannot be meant as a preceding thesis statement </w:t>
      </w:r>
      <w:r>
        <w:rPr>
          <w:szCs w:val="25"/>
        </w:rPr>
        <w:t>. . .</w:t>
      </w:r>
    </w:p>
    <w:p w14:paraId="6404563F" w14:textId="77777777" w:rsidR="0018433B" w:rsidRDefault="0018433B" w:rsidP="00573F48">
      <w:pPr>
        <w:pStyle w:val="FootnoteText"/>
      </w:pPr>
    </w:p>
  </w:footnote>
  <w:footnote w:id="541">
    <w:p w14:paraId="156D88E1" w14:textId="200D5C6B" w:rsidR="0018433B" w:rsidRDefault="0018433B" w:rsidP="00573F48">
      <w:pPr>
        <w:pStyle w:val="FootnoteText"/>
      </w:pPr>
      <w:r>
        <w:rPr>
          <w:rStyle w:val="FootnoteReference"/>
        </w:rPr>
        <w:footnoteRef/>
      </w:r>
      <w:r>
        <w:t xml:space="preserve"> </w:t>
      </w:r>
      <w:r w:rsidRPr="006A51BA">
        <w:t>Among those who link 31 with the preceding verses (either 27-30 or 29-30) are Caird</w:t>
      </w:r>
      <w:r w:rsidR="006F304D" w:rsidRPr="006F304D">
        <w:t xml:space="preserve">, </w:t>
      </w:r>
      <w:r w:rsidRPr="006A51BA">
        <w:rPr>
          <w:i/>
          <w:iCs/>
        </w:rPr>
        <w:t>Gospel of St Luke</w:t>
      </w:r>
      <w:r w:rsidRPr="009B6200">
        <w:rPr>
          <w:iCs/>
        </w:rPr>
        <w:t xml:space="preserve"> </w:t>
      </w:r>
      <w:r w:rsidRPr="006A51BA">
        <w:t>104; Grundmann</w:t>
      </w:r>
      <w:r w:rsidR="006F304D" w:rsidRPr="006F304D">
        <w:t xml:space="preserve">, </w:t>
      </w:r>
      <w:r w:rsidRPr="006A51BA">
        <w:rPr>
          <w:i/>
          <w:iCs/>
        </w:rPr>
        <w:t>Evangelium nach Lukas</w:t>
      </w:r>
      <w:r w:rsidRPr="009B6200">
        <w:rPr>
          <w:iCs/>
        </w:rPr>
        <w:t xml:space="preserve"> </w:t>
      </w:r>
      <w:r w:rsidRPr="006A51BA">
        <w:t>146; Manson</w:t>
      </w:r>
      <w:r w:rsidR="006F304D" w:rsidRPr="006F304D">
        <w:t xml:space="preserve">, </w:t>
      </w:r>
      <w:r w:rsidRPr="006A51BA">
        <w:rPr>
          <w:i/>
          <w:iCs/>
        </w:rPr>
        <w:t>Gospel of Luke</w:t>
      </w:r>
      <w:r w:rsidRPr="009B6200">
        <w:rPr>
          <w:iCs/>
        </w:rPr>
        <w:t xml:space="preserve"> </w:t>
      </w:r>
      <w:r w:rsidRPr="006A51BA">
        <w:t>68; Schneider</w:t>
      </w:r>
      <w:r w:rsidR="006F304D" w:rsidRPr="006F304D">
        <w:t xml:space="preserve">, </w:t>
      </w:r>
      <w:r w:rsidRPr="006A51BA">
        <w:rPr>
          <w:i/>
          <w:iCs/>
        </w:rPr>
        <w:t>Evangelium nach Lukas</w:t>
      </w:r>
      <w:r w:rsidRPr="009B6200">
        <w:rPr>
          <w:iCs/>
        </w:rPr>
        <w:t xml:space="preserve"> </w:t>
      </w:r>
      <w:r w:rsidRPr="006A51BA">
        <w:t xml:space="preserve">155; </w:t>
      </w:r>
      <w:r>
        <w:t xml:space="preserve">and </w:t>
      </w:r>
      <w:r w:rsidRPr="006A51BA">
        <w:t>Talbert</w:t>
      </w:r>
      <w:r w:rsidR="006F304D" w:rsidRPr="006F304D">
        <w:t xml:space="preserve">, </w:t>
      </w:r>
      <w:r w:rsidRPr="006A51BA">
        <w:rPr>
          <w:i/>
          <w:iCs/>
        </w:rPr>
        <w:t>Reading Luke</w:t>
      </w:r>
      <w:r w:rsidRPr="009B6200">
        <w:rPr>
          <w:iCs/>
        </w:rPr>
        <w:t xml:space="preserve"> </w:t>
      </w:r>
      <w:r w:rsidRPr="006A51BA">
        <w:t>69</w:t>
      </w:r>
      <w:r w:rsidR="006F304D" w:rsidRPr="006F304D">
        <w:t xml:space="preserve">, </w:t>
      </w:r>
      <w:r w:rsidRPr="006A51BA">
        <w:t>73. Both the 1946 and the 1973 editions of the New Testament in the Revised Standard Version attach 31 to 27-30.</w:t>
      </w:r>
    </w:p>
  </w:footnote>
  <w:footnote w:id="542">
    <w:p w14:paraId="2628D8FC" w14:textId="2C345439" w:rsidR="0018433B" w:rsidRDefault="0018433B" w:rsidP="00573F48">
      <w:pPr>
        <w:pStyle w:val="FootnoteText"/>
      </w:pPr>
      <w:r>
        <w:rPr>
          <w:rStyle w:val="FootnoteReference"/>
        </w:rPr>
        <w:footnoteRef/>
      </w:r>
      <w:r>
        <w:t xml:space="preserve"> </w:t>
      </w:r>
      <w:r w:rsidRPr="006A51BA">
        <w:t>Fitzmyer</w:t>
      </w:r>
      <w:r w:rsidR="006F304D" w:rsidRPr="006F304D">
        <w:t xml:space="preserve">, </w:t>
      </w:r>
      <w:r w:rsidRPr="006A51BA">
        <w:t>for example</w:t>
      </w:r>
      <w:r w:rsidR="006F304D" w:rsidRPr="006F304D">
        <w:t xml:space="preserve">, </w:t>
      </w:r>
      <w:r w:rsidRPr="006A51BA">
        <w:t>after translating 32b</w:t>
      </w:r>
      <w:r w:rsidR="006F304D" w:rsidRPr="006F304D">
        <w:t xml:space="preserve">, </w:t>
      </w:r>
      <w:r w:rsidRPr="006A51BA">
        <w:t>33b</w:t>
      </w:r>
      <w:r w:rsidR="006F304D" w:rsidRPr="006F304D">
        <w:t xml:space="preserve">, </w:t>
      </w:r>
      <w:r w:rsidRPr="006A51BA">
        <w:t>34b as</w:t>
      </w:r>
      <w:r w:rsidR="006F304D" w:rsidRPr="006F304D">
        <w:t xml:space="preserve">, </w:t>
      </w:r>
      <w:r w:rsidRPr="006A51BA">
        <w:t>“what favor [</w:t>
      </w:r>
      <w:r w:rsidRPr="00CE06CA">
        <w:rPr>
          <w:bCs/>
          <w:szCs w:val="22"/>
          <w:lang w:val="el-GR"/>
        </w:rPr>
        <w:t>χάρις</w:t>
      </w:r>
      <w:r w:rsidRPr="006A51BA">
        <w:rPr>
          <w:rFonts w:eastAsia="Arial"/>
        </w:rPr>
        <w:t xml:space="preserve">] </w:t>
      </w:r>
      <w:r w:rsidRPr="006A51BA">
        <w:t>do you have?</w:t>
      </w:r>
      <w:r>
        <w:t>”</w:t>
      </w:r>
      <w:r w:rsidRPr="006A51BA">
        <w:t xml:space="preserve"> adds: “I.e. in the sight of someone else</w:t>
      </w:r>
      <w:r w:rsidR="006F304D" w:rsidRPr="006F304D">
        <w:t xml:space="preserve">, </w:t>
      </w:r>
      <w:r w:rsidRPr="006A51BA">
        <w:t>especially of God” (</w:t>
      </w:r>
      <w:r w:rsidRPr="006A51BA">
        <w:rPr>
          <w:i/>
          <w:iCs/>
        </w:rPr>
        <w:t>Gospel According to Luke</w:t>
      </w:r>
      <w:r w:rsidRPr="006A51BA">
        <w:rPr>
          <w:iCs/>
        </w:rPr>
        <w:t xml:space="preserve"> </w:t>
      </w:r>
      <w:r>
        <w:t>1.</w:t>
      </w:r>
      <w:r w:rsidRPr="006A51BA">
        <w:t>640).</w:t>
      </w:r>
    </w:p>
  </w:footnote>
  <w:footnote w:id="543">
    <w:p w14:paraId="08190CB3" w14:textId="4E15C5A0" w:rsidR="0018433B" w:rsidRDefault="0018433B" w:rsidP="00573F48">
      <w:pPr>
        <w:pStyle w:val="FootnoteText"/>
      </w:pPr>
      <w:r>
        <w:rPr>
          <w:rStyle w:val="FootnoteReference"/>
        </w:rPr>
        <w:footnoteRef/>
      </w:r>
      <w:r>
        <w:t xml:space="preserve"> See Robert Gleason</w:t>
      </w:r>
      <w:r w:rsidR="006F304D" w:rsidRPr="006F304D">
        <w:t xml:space="preserve">, </w:t>
      </w:r>
      <w:r>
        <w:t>SJ</w:t>
      </w:r>
      <w:r w:rsidR="006F304D" w:rsidRPr="006F304D">
        <w:t xml:space="preserve">, </w:t>
      </w:r>
      <w:r w:rsidRPr="006A51BA">
        <w:rPr>
          <w:i/>
          <w:iCs/>
        </w:rPr>
        <w:t>Grace</w:t>
      </w:r>
      <w:r>
        <w:rPr>
          <w:iCs/>
        </w:rPr>
        <w:t xml:space="preserve"> (</w:t>
      </w:r>
      <w:r>
        <w:t>New York: Sheed and Ward</w:t>
      </w:r>
      <w:r w:rsidR="006F304D" w:rsidRPr="006F304D">
        <w:t xml:space="preserve">, </w:t>
      </w:r>
      <w:r>
        <w:t>1962)</w:t>
      </w:r>
      <w:r w:rsidRPr="006A51BA">
        <w:t xml:space="preserve"> 39-54.</w:t>
      </w:r>
    </w:p>
  </w:footnote>
  <w:footnote w:id="544">
    <w:p w14:paraId="4408D7A3" w14:textId="3E46CD74" w:rsidR="0018433B" w:rsidRDefault="0018433B" w:rsidP="00573F48">
      <w:pPr>
        <w:pStyle w:val="FootnoteText"/>
      </w:pPr>
      <w:r>
        <w:rPr>
          <w:rStyle w:val="FootnoteReference"/>
        </w:rPr>
        <w:footnoteRef/>
      </w:r>
      <w:r>
        <w:t xml:space="preserve"> </w:t>
      </w:r>
      <w:r w:rsidRPr="009B6DAC">
        <w:t>BDAG</w:t>
      </w:r>
      <w:r>
        <w:t xml:space="preserve"> 98. (I.e.: </w:t>
      </w:r>
      <w:r w:rsidRPr="00653D6A">
        <w:t>Danker</w:t>
      </w:r>
      <w:r w:rsidR="006F304D" w:rsidRPr="006F304D">
        <w:t xml:space="preserve">, </w:t>
      </w:r>
      <w:r w:rsidRPr="00653D6A">
        <w:t>Frederick William</w:t>
      </w:r>
      <w:r w:rsidR="006F304D" w:rsidRPr="006F304D">
        <w:t xml:space="preserve">, </w:t>
      </w:r>
      <w:r>
        <w:t>et al.</w:t>
      </w:r>
      <w:r w:rsidR="00DC3006" w:rsidRPr="00DC3006">
        <w:rPr>
          <w:iCs/>
        </w:rPr>
        <w:t xml:space="preserve">. Eds. </w:t>
      </w:r>
      <w:r w:rsidRPr="00CD2E8A">
        <w:rPr>
          <w:i/>
        </w:rPr>
        <w:t>A Greek-English Lexicon of the New Testament and Other Early Christian Literature</w:t>
      </w:r>
      <w:r>
        <w:t xml:space="preserve"> [</w:t>
      </w:r>
      <w:r w:rsidRPr="00914F45">
        <w:t xml:space="preserve">Chicago: </w:t>
      </w:r>
      <w:r>
        <w:t>U of Chicago P</w:t>
      </w:r>
      <w:r w:rsidR="006F304D" w:rsidRPr="006F304D">
        <w:t xml:space="preserve">, </w:t>
      </w:r>
      <w:r>
        <w:t>2000].)</w:t>
      </w:r>
    </w:p>
  </w:footnote>
  <w:footnote w:id="545">
    <w:p w14:paraId="2245734A" w14:textId="0FCD34A6" w:rsidR="0018433B" w:rsidRPr="006A51BA" w:rsidRDefault="0018433B" w:rsidP="0018433B">
      <w:pPr>
        <w:pStyle w:val="Style"/>
        <w:widowControl/>
        <w:jc w:val="both"/>
        <w:textAlignment w:val="baseline"/>
        <w:rPr>
          <w:szCs w:val="25"/>
        </w:rPr>
      </w:pPr>
      <w:r>
        <w:rPr>
          <w:rStyle w:val="FootnoteReference"/>
        </w:rPr>
        <w:footnoteRef/>
      </w:r>
      <w:r>
        <w:t xml:space="preserve"> </w:t>
      </w:r>
      <w:r w:rsidRPr="006A51BA">
        <w:rPr>
          <w:szCs w:val="25"/>
        </w:rPr>
        <w:t>Merkelb</w:t>
      </w:r>
      <w:r>
        <w:rPr>
          <w:szCs w:val="25"/>
        </w:rPr>
        <w:t>ach</w:t>
      </w:r>
      <w:r w:rsidR="006F304D" w:rsidRPr="006F304D">
        <w:rPr>
          <w:szCs w:val="25"/>
        </w:rPr>
        <w:t xml:space="preserve">, </w:t>
      </w:r>
      <w:r>
        <w:rPr>
          <w:szCs w:val="25"/>
        </w:rPr>
        <w:t>“Über eine Stelle” 175.</w:t>
      </w:r>
      <w:r w:rsidRPr="006A51BA">
        <w:rPr>
          <w:szCs w:val="25"/>
        </w:rPr>
        <w:t xml:space="preserve"> </w:t>
      </w:r>
      <w:r w:rsidRPr="006A2286">
        <w:rPr>
          <w:i/>
          <w:szCs w:val="25"/>
        </w:rPr>
        <w:t>Sublimierteste</w:t>
      </w:r>
      <w:r w:rsidRPr="006A51BA">
        <w:rPr>
          <w:szCs w:val="25"/>
        </w:rPr>
        <w:t xml:space="preserve"> intimates that the golden rule is somehow a </w:t>
      </w:r>
      <w:r>
        <w:rPr>
          <w:szCs w:val="25"/>
        </w:rPr>
        <w:t>“</w:t>
      </w:r>
      <w:r w:rsidRPr="006A51BA">
        <w:rPr>
          <w:szCs w:val="25"/>
        </w:rPr>
        <w:t>nobler or purer” statement (</w:t>
      </w:r>
      <w:r w:rsidRPr="005337C7">
        <w:rPr>
          <w:i/>
          <w:szCs w:val="25"/>
        </w:rPr>
        <w:t>The</w:t>
      </w:r>
      <w:r w:rsidRPr="006A51BA">
        <w:rPr>
          <w:szCs w:val="25"/>
        </w:rPr>
        <w:t xml:space="preserve"> </w:t>
      </w:r>
      <w:r w:rsidRPr="006A51BA">
        <w:rPr>
          <w:i/>
          <w:iCs/>
          <w:szCs w:val="25"/>
        </w:rPr>
        <w:t>Random House College Dictionary</w:t>
      </w:r>
      <w:r w:rsidR="006F304D" w:rsidRPr="006F304D">
        <w:rPr>
          <w:iCs/>
          <w:szCs w:val="25"/>
        </w:rPr>
        <w:t xml:space="preserve">, </w:t>
      </w:r>
      <w:r w:rsidRPr="006A51BA">
        <w:rPr>
          <w:szCs w:val="25"/>
        </w:rPr>
        <w:t>rev. ed. [New York: Random House</w:t>
      </w:r>
      <w:r w:rsidR="006F304D" w:rsidRPr="006F304D">
        <w:rPr>
          <w:szCs w:val="25"/>
        </w:rPr>
        <w:t xml:space="preserve">, </w:t>
      </w:r>
      <w:r w:rsidRPr="006A51BA">
        <w:rPr>
          <w:szCs w:val="25"/>
        </w:rPr>
        <w:t>1972]</w:t>
      </w:r>
      <w:r w:rsidR="006F304D" w:rsidRPr="006F304D">
        <w:rPr>
          <w:szCs w:val="25"/>
        </w:rPr>
        <w:t xml:space="preserve">, </w:t>
      </w:r>
      <w:r w:rsidRPr="006A51BA">
        <w:rPr>
          <w:szCs w:val="25"/>
        </w:rPr>
        <w:t xml:space="preserve">loc. “sublimate”) of the principle of reciprocity. </w:t>
      </w:r>
      <w:r>
        <w:rPr>
          <w:szCs w:val="25"/>
        </w:rPr>
        <w:t>Compared t</w:t>
      </w:r>
      <w:r w:rsidRPr="006A51BA">
        <w:rPr>
          <w:szCs w:val="25"/>
        </w:rPr>
        <w:t>o what is it nobler or purer? Presumably</w:t>
      </w:r>
      <w:r w:rsidR="006F304D" w:rsidRPr="006F304D">
        <w:rPr>
          <w:szCs w:val="25"/>
        </w:rPr>
        <w:t xml:space="preserve">, </w:t>
      </w:r>
      <w:r w:rsidRPr="006A51BA">
        <w:rPr>
          <w:szCs w:val="25"/>
        </w:rPr>
        <w:t xml:space="preserve">to the older formulation of the </w:t>
      </w:r>
      <w:r w:rsidRPr="006A51BA">
        <w:rPr>
          <w:i/>
          <w:iCs/>
          <w:szCs w:val="25"/>
        </w:rPr>
        <w:t>lex talionis</w:t>
      </w:r>
      <w:r w:rsidR="006F304D" w:rsidRPr="006F304D">
        <w:rPr>
          <w:iCs/>
          <w:szCs w:val="25"/>
        </w:rPr>
        <w:t xml:space="preserve">, </w:t>
      </w:r>
      <w:r w:rsidRPr="006A51BA">
        <w:rPr>
          <w:iCs/>
          <w:szCs w:val="25"/>
        </w:rPr>
        <w:t>“</w:t>
      </w:r>
      <w:r w:rsidRPr="006A51BA">
        <w:rPr>
          <w:szCs w:val="25"/>
        </w:rPr>
        <w:t xml:space="preserve">an eye for an eye and </w:t>
      </w:r>
      <w:r>
        <w:rPr>
          <w:szCs w:val="25"/>
        </w:rPr>
        <w:t>a tooth for a tooth” (Matt 5:38; cf. Exod 21:24; Lev 24:20;</w:t>
      </w:r>
      <w:r w:rsidRPr="006A51BA">
        <w:rPr>
          <w:szCs w:val="25"/>
        </w:rPr>
        <w:t xml:space="preserve"> Deut 19:21). At any rate</w:t>
      </w:r>
      <w:r w:rsidR="006F304D" w:rsidRPr="006F304D">
        <w:rPr>
          <w:szCs w:val="25"/>
        </w:rPr>
        <w:t xml:space="preserve">, </w:t>
      </w:r>
      <w:r w:rsidRPr="006A51BA">
        <w:rPr>
          <w:szCs w:val="25"/>
        </w:rPr>
        <w:t>Merkelbach does say that the golden rule represents the “old ethic” (</w:t>
      </w:r>
      <w:r>
        <w:rPr>
          <w:szCs w:val="25"/>
        </w:rPr>
        <w:t>173</w:t>
      </w:r>
      <w:r w:rsidRPr="006A51BA">
        <w:rPr>
          <w:szCs w:val="25"/>
        </w:rPr>
        <w:t>)</w:t>
      </w:r>
      <w:r>
        <w:rPr>
          <w:szCs w:val="25"/>
        </w:rPr>
        <w:t>.</w:t>
      </w:r>
    </w:p>
    <w:p w14:paraId="5D64A703" w14:textId="59BC4A65" w:rsidR="0018433B" w:rsidRPr="006A51BA" w:rsidRDefault="0018433B" w:rsidP="0018433B">
      <w:pPr>
        <w:pStyle w:val="Style"/>
        <w:widowControl/>
        <w:jc w:val="both"/>
        <w:textAlignment w:val="baseline"/>
        <w:rPr>
          <w:szCs w:val="25"/>
        </w:rPr>
      </w:pPr>
      <w:r w:rsidRPr="006A51BA">
        <w:rPr>
          <w:szCs w:val="25"/>
        </w:rPr>
        <w:t xml:space="preserve">Another author who distinguishes between the norm of love of enemies and the norm in the golden rule is Jerome Kodell: </w:t>
      </w:r>
      <w:r>
        <w:rPr>
          <w:szCs w:val="25"/>
        </w:rPr>
        <w:t>“</w:t>
      </w:r>
      <w:r w:rsidRPr="006A51BA">
        <w:rPr>
          <w:szCs w:val="25"/>
        </w:rPr>
        <w:t xml:space="preserve">The test of discipleship is the love of enemies </w:t>
      </w:r>
      <w:r>
        <w:rPr>
          <w:szCs w:val="25"/>
        </w:rPr>
        <w:t xml:space="preserve">. . . </w:t>
      </w:r>
      <w:r w:rsidRPr="006A51BA">
        <w:rPr>
          <w:szCs w:val="25"/>
        </w:rPr>
        <w:t xml:space="preserve">Even the Golden Rule perched in the middle of these verses (v. 31) seems tinny against such a dazzling standard” </w:t>
      </w:r>
      <w:r w:rsidRPr="004C516D">
        <w:rPr>
          <w:szCs w:val="25"/>
        </w:rPr>
        <w:t>(</w:t>
      </w:r>
      <w:r w:rsidRPr="006A51BA">
        <w:rPr>
          <w:i/>
          <w:iCs/>
          <w:szCs w:val="25"/>
        </w:rPr>
        <w:t xml:space="preserve">Gospel According to Luke </w:t>
      </w:r>
      <w:r w:rsidRPr="006A51BA">
        <w:rPr>
          <w:szCs w:val="25"/>
        </w:rPr>
        <w:t>39). Fitzmyer</w:t>
      </w:r>
      <w:r w:rsidR="006F304D" w:rsidRPr="006F304D">
        <w:rPr>
          <w:szCs w:val="25"/>
        </w:rPr>
        <w:t xml:space="preserve">, </w:t>
      </w:r>
      <w:r w:rsidRPr="006A51BA">
        <w:rPr>
          <w:szCs w:val="25"/>
        </w:rPr>
        <w:t>too</w:t>
      </w:r>
      <w:r w:rsidR="006F304D" w:rsidRPr="006F304D">
        <w:rPr>
          <w:szCs w:val="25"/>
        </w:rPr>
        <w:t xml:space="preserve">, </w:t>
      </w:r>
      <w:r w:rsidRPr="006A51BA">
        <w:rPr>
          <w:szCs w:val="25"/>
        </w:rPr>
        <w:t xml:space="preserve">reads the golden rule as a restatement of the </w:t>
      </w:r>
      <w:r w:rsidRPr="006A51BA">
        <w:rPr>
          <w:i/>
          <w:iCs/>
          <w:szCs w:val="25"/>
        </w:rPr>
        <w:t>lex talionis</w:t>
      </w:r>
      <w:r w:rsidRPr="006A51BA">
        <w:rPr>
          <w:szCs w:val="25"/>
        </w:rPr>
        <w:t>: “the reci</w:t>
      </w:r>
      <w:r>
        <w:rPr>
          <w:szCs w:val="25"/>
        </w:rPr>
        <w:t>procity expressed in the rule” (</w:t>
      </w:r>
      <w:r w:rsidRPr="006A51BA">
        <w:rPr>
          <w:i/>
          <w:iCs/>
          <w:szCs w:val="25"/>
        </w:rPr>
        <w:t>Gospel According to Luke</w:t>
      </w:r>
      <w:r w:rsidRPr="006A51BA">
        <w:rPr>
          <w:iCs/>
          <w:szCs w:val="25"/>
        </w:rPr>
        <w:t xml:space="preserve"> </w:t>
      </w:r>
      <w:r>
        <w:rPr>
          <w:szCs w:val="25"/>
        </w:rPr>
        <w:t>1.</w:t>
      </w:r>
      <w:r w:rsidRPr="006A51BA">
        <w:rPr>
          <w:szCs w:val="25"/>
        </w:rPr>
        <w:t>639</w:t>
      </w:r>
      <w:r>
        <w:rPr>
          <w:szCs w:val="25"/>
        </w:rPr>
        <w:t>);</w:t>
      </w:r>
      <w:r w:rsidRPr="006A51BA">
        <w:rPr>
          <w:szCs w:val="25"/>
        </w:rPr>
        <w:t xml:space="preserve"> “the reciproci</w:t>
      </w:r>
      <w:r>
        <w:rPr>
          <w:szCs w:val="25"/>
        </w:rPr>
        <w:t>ty counseled in the Golden Rule</w:t>
      </w:r>
      <w:r w:rsidRPr="006A51BA">
        <w:rPr>
          <w:szCs w:val="25"/>
        </w:rPr>
        <w:t>”</w:t>
      </w:r>
      <w:r>
        <w:rPr>
          <w:szCs w:val="25"/>
        </w:rPr>
        <w:t xml:space="preserve"> (1.</w:t>
      </w:r>
      <w:r w:rsidRPr="006A51BA">
        <w:rPr>
          <w:szCs w:val="25"/>
        </w:rPr>
        <w:t>640</w:t>
      </w:r>
      <w:r>
        <w:rPr>
          <w:szCs w:val="25"/>
        </w:rPr>
        <w:t>).</w:t>
      </w:r>
    </w:p>
    <w:p w14:paraId="796802B7" w14:textId="7676782F" w:rsidR="0018433B" w:rsidRDefault="0018433B" w:rsidP="00573F48">
      <w:pPr>
        <w:pStyle w:val="FootnoteText"/>
      </w:pPr>
      <w:r w:rsidRPr="006A51BA">
        <w:t>Technically</w:t>
      </w:r>
      <w:r w:rsidR="006F304D" w:rsidRPr="006F304D">
        <w:t xml:space="preserve">, </w:t>
      </w:r>
      <w:r w:rsidRPr="006A51BA">
        <w:t>however</w:t>
      </w:r>
      <w:r w:rsidR="006F304D" w:rsidRPr="006F304D">
        <w:t xml:space="preserve">, </w:t>
      </w:r>
      <w:r w:rsidRPr="006A51BA">
        <w:t xml:space="preserve">it is not accurate to intimate that the golden rule is indistinguishable from the </w:t>
      </w:r>
      <w:r w:rsidRPr="006A51BA">
        <w:rPr>
          <w:i/>
          <w:iCs/>
        </w:rPr>
        <w:t>lex talionis</w:t>
      </w:r>
      <w:r w:rsidRPr="006A51BA">
        <w:rPr>
          <w:iCs/>
        </w:rPr>
        <w:t xml:space="preserve">. </w:t>
      </w:r>
      <w:r w:rsidRPr="006A51BA">
        <w:t xml:space="preserve">The </w:t>
      </w:r>
      <w:r w:rsidRPr="006A51BA">
        <w:rPr>
          <w:i/>
          <w:iCs/>
        </w:rPr>
        <w:t>lex talionis</w:t>
      </w:r>
      <w:r w:rsidRPr="003B72A7">
        <w:rPr>
          <w:iCs/>
        </w:rPr>
        <w:t xml:space="preserve"> </w:t>
      </w:r>
      <w:r w:rsidRPr="006A51BA">
        <w:t>presumes that one is going to act toward another who has already acted toward oneself</w:t>
      </w:r>
      <w:r w:rsidR="006F304D" w:rsidRPr="006F304D">
        <w:t xml:space="preserve">, </w:t>
      </w:r>
      <w:r w:rsidRPr="006A51BA">
        <w:t>whereas the golden rule presumes that one is going to act toward another before the other has acted toward oneself. Still</w:t>
      </w:r>
      <w:r w:rsidR="006F304D" w:rsidRPr="006F304D">
        <w:t xml:space="preserve">, </w:t>
      </w:r>
      <w:r w:rsidRPr="006A51BA">
        <w:t>in the understanding of Merkelbach</w:t>
      </w:r>
      <w:r w:rsidR="006F304D" w:rsidRPr="006F304D">
        <w:t xml:space="preserve">, </w:t>
      </w:r>
      <w:r>
        <w:t>Kodell</w:t>
      </w:r>
      <w:r w:rsidR="006F304D" w:rsidRPr="006F304D">
        <w:t xml:space="preserve">, </w:t>
      </w:r>
      <w:r w:rsidRPr="006A51BA">
        <w:t>and Fitzmyer</w:t>
      </w:r>
      <w:r w:rsidR="006F304D" w:rsidRPr="006F304D">
        <w:t xml:space="preserve">, </w:t>
      </w:r>
      <w:r w:rsidRPr="006A51BA">
        <w:t xml:space="preserve">both </w:t>
      </w:r>
      <w:r>
        <w:t xml:space="preserve">are </w:t>
      </w:r>
      <w:r w:rsidRPr="006A51BA">
        <w:t>based on mutual recompense.</w:t>
      </w:r>
    </w:p>
  </w:footnote>
  <w:footnote w:id="546">
    <w:p w14:paraId="263D2483" w14:textId="4D98BE84" w:rsidR="0018433B" w:rsidRDefault="0018433B" w:rsidP="00573F48">
      <w:pPr>
        <w:pStyle w:val="FootnoteText"/>
      </w:pPr>
      <w:r>
        <w:rPr>
          <w:rStyle w:val="FootnoteReference"/>
        </w:rPr>
        <w:footnoteRef/>
      </w:r>
      <w:r>
        <w:t xml:space="preserve"> See</w:t>
      </w:r>
      <w:r w:rsidR="006F304D" w:rsidRPr="006F304D">
        <w:t xml:space="preserve">, </w:t>
      </w:r>
      <w:r>
        <w:t>e.g.</w:t>
      </w:r>
      <w:r w:rsidR="006F304D" w:rsidRPr="006F304D">
        <w:t xml:space="preserve">, </w:t>
      </w:r>
      <w:r w:rsidRPr="00955B34">
        <w:t>H.H</w:t>
      </w:r>
      <w:r>
        <w:t xml:space="preserve"> </w:t>
      </w:r>
      <w:r w:rsidRPr="00955B34">
        <w:t>Rowley</w:t>
      </w:r>
      <w:r w:rsidR="006F304D" w:rsidRPr="006F304D">
        <w:t xml:space="preserve">, </w:t>
      </w:r>
      <w:r w:rsidRPr="00955B34">
        <w:rPr>
          <w:i/>
        </w:rPr>
        <w:t>The Growth of the Old Testament</w:t>
      </w:r>
      <w:r w:rsidRPr="00955B34">
        <w:t xml:space="preserve"> </w:t>
      </w:r>
      <w:r>
        <w:t>(</w:t>
      </w:r>
      <w:r w:rsidRPr="00955B34">
        <w:t>New York: Har</w:t>
      </w:r>
      <w:r w:rsidRPr="00955B34">
        <w:softHyphen/>
        <w:t>per and Row</w:t>
      </w:r>
      <w:r w:rsidR="006F304D" w:rsidRPr="006F304D">
        <w:t xml:space="preserve">, </w:t>
      </w:r>
      <w:r w:rsidRPr="00955B34">
        <w:t>1950</w:t>
      </w:r>
      <w:r>
        <w:t>)</w:t>
      </w:r>
      <w:r w:rsidRPr="00955B34">
        <w:t xml:space="preserve"> 16-37.</w:t>
      </w:r>
    </w:p>
  </w:footnote>
  <w:footnote w:id="547">
    <w:p w14:paraId="12AE7D26" w14:textId="3FCB0751" w:rsidR="0018433B" w:rsidRDefault="0018433B" w:rsidP="00573F48">
      <w:pPr>
        <w:pStyle w:val="FootnoteText"/>
      </w:pPr>
      <w:r>
        <w:rPr>
          <w:rStyle w:val="FootnoteReference"/>
        </w:rPr>
        <w:footnoteRef/>
      </w:r>
      <w:r>
        <w:t xml:space="preserve"> </w:t>
      </w:r>
      <w:r>
        <w:rPr>
          <w:szCs w:val="25"/>
        </w:rPr>
        <w:t>Granted</w:t>
      </w:r>
      <w:r w:rsidR="006F304D" w:rsidRPr="006F304D">
        <w:rPr>
          <w:szCs w:val="25"/>
        </w:rPr>
        <w:t xml:space="preserve">, </w:t>
      </w:r>
      <w:r>
        <w:rPr>
          <w:szCs w:val="25"/>
        </w:rPr>
        <w:t>“</w:t>
      </w:r>
      <w:r w:rsidRPr="00CD75A6">
        <w:t>Do to others</w:t>
      </w:r>
      <w:r>
        <w:t xml:space="preserve"> </w:t>
      </w:r>
      <w:r w:rsidRPr="00CD75A6">
        <w:t>a</w:t>
      </w:r>
      <w:r>
        <w:t>s you would have them do to you</w:t>
      </w:r>
      <w:r w:rsidRPr="00FF03AB">
        <w:rPr>
          <w:szCs w:val="25"/>
        </w:rPr>
        <w:t>”</w:t>
      </w:r>
      <w:r w:rsidRPr="006A51BA">
        <w:rPr>
          <w:szCs w:val="25"/>
        </w:rPr>
        <w:t xml:space="preserve"> is not</w:t>
      </w:r>
      <w:r>
        <w:rPr>
          <w:szCs w:val="25"/>
        </w:rPr>
        <w:t xml:space="preserve"> precisely the same as</w:t>
      </w:r>
      <w:r w:rsidRPr="006A51BA">
        <w:rPr>
          <w:szCs w:val="25"/>
        </w:rPr>
        <w:t xml:space="preserve"> </w:t>
      </w:r>
      <w:r>
        <w:rPr>
          <w:szCs w:val="25"/>
        </w:rPr>
        <w:t>“l</w:t>
      </w:r>
      <w:r w:rsidRPr="006A51BA">
        <w:rPr>
          <w:szCs w:val="25"/>
        </w:rPr>
        <w:t>ove your neighbor as yourself</w:t>
      </w:r>
      <w:r>
        <w:rPr>
          <w:szCs w:val="25"/>
        </w:rPr>
        <w:t>.</w:t>
      </w:r>
      <w:r w:rsidRPr="006A51BA">
        <w:rPr>
          <w:szCs w:val="25"/>
        </w:rPr>
        <w:t xml:space="preserve">” </w:t>
      </w:r>
      <w:r>
        <w:t xml:space="preserve">But the two norms </w:t>
      </w:r>
      <w:r>
        <w:rPr>
          <w:szCs w:val="25"/>
        </w:rPr>
        <w:t xml:space="preserve">are </w:t>
      </w:r>
      <w:r>
        <w:t xml:space="preserve">similar principles for assessing ethical conduct. </w:t>
      </w:r>
      <w:r>
        <w:rPr>
          <w:szCs w:val="25"/>
        </w:rPr>
        <w:t>(</w:t>
      </w:r>
      <w:r>
        <w:t>Technically</w:t>
      </w:r>
      <w:r w:rsidR="006F304D" w:rsidRPr="006F304D">
        <w:t xml:space="preserve">, </w:t>
      </w:r>
      <w:r>
        <w:t>love of neighbor does not explicitly refer to actions: one could love a neighbor as oneself from afar. But the implication is that one is to act toward one’s neighbor in this way.) The principles are similar because in both the index or rule against which the action is to be judged is oneself. And in both</w:t>
      </w:r>
      <w:r w:rsidR="006F304D" w:rsidRPr="006F304D">
        <w:t xml:space="preserve">, </w:t>
      </w:r>
      <w:r>
        <w:t>an assessment must precede a contemplated action. Still</w:t>
      </w:r>
      <w:r w:rsidR="006F304D" w:rsidRPr="006F304D">
        <w:t xml:space="preserve">, </w:t>
      </w:r>
      <w:r>
        <w:t xml:space="preserve">the two are not identical. </w:t>
      </w:r>
      <w:r>
        <w:rPr>
          <w:kern w:val="0"/>
          <w:szCs w:val="20"/>
        </w:rPr>
        <w:t xml:space="preserve">The golden rule </w:t>
      </w:r>
      <w:r>
        <w:t>commands one to imagine (</w:t>
      </w:r>
      <w:r w:rsidRPr="00CE06CA">
        <w:rPr>
          <w:bCs/>
          <w:szCs w:val="22"/>
          <w:lang w:val="el-GR"/>
        </w:rPr>
        <w:t>ποιῶσιν</w:t>
      </w:r>
      <w:r w:rsidR="006F304D" w:rsidRPr="006F304D">
        <w:rPr>
          <w:bCs/>
          <w:szCs w:val="22"/>
        </w:rPr>
        <w:t xml:space="preserve">, </w:t>
      </w:r>
      <w:r>
        <w:rPr>
          <w:bCs/>
          <w:szCs w:val="22"/>
        </w:rPr>
        <w:t>“do,” is subjunctive</w:t>
      </w:r>
      <w:r>
        <w:t>) an action done to oneself</w:t>
      </w:r>
      <w:r w:rsidR="006F304D" w:rsidRPr="006F304D">
        <w:t xml:space="preserve">, </w:t>
      </w:r>
      <w:r>
        <w:t>to assess how one would like it</w:t>
      </w:r>
      <w:r w:rsidR="006F304D" w:rsidRPr="006F304D">
        <w:t xml:space="preserve">, </w:t>
      </w:r>
      <w:r>
        <w:t xml:space="preserve">and then to do the action if one would like it or refrain from the action if one would not. Love of neighbor </w:t>
      </w:r>
      <w:r>
        <w:rPr>
          <w:kern w:val="0"/>
          <w:szCs w:val="20"/>
        </w:rPr>
        <w:t xml:space="preserve">commands that first </w:t>
      </w:r>
      <w:r>
        <w:t>one assess how one loves oneself</w:t>
      </w:r>
      <w:r w:rsidR="006F304D" w:rsidRPr="006F304D">
        <w:t xml:space="preserve">, </w:t>
      </w:r>
      <w:r>
        <w:t>then to act toward another using that same (type of? degree of?) love as motive and standard. Despite the difference</w:t>
      </w:r>
      <w:r w:rsidR="006F304D" w:rsidRPr="006F304D">
        <w:t xml:space="preserve">, </w:t>
      </w:r>
      <w:r w:rsidRPr="006A51BA">
        <w:rPr>
          <w:szCs w:val="25"/>
        </w:rPr>
        <w:t>in both</w:t>
      </w:r>
      <w:r>
        <w:rPr>
          <w:szCs w:val="25"/>
        </w:rPr>
        <w:t xml:space="preserve"> principles</w:t>
      </w:r>
      <w:r w:rsidR="006F304D" w:rsidRPr="006F304D">
        <w:rPr>
          <w:szCs w:val="25"/>
        </w:rPr>
        <w:t xml:space="preserve">, </w:t>
      </w:r>
      <w:r w:rsidRPr="006A51BA">
        <w:rPr>
          <w:szCs w:val="25"/>
        </w:rPr>
        <w:t xml:space="preserve">Jesus advocates the use of oneself as a norm; </w:t>
      </w:r>
      <w:r>
        <w:rPr>
          <w:szCs w:val="25"/>
        </w:rPr>
        <w:t xml:space="preserve">and </w:t>
      </w:r>
      <w:r w:rsidRPr="006A51BA">
        <w:rPr>
          <w:szCs w:val="25"/>
        </w:rPr>
        <w:t xml:space="preserve">that seems to be the main point in both </w:t>
      </w:r>
      <w:r>
        <w:rPr>
          <w:szCs w:val="25"/>
        </w:rPr>
        <w:t>principles</w:t>
      </w:r>
      <w:r w:rsidRPr="006A51BA">
        <w:rPr>
          <w:szCs w:val="25"/>
        </w:rPr>
        <w:t>.</w:t>
      </w:r>
    </w:p>
  </w:footnote>
  <w:footnote w:id="548">
    <w:p w14:paraId="4B03E030" w14:textId="7B8D2E2A" w:rsidR="0018433B" w:rsidRPr="00714989" w:rsidRDefault="0018433B" w:rsidP="00573F48">
      <w:pPr>
        <w:pStyle w:val="FootnoteText"/>
      </w:pPr>
      <w:r>
        <w:rPr>
          <w:rStyle w:val="FootnoteReference"/>
        </w:rPr>
        <w:footnoteRef/>
      </w:r>
      <w:r>
        <w:t xml:space="preserve"> In the </w:t>
      </w:r>
      <w:r w:rsidRPr="00714989">
        <w:rPr>
          <w:smallCaps/>
        </w:rPr>
        <w:t>nrsv</w:t>
      </w:r>
      <w:r w:rsidR="006F304D" w:rsidRPr="006F304D">
        <w:t xml:space="preserve">, </w:t>
      </w:r>
      <w:r>
        <w:t>the independent clause comes first: “</w:t>
      </w:r>
      <w:r w:rsidRPr="00CD75A6">
        <w:t>Do to others</w:t>
      </w:r>
      <w:r>
        <w:t xml:space="preserve"> </w:t>
      </w:r>
      <w:r w:rsidRPr="00CD75A6">
        <w:t>as you would have them do to you.</w:t>
      </w:r>
      <w:r>
        <w:t>” But in the Greek</w:t>
      </w:r>
      <w:r w:rsidR="006F304D" w:rsidRPr="006F304D">
        <w:t xml:space="preserve">, </w:t>
      </w:r>
      <w:r>
        <w:t xml:space="preserve">the subordinate clause is first: </w:t>
      </w:r>
      <w:r w:rsidRPr="00CE06CA">
        <w:rPr>
          <w:bCs/>
          <w:szCs w:val="22"/>
          <w:lang w:val="el-GR"/>
        </w:rPr>
        <w:t>Καὶ καθὼς θέλετε ἵνα ποιῶσιν ὑμῖν οἱ ἄνθρωποι</w:t>
      </w:r>
      <w:r>
        <w:rPr>
          <w:bCs/>
          <w:szCs w:val="22"/>
        </w:rPr>
        <w:t xml:space="preserve"> (“And just as you wish that others do to you</w:t>
      </w:r>
      <w:r w:rsidR="006F304D" w:rsidRPr="006F304D">
        <w:rPr>
          <w:bCs/>
          <w:szCs w:val="22"/>
        </w:rPr>
        <w:t xml:space="preserve">, </w:t>
      </w:r>
      <w:r>
        <w:rPr>
          <w:bCs/>
          <w:szCs w:val="22"/>
        </w:rPr>
        <w:t>do the same to them”).</w:t>
      </w:r>
    </w:p>
  </w:footnote>
  <w:footnote w:id="549">
    <w:p w14:paraId="6EBC72EB" w14:textId="25599D89" w:rsidR="0018433B" w:rsidRDefault="0018433B" w:rsidP="00573F48">
      <w:pPr>
        <w:pStyle w:val="FootnoteText"/>
      </w:pPr>
      <w:r>
        <w:rPr>
          <w:rStyle w:val="FootnoteReference"/>
        </w:rPr>
        <w:footnoteRef/>
      </w:r>
      <w:r>
        <w:t xml:space="preserve"> The duplication is not quite exact</w:t>
      </w:r>
      <w:r w:rsidRPr="006A51BA">
        <w:t>: “lend to those from whom you hope to receive” in 34</w:t>
      </w:r>
      <w:r>
        <w:t>a</w:t>
      </w:r>
      <w:r w:rsidRPr="006A51BA">
        <w:t xml:space="preserve"> becomes</w:t>
      </w:r>
      <w:r w:rsidR="006F304D" w:rsidRPr="006F304D">
        <w:t xml:space="preserve">, </w:t>
      </w:r>
      <w:r>
        <w:t>in 35c</w:t>
      </w:r>
      <w:r w:rsidR="006F304D" w:rsidRPr="006F304D">
        <w:t xml:space="preserve">, </w:t>
      </w:r>
      <w:r w:rsidRPr="006A51BA">
        <w:t>“lend</w:t>
      </w:r>
      <w:r w:rsidR="006F304D" w:rsidRPr="006F304D">
        <w:t xml:space="preserve">, </w:t>
      </w:r>
      <w:r w:rsidRPr="006A51BA">
        <w:t xml:space="preserve">expecting nothing in return.” For a discussion of the meaning of </w:t>
      </w:r>
      <w:r w:rsidRPr="00CE06CA">
        <w:rPr>
          <w:bCs/>
          <w:szCs w:val="22"/>
          <w:lang w:val="el-GR"/>
        </w:rPr>
        <w:t>μηδὲν ἀπελπίζοντες</w:t>
      </w:r>
      <w:r>
        <w:t xml:space="preserve"> </w:t>
      </w:r>
      <w:r w:rsidRPr="006A51BA">
        <w:t>(</w:t>
      </w:r>
      <w:r>
        <w:t>“</w:t>
      </w:r>
      <w:r w:rsidRPr="006A51BA">
        <w:t>expecting nothing in return”)</w:t>
      </w:r>
      <w:r w:rsidR="006F304D" w:rsidRPr="006F304D">
        <w:t xml:space="preserve">, </w:t>
      </w:r>
      <w:r>
        <w:t>see below</w:t>
      </w:r>
      <w:r w:rsidR="006F304D" w:rsidRPr="006F304D">
        <w:t xml:space="preserve">, </w:t>
      </w:r>
      <w:r>
        <w:t>Appendix 3</w:t>
      </w:r>
      <w:r w:rsidRPr="006A51BA">
        <w:t>.</w:t>
      </w:r>
    </w:p>
  </w:footnote>
  <w:footnote w:id="550">
    <w:p w14:paraId="4E918746" w14:textId="60BDC0D4" w:rsidR="0018433B" w:rsidRDefault="0018433B" w:rsidP="00573F48">
      <w:pPr>
        <w:pStyle w:val="FootnoteText"/>
      </w:pPr>
      <w:r>
        <w:rPr>
          <w:rStyle w:val="FootnoteReference"/>
        </w:rPr>
        <w:footnoteRef/>
      </w:r>
      <w:r>
        <w:t xml:space="preserve"> </w:t>
      </w:r>
      <w:r w:rsidRPr="006A51BA">
        <w:t xml:space="preserve">Manson’s comment on 35d </w:t>
      </w:r>
      <w:r w:rsidRPr="004C516D">
        <w:t>(</w:t>
      </w:r>
      <w:r w:rsidRPr="006A51BA">
        <w:rPr>
          <w:i/>
          <w:iCs/>
        </w:rPr>
        <w:t>Gospel of Luke</w:t>
      </w:r>
      <w:r w:rsidRPr="00663A0D">
        <w:rPr>
          <w:iCs/>
        </w:rPr>
        <w:t xml:space="preserve"> </w:t>
      </w:r>
      <w:r w:rsidRPr="006A51BA">
        <w:t xml:space="preserve">70: </w:t>
      </w:r>
      <w:r>
        <w:t>“</w:t>
      </w:r>
      <w:r w:rsidRPr="006A51BA">
        <w:t>Here at last the great argu</w:t>
      </w:r>
      <w:r w:rsidRPr="006A51BA">
        <w:softHyphen/>
        <w:t>ment attains its climax”) argues also for retaining all of 32-35d as a sequence. (Nevertheless</w:t>
      </w:r>
      <w:r w:rsidR="006F304D" w:rsidRPr="006F304D">
        <w:t xml:space="preserve">, </w:t>
      </w:r>
      <w:r w:rsidRPr="006A51BA">
        <w:t>his further comment [ibid.: “the divine patience with the undeserving [</w:t>
      </w:r>
      <w:r w:rsidRPr="006A51BA">
        <w:rPr>
          <w:szCs w:val="27"/>
        </w:rPr>
        <w:t xml:space="preserve">is] </w:t>
      </w:r>
      <w:r w:rsidRPr="006A51BA">
        <w:t>the only final norm of life”] seems over-exuberant: see 6:31 [golden rule]</w:t>
      </w:r>
      <w:r w:rsidR="006F304D" w:rsidRPr="006F304D">
        <w:t xml:space="preserve">, </w:t>
      </w:r>
      <w:r w:rsidRPr="006A51BA">
        <w:t>10:27 [the lawyer’s reply: love God and neighbor].)</w:t>
      </w:r>
    </w:p>
  </w:footnote>
  <w:footnote w:id="551">
    <w:p w14:paraId="3FFF6378" w14:textId="43872482" w:rsidR="0018433B" w:rsidRDefault="0018433B" w:rsidP="00573F48">
      <w:pPr>
        <w:pStyle w:val="FootnoteText"/>
      </w:pPr>
      <w:r>
        <w:rPr>
          <w:rStyle w:val="FootnoteReference"/>
        </w:rPr>
        <w:footnoteRef/>
      </w:r>
      <w:r>
        <w:t xml:space="preserve"> </w:t>
      </w:r>
      <w:r w:rsidRPr="006A51BA">
        <w:t>T</w:t>
      </w:r>
      <w:r>
        <w:t>h</w:t>
      </w:r>
      <w:r w:rsidRPr="006A51BA">
        <w:t>us</w:t>
      </w:r>
      <w:r w:rsidR="006F304D" w:rsidRPr="006F304D">
        <w:t xml:space="preserve">, </w:t>
      </w:r>
      <w:r w:rsidRPr="006A51BA">
        <w:t>e.g.</w:t>
      </w:r>
      <w:r w:rsidR="006F304D" w:rsidRPr="006F304D">
        <w:t xml:space="preserve">, </w:t>
      </w:r>
      <w:r w:rsidRPr="006A51BA">
        <w:t>Easton</w:t>
      </w:r>
      <w:r w:rsidR="006F304D" w:rsidRPr="006F304D">
        <w:t xml:space="preserve">, </w:t>
      </w:r>
      <w:r w:rsidRPr="006A51BA">
        <w:t>Gospel According to Saint Luke</w:t>
      </w:r>
      <w:r w:rsidRPr="00F63E3C">
        <w:t xml:space="preserve"> </w:t>
      </w:r>
      <w:r w:rsidRPr="006A51BA">
        <w:t>86 (following Taylor</w:t>
      </w:r>
      <w:r w:rsidR="006F304D" w:rsidRPr="006F304D">
        <w:t xml:space="preserve">, </w:t>
      </w:r>
      <w:r w:rsidRPr="006A51BA">
        <w:t>Formation of the Gospel Tradition</w:t>
      </w:r>
      <w:r w:rsidRPr="00F63E3C">
        <w:t xml:space="preserve"> </w:t>
      </w:r>
      <w:r w:rsidRPr="006A51BA">
        <w:t>95-97); Ellis</w:t>
      </w:r>
      <w:r w:rsidR="006F304D" w:rsidRPr="006F304D">
        <w:t xml:space="preserve">, </w:t>
      </w:r>
      <w:r w:rsidRPr="006A51BA">
        <w:t>Gospel of Luke</w:t>
      </w:r>
      <w:r w:rsidRPr="00F63E3C">
        <w:t xml:space="preserve"> </w:t>
      </w:r>
      <w:r w:rsidRPr="006A51BA">
        <w:t>114; Grundmann</w:t>
      </w:r>
      <w:r w:rsidR="006F304D" w:rsidRPr="006F304D">
        <w:t xml:space="preserve">, </w:t>
      </w:r>
      <w:r w:rsidRPr="006A51BA">
        <w:t>Evangelium nach Lukas</w:t>
      </w:r>
      <w:r w:rsidRPr="00F63E3C">
        <w:t xml:space="preserve"> </w:t>
      </w:r>
      <w:r>
        <w:t>145-</w:t>
      </w:r>
      <w:r w:rsidRPr="006A51BA">
        <w:t>46; Hauck</w:t>
      </w:r>
      <w:r w:rsidR="006F304D" w:rsidRPr="006F304D">
        <w:t xml:space="preserve">, </w:t>
      </w:r>
      <w:r w:rsidRPr="006A51BA">
        <w:t>Das Evangelium des Lukas 82-86; Schneider</w:t>
      </w:r>
      <w:r w:rsidR="006F304D" w:rsidRPr="006F304D">
        <w:t xml:space="preserve">, </w:t>
      </w:r>
      <w:r w:rsidRPr="006A51BA">
        <w:t>Evangelium nach Lukas</w:t>
      </w:r>
      <w:r w:rsidRPr="00F63E3C">
        <w:t xml:space="preserve"> </w:t>
      </w:r>
      <w:r w:rsidRPr="006A51BA">
        <w:t>156; Talbert</w:t>
      </w:r>
      <w:r w:rsidR="006F304D" w:rsidRPr="006F304D">
        <w:t xml:space="preserve">, </w:t>
      </w:r>
      <w:r w:rsidRPr="006A51BA">
        <w:t>Reading Luke</w:t>
      </w:r>
      <w:r w:rsidRPr="00F63E3C">
        <w:t xml:space="preserve"> </w:t>
      </w:r>
      <w:r>
        <w:t>69.</w:t>
      </w:r>
    </w:p>
  </w:footnote>
  <w:footnote w:id="552">
    <w:p w14:paraId="4397C0AB" w14:textId="3239FF17" w:rsidR="0018433B" w:rsidRDefault="0018433B" w:rsidP="00573F48">
      <w:pPr>
        <w:pStyle w:val="FootnoteText"/>
      </w:pPr>
      <w:r>
        <w:rPr>
          <w:rStyle w:val="FootnoteReference"/>
        </w:rPr>
        <w:footnoteRef/>
      </w:r>
      <w:r>
        <w:t xml:space="preserve"> </w:t>
      </w:r>
      <w:r w:rsidRPr="006A51BA">
        <w:t>Most of the authors in the preceding note do not subdivide between 32-34 and 35a</w:t>
      </w:r>
      <w:r>
        <w:t>bc</w:t>
      </w:r>
      <w:r w:rsidRPr="006A51BA">
        <w:t xml:space="preserve"> </w:t>
      </w:r>
      <w:r w:rsidRPr="004C516D">
        <w:t>(</w:t>
      </w:r>
      <w:r w:rsidRPr="006A51BA">
        <w:t>though some</w:t>
      </w:r>
      <w:r>
        <w:t xml:space="preserve"> [</w:t>
      </w:r>
      <w:r w:rsidRPr="006A51BA">
        <w:t>e.g.</w:t>
      </w:r>
      <w:r w:rsidR="006F304D" w:rsidRPr="006F304D">
        <w:t xml:space="preserve">, </w:t>
      </w:r>
      <w:r w:rsidRPr="006A51BA">
        <w:t>Talbert</w:t>
      </w:r>
      <w:r>
        <w:t xml:space="preserve">] </w:t>
      </w:r>
      <w:r w:rsidRPr="006A51BA">
        <w:t>do)</w:t>
      </w:r>
      <w:r w:rsidR="006F304D" w:rsidRPr="006F304D">
        <w:t xml:space="preserve">, </w:t>
      </w:r>
      <w:r w:rsidRPr="006A51BA">
        <w:t>presumably because the question does not occur to them. One author</w:t>
      </w:r>
      <w:r w:rsidR="006F304D" w:rsidRPr="006F304D">
        <w:t xml:space="preserve">, </w:t>
      </w:r>
      <w:r w:rsidRPr="006A51BA">
        <w:t>on the other h</w:t>
      </w:r>
      <w:r>
        <w:t>and</w:t>
      </w:r>
      <w:r w:rsidR="006F304D" w:rsidRPr="006F304D">
        <w:t xml:space="preserve">, </w:t>
      </w:r>
      <w:r>
        <w:t>refuses to subdivide 32-35c</w:t>
      </w:r>
      <w:r w:rsidR="006F304D" w:rsidRPr="006F304D">
        <w:t xml:space="preserve">, </w:t>
      </w:r>
      <w:r w:rsidRPr="006A51BA">
        <w:t xml:space="preserve">on the grounds that the whole of these verses </w:t>
      </w:r>
      <w:r>
        <w:t>“</w:t>
      </w:r>
      <w:r w:rsidRPr="006A51BA">
        <w:t xml:space="preserve">find </w:t>
      </w:r>
      <w:r w:rsidRPr="00F63E3C">
        <w:t xml:space="preserve">their point in </w:t>
      </w:r>
      <w:r w:rsidRPr="00F63E3C">
        <w:rPr>
          <w:i/>
          <w:iCs/>
          <w:szCs w:val="26"/>
        </w:rPr>
        <w:t>vv</w:t>
      </w:r>
      <w:r w:rsidRPr="00F63E3C">
        <w:rPr>
          <w:iCs/>
          <w:szCs w:val="26"/>
        </w:rPr>
        <w:t xml:space="preserve"> </w:t>
      </w:r>
      <w:r w:rsidRPr="00F63E3C">
        <w:rPr>
          <w:iCs/>
          <w:szCs w:val="23"/>
        </w:rPr>
        <w:t>35</w:t>
      </w:r>
      <w:r w:rsidRPr="00F63E3C">
        <w:rPr>
          <w:i/>
          <w:iCs/>
          <w:szCs w:val="23"/>
        </w:rPr>
        <w:t>b</w:t>
      </w:r>
      <w:r w:rsidRPr="00F63E3C">
        <w:rPr>
          <w:iCs/>
          <w:szCs w:val="23"/>
        </w:rPr>
        <w:t xml:space="preserve"> </w:t>
      </w:r>
      <w:r w:rsidRPr="00F63E3C">
        <w:t>a</w:t>
      </w:r>
      <w:r w:rsidRPr="006A51BA">
        <w:t>nd 36</w:t>
      </w:r>
      <w:r>
        <w:t>”</w:t>
      </w:r>
      <w:r w:rsidRPr="006A51BA">
        <w:t xml:space="preserve"> (Luce</w:t>
      </w:r>
      <w:r w:rsidR="006F304D" w:rsidRPr="006F304D">
        <w:t xml:space="preserve">, </w:t>
      </w:r>
      <w:r w:rsidRPr="006A51BA">
        <w:rPr>
          <w:i/>
          <w:iCs/>
        </w:rPr>
        <w:t>Gospel According to S</w:t>
      </w:r>
      <w:r w:rsidRPr="006A51BA">
        <w:rPr>
          <w:iCs/>
        </w:rPr>
        <w:t xml:space="preserve">. </w:t>
      </w:r>
      <w:r w:rsidRPr="006A51BA">
        <w:rPr>
          <w:i/>
          <w:iCs/>
        </w:rPr>
        <w:t>Luke</w:t>
      </w:r>
      <w:r w:rsidRPr="00F63E3C">
        <w:t xml:space="preserve"> </w:t>
      </w:r>
      <w:r w:rsidRPr="006A51BA">
        <w:t>149).</w:t>
      </w:r>
    </w:p>
  </w:footnote>
  <w:footnote w:id="553">
    <w:p w14:paraId="2FC7444D" w14:textId="05443833" w:rsidR="0018433B" w:rsidRDefault="0018433B" w:rsidP="00573F48">
      <w:pPr>
        <w:pStyle w:val="FootnoteText"/>
      </w:pPr>
      <w:r>
        <w:rPr>
          <w:rStyle w:val="FootnoteReference"/>
        </w:rPr>
        <w:footnoteRef/>
      </w:r>
      <w:r>
        <w:t xml:space="preserve"> </w:t>
      </w:r>
      <w:r w:rsidRPr="006A51BA">
        <w:t>E.g.</w:t>
      </w:r>
      <w:r w:rsidR="006F304D" w:rsidRPr="006F304D">
        <w:t xml:space="preserve">, </w:t>
      </w:r>
      <w:r w:rsidRPr="006A51BA">
        <w:t>Geldenhuys</w:t>
      </w:r>
      <w:r w:rsidR="006F304D" w:rsidRPr="006F304D">
        <w:t xml:space="preserve">, </w:t>
      </w:r>
      <w:r w:rsidRPr="006A51BA">
        <w:t>Commentary on the Gospel of Luke</w:t>
      </w:r>
      <w:r w:rsidRPr="00F63E3C">
        <w:t xml:space="preserve"> </w:t>
      </w:r>
      <w:r>
        <w:t>212-</w:t>
      </w:r>
      <w:r w:rsidRPr="006A51BA">
        <w:t>13; Montefiore</w:t>
      </w:r>
      <w:r w:rsidR="006F304D" w:rsidRPr="006F304D">
        <w:t xml:space="preserve">, </w:t>
      </w:r>
      <w:r w:rsidRPr="006A51BA">
        <w:t>Gospel According to Luke</w:t>
      </w:r>
      <w:r w:rsidRPr="00F63E3C">
        <w:t xml:space="preserve"> </w:t>
      </w:r>
      <w:r w:rsidRPr="006A51BA">
        <w:t>419; Schmid</w:t>
      </w:r>
      <w:r w:rsidR="006F304D" w:rsidRPr="006F304D">
        <w:t xml:space="preserve">, </w:t>
      </w:r>
      <w:r w:rsidRPr="006A51BA">
        <w:t>Evangelium nach Lukas</w:t>
      </w:r>
      <w:r w:rsidRPr="00F63E3C">
        <w:t xml:space="preserve"> </w:t>
      </w:r>
      <w:r w:rsidRPr="006A51BA">
        <w:t xml:space="preserve">136; </w:t>
      </w:r>
      <w:r w:rsidR="00E56A92" w:rsidRPr="00E56A92">
        <w:rPr>
          <w:iCs/>
        </w:rPr>
        <w:t>Thaddäus</w:t>
      </w:r>
      <w:r w:rsidR="00523F00" w:rsidRPr="00523F00">
        <w:rPr>
          <w:iCs/>
        </w:rPr>
        <w:t xml:space="preserve"> Soiron</w:t>
      </w:r>
      <w:r w:rsidR="006F304D" w:rsidRPr="006F304D">
        <w:t xml:space="preserve">, </w:t>
      </w:r>
      <w:r>
        <w:t>OFM</w:t>
      </w:r>
      <w:r w:rsidR="006F304D" w:rsidRPr="006F304D">
        <w:t xml:space="preserve">, </w:t>
      </w:r>
      <w:r w:rsidRPr="006A51BA">
        <w:t>Die Bergpredigt Jesu: Formgeschichtliche</w:t>
      </w:r>
      <w:r w:rsidR="006F304D" w:rsidRPr="006F304D">
        <w:t xml:space="preserve">, </w:t>
      </w:r>
      <w:r w:rsidRPr="006A51BA">
        <w:t>exe</w:t>
      </w:r>
      <w:r>
        <w:t>getische und theologische Erklä</w:t>
      </w:r>
      <w:r w:rsidRPr="006A51BA">
        <w:t xml:space="preserve">rung (Freiburg </w:t>
      </w:r>
      <w:r>
        <w:t>im Breisgau: Herder</w:t>
      </w:r>
      <w:r w:rsidR="006F304D" w:rsidRPr="006F304D">
        <w:t xml:space="preserve">, </w:t>
      </w:r>
      <w:r>
        <w:t>1940) 124-</w:t>
      </w:r>
      <w:r w:rsidRPr="006A51BA">
        <w:t>27.</w:t>
      </w:r>
    </w:p>
  </w:footnote>
  <w:footnote w:id="554">
    <w:p w14:paraId="0A941232" w14:textId="160706D5" w:rsidR="0018433B" w:rsidRDefault="0018433B" w:rsidP="00573F48">
      <w:pPr>
        <w:pStyle w:val="FootnoteText"/>
      </w:pPr>
      <w:r>
        <w:rPr>
          <w:rStyle w:val="FootnoteReference"/>
        </w:rPr>
        <w:footnoteRef/>
      </w:r>
      <w:r>
        <w:t xml:space="preserve"> </w:t>
      </w:r>
      <w:r w:rsidRPr="006A51BA">
        <w:t>As a final cause (in the Aristotelian sense)</w:t>
      </w:r>
      <w:r w:rsidR="006F304D" w:rsidRPr="006F304D">
        <w:t xml:space="preserve">, </w:t>
      </w:r>
      <w:r w:rsidRPr="006A51BA">
        <w:t xml:space="preserve">the </w:t>
      </w:r>
      <w:r>
        <w:t>“reward” in 35def</w:t>
      </w:r>
      <w:r w:rsidRPr="006A51BA">
        <w:t xml:space="preserve"> is</w:t>
      </w:r>
      <w:r w:rsidR="006F304D" w:rsidRPr="006F304D">
        <w:t xml:space="preserve">, </w:t>
      </w:r>
      <w:r w:rsidRPr="006A51BA">
        <w:t>perhaps</w:t>
      </w:r>
      <w:r w:rsidR="006F304D" w:rsidRPr="006F304D">
        <w:t xml:space="preserve">, </w:t>
      </w:r>
      <w:r w:rsidRPr="006A51BA">
        <w:t xml:space="preserve">simultaneously both motive for </w:t>
      </w:r>
      <w:r w:rsidRPr="004C516D">
        <w:t>(</w:t>
      </w:r>
      <w:r w:rsidRPr="006A51BA">
        <w:t xml:space="preserve">attractive force) and result of </w:t>
      </w:r>
      <w:r w:rsidRPr="004C516D">
        <w:t>(</w:t>
      </w:r>
      <w:r w:rsidRPr="006A51BA">
        <w:t>end achieved) the actions of loving</w:t>
      </w:r>
      <w:r w:rsidR="006F304D" w:rsidRPr="006F304D">
        <w:t xml:space="preserve">, </w:t>
      </w:r>
      <w:r w:rsidRPr="006A51BA">
        <w:t>etc.</w:t>
      </w:r>
    </w:p>
  </w:footnote>
  <w:footnote w:id="555">
    <w:p w14:paraId="6D8AC1EE" w14:textId="7008BB8B" w:rsidR="0018433B" w:rsidRDefault="0018433B" w:rsidP="00573F48">
      <w:pPr>
        <w:pStyle w:val="FootnoteText"/>
      </w:pPr>
      <w:r>
        <w:rPr>
          <w:rStyle w:val="FootnoteReference"/>
        </w:rPr>
        <w:footnoteRef/>
      </w:r>
      <w:r>
        <w:t xml:space="preserve"> </w:t>
      </w:r>
      <w:r w:rsidRPr="006A51BA">
        <w:t xml:space="preserve">I have not subdivided 32-34 at this point </w:t>
      </w:r>
      <w:r w:rsidRPr="004C516D">
        <w:t>(</w:t>
      </w:r>
      <w:r>
        <w:t>as I have on p. 258)</w:t>
      </w:r>
      <w:r w:rsidRPr="006A51BA">
        <w:t xml:space="preserve"> in order to emphasize the relations of 32-34</w:t>
      </w:r>
      <w:r w:rsidR="006F304D" w:rsidRPr="006F304D">
        <w:t xml:space="preserve">, </w:t>
      </w:r>
      <w:r w:rsidRPr="006A51BA">
        <w:t>35a</w:t>
      </w:r>
      <w:r>
        <w:t>bc</w:t>
      </w:r>
      <w:r w:rsidR="006F304D" w:rsidRPr="006F304D">
        <w:t xml:space="preserve">, </w:t>
      </w:r>
      <w:r>
        <w:t>and 35</w:t>
      </w:r>
      <w:r w:rsidRPr="006A51BA">
        <w:t>d</w:t>
      </w:r>
      <w:r>
        <w:t>ef</w:t>
      </w:r>
      <w:r w:rsidRPr="006A51BA">
        <w:t>.</w:t>
      </w:r>
    </w:p>
  </w:footnote>
  <w:footnote w:id="556">
    <w:p w14:paraId="7F3EC962" w14:textId="1686637A" w:rsidR="0018433B" w:rsidRDefault="0018433B" w:rsidP="00573F48">
      <w:pPr>
        <w:pStyle w:val="FootnoteText"/>
      </w:pPr>
      <w:r>
        <w:rPr>
          <w:rStyle w:val="FootnoteReference"/>
        </w:rPr>
        <w:footnoteRef/>
      </w:r>
      <w:r>
        <w:t xml:space="preserve"> </w:t>
      </w:r>
      <w:r w:rsidRPr="006A51BA">
        <w:rPr>
          <w:szCs w:val="25"/>
        </w:rPr>
        <w:t>E.g.: Bowie</w:t>
      </w:r>
      <w:r w:rsidR="006F304D" w:rsidRPr="006F304D">
        <w:rPr>
          <w:szCs w:val="25"/>
        </w:rPr>
        <w:t xml:space="preserve">, </w:t>
      </w:r>
      <w:r w:rsidRPr="006A51BA">
        <w:t>Compassionate Christ</w:t>
      </w:r>
      <w:r w:rsidRPr="00D102C4">
        <w:t xml:space="preserve"> </w:t>
      </w:r>
      <w:r w:rsidRPr="006A51BA">
        <w:rPr>
          <w:szCs w:val="25"/>
        </w:rPr>
        <w:t>100; Caird</w:t>
      </w:r>
      <w:r w:rsidR="006F304D" w:rsidRPr="006F304D">
        <w:rPr>
          <w:szCs w:val="25"/>
        </w:rPr>
        <w:t xml:space="preserve">, </w:t>
      </w:r>
      <w:r w:rsidRPr="006A51BA">
        <w:t>Gospel of St Luke</w:t>
      </w:r>
      <w:r w:rsidRPr="00D102C4">
        <w:t xml:space="preserve"> </w:t>
      </w:r>
      <w:r w:rsidRPr="006A51BA">
        <w:rPr>
          <w:szCs w:val="25"/>
        </w:rPr>
        <w:t>104; Dupont</w:t>
      </w:r>
      <w:r w:rsidR="006F304D" w:rsidRPr="006F304D">
        <w:rPr>
          <w:szCs w:val="25"/>
        </w:rPr>
        <w:t xml:space="preserve">, </w:t>
      </w:r>
      <w:r w:rsidRPr="006A51BA">
        <w:t xml:space="preserve">Beatitudes </w:t>
      </w:r>
      <w:r>
        <w:rPr>
          <w:szCs w:val="25"/>
        </w:rPr>
        <w:t>1.198-</w:t>
      </w:r>
      <w:r w:rsidRPr="006A51BA">
        <w:rPr>
          <w:szCs w:val="25"/>
        </w:rPr>
        <w:t>99; Fitzmyer</w:t>
      </w:r>
      <w:r w:rsidR="006F304D" w:rsidRPr="006F304D">
        <w:rPr>
          <w:szCs w:val="25"/>
        </w:rPr>
        <w:t xml:space="preserve">, </w:t>
      </w:r>
      <w:r w:rsidRPr="006A51BA">
        <w:t xml:space="preserve">Gospel According to Luke </w:t>
      </w:r>
      <w:r>
        <w:rPr>
          <w:szCs w:val="25"/>
        </w:rPr>
        <w:t>1.</w:t>
      </w:r>
      <w:r w:rsidRPr="006A51BA">
        <w:rPr>
          <w:szCs w:val="25"/>
        </w:rPr>
        <w:t>629</w:t>
      </w:r>
      <w:r w:rsidR="006F304D" w:rsidRPr="006F304D">
        <w:rPr>
          <w:szCs w:val="25"/>
        </w:rPr>
        <w:t xml:space="preserve">, </w:t>
      </w:r>
      <w:r w:rsidRPr="006A51BA">
        <w:rPr>
          <w:szCs w:val="25"/>
        </w:rPr>
        <w:t>630; Lagrange</w:t>
      </w:r>
      <w:r w:rsidR="006F304D" w:rsidRPr="006F304D">
        <w:rPr>
          <w:szCs w:val="25"/>
        </w:rPr>
        <w:t xml:space="preserve">, </w:t>
      </w:r>
      <w:r>
        <w:t>É</w:t>
      </w:r>
      <w:r w:rsidRPr="006A51BA">
        <w:t>vangile selon Saint Luc</w:t>
      </w:r>
      <w:r w:rsidRPr="00D102C4">
        <w:t xml:space="preserve"> </w:t>
      </w:r>
      <w:r w:rsidRPr="006A51BA">
        <w:rPr>
          <w:szCs w:val="25"/>
        </w:rPr>
        <w:t>194; Luce</w:t>
      </w:r>
      <w:r w:rsidR="006F304D" w:rsidRPr="006F304D">
        <w:rPr>
          <w:szCs w:val="25"/>
        </w:rPr>
        <w:t xml:space="preserve">, </w:t>
      </w:r>
      <w:r w:rsidRPr="006A51BA">
        <w:t>Gospel according to S. Luke</w:t>
      </w:r>
      <w:r w:rsidRPr="00D102C4">
        <w:t xml:space="preserve"> </w:t>
      </w:r>
      <w:r w:rsidRPr="006A51BA">
        <w:rPr>
          <w:szCs w:val="25"/>
        </w:rPr>
        <w:t>149; Manson</w:t>
      </w:r>
      <w:r w:rsidR="006F304D" w:rsidRPr="006F304D">
        <w:rPr>
          <w:szCs w:val="25"/>
        </w:rPr>
        <w:t xml:space="preserve">, </w:t>
      </w:r>
      <w:r w:rsidRPr="006A51BA">
        <w:t>Gospel of Luke</w:t>
      </w:r>
      <w:r w:rsidRPr="00D102C4">
        <w:t xml:space="preserve"> </w:t>
      </w:r>
      <w:r w:rsidRPr="006A51BA">
        <w:rPr>
          <w:szCs w:val="25"/>
        </w:rPr>
        <w:t xml:space="preserve">69; Rose </w:t>
      </w:r>
      <w:r>
        <w:t>É</w:t>
      </w:r>
      <w:r w:rsidRPr="006A51BA">
        <w:t>vangile selon S. Luc</w:t>
      </w:r>
      <w:r w:rsidRPr="00D102C4">
        <w:t xml:space="preserve"> </w:t>
      </w:r>
      <w:r w:rsidRPr="006A51BA">
        <w:rPr>
          <w:szCs w:val="25"/>
        </w:rPr>
        <w:t>68.</w:t>
      </w:r>
    </w:p>
  </w:footnote>
  <w:footnote w:id="557">
    <w:p w14:paraId="26C0B39B" w14:textId="195E9A05" w:rsidR="0018433B" w:rsidRDefault="0018433B" w:rsidP="00573F48">
      <w:pPr>
        <w:pStyle w:val="FootnoteText"/>
      </w:pPr>
      <w:r>
        <w:rPr>
          <w:rStyle w:val="FootnoteReference"/>
        </w:rPr>
        <w:footnoteRef/>
      </w:r>
      <w:r>
        <w:t xml:space="preserve"> </w:t>
      </w:r>
      <w:r w:rsidRPr="006A51BA">
        <w:t>E.g.: Montefiore</w:t>
      </w:r>
      <w:r w:rsidR="006F304D" w:rsidRPr="006F304D">
        <w:t xml:space="preserve">, </w:t>
      </w:r>
      <w:r w:rsidRPr="006A51BA">
        <w:rPr>
          <w:i/>
          <w:iCs/>
        </w:rPr>
        <w:t>Gospel According to Luke</w:t>
      </w:r>
      <w:r w:rsidRPr="00D102C4">
        <w:rPr>
          <w:iCs/>
        </w:rPr>
        <w:t xml:space="preserve"> </w:t>
      </w:r>
      <w:r w:rsidRPr="006A51BA">
        <w:t>414 (but cf. p. 419: ‘The injunction is really the introduction to what follows</w:t>
      </w:r>
      <w:r w:rsidR="006F304D" w:rsidRPr="006F304D">
        <w:t xml:space="preserve">, </w:t>
      </w:r>
      <w:r w:rsidRPr="006A51BA">
        <w:t>not as in Matthew the summing up of what has just been said”); Schmid</w:t>
      </w:r>
      <w:r w:rsidR="006F304D" w:rsidRPr="006F304D">
        <w:t xml:space="preserve">, </w:t>
      </w:r>
      <w:r w:rsidRPr="006A51BA">
        <w:rPr>
          <w:i/>
          <w:iCs/>
        </w:rPr>
        <w:t>Evangelium nach Lukas</w:t>
      </w:r>
      <w:r w:rsidRPr="00D102C4">
        <w:rPr>
          <w:iCs/>
        </w:rPr>
        <w:t xml:space="preserve"> </w:t>
      </w:r>
      <w:r w:rsidRPr="006A51BA">
        <w:t>132; Schneider</w:t>
      </w:r>
      <w:r w:rsidR="006F304D" w:rsidRPr="006F304D">
        <w:t xml:space="preserve">, </w:t>
      </w:r>
      <w:r w:rsidRPr="006A51BA">
        <w:rPr>
          <w:i/>
          <w:iCs/>
        </w:rPr>
        <w:t>Evangelium nach Lukas</w:t>
      </w:r>
      <w:r w:rsidRPr="00D102C4">
        <w:rPr>
          <w:iCs/>
        </w:rPr>
        <w:t xml:space="preserve"> </w:t>
      </w:r>
      <w:r w:rsidRPr="006A51BA">
        <w:t>154</w:t>
      </w:r>
      <w:r w:rsidR="006F304D" w:rsidRPr="006F304D">
        <w:t xml:space="preserve">, </w:t>
      </w:r>
      <w:r w:rsidRPr="006A51BA">
        <w:t>156; Talbert</w:t>
      </w:r>
      <w:r w:rsidR="006F304D" w:rsidRPr="006F304D">
        <w:t xml:space="preserve">, </w:t>
      </w:r>
      <w:r w:rsidRPr="006A51BA">
        <w:rPr>
          <w:i/>
          <w:iCs/>
        </w:rPr>
        <w:t>Reading Luke</w:t>
      </w:r>
      <w:r w:rsidRPr="00D102C4">
        <w:rPr>
          <w:iCs/>
        </w:rPr>
        <w:t xml:space="preserve"> </w:t>
      </w:r>
      <w:r w:rsidRPr="006A51BA">
        <w:t>69.</w:t>
      </w:r>
    </w:p>
  </w:footnote>
  <w:footnote w:id="558">
    <w:p w14:paraId="49B716A7" w14:textId="05530452" w:rsidR="0018433B" w:rsidRDefault="0018433B" w:rsidP="00573F48">
      <w:pPr>
        <w:pStyle w:val="FootnoteText"/>
      </w:pPr>
      <w:r>
        <w:rPr>
          <w:rStyle w:val="FootnoteReference"/>
        </w:rPr>
        <w:footnoteRef/>
      </w:r>
      <w:r>
        <w:t xml:space="preserve"> </w:t>
      </w:r>
      <w:r w:rsidRPr="006A51BA">
        <w:rPr>
          <w:szCs w:val="25"/>
        </w:rPr>
        <w:t>E.g.: Creed</w:t>
      </w:r>
      <w:r w:rsidR="006F304D" w:rsidRPr="006F304D">
        <w:rPr>
          <w:szCs w:val="25"/>
        </w:rPr>
        <w:t xml:space="preserve">, </w:t>
      </w:r>
      <w:r w:rsidRPr="006A51BA">
        <w:t>Gospel According to St. Luke</w:t>
      </w:r>
      <w:r w:rsidRPr="00D102C4">
        <w:t xml:space="preserve"> </w:t>
      </w:r>
      <w:r w:rsidRPr="006A51BA">
        <w:rPr>
          <w:szCs w:val="25"/>
        </w:rPr>
        <w:t>89; Geldenhuys</w:t>
      </w:r>
      <w:r w:rsidR="006F304D" w:rsidRPr="006F304D">
        <w:rPr>
          <w:szCs w:val="25"/>
        </w:rPr>
        <w:t xml:space="preserve">, </w:t>
      </w:r>
      <w:r w:rsidRPr="006A51BA">
        <w:t>Commentary on the Gospel of Luke</w:t>
      </w:r>
      <w:r w:rsidRPr="00D102C4">
        <w:t xml:space="preserve"> </w:t>
      </w:r>
      <w:r w:rsidRPr="006A51BA">
        <w:rPr>
          <w:szCs w:val="25"/>
        </w:rPr>
        <w:t>213; Grundmann</w:t>
      </w:r>
      <w:r w:rsidR="006F304D" w:rsidRPr="006F304D">
        <w:rPr>
          <w:szCs w:val="25"/>
        </w:rPr>
        <w:t xml:space="preserve">, </w:t>
      </w:r>
      <w:r w:rsidRPr="006A51BA">
        <w:t>Evangelium nach Lukas</w:t>
      </w:r>
      <w:r w:rsidRPr="00D102C4">
        <w:t xml:space="preserve"> </w:t>
      </w:r>
      <w:r w:rsidRPr="006A51BA">
        <w:rPr>
          <w:szCs w:val="25"/>
        </w:rPr>
        <w:t>146; Kodell</w:t>
      </w:r>
      <w:r w:rsidR="006F304D" w:rsidRPr="006F304D">
        <w:rPr>
          <w:szCs w:val="25"/>
        </w:rPr>
        <w:t xml:space="preserve">, </w:t>
      </w:r>
      <w:r w:rsidRPr="006A51BA">
        <w:t>Gospel according to Luke</w:t>
      </w:r>
      <w:r w:rsidRPr="00D102C4">
        <w:t xml:space="preserve"> </w:t>
      </w:r>
      <w:r w:rsidRPr="006A51BA">
        <w:rPr>
          <w:szCs w:val="25"/>
        </w:rPr>
        <w:t>39; Marshall</w:t>
      </w:r>
      <w:r w:rsidR="006F304D" w:rsidRPr="006F304D">
        <w:rPr>
          <w:szCs w:val="25"/>
        </w:rPr>
        <w:t xml:space="preserve">, </w:t>
      </w:r>
      <w:r w:rsidRPr="006A51BA">
        <w:t>Gospel according to Luke</w:t>
      </w:r>
      <w:r w:rsidRPr="00D102C4">
        <w:t xml:space="preserve"> </w:t>
      </w:r>
      <w:r w:rsidRPr="006A51BA">
        <w:rPr>
          <w:szCs w:val="25"/>
        </w:rPr>
        <w:t>244.</w:t>
      </w:r>
    </w:p>
  </w:footnote>
  <w:footnote w:id="559">
    <w:p w14:paraId="0FECDA3D" w14:textId="77777777" w:rsidR="0018433B" w:rsidRDefault="0018433B" w:rsidP="00573F48">
      <w:pPr>
        <w:pStyle w:val="FootnoteText"/>
      </w:pPr>
      <w:r>
        <w:rPr>
          <w:rStyle w:val="FootnoteReference"/>
        </w:rPr>
        <w:footnoteRef/>
      </w:r>
      <w:r>
        <w:t xml:space="preserve"> </w:t>
      </w:r>
      <w:r w:rsidRPr="006A51BA">
        <w:t>Gospel According to Luke</w:t>
      </w:r>
      <w:r w:rsidRPr="00D102C4">
        <w:t xml:space="preserve"> </w:t>
      </w:r>
      <w:r w:rsidRPr="006A51BA">
        <w:rPr>
          <w:szCs w:val="25"/>
        </w:rPr>
        <w:t>39.</w:t>
      </w:r>
    </w:p>
  </w:footnote>
  <w:footnote w:id="560">
    <w:p w14:paraId="0C7D1A46" w14:textId="1B376242" w:rsidR="0018433B" w:rsidRDefault="0018433B" w:rsidP="00573F48">
      <w:pPr>
        <w:pStyle w:val="FootnoteText"/>
      </w:pPr>
      <w:r>
        <w:rPr>
          <w:rStyle w:val="FootnoteReference"/>
        </w:rPr>
        <w:footnoteRef/>
      </w:r>
      <w:r>
        <w:t xml:space="preserve"> </w:t>
      </w:r>
      <w:r w:rsidRPr="006A51BA">
        <w:rPr>
          <w:szCs w:val="25"/>
        </w:rPr>
        <w:t>Schneider</w:t>
      </w:r>
      <w:r w:rsidR="006F304D" w:rsidRPr="006F304D">
        <w:rPr>
          <w:szCs w:val="25"/>
        </w:rPr>
        <w:t xml:space="preserve">, </w:t>
      </w:r>
      <w:r w:rsidRPr="006A51BA">
        <w:t>Evangelium nach Lukas</w:t>
      </w:r>
      <w:r w:rsidRPr="00D102C4">
        <w:t xml:space="preserve"> </w:t>
      </w:r>
      <w:r w:rsidRPr="006A51BA">
        <w:rPr>
          <w:szCs w:val="25"/>
        </w:rPr>
        <w:t>155</w:t>
      </w:r>
      <w:r>
        <w:rPr>
          <w:szCs w:val="25"/>
        </w:rPr>
        <w:t>.</w:t>
      </w:r>
    </w:p>
  </w:footnote>
  <w:footnote w:id="561">
    <w:p w14:paraId="3665A72D" w14:textId="77777777" w:rsidR="0018433B" w:rsidRDefault="0018433B" w:rsidP="00573F48">
      <w:pPr>
        <w:pStyle w:val="FootnoteText"/>
      </w:pPr>
      <w:r>
        <w:rPr>
          <w:rStyle w:val="FootnoteReference"/>
        </w:rPr>
        <w:footnoteRef/>
      </w:r>
      <w:r>
        <w:t xml:space="preserve"> </w:t>
      </w:r>
      <w:r w:rsidRPr="006A51BA">
        <w:t xml:space="preserve">Gospel According to St. Luke </w:t>
      </w:r>
      <w:r>
        <w:t>93.</w:t>
      </w:r>
    </w:p>
  </w:footnote>
  <w:footnote w:id="562">
    <w:p w14:paraId="74CB4894" w14:textId="77777777" w:rsidR="0018433B" w:rsidRDefault="0018433B" w:rsidP="00573F48">
      <w:pPr>
        <w:pStyle w:val="FootnoteText"/>
      </w:pPr>
      <w:r>
        <w:rPr>
          <w:rStyle w:val="FootnoteReference"/>
        </w:rPr>
        <w:footnoteRef/>
      </w:r>
      <w:r>
        <w:t xml:space="preserve"> </w:t>
      </w:r>
      <w:r w:rsidRPr="006A51BA">
        <w:t xml:space="preserve">Gospel According to Luke </w:t>
      </w:r>
      <w:r>
        <w:t>1.</w:t>
      </w:r>
      <w:r w:rsidRPr="006A51BA">
        <w:t>640.</w:t>
      </w:r>
    </w:p>
  </w:footnote>
  <w:footnote w:id="563">
    <w:p w14:paraId="35AC50CD" w14:textId="0F62CF5D" w:rsidR="0018433B" w:rsidRDefault="0018433B" w:rsidP="00573F48">
      <w:pPr>
        <w:pStyle w:val="FootnoteText"/>
      </w:pPr>
      <w:r>
        <w:rPr>
          <w:rStyle w:val="FootnoteReference"/>
        </w:rPr>
        <w:footnoteRef/>
      </w:r>
      <w:r>
        <w:t xml:space="preserve"> This i</w:t>
      </w:r>
      <w:r w:rsidRPr="006A51BA">
        <w:t>s the sole reason given by Creed for joining 36 to 37-38 (</w:t>
      </w:r>
      <w:r w:rsidRPr="006A51BA">
        <w:rPr>
          <w:i/>
          <w:iCs/>
        </w:rPr>
        <w:t>Gospel According to St</w:t>
      </w:r>
      <w:r w:rsidRPr="006A51BA">
        <w:rPr>
          <w:iCs/>
        </w:rPr>
        <w:t xml:space="preserve">. </w:t>
      </w:r>
      <w:r w:rsidRPr="006A51BA">
        <w:rPr>
          <w:i/>
          <w:iCs/>
        </w:rPr>
        <w:t>Luke</w:t>
      </w:r>
      <w:r w:rsidRPr="004B25CA">
        <w:rPr>
          <w:iCs/>
        </w:rPr>
        <w:t xml:space="preserve"> </w:t>
      </w:r>
      <w:r w:rsidRPr="006A51BA">
        <w:t>95). Easton makes this point also: ‘The asyndeton [lack of a connective</w:t>
      </w:r>
      <w:r w:rsidR="006F304D" w:rsidRPr="006F304D">
        <w:t xml:space="preserve">, </w:t>
      </w:r>
      <w:r w:rsidRPr="006A51BA">
        <w:t>between 35 and 36] together with the conjunction at the beginning of v. 37</w:t>
      </w:r>
      <w:r w:rsidR="006F304D" w:rsidRPr="006F304D">
        <w:t xml:space="preserve">, </w:t>
      </w:r>
      <w:r w:rsidRPr="006A51BA">
        <w:t xml:space="preserve">indicates that this verse [36] belongs with what follows </w:t>
      </w:r>
      <w:r>
        <w:t xml:space="preserve">. . . </w:t>
      </w:r>
      <w:r w:rsidRPr="006A51BA">
        <w:t xml:space="preserve">the ‘mercy’ consists primarily of abstinence from judgment” </w:t>
      </w:r>
      <w:r w:rsidRPr="004C516D">
        <w:t>(</w:t>
      </w:r>
      <w:r w:rsidRPr="006A51BA">
        <w:rPr>
          <w:i/>
          <w:iCs/>
        </w:rPr>
        <w:t>Gospel According to Saint Luke</w:t>
      </w:r>
      <w:r w:rsidRPr="004B25CA">
        <w:rPr>
          <w:iCs/>
        </w:rPr>
        <w:t xml:space="preserve"> </w:t>
      </w:r>
      <w:r w:rsidRPr="006A51BA">
        <w:t>88). Nevertheless</w:t>
      </w:r>
      <w:r w:rsidR="006F304D" w:rsidRPr="006F304D">
        <w:t xml:space="preserve">, </w:t>
      </w:r>
      <w:r w:rsidRPr="006A51BA">
        <w:t>he immediately admits that “the general language forms a link with what precedes</w:t>
      </w:r>
      <w:r w:rsidR="006F304D" w:rsidRPr="006F304D">
        <w:t xml:space="preserve">, </w:t>
      </w:r>
      <w:r w:rsidRPr="006A51BA">
        <w:t>as does the similarity to the last clause of v. 35</w:t>
      </w:r>
      <w:r>
        <w:t xml:space="preserve"> . . .</w:t>
      </w:r>
      <w:r w:rsidRPr="006A51BA">
        <w:t>” (ibid.).</w:t>
      </w:r>
    </w:p>
  </w:footnote>
  <w:footnote w:id="564">
    <w:p w14:paraId="2EA485D7" w14:textId="5E97DA4C" w:rsidR="0018433B" w:rsidRDefault="0018433B" w:rsidP="00573F48">
      <w:pPr>
        <w:pStyle w:val="FootnoteText"/>
      </w:pPr>
      <w:r>
        <w:rPr>
          <w:rStyle w:val="FootnoteReference"/>
        </w:rPr>
        <w:footnoteRef/>
      </w:r>
      <w:r>
        <w:t xml:space="preserve"> Though Nestle-Aland</w:t>
      </w:r>
      <w:r w:rsidRPr="005874F7">
        <w:rPr>
          <w:vertAlign w:val="superscript"/>
        </w:rPr>
        <w:t>26</w:t>
      </w:r>
      <w:r w:rsidRPr="006A51BA">
        <w:t xml:space="preserve"> incorporates </w:t>
      </w:r>
      <w:r>
        <w:t xml:space="preserve">καί </w:t>
      </w:r>
      <w:r w:rsidRPr="006A51BA">
        <w:t>into the text of 36b after</w:t>
      </w:r>
      <w:r>
        <w:t xml:space="preserve"> καθώς</w:t>
      </w:r>
      <w:r w:rsidR="006F304D" w:rsidRPr="006F304D">
        <w:t xml:space="preserve">, </w:t>
      </w:r>
      <w:r w:rsidRPr="006A51BA">
        <w:t>it seems to me that Nestle</w:t>
      </w:r>
      <w:r>
        <w:t>-Aland</w:t>
      </w:r>
      <w:r w:rsidRPr="006A51BA">
        <w:t xml:space="preserve"> and earlier editions were correct in omitting it. The witnesses for omission are strong instances of the Alexandrian text-type </w:t>
      </w:r>
      <w:r w:rsidRPr="004C516D">
        <w:t>(</w:t>
      </w:r>
      <w:r w:rsidRPr="006A51BA">
        <w:t>they include</w:t>
      </w:r>
      <w:r w:rsidR="006F304D" w:rsidRPr="006F304D">
        <w:t xml:space="preserve">, </w:t>
      </w:r>
      <w:r w:rsidRPr="006A51BA">
        <w:t>e.g.</w:t>
      </w:r>
      <w:r w:rsidR="006F304D" w:rsidRPr="006F304D">
        <w:t xml:space="preserve">, </w:t>
      </w:r>
      <w:r w:rsidRPr="006A51BA">
        <w:t>Sinaiticus and Vaticanus</w:t>
      </w:r>
      <w:r w:rsidR="006F304D" w:rsidRPr="006F304D">
        <w:t xml:space="preserve">, </w:t>
      </w:r>
      <w:r w:rsidRPr="006A51BA">
        <w:t>though Alexandrinus includes</w:t>
      </w:r>
      <w:r>
        <w:t xml:space="preserve"> καί</w:t>
      </w:r>
      <w:r w:rsidRPr="006A51BA">
        <w:t>)</w:t>
      </w:r>
      <w:r w:rsidR="006F304D" w:rsidRPr="006F304D">
        <w:t xml:space="preserve">, </w:t>
      </w:r>
      <w:r w:rsidRPr="006A51BA">
        <w:t>as well as witnesses to the Caesarean (family 1) and Western (Washingtonianus) text-types. The witnesses for inclusion primarily represent only the Caesarean (family 13)</w:t>
      </w:r>
      <w:r w:rsidR="006F304D" w:rsidRPr="006F304D">
        <w:t xml:space="preserve">, </w:t>
      </w:r>
      <w:r w:rsidRPr="006A51BA">
        <w:t>Western (Bezae</w:t>
      </w:r>
      <w:r w:rsidRPr="004C516D">
        <w:t>)</w:t>
      </w:r>
      <w:r w:rsidR="006F304D" w:rsidRPr="006F304D">
        <w:t xml:space="preserve">, </w:t>
      </w:r>
      <w:r w:rsidRPr="006A51BA">
        <w:t>and Byzantine text-types.</w:t>
      </w:r>
    </w:p>
  </w:footnote>
  <w:footnote w:id="565">
    <w:p w14:paraId="78AF59E0" w14:textId="40ECCB11" w:rsidR="0018433B" w:rsidRDefault="0018433B" w:rsidP="00573F48">
      <w:pPr>
        <w:pStyle w:val="FootnoteText"/>
      </w:pPr>
      <w:r>
        <w:rPr>
          <w:rStyle w:val="FootnoteReference"/>
        </w:rPr>
        <w:footnoteRef/>
      </w:r>
      <w:r>
        <w:t xml:space="preserve"> </w:t>
      </w:r>
      <w:r>
        <w:rPr>
          <w:szCs w:val="25"/>
        </w:rPr>
        <w:t>O</w:t>
      </w:r>
      <w:r w:rsidRPr="006A51BA">
        <w:rPr>
          <w:szCs w:val="25"/>
        </w:rPr>
        <w:t>thers who adopt the first alternative are Grant</w:t>
      </w:r>
      <w:r w:rsidR="006F304D" w:rsidRPr="006F304D">
        <w:rPr>
          <w:szCs w:val="25"/>
        </w:rPr>
        <w:t xml:space="preserve">, </w:t>
      </w:r>
      <w:r w:rsidRPr="006A51BA">
        <w:t>Introduction to New Testament Thought</w:t>
      </w:r>
      <w:r w:rsidRPr="00475C7C">
        <w:t xml:space="preserve"> </w:t>
      </w:r>
      <w:r w:rsidRPr="006A51BA">
        <w:rPr>
          <w:szCs w:val="25"/>
        </w:rPr>
        <w:t>214; Hauck</w:t>
      </w:r>
      <w:r w:rsidR="006F304D" w:rsidRPr="006F304D">
        <w:rPr>
          <w:szCs w:val="25"/>
        </w:rPr>
        <w:t xml:space="preserve">, </w:t>
      </w:r>
      <w:r w:rsidRPr="006A51BA">
        <w:t>Das Evangelium des Lukas</w:t>
      </w:r>
      <w:r w:rsidRPr="00475C7C">
        <w:t xml:space="preserve"> </w:t>
      </w:r>
      <w:r w:rsidRPr="006A51BA">
        <w:rPr>
          <w:szCs w:val="25"/>
        </w:rPr>
        <w:t>82 ff. (cited by Dupont</w:t>
      </w:r>
      <w:r w:rsidR="006F304D" w:rsidRPr="006F304D">
        <w:rPr>
          <w:szCs w:val="25"/>
        </w:rPr>
        <w:t xml:space="preserve">, </w:t>
      </w:r>
      <w:r w:rsidRPr="006A51BA">
        <w:t xml:space="preserve">Beatitudes </w:t>
      </w:r>
      <w:r>
        <w:rPr>
          <w:szCs w:val="25"/>
        </w:rPr>
        <w:t>1.</w:t>
      </w:r>
      <w:r w:rsidRPr="006A51BA">
        <w:rPr>
          <w:szCs w:val="25"/>
        </w:rPr>
        <w:t>197 n. 4); Otto Pfleiderer</w:t>
      </w:r>
      <w:r w:rsidR="006F304D" w:rsidRPr="006F304D">
        <w:rPr>
          <w:szCs w:val="25"/>
        </w:rPr>
        <w:t xml:space="preserve">, </w:t>
      </w:r>
      <w:r w:rsidRPr="006A51BA">
        <w:t xml:space="preserve">Primitive Christianity: Its Writings and Teachings in Their Historical Connections </w:t>
      </w:r>
      <w:r>
        <w:t>(</w:t>
      </w:r>
      <w:r>
        <w:rPr>
          <w:szCs w:val="25"/>
        </w:rPr>
        <w:t xml:space="preserve">4 vols. </w:t>
      </w:r>
      <w:r w:rsidRPr="006A51BA">
        <w:rPr>
          <w:szCs w:val="25"/>
        </w:rPr>
        <w:t>Clifton</w:t>
      </w:r>
      <w:r w:rsidR="006F304D" w:rsidRPr="006F304D">
        <w:rPr>
          <w:szCs w:val="25"/>
        </w:rPr>
        <w:t xml:space="preserve">, </w:t>
      </w:r>
      <w:r w:rsidRPr="006A51BA">
        <w:rPr>
          <w:szCs w:val="25"/>
        </w:rPr>
        <w:t>NJ: Reference Book Publishers</w:t>
      </w:r>
      <w:r w:rsidR="006F304D" w:rsidRPr="006F304D">
        <w:rPr>
          <w:szCs w:val="25"/>
        </w:rPr>
        <w:t xml:space="preserve">, </w:t>
      </w:r>
      <w:r w:rsidRPr="006A51BA">
        <w:rPr>
          <w:szCs w:val="25"/>
        </w:rPr>
        <w:t>1965 [Ger</w:t>
      </w:r>
      <w:r>
        <w:rPr>
          <w:szCs w:val="25"/>
        </w:rPr>
        <w:t>man original: 1887])</w:t>
      </w:r>
      <w:r w:rsidR="006F304D" w:rsidRPr="006F304D">
        <w:rPr>
          <w:szCs w:val="25"/>
        </w:rPr>
        <w:t xml:space="preserve">, </w:t>
      </w:r>
      <w:r>
        <w:rPr>
          <w:szCs w:val="25"/>
        </w:rPr>
        <w:t>2.</w:t>
      </w:r>
      <w:r w:rsidRPr="006A51BA">
        <w:rPr>
          <w:szCs w:val="25"/>
        </w:rPr>
        <w:t>129; Rigaux</w:t>
      </w:r>
      <w:r w:rsidR="006F304D" w:rsidRPr="006F304D">
        <w:rPr>
          <w:szCs w:val="25"/>
        </w:rPr>
        <w:t xml:space="preserve">, </w:t>
      </w:r>
      <w:r>
        <w:t>Té</w:t>
      </w:r>
      <w:r w:rsidRPr="006A51BA">
        <w:t>moignage de l’</w:t>
      </w:r>
      <w:r>
        <w:t>É</w:t>
      </w:r>
      <w:r w:rsidRPr="006A51BA">
        <w:t>vangle de Luc</w:t>
      </w:r>
      <w:r w:rsidRPr="00475C7C">
        <w:t xml:space="preserve"> </w:t>
      </w:r>
      <w:r w:rsidRPr="006A51BA">
        <w:rPr>
          <w:szCs w:val="25"/>
        </w:rPr>
        <w:t>163; and Schmid</w:t>
      </w:r>
      <w:r w:rsidR="006F304D" w:rsidRPr="006F304D">
        <w:rPr>
          <w:szCs w:val="25"/>
        </w:rPr>
        <w:t xml:space="preserve">, </w:t>
      </w:r>
      <w:r w:rsidRPr="006A51BA">
        <w:t>Evangelium nach Lukas</w:t>
      </w:r>
      <w:r w:rsidRPr="00475C7C">
        <w:t xml:space="preserve"> </w:t>
      </w:r>
      <w:r>
        <w:rPr>
          <w:szCs w:val="25"/>
        </w:rPr>
        <w:t>132</w:t>
      </w:r>
      <w:r w:rsidR="006F304D" w:rsidRPr="006F304D">
        <w:rPr>
          <w:szCs w:val="25"/>
        </w:rPr>
        <w:t xml:space="preserve">, </w:t>
      </w:r>
      <w:r>
        <w:rPr>
          <w:szCs w:val="25"/>
        </w:rPr>
        <w:t>138</w:t>
      </w:r>
      <w:r w:rsidR="006F304D" w:rsidRPr="006F304D">
        <w:rPr>
          <w:szCs w:val="25"/>
        </w:rPr>
        <w:t xml:space="preserve">, </w:t>
      </w:r>
      <w:r>
        <w:rPr>
          <w:szCs w:val="25"/>
        </w:rPr>
        <w:t>139-</w:t>
      </w:r>
      <w:r w:rsidRPr="006A51BA">
        <w:rPr>
          <w:szCs w:val="25"/>
        </w:rPr>
        <w:t xml:space="preserve">40. </w:t>
      </w:r>
      <w:r w:rsidR="00E56A92" w:rsidRPr="00E56A92">
        <w:rPr>
          <w:iCs/>
          <w:szCs w:val="25"/>
        </w:rPr>
        <w:t>Thaddäus</w:t>
      </w:r>
      <w:r w:rsidR="00523F00" w:rsidRPr="00523F00">
        <w:rPr>
          <w:iCs/>
          <w:szCs w:val="25"/>
        </w:rPr>
        <w:t xml:space="preserve"> Soiron</w:t>
      </w:r>
      <w:r w:rsidRPr="006A51BA">
        <w:rPr>
          <w:szCs w:val="25"/>
        </w:rPr>
        <w:t xml:space="preserve"> (</w:t>
      </w:r>
      <w:r w:rsidRPr="006A51BA">
        <w:t>Bergpredigt Jesu</w:t>
      </w:r>
      <w:r w:rsidRPr="00475C7C">
        <w:t xml:space="preserve"> </w:t>
      </w:r>
      <w:r w:rsidRPr="006A51BA">
        <w:rPr>
          <w:szCs w:val="25"/>
        </w:rPr>
        <w:t>127) combines 46 with 43-45 on formal grounds: 39-42 has three parts</w:t>
      </w:r>
      <w:r w:rsidR="006F304D" w:rsidRPr="006F304D">
        <w:rPr>
          <w:szCs w:val="25"/>
        </w:rPr>
        <w:t xml:space="preserve">, </w:t>
      </w:r>
      <w:r w:rsidRPr="006A51BA">
        <w:rPr>
          <w:szCs w:val="25"/>
        </w:rPr>
        <w:t>he says</w:t>
      </w:r>
      <w:r w:rsidR="006F304D" w:rsidRPr="006F304D">
        <w:rPr>
          <w:szCs w:val="25"/>
        </w:rPr>
        <w:t xml:space="preserve">, </w:t>
      </w:r>
      <w:r w:rsidRPr="006A51BA">
        <w:rPr>
          <w:szCs w:val="25"/>
        </w:rPr>
        <w:t>and therefore it is one strophe; 43-46 also has three parts</w:t>
      </w:r>
      <w:r w:rsidR="006F304D" w:rsidRPr="006F304D">
        <w:rPr>
          <w:szCs w:val="25"/>
        </w:rPr>
        <w:t xml:space="preserve">, </w:t>
      </w:r>
      <w:r w:rsidRPr="006A51BA">
        <w:rPr>
          <w:szCs w:val="25"/>
        </w:rPr>
        <w:t>and therefore it is a second strophe. But formal bases of division do not concern us in this chapter.</w:t>
      </w:r>
    </w:p>
  </w:footnote>
  <w:footnote w:id="566">
    <w:p w14:paraId="7A17DF3B" w14:textId="7740C28F" w:rsidR="0018433B" w:rsidRDefault="0018433B" w:rsidP="00573F48">
      <w:pPr>
        <w:pStyle w:val="FootnoteText"/>
      </w:pPr>
      <w:r>
        <w:rPr>
          <w:rStyle w:val="FootnoteReference"/>
        </w:rPr>
        <w:footnoteRef/>
      </w:r>
      <w:r>
        <w:t xml:space="preserve"> </w:t>
      </w:r>
      <w:r w:rsidRPr="006A51BA">
        <w:t>Rengstorf</w:t>
      </w:r>
      <w:r w:rsidR="006F304D" w:rsidRPr="006F304D">
        <w:t xml:space="preserve">, </w:t>
      </w:r>
      <w:r w:rsidRPr="006A51BA">
        <w:t>Evangelium des Lukas</w:t>
      </w:r>
      <w:r w:rsidRPr="00C716D2">
        <w:t xml:space="preserve"> </w:t>
      </w:r>
      <w:r w:rsidRPr="006A51BA">
        <w:t>85</w:t>
      </w:r>
      <w:r>
        <w:t>.</w:t>
      </w:r>
    </w:p>
  </w:footnote>
  <w:footnote w:id="567">
    <w:p w14:paraId="00DBDA31" w14:textId="77777777" w:rsidR="0018433B" w:rsidRDefault="0018433B" w:rsidP="00573F48">
      <w:pPr>
        <w:pStyle w:val="FootnoteText"/>
      </w:pPr>
      <w:r>
        <w:rPr>
          <w:rStyle w:val="FootnoteReference"/>
        </w:rPr>
        <w:footnoteRef/>
      </w:r>
      <w:r>
        <w:t xml:space="preserve"> Ibid. 92-93.</w:t>
      </w:r>
    </w:p>
  </w:footnote>
  <w:footnote w:id="568">
    <w:p w14:paraId="0D4E31BE" w14:textId="77777777" w:rsidR="0018433B" w:rsidRDefault="0018433B" w:rsidP="00573F48">
      <w:pPr>
        <w:pStyle w:val="FootnoteText"/>
      </w:pPr>
      <w:r>
        <w:rPr>
          <w:rStyle w:val="FootnoteReference"/>
        </w:rPr>
        <w:footnoteRef/>
      </w:r>
      <w:r>
        <w:t xml:space="preserve"> </w:t>
      </w:r>
      <w:r w:rsidRPr="006A51BA">
        <w:t>Rengstorf</w:t>
      </w:r>
      <w:r>
        <w:t>’</w:t>
      </w:r>
      <w:r w:rsidRPr="006A51BA">
        <w:t>s understanding of 45c cannot look to the audience of the sermon for support (see Ap</w:t>
      </w:r>
      <w:r>
        <w:t>pendix 2</w:t>
      </w:r>
      <w:r w:rsidRPr="006A51BA">
        <w:t>: Jesus in the sermon is addressing only the disciples). It is not incongruous for Jesus to say to the disciples proverbs that are true of everyone.</w:t>
      </w:r>
    </w:p>
  </w:footnote>
  <w:footnote w:id="569">
    <w:p w14:paraId="0BD6F263" w14:textId="3F8B2E0E" w:rsidR="0018433B" w:rsidRDefault="0018433B" w:rsidP="00573F48">
      <w:pPr>
        <w:pStyle w:val="FootnoteText"/>
      </w:pPr>
      <w:r>
        <w:rPr>
          <w:rStyle w:val="FootnoteReference"/>
        </w:rPr>
        <w:footnoteRef/>
      </w:r>
      <w:r>
        <w:t xml:space="preserve"> </w:t>
      </w:r>
      <w:r w:rsidRPr="006A51BA">
        <w:rPr>
          <w:szCs w:val="25"/>
        </w:rPr>
        <w:t>Dupont</w:t>
      </w:r>
      <w:r w:rsidR="006F304D" w:rsidRPr="006F304D">
        <w:rPr>
          <w:szCs w:val="25"/>
        </w:rPr>
        <w:t xml:space="preserve">, </w:t>
      </w:r>
      <w:r>
        <w:rPr>
          <w:i/>
          <w:iCs/>
        </w:rPr>
        <w:t>Bé</w:t>
      </w:r>
      <w:r w:rsidRPr="006A51BA">
        <w:rPr>
          <w:i/>
          <w:iCs/>
        </w:rPr>
        <w:t>atitudes</w:t>
      </w:r>
      <w:r w:rsidRPr="006A51BA">
        <w:rPr>
          <w:iCs/>
        </w:rPr>
        <w:t xml:space="preserve"> </w:t>
      </w:r>
      <w:r>
        <w:rPr>
          <w:szCs w:val="25"/>
        </w:rPr>
        <w:t>1.</w:t>
      </w:r>
      <w:r w:rsidRPr="006A51BA">
        <w:rPr>
          <w:szCs w:val="25"/>
        </w:rPr>
        <w:t>195</w:t>
      </w:r>
      <w:r>
        <w:rPr>
          <w:szCs w:val="25"/>
        </w:rPr>
        <w:t>.</w:t>
      </w:r>
    </w:p>
  </w:footnote>
  <w:footnote w:id="570">
    <w:p w14:paraId="501D6CF5" w14:textId="77777777" w:rsidR="0018433B" w:rsidRDefault="0018433B" w:rsidP="00573F48">
      <w:pPr>
        <w:pStyle w:val="FootnoteText"/>
      </w:pPr>
      <w:r>
        <w:rPr>
          <w:rStyle w:val="FootnoteReference"/>
        </w:rPr>
        <w:footnoteRef/>
      </w:r>
      <w:r>
        <w:t xml:space="preserve"> Ib</w:t>
      </w:r>
      <w:r w:rsidRPr="006A51BA">
        <w:t>id. 196</w:t>
      </w:r>
      <w:r>
        <w:t>.</w:t>
      </w:r>
    </w:p>
  </w:footnote>
  <w:footnote w:id="571">
    <w:p w14:paraId="13E9E2EA" w14:textId="4FC34C44" w:rsidR="0018433B" w:rsidRDefault="0018433B" w:rsidP="00573F48">
      <w:pPr>
        <w:pStyle w:val="FootnoteText"/>
      </w:pPr>
      <w:r>
        <w:rPr>
          <w:rStyle w:val="FootnoteReference"/>
        </w:rPr>
        <w:footnoteRef/>
      </w:r>
      <w:r>
        <w:t xml:space="preserve"> </w:t>
      </w:r>
      <w:r w:rsidRPr="006A51BA">
        <w:rPr>
          <w:szCs w:val="25"/>
        </w:rPr>
        <w:t>E.g.</w:t>
      </w:r>
      <w:r w:rsidR="006F304D" w:rsidRPr="006F304D">
        <w:rPr>
          <w:szCs w:val="25"/>
        </w:rPr>
        <w:t xml:space="preserve">, </w:t>
      </w:r>
      <w:r w:rsidRPr="006A51BA">
        <w:rPr>
          <w:szCs w:val="25"/>
        </w:rPr>
        <w:t>Beare</w:t>
      </w:r>
      <w:r w:rsidR="006F304D" w:rsidRPr="006F304D">
        <w:rPr>
          <w:szCs w:val="25"/>
        </w:rPr>
        <w:t xml:space="preserve">, </w:t>
      </w:r>
      <w:r w:rsidRPr="006A51BA">
        <w:t>Earliest Records of Jesus</w:t>
      </w:r>
      <w:r w:rsidRPr="006A2E5A">
        <w:t xml:space="preserve"> </w:t>
      </w:r>
      <w:r w:rsidRPr="006A51BA">
        <w:rPr>
          <w:szCs w:val="25"/>
        </w:rPr>
        <w:t>98; Bowie</w:t>
      </w:r>
      <w:r w:rsidR="006F304D" w:rsidRPr="006F304D">
        <w:rPr>
          <w:szCs w:val="25"/>
        </w:rPr>
        <w:t xml:space="preserve">, </w:t>
      </w:r>
      <w:r w:rsidRPr="006A51BA">
        <w:t>Compassionate Christ</w:t>
      </w:r>
      <w:r w:rsidRPr="006A2E5A">
        <w:t xml:space="preserve"> </w:t>
      </w:r>
      <w:r w:rsidRPr="006A51BA">
        <w:rPr>
          <w:szCs w:val="25"/>
        </w:rPr>
        <w:t>104; Burnside</w:t>
      </w:r>
      <w:r w:rsidR="006F304D" w:rsidRPr="006F304D">
        <w:rPr>
          <w:szCs w:val="25"/>
        </w:rPr>
        <w:t xml:space="preserve">, </w:t>
      </w:r>
      <w:r w:rsidRPr="006A51BA">
        <w:t>The Gospel according to St. Luke</w:t>
      </w:r>
      <w:r w:rsidRPr="006A2E5A">
        <w:t xml:space="preserve"> </w:t>
      </w:r>
      <w:r>
        <w:rPr>
          <w:szCs w:val="25"/>
        </w:rPr>
        <w:t>132-</w:t>
      </w:r>
      <w:r w:rsidRPr="006A51BA">
        <w:rPr>
          <w:szCs w:val="25"/>
        </w:rPr>
        <w:t>35; Caird</w:t>
      </w:r>
      <w:r w:rsidR="006F304D" w:rsidRPr="006F304D">
        <w:rPr>
          <w:szCs w:val="25"/>
        </w:rPr>
        <w:t xml:space="preserve">, </w:t>
      </w:r>
      <w:r w:rsidRPr="006A51BA">
        <w:t>Gospel of St Luke</w:t>
      </w:r>
      <w:r w:rsidRPr="006A2E5A">
        <w:t xml:space="preserve"> </w:t>
      </w:r>
      <w:r w:rsidRPr="006A51BA">
        <w:rPr>
          <w:szCs w:val="25"/>
        </w:rPr>
        <w:t>106; Danker</w:t>
      </w:r>
      <w:r w:rsidR="006F304D" w:rsidRPr="006F304D">
        <w:rPr>
          <w:szCs w:val="25"/>
        </w:rPr>
        <w:t xml:space="preserve">, </w:t>
      </w:r>
      <w:r w:rsidRPr="006A51BA">
        <w:t>Jesus and the New Age</w:t>
      </w:r>
      <w:r w:rsidRPr="006A2E5A">
        <w:t xml:space="preserve"> </w:t>
      </w:r>
      <w:r w:rsidRPr="006A51BA">
        <w:rPr>
          <w:szCs w:val="25"/>
        </w:rPr>
        <w:t>90; Dausch</w:t>
      </w:r>
      <w:r w:rsidR="006F304D" w:rsidRPr="006F304D">
        <w:rPr>
          <w:szCs w:val="25"/>
        </w:rPr>
        <w:t xml:space="preserve">, </w:t>
      </w:r>
      <w:r>
        <w:t>Drei ä</w:t>
      </w:r>
      <w:r w:rsidRPr="006A51BA">
        <w:t>lteren Evangelien</w:t>
      </w:r>
      <w:r w:rsidRPr="006A2E5A">
        <w:rPr>
          <w:szCs w:val="25"/>
        </w:rPr>
        <w:t xml:space="preserve"> </w:t>
      </w:r>
      <w:r w:rsidRPr="006A51BA">
        <w:rPr>
          <w:szCs w:val="25"/>
        </w:rPr>
        <w:t>464; Easton</w:t>
      </w:r>
      <w:r w:rsidR="006F304D" w:rsidRPr="006F304D">
        <w:rPr>
          <w:szCs w:val="25"/>
        </w:rPr>
        <w:t xml:space="preserve">, </w:t>
      </w:r>
      <w:r w:rsidRPr="006A51BA">
        <w:t>Gospel According to Saint Luke</w:t>
      </w:r>
      <w:r w:rsidRPr="006A2E5A">
        <w:t xml:space="preserve"> </w:t>
      </w:r>
      <w:r w:rsidRPr="006A51BA">
        <w:rPr>
          <w:szCs w:val="25"/>
        </w:rPr>
        <w:t>82</w:t>
      </w:r>
      <w:r w:rsidR="006F304D" w:rsidRPr="006F304D">
        <w:rPr>
          <w:szCs w:val="25"/>
        </w:rPr>
        <w:t xml:space="preserve">, </w:t>
      </w:r>
      <w:r w:rsidRPr="006A51BA">
        <w:rPr>
          <w:szCs w:val="25"/>
        </w:rPr>
        <w:t>93 (in verse 46</w:t>
      </w:r>
      <w:r w:rsidR="006F304D" w:rsidRPr="006F304D">
        <w:rPr>
          <w:szCs w:val="25"/>
        </w:rPr>
        <w:t xml:space="preserve">, </w:t>
      </w:r>
      <w:r>
        <w:rPr>
          <w:szCs w:val="25"/>
        </w:rPr>
        <w:t>“</w:t>
      </w:r>
      <w:r w:rsidRPr="006A51BA">
        <w:rPr>
          <w:szCs w:val="25"/>
        </w:rPr>
        <w:t>The theme is changed abruptly to the sin of lip-service,” p. 93); Edwards</w:t>
      </w:r>
      <w:r w:rsidR="006F304D" w:rsidRPr="006F304D">
        <w:rPr>
          <w:szCs w:val="25"/>
        </w:rPr>
        <w:t xml:space="preserve">, </w:t>
      </w:r>
      <w:r w:rsidRPr="006A51BA">
        <w:t>Luke’s Story of Jesus</w:t>
      </w:r>
      <w:r w:rsidRPr="006A2E5A">
        <w:t xml:space="preserve"> </w:t>
      </w:r>
      <w:r w:rsidRPr="006A51BA">
        <w:rPr>
          <w:szCs w:val="25"/>
        </w:rPr>
        <w:t>42; Fitzmyer</w:t>
      </w:r>
      <w:r w:rsidR="006F304D" w:rsidRPr="006F304D">
        <w:rPr>
          <w:szCs w:val="25"/>
        </w:rPr>
        <w:t xml:space="preserve">, </w:t>
      </w:r>
      <w:r w:rsidRPr="006A51BA">
        <w:t xml:space="preserve">Gospel According to Luke </w:t>
      </w:r>
      <w:r>
        <w:rPr>
          <w:szCs w:val="25"/>
        </w:rPr>
        <w:t>1.</w:t>
      </w:r>
      <w:r w:rsidRPr="006A51BA">
        <w:rPr>
          <w:szCs w:val="25"/>
        </w:rPr>
        <w:t>629</w:t>
      </w:r>
      <w:r w:rsidR="006F304D" w:rsidRPr="006F304D">
        <w:rPr>
          <w:szCs w:val="25"/>
        </w:rPr>
        <w:t xml:space="preserve">, </w:t>
      </w:r>
      <w:r w:rsidRPr="006A51BA">
        <w:rPr>
          <w:szCs w:val="25"/>
        </w:rPr>
        <w:t>630; Geldenhuys</w:t>
      </w:r>
      <w:r w:rsidR="006F304D" w:rsidRPr="006F304D">
        <w:rPr>
          <w:szCs w:val="25"/>
        </w:rPr>
        <w:t xml:space="preserve">, </w:t>
      </w:r>
      <w:r w:rsidRPr="006A51BA">
        <w:t>Commentary on the Gospel of Luke</w:t>
      </w:r>
      <w:r w:rsidRPr="006A2E5A">
        <w:t xml:space="preserve"> </w:t>
      </w:r>
      <w:r>
        <w:rPr>
          <w:szCs w:val="25"/>
        </w:rPr>
        <w:t>214-</w:t>
      </w:r>
      <w:r w:rsidRPr="006A51BA">
        <w:rPr>
          <w:szCs w:val="25"/>
        </w:rPr>
        <w:t>18; Grundmann</w:t>
      </w:r>
      <w:r w:rsidR="006F304D" w:rsidRPr="006F304D">
        <w:rPr>
          <w:szCs w:val="25"/>
        </w:rPr>
        <w:t xml:space="preserve">, </w:t>
      </w:r>
      <w:r w:rsidRPr="006A51BA">
        <w:t>Evangelium nach Lukas</w:t>
      </w:r>
      <w:r w:rsidRPr="006A2E5A">
        <w:t xml:space="preserve"> </w:t>
      </w:r>
      <w:r>
        <w:rPr>
          <w:szCs w:val="25"/>
        </w:rPr>
        <w:t>139-</w:t>
      </w:r>
      <w:r w:rsidRPr="006A51BA">
        <w:rPr>
          <w:szCs w:val="25"/>
        </w:rPr>
        <w:t>54; Hirsch</w:t>
      </w:r>
      <w:r w:rsidR="006F304D" w:rsidRPr="006F304D">
        <w:rPr>
          <w:szCs w:val="25"/>
        </w:rPr>
        <w:t xml:space="preserve">, </w:t>
      </w:r>
      <w:r w:rsidRPr="006A51BA">
        <w:t>F</w:t>
      </w:r>
      <w:r>
        <w:t>rü</w:t>
      </w:r>
      <w:r w:rsidRPr="006A51BA">
        <w:t>hgeschichte des Evan</w:t>
      </w:r>
      <w:r w:rsidRPr="006A51BA">
        <w:softHyphen/>
        <w:t xml:space="preserve">geliums </w:t>
      </w:r>
      <w:r>
        <w:rPr>
          <w:szCs w:val="25"/>
        </w:rPr>
        <w:t>2.</w:t>
      </w:r>
      <w:r w:rsidRPr="006A51BA">
        <w:rPr>
          <w:szCs w:val="25"/>
        </w:rPr>
        <w:t>83 ff. (cited in Dupont</w:t>
      </w:r>
      <w:r w:rsidR="006F304D" w:rsidRPr="006F304D">
        <w:rPr>
          <w:szCs w:val="25"/>
        </w:rPr>
        <w:t xml:space="preserve">, </w:t>
      </w:r>
      <w:r>
        <w:t>Bé</w:t>
      </w:r>
      <w:r w:rsidRPr="006A51BA">
        <w:t xml:space="preserve">atitudes </w:t>
      </w:r>
      <w:r>
        <w:rPr>
          <w:szCs w:val="25"/>
        </w:rPr>
        <w:t>1.</w:t>
      </w:r>
      <w:r w:rsidRPr="006A51BA">
        <w:rPr>
          <w:szCs w:val="25"/>
        </w:rPr>
        <w:t>197); Lagrange</w:t>
      </w:r>
      <w:r w:rsidR="006F304D" w:rsidRPr="006F304D">
        <w:rPr>
          <w:szCs w:val="25"/>
        </w:rPr>
        <w:t xml:space="preserve">, </w:t>
      </w:r>
      <w:r>
        <w:t>É</w:t>
      </w:r>
      <w:r w:rsidRPr="006A51BA">
        <w:t>vangile selon Saint Luc</w:t>
      </w:r>
      <w:r w:rsidRPr="006A2E5A">
        <w:t xml:space="preserve"> </w:t>
      </w:r>
      <w:r w:rsidRPr="006A51BA">
        <w:rPr>
          <w:szCs w:val="25"/>
        </w:rPr>
        <w:t>183; Loisy</w:t>
      </w:r>
      <w:r w:rsidR="006F304D" w:rsidRPr="006F304D">
        <w:rPr>
          <w:szCs w:val="25"/>
        </w:rPr>
        <w:t xml:space="preserve">, </w:t>
      </w:r>
      <w:r>
        <w:t>É</w:t>
      </w:r>
      <w:r w:rsidRPr="006A51BA">
        <w:t>vangile selon Luc</w:t>
      </w:r>
      <w:r w:rsidRPr="006A2E5A">
        <w:t xml:space="preserve"> </w:t>
      </w:r>
      <w:r w:rsidRPr="006A51BA">
        <w:rPr>
          <w:szCs w:val="25"/>
        </w:rPr>
        <w:t>210; Luce</w:t>
      </w:r>
      <w:r w:rsidR="006F304D" w:rsidRPr="006F304D">
        <w:rPr>
          <w:szCs w:val="25"/>
        </w:rPr>
        <w:t xml:space="preserve">, </w:t>
      </w:r>
      <w:r w:rsidRPr="006A51BA">
        <w:t>Gospel according to S. Luke</w:t>
      </w:r>
      <w:r w:rsidRPr="006A2E5A">
        <w:t xml:space="preserve"> </w:t>
      </w:r>
      <w:r>
        <w:rPr>
          <w:szCs w:val="25"/>
        </w:rPr>
        <w:t>150-</w:t>
      </w:r>
      <w:r w:rsidRPr="006A51BA">
        <w:rPr>
          <w:szCs w:val="25"/>
        </w:rPr>
        <w:t>51;</w:t>
      </w:r>
      <w:r>
        <w:rPr>
          <w:szCs w:val="25"/>
        </w:rPr>
        <w:t xml:space="preserve"> </w:t>
      </w:r>
      <w:r w:rsidRPr="006A51BA">
        <w:rPr>
          <w:szCs w:val="25"/>
        </w:rPr>
        <w:t>Manson</w:t>
      </w:r>
      <w:r w:rsidR="006F304D" w:rsidRPr="006F304D">
        <w:rPr>
          <w:szCs w:val="25"/>
        </w:rPr>
        <w:t xml:space="preserve">, </w:t>
      </w:r>
      <w:r w:rsidRPr="006A51BA">
        <w:rPr>
          <w:szCs w:val="25"/>
        </w:rPr>
        <w:t>Gospel of Luke</w:t>
      </w:r>
      <w:r w:rsidRPr="006A2E5A">
        <w:rPr>
          <w:szCs w:val="25"/>
        </w:rPr>
        <w:t xml:space="preserve"> </w:t>
      </w:r>
      <w:r w:rsidRPr="006A51BA">
        <w:rPr>
          <w:szCs w:val="25"/>
        </w:rPr>
        <w:t>73-74; Marshall</w:t>
      </w:r>
      <w:r w:rsidR="006F304D" w:rsidRPr="006F304D">
        <w:rPr>
          <w:szCs w:val="25"/>
        </w:rPr>
        <w:t xml:space="preserve">, </w:t>
      </w:r>
      <w:r w:rsidRPr="006A51BA">
        <w:rPr>
          <w:szCs w:val="25"/>
        </w:rPr>
        <w:t>Gospel of Luke</w:t>
      </w:r>
      <w:r w:rsidRPr="006A2E5A">
        <w:rPr>
          <w:szCs w:val="25"/>
        </w:rPr>
        <w:t xml:space="preserve"> </w:t>
      </w:r>
      <w:r>
        <w:rPr>
          <w:szCs w:val="25"/>
        </w:rPr>
        <w:t>244-</w:t>
      </w:r>
      <w:r w:rsidRPr="006A51BA">
        <w:rPr>
          <w:szCs w:val="25"/>
        </w:rPr>
        <w:t>47; Montefiore</w:t>
      </w:r>
      <w:r w:rsidR="006F304D" w:rsidRPr="006F304D">
        <w:rPr>
          <w:szCs w:val="25"/>
        </w:rPr>
        <w:t xml:space="preserve">, </w:t>
      </w:r>
      <w:r w:rsidRPr="006A51BA">
        <w:rPr>
          <w:szCs w:val="25"/>
        </w:rPr>
        <w:t>Gospel According to Luke</w:t>
      </w:r>
      <w:r w:rsidRPr="006A2E5A">
        <w:rPr>
          <w:szCs w:val="25"/>
        </w:rPr>
        <w:t xml:space="preserve"> </w:t>
      </w:r>
      <w:r w:rsidRPr="006A51BA">
        <w:rPr>
          <w:szCs w:val="25"/>
        </w:rPr>
        <w:t>421; Plummer</w:t>
      </w:r>
      <w:r w:rsidR="006F304D" w:rsidRPr="006F304D">
        <w:rPr>
          <w:szCs w:val="25"/>
        </w:rPr>
        <w:t xml:space="preserve">, </w:t>
      </w:r>
      <w:r w:rsidRPr="006A51BA">
        <w:rPr>
          <w:szCs w:val="25"/>
        </w:rPr>
        <w:t>Critical and Exegetical Commentary</w:t>
      </w:r>
      <w:r w:rsidRPr="006A2E5A">
        <w:rPr>
          <w:szCs w:val="25"/>
        </w:rPr>
        <w:t xml:space="preserve"> </w:t>
      </w:r>
      <w:r w:rsidRPr="006A51BA">
        <w:rPr>
          <w:szCs w:val="25"/>
        </w:rPr>
        <w:t>178</w:t>
      </w:r>
      <w:r w:rsidR="006F304D" w:rsidRPr="006F304D">
        <w:rPr>
          <w:szCs w:val="25"/>
        </w:rPr>
        <w:t xml:space="preserve">, </w:t>
      </w:r>
      <w:r w:rsidRPr="006A51BA">
        <w:rPr>
          <w:szCs w:val="25"/>
        </w:rPr>
        <w:t>194; Rose</w:t>
      </w:r>
      <w:r w:rsidR="006F304D" w:rsidRPr="006F304D">
        <w:rPr>
          <w:szCs w:val="25"/>
        </w:rPr>
        <w:t xml:space="preserve">, </w:t>
      </w:r>
      <w:r>
        <w:rPr>
          <w:szCs w:val="25"/>
        </w:rPr>
        <w:t>é</w:t>
      </w:r>
      <w:r w:rsidRPr="006A51BA">
        <w:rPr>
          <w:szCs w:val="25"/>
        </w:rPr>
        <w:t>vangile selon S. Luc</w:t>
      </w:r>
      <w:r w:rsidRPr="006A2E5A">
        <w:rPr>
          <w:szCs w:val="25"/>
        </w:rPr>
        <w:t xml:space="preserve"> </w:t>
      </w:r>
      <w:r w:rsidRPr="006A51BA">
        <w:rPr>
          <w:szCs w:val="25"/>
        </w:rPr>
        <w:t>71; Schneider</w:t>
      </w:r>
      <w:r w:rsidR="006F304D" w:rsidRPr="006F304D">
        <w:rPr>
          <w:szCs w:val="25"/>
        </w:rPr>
        <w:t xml:space="preserve">, </w:t>
      </w:r>
      <w:r w:rsidRPr="006A51BA">
        <w:rPr>
          <w:szCs w:val="25"/>
        </w:rPr>
        <w:t>Evangelium nach Lukas</w:t>
      </w:r>
      <w:r w:rsidRPr="006A2E5A">
        <w:rPr>
          <w:szCs w:val="25"/>
        </w:rPr>
        <w:t xml:space="preserve"> </w:t>
      </w:r>
      <w:r>
        <w:rPr>
          <w:szCs w:val="25"/>
        </w:rPr>
        <w:t>160-</w:t>
      </w:r>
      <w:r w:rsidRPr="006A51BA">
        <w:rPr>
          <w:szCs w:val="25"/>
        </w:rPr>
        <w:t>63; Talbert</w:t>
      </w:r>
      <w:r w:rsidR="006F304D" w:rsidRPr="006F304D">
        <w:rPr>
          <w:szCs w:val="25"/>
        </w:rPr>
        <w:t xml:space="preserve">, </w:t>
      </w:r>
      <w:r w:rsidRPr="006A51BA">
        <w:rPr>
          <w:szCs w:val="25"/>
        </w:rPr>
        <w:t>Reading Luke</w:t>
      </w:r>
      <w:r w:rsidRPr="006A2E5A">
        <w:rPr>
          <w:szCs w:val="25"/>
        </w:rPr>
        <w:t xml:space="preserve"> </w:t>
      </w:r>
      <w:r w:rsidRPr="006A51BA">
        <w:rPr>
          <w:szCs w:val="25"/>
        </w:rPr>
        <w:t>69; Tinsley</w:t>
      </w:r>
      <w:r w:rsidR="006F304D" w:rsidRPr="006F304D">
        <w:rPr>
          <w:szCs w:val="25"/>
        </w:rPr>
        <w:t xml:space="preserve">, </w:t>
      </w:r>
      <w:r w:rsidRPr="006A51BA">
        <w:rPr>
          <w:szCs w:val="25"/>
        </w:rPr>
        <w:t>Gospel According to Luke</w:t>
      </w:r>
      <w:r w:rsidRPr="006A2E5A">
        <w:rPr>
          <w:szCs w:val="25"/>
        </w:rPr>
        <w:t xml:space="preserve"> 72;</w:t>
      </w:r>
      <w:r w:rsidRPr="006A51BA">
        <w:rPr>
          <w:szCs w:val="25"/>
        </w:rPr>
        <w:t xml:space="preserve"> Valensin and Huby</w:t>
      </w:r>
      <w:r w:rsidR="006F304D" w:rsidRPr="006F304D">
        <w:rPr>
          <w:szCs w:val="25"/>
        </w:rPr>
        <w:t xml:space="preserve">, </w:t>
      </w:r>
      <w:r>
        <w:rPr>
          <w:szCs w:val="25"/>
        </w:rPr>
        <w:t>É</w:t>
      </w:r>
      <w:r w:rsidRPr="006A51BA">
        <w:rPr>
          <w:szCs w:val="25"/>
        </w:rPr>
        <w:t>vangile selon Saint Luc</w:t>
      </w:r>
      <w:r w:rsidRPr="006A2E5A">
        <w:rPr>
          <w:szCs w:val="25"/>
        </w:rPr>
        <w:t xml:space="preserve"> </w:t>
      </w:r>
      <w:r w:rsidRPr="006A51BA">
        <w:rPr>
          <w:szCs w:val="25"/>
        </w:rPr>
        <w:t>120</w:t>
      </w:r>
      <w:r w:rsidR="006F304D" w:rsidRPr="006F304D">
        <w:rPr>
          <w:szCs w:val="25"/>
        </w:rPr>
        <w:t xml:space="preserve">, </w:t>
      </w:r>
      <w:r w:rsidRPr="006A51BA">
        <w:rPr>
          <w:szCs w:val="25"/>
        </w:rPr>
        <w:t xml:space="preserve">131. Only Creed </w:t>
      </w:r>
      <w:r w:rsidRPr="004C516D">
        <w:rPr>
          <w:szCs w:val="25"/>
        </w:rPr>
        <w:t>(</w:t>
      </w:r>
      <w:r w:rsidRPr="006A51BA">
        <w:rPr>
          <w:szCs w:val="25"/>
        </w:rPr>
        <w:t>Gospel According to St. Luke</w:t>
      </w:r>
      <w:r w:rsidRPr="006A2E5A">
        <w:rPr>
          <w:szCs w:val="25"/>
        </w:rPr>
        <w:t xml:space="preserve"> </w:t>
      </w:r>
      <w:r>
        <w:rPr>
          <w:szCs w:val="25"/>
        </w:rPr>
        <w:t>89) and</w:t>
      </w:r>
      <w:r w:rsidR="006F304D" w:rsidRPr="006F304D">
        <w:rPr>
          <w:szCs w:val="25"/>
        </w:rPr>
        <w:t xml:space="preserve">, </w:t>
      </w:r>
      <w:r>
        <w:rPr>
          <w:szCs w:val="25"/>
        </w:rPr>
        <w:t>perhaps</w:t>
      </w:r>
      <w:r w:rsidR="006F304D" w:rsidRPr="006F304D">
        <w:rPr>
          <w:szCs w:val="25"/>
        </w:rPr>
        <w:t xml:space="preserve">, </w:t>
      </w:r>
      <w:r>
        <w:rPr>
          <w:szCs w:val="25"/>
        </w:rPr>
        <w:t>Stö</w:t>
      </w:r>
      <w:r w:rsidRPr="006A51BA">
        <w:rPr>
          <w:szCs w:val="25"/>
        </w:rPr>
        <w:t xml:space="preserve">ger </w:t>
      </w:r>
      <w:r w:rsidRPr="004C516D">
        <w:rPr>
          <w:szCs w:val="25"/>
        </w:rPr>
        <w:t>(</w:t>
      </w:r>
      <w:r w:rsidRPr="006A51BA">
        <w:rPr>
          <w:szCs w:val="25"/>
        </w:rPr>
        <w:t>Gospel According to St. Luke</w:t>
      </w:r>
      <w:r w:rsidRPr="006A2E5A">
        <w:rPr>
          <w:szCs w:val="25"/>
        </w:rPr>
        <w:t xml:space="preserve"> </w:t>
      </w:r>
      <w:r>
        <w:rPr>
          <w:szCs w:val="25"/>
        </w:rPr>
        <w:t>127-</w:t>
      </w:r>
      <w:r w:rsidRPr="006A51BA">
        <w:rPr>
          <w:szCs w:val="25"/>
        </w:rPr>
        <w:t>28) see verse 46 as free-standing.</w:t>
      </w:r>
    </w:p>
  </w:footnote>
  <w:footnote w:id="572">
    <w:p w14:paraId="0EB2D605" w14:textId="64B08EA9" w:rsidR="0018433B" w:rsidRDefault="0018433B" w:rsidP="00573F48">
      <w:pPr>
        <w:pStyle w:val="FootnoteText"/>
      </w:pPr>
      <w:r>
        <w:rPr>
          <w:rStyle w:val="FootnoteReference"/>
        </w:rPr>
        <w:footnoteRef/>
      </w:r>
      <w:r>
        <w:t xml:space="preserve"> D</w:t>
      </w:r>
      <w:r w:rsidRPr="006A51BA">
        <w:t>upont</w:t>
      </w:r>
      <w:r w:rsidR="006F304D" w:rsidRPr="006F304D">
        <w:t xml:space="preserve">, </w:t>
      </w:r>
      <w:r w:rsidRPr="006A51BA">
        <w:rPr>
          <w:i/>
          <w:iCs/>
        </w:rPr>
        <w:t>Beatitudes</w:t>
      </w:r>
      <w:r w:rsidRPr="006A51BA">
        <w:rPr>
          <w:iCs/>
        </w:rPr>
        <w:t xml:space="preserve"> </w:t>
      </w:r>
      <w:r>
        <w:t>1.196.</w:t>
      </w:r>
    </w:p>
  </w:footnote>
  <w:footnote w:id="573">
    <w:p w14:paraId="7DC93B54" w14:textId="00E5EF1F" w:rsidR="0018433B" w:rsidRDefault="0018433B" w:rsidP="00573F48">
      <w:pPr>
        <w:pStyle w:val="FootnoteText"/>
      </w:pPr>
      <w:r>
        <w:rPr>
          <w:rStyle w:val="FootnoteReference"/>
        </w:rPr>
        <w:footnoteRef/>
      </w:r>
      <w:r>
        <w:t xml:space="preserve"> </w:t>
      </w:r>
      <w:r w:rsidRPr="006A51BA">
        <w:t>Easton</w:t>
      </w:r>
      <w:r w:rsidR="006F304D" w:rsidRPr="006F304D">
        <w:t xml:space="preserve">, </w:t>
      </w:r>
      <w:r w:rsidRPr="006A51BA">
        <w:rPr>
          <w:i/>
          <w:iCs/>
        </w:rPr>
        <w:t>Gospel According to St</w:t>
      </w:r>
      <w:r w:rsidRPr="006A51BA">
        <w:rPr>
          <w:iCs/>
        </w:rPr>
        <w:t xml:space="preserve">. </w:t>
      </w:r>
      <w:r w:rsidRPr="006A51BA">
        <w:rPr>
          <w:i/>
          <w:iCs/>
        </w:rPr>
        <w:t>Luke</w:t>
      </w:r>
      <w:r w:rsidRPr="006A51BA">
        <w:rPr>
          <w:iCs/>
        </w:rPr>
        <w:t xml:space="preserve"> </w:t>
      </w:r>
      <w:r w:rsidRPr="006A51BA">
        <w:t>86; cf. 87 (31 “serves also to effect the transition to what follows”).</w:t>
      </w:r>
    </w:p>
  </w:footnote>
  <w:footnote w:id="574">
    <w:p w14:paraId="2BF60A97" w14:textId="2E7B1C7D" w:rsidR="0018433B" w:rsidRDefault="0018433B" w:rsidP="0018433B">
      <w:pPr>
        <w:pStyle w:val="Style"/>
        <w:widowControl/>
        <w:jc w:val="both"/>
        <w:textAlignment w:val="baseline"/>
        <w:rPr>
          <w:szCs w:val="25"/>
        </w:rPr>
      </w:pPr>
      <w:r>
        <w:rPr>
          <w:rStyle w:val="FootnoteReference"/>
        </w:rPr>
        <w:footnoteRef/>
      </w:r>
      <w:r>
        <w:t xml:space="preserve"> </w:t>
      </w:r>
      <w:r w:rsidRPr="006A51BA">
        <w:rPr>
          <w:szCs w:val="25"/>
        </w:rPr>
        <w:t>Danker</w:t>
      </w:r>
      <w:r w:rsidR="006F304D" w:rsidRPr="006F304D">
        <w:rPr>
          <w:szCs w:val="25"/>
        </w:rPr>
        <w:t xml:space="preserve">, </w:t>
      </w:r>
      <w:r w:rsidRPr="006A51BA">
        <w:rPr>
          <w:i/>
          <w:iCs/>
        </w:rPr>
        <w:t>Jesus and the New Age</w:t>
      </w:r>
      <w:r w:rsidRPr="009D5155">
        <w:rPr>
          <w:iCs/>
        </w:rPr>
        <w:t xml:space="preserve"> </w:t>
      </w:r>
      <w:r w:rsidRPr="006A51BA">
        <w:rPr>
          <w:szCs w:val="25"/>
        </w:rPr>
        <w:t xml:space="preserve">88. Danker immediately adds that </w:t>
      </w:r>
      <w:r>
        <w:rPr>
          <w:szCs w:val="25"/>
        </w:rPr>
        <w:t>“</w:t>
      </w:r>
      <w:r w:rsidRPr="006A51BA">
        <w:rPr>
          <w:szCs w:val="26"/>
        </w:rPr>
        <w:t xml:space="preserve">In </w:t>
      </w:r>
      <w:r w:rsidRPr="006A51BA">
        <w:rPr>
          <w:szCs w:val="25"/>
        </w:rPr>
        <w:t xml:space="preserve">formal terms this is known as chiasmus </w:t>
      </w:r>
      <w:r w:rsidRPr="002E0FF6">
        <w:rPr>
          <w:szCs w:val="25"/>
        </w:rPr>
        <w:t>. . .</w:t>
      </w:r>
      <w:r>
        <w:rPr>
          <w:szCs w:val="25"/>
        </w:rPr>
        <w:t>” B</w:t>
      </w:r>
      <w:r w:rsidRPr="006A51BA">
        <w:rPr>
          <w:szCs w:val="25"/>
        </w:rPr>
        <w:t>ut</w:t>
      </w:r>
      <w:r w:rsidR="006F304D" w:rsidRPr="006F304D">
        <w:rPr>
          <w:szCs w:val="25"/>
        </w:rPr>
        <w:t xml:space="preserve">, </w:t>
      </w:r>
      <w:r w:rsidRPr="006A51BA">
        <w:rPr>
          <w:szCs w:val="25"/>
        </w:rPr>
        <w:t>of course</w:t>
      </w:r>
      <w:r w:rsidR="006F304D" w:rsidRPr="006F304D">
        <w:rPr>
          <w:szCs w:val="25"/>
        </w:rPr>
        <w:t xml:space="preserve">, </w:t>
      </w:r>
      <w:r w:rsidRPr="006A51BA">
        <w:rPr>
          <w:szCs w:val="25"/>
        </w:rPr>
        <w:t xml:space="preserve">a </w:t>
      </w:r>
      <w:r w:rsidRPr="00FF03AB">
        <w:rPr>
          <w:szCs w:val="25"/>
        </w:rPr>
        <w:t>“</w:t>
      </w:r>
      <w:r w:rsidRPr="006A51BA">
        <w:rPr>
          <w:szCs w:val="25"/>
        </w:rPr>
        <w:t>center</w:t>
      </w:r>
      <w:r w:rsidRPr="00FF03AB">
        <w:rPr>
          <w:szCs w:val="25"/>
        </w:rPr>
        <w:t>”</w:t>
      </w:r>
      <w:r w:rsidRPr="006A51BA">
        <w:rPr>
          <w:szCs w:val="25"/>
        </w:rPr>
        <w:t xml:space="preserve"> alone does not create a chiasm: the text preceding the center must be inverted in the text that follows.</w:t>
      </w:r>
    </w:p>
    <w:p w14:paraId="19010D1D" w14:textId="6881AE45" w:rsidR="0018433B" w:rsidRPr="006A51BA" w:rsidRDefault="0018433B" w:rsidP="0018433B">
      <w:pPr>
        <w:pStyle w:val="Style"/>
        <w:widowControl/>
        <w:jc w:val="both"/>
        <w:textAlignment w:val="baseline"/>
        <w:rPr>
          <w:szCs w:val="25"/>
        </w:rPr>
      </w:pPr>
      <w:r>
        <w:rPr>
          <w:szCs w:val="25"/>
        </w:rPr>
        <w:t>See also Fitzmyer (1.</w:t>
      </w:r>
      <w:r w:rsidRPr="006A51BA">
        <w:rPr>
          <w:szCs w:val="25"/>
        </w:rPr>
        <w:t>641: ‘Though v. 36 reformulates what precedes [35d</w:t>
      </w:r>
      <w:r>
        <w:rPr>
          <w:szCs w:val="25"/>
        </w:rPr>
        <w:t>ef</w:t>
      </w:r>
      <w:r w:rsidRPr="006A51BA">
        <w:rPr>
          <w:szCs w:val="25"/>
        </w:rPr>
        <w:t>]</w:t>
      </w:r>
      <w:r w:rsidR="006F304D" w:rsidRPr="006F304D">
        <w:rPr>
          <w:szCs w:val="25"/>
        </w:rPr>
        <w:t xml:space="preserve">, </w:t>
      </w:r>
      <w:r w:rsidRPr="006A51BA">
        <w:rPr>
          <w:szCs w:val="25"/>
        </w:rPr>
        <w:t xml:space="preserve">it is also transitional to what follows </w:t>
      </w:r>
      <w:r w:rsidRPr="002E0FF6">
        <w:rPr>
          <w:szCs w:val="25"/>
        </w:rPr>
        <w:t>. . .</w:t>
      </w:r>
      <w:r w:rsidRPr="006A51BA">
        <w:rPr>
          <w:szCs w:val="25"/>
        </w:rPr>
        <w:t>”) and especially Ernst (</w:t>
      </w:r>
      <w:r w:rsidRPr="006A51BA">
        <w:rPr>
          <w:i/>
          <w:iCs/>
        </w:rPr>
        <w:t>Evangelium nach Lukas</w:t>
      </w:r>
      <w:r w:rsidRPr="009D5155">
        <w:rPr>
          <w:iCs/>
        </w:rPr>
        <w:t xml:space="preserve"> </w:t>
      </w:r>
      <w:r w:rsidRPr="006A51BA">
        <w:rPr>
          <w:szCs w:val="25"/>
        </w:rPr>
        <w:t>223):</w:t>
      </w:r>
    </w:p>
    <w:p w14:paraId="5860C53C" w14:textId="77777777" w:rsidR="0018433B" w:rsidRDefault="0018433B" w:rsidP="0018433B">
      <w:pPr>
        <w:pStyle w:val="Style"/>
        <w:widowControl/>
        <w:jc w:val="both"/>
        <w:textAlignment w:val="baseline"/>
        <w:rPr>
          <w:szCs w:val="25"/>
        </w:rPr>
      </w:pPr>
    </w:p>
    <w:p w14:paraId="137B7560" w14:textId="3CD85272" w:rsidR="0018433B" w:rsidRPr="006A51BA" w:rsidRDefault="0018433B" w:rsidP="0018433B">
      <w:pPr>
        <w:pStyle w:val="Style"/>
        <w:widowControl/>
        <w:ind w:left="720" w:right="720"/>
        <w:jc w:val="both"/>
        <w:textAlignment w:val="baseline"/>
        <w:rPr>
          <w:szCs w:val="25"/>
        </w:rPr>
      </w:pPr>
      <w:r w:rsidRPr="006A51BA">
        <w:rPr>
          <w:szCs w:val="25"/>
        </w:rPr>
        <w:t>The so-called parenetic part of the sermon on the plain contains (1) a collection of sayings on the theme</w:t>
      </w:r>
      <w:r w:rsidR="006F304D" w:rsidRPr="006F304D">
        <w:rPr>
          <w:szCs w:val="25"/>
        </w:rPr>
        <w:t xml:space="preserve">, </w:t>
      </w:r>
      <w:r w:rsidRPr="006A51BA">
        <w:rPr>
          <w:szCs w:val="25"/>
        </w:rPr>
        <w:t xml:space="preserve">“love of one’s enemies” (6:27-35) and (2) </w:t>
      </w:r>
      <w:r w:rsidRPr="006A51BA">
        <w:rPr>
          <w:i/>
          <w:iCs/>
        </w:rPr>
        <w:t xml:space="preserve">logia </w:t>
      </w:r>
      <w:r w:rsidRPr="006A51BA">
        <w:rPr>
          <w:szCs w:val="25"/>
        </w:rPr>
        <w:t>of various origin and coinage</w:t>
      </w:r>
      <w:r w:rsidR="006F304D" w:rsidRPr="006F304D">
        <w:rPr>
          <w:szCs w:val="25"/>
        </w:rPr>
        <w:t xml:space="preserve">, </w:t>
      </w:r>
      <w:r w:rsidRPr="006A51BA">
        <w:rPr>
          <w:szCs w:val="25"/>
        </w:rPr>
        <w:t>which concretize the message of love in practical behavior (6:37-38). The statement about being merciful according to the example of God (verse 36) binds the two parts together.</w:t>
      </w:r>
    </w:p>
    <w:p w14:paraId="0252B0E8" w14:textId="77777777" w:rsidR="0018433B" w:rsidRDefault="0018433B" w:rsidP="00573F48">
      <w:pPr>
        <w:pStyle w:val="FootnoteText"/>
      </w:pPr>
    </w:p>
    <w:p w14:paraId="39595D45" w14:textId="055DDEBE" w:rsidR="0018433B" w:rsidRDefault="0018433B" w:rsidP="00573F48">
      <w:pPr>
        <w:pStyle w:val="FootnoteText"/>
      </w:pPr>
      <w:r w:rsidRPr="006A51BA">
        <w:t>See also Easton</w:t>
      </w:r>
      <w:r w:rsidR="006F304D" w:rsidRPr="006F304D">
        <w:t xml:space="preserve">, </w:t>
      </w:r>
      <w:r w:rsidRPr="006A51BA">
        <w:rPr>
          <w:i/>
          <w:iCs/>
        </w:rPr>
        <w:t>Gospel According to St</w:t>
      </w:r>
      <w:r w:rsidRPr="006A51BA">
        <w:rPr>
          <w:iCs/>
        </w:rPr>
        <w:t xml:space="preserve">. </w:t>
      </w:r>
      <w:r w:rsidRPr="006A51BA">
        <w:rPr>
          <w:i/>
          <w:iCs/>
        </w:rPr>
        <w:t>Luke</w:t>
      </w:r>
      <w:r w:rsidRPr="00F462C4">
        <w:rPr>
          <w:iCs/>
        </w:rPr>
        <w:t xml:space="preserve"> </w:t>
      </w:r>
      <w:r w:rsidRPr="006A51BA">
        <w:t>86</w:t>
      </w:r>
      <w:r w:rsidR="006F304D" w:rsidRPr="006F304D">
        <w:t xml:space="preserve">, </w:t>
      </w:r>
      <w:r w:rsidRPr="006A51BA">
        <w:t>88</w:t>
      </w:r>
      <w:r w:rsidR="006F304D" w:rsidRPr="006F304D">
        <w:t xml:space="preserve">, </w:t>
      </w:r>
      <w:r w:rsidRPr="006A51BA">
        <w:t>and Dupont</w:t>
      </w:r>
      <w:r w:rsidR="006F304D" w:rsidRPr="006F304D">
        <w:t xml:space="preserve">, </w:t>
      </w:r>
      <w:r w:rsidRPr="006A51BA">
        <w:rPr>
          <w:i/>
          <w:iCs/>
        </w:rPr>
        <w:t>Beatitudes</w:t>
      </w:r>
      <w:r w:rsidRPr="006A51BA">
        <w:rPr>
          <w:iCs/>
        </w:rPr>
        <w:t xml:space="preserve"> </w:t>
      </w:r>
      <w:r>
        <w:t>1.</w:t>
      </w:r>
      <w:r w:rsidRPr="006A51BA">
        <w:t>199.</w:t>
      </w:r>
    </w:p>
  </w:footnote>
  <w:footnote w:id="575">
    <w:p w14:paraId="345BE142" w14:textId="39985CCC" w:rsidR="0018433B" w:rsidRDefault="0018433B" w:rsidP="00573F48">
      <w:pPr>
        <w:pStyle w:val="FootnoteText"/>
      </w:pPr>
      <w:r>
        <w:rPr>
          <w:rStyle w:val="FootnoteReference"/>
        </w:rPr>
        <w:footnoteRef/>
      </w:r>
      <w:r>
        <w:t xml:space="preserve"> </w:t>
      </w:r>
      <w:r w:rsidRPr="006A51BA">
        <w:rPr>
          <w:szCs w:val="25"/>
        </w:rPr>
        <w:t>Plummer</w:t>
      </w:r>
      <w:r w:rsidR="006F304D" w:rsidRPr="006F304D">
        <w:rPr>
          <w:szCs w:val="25"/>
        </w:rPr>
        <w:t xml:space="preserve">, </w:t>
      </w:r>
      <w:r w:rsidRPr="006A51BA">
        <w:t xml:space="preserve">Critical and Exegetical Commentary </w:t>
      </w:r>
      <w:r w:rsidRPr="006A51BA">
        <w:rPr>
          <w:szCs w:val="25"/>
        </w:rPr>
        <w:t>192.</w:t>
      </w:r>
    </w:p>
  </w:footnote>
  <w:footnote w:id="576">
    <w:p w14:paraId="43DD6C81" w14:textId="414BFAA5" w:rsidR="0018433B" w:rsidRDefault="0018433B" w:rsidP="00573F48">
      <w:pPr>
        <w:pStyle w:val="FootnoteText"/>
      </w:pPr>
      <w:r>
        <w:rPr>
          <w:rStyle w:val="FootnoteReference"/>
        </w:rPr>
        <w:footnoteRef/>
      </w:r>
      <w:r>
        <w:t xml:space="preserve"> </w:t>
      </w:r>
      <w:r>
        <w:rPr>
          <w:szCs w:val="25"/>
        </w:rPr>
        <w:t>D</w:t>
      </w:r>
      <w:r w:rsidRPr="006A51BA">
        <w:rPr>
          <w:szCs w:val="25"/>
        </w:rPr>
        <w:t>anker</w:t>
      </w:r>
      <w:r w:rsidR="006F304D" w:rsidRPr="006F304D">
        <w:rPr>
          <w:szCs w:val="25"/>
        </w:rPr>
        <w:t xml:space="preserve">, </w:t>
      </w:r>
      <w:r w:rsidRPr="006A51BA">
        <w:t>Jesus and the New Age</w:t>
      </w:r>
      <w:r w:rsidRPr="00F462C4">
        <w:t xml:space="preserve"> </w:t>
      </w:r>
      <w:r w:rsidRPr="006A51BA">
        <w:rPr>
          <w:szCs w:val="25"/>
        </w:rPr>
        <w:t>90.</w:t>
      </w:r>
    </w:p>
  </w:footnote>
  <w:footnote w:id="577">
    <w:p w14:paraId="20986E4D" w14:textId="6BC5D361" w:rsidR="0018433B" w:rsidRDefault="0018433B" w:rsidP="00573F48">
      <w:pPr>
        <w:pStyle w:val="FootnoteText"/>
      </w:pPr>
      <w:r>
        <w:rPr>
          <w:rStyle w:val="FootnoteReference"/>
        </w:rPr>
        <w:footnoteRef/>
      </w:r>
      <w:r>
        <w:t xml:space="preserve"> </w:t>
      </w:r>
      <w:r w:rsidRPr="00954FE3">
        <w:t>Some authors extend the section that begins in verse 39 to verse 45</w:t>
      </w:r>
      <w:r w:rsidR="006F304D" w:rsidRPr="006F304D">
        <w:t xml:space="preserve">, </w:t>
      </w:r>
      <w:r w:rsidRPr="00954FE3">
        <w:t xml:space="preserve">and others extend it to 49. But the issue at hand is whether a major section begins at 39 at all. The question whether it extends to 45 or 49 need not concern us </w:t>
      </w:r>
      <w:r>
        <w:t xml:space="preserve">until </w:t>
      </w:r>
      <w:r w:rsidRPr="00954FE3">
        <w:t xml:space="preserve">it </w:t>
      </w:r>
      <w:r>
        <w:t xml:space="preserve">has been determined whether or not </w:t>
      </w:r>
      <w:r w:rsidRPr="00954FE3">
        <w:t>there is a break at 39.</w:t>
      </w:r>
    </w:p>
  </w:footnote>
  <w:footnote w:id="578">
    <w:p w14:paraId="12CC46DC" w14:textId="7B2F6954" w:rsidR="0018433B" w:rsidRDefault="0018433B" w:rsidP="00573F48">
      <w:pPr>
        <w:pStyle w:val="FootnoteText"/>
      </w:pPr>
      <w:r>
        <w:rPr>
          <w:rStyle w:val="FootnoteReference"/>
        </w:rPr>
        <w:footnoteRef/>
      </w:r>
      <w:r>
        <w:t xml:space="preserve"> </w:t>
      </w:r>
      <w:r w:rsidRPr="00954FE3">
        <w:t>Technically</w:t>
      </w:r>
      <w:r w:rsidR="006F304D" w:rsidRPr="006F304D">
        <w:t xml:space="preserve">, </w:t>
      </w:r>
      <w:r w:rsidRPr="00954FE3">
        <w:t>Marshall (</w:t>
      </w:r>
      <w:r w:rsidRPr="00954FE3">
        <w:rPr>
          <w:i/>
          <w:iCs/>
        </w:rPr>
        <w:t>Gospel of Luke</w:t>
      </w:r>
      <w:r w:rsidRPr="003C5A6C">
        <w:rPr>
          <w:iCs/>
        </w:rPr>
        <w:t xml:space="preserve"> </w:t>
      </w:r>
      <w:r w:rsidRPr="00954FE3">
        <w:t>243) is probably correct to say that his preferred solution</w:t>
      </w:r>
      <w:r w:rsidR="006F304D" w:rsidRPr="006F304D">
        <w:t xml:space="preserve">, </w:t>
      </w:r>
      <w:r w:rsidRPr="00954FE3">
        <w:t>the two-part middle</w:t>
      </w:r>
      <w:r w:rsidR="006F304D" w:rsidRPr="006F304D">
        <w:t xml:space="preserve">, </w:t>
      </w:r>
      <w:r w:rsidRPr="00954FE3">
        <w:t>is supported by a “majority” of com</w:t>
      </w:r>
      <w:r w:rsidRPr="00954FE3">
        <w:softHyphen/>
        <w:t>mentators. Of the commentaries in my bibliography</w:t>
      </w:r>
      <w:r w:rsidR="006F304D" w:rsidRPr="006F304D">
        <w:t xml:space="preserve">, </w:t>
      </w:r>
      <w:r w:rsidRPr="00954FE3">
        <w:t>eighteen advocate a two-part middle</w:t>
      </w:r>
      <w:r w:rsidR="006F304D" w:rsidRPr="006F304D">
        <w:t xml:space="preserve">, </w:t>
      </w:r>
      <w:r w:rsidRPr="00954FE3">
        <w:t>and twelve advocate a three-part middle. But other authors</w:t>
      </w:r>
      <w:r w:rsidR="006F304D" w:rsidRPr="006F304D">
        <w:t xml:space="preserve">, </w:t>
      </w:r>
      <w:r w:rsidRPr="00954FE3">
        <w:t>whose works are not commentaries</w:t>
      </w:r>
      <w:r w:rsidR="006F304D" w:rsidRPr="006F304D">
        <w:t xml:space="preserve">, </w:t>
      </w:r>
      <w:r w:rsidRPr="00954FE3">
        <w:t>support the one or the other. An argument from authority in a situation like this is pointless; the correct logical outline for the sermon on the plain must be determined by scrutiny of the text.</w:t>
      </w:r>
    </w:p>
  </w:footnote>
  <w:footnote w:id="579">
    <w:p w14:paraId="41C712F4" w14:textId="5092E6DD" w:rsidR="0018433B" w:rsidRDefault="0018433B" w:rsidP="00573F48">
      <w:pPr>
        <w:pStyle w:val="FootnoteText"/>
      </w:pPr>
      <w:r>
        <w:rPr>
          <w:rStyle w:val="FootnoteReference"/>
        </w:rPr>
        <w:footnoteRef/>
      </w:r>
      <w:r>
        <w:t xml:space="preserve"> </w:t>
      </w:r>
      <w:r w:rsidRPr="00954FE3">
        <w:t>Plummer</w:t>
      </w:r>
      <w:r w:rsidR="006F304D" w:rsidRPr="006F304D">
        <w:t xml:space="preserve">, </w:t>
      </w:r>
      <w:r w:rsidRPr="00954FE3">
        <w:rPr>
          <w:i/>
          <w:iCs/>
        </w:rPr>
        <w:t>Gospel According to S</w:t>
      </w:r>
      <w:r w:rsidRPr="00954FE3">
        <w:rPr>
          <w:iCs/>
        </w:rPr>
        <w:t xml:space="preserve">. </w:t>
      </w:r>
      <w:r w:rsidRPr="00954FE3">
        <w:rPr>
          <w:i/>
          <w:iCs/>
        </w:rPr>
        <w:t>Luke</w:t>
      </w:r>
      <w:r w:rsidRPr="00AC622E">
        <w:t xml:space="preserve"> </w:t>
      </w:r>
      <w:r w:rsidRPr="00954FE3">
        <w:t>178 (no line breaks in original). The quotation is from the fifth edition (1922).</w:t>
      </w:r>
    </w:p>
  </w:footnote>
  <w:footnote w:id="580">
    <w:p w14:paraId="0D2EFADA" w14:textId="7E9289E0" w:rsidR="0018433B" w:rsidRDefault="0018433B" w:rsidP="00573F48">
      <w:pPr>
        <w:pStyle w:val="FootnoteText"/>
      </w:pPr>
      <w:r>
        <w:rPr>
          <w:rStyle w:val="FootnoteReference"/>
        </w:rPr>
        <w:footnoteRef/>
      </w:r>
      <w:r>
        <w:t xml:space="preserve"> I</w:t>
      </w:r>
      <w:r w:rsidRPr="00954FE3">
        <w:t>bid. 183 and 190. Plummer sees the section that begins in 39 as ending in 45</w:t>
      </w:r>
      <w:r w:rsidR="006F304D" w:rsidRPr="006F304D">
        <w:t xml:space="preserve">, </w:t>
      </w:r>
      <w:r w:rsidRPr="00954FE3">
        <w:t xml:space="preserve">for he refers elsewhere to </w:t>
      </w:r>
      <w:r>
        <w:t>“</w:t>
      </w:r>
      <w:r w:rsidRPr="00954FE3">
        <w:t xml:space="preserve">the second half (39-45) </w:t>
      </w:r>
      <w:r w:rsidRPr="00EE2A2F">
        <w:t>. . .</w:t>
      </w:r>
      <w:r>
        <w:t xml:space="preserve">” </w:t>
      </w:r>
      <w:r w:rsidRPr="00954FE3">
        <w:t>(183). But actually he exhibits some confusion over the extent of this “second half.” In the quotation in the text</w:t>
      </w:r>
      <w:r w:rsidR="006F304D" w:rsidRPr="006F304D">
        <w:t xml:space="preserve">, </w:t>
      </w:r>
      <w:r w:rsidRPr="00954FE3">
        <w:t>he distinguishes 39-45</w:t>
      </w:r>
      <w:r>
        <w:t xml:space="preserve"> as the second half of the body;</w:t>
      </w:r>
      <w:r w:rsidRPr="00954FE3">
        <w:t xml:space="preserve"> but elsewhere he distinguishes 39-49 as the second half of the entire sermon. See p. 192: there are </w:t>
      </w:r>
      <w:r>
        <w:t>“</w:t>
      </w:r>
      <w:r w:rsidRPr="00954FE3">
        <w:t>four parables in</w:t>
      </w:r>
      <w:r>
        <w:t xml:space="preserve"> the latter half of the sermon”</w:t>
      </w:r>
      <w:r w:rsidRPr="00954FE3">
        <w:t xml:space="preserve"> </w:t>
      </w:r>
      <w:r>
        <w:t>(</w:t>
      </w:r>
      <w:r w:rsidRPr="00954FE3">
        <w:t>blind leading blind</w:t>
      </w:r>
      <w:r w:rsidR="006F304D" w:rsidRPr="006F304D">
        <w:t xml:space="preserve">, </w:t>
      </w:r>
      <w:r w:rsidRPr="00954FE3">
        <w:t>mote and beam</w:t>
      </w:r>
      <w:r w:rsidR="006F304D" w:rsidRPr="006F304D">
        <w:t xml:space="preserve">, </w:t>
      </w:r>
      <w:r w:rsidRPr="00954FE3">
        <w:t>good and bad trees</w:t>
      </w:r>
      <w:r w:rsidR="006F304D" w:rsidRPr="006F304D">
        <w:t xml:space="preserve">, </w:t>
      </w:r>
      <w:r w:rsidRPr="00954FE3">
        <w:t>wise and foolish builders</w:t>
      </w:r>
      <w:r>
        <w:t>)</w:t>
      </w:r>
      <w:r w:rsidRPr="00954FE3">
        <w:t xml:space="preserve">. </w:t>
      </w:r>
      <w:r>
        <w:t>In this schema</w:t>
      </w:r>
      <w:r w:rsidR="006F304D" w:rsidRPr="006F304D">
        <w:t xml:space="preserve">, </w:t>
      </w:r>
      <w:r w:rsidRPr="00954FE3">
        <w:t>46-49 (wise and foolish builders) are not a</w:t>
      </w:r>
      <w:r>
        <w:t xml:space="preserve"> conclusion to the whole sermon</w:t>
      </w:r>
      <w:r w:rsidRPr="00954FE3">
        <w:t xml:space="preserve"> but a subordinate section within the second half of the sermon.</w:t>
      </w:r>
    </w:p>
    <w:p w14:paraId="5E5A395C" w14:textId="77777777" w:rsidR="0018433B" w:rsidRPr="00954FE3" w:rsidRDefault="0018433B" w:rsidP="0018433B">
      <w:pPr>
        <w:pStyle w:val="Style"/>
        <w:widowControl/>
        <w:jc w:val="both"/>
        <w:textAlignment w:val="baseline"/>
        <w:rPr>
          <w:szCs w:val="25"/>
        </w:rPr>
      </w:pPr>
      <w:r w:rsidRPr="00954FE3">
        <w:rPr>
          <w:szCs w:val="25"/>
        </w:rPr>
        <w:t xml:space="preserve">Plummer’s suggestion that </w:t>
      </w:r>
      <w:r w:rsidRPr="00954FE3">
        <w:rPr>
          <w:i/>
          <w:iCs/>
          <w:szCs w:val="25"/>
        </w:rPr>
        <w:t>Luke</w:t>
      </w:r>
      <w:r w:rsidRPr="00EE2A2F">
        <w:rPr>
          <w:iCs/>
          <w:szCs w:val="25"/>
        </w:rPr>
        <w:t xml:space="preserve"> </w:t>
      </w:r>
      <w:r w:rsidRPr="00954FE3">
        <w:rPr>
          <w:szCs w:val="25"/>
        </w:rPr>
        <w:t>is responsible for 39a (</w:t>
      </w:r>
      <w:r w:rsidRPr="00954FE3">
        <w:rPr>
          <w:iCs/>
          <w:szCs w:val="25"/>
        </w:rPr>
        <w:t>“</w:t>
      </w:r>
      <w:r w:rsidRPr="00EE2A2F">
        <w:rPr>
          <w:iCs/>
          <w:szCs w:val="25"/>
        </w:rPr>
        <w:t>Lk</w:t>
      </w:r>
      <w:r w:rsidRPr="00954FE3">
        <w:rPr>
          <w:iCs/>
          <w:szCs w:val="25"/>
        </w:rPr>
        <w:t xml:space="preserve">. </w:t>
      </w:r>
      <w:r>
        <w:rPr>
          <w:szCs w:val="25"/>
        </w:rPr>
        <w:t>marks”)</w:t>
      </w:r>
      <w:r w:rsidRPr="00954FE3">
        <w:rPr>
          <w:szCs w:val="25"/>
        </w:rPr>
        <w:t xml:space="preserve"> is probably correct. Jacques Dupont has extensively demonstrated that</w:t>
      </w:r>
      <w:r>
        <w:rPr>
          <w:szCs w:val="25"/>
        </w:rPr>
        <w:t xml:space="preserve"> </w:t>
      </w:r>
      <w:r w:rsidRPr="00CE06CA">
        <w:rPr>
          <w:bCs/>
          <w:szCs w:val="22"/>
          <w:lang w:val="el-GR"/>
        </w:rPr>
        <w:t>Εἶπεν δὲ καὶ παραβολὴν αὐτοῖς</w:t>
      </w:r>
      <w:r w:rsidRPr="00954FE3">
        <w:rPr>
          <w:szCs w:val="25"/>
        </w:rPr>
        <w:t xml:space="preserve"> is typical of Luke’s redaction.</w:t>
      </w:r>
    </w:p>
    <w:p w14:paraId="46577928" w14:textId="77777777" w:rsidR="0018433B" w:rsidRDefault="0018433B" w:rsidP="0018433B">
      <w:pPr>
        <w:pStyle w:val="Style"/>
        <w:widowControl/>
        <w:jc w:val="both"/>
        <w:rPr>
          <w:szCs w:val="25"/>
        </w:rPr>
      </w:pPr>
    </w:p>
    <w:p w14:paraId="24CFBB3D" w14:textId="45742CA0" w:rsidR="0018433B" w:rsidRPr="00E5413C" w:rsidRDefault="0018433B" w:rsidP="0018433B">
      <w:pPr>
        <w:pStyle w:val="Style"/>
        <w:widowControl/>
        <w:ind w:left="720" w:right="720"/>
        <w:jc w:val="both"/>
        <w:rPr>
          <w:szCs w:val="25"/>
          <w:lang w:val="fr-FR"/>
        </w:rPr>
      </w:pPr>
      <w:r w:rsidRPr="00954FE3">
        <w:rPr>
          <w:szCs w:val="25"/>
        </w:rPr>
        <w:t>The introduction to verse 39</w:t>
      </w:r>
      <w:r w:rsidR="006F304D" w:rsidRPr="006F304D">
        <w:rPr>
          <w:szCs w:val="25"/>
        </w:rPr>
        <w:t xml:space="preserve">, </w:t>
      </w:r>
      <w:r>
        <w:rPr>
          <w:bCs/>
          <w:szCs w:val="22"/>
          <w:lang w:val="el-GR"/>
        </w:rPr>
        <w:t>ε</w:t>
      </w:r>
      <w:r w:rsidRPr="00CE06CA">
        <w:rPr>
          <w:bCs/>
          <w:szCs w:val="22"/>
          <w:lang w:val="el-GR"/>
        </w:rPr>
        <w:t>ἶπεν δὲ καὶ παραβολὴν αὐτοῖς</w:t>
      </w:r>
      <w:r w:rsidR="006F304D" w:rsidRPr="006F304D">
        <w:rPr>
          <w:szCs w:val="25"/>
        </w:rPr>
        <w:t xml:space="preserve">, </w:t>
      </w:r>
      <w:r w:rsidRPr="00954FE3">
        <w:rPr>
          <w:szCs w:val="25"/>
        </w:rPr>
        <w:t xml:space="preserve">bears the most characteristic mark of Luke’s style </w:t>
      </w:r>
      <w:r w:rsidRPr="00EE2A2F">
        <w:rPr>
          <w:szCs w:val="25"/>
        </w:rPr>
        <w:t>. . .</w:t>
      </w:r>
      <w:r w:rsidRPr="00954FE3">
        <w:rPr>
          <w:szCs w:val="25"/>
        </w:rPr>
        <w:t xml:space="preserve"> Matthew and Mark present Jesus as saying or speaking “in parables” (Matt 13:3</w:t>
      </w:r>
      <w:r w:rsidR="006F304D" w:rsidRPr="006F304D">
        <w:rPr>
          <w:szCs w:val="25"/>
        </w:rPr>
        <w:t xml:space="preserve">, </w:t>
      </w:r>
      <w:r w:rsidRPr="00954FE3">
        <w:rPr>
          <w:szCs w:val="25"/>
        </w:rPr>
        <w:t>10</w:t>
      </w:r>
      <w:r w:rsidR="006F304D" w:rsidRPr="006F304D">
        <w:rPr>
          <w:szCs w:val="25"/>
        </w:rPr>
        <w:t xml:space="preserve">, </w:t>
      </w:r>
      <w:r w:rsidRPr="00954FE3">
        <w:rPr>
          <w:szCs w:val="25"/>
        </w:rPr>
        <w:t>13</w:t>
      </w:r>
      <w:r w:rsidR="006F304D" w:rsidRPr="006F304D">
        <w:rPr>
          <w:szCs w:val="25"/>
        </w:rPr>
        <w:t xml:space="preserve">, </w:t>
      </w:r>
      <w:r w:rsidRPr="00954FE3">
        <w:rPr>
          <w:szCs w:val="25"/>
        </w:rPr>
        <w:t>34</w:t>
      </w:r>
      <w:r w:rsidR="006F304D" w:rsidRPr="006F304D">
        <w:rPr>
          <w:szCs w:val="25"/>
        </w:rPr>
        <w:t xml:space="preserve">, </w:t>
      </w:r>
      <w:r w:rsidRPr="00954FE3">
        <w:rPr>
          <w:szCs w:val="25"/>
        </w:rPr>
        <w:t>35; 22:1; Mark 3:23; 4:2</w:t>
      </w:r>
      <w:r w:rsidR="006F304D" w:rsidRPr="006F304D">
        <w:rPr>
          <w:szCs w:val="25"/>
        </w:rPr>
        <w:t xml:space="preserve">, </w:t>
      </w:r>
      <w:r w:rsidRPr="00954FE3">
        <w:rPr>
          <w:szCs w:val="25"/>
        </w:rPr>
        <w:t>33; 12:1). But only once do they use the direct construction</w:t>
      </w:r>
      <w:r w:rsidR="006F304D" w:rsidRPr="006F304D">
        <w:rPr>
          <w:szCs w:val="25"/>
        </w:rPr>
        <w:t xml:space="preserve">, </w:t>
      </w:r>
      <w:r w:rsidRPr="00954FE3">
        <w:rPr>
          <w:szCs w:val="25"/>
        </w:rPr>
        <w:t>“to say a parable,” (Matt 13:33</w:t>
      </w:r>
      <w:r w:rsidR="006F304D" w:rsidRPr="006F304D">
        <w:rPr>
          <w:szCs w:val="25"/>
        </w:rPr>
        <w:t xml:space="preserve">, </w:t>
      </w:r>
      <w:r w:rsidRPr="00954FE3">
        <w:rPr>
          <w:szCs w:val="25"/>
        </w:rPr>
        <w:t>Mark 12:12)</w:t>
      </w:r>
      <w:r w:rsidR="006F304D" w:rsidRPr="006F304D">
        <w:rPr>
          <w:szCs w:val="25"/>
        </w:rPr>
        <w:t xml:space="preserve">, </w:t>
      </w:r>
      <w:r w:rsidRPr="00954FE3">
        <w:rPr>
          <w:szCs w:val="25"/>
        </w:rPr>
        <w:t>a construction which is common in Luke (4:23</w:t>
      </w:r>
      <w:r>
        <w:rPr>
          <w:szCs w:val="25"/>
        </w:rPr>
        <w:t xml:space="preserve"> [this reference lacks “a parable”]; 5:36;</w:t>
      </w:r>
      <w:r w:rsidRPr="00954FE3">
        <w:rPr>
          <w:szCs w:val="25"/>
        </w:rPr>
        <w:t xml:space="preserve"> 6:39; 12:16</w:t>
      </w:r>
      <w:r w:rsidR="006F304D" w:rsidRPr="006F304D">
        <w:rPr>
          <w:szCs w:val="25"/>
        </w:rPr>
        <w:t xml:space="preserve">, </w:t>
      </w:r>
      <w:r w:rsidRPr="00954FE3">
        <w:rPr>
          <w:szCs w:val="25"/>
        </w:rPr>
        <w:t>41; 13:6; 14:7; 15:3; 18:1</w:t>
      </w:r>
      <w:r w:rsidR="006F304D" w:rsidRPr="006F304D">
        <w:rPr>
          <w:szCs w:val="25"/>
        </w:rPr>
        <w:t xml:space="preserve">, </w:t>
      </w:r>
      <w:r w:rsidRPr="00954FE3">
        <w:rPr>
          <w:szCs w:val="25"/>
        </w:rPr>
        <w:t>9; 19:11; 20:9</w:t>
      </w:r>
      <w:r w:rsidR="006F304D" w:rsidRPr="006F304D">
        <w:rPr>
          <w:szCs w:val="25"/>
        </w:rPr>
        <w:t xml:space="preserve">, </w:t>
      </w:r>
      <w:r w:rsidRPr="00954FE3">
        <w:rPr>
          <w:szCs w:val="25"/>
        </w:rPr>
        <w:t>19; 21:19</w:t>
      </w:r>
      <w:r>
        <w:rPr>
          <w:szCs w:val="25"/>
        </w:rPr>
        <w:t xml:space="preserve"> [</w:t>
      </w:r>
      <w:r>
        <w:rPr>
          <w:i/>
          <w:szCs w:val="25"/>
        </w:rPr>
        <w:t>sic</w:t>
      </w:r>
      <w:r w:rsidR="006F304D" w:rsidRPr="006F304D">
        <w:rPr>
          <w:szCs w:val="25"/>
        </w:rPr>
        <w:t xml:space="preserve">, </w:t>
      </w:r>
      <w:r>
        <w:rPr>
          <w:szCs w:val="25"/>
        </w:rPr>
        <w:t>sc. “20:19”]</w:t>
      </w:r>
      <w:r w:rsidRPr="00954FE3">
        <w:rPr>
          <w:szCs w:val="25"/>
        </w:rPr>
        <w:t>). Only once does Luke employ the circumstantial complement</w:t>
      </w:r>
      <w:r>
        <w:rPr>
          <w:szCs w:val="25"/>
        </w:rPr>
        <w:t xml:space="preserve"> [i.e.</w:t>
      </w:r>
      <w:r w:rsidR="006F304D" w:rsidRPr="006F304D">
        <w:rPr>
          <w:szCs w:val="25"/>
        </w:rPr>
        <w:t xml:space="preserve">, </w:t>
      </w:r>
      <w:r>
        <w:rPr>
          <w:szCs w:val="25"/>
        </w:rPr>
        <w:t>make “a parable” not a direct object but the object of a preposition</w:t>
      </w:r>
      <w:r w:rsidR="006F304D" w:rsidRPr="006F304D">
        <w:rPr>
          <w:szCs w:val="25"/>
        </w:rPr>
        <w:t xml:space="preserve">, </w:t>
      </w:r>
      <w:r>
        <w:rPr>
          <w:szCs w:val="25"/>
        </w:rPr>
        <w:t>“in a parable”]</w:t>
      </w:r>
      <w:r w:rsidR="006F304D" w:rsidRPr="006F304D">
        <w:rPr>
          <w:szCs w:val="25"/>
        </w:rPr>
        <w:t xml:space="preserve">, </w:t>
      </w:r>
      <w:r w:rsidRPr="00954FE3">
        <w:rPr>
          <w:szCs w:val="25"/>
        </w:rPr>
        <w:t xml:space="preserve">but with the preposition </w:t>
      </w:r>
      <w:r w:rsidRPr="004159D4">
        <w:rPr>
          <w:rFonts w:eastAsia="Arial"/>
          <w:szCs w:val="20"/>
        </w:rPr>
        <w:t>δι</w:t>
      </w:r>
      <w:r>
        <w:rPr>
          <w:rFonts w:eastAsia="Arial"/>
          <w:szCs w:val="20"/>
        </w:rPr>
        <w:t>ά</w:t>
      </w:r>
      <w:r w:rsidRPr="00954FE3">
        <w:rPr>
          <w:rFonts w:eastAsia="Arial"/>
          <w:szCs w:val="20"/>
        </w:rPr>
        <w:t xml:space="preserve"> </w:t>
      </w:r>
      <w:r w:rsidRPr="00954FE3">
        <w:rPr>
          <w:szCs w:val="25"/>
        </w:rPr>
        <w:t xml:space="preserve">rather than </w:t>
      </w:r>
      <w:r w:rsidRPr="00CB0999">
        <w:rPr>
          <w:szCs w:val="22"/>
          <w:lang w:bidi="he-IL"/>
        </w:rPr>
        <w:t>ἐ</w:t>
      </w:r>
      <w:r>
        <w:rPr>
          <w:szCs w:val="22"/>
          <w:lang w:bidi="he-IL"/>
        </w:rPr>
        <w:t>ν</w:t>
      </w:r>
      <w:r w:rsidRPr="00954FE3">
        <w:t>:</w:t>
      </w:r>
      <w:r>
        <w:t xml:space="preserve"> </w:t>
      </w:r>
      <w:r w:rsidRPr="004159D4">
        <w:t>εἶπεν διὰ παραβολῆς</w:t>
      </w:r>
      <w:r w:rsidRPr="00954FE3">
        <w:rPr>
          <w:szCs w:val="25"/>
        </w:rPr>
        <w:t xml:space="preserve"> (8:4). Another characteristic trait of Luke’s style [in 39a is]</w:t>
      </w:r>
      <w:r>
        <w:rPr>
          <w:szCs w:val="25"/>
        </w:rPr>
        <w:t xml:space="preserve"> </w:t>
      </w:r>
      <w:r w:rsidRPr="004159D4">
        <w:t>εἶπεν</w:t>
      </w:r>
      <w:r>
        <w:t xml:space="preserve"> δέ</w:t>
      </w:r>
      <w:r w:rsidRPr="00954FE3">
        <w:rPr>
          <w:iCs/>
          <w:szCs w:val="29"/>
        </w:rPr>
        <w:t xml:space="preserve">. </w:t>
      </w:r>
      <w:r w:rsidRPr="00954FE3">
        <w:rPr>
          <w:szCs w:val="25"/>
        </w:rPr>
        <w:t>Neither Matthew nor Mark uses this expression</w:t>
      </w:r>
      <w:r w:rsidR="006F304D" w:rsidRPr="006F304D">
        <w:rPr>
          <w:szCs w:val="25"/>
        </w:rPr>
        <w:t xml:space="preserve">, </w:t>
      </w:r>
      <w:r w:rsidRPr="00954FE3">
        <w:rPr>
          <w:szCs w:val="25"/>
        </w:rPr>
        <w:t>yet Luke uses it fifty-four times in the gospel and nineteen times in Acts (in addition</w:t>
      </w:r>
      <w:r w:rsidR="006F304D" w:rsidRPr="006F304D">
        <w:rPr>
          <w:szCs w:val="25"/>
        </w:rPr>
        <w:t xml:space="preserve">, </w:t>
      </w:r>
      <w:r w:rsidRPr="00954FE3">
        <w:rPr>
          <w:szCs w:val="25"/>
        </w:rPr>
        <w:t xml:space="preserve">[he uses] d,rev ,- </w:t>
      </w:r>
      <w:r w:rsidRPr="00954FE3">
        <w:rPr>
          <w:i/>
          <w:iCs/>
          <w:szCs w:val="26"/>
        </w:rPr>
        <w:t xml:space="preserve">e </w:t>
      </w:r>
      <w:r w:rsidRPr="00954FE3">
        <w:rPr>
          <w:szCs w:val="25"/>
        </w:rPr>
        <w:t xml:space="preserve">five times). </w:t>
      </w:r>
      <w:r w:rsidRPr="00E5413C">
        <w:rPr>
          <w:szCs w:val="25"/>
          <w:lang w:val="fr-FR"/>
        </w:rPr>
        <w:t>(</w:t>
      </w:r>
      <w:r w:rsidRPr="00E5413C">
        <w:rPr>
          <w:i/>
          <w:iCs/>
          <w:szCs w:val="25"/>
          <w:lang w:val="fr-FR"/>
        </w:rPr>
        <w:t>Les Béatitudes</w:t>
      </w:r>
      <w:r w:rsidR="006F304D" w:rsidRPr="00E5413C">
        <w:rPr>
          <w:iCs/>
          <w:szCs w:val="25"/>
          <w:lang w:val="fr-FR"/>
        </w:rPr>
        <w:t xml:space="preserve">, </w:t>
      </w:r>
      <w:r w:rsidRPr="00E5413C">
        <w:rPr>
          <w:szCs w:val="25"/>
          <w:lang w:val="fr-FR"/>
        </w:rPr>
        <w:t>3 vols.</w:t>
      </w:r>
      <w:r w:rsidR="006F304D" w:rsidRPr="00E5413C">
        <w:rPr>
          <w:szCs w:val="25"/>
          <w:lang w:val="fr-FR"/>
        </w:rPr>
        <w:t xml:space="preserve">, </w:t>
      </w:r>
      <w:r w:rsidRPr="00E5413C">
        <w:rPr>
          <w:szCs w:val="25"/>
          <w:lang w:val="fr-FR"/>
        </w:rPr>
        <w:t>rev. ed.</w:t>
      </w:r>
      <w:r w:rsidR="006F304D" w:rsidRPr="00E5413C">
        <w:rPr>
          <w:szCs w:val="25"/>
          <w:lang w:val="fr-FR"/>
        </w:rPr>
        <w:t xml:space="preserve">, </w:t>
      </w:r>
      <w:r w:rsidRPr="00E5413C">
        <w:rPr>
          <w:szCs w:val="25"/>
          <w:lang w:val="fr-FR"/>
        </w:rPr>
        <w:t>Etudes bibliques; Bruges</w:t>
      </w:r>
      <w:r w:rsidR="006F304D" w:rsidRPr="00E5413C">
        <w:rPr>
          <w:szCs w:val="25"/>
          <w:lang w:val="fr-FR"/>
        </w:rPr>
        <w:t xml:space="preserve">, </w:t>
      </w:r>
      <w:r w:rsidRPr="00E5413C">
        <w:rPr>
          <w:szCs w:val="25"/>
          <w:lang w:val="fr-FR"/>
        </w:rPr>
        <w:t xml:space="preserve">Belgium: Éditions de l’Abbaye de Saint-Andre; and Louvain: </w:t>
      </w:r>
      <w:r w:rsidRPr="00E5413C">
        <w:rPr>
          <w:szCs w:val="27"/>
          <w:lang w:val="fr-FR"/>
        </w:rPr>
        <w:t xml:space="preserve">E. </w:t>
      </w:r>
      <w:r w:rsidRPr="00E5413C">
        <w:rPr>
          <w:szCs w:val="25"/>
          <w:lang w:val="fr-FR"/>
        </w:rPr>
        <w:t>Nauwelaerts</w:t>
      </w:r>
      <w:r w:rsidR="006F304D" w:rsidRPr="00E5413C">
        <w:rPr>
          <w:szCs w:val="25"/>
          <w:lang w:val="fr-FR"/>
        </w:rPr>
        <w:t xml:space="preserve">, </w:t>
      </w:r>
      <w:r w:rsidRPr="00E5413C">
        <w:rPr>
          <w:szCs w:val="25"/>
          <w:lang w:val="fr-FR"/>
        </w:rPr>
        <w:t>1958 (vol. 1); Paris: Éditions J. Gabalda</w:t>
      </w:r>
      <w:r w:rsidR="006F304D" w:rsidRPr="00E5413C">
        <w:rPr>
          <w:szCs w:val="25"/>
          <w:lang w:val="fr-FR"/>
        </w:rPr>
        <w:t xml:space="preserve">, </w:t>
      </w:r>
      <w:r w:rsidRPr="00E5413C">
        <w:rPr>
          <w:szCs w:val="25"/>
          <w:lang w:val="fr-FR"/>
        </w:rPr>
        <w:t>1969 (vol. 2)</w:t>
      </w:r>
      <w:r w:rsidR="006F304D" w:rsidRPr="00E5413C">
        <w:rPr>
          <w:szCs w:val="25"/>
          <w:lang w:val="fr-FR"/>
        </w:rPr>
        <w:t xml:space="preserve">, </w:t>
      </w:r>
      <w:r w:rsidRPr="00E5413C">
        <w:rPr>
          <w:szCs w:val="25"/>
          <w:lang w:val="fr-FR"/>
        </w:rPr>
        <w:t>1973 (vol. 3)]</w:t>
      </w:r>
      <w:r w:rsidR="006F304D" w:rsidRPr="00E5413C">
        <w:rPr>
          <w:szCs w:val="25"/>
          <w:lang w:val="fr-FR"/>
        </w:rPr>
        <w:t xml:space="preserve">, </w:t>
      </w:r>
      <w:r w:rsidRPr="00E5413C">
        <w:rPr>
          <w:szCs w:val="25"/>
          <w:lang w:val="fr-FR"/>
        </w:rPr>
        <w:t>1.</w:t>
      </w:r>
      <w:r w:rsidRPr="00E5413C">
        <w:rPr>
          <w:iCs/>
          <w:szCs w:val="25"/>
          <w:lang w:val="fr-FR"/>
        </w:rPr>
        <w:t>55</w:t>
      </w:r>
      <w:r w:rsidR="006F304D" w:rsidRPr="00E5413C">
        <w:rPr>
          <w:iCs/>
          <w:szCs w:val="25"/>
          <w:lang w:val="fr-FR"/>
        </w:rPr>
        <w:t xml:space="preserve">, </w:t>
      </w:r>
      <w:r w:rsidRPr="00E5413C">
        <w:rPr>
          <w:iCs/>
          <w:szCs w:val="25"/>
          <w:lang w:val="fr-FR"/>
        </w:rPr>
        <w:t xml:space="preserve">1.55 </w:t>
      </w:r>
      <w:r w:rsidRPr="00E5413C">
        <w:rPr>
          <w:szCs w:val="25"/>
          <w:lang w:val="fr-FR"/>
        </w:rPr>
        <w:t>n. 3.)</w:t>
      </w:r>
    </w:p>
    <w:p w14:paraId="504EE67B" w14:textId="77777777" w:rsidR="0018433B" w:rsidRPr="00E5413C" w:rsidRDefault="0018433B" w:rsidP="00573F48">
      <w:pPr>
        <w:pStyle w:val="FootnoteText"/>
        <w:rPr>
          <w:lang w:val="fr-FR"/>
        </w:rPr>
      </w:pPr>
    </w:p>
  </w:footnote>
  <w:footnote w:id="581">
    <w:p w14:paraId="7DECD5EB" w14:textId="0EC811B8" w:rsidR="0018433B" w:rsidRDefault="0018433B" w:rsidP="00573F48">
      <w:pPr>
        <w:pStyle w:val="FootnoteText"/>
      </w:pPr>
      <w:r>
        <w:rPr>
          <w:rStyle w:val="FootnoteReference"/>
        </w:rPr>
        <w:footnoteRef/>
      </w:r>
      <w:r>
        <w:t xml:space="preserve"> </w:t>
      </w:r>
      <w:r w:rsidRPr="00954FE3">
        <w:t>Bumside</w:t>
      </w:r>
      <w:r w:rsidR="006F304D" w:rsidRPr="006F304D">
        <w:t xml:space="preserve">, </w:t>
      </w:r>
      <w:r w:rsidRPr="00954FE3">
        <w:rPr>
          <w:i/>
          <w:iCs/>
        </w:rPr>
        <w:t>Gospel According to St</w:t>
      </w:r>
      <w:r w:rsidRPr="00954FE3">
        <w:rPr>
          <w:iCs/>
        </w:rPr>
        <w:t xml:space="preserve">. </w:t>
      </w:r>
      <w:r w:rsidRPr="00954FE3">
        <w:rPr>
          <w:i/>
          <w:iCs/>
        </w:rPr>
        <w:t>Luke</w:t>
      </w:r>
      <w:r w:rsidRPr="00FF3169">
        <w:rPr>
          <w:iCs/>
        </w:rPr>
        <w:t xml:space="preserve"> </w:t>
      </w:r>
      <w:r w:rsidRPr="00954FE3">
        <w:t>130 (lines bre</w:t>
      </w:r>
      <w:r>
        <w:t>aks in original.)</w:t>
      </w:r>
    </w:p>
  </w:footnote>
  <w:footnote w:id="582">
    <w:p w14:paraId="01D7A564" w14:textId="77777777" w:rsidR="0018433B" w:rsidRPr="00954FE3" w:rsidRDefault="0018433B" w:rsidP="0018433B">
      <w:pPr>
        <w:pStyle w:val="Style"/>
        <w:widowControl/>
        <w:jc w:val="both"/>
        <w:textAlignment w:val="baseline"/>
        <w:rPr>
          <w:szCs w:val="25"/>
        </w:rPr>
      </w:pPr>
      <w:r>
        <w:rPr>
          <w:rStyle w:val="FootnoteReference"/>
        </w:rPr>
        <w:footnoteRef/>
      </w:r>
      <w:r>
        <w:t xml:space="preserve"> </w:t>
      </w:r>
      <w:r>
        <w:rPr>
          <w:szCs w:val="25"/>
        </w:rPr>
        <w:t>Ib</w:t>
      </w:r>
      <w:r w:rsidRPr="00954FE3">
        <w:rPr>
          <w:szCs w:val="25"/>
        </w:rPr>
        <w:t>id. 133:</w:t>
      </w:r>
    </w:p>
    <w:p w14:paraId="48F09B1C" w14:textId="77777777" w:rsidR="0018433B" w:rsidRDefault="0018433B" w:rsidP="0018433B">
      <w:pPr>
        <w:pStyle w:val="Style"/>
        <w:widowControl/>
        <w:jc w:val="both"/>
        <w:textAlignment w:val="baseline"/>
        <w:rPr>
          <w:szCs w:val="25"/>
        </w:rPr>
      </w:pPr>
    </w:p>
    <w:p w14:paraId="517B5A57" w14:textId="142C571A" w:rsidR="0018433B" w:rsidRPr="00954FE3" w:rsidRDefault="0018433B" w:rsidP="0018433B">
      <w:pPr>
        <w:pStyle w:val="Style"/>
        <w:widowControl/>
        <w:ind w:left="720" w:right="720"/>
        <w:jc w:val="both"/>
        <w:textAlignment w:val="baseline"/>
        <w:rPr>
          <w:szCs w:val="25"/>
        </w:rPr>
      </w:pPr>
      <w:r w:rsidRPr="00954FE3">
        <w:rPr>
          <w:szCs w:val="25"/>
        </w:rPr>
        <w:t>39-45. The need of sincerity</w:t>
      </w:r>
      <w:r w:rsidR="006F304D" w:rsidRPr="006F304D">
        <w:rPr>
          <w:szCs w:val="25"/>
        </w:rPr>
        <w:t xml:space="preserve">, </w:t>
      </w:r>
      <w:r w:rsidRPr="00954FE3">
        <w:rPr>
          <w:szCs w:val="25"/>
        </w:rPr>
        <w:t>of self-knowledge</w:t>
      </w:r>
      <w:r w:rsidR="006F304D" w:rsidRPr="006F304D">
        <w:rPr>
          <w:szCs w:val="25"/>
        </w:rPr>
        <w:t xml:space="preserve">, </w:t>
      </w:r>
      <w:r w:rsidRPr="00954FE3">
        <w:rPr>
          <w:szCs w:val="25"/>
        </w:rPr>
        <w:t>and of self-ex</w:t>
      </w:r>
      <w:r w:rsidRPr="00954FE3">
        <w:rPr>
          <w:szCs w:val="25"/>
        </w:rPr>
        <w:softHyphen/>
        <w:t>amination is emphasized by four short parables: blind leaders of the blind</w:t>
      </w:r>
      <w:r w:rsidR="006F304D" w:rsidRPr="006F304D">
        <w:rPr>
          <w:szCs w:val="25"/>
        </w:rPr>
        <w:t xml:space="preserve">, </w:t>
      </w:r>
      <w:r w:rsidRPr="00954FE3">
        <w:rPr>
          <w:szCs w:val="25"/>
        </w:rPr>
        <w:t>the mote and the beam</w:t>
      </w:r>
      <w:r w:rsidR="006F304D" w:rsidRPr="006F304D">
        <w:rPr>
          <w:szCs w:val="25"/>
        </w:rPr>
        <w:t xml:space="preserve">, </w:t>
      </w:r>
      <w:r w:rsidRPr="00954FE3">
        <w:rPr>
          <w:szCs w:val="25"/>
        </w:rPr>
        <w:t>good and bad fruit</w:t>
      </w:r>
      <w:r w:rsidR="006F304D" w:rsidRPr="006F304D">
        <w:rPr>
          <w:szCs w:val="25"/>
        </w:rPr>
        <w:t xml:space="preserve">, </w:t>
      </w:r>
      <w:r w:rsidRPr="00954FE3">
        <w:rPr>
          <w:szCs w:val="25"/>
        </w:rPr>
        <w:t>the good man and the treasure.</w:t>
      </w:r>
    </w:p>
    <w:p w14:paraId="04458BEF" w14:textId="77777777" w:rsidR="0018433B" w:rsidRDefault="0018433B" w:rsidP="00573F48">
      <w:pPr>
        <w:pStyle w:val="FootnoteText"/>
      </w:pPr>
    </w:p>
  </w:footnote>
  <w:footnote w:id="583">
    <w:p w14:paraId="7B15F882" w14:textId="49F41EE4" w:rsidR="0018433B" w:rsidRDefault="0018433B" w:rsidP="00573F48">
      <w:pPr>
        <w:pStyle w:val="FootnoteText"/>
      </w:pPr>
      <w:r>
        <w:rPr>
          <w:rStyle w:val="FootnoteReference"/>
        </w:rPr>
        <w:footnoteRef/>
      </w:r>
      <w:r>
        <w:t xml:space="preserve"> </w:t>
      </w:r>
      <w:r w:rsidRPr="00954FE3">
        <w:t>Geldenhuys</w:t>
      </w:r>
      <w:r w:rsidR="006F304D" w:rsidRPr="006F304D">
        <w:t xml:space="preserve">, </w:t>
      </w:r>
      <w:r w:rsidRPr="00954FE3">
        <w:rPr>
          <w:i/>
          <w:iCs/>
        </w:rPr>
        <w:t>Commentary on the Gospel of Luke</w:t>
      </w:r>
      <w:r w:rsidRPr="00FF3169">
        <w:rPr>
          <w:iCs/>
        </w:rPr>
        <w:t xml:space="preserve"> </w:t>
      </w:r>
      <w:r w:rsidRPr="00954FE3">
        <w:t>211</w:t>
      </w:r>
      <w:r w:rsidR="006F304D" w:rsidRPr="006F304D">
        <w:t xml:space="preserve">, </w:t>
      </w:r>
      <w:r w:rsidRPr="00954FE3">
        <w:t>211</w:t>
      </w:r>
      <w:r w:rsidR="006F304D" w:rsidRPr="006F304D">
        <w:t xml:space="preserve">, </w:t>
      </w:r>
      <w:r w:rsidRPr="00954FE3">
        <w:t>214 respectively.</w:t>
      </w:r>
      <w:r>
        <w:t xml:space="preserve"> </w:t>
      </w:r>
      <w:r w:rsidRPr="00954FE3">
        <w:t>Quotations are from the reprint edition of 1972.</w:t>
      </w:r>
    </w:p>
  </w:footnote>
  <w:footnote w:id="584">
    <w:p w14:paraId="14EB8545" w14:textId="56DFCE55" w:rsidR="0018433B" w:rsidRDefault="0018433B" w:rsidP="00573F48">
      <w:pPr>
        <w:pStyle w:val="FootnoteText"/>
      </w:pPr>
      <w:r>
        <w:rPr>
          <w:rStyle w:val="FootnoteReference"/>
        </w:rPr>
        <w:footnoteRef/>
      </w:r>
      <w:r>
        <w:t xml:space="preserve"> Ib</w:t>
      </w:r>
      <w:r w:rsidRPr="00954FE3">
        <w:t>id. 214. The first two of these units</w:t>
      </w:r>
      <w:r w:rsidR="006F304D" w:rsidRPr="006F304D">
        <w:t xml:space="preserve">, </w:t>
      </w:r>
      <w:r w:rsidRPr="00954FE3">
        <w:t>he says</w:t>
      </w:r>
      <w:r w:rsidR="006F304D" w:rsidRPr="006F304D">
        <w:t xml:space="preserve">, </w:t>
      </w:r>
      <w:r w:rsidRPr="00954FE3">
        <w:t>concern the Pharisees: 39-40 refer to them as blind guides or teachers</w:t>
      </w:r>
      <w:r w:rsidR="006F304D" w:rsidRPr="006F304D">
        <w:t xml:space="preserve">, </w:t>
      </w:r>
      <w:r w:rsidRPr="00954FE3">
        <w:t xml:space="preserve">and 41-42 refer to a “behaviour specifically characteristic of those spiritually blind leaders </w:t>
      </w:r>
      <w:r w:rsidRPr="00EE2A2F">
        <w:t>. . .</w:t>
      </w:r>
      <w:r>
        <w:t>”</w:t>
      </w:r>
      <w:r w:rsidRPr="00954FE3">
        <w:t xml:space="preserve"> But 41-42 also link with 43-45:</w:t>
      </w:r>
      <w:r>
        <w:t xml:space="preserve"> </w:t>
      </w:r>
      <w:r w:rsidRPr="00954FE3">
        <w:t>“To illustrate why only he who himself is reformed is able to reform others [41-42]</w:t>
      </w:r>
      <w:r w:rsidR="006F304D" w:rsidRPr="006F304D">
        <w:t xml:space="preserve">, </w:t>
      </w:r>
      <w:r w:rsidRPr="00954FE3">
        <w:t>Jesus tells the parable of the goo</w:t>
      </w:r>
      <w:r>
        <w:t>d and the corrupt tree [43-45].”</w:t>
      </w:r>
    </w:p>
    <w:p w14:paraId="2A646D3A" w14:textId="5C49B86C" w:rsidR="0018433B" w:rsidRDefault="0018433B" w:rsidP="00573F48">
      <w:pPr>
        <w:pStyle w:val="FootnoteText"/>
      </w:pPr>
      <w:r w:rsidRPr="00954FE3">
        <w:t xml:space="preserve">Others who see in 39a a major structural “divider” are Georg Heinrici (see the next quotation) and </w:t>
      </w:r>
      <w:r w:rsidR="004843D0" w:rsidRPr="004843D0">
        <w:rPr>
          <w:iCs/>
        </w:rPr>
        <w:t>B.S.</w:t>
      </w:r>
      <w:r w:rsidRPr="00954FE3">
        <w:t xml:space="preserve"> Easton. According to the latter (</w:t>
      </w:r>
      <w:r w:rsidRPr="00954FE3">
        <w:rPr>
          <w:i/>
          <w:iCs/>
        </w:rPr>
        <w:t xml:space="preserve">Christ in the Gospels </w:t>
      </w:r>
      <w:r w:rsidRPr="00954FE3">
        <w:t>15): “The structure of his [Luke’s] own ‘Sermon’ in 6:20-49 shows obvious sutures: the transition at v. 27a is about as awkward as can be imagined</w:t>
      </w:r>
      <w:r w:rsidR="006F304D" w:rsidRPr="006F304D">
        <w:t xml:space="preserve">, </w:t>
      </w:r>
      <w:r w:rsidRPr="00954FE3">
        <w:t>while the abrupt ‘and he spake also a parable to them’ at v. 39 is not much better.”</w:t>
      </w:r>
    </w:p>
  </w:footnote>
  <w:footnote w:id="585">
    <w:p w14:paraId="69BF16A5" w14:textId="58634823" w:rsidR="0018433B" w:rsidRDefault="0018433B" w:rsidP="00573F48">
      <w:pPr>
        <w:pStyle w:val="FootnoteText"/>
      </w:pPr>
      <w:r>
        <w:rPr>
          <w:rStyle w:val="FootnoteReference"/>
        </w:rPr>
        <w:footnoteRef/>
      </w:r>
      <w:r>
        <w:t xml:space="preserve"> </w:t>
      </w:r>
      <w:r w:rsidR="00714629" w:rsidRPr="00714629">
        <w:rPr>
          <w:iCs/>
          <w:szCs w:val="35"/>
        </w:rPr>
        <w:t>C.F.</w:t>
      </w:r>
      <w:r w:rsidRPr="00954FE3">
        <w:t xml:space="preserve"> Georg Heinrici</w:t>
      </w:r>
      <w:r w:rsidR="006F304D" w:rsidRPr="006F304D">
        <w:t xml:space="preserve">, </w:t>
      </w:r>
      <w:r w:rsidRPr="00954FE3">
        <w:t>Die Bergpredigt (Math. 5-7. Luk. 6</w:t>
      </w:r>
      <w:r w:rsidR="006F304D" w:rsidRPr="006F304D">
        <w:t xml:space="preserve">, </w:t>
      </w:r>
      <w:r w:rsidRPr="00954FE3">
        <w:t>20-49) quellenkritisch und begriffsgeschichlich untersucht. Vol. 1: Die quellenkritische Untersuchung der Bergpredigt. Vol. 2: Die Bergpredigt (Math. 5-7. Luk. 6</w:t>
      </w:r>
      <w:r w:rsidR="006F304D" w:rsidRPr="006F304D">
        <w:t xml:space="preserve">, </w:t>
      </w:r>
      <w:r w:rsidRPr="00954FE3">
        <w:t>20-49) begriffsgeschichtlich untersucht</w:t>
      </w:r>
      <w:r w:rsidR="006F304D" w:rsidRPr="006F304D">
        <w:t xml:space="preserve">, </w:t>
      </w:r>
      <w:r>
        <w:t>Beiträ</w:t>
      </w:r>
      <w:r w:rsidRPr="00954FE3">
        <w:t>ge zur Ges</w:t>
      </w:r>
      <w:r>
        <w:t>chichte und Erklä</w:t>
      </w:r>
      <w:r w:rsidRPr="00954FE3">
        <w:t xml:space="preserve">rung des Neuen Testament 2-3 (Leipzig: 1899 </w:t>
      </w:r>
      <w:r>
        <w:t>[vol. 1]</w:t>
      </w:r>
      <w:r w:rsidR="006F304D" w:rsidRPr="006F304D">
        <w:t xml:space="preserve">, </w:t>
      </w:r>
      <w:r>
        <w:t>1905 [vol. 21])</w:t>
      </w:r>
      <w:r w:rsidR="006F304D" w:rsidRPr="006F304D">
        <w:t xml:space="preserve">, </w:t>
      </w:r>
      <w:r>
        <w:t>1.43.</w:t>
      </w:r>
    </w:p>
  </w:footnote>
  <w:footnote w:id="586">
    <w:p w14:paraId="62D4AA35" w14:textId="49F9BF3A" w:rsidR="0018433B" w:rsidRDefault="0018433B" w:rsidP="00573F48">
      <w:pPr>
        <w:pStyle w:val="FootnoteText"/>
      </w:pPr>
      <w:r>
        <w:rPr>
          <w:rStyle w:val="FootnoteReference"/>
        </w:rPr>
        <w:footnoteRef/>
      </w:r>
      <w:r>
        <w:t xml:space="preserve"> </w:t>
      </w:r>
      <w:r w:rsidRPr="00954FE3">
        <w:t>Klostermann</w:t>
      </w:r>
      <w:r w:rsidR="006F304D" w:rsidRPr="006F304D">
        <w:t xml:space="preserve">, </w:t>
      </w:r>
      <w:r w:rsidRPr="00954FE3">
        <w:t>Lukasevangelium (1929) 77-78; Hauck</w:t>
      </w:r>
      <w:r w:rsidR="006F304D" w:rsidRPr="006F304D">
        <w:t xml:space="preserve">, </w:t>
      </w:r>
      <w:r w:rsidRPr="00954FE3">
        <w:t>Das Evangelium des Lukas (</w:t>
      </w:r>
      <w:r>
        <w:t>1934) 82 ff.; Stö</w:t>
      </w:r>
      <w:r w:rsidRPr="00954FE3">
        <w:t>ger</w:t>
      </w:r>
      <w:r w:rsidR="006F304D" w:rsidRPr="006F304D">
        <w:t xml:space="preserve">, </w:t>
      </w:r>
      <w:r w:rsidRPr="00954FE3">
        <w:t>Gospel According to St. Luke (1964)</w:t>
      </w:r>
      <w:r w:rsidR="006F304D" w:rsidRPr="006F304D">
        <w:t xml:space="preserve">, </w:t>
      </w:r>
      <w:r>
        <w:t>1.</w:t>
      </w:r>
      <w:r w:rsidRPr="00954FE3">
        <w:t>124. For Bundy</w:t>
      </w:r>
      <w:r w:rsidR="006F304D" w:rsidRPr="006F304D">
        <w:t xml:space="preserve">, </w:t>
      </w:r>
      <w:r w:rsidRPr="00954FE3">
        <w:t>see Jesus and the First Three Gospels: An Introduction in the Synoptic Tradition (</w:t>
      </w:r>
      <w:r w:rsidR="00E366BA" w:rsidRPr="00E366BA">
        <w:rPr>
          <w:iCs/>
        </w:rPr>
        <w:t>Cambridge: CUP</w:t>
      </w:r>
      <w:r w:rsidR="006F304D" w:rsidRPr="006F304D">
        <w:t xml:space="preserve">, </w:t>
      </w:r>
      <w:r w:rsidRPr="00954FE3">
        <w:t>1955) 190. For Jeremias</w:t>
      </w:r>
      <w:r w:rsidR="006F304D" w:rsidRPr="006F304D">
        <w:t xml:space="preserve">, </w:t>
      </w:r>
      <w:r w:rsidRPr="00954FE3">
        <w:t>see Parables of Jesus</w:t>
      </w:r>
      <w:r w:rsidRPr="00A743E6">
        <w:t xml:space="preserve"> </w:t>
      </w:r>
      <w:r w:rsidRPr="00954FE3">
        <w:t>93 n. 11.</w:t>
      </w:r>
    </w:p>
  </w:footnote>
  <w:footnote w:id="587">
    <w:p w14:paraId="13928D2C" w14:textId="2B5D8C5C" w:rsidR="0018433B" w:rsidRDefault="0018433B" w:rsidP="00573F48">
      <w:pPr>
        <w:pStyle w:val="FootnoteText"/>
      </w:pPr>
      <w:r>
        <w:rPr>
          <w:rStyle w:val="FootnoteReference"/>
        </w:rPr>
        <w:footnoteRef/>
      </w:r>
      <w:r>
        <w:t xml:space="preserve"> </w:t>
      </w:r>
      <w:r w:rsidRPr="00954FE3">
        <w:t>Walter Grundmann</w:t>
      </w:r>
      <w:r w:rsidR="006F304D" w:rsidRPr="006F304D">
        <w:t xml:space="preserve">, </w:t>
      </w:r>
      <w:r w:rsidRPr="00954FE3">
        <w:rPr>
          <w:i/>
          <w:iCs/>
        </w:rPr>
        <w:t>Das Evangelium nach Lukas</w:t>
      </w:r>
      <w:r w:rsidR="006F304D" w:rsidRPr="006F304D">
        <w:rPr>
          <w:iCs/>
        </w:rPr>
        <w:t xml:space="preserve">, </w:t>
      </w:r>
      <w:r w:rsidRPr="00954FE3">
        <w:t>Theologisches Handkommen</w:t>
      </w:r>
      <w:r w:rsidRPr="00954FE3">
        <w:softHyphen/>
        <w:t>tar zum Neuen Testament 3 (East Berlin: Ev</w:t>
      </w:r>
      <w:r>
        <w:t>angelische Verlagsanstalt</w:t>
      </w:r>
      <w:r w:rsidR="006F304D" w:rsidRPr="006F304D">
        <w:t xml:space="preserve">, </w:t>
      </w:r>
      <w:r>
        <w:t>1961</w:t>
      </w:r>
      <w:r w:rsidRPr="00A743E6">
        <w:rPr>
          <w:vertAlign w:val="superscript"/>
        </w:rPr>
        <w:t>2</w:t>
      </w:r>
      <w:r w:rsidR="006F304D" w:rsidRPr="006F304D">
        <w:t xml:space="preserve">, </w:t>
      </w:r>
      <w:r w:rsidRPr="00954FE3">
        <w:t>1966</w:t>
      </w:r>
      <w:r w:rsidRPr="00A743E6">
        <w:rPr>
          <w:vertAlign w:val="superscript"/>
        </w:rPr>
        <w:t>4</w:t>
      </w:r>
      <w:r w:rsidRPr="00954FE3">
        <w:t>).</w:t>
      </w:r>
    </w:p>
  </w:footnote>
  <w:footnote w:id="588">
    <w:p w14:paraId="783E8342" w14:textId="74CE4CA9" w:rsidR="0018433B" w:rsidRDefault="0018433B" w:rsidP="00573F48">
      <w:pPr>
        <w:pStyle w:val="FootnoteText"/>
      </w:pPr>
      <w:r>
        <w:rPr>
          <w:rStyle w:val="FootnoteReference"/>
        </w:rPr>
        <w:footnoteRef/>
      </w:r>
      <w:r>
        <w:t xml:space="preserve"> Dil</w:t>
      </w:r>
      <w:r w:rsidRPr="00954FE3">
        <w:t>lersberger</w:t>
      </w:r>
      <w:r w:rsidR="006F304D" w:rsidRPr="006F304D">
        <w:t xml:space="preserve">, </w:t>
      </w:r>
      <w:r w:rsidRPr="00954FE3">
        <w:rPr>
          <w:i/>
          <w:iCs/>
        </w:rPr>
        <w:t>Gospel of St</w:t>
      </w:r>
      <w:r w:rsidRPr="00954FE3">
        <w:rPr>
          <w:iCs/>
        </w:rPr>
        <w:t xml:space="preserve">. </w:t>
      </w:r>
      <w:r w:rsidRPr="00954FE3">
        <w:rPr>
          <w:i/>
          <w:iCs/>
        </w:rPr>
        <w:t>Luke</w:t>
      </w:r>
      <w:r w:rsidRPr="00A743E6">
        <w:rPr>
          <w:iCs/>
        </w:rPr>
        <w:t xml:space="preserve"> </w:t>
      </w:r>
      <w:r>
        <w:t>211.</w:t>
      </w:r>
    </w:p>
  </w:footnote>
  <w:footnote w:id="589">
    <w:p w14:paraId="113E769D" w14:textId="77777777" w:rsidR="0018433B" w:rsidRDefault="0018433B" w:rsidP="00573F48">
      <w:pPr>
        <w:pStyle w:val="FootnoteText"/>
      </w:pPr>
      <w:r>
        <w:rPr>
          <w:rStyle w:val="FootnoteReference"/>
        </w:rPr>
        <w:footnoteRef/>
      </w:r>
      <w:r>
        <w:t xml:space="preserve"> Ibid.</w:t>
      </w:r>
    </w:p>
  </w:footnote>
  <w:footnote w:id="590">
    <w:p w14:paraId="24590D6C" w14:textId="52347FE9" w:rsidR="0018433B" w:rsidRDefault="0018433B" w:rsidP="00573F48">
      <w:pPr>
        <w:pStyle w:val="FootnoteText"/>
      </w:pPr>
      <w:r>
        <w:rPr>
          <w:rStyle w:val="FootnoteReference"/>
        </w:rPr>
        <w:footnoteRef/>
      </w:r>
      <w:r>
        <w:t xml:space="preserve"> </w:t>
      </w:r>
      <w:r w:rsidRPr="00954FE3">
        <w:t>Grundmann</w:t>
      </w:r>
      <w:r w:rsidR="006F304D" w:rsidRPr="006F304D">
        <w:t xml:space="preserve">, </w:t>
      </w:r>
      <w:r w:rsidRPr="00954FE3">
        <w:rPr>
          <w:i/>
          <w:iCs/>
        </w:rPr>
        <w:t>Evangelium nach Lukas</w:t>
      </w:r>
      <w:r w:rsidRPr="00EF5A54">
        <w:rPr>
          <w:iCs/>
        </w:rPr>
        <w:t xml:space="preserve"> </w:t>
      </w:r>
      <w:r w:rsidRPr="00954FE3">
        <w:t>140: 20b-38 are a “discourse to the community of disci</w:t>
      </w:r>
      <w:r>
        <w:t>ples” (</w:t>
      </w:r>
      <w:r w:rsidRPr="00EF5A54">
        <w:rPr>
          <w:i/>
        </w:rPr>
        <w:t>Rede an die Jungergemeinde</w:t>
      </w:r>
      <w:r w:rsidRPr="00954FE3">
        <w:t>)</w:t>
      </w:r>
      <w:r w:rsidR="006F304D" w:rsidRPr="006F304D">
        <w:t xml:space="preserve">, </w:t>
      </w:r>
      <w:r w:rsidRPr="00954FE3">
        <w:t>39-4</w:t>
      </w:r>
      <w:r>
        <w:t>9 a “discourse to the twelve” (</w:t>
      </w:r>
      <w:r w:rsidRPr="00EF5A54">
        <w:rPr>
          <w:i/>
        </w:rPr>
        <w:t>Rede an die Zwolf</w:t>
      </w:r>
      <w:r w:rsidRPr="00954FE3">
        <w:t>). A commentator with a similar interpretation is K. H. Rengstorf</w:t>
      </w:r>
      <w:r w:rsidR="006F304D" w:rsidRPr="006F304D">
        <w:t xml:space="preserve">, </w:t>
      </w:r>
      <w:r w:rsidRPr="00954FE3">
        <w:rPr>
          <w:i/>
          <w:iCs/>
        </w:rPr>
        <w:t>Evangelium des Lukas</w:t>
      </w:r>
      <w:r w:rsidRPr="00EF5A54">
        <w:rPr>
          <w:iCs/>
        </w:rPr>
        <w:t xml:space="preserve"> </w:t>
      </w:r>
      <w:r w:rsidRPr="00954FE3">
        <w:t>92-93. For example</w:t>
      </w:r>
      <w:r w:rsidR="006F304D" w:rsidRPr="006F304D">
        <w:t xml:space="preserve">, </w:t>
      </w:r>
      <w:r w:rsidRPr="00954FE3">
        <w:t xml:space="preserve">Rengstorf (p. 90) calls 39 </w:t>
      </w:r>
      <w:r>
        <w:t>“</w:t>
      </w:r>
      <w:r w:rsidRPr="00EF5A54">
        <w:rPr>
          <w:i/>
        </w:rPr>
        <w:t>einem seelsorgerlichen Wort</w:t>
      </w:r>
      <w:r>
        <w:t>,</w:t>
      </w:r>
      <w:r w:rsidRPr="00954FE3">
        <w:t>” a phrase which Dupont trans</w:t>
      </w:r>
      <w:r>
        <w:t>lates</w:t>
      </w:r>
      <w:r w:rsidRPr="00954FE3">
        <w:t xml:space="preserve"> </w:t>
      </w:r>
      <w:r>
        <w:t>“</w:t>
      </w:r>
      <w:r w:rsidRPr="00EF5A54">
        <w:rPr>
          <w:i/>
        </w:rPr>
        <w:t>un avis pas</w:t>
      </w:r>
      <w:r w:rsidRPr="00EF5A54">
        <w:rPr>
          <w:i/>
        </w:rPr>
        <w:softHyphen/>
        <w:t>toral</w:t>
      </w:r>
      <w:r w:rsidRPr="00954FE3">
        <w:t xml:space="preserve"> </w:t>
      </w:r>
      <w:r w:rsidRPr="00EE2A2F">
        <w:t>. . .</w:t>
      </w:r>
      <w:r w:rsidRPr="00954FE3">
        <w:t xml:space="preserve"> </w:t>
      </w:r>
      <w:r w:rsidRPr="00EF5A54">
        <w:rPr>
          <w:i/>
        </w:rPr>
        <w:t>pour ses disciples</w:t>
      </w:r>
      <w:r w:rsidRPr="00954FE3">
        <w:t>” (</w:t>
      </w:r>
      <w:r>
        <w:rPr>
          <w:i/>
          <w:iCs/>
        </w:rPr>
        <w:t>Bé</w:t>
      </w:r>
      <w:r w:rsidRPr="00954FE3">
        <w:rPr>
          <w:i/>
          <w:iCs/>
        </w:rPr>
        <w:t>atitudes</w:t>
      </w:r>
      <w:r w:rsidRPr="00EF5A54">
        <w:rPr>
          <w:iCs/>
        </w:rPr>
        <w:t xml:space="preserve"> </w:t>
      </w:r>
      <w:r w:rsidRPr="00954FE3">
        <w:t>56 n. 3). As a “pastoral” logion</w:t>
      </w:r>
      <w:r w:rsidR="006F304D" w:rsidRPr="006F304D">
        <w:t xml:space="preserve">, </w:t>
      </w:r>
      <w:r w:rsidRPr="00954FE3">
        <w:t>it is intended for disciples who are leaders. Reiling and Swellengrebel (</w:t>
      </w:r>
      <w:r w:rsidRPr="00954FE3">
        <w:rPr>
          <w:i/>
          <w:iCs/>
        </w:rPr>
        <w:t>Translator</w:t>
      </w:r>
      <w:r w:rsidRPr="00954FE3">
        <w:rPr>
          <w:iCs/>
        </w:rPr>
        <w:t>’</w:t>
      </w:r>
      <w:r w:rsidRPr="00954FE3">
        <w:rPr>
          <w:i/>
          <w:iCs/>
        </w:rPr>
        <w:t>s Handbook on the Gospel of Luke</w:t>
      </w:r>
      <w:r w:rsidRPr="00EF5A54">
        <w:rPr>
          <w:iCs/>
        </w:rPr>
        <w:t xml:space="preserve"> </w:t>
      </w:r>
      <w:r w:rsidRPr="00954FE3">
        <w:t>281) also adopt this interpretation: “the disciples who have to give leadership may not be blind.”</w:t>
      </w:r>
    </w:p>
  </w:footnote>
  <w:footnote w:id="591">
    <w:p w14:paraId="0764BE68" w14:textId="1F27E1C2" w:rsidR="0018433B" w:rsidRDefault="0018433B" w:rsidP="00573F48">
      <w:pPr>
        <w:pStyle w:val="FootnoteText"/>
      </w:pPr>
      <w:r>
        <w:rPr>
          <w:rStyle w:val="FootnoteReference"/>
        </w:rPr>
        <w:footnoteRef/>
      </w:r>
      <w:r>
        <w:t xml:space="preserve"> </w:t>
      </w:r>
      <w:r w:rsidRPr="00954FE3">
        <w:t>Marshall</w:t>
      </w:r>
      <w:r w:rsidR="006F304D" w:rsidRPr="006F304D">
        <w:t xml:space="preserve">, </w:t>
      </w:r>
      <w:r w:rsidRPr="00954FE3">
        <w:rPr>
          <w:i/>
          <w:iCs/>
        </w:rPr>
        <w:t>Gospel of Luke</w:t>
      </w:r>
      <w:r w:rsidRPr="00EF5A54">
        <w:rPr>
          <w:iCs/>
        </w:rPr>
        <w:t xml:space="preserve"> </w:t>
      </w:r>
      <w:r w:rsidRPr="00954FE3">
        <w:t xml:space="preserve">243: Grundmann and Ellis have “Essentially the same structure </w:t>
      </w:r>
      <w:r w:rsidRPr="00EE2A2F">
        <w:t>. . .</w:t>
      </w:r>
      <w:r>
        <w:t>”</w:t>
      </w:r>
    </w:p>
  </w:footnote>
  <w:footnote w:id="592">
    <w:p w14:paraId="3EE94AE9" w14:textId="24581601" w:rsidR="0018433B" w:rsidRDefault="0018433B" w:rsidP="00573F48">
      <w:pPr>
        <w:pStyle w:val="FootnoteText"/>
      </w:pPr>
      <w:r>
        <w:rPr>
          <w:rStyle w:val="FootnoteReference"/>
        </w:rPr>
        <w:footnoteRef/>
      </w:r>
      <w:r>
        <w:t xml:space="preserve"> </w:t>
      </w:r>
      <w:r w:rsidRPr="00954FE3">
        <w:t>E</w:t>
      </w:r>
      <w:r>
        <w:t>ll</w:t>
      </w:r>
      <w:r w:rsidRPr="00954FE3">
        <w:t>is</w:t>
      </w:r>
      <w:r w:rsidR="006F304D" w:rsidRPr="006F304D">
        <w:t xml:space="preserve">, </w:t>
      </w:r>
      <w:r w:rsidRPr="00954FE3">
        <w:rPr>
          <w:i/>
          <w:iCs/>
        </w:rPr>
        <w:t>Gospel of Luke</w:t>
      </w:r>
      <w:r w:rsidRPr="00EF5A54">
        <w:rPr>
          <w:iCs/>
        </w:rPr>
        <w:t xml:space="preserve"> </w:t>
      </w:r>
      <w:r w:rsidRPr="00954FE3">
        <w:t>111</w:t>
      </w:r>
      <w:r w:rsidR="006F304D" w:rsidRPr="006F304D">
        <w:t xml:space="preserve">, </w:t>
      </w:r>
      <w:r w:rsidRPr="00954FE3">
        <w:t>111</w:t>
      </w:r>
      <w:r w:rsidR="006F304D" w:rsidRPr="006F304D">
        <w:t xml:space="preserve">, </w:t>
      </w:r>
      <w:r w:rsidRPr="00954FE3">
        <w:t>116 respectively.</w:t>
      </w:r>
    </w:p>
  </w:footnote>
  <w:footnote w:id="593">
    <w:p w14:paraId="16EBB027" w14:textId="57ADC8A4" w:rsidR="0018433B" w:rsidRDefault="0018433B" w:rsidP="00573F48">
      <w:pPr>
        <w:pStyle w:val="FootnoteText"/>
      </w:pPr>
      <w:r>
        <w:rPr>
          <w:rStyle w:val="FootnoteReference"/>
        </w:rPr>
        <w:footnoteRef/>
      </w:r>
      <w:r>
        <w:t xml:space="preserve"> </w:t>
      </w:r>
      <w:r w:rsidRPr="00954FE3">
        <w:t>Marshall</w:t>
      </w:r>
      <w:r w:rsidR="006F304D" w:rsidRPr="006F304D">
        <w:t xml:space="preserve">, </w:t>
      </w:r>
      <w:r w:rsidRPr="00954FE3">
        <w:rPr>
          <w:i/>
          <w:iCs/>
        </w:rPr>
        <w:t>Gospel of Luke</w:t>
      </w:r>
      <w:r w:rsidRPr="00EF5A54">
        <w:rPr>
          <w:iCs/>
        </w:rPr>
        <w:t xml:space="preserve"> </w:t>
      </w:r>
      <w:r>
        <w:t xml:space="preserve">267. See </w:t>
      </w:r>
      <w:r w:rsidRPr="00954FE3">
        <w:t xml:space="preserve">p. 244: </w:t>
      </w:r>
      <w:r>
        <w:t>“</w:t>
      </w:r>
      <w:r w:rsidRPr="00954FE3">
        <w:t>the type of structure suggested by Hauck and Ellis best fits the d</w:t>
      </w:r>
      <w:r>
        <w:t>evelopment of thought.”</w:t>
      </w:r>
    </w:p>
  </w:footnote>
  <w:footnote w:id="594">
    <w:p w14:paraId="6AD18409" w14:textId="587DA997" w:rsidR="0018433B" w:rsidRDefault="0018433B" w:rsidP="00573F48">
      <w:pPr>
        <w:pStyle w:val="FootnoteText"/>
      </w:pPr>
      <w:r>
        <w:rPr>
          <w:rStyle w:val="FootnoteReference"/>
        </w:rPr>
        <w:footnoteRef/>
      </w:r>
      <w:r>
        <w:t xml:space="preserve"> </w:t>
      </w:r>
      <w:r w:rsidRPr="00954FE3">
        <w:t>Caird</w:t>
      </w:r>
      <w:r w:rsidR="006F304D" w:rsidRPr="006F304D">
        <w:t xml:space="preserve">, </w:t>
      </w:r>
      <w:r w:rsidRPr="00954FE3">
        <w:rPr>
          <w:i/>
          <w:iCs/>
        </w:rPr>
        <w:t>Gospel of St Luke</w:t>
      </w:r>
      <w:r w:rsidRPr="00EF5A54">
        <w:rPr>
          <w:iCs/>
        </w:rPr>
        <w:t xml:space="preserve"> </w:t>
      </w:r>
      <w:r w:rsidRPr="00954FE3">
        <w:t>105; McBride</w:t>
      </w:r>
      <w:r w:rsidR="006F304D" w:rsidRPr="006F304D">
        <w:t xml:space="preserve">, </w:t>
      </w:r>
      <w:r w:rsidRPr="00954FE3">
        <w:rPr>
          <w:i/>
          <w:iCs/>
        </w:rPr>
        <w:t>Gospel of Luke</w:t>
      </w:r>
      <w:r w:rsidRPr="00EF5A54">
        <w:rPr>
          <w:iCs/>
        </w:rPr>
        <w:t xml:space="preserve"> </w:t>
      </w:r>
      <w:r w:rsidRPr="00954FE3">
        <w:t>90; Talbert</w:t>
      </w:r>
      <w:r w:rsidR="006F304D" w:rsidRPr="006F304D">
        <w:t xml:space="preserve">, </w:t>
      </w:r>
      <w:r w:rsidRPr="00954FE3">
        <w:rPr>
          <w:i/>
          <w:iCs/>
        </w:rPr>
        <w:t>Reading Luke</w:t>
      </w:r>
      <w:r w:rsidRPr="00EF5A54">
        <w:rPr>
          <w:iCs/>
        </w:rPr>
        <w:t xml:space="preserve"> </w:t>
      </w:r>
      <w:r w:rsidRPr="00954FE3">
        <w:t>69; Tinsley</w:t>
      </w:r>
      <w:r w:rsidR="006F304D" w:rsidRPr="006F304D">
        <w:t xml:space="preserve">, </w:t>
      </w:r>
      <w:r w:rsidRPr="00954FE3">
        <w:rPr>
          <w:i/>
          <w:iCs/>
        </w:rPr>
        <w:t>Gospel According to Luke</w:t>
      </w:r>
      <w:r w:rsidRPr="00EF5A54">
        <w:rPr>
          <w:iCs/>
        </w:rPr>
        <w:t xml:space="preserve"> </w:t>
      </w:r>
      <w:r w:rsidRPr="00954FE3">
        <w:t>72. It is hard to see how verses 41-42 explain the disciples’ relation to Jesus: has he the speck or the log?</w:t>
      </w:r>
    </w:p>
  </w:footnote>
  <w:footnote w:id="595">
    <w:p w14:paraId="02C32C22" w14:textId="16F0CF29" w:rsidR="0018433B" w:rsidRPr="00E5413C" w:rsidRDefault="0018433B" w:rsidP="00573F48">
      <w:pPr>
        <w:pStyle w:val="FootnoteText"/>
        <w:rPr>
          <w:lang w:val="fr-FR"/>
        </w:rPr>
      </w:pPr>
      <w:r>
        <w:rPr>
          <w:rStyle w:val="FootnoteReference"/>
        </w:rPr>
        <w:footnoteRef/>
      </w:r>
      <w:r w:rsidRPr="00E5413C">
        <w:rPr>
          <w:lang w:val="fr-FR"/>
        </w:rPr>
        <w:t xml:space="preserve"> Lagrange</w:t>
      </w:r>
      <w:r w:rsidR="006F304D" w:rsidRPr="00E5413C">
        <w:rPr>
          <w:lang w:val="fr-FR"/>
        </w:rPr>
        <w:t xml:space="preserve">, </w:t>
      </w:r>
      <w:r w:rsidRPr="00E5413C">
        <w:rPr>
          <w:i/>
          <w:iCs/>
          <w:lang w:val="fr-FR"/>
        </w:rPr>
        <w:t>Évangile selon Saint Luc</w:t>
      </w:r>
      <w:r w:rsidRPr="00E5413C">
        <w:rPr>
          <w:iCs/>
          <w:lang w:val="fr-FR"/>
        </w:rPr>
        <w:t xml:space="preserve"> </w:t>
      </w:r>
      <w:r w:rsidRPr="00E5413C">
        <w:rPr>
          <w:lang w:val="fr-FR"/>
        </w:rPr>
        <w:t xml:space="preserve">191 (“La charité de miséricorde même envers les ennemis”) and 198 (“39-46. Dispositions nécessaires </w:t>
      </w:r>
      <w:r w:rsidRPr="00E5413C">
        <w:rPr>
          <w:szCs w:val="35"/>
          <w:lang w:val="fr-FR"/>
        </w:rPr>
        <w:t xml:space="preserve">à </w:t>
      </w:r>
      <w:r w:rsidRPr="00E5413C">
        <w:rPr>
          <w:lang w:val="fr-FR"/>
        </w:rPr>
        <w:t>l’exercice de la charité de zèle”).</w:t>
      </w:r>
    </w:p>
  </w:footnote>
  <w:footnote w:id="596">
    <w:p w14:paraId="1480C655" w14:textId="3728FE6C" w:rsidR="0018433B" w:rsidRDefault="0018433B" w:rsidP="00573F48">
      <w:pPr>
        <w:pStyle w:val="FootnoteText"/>
      </w:pPr>
      <w:r>
        <w:rPr>
          <w:rStyle w:val="FootnoteReference"/>
        </w:rPr>
        <w:footnoteRef/>
      </w:r>
      <w:r w:rsidRPr="00E5413C">
        <w:rPr>
          <w:lang w:val="fr-FR"/>
        </w:rPr>
        <w:t xml:space="preserve"> Valensin and Huby</w:t>
      </w:r>
      <w:r w:rsidR="006F304D" w:rsidRPr="00E5413C">
        <w:rPr>
          <w:lang w:val="fr-FR"/>
        </w:rPr>
        <w:t xml:space="preserve">, </w:t>
      </w:r>
      <w:r w:rsidRPr="00E5413C">
        <w:rPr>
          <w:i/>
          <w:iCs/>
          <w:lang w:val="fr-FR"/>
        </w:rPr>
        <w:t>Évangile selon Saint Luc</w:t>
      </w:r>
      <w:r w:rsidRPr="00E5413C">
        <w:rPr>
          <w:iCs/>
          <w:lang w:val="fr-FR"/>
        </w:rPr>
        <w:t xml:space="preserve"> </w:t>
      </w:r>
      <w:r w:rsidRPr="00E5413C">
        <w:rPr>
          <w:lang w:val="fr-FR"/>
        </w:rPr>
        <w:t>125 (“Charité et miséricorde envers les ennemis”)</w:t>
      </w:r>
      <w:r w:rsidR="006F304D" w:rsidRPr="00E5413C">
        <w:rPr>
          <w:lang w:val="fr-FR"/>
        </w:rPr>
        <w:t xml:space="preserve">, </w:t>
      </w:r>
      <w:r w:rsidRPr="00E5413C">
        <w:rPr>
          <w:lang w:val="fr-FR"/>
        </w:rPr>
        <w:t xml:space="preserve">120 (“dispositions nécessaires </w:t>
      </w:r>
      <w:r w:rsidRPr="00E5413C">
        <w:rPr>
          <w:szCs w:val="35"/>
          <w:lang w:val="fr-FR"/>
        </w:rPr>
        <w:t xml:space="preserve">à </w:t>
      </w:r>
      <w:r w:rsidRPr="00E5413C">
        <w:rPr>
          <w:lang w:val="fr-FR"/>
        </w:rPr>
        <w:t>l’exercice de cette charité”)</w:t>
      </w:r>
      <w:r w:rsidR="006F304D" w:rsidRPr="00E5413C">
        <w:rPr>
          <w:lang w:val="fr-FR"/>
        </w:rPr>
        <w:t xml:space="preserve">, </w:t>
      </w:r>
      <w:r w:rsidRPr="00E5413C">
        <w:rPr>
          <w:lang w:val="fr-FR"/>
        </w:rPr>
        <w:t xml:space="preserve">and 130 (“considérée dans ses manifestations de zèle,” though technically this latter description is applied only to 39-42). </w:t>
      </w:r>
      <w:r w:rsidRPr="00954FE3">
        <w:t>In specifying that 39-45 are aimed “especially [at] those to whom the mission of conducting their companions is confided” (“specialemen</w:t>
      </w:r>
      <w:r>
        <w:t>t entre ceux auxquels est confié</w:t>
      </w:r>
      <w:r w:rsidRPr="00954FE3">
        <w:t>e la mission de con</w:t>
      </w:r>
      <w:r>
        <w:t>duire leurs semblables . . .,”</w:t>
      </w:r>
      <w:r w:rsidRPr="00954FE3">
        <w:t xml:space="preserve"> p. 120)</w:t>
      </w:r>
      <w:r w:rsidR="006F304D" w:rsidRPr="006F304D">
        <w:t xml:space="preserve">, </w:t>
      </w:r>
      <w:r w:rsidRPr="00954FE3">
        <w:t xml:space="preserve">Valensin and </w:t>
      </w:r>
      <w:r>
        <w:t>H</w:t>
      </w:r>
      <w:r w:rsidRPr="00954FE3">
        <w:t>uby further tend toward the Grund</w:t>
      </w:r>
      <w:r w:rsidRPr="00954FE3">
        <w:softHyphen/>
        <w:t>mann tradition.</w:t>
      </w:r>
    </w:p>
  </w:footnote>
  <w:footnote w:id="597">
    <w:p w14:paraId="2B456447" w14:textId="5690B5A1" w:rsidR="0018433B" w:rsidRDefault="0018433B" w:rsidP="00573F48">
      <w:pPr>
        <w:pStyle w:val="FootnoteText"/>
      </w:pPr>
      <w:r>
        <w:rPr>
          <w:rStyle w:val="FootnoteReference"/>
        </w:rPr>
        <w:footnoteRef/>
      </w:r>
      <w:r>
        <w:t xml:space="preserve"> </w:t>
      </w:r>
      <w:r w:rsidRPr="00954FE3">
        <w:t>Easton</w:t>
      </w:r>
      <w:r w:rsidR="006F304D" w:rsidRPr="006F304D">
        <w:t xml:space="preserve">, </w:t>
      </w:r>
      <w:r w:rsidRPr="00954FE3">
        <w:rPr>
          <w:i/>
          <w:iCs/>
        </w:rPr>
        <w:t>Gospel According to Saint Luke</w:t>
      </w:r>
      <w:r w:rsidRPr="00E80B84">
        <w:rPr>
          <w:iCs/>
        </w:rPr>
        <w:t xml:space="preserve"> </w:t>
      </w:r>
      <w:r w:rsidRPr="00954FE3">
        <w:t>82. See p.</w:t>
      </w:r>
      <w:r>
        <w:t xml:space="preserve"> 90: “39-45. On judging others.”</w:t>
      </w:r>
    </w:p>
  </w:footnote>
  <w:footnote w:id="598">
    <w:p w14:paraId="2024C785" w14:textId="4CB55942" w:rsidR="0018433B" w:rsidRDefault="0018433B" w:rsidP="00573F48">
      <w:pPr>
        <w:pStyle w:val="FootnoteText"/>
      </w:pPr>
      <w:r>
        <w:rPr>
          <w:rStyle w:val="FootnoteReference"/>
        </w:rPr>
        <w:footnoteRef/>
      </w:r>
      <w:r>
        <w:t xml:space="preserve"> Schürmann</w:t>
      </w:r>
      <w:r w:rsidR="006F304D" w:rsidRPr="006F304D">
        <w:t xml:space="preserve">, </w:t>
      </w:r>
      <w:r w:rsidRPr="00954FE3">
        <w:rPr>
          <w:i/>
          <w:iCs/>
        </w:rPr>
        <w:t>Lukasevangelium</w:t>
      </w:r>
      <w:r w:rsidRPr="00C52A04">
        <w:rPr>
          <w:iCs/>
        </w:rPr>
        <w:t xml:space="preserve"> </w:t>
      </w:r>
      <w:r w:rsidRPr="00954FE3">
        <w:t>342 (“das Liebesgebot”) and 365 (“Das Lieb</w:t>
      </w:r>
      <w:r w:rsidRPr="00954FE3">
        <w:softHyphen/>
        <w:t>esgebot Jesu als der einzige Heilsweg”).</w:t>
      </w:r>
    </w:p>
  </w:footnote>
  <w:footnote w:id="599">
    <w:p w14:paraId="3E06F6FC" w14:textId="54E580FF" w:rsidR="0018433B" w:rsidRDefault="0018433B" w:rsidP="00573F48">
      <w:pPr>
        <w:pStyle w:val="FootnoteText"/>
      </w:pPr>
      <w:r>
        <w:rPr>
          <w:rStyle w:val="FootnoteReference"/>
        </w:rPr>
        <w:footnoteRef/>
      </w:r>
      <w:r>
        <w:t xml:space="preserve"> </w:t>
      </w:r>
      <w:r>
        <w:rPr>
          <w:szCs w:val="25"/>
        </w:rPr>
        <w:t>Schürmann</w:t>
      </w:r>
      <w:r w:rsidR="006F304D" w:rsidRPr="006F304D">
        <w:rPr>
          <w:szCs w:val="25"/>
        </w:rPr>
        <w:t xml:space="preserve">, </w:t>
      </w:r>
      <w:r w:rsidRPr="00954FE3">
        <w:rPr>
          <w:i/>
          <w:iCs/>
        </w:rPr>
        <w:t>Lukasevangelium</w:t>
      </w:r>
      <w:r w:rsidRPr="00C52A04">
        <w:rPr>
          <w:iCs/>
        </w:rPr>
        <w:t xml:space="preserve"> </w:t>
      </w:r>
      <w:r>
        <w:rPr>
          <w:szCs w:val="25"/>
        </w:rPr>
        <w:t>324.</w:t>
      </w:r>
    </w:p>
  </w:footnote>
  <w:footnote w:id="600">
    <w:p w14:paraId="2C3DE7D5" w14:textId="77777777" w:rsidR="0018433B" w:rsidRDefault="0018433B" w:rsidP="00573F48">
      <w:pPr>
        <w:pStyle w:val="FootnoteText"/>
      </w:pPr>
      <w:r>
        <w:rPr>
          <w:rStyle w:val="FootnoteReference"/>
        </w:rPr>
        <w:footnoteRef/>
      </w:r>
      <w:r>
        <w:t xml:space="preserve"> I</w:t>
      </w:r>
      <w:r w:rsidRPr="00954FE3">
        <w:t>bid.</w:t>
      </w:r>
      <w:r>
        <w:t xml:space="preserve"> </w:t>
      </w:r>
      <w:r w:rsidRPr="00954FE3">
        <w:t xml:space="preserve">By “unreflective,” </w:t>
      </w:r>
      <w:r>
        <w:t>Schürmann</w:t>
      </w:r>
      <w:r w:rsidRPr="00954FE3">
        <w:t xml:space="preserve"> means</w:t>
      </w:r>
      <w:r>
        <w:t xml:space="preserve"> “</w:t>
      </w:r>
      <w:r w:rsidRPr="00954FE3">
        <w:t xml:space="preserve">without polemical </w:t>
      </w:r>
      <w:r>
        <w:t>side glance [</w:t>
      </w:r>
      <w:r>
        <w:rPr>
          <w:i/>
        </w:rPr>
        <w:t>Seitenblick</w:t>
      </w:r>
      <w:r>
        <w:t>]”</w:t>
      </w:r>
      <w:r w:rsidRPr="00954FE3">
        <w:t xml:space="preserve">; by “reflective,” he means </w:t>
      </w:r>
      <w:r>
        <w:t>“</w:t>
      </w:r>
      <w:r w:rsidRPr="00954FE3">
        <w:t>wit</w:t>
      </w:r>
      <w:r>
        <w:t>h a side glance at other ways of life</w:t>
      </w:r>
      <w:r w:rsidRPr="00954FE3">
        <w:t>” (365</w:t>
      </w:r>
      <w:r>
        <w:t>).</w:t>
      </w:r>
    </w:p>
  </w:footnote>
  <w:footnote w:id="601">
    <w:p w14:paraId="5DF39864" w14:textId="60F7A886" w:rsidR="0018433B" w:rsidRDefault="0018433B" w:rsidP="00573F48">
      <w:pPr>
        <w:pStyle w:val="FootnoteText"/>
      </w:pPr>
      <w:r>
        <w:rPr>
          <w:rStyle w:val="FootnoteReference"/>
        </w:rPr>
        <w:footnoteRef/>
      </w:r>
      <w:r>
        <w:t xml:space="preserve"> Ib</w:t>
      </w:r>
      <w:r w:rsidRPr="00954FE3">
        <w:t>id. 366</w:t>
      </w:r>
      <w:r w:rsidR="006F304D" w:rsidRPr="006F304D">
        <w:t xml:space="preserve">, </w:t>
      </w:r>
      <w:r w:rsidRPr="00954FE3">
        <w:t>373</w:t>
      </w:r>
      <w:r w:rsidR="006F304D" w:rsidRPr="006F304D">
        <w:t xml:space="preserve">, </w:t>
      </w:r>
      <w:r>
        <w:t>respectively.</w:t>
      </w:r>
    </w:p>
  </w:footnote>
  <w:footnote w:id="602">
    <w:p w14:paraId="652A0F24" w14:textId="2FD6E516" w:rsidR="0018433B" w:rsidRDefault="0018433B" w:rsidP="00573F48">
      <w:pPr>
        <w:pStyle w:val="FootnoteText"/>
      </w:pPr>
      <w:r>
        <w:rPr>
          <w:rStyle w:val="FootnoteReference"/>
        </w:rPr>
        <w:footnoteRef/>
      </w:r>
      <w:r>
        <w:t xml:space="preserve"> </w:t>
      </w:r>
      <w:r w:rsidRPr="00954FE3">
        <w:rPr>
          <w:szCs w:val="25"/>
        </w:rPr>
        <w:t>Talbert</w:t>
      </w:r>
      <w:r w:rsidR="006F304D" w:rsidRPr="006F304D">
        <w:rPr>
          <w:szCs w:val="25"/>
        </w:rPr>
        <w:t xml:space="preserve">, </w:t>
      </w:r>
      <w:r w:rsidRPr="00954FE3">
        <w:rPr>
          <w:i/>
          <w:iCs/>
        </w:rPr>
        <w:t xml:space="preserve">Reading Luke </w:t>
      </w:r>
      <w:r w:rsidRPr="00954FE3">
        <w:rPr>
          <w:szCs w:val="25"/>
        </w:rPr>
        <w:t>69.</w:t>
      </w:r>
    </w:p>
  </w:footnote>
  <w:footnote w:id="603">
    <w:p w14:paraId="1993B79D" w14:textId="77777777" w:rsidR="0018433B" w:rsidRDefault="0018433B" w:rsidP="00573F48">
      <w:pPr>
        <w:pStyle w:val="FootnoteText"/>
      </w:pPr>
      <w:r>
        <w:rPr>
          <w:rStyle w:val="FootnoteReference"/>
        </w:rPr>
        <w:footnoteRef/>
      </w:r>
      <w:r>
        <w:t xml:space="preserve"> </w:t>
      </w:r>
      <w:r w:rsidRPr="00954FE3">
        <w:t>See chapter 6 above.</w:t>
      </w:r>
    </w:p>
  </w:footnote>
  <w:footnote w:id="604">
    <w:p w14:paraId="52F7CC37" w14:textId="1D969E8B" w:rsidR="0018433B" w:rsidRDefault="0018433B" w:rsidP="00573F48">
      <w:pPr>
        <w:pStyle w:val="FootnoteText"/>
      </w:pPr>
      <w:r>
        <w:rPr>
          <w:rStyle w:val="FootnoteReference"/>
        </w:rPr>
        <w:footnoteRef/>
      </w:r>
      <w:r>
        <w:t xml:space="preserve"> </w:t>
      </w:r>
      <w:r w:rsidRPr="00954FE3">
        <w:t xml:space="preserve">Commentators who propose logical outlines for the sermon seem just as uncertain about the exact number of </w:t>
      </w:r>
      <w:r>
        <w:t>“parables”</w:t>
      </w:r>
      <w:r w:rsidRPr="00954FE3">
        <w:t xml:space="preserve"> are in 39-49 as those who propose numerically-based divisions. Some say there are “four parables” (Plummer</w:t>
      </w:r>
      <w:r w:rsidR="006F304D" w:rsidRPr="006F304D">
        <w:t xml:space="preserve">, </w:t>
      </w:r>
      <w:r w:rsidRPr="00954FE3">
        <w:rPr>
          <w:i/>
          <w:iCs/>
          <w:szCs w:val="26"/>
        </w:rPr>
        <w:t>Critical and Exegetical Commentary</w:t>
      </w:r>
      <w:r w:rsidRPr="00D53165">
        <w:rPr>
          <w:iCs/>
          <w:szCs w:val="26"/>
        </w:rPr>
        <w:t xml:space="preserve"> </w:t>
      </w:r>
      <w:r w:rsidRPr="00954FE3">
        <w:t>192)</w:t>
      </w:r>
      <w:r w:rsidR="006F304D" w:rsidRPr="006F304D">
        <w:t xml:space="preserve">, </w:t>
      </w:r>
      <w:r w:rsidRPr="00954FE3">
        <w:t xml:space="preserve">others “five </w:t>
      </w:r>
      <w:r>
        <w:t>short parables” (Stö</w:t>
      </w:r>
      <w:r w:rsidRPr="00954FE3">
        <w:t>ger</w:t>
      </w:r>
      <w:r w:rsidR="006F304D" w:rsidRPr="006F304D">
        <w:t xml:space="preserve">, </w:t>
      </w:r>
      <w:r w:rsidRPr="00954FE3">
        <w:rPr>
          <w:i/>
          <w:iCs/>
          <w:szCs w:val="26"/>
        </w:rPr>
        <w:t>Gospel Accord</w:t>
      </w:r>
      <w:r w:rsidRPr="00954FE3">
        <w:rPr>
          <w:i/>
          <w:iCs/>
          <w:szCs w:val="26"/>
        </w:rPr>
        <w:softHyphen/>
        <w:t>ing to St</w:t>
      </w:r>
      <w:r w:rsidRPr="00954FE3">
        <w:rPr>
          <w:iCs/>
          <w:szCs w:val="26"/>
        </w:rPr>
        <w:t xml:space="preserve">. </w:t>
      </w:r>
      <w:r w:rsidRPr="00954FE3">
        <w:rPr>
          <w:i/>
          <w:iCs/>
          <w:szCs w:val="26"/>
        </w:rPr>
        <w:t>Luke</w:t>
      </w:r>
      <w:r w:rsidRPr="00D53165">
        <w:rPr>
          <w:iCs/>
          <w:szCs w:val="26"/>
        </w:rPr>
        <w:t xml:space="preserve"> </w:t>
      </w:r>
      <w:r w:rsidRPr="00954FE3">
        <w:t>124)</w:t>
      </w:r>
      <w:r w:rsidR="006F304D" w:rsidRPr="006F304D">
        <w:t xml:space="preserve">, </w:t>
      </w:r>
      <w:r w:rsidRPr="00954FE3">
        <w:t>still others six parables (Heinrici</w:t>
      </w:r>
      <w:r w:rsidR="006F304D" w:rsidRPr="006F304D">
        <w:t xml:space="preserve">, </w:t>
      </w:r>
      <w:r w:rsidRPr="00954FE3">
        <w:rPr>
          <w:i/>
          <w:iCs/>
          <w:szCs w:val="26"/>
        </w:rPr>
        <w:t>Bergpredigt</w:t>
      </w:r>
      <w:r w:rsidRPr="00954FE3">
        <w:rPr>
          <w:iCs/>
          <w:szCs w:val="26"/>
        </w:rPr>
        <w:t xml:space="preserve"> </w:t>
      </w:r>
      <w:r>
        <w:t>l.</w:t>
      </w:r>
      <w:r w:rsidRPr="00954FE3">
        <w:t>46).</w:t>
      </w:r>
    </w:p>
  </w:footnote>
  <w:footnote w:id="605">
    <w:p w14:paraId="07622D14" w14:textId="77777777" w:rsidR="0018433B" w:rsidRPr="00E5413C" w:rsidRDefault="0018433B" w:rsidP="00573F48">
      <w:pPr>
        <w:pStyle w:val="FootnoteText"/>
        <w:rPr>
          <w:lang w:val="es-ES"/>
        </w:rPr>
      </w:pPr>
      <w:r>
        <w:rPr>
          <w:rStyle w:val="FootnoteReference"/>
        </w:rPr>
        <w:footnoteRef/>
      </w:r>
      <w:r w:rsidRPr="00E5413C">
        <w:rPr>
          <w:lang w:val="es-ES"/>
        </w:rPr>
        <w:t xml:space="preserve"> Pss 1:1; 2:12; 32:1-2; 33:12; 40:4; 41:1; 65:4; 84:4-5; 84:12; 89:15; 94:12; 106:3; 112:1; 119:1-2; 128:1; Prv 20:7; 28:14; 29:18; Isa 30:18; 56:2; Jer 17:7; Dan 12:12.</w:t>
      </w:r>
    </w:p>
  </w:footnote>
  <w:footnote w:id="606">
    <w:p w14:paraId="5C681C99" w14:textId="1796DD5B" w:rsidR="0018433B" w:rsidRDefault="0018433B" w:rsidP="00573F48">
      <w:pPr>
        <w:pStyle w:val="FootnoteText"/>
      </w:pPr>
      <w:r>
        <w:rPr>
          <w:rStyle w:val="FootnoteReference"/>
        </w:rPr>
        <w:footnoteRef/>
      </w:r>
      <w:r>
        <w:t xml:space="preserve"> </w:t>
      </w:r>
      <w:r w:rsidRPr="00954FE3">
        <w:t xml:space="preserve">Easton </w:t>
      </w:r>
      <w:r>
        <w:t>(</w:t>
      </w:r>
      <w:r w:rsidRPr="00954FE3">
        <w:rPr>
          <w:i/>
        </w:rPr>
        <w:t>Gospel According to Saint Luke</w:t>
      </w:r>
      <w:r w:rsidRPr="00E622DB">
        <w:t xml:space="preserve"> </w:t>
      </w:r>
      <w:r w:rsidRPr="00954FE3">
        <w:t>88)</w:t>
      </w:r>
      <w:r w:rsidR="006F304D" w:rsidRPr="006F304D">
        <w:t xml:space="preserve">, </w:t>
      </w:r>
      <w:r w:rsidRPr="00954FE3">
        <w:t>Pfleiderer (</w:t>
      </w:r>
      <w:r w:rsidRPr="00954FE3">
        <w:rPr>
          <w:i/>
        </w:rPr>
        <w:t>Primitive Christianity</w:t>
      </w:r>
      <w:r w:rsidRPr="00E622DB">
        <w:t xml:space="preserve"> </w:t>
      </w:r>
      <w:r>
        <w:t>2.</w:t>
      </w:r>
      <w:r w:rsidRPr="00954FE3">
        <w:t>127)</w:t>
      </w:r>
      <w:r w:rsidR="006F304D" w:rsidRPr="006F304D">
        <w:t xml:space="preserve">, </w:t>
      </w:r>
      <w:r w:rsidRPr="00954FE3">
        <w:t xml:space="preserve">and Plummer </w:t>
      </w:r>
      <w:r>
        <w:t>(</w:t>
      </w:r>
      <w:r w:rsidRPr="00954FE3">
        <w:rPr>
          <w:i/>
        </w:rPr>
        <w:t>Criticial and Exegetical Commentary</w:t>
      </w:r>
      <w:r w:rsidRPr="00E622DB">
        <w:t xml:space="preserve"> </w:t>
      </w:r>
      <w:r w:rsidRPr="00954FE3">
        <w:t>178) take the kingdom in 20c as present; Edwards (</w:t>
      </w:r>
      <w:r w:rsidRPr="00954FE3">
        <w:rPr>
          <w:i/>
        </w:rPr>
        <w:t>Luke</w:t>
      </w:r>
      <w:r w:rsidRPr="00954FE3">
        <w:t>’</w:t>
      </w:r>
      <w:r w:rsidRPr="00954FE3">
        <w:rPr>
          <w:i/>
        </w:rPr>
        <w:t>s Story of Jesus</w:t>
      </w:r>
      <w:r w:rsidRPr="00E622DB">
        <w:t xml:space="preserve"> </w:t>
      </w:r>
      <w:r w:rsidRPr="00954FE3">
        <w:t>41) and Maddox (</w:t>
      </w:r>
      <w:r w:rsidRPr="00954FE3">
        <w:rPr>
          <w:i/>
        </w:rPr>
        <w:t>Purpose of Luke</w:t>
      </w:r>
      <w:r>
        <w:rPr>
          <w:i/>
        </w:rPr>
        <w:t>-</w:t>
      </w:r>
      <w:r w:rsidRPr="00954FE3">
        <w:rPr>
          <w:i/>
        </w:rPr>
        <w:t>Acts</w:t>
      </w:r>
      <w:r w:rsidRPr="00E622DB">
        <w:t xml:space="preserve"> </w:t>
      </w:r>
      <w:r w:rsidRPr="00954FE3">
        <w:t>124) take it as future; and Dausch (</w:t>
      </w:r>
      <w:r w:rsidRPr="00954FE3">
        <w:rPr>
          <w:i/>
        </w:rPr>
        <w:t xml:space="preserve">Drei </w:t>
      </w:r>
      <w:r>
        <w:rPr>
          <w:i/>
        </w:rPr>
        <w:t>älteren Evang</w:t>
      </w:r>
      <w:r w:rsidRPr="00954FE3">
        <w:rPr>
          <w:i/>
        </w:rPr>
        <w:t>elien</w:t>
      </w:r>
      <w:r w:rsidRPr="00E622DB">
        <w:t xml:space="preserve"> </w:t>
      </w:r>
      <w:r w:rsidRPr="00954FE3">
        <w:t>92) considers it both.</w:t>
      </w:r>
    </w:p>
  </w:footnote>
  <w:footnote w:id="607">
    <w:p w14:paraId="211E0C99" w14:textId="512B48F4" w:rsidR="0018433B" w:rsidRDefault="0018433B" w:rsidP="00573F48">
      <w:pPr>
        <w:pStyle w:val="FootnoteText"/>
      </w:pPr>
      <w:r>
        <w:rPr>
          <w:rStyle w:val="FootnoteReference"/>
        </w:rPr>
        <w:footnoteRef/>
      </w:r>
      <w:r>
        <w:t xml:space="preserve"> </w:t>
      </w:r>
      <w:r w:rsidRPr="00954FE3">
        <w:t>Beda Rigaux’s comment (</w:t>
      </w:r>
      <w:r>
        <w:rPr>
          <w:i/>
          <w:iCs/>
        </w:rPr>
        <w:t>Té</w:t>
      </w:r>
      <w:r w:rsidRPr="00954FE3">
        <w:rPr>
          <w:i/>
          <w:iCs/>
        </w:rPr>
        <w:t>moignage de Luc</w:t>
      </w:r>
      <w:r w:rsidRPr="00E622DB">
        <w:rPr>
          <w:iCs/>
        </w:rPr>
        <w:t xml:space="preserve"> </w:t>
      </w:r>
      <w:r w:rsidRPr="00954FE3">
        <w:t>171)</w:t>
      </w:r>
      <w:r w:rsidR="006F304D" w:rsidRPr="006F304D">
        <w:t xml:space="preserve">, </w:t>
      </w:r>
      <w:r w:rsidRPr="00954FE3">
        <w:t>that from 39 onward “the discourse ceases to be in the imperative mood</w:t>
      </w:r>
      <w:r>
        <w:t>,</w:t>
      </w:r>
      <w:r w:rsidRPr="00954FE3">
        <w:t>” seems at first sight to support Heinrici’s divisions</w:t>
      </w:r>
      <w:r w:rsidR="006F304D" w:rsidRPr="006F304D">
        <w:t xml:space="preserve">, </w:t>
      </w:r>
      <w:r w:rsidRPr="00954FE3">
        <w:t>since it implies that the sermon is hortatory before 39 and declarative afterward. But a number of sayings before 39 are declarative (20-22</w:t>
      </w:r>
      <w:r w:rsidR="006F304D" w:rsidRPr="006F304D">
        <w:t xml:space="preserve">, </w:t>
      </w:r>
      <w:r w:rsidRPr="00954FE3">
        <w:t>24-26</w:t>
      </w:r>
      <w:r w:rsidR="006F304D" w:rsidRPr="006F304D">
        <w:t xml:space="preserve">, </w:t>
      </w:r>
      <w:r w:rsidRPr="00954FE3">
        <w:t>31</w:t>
      </w:r>
      <w:r w:rsidR="006F304D" w:rsidRPr="006F304D">
        <w:t xml:space="preserve">, </w:t>
      </w:r>
      <w:r w:rsidRPr="00954FE3">
        <w:t>32-34</w:t>
      </w:r>
      <w:r w:rsidR="006F304D" w:rsidRPr="006F304D">
        <w:t xml:space="preserve">, </w:t>
      </w:r>
      <w:r w:rsidRPr="00954FE3">
        <w:t>35bc</w:t>
      </w:r>
      <w:r w:rsidR="006F304D" w:rsidRPr="006F304D">
        <w:t xml:space="preserve">, </w:t>
      </w:r>
      <w:r w:rsidRPr="00954FE3">
        <w:t>38cd)</w:t>
      </w:r>
      <w:r w:rsidR="006F304D" w:rsidRPr="006F304D">
        <w:t xml:space="preserve">, </w:t>
      </w:r>
      <w:r w:rsidRPr="00954FE3">
        <w:t xml:space="preserve">and 42d after it </w:t>
      </w:r>
      <w:r>
        <w:t>(“</w:t>
      </w:r>
      <w:r w:rsidRPr="00954FE3">
        <w:t>Hypocrite</w:t>
      </w:r>
      <w:r w:rsidR="006F304D" w:rsidRPr="006F304D">
        <w:t xml:space="preserve">, </w:t>
      </w:r>
      <w:r w:rsidRPr="00954FE3">
        <w:t>first take the log out</w:t>
      </w:r>
      <w:r>
        <w:t>”</w:t>
      </w:r>
      <w:r w:rsidRPr="00954FE3">
        <w:t>) is imperative. Nor should the stinging rhretorical questions in 39-49 (</w:t>
      </w:r>
      <w:r>
        <w:t>“</w:t>
      </w:r>
      <w:r w:rsidRPr="00954FE3">
        <w:t>Can a blind man lead a blind man?</w:t>
      </w:r>
      <w:r>
        <w:t>”</w:t>
      </w:r>
      <w:r w:rsidRPr="00954FE3">
        <w:t xml:space="preserve"> </w:t>
      </w:r>
      <w:r>
        <w:t>“</w:t>
      </w:r>
      <w:r w:rsidRPr="00954FE3">
        <w:t>Why do you call me</w:t>
      </w:r>
      <w:r w:rsidR="006F304D" w:rsidRPr="006F304D">
        <w:t xml:space="preserve">, </w:t>
      </w:r>
      <w:r w:rsidRPr="00954FE3">
        <w:t>‘Lord</w:t>
      </w:r>
      <w:r w:rsidR="006F304D" w:rsidRPr="006F304D">
        <w:t xml:space="preserve">, </w:t>
      </w:r>
      <w:r w:rsidRPr="00954FE3">
        <w:t>Lord</w:t>
      </w:r>
      <w:r>
        <w:t>’</w:t>
      </w:r>
      <w:r w:rsidRPr="00954FE3">
        <w:t>”) be denied a hortatory significance.</w:t>
      </w:r>
    </w:p>
  </w:footnote>
  <w:footnote w:id="608">
    <w:p w14:paraId="18D61C75" w14:textId="77777777" w:rsidR="0018433B" w:rsidRDefault="0018433B" w:rsidP="00573F48">
      <w:pPr>
        <w:pStyle w:val="FootnoteText"/>
      </w:pPr>
      <w:r>
        <w:rPr>
          <w:rStyle w:val="FootnoteReference"/>
        </w:rPr>
        <w:footnoteRef/>
      </w:r>
      <w:r>
        <w:t xml:space="preserve"> Bé</w:t>
      </w:r>
      <w:r w:rsidRPr="00954FE3">
        <w:t xml:space="preserve">atitudes </w:t>
      </w:r>
      <w:r>
        <w:t>1.</w:t>
      </w:r>
      <w:r w:rsidRPr="00954FE3">
        <w:t>198</w:t>
      </w:r>
      <w:r>
        <w:t>.</w:t>
      </w:r>
    </w:p>
  </w:footnote>
  <w:footnote w:id="609">
    <w:p w14:paraId="690E63EE" w14:textId="48F9636B" w:rsidR="0018433B" w:rsidRDefault="0018433B" w:rsidP="00573F48">
      <w:pPr>
        <w:pStyle w:val="FootnoteText"/>
      </w:pPr>
      <w:r>
        <w:rPr>
          <w:rStyle w:val="FootnoteReference"/>
        </w:rPr>
        <w:footnoteRef/>
      </w:r>
      <w:r>
        <w:t xml:space="preserve"> </w:t>
      </w:r>
      <w:r w:rsidRPr="00954FE3">
        <w:t>Easton</w:t>
      </w:r>
      <w:r w:rsidR="006F304D" w:rsidRPr="006F304D">
        <w:t xml:space="preserve">, </w:t>
      </w:r>
      <w:r w:rsidRPr="00954FE3">
        <w:rPr>
          <w:i/>
          <w:iCs/>
        </w:rPr>
        <w:t>Gospel According to St</w:t>
      </w:r>
      <w:r w:rsidRPr="00954FE3">
        <w:rPr>
          <w:iCs/>
        </w:rPr>
        <w:t xml:space="preserve">. </w:t>
      </w:r>
      <w:r w:rsidRPr="00954FE3">
        <w:rPr>
          <w:i/>
          <w:iCs/>
        </w:rPr>
        <w:t>Luke</w:t>
      </w:r>
      <w:r w:rsidRPr="00765933">
        <w:rPr>
          <w:iCs/>
        </w:rPr>
        <w:t xml:space="preserve"> </w:t>
      </w:r>
      <w:r w:rsidRPr="00954FE3">
        <w:t>82</w:t>
      </w:r>
      <w:r w:rsidR="006F304D" w:rsidRPr="006F304D">
        <w:t xml:space="preserve">, </w:t>
      </w:r>
      <w:r w:rsidRPr="00954FE3">
        <w:t>82</w:t>
      </w:r>
      <w:r w:rsidR="006F304D" w:rsidRPr="006F304D">
        <w:t xml:space="preserve">, </w:t>
      </w:r>
      <w:r w:rsidRPr="00954FE3">
        <w:t>90</w:t>
      </w:r>
      <w:r w:rsidR="006F304D" w:rsidRPr="006F304D">
        <w:t xml:space="preserve">, </w:t>
      </w:r>
      <w:r w:rsidRPr="00954FE3">
        <w:t>respectively.</w:t>
      </w:r>
    </w:p>
  </w:footnote>
  <w:footnote w:id="610">
    <w:p w14:paraId="681CA0D6" w14:textId="77777777" w:rsidR="0018433B" w:rsidRDefault="0018433B" w:rsidP="00573F48">
      <w:pPr>
        <w:pStyle w:val="FootnoteText"/>
      </w:pPr>
      <w:r>
        <w:rPr>
          <w:rStyle w:val="FootnoteReference"/>
        </w:rPr>
        <w:footnoteRef/>
      </w:r>
      <w:r>
        <w:t xml:space="preserve"> </w:t>
      </w:r>
      <w:r w:rsidRPr="00954FE3">
        <w:t>Ibid. 368</w:t>
      </w:r>
      <w:r>
        <w:t>.</w:t>
      </w:r>
    </w:p>
  </w:footnote>
  <w:footnote w:id="611">
    <w:p w14:paraId="2D5329DB" w14:textId="50FB2CC1" w:rsidR="0018433B" w:rsidRDefault="0018433B" w:rsidP="00573F48">
      <w:pPr>
        <w:pStyle w:val="FootnoteText"/>
      </w:pPr>
      <w:r>
        <w:rPr>
          <w:rStyle w:val="FootnoteReference"/>
        </w:rPr>
        <w:footnoteRef/>
      </w:r>
      <w:r>
        <w:t xml:space="preserve"> Ibid. 368</w:t>
      </w:r>
      <w:r w:rsidRPr="00954FE3">
        <w:t xml:space="preserve"> </w:t>
      </w:r>
      <w:r>
        <w:t xml:space="preserve">(“eine neue </w:t>
      </w:r>
      <w:r w:rsidRPr="0003795B">
        <w:t>„</w:t>
      </w:r>
      <w:r w:rsidRPr="00954FE3">
        <w:t>Lehre”</w:t>
      </w:r>
      <w:r>
        <w:t xml:space="preserve"> . . .</w:t>
      </w:r>
      <w:r w:rsidR="006F304D" w:rsidRPr="006F304D">
        <w:t xml:space="preserve">, </w:t>
      </w:r>
      <w:r>
        <w:t xml:space="preserve">ein </w:t>
      </w:r>
      <w:r w:rsidRPr="0003795B">
        <w:t>„</w:t>
      </w:r>
      <w:r w:rsidRPr="00954FE3">
        <w:t>Mehr” [</w:t>
      </w:r>
      <w:r w:rsidRPr="00CB0999">
        <w:rPr>
          <w:szCs w:val="22"/>
          <w:lang w:bidi="he-IL"/>
        </w:rPr>
        <w:t>ὑ</w:t>
      </w:r>
      <w:r>
        <w:rPr>
          <w:szCs w:val="22"/>
          <w:lang w:bidi="he-IL"/>
        </w:rPr>
        <w:t>πέρ</w:t>
      </w:r>
      <w:r>
        <w:rPr>
          <w:szCs w:val="26"/>
        </w:rPr>
        <w:t>]</w:t>
      </w:r>
      <w:r w:rsidRPr="00954FE3">
        <w:rPr>
          <w:szCs w:val="26"/>
        </w:rPr>
        <w:t>”</w:t>
      </w:r>
      <w:r>
        <w:rPr>
          <w:szCs w:val="26"/>
        </w:rPr>
        <w:t>).</w:t>
      </w:r>
      <w:r w:rsidRPr="00954FE3">
        <w:rPr>
          <w:szCs w:val="26"/>
        </w:rPr>
        <w:t xml:space="preserve"> </w:t>
      </w:r>
      <w:r w:rsidRPr="00954FE3">
        <w:t>Thus “Jesus’ teaching</w:t>
      </w:r>
      <w:r w:rsidR="006F304D" w:rsidRPr="006F304D">
        <w:t xml:space="preserve">, </w:t>
      </w:r>
      <w:r w:rsidRPr="00954FE3">
        <w:t>as presented in 27-38</w:t>
      </w:r>
      <w:r w:rsidR="006F304D" w:rsidRPr="006F304D">
        <w:t xml:space="preserve">, </w:t>
      </w:r>
      <w:r w:rsidRPr="00954FE3">
        <w:t>is and remains the standard” (369).</w:t>
      </w:r>
    </w:p>
  </w:footnote>
  <w:footnote w:id="612">
    <w:p w14:paraId="6A79708D" w14:textId="1AFCE98D" w:rsidR="0018433B" w:rsidRDefault="0018433B" w:rsidP="00573F48">
      <w:pPr>
        <w:pStyle w:val="FootnoteText"/>
      </w:pPr>
      <w:r>
        <w:rPr>
          <w:rStyle w:val="FootnoteReference"/>
        </w:rPr>
        <w:footnoteRef/>
      </w:r>
      <w:r>
        <w:t xml:space="preserve"> Ibid. 365: “ihren </w:t>
      </w:r>
      <w:r w:rsidRPr="00173BE3">
        <w:t>„</w:t>
      </w:r>
      <w:r>
        <w:t>Fruchten”</w:t>
      </w:r>
      <w:r w:rsidRPr="00954FE3">
        <w:t xml:space="preserve"> (VV 43f)</w:t>
      </w:r>
      <w:r w:rsidR="006F304D" w:rsidRPr="006F304D">
        <w:t xml:space="preserve">, </w:t>
      </w:r>
      <w:r w:rsidRPr="00954FE3">
        <w:t>d. h. ihren Lehren (V 45b).” See al</w:t>
      </w:r>
      <w:r>
        <w:t xml:space="preserve">so p. 373: ‘Von den Falschlehrern soll man keine </w:t>
      </w:r>
      <w:r w:rsidRPr="00173BE3">
        <w:t>„</w:t>
      </w:r>
      <w:r>
        <w:t>Feigen”</w:t>
      </w:r>
      <w:r w:rsidRPr="00954FE3">
        <w:t xml:space="preserve"> und </w:t>
      </w:r>
      <w:r w:rsidRPr="00173BE3">
        <w:t>„</w:t>
      </w:r>
      <w:r>
        <w:t>Trauben”</w:t>
      </w:r>
      <w:r w:rsidR="006F304D" w:rsidRPr="006F304D">
        <w:t xml:space="preserve">, </w:t>
      </w:r>
      <w:r w:rsidRPr="00954FE3">
        <w:t xml:space="preserve">d. h. nach V 45b: keine </w:t>
      </w:r>
      <w:r>
        <w:t>guten Lehren</w:t>
      </w:r>
      <w:r w:rsidR="006F304D" w:rsidRPr="006F304D">
        <w:t xml:space="preserve">, </w:t>
      </w:r>
      <w:r>
        <w:t>holen wollen.”</w:t>
      </w:r>
    </w:p>
  </w:footnote>
  <w:footnote w:id="613">
    <w:p w14:paraId="4FDFC1B0" w14:textId="77777777" w:rsidR="0018433B" w:rsidRDefault="0018433B" w:rsidP="00573F48">
      <w:pPr>
        <w:pStyle w:val="FootnoteText"/>
      </w:pPr>
      <w:r>
        <w:rPr>
          <w:rStyle w:val="FootnoteReference"/>
        </w:rPr>
        <w:footnoteRef/>
      </w:r>
      <w:r>
        <w:t xml:space="preserve"> Ib</w:t>
      </w:r>
      <w:r w:rsidRPr="00954FE3">
        <w:t>id. 366.</w:t>
      </w:r>
    </w:p>
  </w:footnote>
  <w:footnote w:id="614">
    <w:p w14:paraId="56166F6D" w14:textId="77777777" w:rsidR="0018433B" w:rsidRDefault="0018433B" w:rsidP="00573F48">
      <w:pPr>
        <w:pStyle w:val="FootnoteText"/>
      </w:pPr>
      <w:r>
        <w:rPr>
          <w:rStyle w:val="FootnoteReference"/>
        </w:rPr>
        <w:footnoteRef/>
      </w:r>
      <w:r>
        <w:t xml:space="preserve"> I</w:t>
      </w:r>
      <w:r w:rsidRPr="00954FE3">
        <w:t>bid.</w:t>
      </w:r>
    </w:p>
  </w:footnote>
  <w:footnote w:id="615">
    <w:p w14:paraId="35BD976B" w14:textId="77777777" w:rsidR="0018433B" w:rsidRDefault="0018433B" w:rsidP="00573F48">
      <w:pPr>
        <w:pStyle w:val="FootnoteText"/>
      </w:pPr>
      <w:r>
        <w:rPr>
          <w:rStyle w:val="FootnoteReference"/>
        </w:rPr>
        <w:footnoteRef/>
      </w:r>
      <w:r>
        <w:t xml:space="preserve"> I</w:t>
      </w:r>
      <w:r w:rsidRPr="00954FE3">
        <w:t>bid. 367</w:t>
      </w:r>
      <w:r>
        <w:t>.</w:t>
      </w:r>
    </w:p>
  </w:footnote>
  <w:footnote w:id="616">
    <w:p w14:paraId="4566B026" w14:textId="77777777" w:rsidR="0018433B" w:rsidRDefault="0018433B" w:rsidP="00573F48">
      <w:pPr>
        <w:pStyle w:val="FootnoteText"/>
      </w:pPr>
      <w:r>
        <w:rPr>
          <w:rStyle w:val="FootnoteReference"/>
        </w:rPr>
        <w:footnoteRef/>
      </w:r>
      <w:r>
        <w:t xml:space="preserve"> Ib</w:t>
      </w:r>
      <w:r w:rsidRPr="00954FE3">
        <w:t>id. 367 n. 160</w:t>
      </w:r>
      <w:r>
        <w:t>.</w:t>
      </w:r>
    </w:p>
  </w:footnote>
  <w:footnote w:id="617">
    <w:p w14:paraId="0F807833" w14:textId="77777777" w:rsidR="0018433B" w:rsidRPr="003C734A" w:rsidRDefault="0018433B" w:rsidP="00573F48">
      <w:pPr>
        <w:pStyle w:val="FootnoteText"/>
      </w:pPr>
      <w:r>
        <w:rPr>
          <w:rStyle w:val="FootnoteReference"/>
        </w:rPr>
        <w:footnoteRef/>
      </w:r>
      <w:r>
        <w:t xml:space="preserve"> See ch. 9 </w:t>
      </w:r>
      <w:r>
        <w:rPr>
          <w:i/>
        </w:rPr>
        <w:t>supra</w:t>
      </w:r>
      <w:r>
        <w:t>.</w:t>
      </w:r>
    </w:p>
  </w:footnote>
  <w:footnote w:id="618">
    <w:p w14:paraId="4E900090" w14:textId="10D7815B" w:rsidR="0018433B" w:rsidRDefault="0018433B" w:rsidP="00573F48">
      <w:pPr>
        <w:pStyle w:val="FootnoteText"/>
      </w:pPr>
      <w:r>
        <w:rPr>
          <w:rStyle w:val="FootnoteReference"/>
        </w:rPr>
        <w:footnoteRef/>
      </w:r>
      <w:r>
        <w:t xml:space="preserve"> </w:t>
      </w:r>
      <w:r w:rsidRPr="00954FE3">
        <w:t>Hawkins</w:t>
      </w:r>
      <w:r w:rsidR="006F304D" w:rsidRPr="006F304D">
        <w:t xml:space="preserve">, </w:t>
      </w:r>
      <w:r w:rsidRPr="00954FE3">
        <w:rPr>
          <w:i/>
          <w:iCs/>
        </w:rPr>
        <w:t>Horae Synopticae</w:t>
      </w:r>
      <w:r w:rsidRPr="003C734A">
        <w:rPr>
          <w:iCs/>
        </w:rPr>
        <w:t xml:space="preserve"> </w:t>
      </w:r>
      <w:r w:rsidRPr="00954FE3">
        <w:t xml:space="preserve">35 </w:t>
      </w:r>
      <w:r>
        <w:t>(</w:t>
      </w:r>
      <w:r w:rsidRPr="00954FE3">
        <w:t xml:space="preserve">cf. p. 37). The error is Dupont’s before it is </w:t>
      </w:r>
      <w:r>
        <w:t>Schürmann</w:t>
      </w:r>
      <w:r w:rsidRPr="00954FE3">
        <w:t xml:space="preserve">’s. </w:t>
      </w:r>
      <w:r>
        <w:t>Schürmann</w:t>
      </w:r>
      <w:r w:rsidRPr="00954FE3">
        <w:t xml:space="preserve"> (</w:t>
      </w:r>
      <w:r w:rsidRPr="00954FE3">
        <w:rPr>
          <w:i/>
          <w:iCs/>
        </w:rPr>
        <w:t>Lukasevangelium</w:t>
      </w:r>
      <w:r w:rsidRPr="003C734A">
        <w:rPr>
          <w:iCs/>
        </w:rPr>
        <w:t xml:space="preserve"> </w:t>
      </w:r>
      <w:r w:rsidRPr="00954FE3">
        <w:t xml:space="preserve">367 n. 160) cites </w:t>
      </w:r>
      <w:r>
        <w:rPr>
          <w:i/>
          <w:iCs/>
        </w:rPr>
        <w:t>Bé</w:t>
      </w:r>
      <w:r w:rsidRPr="00954FE3">
        <w:rPr>
          <w:i/>
          <w:iCs/>
        </w:rPr>
        <w:t>atitudes</w:t>
      </w:r>
      <w:r w:rsidR="006F304D" w:rsidRPr="006F304D">
        <w:rPr>
          <w:iCs/>
        </w:rPr>
        <w:t xml:space="preserve">, </w:t>
      </w:r>
      <w:r>
        <w:t>1.</w:t>
      </w:r>
      <w:r w:rsidRPr="003C734A">
        <w:rPr>
          <w:iCs/>
        </w:rPr>
        <w:t xml:space="preserve">55 </w:t>
      </w:r>
      <w:r w:rsidRPr="003C734A">
        <w:t>n</w:t>
      </w:r>
      <w:r w:rsidRPr="00954FE3">
        <w:t>. 3</w:t>
      </w:r>
      <w:r w:rsidR="006F304D" w:rsidRPr="006F304D">
        <w:t xml:space="preserve">, </w:t>
      </w:r>
      <w:r w:rsidRPr="00954FE3">
        <w:t xml:space="preserve">where Dupont says that </w:t>
      </w:r>
      <w:r>
        <w:t>“</w:t>
      </w:r>
      <w:r w:rsidRPr="00954FE3">
        <w:t>The conjunction</w:t>
      </w:r>
      <w:r>
        <w:t xml:space="preserve"> </w:t>
      </w:r>
      <w:r>
        <w:rPr>
          <w:bCs/>
          <w:kern w:val="0"/>
          <w:szCs w:val="22"/>
          <w:lang w:val="el-GR"/>
        </w:rPr>
        <w:t>δὲ καί</w:t>
      </w:r>
      <w:r w:rsidRPr="00954FE3">
        <w:t xml:space="preserve"> is equally capable of indicating an interesting remark: cf. Hawkins</w:t>
      </w:r>
      <w:r w:rsidR="006F304D" w:rsidRPr="006F304D">
        <w:t xml:space="preserve">, </w:t>
      </w:r>
      <w:r w:rsidRPr="00954FE3">
        <w:rPr>
          <w:i/>
          <w:iCs/>
        </w:rPr>
        <w:t>Horae Synopticae</w:t>
      </w:r>
      <w:r w:rsidR="006F304D" w:rsidRPr="006F304D">
        <w:rPr>
          <w:iCs/>
        </w:rPr>
        <w:t xml:space="preserve">, </w:t>
      </w:r>
      <w:r w:rsidRPr="00954FE3">
        <w:t>p. 37</w:t>
      </w:r>
      <w:r>
        <w:t>.”</w:t>
      </w:r>
    </w:p>
  </w:footnote>
  <w:footnote w:id="619">
    <w:p w14:paraId="05726B75" w14:textId="2C176C36" w:rsidR="0018433B" w:rsidRDefault="0018433B" w:rsidP="00573F48">
      <w:pPr>
        <w:pStyle w:val="FootnoteText"/>
      </w:pPr>
      <w:r>
        <w:rPr>
          <w:rStyle w:val="FootnoteReference"/>
        </w:rPr>
        <w:footnoteRef/>
      </w:r>
      <w:r>
        <w:t xml:space="preserve"> Ib</w:t>
      </w:r>
      <w:r w:rsidRPr="00954FE3">
        <w:t>id. 366 n. 157</w:t>
      </w:r>
      <w:r w:rsidR="006F304D" w:rsidRPr="006F304D">
        <w:t xml:space="preserve">, </w:t>
      </w:r>
      <w:r w:rsidRPr="00954FE3">
        <w:t xml:space="preserve">citing </w:t>
      </w:r>
      <w:r>
        <w:t>Günther</w:t>
      </w:r>
      <w:r w:rsidRPr="00954FE3">
        <w:t xml:space="preserve"> Bor</w:t>
      </w:r>
      <w:r>
        <w:t>n</w:t>
      </w:r>
      <w:r w:rsidRPr="00954FE3">
        <w:t>kamm</w:t>
      </w:r>
      <w:r w:rsidR="006F304D" w:rsidRPr="006F304D">
        <w:t xml:space="preserve">, </w:t>
      </w:r>
      <w:r w:rsidRPr="00954FE3">
        <w:t>“Die Vorgeschichte des soge</w:t>
      </w:r>
      <w:r w:rsidRPr="00954FE3">
        <w:softHyphen/>
        <w:t xml:space="preserve">nannten zweiten Korintherbriefes,” </w:t>
      </w:r>
      <w:r w:rsidRPr="00954FE3">
        <w:rPr>
          <w:i/>
          <w:iCs/>
        </w:rPr>
        <w:t>Sitzungsberichte der Heidelberger Akademie der Wissenschaften</w:t>
      </w:r>
      <w:r w:rsidRPr="00954FE3">
        <w:rPr>
          <w:iCs/>
        </w:rPr>
        <w:t xml:space="preserve"> (</w:t>
      </w:r>
      <w:r w:rsidRPr="00954FE3">
        <w:t>1961) 25ff.</w:t>
      </w:r>
    </w:p>
  </w:footnote>
  <w:footnote w:id="620">
    <w:p w14:paraId="11912480" w14:textId="77777777" w:rsidR="0018433B" w:rsidRDefault="0018433B" w:rsidP="00573F48">
      <w:pPr>
        <w:pStyle w:val="FootnoteText"/>
      </w:pPr>
      <w:r>
        <w:rPr>
          <w:rStyle w:val="FootnoteReference"/>
        </w:rPr>
        <w:footnoteRef/>
      </w:r>
      <w:r>
        <w:t xml:space="preserve"> Ib</w:t>
      </w:r>
      <w:r w:rsidRPr="00954FE3">
        <w:t>id.</w:t>
      </w:r>
    </w:p>
  </w:footnote>
  <w:footnote w:id="621">
    <w:p w14:paraId="0831F06F" w14:textId="59B6C38C" w:rsidR="0018433B" w:rsidRDefault="0018433B" w:rsidP="00573F48">
      <w:pPr>
        <w:pStyle w:val="FootnoteText"/>
      </w:pPr>
      <w:r>
        <w:rPr>
          <w:rStyle w:val="FootnoteReference"/>
        </w:rPr>
        <w:footnoteRef/>
      </w:r>
      <w:r>
        <w:t xml:space="preserve"> Ibid. 378;</w:t>
      </w:r>
      <w:r w:rsidRPr="00954FE3">
        <w:t xml:space="preserve"> </w:t>
      </w:r>
      <w:r>
        <w:t>324</w:t>
      </w:r>
      <w:r w:rsidR="006F304D" w:rsidRPr="006F304D">
        <w:t xml:space="preserve">, </w:t>
      </w:r>
      <w:r>
        <w:t>372; 368;</w:t>
      </w:r>
      <w:r w:rsidRPr="00954FE3">
        <w:t xml:space="preserve"> 378</w:t>
      </w:r>
      <w:r w:rsidR="006F304D" w:rsidRPr="006F304D">
        <w:t xml:space="preserve">, </w:t>
      </w:r>
      <w:r w:rsidRPr="00954FE3">
        <w:t>respectively.</w:t>
      </w:r>
    </w:p>
  </w:footnote>
  <w:footnote w:id="622">
    <w:p w14:paraId="7EE1930F" w14:textId="3ABAB769" w:rsidR="0018433B" w:rsidRDefault="0018433B" w:rsidP="00573F48">
      <w:pPr>
        <w:pStyle w:val="FootnoteText"/>
      </w:pPr>
      <w:r>
        <w:rPr>
          <w:rStyle w:val="FootnoteReference"/>
        </w:rPr>
        <w:footnoteRef/>
      </w:r>
      <w:r>
        <w:t xml:space="preserve"> I</w:t>
      </w:r>
      <w:r w:rsidRPr="00954FE3">
        <w:t>.e.</w:t>
      </w:r>
      <w:r w:rsidR="006F304D" w:rsidRPr="006F304D">
        <w:t xml:space="preserve">, </w:t>
      </w:r>
      <w:r w:rsidRPr="00954FE3">
        <w:t>the bad “trees” are the Pharisees. See Dupont</w:t>
      </w:r>
      <w:r w:rsidR="006F304D" w:rsidRPr="006F304D">
        <w:t xml:space="preserve">, </w:t>
      </w:r>
      <w:r>
        <w:rPr>
          <w:i/>
          <w:iCs/>
        </w:rPr>
        <w:t>Bé</w:t>
      </w:r>
      <w:r w:rsidRPr="00954FE3">
        <w:rPr>
          <w:i/>
          <w:iCs/>
        </w:rPr>
        <w:t>atitudes</w:t>
      </w:r>
      <w:r w:rsidRPr="00954FE3">
        <w:rPr>
          <w:iCs/>
        </w:rPr>
        <w:t xml:space="preserve"> </w:t>
      </w:r>
      <w:r>
        <w:t>1.</w:t>
      </w:r>
      <w:r w:rsidRPr="00954FE3">
        <w:t xml:space="preserve">45: </w:t>
      </w:r>
      <w:r>
        <w:t>“</w:t>
      </w:r>
      <w:r w:rsidRPr="00954FE3">
        <w:t>Matthew [12:33-35] attaches these verses [7:15-22] to the [Beelzebul] controversy because he sees in them a reproach by Jesus in response to his adversaries</w:t>
      </w:r>
      <w:r w:rsidR="006F304D" w:rsidRPr="006F304D">
        <w:t xml:space="preserve">, </w:t>
      </w:r>
      <w:r w:rsidRPr="00954FE3">
        <w:t xml:space="preserve">as the inserted invective in </w:t>
      </w:r>
      <w:r w:rsidRPr="00E65B99">
        <w:rPr>
          <w:iCs/>
        </w:rPr>
        <w:t>34a [</w:t>
      </w:r>
      <w:r w:rsidRPr="00954FE3">
        <w:t>You brood of vipers!”] clearly demonstrates.”</w:t>
      </w:r>
    </w:p>
  </w:footnote>
  <w:footnote w:id="623">
    <w:p w14:paraId="2ED3A441" w14:textId="01C43709" w:rsidR="0018433B" w:rsidRDefault="0018433B" w:rsidP="00573F48">
      <w:pPr>
        <w:pStyle w:val="FootnoteText"/>
      </w:pPr>
      <w:r>
        <w:rPr>
          <w:rStyle w:val="FootnoteReference"/>
        </w:rPr>
        <w:footnoteRef/>
      </w:r>
      <w:r w:rsidRPr="00E5413C">
        <w:rPr>
          <w:lang w:val="fr-FR"/>
        </w:rPr>
        <w:t xml:space="preserve"> See Deut 28; </w:t>
      </w:r>
      <w:r w:rsidRPr="00E5413C">
        <w:rPr>
          <w:i/>
          <w:iCs/>
          <w:lang w:val="fr-FR"/>
        </w:rPr>
        <w:t>Didache</w:t>
      </w:r>
      <w:r w:rsidRPr="00E5413C">
        <w:rPr>
          <w:iCs/>
          <w:lang w:val="fr-FR"/>
        </w:rPr>
        <w:t xml:space="preserve"> </w:t>
      </w:r>
      <w:r w:rsidRPr="00E5413C">
        <w:rPr>
          <w:lang w:val="fr-FR"/>
        </w:rPr>
        <w:t>1</w:t>
      </w:r>
      <w:r w:rsidR="006F304D" w:rsidRPr="00E5413C">
        <w:rPr>
          <w:lang w:val="fr-FR"/>
        </w:rPr>
        <w:t xml:space="preserve">, </w:t>
      </w:r>
      <w:r w:rsidRPr="00E5413C">
        <w:rPr>
          <w:lang w:val="fr-FR"/>
        </w:rPr>
        <w:t xml:space="preserve">5; et al. </w:t>
      </w:r>
      <w:r w:rsidRPr="00954FE3">
        <w:t xml:space="preserve">Streeter recognized that both </w:t>
      </w:r>
      <w:r w:rsidRPr="00954FE3">
        <w:rPr>
          <w:rFonts w:eastAsia="Arial"/>
        </w:rPr>
        <w:t xml:space="preserve">Q </w:t>
      </w:r>
      <w:r w:rsidRPr="00954FE3">
        <w:t xml:space="preserve">and the </w:t>
      </w:r>
      <w:r w:rsidRPr="00954FE3">
        <w:rPr>
          <w:i/>
          <w:iCs/>
        </w:rPr>
        <w:t>Didache</w:t>
      </w:r>
      <w:r w:rsidRPr="00B151ED">
        <w:rPr>
          <w:iCs/>
        </w:rPr>
        <w:t xml:space="preserve"> </w:t>
      </w:r>
      <w:r w:rsidRPr="00954FE3">
        <w:t>end with an apocalyptic section (</w:t>
      </w:r>
      <w:r w:rsidRPr="00954FE3">
        <w:rPr>
          <w:i/>
          <w:iCs/>
        </w:rPr>
        <w:t>Four Gospels</w:t>
      </w:r>
      <w:r w:rsidRPr="00954FE3">
        <w:rPr>
          <w:iCs/>
        </w:rPr>
        <w:t xml:space="preserve"> </w:t>
      </w:r>
      <w:r>
        <w:t>287-</w:t>
      </w:r>
      <w:r w:rsidRPr="00954FE3">
        <w:t>88). See Kloppenborg (</w:t>
      </w:r>
      <w:r w:rsidRPr="00954FE3">
        <w:rPr>
          <w:i/>
          <w:iCs/>
        </w:rPr>
        <w:t>Formation of Q</w:t>
      </w:r>
      <w:r w:rsidRPr="00B151ED">
        <w:rPr>
          <w:iCs/>
        </w:rPr>
        <w:t xml:space="preserve"> </w:t>
      </w:r>
      <w:r w:rsidRPr="00954FE3">
        <w:t>186): “many sapiential instructions end (or sometimes begin) with</w:t>
      </w:r>
      <w:r>
        <w:t xml:space="preserve"> </w:t>
      </w:r>
      <w:r w:rsidRPr="00954FE3">
        <w:t>descriptions of the rewards which await those who attend to the instructions</w:t>
      </w:r>
      <w:r w:rsidR="006F304D" w:rsidRPr="006F304D">
        <w:t xml:space="preserve">, </w:t>
      </w:r>
      <w:r w:rsidRPr="00954FE3">
        <w:t>and the consequences for those who do not.” Kloppenborg cites Prov 1:29-33</w:t>
      </w:r>
      <w:r>
        <w:t>;</w:t>
      </w:r>
      <w:r w:rsidRPr="00954FE3">
        <w:t xml:space="preserve"> 2:20-22</w:t>
      </w:r>
      <w:r>
        <w:t>; 4:18-</w:t>
      </w:r>
      <w:r w:rsidRPr="00954FE3">
        <w:t>19</w:t>
      </w:r>
      <w:r>
        <w:t>;</w:t>
      </w:r>
      <w:r w:rsidRPr="00954FE3">
        <w:t xml:space="preserve"> 5:22-23</w:t>
      </w:r>
      <w:r>
        <w:t>;</w:t>
      </w:r>
      <w:r w:rsidRPr="00954FE3">
        <w:t xml:space="preserve"> 7</w:t>
      </w:r>
      <w:r>
        <w:t>:</w:t>
      </w:r>
      <w:r w:rsidRPr="00954FE3">
        <w:t>24-27</w:t>
      </w:r>
      <w:r>
        <w:t>; 8:32-36; Sir 6:32-37;</w:t>
      </w:r>
      <w:r w:rsidRPr="00954FE3">
        <w:t xml:space="preserve"> 24:19-22.</w:t>
      </w:r>
    </w:p>
  </w:footnote>
  <w:footnote w:id="624">
    <w:p w14:paraId="08512A8F" w14:textId="4A82C0EB" w:rsidR="0018433B" w:rsidRPr="00954FE3" w:rsidRDefault="0018433B" w:rsidP="0018433B">
      <w:pPr>
        <w:pStyle w:val="Style"/>
        <w:widowControl/>
        <w:jc w:val="both"/>
        <w:textAlignment w:val="baseline"/>
        <w:rPr>
          <w:szCs w:val="25"/>
        </w:rPr>
      </w:pPr>
      <w:r>
        <w:rPr>
          <w:rStyle w:val="FootnoteReference"/>
        </w:rPr>
        <w:footnoteRef/>
      </w:r>
      <w:r>
        <w:t xml:space="preserve"> </w:t>
      </w:r>
      <w:r w:rsidRPr="00954FE3">
        <w:rPr>
          <w:szCs w:val="25"/>
        </w:rPr>
        <w:t xml:space="preserve">Mention should be made here of a final “two-part middler,” Petrus Dausch in </w:t>
      </w:r>
      <w:r w:rsidRPr="00954FE3">
        <w:rPr>
          <w:i/>
          <w:iCs/>
          <w:szCs w:val="26"/>
        </w:rPr>
        <w:t xml:space="preserve">Die drei </w:t>
      </w:r>
      <w:r>
        <w:rPr>
          <w:i/>
          <w:iCs/>
          <w:szCs w:val="26"/>
        </w:rPr>
        <w:t>älteren Evang</w:t>
      </w:r>
      <w:r w:rsidRPr="00954FE3">
        <w:rPr>
          <w:i/>
          <w:iCs/>
          <w:szCs w:val="26"/>
        </w:rPr>
        <w:t>elien</w:t>
      </w:r>
      <w:r w:rsidRPr="00954FE3">
        <w:rPr>
          <w:iCs/>
          <w:szCs w:val="26"/>
        </w:rPr>
        <w:t xml:space="preserve">. </w:t>
      </w:r>
      <w:r w:rsidRPr="00954FE3">
        <w:rPr>
          <w:szCs w:val="25"/>
        </w:rPr>
        <w:t>Though Dausch distinguishes a two-part mid</w:t>
      </w:r>
      <w:r w:rsidRPr="00954FE3">
        <w:rPr>
          <w:szCs w:val="25"/>
        </w:rPr>
        <w:softHyphen/>
        <w:t>dle</w:t>
      </w:r>
      <w:r w:rsidR="006F304D" w:rsidRPr="006F304D">
        <w:rPr>
          <w:szCs w:val="25"/>
        </w:rPr>
        <w:t xml:space="preserve">, </w:t>
      </w:r>
      <w:r w:rsidRPr="00954FE3">
        <w:rPr>
          <w:szCs w:val="25"/>
        </w:rPr>
        <w:t>he does not divide at verse 39; hence my hesitation to consider him a full representative of the two-part-middle tradition.</w:t>
      </w:r>
    </w:p>
    <w:p w14:paraId="2CDA545E" w14:textId="17A21441" w:rsidR="0018433B" w:rsidRPr="00954FE3" w:rsidRDefault="0018433B" w:rsidP="0018433B">
      <w:pPr>
        <w:pStyle w:val="Style"/>
        <w:widowControl/>
        <w:jc w:val="both"/>
        <w:textAlignment w:val="baseline"/>
        <w:rPr>
          <w:szCs w:val="25"/>
        </w:rPr>
      </w:pPr>
      <w:r w:rsidRPr="00954FE3">
        <w:rPr>
          <w:szCs w:val="25"/>
        </w:rPr>
        <w:t>Dausch would</w:t>
      </w:r>
      <w:r w:rsidR="006F304D" w:rsidRPr="006F304D">
        <w:rPr>
          <w:szCs w:val="25"/>
        </w:rPr>
        <w:t xml:space="preserve">, </w:t>
      </w:r>
      <w:r w:rsidRPr="00954FE3">
        <w:rPr>
          <w:szCs w:val="25"/>
        </w:rPr>
        <w:t>in fact</w:t>
      </w:r>
      <w:r w:rsidR="006F304D" w:rsidRPr="006F304D">
        <w:rPr>
          <w:szCs w:val="25"/>
        </w:rPr>
        <w:t xml:space="preserve">, </w:t>
      </w:r>
      <w:r w:rsidRPr="00954FE3">
        <w:rPr>
          <w:szCs w:val="25"/>
        </w:rPr>
        <w:t>divide at verse 39</w:t>
      </w:r>
      <w:r w:rsidR="006F304D" w:rsidRPr="006F304D">
        <w:rPr>
          <w:szCs w:val="25"/>
        </w:rPr>
        <w:t xml:space="preserve">, </w:t>
      </w:r>
      <w:r w:rsidRPr="00954FE3">
        <w:rPr>
          <w:szCs w:val="25"/>
        </w:rPr>
        <w:t xml:space="preserve">were he not prevented from doing so by the connection already in </w:t>
      </w:r>
      <w:r w:rsidRPr="00954FE3">
        <w:rPr>
          <w:rFonts w:eastAsia="Arial"/>
          <w:szCs w:val="25"/>
        </w:rPr>
        <w:t xml:space="preserve">Q </w:t>
      </w:r>
      <w:r w:rsidRPr="00954FE3">
        <w:rPr>
          <w:szCs w:val="25"/>
        </w:rPr>
        <w:t>of verses 37-38</w:t>
      </w:r>
      <w:r>
        <w:rPr>
          <w:szCs w:val="25"/>
        </w:rPr>
        <w:t xml:space="preserve"> (do not judge)</w:t>
      </w:r>
      <w:r w:rsidRPr="00954FE3">
        <w:rPr>
          <w:szCs w:val="25"/>
        </w:rPr>
        <w:t xml:space="preserve"> </w:t>
      </w:r>
      <w:r w:rsidRPr="00954FE3">
        <w:rPr>
          <w:szCs w:val="26"/>
        </w:rPr>
        <w:t xml:space="preserve">+ </w:t>
      </w:r>
      <w:r w:rsidRPr="00954FE3">
        <w:rPr>
          <w:szCs w:val="25"/>
        </w:rPr>
        <w:t>41-42</w:t>
      </w:r>
      <w:r>
        <w:rPr>
          <w:szCs w:val="25"/>
        </w:rPr>
        <w:t xml:space="preserve"> (speck and log)</w:t>
      </w:r>
      <w:r w:rsidRPr="00954FE3">
        <w:rPr>
          <w:szCs w:val="25"/>
        </w:rPr>
        <w:t xml:space="preserve">. </w:t>
      </w:r>
      <w:r>
        <w:rPr>
          <w:szCs w:val="25"/>
        </w:rPr>
        <w:t>“</w:t>
      </w:r>
      <w:r w:rsidRPr="00954FE3">
        <w:rPr>
          <w:szCs w:val="25"/>
        </w:rPr>
        <w:t>Were it not for the fact that</w:t>
      </w:r>
      <w:r w:rsidR="006F304D" w:rsidRPr="006F304D">
        <w:rPr>
          <w:szCs w:val="25"/>
        </w:rPr>
        <w:t xml:space="preserve">, </w:t>
      </w:r>
      <w:r w:rsidRPr="00954FE3">
        <w:rPr>
          <w:szCs w:val="25"/>
        </w:rPr>
        <w:t>in Matthew also</w:t>
      </w:r>
      <w:r w:rsidR="006F304D" w:rsidRPr="006F304D">
        <w:rPr>
          <w:szCs w:val="25"/>
        </w:rPr>
        <w:t xml:space="preserve">, </w:t>
      </w:r>
      <w:r w:rsidRPr="00954FE3">
        <w:rPr>
          <w:szCs w:val="25"/>
        </w:rPr>
        <w:t>the parable of the speck and log follows upon the warning against judging</w:t>
      </w:r>
      <w:r w:rsidR="006F304D" w:rsidRPr="006F304D">
        <w:rPr>
          <w:szCs w:val="25"/>
        </w:rPr>
        <w:t xml:space="preserve">, </w:t>
      </w:r>
      <w:r w:rsidRPr="00954FE3">
        <w:rPr>
          <w:szCs w:val="25"/>
        </w:rPr>
        <w:t>exegetes might be correct to see in verse 39 the beginning of a third major section of the Lukan sermon</w:t>
      </w:r>
      <w:r w:rsidRPr="00EE2A2F">
        <w:rPr>
          <w:szCs w:val="25"/>
        </w:rPr>
        <w:t>. . .</w:t>
      </w:r>
      <w:r w:rsidRPr="00954FE3">
        <w:rPr>
          <w:szCs w:val="25"/>
        </w:rPr>
        <w:t xml:space="preserve">” </w:t>
      </w:r>
      <w:r>
        <w:rPr>
          <w:szCs w:val="25"/>
        </w:rPr>
        <w:t>(466-</w:t>
      </w:r>
      <w:r w:rsidRPr="00954FE3">
        <w:rPr>
          <w:szCs w:val="25"/>
        </w:rPr>
        <w:t>67</w:t>
      </w:r>
      <w:r>
        <w:rPr>
          <w:szCs w:val="25"/>
        </w:rPr>
        <w:t>).</w:t>
      </w:r>
      <w:r w:rsidRPr="00954FE3">
        <w:rPr>
          <w:szCs w:val="25"/>
        </w:rPr>
        <w:t xml:space="preserve"> As we shall soon see</w:t>
      </w:r>
      <w:r w:rsidR="006F304D" w:rsidRPr="006F304D">
        <w:rPr>
          <w:szCs w:val="25"/>
        </w:rPr>
        <w:t xml:space="preserve">, </w:t>
      </w:r>
      <w:r w:rsidRPr="00954FE3">
        <w:rPr>
          <w:szCs w:val="25"/>
        </w:rPr>
        <w:t>there are many other</w:t>
      </w:r>
      <w:r w:rsidR="006F304D" w:rsidRPr="006F304D">
        <w:rPr>
          <w:szCs w:val="25"/>
        </w:rPr>
        <w:t xml:space="preserve">, </w:t>
      </w:r>
      <w:r w:rsidRPr="00954FE3">
        <w:rPr>
          <w:szCs w:val="25"/>
        </w:rPr>
        <w:t>more positive reasons for prefer</w:t>
      </w:r>
      <w:r>
        <w:rPr>
          <w:szCs w:val="25"/>
        </w:rPr>
        <w:t>r</w:t>
      </w:r>
      <w:r w:rsidRPr="00954FE3">
        <w:rPr>
          <w:szCs w:val="25"/>
        </w:rPr>
        <w:t>ing a three-part to a two-part middle.</w:t>
      </w:r>
    </w:p>
    <w:p w14:paraId="4EE35843" w14:textId="7F8060D5" w:rsidR="0018433B" w:rsidRPr="00954FE3" w:rsidRDefault="0018433B" w:rsidP="0018433B">
      <w:pPr>
        <w:pStyle w:val="Style"/>
        <w:widowControl/>
        <w:jc w:val="both"/>
        <w:textAlignment w:val="baseline"/>
        <w:rPr>
          <w:szCs w:val="25"/>
        </w:rPr>
      </w:pPr>
      <w:r w:rsidRPr="00954FE3">
        <w:rPr>
          <w:szCs w:val="25"/>
        </w:rPr>
        <w:t>Dausch claims that the two major sections in the body of the sermon are 27-35</w:t>
      </w:r>
      <w:r>
        <w:rPr>
          <w:szCs w:val="25"/>
        </w:rPr>
        <w:t xml:space="preserve"> </w:t>
      </w:r>
      <w:r w:rsidRPr="00954FE3">
        <w:rPr>
          <w:szCs w:val="25"/>
        </w:rPr>
        <w:t>and 36-45</w:t>
      </w:r>
      <w:r>
        <w:rPr>
          <w:szCs w:val="25"/>
        </w:rPr>
        <w:t>:</w:t>
      </w:r>
      <w:r w:rsidRPr="00954FE3">
        <w:rPr>
          <w:szCs w:val="25"/>
        </w:rPr>
        <w:t xml:space="preserve"> </w:t>
      </w:r>
      <w:r>
        <w:rPr>
          <w:szCs w:val="25"/>
        </w:rPr>
        <w:t>t</w:t>
      </w:r>
      <w:r w:rsidRPr="00954FE3">
        <w:rPr>
          <w:szCs w:val="25"/>
        </w:rPr>
        <w:t>he former contains sayings on love of enemies</w:t>
      </w:r>
      <w:r w:rsidR="006F304D" w:rsidRPr="006F304D">
        <w:rPr>
          <w:szCs w:val="25"/>
        </w:rPr>
        <w:t xml:space="preserve">, </w:t>
      </w:r>
      <w:r w:rsidRPr="00954FE3">
        <w:rPr>
          <w:szCs w:val="25"/>
        </w:rPr>
        <w:t xml:space="preserve">while the latter contains </w:t>
      </w:r>
      <w:r>
        <w:rPr>
          <w:szCs w:val="25"/>
        </w:rPr>
        <w:t>“</w:t>
      </w:r>
      <w:r w:rsidRPr="00954FE3">
        <w:rPr>
          <w:rFonts w:eastAsia="Arial"/>
          <w:szCs w:val="30"/>
        </w:rPr>
        <w:t xml:space="preserve">a </w:t>
      </w:r>
      <w:r w:rsidRPr="00954FE3">
        <w:rPr>
          <w:szCs w:val="25"/>
        </w:rPr>
        <w:t>series of loosely connected</w:t>
      </w:r>
      <w:r w:rsidR="006F304D" w:rsidRPr="006F304D">
        <w:rPr>
          <w:szCs w:val="25"/>
        </w:rPr>
        <w:t xml:space="preserve">, </w:t>
      </w:r>
      <w:r w:rsidRPr="00954FE3">
        <w:rPr>
          <w:szCs w:val="25"/>
        </w:rPr>
        <w:t>individ</w:t>
      </w:r>
      <w:r>
        <w:rPr>
          <w:szCs w:val="25"/>
        </w:rPr>
        <w:t>ual demands”</w:t>
      </w:r>
      <w:r w:rsidRPr="00954FE3">
        <w:rPr>
          <w:szCs w:val="25"/>
        </w:rPr>
        <w:t xml:space="preserve"> (464). Dausch subdivides the latter into 36-38 </w:t>
      </w:r>
      <w:r>
        <w:rPr>
          <w:szCs w:val="25"/>
        </w:rPr>
        <w:t>(do not judge etc.</w:t>
      </w:r>
      <w:r w:rsidRPr="00954FE3">
        <w:rPr>
          <w:szCs w:val="25"/>
        </w:rPr>
        <w:t>)</w:t>
      </w:r>
      <w:r w:rsidR="006F304D" w:rsidRPr="006F304D">
        <w:rPr>
          <w:szCs w:val="25"/>
        </w:rPr>
        <w:t xml:space="preserve">, </w:t>
      </w:r>
      <w:r w:rsidRPr="00954FE3">
        <w:rPr>
          <w:szCs w:val="25"/>
        </w:rPr>
        <w:t>39-42 (</w:t>
      </w:r>
      <w:r>
        <w:rPr>
          <w:szCs w:val="25"/>
        </w:rPr>
        <w:t>blind leading blind</w:t>
      </w:r>
      <w:r w:rsidR="006F304D" w:rsidRPr="006F304D">
        <w:rPr>
          <w:szCs w:val="25"/>
        </w:rPr>
        <w:t xml:space="preserve">, </w:t>
      </w:r>
      <w:r>
        <w:rPr>
          <w:szCs w:val="25"/>
        </w:rPr>
        <w:t>disciple and teacher</w:t>
      </w:r>
      <w:r w:rsidR="006F304D" w:rsidRPr="006F304D">
        <w:rPr>
          <w:szCs w:val="25"/>
        </w:rPr>
        <w:t xml:space="preserve">, </w:t>
      </w:r>
      <w:r>
        <w:rPr>
          <w:szCs w:val="25"/>
        </w:rPr>
        <w:t>speck and log</w:t>
      </w:r>
      <w:r w:rsidR="006F304D" w:rsidRPr="006F304D">
        <w:rPr>
          <w:szCs w:val="25"/>
        </w:rPr>
        <w:t xml:space="preserve">, </w:t>
      </w:r>
      <w:r>
        <w:rPr>
          <w:szCs w:val="25"/>
        </w:rPr>
        <w:t xml:space="preserve">together </w:t>
      </w:r>
      <w:r w:rsidRPr="00954FE3">
        <w:rPr>
          <w:szCs w:val="25"/>
        </w:rPr>
        <w:t>“an admonition to the disciples to judge themselves correctly</w:t>
      </w:r>
      <w:r>
        <w:rPr>
          <w:szCs w:val="25"/>
        </w:rPr>
        <w:t>,</w:t>
      </w:r>
      <w:r w:rsidRPr="00954FE3">
        <w:rPr>
          <w:szCs w:val="25"/>
        </w:rPr>
        <w:t>”</w:t>
      </w:r>
      <w:r>
        <w:rPr>
          <w:szCs w:val="25"/>
        </w:rPr>
        <w:t xml:space="preserve"> </w:t>
      </w:r>
      <w:r w:rsidRPr="00954FE3">
        <w:rPr>
          <w:szCs w:val="25"/>
        </w:rPr>
        <w:t>467)</w:t>
      </w:r>
      <w:r w:rsidR="006F304D" w:rsidRPr="006F304D">
        <w:rPr>
          <w:szCs w:val="25"/>
        </w:rPr>
        <w:t xml:space="preserve">, </w:t>
      </w:r>
      <w:r w:rsidRPr="00954FE3">
        <w:rPr>
          <w:szCs w:val="25"/>
        </w:rPr>
        <w:t>and 43-45 (</w:t>
      </w:r>
      <w:r>
        <w:rPr>
          <w:szCs w:val="25"/>
        </w:rPr>
        <w:t>tree and fruit</w:t>
      </w:r>
      <w:r w:rsidR="006F304D" w:rsidRPr="006F304D">
        <w:rPr>
          <w:szCs w:val="25"/>
        </w:rPr>
        <w:t xml:space="preserve">, </w:t>
      </w:r>
      <w:r w:rsidRPr="00954FE3">
        <w:rPr>
          <w:szCs w:val="25"/>
        </w:rPr>
        <w:t>which simply makes the point more sharp</w:t>
      </w:r>
      <w:r>
        <w:rPr>
          <w:szCs w:val="25"/>
        </w:rPr>
        <w:t>ly t</w:t>
      </w:r>
      <w:r w:rsidRPr="00954FE3">
        <w:rPr>
          <w:szCs w:val="25"/>
        </w:rPr>
        <w:t>hat one can only help one’s brother when one is oneself good). Most commentators with a three-part mid</w:t>
      </w:r>
      <w:r w:rsidRPr="00954FE3">
        <w:rPr>
          <w:szCs w:val="25"/>
        </w:rPr>
        <w:softHyphen/>
        <w:t xml:space="preserve">dle treat 37-42 as a </w:t>
      </w:r>
      <w:r>
        <w:rPr>
          <w:szCs w:val="25"/>
        </w:rPr>
        <w:t xml:space="preserve">united </w:t>
      </w:r>
      <w:r w:rsidRPr="00954FE3">
        <w:rPr>
          <w:szCs w:val="25"/>
        </w:rPr>
        <w:t>section</w:t>
      </w:r>
      <w:r w:rsidR="006F304D" w:rsidRPr="006F304D">
        <w:rPr>
          <w:szCs w:val="25"/>
        </w:rPr>
        <w:t xml:space="preserve">, </w:t>
      </w:r>
      <w:r w:rsidRPr="00954FE3">
        <w:rPr>
          <w:szCs w:val="25"/>
        </w:rPr>
        <w:t>subdivided or not. Dausch justifies the division at verse 39 as follows.</w:t>
      </w:r>
    </w:p>
    <w:p w14:paraId="02BDF270" w14:textId="77777777" w:rsidR="0018433B" w:rsidRDefault="0018433B" w:rsidP="0018433B">
      <w:pPr>
        <w:pStyle w:val="Style"/>
        <w:widowControl/>
        <w:jc w:val="both"/>
        <w:textAlignment w:val="baseline"/>
        <w:rPr>
          <w:szCs w:val="25"/>
        </w:rPr>
      </w:pPr>
    </w:p>
    <w:p w14:paraId="4C0A5BF9" w14:textId="27EAE5E9" w:rsidR="0018433B" w:rsidRPr="00954FE3" w:rsidRDefault="0018433B" w:rsidP="0018433B">
      <w:pPr>
        <w:pStyle w:val="Style"/>
        <w:widowControl/>
        <w:ind w:left="720" w:right="720"/>
        <w:jc w:val="both"/>
        <w:textAlignment w:val="baseline"/>
        <w:rPr>
          <w:szCs w:val="25"/>
        </w:rPr>
      </w:pPr>
      <w:r w:rsidRPr="00EE2A2F">
        <w:rPr>
          <w:szCs w:val="25"/>
        </w:rPr>
        <w:t>. . .</w:t>
      </w:r>
      <w:r w:rsidRPr="00954FE3">
        <w:rPr>
          <w:szCs w:val="25"/>
        </w:rPr>
        <w:t xml:space="preserve"> instead of being linked with the admonition against judging</w:t>
      </w:r>
      <w:r w:rsidR="006F304D" w:rsidRPr="006F304D">
        <w:rPr>
          <w:szCs w:val="25"/>
        </w:rPr>
        <w:t xml:space="preserve">, </w:t>
      </w:r>
      <w:r w:rsidRPr="00954FE3">
        <w:rPr>
          <w:szCs w:val="25"/>
        </w:rPr>
        <w:t>the parable of the speck and log can also be related to the immediately preceding sayings (39-40): a perfected student cannot become a teacher unless he is harsh with himself and mi</w:t>
      </w:r>
      <w:r>
        <w:rPr>
          <w:szCs w:val="25"/>
        </w:rPr>
        <w:t>ld with his neighbor.</w:t>
      </w:r>
    </w:p>
    <w:p w14:paraId="44773C85" w14:textId="77777777" w:rsidR="0018433B" w:rsidRDefault="0018433B" w:rsidP="00573F48">
      <w:pPr>
        <w:pStyle w:val="FootnoteText"/>
      </w:pPr>
    </w:p>
    <w:p w14:paraId="2D599BBA" w14:textId="5E36AB96" w:rsidR="0018433B" w:rsidRPr="00954FE3" w:rsidRDefault="0018433B" w:rsidP="0018433B">
      <w:pPr>
        <w:pStyle w:val="Style"/>
        <w:widowControl/>
        <w:jc w:val="both"/>
        <w:textAlignment w:val="baseline"/>
        <w:rPr>
          <w:szCs w:val="25"/>
        </w:rPr>
      </w:pPr>
      <w:r w:rsidRPr="00954FE3">
        <w:rPr>
          <w:szCs w:val="25"/>
        </w:rPr>
        <w:t>We will be suggesting</w:t>
      </w:r>
      <w:r w:rsidR="006F304D" w:rsidRPr="006F304D">
        <w:rPr>
          <w:szCs w:val="25"/>
        </w:rPr>
        <w:t xml:space="preserve">, </w:t>
      </w:r>
      <w:r w:rsidRPr="00954FE3">
        <w:rPr>
          <w:szCs w:val="25"/>
        </w:rPr>
        <w:t>in the discussion of verses 39-40 below</w:t>
      </w:r>
      <w:r w:rsidR="006F304D" w:rsidRPr="006F304D">
        <w:rPr>
          <w:szCs w:val="25"/>
        </w:rPr>
        <w:t xml:space="preserve">, </w:t>
      </w:r>
      <w:r w:rsidRPr="00954FE3">
        <w:rPr>
          <w:szCs w:val="25"/>
        </w:rPr>
        <w:t>that enclosing 39-40 (blind leading blind</w:t>
      </w:r>
      <w:r w:rsidR="006F304D" w:rsidRPr="006F304D">
        <w:rPr>
          <w:szCs w:val="25"/>
        </w:rPr>
        <w:t xml:space="preserve">, </w:t>
      </w:r>
      <w:r w:rsidRPr="00954FE3">
        <w:rPr>
          <w:szCs w:val="25"/>
        </w:rPr>
        <w:t>disciple and teacher) within 37-42 empowers the framing verses to determine the meaning of the surrounded verses. However</w:t>
      </w:r>
      <w:r w:rsidR="006F304D" w:rsidRPr="006F304D">
        <w:rPr>
          <w:szCs w:val="25"/>
        </w:rPr>
        <w:t xml:space="preserve">, </w:t>
      </w:r>
      <w:r>
        <w:rPr>
          <w:szCs w:val="25"/>
        </w:rPr>
        <w:t>i</w:t>
      </w:r>
      <w:r w:rsidRPr="00954FE3">
        <w:rPr>
          <w:szCs w:val="25"/>
        </w:rPr>
        <w:t>f one posits with Dausch a break between 37-38 and 39-42</w:t>
      </w:r>
      <w:r w:rsidR="006F304D" w:rsidRPr="006F304D">
        <w:rPr>
          <w:szCs w:val="25"/>
        </w:rPr>
        <w:t xml:space="preserve">, </w:t>
      </w:r>
      <w:r w:rsidRPr="00954FE3">
        <w:rPr>
          <w:szCs w:val="25"/>
        </w:rPr>
        <w:t>then the influence of 37-38 (</w:t>
      </w:r>
      <w:r>
        <w:rPr>
          <w:szCs w:val="25"/>
        </w:rPr>
        <w:t>judge not</w:t>
      </w:r>
      <w:r w:rsidRPr="00954FE3">
        <w:rPr>
          <w:szCs w:val="25"/>
        </w:rPr>
        <w:t>) on 39-40 is diminished</w:t>
      </w:r>
      <w:r w:rsidR="006F304D" w:rsidRPr="006F304D">
        <w:rPr>
          <w:szCs w:val="25"/>
        </w:rPr>
        <w:t xml:space="preserve">, </w:t>
      </w:r>
      <w:r w:rsidRPr="00954FE3">
        <w:rPr>
          <w:szCs w:val="25"/>
        </w:rPr>
        <w:t>and that of 41-42 (speck and log) is correspondingly increased. To some extent</w:t>
      </w:r>
      <w:r w:rsidR="006F304D" w:rsidRPr="006F304D">
        <w:rPr>
          <w:szCs w:val="25"/>
        </w:rPr>
        <w:t xml:space="preserve">, </w:t>
      </w:r>
      <w:r w:rsidRPr="00954FE3">
        <w:rPr>
          <w:szCs w:val="25"/>
        </w:rPr>
        <w:t>perhaps</w:t>
      </w:r>
      <w:r w:rsidR="006F304D" w:rsidRPr="006F304D">
        <w:rPr>
          <w:szCs w:val="25"/>
        </w:rPr>
        <w:t xml:space="preserve">, </w:t>
      </w:r>
      <w:r w:rsidRPr="00954FE3">
        <w:rPr>
          <w:szCs w:val="25"/>
        </w:rPr>
        <w:t>verses 41-42 press the meaning of 39-40 toward the message of “not judging”; but the main point of 41-42</w:t>
      </w:r>
      <w:r w:rsidR="006F304D" w:rsidRPr="006F304D">
        <w:rPr>
          <w:szCs w:val="25"/>
        </w:rPr>
        <w:t xml:space="preserve">, </w:t>
      </w:r>
      <w:r w:rsidRPr="00954FE3">
        <w:rPr>
          <w:szCs w:val="25"/>
        </w:rPr>
        <w:t>once it is detached from 37-38 and is taken completely by itself</w:t>
      </w:r>
      <w:r w:rsidR="006F304D" w:rsidRPr="006F304D">
        <w:rPr>
          <w:szCs w:val="25"/>
        </w:rPr>
        <w:t xml:space="preserve">, </w:t>
      </w:r>
      <w:r w:rsidRPr="00954FE3">
        <w:rPr>
          <w:szCs w:val="25"/>
        </w:rPr>
        <w:t>is less a prohibition against judging others than an exhortation to be aware of one’s own faults. After all</w:t>
      </w:r>
      <w:r w:rsidR="006F304D" w:rsidRPr="006F304D">
        <w:rPr>
          <w:szCs w:val="25"/>
        </w:rPr>
        <w:t xml:space="preserve">, </w:t>
      </w:r>
      <w:r w:rsidRPr="00954FE3">
        <w:rPr>
          <w:szCs w:val="25"/>
        </w:rPr>
        <w:t>41-42 do not prohibit judging</w:t>
      </w:r>
      <w:r w:rsidR="006F304D" w:rsidRPr="006F304D">
        <w:rPr>
          <w:szCs w:val="25"/>
        </w:rPr>
        <w:t xml:space="preserve">, </w:t>
      </w:r>
      <w:r w:rsidRPr="00954FE3">
        <w:rPr>
          <w:szCs w:val="25"/>
        </w:rPr>
        <w:t>in the absolute manner of 37a</w:t>
      </w:r>
      <w:r w:rsidR="006F304D" w:rsidRPr="006F304D">
        <w:rPr>
          <w:szCs w:val="25"/>
        </w:rPr>
        <w:t xml:space="preserve">, </w:t>
      </w:r>
      <w:r w:rsidRPr="00954FE3">
        <w:rPr>
          <w:szCs w:val="25"/>
        </w:rPr>
        <w:t>but rather advise correction of oneself before correcting others. While 41-42</w:t>
      </w:r>
      <w:r w:rsidR="006F304D" w:rsidRPr="006F304D">
        <w:rPr>
          <w:szCs w:val="25"/>
        </w:rPr>
        <w:t xml:space="preserve">, </w:t>
      </w:r>
      <w:r w:rsidRPr="00954FE3">
        <w:rPr>
          <w:szCs w:val="25"/>
        </w:rPr>
        <w:t>taken alone</w:t>
      </w:r>
      <w:r w:rsidR="006F304D" w:rsidRPr="006F304D">
        <w:rPr>
          <w:szCs w:val="25"/>
        </w:rPr>
        <w:t xml:space="preserve">, </w:t>
      </w:r>
      <w:r w:rsidRPr="00954FE3">
        <w:rPr>
          <w:szCs w:val="25"/>
        </w:rPr>
        <w:t>will exert influence on the interpretation of 39-40</w:t>
      </w:r>
      <w:r w:rsidR="006F304D" w:rsidRPr="006F304D">
        <w:rPr>
          <w:szCs w:val="25"/>
        </w:rPr>
        <w:t xml:space="preserve">, </w:t>
      </w:r>
      <w:r w:rsidRPr="00954FE3">
        <w:rPr>
          <w:szCs w:val="25"/>
        </w:rPr>
        <w:t>the similarity of content throughout 37-42 should preclude associating 39-40 more closely with either the preceding or following verses.</w:t>
      </w:r>
    </w:p>
    <w:p w14:paraId="61B7E724" w14:textId="602976D7" w:rsidR="0018433B" w:rsidRPr="004A5366" w:rsidRDefault="0018433B" w:rsidP="0018433B">
      <w:pPr>
        <w:pStyle w:val="Style"/>
        <w:widowControl/>
        <w:jc w:val="both"/>
        <w:textAlignment w:val="baseline"/>
        <w:rPr>
          <w:szCs w:val="25"/>
        </w:rPr>
      </w:pPr>
      <w:r w:rsidRPr="00954FE3">
        <w:rPr>
          <w:szCs w:val="25"/>
        </w:rPr>
        <w:t>(The interposition of 39a [</w:t>
      </w:r>
      <w:r>
        <w:rPr>
          <w:szCs w:val="25"/>
        </w:rPr>
        <w:t>“</w:t>
      </w:r>
      <w:r w:rsidRPr="00954FE3">
        <w:rPr>
          <w:szCs w:val="25"/>
        </w:rPr>
        <w:t>He also told them a parable”] between 37-38 and 39</w:t>
      </w:r>
      <w:r>
        <w:rPr>
          <w:szCs w:val="25"/>
        </w:rPr>
        <w:t>b</w:t>
      </w:r>
      <w:r w:rsidRPr="00954FE3">
        <w:rPr>
          <w:szCs w:val="25"/>
        </w:rPr>
        <w:t>-40</w:t>
      </w:r>
      <w:r w:rsidR="006F304D" w:rsidRPr="006F304D">
        <w:rPr>
          <w:szCs w:val="25"/>
        </w:rPr>
        <w:t xml:space="preserve">, </w:t>
      </w:r>
      <w:r w:rsidRPr="00954FE3">
        <w:rPr>
          <w:szCs w:val="25"/>
        </w:rPr>
        <w:t>to which nothing corresponds between 39b-40 and 41-42</w:t>
      </w:r>
      <w:r w:rsidR="006F304D" w:rsidRPr="006F304D">
        <w:rPr>
          <w:szCs w:val="25"/>
        </w:rPr>
        <w:t xml:space="preserve">, </w:t>
      </w:r>
      <w:r w:rsidRPr="00954FE3">
        <w:rPr>
          <w:szCs w:val="25"/>
        </w:rPr>
        <w:t xml:space="preserve">might be said to support a closer association of 39b-40 with 41-42 than with 37-38. As we saw </w:t>
      </w:r>
      <w:r>
        <w:rPr>
          <w:szCs w:val="25"/>
        </w:rPr>
        <w:t>in the last chapter</w:t>
      </w:r>
      <w:r w:rsidR="006F304D" w:rsidRPr="006F304D">
        <w:rPr>
          <w:szCs w:val="25"/>
        </w:rPr>
        <w:t xml:space="preserve">, </w:t>
      </w:r>
      <w:r w:rsidRPr="00954FE3">
        <w:rPr>
          <w:szCs w:val="25"/>
        </w:rPr>
        <w:t>however</w:t>
      </w:r>
      <w:r w:rsidR="006F304D" w:rsidRPr="006F304D">
        <w:rPr>
          <w:szCs w:val="25"/>
        </w:rPr>
        <w:t xml:space="preserve">, </w:t>
      </w:r>
      <w:r w:rsidRPr="00954FE3">
        <w:rPr>
          <w:szCs w:val="25"/>
        </w:rPr>
        <w:t>39a is best taken as an introduction only to 39b-40; hence</w:t>
      </w:r>
      <w:r w:rsidR="006F304D" w:rsidRPr="006F304D">
        <w:rPr>
          <w:szCs w:val="25"/>
        </w:rPr>
        <w:t xml:space="preserve">, </w:t>
      </w:r>
      <w:r w:rsidRPr="00954FE3">
        <w:rPr>
          <w:szCs w:val="25"/>
        </w:rPr>
        <w:t>as part of 39-40</w:t>
      </w:r>
      <w:r w:rsidR="006F304D" w:rsidRPr="006F304D">
        <w:rPr>
          <w:szCs w:val="25"/>
        </w:rPr>
        <w:t xml:space="preserve">, </w:t>
      </w:r>
      <w:r w:rsidRPr="00954FE3">
        <w:rPr>
          <w:szCs w:val="25"/>
        </w:rPr>
        <w:t>it does not affect the strength of the bond between 37-38 and 39b-40.)</w:t>
      </w:r>
    </w:p>
  </w:footnote>
  <w:footnote w:id="625">
    <w:p w14:paraId="672B2F3C" w14:textId="77777777" w:rsidR="0018433B" w:rsidRPr="00954FE3" w:rsidRDefault="0018433B" w:rsidP="0018433B">
      <w:pPr>
        <w:pStyle w:val="Style"/>
        <w:widowControl/>
        <w:jc w:val="both"/>
        <w:textAlignment w:val="baseline"/>
        <w:rPr>
          <w:szCs w:val="25"/>
        </w:rPr>
      </w:pPr>
      <w:r>
        <w:rPr>
          <w:rStyle w:val="FootnoteReference"/>
        </w:rPr>
        <w:footnoteRef/>
      </w:r>
      <w:r>
        <w:t xml:space="preserve"> </w:t>
      </w:r>
      <w:r w:rsidRPr="00954FE3">
        <w:rPr>
          <w:szCs w:val="25"/>
        </w:rPr>
        <w:t>These verses read:</w:t>
      </w:r>
    </w:p>
    <w:p w14:paraId="7EC004DB" w14:textId="77777777" w:rsidR="0018433B" w:rsidRDefault="0018433B" w:rsidP="0018433B">
      <w:pPr>
        <w:autoSpaceDE w:val="0"/>
        <w:autoSpaceDN w:val="0"/>
        <w:adjustRightInd w:val="0"/>
        <w:rPr>
          <w:rFonts w:eastAsiaTheme="minorEastAsia"/>
          <w:kern w:val="0"/>
          <w:szCs w:val="22"/>
          <w:lang w:eastAsia="zh-CN"/>
        </w:rPr>
      </w:pPr>
    </w:p>
    <w:p w14:paraId="278753A0" w14:textId="29537624" w:rsidR="0018433B" w:rsidRPr="001C7E32" w:rsidRDefault="0018433B" w:rsidP="0018433B">
      <w:pPr>
        <w:autoSpaceDE w:val="0"/>
        <w:autoSpaceDN w:val="0"/>
        <w:adjustRightInd w:val="0"/>
        <w:ind w:left="720" w:right="720"/>
        <w:rPr>
          <w:kern w:val="0"/>
          <w:szCs w:val="32"/>
        </w:rPr>
      </w:pPr>
      <w:r w:rsidRPr="001C7E32">
        <w:rPr>
          <w:kern w:val="0"/>
          <w:szCs w:val="20"/>
        </w:rPr>
        <w:t>Do not judge</w:t>
      </w:r>
      <w:r w:rsidR="006F304D" w:rsidRPr="006F304D">
        <w:rPr>
          <w:kern w:val="0"/>
          <w:szCs w:val="20"/>
        </w:rPr>
        <w:t xml:space="preserve">, </w:t>
      </w:r>
      <w:r w:rsidRPr="001C7E32">
        <w:rPr>
          <w:kern w:val="0"/>
          <w:szCs w:val="20"/>
        </w:rPr>
        <w:t xml:space="preserve">so that you may not be judged. </w:t>
      </w:r>
      <w:r w:rsidRPr="001C7E32">
        <w:rPr>
          <w:kern w:val="0"/>
          <w:szCs w:val="20"/>
          <w:vertAlign w:val="superscript"/>
        </w:rPr>
        <w:t>2</w:t>
      </w:r>
      <w:r w:rsidRPr="001C7E32">
        <w:rPr>
          <w:kern w:val="0"/>
          <w:szCs w:val="20"/>
        </w:rPr>
        <w:t xml:space="preserve"> For with the judgment you make you will be judged</w:t>
      </w:r>
      <w:r w:rsidR="006F304D" w:rsidRPr="006F304D">
        <w:rPr>
          <w:kern w:val="0"/>
          <w:szCs w:val="20"/>
        </w:rPr>
        <w:t xml:space="preserve">, </w:t>
      </w:r>
      <w:r w:rsidRPr="001C7E32">
        <w:rPr>
          <w:kern w:val="0"/>
          <w:szCs w:val="20"/>
        </w:rPr>
        <w:t xml:space="preserve">and the measure you give will be the measure you get. </w:t>
      </w:r>
      <w:r w:rsidRPr="001C7E32">
        <w:rPr>
          <w:kern w:val="0"/>
          <w:szCs w:val="20"/>
          <w:vertAlign w:val="superscript"/>
        </w:rPr>
        <w:t>3</w:t>
      </w:r>
      <w:r w:rsidRPr="001C7E32">
        <w:rPr>
          <w:kern w:val="0"/>
          <w:szCs w:val="20"/>
        </w:rPr>
        <w:t xml:space="preserve"> Why do you see the speck in your neighbor</w:t>
      </w:r>
      <w:r>
        <w:rPr>
          <w:kern w:val="0"/>
          <w:szCs w:val="20"/>
        </w:rPr>
        <w:t>’</w:t>
      </w:r>
      <w:r w:rsidRPr="001C7E32">
        <w:rPr>
          <w:kern w:val="0"/>
          <w:szCs w:val="20"/>
        </w:rPr>
        <w:t>s eye</w:t>
      </w:r>
      <w:r w:rsidR="006F304D" w:rsidRPr="006F304D">
        <w:rPr>
          <w:kern w:val="0"/>
          <w:szCs w:val="20"/>
        </w:rPr>
        <w:t xml:space="preserve">, </w:t>
      </w:r>
      <w:r w:rsidRPr="001C7E32">
        <w:rPr>
          <w:kern w:val="0"/>
          <w:szCs w:val="20"/>
        </w:rPr>
        <w:t xml:space="preserve">but do not notice the log in your own eye? </w:t>
      </w:r>
      <w:r w:rsidRPr="001C7E32">
        <w:rPr>
          <w:kern w:val="0"/>
          <w:szCs w:val="20"/>
          <w:vertAlign w:val="superscript"/>
        </w:rPr>
        <w:t>4</w:t>
      </w:r>
      <w:r w:rsidRPr="001C7E32">
        <w:rPr>
          <w:kern w:val="0"/>
          <w:szCs w:val="20"/>
        </w:rPr>
        <w:t xml:space="preserve"> Or how can you say to your neighbor</w:t>
      </w:r>
      <w:r w:rsidR="006F304D" w:rsidRPr="006F304D">
        <w:rPr>
          <w:kern w:val="0"/>
          <w:szCs w:val="20"/>
        </w:rPr>
        <w:t xml:space="preserve">, </w:t>
      </w:r>
      <w:r>
        <w:rPr>
          <w:kern w:val="0"/>
          <w:szCs w:val="20"/>
        </w:rPr>
        <w:t>‘</w:t>
      </w:r>
      <w:r w:rsidRPr="001C7E32">
        <w:rPr>
          <w:kern w:val="0"/>
          <w:szCs w:val="20"/>
        </w:rPr>
        <w:t>Let me take the speck out of your eye,</w:t>
      </w:r>
      <w:r>
        <w:rPr>
          <w:kern w:val="0"/>
          <w:szCs w:val="20"/>
        </w:rPr>
        <w:t>’</w:t>
      </w:r>
      <w:r w:rsidRPr="001C7E32">
        <w:rPr>
          <w:kern w:val="0"/>
          <w:szCs w:val="20"/>
        </w:rPr>
        <w:t xml:space="preserve"> while the log is in your own eye? </w:t>
      </w:r>
      <w:r w:rsidRPr="001C7E32">
        <w:rPr>
          <w:kern w:val="0"/>
          <w:szCs w:val="20"/>
          <w:vertAlign w:val="superscript"/>
        </w:rPr>
        <w:t>5</w:t>
      </w:r>
      <w:r w:rsidRPr="001C7E32">
        <w:rPr>
          <w:kern w:val="0"/>
          <w:szCs w:val="20"/>
        </w:rPr>
        <w:t xml:space="preserve"> You hypocrite</w:t>
      </w:r>
      <w:r w:rsidR="006F304D" w:rsidRPr="006F304D">
        <w:rPr>
          <w:kern w:val="0"/>
          <w:szCs w:val="20"/>
        </w:rPr>
        <w:t xml:space="preserve">, </w:t>
      </w:r>
      <w:r w:rsidRPr="001C7E32">
        <w:rPr>
          <w:kern w:val="0"/>
          <w:szCs w:val="20"/>
        </w:rPr>
        <w:t>first take the log out of your own eye</w:t>
      </w:r>
      <w:r w:rsidR="006F304D" w:rsidRPr="006F304D">
        <w:rPr>
          <w:kern w:val="0"/>
          <w:szCs w:val="20"/>
        </w:rPr>
        <w:t xml:space="preserve">, </w:t>
      </w:r>
      <w:r w:rsidRPr="001C7E32">
        <w:rPr>
          <w:kern w:val="0"/>
          <w:szCs w:val="20"/>
        </w:rPr>
        <w:t>and then you will see clearly to take the speck out of your neighbor</w:t>
      </w:r>
      <w:r>
        <w:rPr>
          <w:kern w:val="0"/>
          <w:szCs w:val="20"/>
        </w:rPr>
        <w:t>’</w:t>
      </w:r>
      <w:r w:rsidRPr="001C7E32">
        <w:rPr>
          <w:kern w:val="0"/>
          <w:szCs w:val="20"/>
        </w:rPr>
        <w:t>s eye.</w:t>
      </w:r>
    </w:p>
    <w:p w14:paraId="0D9FE397" w14:textId="77777777" w:rsidR="0018433B" w:rsidRDefault="0018433B" w:rsidP="00573F48">
      <w:pPr>
        <w:pStyle w:val="FootnoteText"/>
      </w:pPr>
    </w:p>
  </w:footnote>
  <w:footnote w:id="626">
    <w:p w14:paraId="49EACFC0" w14:textId="39CF3199" w:rsidR="0018433B" w:rsidRPr="00E5413C" w:rsidRDefault="0018433B" w:rsidP="00573F48">
      <w:pPr>
        <w:pStyle w:val="FootnoteText"/>
        <w:rPr>
          <w:lang w:val="fr-FR"/>
        </w:rPr>
      </w:pPr>
      <w:r>
        <w:rPr>
          <w:rStyle w:val="FootnoteReference"/>
        </w:rPr>
        <w:footnoteRef/>
      </w:r>
      <w:r w:rsidRPr="00E5413C">
        <w:rPr>
          <w:lang w:val="fr-FR"/>
        </w:rPr>
        <w:t xml:space="preserve"> Lagrange</w:t>
      </w:r>
      <w:r w:rsidR="006F304D" w:rsidRPr="00E5413C">
        <w:rPr>
          <w:lang w:val="fr-FR"/>
        </w:rPr>
        <w:t xml:space="preserve">, </w:t>
      </w:r>
      <w:r w:rsidRPr="00E5413C">
        <w:rPr>
          <w:i/>
          <w:iCs/>
          <w:szCs w:val="26"/>
          <w:lang w:val="fr-FR"/>
        </w:rPr>
        <w:t>Évangle selon Saint Luc</w:t>
      </w:r>
      <w:r w:rsidRPr="00E5413C">
        <w:rPr>
          <w:iCs/>
          <w:szCs w:val="26"/>
          <w:lang w:val="fr-FR"/>
        </w:rPr>
        <w:t xml:space="preserve"> </w:t>
      </w:r>
      <w:r w:rsidRPr="00E5413C">
        <w:rPr>
          <w:lang w:val="fr-FR"/>
        </w:rPr>
        <w:t>191</w:t>
      </w:r>
      <w:r w:rsidR="006F304D" w:rsidRPr="00E5413C">
        <w:rPr>
          <w:lang w:val="fr-FR"/>
        </w:rPr>
        <w:t xml:space="preserve">, </w:t>
      </w:r>
      <w:r w:rsidRPr="00E5413C">
        <w:rPr>
          <w:lang w:val="fr-FR"/>
        </w:rPr>
        <w:t>198</w:t>
      </w:r>
      <w:r w:rsidR="006F304D" w:rsidRPr="00E5413C">
        <w:rPr>
          <w:lang w:val="fr-FR"/>
        </w:rPr>
        <w:t xml:space="preserve">, </w:t>
      </w:r>
      <w:r w:rsidRPr="00E5413C">
        <w:rPr>
          <w:lang w:val="fr-FR"/>
        </w:rPr>
        <w:t>respectively.</w:t>
      </w:r>
    </w:p>
  </w:footnote>
  <w:footnote w:id="627">
    <w:p w14:paraId="5030E5EB" w14:textId="6FD8E1BA" w:rsidR="0018433B" w:rsidRPr="00E5413C" w:rsidRDefault="0018433B" w:rsidP="00573F48">
      <w:pPr>
        <w:pStyle w:val="FootnoteText"/>
        <w:rPr>
          <w:lang w:val="fr-FR"/>
        </w:rPr>
      </w:pPr>
      <w:r>
        <w:rPr>
          <w:rStyle w:val="FootnoteReference"/>
        </w:rPr>
        <w:footnoteRef/>
      </w:r>
      <w:r w:rsidRPr="00E5413C">
        <w:rPr>
          <w:lang w:val="fr-FR"/>
        </w:rPr>
        <w:t xml:space="preserve"> Manson</w:t>
      </w:r>
      <w:r w:rsidR="006F304D" w:rsidRPr="00E5413C">
        <w:rPr>
          <w:lang w:val="fr-FR"/>
        </w:rPr>
        <w:t xml:space="preserve">, </w:t>
      </w:r>
      <w:r w:rsidRPr="00E5413C">
        <w:rPr>
          <w:lang w:val="fr-FR"/>
        </w:rPr>
        <w:t>Gospel of Luke 63</w:t>
      </w:r>
      <w:r w:rsidR="006F304D" w:rsidRPr="00E5413C">
        <w:rPr>
          <w:lang w:val="fr-FR"/>
        </w:rPr>
        <w:t xml:space="preserve">, </w:t>
      </w:r>
      <w:r w:rsidRPr="00E5413C">
        <w:rPr>
          <w:lang w:val="fr-FR"/>
        </w:rPr>
        <w:t>66; Rigaux</w:t>
      </w:r>
      <w:r w:rsidR="006F304D" w:rsidRPr="00E5413C">
        <w:rPr>
          <w:lang w:val="fr-FR"/>
        </w:rPr>
        <w:t xml:space="preserve">, </w:t>
      </w:r>
      <w:r w:rsidRPr="00E5413C">
        <w:rPr>
          <w:lang w:val="fr-FR"/>
        </w:rPr>
        <w:t>Témoignage de l’Évangile de Saint Luc 168.</w:t>
      </w:r>
    </w:p>
  </w:footnote>
  <w:footnote w:id="628">
    <w:p w14:paraId="7EF15B28" w14:textId="77777777" w:rsidR="0018433B" w:rsidRDefault="0018433B" w:rsidP="00573F48">
      <w:pPr>
        <w:pStyle w:val="FootnoteText"/>
      </w:pPr>
      <w:r>
        <w:rPr>
          <w:rStyle w:val="FootnoteReference"/>
        </w:rPr>
        <w:footnoteRef/>
      </w:r>
      <w:r>
        <w:t xml:space="preserve"> The </w:t>
      </w:r>
      <w:r w:rsidRPr="00897968">
        <w:rPr>
          <w:smallCaps/>
        </w:rPr>
        <w:t>nrsv</w:t>
      </w:r>
      <w:r>
        <w:t xml:space="preserve"> reverses the order: “</w:t>
      </w:r>
      <w:r w:rsidRPr="00CD75A6">
        <w:t>Giv</w:t>
      </w:r>
      <w:r>
        <w:t>e to everyone who begs from you . . .”</w:t>
      </w:r>
    </w:p>
  </w:footnote>
  <w:footnote w:id="629">
    <w:p w14:paraId="0C43183A" w14:textId="2C930D17" w:rsidR="0018433B" w:rsidRDefault="0018433B" w:rsidP="00573F48">
      <w:pPr>
        <w:pStyle w:val="FootnoteText"/>
      </w:pPr>
      <w:r>
        <w:rPr>
          <w:rStyle w:val="FootnoteReference"/>
        </w:rPr>
        <w:footnoteRef/>
      </w:r>
      <w:r>
        <w:t xml:space="preserve"> E.g.</w:t>
      </w:r>
      <w:r w:rsidR="006F304D" w:rsidRPr="006F304D">
        <w:t xml:space="preserve">, </w:t>
      </w:r>
      <w:r w:rsidRPr="006A51BA">
        <w:t>Geldenhuys</w:t>
      </w:r>
      <w:r w:rsidR="006F304D" w:rsidRPr="006F304D">
        <w:t xml:space="preserve">, </w:t>
      </w:r>
      <w:r w:rsidRPr="006A51BA">
        <w:t>Commentary on the Gospel of Luke</w:t>
      </w:r>
      <w:r w:rsidRPr="003B72A7">
        <w:t xml:space="preserve"> </w:t>
      </w:r>
      <w:r>
        <w:t>211-</w:t>
      </w:r>
      <w:r w:rsidRPr="006A51BA">
        <w:t>12; Lagrange</w:t>
      </w:r>
      <w:r w:rsidR="006F304D" w:rsidRPr="006F304D">
        <w:t xml:space="preserve">, </w:t>
      </w:r>
      <w:r>
        <w:t>Évangile</w:t>
      </w:r>
      <w:r w:rsidRPr="006A51BA">
        <w:t xml:space="preserve"> selon Saint Luc</w:t>
      </w:r>
      <w:r w:rsidRPr="003B72A7">
        <w:t xml:space="preserve"> </w:t>
      </w:r>
      <w:r>
        <w:t>193-</w:t>
      </w:r>
      <w:r w:rsidRPr="006A51BA">
        <w:t>94; Montefiore</w:t>
      </w:r>
      <w:r w:rsidR="006F304D" w:rsidRPr="006F304D">
        <w:t xml:space="preserve">, </w:t>
      </w:r>
      <w:r w:rsidRPr="006A51BA">
        <w:t>Gospel According to Luke</w:t>
      </w:r>
      <w:r w:rsidRPr="003B72A7">
        <w:t xml:space="preserve"> </w:t>
      </w:r>
      <w:r w:rsidRPr="006A51BA">
        <w:t>417; Rose</w:t>
      </w:r>
      <w:r w:rsidR="006F304D" w:rsidRPr="006F304D">
        <w:t xml:space="preserve">, </w:t>
      </w:r>
      <w:r>
        <w:t>Évangile</w:t>
      </w:r>
      <w:r w:rsidRPr="006A51BA">
        <w:t xml:space="preserve"> selon S. Luc</w:t>
      </w:r>
      <w:r w:rsidRPr="003B72A7">
        <w:t xml:space="preserve"> </w:t>
      </w:r>
      <w:r w:rsidRPr="006A51BA">
        <w:t>68; Schmid</w:t>
      </w:r>
      <w:r w:rsidR="006F304D" w:rsidRPr="006F304D">
        <w:t xml:space="preserve">, </w:t>
      </w:r>
      <w:r w:rsidRPr="006A51BA">
        <w:t>Das Evangelium nach Lukas</w:t>
      </w:r>
      <w:r w:rsidRPr="003B72A7">
        <w:t xml:space="preserve"> </w:t>
      </w:r>
      <w:r w:rsidRPr="006A51BA">
        <w:t>135.</w:t>
      </w:r>
    </w:p>
  </w:footnote>
  <w:footnote w:id="630">
    <w:p w14:paraId="034CD35F" w14:textId="5B4D41BB" w:rsidR="00775F9B" w:rsidRDefault="00775F9B" w:rsidP="00573F48">
      <w:pPr>
        <w:pStyle w:val="FootnoteText"/>
      </w:pPr>
      <w:r>
        <w:rPr>
          <w:rStyle w:val="FootnoteReference"/>
        </w:rPr>
        <w:footnoteRef/>
      </w:r>
      <w:r>
        <w:t xml:space="preserve"> </w:t>
      </w:r>
      <w:r w:rsidRPr="00954FE3">
        <w:t xml:space="preserve">Easton </w:t>
      </w:r>
      <w:r>
        <w:t>(</w:t>
      </w:r>
      <w:r w:rsidRPr="00954FE3">
        <w:rPr>
          <w:i/>
          <w:iCs/>
        </w:rPr>
        <w:t>Gospel According to Saint Luke</w:t>
      </w:r>
      <w:r w:rsidRPr="00775F9B">
        <w:t xml:space="preserve"> </w:t>
      </w:r>
      <w:r w:rsidRPr="00954FE3">
        <w:t xml:space="preserve">82) complains that the sermon on the plain lacks unity: 20-26 concern </w:t>
      </w:r>
      <w:r>
        <w:t>“</w:t>
      </w:r>
      <w:r w:rsidRPr="00954FE3">
        <w:t xml:space="preserve">God’s reversal of earthly values,” while 27-49 concern </w:t>
      </w:r>
      <w:r>
        <w:t>“l</w:t>
      </w:r>
      <w:r w:rsidRPr="00954FE3">
        <w:t>ove of enemies.</w:t>
      </w:r>
      <w:r>
        <w:t>”</w:t>
      </w:r>
      <w:r w:rsidRPr="00954FE3">
        <w:t xml:space="preserve"> Whether the sermon lacks unity or not is an important question</w:t>
      </w:r>
      <w:r w:rsidRPr="006F304D">
        <w:t xml:space="preserve">, </w:t>
      </w:r>
      <w:r w:rsidRPr="00954FE3">
        <w:t>but its disunity is not established by Easton’s division into two major sections: “love of enemies” is not the central focus of verses 36-49.</w:t>
      </w:r>
    </w:p>
  </w:footnote>
  <w:footnote w:id="631">
    <w:p w14:paraId="7874CB35" w14:textId="772AA4A1" w:rsidR="00500154" w:rsidRPr="0096372B" w:rsidRDefault="001D699E" w:rsidP="00573F48">
      <w:pPr>
        <w:pStyle w:val="FootnoteText"/>
      </w:pPr>
      <w:r>
        <w:rPr>
          <w:rStyle w:val="FootnoteReference"/>
        </w:rPr>
        <w:footnoteRef/>
      </w:r>
      <w:r>
        <w:t xml:space="preserve"> </w:t>
      </w:r>
      <w:r w:rsidRPr="00954FE3">
        <w:t xml:space="preserve">It does not follow that Luke himself bisected 37-38 </w:t>
      </w:r>
      <w:r w:rsidRPr="00954FE3">
        <w:rPr>
          <w:szCs w:val="27"/>
        </w:rPr>
        <w:t xml:space="preserve">+ </w:t>
      </w:r>
      <w:r w:rsidRPr="00954FE3">
        <w:t>41-42 to receive the transplanted verses</w:t>
      </w:r>
      <w:r w:rsidRPr="006F304D">
        <w:t xml:space="preserve">, </w:t>
      </w:r>
      <w:r w:rsidRPr="00954FE3">
        <w:t xml:space="preserve">though this is what Vaganay concludes (Existe-t-il chez Marc quelques traces du Sermon sur la montagne?” </w:t>
      </w:r>
      <w:r w:rsidRPr="00954FE3">
        <w:rPr>
          <w:i/>
          <w:iCs/>
        </w:rPr>
        <w:t>New Testament Studies</w:t>
      </w:r>
      <w:r w:rsidRPr="00500154">
        <w:t xml:space="preserve"> </w:t>
      </w:r>
      <w:r w:rsidRPr="00954FE3">
        <w:t>1 [1954-1955] 196). He notes that 39a</w:t>
      </w:r>
      <w:r w:rsidRPr="006F304D">
        <w:t xml:space="preserve">, </w:t>
      </w:r>
      <w:r w:rsidR="00500154" w:rsidRPr="00CE06CA">
        <w:rPr>
          <w:bCs/>
          <w:szCs w:val="22"/>
          <w:lang w:val="el-GR"/>
        </w:rPr>
        <w:t>Εἶπεν δὲ καὶ παραβολὴν αὐτοῖς</w:t>
      </w:r>
      <w:r w:rsidRPr="006F304D">
        <w:t xml:space="preserve">, </w:t>
      </w:r>
      <w:r w:rsidRPr="00954FE3">
        <w:t>is very characteristic of Luke’s style</w:t>
      </w:r>
      <w:r w:rsidRPr="006F304D">
        <w:t xml:space="preserve">, </w:t>
      </w:r>
      <w:r w:rsidRPr="00954FE3">
        <w:t>and he concludes from this that Luke created 39a to ease his insertion of 39b-40. (According to Vaganay</w:t>
      </w:r>
      <w:r w:rsidRPr="006F304D">
        <w:t xml:space="preserve">, </w:t>
      </w:r>
      <w:r w:rsidRPr="00954FE3">
        <w:t>Luke should have left well enough alone: “</w:t>
      </w:r>
      <w:r w:rsidR="00500154">
        <w:t>‘</w:t>
      </w:r>
      <w:r w:rsidRPr="00954FE3">
        <w:t xml:space="preserve">He also told them a parable’ </w:t>
      </w:r>
      <w:r w:rsidRPr="00EE2A2F">
        <w:t>. . .</w:t>
      </w:r>
      <w:r w:rsidRPr="00954FE3">
        <w:t xml:space="preserve"> only underlines the unfittingness of the double insertion”! </w:t>
      </w:r>
      <w:r w:rsidRPr="00E5413C">
        <w:rPr>
          <w:lang w:val="fr-FR"/>
        </w:rPr>
        <w:t>[“Et il leur dit une parabole’. . . ne fait que soulinger l’in</w:t>
      </w:r>
      <w:r w:rsidRPr="00E5413C">
        <w:rPr>
          <w:lang w:val="fr-FR"/>
        </w:rPr>
        <w:softHyphen/>
        <w:t>habilit</w:t>
      </w:r>
      <w:r w:rsidR="00500154" w:rsidRPr="00E5413C">
        <w:rPr>
          <w:lang w:val="fr-FR"/>
        </w:rPr>
        <w:t>é</w:t>
      </w:r>
      <w:r w:rsidRPr="00E5413C">
        <w:rPr>
          <w:lang w:val="fr-FR"/>
        </w:rPr>
        <w:t xml:space="preserve"> de la double insertion.”]) </w:t>
      </w:r>
      <w:r w:rsidRPr="00954FE3">
        <w:t xml:space="preserve">But Dupont rightly remarks that 39a </w:t>
      </w:r>
      <w:r w:rsidR="00500154">
        <w:t>“</w:t>
      </w:r>
      <w:r w:rsidRPr="00954FE3">
        <w:t xml:space="preserve">does not prove that he has himself introduced the parable”: it only proves that </w:t>
      </w:r>
      <w:r w:rsidR="00500154">
        <w:t>“</w:t>
      </w:r>
      <w:r w:rsidRPr="00954FE3">
        <w:t xml:space="preserve">he senses its poor connection with the preceding verses.” </w:t>
      </w:r>
      <w:r w:rsidRPr="00E5413C">
        <w:rPr>
          <w:lang w:val="fr-FR"/>
        </w:rPr>
        <w:t>[“. . . cela ne prouve pas encore cepen</w:t>
      </w:r>
      <w:r w:rsidRPr="00E5413C">
        <w:rPr>
          <w:lang w:val="fr-FR"/>
        </w:rPr>
        <w:softHyphen/>
        <w:t>dant qu’il a lui-m</w:t>
      </w:r>
      <w:r w:rsidR="00500154" w:rsidRPr="00E5413C">
        <w:rPr>
          <w:lang w:val="fr-FR"/>
        </w:rPr>
        <w:t>ê</w:t>
      </w:r>
      <w:r w:rsidRPr="00E5413C">
        <w:rPr>
          <w:lang w:val="fr-FR"/>
        </w:rPr>
        <w:t xml:space="preserve">me introduit la parabole, dont il sent qu’elle se rattache mal </w:t>
      </w:r>
      <w:r w:rsidR="00500154" w:rsidRPr="00E5413C">
        <w:rPr>
          <w:szCs w:val="36"/>
          <w:lang w:val="fr-FR"/>
        </w:rPr>
        <w:t>à</w:t>
      </w:r>
      <w:r w:rsidRPr="00E5413C">
        <w:rPr>
          <w:szCs w:val="36"/>
          <w:lang w:val="fr-FR"/>
        </w:rPr>
        <w:t xml:space="preserve"> </w:t>
      </w:r>
      <w:r w:rsidRPr="00E5413C">
        <w:rPr>
          <w:lang w:val="fr-FR"/>
        </w:rPr>
        <w:t>ce qui pr</w:t>
      </w:r>
      <w:r w:rsidR="00500154" w:rsidRPr="00E5413C">
        <w:rPr>
          <w:lang w:val="fr-FR"/>
        </w:rPr>
        <w:t>é</w:t>
      </w:r>
      <w:r w:rsidRPr="00E5413C">
        <w:rPr>
          <w:lang w:val="fr-FR"/>
        </w:rPr>
        <w:t>c</w:t>
      </w:r>
      <w:r w:rsidR="00500154" w:rsidRPr="00E5413C">
        <w:rPr>
          <w:lang w:val="fr-FR"/>
        </w:rPr>
        <w:t>è</w:t>
      </w:r>
      <w:r w:rsidRPr="00E5413C">
        <w:rPr>
          <w:lang w:val="fr-FR"/>
        </w:rPr>
        <w:t>de.</w:t>
      </w:r>
      <w:r w:rsidR="00500154" w:rsidRPr="00E5413C">
        <w:rPr>
          <w:lang w:val="fr-FR"/>
        </w:rPr>
        <w:t>”</w:t>
      </w:r>
      <w:r w:rsidRPr="00E5413C">
        <w:rPr>
          <w:lang w:val="fr-FR"/>
        </w:rPr>
        <w:t xml:space="preserve"> </w:t>
      </w:r>
      <w:r w:rsidRPr="00954FE3">
        <w:rPr>
          <w:i/>
          <w:iCs/>
        </w:rPr>
        <w:t>B</w:t>
      </w:r>
      <w:r w:rsidR="00500154">
        <w:rPr>
          <w:i/>
          <w:iCs/>
        </w:rPr>
        <w:t>é</w:t>
      </w:r>
      <w:r w:rsidRPr="00954FE3">
        <w:rPr>
          <w:i/>
          <w:iCs/>
        </w:rPr>
        <w:t>atitudes</w:t>
      </w:r>
      <w:r w:rsidRPr="006F304D">
        <w:rPr>
          <w:iCs/>
        </w:rPr>
        <w:t xml:space="preserve">, </w:t>
      </w:r>
      <w:r w:rsidRPr="00954FE3">
        <w:t>l. 55-56.] Dupont also argues that Luke cannot have inserted 39-40</w:t>
      </w:r>
      <w:r w:rsidRPr="006F304D">
        <w:t xml:space="preserve">, </w:t>
      </w:r>
      <w:r w:rsidRPr="00954FE3">
        <w:t xml:space="preserve">because their presence here results from a catchword connection with 41-42 (speck and log): “blind” (38bc) connects with </w:t>
      </w:r>
      <w:r w:rsidR="00500154">
        <w:t>“</w:t>
      </w:r>
      <w:r w:rsidRPr="00954FE3">
        <w:t>eye” (41-42)</w:t>
      </w:r>
      <w:r w:rsidRPr="006F304D">
        <w:t xml:space="preserve">, </w:t>
      </w:r>
      <w:r w:rsidRPr="00954FE3">
        <w:t xml:space="preserve">and “guide” (39bc) and “teacher” </w:t>
      </w:r>
      <w:r>
        <w:t>(</w:t>
      </w:r>
      <w:r w:rsidRPr="00954FE3">
        <w:t>40) connect with the attempt at moral direction by the person with the log. Such a catchword connection</w:t>
      </w:r>
      <w:r w:rsidRPr="006F304D">
        <w:t xml:space="preserve">, </w:t>
      </w:r>
      <w:r w:rsidRPr="00954FE3">
        <w:t>he maintains</w:t>
      </w:r>
      <w:r w:rsidRPr="006F304D">
        <w:t xml:space="preserve">, </w:t>
      </w:r>
      <w:r w:rsidRPr="00954FE3">
        <w:t xml:space="preserve">cannot stem from Luke: </w:t>
      </w:r>
      <w:r w:rsidR="00500154">
        <w:t>“</w:t>
      </w:r>
      <w:r w:rsidRPr="00954FE3">
        <w:t xml:space="preserve">this </w:t>
      </w:r>
      <w:r>
        <w:t>[</w:t>
      </w:r>
      <w:r w:rsidRPr="00954FE3">
        <w:t xml:space="preserve">sort of] association is too specifically rabbinic for one to be able to ascribe it to Luke </w:t>
      </w:r>
      <w:r>
        <w:t>. . . .</w:t>
      </w:r>
      <w:r w:rsidRPr="00954FE3">
        <w:t xml:space="preserve"> Proceeding by association </w:t>
      </w:r>
      <w:r w:rsidRPr="00EE2A2F">
        <w:t>. . .</w:t>
      </w:r>
      <w:r w:rsidRPr="00954FE3">
        <w:t xml:space="preserve"> is best explained as occurring at the stage of oral tradition</w:t>
      </w:r>
      <w:r w:rsidRPr="006F304D">
        <w:t xml:space="preserve">, </w:t>
      </w:r>
      <w:r w:rsidRPr="00954FE3">
        <w:t xml:space="preserve">or at least at a stage of written composition close enough to its Semitic origins </w:t>
      </w:r>
      <w:r w:rsidRPr="00EE2A2F">
        <w:t>. . .</w:t>
      </w:r>
      <w:r w:rsidR="00500154">
        <w:t>”</w:t>
      </w:r>
      <w:r w:rsidRPr="00954FE3">
        <w:t xml:space="preserve"> </w:t>
      </w:r>
      <w:r w:rsidR="002E1F03" w:rsidRPr="00E5413C">
        <w:rPr>
          <w:lang w:val="fr-FR"/>
        </w:rPr>
        <w:t>(</w:t>
      </w:r>
      <w:r w:rsidR="00500154" w:rsidRPr="00E5413C">
        <w:rPr>
          <w:lang w:val="fr-FR"/>
        </w:rPr>
        <w:t>“</w:t>
      </w:r>
      <w:r w:rsidRPr="00E5413C">
        <w:rPr>
          <w:lang w:val="fr-FR"/>
        </w:rPr>
        <w:t>. . . cette association est trop sp</w:t>
      </w:r>
      <w:r w:rsidR="00500154" w:rsidRPr="00E5413C">
        <w:rPr>
          <w:lang w:val="fr-FR"/>
        </w:rPr>
        <w:t>é</w:t>
      </w:r>
      <w:r w:rsidRPr="00E5413C">
        <w:rPr>
          <w:lang w:val="fr-FR"/>
        </w:rPr>
        <w:t>cifiquement rabbinique pour qu’on puisse la pr</w:t>
      </w:r>
      <w:r w:rsidR="00500154" w:rsidRPr="00E5413C">
        <w:rPr>
          <w:lang w:val="fr-FR"/>
        </w:rPr>
        <w:t>ê</w:t>
      </w:r>
      <w:r w:rsidRPr="00E5413C">
        <w:rPr>
          <w:lang w:val="fr-FR"/>
        </w:rPr>
        <w:t xml:space="preserve">ter </w:t>
      </w:r>
      <w:r w:rsidR="00500154" w:rsidRPr="00E5413C">
        <w:rPr>
          <w:szCs w:val="36"/>
          <w:lang w:val="fr-FR"/>
        </w:rPr>
        <w:t>à</w:t>
      </w:r>
      <w:r w:rsidRPr="00E5413C">
        <w:rPr>
          <w:szCs w:val="36"/>
          <w:lang w:val="fr-FR"/>
        </w:rPr>
        <w:t xml:space="preserve"> </w:t>
      </w:r>
      <w:r w:rsidRPr="00E5413C">
        <w:rPr>
          <w:lang w:val="fr-FR"/>
        </w:rPr>
        <w:t>Luc. . . .</w:t>
      </w:r>
      <w:r w:rsidR="00500154" w:rsidRPr="00E5413C">
        <w:rPr>
          <w:lang w:val="fr-FR"/>
        </w:rPr>
        <w:t xml:space="preserve"> </w:t>
      </w:r>
      <w:r w:rsidRPr="00E5413C">
        <w:rPr>
          <w:lang w:val="fr-FR"/>
        </w:rPr>
        <w:t>Les pr</w:t>
      </w:r>
      <w:r w:rsidR="00500154" w:rsidRPr="00E5413C">
        <w:rPr>
          <w:lang w:val="fr-FR"/>
        </w:rPr>
        <w:t>é</w:t>
      </w:r>
      <w:r w:rsidRPr="00E5413C">
        <w:rPr>
          <w:lang w:val="fr-FR"/>
        </w:rPr>
        <w:t>c</w:t>
      </w:r>
      <w:r w:rsidR="00500154" w:rsidRPr="00E5413C">
        <w:rPr>
          <w:lang w:val="fr-FR"/>
        </w:rPr>
        <w:t>é</w:t>
      </w:r>
      <w:r w:rsidRPr="00E5413C">
        <w:rPr>
          <w:lang w:val="fr-FR"/>
        </w:rPr>
        <w:t>d</w:t>
      </w:r>
      <w:r w:rsidR="00500154" w:rsidRPr="00E5413C">
        <w:rPr>
          <w:lang w:val="fr-FR"/>
        </w:rPr>
        <w:t>é</w:t>
      </w:r>
      <w:r w:rsidRPr="00E5413C">
        <w:rPr>
          <w:lang w:val="fr-FR"/>
        </w:rPr>
        <w:t>s d’association . . . s’expli</w:t>
      </w:r>
      <w:r w:rsidRPr="00E5413C">
        <w:rPr>
          <w:lang w:val="fr-FR"/>
        </w:rPr>
        <w:softHyphen/>
        <w:t xml:space="preserve">queraient mieux au stade de la tradition orale, ou du moins </w:t>
      </w:r>
      <w:r w:rsidR="00500154" w:rsidRPr="00E5413C">
        <w:rPr>
          <w:szCs w:val="36"/>
          <w:lang w:val="fr-FR"/>
        </w:rPr>
        <w:t>à</w:t>
      </w:r>
      <w:r w:rsidRPr="00E5413C">
        <w:rPr>
          <w:szCs w:val="36"/>
          <w:lang w:val="fr-FR"/>
        </w:rPr>
        <w:t xml:space="preserve"> </w:t>
      </w:r>
      <w:r w:rsidRPr="00E5413C">
        <w:rPr>
          <w:lang w:val="fr-FR"/>
        </w:rPr>
        <w:t>un stade de composi</w:t>
      </w:r>
      <w:r w:rsidR="00500154" w:rsidRPr="00E5413C">
        <w:rPr>
          <w:lang w:val="fr-FR"/>
        </w:rPr>
        <w:t xml:space="preserve">tion écrite encore proche des origines sémitiques.” </w:t>
      </w:r>
      <w:r w:rsidR="00500154" w:rsidRPr="00954FE3">
        <w:t>Ibid. 58 n. 1</w:t>
      </w:r>
      <w:r w:rsidR="00500154" w:rsidRPr="006F304D">
        <w:t xml:space="preserve">, </w:t>
      </w:r>
      <w:r w:rsidR="00500154" w:rsidRPr="00954FE3">
        <w:t>59.</w:t>
      </w:r>
      <w:r w:rsidR="002E1F03">
        <w:t>)</w:t>
      </w:r>
    </w:p>
  </w:footnote>
  <w:footnote w:id="632">
    <w:p w14:paraId="245305D2" w14:textId="43354A12" w:rsidR="0096372B" w:rsidRDefault="0096372B" w:rsidP="00573F48">
      <w:pPr>
        <w:pStyle w:val="FootnoteText"/>
      </w:pPr>
      <w:r>
        <w:rPr>
          <w:rStyle w:val="FootnoteReference"/>
        </w:rPr>
        <w:footnoteRef/>
      </w:r>
      <w:r>
        <w:t xml:space="preserve"> </w:t>
      </w:r>
      <w:r w:rsidRPr="00954FE3">
        <w:rPr>
          <w:szCs w:val="25"/>
        </w:rPr>
        <w:t>Tinsley</w:t>
      </w:r>
      <w:r w:rsidRPr="006F304D">
        <w:rPr>
          <w:szCs w:val="25"/>
        </w:rPr>
        <w:t xml:space="preserve">, </w:t>
      </w:r>
      <w:r w:rsidRPr="00954FE3">
        <w:t>Gospel According to Luke</w:t>
      </w:r>
      <w:r w:rsidRPr="0096372B">
        <w:t xml:space="preserve"> </w:t>
      </w:r>
      <w:r w:rsidRPr="00954FE3">
        <w:rPr>
          <w:szCs w:val="25"/>
        </w:rPr>
        <w:t>72.</w:t>
      </w:r>
    </w:p>
  </w:footnote>
  <w:footnote w:id="633">
    <w:p w14:paraId="09AF4A05" w14:textId="37F4C7EE" w:rsidR="0096372B" w:rsidRDefault="0096372B" w:rsidP="0096372B">
      <w:pPr>
        <w:pStyle w:val="Style"/>
        <w:widowControl/>
        <w:jc w:val="both"/>
        <w:textAlignment w:val="baseline"/>
        <w:rPr>
          <w:szCs w:val="25"/>
        </w:rPr>
      </w:pPr>
      <w:r>
        <w:rPr>
          <w:rStyle w:val="FootnoteReference"/>
        </w:rPr>
        <w:footnoteRef/>
      </w:r>
      <w:r>
        <w:t xml:space="preserve"> </w:t>
      </w:r>
      <w:r>
        <w:rPr>
          <w:szCs w:val="25"/>
        </w:rPr>
        <w:t>“</w:t>
      </w:r>
      <w:r w:rsidRPr="00954FE3">
        <w:rPr>
          <w:szCs w:val="25"/>
        </w:rPr>
        <w:t>Accom</w:t>
      </w:r>
      <w:r>
        <w:rPr>
          <w:szCs w:val="25"/>
        </w:rPr>
        <w:t>m</w:t>
      </w:r>
      <w:r w:rsidRPr="00954FE3">
        <w:rPr>
          <w:szCs w:val="25"/>
        </w:rPr>
        <w:t>odation” is</w:t>
      </w:r>
      <w:r w:rsidRPr="006F304D">
        <w:rPr>
          <w:szCs w:val="25"/>
        </w:rPr>
        <w:t xml:space="preserve"> </w:t>
      </w:r>
      <w:r>
        <w:rPr>
          <w:szCs w:val="25"/>
        </w:rPr>
        <w:t>“</w:t>
      </w:r>
      <w:r w:rsidRPr="00954FE3">
        <w:rPr>
          <w:szCs w:val="25"/>
        </w:rPr>
        <w:t>not a sense of Scripture but a sense given to Scripture [by] the reader or interpreter” (Raymond E. Brown</w:t>
      </w:r>
      <w:r w:rsidRPr="006F304D">
        <w:rPr>
          <w:szCs w:val="25"/>
        </w:rPr>
        <w:t xml:space="preserve">, </w:t>
      </w:r>
      <w:r w:rsidRPr="00954FE3">
        <w:rPr>
          <w:szCs w:val="25"/>
        </w:rPr>
        <w:t>SS</w:t>
      </w:r>
      <w:r w:rsidRPr="006F304D">
        <w:rPr>
          <w:szCs w:val="25"/>
        </w:rPr>
        <w:t xml:space="preserve">, </w:t>
      </w:r>
      <w:r w:rsidRPr="00954FE3">
        <w:rPr>
          <w:szCs w:val="25"/>
        </w:rPr>
        <w:t>‘Hermeneutics</w:t>
      </w:r>
      <w:r>
        <w:rPr>
          <w:szCs w:val="25"/>
        </w:rPr>
        <w:t>,</w:t>
      </w:r>
      <w:r w:rsidRPr="00954FE3">
        <w:rPr>
          <w:szCs w:val="25"/>
        </w:rPr>
        <w:t xml:space="preserve">” in </w:t>
      </w:r>
      <w:r w:rsidRPr="00954FE3">
        <w:rPr>
          <w:i/>
          <w:iCs/>
        </w:rPr>
        <w:t>The Jerome Biblical Commentary</w:t>
      </w:r>
      <w:r w:rsidRPr="006F304D">
        <w:rPr>
          <w:iCs/>
        </w:rPr>
        <w:t xml:space="preserve"> </w:t>
      </w:r>
      <w:r w:rsidRPr="00954FE3">
        <w:rPr>
          <w:szCs w:val="25"/>
        </w:rPr>
        <w:t>2. 619). The most striking instance of accom</w:t>
      </w:r>
      <w:r>
        <w:rPr>
          <w:szCs w:val="25"/>
        </w:rPr>
        <w:t>m</w:t>
      </w:r>
      <w:r w:rsidRPr="00954FE3">
        <w:rPr>
          <w:szCs w:val="25"/>
        </w:rPr>
        <w:t>odation that I have seen for the text we are presently considering is that of Hermann Samuel Reimarus (</w:t>
      </w:r>
      <w:r w:rsidRPr="00954FE3">
        <w:rPr>
          <w:i/>
          <w:iCs/>
        </w:rPr>
        <w:t>Reimarus</w:t>
      </w:r>
      <w:r w:rsidRPr="00954FE3">
        <w:rPr>
          <w:iCs/>
        </w:rPr>
        <w:t xml:space="preserve">: </w:t>
      </w:r>
      <w:r w:rsidRPr="00954FE3">
        <w:rPr>
          <w:i/>
          <w:iCs/>
        </w:rPr>
        <w:t>Fragments</w:t>
      </w:r>
      <w:r w:rsidR="00DC3006" w:rsidRPr="00DC3006">
        <w:rPr>
          <w:iCs/>
        </w:rPr>
        <w:t xml:space="preserve">. Ed. </w:t>
      </w:r>
      <w:r w:rsidRPr="00954FE3">
        <w:rPr>
          <w:szCs w:val="25"/>
        </w:rPr>
        <w:t>Charles H. Talbert</w:t>
      </w:r>
      <w:r w:rsidRPr="006F304D">
        <w:rPr>
          <w:szCs w:val="25"/>
        </w:rPr>
        <w:t xml:space="preserve">, </w:t>
      </w:r>
      <w:r w:rsidRPr="00954FE3">
        <w:rPr>
          <w:szCs w:val="25"/>
        </w:rPr>
        <w:t>Lives of Jesus Series (Phila</w:t>
      </w:r>
      <w:r w:rsidRPr="00954FE3">
        <w:rPr>
          <w:szCs w:val="25"/>
        </w:rPr>
        <w:softHyphen/>
        <w:t>delphia: Fortress</w:t>
      </w:r>
      <w:r w:rsidRPr="006F304D">
        <w:rPr>
          <w:szCs w:val="25"/>
        </w:rPr>
        <w:t xml:space="preserve">, </w:t>
      </w:r>
      <w:r w:rsidRPr="00954FE3">
        <w:rPr>
          <w:szCs w:val="25"/>
        </w:rPr>
        <w:t>1970 [original: 1777] 115):</w:t>
      </w:r>
    </w:p>
    <w:p w14:paraId="1A55615D" w14:textId="77777777" w:rsidR="005C0AF9" w:rsidRPr="00954FE3" w:rsidRDefault="005C0AF9" w:rsidP="0096372B">
      <w:pPr>
        <w:pStyle w:val="Style"/>
        <w:widowControl/>
        <w:jc w:val="both"/>
        <w:textAlignment w:val="baseline"/>
        <w:rPr>
          <w:szCs w:val="25"/>
        </w:rPr>
      </w:pPr>
    </w:p>
    <w:p w14:paraId="00CDC997" w14:textId="07A82C7F" w:rsidR="0096372B" w:rsidRDefault="0096372B" w:rsidP="00573F48">
      <w:pPr>
        <w:pStyle w:val="FootnoteText"/>
      </w:pPr>
      <w:r w:rsidRPr="00954FE3">
        <w:t>My goodness! How the simple and ignorant allow themselves to be deceived by their leaders</w:t>
      </w:r>
      <w:r w:rsidRPr="006F304D">
        <w:t xml:space="preserve">, </w:t>
      </w:r>
      <w:r w:rsidRPr="00954FE3">
        <w:t>who are themselves blind guides! And how easily great mysteries</w:t>
      </w:r>
      <w:r w:rsidRPr="006F304D">
        <w:t xml:space="preserve">, </w:t>
      </w:r>
      <w:r w:rsidRPr="00954FE3">
        <w:t>even an entire religion</w:t>
      </w:r>
      <w:r w:rsidRPr="006F304D">
        <w:t xml:space="preserve">, </w:t>
      </w:r>
      <w:r w:rsidRPr="00954FE3">
        <w:t>have been hammered out and for centuries have chained human reason and conscience from a few obscure words that people do not understand and whose genuine antiquity is extremely doubtful!</w:t>
      </w:r>
    </w:p>
    <w:p w14:paraId="20EAD33B" w14:textId="77777777" w:rsidR="001B2B5D" w:rsidRDefault="001B2B5D" w:rsidP="00573F48">
      <w:pPr>
        <w:pStyle w:val="FootnoteText"/>
      </w:pPr>
    </w:p>
  </w:footnote>
  <w:footnote w:id="634">
    <w:p w14:paraId="6C0182E1" w14:textId="3BEDC1DE" w:rsidR="0096372B" w:rsidRDefault="0096372B" w:rsidP="00573F48">
      <w:pPr>
        <w:pStyle w:val="FootnoteText"/>
      </w:pPr>
      <w:r>
        <w:rPr>
          <w:rStyle w:val="FootnoteReference"/>
        </w:rPr>
        <w:footnoteRef/>
      </w:r>
      <w:r>
        <w:t xml:space="preserve"> </w:t>
      </w:r>
      <w:r w:rsidRPr="00954FE3">
        <w:rPr>
          <w:szCs w:val="25"/>
        </w:rPr>
        <w:t>Geldenhuys</w:t>
      </w:r>
      <w:r w:rsidRPr="006F304D">
        <w:rPr>
          <w:szCs w:val="25"/>
        </w:rPr>
        <w:t xml:space="preserve">, </w:t>
      </w:r>
      <w:r w:rsidRPr="00954FE3">
        <w:t>Commentary on the Gospel of Luke</w:t>
      </w:r>
      <w:r w:rsidRPr="002B0681">
        <w:t xml:space="preserve"> </w:t>
      </w:r>
      <w:r w:rsidRPr="00954FE3">
        <w:rPr>
          <w:szCs w:val="25"/>
        </w:rPr>
        <w:t>214.</w:t>
      </w:r>
    </w:p>
  </w:footnote>
  <w:footnote w:id="635">
    <w:p w14:paraId="3A753268" w14:textId="11AAC15D" w:rsidR="00411C6F" w:rsidRDefault="00411C6F" w:rsidP="00573F48">
      <w:pPr>
        <w:pStyle w:val="FootnoteText"/>
      </w:pPr>
      <w:r>
        <w:rPr>
          <w:rStyle w:val="FootnoteReference"/>
        </w:rPr>
        <w:footnoteRef/>
      </w:r>
      <w:r>
        <w:t xml:space="preserve"> </w:t>
      </w:r>
      <w:r w:rsidRPr="00BC3F72">
        <w:rPr>
          <w:szCs w:val="25"/>
        </w:rPr>
        <w:t>Bowie</w:t>
      </w:r>
      <w:r w:rsidRPr="006F304D">
        <w:rPr>
          <w:szCs w:val="25"/>
        </w:rPr>
        <w:t xml:space="preserve">, </w:t>
      </w:r>
      <w:r w:rsidRPr="00BC3F72">
        <w:t>Compassionate Christ</w:t>
      </w:r>
      <w:r w:rsidRPr="00411C6F">
        <w:t xml:space="preserve"> </w:t>
      </w:r>
      <w:r w:rsidRPr="00BC3F72">
        <w:rPr>
          <w:szCs w:val="25"/>
        </w:rPr>
        <w:t xml:space="preserve">104-105. Thus also </w:t>
      </w:r>
      <w:r w:rsidRPr="00411C6F">
        <w:rPr>
          <w:szCs w:val="25"/>
        </w:rPr>
        <w:t>Stöger</w:t>
      </w:r>
      <w:r w:rsidRPr="006F304D">
        <w:rPr>
          <w:szCs w:val="25"/>
        </w:rPr>
        <w:t xml:space="preserve">, </w:t>
      </w:r>
      <w:r w:rsidRPr="00BC3F72">
        <w:t>Gospel According to Saint Luke</w:t>
      </w:r>
      <w:r w:rsidRPr="00411C6F">
        <w:t xml:space="preserve"> </w:t>
      </w:r>
      <w:r w:rsidRPr="00BC3F72">
        <w:rPr>
          <w:szCs w:val="25"/>
        </w:rPr>
        <w:t>124.</w:t>
      </w:r>
    </w:p>
  </w:footnote>
  <w:footnote w:id="636">
    <w:p w14:paraId="69330015" w14:textId="35307B32" w:rsidR="00411C6F" w:rsidRDefault="00411C6F" w:rsidP="00573F48">
      <w:pPr>
        <w:pStyle w:val="FootnoteText"/>
      </w:pPr>
      <w:r>
        <w:rPr>
          <w:rStyle w:val="FootnoteReference"/>
        </w:rPr>
        <w:footnoteRef/>
      </w:r>
      <w:r w:rsidRPr="00E5413C">
        <w:rPr>
          <w:lang w:val="fr-FR"/>
        </w:rPr>
        <w:t xml:space="preserve"> Dupont, </w:t>
      </w:r>
      <w:r w:rsidRPr="00E5413C">
        <w:rPr>
          <w:i/>
          <w:iCs/>
          <w:lang w:val="fr-FR"/>
        </w:rPr>
        <w:t>Béatitudes</w:t>
      </w:r>
      <w:r w:rsidRPr="00E5413C">
        <w:rPr>
          <w:iCs/>
          <w:lang w:val="fr-FR"/>
        </w:rPr>
        <w:t xml:space="preserve">, </w:t>
      </w:r>
      <w:r w:rsidRPr="00E5413C">
        <w:rPr>
          <w:lang w:val="fr-FR"/>
        </w:rPr>
        <w:t xml:space="preserve">1. 58 n. 1: “Jewish teachers loved to represent themselves as ‘guides of the blind” (“les </w:t>
      </w:r>
      <w:r>
        <w:t>διδάσκαλοι</w:t>
      </w:r>
      <w:r w:rsidRPr="00E5413C">
        <w:rPr>
          <w:lang w:val="fr-FR"/>
        </w:rPr>
        <w:t xml:space="preserve"> juifs aimaient </w:t>
      </w:r>
      <w:r w:rsidRPr="00E5413C">
        <w:rPr>
          <w:rFonts w:eastAsia="Arial"/>
          <w:szCs w:val="32"/>
          <w:lang w:val="fr-FR"/>
        </w:rPr>
        <w:t xml:space="preserve">à </w:t>
      </w:r>
      <w:r w:rsidRPr="00E5413C">
        <w:rPr>
          <w:lang w:val="fr-FR"/>
        </w:rPr>
        <w:t>se représenter eux</w:t>
      </w:r>
      <w:r w:rsidRPr="00E5413C">
        <w:rPr>
          <w:lang w:val="fr-FR"/>
        </w:rPr>
        <w:softHyphen/>
        <w:t xml:space="preserve">mêmes comme les «guides des aveugles»”). </w:t>
      </w:r>
      <w:r w:rsidRPr="00BC3F72">
        <w:t>Easton</w:t>
      </w:r>
      <w:r w:rsidRPr="006F304D">
        <w:t xml:space="preserve">, </w:t>
      </w:r>
      <w:r w:rsidRPr="00BC3F72">
        <w:rPr>
          <w:i/>
          <w:iCs/>
        </w:rPr>
        <w:t>Gospel According to Saint Luke</w:t>
      </w:r>
      <w:r w:rsidRPr="00411C6F">
        <w:t xml:space="preserve"> </w:t>
      </w:r>
      <w:r w:rsidRPr="00BC3F72">
        <w:t>91: “</w:t>
      </w:r>
      <w:r>
        <w:t>‘</w:t>
      </w:r>
      <w:r w:rsidRPr="00BC3F72">
        <w:t xml:space="preserve">Guides of the blind’ was perhaps a self-chosen title of the Pharisees </w:t>
      </w:r>
      <w:r w:rsidRPr="00EE2A2F">
        <w:t>. . .</w:t>
      </w:r>
      <w:r>
        <w:t>”</w:t>
      </w:r>
    </w:p>
  </w:footnote>
  <w:footnote w:id="637">
    <w:p w14:paraId="5462883D" w14:textId="4B309CF7" w:rsidR="00084A25" w:rsidRDefault="00084A25" w:rsidP="00573F48">
      <w:pPr>
        <w:pStyle w:val="FootnoteText"/>
      </w:pPr>
      <w:r>
        <w:rPr>
          <w:rStyle w:val="FootnoteReference"/>
        </w:rPr>
        <w:footnoteRef/>
      </w:r>
      <w:r>
        <w:t xml:space="preserve"> </w:t>
      </w:r>
      <w:r w:rsidRPr="00BC3F72">
        <w:t>See</w:t>
      </w:r>
      <w:r w:rsidRPr="006F304D">
        <w:t xml:space="preserve">, </w:t>
      </w:r>
      <w:r w:rsidRPr="00BC3F72">
        <w:t>e.g.</w:t>
      </w:r>
      <w:r w:rsidRPr="006F304D">
        <w:t xml:space="preserve">, </w:t>
      </w:r>
      <w:r w:rsidRPr="00BC3F72">
        <w:t>Streeter</w:t>
      </w:r>
      <w:r w:rsidRPr="006F304D">
        <w:t xml:space="preserve">, </w:t>
      </w:r>
      <w:r w:rsidRPr="00BC3F72">
        <w:rPr>
          <w:i/>
          <w:iCs/>
        </w:rPr>
        <w:t>Four Gospels</w:t>
      </w:r>
      <w:r w:rsidRPr="00E20A50">
        <w:t xml:space="preserve"> </w:t>
      </w:r>
      <w:r w:rsidRPr="00BC3F72">
        <w:t>37; Metzger</w:t>
      </w:r>
      <w:r w:rsidRPr="006F304D">
        <w:t xml:space="preserve">, </w:t>
      </w:r>
      <w:r w:rsidRPr="00BC3F72">
        <w:rPr>
          <w:i/>
          <w:iCs/>
        </w:rPr>
        <w:t>Text of the New Testament</w:t>
      </w:r>
      <w:r w:rsidRPr="00E20A50">
        <w:t xml:space="preserve"> </w:t>
      </w:r>
      <w:r w:rsidRPr="00BC3F72">
        <w:t>193</w:t>
      </w:r>
      <w:r w:rsidRPr="006F304D">
        <w:t xml:space="preserve">, </w:t>
      </w:r>
      <w:r w:rsidRPr="00BC3F72">
        <w:t>197. Assimilations are indicated in the critical apparatus of Nestle-Aland</w:t>
      </w:r>
      <w:r w:rsidRPr="00E20A50">
        <w:rPr>
          <w:vertAlign w:val="superscript"/>
        </w:rPr>
        <w:t>26</w:t>
      </w:r>
      <w:r w:rsidRPr="00BC3F72">
        <w:t xml:space="preserve"> by the sign </w:t>
      </w:r>
      <w:r w:rsidRPr="00E20A50">
        <w:rPr>
          <w:rFonts w:eastAsia="Arial"/>
        </w:rPr>
        <w:t>“</w:t>
      </w:r>
      <w:r w:rsidRPr="00BC3F72">
        <w:rPr>
          <w:rFonts w:eastAsia="Arial"/>
          <w:i/>
          <w:iCs/>
        </w:rPr>
        <w:t>p</w:t>
      </w:r>
      <w:r w:rsidRPr="00E20A50">
        <w:rPr>
          <w:rFonts w:eastAsia="Arial"/>
          <w:i/>
        </w:rPr>
        <w:t>)</w:t>
      </w:r>
      <w:r>
        <w:rPr>
          <w:rFonts w:eastAsia="Arial"/>
          <w:iCs/>
        </w:rPr>
        <w:t>”</w:t>
      </w:r>
      <w:r w:rsidRPr="00BC3F72">
        <w:rPr>
          <w:rFonts w:eastAsia="Arial"/>
        </w:rPr>
        <w:t xml:space="preserve"> </w:t>
      </w:r>
      <w:r>
        <w:rPr>
          <w:rFonts w:eastAsia="Arial"/>
        </w:rPr>
        <w:t>(</w:t>
      </w:r>
      <w:r w:rsidRPr="00BC3F72">
        <w:t>see its introduction</w:t>
      </w:r>
      <w:r w:rsidRPr="006F304D">
        <w:t xml:space="preserve">, </w:t>
      </w:r>
      <w:r w:rsidRPr="00BC3F72">
        <w:t>p. 8* [</w:t>
      </w:r>
      <w:r w:rsidRPr="00BC3F72">
        <w:rPr>
          <w:rFonts w:eastAsia="Arial"/>
          <w:i/>
          <w:iCs/>
        </w:rPr>
        <w:t>sic</w:t>
      </w:r>
      <w:r w:rsidRPr="00BC3F72">
        <w:rPr>
          <w:rFonts w:eastAsia="Arial"/>
          <w:iCs/>
        </w:rPr>
        <w:t>]).</w:t>
      </w:r>
    </w:p>
  </w:footnote>
  <w:footnote w:id="638">
    <w:p w14:paraId="562BDE9B" w14:textId="7FF5BE8B" w:rsidR="00084A25" w:rsidRDefault="00084A25" w:rsidP="00573F48">
      <w:pPr>
        <w:pStyle w:val="FootnoteText"/>
      </w:pPr>
      <w:r>
        <w:rPr>
          <w:rStyle w:val="FootnoteReference"/>
        </w:rPr>
        <w:footnoteRef/>
      </w:r>
      <w:r>
        <w:t xml:space="preserve"> </w:t>
      </w:r>
      <w:r w:rsidRPr="00BC3F72">
        <w:t>Fitzmyer</w:t>
      </w:r>
      <w:r w:rsidRPr="006F304D">
        <w:t xml:space="preserve">, </w:t>
      </w:r>
      <w:r w:rsidRPr="00BC3F72">
        <w:rPr>
          <w:i/>
          <w:iCs/>
        </w:rPr>
        <w:t>Gospel According to Luke</w:t>
      </w:r>
      <w:r w:rsidRPr="006F304D">
        <w:rPr>
          <w:iCs/>
        </w:rPr>
        <w:t xml:space="preserve"> </w:t>
      </w:r>
      <w:r w:rsidRPr="00BC3F72">
        <w:t>1. 630</w:t>
      </w:r>
      <w:r w:rsidRPr="006F304D">
        <w:t xml:space="preserve">, </w:t>
      </w:r>
      <w:r w:rsidRPr="00BC3F72">
        <w:t>642. See also Montefiore</w:t>
      </w:r>
      <w:r w:rsidRPr="006F304D">
        <w:t xml:space="preserve">, </w:t>
      </w:r>
      <w:r w:rsidRPr="00BC3F72">
        <w:rPr>
          <w:i/>
          <w:iCs/>
        </w:rPr>
        <w:t>Gospel</w:t>
      </w:r>
      <w:r>
        <w:rPr>
          <w:i/>
          <w:iCs/>
        </w:rPr>
        <w:t xml:space="preserve"> </w:t>
      </w:r>
      <w:r w:rsidRPr="00BC3F72">
        <w:rPr>
          <w:i/>
          <w:iCs/>
        </w:rPr>
        <w:t>According to Luke</w:t>
      </w:r>
      <w:r w:rsidRPr="00084A25">
        <w:t xml:space="preserve"> </w:t>
      </w:r>
      <w:r w:rsidRPr="00BC3F72">
        <w:t>420</w:t>
      </w:r>
      <w:r w:rsidRPr="006F304D">
        <w:t xml:space="preserve">, </w:t>
      </w:r>
      <w:r w:rsidRPr="00BC3F72">
        <w:t>who sees verse 40 is a warning against innovating (i.e.</w:t>
      </w:r>
      <w:r w:rsidRPr="006F304D">
        <w:t xml:space="preserve">, </w:t>
      </w:r>
      <w:r w:rsidRPr="00BC3F72">
        <w:t xml:space="preserve">against becoming a false teacher): </w:t>
      </w:r>
      <w:r>
        <w:t>“</w:t>
      </w:r>
      <w:r w:rsidRPr="00BC3F72">
        <w:t xml:space="preserve">The Christian teacher must not go beyond </w:t>
      </w:r>
      <w:r w:rsidRPr="00EE2A2F">
        <w:t>. . .</w:t>
      </w:r>
      <w:r w:rsidRPr="00BC3F72">
        <w:t xml:space="preserve"> Christ</w:t>
      </w:r>
      <w:r>
        <w:t xml:space="preserve">.” </w:t>
      </w:r>
      <w:r w:rsidRPr="00BC3F72">
        <w:t>Rose</w:t>
      </w:r>
      <w:r w:rsidRPr="006F304D">
        <w:t xml:space="preserve">, </w:t>
      </w:r>
      <w:r w:rsidRPr="00BC3F72">
        <w:t>too (</w:t>
      </w:r>
      <w:r>
        <w:rPr>
          <w:i/>
          <w:iCs/>
          <w:szCs w:val="26"/>
        </w:rPr>
        <w:t>Évangile</w:t>
      </w:r>
      <w:r w:rsidRPr="00BC3F72">
        <w:rPr>
          <w:i/>
          <w:iCs/>
          <w:szCs w:val="26"/>
        </w:rPr>
        <w:t xml:space="preserve"> selon</w:t>
      </w:r>
      <w:r w:rsidRPr="00084A25">
        <w:rPr>
          <w:i/>
          <w:iCs/>
          <w:szCs w:val="26"/>
        </w:rPr>
        <w:t xml:space="preserve"> </w:t>
      </w:r>
      <w:r w:rsidRPr="00084A25">
        <w:rPr>
          <w:i/>
          <w:iCs/>
        </w:rPr>
        <w:t>S</w:t>
      </w:r>
      <w:r w:rsidRPr="00BC3F72">
        <w:t xml:space="preserve">. </w:t>
      </w:r>
      <w:r w:rsidRPr="00BC3F72">
        <w:rPr>
          <w:i/>
          <w:iCs/>
        </w:rPr>
        <w:t>Luc</w:t>
      </w:r>
      <w:r w:rsidRPr="00084A25">
        <w:t xml:space="preserve"> 70)</w:t>
      </w:r>
      <w:r w:rsidRPr="006F304D">
        <w:rPr>
          <w:iCs/>
        </w:rPr>
        <w:t xml:space="preserve">, </w:t>
      </w:r>
      <w:r w:rsidRPr="00BC3F72">
        <w:t>implies an interpretation similar to Fitzmyer’s:</w:t>
      </w:r>
      <w:r>
        <w:t xml:space="preserve"> “</w:t>
      </w:r>
      <w:r w:rsidRPr="00BC3F72">
        <w:t>One who wants to be led must seek out a guide who can see” (i.e.</w:t>
      </w:r>
      <w:r w:rsidRPr="006F304D">
        <w:t xml:space="preserve">, </w:t>
      </w:r>
      <w:r w:rsidRPr="00BC3F72">
        <w:t xml:space="preserve">not seek out a wrong guide) </w:t>
      </w:r>
      <w:r>
        <w:t>(</w:t>
      </w:r>
      <w:r w:rsidRPr="00BC3F72">
        <w:t>“celui qui veut etre conduit doit chercher un guide qui voie”</w:t>
      </w:r>
      <w:r>
        <w:t>)</w:t>
      </w:r>
      <w:r w:rsidRPr="00BC3F72">
        <w:t>.</w:t>
      </w:r>
    </w:p>
  </w:footnote>
  <w:footnote w:id="639">
    <w:p w14:paraId="5D08DB6E" w14:textId="56407AFC" w:rsidR="00084A25" w:rsidRDefault="00084A25" w:rsidP="00573F48">
      <w:pPr>
        <w:pStyle w:val="FootnoteText"/>
      </w:pPr>
      <w:r>
        <w:rPr>
          <w:rStyle w:val="FootnoteReference"/>
        </w:rPr>
        <w:footnoteRef/>
      </w:r>
      <w:r>
        <w:t xml:space="preserve"> </w:t>
      </w:r>
      <w:r w:rsidRPr="00BC3F72">
        <w:t>Fitzmyer</w:t>
      </w:r>
      <w:r w:rsidRPr="006F304D">
        <w:t xml:space="preserve">, </w:t>
      </w:r>
      <w:r w:rsidRPr="00BC3F72">
        <w:t>Gospel According to Luke</w:t>
      </w:r>
      <w:r w:rsidRPr="006F304D">
        <w:t xml:space="preserve"> </w:t>
      </w:r>
      <w:r w:rsidRPr="00BC3F72">
        <w:t>1. 630</w:t>
      </w:r>
      <w:r>
        <w:t>.</w:t>
      </w:r>
    </w:p>
  </w:footnote>
  <w:footnote w:id="640">
    <w:p w14:paraId="61AD9789" w14:textId="33F853EF" w:rsidR="00084A25" w:rsidRDefault="00084A25" w:rsidP="00573F48">
      <w:pPr>
        <w:pStyle w:val="FootnoteText"/>
      </w:pPr>
      <w:r>
        <w:rPr>
          <w:rStyle w:val="FootnoteReference"/>
        </w:rPr>
        <w:footnoteRef/>
      </w:r>
      <w:r>
        <w:t xml:space="preserve"> </w:t>
      </w:r>
      <w:r w:rsidRPr="00BC3F72">
        <w:t>We have already shown that Luke 1:4</w:t>
      </w:r>
      <w:r w:rsidRPr="006F304D">
        <w:t xml:space="preserve">, </w:t>
      </w:r>
      <w:r w:rsidRPr="00BC3F72">
        <w:t>6:26</w:t>
      </w:r>
      <w:r w:rsidRPr="006F304D">
        <w:t xml:space="preserve">, </w:t>
      </w:r>
      <w:r w:rsidRPr="00BC3F72">
        <w:t>17:23</w:t>
      </w:r>
      <w:r w:rsidRPr="006F304D">
        <w:t xml:space="preserve">, </w:t>
      </w:r>
      <w:r w:rsidRPr="00BC3F72">
        <w:t>and the introduction and conclusion of the sermon on the plain need not refer to false Christian teachers.</w:t>
      </w:r>
    </w:p>
  </w:footnote>
  <w:footnote w:id="641">
    <w:p w14:paraId="46D4DF71" w14:textId="0B3FFF78" w:rsidR="0052235D" w:rsidRDefault="0052235D" w:rsidP="00573F48">
      <w:pPr>
        <w:pStyle w:val="FootnoteText"/>
      </w:pPr>
      <w:r>
        <w:rPr>
          <w:rStyle w:val="FootnoteReference"/>
        </w:rPr>
        <w:footnoteRef/>
      </w:r>
      <w:r>
        <w:t xml:space="preserve"> Ib</w:t>
      </w:r>
      <w:r w:rsidRPr="00BC3F72">
        <w:t>id. 64</w:t>
      </w:r>
      <w:r>
        <w:t>1</w:t>
      </w:r>
      <w:r w:rsidRPr="00BC3F72">
        <w:t>.</w:t>
      </w:r>
    </w:p>
  </w:footnote>
  <w:footnote w:id="642">
    <w:p w14:paraId="3D0F707F" w14:textId="1CD26C69" w:rsidR="0052235D" w:rsidRDefault="0052235D" w:rsidP="00573F48">
      <w:pPr>
        <w:pStyle w:val="FootnoteText"/>
      </w:pPr>
      <w:r>
        <w:rPr>
          <w:rStyle w:val="FootnoteReference"/>
        </w:rPr>
        <w:footnoteRef/>
      </w:r>
      <w:r>
        <w:t xml:space="preserve"> Ib</w:t>
      </w:r>
      <w:r w:rsidRPr="00BC3F72">
        <w:t>id. 642.</w:t>
      </w:r>
    </w:p>
  </w:footnote>
  <w:footnote w:id="643">
    <w:p w14:paraId="52EFD48F" w14:textId="2EAF89D2" w:rsidR="0052235D" w:rsidRDefault="0052235D" w:rsidP="00573F48">
      <w:pPr>
        <w:pStyle w:val="FootnoteText"/>
      </w:pPr>
      <w:r>
        <w:rPr>
          <w:rStyle w:val="FootnoteReference"/>
        </w:rPr>
        <w:footnoteRef/>
      </w:r>
      <w:r>
        <w:t xml:space="preserve"> Ibid. 642.</w:t>
      </w:r>
    </w:p>
  </w:footnote>
  <w:footnote w:id="644">
    <w:p w14:paraId="000440B3" w14:textId="4DAFD3A4" w:rsidR="0052235D" w:rsidRDefault="0052235D" w:rsidP="00573F48">
      <w:pPr>
        <w:pStyle w:val="FootnoteText"/>
      </w:pPr>
      <w:r>
        <w:rPr>
          <w:rStyle w:val="FootnoteReference"/>
        </w:rPr>
        <w:footnoteRef/>
      </w:r>
      <w:r>
        <w:t xml:space="preserve"> </w:t>
      </w:r>
      <w:r w:rsidRPr="00BC3F72">
        <w:t>T</w:t>
      </w:r>
      <w:r>
        <w:t>h</w:t>
      </w:r>
      <w:r w:rsidRPr="00BC3F72">
        <w:t>e “blind man” would then be a figurative reference to false Christian teachers</w:t>
      </w:r>
      <w:r w:rsidRPr="006F304D">
        <w:t xml:space="preserve">, </w:t>
      </w:r>
      <w:r w:rsidRPr="00BC3F72">
        <w:t xml:space="preserve">and the “teacher” a literal reference. The RSV: </w:t>
      </w:r>
      <w:r>
        <w:t>“</w:t>
      </w:r>
      <w:r w:rsidRPr="00BC3F72">
        <w:t xml:space="preserve">A disciple is not above his teacher </w:t>
      </w:r>
      <w:r w:rsidRPr="00EE2A2F">
        <w:t>. . .</w:t>
      </w:r>
      <w:r>
        <w:t>”</w:t>
      </w:r>
    </w:p>
  </w:footnote>
  <w:footnote w:id="645">
    <w:p w14:paraId="709A544E" w14:textId="380F8288" w:rsidR="00D24C87" w:rsidRDefault="00D24C87" w:rsidP="00573F48">
      <w:pPr>
        <w:pStyle w:val="FootnoteText"/>
      </w:pPr>
      <w:r>
        <w:rPr>
          <w:rStyle w:val="FootnoteReference"/>
        </w:rPr>
        <w:footnoteRef/>
      </w:r>
      <w:r>
        <w:t xml:space="preserve"> Ib</w:t>
      </w:r>
      <w:r w:rsidRPr="00BC3F72">
        <w:t xml:space="preserve">id. 626: </w:t>
      </w:r>
      <w:r w:rsidR="001B2B5D">
        <w:t>“</w:t>
      </w:r>
      <w:r w:rsidRPr="00BC3F72">
        <w:t>Rather</w:t>
      </w:r>
      <w:r w:rsidRPr="006F304D">
        <w:t xml:space="preserve">, </w:t>
      </w:r>
      <w:r w:rsidRPr="00BC3F72">
        <w:t>everyone who is fully schooled will someday be like his teacher.”</w:t>
      </w:r>
    </w:p>
  </w:footnote>
  <w:footnote w:id="646">
    <w:p w14:paraId="0BA0515C" w14:textId="35604772" w:rsidR="00D24C87" w:rsidRDefault="00D24C87" w:rsidP="00573F48">
      <w:pPr>
        <w:pStyle w:val="FootnoteText"/>
      </w:pPr>
      <w:r>
        <w:rPr>
          <w:rStyle w:val="FootnoteReference"/>
        </w:rPr>
        <w:footnoteRef/>
      </w:r>
      <w:r>
        <w:t xml:space="preserve"> </w:t>
      </w:r>
      <w:r w:rsidRPr="00BC3F72">
        <w:t>Literal blind men in Luke: 7:21-22 (“on many that were blind he bestowed sight”) and 18:35-43 (healing of a blind beggar near Jericho). Metaphorical blind men: 4:18 (</w:t>
      </w:r>
      <w:r>
        <w:t>“</w:t>
      </w:r>
      <w:r w:rsidRPr="00BC3F72">
        <w:t xml:space="preserve">He has sent me to proclaim </w:t>
      </w:r>
      <w:r w:rsidRPr="00EE2A2F">
        <w:t>. . .</w:t>
      </w:r>
      <w:r w:rsidRPr="00BC3F72">
        <w:t xml:space="preserve"> recovering of sight to the blind” [quoting Isa 61:1-2]); 6:39; and 14:13</w:t>
      </w:r>
      <w:r w:rsidRPr="006F304D">
        <w:t xml:space="preserve">, </w:t>
      </w:r>
      <w:r w:rsidRPr="00BC3F72">
        <w:t>21 (parable of the great banquet: “bring in the poor and maimed and blind”).</w:t>
      </w:r>
    </w:p>
  </w:footnote>
  <w:footnote w:id="647">
    <w:p w14:paraId="249A94E7" w14:textId="77777777" w:rsidR="00B32D1D" w:rsidRDefault="00B32D1D" w:rsidP="00573F48">
      <w:pPr>
        <w:pStyle w:val="FootnoteText"/>
      </w:pPr>
      <w:r>
        <w:rPr>
          <w:rStyle w:val="FootnoteReference"/>
        </w:rPr>
        <w:footnoteRef/>
      </w:r>
      <w:r>
        <w:t xml:space="preserve"> </w:t>
      </w:r>
      <w:r w:rsidRPr="00BC3F72">
        <w:t>Bultmann</w:t>
      </w:r>
      <w:r w:rsidRPr="006F304D">
        <w:t xml:space="preserve">, </w:t>
      </w:r>
      <w:r w:rsidRPr="00BC3F72">
        <w:rPr>
          <w:i/>
          <w:iCs/>
        </w:rPr>
        <w:t>History of the Synoptic Tradition</w:t>
      </w:r>
      <w:r w:rsidRPr="00B32D1D">
        <w:t xml:space="preserve"> </w:t>
      </w:r>
      <w:r w:rsidRPr="00BC3F72">
        <w:t>99. Bultmann’s interpretation has</w:t>
      </w:r>
      <w:r>
        <w:t xml:space="preserve"> </w:t>
      </w:r>
      <w:r w:rsidRPr="00BC3F72">
        <w:t>not been well received. Dupont (</w:t>
      </w:r>
      <w:r w:rsidRPr="00BC3F72">
        <w:rPr>
          <w:i/>
          <w:iCs/>
        </w:rPr>
        <w:t>B</w:t>
      </w:r>
      <w:r>
        <w:rPr>
          <w:i/>
          <w:iCs/>
        </w:rPr>
        <w:t>é</w:t>
      </w:r>
      <w:r w:rsidRPr="00BC3F72">
        <w:rPr>
          <w:i/>
          <w:iCs/>
        </w:rPr>
        <w:t>atitudes</w:t>
      </w:r>
      <w:r w:rsidRPr="006F304D">
        <w:rPr>
          <w:iCs/>
        </w:rPr>
        <w:t xml:space="preserve"> </w:t>
      </w:r>
      <w:r w:rsidRPr="00BC3F72">
        <w:t>1. 53 n. 2) says of it:</w:t>
      </w:r>
    </w:p>
    <w:p w14:paraId="07448F31" w14:textId="77777777" w:rsidR="00B32D1D" w:rsidRDefault="00B32D1D" w:rsidP="00573F48">
      <w:pPr>
        <w:pStyle w:val="FootnoteText"/>
      </w:pPr>
    </w:p>
    <w:p w14:paraId="665AF6F1" w14:textId="1A45AAA2" w:rsidR="00B32D1D" w:rsidRPr="00E5413C" w:rsidRDefault="00B32D1D" w:rsidP="00573F48">
      <w:pPr>
        <w:pStyle w:val="FootnoteText"/>
        <w:rPr>
          <w:lang w:val="fr-FR"/>
        </w:rPr>
      </w:pPr>
      <w:r w:rsidRPr="00BC3F72">
        <w:t xml:space="preserve">Bultmann </w:t>
      </w:r>
      <w:r w:rsidRPr="00EE2A2F">
        <w:t>. . .</w:t>
      </w:r>
      <w:r w:rsidRPr="00BC3F72">
        <w:t xml:space="preserve"> proposes another explication </w:t>
      </w:r>
      <w:r w:rsidRPr="00EE2A2F">
        <w:t>. . .</w:t>
      </w:r>
      <w:r w:rsidRPr="00BC3F72">
        <w:t>: Do not judge (v. 37)</w:t>
      </w:r>
      <w:r w:rsidRPr="006F304D">
        <w:t xml:space="preserve">, </w:t>
      </w:r>
      <w:r w:rsidRPr="00BC3F72">
        <w:t>for you yourselves are blind (v. 39); there is only one judge</w:t>
      </w:r>
      <w:r w:rsidRPr="006F304D">
        <w:t xml:space="preserve">, </w:t>
      </w:r>
      <w:r w:rsidRPr="00BC3F72">
        <w:t xml:space="preserve">Jesus (v. 40). This explication is unduly complicated; </w:t>
      </w:r>
      <w:r w:rsidRPr="00B32D1D">
        <w:rPr>
          <w:iCs/>
        </w:rPr>
        <w:t>Jülicher</w:t>
      </w:r>
      <w:r w:rsidRPr="00BC3F72">
        <w:t xml:space="preserve"> already envisaged it</w:t>
      </w:r>
      <w:r w:rsidRPr="006F304D">
        <w:t xml:space="preserve">, </w:t>
      </w:r>
      <w:r w:rsidRPr="00BC3F72">
        <w:t>only to reject it (11</w:t>
      </w:r>
      <w:r w:rsidRPr="006F304D">
        <w:t xml:space="preserve">, </w:t>
      </w:r>
      <w:r w:rsidRPr="00BC3F72">
        <w:t>40); and Schmid rejects it as well (</w:t>
      </w:r>
      <w:r w:rsidRPr="00BC3F72">
        <w:rPr>
          <w:i/>
          <w:iCs/>
        </w:rPr>
        <w:t>Luke</w:t>
      </w:r>
      <w:r w:rsidRPr="006F304D">
        <w:rPr>
          <w:iCs/>
        </w:rPr>
        <w:t xml:space="preserve">, </w:t>
      </w:r>
      <w:r w:rsidRPr="00BC3F72">
        <w:t xml:space="preserve">138). </w:t>
      </w:r>
      <w:r w:rsidRPr="00E5413C">
        <w:rPr>
          <w:lang w:val="fr-FR"/>
        </w:rPr>
        <w:t xml:space="preserve">(“Bultmann (103. 161). . . propose une autre explication . . .: Ne jugez pas (v. 37), alors que vous êtes vous-mêmes des aveugles (v. 39); il n’y a qu’un seul juge, Jésus (v. 40). Explication apparemment bien compliquée; </w:t>
      </w:r>
      <w:r w:rsidR="001B2B5D" w:rsidRPr="00E5413C">
        <w:rPr>
          <w:iCs/>
          <w:lang w:val="fr-FR"/>
        </w:rPr>
        <w:t>Jülicher</w:t>
      </w:r>
      <w:r w:rsidRPr="00E5413C">
        <w:rPr>
          <w:lang w:val="fr-FR"/>
        </w:rPr>
        <w:t xml:space="preserve"> l’avait déjà envisagée pour la rejeter (II, 40), Schmid la rejette à son tour (</w:t>
      </w:r>
      <w:r w:rsidRPr="00E5413C">
        <w:rPr>
          <w:i/>
          <w:iCs/>
          <w:lang w:val="fr-FR"/>
        </w:rPr>
        <w:t>Lk</w:t>
      </w:r>
      <w:r w:rsidRPr="00E5413C">
        <w:rPr>
          <w:iCs/>
          <w:lang w:val="fr-FR"/>
        </w:rPr>
        <w:t xml:space="preserve">., </w:t>
      </w:r>
      <w:r w:rsidRPr="00E5413C">
        <w:rPr>
          <w:lang w:val="fr-FR"/>
        </w:rPr>
        <w:t>138).”)</w:t>
      </w:r>
    </w:p>
    <w:p w14:paraId="6EEFD562" w14:textId="77777777" w:rsidR="00B32D1D" w:rsidRPr="00E5413C" w:rsidRDefault="00B32D1D" w:rsidP="00573F48">
      <w:pPr>
        <w:pStyle w:val="FootnoteText"/>
        <w:rPr>
          <w:lang w:val="fr-FR"/>
        </w:rPr>
      </w:pPr>
    </w:p>
    <w:p w14:paraId="137A67A9" w14:textId="6C3601CC" w:rsidR="00B32D1D" w:rsidRDefault="00B32D1D" w:rsidP="00573F48">
      <w:pPr>
        <w:pStyle w:val="FootnoteText"/>
      </w:pPr>
      <w:r w:rsidRPr="00BC3F72">
        <w:t>The p</w:t>
      </w:r>
      <w:r>
        <w:t>r</w:t>
      </w:r>
      <w:r w:rsidRPr="00BC3F72">
        <w:t>incipal problem with Bultmann’s interpretation</w:t>
      </w:r>
      <w:r w:rsidRPr="006F304D">
        <w:t xml:space="preserve">, </w:t>
      </w:r>
      <w:r w:rsidRPr="00BC3F72">
        <w:t>it seems to me</w:t>
      </w:r>
      <w:r w:rsidRPr="006F304D">
        <w:t xml:space="preserve">, </w:t>
      </w:r>
      <w:r w:rsidRPr="00BC3F72">
        <w:t>is not that it is too complicated</w:t>
      </w:r>
      <w:r w:rsidRPr="006F304D">
        <w:t xml:space="preserve">, </w:t>
      </w:r>
      <w:r w:rsidRPr="00BC3F72">
        <w:t>but that it fails to explain 40b.</w:t>
      </w:r>
    </w:p>
  </w:footnote>
  <w:footnote w:id="648">
    <w:p w14:paraId="29981EA7" w14:textId="610EE3BB" w:rsidR="001B2B5D" w:rsidRDefault="001B2B5D" w:rsidP="00573F48">
      <w:pPr>
        <w:pStyle w:val="FootnoteText"/>
      </w:pPr>
      <w:r>
        <w:rPr>
          <w:rStyle w:val="FootnoteReference"/>
        </w:rPr>
        <w:footnoteRef/>
      </w:r>
      <w:r>
        <w:t xml:space="preserve"> </w:t>
      </w:r>
      <w:r w:rsidRPr="00BC3F72">
        <w:t>Bumside</w:t>
      </w:r>
      <w:r w:rsidRPr="006F304D">
        <w:t xml:space="preserve">, </w:t>
      </w:r>
      <w:r w:rsidRPr="00BC3F72">
        <w:rPr>
          <w:i/>
          <w:iCs/>
        </w:rPr>
        <w:t>Gospel According to St</w:t>
      </w:r>
      <w:r w:rsidRPr="00BC3F72">
        <w:rPr>
          <w:iCs/>
        </w:rPr>
        <w:t xml:space="preserve">. </w:t>
      </w:r>
      <w:r w:rsidRPr="00BC3F72">
        <w:rPr>
          <w:i/>
          <w:iCs/>
        </w:rPr>
        <w:t>Luke</w:t>
      </w:r>
      <w:r w:rsidRPr="005C0AF9">
        <w:t xml:space="preserve"> </w:t>
      </w:r>
      <w:r w:rsidRPr="00BC3F72">
        <w:t>133. The opposite problem</w:t>
      </w:r>
      <w:r w:rsidRPr="00F624D6">
        <w:t>—</w:t>
      </w:r>
      <w:r w:rsidRPr="00BC3F72">
        <w:t>explaining 40b but ignoring 40a</w:t>
      </w:r>
      <w:r w:rsidRPr="00F624D6">
        <w:t>—</w:t>
      </w:r>
      <w:r w:rsidRPr="00BC3F72">
        <w:t xml:space="preserve">can be seen in another exegete who identifies the </w:t>
      </w:r>
      <w:r w:rsidR="005C0AF9">
        <w:t>“</w:t>
      </w:r>
      <w:r w:rsidRPr="00BC3F72">
        <w:t>teacher” in 40 as Jesus (Maddox</w:t>
      </w:r>
      <w:r w:rsidRPr="006F304D">
        <w:t xml:space="preserve">, </w:t>
      </w:r>
      <w:r w:rsidRPr="00BC3F72">
        <w:rPr>
          <w:i/>
          <w:iCs/>
        </w:rPr>
        <w:t>Purpose of Luke-Acts</w:t>
      </w:r>
      <w:r w:rsidRPr="005C0AF9">
        <w:t xml:space="preserve"> </w:t>
      </w:r>
      <w:r w:rsidRPr="00BC3F72">
        <w:t>79): The Christian life is an imitation</w:t>
      </w:r>
      <w:r w:rsidRPr="006F304D">
        <w:t xml:space="preserve">, </w:t>
      </w:r>
      <w:r w:rsidRPr="00BC3F72">
        <w:t>or better a following</w:t>
      </w:r>
      <w:r w:rsidRPr="006F304D">
        <w:t xml:space="preserve">, </w:t>
      </w:r>
      <w:r w:rsidRPr="00BC3F72">
        <w:t xml:space="preserve">of Christ: </w:t>
      </w:r>
      <w:r w:rsidRPr="00EE2A2F">
        <w:t>. . .</w:t>
      </w:r>
      <w:r w:rsidRPr="00BC3F72">
        <w:t xml:space="preserve"> the disciple is one who is shaped into the pattern of his teacher (Luke 6:40).” The disciple “shaped into the pattern of his teacher” can refer only to 40b (</w:t>
      </w:r>
      <w:r w:rsidR="005C0AF9">
        <w:t>“</w:t>
      </w:r>
      <w:r w:rsidRPr="00BC3F72">
        <w:t>every one when he is fully taught will be like his teacher”); it does not explain 40a (</w:t>
      </w:r>
      <w:r w:rsidR="005C0AF9">
        <w:t>“</w:t>
      </w:r>
      <w:r w:rsidRPr="00BC3F72">
        <w:t>a disciple is not above his teacher”).</w:t>
      </w:r>
    </w:p>
  </w:footnote>
  <w:footnote w:id="649">
    <w:p w14:paraId="0416E15E" w14:textId="56274120" w:rsidR="005C0AF9" w:rsidRDefault="005C0AF9" w:rsidP="00573F48">
      <w:pPr>
        <w:pStyle w:val="FootnoteText"/>
      </w:pPr>
      <w:r>
        <w:rPr>
          <w:rStyle w:val="FootnoteReference"/>
        </w:rPr>
        <w:footnoteRef/>
      </w:r>
      <w:r>
        <w:t xml:space="preserve"> </w:t>
      </w:r>
      <w:r w:rsidRPr="00BC3F72">
        <w:rPr>
          <w:szCs w:val="25"/>
        </w:rPr>
        <w:t>Bauer-Amdt-Gingrich</w:t>
      </w:r>
      <w:r w:rsidRPr="006F304D">
        <w:rPr>
          <w:szCs w:val="25"/>
        </w:rPr>
        <w:t xml:space="preserve">, </w:t>
      </w:r>
      <w:r w:rsidRPr="00BC3F72">
        <w:rPr>
          <w:i/>
          <w:iCs/>
        </w:rPr>
        <w:t>Greek-Eng</w:t>
      </w:r>
      <w:r>
        <w:rPr>
          <w:i/>
          <w:iCs/>
        </w:rPr>
        <w:t>l</w:t>
      </w:r>
      <w:r w:rsidRPr="00BC3F72">
        <w:rPr>
          <w:i/>
          <w:iCs/>
        </w:rPr>
        <w:t>ish Lexicon</w:t>
      </w:r>
      <w:r w:rsidRPr="005C0AF9">
        <w:t xml:space="preserve"> </w:t>
      </w:r>
      <w:r w:rsidRPr="00BC3F72">
        <w:rPr>
          <w:szCs w:val="25"/>
        </w:rPr>
        <w:t>417.</w:t>
      </w:r>
    </w:p>
  </w:footnote>
  <w:footnote w:id="650">
    <w:p w14:paraId="0C37FE97" w14:textId="29BA6105" w:rsidR="00B06EC0" w:rsidRDefault="00B06EC0" w:rsidP="00573F48">
      <w:pPr>
        <w:pStyle w:val="FootnoteText"/>
      </w:pPr>
      <w:r>
        <w:rPr>
          <w:rStyle w:val="FootnoteReference"/>
        </w:rPr>
        <w:footnoteRef/>
      </w:r>
      <w:r>
        <w:t xml:space="preserve"> Z</w:t>
      </w:r>
      <w:r w:rsidRPr="00BC3F72">
        <w:t>erwick and Grosvenor</w:t>
      </w:r>
      <w:r w:rsidRPr="006F304D">
        <w:t xml:space="preserve">, </w:t>
      </w:r>
      <w:r w:rsidRPr="00BC3F72">
        <w:rPr>
          <w:i/>
          <w:iCs/>
        </w:rPr>
        <w:t>Grammatical Analysis</w:t>
      </w:r>
      <w:r w:rsidRPr="006F304D">
        <w:rPr>
          <w:iCs/>
        </w:rPr>
        <w:t xml:space="preserve"> </w:t>
      </w:r>
      <w:r w:rsidRPr="00BC3F72">
        <w:t>1. 197.</w:t>
      </w:r>
    </w:p>
  </w:footnote>
  <w:footnote w:id="651">
    <w:p w14:paraId="3FE4A5A8" w14:textId="5D11D040" w:rsidR="00573F48" w:rsidRDefault="00573F48" w:rsidP="00573F48">
      <w:pPr>
        <w:pStyle w:val="FootnoteText"/>
      </w:pPr>
      <w:r>
        <w:rPr>
          <w:rStyle w:val="FootnoteReference"/>
        </w:rPr>
        <w:footnoteRef/>
      </w:r>
      <w:r>
        <w:t xml:space="preserve"> </w:t>
      </w:r>
      <w:r w:rsidRPr="00BC3F72">
        <w:t>John 13:16; the same saying appears also in Matt 10:24-25 (where it is parallel to the disciple-teacher logion) and in John 15:20 (“a servant is not greater than his master”). CE. Luke 22.:27</w:t>
      </w:r>
      <w:r w:rsidRPr="006F304D">
        <w:t xml:space="preserve">, </w:t>
      </w:r>
      <w:r w:rsidRPr="00BC3F72">
        <w:t>‘For which is the greater</w:t>
      </w:r>
      <w:r w:rsidRPr="006F304D">
        <w:t xml:space="preserve">, </w:t>
      </w:r>
      <w:r w:rsidRPr="00BC3F72">
        <w:t>one who sits at table</w:t>
      </w:r>
      <w:r w:rsidRPr="006F304D">
        <w:t xml:space="preserve">, </w:t>
      </w:r>
      <w:r w:rsidRPr="00BC3F72">
        <w:t>or one who serves? Is it not the one who sits at table? But I am among you as one who serves.”</w:t>
      </w:r>
    </w:p>
  </w:footnote>
  <w:footnote w:id="652">
    <w:p w14:paraId="1E43A019" w14:textId="1ADD1C04" w:rsidR="000E0575" w:rsidRPr="00E5413C" w:rsidRDefault="000E0575">
      <w:pPr>
        <w:pStyle w:val="FootnoteText"/>
        <w:rPr>
          <w:lang w:val="fr-FR"/>
        </w:rPr>
      </w:pPr>
      <w:r>
        <w:rPr>
          <w:rStyle w:val="FootnoteReference"/>
        </w:rPr>
        <w:footnoteRef/>
      </w:r>
      <w:r w:rsidRPr="00E5413C">
        <w:rPr>
          <w:lang w:val="fr-FR"/>
        </w:rPr>
        <w:t xml:space="preserve"> </w:t>
      </w:r>
      <w:r w:rsidRPr="00E5413C">
        <w:rPr>
          <w:szCs w:val="25"/>
          <w:lang w:val="fr-FR"/>
        </w:rPr>
        <w:t xml:space="preserve">Dupont, </w:t>
      </w:r>
      <w:r w:rsidRPr="00E5413C">
        <w:rPr>
          <w:i/>
          <w:iCs/>
          <w:szCs w:val="26"/>
          <w:lang w:val="fr-FR"/>
        </w:rPr>
        <w:t>Béatitudes</w:t>
      </w:r>
      <w:r w:rsidRPr="00E5413C">
        <w:rPr>
          <w:iCs/>
          <w:szCs w:val="26"/>
          <w:lang w:val="fr-FR"/>
        </w:rPr>
        <w:t xml:space="preserve"> </w:t>
      </w:r>
      <w:r w:rsidRPr="00E5413C">
        <w:rPr>
          <w:szCs w:val="25"/>
          <w:lang w:val="fr-FR"/>
        </w:rPr>
        <w:t xml:space="preserve">1. 53: celui qui n’est pas capable de conduire autrui (v. 39) ne doit pas vouloir jouer </w:t>
      </w:r>
      <w:r w:rsidRPr="00E5413C">
        <w:rPr>
          <w:szCs w:val="36"/>
          <w:lang w:val="fr-FR"/>
        </w:rPr>
        <w:t xml:space="preserve">à </w:t>
      </w:r>
      <w:r w:rsidRPr="00E5413C">
        <w:rPr>
          <w:szCs w:val="25"/>
          <w:lang w:val="fr-FR"/>
        </w:rPr>
        <w:t>son égard le rôle d’un maître (v. 40).”</w:t>
      </w:r>
    </w:p>
  </w:footnote>
  <w:footnote w:id="653">
    <w:p w14:paraId="3E65B03B" w14:textId="00CA19BC" w:rsidR="000E0575" w:rsidRDefault="000E0575">
      <w:pPr>
        <w:pStyle w:val="FootnoteText"/>
      </w:pPr>
      <w:r>
        <w:rPr>
          <w:rStyle w:val="FootnoteReference"/>
        </w:rPr>
        <w:footnoteRef/>
      </w:r>
      <w:r>
        <w:t xml:space="preserve"> </w:t>
      </w:r>
      <w:r>
        <w:rPr>
          <w:szCs w:val="25"/>
        </w:rPr>
        <w:t>Pfl</w:t>
      </w:r>
      <w:r w:rsidRPr="00BC3F72">
        <w:rPr>
          <w:szCs w:val="25"/>
        </w:rPr>
        <w:t>eiderer</w:t>
      </w:r>
      <w:r w:rsidRPr="006F304D">
        <w:rPr>
          <w:szCs w:val="25"/>
        </w:rPr>
        <w:t xml:space="preserve">, </w:t>
      </w:r>
      <w:r w:rsidRPr="00BC3F72">
        <w:rPr>
          <w:i/>
          <w:iCs/>
          <w:szCs w:val="23"/>
        </w:rPr>
        <w:t>Primitive Christianity</w:t>
      </w:r>
      <w:r w:rsidRPr="006F304D">
        <w:rPr>
          <w:iCs/>
          <w:szCs w:val="23"/>
        </w:rPr>
        <w:t xml:space="preserve"> </w:t>
      </w:r>
      <w:r w:rsidRPr="00BC3F72">
        <w:rPr>
          <w:szCs w:val="25"/>
        </w:rPr>
        <w:t>2. 129.</w:t>
      </w:r>
    </w:p>
  </w:footnote>
  <w:footnote w:id="654">
    <w:p w14:paraId="3C92B87A" w14:textId="307F6151" w:rsidR="000E0575" w:rsidRDefault="000E0575">
      <w:pPr>
        <w:pStyle w:val="FootnoteText"/>
      </w:pPr>
      <w:r>
        <w:rPr>
          <w:rStyle w:val="FootnoteReference"/>
        </w:rPr>
        <w:footnoteRef/>
      </w:r>
      <w:r>
        <w:t xml:space="preserve"> </w:t>
      </w:r>
      <w:r w:rsidRPr="00BC3F72">
        <w:rPr>
          <w:szCs w:val="25"/>
        </w:rPr>
        <w:t>Easton</w:t>
      </w:r>
      <w:r w:rsidRPr="006F304D">
        <w:rPr>
          <w:szCs w:val="25"/>
        </w:rPr>
        <w:t xml:space="preserve">, </w:t>
      </w:r>
      <w:r w:rsidRPr="00BC3F72">
        <w:rPr>
          <w:i/>
          <w:iCs/>
        </w:rPr>
        <w:t>Gospel According to Saint Luke</w:t>
      </w:r>
      <w:r w:rsidRPr="000E0575">
        <w:t xml:space="preserve"> </w:t>
      </w:r>
      <w:r w:rsidRPr="00BC3F72">
        <w:rPr>
          <w:szCs w:val="25"/>
        </w:rPr>
        <w:t xml:space="preserve">91. Easton resolutely opposes seeing the teacher in 40 as Jesus: </w:t>
      </w:r>
      <w:r>
        <w:rPr>
          <w:szCs w:val="25"/>
        </w:rPr>
        <w:t>“</w:t>
      </w:r>
      <w:r w:rsidRPr="00BC3F72">
        <w:rPr>
          <w:szCs w:val="34"/>
        </w:rPr>
        <w:t xml:space="preserve">v. </w:t>
      </w:r>
      <w:r w:rsidRPr="00BC3F72">
        <w:rPr>
          <w:szCs w:val="25"/>
        </w:rPr>
        <w:t>49 [</w:t>
      </w:r>
      <w:r w:rsidRPr="000E0575">
        <w:rPr>
          <w:i/>
          <w:iCs/>
          <w:szCs w:val="25"/>
        </w:rPr>
        <w:t>sic</w:t>
      </w:r>
      <w:r w:rsidRPr="00BC3F72">
        <w:rPr>
          <w:szCs w:val="25"/>
        </w:rPr>
        <w:t xml:space="preserve">: sc. “40”] is quite as general as v. 39 and there is no reference to Christ in ‘teacher’ </w:t>
      </w:r>
      <w:r w:rsidRPr="00EE2A2F">
        <w:rPr>
          <w:szCs w:val="25"/>
        </w:rPr>
        <w:t>. . .</w:t>
      </w:r>
      <w:r>
        <w:rPr>
          <w:szCs w:val="25"/>
        </w:rPr>
        <w:t>”</w:t>
      </w:r>
    </w:p>
  </w:footnote>
  <w:footnote w:id="655">
    <w:p w14:paraId="2C4C70D3" w14:textId="7DDEA1F4" w:rsidR="000E0575" w:rsidRDefault="000E0575">
      <w:pPr>
        <w:pStyle w:val="FootnoteText"/>
      </w:pPr>
      <w:r>
        <w:rPr>
          <w:rStyle w:val="FootnoteReference"/>
        </w:rPr>
        <w:footnoteRef/>
      </w:r>
      <w:r>
        <w:t xml:space="preserve"> </w:t>
      </w:r>
      <w:r w:rsidRPr="00BC3F72">
        <w:rPr>
          <w:szCs w:val="25"/>
        </w:rPr>
        <w:t>Plummer</w:t>
      </w:r>
      <w:r w:rsidRPr="006F304D">
        <w:rPr>
          <w:szCs w:val="25"/>
        </w:rPr>
        <w:t xml:space="preserve">, </w:t>
      </w:r>
      <w:r w:rsidRPr="00BC3F72">
        <w:rPr>
          <w:i/>
          <w:iCs/>
        </w:rPr>
        <w:t>Critical and Exegetical Commentary</w:t>
      </w:r>
      <w:r w:rsidRPr="000E0575">
        <w:t xml:space="preserve"> </w:t>
      </w:r>
      <w:r w:rsidRPr="00BC3F72">
        <w:rPr>
          <w:szCs w:val="25"/>
        </w:rPr>
        <w:t>190</w:t>
      </w:r>
      <w:r w:rsidRPr="006F304D">
        <w:rPr>
          <w:szCs w:val="25"/>
        </w:rPr>
        <w:t xml:space="preserve">, </w:t>
      </w:r>
      <w:r w:rsidRPr="00BC3F72">
        <w:rPr>
          <w:szCs w:val="25"/>
        </w:rPr>
        <w:t>191. The explanations of Easton and Plummer explain well</w:t>
      </w:r>
      <w:r w:rsidRPr="006F304D">
        <w:rPr>
          <w:szCs w:val="25"/>
        </w:rPr>
        <w:t xml:space="preserve">, </w:t>
      </w:r>
      <w:r w:rsidRPr="00BC3F72">
        <w:rPr>
          <w:szCs w:val="25"/>
        </w:rPr>
        <w:t>it seems to me</w:t>
      </w:r>
      <w:r w:rsidRPr="006F304D">
        <w:rPr>
          <w:szCs w:val="25"/>
        </w:rPr>
        <w:t xml:space="preserve">, </w:t>
      </w:r>
      <w:r w:rsidRPr="00BC3F72">
        <w:rPr>
          <w:szCs w:val="25"/>
        </w:rPr>
        <w:t>both 39-40 and the meaning of 39-40 in relation to their larger context within the sermon (37-42</w:t>
      </w:r>
      <w:r w:rsidRPr="006F304D">
        <w:rPr>
          <w:szCs w:val="25"/>
        </w:rPr>
        <w:t xml:space="preserve">, </w:t>
      </w:r>
      <w:r w:rsidRPr="00BC3F72">
        <w:rPr>
          <w:szCs w:val="25"/>
        </w:rPr>
        <w:t>on judging). Thus</w:t>
      </w:r>
      <w:r w:rsidRPr="006F304D">
        <w:rPr>
          <w:szCs w:val="25"/>
        </w:rPr>
        <w:t xml:space="preserve">, </w:t>
      </w:r>
      <w:r w:rsidRPr="00BC3F72">
        <w:rPr>
          <w:szCs w:val="25"/>
        </w:rPr>
        <w:t>Plummer explicates 39bc with the clause</w:t>
      </w:r>
      <w:r w:rsidRPr="006F304D">
        <w:rPr>
          <w:szCs w:val="25"/>
        </w:rPr>
        <w:t xml:space="preserve">, </w:t>
      </w:r>
      <w:r>
        <w:rPr>
          <w:szCs w:val="25"/>
        </w:rPr>
        <w:t>“</w:t>
      </w:r>
      <w:r w:rsidRPr="00BC3F72">
        <w:rPr>
          <w:szCs w:val="25"/>
        </w:rPr>
        <w:t>teachers must beware of being blind and uninstructed”; he connects 39bc with 37-38</w:t>
      </w:r>
      <w:r w:rsidRPr="006F304D">
        <w:rPr>
          <w:szCs w:val="25"/>
        </w:rPr>
        <w:t xml:space="preserve">, </w:t>
      </w:r>
      <w:r w:rsidRPr="00BC3F72">
        <w:rPr>
          <w:szCs w:val="25"/>
        </w:rPr>
        <w:t>41-42 by means of the phrase</w:t>
      </w:r>
      <w:r w:rsidRPr="006F304D">
        <w:rPr>
          <w:szCs w:val="25"/>
        </w:rPr>
        <w:t xml:space="preserve">, </w:t>
      </w:r>
      <w:r w:rsidRPr="00BC3F72">
        <w:rPr>
          <w:szCs w:val="25"/>
        </w:rPr>
        <w:t>“especially with regard to knowledge of self</w:t>
      </w:r>
      <w:r>
        <w:rPr>
          <w:szCs w:val="25"/>
        </w:rPr>
        <w:t>”</w:t>
      </w:r>
      <w:r w:rsidRPr="00BC3F72">
        <w:rPr>
          <w:szCs w:val="25"/>
        </w:rPr>
        <w:t>; he explicates 40a with the clauses</w:t>
      </w:r>
      <w:r w:rsidRPr="006F304D">
        <w:rPr>
          <w:szCs w:val="25"/>
        </w:rPr>
        <w:t xml:space="preserve">, </w:t>
      </w:r>
      <w:r>
        <w:rPr>
          <w:szCs w:val="25"/>
        </w:rPr>
        <w:t>“</w:t>
      </w:r>
      <w:r w:rsidRPr="00BC3F72">
        <w:rPr>
          <w:szCs w:val="25"/>
        </w:rPr>
        <w:t>disciples will not get nearer to the truth than the teacher does” and “disciples will be no better than oneself”; and he connects 40a with 37-38</w:t>
      </w:r>
      <w:r w:rsidRPr="006F304D">
        <w:rPr>
          <w:szCs w:val="25"/>
        </w:rPr>
        <w:t xml:space="preserve">, </w:t>
      </w:r>
      <w:r w:rsidRPr="00BC3F72">
        <w:rPr>
          <w:szCs w:val="25"/>
        </w:rPr>
        <w:t>41-42 by means of the assertion</w:t>
      </w:r>
      <w:r w:rsidRPr="006F304D">
        <w:rPr>
          <w:szCs w:val="25"/>
        </w:rPr>
        <w:t xml:space="preserve">, </w:t>
      </w:r>
      <w:r>
        <w:rPr>
          <w:szCs w:val="25"/>
        </w:rPr>
        <w:t>“</w:t>
      </w:r>
      <w:r w:rsidRPr="00BC3F72">
        <w:rPr>
          <w:szCs w:val="25"/>
        </w:rPr>
        <w:t>one must</w:t>
      </w:r>
      <w:r w:rsidRPr="006F304D">
        <w:rPr>
          <w:szCs w:val="25"/>
        </w:rPr>
        <w:t xml:space="preserve">, </w:t>
      </w:r>
      <w:r w:rsidRPr="00BC3F72">
        <w:rPr>
          <w:szCs w:val="25"/>
        </w:rPr>
        <w:t>before judging and attempting to correct others</w:t>
      </w:r>
      <w:r w:rsidRPr="006F304D">
        <w:rPr>
          <w:szCs w:val="25"/>
        </w:rPr>
        <w:t xml:space="preserve">, </w:t>
      </w:r>
      <w:r w:rsidRPr="00BC3F72">
        <w:rPr>
          <w:szCs w:val="25"/>
        </w:rPr>
        <w:t>correct oneself.”</w:t>
      </w:r>
    </w:p>
  </w:footnote>
  <w:footnote w:id="656">
    <w:p w14:paraId="28A85D0A" w14:textId="4433BD75" w:rsidR="004B0393" w:rsidRDefault="004B0393">
      <w:pPr>
        <w:pStyle w:val="FootnoteText"/>
      </w:pPr>
      <w:r>
        <w:rPr>
          <w:rStyle w:val="FootnoteReference"/>
        </w:rPr>
        <w:footnoteRef/>
      </w:r>
      <w:r>
        <w:t xml:space="preserve"> </w:t>
      </w:r>
      <w:r w:rsidRPr="00BC3F72">
        <w:rPr>
          <w:szCs w:val="25"/>
        </w:rPr>
        <w:t xml:space="preserve">Bauer-Arndt-Gingrich prefer to say that it is either an adjective or a “substantive”: </w:t>
      </w:r>
      <w:r w:rsidRPr="00BC3F72">
        <w:rPr>
          <w:i/>
          <w:iCs/>
        </w:rPr>
        <w:t>Greek-English Lexicon</w:t>
      </w:r>
      <w:r w:rsidRPr="004B0393">
        <w:t xml:space="preserve"> </w:t>
      </w:r>
      <w:r w:rsidRPr="00BC3F72">
        <w:rPr>
          <w:szCs w:val="25"/>
        </w:rPr>
        <w:t>632.</w:t>
      </w:r>
    </w:p>
  </w:footnote>
  <w:footnote w:id="657">
    <w:p w14:paraId="6ADB455B" w14:textId="56E98164" w:rsidR="00DC00AC" w:rsidRDefault="00DC00AC">
      <w:pPr>
        <w:pStyle w:val="FootnoteText"/>
        <w:rPr>
          <w:szCs w:val="25"/>
        </w:rPr>
      </w:pPr>
      <w:r>
        <w:rPr>
          <w:rStyle w:val="FootnoteReference"/>
        </w:rPr>
        <w:footnoteRef/>
      </w:r>
      <w:r>
        <w:t xml:space="preserve"> </w:t>
      </w:r>
      <w:r>
        <w:rPr>
          <w:rFonts w:eastAsia="Arial"/>
          <w:szCs w:val="33"/>
        </w:rPr>
        <w:t>Cf</w:t>
      </w:r>
      <w:r w:rsidRPr="00BC3F72">
        <w:rPr>
          <w:rFonts w:eastAsia="Arial"/>
          <w:szCs w:val="33"/>
        </w:rPr>
        <w:t xml:space="preserve">. </w:t>
      </w:r>
      <w:r w:rsidRPr="00BC3F72">
        <w:rPr>
          <w:szCs w:val="25"/>
        </w:rPr>
        <w:t>Danker</w:t>
      </w:r>
      <w:r w:rsidRPr="006F304D">
        <w:rPr>
          <w:szCs w:val="25"/>
        </w:rPr>
        <w:t xml:space="preserve">, </w:t>
      </w:r>
      <w:r w:rsidRPr="00BC3F72">
        <w:rPr>
          <w:i/>
          <w:iCs/>
        </w:rPr>
        <w:t>Jesus and the New Age According to St</w:t>
      </w:r>
      <w:r w:rsidRPr="00BC3F72">
        <w:rPr>
          <w:iCs/>
        </w:rPr>
        <w:t xml:space="preserve">. </w:t>
      </w:r>
      <w:r w:rsidRPr="00BC3F72">
        <w:rPr>
          <w:i/>
          <w:iCs/>
        </w:rPr>
        <w:t>Luke</w:t>
      </w:r>
      <w:r w:rsidRPr="004B0393">
        <w:t xml:space="preserve"> </w:t>
      </w:r>
      <w:r w:rsidRPr="00BC3F72">
        <w:rPr>
          <w:szCs w:val="25"/>
        </w:rPr>
        <w:t>89: “the pupil-teacher</w:t>
      </w:r>
      <w:r>
        <w:rPr>
          <w:szCs w:val="25"/>
        </w:rPr>
        <w:t xml:space="preserve"> </w:t>
      </w:r>
      <w:r w:rsidRPr="00BC3F72">
        <w:rPr>
          <w:szCs w:val="25"/>
        </w:rPr>
        <w:t xml:space="preserve">proverb </w:t>
      </w:r>
      <w:r w:rsidRPr="00EE2A2F">
        <w:rPr>
          <w:szCs w:val="25"/>
        </w:rPr>
        <w:t>. . .</w:t>
      </w:r>
      <w:r w:rsidRPr="00BC3F72">
        <w:rPr>
          <w:szCs w:val="25"/>
        </w:rPr>
        <w:t xml:space="preserve"> refers to efforts at moral improvement. </w:t>
      </w:r>
      <w:r>
        <w:rPr>
          <w:szCs w:val="25"/>
        </w:rPr>
        <w:t>‘</w:t>
      </w:r>
      <w:r w:rsidRPr="00BC3F72">
        <w:rPr>
          <w:szCs w:val="25"/>
        </w:rPr>
        <w:t>What you are speaks louder than what you say</w:t>
      </w:r>
      <w:r>
        <w:rPr>
          <w:szCs w:val="25"/>
        </w:rPr>
        <w:t>’</w:t>
      </w:r>
      <w:r w:rsidRPr="00BC3F72">
        <w:rPr>
          <w:szCs w:val="25"/>
        </w:rPr>
        <w:t xml:space="preserve"> sums the matter.” “What you are speaks louder than what you say,</w:t>
      </w:r>
      <w:r>
        <w:rPr>
          <w:szCs w:val="25"/>
        </w:rPr>
        <w:t>”</w:t>
      </w:r>
      <w:r w:rsidRPr="00BC3F72">
        <w:rPr>
          <w:szCs w:val="25"/>
        </w:rPr>
        <w:t xml:space="preserve"> however</w:t>
      </w:r>
      <w:r w:rsidRPr="006F304D">
        <w:rPr>
          <w:szCs w:val="25"/>
        </w:rPr>
        <w:t xml:space="preserve">, </w:t>
      </w:r>
      <w:r w:rsidRPr="00BC3F72">
        <w:rPr>
          <w:szCs w:val="25"/>
        </w:rPr>
        <w:t xml:space="preserve">is not an adequate summary of verse 40. </w:t>
      </w:r>
      <w:r>
        <w:rPr>
          <w:szCs w:val="25"/>
        </w:rPr>
        <w:t>“</w:t>
      </w:r>
      <w:r w:rsidRPr="00BC3F72">
        <w:rPr>
          <w:szCs w:val="25"/>
        </w:rPr>
        <w:t>Deeds not words</w:t>
      </w:r>
      <w:r>
        <w:rPr>
          <w:szCs w:val="25"/>
        </w:rPr>
        <w:t>”</w:t>
      </w:r>
      <w:r w:rsidRPr="00BC3F72">
        <w:rPr>
          <w:szCs w:val="25"/>
        </w:rPr>
        <w:t xml:space="preserve"> is the message of the conclusion of the sermon </w:t>
      </w:r>
      <w:r>
        <w:rPr>
          <w:szCs w:val="25"/>
        </w:rPr>
        <w:t>(</w:t>
      </w:r>
      <w:r w:rsidRPr="00BC3F72">
        <w:rPr>
          <w:szCs w:val="25"/>
        </w:rPr>
        <w:t>46-49)</w:t>
      </w:r>
      <w:r w:rsidRPr="006F304D">
        <w:rPr>
          <w:szCs w:val="25"/>
        </w:rPr>
        <w:t xml:space="preserve">, </w:t>
      </w:r>
      <w:r w:rsidRPr="00BC3F72">
        <w:rPr>
          <w:szCs w:val="25"/>
        </w:rPr>
        <w:t>not the message of 39-40.</w:t>
      </w:r>
    </w:p>
    <w:p w14:paraId="1AA37363" w14:textId="0B8E6520" w:rsidR="00DC00AC" w:rsidRDefault="00DC00AC">
      <w:pPr>
        <w:pStyle w:val="FootnoteText"/>
      </w:pPr>
      <w:r w:rsidRPr="00BC3F72">
        <w:rPr>
          <w:szCs w:val="25"/>
        </w:rPr>
        <w:t>In another work (</w:t>
      </w:r>
      <w:r w:rsidRPr="00BC3F72">
        <w:rPr>
          <w:i/>
          <w:iCs/>
          <w:szCs w:val="25"/>
        </w:rPr>
        <w:t>Luke</w:t>
      </w:r>
      <w:r w:rsidRPr="006F304D">
        <w:rPr>
          <w:iCs/>
          <w:szCs w:val="25"/>
        </w:rPr>
        <w:t xml:space="preserve">, </w:t>
      </w:r>
      <w:r w:rsidRPr="00BC3F72">
        <w:rPr>
          <w:szCs w:val="25"/>
        </w:rPr>
        <w:t>Proclamation Commentaries: The New Testament Witnesses for Preaching [Philadelphia: Fortress</w:t>
      </w:r>
      <w:r w:rsidRPr="006F304D">
        <w:rPr>
          <w:szCs w:val="25"/>
        </w:rPr>
        <w:t xml:space="preserve">, </w:t>
      </w:r>
      <w:r w:rsidRPr="00BC3F72">
        <w:rPr>
          <w:szCs w:val="25"/>
        </w:rPr>
        <w:t>1976])</w:t>
      </w:r>
      <w:r w:rsidRPr="006F304D">
        <w:rPr>
          <w:szCs w:val="25"/>
        </w:rPr>
        <w:t xml:space="preserve">, </w:t>
      </w:r>
      <w:r w:rsidRPr="00BC3F72">
        <w:rPr>
          <w:szCs w:val="25"/>
        </w:rPr>
        <w:t xml:space="preserve">Danker cites verses 39-40 as an instance of Luke’s </w:t>
      </w:r>
      <w:r>
        <w:rPr>
          <w:szCs w:val="25"/>
        </w:rPr>
        <w:t>“</w:t>
      </w:r>
      <w:r w:rsidRPr="00BC3F72">
        <w:rPr>
          <w:szCs w:val="25"/>
        </w:rPr>
        <w:t xml:space="preserve">rhetorical device” (p. 90) of “miscellaneous clarifications” (p. 95). </w:t>
      </w:r>
      <w:r>
        <w:rPr>
          <w:szCs w:val="25"/>
        </w:rPr>
        <w:t>“</w:t>
      </w:r>
      <w:r w:rsidRPr="00BC3F72">
        <w:rPr>
          <w:szCs w:val="25"/>
        </w:rPr>
        <w:t>From the juxtaposition of two parables in 6:39-42</w:t>
      </w:r>
      <w:r w:rsidRPr="006F304D">
        <w:rPr>
          <w:szCs w:val="25"/>
        </w:rPr>
        <w:t xml:space="preserve">, </w:t>
      </w:r>
      <w:r w:rsidRPr="00BC3F72">
        <w:rPr>
          <w:szCs w:val="25"/>
        </w:rPr>
        <w:t>it is clear that vv. 39-40 present the moral critic and his victim under the masks of teacher and pupil” (p. 96). Though Danker acknowledges that both “blind” in 39 and “teacher” in 40 refer to the disciples</w:t>
      </w:r>
      <w:r w:rsidRPr="006F304D">
        <w:rPr>
          <w:szCs w:val="25"/>
        </w:rPr>
        <w:t xml:space="preserve">, </w:t>
      </w:r>
      <w:r w:rsidRPr="00BC3F72">
        <w:rPr>
          <w:szCs w:val="25"/>
        </w:rPr>
        <w:t xml:space="preserve">his creation of a formal rhetorical device called </w:t>
      </w:r>
      <w:r>
        <w:rPr>
          <w:szCs w:val="25"/>
        </w:rPr>
        <w:t>“</w:t>
      </w:r>
      <w:r w:rsidRPr="00BC3F72">
        <w:rPr>
          <w:szCs w:val="25"/>
        </w:rPr>
        <w:t>miscellaneous clari</w:t>
      </w:r>
      <w:r w:rsidRPr="00BC3F72">
        <w:rPr>
          <w:szCs w:val="25"/>
        </w:rPr>
        <w:softHyphen/>
        <w:t xml:space="preserve">fications” seems unnecessary. For nine other instances of this purported “device,” see </w:t>
      </w:r>
      <w:r w:rsidRPr="00BC3F72">
        <w:rPr>
          <w:i/>
          <w:iCs/>
          <w:szCs w:val="25"/>
        </w:rPr>
        <w:t>Luke</w:t>
      </w:r>
      <w:r w:rsidRPr="00DC00AC">
        <w:rPr>
          <w:szCs w:val="25"/>
        </w:rPr>
        <w:t xml:space="preserve"> </w:t>
      </w:r>
      <w:r w:rsidRPr="00BC3F72">
        <w:rPr>
          <w:szCs w:val="25"/>
        </w:rPr>
        <w:t>95-98.</w:t>
      </w:r>
    </w:p>
  </w:footnote>
  <w:footnote w:id="658">
    <w:p w14:paraId="2ECDFEB8" w14:textId="31659A78" w:rsidR="00DC00AC" w:rsidRPr="00E5413C" w:rsidRDefault="00DC00AC">
      <w:pPr>
        <w:pStyle w:val="FootnoteText"/>
        <w:rPr>
          <w:lang w:val="fr-FR"/>
        </w:rPr>
      </w:pPr>
      <w:r>
        <w:rPr>
          <w:rStyle w:val="FootnoteReference"/>
        </w:rPr>
        <w:footnoteRef/>
      </w:r>
      <w:r w:rsidRPr="00E5413C">
        <w:rPr>
          <w:lang w:val="fr-FR"/>
        </w:rPr>
        <w:t xml:space="preserve"> </w:t>
      </w:r>
      <w:r w:rsidRPr="00E5413C">
        <w:rPr>
          <w:szCs w:val="25"/>
          <w:lang w:val="fr-FR"/>
        </w:rPr>
        <w:t xml:space="preserve">Rose, </w:t>
      </w:r>
      <w:r w:rsidRPr="00E5413C">
        <w:rPr>
          <w:i/>
          <w:iCs/>
          <w:lang w:val="fr-FR"/>
        </w:rPr>
        <w:t xml:space="preserve">Évangile selon </w:t>
      </w:r>
      <w:r w:rsidRPr="00E5413C">
        <w:rPr>
          <w:i/>
          <w:iCs/>
          <w:szCs w:val="26"/>
          <w:lang w:val="fr-FR"/>
        </w:rPr>
        <w:t>S</w:t>
      </w:r>
      <w:r w:rsidRPr="00E5413C">
        <w:rPr>
          <w:iCs/>
          <w:szCs w:val="26"/>
          <w:lang w:val="fr-FR"/>
        </w:rPr>
        <w:t xml:space="preserve">. </w:t>
      </w:r>
      <w:r w:rsidRPr="00E5413C">
        <w:rPr>
          <w:i/>
          <w:iCs/>
          <w:szCs w:val="26"/>
          <w:lang w:val="fr-FR"/>
        </w:rPr>
        <w:t>Luc</w:t>
      </w:r>
      <w:r w:rsidRPr="00E5413C">
        <w:rPr>
          <w:szCs w:val="26"/>
          <w:lang w:val="fr-FR"/>
        </w:rPr>
        <w:t xml:space="preserve"> </w:t>
      </w:r>
      <w:r w:rsidRPr="00E5413C">
        <w:rPr>
          <w:szCs w:val="25"/>
          <w:lang w:val="fr-FR"/>
        </w:rPr>
        <w:t>70.</w:t>
      </w:r>
    </w:p>
  </w:footnote>
  <w:footnote w:id="659">
    <w:p w14:paraId="50F4BFFE" w14:textId="2582E932" w:rsidR="00755481" w:rsidRDefault="00755481">
      <w:pPr>
        <w:pStyle w:val="FootnoteText"/>
      </w:pPr>
      <w:r>
        <w:rPr>
          <w:rStyle w:val="FootnoteReference"/>
        </w:rPr>
        <w:footnoteRef/>
      </w:r>
      <w:r>
        <w:t xml:space="preserve"> </w:t>
      </w:r>
      <w:r w:rsidRPr="00BC3F72">
        <w:rPr>
          <w:szCs w:val="25"/>
        </w:rPr>
        <w:t>Easton</w:t>
      </w:r>
      <w:r w:rsidRPr="006F304D">
        <w:rPr>
          <w:szCs w:val="25"/>
        </w:rPr>
        <w:t xml:space="preserve">, </w:t>
      </w:r>
      <w:r w:rsidRPr="00BC3F72">
        <w:rPr>
          <w:i/>
          <w:iCs/>
        </w:rPr>
        <w:t>Gospel According to Saint Luke</w:t>
      </w:r>
      <w:r w:rsidRPr="00AF16A2">
        <w:t xml:space="preserve"> </w:t>
      </w:r>
      <w:r w:rsidRPr="00BC3F72">
        <w:rPr>
          <w:szCs w:val="25"/>
        </w:rPr>
        <w:t>90-91.</w:t>
      </w:r>
    </w:p>
  </w:footnote>
  <w:footnote w:id="660">
    <w:p w14:paraId="0CE904AF" w14:textId="297AEE05" w:rsidR="00755481" w:rsidRDefault="00755481">
      <w:pPr>
        <w:pStyle w:val="FootnoteText"/>
      </w:pPr>
      <w:r>
        <w:rPr>
          <w:rStyle w:val="FootnoteReference"/>
        </w:rPr>
        <w:footnoteRef/>
      </w:r>
      <w:r>
        <w:t xml:space="preserve"> Ibi</w:t>
      </w:r>
      <w:r w:rsidRPr="00BC3F72">
        <w:t xml:space="preserve">d. </w:t>
      </w:r>
      <w:r w:rsidRPr="00BC3F72">
        <w:rPr>
          <w:szCs w:val="25"/>
        </w:rPr>
        <w:t>91. Easton (ibid.) invites us to compare with 40a an admiring char</w:t>
      </w:r>
      <w:r w:rsidRPr="00BC3F72">
        <w:rPr>
          <w:szCs w:val="25"/>
        </w:rPr>
        <w:softHyphen/>
        <w:t xml:space="preserve">acterization of a disciple in the </w:t>
      </w:r>
      <w:r w:rsidRPr="00BC3F72">
        <w:rPr>
          <w:i/>
          <w:iCs/>
        </w:rPr>
        <w:t>Pirqe Aboth</w:t>
      </w:r>
      <w:r w:rsidRPr="00BC3F72">
        <w:rPr>
          <w:iCs/>
        </w:rPr>
        <w:t xml:space="preserve"> (</w:t>
      </w:r>
      <w:r w:rsidRPr="00BC3F72">
        <w:rPr>
          <w:szCs w:val="25"/>
        </w:rPr>
        <w:t>2:8): “Eliezer ben Hyrcanus is a plastered cistern that does not lose a drop.”</w:t>
      </w:r>
    </w:p>
  </w:footnote>
  <w:footnote w:id="661">
    <w:p w14:paraId="569A0EDD" w14:textId="06ADDB48" w:rsidR="00755481" w:rsidRDefault="00755481">
      <w:pPr>
        <w:pStyle w:val="FootnoteText"/>
      </w:pPr>
      <w:r>
        <w:rPr>
          <w:rStyle w:val="FootnoteReference"/>
        </w:rPr>
        <w:footnoteRef/>
      </w:r>
      <w:r>
        <w:t xml:space="preserve"> </w:t>
      </w:r>
      <w:r>
        <w:rPr>
          <w:rFonts w:eastAsia="Arial"/>
          <w:szCs w:val="19"/>
        </w:rPr>
        <w:t>I</w:t>
      </w:r>
      <w:r w:rsidRPr="00BC3F72">
        <w:rPr>
          <w:rFonts w:eastAsia="Arial"/>
          <w:szCs w:val="19"/>
        </w:rPr>
        <w:t xml:space="preserve"> </w:t>
      </w:r>
      <w:r w:rsidRPr="00BC3F72">
        <w:rPr>
          <w:szCs w:val="25"/>
        </w:rPr>
        <w:t xml:space="preserve">have expressed the change as one of ‘mood,” since some English grammars classify such expressions as </w:t>
      </w:r>
      <w:r>
        <w:rPr>
          <w:szCs w:val="25"/>
        </w:rPr>
        <w:t>“</w:t>
      </w:r>
      <w:r w:rsidRPr="00BC3F72">
        <w:rPr>
          <w:szCs w:val="25"/>
        </w:rPr>
        <w:t xml:space="preserve">can </w:t>
      </w:r>
      <w:r w:rsidRPr="00BC3F72">
        <w:rPr>
          <w:szCs w:val="27"/>
        </w:rPr>
        <w:t xml:space="preserve">+ </w:t>
      </w:r>
      <w:r w:rsidRPr="00BC3F72">
        <w:rPr>
          <w:szCs w:val="25"/>
        </w:rPr>
        <w:t>verb” as subjunctive. (See</w:t>
      </w:r>
      <w:r w:rsidRPr="006F304D">
        <w:rPr>
          <w:szCs w:val="25"/>
        </w:rPr>
        <w:t xml:space="preserve">, </w:t>
      </w:r>
      <w:r w:rsidRPr="00BC3F72">
        <w:rPr>
          <w:szCs w:val="25"/>
        </w:rPr>
        <w:t>e.g.</w:t>
      </w:r>
      <w:r w:rsidRPr="006F304D">
        <w:rPr>
          <w:szCs w:val="25"/>
        </w:rPr>
        <w:t xml:space="preserve">, </w:t>
      </w:r>
      <w:r w:rsidRPr="00BC3F72">
        <w:rPr>
          <w:szCs w:val="25"/>
        </w:rPr>
        <w:t>Albert H. Marckwardt</w:t>
      </w:r>
      <w:r w:rsidRPr="006F304D">
        <w:rPr>
          <w:szCs w:val="25"/>
        </w:rPr>
        <w:t xml:space="preserve">, </w:t>
      </w:r>
      <w:r w:rsidRPr="00BC3F72">
        <w:rPr>
          <w:i/>
          <w:iCs/>
        </w:rPr>
        <w:t>Introduction to the English Language</w:t>
      </w:r>
      <w:r w:rsidRPr="00BC3F72">
        <w:rPr>
          <w:iCs/>
        </w:rPr>
        <w:t xml:space="preserve"> [</w:t>
      </w:r>
      <w:r w:rsidRPr="00BC3F72">
        <w:rPr>
          <w:szCs w:val="25"/>
        </w:rPr>
        <w:t>New York: Oxford</w:t>
      </w:r>
      <w:r w:rsidRPr="006F304D">
        <w:rPr>
          <w:szCs w:val="25"/>
        </w:rPr>
        <w:t xml:space="preserve">, </w:t>
      </w:r>
      <w:r w:rsidRPr="00BC3F72">
        <w:rPr>
          <w:szCs w:val="25"/>
        </w:rPr>
        <w:t xml:space="preserve">1942] 137: </w:t>
      </w:r>
      <w:r>
        <w:rPr>
          <w:szCs w:val="25"/>
        </w:rPr>
        <w:t>“</w:t>
      </w:r>
      <w:r w:rsidRPr="00BC3F72">
        <w:rPr>
          <w:szCs w:val="25"/>
        </w:rPr>
        <w:t>we must face the question of including as subjunctives such expressions as these: I can believe,” etc.) But the same change can be expressed in terms of the concept</w:t>
      </w:r>
      <w:r w:rsidRPr="006F304D">
        <w:rPr>
          <w:szCs w:val="25"/>
        </w:rPr>
        <w:t xml:space="preserve">, </w:t>
      </w:r>
      <w:r w:rsidRPr="00BC3F72">
        <w:rPr>
          <w:szCs w:val="25"/>
        </w:rPr>
        <w:t>borrowed from German grammar</w:t>
      </w:r>
      <w:r w:rsidRPr="006F304D">
        <w:rPr>
          <w:szCs w:val="25"/>
        </w:rPr>
        <w:t xml:space="preserve">, </w:t>
      </w:r>
      <w:r w:rsidRPr="00BC3F72">
        <w:rPr>
          <w:szCs w:val="25"/>
        </w:rPr>
        <w:t xml:space="preserve">of </w:t>
      </w:r>
      <w:r>
        <w:rPr>
          <w:szCs w:val="25"/>
        </w:rPr>
        <w:t>“</w:t>
      </w:r>
      <w:r w:rsidRPr="00BC3F72">
        <w:rPr>
          <w:szCs w:val="25"/>
        </w:rPr>
        <w:t xml:space="preserve">modal auxiliary”: </w:t>
      </w:r>
      <w:r>
        <w:rPr>
          <w:szCs w:val="25"/>
        </w:rPr>
        <w:t>“</w:t>
      </w:r>
      <w:r w:rsidRPr="00BC3F72">
        <w:rPr>
          <w:szCs w:val="25"/>
        </w:rPr>
        <w:t xml:space="preserve">Modal auxiliaries </w:t>
      </w:r>
      <w:r>
        <w:rPr>
          <w:szCs w:val="25"/>
        </w:rPr>
        <w:t>[</w:t>
      </w:r>
      <w:r w:rsidRPr="00BC3F72">
        <w:rPr>
          <w:szCs w:val="25"/>
        </w:rPr>
        <w:t>e.g.</w:t>
      </w:r>
      <w:r w:rsidRPr="006F304D">
        <w:rPr>
          <w:szCs w:val="25"/>
        </w:rPr>
        <w:t xml:space="preserve">, </w:t>
      </w:r>
      <w:r w:rsidRPr="00BC3F72">
        <w:rPr>
          <w:szCs w:val="25"/>
        </w:rPr>
        <w:t>may</w:t>
      </w:r>
      <w:r w:rsidRPr="006F304D">
        <w:rPr>
          <w:szCs w:val="25"/>
        </w:rPr>
        <w:t xml:space="preserve">, </w:t>
      </w:r>
      <w:r w:rsidRPr="00BC3F72">
        <w:rPr>
          <w:szCs w:val="25"/>
        </w:rPr>
        <w:t>can</w:t>
      </w:r>
      <w:r w:rsidRPr="006F304D">
        <w:rPr>
          <w:szCs w:val="25"/>
        </w:rPr>
        <w:t xml:space="preserve">, </w:t>
      </w:r>
      <w:r w:rsidRPr="00BC3F72">
        <w:rPr>
          <w:szCs w:val="25"/>
        </w:rPr>
        <w:t>might</w:t>
      </w:r>
      <w:r w:rsidRPr="006F304D">
        <w:rPr>
          <w:szCs w:val="25"/>
        </w:rPr>
        <w:t xml:space="preserve">, </w:t>
      </w:r>
      <w:r w:rsidRPr="00BC3F72">
        <w:rPr>
          <w:szCs w:val="25"/>
        </w:rPr>
        <w:t>must</w:t>
      </w:r>
      <w:r w:rsidRPr="006F304D">
        <w:rPr>
          <w:szCs w:val="25"/>
        </w:rPr>
        <w:t xml:space="preserve">, </w:t>
      </w:r>
      <w:r w:rsidRPr="00BC3F72">
        <w:rPr>
          <w:szCs w:val="25"/>
        </w:rPr>
        <w:t>ought</w:t>
      </w:r>
      <w:r w:rsidRPr="006F304D">
        <w:rPr>
          <w:szCs w:val="25"/>
        </w:rPr>
        <w:t xml:space="preserve">, </w:t>
      </w:r>
      <w:r w:rsidRPr="00BC3F72">
        <w:rPr>
          <w:szCs w:val="25"/>
        </w:rPr>
        <w:t>want] are verbs which express the idea of permission</w:t>
      </w:r>
      <w:r w:rsidRPr="006F304D">
        <w:rPr>
          <w:szCs w:val="25"/>
        </w:rPr>
        <w:t xml:space="preserve">, </w:t>
      </w:r>
      <w:r w:rsidRPr="00BC3F72">
        <w:rPr>
          <w:szCs w:val="25"/>
        </w:rPr>
        <w:t>ability</w:t>
      </w:r>
      <w:r w:rsidRPr="006F304D">
        <w:rPr>
          <w:szCs w:val="25"/>
        </w:rPr>
        <w:t xml:space="preserve">, </w:t>
      </w:r>
      <w:r w:rsidRPr="00BC3F72">
        <w:rPr>
          <w:szCs w:val="25"/>
        </w:rPr>
        <w:t>compulsion</w:t>
      </w:r>
      <w:r w:rsidRPr="006F304D">
        <w:rPr>
          <w:szCs w:val="25"/>
        </w:rPr>
        <w:t xml:space="preserve">, </w:t>
      </w:r>
      <w:r w:rsidRPr="00BC3F72">
        <w:rPr>
          <w:szCs w:val="25"/>
        </w:rPr>
        <w:t>obligation</w:t>
      </w:r>
      <w:r w:rsidRPr="006F304D">
        <w:rPr>
          <w:szCs w:val="25"/>
        </w:rPr>
        <w:t xml:space="preserve">, </w:t>
      </w:r>
      <w:r w:rsidRPr="00BC3F72">
        <w:rPr>
          <w:szCs w:val="25"/>
        </w:rPr>
        <w:t>and intention” (Robert O. R</w:t>
      </w:r>
      <w:r>
        <w:rPr>
          <w:szCs w:val="25"/>
        </w:rPr>
        <w:t>ö</w:t>
      </w:r>
      <w:r w:rsidRPr="00BC3F72">
        <w:rPr>
          <w:szCs w:val="25"/>
        </w:rPr>
        <w:t>seler</w:t>
      </w:r>
      <w:r w:rsidRPr="006F304D">
        <w:rPr>
          <w:szCs w:val="25"/>
        </w:rPr>
        <w:t xml:space="preserve">, </w:t>
      </w:r>
      <w:r w:rsidRPr="00BC3F72">
        <w:rPr>
          <w:i/>
          <w:iCs/>
        </w:rPr>
        <w:t>German in Review</w:t>
      </w:r>
      <w:r w:rsidRPr="00BC3F72">
        <w:rPr>
          <w:iCs/>
        </w:rPr>
        <w:t xml:space="preserve">: </w:t>
      </w:r>
      <w:r w:rsidRPr="00BC3F72">
        <w:rPr>
          <w:i/>
          <w:iCs/>
        </w:rPr>
        <w:t>A Concise Survey of Grammar</w:t>
      </w:r>
      <w:r w:rsidRPr="00BC3F72">
        <w:rPr>
          <w:iCs/>
        </w:rPr>
        <w:t xml:space="preserve"> [</w:t>
      </w:r>
      <w:r w:rsidRPr="00BC3F72">
        <w:t xml:space="preserve">New </w:t>
      </w:r>
      <w:r w:rsidRPr="00BC3F72">
        <w:rPr>
          <w:szCs w:val="25"/>
        </w:rPr>
        <w:t>York: Henry Holt</w:t>
      </w:r>
      <w:r w:rsidRPr="006F304D">
        <w:rPr>
          <w:szCs w:val="25"/>
        </w:rPr>
        <w:t xml:space="preserve">, </w:t>
      </w:r>
      <w:r w:rsidRPr="00BC3F72">
        <w:rPr>
          <w:szCs w:val="25"/>
        </w:rPr>
        <w:t>1943] 18). Cf. Porter G. Perrin</w:t>
      </w:r>
      <w:r w:rsidRPr="006F304D">
        <w:rPr>
          <w:szCs w:val="25"/>
        </w:rPr>
        <w:t xml:space="preserve">, </w:t>
      </w:r>
      <w:r w:rsidRPr="00BC3F72">
        <w:rPr>
          <w:i/>
          <w:iCs/>
        </w:rPr>
        <w:t>Writer</w:t>
      </w:r>
      <w:r w:rsidRPr="00BC3F72">
        <w:rPr>
          <w:iCs/>
        </w:rPr>
        <w:t>’</w:t>
      </w:r>
      <w:r w:rsidRPr="00BC3F72">
        <w:rPr>
          <w:i/>
          <w:iCs/>
        </w:rPr>
        <w:t>s Guide and Index to English</w:t>
      </w:r>
      <w:r w:rsidRPr="006F304D">
        <w:rPr>
          <w:iCs/>
        </w:rPr>
        <w:t xml:space="preserve">, </w:t>
      </w:r>
      <w:r w:rsidRPr="00BC3F72">
        <w:rPr>
          <w:szCs w:val="25"/>
        </w:rPr>
        <w:t>3rd ed. (Chicago: Scott</w:t>
      </w:r>
      <w:r w:rsidRPr="006F304D">
        <w:rPr>
          <w:szCs w:val="25"/>
        </w:rPr>
        <w:t xml:space="preserve">, </w:t>
      </w:r>
      <w:r w:rsidRPr="00BC3F72">
        <w:rPr>
          <w:szCs w:val="25"/>
        </w:rPr>
        <w:t>Foresman</w:t>
      </w:r>
      <w:r w:rsidRPr="006F304D">
        <w:rPr>
          <w:szCs w:val="25"/>
        </w:rPr>
        <w:t xml:space="preserve">, </w:t>
      </w:r>
      <w:r w:rsidRPr="00BC3F72">
        <w:rPr>
          <w:szCs w:val="25"/>
        </w:rPr>
        <w:t>1959) 435</w:t>
      </w:r>
      <w:r w:rsidRPr="006F304D">
        <w:rPr>
          <w:szCs w:val="25"/>
        </w:rPr>
        <w:t xml:space="preserve">, </w:t>
      </w:r>
      <w:r w:rsidRPr="00BC3F72">
        <w:rPr>
          <w:szCs w:val="25"/>
        </w:rPr>
        <w:t>536</w:t>
      </w:r>
      <w:r w:rsidRPr="006F304D">
        <w:rPr>
          <w:szCs w:val="25"/>
        </w:rPr>
        <w:t xml:space="preserve">, </w:t>
      </w:r>
      <w:r w:rsidRPr="00BC3F72">
        <w:rPr>
          <w:szCs w:val="25"/>
        </w:rPr>
        <w:t>and 595</w:t>
      </w:r>
      <w:r w:rsidRPr="006F304D">
        <w:rPr>
          <w:szCs w:val="25"/>
        </w:rPr>
        <w:t xml:space="preserve">, </w:t>
      </w:r>
      <w:r w:rsidRPr="00BC3F72">
        <w:rPr>
          <w:szCs w:val="25"/>
        </w:rPr>
        <w:t>who claims they have nothing to do with mood. The dif</w:t>
      </w:r>
      <w:r w:rsidRPr="00BC3F72">
        <w:rPr>
          <w:szCs w:val="25"/>
        </w:rPr>
        <w:softHyphen/>
        <w:t xml:space="preserve">ference might even be best expressed as a change of tense </w:t>
      </w:r>
      <w:r>
        <w:rPr>
          <w:szCs w:val="25"/>
        </w:rPr>
        <w:t>(</w:t>
      </w:r>
      <w:r w:rsidRPr="00BC3F72">
        <w:rPr>
          <w:szCs w:val="25"/>
        </w:rPr>
        <w:t xml:space="preserve">see the references to </w:t>
      </w:r>
      <w:r>
        <w:rPr>
          <w:szCs w:val="25"/>
        </w:rPr>
        <w:t>“</w:t>
      </w:r>
      <w:r w:rsidRPr="00BC3F72">
        <w:rPr>
          <w:szCs w:val="25"/>
        </w:rPr>
        <w:t>present</w:t>
      </w:r>
      <w:r>
        <w:rPr>
          <w:szCs w:val="25"/>
        </w:rPr>
        <w:t>”</w:t>
      </w:r>
      <w:r w:rsidRPr="00BC3F72">
        <w:rPr>
          <w:szCs w:val="25"/>
        </w:rPr>
        <w:t xml:space="preserve"> and “future” that follow in the text above).</w:t>
      </w:r>
    </w:p>
  </w:footnote>
  <w:footnote w:id="662">
    <w:p w14:paraId="46F89A9F" w14:textId="1B8395C3" w:rsidR="009B22E2" w:rsidRDefault="009B22E2">
      <w:pPr>
        <w:pStyle w:val="FootnoteText"/>
      </w:pPr>
      <w:r>
        <w:rPr>
          <w:rStyle w:val="FootnoteReference"/>
        </w:rPr>
        <w:footnoteRef/>
      </w:r>
      <w:r>
        <w:t xml:space="preserve"> </w:t>
      </w:r>
      <w:r w:rsidRPr="00BC3F72">
        <w:rPr>
          <w:szCs w:val="26"/>
        </w:rPr>
        <w:t>A</w:t>
      </w:r>
      <w:r>
        <w:rPr>
          <w:szCs w:val="26"/>
        </w:rPr>
        <w:t>ll</w:t>
      </w:r>
      <w:r w:rsidRPr="00BC3F72">
        <w:rPr>
          <w:szCs w:val="26"/>
        </w:rPr>
        <w:t xml:space="preserve"> </w:t>
      </w:r>
      <w:r w:rsidRPr="00BC3F72">
        <w:rPr>
          <w:szCs w:val="25"/>
        </w:rPr>
        <w:t>three instances of the disciple-teacher logion (Matt 10:24</w:t>
      </w:r>
      <w:r w:rsidRPr="006F304D">
        <w:rPr>
          <w:szCs w:val="25"/>
        </w:rPr>
        <w:t xml:space="preserve">, </w:t>
      </w:r>
      <w:r w:rsidRPr="00BC3F72">
        <w:rPr>
          <w:szCs w:val="25"/>
        </w:rPr>
        <w:t>Luke 6:40</w:t>
      </w:r>
      <w:r w:rsidRPr="006F304D">
        <w:rPr>
          <w:szCs w:val="25"/>
        </w:rPr>
        <w:t xml:space="preserve">, </w:t>
      </w:r>
      <w:r w:rsidRPr="00BC3F72">
        <w:rPr>
          <w:szCs w:val="25"/>
        </w:rPr>
        <w:t>John 13:16; also John 15:20 [servant above master]) have the same form of the verb</w:t>
      </w:r>
      <w:r w:rsidRPr="006F304D">
        <w:rPr>
          <w:szCs w:val="25"/>
        </w:rPr>
        <w:t xml:space="preserve">, </w:t>
      </w:r>
      <w:r w:rsidRPr="00CE06CA">
        <w:rPr>
          <w:bCs/>
          <w:szCs w:val="22"/>
          <w:lang w:val="el-GR"/>
        </w:rPr>
        <w:t>οὐκ ἔστιν</w:t>
      </w:r>
      <w:r w:rsidRPr="00BC3F72">
        <w:rPr>
          <w:rFonts w:eastAsia="Arial"/>
          <w:szCs w:val="22"/>
        </w:rPr>
        <w:t>.</w:t>
      </w:r>
    </w:p>
  </w:footnote>
  <w:footnote w:id="663">
    <w:p w14:paraId="5E8A91CB" w14:textId="4C2E6A36" w:rsidR="009B22E2" w:rsidRDefault="009B22E2">
      <w:pPr>
        <w:pStyle w:val="FootnoteText"/>
      </w:pPr>
      <w:r>
        <w:rPr>
          <w:rStyle w:val="FootnoteReference"/>
        </w:rPr>
        <w:footnoteRef/>
      </w:r>
      <w:r w:rsidRPr="00E5413C">
        <w:rPr>
          <w:lang w:val="fr-FR"/>
        </w:rPr>
        <w:t xml:space="preserve"> </w:t>
      </w:r>
      <w:r w:rsidRPr="00E5413C">
        <w:rPr>
          <w:szCs w:val="25"/>
          <w:lang w:val="fr-FR"/>
        </w:rPr>
        <w:t xml:space="preserve">Rigaux, </w:t>
      </w:r>
      <w:r w:rsidRPr="00E5413C">
        <w:rPr>
          <w:i/>
          <w:iCs/>
          <w:lang w:val="fr-FR"/>
        </w:rPr>
        <w:t>Témoignage de l</w:t>
      </w:r>
      <w:r w:rsidRPr="00E5413C">
        <w:rPr>
          <w:iCs/>
          <w:lang w:val="fr-FR"/>
        </w:rPr>
        <w:t>’</w:t>
      </w:r>
      <w:r w:rsidRPr="00E5413C">
        <w:rPr>
          <w:i/>
          <w:iCs/>
          <w:lang w:val="fr-FR"/>
        </w:rPr>
        <w:t>Évangile de Luc</w:t>
      </w:r>
      <w:r w:rsidRPr="00E5413C">
        <w:rPr>
          <w:lang w:val="fr-FR"/>
        </w:rPr>
        <w:t xml:space="preserve"> </w:t>
      </w:r>
      <w:r w:rsidRPr="00E5413C">
        <w:rPr>
          <w:szCs w:val="25"/>
          <w:lang w:val="fr-FR"/>
        </w:rPr>
        <w:t xml:space="preserve">171: “sans unité de thème”; “[39-42] semblent arrachées </w:t>
      </w:r>
      <w:r w:rsidRPr="00E5413C">
        <w:rPr>
          <w:szCs w:val="36"/>
          <w:lang w:val="fr-FR"/>
        </w:rPr>
        <w:t xml:space="preserve">à </w:t>
      </w:r>
      <w:r w:rsidRPr="00E5413C">
        <w:rPr>
          <w:szCs w:val="25"/>
          <w:lang w:val="fr-FR"/>
        </w:rPr>
        <w:t xml:space="preserve">leur contexte”; “[39-40] rompent la suite des idées.” </w:t>
      </w:r>
      <w:r w:rsidRPr="00BC3F72">
        <w:rPr>
          <w:szCs w:val="25"/>
        </w:rPr>
        <w:t xml:space="preserve">Rigaux is not alone in his disgust: </w:t>
      </w:r>
      <w:r>
        <w:rPr>
          <w:szCs w:val="25"/>
        </w:rPr>
        <w:t>“</w:t>
      </w:r>
      <w:r w:rsidRPr="00BC3F72">
        <w:rPr>
          <w:szCs w:val="25"/>
        </w:rPr>
        <w:t>All of this is rather artificial and badly done” (Loisy</w:t>
      </w:r>
      <w:r w:rsidRPr="006F304D">
        <w:rPr>
          <w:szCs w:val="25"/>
        </w:rPr>
        <w:t xml:space="preserve">, </w:t>
      </w:r>
      <w:r>
        <w:rPr>
          <w:i/>
          <w:iCs/>
        </w:rPr>
        <w:t>Évangile</w:t>
      </w:r>
      <w:r w:rsidRPr="00BC3F72">
        <w:rPr>
          <w:i/>
          <w:iCs/>
        </w:rPr>
        <w:t xml:space="preserve"> selon Luc</w:t>
      </w:r>
      <w:r w:rsidRPr="009B22E2">
        <w:t xml:space="preserve"> </w:t>
      </w:r>
      <w:r w:rsidRPr="00BC3F72">
        <w:rPr>
          <w:szCs w:val="25"/>
        </w:rPr>
        <w:t>210 [</w:t>
      </w:r>
      <w:r>
        <w:rPr>
          <w:szCs w:val="25"/>
        </w:rPr>
        <w:t>“</w:t>
      </w:r>
      <w:r w:rsidRPr="00BC3F72">
        <w:rPr>
          <w:szCs w:val="25"/>
        </w:rPr>
        <w:t>Tout cela est passablement artificiel et mal venu”]); “the connection between 38 and 39 is very poor” (Montefiore</w:t>
      </w:r>
      <w:r w:rsidRPr="006F304D">
        <w:rPr>
          <w:szCs w:val="25"/>
        </w:rPr>
        <w:t xml:space="preserve">, </w:t>
      </w:r>
      <w:r w:rsidRPr="00BC3F72">
        <w:rPr>
          <w:i/>
          <w:iCs/>
        </w:rPr>
        <w:t>Gospel According to Luke</w:t>
      </w:r>
      <w:r w:rsidRPr="009B22E2">
        <w:t xml:space="preserve"> </w:t>
      </w:r>
      <w:r w:rsidRPr="00BC3F72">
        <w:rPr>
          <w:szCs w:val="25"/>
        </w:rPr>
        <w:t>420); “the connection of thought between the warning against censorious judgments [Luke 37-38] and of the uselessness of the spiritually blind as a teacher of others [Luke 39b] is not entirely obvious” (Pfleiderer</w:t>
      </w:r>
      <w:r w:rsidRPr="006F304D">
        <w:rPr>
          <w:szCs w:val="25"/>
        </w:rPr>
        <w:t xml:space="preserve">, </w:t>
      </w:r>
      <w:r w:rsidRPr="00BC3F72">
        <w:rPr>
          <w:i/>
          <w:iCs/>
        </w:rPr>
        <w:t>Primitive Christianity</w:t>
      </w:r>
      <w:r w:rsidRPr="006F304D">
        <w:rPr>
          <w:iCs/>
        </w:rPr>
        <w:t xml:space="preserve"> </w:t>
      </w:r>
      <w:r w:rsidRPr="00BC3F72">
        <w:rPr>
          <w:szCs w:val="25"/>
        </w:rPr>
        <w:t>2. 129). Still: though the connection in thought may not be easy</w:t>
      </w:r>
      <w:r w:rsidRPr="006F304D">
        <w:rPr>
          <w:szCs w:val="25"/>
        </w:rPr>
        <w:t xml:space="preserve">, </w:t>
      </w:r>
      <w:r w:rsidRPr="00BC3F72">
        <w:rPr>
          <w:szCs w:val="25"/>
        </w:rPr>
        <w:t>it can nevertheless be traced.</w:t>
      </w:r>
    </w:p>
  </w:footnote>
  <w:footnote w:id="664">
    <w:p w14:paraId="1955B67C" w14:textId="1BE6BA13" w:rsidR="00C010B4" w:rsidRDefault="00C010B4">
      <w:pPr>
        <w:pStyle w:val="FootnoteText"/>
      </w:pPr>
      <w:r>
        <w:rPr>
          <w:rStyle w:val="FootnoteReference"/>
        </w:rPr>
        <w:footnoteRef/>
      </w:r>
      <w:r>
        <w:t xml:space="preserve"> </w:t>
      </w:r>
      <w:r w:rsidRPr="00BC3F72">
        <w:rPr>
          <w:szCs w:val="25"/>
        </w:rPr>
        <w:t>Thus Danker</w:t>
      </w:r>
      <w:r w:rsidRPr="006F304D">
        <w:rPr>
          <w:szCs w:val="25"/>
        </w:rPr>
        <w:t xml:space="preserve">, </w:t>
      </w:r>
      <w:r w:rsidRPr="00BC3F72">
        <w:rPr>
          <w:i/>
          <w:iCs/>
          <w:szCs w:val="25"/>
        </w:rPr>
        <w:t>Luke</w:t>
      </w:r>
      <w:r w:rsidRPr="00C010B4">
        <w:rPr>
          <w:szCs w:val="25"/>
        </w:rPr>
        <w:t xml:space="preserve"> </w:t>
      </w:r>
      <w:r w:rsidRPr="00BC3F72">
        <w:rPr>
          <w:szCs w:val="25"/>
        </w:rPr>
        <w:t xml:space="preserve">96: </w:t>
      </w:r>
      <w:r>
        <w:rPr>
          <w:szCs w:val="25"/>
        </w:rPr>
        <w:t>“v</w:t>
      </w:r>
      <w:r w:rsidRPr="00BC3F72">
        <w:rPr>
          <w:szCs w:val="35"/>
        </w:rPr>
        <w:t xml:space="preserve">v. </w:t>
      </w:r>
      <w:r w:rsidRPr="00BC3F72">
        <w:rPr>
          <w:szCs w:val="25"/>
        </w:rPr>
        <w:t>39-40 present the moral critic and his victim under the masks of teacher and pupil.”</w:t>
      </w:r>
    </w:p>
  </w:footnote>
  <w:footnote w:id="665">
    <w:p w14:paraId="539E030B" w14:textId="781238EE" w:rsidR="00C010B4" w:rsidRDefault="00C010B4">
      <w:pPr>
        <w:pStyle w:val="FootnoteText"/>
      </w:pPr>
      <w:r>
        <w:rPr>
          <w:rStyle w:val="FootnoteReference"/>
        </w:rPr>
        <w:footnoteRef/>
      </w:r>
      <w:r>
        <w:t xml:space="preserve"> </w:t>
      </w:r>
      <w:r w:rsidRPr="00BC3F72">
        <w:rPr>
          <w:szCs w:val="25"/>
        </w:rPr>
        <w:t>Once the awkward versicle 39a is seen to be structurally unimportant</w:t>
      </w:r>
      <w:r w:rsidRPr="006F304D">
        <w:rPr>
          <w:szCs w:val="25"/>
        </w:rPr>
        <w:t xml:space="preserve">, </w:t>
      </w:r>
      <w:r w:rsidRPr="00BC3F72">
        <w:rPr>
          <w:szCs w:val="25"/>
        </w:rPr>
        <w:t>the continuity between 37-38</w:t>
      </w:r>
      <w:r w:rsidRPr="006F304D">
        <w:rPr>
          <w:szCs w:val="25"/>
        </w:rPr>
        <w:t xml:space="preserve">, </w:t>
      </w:r>
      <w:r w:rsidRPr="00BC3F72">
        <w:rPr>
          <w:szCs w:val="25"/>
        </w:rPr>
        <w:t>39-40</w:t>
      </w:r>
      <w:r w:rsidRPr="006F304D">
        <w:rPr>
          <w:szCs w:val="25"/>
        </w:rPr>
        <w:t xml:space="preserve">, </w:t>
      </w:r>
      <w:r w:rsidRPr="00BC3F72">
        <w:rPr>
          <w:szCs w:val="25"/>
        </w:rPr>
        <w:t>and 41-42 becomes evident; and this is true</w:t>
      </w:r>
      <w:r w:rsidRPr="006F304D">
        <w:rPr>
          <w:szCs w:val="25"/>
        </w:rPr>
        <w:t xml:space="preserve">, </w:t>
      </w:r>
      <w:r w:rsidRPr="00BC3F72">
        <w:rPr>
          <w:szCs w:val="25"/>
        </w:rPr>
        <w:t>whether 39-40 are viewed as a continuation of the verses that precede them or as an introduction to the verses that follow. In relation to 37-38</w:t>
      </w:r>
      <w:r w:rsidRPr="006F304D">
        <w:rPr>
          <w:szCs w:val="25"/>
        </w:rPr>
        <w:t xml:space="preserve">, </w:t>
      </w:r>
      <w:r w:rsidRPr="00BC3F72">
        <w:rPr>
          <w:szCs w:val="25"/>
        </w:rPr>
        <w:t xml:space="preserve">Easton notes </w:t>
      </w:r>
      <w:r>
        <w:rPr>
          <w:szCs w:val="25"/>
        </w:rPr>
        <w:t>(</w:t>
      </w:r>
      <w:r w:rsidRPr="00BC3F72">
        <w:rPr>
          <w:i/>
          <w:iCs/>
          <w:szCs w:val="25"/>
        </w:rPr>
        <w:t>Gospel of Saint Luke</w:t>
      </w:r>
      <w:r w:rsidRPr="00C010B4">
        <w:rPr>
          <w:szCs w:val="25"/>
        </w:rPr>
        <w:t xml:space="preserve"> </w:t>
      </w:r>
      <w:r w:rsidRPr="00BC3F72">
        <w:rPr>
          <w:szCs w:val="25"/>
        </w:rPr>
        <w:t>90-91</w:t>
      </w:r>
      <w:r>
        <w:rPr>
          <w:szCs w:val="25"/>
        </w:rPr>
        <w:t>)</w:t>
      </w:r>
      <w:r w:rsidRPr="00BC3F72">
        <w:rPr>
          <w:szCs w:val="25"/>
        </w:rPr>
        <w:t>: “The condemnation of ‘judging’ in v. 37 gives the connection. A pitiless man cannot really benefit the objects of his cri</w:t>
      </w:r>
      <w:r w:rsidRPr="00BC3F72">
        <w:rPr>
          <w:szCs w:val="25"/>
        </w:rPr>
        <w:softHyphen/>
        <w:t xml:space="preserve">ticisms </w:t>
      </w:r>
      <w:r>
        <w:rPr>
          <w:szCs w:val="25"/>
        </w:rPr>
        <w:t>[</w:t>
      </w:r>
      <w:r w:rsidRPr="00BC3F72">
        <w:rPr>
          <w:szCs w:val="25"/>
        </w:rPr>
        <w:t>= 39]; if men submit themselves to his guidance</w:t>
      </w:r>
      <w:r w:rsidRPr="006F304D">
        <w:rPr>
          <w:szCs w:val="25"/>
        </w:rPr>
        <w:t xml:space="preserve">, </w:t>
      </w:r>
      <w:r w:rsidRPr="00BC3F72">
        <w:rPr>
          <w:szCs w:val="25"/>
        </w:rPr>
        <w:t xml:space="preserve">they will fall into his faults </w:t>
      </w:r>
      <w:r>
        <w:rPr>
          <w:szCs w:val="25"/>
        </w:rPr>
        <w:t>[</w:t>
      </w:r>
      <w:r w:rsidRPr="00BC3F72">
        <w:rPr>
          <w:szCs w:val="25"/>
        </w:rPr>
        <w:t>= 40].” In relation to 41-42</w:t>
      </w:r>
      <w:r w:rsidRPr="006F304D">
        <w:rPr>
          <w:szCs w:val="25"/>
        </w:rPr>
        <w:t xml:space="preserve">, </w:t>
      </w:r>
      <w:r w:rsidRPr="00BC3F72">
        <w:rPr>
          <w:szCs w:val="25"/>
        </w:rPr>
        <w:t>Montefiore (</w:t>
      </w:r>
      <w:r w:rsidRPr="00BC3F72">
        <w:rPr>
          <w:i/>
          <w:iCs/>
          <w:szCs w:val="25"/>
        </w:rPr>
        <w:t>Gospel According to Luke</w:t>
      </w:r>
      <w:r w:rsidRPr="00C010B4">
        <w:rPr>
          <w:szCs w:val="25"/>
        </w:rPr>
        <w:t xml:space="preserve"> </w:t>
      </w:r>
      <w:r w:rsidRPr="00BC3F72">
        <w:rPr>
          <w:szCs w:val="25"/>
        </w:rPr>
        <w:t xml:space="preserve">420-421) notes: </w:t>
      </w:r>
      <w:r>
        <w:rPr>
          <w:szCs w:val="25"/>
        </w:rPr>
        <w:t>“</w:t>
      </w:r>
      <w:r w:rsidRPr="00BC3F72">
        <w:rPr>
          <w:szCs w:val="25"/>
        </w:rPr>
        <w:t>If 39 and 40 are an introduction to 41</w:t>
      </w:r>
      <w:r w:rsidRPr="006F304D">
        <w:rPr>
          <w:szCs w:val="25"/>
        </w:rPr>
        <w:t xml:space="preserve">, </w:t>
      </w:r>
      <w:r w:rsidRPr="00BC3F72">
        <w:rPr>
          <w:szCs w:val="25"/>
        </w:rPr>
        <w:t xml:space="preserve">then it may be said that they still continue the subject of charity in judgment </w:t>
      </w:r>
      <w:r w:rsidRPr="00EE2A2F">
        <w:rPr>
          <w:szCs w:val="25"/>
        </w:rPr>
        <w:t>. . .</w:t>
      </w:r>
      <w:r w:rsidRPr="00BC3F72">
        <w:rPr>
          <w:szCs w:val="25"/>
        </w:rPr>
        <w:t xml:space="preserve"> The man with the beam can no more help the man with the mote than the blind can lead the blind.”</w:t>
      </w:r>
    </w:p>
  </w:footnote>
  <w:footnote w:id="666">
    <w:p w14:paraId="788E6FCF" w14:textId="683F3DAE" w:rsidR="005F74F8" w:rsidRDefault="005F74F8">
      <w:pPr>
        <w:pStyle w:val="FootnoteText"/>
      </w:pPr>
      <w:r>
        <w:rPr>
          <w:rStyle w:val="FootnoteReference"/>
        </w:rPr>
        <w:footnoteRef/>
      </w:r>
      <w:r>
        <w:t xml:space="preserve"> </w:t>
      </w:r>
      <w:r w:rsidRPr="00BC3F72">
        <w:rPr>
          <w:szCs w:val="25"/>
        </w:rPr>
        <w:t>E.g.</w:t>
      </w:r>
      <w:r w:rsidRPr="006F304D">
        <w:rPr>
          <w:szCs w:val="25"/>
        </w:rPr>
        <w:t xml:space="preserve">, </w:t>
      </w:r>
      <w:r w:rsidRPr="00BC3F72">
        <w:rPr>
          <w:szCs w:val="25"/>
        </w:rPr>
        <w:t>Hirsch</w:t>
      </w:r>
      <w:r w:rsidRPr="006F304D">
        <w:rPr>
          <w:szCs w:val="25"/>
        </w:rPr>
        <w:t xml:space="preserve">, </w:t>
      </w:r>
      <w:r w:rsidRPr="00BC3F72">
        <w:rPr>
          <w:i/>
          <w:iCs/>
          <w:szCs w:val="26"/>
        </w:rPr>
        <w:t>F</w:t>
      </w:r>
      <w:r>
        <w:rPr>
          <w:i/>
          <w:iCs/>
          <w:szCs w:val="26"/>
        </w:rPr>
        <w:t>rü</w:t>
      </w:r>
      <w:r w:rsidRPr="00BC3F72">
        <w:rPr>
          <w:i/>
          <w:iCs/>
          <w:szCs w:val="26"/>
        </w:rPr>
        <w:t>hgeschichte des Evangeliums</w:t>
      </w:r>
      <w:r w:rsidRPr="006F304D">
        <w:rPr>
          <w:iCs/>
          <w:szCs w:val="26"/>
        </w:rPr>
        <w:t xml:space="preserve"> </w:t>
      </w:r>
      <w:r w:rsidRPr="00BC3F72">
        <w:rPr>
          <w:szCs w:val="25"/>
        </w:rPr>
        <w:t xml:space="preserve">2. 83 ff. </w:t>
      </w:r>
      <w:r>
        <w:rPr>
          <w:szCs w:val="25"/>
        </w:rPr>
        <w:t>(</w:t>
      </w:r>
      <w:r w:rsidRPr="00BC3F72">
        <w:rPr>
          <w:szCs w:val="25"/>
        </w:rPr>
        <w:t xml:space="preserve">quoted </w:t>
      </w:r>
      <w:r w:rsidRPr="00BC3F72">
        <w:t xml:space="preserve">in </w:t>
      </w:r>
      <w:r w:rsidRPr="00BC3F72">
        <w:rPr>
          <w:szCs w:val="25"/>
        </w:rPr>
        <w:t>Dupont</w:t>
      </w:r>
      <w:r w:rsidRPr="006F304D">
        <w:rPr>
          <w:szCs w:val="25"/>
        </w:rPr>
        <w:t xml:space="preserve">, </w:t>
      </w:r>
      <w:r w:rsidRPr="00BC3F72">
        <w:rPr>
          <w:i/>
          <w:iCs/>
          <w:szCs w:val="25"/>
        </w:rPr>
        <w:t>B</w:t>
      </w:r>
      <w:r>
        <w:rPr>
          <w:i/>
          <w:iCs/>
          <w:szCs w:val="25"/>
        </w:rPr>
        <w:t>é</w:t>
      </w:r>
      <w:r w:rsidRPr="00BC3F72">
        <w:rPr>
          <w:i/>
          <w:iCs/>
          <w:szCs w:val="25"/>
        </w:rPr>
        <w:t>atitudes</w:t>
      </w:r>
      <w:r w:rsidRPr="006F304D">
        <w:rPr>
          <w:iCs/>
          <w:szCs w:val="25"/>
        </w:rPr>
        <w:t xml:space="preserve"> </w:t>
      </w:r>
      <w:r w:rsidRPr="00BC3F72">
        <w:rPr>
          <w:szCs w:val="25"/>
        </w:rPr>
        <w:t>l. 197; Morris</w:t>
      </w:r>
      <w:r w:rsidRPr="006F304D">
        <w:rPr>
          <w:szCs w:val="25"/>
        </w:rPr>
        <w:t xml:space="preserve">, </w:t>
      </w:r>
      <w:r w:rsidRPr="00BC3F72">
        <w:rPr>
          <w:i/>
          <w:iCs/>
          <w:szCs w:val="25"/>
        </w:rPr>
        <w:t xml:space="preserve">Luke </w:t>
      </w:r>
      <w:r w:rsidRPr="00BC3F72">
        <w:rPr>
          <w:szCs w:val="25"/>
        </w:rPr>
        <w:t>34</w:t>
      </w:r>
      <w:r>
        <w:rPr>
          <w:szCs w:val="25"/>
        </w:rPr>
        <w:t>)</w:t>
      </w:r>
      <w:r w:rsidRPr="00BC3F72">
        <w:rPr>
          <w:szCs w:val="25"/>
        </w:rPr>
        <w:t>.</w:t>
      </w:r>
    </w:p>
  </w:footnote>
  <w:footnote w:id="667">
    <w:p w14:paraId="5E940239" w14:textId="5701068D" w:rsidR="005F74F8" w:rsidRDefault="005F74F8">
      <w:pPr>
        <w:pStyle w:val="FootnoteText"/>
      </w:pPr>
      <w:r>
        <w:rPr>
          <w:rStyle w:val="FootnoteReference"/>
        </w:rPr>
        <w:footnoteRef/>
      </w:r>
      <w:r>
        <w:t xml:space="preserve"> </w:t>
      </w:r>
      <w:r w:rsidRPr="00BC3F72">
        <w:rPr>
          <w:szCs w:val="25"/>
        </w:rPr>
        <w:t>Pfleiderer</w:t>
      </w:r>
      <w:r w:rsidRPr="006F304D">
        <w:rPr>
          <w:szCs w:val="25"/>
        </w:rPr>
        <w:t xml:space="preserve">, </w:t>
      </w:r>
      <w:r w:rsidRPr="00BC3F72">
        <w:rPr>
          <w:i/>
          <w:iCs/>
          <w:szCs w:val="26"/>
        </w:rPr>
        <w:t>Primitive Christianity</w:t>
      </w:r>
      <w:r w:rsidRPr="006F304D">
        <w:rPr>
          <w:iCs/>
          <w:szCs w:val="26"/>
        </w:rPr>
        <w:t xml:space="preserve"> </w:t>
      </w:r>
      <w:r w:rsidRPr="00BC3F72">
        <w:rPr>
          <w:szCs w:val="25"/>
        </w:rPr>
        <w:t>2. 129. This explanation is more appropriate</w:t>
      </w:r>
      <w:r>
        <w:rPr>
          <w:szCs w:val="25"/>
        </w:rPr>
        <w:t xml:space="preserve"> </w:t>
      </w:r>
      <w:r w:rsidRPr="00BC3F72">
        <w:rPr>
          <w:szCs w:val="25"/>
        </w:rPr>
        <w:t>for verses 46-49.</w:t>
      </w:r>
    </w:p>
  </w:footnote>
  <w:footnote w:id="668">
    <w:p w14:paraId="5223FBA0" w14:textId="5E39371F" w:rsidR="005F74F8" w:rsidRDefault="005F74F8">
      <w:pPr>
        <w:pStyle w:val="FootnoteText"/>
      </w:pPr>
      <w:r>
        <w:rPr>
          <w:rStyle w:val="FootnoteReference"/>
        </w:rPr>
        <w:footnoteRef/>
      </w:r>
      <w:r w:rsidRPr="00E5413C">
        <w:rPr>
          <w:lang w:val="fr-FR"/>
        </w:rPr>
        <w:t xml:space="preserve"> </w:t>
      </w:r>
      <w:r w:rsidRPr="00E5413C">
        <w:rPr>
          <w:szCs w:val="25"/>
          <w:lang w:val="fr-FR"/>
        </w:rPr>
        <w:t xml:space="preserve">Rose, </w:t>
      </w:r>
      <w:r w:rsidRPr="00E5413C">
        <w:rPr>
          <w:i/>
          <w:iCs/>
          <w:szCs w:val="25"/>
          <w:lang w:val="fr-FR"/>
        </w:rPr>
        <w:t>Évangile selon S</w:t>
      </w:r>
      <w:r w:rsidRPr="00E5413C">
        <w:rPr>
          <w:iCs/>
          <w:szCs w:val="25"/>
          <w:lang w:val="fr-FR"/>
        </w:rPr>
        <w:t xml:space="preserve">. </w:t>
      </w:r>
      <w:r w:rsidRPr="00E5413C">
        <w:rPr>
          <w:i/>
          <w:iCs/>
          <w:szCs w:val="25"/>
          <w:lang w:val="fr-FR"/>
        </w:rPr>
        <w:t>Luc</w:t>
      </w:r>
      <w:r w:rsidRPr="00E5413C">
        <w:rPr>
          <w:szCs w:val="25"/>
          <w:lang w:val="fr-FR"/>
        </w:rPr>
        <w:t xml:space="preserve"> 70 (“Comment reconnaître la vraie piété”). </w:t>
      </w:r>
      <w:r w:rsidRPr="00BC3F72">
        <w:rPr>
          <w:szCs w:val="25"/>
        </w:rPr>
        <w:t>A surprising number of commentators have opted for some such description. Rigaux (perhaps following Rose) calls these verses “the signs of true piety</w:t>
      </w:r>
      <w:r>
        <w:rPr>
          <w:szCs w:val="25"/>
        </w:rPr>
        <w:t>”</w:t>
      </w:r>
      <w:r w:rsidRPr="00BC3F72">
        <w:rPr>
          <w:szCs w:val="25"/>
        </w:rPr>
        <w:t xml:space="preserve"> (“les signes de la vraie pi</w:t>
      </w:r>
      <w:r>
        <w:rPr>
          <w:szCs w:val="25"/>
        </w:rPr>
        <w:t>é</w:t>
      </w:r>
      <w:r w:rsidRPr="00BC3F72">
        <w:rPr>
          <w:szCs w:val="25"/>
        </w:rPr>
        <w:t>t</w:t>
      </w:r>
      <w:r>
        <w:rPr>
          <w:szCs w:val="25"/>
        </w:rPr>
        <w:t>é</w:t>
      </w:r>
      <w:r w:rsidRPr="00BC3F72">
        <w:rPr>
          <w:szCs w:val="25"/>
        </w:rPr>
        <w:t>”) (</w:t>
      </w:r>
      <w:r>
        <w:rPr>
          <w:i/>
          <w:iCs/>
          <w:szCs w:val="25"/>
        </w:rPr>
        <w:t>Témoignage</w:t>
      </w:r>
      <w:r w:rsidRPr="00BC3F72">
        <w:rPr>
          <w:i/>
          <w:iCs/>
          <w:szCs w:val="25"/>
        </w:rPr>
        <w:t xml:space="preserve"> de l</w:t>
      </w:r>
      <w:r w:rsidRPr="00BC3F72">
        <w:rPr>
          <w:iCs/>
          <w:szCs w:val="25"/>
        </w:rPr>
        <w:t>’</w:t>
      </w:r>
      <w:r>
        <w:rPr>
          <w:i/>
          <w:iCs/>
          <w:szCs w:val="25"/>
        </w:rPr>
        <w:t>Évangile</w:t>
      </w:r>
      <w:r w:rsidRPr="00BC3F72">
        <w:rPr>
          <w:i/>
          <w:iCs/>
          <w:szCs w:val="25"/>
        </w:rPr>
        <w:t xml:space="preserve"> de Luc</w:t>
      </w:r>
      <w:r w:rsidRPr="005F74F8">
        <w:rPr>
          <w:szCs w:val="25"/>
        </w:rPr>
        <w:t xml:space="preserve"> </w:t>
      </w:r>
      <w:r w:rsidRPr="00BC3F72">
        <w:rPr>
          <w:szCs w:val="25"/>
        </w:rPr>
        <w:t>163); Schmid has called them “signs of genuine piety” (“Kennzeichen der echten Fr</w:t>
      </w:r>
      <w:r>
        <w:rPr>
          <w:szCs w:val="25"/>
        </w:rPr>
        <w:t>ö</w:t>
      </w:r>
      <w:r w:rsidRPr="00BC3F72">
        <w:rPr>
          <w:szCs w:val="25"/>
        </w:rPr>
        <w:t>mmigkeit”) (</w:t>
      </w:r>
      <w:r w:rsidRPr="00BC3F72">
        <w:rPr>
          <w:i/>
          <w:iCs/>
          <w:szCs w:val="25"/>
        </w:rPr>
        <w:t>Evangelium nach Lukas</w:t>
      </w:r>
      <w:r w:rsidRPr="005F74F8">
        <w:rPr>
          <w:szCs w:val="25"/>
        </w:rPr>
        <w:t xml:space="preserve"> </w:t>
      </w:r>
      <w:r w:rsidRPr="00BC3F72">
        <w:rPr>
          <w:szCs w:val="25"/>
        </w:rPr>
        <w:t>136); and the English scholars Montefiore and Grant name them “the criterion of virtue” and “the test of goodness,” respectively (Montefiore</w:t>
      </w:r>
      <w:r w:rsidRPr="006F304D">
        <w:rPr>
          <w:szCs w:val="25"/>
        </w:rPr>
        <w:t xml:space="preserve">, </w:t>
      </w:r>
      <w:r w:rsidRPr="00BC3F72">
        <w:rPr>
          <w:i/>
          <w:iCs/>
          <w:szCs w:val="25"/>
        </w:rPr>
        <w:t>Gospel According to Luke</w:t>
      </w:r>
      <w:r w:rsidRPr="005F74F8">
        <w:rPr>
          <w:szCs w:val="25"/>
        </w:rPr>
        <w:t xml:space="preserve"> </w:t>
      </w:r>
      <w:r w:rsidRPr="00BC3F72">
        <w:rPr>
          <w:szCs w:val="25"/>
        </w:rPr>
        <w:t>421; Grant</w:t>
      </w:r>
      <w:r w:rsidRPr="006F304D">
        <w:rPr>
          <w:szCs w:val="25"/>
        </w:rPr>
        <w:t xml:space="preserve">, </w:t>
      </w:r>
      <w:r w:rsidRPr="00BC3F72">
        <w:rPr>
          <w:i/>
          <w:iCs/>
          <w:szCs w:val="25"/>
        </w:rPr>
        <w:t>Introduction to New Testament Thought</w:t>
      </w:r>
      <w:r w:rsidRPr="005F74F8">
        <w:rPr>
          <w:szCs w:val="25"/>
        </w:rPr>
        <w:t xml:space="preserve"> </w:t>
      </w:r>
      <w:r w:rsidRPr="00BC3F72">
        <w:rPr>
          <w:szCs w:val="25"/>
        </w:rPr>
        <w:t>214).</w:t>
      </w:r>
    </w:p>
  </w:footnote>
  <w:footnote w:id="669">
    <w:p w14:paraId="2B6B7D90" w14:textId="74BCC32D" w:rsidR="005B7D7C" w:rsidRDefault="005B7D7C">
      <w:pPr>
        <w:pStyle w:val="FootnoteText"/>
      </w:pPr>
      <w:r>
        <w:rPr>
          <w:rStyle w:val="FootnoteReference"/>
        </w:rPr>
        <w:footnoteRef/>
      </w:r>
      <w:r>
        <w:t xml:space="preserve"> </w:t>
      </w:r>
      <w:r>
        <w:rPr>
          <w:szCs w:val="25"/>
        </w:rPr>
        <w:t>F</w:t>
      </w:r>
      <w:r w:rsidRPr="00BC3F72">
        <w:rPr>
          <w:szCs w:val="25"/>
        </w:rPr>
        <w:t>itzmyer</w:t>
      </w:r>
      <w:r w:rsidRPr="006F304D">
        <w:rPr>
          <w:szCs w:val="25"/>
        </w:rPr>
        <w:t xml:space="preserve">, </w:t>
      </w:r>
      <w:r w:rsidRPr="00BC3F72">
        <w:rPr>
          <w:i/>
          <w:iCs/>
          <w:szCs w:val="25"/>
        </w:rPr>
        <w:t>Gospel According to Luke</w:t>
      </w:r>
      <w:r w:rsidRPr="006F304D">
        <w:rPr>
          <w:iCs/>
          <w:szCs w:val="25"/>
        </w:rPr>
        <w:t xml:space="preserve"> </w:t>
      </w:r>
      <w:r w:rsidRPr="00BC3F72">
        <w:rPr>
          <w:szCs w:val="25"/>
        </w:rPr>
        <w:t>1. 643: the bad trees “are meant here more specifically of false teachers or false prophets in the Christian community</w:t>
      </w:r>
      <w:r w:rsidRPr="006F304D">
        <w:rPr>
          <w:szCs w:val="25"/>
        </w:rPr>
        <w:t xml:space="preserve">, </w:t>
      </w:r>
      <w:r w:rsidRPr="00BC3F72">
        <w:rPr>
          <w:szCs w:val="25"/>
        </w:rPr>
        <w:t>referred to as thorns and brambles.” See also his remark (ibid.) concerning 45c (“for out of the abundance of the heart his mouth speaks”): ‘If the saying is to be understood of false teachers in the Christian community</w:t>
      </w:r>
      <w:r w:rsidRPr="006F304D">
        <w:rPr>
          <w:szCs w:val="25"/>
        </w:rPr>
        <w:t xml:space="preserve">, </w:t>
      </w:r>
      <w:r w:rsidRPr="00BC3F72">
        <w:rPr>
          <w:szCs w:val="25"/>
        </w:rPr>
        <w:t>then it refers to the evil words and speech that their ideas can produce.”</w:t>
      </w:r>
    </w:p>
  </w:footnote>
  <w:footnote w:id="670">
    <w:p w14:paraId="28A073FF" w14:textId="177DF8D2" w:rsidR="005B7D7C" w:rsidRDefault="005B7D7C">
      <w:pPr>
        <w:pStyle w:val="FootnoteText"/>
      </w:pPr>
      <w:r>
        <w:rPr>
          <w:rStyle w:val="FootnoteReference"/>
        </w:rPr>
        <w:footnoteRef/>
      </w:r>
      <w:r>
        <w:t xml:space="preserve"> </w:t>
      </w:r>
      <w:r>
        <w:rPr>
          <w:szCs w:val="25"/>
        </w:rPr>
        <w:t>S</w:t>
      </w:r>
      <w:r w:rsidRPr="00BC3F72">
        <w:rPr>
          <w:szCs w:val="25"/>
        </w:rPr>
        <w:t>chneider (</w:t>
      </w:r>
      <w:r w:rsidRPr="00BC3F72">
        <w:rPr>
          <w:i/>
          <w:iCs/>
          <w:szCs w:val="25"/>
        </w:rPr>
        <w:t>Evangelium nach Lukas</w:t>
      </w:r>
      <w:r w:rsidRPr="006F304D">
        <w:rPr>
          <w:iCs/>
          <w:szCs w:val="25"/>
        </w:rPr>
        <w:t xml:space="preserve"> </w:t>
      </w:r>
      <w:r w:rsidRPr="00BC3F72">
        <w:t xml:space="preserve">l. </w:t>
      </w:r>
      <w:r w:rsidRPr="00BC3F72">
        <w:rPr>
          <w:szCs w:val="25"/>
        </w:rPr>
        <w:t>159) agrees with Fitzmyer in seeing a reference in 43-45 to false Christian teachers: he entitles 43-45</w:t>
      </w:r>
      <w:r w:rsidRPr="006F304D">
        <w:rPr>
          <w:szCs w:val="25"/>
        </w:rPr>
        <w:t xml:space="preserve">, </w:t>
      </w:r>
      <w:r>
        <w:rPr>
          <w:szCs w:val="25"/>
        </w:rPr>
        <w:t>“</w:t>
      </w:r>
      <w:r w:rsidRPr="00BC3F72">
        <w:rPr>
          <w:szCs w:val="25"/>
        </w:rPr>
        <w:t>warning about false Teachers” (“Warnung vor falschen Lehrern”). But Schneider detects no references to false teachers in 39-42!</w:t>
      </w:r>
    </w:p>
  </w:footnote>
  <w:footnote w:id="671">
    <w:p w14:paraId="4D0F9ACA" w14:textId="4B5F2667" w:rsidR="005B7D7C" w:rsidRDefault="005B7D7C">
      <w:pPr>
        <w:pStyle w:val="FootnoteText"/>
        <w:rPr>
          <w:szCs w:val="25"/>
        </w:rPr>
      </w:pPr>
      <w:r>
        <w:rPr>
          <w:rStyle w:val="FootnoteReference"/>
        </w:rPr>
        <w:footnoteRef/>
      </w:r>
      <w:r>
        <w:t xml:space="preserve"> </w:t>
      </w:r>
      <w:r>
        <w:rPr>
          <w:rFonts w:eastAsia="Arial"/>
          <w:szCs w:val="20"/>
        </w:rPr>
        <w:t>Cf</w:t>
      </w:r>
      <w:r w:rsidRPr="00BC3F72">
        <w:rPr>
          <w:rFonts w:eastAsia="Arial"/>
          <w:szCs w:val="20"/>
        </w:rPr>
        <w:t xml:space="preserve">. </w:t>
      </w:r>
      <w:r w:rsidRPr="00BC3F72">
        <w:rPr>
          <w:szCs w:val="25"/>
        </w:rPr>
        <w:t>Plummer</w:t>
      </w:r>
      <w:r w:rsidRPr="006F304D">
        <w:rPr>
          <w:szCs w:val="25"/>
        </w:rPr>
        <w:t xml:space="preserve">, </w:t>
      </w:r>
      <w:r w:rsidRPr="00BC3F72">
        <w:rPr>
          <w:i/>
          <w:iCs/>
          <w:szCs w:val="25"/>
        </w:rPr>
        <w:t>Critical and Exegetical Commentary</w:t>
      </w:r>
      <w:r w:rsidRPr="005B7D7C">
        <w:rPr>
          <w:szCs w:val="25"/>
        </w:rPr>
        <w:t xml:space="preserve"> </w:t>
      </w:r>
      <w:r w:rsidRPr="00BC3F72">
        <w:rPr>
          <w:szCs w:val="25"/>
        </w:rPr>
        <w:t>191. Plummer’s comment on 44</w:t>
      </w:r>
      <w:r w:rsidRPr="006F304D">
        <w:rPr>
          <w:szCs w:val="25"/>
        </w:rPr>
        <w:t xml:space="preserve">, </w:t>
      </w:r>
      <w:r w:rsidRPr="00BC3F72">
        <w:rPr>
          <w:szCs w:val="25"/>
        </w:rPr>
        <w:t xml:space="preserve">that </w:t>
      </w:r>
      <w:r>
        <w:rPr>
          <w:szCs w:val="25"/>
        </w:rPr>
        <w:t>“</w:t>
      </w:r>
      <w:r w:rsidRPr="00BC3F72">
        <w:rPr>
          <w:szCs w:val="25"/>
        </w:rPr>
        <w:t>The unreformed can no more reform others than thorns and briars can produce figs and grapes” (p. 192)</w:t>
      </w:r>
      <w:r w:rsidRPr="006F304D">
        <w:rPr>
          <w:szCs w:val="25"/>
        </w:rPr>
        <w:t xml:space="preserve">, </w:t>
      </w:r>
      <w:r w:rsidRPr="00BC3F72">
        <w:rPr>
          <w:szCs w:val="25"/>
        </w:rPr>
        <w:t>must</w:t>
      </w:r>
      <w:r w:rsidRPr="006F304D">
        <w:rPr>
          <w:szCs w:val="25"/>
        </w:rPr>
        <w:t xml:space="preserve">, </w:t>
      </w:r>
      <w:r w:rsidRPr="00BC3F72">
        <w:rPr>
          <w:szCs w:val="25"/>
        </w:rPr>
        <w:t>in the light of his comment on 43 quoted above</w:t>
      </w:r>
      <w:r w:rsidRPr="006F304D">
        <w:rPr>
          <w:szCs w:val="25"/>
        </w:rPr>
        <w:t xml:space="preserve">, </w:t>
      </w:r>
      <w:r w:rsidRPr="00BC3F72">
        <w:rPr>
          <w:szCs w:val="25"/>
        </w:rPr>
        <w:t xml:space="preserve">be taken to refer only to unreformed missionaries attempting to </w:t>
      </w:r>
      <w:r>
        <w:rPr>
          <w:szCs w:val="25"/>
        </w:rPr>
        <w:t>“</w:t>
      </w:r>
      <w:r w:rsidRPr="00BC3F72">
        <w:rPr>
          <w:szCs w:val="25"/>
        </w:rPr>
        <w:t>reform” (i.e.</w:t>
      </w:r>
      <w:r w:rsidRPr="006F304D">
        <w:rPr>
          <w:szCs w:val="25"/>
        </w:rPr>
        <w:t xml:space="preserve">, </w:t>
      </w:r>
      <w:r w:rsidRPr="00BC3F72">
        <w:rPr>
          <w:szCs w:val="25"/>
        </w:rPr>
        <w:t>convert) others.</w:t>
      </w:r>
    </w:p>
    <w:p w14:paraId="58BB54C1" w14:textId="25AF598A" w:rsidR="005B7D7C" w:rsidRDefault="005B7D7C">
      <w:pPr>
        <w:pStyle w:val="FootnoteText"/>
      </w:pPr>
      <w:r w:rsidRPr="00BC3F72">
        <w:rPr>
          <w:szCs w:val="25"/>
        </w:rPr>
        <w:t>Tinsley (</w:t>
      </w:r>
      <w:r w:rsidRPr="00BC3F72">
        <w:rPr>
          <w:i/>
          <w:iCs/>
          <w:szCs w:val="25"/>
        </w:rPr>
        <w:t>Gospel According to Luke</w:t>
      </w:r>
      <w:r w:rsidRPr="005B7D7C">
        <w:rPr>
          <w:szCs w:val="25"/>
        </w:rPr>
        <w:t xml:space="preserve"> </w:t>
      </w:r>
      <w:r>
        <w:rPr>
          <w:szCs w:val="25"/>
        </w:rPr>
        <w:t>7</w:t>
      </w:r>
      <w:r w:rsidRPr="005B7D7C">
        <w:rPr>
          <w:szCs w:val="25"/>
        </w:rPr>
        <w:t>2)</w:t>
      </w:r>
      <w:r w:rsidRPr="00BC3F72">
        <w:rPr>
          <w:iCs/>
          <w:szCs w:val="25"/>
        </w:rPr>
        <w:t xml:space="preserve"> </w:t>
      </w:r>
      <w:r w:rsidRPr="00BC3F72">
        <w:rPr>
          <w:szCs w:val="25"/>
        </w:rPr>
        <w:t>is similar. He asks</w:t>
      </w:r>
      <w:r w:rsidRPr="006F304D">
        <w:rPr>
          <w:szCs w:val="25"/>
        </w:rPr>
        <w:t xml:space="preserve">, </w:t>
      </w:r>
      <w:r>
        <w:rPr>
          <w:szCs w:val="25"/>
        </w:rPr>
        <w:t>“</w:t>
      </w:r>
      <w:r w:rsidRPr="00BC3F72">
        <w:rPr>
          <w:szCs w:val="25"/>
        </w:rPr>
        <w:t>How is the dis</w:t>
      </w:r>
      <w:r w:rsidRPr="00BC3F72">
        <w:rPr>
          <w:szCs w:val="25"/>
        </w:rPr>
        <w:softHyphen/>
        <w:t>ciple to tell whether the mission of Jesus is worth giving up one’s life for?</w:t>
      </w:r>
      <w:r>
        <w:rPr>
          <w:szCs w:val="25"/>
        </w:rPr>
        <w:t>”</w:t>
      </w:r>
      <w:r w:rsidRPr="00BC3F72">
        <w:rPr>
          <w:szCs w:val="25"/>
        </w:rPr>
        <w:t xml:space="preserve"> The dis</w:t>
      </w:r>
      <w:r w:rsidRPr="00BC3F72">
        <w:rPr>
          <w:szCs w:val="25"/>
        </w:rPr>
        <w:softHyphen/>
        <w:t>ciple can tell</w:t>
      </w:r>
      <w:r w:rsidRPr="006F304D">
        <w:rPr>
          <w:szCs w:val="25"/>
        </w:rPr>
        <w:t xml:space="preserve">, </w:t>
      </w:r>
      <w:r w:rsidRPr="00BC3F72">
        <w:rPr>
          <w:szCs w:val="25"/>
        </w:rPr>
        <w:t>he replies</w:t>
      </w:r>
      <w:r w:rsidRPr="006F304D">
        <w:rPr>
          <w:szCs w:val="25"/>
        </w:rPr>
        <w:t xml:space="preserve">, </w:t>
      </w:r>
      <w:r w:rsidRPr="00BC3F72">
        <w:rPr>
          <w:szCs w:val="25"/>
        </w:rPr>
        <w:t>by seeing the good results of the missionary effort.</w:t>
      </w:r>
    </w:p>
  </w:footnote>
  <w:footnote w:id="672">
    <w:p w14:paraId="13D5F581" w14:textId="2D63E2F8" w:rsidR="005B7D7C" w:rsidRDefault="005B7D7C">
      <w:pPr>
        <w:pStyle w:val="FootnoteText"/>
      </w:pPr>
      <w:r>
        <w:rPr>
          <w:rStyle w:val="FootnoteReference"/>
        </w:rPr>
        <w:footnoteRef/>
      </w:r>
      <w:r w:rsidRPr="00E5413C">
        <w:rPr>
          <w:lang w:val="fr-FR"/>
        </w:rPr>
        <w:t xml:space="preserve"> </w:t>
      </w:r>
      <w:r w:rsidRPr="00E5413C">
        <w:rPr>
          <w:szCs w:val="25"/>
          <w:lang w:val="fr-FR"/>
        </w:rPr>
        <w:t xml:space="preserve">Rose, </w:t>
      </w:r>
      <w:r w:rsidRPr="00E5413C">
        <w:rPr>
          <w:i/>
          <w:iCs/>
          <w:szCs w:val="25"/>
          <w:lang w:val="fr-FR"/>
        </w:rPr>
        <w:t>Évangile selon S</w:t>
      </w:r>
      <w:r w:rsidRPr="00E5413C">
        <w:rPr>
          <w:iCs/>
          <w:szCs w:val="25"/>
          <w:lang w:val="fr-FR"/>
        </w:rPr>
        <w:t xml:space="preserve">. </w:t>
      </w:r>
      <w:r w:rsidRPr="00E5413C">
        <w:rPr>
          <w:i/>
          <w:iCs/>
          <w:szCs w:val="25"/>
          <w:lang w:val="fr-FR"/>
        </w:rPr>
        <w:t>Luc 70-</w:t>
      </w:r>
      <w:r w:rsidRPr="00E5413C">
        <w:rPr>
          <w:szCs w:val="25"/>
          <w:lang w:val="fr-FR"/>
        </w:rPr>
        <w:t xml:space="preserve">71: “les bons fruits ne sont pas des fruits personnels, mais le bon résultat de l’oeuvre de la conversion . . .” </w:t>
      </w:r>
      <w:r w:rsidRPr="00BC3F72">
        <w:rPr>
          <w:szCs w:val="25"/>
        </w:rPr>
        <w:t xml:space="preserve">Rose’s statement might be interpreted along the lines of Tinsley’s “missionary” explanation: </w:t>
      </w:r>
      <w:r w:rsidRPr="00BC3F72">
        <w:t xml:space="preserve">if </w:t>
      </w:r>
      <w:r w:rsidRPr="00BC3F72">
        <w:rPr>
          <w:szCs w:val="25"/>
        </w:rPr>
        <w:t xml:space="preserve">the </w:t>
      </w:r>
      <w:r>
        <w:rPr>
          <w:szCs w:val="25"/>
        </w:rPr>
        <w:t>“</w:t>
      </w:r>
      <w:r w:rsidRPr="00BC3F72">
        <w:rPr>
          <w:szCs w:val="25"/>
        </w:rPr>
        <w:t>good result” of the work of conversion means the effects of conversion in others</w:t>
      </w:r>
      <w:r w:rsidRPr="006F304D">
        <w:rPr>
          <w:szCs w:val="25"/>
        </w:rPr>
        <w:t xml:space="preserve">, </w:t>
      </w:r>
      <w:r w:rsidRPr="00BC3F72">
        <w:rPr>
          <w:szCs w:val="25"/>
        </w:rPr>
        <w:t xml:space="preserve">then </w:t>
      </w:r>
      <w:r>
        <w:rPr>
          <w:szCs w:val="25"/>
        </w:rPr>
        <w:t>“</w:t>
      </w:r>
      <w:r w:rsidRPr="00BC3F72">
        <w:rPr>
          <w:szCs w:val="25"/>
        </w:rPr>
        <w:t>the work of conversion” will refer to the work of the one who converts</w:t>
      </w:r>
      <w:r w:rsidRPr="006F304D">
        <w:rPr>
          <w:szCs w:val="25"/>
        </w:rPr>
        <w:t xml:space="preserve">, </w:t>
      </w:r>
      <w:r w:rsidRPr="00BC3F72">
        <w:rPr>
          <w:szCs w:val="25"/>
        </w:rPr>
        <w:t>i.e.</w:t>
      </w:r>
      <w:r w:rsidRPr="006F304D">
        <w:rPr>
          <w:szCs w:val="25"/>
        </w:rPr>
        <w:t xml:space="preserve">, </w:t>
      </w:r>
      <w:r w:rsidRPr="00BC3F72">
        <w:rPr>
          <w:szCs w:val="25"/>
        </w:rPr>
        <w:t>the missionary. But Rose concludes the sentence we have just quoted by adding</w:t>
      </w:r>
      <w:r w:rsidRPr="006F304D">
        <w:rPr>
          <w:szCs w:val="25"/>
        </w:rPr>
        <w:t xml:space="preserve">, </w:t>
      </w:r>
      <w:r w:rsidRPr="00BC3F72">
        <w:rPr>
          <w:szCs w:val="25"/>
        </w:rPr>
        <w:t xml:space="preserve">“a bad disciple cannot correct others” (“un mauvais disciple ne peut corriger les autres,’ p. 71). This implies that the “good result of </w:t>
      </w:r>
      <w:r w:rsidRPr="00EE2A2F">
        <w:rPr>
          <w:szCs w:val="25"/>
        </w:rPr>
        <w:t>. . .</w:t>
      </w:r>
      <w:r w:rsidRPr="00BC3F72">
        <w:rPr>
          <w:szCs w:val="25"/>
        </w:rPr>
        <w:t xml:space="preserve"> conversion</w:t>
      </w:r>
      <w:r>
        <w:rPr>
          <w:szCs w:val="25"/>
        </w:rPr>
        <w:t>”</w:t>
      </w:r>
      <w:r w:rsidRPr="00BC3F72">
        <w:rPr>
          <w:szCs w:val="25"/>
        </w:rPr>
        <w:t xml:space="preserve"> is within the converted person; hence I assume that Rose identifies the good fruits with virtues.</w:t>
      </w:r>
    </w:p>
  </w:footnote>
  <w:footnote w:id="673">
    <w:p w14:paraId="1053E617" w14:textId="2C4EEEBC" w:rsidR="00285A0C" w:rsidRDefault="00285A0C">
      <w:pPr>
        <w:pStyle w:val="FootnoteText"/>
      </w:pPr>
      <w:r>
        <w:rPr>
          <w:rStyle w:val="FootnoteReference"/>
        </w:rPr>
        <w:footnoteRef/>
      </w:r>
      <w:r>
        <w:t xml:space="preserve"> </w:t>
      </w:r>
      <w:r>
        <w:rPr>
          <w:szCs w:val="25"/>
        </w:rPr>
        <w:t>R</w:t>
      </w:r>
      <w:r w:rsidRPr="00BC3F72">
        <w:rPr>
          <w:szCs w:val="25"/>
        </w:rPr>
        <w:t>ose (ibid.) does add</w:t>
      </w:r>
      <w:r w:rsidRPr="006F304D">
        <w:rPr>
          <w:szCs w:val="25"/>
        </w:rPr>
        <w:t xml:space="preserve">, </w:t>
      </w:r>
      <w:r w:rsidRPr="00BC3F72">
        <w:rPr>
          <w:szCs w:val="25"/>
        </w:rPr>
        <w:t>immediately after the sentence we have quoted</w:t>
      </w:r>
      <w:r w:rsidRPr="006F304D">
        <w:rPr>
          <w:szCs w:val="25"/>
        </w:rPr>
        <w:t xml:space="preserve">, </w:t>
      </w:r>
      <w:r w:rsidRPr="00BC3F72">
        <w:rPr>
          <w:szCs w:val="25"/>
        </w:rPr>
        <w:t xml:space="preserve">that </w:t>
      </w:r>
      <w:r>
        <w:rPr>
          <w:szCs w:val="25"/>
        </w:rPr>
        <w:t>“</w:t>
      </w:r>
      <w:r w:rsidRPr="00BC3F72">
        <w:rPr>
          <w:szCs w:val="25"/>
        </w:rPr>
        <w:t>the comparisons introduced in the text enlarge the thought</w:t>
      </w:r>
      <w:r w:rsidRPr="006F304D">
        <w:rPr>
          <w:szCs w:val="25"/>
        </w:rPr>
        <w:t xml:space="preserve">, </w:t>
      </w:r>
      <w:r w:rsidRPr="00BC3F72">
        <w:rPr>
          <w:szCs w:val="25"/>
        </w:rPr>
        <w:t>so that it becomes a</w:t>
      </w:r>
      <w:r>
        <w:rPr>
          <w:szCs w:val="25"/>
        </w:rPr>
        <w:t xml:space="preserve"> </w:t>
      </w:r>
      <w:r w:rsidRPr="00BC3F72">
        <w:rPr>
          <w:szCs w:val="25"/>
        </w:rPr>
        <w:t>question of good works in general</w:t>
      </w:r>
      <w:r w:rsidRPr="006F304D">
        <w:rPr>
          <w:szCs w:val="25"/>
        </w:rPr>
        <w:t xml:space="preserve">, </w:t>
      </w:r>
      <w:r w:rsidRPr="00BC3F72">
        <w:rPr>
          <w:szCs w:val="25"/>
        </w:rPr>
        <w:t>in all domains of activity</w:t>
      </w:r>
      <w:r w:rsidRPr="006F304D">
        <w:rPr>
          <w:szCs w:val="25"/>
        </w:rPr>
        <w:t xml:space="preserve">, </w:t>
      </w:r>
      <w:r w:rsidRPr="00BC3F72">
        <w:rPr>
          <w:szCs w:val="25"/>
        </w:rPr>
        <w:t xml:space="preserve">and not just those which result from the instruction of others” (“Cependant les comparaisons introduites </w:t>
      </w:r>
      <w:r>
        <w:rPr>
          <w:szCs w:val="25"/>
        </w:rPr>
        <w:t>é</w:t>
      </w:r>
      <w:r w:rsidRPr="00BC3F72">
        <w:rPr>
          <w:szCs w:val="25"/>
        </w:rPr>
        <w:t>largissent la p</w:t>
      </w:r>
      <w:r>
        <w:rPr>
          <w:szCs w:val="25"/>
        </w:rPr>
        <w:t>e</w:t>
      </w:r>
      <w:r w:rsidRPr="00BC3F72">
        <w:rPr>
          <w:szCs w:val="25"/>
        </w:rPr>
        <w:t>ns</w:t>
      </w:r>
      <w:r>
        <w:rPr>
          <w:szCs w:val="25"/>
        </w:rPr>
        <w:t>é</w:t>
      </w:r>
      <w:r w:rsidRPr="00BC3F72">
        <w:rPr>
          <w:szCs w:val="25"/>
        </w:rPr>
        <w:t>e; i</w:t>
      </w:r>
      <w:r>
        <w:rPr>
          <w:szCs w:val="25"/>
        </w:rPr>
        <w:t>l</w:t>
      </w:r>
      <w:r w:rsidRPr="00BC3F72">
        <w:rPr>
          <w:szCs w:val="25"/>
        </w:rPr>
        <w:t xml:space="preserve"> s’agit des bonnes </w:t>
      </w:r>
      <w:r>
        <w:rPr>
          <w:szCs w:val="25"/>
        </w:rPr>
        <w:t>o</w:t>
      </w:r>
      <w:r w:rsidRPr="00BC3F72">
        <w:rPr>
          <w:szCs w:val="25"/>
        </w:rPr>
        <w:t>euvres en g</w:t>
      </w:r>
      <w:r>
        <w:rPr>
          <w:szCs w:val="25"/>
        </w:rPr>
        <w:t>é</w:t>
      </w:r>
      <w:r w:rsidRPr="00BC3F72">
        <w:rPr>
          <w:szCs w:val="25"/>
        </w:rPr>
        <w:t>n</w:t>
      </w:r>
      <w:r>
        <w:rPr>
          <w:szCs w:val="25"/>
        </w:rPr>
        <w:t>é</w:t>
      </w:r>
      <w:r w:rsidRPr="00BC3F72">
        <w:rPr>
          <w:szCs w:val="25"/>
        </w:rPr>
        <w:t>ral dans taus les domaines d’activit</w:t>
      </w:r>
      <w:r>
        <w:rPr>
          <w:szCs w:val="25"/>
        </w:rPr>
        <w:t>é</w:t>
      </w:r>
      <w:r w:rsidRPr="00BC3F72">
        <w:rPr>
          <w:szCs w:val="25"/>
        </w:rPr>
        <w:t xml:space="preserve"> et non pas seulement de celles qui ressortissent </w:t>
      </w:r>
      <w:r>
        <w:rPr>
          <w:szCs w:val="36"/>
        </w:rPr>
        <w:t>à</w:t>
      </w:r>
      <w:r w:rsidRPr="00BC3F72">
        <w:rPr>
          <w:szCs w:val="36"/>
        </w:rPr>
        <w:t xml:space="preserve"> </w:t>
      </w:r>
      <w:r w:rsidRPr="00BC3F72">
        <w:rPr>
          <w:szCs w:val="25"/>
        </w:rPr>
        <w:t>l’enseignement d’autrui”).</w:t>
      </w:r>
    </w:p>
  </w:footnote>
  <w:footnote w:id="674">
    <w:p w14:paraId="424B6A2D" w14:textId="494FD966" w:rsidR="00285A0C" w:rsidRDefault="00285A0C">
      <w:pPr>
        <w:pStyle w:val="FootnoteText"/>
      </w:pPr>
      <w:r>
        <w:rPr>
          <w:rStyle w:val="FootnoteReference"/>
        </w:rPr>
        <w:footnoteRef/>
      </w:r>
      <w:r>
        <w:t xml:space="preserve"> </w:t>
      </w:r>
      <w:r w:rsidRPr="00BC3F72">
        <w:rPr>
          <w:szCs w:val="25"/>
        </w:rPr>
        <w:t>Easton</w:t>
      </w:r>
      <w:r w:rsidRPr="006F304D">
        <w:rPr>
          <w:szCs w:val="25"/>
        </w:rPr>
        <w:t xml:space="preserve">, </w:t>
      </w:r>
      <w:r w:rsidRPr="00BC3F72">
        <w:rPr>
          <w:i/>
          <w:iCs/>
          <w:szCs w:val="25"/>
        </w:rPr>
        <w:t>Gospel According to Saint Luke</w:t>
      </w:r>
      <w:r w:rsidRPr="00285A0C">
        <w:rPr>
          <w:szCs w:val="25"/>
        </w:rPr>
        <w:t xml:space="preserve"> </w:t>
      </w:r>
      <w:r w:rsidRPr="00BC3F72">
        <w:rPr>
          <w:szCs w:val="25"/>
        </w:rPr>
        <w:t>91; Manson</w:t>
      </w:r>
      <w:r w:rsidRPr="006F304D">
        <w:rPr>
          <w:szCs w:val="25"/>
        </w:rPr>
        <w:t xml:space="preserve">, </w:t>
      </w:r>
      <w:r w:rsidRPr="00BC3F72">
        <w:rPr>
          <w:i/>
          <w:iCs/>
          <w:szCs w:val="25"/>
        </w:rPr>
        <w:t>Gospel of Luke</w:t>
      </w:r>
      <w:r w:rsidRPr="00285A0C">
        <w:rPr>
          <w:szCs w:val="25"/>
        </w:rPr>
        <w:t xml:space="preserve"> </w:t>
      </w:r>
      <w:r w:rsidRPr="00BC3F72">
        <w:rPr>
          <w:szCs w:val="25"/>
        </w:rPr>
        <w:t>72.</w:t>
      </w:r>
    </w:p>
  </w:footnote>
  <w:footnote w:id="675">
    <w:p w14:paraId="29C8EA0E" w14:textId="50EBE8EC" w:rsidR="00285A0C" w:rsidRDefault="00285A0C">
      <w:pPr>
        <w:pStyle w:val="FootnoteText"/>
      </w:pPr>
      <w:r>
        <w:rPr>
          <w:rStyle w:val="FootnoteReference"/>
        </w:rPr>
        <w:footnoteRef/>
      </w:r>
      <w:r>
        <w:t xml:space="preserve"> </w:t>
      </w:r>
      <w:r w:rsidRPr="00BC3F72">
        <w:rPr>
          <w:szCs w:val="25"/>
        </w:rPr>
        <w:t>E.</w:t>
      </w:r>
      <w:r>
        <w:rPr>
          <w:szCs w:val="25"/>
        </w:rPr>
        <w:t>g</w:t>
      </w:r>
      <w:r w:rsidRPr="00BC3F72">
        <w:rPr>
          <w:szCs w:val="25"/>
        </w:rPr>
        <w:t xml:space="preserve">.: 37-42 and 43-45 are </w:t>
      </w:r>
      <w:r>
        <w:rPr>
          <w:szCs w:val="25"/>
        </w:rPr>
        <w:t>“</w:t>
      </w:r>
      <w:r w:rsidRPr="00BC3F72">
        <w:rPr>
          <w:szCs w:val="25"/>
        </w:rPr>
        <w:t>intimement li</w:t>
      </w:r>
      <w:r>
        <w:rPr>
          <w:szCs w:val="25"/>
        </w:rPr>
        <w:t>é</w:t>
      </w:r>
      <w:r w:rsidRPr="00BC3F72">
        <w:rPr>
          <w:szCs w:val="25"/>
        </w:rPr>
        <w:t xml:space="preserve"> </w:t>
      </w:r>
      <w:r w:rsidRPr="00EE2A2F">
        <w:rPr>
          <w:szCs w:val="25"/>
        </w:rPr>
        <w:t>. . .</w:t>
      </w:r>
      <w:r w:rsidRPr="00BC3F72">
        <w:rPr>
          <w:szCs w:val="25"/>
        </w:rPr>
        <w:t>” (Rose</w:t>
      </w:r>
      <w:r w:rsidRPr="006F304D">
        <w:rPr>
          <w:szCs w:val="25"/>
        </w:rPr>
        <w:t xml:space="preserve">, </w:t>
      </w:r>
      <w:r>
        <w:rPr>
          <w:i/>
          <w:iCs/>
          <w:szCs w:val="25"/>
        </w:rPr>
        <w:t>Évangile</w:t>
      </w:r>
      <w:r w:rsidRPr="00BC3F72">
        <w:rPr>
          <w:i/>
          <w:iCs/>
          <w:szCs w:val="25"/>
        </w:rPr>
        <w:t xml:space="preserve"> selon S</w:t>
      </w:r>
      <w:r w:rsidRPr="00BC3F72">
        <w:rPr>
          <w:iCs/>
          <w:szCs w:val="25"/>
        </w:rPr>
        <w:t xml:space="preserve">. </w:t>
      </w:r>
      <w:r w:rsidRPr="00BC3F72">
        <w:rPr>
          <w:i/>
          <w:iCs/>
          <w:szCs w:val="25"/>
        </w:rPr>
        <w:t>Luc</w:t>
      </w:r>
      <w:r w:rsidRPr="00285A0C">
        <w:rPr>
          <w:szCs w:val="25"/>
        </w:rPr>
        <w:t xml:space="preserve"> </w:t>
      </w:r>
      <w:r w:rsidRPr="00BC3F72">
        <w:rPr>
          <w:szCs w:val="25"/>
        </w:rPr>
        <w:t xml:space="preserve">70); </w:t>
      </w:r>
      <w:r>
        <w:rPr>
          <w:szCs w:val="25"/>
        </w:rPr>
        <w:t>“</w:t>
      </w:r>
      <w:r w:rsidRPr="00BC3F72">
        <w:rPr>
          <w:szCs w:val="25"/>
        </w:rPr>
        <w:t>intimately linked</w:t>
      </w:r>
      <w:r>
        <w:rPr>
          <w:szCs w:val="25"/>
        </w:rPr>
        <w:t>”</w:t>
      </w:r>
      <w:r w:rsidRPr="00BC3F72">
        <w:rPr>
          <w:szCs w:val="25"/>
        </w:rPr>
        <w:t xml:space="preserve"> (Dillersberger</w:t>
      </w:r>
      <w:r w:rsidRPr="006F304D">
        <w:rPr>
          <w:szCs w:val="25"/>
        </w:rPr>
        <w:t xml:space="preserve">, </w:t>
      </w:r>
      <w:r w:rsidRPr="00BC3F72">
        <w:rPr>
          <w:i/>
          <w:iCs/>
          <w:szCs w:val="25"/>
        </w:rPr>
        <w:t>Gospel of Saint Luke</w:t>
      </w:r>
      <w:r w:rsidRPr="006F304D">
        <w:rPr>
          <w:iCs/>
          <w:szCs w:val="25"/>
        </w:rPr>
        <w:t xml:space="preserve"> </w:t>
      </w:r>
      <w:r w:rsidRPr="00BC3F72">
        <w:rPr>
          <w:szCs w:val="25"/>
        </w:rPr>
        <w:t>211).</w:t>
      </w:r>
    </w:p>
  </w:footnote>
  <w:footnote w:id="676">
    <w:p w14:paraId="3E327F97" w14:textId="3060E392" w:rsidR="00285A0C" w:rsidRDefault="00285A0C">
      <w:pPr>
        <w:pStyle w:val="FootnoteText"/>
      </w:pPr>
      <w:r>
        <w:rPr>
          <w:rStyle w:val="FootnoteReference"/>
        </w:rPr>
        <w:footnoteRef/>
      </w:r>
      <w:r>
        <w:t xml:space="preserve"> </w:t>
      </w:r>
      <w:r>
        <w:rPr>
          <w:szCs w:val="25"/>
        </w:rPr>
        <w:t>D</w:t>
      </w:r>
      <w:r w:rsidRPr="00BC3F72">
        <w:rPr>
          <w:szCs w:val="25"/>
        </w:rPr>
        <w:t>anker</w:t>
      </w:r>
      <w:r w:rsidRPr="006F304D">
        <w:rPr>
          <w:szCs w:val="25"/>
        </w:rPr>
        <w:t xml:space="preserve">, </w:t>
      </w:r>
      <w:r w:rsidRPr="00BC3F72">
        <w:rPr>
          <w:i/>
          <w:iCs/>
          <w:szCs w:val="25"/>
        </w:rPr>
        <w:t>Jesus and the New Age</w:t>
      </w:r>
      <w:r w:rsidRPr="00285A0C">
        <w:rPr>
          <w:szCs w:val="25"/>
        </w:rPr>
        <w:t xml:space="preserve"> </w:t>
      </w:r>
      <w:r w:rsidRPr="00BC3F72">
        <w:rPr>
          <w:szCs w:val="25"/>
        </w:rPr>
        <w:t xml:space="preserve">96. This is an instance of Danker’s </w:t>
      </w:r>
      <w:r>
        <w:rPr>
          <w:szCs w:val="25"/>
        </w:rPr>
        <w:t>“</w:t>
      </w:r>
      <w:r w:rsidRPr="00BC3F72">
        <w:rPr>
          <w:szCs w:val="25"/>
        </w:rPr>
        <w:t>rhetorical device” of “miscellaneous clarifications” (ibid.</w:t>
      </w:r>
      <w:r w:rsidRPr="006F304D">
        <w:rPr>
          <w:szCs w:val="25"/>
        </w:rPr>
        <w:t xml:space="preserve">, </w:t>
      </w:r>
      <w:r w:rsidRPr="00BC3F72">
        <w:rPr>
          <w:szCs w:val="25"/>
        </w:rPr>
        <w:t>90</w:t>
      </w:r>
      <w:r w:rsidRPr="006F304D">
        <w:rPr>
          <w:szCs w:val="25"/>
        </w:rPr>
        <w:t xml:space="preserve">, </w:t>
      </w:r>
      <w:r w:rsidRPr="00BC3F72">
        <w:rPr>
          <w:szCs w:val="25"/>
        </w:rPr>
        <w:t>95</w:t>
      </w:r>
      <w:r>
        <w:rPr>
          <w:szCs w:val="25"/>
        </w:rPr>
        <w:t>)</w:t>
      </w:r>
      <w:r w:rsidRPr="00BC3F72">
        <w:rPr>
          <w:szCs w:val="25"/>
        </w:rPr>
        <w:t>.</w:t>
      </w:r>
    </w:p>
  </w:footnote>
  <w:footnote w:id="677">
    <w:p w14:paraId="1D6811AC" w14:textId="6FF0E4E6" w:rsidR="00285A0C" w:rsidRDefault="00285A0C">
      <w:pPr>
        <w:pStyle w:val="FootnoteText"/>
      </w:pPr>
      <w:r>
        <w:rPr>
          <w:rStyle w:val="FootnoteReference"/>
        </w:rPr>
        <w:footnoteRef/>
      </w:r>
      <w:r>
        <w:t xml:space="preserve"> </w:t>
      </w:r>
      <w:r>
        <w:rPr>
          <w:szCs w:val="25"/>
        </w:rPr>
        <w:t>D</w:t>
      </w:r>
      <w:r w:rsidRPr="00BC3F72">
        <w:rPr>
          <w:szCs w:val="25"/>
        </w:rPr>
        <w:t>i</w:t>
      </w:r>
      <w:r>
        <w:rPr>
          <w:szCs w:val="25"/>
        </w:rPr>
        <w:t>l</w:t>
      </w:r>
      <w:r w:rsidRPr="00BC3F72">
        <w:rPr>
          <w:szCs w:val="25"/>
        </w:rPr>
        <w:t>lersberger</w:t>
      </w:r>
      <w:r w:rsidRPr="006F304D">
        <w:rPr>
          <w:szCs w:val="25"/>
        </w:rPr>
        <w:t xml:space="preserve">, </w:t>
      </w:r>
      <w:r w:rsidRPr="00BC3F72">
        <w:rPr>
          <w:i/>
          <w:iCs/>
          <w:szCs w:val="25"/>
        </w:rPr>
        <w:t>Gospel of Saint Luke</w:t>
      </w:r>
      <w:r w:rsidRPr="00285A0C">
        <w:rPr>
          <w:szCs w:val="25"/>
        </w:rPr>
        <w:t xml:space="preserve"> </w:t>
      </w:r>
      <w:r w:rsidRPr="00BC3F72">
        <w:rPr>
          <w:szCs w:val="25"/>
        </w:rPr>
        <w:t xml:space="preserve">211. “Such” evil probably refers back to the speck of 41-42; but to </w:t>
      </w:r>
      <w:r>
        <w:rPr>
          <w:szCs w:val="25"/>
        </w:rPr>
        <w:t>“</w:t>
      </w:r>
      <w:r w:rsidRPr="00BC3F72">
        <w:rPr>
          <w:szCs w:val="25"/>
        </w:rPr>
        <w:t xml:space="preserve">see </w:t>
      </w:r>
      <w:r w:rsidRPr="00EE2A2F">
        <w:rPr>
          <w:szCs w:val="25"/>
        </w:rPr>
        <w:t>. . .</w:t>
      </w:r>
      <w:r w:rsidRPr="00BC3F72">
        <w:rPr>
          <w:szCs w:val="25"/>
        </w:rPr>
        <w:t xml:space="preserve"> evil in his neighbor,” or to think “everyone to be a rogue</w:t>
      </w:r>
      <w:r>
        <w:rPr>
          <w:szCs w:val="25"/>
        </w:rPr>
        <w:t>,”</w:t>
      </w:r>
      <w:r w:rsidRPr="00BC3F72">
        <w:rPr>
          <w:szCs w:val="25"/>
        </w:rPr>
        <w:t xml:space="preserve"> is to judge one’s neighbor</w:t>
      </w:r>
      <w:r w:rsidRPr="00F624D6">
        <w:rPr>
          <w:szCs w:val="25"/>
        </w:rPr>
        <w:t>—</w:t>
      </w:r>
      <w:r w:rsidRPr="00BC3F72">
        <w:rPr>
          <w:szCs w:val="25"/>
        </w:rPr>
        <w:t>hence the link back to 37-38.</w:t>
      </w:r>
    </w:p>
  </w:footnote>
  <w:footnote w:id="678">
    <w:p w14:paraId="0F4451E1" w14:textId="603C37D7" w:rsidR="001F2E8F" w:rsidRDefault="001F2E8F">
      <w:pPr>
        <w:pStyle w:val="FootnoteText"/>
      </w:pPr>
      <w:r>
        <w:rPr>
          <w:rStyle w:val="FootnoteReference"/>
        </w:rPr>
        <w:footnoteRef/>
      </w:r>
      <w:r>
        <w:t xml:space="preserve"> </w:t>
      </w:r>
      <w:r w:rsidRPr="00BC3F72">
        <w:rPr>
          <w:szCs w:val="25"/>
        </w:rPr>
        <w:t>Manson</w:t>
      </w:r>
      <w:r w:rsidRPr="006F304D">
        <w:rPr>
          <w:szCs w:val="25"/>
        </w:rPr>
        <w:t xml:space="preserve">, </w:t>
      </w:r>
      <w:r w:rsidRPr="00BC3F72">
        <w:rPr>
          <w:i/>
          <w:iCs/>
          <w:szCs w:val="26"/>
        </w:rPr>
        <w:t>Gospel of Luke</w:t>
      </w:r>
      <w:r w:rsidRPr="001F2E8F">
        <w:rPr>
          <w:szCs w:val="26"/>
        </w:rPr>
        <w:t xml:space="preserve"> </w:t>
      </w:r>
      <w:r w:rsidRPr="00BC3F72">
        <w:rPr>
          <w:szCs w:val="25"/>
        </w:rPr>
        <w:t>72.</w:t>
      </w:r>
    </w:p>
  </w:footnote>
  <w:footnote w:id="679">
    <w:p w14:paraId="09311B14" w14:textId="07C892C8" w:rsidR="001F2E8F" w:rsidRDefault="001F2E8F">
      <w:pPr>
        <w:pStyle w:val="FootnoteText"/>
      </w:pPr>
      <w:r>
        <w:rPr>
          <w:rStyle w:val="FootnoteReference"/>
        </w:rPr>
        <w:footnoteRef/>
      </w:r>
      <w:r>
        <w:t xml:space="preserve"> </w:t>
      </w:r>
      <w:r>
        <w:rPr>
          <w:szCs w:val="25"/>
        </w:rPr>
        <w:t>D</w:t>
      </w:r>
      <w:r w:rsidRPr="00BC3F72">
        <w:rPr>
          <w:szCs w:val="25"/>
        </w:rPr>
        <w:t>ausch</w:t>
      </w:r>
      <w:r w:rsidRPr="006F304D">
        <w:rPr>
          <w:szCs w:val="25"/>
        </w:rPr>
        <w:t xml:space="preserve">, </w:t>
      </w:r>
      <w:r w:rsidRPr="00BC3F72">
        <w:rPr>
          <w:i/>
          <w:iCs/>
          <w:szCs w:val="26"/>
        </w:rPr>
        <w:t xml:space="preserve">Drei </w:t>
      </w:r>
      <w:r>
        <w:rPr>
          <w:i/>
          <w:iCs/>
          <w:szCs w:val="26"/>
        </w:rPr>
        <w:t>älteren Evang</w:t>
      </w:r>
      <w:r w:rsidRPr="00BC3F72">
        <w:rPr>
          <w:i/>
          <w:iCs/>
          <w:szCs w:val="26"/>
        </w:rPr>
        <w:t>elien</w:t>
      </w:r>
      <w:r w:rsidRPr="006F304D">
        <w:rPr>
          <w:iCs/>
          <w:szCs w:val="26"/>
        </w:rPr>
        <w:t xml:space="preserve"> </w:t>
      </w:r>
      <w:r w:rsidRPr="00BC3F72">
        <w:rPr>
          <w:szCs w:val="25"/>
        </w:rPr>
        <w:t>467: “[Das] Gleichnis vom Baum und seinen Fr</w:t>
      </w:r>
      <w:r>
        <w:rPr>
          <w:szCs w:val="25"/>
        </w:rPr>
        <w:t>ü</w:t>
      </w:r>
      <w:r w:rsidRPr="00BC3F72">
        <w:rPr>
          <w:szCs w:val="25"/>
        </w:rPr>
        <w:t>chten will einsch</w:t>
      </w:r>
      <w:r>
        <w:rPr>
          <w:szCs w:val="25"/>
        </w:rPr>
        <w:t>ä</w:t>
      </w:r>
      <w:r w:rsidRPr="00BC3F72">
        <w:rPr>
          <w:szCs w:val="25"/>
        </w:rPr>
        <w:t>rfen</w:t>
      </w:r>
      <w:r w:rsidRPr="006F304D">
        <w:rPr>
          <w:szCs w:val="25"/>
        </w:rPr>
        <w:t xml:space="preserve">, </w:t>
      </w:r>
      <w:r w:rsidRPr="00BC3F72">
        <w:rPr>
          <w:szCs w:val="25"/>
        </w:rPr>
        <w:t>da</w:t>
      </w:r>
      <w:r>
        <w:rPr>
          <w:szCs w:val="25"/>
        </w:rPr>
        <w:t>ß</w:t>
      </w:r>
      <w:r w:rsidRPr="00BC3F72">
        <w:rPr>
          <w:szCs w:val="25"/>
        </w:rPr>
        <w:t xml:space="preserve"> man den Bruder nur bessern kann</w:t>
      </w:r>
      <w:r w:rsidRPr="006F304D">
        <w:rPr>
          <w:szCs w:val="25"/>
        </w:rPr>
        <w:t xml:space="preserve">, </w:t>
      </w:r>
      <w:r w:rsidRPr="00BC3F72">
        <w:rPr>
          <w:szCs w:val="25"/>
        </w:rPr>
        <w:t>wenn man selbst gut ist.”</w:t>
      </w:r>
    </w:p>
  </w:footnote>
  <w:footnote w:id="680">
    <w:p w14:paraId="1C2C24CF" w14:textId="5F3D8D79" w:rsidR="001F2E8F" w:rsidRPr="00E5413C" w:rsidRDefault="001F2E8F">
      <w:pPr>
        <w:pStyle w:val="FootnoteText"/>
        <w:rPr>
          <w:lang w:val="fr-FR"/>
        </w:rPr>
      </w:pPr>
      <w:r>
        <w:rPr>
          <w:rStyle w:val="FootnoteReference"/>
        </w:rPr>
        <w:footnoteRef/>
      </w:r>
      <w:r>
        <w:t xml:space="preserve"> </w:t>
      </w:r>
      <w:r w:rsidRPr="00BC3F72">
        <w:rPr>
          <w:szCs w:val="25"/>
        </w:rPr>
        <w:t>Nevertheless</w:t>
      </w:r>
      <w:r w:rsidRPr="006F304D">
        <w:rPr>
          <w:szCs w:val="25"/>
        </w:rPr>
        <w:t xml:space="preserve">, </w:t>
      </w:r>
      <w:r w:rsidRPr="00BC3F72">
        <w:rPr>
          <w:szCs w:val="25"/>
        </w:rPr>
        <w:t xml:space="preserve">the influence of 41-42 on Manson’s understanding of 43-45 is quite clear </w:t>
      </w:r>
      <w:r>
        <w:rPr>
          <w:szCs w:val="25"/>
        </w:rPr>
        <w:t>(</w:t>
      </w:r>
      <w:r w:rsidRPr="00BC3F72">
        <w:rPr>
          <w:i/>
          <w:iCs/>
          <w:szCs w:val="26"/>
        </w:rPr>
        <w:t>Gospel of Luke</w:t>
      </w:r>
      <w:r w:rsidRPr="001F2E8F">
        <w:rPr>
          <w:szCs w:val="26"/>
        </w:rPr>
        <w:t xml:space="preserve"> </w:t>
      </w:r>
      <w:r w:rsidRPr="00BC3F72">
        <w:rPr>
          <w:szCs w:val="25"/>
        </w:rPr>
        <w:t xml:space="preserve">72): </w:t>
      </w:r>
      <w:r>
        <w:rPr>
          <w:szCs w:val="25"/>
        </w:rPr>
        <w:t>“</w:t>
      </w:r>
      <w:r w:rsidRPr="00BC3F72">
        <w:rPr>
          <w:szCs w:val="25"/>
        </w:rPr>
        <w:t>men cannot raise others above the level to which</w:t>
      </w:r>
      <w:r>
        <w:rPr>
          <w:szCs w:val="25"/>
        </w:rPr>
        <w:t xml:space="preserve"> </w:t>
      </w:r>
      <w:r w:rsidRPr="00BC3F72">
        <w:rPr>
          <w:szCs w:val="25"/>
        </w:rPr>
        <w:t xml:space="preserve">they themselves have attained. </w:t>
      </w:r>
      <w:r w:rsidRPr="00E5413C">
        <w:rPr>
          <w:szCs w:val="25"/>
          <w:lang w:val="fr-FR"/>
        </w:rPr>
        <w:t>They cannot communicate what they do not possess.”</w:t>
      </w:r>
    </w:p>
  </w:footnote>
  <w:footnote w:id="681">
    <w:p w14:paraId="17FAC8ED" w14:textId="16912B18" w:rsidR="00476AF6" w:rsidRPr="00E5413C" w:rsidRDefault="00476AF6">
      <w:pPr>
        <w:pStyle w:val="FootnoteText"/>
        <w:rPr>
          <w:lang w:val="fr-FR"/>
        </w:rPr>
      </w:pPr>
      <w:r>
        <w:rPr>
          <w:rStyle w:val="FootnoteReference"/>
        </w:rPr>
        <w:footnoteRef/>
      </w:r>
      <w:r w:rsidRPr="00E5413C">
        <w:rPr>
          <w:lang w:val="fr-FR"/>
        </w:rPr>
        <w:t xml:space="preserve"> </w:t>
      </w:r>
      <w:r w:rsidRPr="00E5413C">
        <w:rPr>
          <w:i/>
          <w:iCs/>
          <w:lang w:val="fr-FR"/>
        </w:rPr>
        <w:t>Béatitudes</w:t>
      </w:r>
      <w:r w:rsidRPr="00E5413C">
        <w:rPr>
          <w:iCs/>
          <w:lang w:val="fr-FR"/>
        </w:rPr>
        <w:t xml:space="preserve"> </w:t>
      </w:r>
      <w:r w:rsidRPr="00E5413C">
        <w:rPr>
          <w:szCs w:val="25"/>
          <w:lang w:val="fr-FR"/>
        </w:rPr>
        <w:t xml:space="preserve">1. 195: “le logion des arbres et de leur fruits invite </w:t>
      </w:r>
      <w:r w:rsidRPr="00E5413C">
        <w:rPr>
          <w:szCs w:val="36"/>
          <w:lang w:val="fr-FR"/>
        </w:rPr>
        <w:t xml:space="preserve">à </w:t>
      </w:r>
      <w:r w:rsidRPr="00E5413C">
        <w:rPr>
          <w:szCs w:val="25"/>
          <w:lang w:val="fr-FR"/>
        </w:rPr>
        <w:t xml:space="preserve">reconnaître les gens </w:t>
      </w:r>
      <w:r w:rsidRPr="00E5413C">
        <w:rPr>
          <w:rFonts w:eastAsia="Arial"/>
          <w:szCs w:val="32"/>
          <w:lang w:val="fr-FR"/>
        </w:rPr>
        <w:t xml:space="preserve">a </w:t>
      </w:r>
      <w:r w:rsidRPr="00E5413C">
        <w:rPr>
          <w:szCs w:val="25"/>
          <w:lang w:val="fr-FR"/>
        </w:rPr>
        <w:t>leurs oeuvres . . .”</w:t>
      </w:r>
    </w:p>
  </w:footnote>
  <w:footnote w:id="682">
    <w:p w14:paraId="40DF472F" w14:textId="70781A00" w:rsidR="00476AF6" w:rsidRDefault="00476AF6">
      <w:pPr>
        <w:pStyle w:val="FootnoteText"/>
      </w:pPr>
      <w:r>
        <w:rPr>
          <w:rStyle w:val="FootnoteReference"/>
        </w:rPr>
        <w:footnoteRef/>
      </w:r>
      <w:r>
        <w:t xml:space="preserve"> </w:t>
      </w:r>
      <w:r>
        <w:rPr>
          <w:kern w:val="0"/>
          <w:szCs w:val="25"/>
        </w:rPr>
        <w:t xml:space="preserve">See Easton, </w:t>
      </w:r>
      <w:r>
        <w:rPr>
          <w:i/>
          <w:iCs/>
          <w:kern w:val="0"/>
        </w:rPr>
        <w:t>Gospel According to Saint Luke</w:t>
      </w:r>
      <w:r>
        <w:rPr>
          <w:kern w:val="0"/>
        </w:rPr>
        <w:t xml:space="preserve"> </w:t>
      </w:r>
      <w:r>
        <w:rPr>
          <w:kern w:val="0"/>
          <w:szCs w:val="25"/>
        </w:rPr>
        <w:t>91: “The connection is meant to be very close (</w:t>
      </w:r>
      <w:r>
        <w:rPr>
          <w:bCs/>
          <w:kern w:val="0"/>
          <w:szCs w:val="22"/>
          <w:lang w:val="el-GR"/>
        </w:rPr>
        <w:t>γάρ</w:t>
      </w:r>
      <w:r>
        <w:rPr>
          <w:kern w:val="0"/>
          <w:szCs w:val="25"/>
        </w:rPr>
        <w:t>). . .”</w:t>
      </w:r>
    </w:p>
  </w:footnote>
  <w:footnote w:id="683">
    <w:p w14:paraId="730F63B0" w14:textId="77777777" w:rsidR="003A7B2C" w:rsidRDefault="00476AF6">
      <w:pPr>
        <w:pStyle w:val="FootnoteText"/>
        <w:rPr>
          <w:szCs w:val="26"/>
        </w:rPr>
      </w:pPr>
      <w:r>
        <w:rPr>
          <w:rStyle w:val="FootnoteReference"/>
        </w:rPr>
        <w:footnoteRef/>
      </w:r>
      <w:r>
        <w:t xml:space="preserve"> </w:t>
      </w:r>
      <w:r w:rsidRPr="00BC3F72">
        <w:rPr>
          <w:szCs w:val="25"/>
        </w:rPr>
        <w:t>Dupont</w:t>
      </w:r>
      <w:r w:rsidRPr="006F304D">
        <w:rPr>
          <w:szCs w:val="25"/>
        </w:rPr>
        <w:t xml:space="preserve">, </w:t>
      </w:r>
      <w:r w:rsidRPr="00BC3F72">
        <w:rPr>
          <w:i/>
          <w:iCs/>
        </w:rPr>
        <w:t>B</w:t>
      </w:r>
      <w:r>
        <w:rPr>
          <w:i/>
          <w:iCs/>
        </w:rPr>
        <w:t>é</w:t>
      </w:r>
      <w:r w:rsidRPr="00BC3F72">
        <w:rPr>
          <w:i/>
          <w:iCs/>
        </w:rPr>
        <w:t>atitudes</w:t>
      </w:r>
      <w:r w:rsidRPr="006F304D">
        <w:rPr>
          <w:iCs/>
        </w:rPr>
        <w:t xml:space="preserve"> </w:t>
      </w:r>
      <w:r w:rsidRPr="00BC3F72">
        <w:rPr>
          <w:szCs w:val="25"/>
        </w:rPr>
        <w:t>1. 43-44 n. 1</w:t>
      </w:r>
      <w:r w:rsidRPr="006F304D">
        <w:rPr>
          <w:szCs w:val="25"/>
        </w:rPr>
        <w:t xml:space="preserve">, </w:t>
      </w:r>
      <w:r w:rsidRPr="00BC3F72">
        <w:rPr>
          <w:szCs w:val="25"/>
        </w:rPr>
        <w:t>195</w:t>
      </w:r>
      <w:r w:rsidRPr="006F304D">
        <w:rPr>
          <w:szCs w:val="25"/>
        </w:rPr>
        <w:t xml:space="preserve">, </w:t>
      </w:r>
      <w:r w:rsidRPr="00BC3F72">
        <w:rPr>
          <w:szCs w:val="25"/>
        </w:rPr>
        <w:t xml:space="preserve">199 n. 1. Dupont cites a great deal of evidence for this interpretation of </w:t>
      </w:r>
      <w:r>
        <w:rPr>
          <w:bCs/>
          <w:szCs w:val="22"/>
          <w:lang w:val="el-GR"/>
        </w:rPr>
        <w:t>γάρ</w:t>
      </w:r>
      <w:r w:rsidRPr="00BC3F72">
        <w:rPr>
          <w:szCs w:val="25"/>
        </w:rPr>
        <w:t xml:space="preserve"> in a footnote concerning verse 43 (p. 199 n. </w:t>
      </w:r>
      <w:r w:rsidRPr="00BC3F72">
        <w:rPr>
          <w:szCs w:val="26"/>
        </w:rPr>
        <w:t>1).</w:t>
      </w:r>
      <w:r>
        <w:rPr>
          <w:szCs w:val="26"/>
        </w:rPr>
        <w:t xml:space="preserve"> </w:t>
      </w:r>
    </w:p>
    <w:p w14:paraId="5E398F84" w14:textId="77777777" w:rsidR="003A7B2C" w:rsidRDefault="003A7B2C">
      <w:pPr>
        <w:pStyle w:val="FootnoteText"/>
        <w:rPr>
          <w:szCs w:val="26"/>
        </w:rPr>
      </w:pPr>
    </w:p>
    <w:p w14:paraId="1A896D35" w14:textId="77777777" w:rsidR="003A7B2C" w:rsidRDefault="00476AF6" w:rsidP="003A7B2C">
      <w:pPr>
        <w:pStyle w:val="FootnoteText"/>
        <w:ind w:left="720" w:right="720"/>
        <w:rPr>
          <w:szCs w:val="26"/>
        </w:rPr>
      </w:pPr>
      <w:r w:rsidRPr="00BC3F72">
        <w:rPr>
          <w:szCs w:val="25"/>
        </w:rPr>
        <w:t xml:space="preserve">It is fallacious to seek always in </w:t>
      </w:r>
      <w:r>
        <w:rPr>
          <w:bCs/>
          <w:szCs w:val="22"/>
          <w:lang w:val="el-GR"/>
        </w:rPr>
        <w:t>γάρ</w:t>
      </w:r>
      <w:r w:rsidRPr="00BC3F72">
        <w:rPr>
          <w:szCs w:val="25"/>
        </w:rPr>
        <w:t xml:space="preserve"> an indication of a causal or ex</w:t>
      </w:r>
      <w:r w:rsidRPr="00BC3F72">
        <w:rPr>
          <w:szCs w:val="25"/>
        </w:rPr>
        <w:softHyphen/>
        <w:t xml:space="preserve">planatory meaning for the sentence it introduces. Often </w:t>
      </w:r>
      <w:r>
        <w:rPr>
          <w:bCs/>
          <w:szCs w:val="22"/>
          <w:lang w:val="el-GR"/>
        </w:rPr>
        <w:t>γάρ</w:t>
      </w:r>
      <w:r w:rsidRPr="00BC3F72">
        <w:rPr>
          <w:szCs w:val="25"/>
        </w:rPr>
        <w:t xml:space="preserve"> merely unites two sentences or developments which have no real connection between them; sometimes it merely substitutes for </w:t>
      </w:r>
      <w:r>
        <w:rPr>
          <w:szCs w:val="25"/>
        </w:rPr>
        <w:t>δέ</w:t>
      </w:r>
      <w:r w:rsidRPr="00BC3F72">
        <w:rPr>
          <w:iCs/>
        </w:rPr>
        <w:t xml:space="preserve"> (</w:t>
      </w:r>
      <w:r w:rsidRPr="00BC3F72">
        <w:rPr>
          <w:szCs w:val="25"/>
        </w:rPr>
        <w:t xml:space="preserve">it is striking to see the number of times where the manuscript tradition of the New Testament hesitates between </w:t>
      </w:r>
      <w:r>
        <w:rPr>
          <w:bCs/>
          <w:szCs w:val="22"/>
          <w:lang w:val="el-GR"/>
        </w:rPr>
        <w:t>γάρ</w:t>
      </w:r>
      <w:r w:rsidRPr="00BC3F72">
        <w:rPr>
          <w:szCs w:val="25"/>
        </w:rPr>
        <w:t xml:space="preserve"> and </w:t>
      </w:r>
      <w:r>
        <w:rPr>
          <w:szCs w:val="25"/>
        </w:rPr>
        <w:t>δέ)</w:t>
      </w:r>
      <w:r w:rsidRPr="00BC3F72">
        <w:t xml:space="preserve">. </w:t>
      </w:r>
      <w:r w:rsidRPr="00BC3F72">
        <w:rPr>
          <w:szCs w:val="25"/>
        </w:rPr>
        <w:t>It is also used simply to reinforce a statement</w:t>
      </w:r>
      <w:r w:rsidRPr="00F624D6">
        <w:rPr>
          <w:szCs w:val="25"/>
        </w:rPr>
        <w:t>—</w:t>
      </w:r>
      <w:r w:rsidRPr="00BC3F72">
        <w:rPr>
          <w:szCs w:val="25"/>
        </w:rPr>
        <w:t>e.g.</w:t>
      </w:r>
      <w:r w:rsidRPr="006F304D">
        <w:rPr>
          <w:szCs w:val="25"/>
        </w:rPr>
        <w:t xml:space="preserve">, </w:t>
      </w:r>
      <w:r w:rsidRPr="00BC3F72">
        <w:rPr>
          <w:szCs w:val="25"/>
        </w:rPr>
        <w:t>“Certainly”</w:t>
      </w:r>
      <w:r w:rsidRPr="00F624D6">
        <w:rPr>
          <w:szCs w:val="25"/>
        </w:rPr>
        <w:t>—</w:t>
      </w:r>
      <w:r w:rsidRPr="00BC3F72">
        <w:rPr>
          <w:szCs w:val="25"/>
        </w:rPr>
        <w:t>without intending that the</w:t>
      </w:r>
      <w:r>
        <w:rPr>
          <w:szCs w:val="26"/>
        </w:rPr>
        <w:t xml:space="preserve"> </w:t>
      </w:r>
      <w:r w:rsidRPr="00BC3F72">
        <w:rPr>
          <w:szCs w:val="25"/>
        </w:rPr>
        <w:t>statement furnish an explanation of what has been said immediately before. This usage is well known in Paul’s writings (see Rom 1:18</w:t>
      </w:r>
      <w:r w:rsidRPr="006F304D">
        <w:rPr>
          <w:szCs w:val="25"/>
        </w:rPr>
        <w:t xml:space="preserve">, </w:t>
      </w:r>
      <w:r w:rsidRPr="00BC3F72">
        <w:rPr>
          <w:szCs w:val="25"/>
        </w:rPr>
        <w:t>2:25</w:t>
      </w:r>
      <w:r w:rsidRPr="006F304D">
        <w:rPr>
          <w:szCs w:val="25"/>
        </w:rPr>
        <w:t xml:space="preserve">, </w:t>
      </w:r>
      <w:r w:rsidRPr="00BC3F72">
        <w:rPr>
          <w:szCs w:val="25"/>
        </w:rPr>
        <w:t>4:3</w:t>
      </w:r>
      <w:r w:rsidRPr="006F304D">
        <w:rPr>
          <w:szCs w:val="25"/>
        </w:rPr>
        <w:t xml:space="preserve">, </w:t>
      </w:r>
      <w:r w:rsidRPr="00BC3F72">
        <w:rPr>
          <w:szCs w:val="25"/>
        </w:rPr>
        <w:t>4:9</w:t>
      </w:r>
      <w:r w:rsidRPr="006F304D">
        <w:rPr>
          <w:szCs w:val="25"/>
        </w:rPr>
        <w:t xml:space="preserve">, </w:t>
      </w:r>
      <w:r w:rsidRPr="00BC3F72">
        <w:rPr>
          <w:szCs w:val="25"/>
        </w:rPr>
        <w:t>5:7</w:t>
      </w:r>
      <w:r w:rsidRPr="006F304D">
        <w:rPr>
          <w:szCs w:val="25"/>
        </w:rPr>
        <w:t xml:space="preserve">, </w:t>
      </w:r>
      <w:r w:rsidRPr="00BC3F72">
        <w:rPr>
          <w:szCs w:val="25"/>
        </w:rPr>
        <w:t>12:3</w:t>
      </w:r>
      <w:r w:rsidRPr="006F304D">
        <w:rPr>
          <w:szCs w:val="25"/>
        </w:rPr>
        <w:t xml:space="preserve">, </w:t>
      </w:r>
      <w:r w:rsidRPr="00BC3F72">
        <w:rPr>
          <w:szCs w:val="25"/>
        </w:rPr>
        <w:t>14:5; 1 Cor 10:1; 2 Cor 1:12</w:t>
      </w:r>
      <w:r w:rsidRPr="006F304D">
        <w:rPr>
          <w:szCs w:val="25"/>
        </w:rPr>
        <w:t xml:space="preserve">, </w:t>
      </w:r>
      <w:r w:rsidRPr="00BC3F72">
        <w:rPr>
          <w:szCs w:val="25"/>
        </w:rPr>
        <w:t>10:12</w:t>
      </w:r>
      <w:r w:rsidRPr="006F304D">
        <w:rPr>
          <w:szCs w:val="25"/>
        </w:rPr>
        <w:t xml:space="preserve">, </w:t>
      </w:r>
      <w:r w:rsidRPr="00BC3F72">
        <w:rPr>
          <w:szCs w:val="25"/>
        </w:rPr>
        <w:t>11:5; Gal 1:11</w:t>
      </w:r>
      <w:r w:rsidRPr="006F304D">
        <w:rPr>
          <w:szCs w:val="25"/>
        </w:rPr>
        <w:t xml:space="preserve">, </w:t>
      </w:r>
      <w:r w:rsidRPr="00BC3F72">
        <w:rPr>
          <w:szCs w:val="25"/>
        </w:rPr>
        <w:t>5:13)</w:t>
      </w:r>
      <w:r>
        <w:rPr>
          <w:szCs w:val="25"/>
        </w:rPr>
        <w:t>. . . .</w:t>
      </w:r>
      <w:r w:rsidRPr="00BC3F72">
        <w:rPr>
          <w:szCs w:val="25"/>
        </w:rPr>
        <w:t xml:space="preserve"> Apparently one can explain in the same way several instances of </w:t>
      </w:r>
      <w:r>
        <w:rPr>
          <w:bCs/>
          <w:szCs w:val="22"/>
          <w:lang w:val="el-GR"/>
        </w:rPr>
        <w:t>γάρ</w:t>
      </w:r>
      <w:r w:rsidRPr="00BC3F72">
        <w:rPr>
          <w:rFonts w:eastAsia="Arial"/>
          <w:szCs w:val="22"/>
        </w:rPr>
        <w:t xml:space="preserve"> </w:t>
      </w:r>
      <w:r w:rsidRPr="00BC3F72">
        <w:rPr>
          <w:szCs w:val="25"/>
        </w:rPr>
        <w:t xml:space="preserve">in the text of Luke </w:t>
      </w:r>
      <w:r w:rsidRPr="00EE2A2F">
        <w:rPr>
          <w:szCs w:val="25"/>
        </w:rPr>
        <w:t>. . .</w:t>
      </w:r>
      <w:r w:rsidRPr="006F304D">
        <w:rPr>
          <w:szCs w:val="25"/>
        </w:rPr>
        <w:t xml:space="preserve">, </w:t>
      </w:r>
      <w:r w:rsidRPr="00BC3F72">
        <w:rPr>
          <w:szCs w:val="25"/>
        </w:rPr>
        <w:t>for example</w:t>
      </w:r>
      <w:r w:rsidRPr="006F304D">
        <w:rPr>
          <w:szCs w:val="25"/>
        </w:rPr>
        <w:t xml:space="preserve">, </w:t>
      </w:r>
      <w:r w:rsidRPr="00BC3F72">
        <w:rPr>
          <w:szCs w:val="25"/>
        </w:rPr>
        <w:t>Luke 1:15; 12:58 (cf. Matt 5:25); 14:28; Acts 2:34; 4:34a; 8:39; 13:27; 15:28; 16:37; 23:11</w:t>
      </w:r>
      <w:r>
        <w:rPr>
          <w:szCs w:val="25"/>
        </w:rPr>
        <w:t xml:space="preserve"> . . .</w:t>
      </w:r>
    </w:p>
    <w:p w14:paraId="20C1BC36" w14:textId="77777777" w:rsidR="003A7B2C" w:rsidRDefault="003A7B2C" w:rsidP="003A7B2C">
      <w:pPr>
        <w:pStyle w:val="FootnoteText"/>
        <w:ind w:right="720"/>
        <w:rPr>
          <w:szCs w:val="26"/>
        </w:rPr>
      </w:pPr>
    </w:p>
    <w:p w14:paraId="3955A854" w14:textId="51C2AB55" w:rsidR="00476AF6" w:rsidRPr="00E5413C" w:rsidRDefault="00476AF6" w:rsidP="003A7B2C">
      <w:pPr>
        <w:pStyle w:val="FootnoteText"/>
        <w:ind w:left="720" w:right="720"/>
        <w:rPr>
          <w:szCs w:val="25"/>
          <w:lang w:val="fr-FR"/>
        </w:rPr>
      </w:pPr>
      <w:r w:rsidRPr="00E5413C">
        <w:rPr>
          <w:szCs w:val="25"/>
          <w:lang w:val="fr-FR"/>
        </w:rPr>
        <w:t xml:space="preserve">(Ce serait commetre une erreur que de chercher toujours dans </w:t>
      </w:r>
      <w:r w:rsidR="003A7B2C">
        <w:rPr>
          <w:bCs/>
          <w:kern w:val="0"/>
          <w:szCs w:val="22"/>
          <w:lang w:val="el-GR"/>
        </w:rPr>
        <w:t>γάρ</w:t>
      </w:r>
      <w:r w:rsidRPr="00E5413C">
        <w:rPr>
          <w:rFonts w:eastAsia="Arial"/>
          <w:szCs w:val="22"/>
          <w:lang w:val="fr-FR"/>
        </w:rPr>
        <w:t xml:space="preserve"> </w:t>
      </w:r>
      <w:r w:rsidRPr="00E5413C">
        <w:rPr>
          <w:szCs w:val="25"/>
          <w:lang w:val="fr-FR"/>
        </w:rPr>
        <w:t>l’indice du sens causal ou explicatif de la phrase que cette conjonction introduit. Bien souvent on l’emploie pour unir deux phrases ou deux d</w:t>
      </w:r>
      <w:r w:rsidR="003A7B2C" w:rsidRPr="00E5413C">
        <w:rPr>
          <w:szCs w:val="25"/>
          <w:lang w:val="fr-FR"/>
        </w:rPr>
        <w:t>é</w:t>
      </w:r>
      <w:r w:rsidRPr="00E5413C">
        <w:rPr>
          <w:szCs w:val="25"/>
          <w:lang w:val="fr-FR"/>
        </w:rPr>
        <w:t>veloppements qui n’ont aucun lien r</w:t>
      </w:r>
      <w:r w:rsidR="003A7B2C" w:rsidRPr="00E5413C">
        <w:rPr>
          <w:szCs w:val="25"/>
          <w:lang w:val="fr-FR"/>
        </w:rPr>
        <w:t>é</w:t>
      </w:r>
      <w:r w:rsidRPr="00E5413C">
        <w:rPr>
          <w:szCs w:val="25"/>
          <w:lang w:val="fr-FR"/>
        </w:rPr>
        <w:t>el entre eux: l</w:t>
      </w:r>
      <w:r w:rsidR="003A7B2C" w:rsidRPr="00E5413C">
        <w:rPr>
          <w:szCs w:val="25"/>
          <w:lang w:val="fr-FR"/>
        </w:rPr>
        <w:t>à</w:t>
      </w:r>
      <w:r w:rsidRPr="00E5413C">
        <w:rPr>
          <w:szCs w:val="25"/>
          <w:lang w:val="fr-FR"/>
        </w:rPr>
        <w:t xml:space="preserve"> o</w:t>
      </w:r>
      <w:r w:rsidR="003A7B2C" w:rsidRPr="00E5413C">
        <w:rPr>
          <w:szCs w:val="25"/>
          <w:lang w:val="fr-FR"/>
        </w:rPr>
        <w:t>ù</w:t>
      </w:r>
      <w:r w:rsidRPr="00E5413C">
        <w:rPr>
          <w:szCs w:val="25"/>
          <w:lang w:val="fr-FR"/>
        </w:rPr>
        <w:t xml:space="preserve"> l’on attendrait plut</w:t>
      </w:r>
      <w:r w:rsidR="003A7B2C" w:rsidRPr="00E5413C">
        <w:rPr>
          <w:szCs w:val="25"/>
          <w:lang w:val="fr-FR"/>
        </w:rPr>
        <w:t>ô</w:t>
      </w:r>
      <w:r w:rsidRPr="00E5413C">
        <w:rPr>
          <w:szCs w:val="25"/>
          <w:lang w:val="fr-FR"/>
        </w:rPr>
        <w:t xml:space="preserve">t le </w:t>
      </w:r>
      <w:r w:rsidR="003A7B2C">
        <w:rPr>
          <w:kern w:val="0"/>
          <w:szCs w:val="25"/>
        </w:rPr>
        <w:t>δέ</w:t>
      </w:r>
      <w:r w:rsidRPr="00E5413C">
        <w:rPr>
          <w:rFonts w:eastAsia="Arial"/>
          <w:szCs w:val="23"/>
          <w:lang w:val="fr-FR"/>
        </w:rPr>
        <w:t xml:space="preserve"> (</w:t>
      </w:r>
      <w:r w:rsidRPr="00E5413C">
        <w:rPr>
          <w:szCs w:val="25"/>
          <w:lang w:val="fr-FR"/>
        </w:rPr>
        <w:t>il est d’ailleurs assez frappant de voir le nombre de cas o</w:t>
      </w:r>
      <w:r w:rsidR="003A7B2C" w:rsidRPr="00E5413C">
        <w:rPr>
          <w:szCs w:val="25"/>
          <w:lang w:val="fr-FR"/>
        </w:rPr>
        <w:t>ù</w:t>
      </w:r>
      <w:r w:rsidRPr="00E5413C">
        <w:rPr>
          <w:szCs w:val="25"/>
          <w:lang w:val="fr-FR"/>
        </w:rPr>
        <w:t xml:space="preserve"> la tradition manuscrite du N. T. montre une hesitation entre</w:t>
      </w:r>
      <w:r w:rsidR="003A7B2C" w:rsidRPr="00E5413C">
        <w:rPr>
          <w:szCs w:val="25"/>
          <w:lang w:val="fr-FR"/>
        </w:rPr>
        <w:t xml:space="preserve"> </w:t>
      </w:r>
      <w:r w:rsidR="003A7B2C">
        <w:rPr>
          <w:bCs/>
          <w:kern w:val="0"/>
          <w:szCs w:val="22"/>
          <w:lang w:val="el-GR"/>
        </w:rPr>
        <w:t>γάρ</w:t>
      </w:r>
      <w:r w:rsidRPr="00E5413C">
        <w:rPr>
          <w:szCs w:val="25"/>
          <w:lang w:val="fr-FR"/>
        </w:rPr>
        <w:t xml:space="preserve"> et</w:t>
      </w:r>
      <w:r w:rsidR="003A7B2C" w:rsidRPr="00E5413C">
        <w:rPr>
          <w:szCs w:val="25"/>
          <w:lang w:val="fr-FR"/>
        </w:rPr>
        <w:t xml:space="preserve"> </w:t>
      </w:r>
      <w:r w:rsidR="003A7B2C">
        <w:rPr>
          <w:kern w:val="0"/>
          <w:szCs w:val="25"/>
        </w:rPr>
        <w:t>δέ</w:t>
      </w:r>
      <w:r w:rsidRPr="00E5413C">
        <w:rPr>
          <w:lang w:val="fr-FR"/>
        </w:rPr>
        <w:t xml:space="preserve">). </w:t>
      </w:r>
      <w:r w:rsidRPr="00E5413C">
        <w:rPr>
          <w:szCs w:val="25"/>
          <w:lang w:val="fr-FR"/>
        </w:rPr>
        <w:t>On l’emploie aussi plus simplement pour renforcer une affirmation («certes»), sans que cette affirmation four</w:t>
      </w:r>
      <w:r w:rsidRPr="00E5413C">
        <w:rPr>
          <w:szCs w:val="25"/>
          <w:lang w:val="fr-FR"/>
        </w:rPr>
        <w:softHyphen/>
        <w:t xml:space="preserve">nisse l’explication de ce qui a </w:t>
      </w:r>
      <w:r w:rsidR="003A7B2C" w:rsidRPr="00E5413C">
        <w:rPr>
          <w:szCs w:val="25"/>
          <w:lang w:val="fr-FR"/>
        </w:rPr>
        <w:t>é</w:t>
      </w:r>
      <w:r w:rsidRPr="00E5413C">
        <w:rPr>
          <w:szCs w:val="25"/>
          <w:lang w:val="fr-FR"/>
        </w:rPr>
        <w:t>t</w:t>
      </w:r>
      <w:r w:rsidR="003A7B2C" w:rsidRPr="00E5413C">
        <w:rPr>
          <w:szCs w:val="25"/>
          <w:lang w:val="fr-FR"/>
        </w:rPr>
        <w:t>é</w:t>
      </w:r>
      <w:r w:rsidRPr="00E5413C">
        <w:rPr>
          <w:szCs w:val="25"/>
          <w:lang w:val="fr-FR"/>
        </w:rPr>
        <w:t xml:space="preserve"> dit ant</w:t>
      </w:r>
      <w:r w:rsidR="003A7B2C" w:rsidRPr="00E5413C">
        <w:rPr>
          <w:szCs w:val="25"/>
          <w:lang w:val="fr-FR"/>
        </w:rPr>
        <w:t>é</w:t>
      </w:r>
      <w:r w:rsidRPr="00E5413C">
        <w:rPr>
          <w:szCs w:val="25"/>
          <w:lang w:val="fr-FR"/>
        </w:rPr>
        <w:t>rieurement. Cet usage est bien connu en ce qui conce</w:t>
      </w:r>
      <w:r w:rsidR="003A7B2C" w:rsidRPr="00E5413C">
        <w:rPr>
          <w:szCs w:val="25"/>
          <w:lang w:val="fr-FR"/>
        </w:rPr>
        <w:t>rn</w:t>
      </w:r>
      <w:r w:rsidRPr="00E5413C">
        <w:rPr>
          <w:szCs w:val="25"/>
          <w:lang w:val="fr-FR"/>
        </w:rPr>
        <w:t xml:space="preserve">e Paul (cf. Rom., 1, 18; 2, 25; 4, 3. 9; 5, 7; 12, 3; 14, 5; 1 Cor., 10, 1; 2 Cor., 1, 12; 10, 12; 11, 5; Gal., 1, 11; 5, 13. Voir Bauer-Arndt, p. 151). </w:t>
      </w:r>
      <w:r w:rsidR="003A7B2C" w:rsidRPr="00E5413C">
        <w:rPr>
          <w:szCs w:val="25"/>
          <w:lang w:val="fr-FR"/>
        </w:rPr>
        <w:t>Il</w:t>
      </w:r>
      <w:r w:rsidRPr="00E5413C">
        <w:rPr>
          <w:szCs w:val="25"/>
          <w:lang w:val="fr-FR"/>
        </w:rPr>
        <w:t xml:space="preserve"> semble qu’on pourrait expliquer de la m</w:t>
      </w:r>
      <w:r w:rsidR="003A7B2C" w:rsidRPr="00E5413C">
        <w:rPr>
          <w:szCs w:val="25"/>
          <w:lang w:val="fr-FR"/>
        </w:rPr>
        <w:t>ê</w:t>
      </w:r>
      <w:r w:rsidRPr="00E5413C">
        <w:rPr>
          <w:szCs w:val="25"/>
          <w:lang w:val="fr-FR"/>
        </w:rPr>
        <w:t>me mani</w:t>
      </w:r>
      <w:r w:rsidR="003A7B2C" w:rsidRPr="00E5413C">
        <w:rPr>
          <w:szCs w:val="25"/>
          <w:lang w:val="fr-FR"/>
        </w:rPr>
        <w:t>è</w:t>
      </w:r>
      <w:r w:rsidRPr="00E5413C">
        <w:rPr>
          <w:szCs w:val="25"/>
          <w:lang w:val="fr-FR"/>
        </w:rPr>
        <w:t xml:space="preserve">re un certain nombre de </w:t>
      </w:r>
      <w:r w:rsidR="003A7B2C">
        <w:rPr>
          <w:bCs/>
          <w:kern w:val="0"/>
          <w:szCs w:val="22"/>
          <w:lang w:val="el-GR"/>
        </w:rPr>
        <w:t>γάρ</w:t>
      </w:r>
      <w:r w:rsidRPr="00E5413C">
        <w:rPr>
          <w:rFonts w:eastAsia="Arial"/>
          <w:szCs w:val="22"/>
          <w:lang w:val="fr-FR"/>
        </w:rPr>
        <w:t xml:space="preserve"> </w:t>
      </w:r>
      <w:r w:rsidRPr="00E5413C">
        <w:rPr>
          <w:szCs w:val="25"/>
          <w:lang w:val="fr-FR"/>
        </w:rPr>
        <w:t>dans les textes de Luc</w:t>
      </w:r>
      <w:r w:rsidR="003A7B2C" w:rsidRPr="00E5413C">
        <w:rPr>
          <w:szCs w:val="25"/>
          <w:lang w:val="fr-FR"/>
        </w:rPr>
        <w:t xml:space="preserve"> . . .</w:t>
      </w:r>
      <w:r w:rsidRPr="00E5413C">
        <w:rPr>
          <w:szCs w:val="25"/>
          <w:lang w:val="fr-FR"/>
        </w:rPr>
        <w:t xml:space="preserve"> par exemple, Luc, 1, 15; 12, 58 (cf. Mat., 5, 25); 14, 28; Act, 2, 34; 4, 34</w:t>
      </w:r>
      <w:r w:rsidRPr="00E5413C">
        <w:rPr>
          <w:i/>
          <w:iCs/>
          <w:szCs w:val="25"/>
          <w:lang w:val="fr-FR"/>
        </w:rPr>
        <w:t>a</w:t>
      </w:r>
      <w:r w:rsidRPr="00E5413C">
        <w:rPr>
          <w:szCs w:val="25"/>
          <w:lang w:val="fr-FR"/>
        </w:rPr>
        <w:t>; 8, 39; 13, 27; 15, 28; 16, 37; 23, 11 . . .)</w:t>
      </w:r>
    </w:p>
    <w:p w14:paraId="7002BB52" w14:textId="77777777" w:rsidR="00DF5AE5" w:rsidRPr="00E5413C" w:rsidRDefault="00DF5AE5" w:rsidP="00DF5AE5">
      <w:pPr>
        <w:pStyle w:val="FootnoteText"/>
        <w:rPr>
          <w:lang w:val="fr-FR"/>
        </w:rPr>
      </w:pPr>
    </w:p>
  </w:footnote>
  <w:footnote w:id="684">
    <w:p w14:paraId="227E4E2F" w14:textId="33D924E9" w:rsidR="00DF5AE5" w:rsidRPr="00E5413C" w:rsidRDefault="00DF5AE5">
      <w:pPr>
        <w:pStyle w:val="FootnoteText"/>
        <w:rPr>
          <w:lang w:val="fr-FR"/>
        </w:rPr>
      </w:pPr>
      <w:r>
        <w:rPr>
          <w:rStyle w:val="FootnoteReference"/>
        </w:rPr>
        <w:footnoteRef/>
      </w:r>
      <w:r w:rsidRPr="00E5413C">
        <w:rPr>
          <w:lang w:val="fr-FR"/>
        </w:rPr>
        <w:t xml:space="preserve"> </w:t>
      </w:r>
      <w:r w:rsidRPr="00E5413C">
        <w:rPr>
          <w:szCs w:val="25"/>
          <w:lang w:val="fr-FR"/>
        </w:rPr>
        <w:t xml:space="preserve">Dupont, </w:t>
      </w:r>
      <w:r w:rsidRPr="00E5413C">
        <w:rPr>
          <w:rFonts w:eastAsia="Arial"/>
          <w:i/>
          <w:iCs/>
          <w:szCs w:val="21"/>
          <w:lang w:val="fr-FR"/>
        </w:rPr>
        <w:t>Béatitudes</w:t>
      </w:r>
      <w:r w:rsidRPr="00E5413C">
        <w:rPr>
          <w:rFonts w:eastAsia="Arial"/>
          <w:iCs/>
          <w:szCs w:val="21"/>
          <w:lang w:val="fr-FR"/>
        </w:rPr>
        <w:t xml:space="preserve"> </w:t>
      </w:r>
      <w:r w:rsidRPr="00E5413C">
        <w:rPr>
          <w:szCs w:val="25"/>
          <w:lang w:val="fr-FR"/>
        </w:rPr>
        <w:t xml:space="preserve">1. 48-50, 195: “ce verset ne vient pas se joindre à la comparaison des arbres sans créer une certaine dissonance. Les fruits dont il est question aux vv. 43-44 s’entendent naturellement des bonnes oeuvres; au v. 45 </w:t>
      </w:r>
      <w:r w:rsidRPr="00E5413C">
        <w:rPr>
          <w:szCs w:val="23"/>
          <w:lang w:val="fr-FR"/>
        </w:rPr>
        <w:t xml:space="preserve">il </w:t>
      </w:r>
      <w:r w:rsidRPr="00E5413C">
        <w:rPr>
          <w:szCs w:val="25"/>
          <w:lang w:val="fr-FR"/>
        </w:rPr>
        <w:t xml:space="preserve">s’agit des paroles . . . le logion des arbres et de leur fruits invite à </w:t>
      </w:r>
      <w:r w:rsidRPr="00E5413C">
        <w:rPr>
          <w:iCs/>
          <w:szCs w:val="25"/>
          <w:lang w:val="fr-FR"/>
        </w:rPr>
        <w:t>reconnaître</w:t>
      </w:r>
      <w:r w:rsidRPr="00E5413C">
        <w:rPr>
          <w:szCs w:val="25"/>
          <w:lang w:val="fr-FR"/>
        </w:rPr>
        <w:t xml:space="preserve"> les gens à leurs oeuvres, alors qu’il ne s’agit ici [in 45] que de ce qu’ils disent.”</w:t>
      </w:r>
    </w:p>
  </w:footnote>
  <w:footnote w:id="685">
    <w:p w14:paraId="0F2DA01D" w14:textId="60E84449" w:rsidR="006D7DF3" w:rsidRPr="00E5413C" w:rsidRDefault="006D7DF3">
      <w:pPr>
        <w:pStyle w:val="FootnoteText"/>
        <w:rPr>
          <w:lang w:val="fr-FR"/>
        </w:rPr>
      </w:pPr>
      <w:r>
        <w:rPr>
          <w:rStyle w:val="FootnoteReference"/>
        </w:rPr>
        <w:footnoteRef/>
      </w:r>
      <w:r w:rsidRPr="00E5413C">
        <w:rPr>
          <w:lang w:val="fr-FR"/>
        </w:rPr>
        <w:t xml:space="preserve"> </w:t>
      </w:r>
      <w:r w:rsidRPr="00E5413C">
        <w:rPr>
          <w:szCs w:val="25"/>
          <w:lang w:val="fr-FR"/>
        </w:rPr>
        <w:t>Ibid. 43 n. 1: “Luc, 6, 45b . . . se présente comme un proverbe (cf. Strack</w:t>
      </w:r>
      <w:r w:rsidRPr="00E5413C">
        <w:rPr>
          <w:szCs w:val="25"/>
          <w:lang w:val="fr-FR"/>
        </w:rPr>
        <w:softHyphen/>
        <w:t xml:space="preserve">Billerbeck, I, 639): ce qu’on a dans le coeur ne peut manquer de se revéler par ce qu’on dit. Pris en lui-même, le logion du v. </w:t>
      </w:r>
      <w:r w:rsidRPr="00E5413C">
        <w:rPr>
          <w:lang w:val="fr-FR"/>
        </w:rPr>
        <w:t>45</w:t>
      </w:r>
      <w:r w:rsidRPr="00E5413C">
        <w:rPr>
          <w:i/>
          <w:iCs/>
          <w:lang w:val="fr-FR"/>
        </w:rPr>
        <w:t>a</w:t>
      </w:r>
      <w:r w:rsidRPr="00E5413C">
        <w:rPr>
          <w:szCs w:val="25"/>
          <w:lang w:val="fr-FR"/>
        </w:rPr>
        <w:t xml:space="preserve"> pourrait s’expliquer dans le sens indiqué par Mat., 15, 21-23 et Marc, 7, 18-20: le coeur est le principle des actes . . . II ne s’agit pas ici de ce qui procède nécessairement du coeur (</w:t>
      </w:r>
      <w:r w:rsidRPr="00E5413C">
        <w:rPr>
          <w:lang w:val="fr-FR"/>
        </w:rPr>
        <w:t>45</w:t>
      </w:r>
      <w:r w:rsidRPr="00E5413C">
        <w:rPr>
          <w:i/>
          <w:iCs/>
          <w:lang w:val="fr-FR"/>
        </w:rPr>
        <w:t>b</w:t>
      </w:r>
      <w:r w:rsidRPr="00E5413C">
        <w:rPr>
          <w:lang w:val="fr-FR"/>
        </w:rPr>
        <w:t xml:space="preserve">), </w:t>
      </w:r>
      <w:r w:rsidRPr="00E5413C">
        <w:rPr>
          <w:szCs w:val="25"/>
          <w:lang w:val="fr-FR"/>
        </w:rPr>
        <w:t>mais de la quali</w:t>
      </w:r>
      <w:r w:rsidRPr="00E5413C">
        <w:rPr>
          <w:szCs w:val="25"/>
          <w:lang w:val="fr-FR"/>
        </w:rPr>
        <w:softHyphen/>
        <w:t>té de ce qui en procède.”</w:t>
      </w:r>
    </w:p>
  </w:footnote>
  <w:footnote w:id="686">
    <w:p w14:paraId="027426DB" w14:textId="01A09E18" w:rsidR="006D7DF3" w:rsidRDefault="006D7DF3">
      <w:pPr>
        <w:pStyle w:val="FootnoteText"/>
      </w:pPr>
      <w:r>
        <w:rPr>
          <w:rStyle w:val="FootnoteReference"/>
        </w:rPr>
        <w:footnoteRef/>
      </w:r>
      <w:r>
        <w:t xml:space="preserve"> </w:t>
      </w:r>
      <w:r w:rsidRPr="00BC3F72">
        <w:rPr>
          <w:i/>
          <w:iCs/>
          <w:szCs w:val="25"/>
        </w:rPr>
        <w:t>Gospel According to S</w:t>
      </w:r>
      <w:r w:rsidRPr="00BC3F72">
        <w:rPr>
          <w:iCs/>
          <w:szCs w:val="25"/>
        </w:rPr>
        <w:t xml:space="preserve">. </w:t>
      </w:r>
      <w:r w:rsidRPr="00BC3F72">
        <w:rPr>
          <w:i/>
          <w:iCs/>
          <w:szCs w:val="25"/>
        </w:rPr>
        <w:t>Luke</w:t>
      </w:r>
      <w:r w:rsidRPr="006D7DF3">
        <w:rPr>
          <w:szCs w:val="25"/>
        </w:rPr>
        <w:t xml:space="preserve"> </w:t>
      </w:r>
      <w:r w:rsidRPr="00BC3F72">
        <w:rPr>
          <w:szCs w:val="25"/>
        </w:rPr>
        <w:t xml:space="preserve">150. Cf. Fitzmyer’s title for the section: </w:t>
      </w:r>
      <w:r>
        <w:rPr>
          <w:szCs w:val="25"/>
        </w:rPr>
        <w:t>“</w:t>
      </w:r>
      <w:r w:rsidRPr="00BC3F72">
        <w:rPr>
          <w:szCs w:val="25"/>
        </w:rPr>
        <w:t>de</w:t>
      </w:r>
      <w:r w:rsidRPr="00BC3F72">
        <w:rPr>
          <w:szCs w:val="25"/>
        </w:rPr>
        <w:softHyphen/>
        <w:t xml:space="preserve">mands regarding Christians among themselves” </w:t>
      </w:r>
      <w:r>
        <w:rPr>
          <w:szCs w:val="25"/>
        </w:rPr>
        <w:t>(</w:t>
      </w:r>
      <w:r w:rsidRPr="00BC3F72">
        <w:rPr>
          <w:i/>
          <w:iCs/>
          <w:szCs w:val="25"/>
        </w:rPr>
        <w:t>Gospel According to Luke</w:t>
      </w:r>
      <w:r w:rsidRPr="006F304D">
        <w:rPr>
          <w:iCs/>
          <w:szCs w:val="25"/>
        </w:rPr>
        <w:t xml:space="preserve"> </w:t>
      </w:r>
      <w:r w:rsidRPr="00BC3F72">
        <w:t xml:space="preserve">l. </w:t>
      </w:r>
      <w:r w:rsidRPr="00BC3F72">
        <w:rPr>
          <w:szCs w:val="25"/>
        </w:rPr>
        <w:t>630).</w:t>
      </w:r>
    </w:p>
  </w:footnote>
  <w:footnote w:id="687">
    <w:p w14:paraId="0CCB0923" w14:textId="50601407" w:rsidR="006D7DF3" w:rsidRDefault="006D7DF3">
      <w:pPr>
        <w:pStyle w:val="FootnoteText"/>
      </w:pPr>
      <w:r>
        <w:rPr>
          <w:rStyle w:val="FootnoteReference"/>
        </w:rPr>
        <w:footnoteRef/>
      </w:r>
      <w:r>
        <w:t xml:space="preserve"> </w:t>
      </w:r>
      <w:r w:rsidRPr="00BC3F72">
        <w:rPr>
          <w:szCs w:val="25"/>
        </w:rPr>
        <w:t>Luce</w:t>
      </w:r>
      <w:r w:rsidRPr="006F304D">
        <w:rPr>
          <w:szCs w:val="25"/>
        </w:rPr>
        <w:t xml:space="preserve">, </w:t>
      </w:r>
      <w:r w:rsidRPr="00BC3F72">
        <w:rPr>
          <w:i/>
          <w:iCs/>
          <w:szCs w:val="25"/>
        </w:rPr>
        <w:t>Gospel According to S</w:t>
      </w:r>
      <w:r w:rsidRPr="00BC3F72">
        <w:rPr>
          <w:iCs/>
          <w:szCs w:val="25"/>
        </w:rPr>
        <w:t xml:space="preserve">. </w:t>
      </w:r>
      <w:r w:rsidRPr="00BC3F72">
        <w:rPr>
          <w:i/>
          <w:iCs/>
          <w:szCs w:val="25"/>
        </w:rPr>
        <w:t>Luke</w:t>
      </w:r>
      <w:r w:rsidRPr="006D7DF3">
        <w:rPr>
          <w:szCs w:val="25"/>
        </w:rPr>
        <w:t xml:space="preserve"> </w:t>
      </w:r>
      <w:r w:rsidRPr="00BC3F72">
        <w:rPr>
          <w:szCs w:val="25"/>
        </w:rPr>
        <w:t>151.</w:t>
      </w:r>
    </w:p>
  </w:footnote>
  <w:footnote w:id="688">
    <w:p w14:paraId="3A56DAAA" w14:textId="571C0092" w:rsidR="006D7DF3" w:rsidRDefault="006D7DF3">
      <w:pPr>
        <w:pStyle w:val="FootnoteText"/>
      </w:pPr>
      <w:r>
        <w:rPr>
          <w:rStyle w:val="FootnoteReference"/>
        </w:rPr>
        <w:footnoteRef/>
      </w:r>
      <w:r>
        <w:t xml:space="preserve"> </w:t>
      </w:r>
      <w:r w:rsidRPr="00BC3F72">
        <w:rPr>
          <w:i/>
          <w:iCs/>
          <w:szCs w:val="25"/>
        </w:rPr>
        <w:t>Gospel According to Luke</w:t>
      </w:r>
      <w:r w:rsidRPr="006F304D">
        <w:rPr>
          <w:iCs/>
          <w:szCs w:val="25"/>
        </w:rPr>
        <w:t xml:space="preserve"> </w:t>
      </w:r>
      <w:r w:rsidRPr="00BC3F72">
        <w:rPr>
          <w:szCs w:val="25"/>
        </w:rPr>
        <w:t>1. 637. Fitzmyer cites 27-45 as Jesus’ “teaching on love” (p. 630).</w:t>
      </w:r>
    </w:p>
  </w:footnote>
  <w:footnote w:id="689">
    <w:p w14:paraId="3E79E157" w14:textId="54B693E2" w:rsidR="006D7DF3" w:rsidRDefault="006D7DF3">
      <w:pPr>
        <w:pStyle w:val="FootnoteText"/>
      </w:pPr>
      <w:r>
        <w:rPr>
          <w:rStyle w:val="FootnoteReference"/>
        </w:rPr>
        <w:footnoteRef/>
      </w:r>
      <w:r>
        <w:t xml:space="preserve"> Ibid. 630.</w:t>
      </w:r>
    </w:p>
  </w:footnote>
  <w:footnote w:id="690">
    <w:p w14:paraId="596722BB" w14:textId="77DA9E39" w:rsidR="00523F00" w:rsidRDefault="00523F00">
      <w:pPr>
        <w:pStyle w:val="FootnoteText"/>
      </w:pPr>
      <w:r>
        <w:rPr>
          <w:rStyle w:val="FootnoteReference"/>
        </w:rPr>
        <w:footnoteRef/>
      </w:r>
      <w:r>
        <w:t xml:space="preserve"> </w:t>
      </w:r>
      <w:r>
        <w:rPr>
          <w:szCs w:val="25"/>
        </w:rPr>
        <w:t>Ib</w:t>
      </w:r>
      <w:r w:rsidRPr="00BC3F72">
        <w:rPr>
          <w:szCs w:val="25"/>
        </w:rPr>
        <w:t>id. 643.</w:t>
      </w:r>
    </w:p>
  </w:footnote>
  <w:footnote w:id="691">
    <w:p w14:paraId="472B6072" w14:textId="0119F90F" w:rsidR="00523F00" w:rsidRDefault="00523F00">
      <w:pPr>
        <w:pStyle w:val="FootnoteText"/>
      </w:pPr>
      <w:r>
        <w:rPr>
          <w:rStyle w:val="FootnoteReference"/>
        </w:rPr>
        <w:footnoteRef/>
      </w:r>
      <w:r>
        <w:t xml:space="preserve"> </w:t>
      </w:r>
      <w:r>
        <w:rPr>
          <w:szCs w:val="25"/>
        </w:rPr>
        <w:t>Ib</w:t>
      </w:r>
      <w:r w:rsidRPr="00BC3F72">
        <w:rPr>
          <w:szCs w:val="25"/>
        </w:rPr>
        <w:t>id. 629 (line breaks not in original). This division is reinforced by comments elsewhere in his exegesis of the sermon: e.g.</w:t>
      </w:r>
      <w:r w:rsidRPr="006F304D">
        <w:rPr>
          <w:szCs w:val="25"/>
        </w:rPr>
        <w:t xml:space="preserve">, </w:t>
      </w:r>
      <w:r w:rsidRPr="00BC3F72">
        <w:rPr>
          <w:szCs w:val="25"/>
        </w:rPr>
        <w:t xml:space="preserve">37-42 are </w:t>
      </w:r>
      <w:r>
        <w:rPr>
          <w:szCs w:val="25"/>
        </w:rPr>
        <w:t>“</w:t>
      </w:r>
      <w:r w:rsidRPr="00BC3F72">
        <w:rPr>
          <w:szCs w:val="25"/>
        </w:rPr>
        <w:t>The third section” (p. 641); 43-45 are “the fourth section</w:t>
      </w:r>
      <w:r>
        <w:rPr>
          <w:szCs w:val="25"/>
        </w:rPr>
        <w:t>”</w:t>
      </w:r>
      <w:r w:rsidRPr="00BC3F72">
        <w:rPr>
          <w:szCs w:val="25"/>
        </w:rPr>
        <w:t xml:space="preserve"> (p. 643). Fitzmyer also seems to think that 37-42 has three subsections</w:t>
      </w:r>
      <w:r w:rsidRPr="006F304D">
        <w:rPr>
          <w:szCs w:val="25"/>
        </w:rPr>
        <w:t xml:space="preserve">, </w:t>
      </w:r>
      <w:r w:rsidRPr="00BC3F72">
        <w:rPr>
          <w:szCs w:val="25"/>
        </w:rPr>
        <w:t>though he never explicitly says so: 37-38; 39-40 (for he says that 39a is an introduction only to 39b-40</w:t>
      </w:r>
      <w:r w:rsidRPr="006F304D">
        <w:rPr>
          <w:szCs w:val="25"/>
        </w:rPr>
        <w:t xml:space="preserve">, </w:t>
      </w:r>
      <w:r w:rsidRPr="00BC3F72">
        <w:rPr>
          <w:szCs w:val="25"/>
        </w:rPr>
        <w:t>p. 641); and 41-42 (for he thinks of 41-42 as a single unit</w:t>
      </w:r>
      <w:r w:rsidRPr="006F304D">
        <w:rPr>
          <w:szCs w:val="25"/>
        </w:rPr>
        <w:t xml:space="preserve">, </w:t>
      </w:r>
      <w:r w:rsidRPr="00BC3F72">
        <w:rPr>
          <w:szCs w:val="25"/>
        </w:rPr>
        <w:t xml:space="preserve">[41-42 are </w:t>
      </w:r>
      <w:r>
        <w:rPr>
          <w:szCs w:val="25"/>
        </w:rPr>
        <w:t>“</w:t>
      </w:r>
      <w:r w:rsidRPr="00BC3F72">
        <w:rPr>
          <w:szCs w:val="25"/>
        </w:rPr>
        <w:t xml:space="preserve">The saying </w:t>
      </w:r>
      <w:r>
        <w:rPr>
          <w:szCs w:val="25"/>
        </w:rPr>
        <w:t>. . .</w:t>
      </w:r>
      <w:r w:rsidRPr="00BC3F72">
        <w:rPr>
          <w:szCs w:val="25"/>
        </w:rPr>
        <w:t>,” p. 642]).</w:t>
      </w:r>
    </w:p>
  </w:footnote>
  <w:footnote w:id="692">
    <w:p w14:paraId="7BA939A9" w14:textId="77777777" w:rsidR="00523F00" w:rsidRDefault="00523F00">
      <w:pPr>
        <w:pStyle w:val="FootnoteText"/>
        <w:rPr>
          <w:szCs w:val="25"/>
        </w:rPr>
      </w:pPr>
      <w:r>
        <w:rPr>
          <w:rStyle w:val="FootnoteReference"/>
        </w:rPr>
        <w:footnoteRef/>
      </w:r>
      <w:r>
        <w:t xml:space="preserve"> </w:t>
      </w:r>
      <w:r>
        <w:rPr>
          <w:szCs w:val="25"/>
        </w:rPr>
        <w:t>P</w:t>
      </w:r>
      <w:r w:rsidRPr="00BC3F72">
        <w:rPr>
          <w:szCs w:val="25"/>
        </w:rPr>
        <w:t>erhaps Fitzmyer’s confusion is in part the result of a disparaging attitude to</w:t>
      </w:r>
      <w:r w:rsidRPr="00BC3F72">
        <w:rPr>
          <w:szCs w:val="25"/>
        </w:rPr>
        <w:softHyphen/>
        <w:t xml:space="preserve">ward Luke’s sermon. Thus he says that “Some of the sayings </w:t>
      </w:r>
      <w:r w:rsidRPr="00EE2A2F">
        <w:rPr>
          <w:szCs w:val="25"/>
        </w:rPr>
        <w:t>. . .</w:t>
      </w:r>
      <w:r w:rsidRPr="00BC3F72">
        <w:rPr>
          <w:szCs w:val="25"/>
        </w:rPr>
        <w:t xml:space="preserve"> are only loosely related to these generic topics” (p. 629); and elsewhere he says that</w:t>
      </w:r>
      <w:r w:rsidRPr="006F304D">
        <w:rPr>
          <w:szCs w:val="25"/>
        </w:rPr>
        <w:t xml:space="preserve">, </w:t>
      </w:r>
      <w:r w:rsidRPr="00BC3F72">
        <w:rPr>
          <w:szCs w:val="25"/>
        </w:rPr>
        <w:t>whereas Mat</w:t>
      </w:r>
      <w:r w:rsidRPr="00BC3F72">
        <w:rPr>
          <w:szCs w:val="25"/>
        </w:rPr>
        <w:softHyphen/>
        <w:t>thew’s sermon is well-constructed,” Luke’s is loose and rambling” (p. 628).</w:t>
      </w:r>
    </w:p>
    <w:p w14:paraId="5FC10E49" w14:textId="7926A109" w:rsidR="00523F00" w:rsidRPr="00523F00" w:rsidRDefault="00523F00">
      <w:pPr>
        <w:pStyle w:val="FootnoteText"/>
        <w:rPr>
          <w:szCs w:val="25"/>
        </w:rPr>
      </w:pPr>
      <w:r>
        <w:rPr>
          <w:szCs w:val="25"/>
        </w:rPr>
        <w:tab/>
      </w:r>
      <w:r w:rsidRPr="00BC3F72">
        <w:rPr>
          <w:szCs w:val="25"/>
        </w:rPr>
        <w:t xml:space="preserve">Two other commentators who follow Fitzmyer’s </w:t>
      </w:r>
      <w:r>
        <w:rPr>
          <w:szCs w:val="25"/>
        </w:rPr>
        <w:t>“</w:t>
      </w:r>
      <w:r w:rsidRPr="00BC3F72">
        <w:rPr>
          <w:szCs w:val="25"/>
        </w:rPr>
        <w:t xml:space="preserve">variant” division are </w:t>
      </w:r>
      <w:r w:rsidR="00E56A92" w:rsidRPr="00E56A92">
        <w:rPr>
          <w:iCs/>
          <w:szCs w:val="25"/>
        </w:rPr>
        <w:t>Thaddäus</w:t>
      </w:r>
      <w:r w:rsidRPr="00523F00">
        <w:rPr>
          <w:iCs/>
          <w:szCs w:val="25"/>
        </w:rPr>
        <w:t xml:space="preserve"> Soiron</w:t>
      </w:r>
      <w:r w:rsidRPr="00BC3F72">
        <w:rPr>
          <w:szCs w:val="25"/>
        </w:rPr>
        <w:t xml:space="preserve"> and </w:t>
      </w:r>
      <w:r w:rsidRPr="00523F00">
        <w:rPr>
          <w:iCs/>
          <w:szCs w:val="25"/>
        </w:rPr>
        <w:t>H.K.</w:t>
      </w:r>
      <w:r w:rsidRPr="00BC3F72">
        <w:rPr>
          <w:szCs w:val="25"/>
        </w:rPr>
        <w:t xml:space="preserve"> Luce. Soiron entitles the overarching section</w:t>
      </w:r>
      <w:r w:rsidRPr="006F304D">
        <w:rPr>
          <w:szCs w:val="25"/>
        </w:rPr>
        <w:t xml:space="preserve">, </w:t>
      </w:r>
      <w:r w:rsidRPr="00BC3F72">
        <w:rPr>
          <w:szCs w:val="25"/>
        </w:rPr>
        <w:t>37-45,</w:t>
      </w:r>
      <w:r>
        <w:rPr>
          <w:szCs w:val="25"/>
        </w:rPr>
        <w:t xml:space="preserve"> </w:t>
      </w:r>
      <w:r w:rsidRPr="00BC3F72">
        <w:rPr>
          <w:szCs w:val="25"/>
        </w:rPr>
        <w:t>“love of one’s brothers” (</w:t>
      </w:r>
      <w:r w:rsidRPr="00BC3F72">
        <w:rPr>
          <w:i/>
          <w:iCs/>
          <w:szCs w:val="25"/>
        </w:rPr>
        <w:t>Logia Jesu</w:t>
      </w:r>
      <w:r w:rsidRPr="00523F00">
        <w:rPr>
          <w:szCs w:val="25"/>
        </w:rPr>
        <w:t xml:space="preserve"> </w:t>
      </w:r>
      <w:r w:rsidRPr="00BC3F72">
        <w:rPr>
          <w:szCs w:val="25"/>
        </w:rPr>
        <w:t>124-127); and Luce entitles it</w:t>
      </w:r>
      <w:r w:rsidRPr="006F304D">
        <w:rPr>
          <w:szCs w:val="25"/>
        </w:rPr>
        <w:t xml:space="preserve">, </w:t>
      </w:r>
      <w:r>
        <w:rPr>
          <w:szCs w:val="25"/>
        </w:rPr>
        <w:t>“</w:t>
      </w:r>
      <w:r w:rsidRPr="00BC3F72">
        <w:rPr>
          <w:szCs w:val="25"/>
        </w:rPr>
        <w:t>self-criticism</w:t>
      </w:r>
      <w:r>
        <w:rPr>
          <w:szCs w:val="25"/>
        </w:rPr>
        <w:t>”</w:t>
      </w:r>
      <w:r w:rsidRPr="00BC3F72">
        <w:rPr>
          <w:szCs w:val="25"/>
        </w:rPr>
        <w:t xml:space="preserve"> </w:t>
      </w:r>
      <w:r>
        <w:rPr>
          <w:szCs w:val="25"/>
        </w:rPr>
        <w:t>(</w:t>
      </w:r>
      <w:r w:rsidRPr="00BC3F72">
        <w:rPr>
          <w:i/>
          <w:iCs/>
          <w:szCs w:val="25"/>
        </w:rPr>
        <w:t>Gospel According to S</w:t>
      </w:r>
      <w:r w:rsidRPr="00BC3F72">
        <w:rPr>
          <w:iCs/>
          <w:szCs w:val="25"/>
        </w:rPr>
        <w:t xml:space="preserve">. </w:t>
      </w:r>
      <w:r w:rsidRPr="00BC3F72">
        <w:rPr>
          <w:i/>
          <w:iCs/>
          <w:szCs w:val="25"/>
        </w:rPr>
        <w:t>Luke</w:t>
      </w:r>
      <w:r w:rsidRPr="00523F00">
        <w:rPr>
          <w:szCs w:val="25"/>
        </w:rPr>
        <w:t xml:space="preserve"> </w:t>
      </w:r>
      <w:r w:rsidRPr="00BC3F72">
        <w:rPr>
          <w:szCs w:val="25"/>
        </w:rPr>
        <w:t xml:space="preserve">150). Cf. Fitzmyer’s title for the section: </w:t>
      </w:r>
      <w:r w:rsidR="00E56A92">
        <w:rPr>
          <w:szCs w:val="25"/>
        </w:rPr>
        <w:t>“</w:t>
      </w:r>
      <w:r w:rsidRPr="00BC3F72">
        <w:rPr>
          <w:szCs w:val="25"/>
        </w:rPr>
        <w:t xml:space="preserve">demands regarding Christians among themselves” </w:t>
      </w:r>
      <w:r>
        <w:rPr>
          <w:szCs w:val="25"/>
        </w:rPr>
        <w:t>(</w:t>
      </w:r>
      <w:r w:rsidRPr="00BC3F72">
        <w:rPr>
          <w:i/>
          <w:iCs/>
          <w:szCs w:val="25"/>
        </w:rPr>
        <w:t>Gospel According to Luke</w:t>
      </w:r>
      <w:r w:rsidRPr="006F304D">
        <w:rPr>
          <w:iCs/>
          <w:szCs w:val="25"/>
        </w:rPr>
        <w:t xml:space="preserve"> </w:t>
      </w:r>
      <w:r w:rsidRPr="00BC3F72">
        <w:rPr>
          <w:szCs w:val="25"/>
        </w:rPr>
        <w:t>1. 630). Soiron</w:t>
      </w:r>
      <w:r w:rsidRPr="006F304D">
        <w:rPr>
          <w:szCs w:val="25"/>
        </w:rPr>
        <w:t xml:space="preserve">, </w:t>
      </w:r>
      <w:r w:rsidRPr="00BC3F72">
        <w:rPr>
          <w:szCs w:val="25"/>
        </w:rPr>
        <w:t>however</w:t>
      </w:r>
      <w:r w:rsidRPr="006F304D">
        <w:rPr>
          <w:szCs w:val="25"/>
        </w:rPr>
        <w:t xml:space="preserve">, </w:t>
      </w:r>
      <w:r w:rsidRPr="00BC3F72">
        <w:rPr>
          <w:szCs w:val="25"/>
        </w:rPr>
        <w:t>divides 37-45 as he does primarily for numerical reasons</w:t>
      </w:r>
      <w:r w:rsidRPr="006F304D">
        <w:rPr>
          <w:szCs w:val="25"/>
        </w:rPr>
        <w:t xml:space="preserve">, </w:t>
      </w:r>
      <w:r w:rsidRPr="00BC3F72">
        <w:rPr>
          <w:szCs w:val="25"/>
        </w:rPr>
        <w:t>and Luce does not give reasons for dividing as he does.</w:t>
      </w:r>
    </w:p>
  </w:footnote>
  <w:footnote w:id="693">
    <w:p w14:paraId="5C4BB1F4" w14:textId="30918F6B" w:rsidR="00E56A92" w:rsidRDefault="00E56A92">
      <w:pPr>
        <w:pStyle w:val="FootnoteText"/>
      </w:pPr>
      <w:r>
        <w:rPr>
          <w:rStyle w:val="FootnoteReference"/>
        </w:rPr>
        <w:footnoteRef/>
      </w:r>
      <w:r>
        <w:t xml:space="preserve"> </w:t>
      </w:r>
      <w:r>
        <w:rPr>
          <w:szCs w:val="25"/>
        </w:rPr>
        <w:t>Ib</w:t>
      </w:r>
      <w:r w:rsidRPr="00BC3F72">
        <w:rPr>
          <w:szCs w:val="25"/>
        </w:rPr>
        <w:t>id. 643. That Fitzmyer intends by “preceding [section]” to refer to 37-42</w:t>
      </w:r>
      <w:r w:rsidRPr="006F304D">
        <w:rPr>
          <w:szCs w:val="25"/>
        </w:rPr>
        <w:t xml:space="preserve">, </w:t>
      </w:r>
      <w:r w:rsidRPr="00BC3F72">
        <w:rPr>
          <w:szCs w:val="25"/>
        </w:rPr>
        <w:t>and not just 41-42</w:t>
      </w:r>
      <w:r w:rsidRPr="006F304D">
        <w:rPr>
          <w:szCs w:val="25"/>
        </w:rPr>
        <w:t xml:space="preserve">, </w:t>
      </w:r>
      <w:r w:rsidRPr="00BC3F72">
        <w:rPr>
          <w:szCs w:val="25"/>
        </w:rPr>
        <w:t>can be see</w:t>
      </w:r>
      <w:r>
        <w:rPr>
          <w:szCs w:val="25"/>
        </w:rPr>
        <w:t>n</w:t>
      </w:r>
      <w:r w:rsidRPr="00BC3F72">
        <w:rPr>
          <w:szCs w:val="25"/>
        </w:rPr>
        <w:t xml:space="preserve"> by </w:t>
      </w:r>
      <w:r>
        <w:rPr>
          <w:szCs w:val="25"/>
        </w:rPr>
        <w:t xml:space="preserve">the </w:t>
      </w:r>
      <w:r w:rsidRPr="00BC3F72">
        <w:rPr>
          <w:szCs w:val="25"/>
        </w:rPr>
        <w:t>reference</w:t>
      </w:r>
      <w:r w:rsidRPr="006F304D">
        <w:rPr>
          <w:szCs w:val="25"/>
        </w:rPr>
        <w:t xml:space="preserve">, </w:t>
      </w:r>
      <w:r w:rsidRPr="00BC3F72">
        <w:rPr>
          <w:szCs w:val="25"/>
        </w:rPr>
        <w:t>two sentences earlier</w:t>
      </w:r>
      <w:r w:rsidRPr="006F304D">
        <w:rPr>
          <w:szCs w:val="25"/>
        </w:rPr>
        <w:t xml:space="preserve">, </w:t>
      </w:r>
      <w:r w:rsidRPr="00BC3F72">
        <w:rPr>
          <w:szCs w:val="25"/>
        </w:rPr>
        <w:t>to “the fourth section (6:43-45)</w:t>
      </w:r>
      <w:r>
        <w:rPr>
          <w:szCs w:val="25"/>
        </w:rPr>
        <w:t>”</w:t>
      </w:r>
      <w:r w:rsidRPr="00BC3F72">
        <w:rPr>
          <w:szCs w:val="25"/>
        </w:rPr>
        <w:t xml:space="preserve"> (ibid.) The preceding section is therefore “The third section (6:37-42)</w:t>
      </w:r>
      <w:r>
        <w:rPr>
          <w:szCs w:val="25"/>
        </w:rPr>
        <w:t>”</w:t>
      </w:r>
      <w:r w:rsidRPr="00BC3F72">
        <w:rPr>
          <w:szCs w:val="25"/>
        </w:rPr>
        <w:t xml:space="preserve"> (p. 641).</w:t>
      </w:r>
    </w:p>
  </w:footnote>
  <w:footnote w:id="694">
    <w:p w14:paraId="7395EBF9" w14:textId="2B06E748" w:rsidR="00E56A92" w:rsidRPr="00E5413C" w:rsidRDefault="00E56A92">
      <w:pPr>
        <w:pStyle w:val="FootnoteText"/>
        <w:rPr>
          <w:lang w:val="fr-FR"/>
        </w:rPr>
      </w:pPr>
      <w:r>
        <w:rPr>
          <w:rStyle w:val="FootnoteReference"/>
        </w:rPr>
        <w:footnoteRef/>
      </w:r>
      <w:r w:rsidRPr="00E5413C">
        <w:rPr>
          <w:lang w:val="fr-FR"/>
        </w:rPr>
        <w:t xml:space="preserve"> </w:t>
      </w:r>
      <w:r w:rsidRPr="00E5413C">
        <w:rPr>
          <w:szCs w:val="25"/>
          <w:lang w:val="fr-FR"/>
        </w:rPr>
        <w:t xml:space="preserve">Dupont, </w:t>
      </w:r>
      <w:r w:rsidRPr="00E5413C">
        <w:rPr>
          <w:i/>
          <w:iCs/>
          <w:szCs w:val="25"/>
          <w:lang w:val="fr-FR"/>
        </w:rPr>
        <w:t>Béatitudes</w:t>
      </w:r>
      <w:r w:rsidRPr="00E5413C">
        <w:rPr>
          <w:iCs/>
          <w:szCs w:val="25"/>
          <w:lang w:val="fr-FR"/>
        </w:rPr>
        <w:t xml:space="preserve"> </w:t>
      </w:r>
      <w:r w:rsidRPr="00E5413C">
        <w:rPr>
          <w:szCs w:val="25"/>
          <w:lang w:val="fr-FR"/>
        </w:rPr>
        <w:t>1. 199: “Nous laisserons ensemble les v. 37-42 [i.e., we consider that these verses belong together as a section] . . . Notons que la charité dont on parle ici [37-42] ne concerne plus les ennemis, mais plutôt les frères.”</w:t>
      </w:r>
    </w:p>
  </w:footnote>
  <w:footnote w:id="695">
    <w:p w14:paraId="4DFE1718" w14:textId="028D1569" w:rsidR="00E56A92" w:rsidRDefault="00E56A92">
      <w:pPr>
        <w:pStyle w:val="FootnoteText"/>
      </w:pPr>
      <w:r>
        <w:rPr>
          <w:rStyle w:val="FootnoteReference"/>
        </w:rPr>
        <w:footnoteRef/>
      </w:r>
      <w:r>
        <w:t xml:space="preserve"> </w:t>
      </w:r>
      <w:r w:rsidRPr="00BC3F72">
        <w:rPr>
          <w:szCs w:val="25"/>
        </w:rPr>
        <w:t>Soiron</w:t>
      </w:r>
      <w:r w:rsidRPr="006F304D">
        <w:rPr>
          <w:szCs w:val="25"/>
        </w:rPr>
        <w:t xml:space="preserve">, </w:t>
      </w:r>
      <w:r w:rsidRPr="00BC3F72">
        <w:rPr>
          <w:i/>
          <w:iCs/>
          <w:szCs w:val="26"/>
        </w:rPr>
        <w:t>Bergpredigt</w:t>
      </w:r>
      <w:r w:rsidRPr="00E56A92">
        <w:rPr>
          <w:szCs w:val="26"/>
        </w:rPr>
        <w:t xml:space="preserve"> </w:t>
      </w:r>
      <w:r w:rsidRPr="00BC3F72">
        <w:rPr>
          <w:szCs w:val="25"/>
        </w:rPr>
        <w:t>124-127.</w:t>
      </w:r>
    </w:p>
  </w:footnote>
  <w:footnote w:id="696">
    <w:p w14:paraId="050524F1" w14:textId="55E648F9" w:rsidR="0018433B" w:rsidRDefault="0018433B" w:rsidP="005C0AF9">
      <w:pPr>
        <w:widowControl w:val="0"/>
      </w:pPr>
      <w:r>
        <w:rPr>
          <w:vertAlign w:val="superscript"/>
        </w:rPr>
        <w:footnoteRef/>
      </w:r>
      <w:r w:rsidR="00E04A26">
        <w:t xml:space="preserve"> S</w:t>
      </w:r>
      <w:r>
        <w:t>ee above</w:t>
      </w:r>
      <w:r w:rsidR="006F304D" w:rsidRPr="006F304D">
        <w:t xml:space="preserve">, </w:t>
      </w:r>
      <w:r>
        <w:t>chapters 4-5.</w:t>
      </w:r>
      <w:r>
        <w:rPr>
          <w:vanish/>
        </w:rPr>
        <w:annotationRef/>
      </w:r>
    </w:p>
  </w:footnote>
  <w:footnote w:id="697">
    <w:p w14:paraId="3166EA0C" w14:textId="49B0E051" w:rsidR="0018433B" w:rsidRPr="00E5413C" w:rsidRDefault="0018433B" w:rsidP="005C0AF9">
      <w:pPr>
        <w:widowControl w:val="0"/>
        <w:rPr>
          <w:lang w:val="fr-FR"/>
        </w:rPr>
      </w:pPr>
      <w:r>
        <w:rPr>
          <w:vertAlign w:val="superscript"/>
        </w:rPr>
        <w:footnoteRef/>
      </w:r>
      <w:r w:rsidR="00E04A26" w:rsidRPr="00E5413C">
        <w:rPr>
          <w:lang w:val="fr-FR"/>
        </w:rPr>
        <w:t xml:space="preserve"> D</w:t>
      </w:r>
      <w:r w:rsidRPr="00E5413C">
        <w:rPr>
          <w:lang w:val="fr-FR"/>
        </w:rPr>
        <w:t>upont</w:t>
      </w:r>
      <w:r w:rsidR="006F304D" w:rsidRPr="00E5413C">
        <w:rPr>
          <w:lang w:val="fr-FR"/>
        </w:rPr>
        <w:t xml:space="preserve">, </w:t>
      </w:r>
      <w:r w:rsidRPr="00E5413C">
        <w:rPr>
          <w:i/>
          <w:lang w:val="fr-FR"/>
        </w:rPr>
        <w:t>Béatitudes</w:t>
      </w:r>
      <w:r w:rsidR="006F304D" w:rsidRPr="00E5413C">
        <w:rPr>
          <w:lang w:val="fr-FR"/>
        </w:rPr>
        <w:t xml:space="preserve">, </w:t>
      </w:r>
      <w:r w:rsidRPr="00E5413C">
        <w:rPr>
          <w:lang w:val="fr-FR"/>
        </w:rPr>
        <w:t>1. 198.</w:t>
      </w:r>
    </w:p>
    <w:p w14:paraId="14CBC208" w14:textId="77777777" w:rsidR="00E04A26" w:rsidRPr="00E5413C" w:rsidRDefault="00E04A26" w:rsidP="005C0AF9">
      <w:pPr>
        <w:widowControl w:val="0"/>
        <w:rPr>
          <w:lang w:val="fr-FR"/>
        </w:rPr>
      </w:pPr>
    </w:p>
    <w:p w14:paraId="3B20DE0E" w14:textId="67968727" w:rsidR="00E04A26" w:rsidRPr="00E5413C" w:rsidRDefault="00E04A26" w:rsidP="00E04A26">
      <w:pPr>
        <w:widowControl w:val="0"/>
        <w:ind w:left="720" w:right="720"/>
        <w:rPr>
          <w:lang w:val="fr-FR"/>
        </w:rPr>
      </w:pPr>
      <w:r w:rsidRPr="00E5413C">
        <w:rPr>
          <w:lang w:val="fr-FR"/>
        </w:rPr>
        <w:t>. . . par déterminer les critères d’un plan qui ait quelque chance d’avoir une valeur objective. Ces critères, nous pensons qu’il faut les chercher non dans nos propres goûts ou dans les préoccupations de notre temps, mais dans les préoccupations qui ont présidé à la composition du texte. . . . Un classement logique des matières traitées ne correspond pas nécessairement non plus à l’idée que Luc s’est faite de leur organisation.</w:t>
      </w:r>
    </w:p>
    <w:p w14:paraId="7F42241D" w14:textId="77777777" w:rsidR="00E04A26" w:rsidRPr="00E5413C" w:rsidRDefault="00E04A26" w:rsidP="005C0AF9">
      <w:pPr>
        <w:widowControl w:val="0"/>
        <w:rPr>
          <w:lang w:val="fr-FR"/>
        </w:rPr>
      </w:pPr>
    </w:p>
  </w:footnote>
  <w:footnote w:id="698">
    <w:p w14:paraId="542DA68D" w14:textId="44494E81" w:rsidR="0018433B" w:rsidRDefault="0018433B" w:rsidP="005C0AF9">
      <w:pPr>
        <w:widowControl w:val="0"/>
      </w:pPr>
      <w:r>
        <w:rPr>
          <w:vertAlign w:val="superscript"/>
        </w:rPr>
        <w:footnoteRef/>
      </w:r>
      <w:r w:rsidR="00E04A26">
        <w:t xml:space="preserve"> S</w:t>
      </w:r>
      <w:r>
        <w:t>ee chapter 5.</w:t>
      </w:r>
    </w:p>
  </w:footnote>
  <w:footnote w:id="699">
    <w:p w14:paraId="765B410B" w14:textId="22E40D76" w:rsidR="0018433B" w:rsidRDefault="0018433B" w:rsidP="005C0AF9">
      <w:pPr>
        <w:widowControl w:val="0"/>
      </w:pPr>
      <w:r>
        <w:rPr>
          <w:vertAlign w:val="superscript"/>
        </w:rPr>
        <w:footnoteRef/>
      </w:r>
      <w:r w:rsidR="00E04A26">
        <w:t xml:space="preserve"> M</w:t>
      </w:r>
      <w:r>
        <w:t>orgenthaler</w:t>
      </w:r>
      <w:r w:rsidR="006F304D" w:rsidRPr="006F304D">
        <w:t xml:space="preserve">, </w:t>
      </w:r>
      <w:r w:rsidR="00904F9D">
        <w:rPr>
          <w:i/>
          <w:iCs/>
        </w:rPr>
        <w:t xml:space="preserve">Lukanische </w:t>
      </w:r>
      <w:r>
        <w:rPr>
          <w:i/>
        </w:rPr>
        <w:t>Geschichtsschreibung</w:t>
      </w:r>
      <w:r w:rsidR="006F304D" w:rsidRPr="006F304D">
        <w:t xml:space="preserve"> </w:t>
      </w:r>
      <w:r>
        <w:t>1. 136</w:t>
      </w:r>
      <w:r w:rsidR="00904F9D">
        <w:t>: “[Vierergruppen] ergeben sich hier [auch in Q] durch die Potenzierung des Parallelismus membrorum sehr gerne Vierergruppen.”</w:t>
      </w:r>
    </w:p>
  </w:footnote>
  <w:footnote w:id="700">
    <w:p w14:paraId="63F37835" w14:textId="3298822F" w:rsidR="0018433B" w:rsidRDefault="0018433B" w:rsidP="005C0AF9">
      <w:pPr>
        <w:widowControl w:val="0"/>
      </w:pPr>
      <w:r>
        <w:rPr>
          <w:vertAlign w:val="superscript"/>
        </w:rPr>
        <w:footnoteRef/>
      </w:r>
      <w:r w:rsidR="00E04A26">
        <w:t xml:space="preserve"> I</w:t>
      </w:r>
      <w:r>
        <w:t>bid.: “Groups of four therefore play a role in Mark</w:t>
      </w:r>
      <w:r w:rsidR="006F304D" w:rsidRPr="006F304D">
        <w:t xml:space="preserve">, </w:t>
      </w:r>
      <w:r>
        <w:t>but Luke is independent of Mark</w:t>
      </w:r>
      <w:r w:rsidR="005C0AF9">
        <w:t xml:space="preserve"> </w:t>
      </w:r>
      <w:r>
        <w:t>[in this this regard] and has more such fourfold groups.”</w:t>
      </w:r>
      <w:r w:rsidR="00904F9D">
        <w:t xml:space="preserve"> (“Vierergruppen spielen also bei Mark auch eine Rolle. Lk. aber ist ihm gegenüber selbstständig und hat mehr solche Vierer.”)</w:t>
      </w:r>
    </w:p>
  </w:footnote>
  <w:footnote w:id="701">
    <w:p w14:paraId="0E578317" w14:textId="6313461E" w:rsidR="0018433B" w:rsidRDefault="0018433B" w:rsidP="005C0AF9">
      <w:pPr>
        <w:widowControl w:val="0"/>
      </w:pPr>
      <w:r>
        <w:rPr>
          <w:vertAlign w:val="superscript"/>
        </w:rPr>
        <w:footnoteRef/>
      </w:r>
      <w:r w:rsidR="00E04A26">
        <w:t xml:space="preserve"> I</w:t>
      </w:r>
      <w:r>
        <w:t>bid.</w:t>
      </w:r>
      <w:r w:rsidR="006F304D" w:rsidRPr="006F304D">
        <w:t xml:space="preserve">, </w:t>
      </w:r>
      <w:r>
        <w:t>95: “we have seen in the quotations from the Septuagint whence came the inspiration for his architechtonic structures of sentences</w:t>
      </w:r>
      <w:r w:rsidR="00904F9D">
        <w:t>.</w:t>
      </w:r>
      <w:r>
        <w:t>”</w:t>
      </w:r>
      <w:r w:rsidR="00904F9D">
        <w:t xml:space="preserve"> (“Woher Lk. die Inspiration für seine architektonischen Satzkompositionen hat, haben wir da, wo die LXX-Zitate auftraten, gesehen.”)</w:t>
      </w:r>
    </w:p>
  </w:footnote>
  <w:footnote w:id="702">
    <w:p w14:paraId="4E4CCA2B" w14:textId="231355C5" w:rsidR="0018433B" w:rsidRDefault="0018433B" w:rsidP="005C0AF9">
      <w:pPr>
        <w:widowControl w:val="0"/>
      </w:pPr>
      <w:r>
        <w:rPr>
          <w:vertAlign w:val="superscript"/>
        </w:rPr>
        <w:footnoteRef/>
      </w:r>
      <w:r w:rsidR="005C0AF9">
        <w:t xml:space="preserve"> B</w:t>
      </w:r>
      <w:r>
        <w:t>urney</w:t>
      </w:r>
      <w:r w:rsidR="006F304D" w:rsidRPr="006F304D">
        <w:t xml:space="preserve">, </w:t>
      </w:r>
      <w:r>
        <w:rPr>
          <w:i/>
        </w:rPr>
        <w:t>Poetry</w:t>
      </w:r>
      <w:r w:rsidR="00904F9D">
        <w:rPr>
          <w:i/>
        </w:rPr>
        <w:t xml:space="preserve"> of Our Lord</w:t>
      </w:r>
      <w:r w:rsidR="006F304D" w:rsidRPr="006F304D">
        <w:t xml:space="preserve"> </w:t>
      </w:r>
      <w:r>
        <w:t>87.</w:t>
      </w:r>
      <w:r w:rsidR="00AC038F" w:rsidRPr="00AC038F">
        <w:rPr>
          <w:iCs/>
        </w:rPr>
        <w:t xml:space="preserve"> </w:t>
      </w:r>
      <w:r>
        <w:t>See also Jeremias</w:t>
      </w:r>
      <w:r w:rsidR="006F304D" w:rsidRPr="006F304D">
        <w:t xml:space="preserve">, </w:t>
      </w:r>
      <w:r>
        <w:rPr>
          <w:i/>
        </w:rPr>
        <w:t>NT Theology</w:t>
      </w:r>
      <w:r w:rsidR="006F304D" w:rsidRPr="006F304D">
        <w:t xml:space="preserve"> </w:t>
      </w:r>
      <w:r>
        <w:t>17:</w:t>
      </w:r>
    </w:p>
    <w:p w14:paraId="42A68EB6" w14:textId="77777777" w:rsidR="00904F9D" w:rsidRDefault="00904F9D" w:rsidP="005C0AF9">
      <w:pPr>
        <w:widowControl w:val="0"/>
      </w:pPr>
    </w:p>
    <w:p w14:paraId="72F4B207" w14:textId="7A87759F" w:rsidR="0018433B" w:rsidRDefault="0018433B" w:rsidP="0096372B">
      <w:pPr>
        <w:widowControl w:val="0"/>
        <w:ind w:left="720" w:right="720"/>
      </w:pPr>
      <w:r>
        <w:rPr>
          <w:i/>
        </w:rPr>
        <w:t>Luke</w:t>
      </w:r>
      <w:r>
        <w:t xml:space="preserve"> found 17 antithetic parallelisms in the Marcan material that he took over in blocks</w:t>
      </w:r>
      <w:r w:rsidR="006F304D" w:rsidRPr="006F304D">
        <w:t xml:space="preserve">, </w:t>
      </w:r>
      <w:r>
        <w:t>of which he used only 11.</w:t>
      </w:r>
      <w:r w:rsidR="00AC038F" w:rsidRPr="00AC038F">
        <w:rPr>
          <w:iCs/>
        </w:rPr>
        <w:t xml:space="preserve"> </w:t>
      </w:r>
      <w:r>
        <w:t>The numerous instances in which he has weakened antithetic parallelisms show that he felt this Semitic mode of speech to be unattractive.</w:t>
      </w:r>
    </w:p>
    <w:p w14:paraId="2AE34AB6" w14:textId="77777777" w:rsidR="00904F9D" w:rsidRDefault="00904F9D" w:rsidP="0096372B">
      <w:pPr>
        <w:widowControl w:val="0"/>
      </w:pPr>
    </w:p>
    <w:p w14:paraId="305EB1A7" w14:textId="0ABDB55C" w:rsidR="0018433B" w:rsidRDefault="0018433B" w:rsidP="0096372B">
      <w:pPr>
        <w:widowControl w:val="0"/>
      </w:pPr>
      <w:r>
        <w:t>Luke weakens the parallelism by addition</w:t>
      </w:r>
      <w:r w:rsidR="006F304D" w:rsidRPr="006F304D">
        <w:t xml:space="preserve">, </w:t>
      </w:r>
      <w:r>
        <w:t>by abbreviation</w:t>
      </w:r>
      <w:r w:rsidR="006F304D" w:rsidRPr="006F304D">
        <w:t xml:space="preserve">, </w:t>
      </w:r>
      <w:r>
        <w:t>or by both (p. 17 n. 4).</w:t>
      </w:r>
    </w:p>
  </w:footnote>
  <w:footnote w:id="703">
    <w:p w14:paraId="3BD217EE" w14:textId="72871C93" w:rsidR="0018433B" w:rsidRDefault="0018433B" w:rsidP="0096372B">
      <w:pPr>
        <w:widowControl w:val="0"/>
      </w:pPr>
      <w:r>
        <w:rPr>
          <w:vertAlign w:val="superscript"/>
        </w:rPr>
        <w:footnoteRef/>
      </w:r>
      <w:r w:rsidR="0027511E">
        <w:t xml:space="preserve"> </w:t>
      </w:r>
      <w:r w:rsidR="00AC038F">
        <w:t>“Antitetische Parallelismen bildet Lukas nicht von sich aus . . .” (</w:t>
      </w:r>
      <w:r w:rsidR="0027511E">
        <w:t>J</w:t>
      </w:r>
      <w:r>
        <w:t>oachim Jeremias</w:t>
      </w:r>
      <w:r w:rsidR="00AC038F">
        <w:t>.</w:t>
      </w:r>
      <w:r w:rsidR="006F304D" w:rsidRPr="006F304D">
        <w:t xml:space="preserve"> </w:t>
      </w:r>
      <w:r>
        <w:rPr>
          <w:i/>
        </w:rPr>
        <w:t>Die Sprache des Lukasevangeliums</w:t>
      </w:r>
      <w:r w:rsidR="00AC038F" w:rsidRPr="00AC038F">
        <w:t xml:space="preserve">: </w:t>
      </w:r>
      <w:r>
        <w:rPr>
          <w:i/>
        </w:rPr>
        <w:t>Redaktion und Tradition im Nicht-Markusstoff des dritten Evangeliums</w:t>
      </w:r>
      <w:r w:rsidR="00AC038F">
        <w:t xml:space="preserve">. </w:t>
      </w:r>
      <w:r>
        <w:t>Meyer</w:t>
      </w:r>
      <w:r w:rsidR="00AC038F">
        <w:t xml:space="preserve"> </w:t>
      </w:r>
      <w:r>
        <w:t>K</w:t>
      </w:r>
      <w:r w:rsidR="00AC038F">
        <w:t>ommentar, special volume.</w:t>
      </w:r>
      <w:r w:rsidR="006F304D" w:rsidRPr="006F304D">
        <w:t xml:space="preserve"> </w:t>
      </w:r>
      <w:r w:rsidR="00AC038F">
        <w:t>Ed</w:t>
      </w:r>
      <w:r>
        <w:t>. Ferdinand Hahn</w:t>
      </w:r>
      <w:r w:rsidR="00AC038F">
        <w:t>.</w:t>
      </w:r>
      <w:r>
        <w:t xml:space="preserve"> Göttingen: Vandenhoeck </w:t>
      </w:r>
      <w:r w:rsidR="00AC038F">
        <w:t>und</w:t>
      </w:r>
      <w:r>
        <w:t xml:space="preserve"> Ruprecht</w:t>
      </w:r>
      <w:r w:rsidR="006F304D" w:rsidRPr="006F304D">
        <w:t xml:space="preserve">, </w:t>
      </w:r>
      <w:r>
        <w:t>1980</w:t>
      </w:r>
      <w:r w:rsidR="00AC038F">
        <w:t>.</w:t>
      </w:r>
      <w:r>
        <w:t xml:space="preserve"> 148.</w:t>
      </w:r>
      <w:r w:rsidR="00AC038F">
        <w:t>)</w:t>
      </w:r>
    </w:p>
  </w:footnote>
  <w:footnote w:id="704">
    <w:p w14:paraId="05ECCB26" w14:textId="5505FB27" w:rsidR="0018433B" w:rsidRDefault="0018433B" w:rsidP="0096372B">
      <w:pPr>
        <w:widowControl w:val="0"/>
      </w:pPr>
      <w:r>
        <w:rPr>
          <w:vertAlign w:val="superscript"/>
        </w:rPr>
        <w:footnoteRef/>
      </w:r>
      <w:r w:rsidR="00AC038F">
        <w:t xml:space="preserve"> T</w:t>
      </w:r>
      <w:r>
        <w:t>he alternating parallelisms proposed by Talbert (see below) are not sentence-length parallelisms</w:t>
      </w:r>
      <w:r w:rsidR="006F304D" w:rsidRPr="006F304D">
        <w:t xml:space="preserve">, </w:t>
      </w:r>
      <w:r>
        <w:t>but parallelisms of larger blocks of text.</w:t>
      </w:r>
    </w:p>
  </w:footnote>
  <w:footnote w:id="705">
    <w:p w14:paraId="192174BF" w14:textId="1B862C6E" w:rsidR="0018433B" w:rsidRPr="00E5413C" w:rsidRDefault="0018433B" w:rsidP="0096372B">
      <w:pPr>
        <w:widowControl w:val="0"/>
        <w:rPr>
          <w:lang w:val="fr-FR"/>
        </w:rPr>
      </w:pPr>
      <w:r>
        <w:rPr>
          <w:vertAlign w:val="superscript"/>
        </w:rPr>
        <w:footnoteRef/>
      </w:r>
      <w:r w:rsidR="00AC038F">
        <w:t xml:space="preserve"> B</w:t>
      </w:r>
      <w:r>
        <w:t>rown</w:t>
      </w:r>
      <w:r w:rsidR="006F304D" w:rsidRPr="006F304D">
        <w:t xml:space="preserve">, </w:t>
      </w:r>
      <w:r>
        <w:rPr>
          <w:i/>
        </w:rPr>
        <w:t>Coming Christ</w:t>
      </w:r>
      <w:r w:rsidR="006F304D" w:rsidRPr="006F304D">
        <w:t xml:space="preserve"> </w:t>
      </w:r>
      <w:r>
        <w:t>41. The same parallelism is drawn in greater detail by Talbert (</w:t>
      </w:r>
      <w:r>
        <w:rPr>
          <w:i/>
        </w:rPr>
        <w:t>Literary Patterns</w:t>
      </w:r>
      <w:r w:rsidR="006F304D" w:rsidRPr="006F304D">
        <w:t xml:space="preserve"> </w:t>
      </w:r>
      <w:r>
        <w:t>44-45) and in immense detail by Fitzmyer (</w:t>
      </w:r>
      <w:r>
        <w:rPr>
          <w:i/>
        </w:rPr>
        <w:t>Gospel</w:t>
      </w:r>
      <w:r w:rsidR="006F304D" w:rsidRPr="006F304D">
        <w:t xml:space="preserve"> </w:t>
      </w:r>
      <w:r>
        <w:t xml:space="preserve">1. </w:t>
      </w:r>
      <w:r w:rsidRPr="00E5413C">
        <w:rPr>
          <w:lang w:val="fr-FR"/>
        </w:rPr>
        <w:t>313-15).</w:t>
      </w:r>
    </w:p>
  </w:footnote>
  <w:footnote w:id="706">
    <w:p w14:paraId="33887990" w14:textId="2DC29856" w:rsidR="0018433B" w:rsidRDefault="0018433B" w:rsidP="0096372B">
      <w:pPr>
        <w:widowControl w:val="0"/>
      </w:pPr>
      <w:r>
        <w:rPr>
          <w:vertAlign w:val="superscript"/>
        </w:rPr>
        <w:footnoteRef/>
      </w:r>
      <w:r w:rsidR="00AC038F" w:rsidRPr="00E5413C">
        <w:rPr>
          <w:iCs/>
          <w:lang w:val="fr-FR"/>
        </w:rPr>
        <w:t xml:space="preserve"> </w:t>
      </w:r>
      <w:r w:rsidR="00AC038F" w:rsidRPr="00E5413C">
        <w:rPr>
          <w:i/>
          <w:lang w:val="fr-FR"/>
        </w:rPr>
        <w:t>R</w:t>
      </w:r>
      <w:r w:rsidR="00750871" w:rsidRPr="00E5413C">
        <w:rPr>
          <w:i/>
          <w:lang w:val="fr-FR"/>
        </w:rPr>
        <w:t>e</w:t>
      </w:r>
      <w:r w:rsidRPr="00E5413C">
        <w:rPr>
          <w:i/>
          <w:lang w:val="fr-FR"/>
        </w:rPr>
        <w:t>surrection</w:t>
      </w:r>
      <w:r w:rsidR="00AC038F" w:rsidRPr="00E5413C">
        <w:rPr>
          <w:i/>
          <w:lang w:val="fr-FR"/>
        </w:rPr>
        <w:t xml:space="preserve"> and the Message of Easter</w:t>
      </w:r>
      <w:r w:rsidR="006F304D" w:rsidRPr="00E5413C">
        <w:rPr>
          <w:lang w:val="fr-FR"/>
        </w:rPr>
        <w:t xml:space="preserve"> </w:t>
      </w:r>
      <w:r w:rsidRPr="00E5413C">
        <w:rPr>
          <w:lang w:val="fr-FR"/>
        </w:rPr>
        <w:t>161-62</w:t>
      </w:r>
      <w:r w:rsidR="006F304D" w:rsidRPr="00E5413C">
        <w:rPr>
          <w:lang w:val="fr-FR"/>
        </w:rPr>
        <w:t xml:space="preserve">, </w:t>
      </w:r>
      <w:r w:rsidRPr="00E5413C">
        <w:rPr>
          <w:lang w:val="fr-FR"/>
        </w:rPr>
        <w:t>164-65</w:t>
      </w:r>
      <w:r w:rsidR="00AC038F" w:rsidRPr="00E5413C">
        <w:rPr>
          <w:lang w:val="fr-FR"/>
        </w:rPr>
        <w:t>. (</w:t>
      </w:r>
      <w:r w:rsidRPr="00E5413C">
        <w:rPr>
          <w:i/>
          <w:lang w:val="fr-FR"/>
        </w:rPr>
        <w:t>Résurrection</w:t>
      </w:r>
      <w:r w:rsidR="00AC038F" w:rsidRPr="00E5413C">
        <w:rPr>
          <w:i/>
          <w:lang w:val="fr-FR"/>
        </w:rPr>
        <w:t xml:space="preserve"> de Jésus</w:t>
      </w:r>
      <w:r w:rsidR="00750871" w:rsidRPr="00E5413C">
        <w:rPr>
          <w:i/>
          <w:lang w:val="fr-FR"/>
        </w:rPr>
        <w:t xml:space="preserve"> et message pascal</w:t>
      </w:r>
      <w:r w:rsidR="00750871" w:rsidRPr="00E5413C">
        <w:rPr>
          <w:lang w:val="fr-FR"/>
        </w:rPr>
        <w:t>. Paris Éditions de Seuil, 1971.</w:t>
      </w:r>
      <w:r w:rsidR="006F304D" w:rsidRPr="00E5413C">
        <w:rPr>
          <w:lang w:val="fr-FR"/>
        </w:rPr>
        <w:t xml:space="preserve"> </w:t>
      </w:r>
      <w:r>
        <w:t>212-16</w:t>
      </w:r>
      <w:r w:rsidR="00750871">
        <w:t>.</w:t>
      </w:r>
      <w:r>
        <w:t>)</w:t>
      </w:r>
    </w:p>
  </w:footnote>
  <w:footnote w:id="707">
    <w:p w14:paraId="15AC494E" w14:textId="45E5F919" w:rsidR="0018433B" w:rsidRDefault="0018433B" w:rsidP="0096372B">
      <w:pPr>
        <w:widowControl w:val="0"/>
      </w:pPr>
      <w:r>
        <w:rPr>
          <w:vertAlign w:val="superscript"/>
        </w:rPr>
        <w:footnoteRef/>
      </w:r>
      <w:r w:rsidR="00AC038F">
        <w:t xml:space="preserve"> S</w:t>
      </w:r>
      <w:r>
        <w:t>ee the lists of alternating parallelisms in Talbert</w:t>
      </w:r>
      <w:r w:rsidR="006F304D" w:rsidRPr="006F304D">
        <w:t xml:space="preserve">, </w:t>
      </w:r>
      <w:r>
        <w:rPr>
          <w:i/>
        </w:rPr>
        <w:t>Literary Patterns.</w:t>
      </w:r>
      <w:r w:rsidR="00AC038F" w:rsidRPr="00AC038F">
        <w:rPr>
          <w:iCs/>
        </w:rPr>
        <w:t xml:space="preserve"> </w:t>
      </w:r>
      <w:r>
        <w:t>Talbert discusses twelve architectonic patterns in Luke-Acts.</w:t>
      </w:r>
      <w:r w:rsidR="00AC038F" w:rsidRPr="00AC038F">
        <w:rPr>
          <w:iCs/>
        </w:rPr>
        <w:t xml:space="preserve"> </w:t>
      </w:r>
      <w:r>
        <w:t>He finds thirty-two major parallelisms between Luke and Acts as wholes (pp. 15-23); he also finds varying numbers of parallelisms between</w:t>
      </w:r>
      <w:r w:rsidR="00750871">
        <w:t>:</w:t>
      </w:r>
      <w:r>
        <w:t xml:space="preserve"> Acts 1-12 and 13-28 (pp. 23-26)</w:t>
      </w:r>
      <w:r w:rsidR="00750871">
        <w:t>;</w:t>
      </w:r>
      <w:r w:rsidR="006F304D" w:rsidRPr="006F304D">
        <w:t xml:space="preserve"> </w:t>
      </w:r>
      <w:r>
        <w:t>Luke 9 and 22-23 (pp. 26-29)</w:t>
      </w:r>
      <w:r w:rsidR="00750871">
        <w:t>;</w:t>
      </w:r>
      <w:r w:rsidR="006F304D" w:rsidRPr="006F304D">
        <w:t xml:space="preserve"> </w:t>
      </w:r>
      <w:r>
        <w:t>Acts 1-4 and 4-5 (pp. 35-39)</w:t>
      </w:r>
      <w:r w:rsidR="00750871">
        <w:t>;</w:t>
      </w:r>
      <w:r w:rsidR="006F304D" w:rsidRPr="006F304D">
        <w:t xml:space="preserve"> </w:t>
      </w:r>
      <w:r>
        <w:t>Luke 4-7 and 7-8 (pp. 39-44)</w:t>
      </w:r>
      <w:r w:rsidR="00750871">
        <w:t>;</w:t>
      </w:r>
      <w:r w:rsidR="006F304D" w:rsidRPr="006F304D">
        <w:t xml:space="preserve"> </w:t>
      </w:r>
      <w:r>
        <w:t>Luke 1 and 2 (two patterns</w:t>
      </w:r>
      <w:r w:rsidR="006F304D" w:rsidRPr="006F304D">
        <w:t xml:space="preserve">, </w:t>
      </w:r>
      <w:r>
        <w:t>pp. 44-45)</w:t>
      </w:r>
      <w:r w:rsidR="00750871">
        <w:t>;</w:t>
      </w:r>
      <w:r w:rsidR="006F304D" w:rsidRPr="006F304D">
        <w:t xml:space="preserve"> </w:t>
      </w:r>
      <w:r>
        <w:t>Luke 3 and 4 (pp. 45-48)</w:t>
      </w:r>
      <w:r w:rsidR="00750871">
        <w:t>;</w:t>
      </w:r>
      <w:r w:rsidR="006F304D" w:rsidRPr="006F304D">
        <w:t xml:space="preserve"> </w:t>
      </w:r>
      <w:r>
        <w:t>and Luke 24 and Acts 1 (pp. 58-61).</w:t>
      </w:r>
      <w:r w:rsidR="00AC038F" w:rsidRPr="00AC038F">
        <w:rPr>
          <w:iCs/>
        </w:rPr>
        <w:t xml:space="preserve"> </w:t>
      </w:r>
      <w:r>
        <w:t>Each of these nine patterns is an instance of alternating parallelism.</w:t>
      </w:r>
      <w:r w:rsidR="00AC038F" w:rsidRPr="00AC038F">
        <w:rPr>
          <w:iCs/>
        </w:rPr>
        <w:t xml:space="preserve"> </w:t>
      </w:r>
      <w:r>
        <w:t xml:space="preserve">Of </w:t>
      </w:r>
      <w:r w:rsidR="00750871">
        <w:t xml:space="preserve">Talbert’s </w:t>
      </w:r>
      <w:r>
        <w:t>three other architectonic patterns in Luke-Acts</w:t>
      </w:r>
      <w:r w:rsidR="006F304D" w:rsidRPr="006F304D">
        <w:t xml:space="preserve">, </w:t>
      </w:r>
      <w:r>
        <w:t>two (Luke 10-13 and 14-18</w:t>
      </w:r>
      <w:r w:rsidR="006F304D" w:rsidRPr="006F304D">
        <w:t xml:space="preserve">, </w:t>
      </w:r>
      <w:r>
        <w:t>pp. 51-56</w:t>
      </w:r>
      <w:r w:rsidR="00750871">
        <w:t>;</w:t>
      </w:r>
      <w:r w:rsidR="006F304D" w:rsidRPr="006F304D">
        <w:t xml:space="preserve"> </w:t>
      </w:r>
      <w:r>
        <w:t>and Acts 15-18 and 18-21</w:t>
      </w:r>
      <w:r w:rsidR="006F304D" w:rsidRPr="006F304D">
        <w:t xml:space="preserve">, </w:t>
      </w:r>
      <w:r>
        <w:t>pp. 56-58) are chiasms; the remaining one</w:t>
      </w:r>
      <w:r w:rsidR="006F304D" w:rsidRPr="006F304D">
        <w:t xml:space="preserve"> </w:t>
      </w:r>
      <w:r w:rsidR="00750871">
        <w:t>(</w:t>
      </w:r>
      <w:r>
        <w:t>Luke 9 and Acts 1</w:t>
      </w:r>
      <w:r w:rsidR="00750871">
        <w:t>)</w:t>
      </w:r>
      <w:r w:rsidR="006F304D" w:rsidRPr="006F304D">
        <w:t xml:space="preserve"> </w:t>
      </w:r>
      <w:r w:rsidR="00750871">
        <w:t xml:space="preserve">is </w:t>
      </w:r>
      <w:r>
        <w:t>random correspondences that lack patterned sequence.</w:t>
      </w:r>
    </w:p>
  </w:footnote>
  <w:footnote w:id="708">
    <w:p w14:paraId="0D84ED76" w14:textId="1CA0215F" w:rsidR="0018433B" w:rsidRPr="00E5413C" w:rsidRDefault="0018433B" w:rsidP="0096372B">
      <w:pPr>
        <w:widowControl w:val="0"/>
        <w:rPr>
          <w:lang w:val="fr-FR"/>
        </w:rPr>
      </w:pPr>
      <w:r>
        <w:rPr>
          <w:vertAlign w:val="superscript"/>
        </w:rPr>
        <w:footnoteRef/>
      </w:r>
      <w:r w:rsidR="00750871">
        <w:t xml:space="preserve"> I</w:t>
      </w:r>
      <w:r>
        <w:t xml:space="preserve"> do not know why the last three charts are not numbered consecutively.</w:t>
      </w:r>
      <w:r w:rsidR="00AC038F" w:rsidRPr="00AC038F">
        <w:rPr>
          <w:iCs/>
        </w:rPr>
        <w:t xml:space="preserve"> </w:t>
      </w:r>
      <w:r w:rsidRPr="00E5413C">
        <w:rPr>
          <w:lang w:val="fr-FR"/>
        </w:rPr>
        <w:t>“Planche 3” concerns Isa 61:1-11</w:t>
      </w:r>
      <w:r w:rsidR="006F304D" w:rsidRPr="00E5413C">
        <w:rPr>
          <w:lang w:val="fr-FR"/>
        </w:rPr>
        <w:t xml:space="preserve">, </w:t>
      </w:r>
      <w:r w:rsidRPr="00E5413C">
        <w:rPr>
          <w:lang w:val="fr-FR"/>
        </w:rPr>
        <w:t>and “Planche 5” concerns Psalm 2.</w:t>
      </w:r>
    </w:p>
  </w:footnote>
  <w:footnote w:id="709">
    <w:p w14:paraId="3F967D37" w14:textId="07DBAE48" w:rsidR="0018433B" w:rsidRDefault="0018433B" w:rsidP="0096372B">
      <w:pPr>
        <w:widowControl w:val="0"/>
      </w:pPr>
      <w:r>
        <w:rPr>
          <w:vertAlign w:val="superscript"/>
        </w:rPr>
        <w:footnoteRef/>
      </w:r>
      <w:r w:rsidR="00750871" w:rsidRPr="00E5413C">
        <w:rPr>
          <w:lang w:val="fr-FR"/>
        </w:rPr>
        <w:t xml:space="preserve"> “Relations entre les differents personnages des refrains et des couplets” (i</w:t>
      </w:r>
      <w:r w:rsidRPr="00E5413C">
        <w:rPr>
          <w:lang w:val="fr-FR"/>
        </w:rPr>
        <w:t>bid.</w:t>
      </w:r>
      <w:r w:rsidR="006F304D" w:rsidRPr="00E5413C">
        <w:rPr>
          <w:lang w:val="fr-FR"/>
        </w:rPr>
        <w:t xml:space="preserve">, </w:t>
      </w:r>
      <w:r w:rsidRPr="00E5413C">
        <w:rPr>
          <w:lang w:val="fr-FR"/>
        </w:rPr>
        <w:t xml:space="preserve">2. </w:t>
      </w:r>
      <w:r>
        <w:t>B5</w:t>
      </w:r>
      <w:r w:rsidR="00750871">
        <w:t>´</w:t>
      </w:r>
      <w:r w:rsidR="00750871">
        <w:rPr>
          <w:rFonts w:ascii="WP Greek Century" w:hAnsi="WP Greek Century"/>
        </w:rPr>
        <w:t>)</w:t>
      </w:r>
      <w:r>
        <w:t>.</w:t>
      </w:r>
    </w:p>
  </w:footnote>
  <w:footnote w:id="710">
    <w:p w14:paraId="40763963" w14:textId="1643D839" w:rsidR="0018433B" w:rsidRDefault="0018433B" w:rsidP="0096372B">
      <w:pPr>
        <w:widowControl w:val="0"/>
      </w:pPr>
      <w:r>
        <w:rPr>
          <w:vertAlign w:val="superscript"/>
        </w:rPr>
        <w:footnoteRef/>
      </w:r>
      <w:r>
        <w:t xml:space="preserve"> </w:t>
      </w:r>
      <w:r w:rsidR="00CA1A30">
        <w:t xml:space="preserve">I </w:t>
      </w:r>
      <w:r>
        <w:t>am assuming a misprint here: in his notes at the bottom of “planche 2,” Meynet refers first to the “</w:t>
      </w:r>
      <w:r w:rsidR="00CA1A30">
        <w:t xml:space="preserve">1° </w:t>
      </w:r>
      <w:r>
        <w:t>série,” then to the “2</w:t>
      </w:r>
      <w:r w:rsidR="00CA1A30">
        <w:t>°</w:t>
      </w:r>
      <w:r>
        <w:t xml:space="preserve"> et 4</w:t>
      </w:r>
      <w:r w:rsidR="00CA1A30">
        <w:t>°</w:t>
      </w:r>
      <w:r>
        <w:t xml:space="preserve"> séries,” and finally to the “4</w:t>
      </w:r>
      <w:r w:rsidR="00CA1A30">
        <w:t>°</w:t>
      </w:r>
      <w:r>
        <w:t xml:space="preserve"> série.”</w:t>
      </w:r>
      <w:r w:rsidR="00AC038F" w:rsidRPr="00AC038F">
        <w:rPr>
          <w:iCs/>
        </w:rPr>
        <w:t xml:space="preserve"> </w:t>
      </w:r>
      <w:r>
        <w:t>Presumably he means</w:t>
      </w:r>
      <w:r w:rsidR="006F304D" w:rsidRPr="006F304D">
        <w:t xml:space="preserve">, </w:t>
      </w:r>
      <w:r>
        <w:t>in the middle quotation</w:t>
      </w:r>
      <w:r w:rsidR="006F304D" w:rsidRPr="006F304D">
        <w:t xml:space="preserve">, </w:t>
      </w:r>
      <w:r>
        <w:t>the “2</w:t>
      </w:r>
      <w:r w:rsidR="00CA1A30">
        <w:t>°</w:t>
      </w:r>
      <w:r>
        <w:t xml:space="preserve"> et 3</w:t>
      </w:r>
      <w:r w:rsidR="00CA1A30">
        <w:t>°</w:t>
      </w:r>
      <w:r>
        <w:t xml:space="preserve"> séries.”</w:t>
      </w:r>
    </w:p>
  </w:footnote>
  <w:footnote w:id="711">
    <w:p w14:paraId="128471C5" w14:textId="510AF965" w:rsidR="0018433B" w:rsidRDefault="0018433B" w:rsidP="0096372B">
      <w:pPr>
        <w:widowControl w:val="0"/>
      </w:pPr>
      <w:r>
        <w:rPr>
          <w:vertAlign w:val="superscript"/>
        </w:rPr>
        <w:footnoteRef/>
      </w:r>
      <w:r w:rsidR="00CA1A30">
        <w:t xml:space="preserve"> I</w:t>
      </w:r>
      <w:r>
        <w:t>n the second group</w:t>
      </w:r>
      <w:r w:rsidR="006F304D" w:rsidRPr="006F304D">
        <w:t xml:space="preserve">, </w:t>
      </w:r>
      <w:r>
        <w:t>v 25ab reads</w:t>
      </w:r>
      <w:r w:rsidR="006F304D" w:rsidRPr="006F304D">
        <w:t>,</w:t>
      </w:r>
      <w:r w:rsidR="00CA1A30">
        <w:t xml:space="preserve"> “</w:t>
      </w:r>
      <w:r w:rsidR="00CA1A30" w:rsidRPr="00CE06CA">
        <w:rPr>
          <w:bCs/>
          <w:szCs w:val="22"/>
          <w:lang w:val="el-GR"/>
        </w:rPr>
        <w:t>οὐαὶ ὑμῖν, οἱ ἐμπεπλησμένοι νῦν,</w:t>
      </w:r>
      <w:r w:rsidR="004C4F48">
        <w:rPr>
          <w:bCs/>
          <w:szCs w:val="22"/>
        </w:rPr>
        <w:t xml:space="preserve"> </w:t>
      </w:r>
      <w:r w:rsidR="004C4F48" w:rsidRPr="00CE06CA">
        <w:rPr>
          <w:bCs/>
          <w:szCs w:val="22"/>
          <w:lang w:val="el-GR"/>
        </w:rPr>
        <w:t>ὅτι πεινάσετε.</w:t>
      </w:r>
      <w:r w:rsidR="00CA1A30">
        <w:t xml:space="preserve">” </w:t>
      </w:r>
      <w:r>
        <w:t>The participle is in the perfect tense</w:t>
      </w:r>
      <w:r w:rsidR="006F304D" w:rsidRPr="006F304D">
        <w:t xml:space="preserve">, </w:t>
      </w:r>
      <w:r>
        <w:t>so that the verse literally reads</w:t>
      </w:r>
      <w:r w:rsidR="006F304D" w:rsidRPr="006F304D">
        <w:t xml:space="preserve">, </w:t>
      </w:r>
      <w:r>
        <w:t>“woe to you</w:t>
      </w:r>
      <w:r w:rsidR="006F304D" w:rsidRPr="006F304D">
        <w:t xml:space="preserve">, </w:t>
      </w:r>
      <w:r>
        <w:t>the having been filled up now.”</w:t>
      </w:r>
      <w:r w:rsidR="00AC038F" w:rsidRPr="00AC038F">
        <w:rPr>
          <w:iCs/>
        </w:rPr>
        <w:t xml:space="preserve"> </w:t>
      </w:r>
      <w:r>
        <w:t>But Meynet is correct: the tenses in the second group do oppose the present to the future</w:t>
      </w:r>
      <w:r w:rsidR="006F304D" w:rsidRPr="006F304D">
        <w:t xml:space="preserve">, </w:t>
      </w:r>
      <w:r>
        <w:t xml:space="preserve">especially given the addition of </w:t>
      </w:r>
      <w:r w:rsidR="004C4F48" w:rsidRPr="00CE06CA">
        <w:rPr>
          <w:bCs/>
          <w:szCs w:val="22"/>
          <w:lang w:val="el-GR"/>
        </w:rPr>
        <w:t>νῦν</w:t>
      </w:r>
      <w:r>
        <w:t xml:space="preserve"> to both verses.</w:t>
      </w:r>
    </w:p>
  </w:footnote>
  <w:footnote w:id="712">
    <w:p w14:paraId="7E0D4E22" w14:textId="21E2416A" w:rsidR="0018433B" w:rsidRDefault="0018433B" w:rsidP="0096372B">
      <w:pPr>
        <w:widowControl w:val="0"/>
      </w:pPr>
      <w:r>
        <w:rPr>
          <w:vertAlign w:val="superscript"/>
        </w:rPr>
        <w:footnoteRef/>
      </w:r>
      <w:r w:rsidR="00CA1A30">
        <w:t xml:space="preserve"> T</w:t>
      </w:r>
      <w:r>
        <w:t>he difference in meaning is subtle and can only be stated clumsily (i.e.</w:t>
      </w:r>
      <w:r w:rsidR="006F304D" w:rsidRPr="006F304D">
        <w:t xml:space="preserve">, </w:t>
      </w:r>
      <w:r>
        <w:t>somewhat falsely).</w:t>
      </w:r>
      <w:r w:rsidR="00AC038F" w:rsidRPr="00AC038F">
        <w:rPr>
          <w:iCs/>
        </w:rPr>
        <w:t xml:space="preserve"> </w:t>
      </w:r>
      <w:r>
        <w:t>Were the tense future</w:t>
      </w:r>
      <w:r w:rsidR="006F304D" w:rsidRPr="006F304D">
        <w:t xml:space="preserve">, </w:t>
      </w:r>
      <w:r>
        <w:t>then the actions of the persecutors would be conceived as a set of actions that is going to occur in the future; in the aorist subjunctive</w:t>
      </w:r>
      <w:r w:rsidR="006F304D" w:rsidRPr="006F304D">
        <w:t xml:space="preserve">, </w:t>
      </w:r>
      <w:r>
        <w:t>the actions are not conceived as occurring in the real time stream (as future acts) but as all instances of persecution.</w:t>
      </w:r>
      <w:r w:rsidR="00AC038F" w:rsidRPr="00AC038F">
        <w:rPr>
          <w:iCs/>
        </w:rPr>
        <w:t xml:space="preserve"> </w:t>
      </w:r>
      <w:r>
        <w:t>The acts are atemporal and exist</w:t>
      </w:r>
      <w:r w:rsidR="006F304D" w:rsidRPr="006F304D">
        <w:t xml:space="preserve">, </w:t>
      </w:r>
      <w:r>
        <w:t>so to speak</w:t>
      </w:r>
      <w:r w:rsidR="006F304D" w:rsidRPr="006F304D">
        <w:t xml:space="preserve">, </w:t>
      </w:r>
      <w:r>
        <w:t>in the realm of thought rather than deed.</w:t>
      </w:r>
    </w:p>
  </w:footnote>
  <w:footnote w:id="713">
    <w:p w14:paraId="5F7B57B3" w14:textId="7341F232" w:rsidR="0018433B" w:rsidRDefault="0018433B" w:rsidP="0096372B">
      <w:pPr>
        <w:widowControl w:val="0"/>
      </w:pPr>
      <w:r>
        <w:rPr>
          <w:vertAlign w:val="superscript"/>
        </w:rPr>
        <w:footnoteRef/>
      </w:r>
      <w:r w:rsidR="008A0E2A">
        <w:t xml:space="preserve"> M</w:t>
      </w:r>
      <w:r>
        <w:t>aximilian Zerwick</w:t>
      </w:r>
      <w:r w:rsidR="006F304D" w:rsidRPr="006F304D">
        <w:t xml:space="preserve">, </w:t>
      </w:r>
      <w:r>
        <w:rPr>
          <w:i/>
        </w:rPr>
        <w:t>Biblical Greek</w:t>
      </w:r>
      <w:r w:rsidR="006F304D" w:rsidRPr="006F304D">
        <w:t xml:space="preserve">, </w:t>
      </w:r>
      <w:r>
        <w:rPr>
          <w:i/>
        </w:rPr>
        <w:t>Illustrated by Examples</w:t>
      </w:r>
      <w:r>
        <w:t xml:space="preserve"> (English ed. adapted by Joseph Smith; Rome: Pontifical Biblical Institute</w:t>
      </w:r>
      <w:r w:rsidR="006F304D" w:rsidRPr="006F304D">
        <w:t xml:space="preserve">, </w:t>
      </w:r>
      <w:r>
        <w:t>1963) 78.</w:t>
      </w:r>
      <w:r w:rsidR="00AC038F" w:rsidRPr="00AC038F">
        <w:rPr>
          <w:iCs/>
        </w:rPr>
        <w:t xml:space="preserve"> </w:t>
      </w:r>
      <w:r>
        <w:t>By contrast</w:t>
      </w:r>
      <w:r w:rsidR="006F304D" w:rsidRPr="006F304D">
        <w:t xml:space="preserve">, </w:t>
      </w:r>
      <w:r>
        <w:t>Zerwick says</w:t>
      </w:r>
      <w:r w:rsidR="006F304D" w:rsidRPr="006F304D">
        <w:t xml:space="preserve">, </w:t>
      </w:r>
      <w:r>
        <w:t>Matthew’s present tense at this point (Matt 5:10) indicates “a state of mind,” i.e.</w:t>
      </w:r>
      <w:r w:rsidR="006F304D" w:rsidRPr="006F304D">
        <w:t xml:space="preserve">, </w:t>
      </w:r>
      <w:r>
        <w:t>“be joyful.”</w:t>
      </w:r>
    </w:p>
  </w:footnote>
  <w:footnote w:id="714">
    <w:p w14:paraId="19E056DB" w14:textId="7B8A7B17" w:rsidR="0018433B" w:rsidRDefault="0018433B" w:rsidP="0096372B">
      <w:pPr>
        <w:widowControl w:val="0"/>
      </w:pPr>
      <w:r>
        <w:rPr>
          <w:vertAlign w:val="superscript"/>
        </w:rPr>
        <w:footnoteRef/>
      </w:r>
      <w:r w:rsidR="005724E5">
        <w:rPr>
          <w:iCs/>
        </w:rPr>
        <w:t xml:space="preserve"> E</w:t>
      </w:r>
      <w:r w:rsidR="00775F9B" w:rsidRPr="00775F9B">
        <w:rPr>
          <w:iCs/>
        </w:rPr>
        <w:t>.g.</w:t>
      </w:r>
      <w:r w:rsidR="006F304D" w:rsidRPr="006F304D">
        <w:t xml:space="preserve">, </w:t>
      </w:r>
      <w:r>
        <w:t>Edwards</w:t>
      </w:r>
      <w:r w:rsidR="006F304D" w:rsidRPr="006F304D">
        <w:t xml:space="preserve">, </w:t>
      </w:r>
      <w:r>
        <w:rPr>
          <w:i/>
        </w:rPr>
        <w:t>Luke’s Story</w:t>
      </w:r>
      <w:r w:rsidR="006F304D" w:rsidRPr="006F304D">
        <w:t xml:space="preserve"> </w:t>
      </w:r>
      <w:r>
        <w:t>41; John P. Kealy</w:t>
      </w:r>
      <w:r w:rsidR="006F304D" w:rsidRPr="006F304D">
        <w:t xml:space="preserve">, </w:t>
      </w:r>
      <w:r>
        <w:rPr>
          <w:i/>
        </w:rPr>
        <w:t>Luke’s Gospel Today</w:t>
      </w:r>
      <w:r>
        <w:t xml:space="preserve"> (Denville</w:t>
      </w:r>
      <w:r w:rsidR="006F304D" w:rsidRPr="006F304D">
        <w:t xml:space="preserve"> </w:t>
      </w:r>
      <w:r>
        <w:t>NJ: Dimension Books</w:t>
      </w:r>
      <w:r w:rsidR="006F304D" w:rsidRPr="006F304D">
        <w:t xml:space="preserve">, </w:t>
      </w:r>
      <w:r>
        <w:t>1979) 222.</w:t>
      </w:r>
      <w:r w:rsidR="00AC038F" w:rsidRPr="00AC038F">
        <w:rPr>
          <w:iCs/>
        </w:rPr>
        <w:t xml:space="preserve"> </w:t>
      </w:r>
      <w:r>
        <w:t>Reference is usually made at this point to the beatitudes as fulfilling the Magnificat</w:t>
      </w:r>
      <w:r w:rsidR="006F304D" w:rsidRPr="006F304D">
        <w:t xml:space="preserve">, </w:t>
      </w:r>
      <w:r>
        <w:t xml:space="preserve">where Mary says </w:t>
      </w:r>
      <w:r w:rsidR="005724E5">
        <w:t xml:space="preserve">(Luke 1:52) </w:t>
      </w:r>
      <w:r>
        <w:t>that God “has put down the mighty from their thrones</w:t>
      </w:r>
      <w:r w:rsidR="006F304D" w:rsidRPr="006F304D">
        <w:t xml:space="preserve">, </w:t>
      </w:r>
      <w:r>
        <w:t>and exalted those of low degree . . . .”</w:t>
      </w:r>
    </w:p>
  </w:footnote>
  <w:footnote w:id="715">
    <w:p w14:paraId="3D55E237" w14:textId="0BD258A2" w:rsidR="006C54ED" w:rsidRDefault="0018433B" w:rsidP="0096372B">
      <w:pPr>
        <w:widowControl w:val="0"/>
      </w:pPr>
      <w:r>
        <w:rPr>
          <w:vertAlign w:val="superscript"/>
        </w:rPr>
        <w:footnoteRef/>
      </w:r>
      <w:r w:rsidR="006C54ED">
        <w:t xml:space="preserve"> M</w:t>
      </w:r>
      <w:r>
        <w:t>eynet considers the relation here to be one of opposition</w:t>
      </w:r>
      <w:r w:rsidR="006F304D" w:rsidRPr="006F304D">
        <w:t xml:space="preserve">, </w:t>
      </w:r>
      <w:r>
        <w:t>even though the idea of satiation is common to the two items</w:t>
      </w:r>
      <w:r w:rsidR="006F304D" w:rsidRPr="006F304D">
        <w:t xml:space="preserve">, </w:t>
      </w:r>
      <w:r>
        <w:t>because</w:t>
      </w:r>
      <w:r w:rsidR="006F304D" w:rsidRPr="006F304D">
        <w:t xml:space="preserve">, </w:t>
      </w:r>
      <w:r>
        <w:t>as he notes (ibid.</w:t>
      </w:r>
      <w:r w:rsidR="006F304D" w:rsidRPr="006F304D">
        <w:t xml:space="preserve">, </w:t>
      </w:r>
      <w:r>
        <w:t>planche 2)</w:t>
      </w:r>
      <w:r w:rsidR="006F304D" w:rsidRPr="006F304D">
        <w:t xml:space="preserve">, </w:t>
      </w:r>
      <w:r>
        <w:t>“‘satisfied’ in v 21 is not pejorative; ‘full’ in v</w:t>
      </w:r>
      <w:r w:rsidR="006C54ED">
        <w:t>erse</w:t>
      </w:r>
      <w:r>
        <w:t xml:space="preserve"> 25 is.”</w:t>
      </w:r>
      <w:r w:rsidR="006C54ED">
        <w:t xml:space="preserve"> (“. . . ‘rassaiés’ 21 n’est pas péjoratif; ‘repus’ l’est 25.”)</w:t>
      </w:r>
    </w:p>
  </w:footnote>
  <w:footnote w:id="716">
    <w:p w14:paraId="57A09A4F" w14:textId="0E6B5C08" w:rsidR="0018433B" w:rsidRDefault="0018433B" w:rsidP="0096372B">
      <w:pPr>
        <w:widowControl w:val="0"/>
      </w:pPr>
      <w:r>
        <w:rPr>
          <w:vertAlign w:val="superscript"/>
        </w:rPr>
        <w:footnoteRef/>
      </w:r>
      <w:r w:rsidR="00087795">
        <w:t xml:space="preserve"> M</w:t>
      </w:r>
      <w:r>
        <w:t>orgenthaler</w:t>
      </w:r>
      <w:r w:rsidR="006F304D" w:rsidRPr="006F304D">
        <w:t xml:space="preserve">, </w:t>
      </w:r>
      <w:r>
        <w:rPr>
          <w:i/>
        </w:rPr>
        <w:t>Geshichtsschreibung</w:t>
      </w:r>
      <w:r w:rsidR="006F304D" w:rsidRPr="006F304D">
        <w:t xml:space="preserve"> </w:t>
      </w:r>
      <w:r>
        <w:t>1. 81-83.</w:t>
      </w:r>
      <w:r w:rsidR="00AC038F" w:rsidRPr="00AC038F">
        <w:rPr>
          <w:iCs/>
        </w:rPr>
        <w:t xml:space="preserve"> </w:t>
      </w:r>
      <w:r>
        <w:t xml:space="preserve">Morgenthaler refers to these verses as instances of </w:t>
      </w:r>
      <w:r>
        <w:rPr>
          <w:i/>
        </w:rPr>
        <w:t>Viererparallelismus</w:t>
      </w:r>
      <w:r w:rsidR="006F304D" w:rsidRPr="006F304D">
        <w:t xml:space="preserve">, </w:t>
      </w:r>
      <w:r>
        <w:t>rather than alternating parallelism (thus Meynet) or parallel couplets (i.e.</w:t>
      </w:r>
      <w:r w:rsidR="006F304D" w:rsidRPr="006F304D">
        <w:t xml:space="preserve">, </w:t>
      </w:r>
      <w:r>
        <w:t>ordinary parallelism).</w:t>
      </w:r>
      <w:r w:rsidR="00AC038F" w:rsidRPr="00AC038F">
        <w:rPr>
          <w:iCs/>
        </w:rPr>
        <w:t xml:space="preserve"> </w:t>
      </w:r>
      <w:r>
        <w:t>But</w:t>
      </w:r>
      <w:r w:rsidR="006F304D" w:rsidRPr="006F304D">
        <w:t xml:space="preserve">, </w:t>
      </w:r>
      <w:r>
        <w:t xml:space="preserve">since he does suggest that every instance of his </w:t>
      </w:r>
      <w:r>
        <w:rPr>
          <w:i/>
        </w:rPr>
        <w:t>Viererparallelismus</w:t>
      </w:r>
      <w:r>
        <w:t xml:space="preserve"> is simply the principle of twofoldness applied twice</w:t>
      </w:r>
      <w:r w:rsidR="006F304D" w:rsidRPr="006F304D">
        <w:t xml:space="preserve">, </w:t>
      </w:r>
      <w:r>
        <w:t>citing him in this context seems justified.</w:t>
      </w:r>
      <w:r w:rsidR="00AC038F" w:rsidRPr="00AC038F">
        <w:rPr>
          <w:iCs/>
        </w:rPr>
        <w:t xml:space="preserve"> </w:t>
      </w:r>
      <w:r>
        <w:t>Of Luke 6:20-26 he says (p. 81),</w:t>
      </w:r>
    </w:p>
    <w:p w14:paraId="38E7E6BF" w14:textId="77777777" w:rsidR="00087795" w:rsidRDefault="00087795" w:rsidP="0096372B">
      <w:pPr>
        <w:widowControl w:val="0"/>
      </w:pPr>
    </w:p>
    <w:p w14:paraId="151EC391" w14:textId="77777777" w:rsidR="00F33A7A" w:rsidRDefault="0018433B" w:rsidP="0096372B">
      <w:pPr>
        <w:widowControl w:val="0"/>
        <w:ind w:left="720" w:right="720"/>
      </w:pPr>
      <w:r>
        <w:t>This is one of the classic examples of Luke’s art</w:t>
      </w:r>
      <w:r w:rsidR="006F304D" w:rsidRPr="006F304D">
        <w:t xml:space="preserve">, </w:t>
      </w:r>
      <w:r>
        <w:t>that is to say</w:t>
      </w:r>
      <w:r w:rsidR="006F304D" w:rsidRPr="006F304D">
        <w:t xml:space="preserve">, </w:t>
      </w:r>
      <w:r>
        <w:t>the architectonics of his style.</w:t>
      </w:r>
      <w:r w:rsidR="00AC038F" w:rsidRPr="00AC038F">
        <w:rPr>
          <w:iCs/>
        </w:rPr>
        <w:t xml:space="preserve"> </w:t>
      </w:r>
      <w:r>
        <w:t>Both groups of four are built upon corresponding antitheses</w:t>
      </w:r>
      <w:r w:rsidR="006F304D" w:rsidRPr="006F304D">
        <w:t xml:space="preserve">, </w:t>
      </w:r>
      <w:r>
        <w:t xml:space="preserve">including the “now” in the middle lines [of each </w:t>
      </w:r>
      <w:r w:rsidR="00087795">
        <w:t>set of four</w:t>
      </w:r>
      <w:r>
        <w:t>].</w:t>
      </w:r>
      <w:r w:rsidR="00AC038F" w:rsidRPr="00AC038F">
        <w:rPr>
          <w:iCs/>
        </w:rPr>
        <w:t xml:space="preserve"> </w:t>
      </w:r>
      <w:r>
        <w:t>In addition</w:t>
      </w:r>
      <w:r w:rsidR="006F304D" w:rsidRPr="006F304D">
        <w:t xml:space="preserve">, </w:t>
      </w:r>
      <w:r>
        <w:t>there stands at the end of each a double logion: vv 23 and 26.</w:t>
      </w:r>
    </w:p>
    <w:p w14:paraId="474CBB7D" w14:textId="2167D832" w:rsidR="0018433B" w:rsidRPr="00F33A7A" w:rsidRDefault="00F33A7A" w:rsidP="0096372B">
      <w:pPr>
        <w:widowControl w:val="0"/>
        <w:ind w:left="720" w:right="720"/>
      </w:pPr>
      <w:r>
        <w:t xml:space="preserve">(Das ist eines der klassischen Exempel für die Kunst des Lk., d.h. für die Architektonik seines Stiles. Beide Vierergruppen sind antithetisch genau entsprechend aufgebaut bis auf das </w:t>
      </w:r>
      <w:r>
        <w:rPr>
          <w:i/>
          <w:iCs/>
        </w:rPr>
        <w:t>nyn</w:t>
      </w:r>
      <w:r>
        <w:t xml:space="preserve"> je in den Mitttelgliedern. Zu allem Ueberfluss steht je am Schluss noch ein Doppellogion: 23/26.)</w:t>
      </w:r>
    </w:p>
    <w:p w14:paraId="1F4E5E9D" w14:textId="77777777" w:rsidR="00087795" w:rsidRDefault="00087795" w:rsidP="0096372B">
      <w:pPr>
        <w:widowControl w:val="0"/>
      </w:pPr>
    </w:p>
    <w:p w14:paraId="65C18EBD" w14:textId="6A07B48F" w:rsidR="0018433B" w:rsidRDefault="0018433B" w:rsidP="0096372B">
      <w:pPr>
        <w:widowControl w:val="0"/>
      </w:pPr>
      <w:r>
        <w:t>Morgenthaler also sees (p. 83) the introductory beatitudes and woes and the concluding parable of the two houses as antithetic parallels to one another: “four beatitudes</w:t>
      </w:r>
      <w:r w:rsidR="006F304D" w:rsidRPr="006F304D">
        <w:t xml:space="preserve">, </w:t>
      </w:r>
      <w:r>
        <w:t>four woes: antithesis . . . parable of the [two] houses: antithesis.”</w:t>
      </w:r>
      <w:r w:rsidR="00F33A7A">
        <w:t xml:space="preserve"> (“Vier Seligpreisungen—vier Wehe: Antithese . . . Gleichnis vom . . . Haus: Antithese.”)</w:t>
      </w:r>
    </w:p>
  </w:footnote>
  <w:footnote w:id="717">
    <w:p w14:paraId="4D8DCAD1" w14:textId="27DDBC26" w:rsidR="0018433B" w:rsidRDefault="0018433B" w:rsidP="0096372B">
      <w:pPr>
        <w:widowControl w:val="0"/>
      </w:pPr>
      <w:r>
        <w:rPr>
          <w:vertAlign w:val="superscript"/>
        </w:rPr>
        <w:footnoteRef/>
      </w:r>
      <w:r w:rsidR="00087795">
        <w:t xml:space="preserve"> J</w:t>
      </w:r>
      <w:r>
        <w:t>eremias</w:t>
      </w:r>
      <w:r w:rsidR="006F304D" w:rsidRPr="006F304D">
        <w:t xml:space="preserve">, </w:t>
      </w:r>
      <w:r>
        <w:rPr>
          <w:i/>
        </w:rPr>
        <w:t>NT Theology</w:t>
      </w:r>
      <w:r w:rsidR="006F304D" w:rsidRPr="006F304D">
        <w:t xml:space="preserve"> </w:t>
      </w:r>
      <w:r>
        <w:t>16 n. 1.</w:t>
      </w:r>
      <w:r w:rsidR="00AC038F" w:rsidRPr="00AC038F">
        <w:rPr>
          <w:iCs/>
        </w:rPr>
        <w:t xml:space="preserve"> </w:t>
      </w:r>
      <w:r>
        <w:t>When Jeremias notes that there is “a whole series of sayings of Jesus in antithetic parallelism where it is not immediately clear what accentuation was originally intended” (p. 18)</w:t>
      </w:r>
      <w:r w:rsidR="006F304D" w:rsidRPr="006F304D">
        <w:t xml:space="preserve">, </w:t>
      </w:r>
      <w:r>
        <w:t>and that “in all these instances the stress should be taken to be on the second half” (p. 19)</w:t>
      </w:r>
      <w:r w:rsidR="006F304D" w:rsidRPr="006F304D">
        <w:t xml:space="preserve">, </w:t>
      </w:r>
      <w:r>
        <w:t>he cites Luke 6:20-26 as an example (p. 19 n. 1).</w:t>
      </w:r>
    </w:p>
  </w:footnote>
  <w:footnote w:id="718">
    <w:p w14:paraId="53AA8BD1" w14:textId="4651D1FE" w:rsidR="0018433B" w:rsidRDefault="0018433B" w:rsidP="0096372B">
      <w:pPr>
        <w:widowControl w:val="0"/>
      </w:pPr>
      <w:r>
        <w:rPr>
          <w:vertAlign w:val="superscript"/>
        </w:rPr>
        <w:footnoteRef/>
      </w:r>
      <w:r w:rsidR="00087795">
        <w:t xml:space="preserve"> T</w:t>
      </w:r>
      <w:r>
        <w:t>hroughout the following discussion</w:t>
      </w:r>
      <w:r w:rsidR="006F304D" w:rsidRPr="006F304D">
        <w:t xml:space="preserve">, </w:t>
      </w:r>
      <w:r>
        <w:t>the reader will need to refer to “Planche 4” in Appendix 3.</w:t>
      </w:r>
      <w:r>
        <w:rPr>
          <w:vanish/>
        </w:rPr>
        <w:annotationRef/>
      </w:r>
    </w:p>
  </w:footnote>
  <w:footnote w:id="719">
    <w:p w14:paraId="50C2AD3D" w14:textId="04088944" w:rsidR="0018433B" w:rsidRDefault="0018433B" w:rsidP="0096372B">
      <w:pPr>
        <w:widowControl w:val="0"/>
      </w:pPr>
      <w:r w:rsidRPr="00087795">
        <w:rPr>
          <w:vertAlign w:val="superscript"/>
        </w:rPr>
        <w:footnoteRef/>
      </w:r>
      <w:r w:rsidR="00087795" w:rsidRPr="00087795">
        <w:t xml:space="preserve"> </w:t>
      </w:r>
      <w:r w:rsidR="00087795">
        <w:rPr>
          <w:i/>
        </w:rPr>
        <w:t>P</w:t>
      </w:r>
      <w:r>
        <w:rPr>
          <w:i/>
        </w:rPr>
        <w:t>oetry</w:t>
      </w:r>
      <w:r w:rsidR="006F304D" w:rsidRPr="006F304D">
        <w:t xml:space="preserve"> </w:t>
      </w:r>
      <w:r>
        <w:t>67.</w:t>
      </w:r>
      <w:r w:rsidR="00AC038F" w:rsidRPr="00AC038F">
        <w:rPr>
          <w:iCs/>
        </w:rPr>
        <w:t xml:space="preserve"> </w:t>
      </w:r>
      <w:r>
        <w:t>Metzger concurs (</w:t>
      </w:r>
      <w:r>
        <w:rPr>
          <w:i/>
        </w:rPr>
        <w:t>The NT</w:t>
      </w:r>
      <w:r w:rsidR="006F304D" w:rsidRPr="006F304D">
        <w:t xml:space="preserve"> </w:t>
      </w:r>
      <w:r>
        <w:t>140).</w:t>
      </w:r>
    </w:p>
  </w:footnote>
  <w:footnote w:id="720">
    <w:p w14:paraId="577CCE9B" w14:textId="7819A5FC" w:rsidR="0018433B" w:rsidRDefault="0018433B" w:rsidP="0096372B">
      <w:pPr>
        <w:widowControl w:val="0"/>
      </w:pPr>
      <w:r w:rsidRPr="00087795">
        <w:rPr>
          <w:vertAlign w:val="superscript"/>
        </w:rPr>
        <w:footnoteRef/>
      </w:r>
      <w:r w:rsidR="00087795" w:rsidRPr="00087795">
        <w:t xml:space="preserve"> </w:t>
      </w:r>
      <w:r w:rsidR="00087795" w:rsidRPr="00087795">
        <w:rPr>
          <w:i/>
          <w:iCs/>
        </w:rPr>
        <w:t>G</w:t>
      </w:r>
      <w:r>
        <w:rPr>
          <w:i/>
        </w:rPr>
        <w:t>eschichtsschreibung</w:t>
      </w:r>
      <w:r w:rsidR="006F304D" w:rsidRPr="006F304D">
        <w:t xml:space="preserve"> </w:t>
      </w:r>
      <w:r>
        <w:t>1. 82.</w:t>
      </w:r>
    </w:p>
  </w:footnote>
  <w:footnote w:id="721">
    <w:p w14:paraId="6A0EFB27" w14:textId="587D022A" w:rsidR="0018433B" w:rsidRPr="00FA7941" w:rsidRDefault="0018433B" w:rsidP="0096372B">
      <w:pPr>
        <w:widowControl w:val="0"/>
      </w:pPr>
      <w:r>
        <w:rPr>
          <w:vertAlign w:val="superscript"/>
        </w:rPr>
        <w:footnoteRef/>
      </w:r>
      <w:r w:rsidR="00087795">
        <w:t xml:space="preserve"> “</w:t>
      </w:r>
      <w:r w:rsidR="00FA7941">
        <w:t xml:space="preserve">Die </w:t>
      </w:r>
      <w:r>
        <w:t>Motivierung</w:t>
      </w:r>
      <w:r w:rsidR="00FA7941">
        <w:t xml:space="preserve"> der Feindesliebe in Lukas VI 32-35</w:t>
      </w:r>
      <w:r>
        <w:t>” 287</w:t>
      </w:r>
      <w:r w:rsidR="00FA7941">
        <w:t xml:space="preserve">: “fast in </w:t>
      </w:r>
      <w:r w:rsidR="00FA7941">
        <w:rPr>
          <w:i/>
          <w:iCs/>
        </w:rPr>
        <w:t>Parallelismus membrorum</w:t>
      </w:r>
      <w:r w:rsidR="00FA7941">
        <w:t xml:space="preserve"> gebildete Sprüche . . .”</w:t>
      </w:r>
    </w:p>
  </w:footnote>
  <w:footnote w:id="722">
    <w:p w14:paraId="5BC6081E" w14:textId="1D086A5B" w:rsidR="0018433B" w:rsidRDefault="0018433B" w:rsidP="0096372B">
      <w:pPr>
        <w:widowControl w:val="0"/>
      </w:pPr>
      <w:r w:rsidRPr="00087795">
        <w:rPr>
          <w:vertAlign w:val="superscript"/>
        </w:rPr>
        <w:footnoteRef/>
      </w:r>
      <w:r w:rsidR="00087795" w:rsidRPr="00087795">
        <w:t xml:space="preserve"> </w:t>
      </w:r>
      <w:r w:rsidR="00087795">
        <w:rPr>
          <w:i/>
        </w:rPr>
        <w:t>D</w:t>
      </w:r>
      <w:r>
        <w:rPr>
          <w:i/>
        </w:rPr>
        <w:t>rei Evangelien</w:t>
      </w:r>
      <w:r w:rsidR="006F304D" w:rsidRPr="006F304D">
        <w:t xml:space="preserve"> </w:t>
      </w:r>
      <w:r>
        <w:t>133.</w:t>
      </w:r>
      <w:r w:rsidR="00AC038F" w:rsidRPr="00AC038F">
        <w:rPr>
          <w:iCs/>
        </w:rPr>
        <w:t xml:space="preserve"> </w:t>
      </w:r>
      <w:r>
        <w:t>Dausch does not use the term</w:t>
      </w:r>
      <w:r w:rsidR="006F304D" w:rsidRPr="006F304D">
        <w:t xml:space="preserve">, </w:t>
      </w:r>
      <w:r>
        <w:t>“alternating parallelism,” but he seems to mean much the same thing: “Longer strophes arise when parallel lines . . . combine two or more sentences</w:t>
      </w:r>
      <w:r w:rsidR="006F304D" w:rsidRPr="006F304D">
        <w:t xml:space="preserve">, </w:t>
      </w:r>
      <w:r>
        <w:t>for example</w:t>
      </w:r>
      <w:r w:rsidR="006F304D" w:rsidRPr="006F304D">
        <w:t xml:space="preserve">, </w:t>
      </w:r>
      <w:r>
        <w:t>. . . Luke 6:32-34.”</w:t>
      </w:r>
    </w:p>
  </w:footnote>
  <w:footnote w:id="723">
    <w:p w14:paraId="573257E4" w14:textId="1BFB1BCB" w:rsidR="0018433B" w:rsidRDefault="0018433B" w:rsidP="0096372B">
      <w:pPr>
        <w:widowControl w:val="0"/>
      </w:pPr>
      <w:r w:rsidRPr="00087795">
        <w:rPr>
          <w:vertAlign w:val="superscript"/>
        </w:rPr>
        <w:footnoteRef/>
      </w:r>
      <w:r w:rsidR="00087795" w:rsidRPr="00087795">
        <w:t xml:space="preserve"> </w:t>
      </w:r>
      <w:r w:rsidR="00087795" w:rsidRPr="00087795">
        <w:rPr>
          <w:i/>
          <w:iCs/>
        </w:rPr>
        <w:t>E</w:t>
      </w:r>
      <w:r>
        <w:rPr>
          <w:i/>
        </w:rPr>
        <w:t>arliest Records</w:t>
      </w:r>
      <w:r w:rsidR="00FA7941">
        <w:rPr>
          <w:i/>
        </w:rPr>
        <w:t xml:space="preserve"> of Jesus</w:t>
      </w:r>
      <w:r w:rsidR="006F304D" w:rsidRPr="006F304D">
        <w:t xml:space="preserve"> </w:t>
      </w:r>
      <w:r>
        <w:t>96.</w:t>
      </w:r>
    </w:p>
  </w:footnote>
  <w:footnote w:id="724">
    <w:p w14:paraId="7F15BA7B" w14:textId="60164402" w:rsidR="0018433B" w:rsidRDefault="0018433B" w:rsidP="0096372B">
      <w:pPr>
        <w:widowControl w:val="0"/>
      </w:pPr>
      <w:r w:rsidRPr="00087795">
        <w:rPr>
          <w:vertAlign w:val="superscript"/>
        </w:rPr>
        <w:footnoteRef/>
      </w:r>
      <w:r w:rsidR="00087795" w:rsidRPr="00087795">
        <w:t xml:space="preserve"> </w:t>
      </w:r>
      <w:r w:rsidR="00087795" w:rsidRPr="00087795">
        <w:rPr>
          <w:i/>
          <w:iCs/>
        </w:rPr>
        <w:t>M</w:t>
      </w:r>
      <w:r>
        <w:rPr>
          <w:i/>
        </w:rPr>
        <w:t>aking</w:t>
      </w:r>
      <w:r w:rsidR="005B7A2F">
        <w:rPr>
          <w:i/>
        </w:rPr>
        <w:t xml:space="preserve"> of Luke-Acts</w:t>
      </w:r>
      <w:r w:rsidR="006F304D" w:rsidRPr="006F304D">
        <w:t xml:space="preserve"> </w:t>
      </w:r>
      <w:r>
        <w:t>152 n. 13: “The accumulation of short precepts in Luke vi. 27 f.</w:t>
      </w:r>
      <w:r w:rsidR="006F304D" w:rsidRPr="006F304D">
        <w:t xml:space="preserve">, </w:t>
      </w:r>
      <w:r>
        <w:t>35</w:t>
      </w:r>
      <w:r w:rsidR="006F304D" w:rsidRPr="006F304D">
        <w:t xml:space="preserve">, </w:t>
      </w:r>
      <w:r>
        <w:t>36-38</w:t>
      </w:r>
      <w:r w:rsidR="006F304D" w:rsidRPr="006F304D">
        <w:t xml:space="preserve">, </w:t>
      </w:r>
      <w:r>
        <w:t>is</w:t>
      </w:r>
      <w:r w:rsidR="006F304D" w:rsidRPr="006F304D">
        <w:t xml:space="preserve">, </w:t>
      </w:r>
      <w:r>
        <w:t>as Easton notes</w:t>
      </w:r>
      <w:r w:rsidR="006F304D" w:rsidRPr="006F304D">
        <w:t xml:space="preserve">, </w:t>
      </w:r>
      <w:r>
        <w:t>‘not paralleled elsewhere in the gospels.’”</w:t>
      </w:r>
      <w:r w:rsidR="00AC038F" w:rsidRPr="00AC038F">
        <w:rPr>
          <w:iCs/>
        </w:rPr>
        <w:t xml:space="preserve"> </w:t>
      </w:r>
      <w:r>
        <w:t>Easton himself (</w:t>
      </w:r>
      <w:r>
        <w:rPr>
          <w:i/>
        </w:rPr>
        <w:t>Gospel</w:t>
      </w:r>
      <w:r w:rsidR="005B7A2F">
        <w:rPr>
          <w:i/>
        </w:rPr>
        <w:t xml:space="preserve"> According to St</w:t>
      </w:r>
      <w:r w:rsidR="005B7A2F">
        <w:rPr>
          <w:iCs/>
        </w:rPr>
        <w:t xml:space="preserve">. </w:t>
      </w:r>
      <w:r w:rsidR="005B7A2F">
        <w:rPr>
          <w:i/>
        </w:rPr>
        <w:t>Luke</w:t>
      </w:r>
      <w:r w:rsidR="006F304D" w:rsidRPr="006F304D">
        <w:t xml:space="preserve"> </w:t>
      </w:r>
      <w:r>
        <w:t>86) wrote: “This accumulation of short precepts is paralleled in v. 36 [</w:t>
      </w:r>
      <w:r w:rsidR="005B7A2F">
        <w:rPr>
          <w:i/>
          <w:iCs/>
        </w:rPr>
        <w:t>sic</w:t>
      </w:r>
      <w:r w:rsidR="005B7A2F">
        <w:t xml:space="preserve">: </w:t>
      </w:r>
      <w:r>
        <w:t>sc. 35]</w:t>
      </w:r>
      <w:r w:rsidR="006F304D" w:rsidRPr="006F304D">
        <w:t xml:space="preserve">, </w:t>
      </w:r>
      <w:r>
        <w:t>but not elsewhere in the Gospels.”</w:t>
      </w:r>
    </w:p>
  </w:footnote>
  <w:footnote w:id="725">
    <w:p w14:paraId="40DB2431" w14:textId="50FCA5B2" w:rsidR="0018433B" w:rsidRDefault="0018433B" w:rsidP="0096372B">
      <w:pPr>
        <w:widowControl w:val="0"/>
      </w:pPr>
      <w:r>
        <w:rPr>
          <w:vertAlign w:val="superscript"/>
        </w:rPr>
        <w:footnoteRef/>
      </w:r>
      <w:r w:rsidR="00087795">
        <w:t xml:space="preserve"> J</w:t>
      </w:r>
      <w:r>
        <w:t>eremias</w:t>
      </w:r>
      <w:r w:rsidR="006F304D" w:rsidRPr="006F304D">
        <w:t xml:space="preserve">, </w:t>
      </w:r>
      <w:r>
        <w:rPr>
          <w:i/>
        </w:rPr>
        <w:t>NT Theology</w:t>
      </w:r>
      <w:r w:rsidR="006F304D" w:rsidRPr="006F304D">
        <w:t xml:space="preserve"> </w:t>
      </w:r>
      <w:r>
        <w:t xml:space="preserve">19 n. 22: “In double parables the same idea is illustrated by means of </w:t>
      </w:r>
      <w:r>
        <w:rPr>
          <w:i/>
        </w:rPr>
        <w:t>different</w:t>
      </w:r>
      <w:r>
        <w:t xml:space="preserve"> imagery; in reflex parables the </w:t>
      </w:r>
      <w:r>
        <w:rPr>
          <w:i/>
        </w:rPr>
        <w:t>same</w:t>
      </w:r>
      <w:r>
        <w:t xml:space="preserve"> picture is repeated antithetically.”</w:t>
      </w:r>
      <w:r w:rsidR="00AC038F" w:rsidRPr="00AC038F">
        <w:rPr>
          <w:iCs/>
        </w:rPr>
        <w:t xml:space="preserve"> </w:t>
      </w:r>
      <w:r>
        <w:t>Jeremias has borrowed the term from E. Biser</w:t>
      </w:r>
      <w:r w:rsidR="006F304D" w:rsidRPr="006F304D">
        <w:t xml:space="preserve">, </w:t>
      </w:r>
      <w:r>
        <w:rPr>
          <w:i/>
        </w:rPr>
        <w:t>Die Gleichnisse Jesu</w:t>
      </w:r>
      <w:r w:rsidR="00AC038F" w:rsidRPr="00AC038F">
        <w:t xml:space="preserve">: </w:t>
      </w:r>
      <w:r>
        <w:rPr>
          <w:i/>
        </w:rPr>
        <w:t>Versuch einer Deutung</w:t>
      </w:r>
      <w:r>
        <w:t xml:space="preserve"> (Munich: 1965) 71.</w:t>
      </w:r>
    </w:p>
  </w:footnote>
  <w:footnote w:id="726">
    <w:p w14:paraId="3208433E" w14:textId="4A152587" w:rsidR="0018433B" w:rsidRDefault="0018433B" w:rsidP="0096372B">
      <w:pPr>
        <w:widowControl w:val="0"/>
      </w:pPr>
      <w:r>
        <w:rPr>
          <w:vertAlign w:val="superscript"/>
        </w:rPr>
        <w:footnoteRef/>
      </w:r>
      <w:r w:rsidR="00087795">
        <w:t xml:space="preserve"> P</w:t>
      </w:r>
      <w:r>
        <w:t>erhaps the most damaging fact about Meynet’s attempt to force 39-42 and 46-49 into alternating parallelism is his total neglect of v</w:t>
      </w:r>
      <w:r w:rsidR="00DF5811">
        <w:t>erse</w:t>
      </w:r>
      <w:r>
        <w:t xml:space="preserve"> 40 (except the word “disciple” here).</w:t>
      </w:r>
    </w:p>
  </w:footnote>
  <w:footnote w:id="727">
    <w:p w14:paraId="02087A64" w14:textId="20D95C89" w:rsidR="0018433B" w:rsidRDefault="0018433B" w:rsidP="0096372B">
      <w:pPr>
        <w:widowControl w:val="0"/>
      </w:pPr>
      <w:r>
        <w:rPr>
          <w:vertAlign w:val="superscript"/>
        </w:rPr>
        <w:footnoteRef/>
      </w:r>
      <w:r w:rsidR="00087795">
        <w:t xml:space="preserve"> I</w:t>
      </w:r>
      <w:r>
        <w:t xml:space="preserve"> have replaced Meynet’s line numberings (“1,” “2,” etc.) with verse numberings (“43a,” “43b,” etc.).</w:t>
      </w:r>
    </w:p>
  </w:footnote>
  <w:footnote w:id="728">
    <w:p w14:paraId="1A4C1224" w14:textId="4D126747" w:rsidR="0018433B" w:rsidRPr="00E5413C" w:rsidRDefault="0018433B" w:rsidP="00786ADB">
      <w:pPr>
        <w:widowControl w:val="0"/>
        <w:rPr>
          <w:lang w:val="fr-FR"/>
        </w:rPr>
      </w:pPr>
      <w:r>
        <w:rPr>
          <w:vertAlign w:val="superscript"/>
        </w:rPr>
        <w:footnoteRef/>
      </w:r>
      <w:r w:rsidR="00087795" w:rsidRPr="00E5413C">
        <w:rPr>
          <w:lang w:val="fr-FR"/>
        </w:rPr>
        <w:t xml:space="preserve"> M</w:t>
      </w:r>
      <w:r w:rsidRPr="00E5413C">
        <w:rPr>
          <w:lang w:val="fr-FR"/>
        </w:rPr>
        <w:t>eynet</w:t>
      </w:r>
      <w:r w:rsidR="006F304D" w:rsidRPr="00E5413C">
        <w:rPr>
          <w:lang w:val="fr-FR"/>
        </w:rPr>
        <w:t xml:space="preserve">, </w:t>
      </w:r>
      <w:r w:rsidRPr="00E5413C">
        <w:rPr>
          <w:i/>
          <w:lang w:val="fr-FR"/>
        </w:rPr>
        <w:t>Quelle</w:t>
      </w:r>
      <w:r w:rsidR="00B04D3F" w:rsidRPr="00E5413C">
        <w:rPr>
          <w:i/>
          <w:lang w:val="fr-FR"/>
        </w:rPr>
        <w:t xml:space="preserve"> est donc cette parole?</w:t>
      </w:r>
      <w:r w:rsidR="006F304D" w:rsidRPr="00E5413C">
        <w:rPr>
          <w:lang w:val="fr-FR"/>
        </w:rPr>
        <w:t xml:space="preserve"> </w:t>
      </w:r>
      <w:r w:rsidRPr="00E5413C">
        <w:rPr>
          <w:lang w:val="fr-FR"/>
        </w:rPr>
        <w:t>2. Planche 6</w:t>
      </w:r>
      <w:r w:rsidR="00B04D3F" w:rsidRPr="00E5413C">
        <w:rPr>
          <w:lang w:val="fr-FR"/>
        </w:rPr>
        <w:t>: “les trois binaires sont synonymes (identité de caractères . . .).”</w:t>
      </w:r>
    </w:p>
  </w:footnote>
  <w:footnote w:id="729">
    <w:p w14:paraId="7360B150" w14:textId="79BD604D" w:rsidR="0018433B" w:rsidRPr="00E5413C" w:rsidRDefault="0018433B" w:rsidP="00786ADB">
      <w:pPr>
        <w:widowControl w:val="0"/>
        <w:rPr>
          <w:lang w:val="fr-FR"/>
        </w:rPr>
      </w:pPr>
      <w:r>
        <w:rPr>
          <w:vertAlign w:val="superscript"/>
        </w:rPr>
        <w:footnoteRef/>
      </w:r>
      <w:r w:rsidR="00087795" w:rsidRPr="00E5413C">
        <w:rPr>
          <w:lang w:val="fr-FR"/>
        </w:rPr>
        <w:t xml:space="preserve"> I</w:t>
      </w:r>
      <w:r w:rsidRPr="00E5413C">
        <w:rPr>
          <w:lang w:val="fr-FR"/>
        </w:rPr>
        <w:t>bid.</w:t>
      </w:r>
      <w:r w:rsidR="00B04D3F" w:rsidRPr="00E5413C">
        <w:rPr>
          <w:lang w:val="fr-FR"/>
        </w:rPr>
        <w:t>: “les deux premiers binaires sont paraboliques (avec négation), le 3º applique la paraabole à l’homme (avec affirmation).”</w:t>
      </w:r>
    </w:p>
  </w:footnote>
  <w:footnote w:id="730">
    <w:p w14:paraId="5F7F50C8" w14:textId="16D19177" w:rsidR="0018433B" w:rsidRPr="00E5413C" w:rsidRDefault="0018433B" w:rsidP="00786ADB">
      <w:pPr>
        <w:widowControl w:val="0"/>
        <w:rPr>
          <w:lang w:val="fr-FR"/>
        </w:rPr>
      </w:pPr>
      <w:r>
        <w:rPr>
          <w:vertAlign w:val="superscript"/>
        </w:rPr>
        <w:footnoteRef/>
      </w:r>
      <w:r w:rsidR="00087795" w:rsidRPr="00E5413C">
        <w:rPr>
          <w:lang w:val="fr-FR"/>
        </w:rPr>
        <w:t xml:space="preserve"> I</w:t>
      </w:r>
      <w:r w:rsidRPr="00E5413C">
        <w:rPr>
          <w:lang w:val="fr-FR"/>
        </w:rPr>
        <w:t>bid.</w:t>
      </w:r>
      <w:r w:rsidR="00B04D3F" w:rsidRPr="00E5413C">
        <w:rPr>
          <w:lang w:val="fr-FR"/>
        </w:rPr>
        <w:t>: “Les deux refrains sont des sentences généralisantes.”</w:t>
      </w:r>
    </w:p>
  </w:footnote>
  <w:footnote w:id="731">
    <w:p w14:paraId="0149CC7F" w14:textId="131B5D05" w:rsidR="0018433B" w:rsidRDefault="0018433B" w:rsidP="00786ADB">
      <w:pPr>
        <w:widowControl w:val="0"/>
      </w:pPr>
      <w:r>
        <w:rPr>
          <w:vertAlign w:val="superscript"/>
        </w:rPr>
        <w:footnoteRef/>
      </w:r>
      <w:r w:rsidR="00087795">
        <w:t xml:space="preserve"> </w:t>
      </w:r>
      <w:r w:rsidR="00605B7E">
        <w:t xml:space="preserve">Ibid. </w:t>
      </w:r>
      <w:r w:rsidR="00087795">
        <w:t>T</w:t>
      </w:r>
      <w:r>
        <w:t xml:space="preserve">he Greek text speaks of a </w:t>
      </w:r>
      <w:r w:rsidR="00B04D3F" w:rsidRPr="00CE06CA">
        <w:rPr>
          <w:bCs/>
          <w:szCs w:val="22"/>
          <w:lang w:val="el-GR"/>
        </w:rPr>
        <w:t>δένδρον καλὸν</w:t>
      </w:r>
      <w:r w:rsidR="00B04D3F">
        <w:t xml:space="preserve"> </w:t>
      </w:r>
      <w:r>
        <w:t xml:space="preserve">(“beautiful tree”) and a </w:t>
      </w:r>
      <w:r w:rsidR="00B04D3F" w:rsidRPr="00CE06CA">
        <w:rPr>
          <w:bCs/>
          <w:szCs w:val="22"/>
          <w:lang w:val="el-GR"/>
        </w:rPr>
        <w:t>δένδρον σαπρὸν</w:t>
      </w:r>
      <w:r w:rsidR="00B04D3F">
        <w:rPr>
          <w:rFonts w:ascii="WP Greek Century" w:hAnsi="WP Greek Century"/>
        </w:rPr>
        <w:t xml:space="preserve"> </w:t>
      </w:r>
      <w:r>
        <w:t>(“rotten tree”).</w:t>
      </w:r>
      <w:r w:rsidR="00AC038F" w:rsidRPr="00AC038F">
        <w:rPr>
          <w:iCs/>
        </w:rPr>
        <w:t xml:space="preserve"> </w:t>
      </w:r>
      <w:r>
        <w:t xml:space="preserve">Meynet translates literally (“beau,” “malade”); the </w:t>
      </w:r>
      <w:r w:rsidR="00B04D3F">
        <w:rPr>
          <w:i/>
          <w:iCs/>
        </w:rPr>
        <w:t>N</w:t>
      </w:r>
      <w:r>
        <w:rPr>
          <w:i/>
        </w:rPr>
        <w:t>RSV</w:t>
      </w:r>
      <w:r>
        <w:t xml:space="preserve"> translates “good” and “bad.”</w:t>
      </w:r>
    </w:p>
  </w:footnote>
  <w:footnote w:id="732">
    <w:p w14:paraId="0736E45B" w14:textId="4A257EEF" w:rsidR="0018433B" w:rsidRPr="00E5413C" w:rsidRDefault="0018433B" w:rsidP="00786ADB">
      <w:pPr>
        <w:widowControl w:val="0"/>
        <w:rPr>
          <w:lang w:val="fr-FR"/>
        </w:rPr>
      </w:pPr>
      <w:r>
        <w:rPr>
          <w:vertAlign w:val="superscript"/>
        </w:rPr>
        <w:footnoteRef/>
      </w:r>
      <w:r w:rsidR="00087795" w:rsidRPr="00E5413C">
        <w:rPr>
          <w:lang w:val="fr-FR"/>
        </w:rPr>
        <w:t xml:space="preserve"> I</w:t>
      </w:r>
      <w:r w:rsidRPr="00E5413C">
        <w:rPr>
          <w:lang w:val="fr-FR"/>
        </w:rPr>
        <w:t>bid.</w:t>
      </w:r>
      <w:r w:rsidR="00605B7E" w:rsidRPr="00E5413C">
        <w:rPr>
          <w:lang w:val="fr-FR"/>
        </w:rPr>
        <w:t>: “les deux binaires extrêmes opposent ‘beau-bon’ à ‘malade-mauvais’; celue du centre reprent a2 et a´2, avec réduction de substantif-épithète à substantif (‘épines’ et ‘ronces’ sont de ‘mauvais arbres’, ‘figures’ et ‘raisins’ sont de ‘bon fruits’.”</w:t>
      </w:r>
    </w:p>
  </w:footnote>
  <w:footnote w:id="733">
    <w:p w14:paraId="5FE31DB9" w14:textId="02C23791" w:rsidR="0018433B" w:rsidRPr="00E5413C" w:rsidRDefault="0018433B" w:rsidP="00786ADB">
      <w:pPr>
        <w:widowControl w:val="0"/>
        <w:rPr>
          <w:lang w:val="fr-FR"/>
        </w:rPr>
      </w:pPr>
      <w:r>
        <w:rPr>
          <w:vertAlign w:val="superscript"/>
        </w:rPr>
        <w:footnoteRef/>
      </w:r>
      <w:r w:rsidR="00087795" w:rsidRPr="00E5413C">
        <w:rPr>
          <w:lang w:val="fr-FR"/>
        </w:rPr>
        <w:t xml:space="preserve"> I</w:t>
      </w:r>
      <w:r w:rsidRPr="00E5413C">
        <w:rPr>
          <w:lang w:val="fr-FR"/>
        </w:rPr>
        <w:t>bid.</w:t>
      </w:r>
      <w:r w:rsidR="00605B7E" w:rsidRPr="00E5413C">
        <w:rPr>
          <w:lang w:val="fr-FR"/>
        </w:rPr>
        <w:t>: “les deux premiers binaires ont une structure binaire: sujet + (verbe-complément) [</w:t>
      </w:r>
      <w:r w:rsidR="00605B7E" w:rsidRPr="00E5413C">
        <w:rPr>
          <w:i/>
          <w:iCs/>
          <w:lang w:val="fr-FR"/>
        </w:rPr>
        <w:t>sic</w:t>
      </w:r>
      <w:r w:rsidR="00605B7E" w:rsidRPr="00E5413C">
        <w:rPr>
          <w:lang w:val="fr-FR"/>
        </w:rPr>
        <w:t>] le troisième binaire a une structure ternaire: sujet + complément de lieu + (verbe-complément); triple récurrence des épithètes.”</w:t>
      </w:r>
    </w:p>
  </w:footnote>
  <w:footnote w:id="734">
    <w:p w14:paraId="26F81D0F" w14:textId="0201493B" w:rsidR="0018433B" w:rsidRDefault="0018433B" w:rsidP="00786ADB">
      <w:pPr>
        <w:widowControl w:val="0"/>
      </w:pPr>
      <w:r>
        <w:rPr>
          <w:vertAlign w:val="superscript"/>
        </w:rPr>
        <w:footnoteRef/>
      </w:r>
      <w:r w:rsidR="00087795">
        <w:t xml:space="preserve"> H</w:t>
      </w:r>
      <w:r>
        <w:t>e might</w:t>
      </w:r>
      <w:r w:rsidR="006F304D" w:rsidRPr="006F304D">
        <w:t xml:space="preserve">, </w:t>
      </w:r>
      <w:r>
        <w:t>though</w:t>
      </w:r>
      <w:r w:rsidR="006F304D" w:rsidRPr="006F304D">
        <w:t xml:space="preserve">, </w:t>
      </w:r>
      <w:r>
        <w:t>have made the trees parallel with the fruits</w:t>
      </w:r>
      <w:r w:rsidR="006F304D" w:rsidRPr="006F304D">
        <w:t xml:space="preserve">, </w:t>
      </w:r>
      <w:r>
        <w:t>as in Matt 7:17: “every sound tree bears good fruit</w:t>
      </w:r>
      <w:r w:rsidR="006F304D" w:rsidRPr="006F304D">
        <w:t xml:space="preserve">, </w:t>
      </w:r>
      <w:r>
        <w:t>but the bad tree bears evil fruit.”</w:t>
      </w:r>
      <w:r w:rsidR="00AC038F" w:rsidRPr="00AC038F">
        <w:rPr>
          <w:iCs/>
        </w:rPr>
        <w:t xml:space="preserve"> </w:t>
      </w:r>
      <w:r>
        <w:t>To do so would require elimination of the negation—cf. Matt 7:18: “A sound tree cannot bear evil fruit</w:t>
      </w:r>
      <w:r w:rsidR="006F304D" w:rsidRPr="006F304D">
        <w:t xml:space="preserve">, </w:t>
      </w:r>
      <w:r>
        <w:t>nor can a bad tree bear good fruit.”</w:t>
      </w:r>
      <w:r w:rsidR="00AC038F" w:rsidRPr="00AC038F">
        <w:rPr>
          <w:iCs/>
        </w:rPr>
        <w:t xml:space="preserve"> </w:t>
      </w:r>
      <w:r>
        <w:t>Probably Matthew or a predecessor eliminated the negation in 7:17 to create a parallelism that extends across both verses</w:t>
      </w:r>
      <w:r w:rsidR="006F304D" w:rsidRPr="006F304D">
        <w:t xml:space="preserve">, </w:t>
      </w:r>
      <w:r>
        <w:t>7:17-18.</w:t>
      </w:r>
    </w:p>
    <w:p w14:paraId="177F9853" w14:textId="00AC469C" w:rsidR="0018433B" w:rsidRDefault="0018433B" w:rsidP="00786ADB">
      <w:pPr>
        <w:widowControl w:val="0"/>
      </w:pPr>
      <w:r>
        <w:tab/>
        <w:t>Morgenthaler’s analysis of 43-45 (</w:t>
      </w:r>
      <w:r w:rsidR="00605B7E">
        <w:rPr>
          <w:i/>
          <w:iCs/>
        </w:rPr>
        <w:t xml:space="preserve">Lukanische </w:t>
      </w:r>
      <w:r>
        <w:rPr>
          <w:i/>
        </w:rPr>
        <w:t>Geschichtsschreibung</w:t>
      </w:r>
      <w:r w:rsidR="006F304D" w:rsidRPr="006F304D">
        <w:t xml:space="preserve"> </w:t>
      </w:r>
      <w:r>
        <w:t>1. 83) is similar to Meynet’s: “There follows in 43-45 a third parable</w:t>
      </w:r>
      <w:r w:rsidR="006F304D" w:rsidRPr="006F304D">
        <w:t xml:space="preserve">, </w:t>
      </w:r>
      <w:r>
        <w:t>in three parts.</w:t>
      </w:r>
      <w:r w:rsidR="00AC038F" w:rsidRPr="00AC038F">
        <w:rPr>
          <w:iCs/>
        </w:rPr>
        <w:t xml:space="preserve"> </w:t>
      </w:r>
      <w:r>
        <w:t>In the first part [43ab] the parable is contentually chiastic</w:t>
      </w:r>
      <w:r w:rsidR="006F304D" w:rsidRPr="006F304D">
        <w:t xml:space="preserve">, </w:t>
      </w:r>
      <w:r>
        <w:t>in the second formally chiastic</w:t>
      </w:r>
      <w:r w:rsidR="006F304D" w:rsidRPr="006F304D">
        <w:t xml:space="preserve">, </w:t>
      </w:r>
      <w:r>
        <w:t>and in the third there is a shortened parallelism without transposition.”</w:t>
      </w:r>
      <w:r w:rsidR="00605B7E">
        <w:t xml:space="preserve"> (“Folgt 43-45 ein drittes Gleichnis als Tristich. Im ersten Glied sachlich chiastich, im zweiten formal, im dritten ein gekürzter Parallelismus ohne Umstellung.”</w:t>
      </w:r>
      <w:r w:rsidR="001D6618">
        <w:t>)</w:t>
      </w:r>
    </w:p>
  </w:footnote>
  <w:footnote w:id="735">
    <w:p w14:paraId="150373C2" w14:textId="400106E0" w:rsidR="0018433B" w:rsidRDefault="0018433B" w:rsidP="00786ADB">
      <w:pPr>
        <w:widowControl w:val="0"/>
      </w:pPr>
      <w:r>
        <w:rPr>
          <w:vertAlign w:val="superscript"/>
        </w:rPr>
        <w:footnoteRef/>
      </w:r>
      <w:r w:rsidR="00087795">
        <w:t xml:space="preserve"> I</w:t>
      </w:r>
      <w:r>
        <w:t>bid.</w:t>
      </w:r>
      <w:r w:rsidR="00A6768D">
        <w:t>: “ein gekürzter</w:t>
      </w:r>
      <w:r w:rsidR="00AC038F" w:rsidRPr="00AC038F">
        <w:rPr>
          <w:iCs/>
        </w:rPr>
        <w:t xml:space="preserve"> </w:t>
      </w:r>
      <w:r w:rsidR="00A6768D">
        <w:rPr>
          <w:iCs/>
        </w:rPr>
        <w:t xml:space="preserve">Parallelismus . . .” </w:t>
      </w:r>
      <w:r>
        <w:t>Cf. Jeremias</w:t>
      </w:r>
      <w:r w:rsidR="006F304D" w:rsidRPr="006F304D">
        <w:t xml:space="preserve">, </w:t>
      </w:r>
      <w:r>
        <w:rPr>
          <w:i/>
        </w:rPr>
        <w:t>NT Theology</w:t>
      </w:r>
      <w:r w:rsidR="006F304D" w:rsidRPr="006F304D">
        <w:t xml:space="preserve"> </w:t>
      </w:r>
      <w:r>
        <w:t>17 n. 4: “Luke has weakened the antithetic parallelism . . . by both additions and abbreviations in Luke 6.45 (contrast Matt. 12.35) . . . .”</w:t>
      </w:r>
    </w:p>
  </w:footnote>
  <w:footnote w:id="736">
    <w:p w14:paraId="407C9784" w14:textId="705491E3" w:rsidR="0018433B" w:rsidRDefault="0018433B" w:rsidP="00786ADB">
      <w:pPr>
        <w:widowControl w:val="0"/>
      </w:pPr>
      <w:r w:rsidRPr="00087795">
        <w:rPr>
          <w:vertAlign w:val="superscript"/>
        </w:rPr>
        <w:footnoteRef/>
      </w:r>
      <w:r w:rsidR="00087795" w:rsidRPr="00087795">
        <w:t xml:space="preserve"> </w:t>
      </w:r>
      <w:r w:rsidR="00A6768D">
        <w:rPr>
          <w:i/>
          <w:iCs/>
        </w:rPr>
        <w:t xml:space="preserve">Lukanische </w:t>
      </w:r>
      <w:r w:rsidR="00087795" w:rsidRPr="00087795">
        <w:rPr>
          <w:i/>
          <w:iCs/>
        </w:rPr>
        <w:t>G</w:t>
      </w:r>
      <w:r>
        <w:rPr>
          <w:i/>
        </w:rPr>
        <w:t>eschichtsschreibung</w:t>
      </w:r>
      <w:r w:rsidR="006F304D" w:rsidRPr="006F304D">
        <w:t xml:space="preserve"> </w:t>
      </w:r>
      <w:r>
        <w:t>1. 83: “There finally follows . . . the fourth parable in the familiar and free style of antithetic parallelism.”</w:t>
      </w:r>
      <w:r w:rsidR="00A6768D">
        <w:t xml:space="preserve"> (“Schliesslich folget . . . das vierte Gleichnis in der bekannten freien und antithetischen Parallelformulierung . . .”)</w:t>
      </w:r>
      <w:r w:rsidR="00AC038F" w:rsidRPr="00AC038F">
        <w:rPr>
          <w:iCs/>
        </w:rPr>
        <w:t xml:space="preserve"> </w:t>
      </w:r>
      <w:r>
        <w:t>Here</w:t>
      </w:r>
      <w:r w:rsidR="006F304D" w:rsidRPr="006F304D">
        <w:t xml:space="preserve">, </w:t>
      </w:r>
      <w:r>
        <w:t>too</w:t>
      </w:r>
      <w:r w:rsidR="006F304D" w:rsidRPr="006F304D">
        <w:t xml:space="preserve">, </w:t>
      </w:r>
      <w:r>
        <w:t>Jeremias (</w:t>
      </w:r>
      <w:r>
        <w:rPr>
          <w:i/>
        </w:rPr>
        <w:t>NT Theology</w:t>
      </w:r>
      <w:r w:rsidR="006F304D" w:rsidRPr="006F304D">
        <w:t xml:space="preserve"> </w:t>
      </w:r>
      <w:r>
        <w:t>17 n. 4) notes that “Luke has weakened the antithetic parallelism,” though this time by abbreviating (cf. Matt 7:24-27).</w:t>
      </w:r>
    </w:p>
    <w:p w14:paraId="06CD8C15" w14:textId="4023B687" w:rsidR="0018433B" w:rsidRPr="00087795" w:rsidRDefault="00087795" w:rsidP="00786ADB">
      <w:pPr>
        <w:widowControl w:val="0"/>
        <w:rPr>
          <w:iCs/>
        </w:rPr>
      </w:pPr>
      <w:r>
        <w:rPr>
          <w:iCs/>
        </w:rPr>
        <w:tab/>
      </w:r>
      <w:r w:rsidR="0018433B">
        <w:t>We have already noted that Morgenthaler considers the introduction (beatitudes and woes) and conclusion (two houses parable) to be antithetically parallel (</w:t>
      </w:r>
      <w:r w:rsidR="00A6768D">
        <w:rPr>
          <w:i/>
          <w:iCs/>
        </w:rPr>
        <w:t xml:space="preserve">Lukanische </w:t>
      </w:r>
      <w:r w:rsidR="0018433B">
        <w:rPr>
          <w:i/>
        </w:rPr>
        <w:t>Geschichtsschreibung</w:t>
      </w:r>
      <w:r w:rsidR="006F304D" w:rsidRPr="006F304D">
        <w:t xml:space="preserve"> </w:t>
      </w:r>
      <w:r w:rsidR="0018433B">
        <w:t>1. 83).</w:t>
      </w:r>
    </w:p>
  </w:footnote>
  <w:footnote w:id="737">
    <w:p w14:paraId="1683AF0A" w14:textId="371E9598" w:rsidR="0018433B" w:rsidRDefault="0018433B" w:rsidP="00786ADB">
      <w:pPr>
        <w:widowControl w:val="0"/>
      </w:pPr>
      <w:r>
        <w:rPr>
          <w:vertAlign w:val="superscript"/>
        </w:rPr>
        <w:footnoteRef/>
      </w:r>
      <w:r w:rsidR="00087795">
        <w:t xml:space="preserve"> I</w:t>
      </w:r>
      <w:r>
        <w:t>bid.</w:t>
      </w:r>
    </w:p>
  </w:footnote>
  <w:footnote w:id="738">
    <w:p w14:paraId="01D02CEF" w14:textId="63D7AB28" w:rsidR="0018433B" w:rsidRDefault="0018433B" w:rsidP="00786ADB">
      <w:pPr>
        <w:widowControl w:val="0"/>
      </w:pPr>
      <w:r>
        <w:rPr>
          <w:vertAlign w:val="superscript"/>
        </w:rPr>
        <w:footnoteRef/>
      </w:r>
      <w:r w:rsidR="00087795">
        <w:t xml:space="preserve"> B</w:t>
      </w:r>
      <w:r>
        <w:t>urney</w:t>
      </w:r>
      <w:r w:rsidR="006F304D" w:rsidRPr="006F304D">
        <w:t xml:space="preserve">, </w:t>
      </w:r>
      <w:r>
        <w:rPr>
          <w:i/>
        </w:rPr>
        <w:t>Poetry</w:t>
      </w:r>
      <w:r w:rsidR="006F304D" w:rsidRPr="006F304D">
        <w:t xml:space="preserve"> </w:t>
      </w:r>
      <w:r>
        <w:t>114</w:t>
      </w:r>
      <w:r w:rsidR="006F304D" w:rsidRPr="006F304D">
        <w:t xml:space="preserve">, </w:t>
      </w:r>
      <w:r>
        <w:t>133.</w:t>
      </w:r>
    </w:p>
  </w:footnote>
  <w:footnote w:id="739">
    <w:p w14:paraId="2A587CB4" w14:textId="4C096C41" w:rsidR="0018433B" w:rsidRDefault="0018433B" w:rsidP="00786ADB">
      <w:pPr>
        <w:widowControl w:val="0"/>
      </w:pPr>
      <w:r>
        <w:rPr>
          <w:vertAlign w:val="superscript"/>
        </w:rPr>
        <w:footnoteRef/>
      </w:r>
      <w:r w:rsidR="00087795">
        <w:t xml:space="preserve"> I</w:t>
      </w:r>
      <w:r>
        <w:t>bid.</w:t>
      </w:r>
      <w:r w:rsidR="006F304D" w:rsidRPr="006F304D">
        <w:t xml:space="preserve">, </w:t>
      </w:r>
      <w:r>
        <w:t>21-22: in synthetic parallelism</w:t>
      </w:r>
      <w:r w:rsidR="006F304D" w:rsidRPr="006F304D">
        <w:t xml:space="preserve">, </w:t>
      </w:r>
      <w:r>
        <w:t>“there is parallelism</w:t>
      </w:r>
      <w:r w:rsidR="006F304D" w:rsidRPr="006F304D">
        <w:t xml:space="preserve">, </w:t>
      </w:r>
      <w:r>
        <w:t>not in thought</w:t>
      </w:r>
      <w:r w:rsidR="006F304D" w:rsidRPr="006F304D">
        <w:t xml:space="preserve">, </w:t>
      </w:r>
      <w:r>
        <w:t xml:space="preserve">but in </w:t>
      </w:r>
      <w:r>
        <w:rPr>
          <w:i/>
        </w:rPr>
        <w:t>form</w:t>
      </w:r>
      <w:r>
        <w:t xml:space="preserve"> only. </w:t>
      </w:r>
      <w:r w:rsidR="00A6768D">
        <w:t>. . .</w:t>
      </w:r>
      <w:r>
        <w:t xml:space="preserve"> The reason why we regard couplets of this character as parallel </w:t>
      </w:r>
      <w:r w:rsidR="00A6768D">
        <w:t>. . .</w:t>
      </w:r>
      <w:r>
        <w:t xml:space="preserve"> really lies in the fact that they are characterized by </w:t>
      </w:r>
      <w:r>
        <w:rPr>
          <w:i/>
        </w:rPr>
        <w:t>identity of rhythm.</w:t>
      </w:r>
      <w:r>
        <w:t>”</w:t>
      </w:r>
    </w:p>
  </w:footnote>
  <w:footnote w:id="740">
    <w:p w14:paraId="1FB4E1DB" w14:textId="7AA8AB9B" w:rsidR="0018433B" w:rsidRDefault="0018433B" w:rsidP="00786ADB">
      <w:pPr>
        <w:widowControl w:val="0"/>
      </w:pPr>
      <w:r>
        <w:rPr>
          <w:vertAlign w:val="superscript"/>
        </w:rPr>
        <w:footnoteRef/>
      </w:r>
      <w:r w:rsidR="00087795">
        <w:t xml:space="preserve"> I</w:t>
      </w:r>
      <w:r>
        <w:t>bid.</w:t>
      </w:r>
      <w:r w:rsidR="006F304D" w:rsidRPr="006F304D">
        <w:t xml:space="preserve">, </w:t>
      </w:r>
      <w:r>
        <w:t>82.</w:t>
      </w:r>
      <w:r w:rsidR="00AC038F" w:rsidRPr="00AC038F">
        <w:rPr>
          <w:iCs/>
        </w:rPr>
        <w:t xml:space="preserve"> </w:t>
      </w:r>
      <w:r>
        <w:t xml:space="preserve">A “log” is certainly greater than a “speck” (NEB adds: “of sawdust”); but it is hard to see in this </w:t>
      </w:r>
      <w:r>
        <w:rPr>
          <w:i/>
        </w:rPr>
        <w:t>comparison</w:t>
      </w:r>
      <w:r>
        <w:t xml:space="preserve"> of greater and lesser a logical </w:t>
      </w:r>
      <w:r>
        <w:rPr>
          <w:i/>
        </w:rPr>
        <w:t>movement</w:t>
      </w:r>
      <w:r>
        <w:t xml:space="preserve"> from lesser to greater.</w:t>
      </w:r>
      <w:r w:rsidR="00AC038F" w:rsidRPr="00AC038F">
        <w:rPr>
          <w:iCs/>
        </w:rPr>
        <w:t xml:space="preserve"> </w:t>
      </w:r>
      <w:r>
        <w:t>Th</w:t>
      </w:r>
      <w:r w:rsidR="00BA436B">
        <w:t>e latter</w:t>
      </w:r>
      <w:r>
        <w:t xml:space="preserve"> is what an argument </w:t>
      </w:r>
      <w:r>
        <w:rPr>
          <w:i/>
        </w:rPr>
        <w:t>a minori ad maius</w:t>
      </w:r>
      <w:r>
        <w:t xml:space="preserve"> usually entails: “If A</w:t>
      </w:r>
      <w:r w:rsidR="006F304D" w:rsidRPr="006F304D">
        <w:t xml:space="preserve">, </w:t>
      </w:r>
      <w:r>
        <w:t>then how much more B” (</w:t>
      </w:r>
      <w:r w:rsidR="00775F9B" w:rsidRPr="00775F9B">
        <w:rPr>
          <w:iCs/>
        </w:rPr>
        <w:t>e.g.</w:t>
      </w:r>
      <w:r w:rsidR="006F304D" w:rsidRPr="006F304D">
        <w:t xml:space="preserve">, </w:t>
      </w:r>
      <w:r>
        <w:t>Luke 12:28</w:t>
      </w:r>
      <w:r w:rsidR="006F304D" w:rsidRPr="006F304D">
        <w:t xml:space="preserve">, </w:t>
      </w:r>
      <w:r>
        <w:t>“if God so clothes the grass . . .</w:t>
      </w:r>
      <w:r w:rsidR="006F304D" w:rsidRPr="006F304D">
        <w:t xml:space="preserve">, </w:t>
      </w:r>
      <w:r>
        <w:t>how much more will he clothe you”).</w:t>
      </w:r>
    </w:p>
  </w:footnote>
  <w:footnote w:id="741">
    <w:p w14:paraId="79495E94" w14:textId="51C675BE" w:rsidR="0018433B" w:rsidRPr="00E5413C" w:rsidRDefault="0018433B" w:rsidP="00786ADB">
      <w:pPr>
        <w:widowControl w:val="0"/>
        <w:rPr>
          <w:lang w:val="es-ES"/>
        </w:rPr>
      </w:pPr>
      <w:r>
        <w:rPr>
          <w:vertAlign w:val="superscript"/>
        </w:rPr>
        <w:footnoteRef/>
      </w:r>
      <w:r w:rsidR="00087795" w:rsidRPr="00E5413C">
        <w:rPr>
          <w:lang w:val="es-ES"/>
        </w:rPr>
        <w:t xml:space="preserve"> I</w:t>
      </w:r>
      <w:r w:rsidRPr="00E5413C">
        <w:rPr>
          <w:lang w:val="es-ES"/>
        </w:rPr>
        <w:t>bid.</w:t>
      </w:r>
      <w:r w:rsidR="006F304D" w:rsidRPr="00E5413C">
        <w:rPr>
          <w:lang w:val="es-ES"/>
        </w:rPr>
        <w:t xml:space="preserve">, </w:t>
      </w:r>
      <w:r w:rsidRPr="00E5413C">
        <w:rPr>
          <w:lang w:val="es-ES"/>
        </w:rPr>
        <w:t>77 (v</w:t>
      </w:r>
      <w:r w:rsidR="00BA436B" w:rsidRPr="00E5413C">
        <w:rPr>
          <w:lang w:val="es-ES"/>
        </w:rPr>
        <w:t>erse</w:t>
      </w:r>
      <w:r w:rsidRPr="00E5413C">
        <w:rPr>
          <w:lang w:val="es-ES"/>
        </w:rPr>
        <w:t xml:space="preserve"> 43)</w:t>
      </w:r>
      <w:r w:rsidR="006F304D" w:rsidRPr="00E5413C">
        <w:rPr>
          <w:lang w:val="es-ES"/>
        </w:rPr>
        <w:t xml:space="preserve">, </w:t>
      </w:r>
      <w:r w:rsidRPr="00E5413C">
        <w:rPr>
          <w:lang w:val="es-ES"/>
        </w:rPr>
        <w:t>72</w:t>
      </w:r>
      <w:r w:rsidR="006F304D" w:rsidRPr="00E5413C">
        <w:rPr>
          <w:lang w:val="es-ES"/>
        </w:rPr>
        <w:t xml:space="preserve">, </w:t>
      </w:r>
      <w:r w:rsidRPr="00E5413C">
        <w:rPr>
          <w:lang w:val="es-ES"/>
        </w:rPr>
        <w:t>76 (v</w:t>
      </w:r>
      <w:r w:rsidR="00BA436B" w:rsidRPr="00E5413C">
        <w:rPr>
          <w:lang w:val="es-ES"/>
        </w:rPr>
        <w:t>erse</w:t>
      </w:r>
      <w:r w:rsidRPr="00E5413C">
        <w:rPr>
          <w:lang w:val="es-ES"/>
        </w:rPr>
        <w:t xml:space="preserve"> 45).</w:t>
      </w:r>
    </w:p>
  </w:footnote>
  <w:footnote w:id="742">
    <w:p w14:paraId="0EBE53AC" w14:textId="73766C77" w:rsidR="0018433B" w:rsidRPr="00E5413C" w:rsidRDefault="0018433B" w:rsidP="00786ADB">
      <w:pPr>
        <w:widowControl w:val="0"/>
        <w:rPr>
          <w:lang w:val="es-ES"/>
        </w:rPr>
      </w:pPr>
      <w:r>
        <w:rPr>
          <w:vertAlign w:val="superscript"/>
        </w:rPr>
        <w:footnoteRef/>
      </w:r>
      <w:r w:rsidR="00087795" w:rsidRPr="00E5413C">
        <w:rPr>
          <w:lang w:val="es-ES"/>
        </w:rPr>
        <w:t xml:space="preserve"> I</w:t>
      </w:r>
      <w:r w:rsidRPr="00E5413C">
        <w:rPr>
          <w:lang w:val="es-ES"/>
        </w:rPr>
        <w:t>bid.</w:t>
      </w:r>
      <w:r w:rsidR="006F304D" w:rsidRPr="00E5413C">
        <w:rPr>
          <w:lang w:val="es-ES"/>
        </w:rPr>
        <w:t xml:space="preserve">, </w:t>
      </w:r>
      <w:r w:rsidRPr="00E5413C">
        <w:rPr>
          <w:lang w:val="es-ES"/>
        </w:rPr>
        <w:t>99.</w:t>
      </w:r>
    </w:p>
  </w:footnote>
  <w:footnote w:id="743">
    <w:p w14:paraId="369CA35C" w14:textId="471AEBAA" w:rsidR="0018433B" w:rsidRPr="00E5413C" w:rsidRDefault="0018433B" w:rsidP="00786ADB">
      <w:pPr>
        <w:widowControl w:val="0"/>
        <w:rPr>
          <w:lang w:val="es-ES"/>
        </w:rPr>
      </w:pPr>
      <w:r>
        <w:rPr>
          <w:vertAlign w:val="superscript"/>
        </w:rPr>
        <w:footnoteRef/>
      </w:r>
      <w:r w:rsidR="00087795" w:rsidRPr="00E5413C">
        <w:rPr>
          <w:lang w:val="es-ES"/>
        </w:rPr>
        <w:t xml:space="preserve"> I</w:t>
      </w:r>
      <w:r w:rsidRPr="00E5413C">
        <w:rPr>
          <w:lang w:val="es-ES"/>
        </w:rPr>
        <w:t>bid.</w:t>
      </w:r>
      <w:r w:rsidR="006F304D" w:rsidRPr="00E5413C">
        <w:rPr>
          <w:lang w:val="es-ES"/>
        </w:rPr>
        <w:t xml:space="preserve">, </w:t>
      </w:r>
      <w:r w:rsidRPr="00E5413C">
        <w:rPr>
          <w:lang w:val="es-ES"/>
        </w:rPr>
        <w:t>67.</w:t>
      </w:r>
    </w:p>
  </w:footnote>
  <w:footnote w:id="744">
    <w:p w14:paraId="3233CAE7" w14:textId="678543AE" w:rsidR="0018433B" w:rsidRDefault="0018433B" w:rsidP="00786ADB">
      <w:pPr>
        <w:widowControl w:val="0"/>
      </w:pPr>
      <w:r>
        <w:rPr>
          <w:vertAlign w:val="superscript"/>
        </w:rPr>
        <w:footnoteRef/>
      </w:r>
      <w:r w:rsidR="00087795">
        <w:t xml:space="preserve"> J</w:t>
      </w:r>
      <w:r>
        <w:t>eremias</w:t>
      </w:r>
      <w:r w:rsidR="006F304D" w:rsidRPr="006F304D">
        <w:t xml:space="preserve">, </w:t>
      </w:r>
      <w:r>
        <w:rPr>
          <w:i/>
        </w:rPr>
        <w:t>NT Theology</w:t>
      </w:r>
      <w:r w:rsidR="006F304D" w:rsidRPr="006F304D">
        <w:t xml:space="preserve"> </w:t>
      </w:r>
      <w:r>
        <w:t>15 n. 2.</w:t>
      </w:r>
      <w:r w:rsidR="00AC038F" w:rsidRPr="00AC038F">
        <w:rPr>
          <w:iCs/>
        </w:rPr>
        <w:t xml:space="preserve"> </w:t>
      </w:r>
      <w:r>
        <w:t>Actually</w:t>
      </w:r>
      <w:r w:rsidR="006F304D" w:rsidRPr="006F304D">
        <w:t xml:space="preserve">, </w:t>
      </w:r>
      <w:r>
        <w:t>the parallelism between 41 and 42bc is not antithetic</w:t>
      </w:r>
      <w:r w:rsidR="006F304D" w:rsidRPr="006F304D">
        <w:t xml:space="preserve">, </w:t>
      </w:r>
      <w:r>
        <w:t>but synonymous.</w:t>
      </w:r>
      <w:r w:rsidR="00AC038F" w:rsidRPr="00AC038F">
        <w:rPr>
          <w:iCs/>
        </w:rPr>
        <w:t xml:space="preserve"> </w:t>
      </w:r>
      <w:r>
        <w:t>4</w:t>
      </w:r>
      <w:r w:rsidR="00BA436B">
        <w:t>2</w:t>
      </w:r>
      <w:r>
        <w:t>a (“Or how can you say to your brother”)</w:t>
      </w:r>
      <w:r w:rsidR="006F304D" w:rsidRPr="006F304D">
        <w:t xml:space="preserve">, </w:t>
      </w:r>
      <w:r>
        <w:t>inexplicable in a chiastic interpretation of these verses</w:t>
      </w:r>
      <w:r w:rsidR="006F304D" w:rsidRPr="006F304D">
        <w:t xml:space="preserve">, </w:t>
      </w:r>
      <w:r>
        <w:t>thus has the important function of allowing v</w:t>
      </w:r>
      <w:r w:rsidR="00BA436B">
        <w:t>erse</w:t>
      </w:r>
      <w:r>
        <w:t xml:space="preserve"> 42 to restate in direct address the same thought that 41 has presented in indirect address.</w:t>
      </w:r>
    </w:p>
  </w:footnote>
  <w:footnote w:id="745">
    <w:p w14:paraId="07FBC887" w14:textId="3EBCB777" w:rsidR="0018433B" w:rsidRDefault="0018433B" w:rsidP="00786ADB">
      <w:pPr>
        <w:widowControl w:val="0"/>
      </w:pPr>
      <w:r>
        <w:rPr>
          <w:vertAlign w:val="superscript"/>
        </w:rPr>
        <w:footnoteRef/>
      </w:r>
      <w:r w:rsidR="00087795">
        <w:t xml:space="preserve"> I</w:t>
      </w:r>
      <w:r>
        <w:t>bid.</w:t>
      </w:r>
      <w:r w:rsidR="006F304D" w:rsidRPr="006F304D">
        <w:t xml:space="preserve">, </w:t>
      </w:r>
      <w:r>
        <w:t>16 and n. 2.</w:t>
      </w:r>
    </w:p>
  </w:footnote>
  <w:footnote w:id="746">
    <w:p w14:paraId="614896E4" w14:textId="5E4E8B5A" w:rsidR="0018433B" w:rsidRDefault="0018433B" w:rsidP="00786ADB">
      <w:pPr>
        <w:widowControl w:val="0"/>
      </w:pPr>
      <w:r>
        <w:rPr>
          <w:vertAlign w:val="superscript"/>
        </w:rPr>
        <w:footnoteRef/>
      </w:r>
      <w:r w:rsidR="00087795">
        <w:t xml:space="preserve"> I</w:t>
      </w:r>
      <w:r>
        <w:t>bid.</w:t>
      </w:r>
      <w:r w:rsidR="006F304D" w:rsidRPr="006F304D">
        <w:t xml:space="preserve">, </w:t>
      </w:r>
      <w:r>
        <w:t>15 n. 2.</w:t>
      </w:r>
    </w:p>
  </w:footnote>
  <w:footnote w:id="747">
    <w:p w14:paraId="38D19D58" w14:textId="487320BB" w:rsidR="0018433B" w:rsidRDefault="0018433B" w:rsidP="00786ADB">
      <w:pPr>
        <w:widowControl w:val="0"/>
      </w:pPr>
      <w:r>
        <w:rPr>
          <w:vertAlign w:val="superscript"/>
        </w:rPr>
        <w:footnoteRef/>
      </w:r>
      <w:r w:rsidR="00087795">
        <w:t xml:space="preserve"> I</w:t>
      </w:r>
      <w:r>
        <w:t>bid.</w:t>
      </w:r>
      <w:r w:rsidR="006F304D" w:rsidRPr="006F304D">
        <w:t xml:space="preserve">, </w:t>
      </w:r>
      <w:r>
        <w:t>16 and n. 3; 19 and n. 1.</w:t>
      </w:r>
    </w:p>
  </w:footnote>
  <w:footnote w:id="748">
    <w:p w14:paraId="5C8DFDC0" w14:textId="32156CF5" w:rsidR="0018433B" w:rsidRDefault="0018433B" w:rsidP="00786ADB">
      <w:pPr>
        <w:widowControl w:val="0"/>
      </w:pPr>
      <w:r>
        <w:rPr>
          <w:vertAlign w:val="superscript"/>
        </w:rPr>
        <w:footnoteRef/>
      </w:r>
      <w:r w:rsidR="00087795">
        <w:t xml:space="preserve"> I</w:t>
      </w:r>
      <w:r>
        <w:t>bid.</w:t>
      </w:r>
      <w:r w:rsidR="006F304D" w:rsidRPr="006F304D">
        <w:t xml:space="preserve">, </w:t>
      </w:r>
      <w:r>
        <w:t>17 n. 4.</w:t>
      </w:r>
      <w:r w:rsidR="00AC038F" w:rsidRPr="00AC038F">
        <w:rPr>
          <w:iCs/>
        </w:rPr>
        <w:t xml:space="preserve"> </w:t>
      </w:r>
      <w:r>
        <w:t>Contrast Matt 12:35: “The good man out of his good treasure brings forth good</w:t>
      </w:r>
      <w:r w:rsidR="006F304D" w:rsidRPr="006F304D">
        <w:t xml:space="preserve">, </w:t>
      </w:r>
      <w:r>
        <w:t>and the evil man out of his evil treasure brings forth evil.”</w:t>
      </w:r>
    </w:p>
  </w:footnote>
  <w:footnote w:id="749">
    <w:p w14:paraId="4E4CA536" w14:textId="2001D460" w:rsidR="0018433B" w:rsidRDefault="0018433B" w:rsidP="00786ADB">
      <w:pPr>
        <w:widowControl w:val="0"/>
      </w:pPr>
      <w:r>
        <w:rPr>
          <w:vertAlign w:val="superscript"/>
        </w:rPr>
        <w:footnoteRef/>
      </w:r>
      <w:r w:rsidR="00087795">
        <w:t xml:space="preserve"> I</w:t>
      </w:r>
      <w:r>
        <w:t>bid.</w:t>
      </w:r>
      <w:r w:rsidR="006F304D" w:rsidRPr="006F304D">
        <w:t xml:space="preserve">, </w:t>
      </w:r>
      <w:r>
        <w:t>15 n. 2.</w:t>
      </w:r>
    </w:p>
  </w:footnote>
  <w:footnote w:id="750">
    <w:p w14:paraId="6D6AE91F" w14:textId="13A84361" w:rsidR="0018433B" w:rsidRDefault="0018433B" w:rsidP="00786ADB">
      <w:pPr>
        <w:widowControl w:val="0"/>
      </w:pPr>
      <w:r>
        <w:rPr>
          <w:vertAlign w:val="superscript"/>
        </w:rPr>
        <w:footnoteRef/>
      </w:r>
      <w:r w:rsidR="00087795">
        <w:t xml:space="preserve"> I</w:t>
      </w:r>
      <w:r>
        <w:t>bid.</w:t>
      </w:r>
      <w:r w:rsidR="006F304D" w:rsidRPr="006F304D">
        <w:t xml:space="preserve">, </w:t>
      </w:r>
      <w:r>
        <w:t>16 and n. 7.</w:t>
      </w:r>
    </w:p>
  </w:footnote>
  <w:footnote w:id="751">
    <w:p w14:paraId="397E48AB" w14:textId="71BEC6CC" w:rsidR="0018433B" w:rsidRDefault="0018433B" w:rsidP="00786ADB">
      <w:pPr>
        <w:widowControl w:val="0"/>
      </w:pPr>
      <w:r>
        <w:rPr>
          <w:vertAlign w:val="superscript"/>
        </w:rPr>
        <w:footnoteRef/>
      </w:r>
      <w:r w:rsidR="00087795">
        <w:t xml:space="preserve"> I</w:t>
      </w:r>
      <w:r>
        <w:t>bid.</w:t>
      </w:r>
      <w:r w:rsidR="00AC038F" w:rsidRPr="00AC038F">
        <w:rPr>
          <w:iCs/>
        </w:rPr>
        <w:t xml:space="preserve"> </w:t>
      </w:r>
      <w:r>
        <w:t>Nevertheless</w:t>
      </w:r>
      <w:r w:rsidR="006F304D" w:rsidRPr="006F304D">
        <w:t xml:space="preserve">, </w:t>
      </w:r>
      <w:r>
        <w:t>Jeremias notes (p. 17 n. 4)</w:t>
      </w:r>
      <w:r w:rsidR="006F304D" w:rsidRPr="006F304D">
        <w:t xml:space="preserve">, </w:t>
      </w:r>
      <w:r>
        <w:t>Luke has weakened by abbreviations the parallelism in 47-49 (compared to Matt 7:24-27).</w:t>
      </w:r>
    </w:p>
  </w:footnote>
  <w:footnote w:id="752">
    <w:p w14:paraId="3CB68C15" w14:textId="1E05F933" w:rsidR="0018433B" w:rsidRDefault="0018433B" w:rsidP="00786ADB">
      <w:pPr>
        <w:widowControl w:val="0"/>
      </w:pPr>
      <w:r>
        <w:rPr>
          <w:vertAlign w:val="superscript"/>
        </w:rPr>
        <w:footnoteRef/>
      </w:r>
      <w:r w:rsidR="00087795">
        <w:t xml:space="preserve"> I</w:t>
      </w:r>
      <w:r>
        <w:t>bid.</w:t>
      </w:r>
      <w:r w:rsidR="006F304D" w:rsidRPr="006F304D">
        <w:t xml:space="preserve">, </w:t>
      </w:r>
      <w:r>
        <w:t>15 n. 2.</w:t>
      </w:r>
    </w:p>
  </w:footnote>
  <w:footnote w:id="753">
    <w:p w14:paraId="4228D1CD" w14:textId="46CDE857" w:rsidR="0018433B" w:rsidRDefault="0018433B" w:rsidP="00786ADB">
      <w:pPr>
        <w:widowControl w:val="0"/>
      </w:pPr>
      <w:r>
        <w:rPr>
          <w:vertAlign w:val="superscript"/>
        </w:rPr>
        <w:footnoteRef/>
      </w:r>
      <w:r w:rsidR="00087795">
        <w:t xml:space="preserve"> I</w:t>
      </w:r>
      <w:r>
        <w:t>bid.</w:t>
      </w:r>
      <w:r w:rsidR="006F304D" w:rsidRPr="006F304D">
        <w:t xml:space="preserve">, </w:t>
      </w:r>
      <w:r>
        <w:t>19 and n. 22; 19 and n. 1; 19.</w:t>
      </w:r>
    </w:p>
  </w:footnote>
  <w:footnote w:id="754">
    <w:p w14:paraId="76FD1A32" w14:textId="2D10E55D" w:rsidR="0018433B" w:rsidRDefault="0018433B" w:rsidP="00786ADB">
      <w:pPr>
        <w:widowControl w:val="0"/>
      </w:pPr>
      <w:r>
        <w:rPr>
          <w:vertAlign w:val="superscript"/>
        </w:rPr>
        <w:footnoteRef/>
      </w:r>
      <w:r w:rsidR="00087795">
        <w:t xml:space="preserve"> I</w:t>
      </w:r>
      <w:r>
        <w:t xml:space="preserve">nstances of synonymous parallelism with imperative verbs can be found: </w:t>
      </w:r>
      <w:r w:rsidR="00775F9B" w:rsidRPr="00775F9B">
        <w:rPr>
          <w:iCs/>
        </w:rPr>
        <w:t>e.g.</w:t>
      </w:r>
      <w:r w:rsidR="006F304D" w:rsidRPr="006F304D">
        <w:t xml:space="preserve">, </w:t>
      </w:r>
      <w:r>
        <w:t>Psalm 69:25</w:t>
      </w:r>
      <w:r w:rsidR="006F304D" w:rsidRPr="006F304D">
        <w:t xml:space="preserve">, </w:t>
      </w:r>
      <w:r>
        <w:t>“Pour out your wrath upon them; let the fury of your anger overtake them”; and see the</w:t>
      </w:r>
      <w:r w:rsidR="00087795">
        <w:t xml:space="preserve"> </w:t>
      </w:r>
      <w:r>
        <w:t>many psalms that begin</w:t>
      </w:r>
      <w:r w:rsidR="006F304D" w:rsidRPr="006F304D">
        <w:t xml:space="preserve">, </w:t>
      </w:r>
      <w:r>
        <w:t>“Sing out,” etc.</w:t>
      </w:r>
      <w:r w:rsidR="00AC038F" w:rsidRPr="00AC038F">
        <w:rPr>
          <w:iCs/>
        </w:rPr>
        <w:t xml:space="preserve"> </w:t>
      </w:r>
      <w:r>
        <w:t>But use of the imperative with synonymous parallelism is far less common than use of the declarative.</w:t>
      </w:r>
    </w:p>
  </w:footnote>
  <w:footnote w:id="755">
    <w:p w14:paraId="27F03D25" w14:textId="790006FF" w:rsidR="0018433B" w:rsidRDefault="0018433B" w:rsidP="00786ADB">
      <w:pPr>
        <w:widowControl w:val="0"/>
      </w:pPr>
      <w:r>
        <w:rPr>
          <w:vertAlign w:val="superscript"/>
        </w:rPr>
        <w:footnoteRef/>
      </w:r>
      <w:r w:rsidR="00087795">
        <w:t xml:space="preserve"> S</w:t>
      </w:r>
      <w:r>
        <w:t>oiron</w:t>
      </w:r>
      <w:r w:rsidR="006F304D" w:rsidRPr="006F304D">
        <w:t xml:space="preserve">, </w:t>
      </w:r>
      <w:r>
        <w:rPr>
          <w:i/>
        </w:rPr>
        <w:t>Logia Jesu</w:t>
      </w:r>
      <w:r w:rsidR="006F304D" w:rsidRPr="006F304D">
        <w:t xml:space="preserve"> </w:t>
      </w:r>
      <w:r>
        <w:t>93</w:t>
      </w:r>
      <w:r w:rsidR="00F806E0">
        <w:t>: “Außer und neben der systematisierenden Komposition hat Lukas die Logien auch nach Stichwortdisposition geordnet.”</w:t>
      </w:r>
    </w:p>
  </w:footnote>
  <w:footnote w:id="756">
    <w:p w14:paraId="624B8CEE" w14:textId="5AB92A54" w:rsidR="0018433B" w:rsidRDefault="0018433B" w:rsidP="00786ADB">
      <w:pPr>
        <w:widowControl w:val="0"/>
      </w:pPr>
      <w:r>
        <w:rPr>
          <w:vertAlign w:val="superscript"/>
        </w:rPr>
        <w:footnoteRef/>
      </w:r>
      <w:r w:rsidR="00087795">
        <w:t xml:space="preserve"> I</w:t>
      </w:r>
      <w:r>
        <w:t>bid.</w:t>
      </w:r>
      <w:r w:rsidR="00F806E0">
        <w:t>: “Letztere Kompositionsart findet sogar noch öfter ihre Anwendung, was damit zusammenhängt, daß Lukas die Sprüche . . . in ihrer Vereinzelung überliefert hat.”</w:t>
      </w:r>
    </w:p>
  </w:footnote>
  <w:footnote w:id="757">
    <w:p w14:paraId="076A6360" w14:textId="07B6562A" w:rsidR="0018433B" w:rsidRDefault="0018433B" w:rsidP="00786ADB">
      <w:pPr>
        <w:widowControl w:val="0"/>
      </w:pPr>
      <w:r>
        <w:rPr>
          <w:vertAlign w:val="superscript"/>
        </w:rPr>
        <w:footnoteRef/>
      </w:r>
      <w:r w:rsidR="00087795">
        <w:t xml:space="preserve"> M</w:t>
      </w:r>
      <w:r>
        <w:t>arshall</w:t>
      </w:r>
      <w:r w:rsidR="006F304D" w:rsidRPr="006F304D">
        <w:t xml:space="preserve">, </w:t>
      </w:r>
      <w:r>
        <w:rPr>
          <w:i/>
        </w:rPr>
        <w:t>Commentary</w:t>
      </w:r>
      <w:r w:rsidR="006F304D" w:rsidRPr="006F304D">
        <w:t xml:space="preserve"> </w:t>
      </w:r>
      <w:r>
        <w:t>259.</w:t>
      </w:r>
      <w:r w:rsidR="00AC038F" w:rsidRPr="00AC038F">
        <w:rPr>
          <w:iCs/>
        </w:rPr>
        <w:t xml:space="preserve"> </w:t>
      </w:r>
      <w:r>
        <w:t>Marshall relies here upon Heinz Schürmann (</w:t>
      </w:r>
      <w:r>
        <w:rPr>
          <w:i/>
        </w:rPr>
        <w:t>Lukasevangelium</w:t>
      </w:r>
      <w:r w:rsidR="006F304D" w:rsidRPr="006F304D">
        <w:t xml:space="preserve"> </w:t>
      </w:r>
      <w:r>
        <w:t xml:space="preserve">1. 345: “mit </w:t>
      </w:r>
      <w:r w:rsidR="00F806E0" w:rsidRPr="00CE06CA">
        <w:rPr>
          <w:bCs/>
          <w:szCs w:val="22"/>
          <w:lang w:val="el-GR"/>
        </w:rPr>
        <w:t>μισ</w:t>
      </w:r>
      <w:r w:rsidR="00F806E0">
        <w:rPr>
          <w:bCs/>
          <w:szCs w:val="22"/>
          <w:lang w:val="el-GR"/>
        </w:rPr>
        <w:t>είν</w:t>
      </w:r>
      <w:r w:rsidR="00F806E0">
        <w:rPr>
          <w:rFonts w:ascii="WP Greek Century" w:hAnsi="WP Greek Century"/>
        </w:rPr>
        <w:t xml:space="preserve"> nimmt </w:t>
      </w:r>
      <w:r>
        <w:t>V 27 die Vokabel von V 22a wieder auf”)</w:t>
      </w:r>
      <w:r w:rsidR="006F304D" w:rsidRPr="006F304D">
        <w:t xml:space="preserve">, </w:t>
      </w:r>
      <w:r>
        <w:t>who does not</w:t>
      </w:r>
      <w:r w:rsidR="006F304D" w:rsidRPr="006F304D">
        <w:t xml:space="preserve">, </w:t>
      </w:r>
      <w:r>
        <w:t>however</w:t>
      </w:r>
      <w:r w:rsidR="006F304D" w:rsidRPr="006F304D">
        <w:t xml:space="preserve">, </w:t>
      </w:r>
      <w:r>
        <w:t>draw Marshall’s form-critical conclusion.</w:t>
      </w:r>
    </w:p>
  </w:footnote>
  <w:footnote w:id="758">
    <w:p w14:paraId="17731658" w14:textId="66520AE8" w:rsidR="0018433B" w:rsidRPr="00E5413C" w:rsidRDefault="0018433B" w:rsidP="00786ADB">
      <w:pPr>
        <w:widowControl w:val="0"/>
        <w:rPr>
          <w:lang w:val="fr-FR"/>
        </w:rPr>
      </w:pPr>
      <w:r>
        <w:rPr>
          <w:vertAlign w:val="superscript"/>
        </w:rPr>
        <w:footnoteRef/>
      </w:r>
      <w:r w:rsidR="00786ADB">
        <w:t xml:space="preserve"> D</w:t>
      </w:r>
      <w:r>
        <w:t>upont</w:t>
      </w:r>
      <w:r w:rsidR="006F304D" w:rsidRPr="006F304D">
        <w:t xml:space="preserve">, </w:t>
      </w:r>
      <w:r>
        <w:rPr>
          <w:i/>
        </w:rPr>
        <w:t>Béatitudes</w:t>
      </w:r>
      <w:r w:rsidR="006F304D" w:rsidRPr="006F304D">
        <w:t xml:space="preserve"> </w:t>
      </w:r>
      <w:r>
        <w:t>1. 52.</w:t>
      </w:r>
      <w:r w:rsidR="00AC038F" w:rsidRPr="00AC038F">
        <w:rPr>
          <w:iCs/>
        </w:rPr>
        <w:t xml:space="preserve"> </w:t>
      </w:r>
      <w:r>
        <w:t xml:space="preserve">Though acknowledging that many authors attribute this “miserable insertion” </w:t>
      </w:r>
      <w:r w:rsidR="001E4053">
        <w:t xml:space="preserve">(“insertion malencontreuse”) </w:t>
      </w:r>
      <w:r>
        <w:t>to Luke</w:t>
      </w:r>
      <w:r w:rsidR="006F304D" w:rsidRPr="006F304D">
        <w:t xml:space="preserve">, </w:t>
      </w:r>
      <w:r>
        <w:t>Dupont prefers a “simpler explanation: . . . catchword.”</w:t>
      </w:r>
      <w:r w:rsidR="001E4053">
        <w:t xml:space="preserve"> </w:t>
      </w:r>
      <w:r w:rsidR="001E4053" w:rsidRPr="00E5413C">
        <w:rPr>
          <w:lang w:val="fr-FR"/>
        </w:rPr>
        <w:t>(“Il y a une raison beaucoup plus simple: . . . mot-crochet.”)</w:t>
      </w:r>
    </w:p>
  </w:footnote>
  <w:footnote w:id="759">
    <w:p w14:paraId="352CF7D9" w14:textId="1C98E035" w:rsidR="0018433B" w:rsidRPr="00E5413C" w:rsidRDefault="0018433B" w:rsidP="00786ADB">
      <w:pPr>
        <w:widowControl w:val="0"/>
        <w:rPr>
          <w:lang w:val="fr-FR"/>
        </w:rPr>
      </w:pPr>
      <w:r>
        <w:rPr>
          <w:vertAlign w:val="superscript"/>
        </w:rPr>
        <w:footnoteRef/>
      </w:r>
      <w:r w:rsidR="00786ADB" w:rsidRPr="00E5413C">
        <w:rPr>
          <w:lang w:val="fr-FR"/>
        </w:rPr>
        <w:t xml:space="preserve"> I</w:t>
      </w:r>
      <w:r w:rsidRPr="00E5413C">
        <w:rPr>
          <w:lang w:val="fr-FR"/>
        </w:rPr>
        <w:t>bid.</w:t>
      </w:r>
      <w:r w:rsidR="0013796C" w:rsidRPr="00E5413C">
        <w:rPr>
          <w:lang w:val="fr-FR"/>
        </w:rPr>
        <w:t xml:space="preserve"> “Nous n’avons pas l’impression que Matthieu eût reculé devant la dissonance créée par le rapprochement des deux sentences sur la mesure s’il les avait trouvées unies dans sa source.”</w:t>
      </w:r>
    </w:p>
  </w:footnote>
  <w:footnote w:id="760">
    <w:p w14:paraId="72CE66B0" w14:textId="78A267EF" w:rsidR="0018433B" w:rsidRDefault="0018433B" w:rsidP="00786ADB">
      <w:pPr>
        <w:widowControl w:val="0"/>
      </w:pPr>
      <w:r>
        <w:rPr>
          <w:vertAlign w:val="superscript"/>
        </w:rPr>
        <w:footnoteRef/>
      </w:r>
      <w:r w:rsidR="00786ADB">
        <w:t xml:space="preserve"> D</w:t>
      </w:r>
      <w:r>
        <w:t>upont himself (ibid.) admits the appropriateness of 38abc (“give</w:t>
      </w:r>
      <w:r w:rsidR="006F304D" w:rsidRPr="006F304D">
        <w:t xml:space="preserve">, </w:t>
      </w:r>
      <w:r>
        <w:t>and it will be given to you: good measure,” etc.) to the theme of Luke’s sermon: “One must remark that the logion of the good measure introduces into the context a note of generous charity which reconnects with</w:t>
      </w:r>
      <w:r w:rsidR="00786ADB">
        <w:t xml:space="preserve"> </w:t>
      </w:r>
      <w:r>
        <w:t>the dominant preoccupation of the discourse in its Lukan form.”</w:t>
      </w:r>
      <w:r w:rsidR="0013796C">
        <w:t xml:space="preserve"> </w:t>
      </w:r>
      <w:r w:rsidR="0013796C" w:rsidRPr="00E5413C">
        <w:rPr>
          <w:lang w:val="fr-FR"/>
        </w:rPr>
        <w:t>(“On fait remarquer que ce logion de la bonne mesure introduit dans le contexte une note de charité généreuse qui rejoint la préoccupation dominante du discours dans sa forme lucanienne.”)</w:t>
      </w:r>
      <w:r w:rsidR="00AC038F" w:rsidRPr="00E5413C">
        <w:rPr>
          <w:iCs/>
          <w:lang w:val="fr-FR"/>
        </w:rPr>
        <w:t xml:space="preserve"> </w:t>
      </w:r>
      <w:r>
        <w:t>The absence of 38abc in Matthew’s sermon (7:1-2) supports Lukan creation of these versicles.</w:t>
      </w:r>
    </w:p>
  </w:footnote>
  <w:footnote w:id="761">
    <w:p w14:paraId="73465F73" w14:textId="70AC9C4E" w:rsidR="0018433B" w:rsidRDefault="0018433B" w:rsidP="00786ADB">
      <w:pPr>
        <w:widowControl w:val="0"/>
      </w:pPr>
      <w:r>
        <w:rPr>
          <w:vertAlign w:val="superscript"/>
        </w:rPr>
        <w:footnoteRef/>
      </w:r>
      <w:r w:rsidR="00786ADB">
        <w:t xml:space="preserve"> I</w:t>
      </w:r>
      <w:r>
        <w:t>t is easy to confuse these two questions</w:t>
      </w:r>
      <w:r w:rsidR="006F304D" w:rsidRPr="006F304D">
        <w:t xml:space="preserve">, </w:t>
      </w:r>
      <w:r>
        <w:t>as Schmid demonstrates (</w:t>
      </w:r>
      <w:r>
        <w:rPr>
          <w:i/>
        </w:rPr>
        <w:t>Evangelium</w:t>
      </w:r>
      <w:r w:rsidR="006F304D" w:rsidRPr="006F304D">
        <w:t xml:space="preserve"> </w:t>
      </w:r>
      <w:r>
        <w:t>138).</w:t>
      </w:r>
      <w:r w:rsidR="00AC038F" w:rsidRPr="00AC038F">
        <w:rPr>
          <w:iCs/>
        </w:rPr>
        <w:t xml:space="preserve"> </w:t>
      </w:r>
      <w:r>
        <w:t>V</w:t>
      </w:r>
      <w:r w:rsidR="0013796C">
        <w:t>erses</w:t>
      </w:r>
      <w:r>
        <w:t xml:space="preserve"> 39-40</w:t>
      </w:r>
      <w:r w:rsidR="006F304D" w:rsidRPr="006F304D">
        <w:t xml:space="preserve">, </w:t>
      </w:r>
      <w:r>
        <w:t>he says</w:t>
      </w:r>
      <w:r w:rsidR="006F304D" w:rsidRPr="006F304D">
        <w:t xml:space="preserve">, </w:t>
      </w:r>
      <w:r>
        <w:t xml:space="preserve">“relate to that which precedes and follows them by mere catchword connection (‘eye’—‘blind’—‘leader’—‘teacher’) </w:t>
      </w:r>
      <w:r w:rsidR="0013796C">
        <w:t>. . .</w:t>
      </w:r>
      <w:r>
        <w:t>”</w:t>
      </w:r>
      <w:r w:rsidR="0013796C">
        <w:t xml:space="preserve"> (“Die zwei folgenden Verse . . . stehen mit dem Vorausgehenden und dem Folgenden in blo</w:t>
      </w:r>
      <w:r w:rsidR="0013796C">
        <w:rPr>
          <w:kern w:val="0"/>
        </w:rPr>
        <w:t>ß</w:t>
      </w:r>
      <w:r w:rsidR="00A10837">
        <w:rPr>
          <w:kern w:val="0"/>
        </w:rPr>
        <w:t xml:space="preserve">em Stichwortzusammenhang </w:t>
      </w:r>
      <w:r w:rsidR="00A10837" w:rsidRPr="00A10837">
        <w:rPr>
          <w:kern w:val="0"/>
        </w:rPr>
        <w:t>(</w:t>
      </w:r>
      <w:r w:rsidR="00A10837" w:rsidRPr="00A10837">
        <w:rPr>
          <w:szCs w:val="25"/>
        </w:rPr>
        <w:t>„</w:t>
      </w:r>
      <w:r w:rsidR="00A10837" w:rsidRPr="00A10837">
        <w:rPr>
          <w:kern w:val="0"/>
        </w:rPr>
        <w:t>Auge</w:t>
      </w:r>
      <w:r w:rsidR="00A10837" w:rsidRPr="00A10837">
        <w:rPr>
          <w:szCs w:val="25"/>
        </w:rPr>
        <w:t>”</w:t>
      </w:r>
      <w:r w:rsidR="00A10837" w:rsidRPr="00A10837">
        <w:rPr>
          <w:kern w:val="0"/>
        </w:rPr>
        <w:t>—</w:t>
      </w:r>
      <w:r w:rsidR="00A10837" w:rsidRPr="00A10837">
        <w:rPr>
          <w:szCs w:val="25"/>
        </w:rPr>
        <w:t xml:space="preserve"> „</w:t>
      </w:r>
      <w:r w:rsidR="00A10837" w:rsidRPr="00A10837">
        <w:rPr>
          <w:kern w:val="0"/>
        </w:rPr>
        <w:t>Blinder</w:t>
      </w:r>
      <w:r w:rsidR="00A10837" w:rsidRPr="00A10837">
        <w:rPr>
          <w:szCs w:val="25"/>
        </w:rPr>
        <w:t>”</w:t>
      </w:r>
      <w:r w:rsidR="00A10837" w:rsidRPr="00A10837">
        <w:rPr>
          <w:kern w:val="0"/>
        </w:rPr>
        <w:t xml:space="preserve">; </w:t>
      </w:r>
      <w:r w:rsidR="00A10837" w:rsidRPr="00A10837">
        <w:rPr>
          <w:szCs w:val="25"/>
        </w:rPr>
        <w:t>„</w:t>
      </w:r>
      <w:r w:rsidR="00A10837" w:rsidRPr="00A10837">
        <w:rPr>
          <w:kern w:val="0"/>
        </w:rPr>
        <w:t>Führer</w:t>
      </w:r>
      <w:r w:rsidR="00A10837" w:rsidRPr="00A10837">
        <w:rPr>
          <w:szCs w:val="25"/>
        </w:rPr>
        <w:t>”</w:t>
      </w:r>
      <w:r w:rsidR="00A10837" w:rsidRPr="00A10837">
        <w:rPr>
          <w:kern w:val="0"/>
        </w:rPr>
        <w:t>—</w:t>
      </w:r>
      <w:r w:rsidR="00A10837" w:rsidRPr="00A10837">
        <w:rPr>
          <w:szCs w:val="25"/>
        </w:rPr>
        <w:t>„</w:t>
      </w:r>
      <w:r w:rsidR="00A10837" w:rsidRPr="00A10837">
        <w:rPr>
          <w:kern w:val="0"/>
        </w:rPr>
        <w:t>Lehrer</w:t>
      </w:r>
      <w:r w:rsidR="00A10837" w:rsidRPr="00A10837">
        <w:rPr>
          <w:szCs w:val="25"/>
        </w:rPr>
        <w:t>”</w:t>
      </w:r>
      <w:r w:rsidR="0013796C" w:rsidRPr="00A10837">
        <w:t>)</w:t>
      </w:r>
      <w:r w:rsidR="00A10837">
        <w:t xml:space="preserve"> . . .”)</w:t>
      </w:r>
      <w:r w:rsidR="00AC038F" w:rsidRPr="00AC038F">
        <w:rPr>
          <w:iCs/>
        </w:rPr>
        <w:t xml:space="preserve"> </w:t>
      </w:r>
      <w:r>
        <w:t>“Eye” does not occur in 39-40</w:t>
      </w:r>
      <w:r w:rsidR="006F304D" w:rsidRPr="006F304D">
        <w:t xml:space="preserve">, </w:t>
      </w:r>
      <w:r>
        <w:t>but in 41-42.</w:t>
      </w:r>
    </w:p>
  </w:footnote>
  <w:footnote w:id="762">
    <w:p w14:paraId="6DC8C62C" w14:textId="38228CB3" w:rsidR="0018433B" w:rsidRDefault="0018433B" w:rsidP="00786ADB">
      <w:pPr>
        <w:widowControl w:val="0"/>
      </w:pPr>
      <w:r>
        <w:rPr>
          <w:vertAlign w:val="superscript"/>
        </w:rPr>
        <w:footnoteRef/>
      </w:r>
      <w:r w:rsidR="00786ADB">
        <w:t xml:space="preserve"> S</w:t>
      </w:r>
      <w:r>
        <w:t>chürmann</w:t>
      </w:r>
      <w:r w:rsidR="006F304D" w:rsidRPr="006F304D">
        <w:t xml:space="preserve">, </w:t>
      </w:r>
      <w:r>
        <w:rPr>
          <w:i/>
        </w:rPr>
        <w:t>Lukasevangelium</w:t>
      </w:r>
      <w:r w:rsidR="006F304D" w:rsidRPr="006F304D">
        <w:t xml:space="preserve"> </w:t>
      </w:r>
      <w:r>
        <w:t>1. 368</w:t>
      </w:r>
      <w:r w:rsidR="00A10837">
        <w:t xml:space="preserve">: “die </w:t>
      </w:r>
      <w:r w:rsidR="00A10837" w:rsidRPr="00A10837">
        <w:t xml:space="preserve">Stichworte </w:t>
      </w:r>
      <w:r w:rsidR="00A10837" w:rsidRPr="00A10837">
        <w:rPr>
          <w:szCs w:val="25"/>
        </w:rPr>
        <w:t>„blind”, „Auge”</w:t>
      </w:r>
      <w:r w:rsidR="00AC038F" w:rsidRPr="00A10837">
        <w:rPr>
          <w:iCs/>
        </w:rPr>
        <w:t xml:space="preserve"> </w:t>
      </w:r>
      <w:r w:rsidR="00A10837">
        <w:rPr>
          <w:iCs/>
        </w:rPr>
        <w:t>. . .</w:t>
      </w:r>
      <w:r w:rsidR="00A10837" w:rsidRPr="00A10837">
        <w:rPr>
          <w:iCs/>
        </w:rPr>
        <w:t>”</w:t>
      </w:r>
      <w:r w:rsidR="00A10837">
        <w:rPr>
          <w:iCs/>
        </w:rPr>
        <w:t xml:space="preserve"> </w:t>
      </w:r>
      <w:r>
        <w:t>Recognition that the connection is not strictly a catchword is perhaps implicit in his use of the plural</w:t>
      </w:r>
      <w:r w:rsidR="00A10837">
        <w:t xml:space="preserve"> “catchwords”</w:t>
      </w:r>
      <w:r w:rsidR="006F304D" w:rsidRPr="006F304D">
        <w:t xml:space="preserve"> </w:t>
      </w:r>
      <w:r w:rsidR="00A10837">
        <w:t>(</w:t>
      </w:r>
      <w:r>
        <w:t>“Stichworte”</w:t>
      </w:r>
      <w:r w:rsidR="00A10837">
        <w:t xml:space="preserve">). </w:t>
      </w:r>
      <w:r>
        <w:t>One can also hear Soiron’s hesitation as he cites Holtzmann (</w:t>
      </w:r>
      <w:r w:rsidR="00A10837">
        <w:rPr>
          <w:i/>
          <w:iCs/>
        </w:rPr>
        <w:t xml:space="preserve">Die </w:t>
      </w:r>
      <w:r>
        <w:rPr>
          <w:i/>
        </w:rPr>
        <w:t>Synoptiker</w:t>
      </w:r>
      <w:r w:rsidR="006F304D" w:rsidRPr="006F304D">
        <w:t xml:space="preserve"> </w:t>
      </w:r>
      <w:r w:rsidR="00A10837">
        <w:t xml:space="preserve">3rd ed. </w:t>
      </w:r>
      <w:r>
        <w:t>342) for support: “The words</w:t>
      </w:r>
      <w:r w:rsidR="006F304D" w:rsidRPr="006F304D">
        <w:t>,</w:t>
      </w:r>
      <w:r w:rsidR="00A10837">
        <w:t xml:space="preserve"> τυφλός</w:t>
      </w:r>
      <w:r w:rsidR="006F304D" w:rsidRPr="006F304D">
        <w:t xml:space="preserve"> </w:t>
      </w:r>
      <w:r>
        <w:t>and</w:t>
      </w:r>
      <w:r w:rsidR="00A10837">
        <w:rPr>
          <w:rFonts w:ascii="WP Greek Century" w:hAnsi="WP Greek Century"/>
        </w:rPr>
        <w:t xml:space="preserve"> </w:t>
      </w:r>
      <w:r w:rsidR="00A10837" w:rsidRPr="00CB0999">
        <w:rPr>
          <w:szCs w:val="22"/>
          <w:lang w:bidi="he-IL"/>
        </w:rPr>
        <w:t>ὀ</w:t>
      </w:r>
      <w:r w:rsidR="00A10837">
        <w:rPr>
          <w:szCs w:val="22"/>
          <w:lang w:bidi="he-IL"/>
        </w:rPr>
        <w:t>φθαλμός</w:t>
      </w:r>
      <w:r w:rsidR="006F304D" w:rsidRPr="006F304D">
        <w:t xml:space="preserve">, </w:t>
      </w:r>
      <w:r>
        <w:t xml:space="preserve">are easily able to create a catchword </w:t>
      </w:r>
      <w:r w:rsidR="00A10837">
        <w:t>. . .</w:t>
      </w:r>
      <w:r>
        <w:t xml:space="preserve"> [At least] Holtzmann is inclined to assume one here </w:t>
      </w:r>
      <w:r w:rsidR="00A10837">
        <w:t>. . .</w:t>
      </w:r>
      <w:r>
        <w:t>”</w:t>
      </w:r>
      <w:r w:rsidR="00A10837">
        <w:t xml:space="preserve"> (“Die Worte τυφλός</w:t>
      </w:r>
      <w:r w:rsidR="00A10837" w:rsidRPr="006F304D">
        <w:t xml:space="preserve"> </w:t>
      </w:r>
      <w:r w:rsidR="00A10837">
        <w:t>und</w:t>
      </w:r>
      <w:r w:rsidR="00A10837">
        <w:rPr>
          <w:rFonts w:ascii="WP Greek Century" w:hAnsi="WP Greek Century"/>
        </w:rPr>
        <w:t xml:space="preserve"> </w:t>
      </w:r>
      <w:r w:rsidR="00A10837" w:rsidRPr="00CB0999">
        <w:rPr>
          <w:szCs w:val="22"/>
          <w:lang w:bidi="he-IL"/>
        </w:rPr>
        <w:t>ὀ</w:t>
      </w:r>
      <w:r w:rsidR="00A10837">
        <w:rPr>
          <w:szCs w:val="22"/>
          <w:lang w:bidi="he-IL"/>
        </w:rPr>
        <w:t>φθαλμός</w:t>
      </w:r>
      <w:r w:rsidR="00AC038F" w:rsidRPr="00AC038F">
        <w:rPr>
          <w:iCs/>
        </w:rPr>
        <w:t xml:space="preserve"> </w:t>
      </w:r>
      <w:r w:rsidR="00A10837">
        <w:rPr>
          <w:iCs/>
        </w:rPr>
        <w:t xml:space="preserve">vermögen leicht eine Stichwortassoziation zu schaffen. . . . Holtzmann ist geneight, ihn hier anzunehmen . . .”) </w:t>
      </w:r>
      <w:r>
        <w:t>(Soiron</w:t>
      </w:r>
      <w:r w:rsidR="006F304D" w:rsidRPr="006F304D">
        <w:t xml:space="preserve">, </w:t>
      </w:r>
      <w:r>
        <w:rPr>
          <w:i/>
        </w:rPr>
        <w:t>Logia Jesu</w:t>
      </w:r>
      <w:r w:rsidR="006F304D" w:rsidRPr="006F304D">
        <w:t xml:space="preserve"> </w:t>
      </w:r>
      <w:r>
        <w:t>85; see also 137</w:t>
      </w:r>
      <w:r w:rsidR="006F304D" w:rsidRPr="006F304D">
        <w:t xml:space="preserve">, </w:t>
      </w:r>
      <w:r>
        <w:t>140.)</w:t>
      </w:r>
    </w:p>
  </w:footnote>
  <w:footnote w:id="763">
    <w:p w14:paraId="4A676884" w14:textId="1489DBD8" w:rsidR="0018433B" w:rsidRDefault="0018433B" w:rsidP="00786ADB">
      <w:pPr>
        <w:widowControl w:val="0"/>
      </w:pPr>
      <w:r>
        <w:rPr>
          <w:vertAlign w:val="superscript"/>
        </w:rPr>
        <w:footnoteRef/>
      </w:r>
      <w:r w:rsidR="00786ADB">
        <w:t xml:space="preserve"> W</w:t>
      </w:r>
      <w:r>
        <w:t>e noted in our theoretical discussion of catchwords (</w:t>
      </w:r>
      <w:r w:rsidR="00A10837">
        <w:t xml:space="preserve">chapter </w:t>
      </w:r>
      <w:r w:rsidR="00F411B2">
        <w:t>5 section 3</w:t>
      </w:r>
      <w:r>
        <w:t>) that most often</w:t>
      </w:r>
      <w:r w:rsidR="006F304D" w:rsidRPr="006F304D">
        <w:t xml:space="preserve">, </w:t>
      </w:r>
      <w:r>
        <w:t xml:space="preserve">exegetes tend indiscriminately to </w:t>
      </w:r>
      <w:r w:rsidR="00F411B2">
        <w:t xml:space="preserve">use the </w:t>
      </w:r>
      <w:r>
        <w:t xml:space="preserve">label </w:t>
      </w:r>
      <w:r w:rsidR="00F411B2">
        <w:t xml:space="preserve">“catchword” not only for catchwords proper (shared actual words) but also </w:t>
      </w:r>
      <w:r>
        <w:t>idea-associations and image-associations, so that “catchword” in a broad sense includes all three.</w:t>
      </w:r>
      <w:r w:rsidR="00AC038F" w:rsidRPr="00AC038F">
        <w:rPr>
          <w:iCs/>
        </w:rPr>
        <w:t xml:space="preserve"> </w:t>
      </w:r>
      <w:r>
        <w:t>We prefer to distinguish the three</w:t>
      </w:r>
      <w:r w:rsidR="006F304D" w:rsidRPr="006F304D">
        <w:t xml:space="preserve"> </w:t>
      </w:r>
      <w:r w:rsidR="00F411B2">
        <w:t xml:space="preserve">and to use </w:t>
      </w:r>
      <w:r>
        <w:t xml:space="preserve">“catchword” </w:t>
      </w:r>
      <w:r w:rsidR="00F411B2">
        <w:t>only for the first</w:t>
      </w:r>
      <w:r>
        <w:t>.</w:t>
      </w:r>
    </w:p>
  </w:footnote>
  <w:footnote w:id="764">
    <w:p w14:paraId="7C216465" w14:textId="07714316" w:rsidR="0018433B" w:rsidRDefault="0018433B" w:rsidP="00786ADB">
      <w:pPr>
        <w:widowControl w:val="0"/>
      </w:pPr>
      <w:r>
        <w:rPr>
          <w:vertAlign w:val="superscript"/>
        </w:rPr>
        <w:footnoteRef/>
      </w:r>
      <w:r w:rsidR="00786ADB">
        <w:t xml:space="preserve"> E</w:t>
      </w:r>
      <w:r>
        <w:t>aston</w:t>
      </w:r>
      <w:r w:rsidR="006F304D" w:rsidRPr="006F304D">
        <w:t xml:space="preserve">, </w:t>
      </w:r>
      <w:r>
        <w:rPr>
          <w:i/>
        </w:rPr>
        <w:t>Gospel</w:t>
      </w:r>
      <w:r w:rsidR="006F304D" w:rsidRPr="006F304D">
        <w:t xml:space="preserve"> </w:t>
      </w:r>
      <w:r>
        <w:t>91-92.</w:t>
      </w:r>
    </w:p>
  </w:footnote>
  <w:footnote w:id="765">
    <w:p w14:paraId="28156BBB" w14:textId="1F2747A2" w:rsidR="0018433B" w:rsidRDefault="0018433B" w:rsidP="00786ADB">
      <w:pPr>
        <w:widowControl w:val="0"/>
      </w:pPr>
      <w:r>
        <w:rPr>
          <w:vertAlign w:val="superscript"/>
        </w:rPr>
        <w:footnoteRef/>
      </w:r>
      <w:r w:rsidR="00786ADB">
        <w:t xml:space="preserve"> B</w:t>
      </w:r>
      <w:r>
        <w:t>eare</w:t>
      </w:r>
      <w:r w:rsidR="006F304D" w:rsidRPr="006F304D">
        <w:t xml:space="preserve">, </w:t>
      </w:r>
      <w:r>
        <w:rPr>
          <w:i/>
        </w:rPr>
        <w:t>Earliest Records</w:t>
      </w:r>
      <w:r w:rsidR="006F304D" w:rsidRPr="006F304D">
        <w:t xml:space="preserve"> </w:t>
      </w:r>
      <w:r>
        <w:t>97.</w:t>
      </w:r>
    </w:p>
  </w:footnote>
  <w:footnote w:id="766">
    <w:p w14:paraId="58D2B448" w14:textId="43FD2423" w:rsidR="0018433B" w:rsidRPr="00E5413C" w:rsidRDefault="0018433B" w:rsidP="00786ADB">
      <w:pPr>
        <w:widowControl w:val="0"/>
        <w:rPr>
          <w:lang w:val="fr-FR"/>
        </w:rPr>
      </w:pPr>
      <w:r>
        <w:rPr>
          <w:vertAlign w:val="superscript"/>
        </w:rPr>
        <w:footnoteRef/>
      </w:r>
      <w:r w:rsidR="00786ADB">
        <w:t xml:space="preserve"> D</w:t>
      </w:r>
      <w:r>
        <w:t>upont</w:t>
      </w:r>
      <w:r w:rsidR="006F304D" w:rsidRPr="006F304D">
        <w:t xml:space="preserve">, </w:t>
      </w:r>
      <w:r>
        <w:rPr>
          <w:i/>
        </w:rPr>
        <w:t>Béatitudes</w:t>
      </w:r>
      <w:r w:rsidR="006F304D" w:rsidRPr="006F304D">
        <w:t xml:space="preserve"> </w:t>
      </w:r>
      <w:r>
        <w:t>1. 58 n. 1</w:t>
      </w:r>
      <w:r w:rsidR="006F304D" w:rsidRPr="006F304D">
        <w:t xml:space="preserve">, </w:t>
      </w:r>
      <w:r>
        <w:t>55: “not their content</w:t>
      </w:r>
      <w:r w:rsidR="006F304D" w:rsidRPr="006F304D">
        <w:t xml:space="preserve">, </w:t>
      </w:r>
      <w:r>
        <w:t>but a certain analogy of images</w:t>
      </w:r>
      <w:r w:rsidR="006F304D" w:rsidRPr="006F304D">
        <w:t xml:space="preserve">, </w:t>
      </w:r>
      <w:r>
        <w:t xml:space="preserve">has caused the connection </w:t>
      </w:r>
      <w:r w:rsidR="00F411B2">
        <w:t>. . .</w:t>
      </w:r>
      <w:r>
        <w:t xml:space="preserve"> a certain association of images relating the case of the blind men to the case of the pair with a log and a speck in their eyes.”</w:t>
      </w:r>
      <w:r w:rsidR="00F411B2">
        <w:t xml:space="preserve"> </w:t>
      </w:r>
      <w:r w:rsidR="00F411B2" w:rsidRPr="00E5413C">
        <w:rPr>
          <w:lang w:val="fr-FR"/>
        </w:rPr>
        <w:t>(“. . . n’est-ce pas leur signification qui a provoqué le rapprochement, mais une certaine analogie des images . . . une certaine association d’images rapprochants du cas des aveugles celui de gens qui ont une paille ou une poutre dans l’oeil.”)</w:t>
      </w:r>
    </w:p>
  </w:footnote>
  <w:footnote w:id="767">
    <w:p w14:paraId="265B15B6" w14:textId="702A52A3" w:rsidR="0018433B" w:rsidRPr="00E5413C" w:rsidRDefault="0018433B" w:rsidP="00786ADB">
      <w:pPr>
        <w:widowControl w:val="0"/>
        <w:rPr>
          <w:lang w:val="fr-FR"/>
        </w:rPr>
      </w:pPr>
      <w:r>
        <w:rPr>
          <w:vertAlign w:val="superscript"/>
        </w:rPr>
        <w:footnoteRef/>
      </w:r>
      <w:r w:rsidR="00786ADB" w:rsidRPr="00E5413C">
        <w:rPr>
          <w:lang w:val="fr-FR"/>
        </w:rPr>
        <w:t xml:space="preserve"> I</w:t>
      </w:r>
      <w:r w:rsidRPr="00E5413C">
        <w:rPr>
          <w:lang w:val="fr-FR"/>
        </w:rPr>
        <w:t>bid.</w:t>
      </w:r>
      <w:r w:rsidR="006F304D" w:rsidRPr="00E5413C">
        <w:rPr>
          <w:lang w:val="fr-FR"/>
        </w:rPr>
        <w:t xml:space="preserve">, </w:t>
      </w:r>
      <w:r w:rsidRPr="00E5413C">
        <w:rPr>
          <w:lang w:val="fr-FR"/>
        </w:rPr>
        <w:t>58 n. 1</w:t>
      </w:r>
      <w:r w:rsidR="00F411B2" w:rsidRPr="00E5413C">
        <w:rPr>
          <w:lang w:val="fr-FR"/>
        </w:rPr>
        <w:t>: “il s’agit d’impuissance. Mais cette idée aiguille l’interprétation des versets suivants, la parabole de la paille et de la poutre</w:t>
      </w:r>
      <w:r w:rsidR="00ED108C" w:rsidRPr="00E5413C">
        <w:rPr>
          <w:lang w:val="fr-FR"/>
        </w:rPr>
        <w:t>, 41-42, dans une mauvaise direction: qui a une poutre dans l’oeil n’est pas capable de tirer d’affaire celui qui a une paille; or, à prendre le texte de la parabole en lui-même, Jésus ne parle pas d’impuissance, mais d’hypocrise (v. 42</w:t>
      </w:r>
      <w:r w:rsidR="00ED108C" w:rsidRPr="00E5413C">
        <w:rPr>
          <w:i/>
          <w:iCs/>
          <w:lang w:val="fr-FR"/>
        </w:rPr>
        <w:t>b</w:t>
      </w:r>
      <w:r w:rsidR="00ED108C" w:rsidRPr="00E5413C">
        <w:rPr>
          <w:lang w:val="fr-FR"/>
        </w:rPr>
        <w:t xml:space="preserve"> = Mat., 7, 5</w:t>
      </w:r>
      <w:r w:rsidR="00ED108C" w:rsidRPr="00E5413C">
        <w:rPr>
          <w:i/>
          <w:iCs/>
          <w:lang w:val="fr-FR"/>
        </w:rPr>
        <w:t>a</w:t>
      </w:r>
      <w:r w:rsidR="00ED108C" w:rsidRPr="00E5413C">
        <w:rPr>
          <w:lang w:val="fr-FR"/>
        </w:rPr>
        <w:t>).”</w:t>
      </w:r>
    </w:p>
  </w:footnote>
  <w:footnote w:id="768">
    <w:p w14:paraId="0F5C9BA5" w14:textId="5B3955B1" w:rsidR="0018433B" w:rsidRDefault="0018433B" w:rsidP="00786ADB">
      <w:pPr>
        <w:widowControl w:val="0"/>
      </w:pPr>
      <w:r>
        <w:rPr>
          <w:vertAlign w:val="superscript"/>
        </w:rPr>
        <w:footnoteRef/>
      </w:r>
      <w:r w:rsidR="00786ADB">
        <w:t xml:space="preserve"> S</w:t>
      </w:r>
      <w:r>
        <w:t>ee also Montefiore</w:t>
      </w:r>
      <w:r w:rsidR="006F304D" w:rsidRPr="006F304D">
        <w:t xml:space="preserve">, </w:t>
      </w:r>
      <w:r>
        <w:rPr>
          <w:i/>
        </w:rPr>
        <w:t>Gospel</w:t>
      </w:r>
      <w:r w:rsidR="006F304D" w:rsidRPr="006F304D">
        <w:t xml:space="preserve"> </w:t>
      </w:r>
      <w:r>
        <w:t xml:space="preserve">420-21: “Luke apparently saw a connection </w:t>
      </w:r>
      <w:r w:rsidR="00ED108C">
        <w:t>. . .</w:t>
      </w:r>
      <w:r>
        <w:t xml:space="preserve"> The man with the beam can no more help the man with the mote than the blind can lead the blind.”</w:t>
      </w:r>
    </w:p>
  </w:footnote>
  <w:footnote w:id="769">
    <w:p w14:paraId="6ECBC914" w14:textId="3F7D1C37" w:rsidR="0018433B" w:rsidRPr="00E5413C" w:rsidRDefault="0018433B" w:rsidP="00786ADB">
      <w:pPr>
        <w:widowControl w:val="0"/>
        <w:rPr>
          <w:lang w:val="fr-FR"/>
        </w:rPr>
      </w:pPr>
      <w:r>
        <w:rPr>
          <w:vertAlign w:val="superscript"/>
        </w:rPr>
        <w:footnoteRef/>
      </w:r>
      <w:r w:rsidR="00786ADB" w:rsidRPr="00E5413C">
        <w:rPr>
          <w:lang w:val="fr-FR"/>
        </w:rPr>
        <w:t xml:space="preserve"> D</w:t>
      </w:r>
      <w:r w:rsidRPr="00E5413C">
        <w:rPr>
          <w:lang w:val="fr-FR"/>
        </w:rPr>
        <w:t>upont</w:t>
      </w:r>
      <w:r w:rsidR="006F304D" w:rsidRPr="00E5413C">
        <w:rPr>
          <w:lang w:val="fr-FR"/>
        </w:rPr>
        <w:t xml:space="preserve">, </w:t>
      </w:r>
      <w:r w:rsidRPr="00E5413C">
        <w:rPr>
          <w:i/>
          <w:lang w:val="fr-FR"/>
        </w:rPr>
        <w:t>Béatitudes</w:t>
      </w:r>
      <w:r w:rsidR="006F304D" w:rsidRPr="00E5413C">
        <w:rPr>
          <w:lang w:val="fr-FR"/>
        </w:rPr>
        <w:t xml:space="preserve"> </w:t>
      </w:r>
      <w:r w:rsidRPr="00E5413C">
        <w:rPr>
          <w:lang w:val="fr-FR"/>
        </w:rPr>
        <w:t>1. 58 n. 1</w:t>
      </w:r>
      <w:r w:rsidR="00ED108C" w:rsidRPr="00E5413C">
        <w:rPr>
          <w:lang w:val="fr-FR"/>
        </w:rPr>
        <w:t xml:space="preserve">: “On comprend donc assez facilement le passage de l’idée d’un conducteur d’aveugles à celle d’un </w:t>
      </w:r>
      <w:r w:rsidR="00ED108C">
        <w:t>διδάσκαλος</w:t>
      </w:r>
      <w:r w:rsidR="00ED108C" w:rsidRPr="00E5413C">
        <w:rPr>
          <w:lang w:val="fr-FR"/>
        </w:rPr>
        <w:t>.”</w:t>
      </w:r>
    </w:p>
  </w:footnote>
  <w:footnote w:id="770">
    <w:p w14:paraId="1AEDF0B1" w14:textId="66F3640E" w:rsidR="0018433B" w:rsidRPr="00E5413C" w:rsidRDefault="0018433B" w:rsidP="00786ADB">
      <w:pPr>
        <w:widowControl w:val="0"/>
        <w:rPr>
          <w:lang w:val="fr-FR"/>
        </w:rPr>
      </w:pPr>
      <w:r>
        <w:rPr>
          <w:vertAlign w:val="superscript"/>
        </w:rPr>
        <w:footnoteRef/>
      </w:r>
      <w:r w:rsidR="00786ADB" w:rsidRPr="00E5413C">
        <w:rPr>
          <w:lang w:val="fr-FR"/>
        </w:rPr>
        <w:t xml:space="preserve"> I</w:t>
      </w:r>
      <w:r w:rsidRPr="00E5413C">
        <w:rPr>
          <w:lang w:val="fr-FR"/>
        </w:rPr>
        <w:t>bid.</w:t>
      </w:r>
      <w:r w:rsidR="00ED108C" w:rsidRPr="00E5413C">
        <w:rPr>
          <w:lang w:val="fr-FR"/>
        </w:rPr>
        <w:t>: “n’est-ce pas leur signification qui a provoqué le rapprochement, mais une certaine analogie des images . . .”</w:t>
      </w:r>
    </w:p>
  </w:footnote>
  <w:footnote w:id="771">
    <w:p w14:paraId="3537637C" w14:textId="20D31C4D" w:rsidR="0018433B" w:rsidRPr="00E5413C" w:rsidRDefault="0018433B" w:rsidP="00786ADB">
      <w:pPr>
        <w:widowControl w:val="0"/>
        <w:rPr>
          <w:lang w:val="fr-FR"/>
        </w:rPr>
      </w:pPr>
      <w:r>
        <w:rPr>
          <w:vertAlign w:val="superscript"/>
        </w:rPr>
        <w:footnoteRef/>
      </w:r>
      <w:r w:rsidR="00786ADB" w:rsidRPr="00E5413C">
        <w:rPr>
          <w:lang w:val="fr-FR"/>
        </w:rPr>
        <w:t xml:space="preserve"> I</w:t>
      </w:r>
      <w:r w:rsidRPr="00E5413C">
        <w:rPr>
          <w:lang w:val="fr-FR"/>
        </w:rPr>
        <w:t>bid.</w:t>
      </w:r>
      <w:r w:rsidR="006F304D" w:rsidRPr="00E5413C">
        <w:rPr>
          <w:lang w:val="fr-FR"/>
        </w:rPr>
        <w:t xml:space="preserve">, </w:t>
      </w:r>
      <w:r w:rsidRPr="00E5413C">
        <w:rPr>
          <w:lang w:val="fr-FR"/>
        </w:rPr>
        <w:t>57-58</w:t>
      </w:r>
      <w:r w:rsidR="006F304D" w:rsidRPr="00E5413C">
        <w:rPr>
          <w:lang w:val="fr-FR"/>
        </w:rPr>
        <w:t xml:space="preserve">, </w:t>
      </w:r>
      <w:r w:rsidRPr="00E5413C">
        <w:rPr>
          <w:lang w:val="fr-FR"/>
        </w:rPr>
        <w:t>58 n. 1</w:t>
      </w:r>
      <w:r w:rsidR="00ED108C" w:rsidRPr="00E5413C">
        <w:rPr>
          <w:lang w:val="fr-FR"/>
        </w:rPr>
        <w:t xml:space="preserve">: “Pour ce qui concerne l’emplacement de ce v. 40, il trouve son explication dans le lien qui l’unit au v. 39; ce lien résulte soit [either] d’un rapprochement entre l’antithèse aveugle-conducteur et celle de disciple et maître, soit d’une association d’images entre </w:t>
      </w:r>
      <w:r w:rsidR="008926CD" w:rsidRPr="00CE06CA">
        <w:rPr>
          <w:bCs/>
          <w:szCs w:val="22"/>
          <w:lang w:val="el-GR"/>
        </w:rPr>
        <w:t>ὁδηγεῖν</w:t>
      </w:r>
      <w:r w:rsidR="008926CD" w:rsidRPr="00E5413C">
        <w:rPr>
          <w:bCs/>
          <w:szCs w:val="22"/>
          <w:lang w:val="fr-FR"/>
        </w:rPr>
        <w:t xml:space="preserve"> et </w:t>
      </w:r>
      <w:r w:rsidR="008926CD">
        <w:t>διδάσκαλος</w:t>
      </w:r>
      <w:r w:rsidR="008926CD" w:rsidRPr="00E5413C">
        <w:rPr>
          <w:lang w:val="fr-FR"/>
        </w:rPr>
        <w:t>. . . . Il y a pourtant un certain parallélisme entre les deux versets: un aveugle n’est pas capable de conduire un autre aveugle, un disciple de dépasser son maître.”</w:t>
      </w:r>
    </w:p>
  </w:footnote>
  <w:footnote w:id="772">
    <w:p w14:paraId="28F053D4" w14:textId="36A66929" w:rsidR="0018433B" w:rsidRPr="00E5413C" w:rsidRDefault="0018433B" w:rsidP="00786ADB">
      <w:pPr>
        <w:widowControl w:val="0"/>
        <w:rPr>
          <w:lang w:val="fr-FR"/>
        </w:rPr>
      </w:pPr>
      <w:r>
        <w:rPr>
          <w:vertAlign w:val="superscript"/>
        </w:rPr>
        <w:footnoteRef/>
      </w:r>
      <w:r w:rsidR="00786ADB" w:rsidRPr="00E5413C">
        <w:rPr>
          <w:lang w:val="fr-FR"/>
        </w:rPr>
        <w:t xml:space="preserve"> I</w:t>
      </w:r>
      <w:r w:rsidRPr="00E5413C">
        <w:rPr>
          <w:lang w:val="fr-FR"/>
        </w:rPr>
        <w:t>bid.</w:t>
      </w:r>
      <w:r w:rsidR="006F304D" w:rsidRPr="00E5413C">
        <w:rPr>
          <w:lang w:val="fr-FR"/>
        </w:rPr>
        <w:t xml:space="preserve">, </w:t>
      </w:r>
      <w:r w:rsidRPr="00E5413C">
        <w:rPr>
          <w:lang w:val="fr-FR"/>
        </w:rPr>
        <w:t>50</w:t>
      </w:r>
      <w:r w:rsidR="008926CD" w:rsidRPr="00E5413C">
        <w:rPr>
          <w:lang w:val="fr-FR"/>
        </w:rPr>
        <w:t xml:space="preserve">: “Il y a bien un certain parallélisme entre les images </w:t>
      </w:r>
      <w:r w:rsidR="00D633C6" w:rsidRPr="00E5413C">
        <w:rPr>
          <w:lang w:val="fr-FR"/>
        </w:rPr>
        <w:t>. . .</w:t>
      </w:r>
      <w:r w:rsidR="008926CD" w:rsidRPr="00E5413C">
        <w:rPr>
          <w:lang w:val="fr-FR"/>
        </w:rPr>
        <w:t>”</w:t>
      </w:r>
    </w:p>
  </w:footnote>
  <w:footnote w:id="773">
    <w:p w14:paraId="26CCC64E" w14:textId="685F264E" w:rsidR="0018433B" w:rsidRDefault="0018433B" w:rsidP="00786ADB">
      <w:pPr>
        <w:widowControl w:val="0"/>
      </w:pPr>
      <w:r w:rsidRPr="00786ADB">
        <w:rPr>
          <w:vertAlign w:val="superscript"/>
        </w:rPr>
        <w:footnoteRef/>
      </w:r>
      <w:r w:rsidR="00786ADB" w:rsidRPr="00786ADB">
        <w:t xml:space="preserve"> </w:t>
      </w:r>
      <w:r w:rsidR="00786ADB" w:rsidRPr="00786ADB">
        <w:rPr>
          <w:i/>
          <w:iCs/>
        </w:rPr>
        <w:t>E</w:t>
      </w:r>
      <w:r>
        <w:rPr>
          <w:i/>
        </w:rPr>
        <w:t>vangelium</w:t>
      </w:r>
      <w:r w:rsidR="00D633C6">
        <w:rPr>
          <w:i/>
        </w:rPr>
        <w:t xml:space="preserve"> nach Lukas</w:t>
      </w:r>
      <w:r w:rsidR="006F304D" w:rsidRPr="006F304D">
        <w:t xml:space="preserve"> </w:t>
      </w:r>
      <w:r>
        <w:t>138</w:t>
      </w:r>
      <w:r w:rsidR="00D633C6">
        <w:t>: “hier [v. 45] als Anwendung des Bildworts von den zwei Arten von bäumen verwendet ist.”</w:t>
      </w:r>
      <w:r w:rsidR="00AC038F" w:rsidRPr="00AC038F">
        <w:rPr>
          <w:iCs/>
        </w:rPr>
        <w:t xml:space="preserve"> </w:t>
      </w:r>
      <w:r>
        <w:t>For this use of the term “application,” see Jeremias</w:t>
      </w:r>
      <w:r w:rsidR="006F304D" w:rsidRPr="006F304D">
        <w:t xml:space="preserve">, </w:t>
      </w:r>
      <w:r>
        <w:rPr>
          <w:i/>
        </w:rPr>
        <w:t>Parables</w:t>
      </w:r>
      <w:r w:rsidR="00D633C6">
        <w:rPr>
          <w:i/>
        </w:rPr>
        <w:t xml:space="preserve"> of Jesus</w:t>
      </w:r>
      <w:r w:rsidR="006F304D" w:rsidRPr="006F304D">
        <w:t xml:space="preserve"> </w:t>
      </w:r>
      <w:r>
        <w:t>105-</w:t>
      </w:r>
      <w:r w:rsidR="00D633C6">
        <w:t>0</w:t>
      </w:r>
      <w:r>
        <w:t>8.</w:t>
      </w:r>
    </w:p>
    <w:p w14:paraId="18E07375" w14:textId="63AF21B8" w:rsidR="0018433B" w:rsidRDefault="0018433B" w:rsidP="00786ADB">
      <w:pPr>
        <w:widowControl w:val="0"/>
      </w:pPr>
      <w:r>
        <w:tab/>
        <w:t>Though redaction history is not our topic</w:t>
      </w:r>
      <w:r w:rsidR="006F304D" w:rsidRPr="006F304D">
        <w:t xml:space="preserve">, </w:t>
      </w:r>
      <w:r>
        <w:t>Schmid’s comment is interesting</w:t>
      </w:r>
      <w:r w:rsidR="006F304D" w:rsidRPr="006F304D">
        <w:t xml:space="preserve">, </w:t>
      </w:r>
      <w:r>
        <w:t>that “V</w:t>
      </w:r>
      <w:r w:rsidR="00D633C6">
        <w:t>erse</w:t>
      </w:r>
      <w:r>
        <w:t xml:space="preserve"> 45 is a similitude that originally stood alone </w:t>
      </w:r>
      <w:r w:rsidR="00D633C6">
        <w:t>. . .</w:t>
      </w:r>
      <w:r>
        <w:t>” (ibid.)</w:t>
      </w:r>
      <w:r w:rsidR="00AC038F" w:rsidRPr="00AC038F">
        <w:rPr>
          <w:iCs/>
        </w:rPr>
        <w:t xml:space="preserve"> </w:t>
      </w:r>
      <w:r>
        <w:t>The two-trees similitude of 43-44 is in fact found in Matthew 7:16-18 without the accompanying application of v</w:t>
      </w:r>
      <w:r w:rsidR="00D633C6">
        <w:t>erse</w:t>
      </w:r>
      <w:r>
        <w:t xml:space="preserve"> 45 (I quote the surrounding verses for completeness).</w:t>
      </w:r>
    </w:p>
    <w:p w14:paraId="28268B76" w14:textId="77777777" w:rsidR="00D633C6" w:rsidRDefault="00D633C6" w:rsidP="00786ADB">
      <w:pPr>
        <w:widowControl w:val="0"/>
      </w:pPr>
    </w:p>
    <w:p w14:paraId="75BA102A" w14:textId="6583C977" w:rsidR="0018433B" w:rsidRDefault="0018433B" w:rsidP="00D633C6">
      <w:pPr>
        <w:widowControl w:val="0"/>
        <w:ind w:left="1440" w:right="720" w:hanging="720"/>
      </w:pPr>
      <w:r>
        <w:rPr>
          <w:vertAlign w:val="superscript"/>
        </w:rPr>
        <w:t>15</w:t>
      </w:r>
      <w:r w:rsidR="00786ADB">
        <w:t xml:space="preserve"> B</w:t>
      </w:r>
      <w:r>
        <w:t>eware of false prophets</w:t>
      </w:r>
      <w:r w:rsidR="006F304D" w:rsidRPr="006F304D">
        <w:t xml:space="preserve">, </w:t>
      </w:r>
      <w:r>
        <w:t>who come to you in sheep’s clothing but inwardly are ravenous wolves.</w:t>
      </w:r>
    </w:p>
    <w:p w14:paraId="7E0B1217" w14:textId="7EEDB695" w:rsidR="0018433B" w:rsidRDefault="0018433B" w:rsidP="00D633C6">
      <w:pPr>
        <w:widowControl w:val="0"/>
        <w:ind w:left="1440" w:right="720" w:hanging="720"/>
      </w:pPr>
      <w:r>
        <w:rPr>
          <w:vertAlign w:val="superscript"/>
        </w:rPr>
        <w:t>16</w:t>
      </w:r>
      <w:r w:rsidR="00786ADB">
        <w:t xml:space="preserve"> Y</w:t>
      </w:r>
      <w:r>
        <w:t>ou will know them by their fruits.</w:t>
      </w:r>
      <w:r w:rsidR="00AC038F" w:rsidRPr="00AC038F">
        <w:rPr>
          <w:iCs/>
        </w:rPr>
        <w:t xml:space="preserve"> </w:t>
      </w:r>
      <w:r>
        <w:t>Are grapes gathered from thorns</w:t>
      </w:r>
      <w:r w:rsidR="006F304D" w:rsidRPr="006F304D">
        <w:t xml:space="preserve">, </w:t>
      </w:r>
      <w:r>
        <w:t>or figs from thistles?</w:t>
      </w:r>
    </w:p>
    <w:p w14:paraId="09C1FFDC" w14:textId="25069322" w:rsidR="0018433B" w:rsidRDefault="0018433B" w:rsidP="00D633C6">
      <w:pPr>
        <w:widowControl w:val="0"/>
        <w:ind w:left="1440" w:right="720" w:hanging="720"/>
      </w:pPr>
      <w:r>
        <w:rPr>
          <w:vertAlign w:val="superscript"/>
        </w:rPr>
        <w:t>17</w:t>
      </w:r>
      <w:r w:rsidR="00786ADB">
        <w:t xml:space="preserve"> S</w:t>
      </w:r>
      <w:r>
        <w:t>o</w:t>
      </w:r>
      <w:r w:rsidR="006F304D" w:rsidRPr="006F304D">
        <w:t xml:space="preserve">, </w:t>
      </w:r>
      <w:r>
        <w:t>every sound tree bears good fruit</w:t>
      </w:r>
      <w:r w:rsidR="006F304D" w:rsidRPr="006F304D">
        <w:t xml:space="preserve">, </w:t>
      </w:r>
      <w:r>
        <w:t>but the bad tree bears evil fruit.</w:t>
      </w:r>
    </w:p>
    <w:p w14:paraId="72814601" w14:textId="7A0D15CB" w:rsidR="0018433B" w:rsidRDefault="0018433B" w:rsidP="00D633C6">
      <w:pPr>
        <w:widowControl w:val="0"/>
        <w:ind w:left="1440" w:right="720" w:hanging="720"/>
      </w:pPr>
      <w:r>
        <w:rPr>
          <w:vertAlign w:val="superscript"/>
        </w:rPr>
        <w:t>18</w:t>
      </w:r>
      <w:r w:rsidR="00786ADB">
        <w:t xml:space="preserve"> A</w:t>
      </w:r>
      <w:r>
        <w:t xml:space="preserve"> sound tree cannot bear evil fruit</w:t>
      </w:r>
      <w:r w:rsidR="006F304D" w:rsidRPr="006F304D">
        <w:t xml:space="preserve">, </w:t>
      </w:r>
      <w:r>
        <w:t>nor can a bad tree bear good fruit.</w:t>
      </w:r>
    </w:p>
    <w:p w14:paraId="64677F36" w14:textId="20686FD9" w:rsidR="0018433B" w:rsidRDefault="0018433B" w:rsidP="00D633C6">
      <w:pPr>
        <w:widowControl w:val="0"/>
        <w:ind w:left="1440" w:right="720" w:hanging="720"/>
      </w:pPr>
      <w:r>
        <w:rPr>
          <w:vertAlign w:val="superscript"/>
        </w:rPr>
        <w:t>19</w:t>
      </w:r>
      <w:r w:rsidR="00786ADB">
        <w:t xml:space="preserve"> E</w:t>
      </w:r>
      <w:r>
        <w:t>very tree that does not bear good fruit is cut down and thrown into the fire.</w:t>
      </w:r>
    </w:p>
    <w:p w14:paraId="7188155A" w14:textId="323B2E2C" w:rsidR="0018433B" w:rsidRDefault="0018433B" w:rsidP="00D633C6">
      <w:pPr>
        <w:widowControl w:val="0"/>
        <w:ind w:left="1440" w:right="720" w:hanging="720"/>
      </w:pPr>
      <w:r>
        <w:rPr>
          <w:vertAlign w:val="superscript"/>
        </w:rPr>
        <w:t>20</w:t>
      </w:r>
      <w:r w:rsidR="00786ADB">
        <w:t xml:space="preserve"> T</w:t>
      </w:r>
      <w:r>
        <w:t>hus you will know them by their fruits.</w:t>
      </w:r>
    </w:p>
    <w:p w14:paraId="2D659B86" w14:textId="77777777" w:rsidR="00D633C6" w:rsidRDefault="00D633C6" w:rsidP="00D633C6">
      <w:pPr>
        <w:widowControl w:val="0"/>
      </w:pPr>
    </w:p>
  </w:footnote>
  <w:footnote w:id="774">
    <w:p w14:paraId="0CA81CA1" w14:textId="26262238" w:rsidR="0018433B" w:rsidRDefault="0018433B" w:rsidP="00786ADB">
      <w:pPr>
        <w:widowControl w:val="0"/>
      </w:pPr>
      <w:r>
        <w:rPr>
          <w:vertAlign w:val="superscript"/>
        </w:rPr>
        <w:footnoteRef/>
      </w:r>
      <w:r w:rsidR="00786ADB">
        <w:t xml:space="preserve"> D</w:t>
      </w:r>
      <w:r>
        <w:t xml:space="preserve">upont </w:t>
      </w:r>
      <w:r>
        <w:rPr>
          <w:i/>
        </w:rPr>
        <w:t>Béatitudes</w:t>
      </w:r>
      <w:r w:rsidR="006F304D" w:rsidRPr="006F304D">
        <w:t xml:space="preserve"> </w:t>
      </w:r>
      <w:r>
        <w:t>1. 59</w:t>
      </w:r>
      <w:r w:rsidR="00F027E3">
        <w:t>.</w:t>
      </w:r>
      <w:r>
        <w:t xml:space="preserve"> </w:t>
      </w:r>
      <w:r w:rsidR="00F027E3">
        <w:t xml:space="preserve">Dupont </w:t>
      </w:r>
      <w:r>
        <w:t>uses this combination in Matthew to argue that the four sentences peculiar to Luke’s sermon (aside from the woes)—38a</w:t>
      </w:r>
      <w:r w:rsidR="006F304D" w:rsidRPr="006F304D">
        <w:t xml:space="preserve">, </w:t>
      </w:r>
      <w:r>
        <w:t>39</w:t>
      </w:r>
      <w:r w:rsidR="006F304D" w:rsidRPr="006F304D">
        <w:t xml:space="preserve">, </w:t>
      </w:r>
      <w:r>
        <w:t>40</w:t>
      </w:r>
      <w:r w:rsidR="006F304D" w:rsidRPr="006F304D">
        <w:t xml:space="preserve">, </w:t>
      </w:r>
      <w:r>
        <w:t>45—were all added to Luke’s sermon before it reached his hand.</w:t>
      </w:r>
    </w:p>
    <w:p w14:paraId="7D4D0E4A" w14:textId="77777777" w:rsidR="00786ADB" w:rsidRDefault="00786ADB" w:rsidP="00786ADB">
      <w:pPr>
        <w:widowControl w:val="0"/>
      </w:pPr>
    </w:p>
    <w:p w14:paraId="285EF494" w14:textId="4BC69C3F" w:rsidR="0018433B" w:rsidRPr="00E5413C" w:rsidRDefault="0018433B" w:rsidP="00786ADB">
      <w:pPr>
        <w:widowControl w:val="0"/>
        <w:ind w:left="720" w:right="720"/>
        <w:rPr>
          <w:lang w:val="fr-FR"/>
        </w:rPr>
      </w:pPr>
      <w:r>
        <w:t xml:space="preserve">Proceeding by association </w:t>
      </w:r>
      <w:r w:rsidR="00F027E3">
        <w:t>. . .</w:t>
      </w:r>
      <w:r>
        <w:t xml:space="preserve"> is best explained at the stage of oral tradition</w:t>
      </w:r>
      <w:r w:rsidR="006F304D" w:rsidRPr="006F304D">
        <w:t xml:space="preserve">, </w:t>
      </w:r>
      <w:r>
        <w:t>or at least at a stage of written composition closer to the Semitic origins.</w:t>
      </w:r>
      <w:r w:rsidR="00AC038F" w:rsidRPr="00AC038F">
        <w:rPr>
          <w:iCs/>
        </w:rPr>
        <w:t xml:space="preserve"> </w:t>
      </w:r>
      <w:r>
        <w:t xml:space="preserve">The fact that one of these associations also exists in the first evangelists (Luke 6:45 = Matt 12:34b-35) </w:t>
      </w:r>
      <w:r w:rsidR="00F027E3">
        <w:t>. . .</w:t>
      </w:r>
      <w:r>
        <w:t xml:space="preserve"> seems to confirm this.</w:t>
      </w:r>
      <w:r w:rsidR="00F027E3">
        <w:t xml:space="preserve"> </w:t>
      </w:r>
      <w:r w:rsidR="00F027E3" w:rsidRPr="00E5413C">
        <w:rPr>
          <w:lang w:val="fr-FR"/>
        </w:rPr>
        <w:t>(“Les précédes d’association . . . s’expliqueraient mieux au stade de la tradition orale, ou du moins à un stade de composition écrite encore proche des origines sémitiques. Le fait d’avoir retrouvé une de ces associations réalisée aussi dans le premier évangile (Luc, 6, 45 = Mat., 12, 34</w:t>
      </w:r>
      <w:r w:rsidR="00F027E3" w:rsidRPr="00E5413C">
        <w:rPr>
          <w:i/>
          <w:iCs/>
          <w:lang w:val="fr-FR"/>
        </w:rPr>
        <w:t>b</w:t>
      </w:r>
      <w:r w:rsidR="00F027E3" w:rsidRPr="00E5413C">
        <w:rPr>
          <w:lang w:val="fr-FR"/>
        </w:rPr>
        <w:t>-35) . . . semble pouvoir leur servir de confirmation.”)</w:t>
      </w:r>
    </w:p>
    <w:p w14:paraId="3AB4D1E6" w14:textId="77777777" w:rsidR="00786ADB" w:rsidRPr="00E5413C" w:rsidRDefault="00786ADB" w:rsidP="00786ADB">
      <w:pPr>
        <w:widowControl w:val="0"/>
        <w:rPr>
          <w:lang w:val="fr-FR"/>
        </w:rPr>
      </w:pPr>
    </w:p>
    <w:p w14:paraId="5DD98C0F" w14:textId="2857B188" w:rsidR="0018433B" w:rsidRDefault="0018433B" w:rsidP="00786ADB">
      <w:pPr>
        <w:widowControl w:val="0"/>
      </w:pPr>
      <w:r>
        <w:t>But the association of the two halves of v 45 in both Matthew and Luke only proves that v</w:t>
      </w:r>
      <w:r w:rsidR="00F027E3">
        <w:t>erse</w:t>
      </w:r>
      <w:r>
        <w:t xml:space="preserve"> 45 existed as a whole before it came to Luke.</w:t>
      </w:r>
      <w:r w:rsidR="00AC038F" w:rsidRPr="00AC038F">
        <w:rPr>
          <w:iCs/>
        </w:rPr>
        <w:t xml:space="preserve"> </w:t>
      </w:r>
      <w:r>
        <w:t>What Dupont should have used as proof is the association of v</w:t>
      </w:r>
      <w:r w:rsidR="00F027E3">
        <w:t>erses</w:t>
      </w:r>
      <w:r>
        <w:t xml:space="preserve"> 43-44 + 45 in Matthew as well (Matt 12:33 [tree and fruit] + 34-35 [words from heart</w:t>
      </w:r>
      <w:r w:rsidR="006F304D" w:rsidRPr="006F304D">
        <w:t xml:space="preserve">, </w:t>
      </w:r>
      <w:r>
        <w:t>good and bad from treasures]).</w:t>
      </w:r>
    </w:p>
  </w:footnote>
  <w:footnote w:id="775">
    <w:p w14:paraId="541CDAA3" w14:textId="69245C26" w:rsidR="00786ADB" w:rsidRPr="00147269" w:rsidRDefault="0018433B" w:rsidP="00147269">
      <w:pPr>
        <w:rPr>
          <w:kern w:val="0"/>
        </w:rPr>
      </w:pPr>
      <w:r w:rsidRPr="00147269">
        <w:rPr>
          <w:kern w:val="0"/>
          <w:vertAlign w:val="superscript"/>
        </w:rPr>
        <w:footnoteRef/>
      </w:r>
      <w:r w:rsidR="00786ADB" w:rsidRPr="00147269">
        <w:rPr>
          <w:kern w:val="0"/>
        </w:rPr>
        <w:t xml:space="preserve"> S</w:t>
      </w:r>
      <w:r w:rsidRPr="00147269">
        <w:rPr>
          <w:kern w:val="0"/>
        </w:rPr>
        <w:t>chneider</w:t>
      </w:r>
      <w:r w:rsidR="006F304D" w:rsidRPr="00147269">
        <w:rPr>
          <w:kern w:val="0"/>
        </w:rPr>
        <w:t xml:space="preserve">, </w:t>
      </w:r>
      <w:r w:rsidRPr="00147269">
        <w:rPr>
          <w:i/>
          <w:kern w:val="0"/>
        </w:rPr>
        <w:t>Evangelium</w:t>
      </w:r>
      <w:r w:rsidR="00F027E3" w:rsidRPr="00147269">
        <w:rPr>
          <w:i/>
          <w:kern w:val="0"/>
        </w:rPr>
        <w:t xml:space="preserve"> nach Lukas</w:t>
      </w:r>
      <w:r w:rsidR="006F304D" w:rsidRPr="00147269">
        <w:rPr>
          <w:kern w:val="0"/>
        </w:rPr>
        <w:t xml:space="preserve"> </w:t>
      </w:r>
      <w:r w:rsidRPr="00147269">
        <w:rPr>
          <w:kern w:val="0"/>
        </w:rPr>
        <w:t>160</w:t>
      </w:r>
      <w:r w:rsidR="00F027E3" w:rsidRPr="00147269">
        <w:rPr>
          <w:kern w:val="0"/>
        </w:rPr>
        <w:t>. (“Der aschließende Versteil 45b enthält ein Sprichwort, das V 45a begründet.”)</w:t>
      </w:r>
    </w:p>
  </w:footnote>
  <w:footnote w:id="776">
    <w:p w14:paraId="6F46949A" w14:textId="618AA523" w:rsidR="0018433B" w:rsidRPr="00674828" w:rsidRDefault="0018433B" w:rsidP="00674828">
      <w:pPr>
        <w:rPr>
          <w:kern w:val="0"/>
        </w:rPr>
      </w:pPr>
      <w:r w:rsidRPr="00674828">
        <w:rPr>
          <w:kern w:val="0"/>
          <w:vertAlign w:val="superscript"/>
        </w:rPr>
        <w:footnoteRef/>
      </w:r>
      <w:r w:rsidR="00FE5E13" w:rsidRPr="00674828">
        <w:rPr>
          <w:kern w:val="0"/>
        </w:rPr>
        <w:t xml:space="preserve"> T</w:t>
      </w:r>
      <w:r w:rsidRPr="00674828">
        <w:rPr>
          <w:kern w:val="0"/>
        </w:rPr>
        <w:t>o recapitulate the interpretations of 39-40</w:t>
      </w:r>
      <w:r w:rsidR="006F304D" w:rsidRPr="00674828">
        <w:rPr>
          <w:kern w:val="0"/>
        </w:rPr>
        <w:t xml:space="preserve">, </w:t>
      </w:r>
      <w:r w:rsidRPr="00674828">
        <w:rPr>
          <w:kern w:val="0"/>
        </w:rPr>
        <w:t>as just one example: some exegetes see the blind man of v</w:t>
      </w:r>
      <w:r w:rsidR="00FE5E13" w:rsidRPr="00674828">
        <w:rPr>
          <w:kern w:val="0"/>
        </w:rPr>
        <w:t>erse</w:t>
      </w:r>
      <w:r w:rsidRPr="00674828">
        <w:rPr>
          <w:kern w:val="0"/>
        </w:rPr>
        <w:t xml:space="preserve"> 39 as Jesus (Tinsley); others see in him the scribes and Pharisees (Geldenhuys</w:t>
      </w:r>
      <w:r w:rsidR="006F304D" w:rsidRPr="00674828">
        <w:rPr>
          <w:kern w:val="0"/>
        </w:rPr>
        <w:t xml:space="preserve">, </w:t>
      </w:r>
      <w:r w:rsidRPr="00674828">
        <w:rPr>
          <w:kern w:val="0"/>
        </w:rPr>
        <w:t>Bowie</w:t>
      </w:r>
      <w:r w:rsidR="006F304D" w:rsidRPr="00674828">
        <w:rPr>
          <w:kern w:val="0"/>
        </w:rPr>
        <w:t xml:space="preserve">, </w:t>
      </w:r>
      <w:r w:rsidRPr="00674828">
        <w:rPr>
          <w:kern w:val="0"/>
        </w:rPr>
        <w:t>Dupont</w:t>
      </w:r>
      <w:r w:rsidR="006F304D" w:rsidRPr="00674828">
        <w:rPr>
          <w:kern w:val="0"/>
        </w:rPr>
        <w:t xml:space="preserve">, </w:t>
      </w:r>
      <w:r w:rsidRPr="00674828">
        <w:rPr>
          <w:kern w:val="0"/>
        </w:rPr>
        <w:t>Easton); others think he represents false Christian teachers (Fitzmyer</w:t>
      </w:r>
      <w:r w:rsidR="006F304D" w:rsidRPr="00674828">
        <w:rPr>
          <w:kern w:val="0"/>
        </w:rPr>
        <w:t xml:space="preserve">, </w:t>
      </w:r>
      <w:r w:rsidRPr="00674828">
        <w:rPr>
          <w:kern w:val="0"/>
        </w:rPr>
        <w:t>Montefiore</w:t>
      </w:r>
      <w:r w:rsidR="006F304D" w:rsidRPr="00674828">
        <w:rPr>
          <w:kern w:val="0"/>
        </w:rPr>
        <w:t xml:space="preserve">, </w:t>
      </w:r>
      <w:r w:rsidRPr="00674828">
        <w:rPr>
          <w:kern w:val="0"/>
        </w:rPr>
        <w:t>Rose); and still others see in him the disciples of Jesus.</w:t>
      </w:r>
      <w:r w:rsidR="00AC038F" w:rsidRPr="00674828">
        <w:rPr>
          <w:iCs/>
          <w:kern w:val="0"/>
        </w:rPr>
        <w:t xml:space="preserve"> </w:t>
      </w:r>
      <w:r w:rsidRPr="00674828">
        <w:rPr>
          <w:kern w:val="0"/>
        </w:rPr>
        <w:t>Even these latter conflict in their interpretation of the teacher in v</w:t>
      </w:r>
      <w:r w:rsidR="00FE5E13" w:rsidRPr="00674828">
        <w:rPr>
          <w:kern w:val="0"/>
        </w:rPr>
        <w:t>erse</w:t>
      </w:r>
      <w:r w:rsidRPr="00674828">
        <w:rPr>
          <w:kern w:val="0"/>
        </w:rPr>
        <w:t xml:space="preserve"> 40</w:t>
      </w:r>
      <w:r w:rsidR="006F304D" w:rsidRPr="00674828">
        <w:rPr>
          <w:kern w:val="0"/>
        </w:rPr>
        <w:t xml:space="preserve">, </w:t>
      </w:r>
      <w:r w:rsidRPr="00674828">
        <w:rPr>
          <w:kern w:val="0"/>
        </w:rPr>
        <w:t xml:space="preserve">some seeing </w:t>
      </w:r>
      <w:r w:rsidR="00FE5E13" w:rsidRPr="00674828">
        <w:rPr>
          <w:kern w:val="0"/>
        </w:rPr>
        <w:t xml:space="preserve">the teacher </w:t>
      </w:r>
      <w:r w:rsidRPr="00674828">
        <w:rPr>
          <w:kern w:val="0"/>
        </w:rPr>
        <w:t>as Jesus himself (Bultmann</w:t>
      </w:r>
      <w:r w:rsidR="006F304D" w:rsidRPr="00674828">
        <w:rPr>
          <w:kern w:val="0"/>
        </w:rPr>
        <w:t xml:space="preserve">, </w:t>
      </w:r>
      <w:r w:rsidRPr="00674828">
        <w:rPr>
          <w:kern w:val="0"/>
        </w:rPr>
        <w:t>Burnside)</w:t>
      </w:r>
      <w:r w:rsidR="006F304D" w:rsidRPr="00674828">
        <w:rPr>
          <w:kern w:val="0"/>
        </w:rPr>
        <w:t xml:space="preserve">, </w:t>
      </w:r>
      <w:r w:rsidRPr="00674828">
        <w:rPr>
          <w:kern w:val="0"/>
        </w:rPr>
        <w:t>others seeing the teacher as a representative of every disciple (Dupont</w:t>
      </w:r>
      <w:r w:rsidR="006F304D" w:rsidRPr="00674828">
        <w:rPr>
          <w:kern w:val="0"/>
        </w:rPr>
        <w:t xml:space="preserve">, </w:t>
      </w:r>
      <w:r w:rsidRPr="00674828">
        <w:rPr>
          <w:kern w:val="0"/>
        </w:rPr>
        <w:t>Pfleiderer</w:t>
      </w:r>
      <w:r w:rsidR="006F304D" w:rsidRPr="00674828">
        <w:rPr>
          <w:kern w:val="0"/>
        </w:rPr>
        <w:t xml:space="preserve">, </w:t>
      </w:r>
      <w:r w:rsidRPr="00674828">
        <w:rPr>
          <w:kern w:val="0"/>
        </w:rPr>
        <w:t>Easton</w:t>
      </w:r>
      <w:r w:rsidR="006F304D" w:rsidRPr="00674828">
        <w:rPr>
          <w:kern w:val="0"/>
        </w:rPr>
        <w:t xml:space="preserve">, </w:t>
      </w:r>
      <w:r w:rsidRPr="00674828">
        <w:rPr>
          <w:kern w:val="0"/>
        </w:rPr>
        <w:t>Plummer).</w:t>
      </w:r>
    </w:p>
  </w:footnote>
  <w:footnote w:id="777">
    <w:p w14:paraId="357296F8" w14:textId="69E96EC0" w:rsidR="0018433B" w:rsidRPr="00674828" w:rsidRDefault="0018433B" w:rsidP="00674828">
      <w:pPr>
        <w:rPr>
          <w:kern w:val="0"/>
        </w:rPr>
      </w:pPr>
      <w:r w:rsidRPr="00674828">
        <w:rPr>
          <w:kern w:val="0"/>
          <w:vertAlign w:val="superscript"/>
        </w:rPr>
        <w:footnoteRef/>
      </w:r>
      <w:r w:rsidR="00674828">
        <w:rPr>
          <w:kern w:val="0"/>
        </w:rPr>
        <w:t xml:space="preserve"> C</w:t>
      </w:r>
      <w:r w:rsidRPr="00674828">
        <w:rPr>
          <w:kern w:val="0"/>
        </w:rPr>
        <w:t>adbury</w:t>
      </w:r>
      <w:r w:rsidR="006F304D" w:rsidRPr="00674828">
        <w:rPr>
          <w:kern w:val="0"/>
        </w:rPr>
        <w:t xml:space="preserve">, </w:t>
      </w:r>
      <w:r w:rsidRPr="00674828">
        <w:rPr>
          <w:i/>
          <w:kern w:val="0"/>
        </w:rPr>
        <w:t>Making</w:t>
      </w:r>
      <w:r w:rsidR="00674828">
        <w:rPr>
          <w:i/>
          <w:kern w:val="0"/>
        </w:rPr>
        <w:t xml:space="preserve"> of Luke-Acts</w:t>
      </w:r>
      <w:r w:rsidR="006F304D" w:rsidRPr="00674828">
        <w:rPr>
          <w:kern w:val="0"/>
        </w:rPr>
        <w:t xml:space="preserve"> </w:t>
      </w:r>
      <w:r w:rsidRPr="00674828">
        <w:rPr>
          <w:kern w:val="0"/>
        </w:rPr>
        <w:t>325.</w:t>
      </w:r>
      <w:r w:rsidR="00AC038F" w:rsidRPr="00674828">
        <w:rPr>
          <w:iCs/>
          <w:kern w:val="0"/>
        </w:rPr>
        <w:t xml:space="preserve"> </w:t>
      </w:r>
      <w:r w:rsidRPr="00674828">
        <w:rPr>
          <w:kern w:val="0"/>
        </w:rPr>
        <w:t>The references are to G. Mackinlay</w:t>
      </w:r>
      <w:r w:rsidR="006F304D" w:rsidRPr="00674828">
        <w:rPr>
          <w:kern w:val="0"/>
        </w:rPr>
        <w:t xml:space="preserve">, </w:t>
      </w:r>
      <w:r w:rsidRPr="00674828">
        <w:rPr>
          <w:i/>
          <w:kern w:val="0"/>
        </w:rPr>
        <w:t>Recent Discoveries in St. Luke's Writings</w:t>
      </w:r>
      <w:r w:rsidR="00AC038F" w:rsidRPr="00674828">
        <w:rPr>
          <w:kern w:val="0"/>
        </w:rPr>
        <w:t xml:space="preserve">: </w:t>
      </w:r>
      <w:r w:rsidRPr="00674828">
        <w:rPr>
          <w:i/>
          <w:kern w:val="0"/>
        </w:rPr>
        <w:t>A Study</w:t>
      </w:r>
      <w:r w:rsidRPr="00674828">
        <w:rPr>
          <w:kern w:val="0"/>
        </w:rPr>
        <w:t xml:space="preserve"> (London: Marshall Brothers</w:t>
      </w:r>
      <w:r w:rsidR="006F304D" w:rsidRPr="00674828">
        <w:rPr>
          <w:kern w:val="0"/>
        </w:rPr>
        <w:t xml:space="preserve">, </w:t>
      </w:r>
      <w:r w:rsidRPr="00674828">
        <w:rPr>
          <w:kern w:val="0"/>
        </w:rPr>
        <w:t xml:space="preserve">1921); to </w:t>
      </w:r>
      <w:r w:rsidR="00674828" w:rsidRPr="00674828">
        <w:rPr>
          <w:iCs/>
          <w:kern w:val="0"/>
        </w:rPr>
        <w:t>C.H.</w:t>
      </w:r>
      <w:r w:rsidRPr="00674828">
        <w:rPr>
          <w:kern w:val="0"/>
        </w:rPr>
        <w:t xml:space="preserve"> Turner in </w:t>
      </w:r>
      <w:r w:rsidRPr="00674828">
        <w:rPr>
          <w:i/>
          <w:kern w:val="0"/>
        </w:rPr>
        <w:t>Hastings</w:t>
      </w:r>
      <w:r w:rsidR="00674828">
        <w:rPr>
          <w:iCs/>
          <w:kern w:val="0"/>
        </w:rPr>
        <w:t>’</w:t>
      </w:r>
      <w:r w:rsidRPr="00674828">
        <w:rPr>
          <w:iCs/>
          <w:kern w:val="0"/>
        </w:rPr>
        <w:t xml:space="preserve"> </w:t>
      </w:r>
      <w:r w:rsidRPr="00674828">
        <w:rPr>
          <w:i/>
          <w:kern w:val="0"/>
        </w:rPr>
        <w:t>Dictionary of the Bible</w:t>
      </w:r>
      <w:r w:rsidR="006F304D" w:rsidRPr="00674828">
        <w:rPr>
          <w:kern w:val="0"/>
        </w:rPr>
        <w:t xml:space="preserve"> </w:t>
      </w:r>
      <w:r w:rsidRPr="00674828">
        <w:rPr>
          <w:kern w:val="0"/>
        </w:rPr>
        <w:t xml:space="preserve">1. 421; and to </w:t>
      </w:r>
      <w:r w:rsidR="00674828" w:rsidRPr="00674828">
        <w:rPr>
          <w:iCs/>
          <w:kern w:val="0"/>
        </w:rPr>
        <w:t>B.W.</w:t>
      </w:r>
      <w:r w:rsidRPr="00674828">
        <w:rPr>
          <w:kern w:val="0"/>
        </w:rPr>
        <w:t xml:space="preserve"> Bacon in </w:t>
      </w:r>
      <w:r w:rsidRPr="00674828">
        <w:rPr>
          <w:i/>
          <w:kern w:val="0"/>
        </w:rPr>
        <w:t>HTR</w:t>
      </w:r>
      <w:r w:rsidRPr="00674828">
        <w:rPr>
          <w:kern w:val="0"/>
        </w:rPr>
        <w:t xml:space="preserve"> 14 (1921) 137.</w:t>
      </w:r>
    </w:p>
  </w:footnote>
  <w:footnote w:id="778">
    <w:p w14:paraId="08167FC4" w14:textId="2E09D4D9" w:rsidR="0018433B" w:rsidRPr="00674828" w:rsidRDefault="0018433B" w:rsidP="00674828">
      <w:pPr>
        <w:rPr>
          <w:kern w:val="0"/>
        </w:rPr>
      </w:pPr>
      <w:r w:rsidRPr="00674828">
        <w:rPr>
          <w:kern w:val="0"/>
          <w:vertAlign w:val="superscript"/>
        </w:rPr>
        <w:footnoteRef/>
      </w:r>
      <w:r w:rsidR="006414EC">
        <w:rPr>
          <w:kern w:val="0"/>
        </w:rPr>
        <w:t xml:space="preserve"> F</w:t>
      </w:r>
      <w:r w:rsidRPr="00674828">
        <w:rPr>
          <w:kern w:val="0"/>
        </w:rPr>
        <w:t>itzmyer</w:t>
      </w:r>
      <w:r w:rsidR="006F304D" w:rsidRPr="00674828">
        <w:rPr>
          <w:kern w:val="0"/>
        </w:rPr>
        <w:t xml:space="preserve">, </w:t>
      </w:r>
      <w:r w:rsidRPr="00674828">
        <w:rPr>
          <w:i/>
          <w:kern w:val="0"/>
        </w:rPr>
        <w:t>Gospel</w:t>
      </w:r>
      <w:r w:rsidR="006F304D" w:rsidRPr="00674828">
        <w:rPr>
          <w:kern w:val="0"/>
        </w:rPr>
        <w:t xml:space="preserve">, </w:t>
      </w:r>
      <w:r w:rsidRPr="00674828">
        <w:rPr>
          <w:kern w:val="0"/>
        </w:rPr>
        <w:t>1. 5-6.</w:t>
      </w:r>
    </w:p>
  </w:footnote>
  <w:footnote w:id="779">
    <w:p w14:paraId="62303A3F" w14:textId="197D1D46" w:rsidR="0018433B" w:rsidRPr="00674828" w:rsidRDefault="0018433B" w:rsidP="00674828">
      <w:pPr>
        <w:rPr>
          <w:kern w:val="0"/>
        </w:rPr>
      </w:pPr>
      <w:r w:rsidRPr="00674828">
        <w:rPr>
          <w:kern w:val="0"/>
          <w:vertAlign w:val="superscript"/>
        </w:rPr>
        <w:footnoteRef/>
      </w:r>
      <w:r w:rsidR="006414EC">
        <w:rPr>
          <w:kern w:val="0"/>
        </w:rPr>
        <w:t xml:space="preserve"> T</w:t>
      </w:r>
      <w:r w:rsidRPr="00674828">
        <w:rPr>
          <w:kern w:val="0"/>
        </w:rPr>
        <w:t>albert</w:t>
      </w:r>
      <w:r w:rsidR="006F304D" w:rsidRPr="00674828">
        <w:rPr>
          <w:kern w:val="0"/>
        </w:rPr>
        <w:t xml:space="preserve">, </w:t>
      </w:r>
      <w:r w:rsidRPr="00674828">
        <w:rPr>
          <w:i/>
          <w:kern w:val="0"/>
        </w:rPr>
        <w:t>Literary Patterns</w:t>
      </w:r>
      <w:r w:rsidR="006F304D" w:rsidRPr="00674828">
        <w:rPr>
          <w:kern w:val="0"/>
        </w:rPr>
        <w:t xml:space="preserve"> </w:t>
      </w:r>
      <w:r w:rsidRPr="00674828">
        <w:rPr>
          <w:kern w:val="0"/>
        </w:rPr>
        <w:t>8.</w:t>
      </w:r>
    </w:p>
  </w:footnote>
  <w:footnote w:id="780">
    <w:p w14:paraId="6F377DFE" w14:textId="2591FCDE" w:rsidR="0018433B" w:rsidRPr="00674828" w:rsidRDefault="0018433B" w:rsidP="00674828">
      <w:pPr>
        <w:rPr>
          <w:kern w:val="0"/>
        </w:rPr>
      </w:pPr>
      <w:r w:rsidRPr="00674828">
        <w:rPr>
          <w:kern w:val="0"/>
          <w:vertAlign w:val="superscript"/>
        </w:rPr>
        <w:footnoteRef/>
      </w:r>
      <w:r w:rsidR="006414EC">
        <w:rPr>
          <w:kern w:val="0"/>
        </w:rPr>
        <w:t xml:space="preserve"> W</w:t>
      </w:r>
      <w:r w:rsidRPr="00674828">
        <w:rPr>
          <w:kern w:val="0"/>
        </w:rPr>
        <w:t>right</w:t>
      </w:r>
      <w:r w:rsidR="006F304D" w:rsidRPr="00674828">
        <w:rPr>
          <w:kern w:val="0"/>
        </w:rPr>
        <w:t xml:space="preserve">, </w:t>
      </w:r>
      <w:r w:rsidRPr="00674828">
        <w:rPr>
          <w:kern w:val="0"/>
        </w:rPr>
        <w:t xml:space="preserve">“Wisdom,” in </w:t>
      </w:r>
      <w:r w:rsidRPr="00674828">
        <w:rPr>
          <w:i/>
          <w:kern w:val="0"/>
        </w:rPr>
        <w:t>J</w:t>
      </w:r>
      <w:r w:rsidR="00C83F73">
        <w:rPr>
          <w:i/>
          <w:kern w:val="0"/>
        </w:rPr>
        <w:t>erome Biblical Commentary</w:t>
      </w:r>
      <w:r w:rsidR="006F304D" w:rsidRPr="00674828">
        <w:rPr>
          <w:kern w:val="0"/>
        </w:rPr>
        <w:t xml:space="preserve"> </w:t>
      </w:r>
      <w:r w:rsidRPr="00674828">
        <w:rPr>
          <w:kern w:val="0"/>
        </w:rPr>
        <w:t>1. 558.</w:t>
      </w:r>
      <w:r w:rsidR="00AC038F" w:rsidRPr="00674828">
        <w:rPr>
          <w:iCs/>
          <w:kern w:val="0"/>
        </w:rPr>
        <w:t xml:space="preserve"> </w:t>
      </w:r>
      <w:r w:rsidRPr="00674828">
        <w:rPr>
          <w:kern w:val="0"/>
        </w:rPr>
        <w:t xml:space="preserve">Wright's outline in the </w:t>
      </w:r>
      <w:r w:rsidRPr="00674828">
        <w:rPr>
          <w:i/>
          <w:kern w:val="0"/>
        </w:rPr>
        <w:t>JBC</w:t>
      </w:r>
      <w:r w:rsidRPr="00674828">
        <w:rPr>
          <w:kern w:val="0"/>
        </w:rPr>
        <w:t xml:space="preserve"> commentary is based on two previous articles</w:t>
      </w:r>
      <w:r w:rsidR="00C83F73">
        <w:rPr>
          <w:kern w:val="0"/>
        </w:rPr>
        <w:t>:</w:t>
      </w:r>
      <w:r w:rsidR="006F304D" w:rsidRPr="00674828">
        <w:rPr>
          <w:kern w:val="0"/>
        </w:rPr>
        <w:t xml:space="preserve"> </w:t>
      </w:r>
      <w:r w:rsidRPr="00674828">
        <w:rPr>
          <w:kern w:val="0"/>
        </w:rPr>
        <w:t xml:space="preserve">“The Structure of the Book of Wisdom,” </w:t>
      </w:r>
      <w:r w:rsidRPr="00674828">
        <w:rPr>
          <w:i/>
          <w:kern w:val="0"/>
        </w:rPr>
        <w:t>Bib</w:t>
      </w:r>
      <w:r w:rsidRPr="00674828">
        <w:rPr>
          <w:kern w:val="0"/>
        </w:rPr>
        <w:t xml:space="preserve"> 48 (1967) 165-84</w:t>
      </w:r>
      <w:r w:rsidR="00C83F73">
        <w:rPr>
          <w:kern w:val="0"/>
        </w:rPr>
        <w:t>;</w:t>
      </w:r>
      <w:r w:rsidRPr="00674828">
        <w:rPr>
          <w:kern w:val="0"/>
        </w:rPr>
        <w:t xml:space="preserve"> and </w:t>
      </w:r>
      <w:r w:rsidRPr="00674828">
        <w:rPr>
          <w:i/>
          <w:kern w:val="0"/>
        </w:rPr>
        <w:t>CBQ</w:t>
      </w:r>
      <w:r w:rsidRPr="00674828">
        <w:rPr>
          <w:kern w:val="0"/>
        </w:rPr>
        <w:t xml:space="preserve"> 29 (1967) 524-38.</w:t>
      </w:r>
    </w:p>
  </w:footnote>
  <w:footnote w:id="781">
    <w:p w14:paraId="3EE963D2" w14:textId="6C9EA53D" w:rsidR="0018433B" w:rsidRPr="00674828" w:rsidRDefault="0018433B" w:rsidP="00674828">
      <w:pPr>
        <w:rPr>
          <w:kern w:val="0"/>
        </w:rPr>
      </w:pPr>
      <w:r w:rsidRPr="00674828">
        <w:rPr>
          <w:kern w:val="0"/>
          <w:vertAlign w:val="superscript"/>
        </w:rPr>
        <w:footnoteRef/>
      </w:r>
      <w:r w:rsidR="006414EC">
        <w:rPr>
          <w:kern w:val="0"/>
        </w:rPr>
        <w:t xml:space="preserve"> I</w:t>
      </w:r>
      <w:r w:rsidRPr="00674828">
        <w:rPr>
          <w:kern w:val="0"/>
        </w:rPr>
        <w:t>bid.</w:t>
      </w:r>
    </w:p>
  </w:footnote>
  <w:footnote w:id="782">
    <w:p w14:paraId="1AA75485" w14:textId="53A173A3" w:rsidR="0018433B" w:rsidRPr="00674828" w:rsidRDefault="0018433B" w:rsidP="00674828">
      <w:pPr>
        <w:rPr>
          <w:kern w:val="0"/>
        </w:rPr>
      </w:pPr>
      <w:r w:rsidRPr="00674828">
        <w:rPr>
          <w:kern w:val="0"/>
          <w:vertAlign w:val="superscript"/>
        </w:rPr>
        <w:footnoteRef/>
      </w:r>
      <w:r w:rsidR="006414EC">
        <w:rPr>
          <w:kern w:val="0"/>
        </w:rPr>
        <w:t xml:space="preserve"> F</w:t>
      </w:r>
      <w:r w:rsidRPr="00674828">
        <w:rPr>
          <w:kern w:val="0"/>
        </w:rPr>
        <w:t>or the use of the golden mean in Greek architecture</w:t>
      </w:r>
      <w:r w:rsidR="006F304D" w:rsidRPr="00674828">
        <w:rPr>
          <w:kern w:val="0"/>
        </w:rPr>
        <w:t xml:space="preserve">, </w:t>
      </w:r>
      <w:r w:rsidRPr="00674828">
        <w:rPr>
          <w:kern w:val="0"/>
        </w:rPr>
        <w:t>see Nigel Pennick</w:t>
      </w:r>
      <w:r w:rsidR="006F304D" w:rsidRPr="00674828">
        <w:rPr>
          <w:kern w:val="0"/>
        </w:rPr>
        <w:t xml:space="preserve">, </w:t>
      </w:r>
      <w:r w:rsidRPr="00674828">
        <w:rPr>
          <w:i/>
          <w:kern w:val="0"/>
        </w:rPr>
        <w:t>Sacred Geometry</w:t>
      </w:r>
      <w:r w:rsidRPr="00674828">
        <w:rPr>
          <w:kern w:val="0"/>
        </w:rPr>
        <w:t>.</w:t>
      </w:r>
      <w:r w:rsidR="00C83F73">
        <w:rPr>
          <w:kern w:val="0"/>
        </w:rPr>
        <w:t xml:space="preserve"> </w:t>
      </w:r>
      <w:r w:rsidR="00C83F73" w:rsidRPr="00C83F73">
        <w:rPr>
          <w:kern w:val="0"/>
        </w:rPr>
        <w:t>Chieveley</w:t>
      </w:r>
      <w:r w:rsidR="00C83F73">
        <w:rPr>
          <w:kern w:val="0"/>
        </w:rPr>
        <w:t>:</w:t>
      </w:r>
      <w:r w:rsidR="00C83F73" w:rsidRPr="00C83F73">
        <w:rPr>
          <w:kern w:val="0"/>
        </w:rPr>
        <w:t xml:space="preserve"> Capall Bann, 1994</w:t>
      </w:r>
      <w:r w:rsidR="00C83F73">
        <w:rPr>
          <w:kern w:val="0"/>
        </w:rPr>
        <w:t>.</w:t>
      </w:r>
    </w:p>
  </w:footnote>
  <w:footnote w:id="783">
    <w:p w14:paraId="20623501" w14:textId="61D51A77" w:rsidR="0018433B" w:rsidRPr="00674828" w:rsidRDefault="0018433B" w:rsidP="00674828">
      <w:pPr>
        <w:rPr>
          <w:kern w:val="0"/>
        </w:rPr>
      </w:pPr>
      <w:r w:rsidRPr="00674828">
        <w:rPr>
          <w:kern w:val="0"/>
          <w:vertAlign w:val="superscript"/>
        </w:rPr>
        <w:footnoteRef/>
      </w:r>
      <w:r w:rsidR="006414EC">
        <w:rPr>
          <w:kern w:val="0"/>
        </w:rPr>
        <w:t xml:space="preserve"> B</w:t>
      </w:r>
      <w:r w:rsidRPr="00674828">
        <w:rPr>
          <w:kern w:val="0"/>
        </w:rPr>
        <w:t>urney</w:t>
      </w:r>
      <w:r w:rsidR="006F304D" w:rsidRPr="00674828">
        <w:rPr>
          <w:kern w:val="0"/>
        </w:rPr>
        <w:t xml:space="preserve">, </w:t>
      </w:r>
      <w:r w:rsidRPr="00674828">
        <w:rPr>
          <w:i/>
          <w:kern w:val="0"/>
        </w:rPr>
        <w:t>Poetry</w:t>
      </w:r>
      <w:r w:rsidR="00C83F73">
        <w:rPr>
          <w:i/>
          <w:kern w:val="0"/>
        </w:rPr>
        <w:t xml:space="preserve"> of Our Lord</w:t>
      </w:r>
      <w:r w:rsidR="006F304D" w:rsidRPr="00674828">
        <w:rPr>
          <w:kern w:val="0"/>
        </w:rPr>
        <w:t xml:space="preserve"> </w:t>
      </w:r>
      <w:r w:rsidRPr="00674828">
        <w:rPr>
          <w:kern w:val="0"/>
        </w:rPr>
        <w:t>43.</w:t>
      </w:r>
    </w:p>
  </w:footnote>
  <w:footnote w:id="784">
    <w:p w14:paraId="72983429" w14:textId="6BAD36A5" w:rsidR="0018433B" w:rsidRPr="00674828" w:rsidRDefault="0018433B" w:rsidP="00674828">
      <w:pPr>
        <w:rPr>
          <w:kern w:val="0"/>
        </w:rPr>
      </w:pPr>
      <w:r w:rsidRPr="00674828">
        <w:rPr>
          <w:kern w:val="0"/>
          <w:vertAlign w:val="superscript"/>
        </w:rPr>
        <w:footnoteRef/>
      </w:r>
      <w:r w:rsidR="006414EC">
        <w:rPr>
          <w:kern w:val="0"/>
        </w:rPr>
        <w:t xml:space="preserve"> B</w:t>
      </w:r>
      <w:r w:rsidRPr="00674828">
        <w:rPr>
          <w:kern w:val="0"/>
        </w:rPr>
        <w:t>urney</w:t>
      </w:r>
      <w:r w:rsidR="006F304D" w:rsidRPr="00674828">
        <w:rPr>
          <w:kern w:val="0"/>
        </w:rPr>
        <w:t xml:space="preserve">, </w:t>
      </w:r>
      <w:r w:rsidRPr="00674828">
        <w:rPr>
          <w:i/>
          <w:kern w:val="0"/>
        </w:rPr>
        <w:t>Poetry</w:t>
      </w:r>
      <w:r w:rsidR="00C83F73">
        <w:rPr>
          <w:i/>
          <w:kern w:val="0"/>
        </w:rPr>
        <w:t xml:space="preserve"> of Our Lord</w:t>
      </w:r>
      <w:r w:rsidR="006F304D" w:rsidRPr="00674828">
        <w:rPr>
          <w:kern w:val="0"/>
        </w:rPr>
        <w:t xml:space="preserve"> </w:t>
      </w:r>
      <w:r w:rsidRPr="00674828">
        <w:rPr>
          <w:kern w:val="0"/>
        </w:rPr>
        <w:t>112.</w:t>
      </w:r>
      <w:r w:rsidR="00AC038F" w:rsidRPr="00674828">
        <w:rPr>
          <w:iCs/>
          <w:kern w:val="0"/>
        </w:rPr>
        <w:t xml:space="preserve"> </w:t>
      </w:r>
      <w:r w:rsidRPr="00674828">
        <w:rPr>
          <w:kern w:val="0"/>
        </w:rPr>
        <w:t xml:space="preserve">He even </w:t>
      </w:r>
      <w:r w:rsidR="00C83F73">
        <w:rPr>
          <w:kern w:val="0"/>
        </w:rPr>
        <w:t xml:space="preserve">says </w:t>
      </w:r>
      <w:r w:rsidRPr="00674828">
        <w:rPr>
          <w:kern w:val="0"/>
        </w:rPr>
        <w:t>(p. 101)</w:t>
      </w:r>
      <w:r w:rsidR="006F304D" w:rsidRPr="00674828">
        <w:rPr>
          <w:kern w:val="0"/>
        </w:rPr>
        <w:t xml:space="preserve">, </w:t>
      </w:r>
      <w:r w:rsidRPr="00674828">
        <w:rPr>
          <w:kern w:val="0"/>
        </w:rPr>
        <w:t>seemingly by way of defense</w:t>
      </w:r>
      <w:r w:rsidR="006F304D" w:rsidRPr="00674828">
        <w:rPr>
          <w:kern w:val="0"/>
        </w:rPr>
        <w:t xml:space="preserve">, </w:t>
      </w:r>
      <w:r w:rsidRPr="00674828">
        <w:rPr>
          <w:kern w:val="0"/>
        </w:rPr>
        <w:t>that “It may be questioned</w:t>
      </w:r>
      <w:r w:rsidR="006F304D" w:rsidRPr="00674828">
        <w:rPr>
          <w:kern w:val="0"/>
        </w:rPr>
        <w:t xml:space="preserve">, </w:t>
      </w:r>
      <w:r w:rsidRPr="00674828">
        <w:rPr>
          <w:kern w:val="0"/>
        </w:rPr>
        <w:t>indeed</w:t>
      </w:r>
      <w:r w:rsidR="006F304D" w:rsidRPr="00674828">
        <w:rPr>
          <w:kern w:val="0"/>
        </w:rPr>
        <w:t xml:space="preserve">, </w:t>
      </w:r>
      <w:r w:rsidRPr="00674828">
        <w:rPr>
          <w:kern w:val="0"/>
        </w:rPr>
        <w:t>whether perfect regularity was regarded by the Hebrews as a poetical merit.</w:t>
      </w:r>
      <w:r w:rsidR="00AC038F" w:rsidRPr="00674828">
        <w:rPr>
          <w:iCs/>
          <w:kern w:val="0"/>
        </w:rPr>
        <w:t xml:space="preserve"> </w:t>
      </w:r>
      <w:r w:rsidRPr="00674828">
        <w:rPr>
          <w:kern w:val="0"/>
        </w:rPr>
        <w:t>We rarely find it</w:t>
      </w:r>
      <w:r w:rsidR="006F304D" w:rsidRPr="00674828">
        <w:rPr>
          <w:kern w:val="0"/>
        </w:rPr>
        <w:t xml:space="preserve">, </w:t>
      </w:r>
      <w:r w:rsidRPr="00674828">
        <w:rPr>
          <w:kern w:val="0"/>
        </w:rPr>
        <w:t>even in the Psalms.”</w:t>
      </w:r>
    </w:p>
  </w:footnote>
  <w:footnote w:id="785">
    <w:p w14:paraId="54161010" w14:textId="6F1653B8" w:rsidR="0018433B" w:rsidRPr="00674828" w:rsidRDefault="0018433B" w:rsidP="00674828">
      <w:pPr>
        <w:rPr>
          <w:kern w:val="0"/>
        </w:rPr>
      </w:pPr>
      <w:r w:rsidRPr="00674828">
        <w:rPr>
          <w:kern w:val="0"/>
          <w:vertAlign w:val="superscript"/>
        </w:rPr>
        <w:footnoteRef/>
      </w:r>
      <w:r w:rsidR="006414EC">
        <w:rPr>
          <w:kern w:val="0"/>
        </w:rPr>
        <w:t xml:space="preserve"> B</w:t>
      </w:r>
      <w:r w:rsidRPr="00674828">
        <w:rPr>
          <w:kern w:val="0"/>
        </w:rPr>
        <w:t>rown</w:t>
      </w:r>
      <w:r w:rsidR="006F304D" w:rsidRPr="00674828">
        <w:rPr>
          <w:kern w:val="0"/>
        </w:rPr>
        <w:t xml:space="preserve">, </w:t>
      </w:r>
      <w:r w:rsidRPr="00674828">
        <w:rPr>
          <w:i/>
          <w:kern w:val="0"/>
        </w:rPr>
        <w:t>Adult Christ</w:t>
      </w:r>
      <w:r w:rsidR="006F304D" w:rsidRPr="00674828">
        <w:rPr>
          <w:kern w:val="0"/>
        </w:rPr>
        <w:t xml:space="preserve"> </w:t>
      </w:r>
      <w:r w:rsidRPr="00674828">
        <w:rPr>
          <w:kern w:val="0"/>
        </w:rPr>
        <w:t>28 n. 46.</w:t>
      </w:r>
    </w:p>
  </w:footnote>
  <w:footnote w:id="786">
    <w:p w14:paraId="6D7329B9" w14:textId="76AAD591" w:rsidR="0018433B" w:rsidRPr="00674828" w:rsidRDefault="0018433B" w:rsidP="00674828">
      <w:pPr>
        <w:rPr>
          <w:kern w:val="0"/>
        </w:rPr>
      </w:pPr>
      <w:r w:rsidRPr="00674828">
        <w:rPr>
          <w:kern w:val="0"/>
          <w:vertAlign w:val="superscript"/>
        </w:rPr>
        <w:footnoteRef/>
      </w:r>
      <w:r w:rsidR="006414EC">
        <w:rPr>
          <w:kern w:val="0"/>
        </w:rPr>
        <w:t xml:space="preserve"> I</w:t>
      </w:r>
      <w:r w:rsidRPr="00674828">
        <w:rPr>
          <w:kern w:val="0"/>
        </w:rPr>
        <w:t>bid.</w:t>
      </w:r>
      <w:r w:rsidR="006F304D" w:rsidRPr="00674828">
        <w:rPr>
          <w:kern w:val="0"/>
        </w:rPr>
        <w:t xml:space="preserve">, </w:t>
      </w:r>
      <w:r w:rsidRPr="00674828">
        <w:rPr>
          <w:kern w:val="0"/>
        </w:rPr>
        <w:t>29.</w:t>
      </w:r>
    </w:p>
  </w:footnote>
  <w:footnote w:id="787">
    <w:p w14:paraId="76149E55" w14:textId="66481505" w:rsidR="0018433B" w:rsidRPr="00674828" w:rsidRDefault="0018433B" w:rsidP="00674828">
      <w:pPr>
        <w:rPr>
          <w:kern w:val="0"/>
        </w:rPr>
      </w:pPr>
      <w:r w:rsidRPr="00674828">
        <w:rPr>
          <w:kern w:val="0"/>
          <w:vertAlign w:val="superscript"/>
        </w:rPr>
        <w:footnoteRef/>
      </w:r>
      <w:r w:rsidR="006414EC">
        <w:rPr>
          <w:kern w:val="0"/>
        </w:rPr>
        <w:t xml:space="preserve"> I</w:t>
      </w:r>
      <w:r w:rsidRPr="00674828">
        <w:rPr>
          <w:kern w:val="0"/>
        </w:rPr>
        <w:t>bid.</w:t>
      </w:r>
    </w:p>
  </w:footnote>
  <w:footnote w:id="788">
    <w:p w14:paraId="100B1419" w14:textId="28B249D4" w:rsidR="0018433B" w:rsidRPr="00674828" w:rsidRDefault="0018433B" w:rsidP="00674828">
      <w:pPr>
        <w:rPr>
          <w:kern w:val="0"/>
        </w:rPr>
      </w:pPr>
      <w:r w:rsidRPr="00674828">
        <w:rPr>
          <w:kern w:val="0"/>
          <w:vertAlign w:val="superscript"/>
        </w:rPr>
        <w:footnoteRef/>
      </w:r>
      <w:r w:rsidR="006414EC" w:rsidRPr="006414EC">
        <w:rPr>
          <w:iCs/>
          <w:kern w:val="0"/>
        </w:rPr>
        <w:t xml:space="preserve"> </w:t>
      </w:r>
      <w:r w:rsidR="006414EC">
        <w:rPr>
          <w:i/>
          <w:kern w:val="0"/>
        </w:rPr>
        <w:t>C</w:t>
      </w:r>
      <w:r w:rsidRPr="00674828">
        <w:rPr>
          <w:i/>
          <w:kern w:val="0"/>
        </w:rPr>
        <w:t>hiasmus</w:t>
      </w:r>
      <w:r w:rsidR="006F304D" w:rsidRPr="00674828">
        <w:rPr>
          <w:kern w:val="0"/>
        </w:rPr>
        <w:t xml:space="preserve"> </w:t>
      </w:r>
      <w:r w:rsidRPr="00674828">
        <w:rPr>
          <w:kern w:val="0"/>
        </w:rPr>
        <w:t>vii; cf. 35.</w:t>
      </w:r>
    </w:p>
  </w:footnote>
  <w:footnote w:id="789">
    <w:p w14:paraId="140EC83E" w14:textId="73816AB6" w:rsidR="0018433B" w:rsidRPr="00E5413C" w:rsidRDefault="0018433B" w:rsidP="00674828">
      <w:pPr>
        <w:rPr>
          <w:kern w:val="0"/>
          <w:lang w:val="fr-FR"/>
        </w:rPr>
      </w:pPr>
      <w:r w:rsidRPr="006414EC">
        <w:rPr>
          <w:kern w:val="0"/>
          <w:vertAlign w:val="superscript"/>
        </w:rPr>
        <w:footnoteRef/>
      </w:r>
      <w:r w:rsidR="006414EC" w:rsidRPr="00E5413C">
        <w:rPr>
          <w:kern w:val="0"/>
          <w:lang w:val="fr-FR"/>
        </w:rPr>
        <w:t xml:space="preserve"> </w:t>
      </w:r>
      <w:r w:rsidR="006414EC" w:rsidRPr="00E5413C">
        <w:rPr>
          <w:i/>
          <w:kern w:val="0"/>
          <w:lang w:val="fr-FR"/>
        </w:rPr>
        <w:t>Q</w:t>
      </w:r>
      <w:r w:rsidRPr="00E5413C">
        <w:rPr>
          <w:i/>
          <w:kern w:val="0"/>
          <w:lang w:val="fr-FR"/>
        </w:rPr>
        <w:t>uelle</w:t>
      </w:r>
      <w:r w:rsidR="00C83F73" w:rsidRPr="00E5413C">
        <w:rPr>
          <w:i/>
          <w:kern w:val="0"/>
          <w:lang w:val="fr-FR"/>
        </w:rPr>
        <w:t xml:space="preserve"> est donc cette parole?</w:t>
      </w:r>
      <w:r w:rsidR="006F304D" w:rsidRPr="00E5413C">
        <w:rPr>
          <w:kern w:val="0"/>
          <w:lang w:val="fr-FR"/>
        </w:rPr>
        <w:t xml:space="preserve"> </w:t>
      </w:r>
      <w:r w:rsidRPr="00E5413C">
        <w:rPr>
          <w:kern w:val="0"/>
          <w:lang w:val="fr-FR"/>
        </w:rPr>
        <w:t>1. 117</w:t>
      </w:r>
      <w:r w:rsidR="00C83F73" w:rsidRPr="00E5413C">
        <w:rPr>
          <w:kern w:val="0"/>
          <w:lang w:val="fr-FR"/>
        </w:rPr>
        <w:t>: “Ceci mérite d’être souligné: le fait que des cherceurs, travaillants de façon indépendante et sans connaître les travaux les uns des autres, aboutissent aux mêmes constatations, permet de pensr que les structures qu’ils ont découvertes ne sont pas pure projection.”</w:t>
      </w:r>
    </w:p>
  </w:footnote>
  <w:footnote w:id="790">
    <w:p w14:paraId="1624BF1A" w14:textId="4AD7E531" w:rsidR="0018433B" w:rsidRPr="00E5413C" w:rsidRDefault="0018433B" w:rsidP="00674828">
      <w:pPr>
        <w:rPr>
          <w:kern w:val="0"/>
          <w:lang w:val="fr-FR"/>
        </w:rPr>
      </w:pPr>
      <w:r w:rsidRPr="00674828">
        <w:rPr>
          <w:kern w:val="0"/>
          <w:vertAlign w:val="superscript"/>
        </w:rPr>
        <w:footnoteRef/>
      </w:r>
      <w:r w:rsidR="006414EC" w:rsidRPr="00E5413C">
        <w:rPr>
          <w:kern w:val="0"/>
          <w:lang w:val="fr-FR"/>
        </w:rPr>
        <w:t xml:space="preserve"> I</w:t>
      </w:r>
      <w:r w:rsidRPr="00E5413C">
        <w:rPr>
          <w:kern w:val="0"/>
          <w:lang w:val="fr-FR"/>
        </w:rPr>
        <w:t>bid.</w:t>
      </w:r>
      <w:r w:rsidR="006F304D" w:rsidRPr="00E5413C">
        <w:rPr>
          <w:kern w:val="0"/>
          <w:lang w:val="fr-FR"/>
        </w:rPr>
        <w:t xml:space="preserve">, </w:t>
      </w:r>
      <w:r w:rsidRPr="00E5413C">
        <w:rPr>
          <w:kern w:val="0"/>
          <w:lang w:val="fr-FR"/>
        </w:rPr>
        <w:t>1. 120.</w:t>
      </w:r>
    </w:p>
  </w:footnote>
  <w:footnote w:id="791">
    <w:p w14:paraId="1AC4145A" w14:textId="2FE3AEFB" w:rsidR="0018433B" w:rsidRPr="00674828" w:rsidRDefault="0018433B" w:rsidP="00674828">
      <w:pPr>
        <w:rPr>
          <w:kern w:val="0"/>
        </w:rPr>
      </w:pPr>
      <w:r w:rsidRPr="00674828">
        <w:rPr>
          <w:kern w:val="0"/>
          <w:vertAlign w:val="superscript"/>
        </w:rPr>
        <w:footnoteRef/>
      </w:r>
      <w:r w:rsidR="006414EC" w:rsidRPr="00E5413C">
        <w:rPr>
          <w:kern w:val="0"/>
          <w:lang w:val="fr-FR"/>
        </w:rPr>
        <w:t xml:space="preserve"> I</w:t>
      </w:r>
      <w:r w:rsidRPr="00E5413C">
        <w:rPr>
          <w:kern w:val="0"/>
          <w:lang w:val="fr-FR"/>
        </w:rPr>
        <w:t>bid.</w:t>
      </w:r>
      <w:r w:rsidR="006F304D" w:rsidRPr="00E5413C">
        <w:rPr>
          <w:kern w:val="0"/>
          <w:lang w:val="fr-FR"/>
        </w:rPr>
        <w:t xml:space="preserve">, </w:t>
      </w:r>
      <w:r w:rsidRPr="00E5413C">
        <w:rPr>
          <w:kern w:val="0"/>
          <w:lang w:val="fr-FR"/>
        </w:rPr>
        <w:t>1. 131</w:t>
      </w:r>
      <w:r w:rsidR="00FC13F8" w:rsidRPr="00E5413C">
        <w:rPr>
          <w:kern w:val="0"/>
          <w:lang w:val="fr-FR"/>
        </w:rPr>
        <w:t>: “. . . Lund a repéré [locate, discover] bien avant moi le chiasme lexical de l’Unité B1 . . .”</w:t>
      </w:r>
      <w:r w:rsidRPr="00E5413C">
        <w:rPr>
          <w:kern w:val="0"/>
          <w:lang w:val="fr-FR"/>
        </w:rPr>
        <w:t xml:space="preserve"> </w:t>
      </w:r>
      <w:r w:rsidRPr="00674828">
        <w:rPr>
          <w:kern w:val="0"/>
        </w:rPr>
        <w:t>(referring to Lund</w:t>
      </w:r>
      <w:r w:rsidR="006F304D" w:rsidRPr="00674828">
        <w:rPr>
          <w:kern w:val="0"/>
        </w:rPr>
        <w:t xml:space="preserve">, </w:t>
      </w:r>
      <w:r w:rsidRPr="00674828">
        <w:rPr>
          <w:i/>
          <w:kern w:val="0"/>
        </w:rPr>
        <w:t>Chiasmus</w:t>
      </w:r>
      <w:r w:rsidR="006F304D" w:rsidRPr="00674828">
        <w:rPr>
          <w:kern w:val="0"/>
        </w:rPr>
        <w:t xml:space="preserve"> </w:t>
      </w:r>
      <w:r w:rsidRPr="00674828">
        <w:rPr>
          <w:kern w:val="0"/>
        </w:rPr>
        <w:t>236).</w:t>
      </w:r>
      <w:r w:rsidR="00AC038F" w:rsidRPr="00674828">
        <w:rPr>
          <w:iCs/>
          <w:kern w:val="0"/>
        </w:rPr>
        <w:t xml:space="preserve"> </w:t>
      </w:r>
      <w:r w:rsidRPr="00674828">
        <w:rPr>
          <w:kern w:val="0"/>
        </w:rPr>
        <w:t>Similar statements occur on pp. 15 (bis)</w:t>
      </w:r>
      <w:r w:rsidR="006F304D" w:rsidRPr="00674828">
        <w:rPr>
          <w:kern w:val="0"/>
        </w:rPr>
        <w:t xml:space="preserve">, </w:t>
      </w:r>
      <w:r w:rsidRPr="00674828">
        <w:rPr>
          <w:kern w:val="0"/>
        </w:rPr>
        <w:t>37</w:t>
      </w:r>
      <w:r w:rsidR="006F304D" w:rsidRPr="00674828">
        <w:rPr>
          <w:kern w:val="0"/>
        </w:rPr>
        <w:t xml:space="preserve">, </w:t>
      </w:r>
      <w:r w:rsidRPr="00674828">
        <w:rPr>
          <w:kern w:val="0"/>
        </w:rPr>
        <w:t>195</w:t>
      </w:r>
      <w:r w:rsidR="006F304D" w:rsidRPr="00674828">
        <w:rPr>
          <w:kern w:val="0"/>
        </w:rPr>
        <w:t xml:space="preserve">, </w:t>
      </w:r>
      <w:r w:rsidR="00C83F73">
        <w:rPr>
          <w:kern w:val="0"/>
        </w:rPr>
        <w:t xml:space="preserve">and </w:t>
      </w:r>
      <w:r w:rsidRPr="00674828">
        <w:rPr>
          <w:kern w:val="0"/>
        </w:rPr>
        <w:t>197.</w:t>
      </w:r>
    </w:p>
  </w:footnote>
  <w:footnote w:id="792">
    <w:p w14:paraId="6F4D743E" w14:textId="4289A8B5" w:rsidR="0018433B" w:rsidRPr="00E5413C" w:rsidRDefault="0018433B" w:rsidP="00674828">
      <w:pPr>
        <w:rPr>
          <w:kern w:val="0"/>
          <w:lang w:val="fr-FR"/>
        </w:rPr>
      </w:pPr>
      <w:r w:rsidRPr="00674828">
        <w:rPr>
          <w:kern w:val="0"/>
          <w:vertAlign w:val="superscript"/>
        </w:rPr>
        <w:footnoteRef/>
      </w:r>
      <w:r w:rsidR="006414EC">
        <w:rPr>
          <w:kern w:val="0"/>
        </w:rPr>
        <w:t xml:space="preserve"> I</w:t>
      </w:r>
      <w:r w:rsidRPr="00674828">
        <w:rPr>
          <w:kern w:val="0"/>
        </w:rPr>
        <w:t>bid.</w:t>
      </w:r>
      <w:r w:rsidR="006F304D" w:rsidRPr="00674828">
        <w:rPr>
          <w:kern w:val="0"/>
        </w:rPr>
        <w:t xml:space="preserve">, </w:t>
      </w:r>
      <w:r w:rsidRPr="00674828">
        <w:rPr>
          <w:kern w:val="0"/>
        </w:rPr>
        <w:t>1. 199: “we have no possibility of knowing if the Units had a liturgical use in the early Church [but] they are of very different lengths.”</w:t>
      </w:r>
      <w:r w:rsidR="00FC13F8">
        <w:rPr>
          <w:kern w:val="0"/>
        </w:rPr>
        <w:t xml:space="preserve"> </w:t>
      </w:r>
      <w:r w:rsidR="00FC13F8" w:rsidRPr="00E5413C">
        <w:rPr>
          <w:kern w:val="0"/>
          <w:lang w:val="fr-FR"/>
        </w:rPr>
        <w:t>(“. . . nous n’avons aucune possibilité de savoir si les Unités avaient un usage liturgique dans les premiers temps [mais] elles sont de longueur trés variable.”)</w:t>
      </w:r>
      <w:r w:rsidR="00AC038F" w:rsidRPr="00E5413C">
        <w:rPr>
          <w:iCs/>
          <w:kern w:val="0"/>
          <w:lang w:val="fr-FR"/>
        </w:rPr>
        <w:t xml:space="preserve"> </w:t>
      </w:r>
      <w:r w:rsidRPr="00E5413C">
        <w:rPr>
          <w:kern w:val="0"/>
          <w:lang w:val="fr-FR"/>
        </w:rPr>
        <w:t>See also p. 124.</w:t>
      </w:r>
    </w:p>
  </w:footnote>
  <w:footnote w:id="793">
    <w:p w14:paraId="09716D88" w14:textId="6512DF98" w:rsidR="0018433B" w:rsidRPr="00E5413C" w:rsidRDefault="0018433B" w:rsidP="00674828">
      <w:pPr>
        <w:rPr>
          <w:kern w:val="0"/>
          <w:lang w:val="fr-FR"/>
        </w:rPr>
      </w:pPr>
      <w:r w:rsidRPr="00674828">
        <w:rPr>
          <w:kern w:val="0"/>
          <w:vertAlign w:val="superscript"/>
        </w:rPr>
        <w:footnoteRef/>
      </w:r>
      <w:r w:rsidR="006414EC" w:rsidRPr="00E5413C">
        <w:rPr>
          <w:kern w:val="0"/>
          <w:lang w:val="fr-FR"/>
        </w:rPr>
        <w:t xml:space="preserve"> I</w:t>
      </w:r>
      <w:r w:rsidRPr="00E5413C">
        <w:rPr>
          <w:kern w:val="0"/>
          <w:lang w:val="fr-FR"/>
        </w:rPr>
        <w:t>bid.</w:t>
      </w:r>
      <w:r w:rsidR="006F304D" w:rsidRPr="00E5413C">
        <w:rPr>
          <w:kern w:val="0"/>
          <w:lang w:val="fr-FR"/>
        </w:rPr>
        <w:t xml:space="preserve">, </w:t>
      </w:r>
      <w:r w:rsidRPr="00E5413C">
        <w:rPr>
          <w:kern w:val="0"/>
          <w:lang w:val="fr-FR"/>
        </w:rPr>
        <w:t>1. 199</w:t>
      </w:r>
      <w:r w:rsidR="00FC13F8" w:rsidRPr="00E5413C">
        <w:rPr>
          <w:kern w:val="0"/>
          <w:lang w:val="fr-FR"/>
        </w:rPr>
        <w:t>: “ne peut-on imaginer que leur fonction soit justement de favoriser la mémorisation du texte?”</w:t>
      </w:r>
    </w:p>
  </w:footnote>
  <w:footnote w:id="794">
    <w:p w14:paraId="5F83A962" w14:textId="74C43069" w:rsidR="0018433B" w:rsidRPr="00E5413C" w:rsidRDefault="0018433B" w:rsidP="00674828">
      <w:pPr>
        <w:rPr>
          <w:kern w:val="0"/>
          <w:lang w:val="fr-FR"/>
        </w:rPr>
      </w:pPr>
      <w:r w:rsidRPr="00674828">
        <w:rPr>
          <w:kern w:val="0"/>
          <w:vertAlign w:val="superscript"/>
        </w:rPr>
        <w:footnoteRef/>
      </w:r>
      <w:r w:rsidR="006414EC" w:rsidRPr="00E5413C">
        <w:rPr>
          <w:kern w:val="0"/>
          <w:lang w:val="fr-FR"/>
        </w:rPr>
        <w:t xml:space="preserve"> I</w:t>
      </w:r>
      <w:r w:rsidRPr="00E5413C">
        <w:rPr>
          <w:kern w:val="0"/>
          <w:lang w:val="fr-FR"/>
        </w:rPr>
        <w:t>bid</w:t>
      </w:r>
      <w:r w:rsidR="00FC13F8" w:rsidRPr="00E5413C">
        <w:rPr>
          <w:kern w:val="0"/>
          <w:lang w:val="fr-FR"/>
        </w:rPr>
        <w:t xml:space="preserve">: “cette analyse permet de </w:t>
      </w:r>
      <w:r w:rsidR="00FC13F8" w:rsidRPr="00E5413C">
        <w:rPr>
          <w:i/>
          <w:iCs/>
          <w:kern w:val="0"/>
          <w:lang w:val="fr-FR"/>
        </w:rPr>
        <w:t>mémoriser</w:t>
      </w:r>
      <w:r w:rsidR="00FC13F8" w:rsidRPr="00E5413C">
        <w:rPr>
          <w:kern w:val="0"/>
          <w:lang w:val="fr-FR"/>
        </w:rPr>
        <w:t xml:space="preserve"> facilement le texte.”</w:t>
      </w:r>
    </w:p>
  </w:footnote>
  <w:footnote w:id="795">
    <w:p w14:paraId="59061088" w14:textId="0486C1A1" w:rsidR="0018433B" w:rsidRPr="00E5413C" w:rsidRDefault="0018433B" w:rsidP="00674828">
      <w:pPr>
        <w:rPr>
          <w:kern w:val="0"/>
          <w:lang w:val="fr-FR"/>
        </w:rPr>
      </w:pPr>
      <w:r w:rsidRPr="00674828">
        <w:rPr>
          <w:kern w:val="0"/>
          <w:vertAlign w:val="superscript"/>
        </w:rPr>
        <w:footnoteRef/>
      </w:r>
      <w:r w:rsidR="006414EC" w:rsidRPr="00E5413C">
        <w:rPr>
          <w:kern w:val="0"/>
          <w:lang w:val="fr-FR"/>
        </w:rPr>
        <w:t xml:space="preserve"> I</w:t>
      </w:r>
      <w:r w:rsidRPr="00E5413C">
        <w:rPr>
          <w:kern w:val="0"/>
          <w:lang w:val="fr-FR"/>
        </w:rPr>
        <w:t>bid.</w:t>
      </w:r>
      <w:r w:rsidR="00FC13F8" w:rsidRPr="00E5413C">
        <w:rPr>
          <w:kern w:val="0"/>
          <w:lang w:val="fr-FR"/>
        </w:rPr>
        <w:t xml:space="preserve">: </w:t>
      </w:r>
      <w:r w:rsidRPr="00E5413C">
        <w:rPr>
          <w:kern w:val="0"/>
          <w:lang w:val="fr-FR"/>
        </w:rPr>
        <w:t>“Non pas de le retenir par coeur</w:t>
      </w:r>
      <w:r w:rsidR="00FC13F8" w:rsidRPr="00E5413C">
        <w:rPr>
          <w:kern w:val="0"/>
          <w:lang w:val="fr-FR"/>
        </w:rPr>
        <w:t xml:space="preserve"> . . .</w:t>
      </w:r>
      <w:r w:rsidRPr="00E5413C">
        <w:rPr>
          <w:kern w:val="0"/>
          <w:lang w:val="fr-FR"/>
        </w:rPr>
        <w:t>”</w:t>
      </w:r>
    </w:p>
  </w:footnote>
  <w:footnote w:id="796">
    <w:p w14:paraId="4F17D6CA" w14:textId="4678F358" w:rsidR="003536F8" w:rsidRPr="00E5413C" w:rsidRDefault="003536F8">
      <w:pPr>
        <w:pStyle w:val="FootnoteText"/>
        <w:rPr>
          <w:lang w:val="fr-FR"/>
        </w:rPr>
      </w:pPr>
      <w:r>
        <w:rPr>
          <w:rStyle w:val="FootnoteReference"/>
        </w:rPr>
        <w:footnoteRef/>
      </w:r>
      <w:r w:rsidRPr="00E5413C">
        <w:rPr>
          <w:lang w:val="fr-FR"/>
        </w:rPr>
        <w:t xml:space="preserve"> </w:t>
      </w:r>
      <w:r w:rsidRPr="00E5413C">
        <w:rPr>
          <w:kern w:val="0"/>
          <w:lang w:val="fr-FR"/>
        </w:rPr>
        <w:t>Meynet</w:t>
      </w:r>
      <w:r w:rsidR="00333BED" w:rsidRPr="00E5413C">
        <w:rPr>
          <w:kern w:val="0"/>
          <w:lang w:val="fr-FR"/>
        </w:rPr>
        <w:t xml:space="preserve">, </w:t>
      </w:r>
      <w:r w:rsidRPr="00E5413C">
        <w:rPr>
          <w:i/>
          <w:kern w:val="0"/>
          <w:lang w:val="fr-FR"/>
        </w:rPr>
        <w:t>Quelle est donc cette parole?</w:t>
      </w:r>
      <w:r w:rsidRPr="00E5413C">
        <w:rPr>
          <w:kern w:val="0"/>
          <w:lang w:val="fr-FR"/>
        </w:rPr>
        <w:t xml:space="preserve"> 1. 198: “Il est établi de façon irréfutable qu’un grand nombre de texte</w:t>
      </w:r>
      <w:r w:rsidRPr="00E5413C">
        <w:rPr>
          <w:lang w:val="fr-FR"/>
        </w:rPr>
        <w:t xml:space="preserve">, bien individualisés, de l’Ancien Testament sont construits sur le modèle du parallélisme ou du chiasme . . . Si telle est bien </w:t>
      </w:r>
      <w:r w:rsidRPr="00E5413C">
        <w:rPr>
          <w:i/>
          <w:iCs/>
          <w:lang w:val="fr-FR"/>
        </w:rPr>
        <w:t>la</w:t>
      </w:r>
      <w:r w:rsidRPr="00E5413C">
        <w:rPr>
          <w:lang w:val="fr-FR"/>
        </w:rPr>
        <w:t xml:space="preserve"> structure de ces textes, et en particulier des Psaumes où les problèmes de découpage n’existe guère, comment refuser . . . qu’elles représentent la structuration du texte de Luc . . .?”</w:t>
      </w:r>
    </w:p>
  </w:footnote>
  <w:footnote w:id="797">
    <w:p w14:paraId="1370D88A" w14:textId="18F5F119" w:rsidR="003536F8" w:rsidRPr="00E5413C" w:rsidRDefault="003536F8">
      <w:pPr>
        <w:pStyle w:val="FootnoteText"/>
        <w:rPr>
          <w:lang w:val="fr-FR"/>
        </w:rPr>
      </w:pPr>
      <w:r>
        <w:rPr>
          <w:rStyle w:val="FootnoteReference"/>
        </w:rPr>
        <w:footnoteRef/>
      </w:r>
      <w:r w:rsidRPr="00E5413C">
        <w:rPr>
          <w:lang w:val="fr-FR"/>
        </w:rPr>
        <w:t xml:space="preserve"> Ibid., 126: </w:t>
      </w:r>
      <w:r w:rsidRPr="00E5413C">
        <w:rPr>
          <w:kern w:val="0"/>
          <w:lang w:val="fr-FR"/>
        </w:rPr>
        <w:t>“La liste des passages bibliques construits de cette façon sera longue à établir.”</w:t>
      </w:r>
    </w:p>
  </w:footnote>
  <w:footnote w:id="798">
    <w:p w14:paraId="179A38D9" w14:textId="2AE9B777" w:rsidR="0018433B" w:rsidRPr="00E5413C" w:rsidRDefault="0018433B" w:rsidP="00674828">
      <w:pPr>
        <w:rPr>
          <w:kern w:val="0"/>
          <w:lang w:val="fr-FR"/>
        </w:rPr>
      </w:pPr>
      <w:r w:rsidRPr="00674828">
        <w:rPr>
          <w:kern w:val="0"/>
          <w:vertAlign w:val="superscript"/>
        </w:rPr>
        <w:footnoteRef/>
      </w:r>
      <w:r w:rsidR="006414EC" w:rsidRPr="00E5413C">
        <w:rPr>
          <w:kern w:val="0"/>
          <w:lang w:val="fr-FR"/>
        </w:rPr>
        <w:t xml:space="preserve"> T</w:t>
      </w:r>
      <w:r w:rsidRPr="00E5413C">
        <w:rPr>
          <w:kern w:val="0"/>
          <w:lang w:val="fr-FR"/>
        </w:rPr>
        <w:t>albert</w:t>
      </w:r>
      <w:r w:rsidR="006F304D" w:rsidRPr="00E5413C">
        <w:rPr>
          <w:kern w:val="0"/>
          <w:lang w:val="fr-FR"/>
        </w:rPr>
        <w:t xml:space="preserve">, </w:t>
      </w:r>
      <w:r w:rsidRPr="00E5413C">
        <w:rPr>
          <w:i/>
          <w:kern w:val="0"/>
          <w:lang w:val="fr-FR"/>
        </w:rPr>
        <w:t>Literary Patterns</w:t>
      </w:r>
      <w:r w:rsidR="006F304D" w:rsidRPr="00E5413C">
        <w:rPr>
          <w:kern w:val="0"/>
          <w:lang w:val="fr-FR"/>
        </w:rPr>
        <w:t xml:space="preserve"> </w:t>
      </w:r>
      <w:r w:rsidRPr="00E5413C">
        <w:rPr>
          <w:kern w:val="0"/>
          <w:lang w:val="fr-FR"/>
        </w:rPr>
        <w:t>8-9.</w:t>
      </w:r>
    </w:p>
  </w:footnote>
  <w:footnote w:id="799">
    <w:p w14:paraId="12839A0D" w14:textId="6850DD9A" w:rsidR="0018433B" w:rsidRPr="00E5413C" w:rsidRDefault="0018433B" w:rsidP="00674828">
      <w:pPr>
        <w:rPr>
          <w:kern w:val="0"/>
          <w:lang w:val="fr-FR"/>
        </w:rPr>
      </w:pPr>
      <w:r w:rsidRPr="00674828">
        <w:rPr>
          <w:kern w:val="0"/>
          <w:vertAlign w:val="superscript"/>
        </w:rPr>
        <w:footnoteRef/>
      </w:r>
      <w:r w:rsidR="006414EC" w:rsidRPr="00E5413C">
        <w:rPr>
          <w:kern w:val="0"/>
          <w:lang w:val="fr-FR"/>
        </w:rPr>
        <w:t xml:space="preserve"> </w:t>
      </w:r>
      <w:r w:rsidR="00EF10DB" w:rsidRPr="00E5413C">
        <w:rPr>
          <w:kern w:val="0"/>
          <w:lang w:val="fr-FR"/>
        </w:rPr>
        <w:t xml:space="preserve">Meynet, </w:t>
      </w:r>
      <w:r w:rsidR="00EF10DB" w:rsidRPr="00E5413C">
        <w:rPr>
          <w:i/>
          <w:iCs/>
          <w:kern w:val="0"/>
          <w:lang w:val="fr-FR"/>
        </w:rPr>
        <w:t>Quelle</w:t>
      </w:r>
      <w:r w:rsidR="006F304D" w:rsidRPr="00E5413C">
        <w:rPr>
          <w:kern w:val="0"/>
          <w:lang w:val="fr-FR"/>
        </w:rPr>
        <w:t xml:space="preserve"> </w:t>
      </w:r>
      <w:r w:rsidRPr="00E5413C">
        <w:rPr>
          <w:kern w:val="0"/>
          <w:lang w:val="fr-FR"/>
        </w:rPr>
        <w:t>1. 147</w:t>
      </w:r>
      <w:r w:rsidR="00717091" w:rsidRPr="00E5413C">
        <w:rPr>
          <w:kern w:val="0"/>
          <w:lang w:val="fr-FR"/>
        </w:rPr>
        <w:t>: “Luc a probablement observé la règle du chiasme, comme nous osbservons les règles de la langue quand nous parlons: si nous devions être conscients de toutes les lois, phonologiques, morphologiques et synaxiques, . . . nous resterions muets . . .”</w:t>
      </w:r>
    </w:p>
  </w:footnote>
  <w:footnote w:id="800">
    <w:p w14:paraId="5DB9A78F" w14:textId="067E12BD" w:rsidR="0018433B" w:rsidRPr="00674828" w:rsidRDefault="0018433B" w:rsidP="00674828">
      <w:pPr>
        <w:rPr>
          <w:kern w:val="0"/>
        </w:rPr>
      </w:pPr>
      <w:r w:rsidRPr="00674828">
        <w:rPr>
          <w:kern w:val="0"/>
          <w:vertAlign w:val="superscript"/>
        </w:rPr>
        <w:footnoteRef/>
      </w:r>
      <w:r w:rsidR="006414EC">
        <w:rPr>
          <w:kern w:val="0"/>
        </w:rPr>
        <w:t xml:space="preserve"> E</w:t>
      </w:r>
      <w:r w:rsidRPr="00674828">
        <w:rPr>
          <w:kern w:val="0"/>
        </w:rPr>
        <w:t>duard Norden</w:t>
      </w:r>
      <w:r w:rsidR="006F304D" w:rsidRPr="00674828">
        <w:rPr>
          <w:kern w:val="0"/>
        </w:rPr>
        <w:t xml:space="preserve">, </w:t>
      </w:r>
      <w:r w:rsidRPr="00674828">
        <w:rPr>
          <w:i/>
          <w:kern w:val="0"/>
        </w:rPr>
        <w:t>Agnostos Theos</w:t>
      </w:r>
      <w:r w:rsidR="00AC038F" w:rsidRPr="00674828">
        <w:rPr>
          <w:kern w:val="0"/>
        </w:rPr>
        <w:t xml:space="preserve">: </w:t>
      </w:r>
      <w:r w:rsidRPr="00674828">
        <w:rPr>
          <w:i/>
          <w:kern w:val="0"/>
        </w:rPr>
        <w:t>Untersuchungen zur Formengeschichte religiöser Rede</w:t>
      </w:r>
      <w:r w:rsidR="00EF10DB">
        <w:rPr>
          <w:kern w:val="0"/>
        </w:rPr>
        <w:t xml:space="preserve">. 1913. Rpt. </w:t>
      </w:r>
      <w:r w:rsidRPr="00674828">
        <w:rPr>
          <w:kern w:val="0"/>
        </w:rPr>
        <w:t>Darmstadt: Wissenschaftliche Buchgesellschaft</w:t>
      </w:r>
      <w:r w:rsidR="006F304D" w:rsidRPr="00674828">
        <w:rPr>
          <w:kern w:val="0"/>
        </w:rPr>
        <w:t xml:space="preserve">, </w:t>
      </w:r>
      <w:r w:rsidRPr="00674828">
        <w:rPr>
          <w:kern w:val="0"/>
        </w:rPr>
        <w:t>1956</w:t>
      </w:r>
      <w:r w:rsidR="00EF10DB">
        <w:rPr>
          <w:kern w:val="0"/>
        </w:rPr>
        <w:t>.</w:t>
      </w:r>
      <w:r w:rsidRPr="00674828">
        <w:rPr>
          <w:kern w:val="0"/>
        </w:rPr>
        <w:t xml:space="preserve"> 260-61</w:t>
      </w:r>
      <w:r w:rsidR="00717091">
        <w:rPr>
          <w:kern w:val="0"/>
        </w:rPr>
        <w:t>: “Der Hellene hat den Vorteil kunstreicher Gestaltung im Kleinen, aber ihm fehlt die Monumentalität der Architektonik.”</w:t>
      </w:r>
    </w:p>
  </w:footnote>
  <w:footnote w:id="801">
    <w:p w14:paraId="365DF3B0" w14:textId="2DA1954F" w:rsidR="0018433B" w:rsidRPr="00E5413C" w:rsidRDefault="0018433B" w:rsidP="00674828">
      <w:pPr>
        <w:rPr>
          <w:kern w:val="0"/>
          <w:lang w:val="fr-FR"/>
        </w:rPr>
      </w:pPr>
      <w:r w:rsidRPr="00674828">
        <w:rPr>
          <w:kern w:val="0"/>
          <w:vertAlign w:val="superscript"/>
        </w:rPr>
        <w:footnoteRef/>
      </w:r>
      <w:r w:rsidR="006414EC" w:rsidRPr="00E5413C">
        <w:rPr>
          <w:kern w:val="0"/>
          <w:lang w:val="fr-FR"/>
        </w:rPr>
        <w:t xml:space="preserve"> M</w:t>
      </w:r>
      <w:r w:rsidRPr="00E5413C">
        <w:rPr>
          <w:kern w:val="0"/>
          <w:lang w:val="fr-FR"/>
        </w:rPr>
        <w:t>eynet</w:t>
      </w:r>
      <w:r w:rsidR="006F304D" w:rsidRPr="00E5413C">
        <w:rPr>
          <w:kern w:val="0"/>
          <w:lang w:val="fr-FR"/>
        </w:rPr>
        <w:t xml:space="preserve">, </w:t>
      </w:r>
      <w:r w:rsidRPr="00E5413C">
        <w:rPr>
          <w:i/>
          <w:kern w:val="0"/>
          <w:lang w:val="fr-FR"/>
        </w:rPr>
        <w:t>Quelle</w:t>
      </w:r>
      <w:r w:rsidR="006F304D" w:rsidRPr="00E5413C">
        <w:rPr>
          <w:kern w:val="0"/>
          <w:lang w:val="fr-FR"/>
        </w:rPr>
        <w:t xml:space="preserve"> </w:t>
      </w:r>
      <w:r w:rsidRPr="00E5413C">
        <w:rPr>
          <w:kern w:val="0"/>
          <w:lang w:val="fr-FR"/>
        </w:rPr>
        <w:t>1. 61-62</w:t>
      </w:r>
      <w:r w:rsidR="00717091" w:rsidRPr="00E5413C">
        <w:rPr>
          <w:kern w:val="0"/>
          <w:lang w:val="fr-FR"/>
        </w:rPr>
        <w:t>:</w:t>
      </w:r>
    </w:p>
    <w:p w14:paraId="28E97806" w14:textId="77777777" w:rsidR="00FF4E44" w:rsidRPr="00E5413C" w:rsidRDefault="00FF4E44" w:rsidP="00674828">
      <w:pPr>
        <w:rPr>
          <w:kern w:val="0"/>
          <w:lang w:val="fr-FR"/>
        </w:rPr>
      </w:pPr>
    </w:p>
    <w:p w14:paraId="1B293F5F" w14:textId="37D3286B" w:rsidR="00717091" w:rsidRPr="00E5413C" w:rsidRDefault="00FF4E44" w:rsidP="00FF4E44">
      <w:pPr>
        <w:ind w:left="720" w:right="720"/>
        <w:rPr>
          <w:kern w:val="0"/>
          <w:lang w:val="fr-FR"/>
        </w:rPr>
      </w:pPr>
      <w:r w:rsidRPr="00E5413C">
        <w:rPr>
          <w:kern w:val="0"/>
          <w:lang w:val="fr-FR"/>
        </w:rPr>
        <w:t xml:space="preserve">. . . c’est la cohérence des indices et leur renforcement autuel qui sont une garantie de leur validité </w:t>
      </w:r>
      <w:r w:rsidR="00EF10DB" w:rsidRPr="00E5413C">
        <w:rPr>
          <w:kern w:val="0"/>
          <w:lang w:val="fr-FR"/>
        </w:rPr>
        <w:t>. . .</w:t>
      </w:r>
      <w:r w:rsidRPr="00E5413C">
        <w:rPr>
          <w:kern w:val="0"/>
          <w:lang w:val="fr-FR"/>
        </w:rPr>
        <w:t xml:space="preserve"> Un seul indice est toujours insuffisant pour établir la présomption d’une structure rhétorique. . . . La convergence des indices et leur cohérence à plusieurs niveaux à la fois est certainement le meilleur garant de leur validité.</w:t>
      </w:r>
    </w:p>
    <w:p w14:paraId="2847E9ED" w14:textId="77777777" w:rsidR="00717091" w:rsidRPr="00E5413C" w:rsidRDefault="00717091" w:rsidP="00674828">
      <w:pPr>
        <w:rPr>
          <w:kern w:val="0"/>
          <w:lang w:val="fr-FR"/>
        </w:rPr>
      </w:pPr>
    </w:p>
  </w:footnote>
  <w:footnote w:id="802">
    <w:p w14:paraId="4D5A7F81" w14:textId="5D8AC8BD" w:rsidR="0018433B" w:rsidRPr="00E5413C" w:rsidRDefault="0018433B" w:rsidP="00674828">
      <w:pPr>
        <w:rPr>
          <w:kern w:val="0"/>
          <w:lang w:val="fr-FR"/>
        </w:rPr>
      </w:pPr>
      <w:r w:rsidRPr="00674828">
        <w:rPr>
          <w:kern w:val="0"/>
          <w:vertAlign w:val="superscript"/>
        </w:rPr>
        <w:footnoteRef/>
      </w:r>
      <w:r w:rsidR="006414EC" w:rsidRPr="00E5413C">
        <w:rPr>
          <w:kern w:val="0"/>
          <w:lang w:val="fr-FR"/>
        </w:rPr>
        <w:t xml:space="preserve"> I</w:t>
      </w:r>
      <w:r w:rsidRPr="00E5413C">
        <w:rPr>
          <w:kern w:val="0"/>
          <w:lang w:val="fr-FR"/>
        </w:rPr>
        <w:t>bid.</w:t>
      </w:r>
    </w:p>
  </w:footnote>
  <w:footnote w:id="803">
    <w:p w14:paraId="23DA462A" w14:textId="4E9E10E1" w:rsidR="0018433B" w:rsidRPr="00FF4E44" w:rsidRDefault="0018433B" w:rsidP="00674828">
      <w:pPr>
        <w:rPr>
          <w:kern w:val="0"/>
        </w:rPr>
      </w:pPr>
      <w:r w:rsidRPr="00674828">
        <w:rPr>
          <w:kern w:val="0"/>
          <w:vertAlign w:val="superscript"/>
        </w:rPr>
        <w:footnoteRef/>
      </w:r>
      <w:r w:rsidR="006414EC" w:rsidRPr="00E5413C">
        <w:rPr>
          <w:kern w:val="0"/>
          <w:lang w:val="fr-FR"/>
        </w:rPr>
        <w:t xml:space="preserve"> I</w:t>
      </w:r>
      <w:r w:rsidRPr="00E5413C">
        <w:rPr>
          <w:kern w:val="0"/>
          <w:lang w:val="fr-FR"/>
        </w:rPr>
        <w:t>bid.</w:t>
      </w:r>
      <w:r w:rsidR="006F304D" w:rsidRPr="00E5413C">
        <w:rPr>
          <w:kern w:val="0"/>
          <w:lang w:val="fr-FR"/>
        </w:rPr>
        <w:t xml:space="preserve">, </w:t>
      </w:r>
      <w:r w:rsidRPr="00E5413C">
        <w:rPr>
          <w:kern w:val="0"/>
          <w:lang w:val="fr-FR"/>
        </w:rPr>
        <w:t>1. 195</w:t>
      </w:r>
      <w:r w:rsidR="00FF4E44" w:rsidRPr="00E5413C">
        <w:rPr>
          <w:kern w:val="0"/>
          <w:lang w:val="fr-FR"/>
        </w:rPr>
        <w:t xml:space="preserve">: “Une . . . question est souvent posée par les esprits les plus critiques: </w:t>
      </w:r>
      <w:r w:rsidR="00FF4E44" w:rsidRPr="00E5413C">
        <w:rPr>
          <w:szCs w:val="32"/>
          <w:lang w:val="fr-FR"/>
        </w:rPr>
        <w:t xml:space="preserve">«Les structures découvertes sont-elles </w:t>
      </w:r>
      <w:r w:rsidR="00FF4E44" w:rsidRPr="00E5413C">
        <w:rPr>
          <w:i/>
          <w:iCs/>
          <w:szCs w:val="32"/>
          <w:lang w:val="fr-FR"/>
        </w:rPr>
        <w:t>les</w:t>
      </w:r>
      <w:r w:rsidR="00FF4E44" w:rsidRPr="00E5413C">
        <w:rPr>
          <w:szCs w:val="32"/>
          <w:lang w:val="fr-FR"/>
        </w:rPr>
        <w:t xml:space="preserve"> structures du texte ou seulement </w:t>
      </w:r>
      <w:r w:rsidR="00FF4E44" w:rsidRPr="00E5413C">
        <w:rPr>
          <w:i/>
          <w:iCs/>
          <w:szCs w:val="32"/>
          <w:lang w:val="fr-FR"/>
        </w:rPr>
        <w:t>une</w:t>
      </w:r>
      <w:r w:rsidR="00FF4E44" w:rsidRPr="00E5413C">
        <w:rPr>
          <w:szCs w:val="32"/>
          <w:lang w:val="fr-FR"/>
        </w:rPr>
        <w:t xml:space="preserve"> structuration possible? . . .» </w:t>
      </w:r>
      <w:r w:rsidR="00FF4E44">
        <w:rPr>
          <w:szCs w:val="32"/>
        </w:rPr>
        <w:t>Cette question est fondamentale . . .”</w:t>
      </w:r>
    </w:p>
  </w:footnote>
  <w:footnote w:id="804">
    <w:p w14:paraId="07C28BFB" w14:textId="45F9A585" w:rsidR="0018433B" w:rsidRPr="00E5413C" w:rsidRDefault="0018433B" w:rsidP="00674828">
      <w:pPr>
        <w:rPr>
          <w:kern w:val="0"/>
          <w:lang w:val="fr-FR"/>
        </w:rPr>
      </w:pPr>
      <w:r w:rsidRPr="00674828">
        <w:rPr>
          <w:kern w:val="0"/>
          <w:vertAlign w:val="superscript"/>
        </w:rPr>
        <w:footnoteRef/>
      </w:r>
      <w:r w:rsidR="006414EC">
        <w:rPr>
          <w:kern w:val="0"/>
        </w:rPr>
        <w:t xml:space="preserve"> B</w:t>
      </w:r>
      <w:r w:rsidRPr="00674828">
        <w:rPr>
          <w:kern w:val="0"/>
        </w:rPr>
        <w:t>y contrast</w:t>
      </w:r>
      <w:r w:rsidR="006F304D" w:rsidRPr="00674828">
        <w:rPr>
          <w:kern w:val="0"/>
        </w:rPr>
        <w:t xml:space="preserve">, </w:t>
      </w:r>
      <w:r w:rsidRPr="00674828">
        <w:rPr>
          <w:kern w:val="0"/>
        </w:rPr>
        <w:t>see Georges Mounin (in the “Préface” to Meynet</w:t>
      </w:r>
      <w:r w:rsidR="006F304D" w:rsidRPr="00674828">
        <w:rPr>
          <w:kern w:val="0"/>
        </w:rPr>
        <w:t xml:space="preserve">, </w:t>
      </w:r>
      <w:r w:rsidRPr="00674828">
        <w:rPr>
          <w:i/>
          <w:kern w:val="0"/>
        </w:rPr>
        <w:t>Quelle</w:t>
      </w:r>
      <w:r w:rsidR="006F304D" w:rsidRPr="00674828">
        <w:rPr>
          <w:kern w:val="0"/>
        </w:rPr>
        <w:t xml:space="preserve"> </w:t>
      </w:r>
      <w:r w:rsidRPr="00674828">
        <w:rPr>
          <w:kern w:val="0"/>
        </w:rPr>
        <w:t>1. 8): Meynet</w:t>
      </w:r>
      <w:r w:rsidR="006F304D" w:rsidRPr="00674828">
        <w:rPr>
          <w:kern w:val="0"/>
        </w:rPr>
        <w:t xml:space="preserve">, </w:t>
      </w:r>
      <w:r w:rsidRPr="00674828">
        <w:rPr>
          <w:kern w:val="0"/>
        </w:rPr>
        <w:t>he says</w:t>
      </w:r>
      <w:r w:rsidR="006F304D" w:rsidRPr="00674828">
        <w:rPr>
          <w:kern w:val="0"/>
        </w:rPr>
        <w:t xml:space="preserve">, </w:t>
      </w:r>
      <w:r w:rsidRPr="00674828">
        <w:rPr>
          <w:kern w:val="0"/>
        </w:rPr>
        <w:t xml:space="preserve">is “too quick to admit that a single text may offer several possible structures </w:t>
      </w:r>
      <w:r w:rsidR="00EF10DB">
        <w:rPr>
          <w:kern w:val="0"/>
        </w:rPr>
        <w:t>. . .</w:t>
      </w:r>
      <w:r w:rsidRPr="00674828">
        <w:rPr>
          <w:kern w:val="0"/>
        </w:rPr>
        <w:t xml:space="preserve"> For my part—more royalist than the king—I believe that we stand </w:t>
      </w:r>
      <w:r w:rsidR="00EF10DB">
        <w:rPr>
          <w:kern w:val="0"/>
        </w:rPr>
        <w:t>. . .</w:t>
      </w:r>
      <w:r w:rsidR="00AC038F" w:rsidRPr="00674828">
        <w:rPr>
          <w:iCs/>
          <w:kern w:val="0"/>
        </w:rPr>
        <w:t xml:space="preserve"> </w:t>
      </w:r>
      <w:r w:rsidRPr="00674828">
        <w:rPr>
          <w:kern w:val="0"/>
        </w:rPr>
        <w:t xml:space="preserve">before </w:t>
      </w:r>
      <w:r w:rsidRPr="00674828">
        <w:rPr>
          <w:i/>
          <w:kern w:val="0"/>
        </w:rPr>
        <w:t>the</w:t>
      </w:r>
      <w:r w:rsidRPr="00674828">
        <w:rPr>
          <w:kern w:val="0"/>
        </w:rPr>
        <w:t xml:space="preserve"> reading of Luke.”</w:t>
      </w:r>
      <w:r w:rsidR="00FF4E44">
        <w:rPr>
          <w:kern w:val="0"/>
        </w:rPr>
        <w:t xml:space="preserve"> </w:t>
      </w:r>
      <w:r w:rsidR="00FF4E44" w:rsidRPr="00E5413C">
        <w:rPr>
          <w:kern w:val="0"/>
          <w:lang w:val="fr-FR"/>
        </w:rPr>
        <w:t>(“</w:t>
      </w:r>
      <w:r w:rsidR="00EF10DB" w:rsidRPr="00E5413C">
        <w:rPr>
          <w:kern w:val="0"/>
          <w:lang w:val="fr-FR"/>
        </w:rPr>
        <w:t>. . .</w:t>
      </w:r>
      <w:r w:rsidR="00FF4E44" w:rsidRPr="00E5413C">
        <w:rPr>
          <w:kern w:val="0"/>
          <w:lang w:val="fr-FR"/>
        </w:rPr>
        <w:t xml:space="preserve"> trop vite de constater qu’un même texte offre plusieurs structures possibles </w:t>
      </w:r>
      <w:r w:rsidR="00EF10DB" w:rsidRPr="00E5413C">
        <w:rPr>
          <w:kern w:val="0"/>
          <w:lang w:val="fr-FR"/>
        </w:rPr>
        <w:t>. . .</w:t>
      </w:r>
      <w:r w:rsidR="00FF4E44" w:rsidRPr="00E5413C">
        <w:rPr>
          <w:kern w:val="0"/>
          <w:lang w:val="fr-FR"/>
        </w:rPr>
        <w:t xml:space="preserve"> Pour ma part, plus royaliste que le roi, je souhaiterais [être] mis en présence </w:t>
      </w:r>
      <w:r w:rsidR="00EF10DB" w:rsidRPr="00E5413C">
        <w:rPr>
          <w:kern w:val="0"/>
          <w:lang w:val="fr-FR"/>
        </w:rPr>
        <w:t>. . .</w:t>
      </w:r>
      <w:r w:rsidR="00FF4E44" w:rsidRPr="00E5413C">
        <w:rPr>
          <w:kern w:val="0"/>
          <w:lang w:val="fr-FR"/>
        </w:rPr>
        <w:t xml:space="preserve"> devant </w:t>
      </w:r>
      <w:r w:rsidR="00FF4E44" w:rsidRPr="00E5413C">
        <w:rPr>
          <w:i/>
          <w:iCs/>
          <w:kern w:val="0"/>
          <w:lang w:val="fr-FR"/>
        </w:rPr>
        <w:t>la</w:t>
      </w:r>
      <w:r w:rsidR="00FF4E44" w:rsidRPr="00E5413C">
        <w:rPr>
          <w:kern w:val="0"/>
          <w:lang w:val="fr-FR"/>
        </w:rPr>
        <w:t xml:space="preserve"> lecture de Luc.”)</w:t>
      </w:r>
    </w:p>
  </w:footnote>
  <w:footnote w:id="805">
    <w:p w14:paraId="4D80E40A" w14:textId="0915F995" w:rsidR="0018433B" w:rsidRPr="00E5413C" w:rsidRDefault="0018433B" w:rsidP="00674828">
      <w:pPr>
        <w:rPr>
          <w:kern w:val="0"/>
          <w:lang w:val="fr-FR"/>
        </w:rPr>
      </w:pPr>
      <w:r w:rsidRPr="00674828">
        <w:rPr>
          <w:kern w:val="0"/>
          <w:vertAlign w:val="superscript"/>
        </w:rPr>
        <w:footnoteRef/>
      </w:r>
      <w:r w:rsidR="006414EC" w:rsidRPr="00E5413C">
        <w:rPr>
          <w:kern w:val="0"/>
          <w:lang w:val="fr-FR"/>
        </w:rPr>
        <w:t xml:space="preserve"> I</w:t>
      </w:r>
      <w:r w:rsidRPr="00E5413C">
        <w:rPr>
          <w:kern w:val="0"/>
          <w:lang w:val="fr-FR"/>
        </w:rPr>
        <w:t>bid.</w:t>
      </w:r>
      <w:r w:rsidR="006F304D" w:rsidRPr="00E5413C">
        <w:rPr>
          <w:kern w:val="0"/>
          <w:lang w:val="fr-FR"/>
        </w:rPr>
        <w:t xml:space="preserve">, </w:t>
      </w:r>
      <w:r w:rsidRPr="00E5413C">
        <w:rPr>
          <w:kern w:val="0"/>
          <w:lang w:val="fr-FR"/>
        </w:rPr>
        <w:t>1. 197</w:t>
      </w:r>
      <w:r w:rsidR="00FF4E44" w:rsidRPr="00E5413C">
        <w:rPr>
          <w:kern w:val="0"/>
          <w:lang w:val="fr-FR"/>
        </w:rPr>
        <w:t>: “Si un autre découpage pouvait être opéré dégageant des Unités différentes, il faudrait que cette analyse présente une égale cohérence théorique et pratique.”</w:t>
      </w:r>
    </w:p>
  </w:footnote>
  <w:footnote w:id="806">
    <w:p w14:paraId="114D890E" w14:textId="47CBE695" w:rsidR="0018433B" w:rsidRPr="00E5413C" w:rsidRDefault="0018433B" w:rsidP="00674828">
      <w:pPr>
        <w:rPr>
          <w:kern w:val="0"/>
          <w:lang w:val="fr-FR"/>
        </w:rPr>
      </w:pPr>
      <w:r w:rsidRPr="00674828">
        <w:rPr>
          <w:kern w:val="0"/>
          <w:vertAlign w:val="superscript"/>
        </w:rPr>
        <w:footnoteRef/>
      </w:r>
      <w:r w:rsidR="006414EC" w:rsidRPr="00E5413C">
        <w:rPr>
          <w:kern w:val="0"/>
          <w:lang w:val="fr-FR"/>
        </w:rPr>
        <w:t xml:space="preserve"> L</w:t>
      </w:r>
      <w:r w:rsidRPr="00E5413C">
        <w:rPr>
          <w:kern w:val="0"/>
          <w:lang w:val="fr-FR"/>
        </w:rPr>
        <w:t>und</w:t>
      </w:r>
      <w:r w:rsidR="006F304D" w:rsidRPr="00E5413C">
        <w:rPr>
          <w:kern w:val="0"/>
          <w:lang w:val="fr-FR"/>
        </w:rPr>
        <w:t xml:space="preserve">, </w:t>
      </w:r>
      <w:r w:rsidRPr="00E5413C">
        <w:rPr>
          <w:i/>
          <w:kern w:val="0"/>
          <w:lang w:val="fr-FR"/>
        </w:rPr>
        <w:t>Chiasmus</w:t>
      </w:r>
      <w:r w:rsidR="006F304D" w:rsidRPr="00E5413C">
        <w:rPr>
          <w:kern w:val="0"/>
          <w:lang w:val="fr-FR"/>
        </w:rPr>
        <w:t xml:space="preserve"> </w:t>
      </w:r>
      <w:r w:rsidRPr="00E5413C">
        <w:rPr>
          <w:kern w:val="0"/>
          <w:lang w:val="fr-FR"/>
        </w:rPr>
        <w:t>ix.</w:t>
      </w:r>
    </w:p>
  </w:footnote>
  <w:footnote w:id="807">
    <w:p w14:paraId="668FAB09" w14:textId="3EA86300" w:rsidR="0018433B" w:rsidRPr="00674828" w:rsidRDefault="0018433B" w:rsidP="00674828">
      <w:pPr>
        <w:rPr>
          <w:kern w:val="0"/>
        </w:rPr>
      </w:pPr>
      <w:r w:rsidRPr="00674828">
        <w:rPr>
          <w:kern w:val="0"/>
          <w:vertAlign w:val="superscript"/>
        </w:rPr>
        <w:footnoteRef/>
      </w:r>
      <w:r w:rsidR="006414EC" w:rsidRPr="00E5413C">
        <w:rPr>
          <w:kern w:val="0"/>
          <w:lang w:val="fr-FR"/>
        </w:rPr>
        <w:t xml:space="preserve"> M</w:t>
      </w:r>
      <w:r w:rsidRPr="00E5413C">
        <w:rPr>
          <w:kern w:val="0"/>
          <w:lang w:val="fr-FR"/>
        </w:rPr>
        <w:t>eynet</w:t>
      </w:r>
      <w:r w:rsidR="006F304D" w:rsidRPr="00E5413C">
        <w:rPr>
          <w:kern w:val="0"/>
          <w:lang w:val="fr-FR"/>
        </w:rPr>
        <w:t xml:space="preserve">, </w:t>
      </w:r>
      <w:r w:rsidRPr="00E5413C">
        <w:rPr>
          <w:i/>
          <w:kern w:val="0"/>
          <w:lang w:val="fr-FR"/>
        </w:rPr>
        <w:t>Quelle</w:t>
      </w:r>
      <w:r w:rsidR="00FF4E44" w:rsidRPr="00E5413C">
        <w:rPr>
          <w:i/>
          <w:kern w:val="0"/>
          <w:lang w:val="fr-FR"/>
        </w:rPr>
        <w:t xml:space="preserve"> est donc cette parole?</w:t>
      </w:r>
      <w:r w:rsidR="006F304D" w:rsidRPr="00E5413C">
        <w:rPr>
          <w:kern w:val="0"/>
          <w:lang w:val="fr-FR"/>
        </w:rPr>
        <w:t xml:space="preserve"> </w:t>
      </w:r>
      <w:r w:rsidRPr="00674828">
        <w:rPr>
          <w:kern w:val="0"/>
        </w:rPr>
        <w:t>1. 147.</w:t>
      </w:r>
    </w:p>
  </w:footnote>
  <w:footnote w:id="808">
    <w:p w14:paraId="30A16704" w14:textId="302669D9" w:rsidR="0018433B" w:rsidRPr="00674828" w:rsidRDefault="0018433B" w:rsidP="00674828">
      <w:pPr>
        <w:rPr>
          <w:kern w:val="0"/>
        </w:rPr>
      </w:pPr>
      <w:r w:rsidRPr="00674828">
        <w:rPr>
          <w:kern w:val="0"/>
          <w:vertAlign w:val="superscript"/>
        </w:rPr>
        <w:footnoteRef/>
      </w:r>
      <w:r w:rsidR="006414EC">
        <w:rPr>
          <w:kern w:val="0"/>
        </w:rPr>
        <w:t xml:space="preserve"> F</w:t>
      </w:r>
      <w:r w:rsidRPr="00674828">
        <w:rPr>
          <w:kern w:val="0"/>
        </w:rPr>
        <w:t xml:space="preserve">or the first occurrence of “chiasmus” (in Pseudo-Hermogenes’ </w:t>
      </w:r>
      <w:r w:rsidRPr="00674828">
        <w:rPr>
          <w:i/>
          <w:kern w:val="0"/>
        </w:rPr>
        <w:t>On Invention</w:t>
      </w:r>
      <w:r w:rsidRPr="00674828">
        <w:rPr>
          <w:kern w:val="0"/>
        </w:rPr>
        <w:t>)</w:t>
      </w:r>
      <w:r w:rsidR="006F304D" w:rsidRPr="00674828">
        <w:rPr>
          <w:kern w:val="0"/>
        </w:rPr>
        <w:t xml:space="preserve">, </w:t>
      </w:r>
      <w:r w:rsidRPr="00674828">
        <w:rPr>
          <w:kern w:val="0"/>
        </w:rPr>
        <w:t xml:space="preserve">see </w:t>
      </w:r>
      <w:r w:rsidR="00212244">
        <w:rPr>
          <w:kern w:val="0"/>
        </w:rPr>
        <w:t>above, chapter 4 section 2</w:t>
      </w:r>
      <w:r w:rsidRPr="00674828">
        <w:rPr>
          <w:kern w:val="0"/>
        </w:rPr>
        <w:t>.</w:t>
      </w:r>
    </w:p>
  </w:footnote>
  <w:footnote w:id="809">
    <w:p w14:paraId="3AF9C9C3" w14:textId="375A394B" w:rsidR="0018433B" w:rsidRPr="00E5413C" w:rsidRDefault="0018433B" w:rsidP="00674828">
      <w:pPr>
        <w:rPr>
          <w:kern w:val="0"/>
          <w:lang w:val="fr-FR"/>
        </w:rPr>
      </w:pPr>
      <w:r w:rsidRPr="00674828">
        <w:rPr>
          <w:kern w:val="0"/>
          <w:vertAlign w:val="superscript"/>
        </w:rPr>
        <w:footnoteRef/>
      </w:r>
      <w:r w:rsidR="006414EC" w:rsidRPr="00E5413C">
        <w:rPr>
          <w:kern w:val="0"/>
          <w:lang w:val="fr-FR"/>
        </w:rPr>
        <w:t xml:space="preserve"> M</w:t>
      </w:r>
      <w:r w:rsidRPr="00E5413C">
        <w:rPr>
          <w:kern w:val="0"/>
          <w:lang w:val="fr-FR"/>
        </w:rPr>
        <w:t>eynet</w:t>
      </w:r>
      <w:r w:rsidR="006F304D" w:rsidRPr="00E5413C">
        <w:rPr>
          <w:kern w:val="0"/>
          <w:lang w:val="fr-FR"/>
        </w:rPr>
        <w:t xml:space="preserve">, </w:t>
      </w:r>
      <w:r w:rsidRPr="00E5413C">
        <w:rPr>
          <w:i/>
          <w:kern w:val="0"/>
          <w:lang w:val="fr-FR"/>
        </w:rPr>
        <w:t>Quelle</w:t>
      </w:r>
      <w:r w:rsidR="006F304D" w:rsidRPr="00E5413C">
        <w:rPr>
          <w:kern w:val="0"/>
          <w:lang w:val="fr-FR"/>
        </w:rPr>
        <w:t xml:space="preserve"> </w:t>
      </w:r>
      <w:r w:rsidRPr="00E5413C">
        <w:rPr>
          <w:kern w:val="0"/>
          <w:lang w:val="fr-FR"/>
        </w:rPr>
        <w:t>1. 195.</w:t>
      </w:r>
    </w:p>
  </w:footnote>
  <w:footnote w:id="810">
    <w:p w14:paraId="1BBE185B" w14:textId="0EC48122" w:rsidR="0018433B" w:rsidRPr="00E5413C" w:rsidRDefault="0018433B" w:rsidP="00674828">
      <w:pPr>
        <w:rPr>
          <w:kern w:val="0"/>
          <w:lang w:val="fr-FR"/>
        </w:rPr>
      </w:pPr>
      <w:r w:rsidRPr="00674828">
        <w:rPr>
          <w:kern w:val="0"/>
          <w:vertAlign w:val="superscript"/>
        </w:rPr>
        <w:footnoteRef/>
      </w:r>
      <w:r w:rsidR="006414EC" w:rsidRPr="00E5413C">
        <w:rPr>
          <w:kern w:val="0"/>
          <w:lang w:val="fr-FR"/>
        </w:rPr>
        <w:t xml:space="preserve"> I</w:t>
      </w:r>
      <w:r w:rsidRPr="00E5413C">
        <w:rPr>
          <w:kern w:val="0"/>
          <w:lang w:val="fr-FR"/>
        </w:rPr>
        <w:t>bid.</w:t>
      </w:r>
      <w:r w:rsidR="00FF4E44" w:rsidRPr="00E5413C">
        <w:rPr>
          <w:kern w:val="0"/>
          <w:lang w:val="fr-FR"/>
        </w:rPr>
        <w:t>, 1. 194-95: “C’est seulement à l’époque contemporaine linquistes ont cessé de projeter les catégories de la grammaire gréco-latine sur les langues non indo-européennes . . .”</w:t>
      </w:r>
    </w:p>
  </w:footnote>
  <w:footnote w:id="811">
    <w:p w14:paraId="0C88F96B" w14:textId="1CFDEC26" w:rsidR="00C504D6" w:rsidRDefault="00C504D6">
      <w:pPr>
        <w:pStyle w:val="FootnoteText"/>
      </w:pPr>
      <w:r>
        <w:rPr>
          <w:rStyle w:val="FootnoteReference"/>
        </w:rPr>
        <w:footnoteRef/>
      </w:r>
      <w:r>
        <w:t xml:space="preserve"> In fairness to Meynet, I must admit that this seems the least important of the objections that may be brought against the architects’ elaborations. After all, the principles of Semitic parallelism and of Hebrew rhythm were not noticed until roughly the same time.</w:t>
      </w:r>
      <w:r w:rsidR="00173DE6">
        <w:t xml:space="preserve"> (See, e.g.: </w:t>
      </w:r>
      <w:r w:rsidR="00173DE6" w:rsidRPr="00615D91">
        <w:t xml:space="preserve">Cobb, W.H. </w:t>
      </w:r>
      <w:r w:rsidR="00173DE6" w:rsidRPr="00615D91">
        <w:rPr>
          <w:i/>
          <w:iCs/>
        </w:rPr>
        <w:t>A Criticism of Systems of Hebrew Metre</w:t>
      </w:r>
      <w:r w:rsidR="00173DE6">
        <w:t xml:space="preserve">. </w:t>
      </w:r>
      <w:r w:rsidR="00173DE6" w:rsidRPr="00E5413C">
        <w:rPr>
          <w:lang w:val="fr-FR"/>
        </w:rPr>
        <w:t xml:space="preserve">Oxford: OUP, 1905. Condamin, Albert. </w:t>
      </w:r>
      <w:r w:rsidR="00173DE6" w:rsidRPr="00E5413C">
        <w:rPr>
          <w:i/>
          <w:iCs/>
          <w:lang w:val="fr-FR"/>
        </w:rPr>
        <w:t>Le Livre d</w:t>
      </w:r>
      <w:r w:rsidR="00173DE6" w:rsidRPr="00E5413C">
        <w:rPr>
          <w:iCs/>
          <w:lang w:val="fr-FR"/>
        </w:rPr>
        <w:t>’</w:t>
      </w:r>
      <w:r w:rsidR="00173DE6" w:rsidRPr="00E5413C">
        <w:rPr>
          <w:i/>
          <w:iCs/>
          <w:lang w:val="fr-FR"/>
        </w:rPr>
        <w:t>Isaïe</w:t>
      </w:r>
      <w:r w:rsidR="00173DE6" w:rsidRPr="00E5413C">
        <w:rPr>
          <w:lang w:val="fr-FR"/>
        </w:rPr>
        <w:t xml:space="preserve">. </w:t>
      </w:r>
      <w:r w:rsidR="00173DE6" w:rsidRPr="00E5413C">
        <w:rPr>
          <w:i/>
          <w:iCs/>
          <w:lang w:val="fr-FR"/>
        </w:rPr>
        <w:t>Traduction critique avec notes et commentaires par le P</w:t>
      </w:r>
      <w:r w:rsidR="00173DE6" w:rsidRPr="00E5413C">
        <w:rPr>
          <w:lang w:val="fr-FR"/>
        </w:rPr>
        <w:t>.</w:t>
      </w:r>
      <w:r w:rsidR="00173DE6" w:rsidRPr="00E5413C">
        <w:rPr>
          <w:i/>
          <w:iCs/>
          <w:lang w:val="fr-FR"/>
        </w:rPr>
        <w:t>A</w:t>
      </w:r>
      <w:r w:rsidR="00173DE6" w:rsidRPr="00E5413C">
        <w:rPr>
          <w:lang w:val="fr-FR"/>
        </w:rPr>
        <w:t xml:space="preserve">. </w:t>
      </w:r>
      <w:r w:rsidR="00173DE6" w:rsidRPr="00E5413C">
        <w:rPr>
          <w:i/>
          <w:iCs/>
          <w:lang w:val="fr-FR"/>
        </w:rPr>
        <w:t>Condamin</w:t>
      </w:r>
      <w:r w:rsidR="00173DE6" w:rsidRPr="00E5413C">
        <w:rPr>
          <w:lang w:val="fr-FR"/>
        </w:rPr>
        <w:t xml:space="preserve">. </w:t>
      </w:r>
      <w:r w:rsidR="00173DE6" w:rsidRPr="00AC442C">
        <w:t>Études bibliques</w:t>
      </w:r>
      <w:r w:rsidR="00173DE6">
        <w:t xml:space="preserve">. </w:t>
      </w:r>
      <w:r w:rsidR="00173DE6" w:rsidRPr="00AC442C">
        <w:t>Paris</w:t>
      </w:r>
      <w:r w:rsidR="00173DE6">
        <w:t>:</w:t>
      </w:r>
      <w:r w:rsidR="00173DE6" w:rsidRPr="00AC442C">
        <w:t xml:space="preserve"> V. Lecoffre, 1905</w:t>
      </w:r>
      <w:r w:rsidR="00173DE6" w:rsidRPr="00615D91">
        <w:t>.</w:t>
      </w:r>
      <w:r w:rsidR="00173DE6">
        <w:t xml:space="preserve"> </w:t>
      </w:r>
      <w:r w:rsidR="00173DE6" w:rsidRPr="00615D91">
        <w:t>Gray, G</w:t>
      </w:r>
      <w:r w:rsidR="00173DE6">
        <w:t xml:space="preserve">eorge </w:t>
      </w:r>
      <w:r w:rsidR="00173DE6" w:rsidRPr="00615D91">
        <w:t>B</w:t>
      </w:r>
      <w:r w:rsidR="00173DE6">
        <w:t>uchanan</w:t>
      </w:r>
      <w:r w:rsidR="00173DE6" w:rsidRPr="00615D91">
        <w:t xml:space="preserve">. </w:t>
      </w:r>
      <w:r w:rsidR="00173DE6" w:rsidRPr="00615D91">
        <w:rPr>
          <w:i/>
          <w:iCs/>
        </w:rPr>
        <w:t>The Forms of Hebrew Poetry</w:t>
      </w:r>
      <w:r w:rsidR="00173DE6">
        <w:t xml:space="preserve">: </w:t>
      </w:r>
      <w:r w:rsidR="00173DE6" w:rsidRPr="00AC442C">
        <w:rPr>
          <w:i/>
          <w:iCs/>
        </w:rPr>
        <w:t>Considered with Special Reference to the Criticism and Interpretation of the Old Testament</w:t>
      </w:r>
      <w:r w:rsidR="00173DE6">
        <w:t>. London: Hodder and Stoughton,</w:t>
      </w:r>
      <w:r w:rsidR="00173DE6" w:rsidRPr="00615D91">
        <w:t xml:space="preserve"> 191</w:t>
      </w:r>
      <w:r w:rsidR="00173DE6">
        <w:t>5</w:t>
      </w:r>
      <w:r w:rsidR="00173DE6" w:rsidRPr="00615D91">
        <w:t>.</w:t>
      </w:r>
      <w:r w:rsidR="00173DE6">
        <w:t>)</w:t>
      </w:r>
    </w:p>
  </w:footnote>
  <w:footnote w:id="812">
    <w:p w14:paraId="66B91EB8" w14:textId="32139339" w:rsidR="0018433B" w:rsidRPr="00674828" w:rsidRDefault="0018433B" w:rsidP="00674828">
      <w:pPr>
        <w:rPr>
          <w:kern w:val="0"/>
        </w:rPr>
      </w:pPr>
      <w:r w:rsidRPr="00674828">
        <w:rPr>
          <w:kern w:val="0"/>
          <w:vertAlign w:val="superscript"/>
        </w:rPr>
        <w:footnoteRef/>
      </w:r>
      <w:r w:rsidR="006414EC">
        <w:rPr>
          <w:kern w:val="0"/>
        </w:rPr>
        <w:t xml:space="preserve"> L</w:t>
      </w:r>
      <w:r w:rsidRPr="00674828">
        <w:rPr>
          <w:kern w:val="0"/>
        </w:rPr>
        <w:t>und</w:t>
      </w:r>
      <w:r w:rsidR="006F304D" w:rsidRPr="00674828">
        <w:rPr>
          <w:kern w:val="0"/>
        </w:rPr>
        <w:t xml:space="preserve">, </w:t>
      </w:r>
      <w:r w:rsidRPr="00674828">
        <w:rPr>
          <w:i/>
          <w:kern w:val="0"/>
        </w:rPr>
        <w:t>Chiasmus</w:t>
      </w:r>
      <w:r w:rsidR="006F304D" w:rsidRPr="00674828">
        <w:rPr>
          <w:kern w:val="0"/>
        </w:rPr>
        <w:t xml:space="preserve"> </w:t>
      </w:r>
      <w:r w:rsidRPr="00674828">
        <w:rPr>
          <w:kern w:val="0"/>
        </w:rPr>
        <w:t>255</w:t>
      </w:r>
      <w:r w:rsidR="00FF4E44">
        <w:rPr>
          <w:kern w:val="0"/>
        </w:rPr>
        <w:t>. S</w:t>
      </w:r>
      <w:r w:rsidRPr="00674828">
        <w:rPr>
          <w:kern w:val="0"/>
        </w:rPr>
        <w:t>ee also 260.</w:t>
      </w:r>
    </w:p>
  </w:footnote>
  <w:footnote w:id="813">
    <w:p w14:paraId="66DC5381" w14:textId="619B1A5F" w:rsidR="0018433B" w:rsidRPr="00674828" w:rsidRDefault="0018433B" w:rsidP="00674828">
      <w:pPr>
        <w:rPr>
          <w:kern w:val="0"/>
        </w:rPr>
      </w:pPr>
      <w:r w:rsidRPr="00674828">
        <w:rPr>
          <w:kern w:val="0"/>
          <w:vertAlign w:val="superscript"/>
        </w:rPr>
        <w:footnoteRef/>
      </w:r>
      <w:r w:rsidR="006414EC">
        <w:rPr>
          <w:kern w:val="0"/>
        </w:rPr>
        <w:t xml:space="preserve"> L</w:t>
      </w:r>
      <w:r w:rsidRPr="00674828">
        <w:rPr>
          <w:kern w:val="0"/>
        </w:rPr>
        <w:t>und</w:t>
      </w:r>
      <w:r w:rsidR="006F304D" w:rsidRPr="00674828">
        <w:rPr>
          <w:kern w:val="0"/>
        </w:rPr>
        <w:t xml:space="preserve">, </w:t>
      </w:r>
      <w:r w:rsidRPr="00674828">
        <w:rPr>
          <w:i/>
          <w:kern w:val="0"/>
        </w:rPr>
        <w:t>Chiasmus</w:t>
      </w:r>
      <w:r w:rsidR="006F304D" w:rsidRPr="00674828">
        <w:rPr>
          <w:kern w:val="0"/>
        </w:rPr>
        <w:t xml:space="preserve"> </w:t>
      </w:r>
      <w:r w:rsidRPr="00674828">
        <w:rPr>
          <w:kern w:val="0"/>
        </w:rPr>
        <w:t>233: “chiastic forms which are found perfect in Matthew</w:t>
      </w:r>
      <w:r w:rsidR="006F304D" w:rsidRPr="00674828">
        <w:rPr>
          <w:kern w:val="0"/>
        </w:rPr>
        <w:t xml:space="preserve">, </w:t>
      </w:r>
      <w:r w:rsidRPr="00674828">
        <w:rPr>
          <w:kern w:val="0"/>
        </w:rPr>
        <w:t>in brief panels and in longer sections</w:t>
      </w:r>
      <w:r w:rsidR="006F304D" w:rsidRPr="00674828">
        <w:rPr>
          <w:kern w:val="0"/>
        </w:rPr>
        <w:t xml:space="preserve">, </w:t>
      </w:r>
      <w:r w:rsidRPr="00674828">
        <w:rPr>
          <w:kern w:val="0"/>
        </w:rPr>
        <w:t>in many instances are broken up in Luke in conformity to his Greek literary taste.”</w:t>
      </w:r>
      <w:r w:rsidR="00AC038F" w:rsidRPr="00674828">
        <w:rPr>
          <w:iCs/>
          <w:kern w:val="0"/>
        </w:rPr>
        <w:t xml:space="preserve"> </w:t>
      </w:r>
      <w:r w:rsidRPr="00674828">
        <w:rPr>
          <w:kern w:val="0"/>
        </w:rPr>
        <w:t>Similar comments on pp. 282</w:t>
      </w:r>
      <w:r w:rsidR="006F304D" w:rsidRPr="00674828">
        <w:rPr>
          <w:kern w:val="0"/>
        </w:rPr>
        <w:t xml:space="preserve">, </w:t>
      </w:r>
      <w:r w:rsidRPr="00674828">
        <w:rPr>
          <w:kern w:val="0"/>
        </w:rPr>
        <w:t>296</w:t>
      </w:r>
      <w:r w:rsidR="006F304D" w:rsidRPr="00674828">
        <w:rPr>
          <w:kern w:val="0"/>
        </w:rPr>
        <w:t xml:space="preserve">, </w:t>
      </w:r>
      <w:r w:rsidRPr="00674828">
        <w:rPr>
          <w:kern w:val="0"/>
        </w:rPr>
        <w:t>298-300</w:t>
      </w:r>
      <w:r w:rsidR="006F304D" w:rsidRPr="00674828">
        <w:rPr>
          <w:kern w:val="0"/>
        </w:rPr>
        <w:t xml:space="preserve">, </w:t>
      </w:r>
      <w:r w:rsidRPr="00674828">
        <w:rPr>
          <w:kern w:val="0"/>
        </w:rPr>
        <w:t>318</w:t>
      </w:r>
      <w:r w:rsidR="006F304D" w:rsidRPr="00674828">
        <w:rPr>
          <w:kern w:val="0"/>
        </w:rPr>
        <w:t xml:space="preserve">, </w:t>
      </w:r>
      <w:r w:rsidRPr="00674828">
        <w:rPr>
          <w:kern w:val="0"/>
        </w:rPr>
        <w:t>319.</w:t>
      </w:r>
      <w:r w:rsidR="00AC038F" w:rsidRPr="00674828">
        <w:rPr>
          <w:iCs/>
          <w:kern w:val="0"/>
        </w:rPr>
        <w:t xml:space="preserve"> </w:t>
      </w:r>
      <w:r w:rsidRPr="00674828">
        <w:rPr>
          <w:kern w:val="0"/>
        </w:rPr>
        <w:t xml:space="preserve">See also </w:t>
      </w:r>
      <w:r w:rsidR="00C504D6">
        <w:rPr>
          <w:kern w:val="0"/>
        </w:rPr>
        <w:t>É</w:t>
      </w:r>
      <w:r w:rsidRPr="00674828">
        <w:rPr>
          <w:kern w:val="0"/>
        </w:rPr>
        <w:t xml:space="preserve">mile Osty (“Introduction à Luc,” in </w:t>
      </w:r>
      <w:r w:rsidRPr="00674828">
        <w:rPr>
          <w:i/>
          <w:kern w:val="0"/>
        </w:rPr>
        <w:t>La Bible</w:t>
      </w:r>
      <w:r w:rsidRPr="00674828">
        <w:rPr>
          <w:kern w:val="0"/>
        </w:rPr>
        <w:t xml:space="preserve"> [trans. </w:t>
      </w:r>
      <w:r w:rsidR="00C504D6">
        <w:rPr>
          <w:kern w:val="0"/>
        </w:rPr>
        <w:t>É</w:t>
      </w:r>
      <w:r w:rsidRPr="00674828">
        <w:rPr>
          <w:kern w:val="0"/>
        </w:rPr>
        <w:t>mile Osty; Paris: Seuil</w:t>
      </w:r>
      <w:r w:rsidR="006F304D" w:rsidRPr="00674828">
        <w:rPr>
          <w:kern w:val="0"/>
        </w:rPr>
        <w:t xml:space="preserve">, </w:t>
      </w:r>
      <w:r w:rsidRPr="00674828">
        <w:rPr>
          <w:kern w:val="0"/>
        </w:rPr>
        <w:t>1973] 2193-94</w:t>
      </w:r>
      <w:r w:rsidR="006F304D" w:rsidRPr="00674828">
        <w:rPr>
          <w:kern w:val="0"/>
        </w:rPr>
        <w:t xml:space="preserve">, </w:t>
      </w:r>
      <w:r w:rsidRPr="00674828">
        <w:rPr>
          <w:kern w:val="0"/>
        </w:rPr>
        <w:t>quoted by Meynet</w:t>
      </w:r>
      <w:r w:rsidR="006F304D" w:rsidRPr="00674828">
        <w:rPr>
          <w:kern w:val="0"/>
        </w:rPr>
        <w:t xml:space="preserve">, </w:t>
      </w:r>
      <w:r w:rsidRPr="00674828">
        <w:rPr>
          <w:i/>
          <w:kern w:val="0"/>
        </w:rPr>
        <w:t>Quelle</w:t>
      </w:r>
      <w:r w:rsidR="006F304D" w:rsidRPr="00674828">
        <w:rPr>
          <w:kern w:val="0"/>
        </w:rPr>
        <w:t xml:space="preserve"> </w:t>
      </w:r>
      <w:r w:rsidRPr="00674828">
        <w:rPr>
          <w:kern w:val="0"/>
        </w:rPr>
        <w:t>1. 18)</w:t>
      </w:r>
      <w:r w:rsidR="006F304D" w:rsidRPr="00674828">
        <w:rPr>
          <w:kern w:val="0"/>
        </w:rPr>
        <w:t xml:space="preserve">, </w:t>
      </w:r>
      <w:r w:rsidRPr="00674828">
        <w:rPr>
          <w:kern w:val="0"/>
        </w:rPr>
        <w:t>who says that</w:t>
      </w:r>
      <w:r w:rsidR="006F304D" w:rsidRPr="00674828">
        <w:rPr>
          <w:kern w:val="0"/>
        </w:rPr>
        <w:t xml:space="preserve">, </w:t>
      </w:r>
      <w:r w:rsidRPr="00674828">
        <w:rPr>
          <w:kern w:val="0"/>
        </w:rPr>
        <w:t>whereas Matthew</w:t>
      </w:r>
      <w:r w:rsidR="00C504D6">
        <w:rPr>
          <w:kern w:val="0"/>
        </w:rPr>
        <w:t>’</w:t>
      </w:r>
      <w:r w:rsidRPr="00674828">
        <w:rPr>
          <w:kern w:val="0"/>
        </w:rPr>
        <w:t>s gospel “obeys the law of concentration [i.e.</w:t>
      </w:r>
      <w:r w:rsidR="006F304D" w:rsidRPr="00674828">
        <w:rPr>
          <w:kern w:val="0"/>
        </w:rPr>
        <w:t xml:space="preserve">, </w:t>
      </w:r>
      <w:r w:rsidRPr="00674828">
        <w:rPr>
          <w:kern w:val="0"/>
        </w:rPr>
        <w:t>chiasm]</w:t>
      </w:r>
      <w:r w:rsidR="006F304D" w:rsidRPr="00674828">
        <w:rPr>
          <w:kern w:val="0"/>
        </w:rPr>
        <w:t xml:space="preserve">, </w:t>
      </w:r>
      <w:r w:rsidRPr="00674828">
        <w:rPr>
          <w:kern w:val="0"/>
        </w:rPr>
        <w:t>that of Luke obeys a law of dispersion.”</w:t>
      </w:r>
      <w:r w:rsidR="00AC038F" w:rsidRPr="00674828">
        <w:rPr>
          <w:iCs/>
          <w:kern w:val="0"/>
        </w:rPr>
        <w:t xml:space="preserve"> </w:t>
      </w:r>
      <w:r w:rsidRPr="00674828">
        <w:rPr>
          <w:kern w:val="0"/>
        </w:rPr>
        <w:t>Thereby Luke “has better conserved the fragmentary</w:t>
      </w:r>
      <w:r w:rsidR="006F304D" w:rsidRPr="00674828">
        <w:rPr>
          <w:kern w:val="0"/>
        </w:rPr>
        <w:t xml:space="preserve">, </w:t>
      </w:r>
      <w:r w:rsidRPr="00674828">
        <w:rPr>
          <w:kern w:val="0"/>
        </w:rPr>
        <w:t>episodic character of the teaching of Jesus.”</w:t>
      </w:r>
    </w:p>
  </w:footnote>
  <w:footnote w:id="814">
    <w:p w14:paraId="2D7C73D3" w14:textId="46A1F7FD" w:rsidR="0018433B" w:rsidRPr="00674828" w:rsidRDefault="0018433B" w:rsidP="00674828">
      <w:pPr>
        <w:rPr>
          <w:kern w:val="0"/>
        </w:rPr>
      </w:pPr>
      <w:r w:rsidRPr="00674828">
        <w:rPr>
          <w:kern w:val="0"/>
          <w:vertAlign w:val="superscript"/>
        </w:rPr>
        <w:footnoteRef/>
      </w:r>
      <w:r w:rsidR="006414EC">
        <w:rPr>
          <w:kern w:val="0"/>
        </w:rPr>
        <w:t xml:space="preserve"> M</w:t>
      </w:r>
      <w:r w:rsidRPr="00674828">
        <w:rPr>
          <w:kern w:val="0"/>
        </w:rPr>
        <w:t>eynet</w:t>
      </w:r>
      <w:r w:rsidR="006F304D" w:rsidRPr="00674828">
        <w:rPr>
          <w:kern w:val="0"/>
        </w:rPr>
        <w:t xml:space="preserve">, </w:t>
      </w:r>
      <w:r w:rsidRPr="00674828">
        <w:rPr>
          <w:i/>
          <w:kern w:val="0"/>
        </w:rPr>
        <w:t>Quelle</w:t>
      </w:r>
      <w:r w:rsidR="006F304D" w:rsidRPr="00674828">
        <w:rPr>
          <w:kern w:val="0"/>
        </w:rPr>
        <w:t xml:space="preserve"> </w:t>
      </w:r>
      <w:r w:rsidRPr="00674828">
        <w:rPr>
          <w:kern w:val="0"/>
        </w:rPr>
        <w:t>1. 147: it is “unthinkable that he was conscious of all that he made.</w:t>
      </w:r>
      <w:r w:rsidR="00AC038F" w:rsidRPr="00674828">
        <w:rPr>
          <w:iCs/>
          <w:kern w:val="0"/>
        </w:rPr>
        <w:t xml:space="preserve"> </w:t>
      </w:r>
      <w:r w:rsidRPr="00674828">
        <w:rPr>
          <w:kern w:val="0"/>
        </w:rPr>
        <w:t xml:space="preserve">Luke probably observed the rule of chiasm in the same way that we observe the rules of language </w:t>
      </w:r>
      <w:r w:rsidR="00C504D6">
        <w:rPr>
          <w:kern w:val="0"/>
        </w:rPr>
        <w:t>. . .</w:t>
      </w:r>
      <w:r w:rsidRPr="00674828">
        <w:rPr>
          <w:kern w:val="0"/>
        </w:rPr>
        <w:t>”</w:t>
      </w:r>
      <w:r w:rsidR="00C504D6">
        <w:rPr>
          <w:kern w:val="0"/>
        </w:rPr>
        <w:t xml:space="preserve"> </w:t>
      </w:r>
      <w:r w:rsidR="00C504D6" w:rsidRPr="00E5413C">
        <w:rPr>
          <w:kern w:val="0"/>
          <w:lang w:val="fr-FR"/>
        </w:rPr>
        <w:t>(“. . . impensable qu’il soit conscient de tout ce qu’il fait. Luc a probablement observé la règle du chiasme, comme nous observons les règles de la langue . . .”)</w:t>
      </w:r>
      <w:r w:rsidR="00AC038F" w:rsidRPr="00E5413C">
        <w:rPr>
          <w:iCs/>
          <w:kern w:val="0"/>
          <w:lang w:val="fr-FR"/>
        </w:rPr>
        <w:t xml:space="preserve"> </w:t>
      </w:r>
      <w:r w:rsidRPr="00674828">
        <w:rPr>
          <w:kern w:val="0"/>
        </w:rPr>
        <w:t>To prove himself right and Lund wrong on this matter (Lund’s “judgment on Luke is erroneous,” ibid.</w:t>
      </w:r>
      <w:r w:rsidR="006F304D" w:rsidRPr="00674828">
        <w:rPr>
          <w:kern w:val="0"/>
        </w:rPr>
        <w:t xml:space="preserve">, </w:t>
      </w:r>
      <w:r w:rsidRPr="00674828">
        <w:rPr>
          <w:kern w:val="0"/>
        </w:rPr>
        <w:t>127)</w:t>
      </w:r>
      <w:r w:rsidR="006F304D" w:rsidRPr="00674828">
        <w:rPr>
          <w:kern w:val="0"/>
        </w:rPr>
        <w:t xml:space="preserve">, </w:t>
      </w:r>
      <w:r w:rsidRPr="00674828">
        <w:rPr>
          <w:kern w:val="0"/>
        </w:rPr>
        <w:t>Meynet simply asserts</w:t>
      </w:r>
      <w:r w:rsidR="00C504D6">
        <w:rPr>
          <w:kern w:val="0"/>
        </w:rPr>
        <w:t xml:space="preserve"> </w:t>
      </w:r>
      <w:r w:rsidR="00C504D6" w:rsidRPr="00674828">
        <w:rPr>
          <w:kern w:val="0"/>
        </w:rPr>
        <w:t>(ibid.)</w:t>
      </w:r>
      <w:r w:rsidRPr="00674828">
        <w:rPr>
          <w:kern w:val="0"/>
        </w:rPr>
        <w:t xml:space="preserve"> that “Luke likes chiasms—all of our study proves it </w:t>
      </w:r>
      <w:r w:rsidR="00C504D6">
        <w:rPr>
          <w:kern w:val="0"/>
        </w:rPr>
        <w:t>. . .</w:t>
      </w:r>
      <w:r w:rsidRPr="00674828">
        <w:rPr>
          <w:kern w:val="0"/>
        </w:rPr>
        <w:t>”</w:t>
      </w:r>
    </w:p>
  </w:footnote>
  <w:footnote w:id="815">
    <w:p w14:paraId="1A743813" w14:textId="6D766EF6" w:rsidR="0018433B" w:rsidRPr="00E5413C" w:rsidRDefault="0018433B" w:rsidP="00674828">
      <w:pPr>
        <w:rPr>
          <w:kern w:val="0"/>
          <w:lang w:val="fr-FR"/>
        </w:rPr>
      </w:pPr>
      <w:r w:rsidRPr="00674828">
        <w:rPr>
          <w:kern w:val="0"/>
          <w:vertAlign w:val="superscript"/>
        </w:rPr>
        <w:footnoteRef/>
      </w:r>
      <w:r w:rsidR="006414EC" w:rsidRPr="00E5413C">
        <w:rPr>
          <w:kern w:val="0"/>
          <w:lang w:val="fr-FR"/>
        </w:rPr>
        <w:t xml:space="preserve"> I</w:t>
      </w:r>
      <w:r w:rsidRPr="00E5413C">
        <w:rPr>
          <w:kern w:val="0"/>
          <w:lang w:val="fr-FR"/>
        </w:rPr>
        <w:t>bid.</w:t>
      </w:r>
      <w:r w:rsidR="006F304D" w:rsidRPr="00E5413C">
        <w:rPr>
          <w:kern w:val="0"/>
          <w:lang w:val="fr-FR"/>
        </w:rPr>
        <w:t xml:space="preserve">, </w:t>
      </w:r>
      <w:r w:rsidRPr="00E5413C">
        <w:rPr>
          <w:kern w:val="0"/>
          <w:lang w:val="fr-FR"/>
        </w:rPr>
        <w:t>1. 128</w:t>
      </w:r>
      <w:r w:rsidR="00C504D6" w:rsidRPr="00E5413C">
        <w:rPr>
          <w:kern w:val="0"/>
          <w:lang w:val="fr-FR"/>
        </w:rPr>
        <w:t>: “Le chiasme de discours est difficile à établir à cause de la grande variété des éléments qui peuvent être en rapport . . .”</w:t>
      </w:r>
    </w:p>
  </w:footnote>
  <w:footnote w:id="816">
    <w:p w14:paraId="7798033F" w14:textId="22D70779" w:rsidR="0018433B" w:rsidRPr="00E5413C" w:rsidRDefault="0018433B" w:rsidP="00674828">
      <w:pPr>
        <w:rPr>
          <w:kern w:val="0"/>
          <w:lang w:val="fr-FR"/>
        </w:rPr>
      </w:pPr>
      <w:r w:rsidRPr="00674828">
        <w:rPr>
          <w:kern w:val="0"/>
          <w:vertAlign w:val="superscript"/>
        </w:rPr>
        <w:footnoteRef/>
      </w:r>
      <w:r w:rsidR="006414EC" w:rsidRPr="00E5413C">
        <w:rPr>
          <w:kern w:val="0"/>
          <w:lang w:val="fr-FR"/>
        </w:rPr>
        <w:t xml:space="preserve"> I</w:t>
      </w:r>
      <w:r w:rsidRPr="00E5413C">
        <w:rPr>
          <w:kern w:val="0"/>
          <w:lang w:val="fr-FR"/>
        </w:rPr>
        <w:t>bid.</w:t>
      </w:r>
      <w:r w:rsidR="006F304D" w:rsidRPr="00E5413C">
        <w:rPr>
          <w:kern w:val="0"/>
          <w:lang w:val="fr-FR"/>
        </w:rPr>
        <w:t xml:space="preserve">, </w:t>
      </w:r>
      <w:r w:rsidRPr="00E5413C">
        <w:rPr>
          <w:kern w:val="0"/>
          <w:lang w:val="fr-FR"/>
        </w:rPr>
        <w:t>1. 129</w:t>
      </w:r>
      <w:r w:rsidR="00043F23" w:rsidRPr="00E5413C">
        <w:rPr>
          <w:kern w:val="0"/>
          <w:lang w:val="fr-FR"/>
        </w:rPr>
        <w:t>.</w:t>
      </w:r>
    </w:p>
  </w:footnote>
  <w:footnote w:id="817">
    <w:p w14:paraId="1DC179A1" w14:textId="6B81ED4E" w:rsidR="0018433B" w:rsidRPr="00E5413C" w:rsidRDefault="0018433B" w:rsidP="00674828">
      <w:pPr>
        <w:rPr>
          <w:kern w:val="0"/>
          <w:lang w:val="fr-FR"/>
        </w:rPr>
      </w:pPr>
      <w:r w:rsidRPr="00674828">
        <w:rPr>
          <w:kern w:val="0"/>
          <w:vertAlign w:val="superscript"/>
        </w:rPr>
        <w:footnoteRef/>
      </w:r>
      <w:r w:rsidR="006414EC" w:rsidRPr="00E5413C">
        <w:rPr>
          <w:kern w:val="0"/>
          <w:lang w:val="fr-FR"/>
        </w:rPr>
        <w:t xml:space="preserve"> I</w:t>
      </w:r>
      <w:r w:rsidRPr="00E5413C">
        <w:rPr>
          <w:kern w:val="0"/>
          <w:lang w:val="fr-FR"/>
        </w:rPr>
        <w:t>bid.</w:t>
      </w:r>
      <w:r w:rsidR="006F304D" w:rsidRPr="00E5413C">
        <w:rPr>
          <w:kern w:val="0"/>
          <w:lang w:val="fr-FR"/>
        </w:rPr>
        <w:t xml:space="preserve">, </w:t>
      </w:r>
      <w:r w:rsidRPr="00E5413C">
        <w:rPr>
          <w:kern w:val="0"/>
          <w:lang w:val="fr-FR"/>
        </w:rPr>
        <w:t>1. 130-31</w:t>
      </w:r>
      <w:r w:rsidR="00043F23" w:rsidRPr="00E5413C">
        <w:rPr>
          <w:kern w:val="0"/>
          <w:lang w:val="fr-FR"/>
        </w:rPr>
        <w:t>:</w:t>
      </w:r>
    </w:p>
    <w:p w14:paraId="3FA9C028" w14:textId="77777777" w:rsidR="00043F23" w:rsidRPr="00E5413C" w:rsidRDefault="00043F23" w:rsidP="00674828">
      <w:pPr>
        <w:rPr>
          <w:kern w:val="0"/>
          <w:lang w:val="fr-FR"/>
        </w:rPr>
      </w:pPr>
    </w:p>
    <w:p w14:paraId="43ABB6AC" w14:textId="750AF018" w:rsidR="00043F23" w:rsidRPr="00E5413C" w:rsidRDefault="00043F23" w:rsidP="00043F23">
      <w:pPr>
        <w:ind w:left="720" w:right="720"/>
        <w:rPr>
          <w:kern w:val="0"/>
          <w:lang w:val="fr-FR"/>
        </w:rPr>
      </w:pPr>
      <w:r w:rsidRPr="00E5413C">
        <w:rPr>
          <w:kern w:val="0"/>
          <w:lang w:val="fr-FR"/>
        </w:rPr>
        <w:t>. . . dans l’établissement d’un chiasme lexical, il faut d’abord être exhaustif, c’est-à-dire prendre en consdération toutes les recurrences: le plus sûr est de commencer par faire la liste des mots du texte . . . employés deux ou plusieurs fois, puis de chercher comment ils s’organisent. En ayant bien soin d’intégrer tous ceux qui peuvnt l’être . . .</w:t>
      </w:r>
    </w:p>
    <w:p w14:paraId="4964E4B4" w14:textId="77777777" w:rsidR="00043F23" w:rsidRPr="00E5413C" w:rsidRDefault="00043F23" w:rsidP="00674828">
      <w:pPr>
        <w:rPr>
          <w:kern w:val="0"/>
          <w:lang w:val="fr-FR"/>
        </w:rPr>
      </w:pPr>
    </w:p>
  </w:footnote>
  <w:footnote w:id="818">
    <w:p w14:paraId="2263E524" w14:textId="63CF6ACE" w:rsidR="0018433B" w:rsidRPr="00E5413C" w:rsidRDefault="0018433B" w:rsidP="00674828">
      <w:pPr>
        <w:rPr>
          <w:kern w:val="0"/>
          <w:lang w:val="fr-FR"/>
        </w:rPr>
      </w:pPr>
      <w:r w:rsidRPr="00674828">
        <w:rPr>
          <w:kern w:val="0"/>
          <w:vertAlign w:val="superscript"/>
        </w:rPr>
        <w:footnoteRef/>
      </w:r>
      <w:r w:rsidR="006414EC" w:rsidRPr="00E5413C">
        <w:rPr>
          <w:kern w:val="0"/>
          <w:lang w:val="fr-FR"/>
        </w:rPr>
        <w:t xml:space="preserve"> I</w:t>
      </w:r>
      <w:r w:rsidRPr="00E5413C">
        <w:rPr>
          <w:kern w:val="0"/>
          <w:lang w:val="fr-FR"/>
        </w:rPr>
        <w:t>bid.</w:t>
      </w:r>
      <w:r w:rsidR="006F304D" w:rsidRPr="00E5413C">
        <w:rPr>
          <w:kern w:val="0"/>
          <w:lang w:val="fr-FR"/>
        </w:rPr>
        <w:t xml:space="preserve">, </w:t>
      </w:r>
      <w:r w:rsidRPr="00E5413C">
        <w:rPr>
          <w:kern w:val="0"/>
          <w:lang w:val="fr-FR"/>
        </w:rPr>
        <w:t>1. 133</w:t>
      </w:r>
      <w:r w:rsidR="00043F23" w:rsidRPr="00E5413C">
        <w:rPr>
          <w:kern w:val="0"/>
          <w:lang w:val="fr-FR"/>
        </w:rPr>
        <w:t>: “dans . . . chiasmes lexicaux, la proportion de mots identiques est largement suérieure à celle des synonymes . . .”</w:t>
      </w:r>
    </w:p>
  </w:footnote>
  <w:footnote w:id="819">
    <w:p w14:paraId="6D5A4CC6" w14:textId="07B94C0E" w:rsidR="0018433B" w:rsidRPr="00E5413C" w:rsidRDefault="0018433B" w:rsidP="00674828">
      <w:pPr>
        <w:rPr>
          <w:kern w:val="0"/>
          <w:lang w:val="fr-FR"/>
        </w:rPr>
      </w:pPr>
      <w:r w:rsidRPr="00674828">
        <w:rPr>
          <w:kern w:val="0"/>
          <w:vertAlign w:val="superscript"/>
        </w:rPr>
        <w:footnoteRef/>
      </w:r>
      <w:r w:rsidR="006414EC" w:rsidRPr="00E5413C">
        <w:rPr>
          <w:kern w:val="0"/>
          <w:lang w:val="fr-FR"/>
        </w:rPr>
        <w:t xml:space="preserve"> I</w:t>
      </w:r>
      <w:r w:rsidRPr="00E5413C">
        <w:rPr>
          <w:kern w:val="0"/>
          <w:lang w:val="fr-FR"/>
        </w:rPr>
        <w:t>bid.</w:t>
      </w:r>
      <w:r w:rsidR="006F304D" w:rsidRPr="00E5413C">
        <w:rPr>
          <w:kern w:val="0"/>
          <w:lang w:val="fr-FR"/>
        </w:rPr>
        <w:t xml:space="preserve">, </w:t>
      </w:r>
      <w:r w:rsidRPr="00E5413C">
        <w:rPr>
          <w:kern w:val="0"/>
          <w:lang w:val="fr-FR"/>
        </w:rPr>
        <w:t>1. 132</w:t>
      </w:r>
      <w:r w:rsidR="00043F23" w:rsidRPr="00E5413C">
        <w:rPr>
          <w:kern w:val="0"/>
          <w:lang w:val="fr-FR"/>
        </w:rPr>
        <w:t>: “fait d’abord la liste de tous les mots identiques ou opposés.”</w:t>
      </w:r>
    </w:p>
  </w:footnote>
  <w:footnote w:id="820">
    <w:p w14:paraId="3C4038B3" w14:textId="35461842" w:rsidR="0018433B" w:rsidRPr="00E5413C" w:rsidRDefault="0018433B" w:rsidP="00674828">
      <w:pPr>
        <w:rPr>
          <w:kern w:val="0"/>
          <w:lang w:val="fr-FR"/>
        </w:rPr>
      </w:pPr>
      <w:r w:rsidRPr="00674828">
        <w:rPr>
          <w:kern w:val="0"/>
          <w:vertAlign w:val="superscript"/>
        </w:rPr>
        <w:footnoteRef/>
      </w:r>
      <w:r w:rsidR="006414EC" w:rsidRPr="00E5413C">
        <w:rPr>
          <w:kern w:val="0"/>
          <w:lang w:val="fr-FR"/>
        </w:rPr>
        <w:t xml:space="preserve"> I</w:t>
      </w:r>
      <w:r w:rsidRPr="00E5413C">
        <w:rPr>
          <w:kern w:val="0"/>
          <w:lang w:val="fr-FR"/>
        </w:rPr>
        <w:t>bid.</w:t>
      </w:r>
      <w:r w:rsidR="006F304D" w:rsidRPr="00E5413C">
        <w:rPr>
          <w:kern w:val="0"/>
          <w:lang w:val="fr-FR"/>
        </w:rPr>
        <w:t xml:space="preserve">, </w:t>
      </w:r>
      <w:r w:rsidRPr="00E5413C">
        <w:rPr>
          <w:kern w:val="0"/>
          <w:lang w:val="fr-FR"/>
        </w:rPr>
        <w:t>1. 130-31</w:t>
      </w:r>
      <w:r w:rsidR="00043F23" w:rsidRPr="00E5413C">
        <w:rPr>
          <w:kern w:val="0"/>
          <w:lang w:val="fr-FR"/>
        </w:rPr>
        <w:t>:</w:t>
      </w:r>
    </w:p>
    <w:p w14:paraId="4F35907C" w14:textId="77777777" w:rsidR="00043F23" w:rsidRPr="00E5413C" w:rsidRDefault="00043F23" w:rsidP="00674828">
      <w:pPr>
        <w:rPr>
          <w:kern w:val="0"/>
          <w:lang w:val="fr-FR"/>
        </w:rPr>
      </w:pPr>
    </w:p>
    <w:p w14:paraId="4DE7687A" w14:textId="0DCB66DB" w:rsidR="00043F23" w:rsidRPr="00E5413C" w:rsidRDefault="00043F23" w:rsidP="00043F23">
      <w:pPr>
        <w:ind w:left="720" w:right="720"/>
        <w:rPr>
          <w:kern w:val="0"/>
          <w:lang w:val="fr-FR"/>
        </w:rPr>
      </w:pPr>
      <w:r w:rsidRPr="00E5413C">
        <w:rPr>
          <w:kern w:val="0"/>
          <w:lang w:val="fr-FR"/>
        </w:rPr>
        <w:t xml:space="preserve">Il arrive souvent que tous les lexèmes identiques ne pussent pas être intégrés dans le chiasme, ou qu’on puisse hésiter sur ceux qui sont intégrables. Il faut alors choisir la figure qui en intègre le plus grand nombre. Puisqu’il est la plupart du temps impossible de parler d’exhaustivité absoklue, on parlera de </w:t>
      </w:r>
      <w:r w:rsidRPr="00E5413C">
        <w:rPr>
          <w:i/>
          <w:iCs/>
          <w:kern w:val="0"/>
          <w:lang w:val="fr-FR"/>
        </w:rPr>
        <w:t>rentabilité</w:t>
      </w:r>
      <w:r w:rsidRPr="00E5413C">
        <w:rPr>
          <w:kern w:val="0"/>
          <w:lang w:val="fr-FR"/>
        </w:rPr>
        <w:t>: un chisme sera d’autant plus rentable qu’il intégrera un plus grand nombre d’éléments en relation.</w:t>
      </w:r>
    </w:p>
  </w:footnote>
  <w:footnote w:id="821">
    <w:p w14:paraId="4FCF93A8" w14:textId="77777777" w:rsidR="00043F23" w:rsidRPr="00E5413C" w:rsidRDefault="00043F23" w:rsidP="00674828">
      <w:pPr>
        <w:rPr>
          <w:kern w:val="0"/>
          <w:lang w:val="fr-FR"/>
        </w:rPr>
      </w:pPr>
    </w:p>
    <w:p w14:paraId="06CBECBE" w14:textId="6F29083B" w:rsidR="0018433B" w:rsidRPr="00674828" w:rsidRDefault="0018433B" w:rsidP="00674828">
      <w:pPr>
        <w:rPr>
          <w:kern w:val="0"/>
        </w:rPr>
      </w:pPr>
      <w:r w:rsidRPr="00674828">
        <w:rPr>
          <w:kern w:val="0"/>
          <w:vertAlign w:val="superscript"/>
        </w:rPr>
        <w:footnoteRef/>
      </w:r>
      <w:r w:rsidR="006414EC">
        <w:rPr>
          <w:kern w:val="0"/>
        </w:rPr>
        <w:t xml:space="preserve"> L</w:t>
      </w:r>
      <w:r w:rsidRPr="00674828">
        <w:rPr>
          <w:kern w:val="0"/>
        </w:rPr>
        <w:t>éon-Dufour</w:t>
      </w:r>
      <w:r w:rsidR="006F304D" w:rsidRPr="00674828">
        <w:rPr>
          <w:kern w:val="0"/>
        </w:rPr>
        <w:t xml:space="preserve">, </w:t>
      </w:r>
      <w:r w:rsidRPr="00674828">
        <w:rPr>
          <w:i/>
          <w:kern w:val="0"/>
        </w:rPr>
        <w:t>Resurrection</w:t>
      </w:r>
      <w:r w:rsidR="00043F23">
        <w:rPr>
          <w:i/>
          <w:kern w:val="0"/>
        </w:rPr>
        <w:t xml:space="preserve"> and the Message of Easter</w:t>
      </w:r>
      <w:r w:rsidR="006F304D" w:rsidRPr="00674828">
        <w:rPr>
          <w:kern w:val="0"/>
        </w:rPr>
        <w:t xml:space="preserve"> </w:t>
      </w:r>
      <w:r w:rsidRPr="00674828">
        <w:rPr>
          <w:kern w:val="0"/>
        </w:rPr>
        <w:t>162.</w:t>
      </w:r>
    </w:p>
  </w:footnote>
  <w:footnote w:id="822">
    <w:p w14:paraId="5845F3F6" w14:textId="5DAC4815" w:rsidR="0018433B" w:rsidRPr="00674828" w:rsidRDefault="0018433B" w:rsidP="00674828">
      <w:pPr>
        <w:rPr>
          <w:kern w:val="0"/>
        </w:rPr>
      </w:pPr>
      <w:r w:rsidRPr="00674828">
        <w:rPr>
          <w:kern w:val="0"/>
          <w:vertAlign w:val="superscript"/>
        </w:rPr>
        <w:footnoteRef/>
      </w:r>
      <w:r w:rsidR="006414EC">
        <w:rPr>
          <w:kern w:val="0"/>
        </w:rPr>
        <w:t xml:space="preserve"> S</w:t>
      </w:r>
      <w:r w:rsidRPr="00674828">
        <w:rPr>
          <w:kern w:val="0"/>
        </w:rPr>
        <w:t>hea</w:t>
      </w:r>
      <w:r w:rsidR="006F304D" w:rsidRPr="00674828">
        <w:rPr>
          <w:kern w:val="0"/>
        </w:rPr>
        <w:t xml:space="preserve">, </w:t>
      </w:r>
      <w:r w:rsidRPr="00674828">
        <w:rPr>
          <w:kern w:val="0"/>
        </w:rPr>
        <w:t>“Chiasmus</w:t>
      </w:r>
      <w:r w:rsidR="00043F23">
        <w:rPr>
          <w:kern w:val="0"/>
        </w:rPr>
        <w:t xml:space="preserve"> and the Structure of David’s Lament [2 Sam 1:19-27].” </w:t>
      </w:r>
      <w:r w:rsidR="00043F23">
        <w:rPr>
          <w:i/>
          <w:iCs/>
          <w:kern w:val="0"/>
        </w:rPr>
        <w:t>Journal of Biblical Literature</w:t>
      </w:r>
      <w:r w:rsidR="00043F23">
        <w:rPr>
          <w:kern w:val="0"/>
        </w:rPr>
        <w:t xml:space="preserve"> 105 (1986) </w:t>
      </w:r>
      <w:r w:rsidRPr="00674828">
        <w:rPr>
          <w:kern w:val="0"/>
        </w:rPr>
        <w:t>13-14.</w:t>
      </w:r>
      <w:r w:rsidR="00AC038F" w:rsidRPr="00674828">
        <w:rPr>
          <w:iCs/>
          <w:kern w:val="0"/>
        </w:rPr>
        <w:t xml:space="preserve"> </w:t>
      </w:r>
      <w:r w:rsidRPr="00674828">
        <w:rPr>
          <w:kern w:val="0"/>
        </w:rPr>
        <w:t>Of the lament itself he says:</w:t>
      </w:r>
    </w:p>
    <w:p w14:paraId="291612D0" w14:textId="77777777" w:rsidR="006414EC" w:rsidRDefault="006414EC" w:rsidP="00674828">
      <w:pPr>
        <w:rPr>
          <w:kern w:val="0"/>
        </w:rPr>
      </w:pPr>
    </w:p>
    <w:p w14:paraId="0EAD1463" w14:textId="097F1E40" w:rsidR="0018433B" w:rsidRPr="00674828" w:rsidRDefault="0018433B" w:rsidP="006414EC">
      <w:pPr>
        <w:ind w:left="720" w:right="720"/>
        <w:rPr>
          <w:kern w:val="0"/>
        </w:rPr>
      </w:pPr>
      <w:r w:rsidRPr="00674828">
        <w:rPr>
          <w:kern w:val="0"/>
        </w:rPr>
        <w:t xml:space="preserve">There are a number of thematically elaborated chiasms in this poem </w:t>
      </w:r>
      <w:r w:rsidR="00ED622B">
        <w:rPr>
          <w:kern w:val="0"/>
        </w:rPr>
        <w:t>. . .</w:t>
      </w:r>
      <w:r w:rsidRPr="00674828">
        <w:rPr>
          <w:kern w:val="0"/>
        </w:rPr>
        <w:t xml:space="preserve"> [However,] the lament was composed in an overall chiasm by form in which the poetic units of the piece lengthen progressively toward its center and then decrease progressively</w:t>
      </w:r>
      <w:r w:rsidR="006D27DD">
        <w:rPr>
          <w:kern w:val="0"/>
        </w:rPr>
        <w:t xml:space="preserve"> </w:t>
      </w:r>
      <w:r w:rsidR="00ED622B">
        <w:rPr>
          <w:kern w:val="0"/>
        </w:rPr>
        <w:t>. . .</w:t>
      </w:r>
    </w:p>
  </w:footnote>
  <w:footnote w:id="823">
    <w:p w14:paraId="7AC75E81" w14:textId="77777777" w:rsidR="006414EC" w:rsidRDefault="006414EC" w:rsidP="00674828">
      <w:pPr>
        <w:rPr>
          <w:iCs/>
          <w:kern w:val="0"/>
        </w:rPr>
      </w:pPr>
    </w:p>
    <w:p w14:paraId="20F3E2A6" w14:textId="6CB827BB" w:rsidR="0018433B" w:rsidRPr="00674828" w:rsidRDefault="0018433B" w:rsidP="00674828">
      <w:pPr>
        <w:rPr>
          <w:kern w:val="0"/>
        </w:rPr>
      </w:pPr>
      <w:r w:rsidRPr="00674828">
        <w:rPr>
          <w:kern w:val="0"/>
          <w:vertAlign w:val="superscript"/>
        </w:rPr>
        <w:footnoteRef/>
      </w:r>
      <w:r w:rsidR="006414EC">
        <w:rPr>
          <w:kern w:val="0"/>
        </w:rPr>
        <w:t xml:space="preserve"> L</w:t>
      </w:r>
      <w:r w:rsidRPr="00674828">
        <w:rPr>
          <w:kern w:val="0"/>
        </w:rPr>
        <w:t>und</w:t>
      </w:r>
      <w:r w:rsidR="006F304D" w:rsidRPr="00674828">
        <w:rPr>
          <w:kern w:val="0"/>
        </w:rPr>
        <w:t xml:space="preserve">, </w:t>
      </w:r>
      <w:r w:rsidRPr="00674828">
        <w:rPr>
          <w:i/>
          <w:kern w:val="0"/>
        </w:rPr>
        <w:t>Chiasmus</w:t>
      </w:r>
      <w:r w:rsidR="006F304D" w:rsidRPr="00674828">
        <w:rPr>
          <w:kern w:val="0"/>
        </w:rPr>
        <w:t xml:space="preserve"> </w:t>
      </w:r>
      <w:r w:rsidRPr="00674828">
        <w:rPr>
          <w:kern w:val="0"/>
        </w:rPr>
        <w:t>261.</w:t>
      </w:r>
    </w:p>
  </w:footnote>
  <w:footnote w:id="824">
    <w:p w14:paraId="474AB520" w14:textId="1CF33062" w:rsidR="0018433B" w:rsidRPr="00674828" w:rsidRDefault="0018433B" w:rsidP="00674828">
      <w:pPr>
        <w:rPr>
          <w:kern w:val="0"/>
        </w:rPr>
      </w:pPr>
      <w:r w:rsidRPr="00674828">
        <w:rPr>
          <w:kern w:val="0"/>
          <w:vertAlign w:val="superscript"/>
        </w:rPr>
        <w:footnoteRef/>
      </w:r>
      <w:r w:rsidR="006414EC">
        <w:rPr>
          <w:kern w:val="0"/>
        </w:rPr>
        <w:t xml:space="preserve"> I</w:t>
      </w:r>
      <w:r w:rsidRPr="00674828">
        <w:rPr>
          <w:kern w:val="0"/>
        </w:rPr>
        <w:t>bid.</w:t>
      </w:r>
      <w:r w:rsidR="006F304D" w:rsidRPr="00674828">
        <w:rPr>
          <w:kern w:val="0"/>
        </w:rPr>
        <w:t xml:space="preserve">, </w:t>
      </w:r>
      <w:r w:rsidRPr="00674828">
        <w:rPr>
          <w:kern w:val="0"/>
        </w:rPr>
        <w:t>44 (Lund’s emphases).</w:t>
      </w:r>
    </w:p>
  </w:footnote>
  <w:footnote w:id="825">
    <w:p w14:paraId="181356A8" w14:textId="013123F3" w:rsidR="0018433B" w:rsidRPr="00E5413C" w:rsidRDefault="0018433B" w:rsidP="00674828">
      <w:pPr>
        <w:rPr>
          <w:kern w:val="0"/>
          <w:lang w:val="fr-FR"/>
        </w:rPr>
      </w:pPr>
      <w:r w:rsidRPr="00674828">
        <w:rPr>
          <w:kern w:val="0"/>
          <w:vertAlign w:val="superscript"/>
        </w:rPr>
        <w:footnoteRef/>
      </w:r>
      <w:r w:rsidR="006414EC" w:rsidRPr="00E5413C">
        <w:rPr>
          <w:kern w:val="0"/>
          <w:lang w:val="fr-FR"/>
        </w:rPr>
        <w:t xml:space="preserve"> I</w:t>
      </w:r>
      <w:r w:rsidRPr="00E5413C">
        <w:rPr>
          <w:kern w:val="0"/>
          <w:lang w:val="fr-FR"/>
        </w:rPr>
        <w:t>bid.</w:t>
      </w:r>
    </w:p>
  </w:footnote>
  <w:footnote w:id="826">
    <w:p w14:paraId="38F03031" w14:textId="41892F78" w:rsidR="0018433B" w:rsidRPr="00E5413C" w:rsidRDefault="0018433B" w:rsidP="00674828">
      <w:pPr>
        <w:rPr>
          <w:kern w:val="0"/>
          <w:lang w:val="fr-FR"/>
        </w:rPr>
      </w:pPr>
      <w:r w:rsidRPr="00674828">
        <w:rPr>
          <w:kern w:val="0"/>
          <w:vertAlign w:val="superscript"/>
        </w:rPr>
        <w:footnoteRef/>
      </w:r>
      <w:r w:rsidR="006414EC" w:rsidRPr="00E5413C">
        <w:rPr>
          <w:kern w:val="0"/>
          <w:lang w:val="fr-FR"/>
        </w:rPr>
        <w:t xml:space="preserve"> M</w:t>
      </w:r>
      <w:r w:rsidRPr="00E5413C">
        <w:rPr>
          <w:kern w:val="0"/>
          <w:lang w:val="fr-FR"/>
        </w:rPr>
        <w:t>eynet</w:t>
      </w:r>
      <w:r w:rsidR="006F304D" w:rsidRPr="00E5413C">
        <w:rPr>
          <w:kern w:val="0"/>
          <w:lang w:val="fr-FR"/>
        </w:rPr>
        <w:t xml:space="preserve">, </w:t>
      </w:r>
      <w:r w:rsidRPr="00E5413C">
        <w:rPr>
          <w:i/>
          <w:kern w:val="0"/>
          <w:lang w:val="fr-FR"/>
        </w:rPr>
        <w:t>Quelle</w:t>
      </w:r>
      <w:r w:rsidR="006F304D" w:rsidRPr="00E5413C">
        <w:rPr>
          <w:kern w:val="0"/>
          <w:lang w:val="fr-FR"/>
        </w:rPr>
        <w:t xml:space="preserve"> </w:t>
      </w:r>
      <w:r w:rsidRPr="00E5413C">
        <w:rPr>
          <w:kern w:val="0"/>
          <w:lang w:val="fr-FR"/>
        </w:rPr>
        <w:t>1. 34-35</w:t>
      </w:r>
      <w:r w:rsidR="006D27DD" w:rsidRPr="00E5413C">
        <w:rPr>
          <w:kern w:val="0"/>
          <w:lang w:val="fr-FR"/>
        </w:rPr>
        <w:t>: “chiasme, est purement formel, abstrait: c’est un modèle d’organisation, de composition du texte, indépendamment de son contenu.”</w:t>
      </w:r>
    </w:p>
  </w:footnote>
  <w:footnote w:id="827">
    <w:p w14:paraId="71759460" w14:textId="3F117C6F" w:rsidR="0018433B" w:rsidRPr="00E5413C" w:rsidRDefault="0018433B" w:rsidP="00674828">
      <w:pPr>
        <w:rPr>
          <w:kern w:val="0"/>
          <w:lang w:val="fr-FR"/>
        </w:rPr>
      </w:pPr>
      <w:r w:rsidRPr="00674828">
        <w:rPr>
          <w:kern w:val="0"/>
          <w:vertAlign w:val="superscript"/>
        </w:rPr>
        <w:footnoteRef/>
      </w:r>
      <w:r w:rsidR="006414EC" w:rsidRPr="00E5413C">
        <w:rPr>
          <w:kern w:val="0"/>
          <w:lang w:val="fr-FR"/>
        </w:rPr>
        <w:t xml:space="preserve"> I</w:t>
      </w:r>
      <w:r w:rsidRPr="00E5413C">
        <w:rPr>
          <w:kern w:val="0"/>
          <w:lang w:val="fr-FR"/>
        </w:rPr>
        <w:t>bid.</w:t>
      </w:r>
      <w:r w:rsidR="006F304D" w:rsidRPr="00E5413C">
        <w:rPr>
          <w:kern w:val="0"/>
          <w:lang w:val="fr-FR"/>
        </w:rPr>
        <w:t xml:space="preserve">, </w:t>
      </w:r>
      <w:r w:rsidRPr="00E5413C">
        <w:rPr>
          <w:kern w:val="0"/>
          <w:lang w:val="fr-FR"/>
        </w:rPr>
        <w:t>1. 199</w:t>
      </w:r>
      <w:r w:rsidR="006D27DD" w:rsidRPr="00E5413C">
        <w:rPr>
          <w:kern w:val="0"/>
          <w:lang w:val="fr-FR"/>
        </w:rPr>
        <w:t>: “les structures mises en évidence, refrains, inclusions, chiasmes, . . . dans la plupart des cas ne sont que des marques . . .”</w:t>
      </w:r>
      <w:r w:rsidR="00AC038F" w:rsidRPr="00E5413C">
        <w:rPr>
          <w:iCs/>
          <w:kern w:val="0"/>
          <w:lang w:val="fr-FR"/>
        </w:rPr>
        <w:t xml:space="preserve"> </w:t>
      </w:r>
      <w:r w:rsidRPr="00E5413C">
        <w:rPr>
          <w:kern w:val="0"/>
          <w:lang w:val="fr-FR"/>
        </w:rPr>
        <w:t>See further pp. 134-35</w:t>
      </w:r>
      <w:r w:rsidR="006F304D" w:rsidRPr="00E5413C">
        <w:rPr>
          <w:kern w:val="0"/>
          <w:lang w:val="fr-FR"/>
        </w:rPr>
        <w:t xml:space="preserve">, </w:t>
      </w:r>
      <w:r w:rsidRPr="00E5413C">
        <w:rPr>
          <w:kern w:val="0"/>
          <w:lang w:val="fr-FR"/>
        </w:rPr>
        <w:t>137.</w:t>
      </w:r>
    </w:p>
  </w:footnote>
  <w:footnote w:id="828">
    <w:p w14:paraId="46CA1924" w14:textId="49E0D523" w:rsidR="0018433B" w:rsidRPr="00E5413C" w:rsidRDefault="0018433B" w:rsidP="00674828">
      <w:pPr>
        <w:rPr>
          <w:kern w:val="0"/>
          <w:lang w:val="fr-FR"/>
        </w:rPr>
      </w:pPr>
      <w:r w:rsidRPr="00674828">
        <w:rPr>
          <w:kern w:val="0"/>
          <w:vertAlign w:val="superscript"/>
        </w:rPr>
        <w:footnoteRef/>
      </w:r>
      <w:r w:rsidR="006414EC" w:rsidRPr="00E5413C">
        <w:rPr>
          <w:kern w:val="0"/>
          <w:lang w:val="fr-FR"/>
        </w:rPr>
        <w:t xml:space="preserve"> I</w:t>
      </w:r>
      <w:r w:rsidRPr="00E5413C">
        <w:rPr>
          <w:kern w:val="0"/>
          <w:lang w:val="fr-FR"/>
        </w:rPr>
        <w:t>bid.</w:t>
      </w:r>
      <w:r w:rsidR="006F304D" w:rsidRPr="00E5413C">
        <w:rPr>
          <w:kern w:val="0"/>
          <w:lang w:val="fr-FR"/>
        </w:rPr>
        <w:t xml:space="preserve">, </w:t>
      </w:r>
      <w:r w:rsidRPr="00E5413C">
        <w:rPr>
          <w:kern w:val="0"/>
          <w:lang w:val="fr-FR"/>
        </w:rPr>
        <w:t>1. 128-29</w:t>
      </w:r>
      <w:r w:rsidR="006D27DD" w:rsidRPr="00E5413C">
        <w:rPr>
          <w:kern w:val="0"/>
          <w:lang w:val="fr-FR"/>
        </w:rPr>
        <w:t>: “Deux récits seront en corrélation si leur genre est le même [128] . . . Ou si leur contenu est le même . . .”</w:t>
      </w:r>
    </w:p>
  </w:footnote>
  <w:footnote w:id="829">
    <w:p w14:paraId="52335411" w14:textId="001A3D28" w:rsidR="0018433B" w:rsidRPr="00674828" w:rsidRDefault="0018433B" w:rsidP="00674828">
      <w:pPr>
        <w:rPr>
          <w:kern w:val="0"/>
        </w:rPr>
      </w:pPr>
      <w:r w:rsidRPr="00674828">
        <w:rPr>
          <w:kern w:val="0"/>
          <w:vertAlign w:val="superscript"/>
        </w:rPr>
        <w:footnoteRef/>
      </w:r>
      <w:r w:rsidR="006414EC" w:rsidRPr="00E5413C">
        <w:rPr>
          <w:kern w:val="0"/>
          <w:lang w:val="fr-FR"/>
        </w:rPr>
        <w:t xml:space="preserve"> I</w:t>
      </w:r>
      <w:r w:rsidRPr="00E5413C">
        <w:rPr>
          <w:kern w:val="0"/>
          <w:lang w:val="fr-FR"/>
        </w:rPr>
        <w:t>bid.</w:t>
      </w:r>
      <w:r w:rsidR="006F304D" w:rsidRPr="00E5413C">
        <w:rPr>
          <w:kern w:val="0"/>
          <w:lang w:val="fr-FR"/>
        </w:rPr>
        <w:t xml:space="preserve">, </w:t>
      </w:r>
      <w:r w:rsidRPr="00E5413C">
        <w:rPr>
          <w:kern w:val="0"/>
          <w:lang w:val="fr-FR"/>
        </w:rPr>
        <w:t>1. 143</w:t>
      </w:r>
      <w:r w:rsidR="006D27DD" w:rsidRPr="00E5413C">
        <w:rPr>
          <w:kern w:val="0"/>
          <w:lang w:val="fr-FR"/>
        </w:rPr>
        <w:t xml:space="preserve">: “la section C . . . semble bien organisée autour de la question de l’identité du disciple, dans sa relation </w:t>
      </w:r>
      <w:r w:rsidR="006D27DD" w:rsidRPr="00E5413C">
        <w:rPr>
          <w:kern w:val="0"/>
          <w:lang w:val="fr-FR"/>
        </w:rPr>
        <w:tab/>
        <w:t>a son maître, et par lui au Père.”</w:t>
      </w:r>
      <w:r w:rsidR="00AC038F" w:rsidRPr="00E5413C">
        <w:rPr>
          <w:iCs/>
          <w:kern w:val="0"/>
          <w:lang w:val="fr-FR"/>
        </w:rPr>
        <w:t xml:space="preserve"> </w:t>
      </w:r>
      <w:r w:rsidRPr="00674828">
        <w:rPr>
          <w:kern w:val="0"/>
        </w:rPr>
        <w:t>Section C is Luke 9:51-21:38!</w:t>
      </w:r>
    </w:p>
  </w:footnote>
  <w:footnote w:id="830">
    <w:p w14:paraId="162CEFCA" w14:textId="2B248863" w:rsidR="0018433B" w:rsidRPr="00674828" w:rsidRDefault="0018433B" w:rsidP="00674828">
      <w:pPr>
        <w:rPr>
          <w:kern w:val="0"/>
        </w:rPr>
      </w:pPr>
      <w:r w:rsidRPr="00674828">
        <w:rPr>
          <w:kern w:val="0"/>
          <w:vertAlign w:val="superscript"/>
        </w:rPr>
        <w:footnoteRef/>
      </w:r>
      <w:r w:rsidR="006414EC">
        <w:rPr>
          <w:kern w:val="0"/>
        </w:rPr>
        <w:t xml:space="preserve"> I</w:t>
      </w:r>
      <w:r w:rsidRPr="00674828">
        <w:rPr>
          <w:kern w:val="0"/>
        </w:rPr>
        <w:t>bid.</w:t>
      </w:r>
      <w:r w:rsidR="006F304D" w:rsidRPr="00674828">
        <w:rPr>
          <w:kern w:val="0"/>
        </w:rPr>
        <w:t xml:space="preserve">, </w:t>
      </w:r>
      <w:r w:rsidRPr="00674828">
        <w:rPr>
          <w:kern w:val="0"/>
        </w:rPr>
        <w:t>1. 36-37.</w:t>
      </w:r>
      <w:r w:rsidR="00AC038F" w:rsidRPr="00674828">
        <w:rPr>
          <w:iCs/>
          <w:kern w:val="0"/>
        </w:rPr>
        <w:t xml:space="preserve"> </w:t>
      </w:r>
      <w:r w:rsidRPr="00674828">
        <w:rPr>
          <w:kern w:val="0"/>
        </w:rPr>
        <w:t>See further Meynet’s “paradigmatic model” (Appendix 1) and his third model</w:t>
      </w:r>
      <w:r w:rsidR="006F304D" w:rsidRPr="00674828">
        <w:rPr>
          <w:kern w:val="0"/>
        </w:rPr>
        <w:t xml:space="preserve">, </w:t>
      </w:r>
      <w:r w:rsidRPr="00674828">
        <w:rPr>
          <w:kern w:val="0"/>
        </w:rPr>
        <w:t>the “resumption by the gospel text of the scheme of an Old Testament text” (Appendix 1).</w:t>
      </w:r>
    </w:p>
  </w:footnote>
  <w:footnote w:id="831">
    <w:p w14:paraId="54F7C32A" w14:textId="0439B79B" w:rsidR="0018433B" w:rsidRPr="00E5413C" w:rsidRDefault="0018433B" w:rsidP="00674828">
      <w:pPr>
        <w:rPr>
          <w:kern w:val="0"/>
          <w:lang w:val="fr-FR"/>
        </w:rPr>
      </w:pPr>
      <w:r w:rsidRPr="00674828">
        <w:rPr>
          <w:kern w:val="0"/>
          <w:vertAlign w:val="superscript"/>
        </w:rPr>
        <w:footnoteRef/>
      </w:r>
      <w:r w:rsidR="006414EC" w:rsidRPr="00E5413C">
        <w:rPr>
          <w:kern w:val="0"/>
          <w:lang w:val="fr-FR"/>
        </w:rPr>
        <w:t xml:space="preserve"> I</w:t>
      </w:r>
      <w:r w:rsidRPr="00E5413C">
        <w:rPr>
          <w:kern w:val="0"/>
          <w:lang w:val="fr-FR"/>
        </w:rPr>
        <w:t>bid.</w:t>
      </w:r>
      <w:r w:rsidR="006F304D" w:rsidRPr="00E5413C">
        <w:rPr>
          <w:kern w:val="0"/>
          <w:lang w:val="fr-FR"/>
        </w:rPr>
        <w:t xml:space="preserve">, </w:t>
      </w:r>
      <w:r w:rsidRPr="00E5413C">
        <w:rPr>
          <w:kern w:val="0"/>
          <w:lang w:val="fr-FR"/>
        </w:rPr>
        <w:t>1. 36</w:t>
      </w:r>
      <w:r w:rsidR="006D27DD" w:rsidRPr="00E5413C">
        <w:rPr>
          <w:kern w:val="0"/>
          <w:lang w:val="fr-FR"/>
        </w:rPr>
        <w:t>: “critères facultatifs . . .”</w:t>
      </w:r>
    </w:p>
  </w:footnote>
  <w:footnote w:id="832">
    <w:p w14:paraId="40071799" w14:textId="4847AE8E" w:rsidR="0018433B" w:rsidRPr="00E5413C" w:rsidRDefault="0018433B" w:rsidP="00674828">
      <w:pPr>
        <w:rPr>
          <w:kern w:val="0"/>
          <w:lang w:val="fr-FR"/>
        </w:rPr>
      </w:pPr>
      <w:r w:rsidRPr="00674828">
        <w:rPr>
          <w:kern w:val="0"/>
          <w:vertAlign w:val="superscript"/>
        </w:rPr>
        <w:footnoteRef/>
      </w:r>
      <w:r w:rsidR="006414EC" w:rsidRPr="00E5413C">
        <w:rPr>
          <w:kern w:val="0"/>
          <w:lang w:val="fr-FR"/>
        </w:rPr>
        <w:t xml:space="preserve"> I</w:t>
      </w:r>
      <w:r w:rsidRPr="00E5413C">
        <w:rPr>
          <w:kern w:val="0"/>
          <w:lang w:val="fr-FR"/>
        </w:rPr>
        <w:t>bid.</w:t>
      </w:r>
      <w:r w:rsidR="006F304D" w:rsidRPr="00E5413C">
        <w:rPr>
          <w:kern w:val="0"/>
          <w:lang w:val="fr-FR"/>
        </w:rPr>
        <w:t xml:space="preserve">, </w:t>
      </w:r>
      <w:r w:rsidRPr="00E5413C">
        <w:rPr>
          <w:kern w:val="0"/>
          <w:lang w:val="fr-FR"/>
        </w:rPr>
        <w:t>1. 196</w:t>
      </w:r>
      <w:r w:rsidR="006D27DD" w:rsidRPr="00E5413C">
        <w:rPr>
          <w:kern w:val="0"/>
          <w:lang w:val="fr-FR"/>
        </w:rPr>
        <w:t>: “Ils sont chronologiques et thématiques . . . Les critères de notre analyse . . . ne sont ni chronologiques, ni spatiaux, ni comparatistes. Ni de sujet, personnages, mis en scène ou contenu. Ou du moins ces critères-là ne jouent qu’a posteriori et sont facultatifs.”</w:t>
      </w:r>
    </w:p>
  </w:footnote>
  <w:footnote w:id="833">
    <w:p w14:paraId="6B210D4A" w14:textId="2BA21CDC" w:rsidR="0018433B" w:rsidRPr="00E5413C" w:rsidRDefault="0018433B" w:rsidP="00674828">
      <w:pPr>
        <w:rPr>
          <w:kern w:val="0"/>
          <w:lang w:val="fr-FR"/>
        </w:rPr>
      </w:pPr>
      <w:r w:rsidRPr="006414EC">
        <w:rPr>
          <w:vertAlign w:val="superscript"/>
        </w:rPr>
        <w:footnoteRef/>
      </w:r>
      <w:r w:rsidR="006414EC" w:rsidRPr="00E5413C">
        <w:rPr>
          <w:kern w:val="0"/>
          <w:lang w:val="fr-FR"/>
        </w:rPr>
        <w:t xml:space="preserve"> II</w:t>
      </w:r>
      <w:r w:rsidRPr="00E5413C">
        <w:rPr>
          <w:kern w:val="0"/>
          <w:lang w:val="fr-FR"/>
        </w:rPr>
        <w:t>bid.</w:t>
      </w:r>
      <w:r w:rsidR="006F304D" w:rsidRPr="00E5413C">
        <w:rPr>
          <w:kern w:val="0"/>
          <w:lang w:val="fr-FR"/>
        </w:rPr>
        <w:t xml:space="preserve">, </w:t>
      </w:r>
      <w:r w:rsidRPr="00E5413C">
        <w:rPr>
          <w:kern w:val="0"/>
          <w:lang w:val="fr-FR"/>
        </w:rPr>
        <w:t>1. 140</w:t>
      </w:r>
      <w:r w:rsidR="006D27DD" w:rsidRPr="00E5413C">
        <w:rPr>
          <w:kern w:val="0"/>
          <w:lang w:val="fr-FR"/>
        </w:rPr>
        <w:t xml:space="preserve">: “ la segmentation traditionnelle en péricopes, récits, paraboles, enseignements, a sa valeur: du sens peut s’y lire, comme dans les mots d’une phrase. Mais s’il existe une autre organisation, à un niveau supérieur, . . . </w:t>
      </w:r>
      <w:r w:rsidR="007E48DA" w:rsidRPr="00E5413C">
        <w:rPr>
          <w:szCs w:val="32"/>
          <w:lang w:val="fr-FR"/>
        </w:rPr>
        <w:t>«la composition de l’Unité».”</w:t>
      </w:r>
    </w:p>
  </w:footnote>
  <w:footnote w:id="834">
    <w:p w14:paraId="6E07BF60" w14:textId="2FB99401" w:rsidR="0018433B" w:rsidRPr="00E5413C" w:rsidRDefault="0018433B" w:rsidP="00674828">
      <w:pPr>
        <w:rPr>
          <w:kern w:val="0"/>
          <w:lang w:val="fr-FR"/>
        </w:rPr>
      </w:pPr>
      <w:r w:rsidRPr="00674828">
        <w:rPr>
          <w:kern w:val="0"/>
          <w:vertAlign w:val="superscript"/>
        </w:rPr>
        <w:footnoteRef/>
      </w:r>
      <w:r w:rsidR="006414EC" w:rsidRPr="00E5413C">
        <w:rPr>
          <w:kern w:val="0"/>
          <w:lang w:val="fr-FR"/>
        </w:rPr>
        <w:t xml:space="preserve"> I</w:t>
      </w:r>
      <w:r w:rsidRPr="00E5413C">
        <w:rPr>
          <w:kern w:val="0"/>
          <w:lang w:val="fr-FR"/>
        </w:rPr>
        <w:t>bid.</w:t>
      </w:r>
      <w:r w:rsidR="006F304D" w:rsidRPr="00E5413C">
        <w:rPr>
          <w:kern w:val="0"/>
          <w:lang w:val="fr-FR"/>
        </w:rPr>
        <w:t xml:space="preserve">, </w:t>
      </w:r>
      <w:r w:rsidRPr="00E5413C">
        <w:rPr>
          <w:kern w:val="0"/>
          <w:lang w:val="fr-FR"/>
        </w:rPr>
        <w:t>1. 130.</w:t>
      </w:r>
    </w:p>
  </w:footnote>
  <w:footnote w:id="835">
    <w:p w14:paraId="3A45AA81" w14:textId="38443799" w:rsidR="0018433B" w:rsidRPr="00E5413C" w:rsidRDefault="0018433B" w:rsidP="00674828">
      <w:pPr>
        <w:rPr>
          <w:kern w:val="0"/>
          <w:lang w:val="fr-FR"/>
        </w:rPr>
      </w:pPr>
      <w:r w:rsidRPr="00674828">
        <w:rPr>
          <w:kern w:val="0"/>
          <w:vertAlign w:val="superscript"/>
        </w:rPr>
        <w:footnoteRef/>
      </w:r>
      <w:r w:rsidR="006414EC" w:rsidRPr="00E5413C">
        <w:rPr>
          <w:kern w:val="0"/>
          <w:lang w:val="fr-FR"/>
        </w:rPr>
        <w:t xml:space="preserve"> I</w:t>
      </w:r>
      <w:r w:rsidRPr="00E5413C">
        <w:rPr>
          <w:kern w:val="0"/>
          <w:lang w:val="fr-FR"/>
        </w:rPr>
        <w:t>bid.</w:t>
      </w:r>
      <w:r w:rsidR="006F304D" w:rsidRPr="00E5413C">
        <w:rPr>
          <w:kern w:val="0"/>
          <w:lang w:val="fr-FR"/>
        </w:rPr>
        <w:t xml:space="preserve">, </w:t>
      </w:r>
      <w:r w:rsidRPr="00E5413C">
        <w:rPr>
          <w:kern w:val="0"/>
          <w:lang w:val="fr-FR"/>
        </w:rPr>
        <w:t>1. 60</w:t>
      </w:r>
      <w:r w:rsidR="006F304D" w:rsidRPr="00E5413C">
        <w:rPr>
          <w:kern w:val="0"/>
          <w:lang w:val="fr-FR"/>
        </w:rPr>
        <w:t xml:space="preserve">, </w:t>
      </w:r>
      <w:r w:rsidRPr="00E5413C">
        <w:rPr>
          <w:kern w:val="0"/>
          <w:lang w:val="fr-FR"/>
        </w:rPr>
        <w:t>60 n. 11</w:t>
      </w:r>
      <w:r w:rsidR="007E48DA" w:rsidRPr="00E5413C">
        <w:rPr>
          <w:kern w:val="0"/>
          <w:lang w:val="fr-FR"/>
        </w:rPr>
        <w:t xml:space="preserve">: “autres genres de discours comme paraboles, commandments . . .” </w:t>
      </w:r>
      <w:r w:rsidRPr="00674828">
        <w:rPr>
          <w:kern w:val="0"/>
        </w:rPr>
        <w:t>Surprisingly</w:t>
      </w:r>
      <w:r w:rsidR="006F304D" w:rsidRPr="00674828">
        <w:rPr>
          <w:kern w:val="0"/>
        </w:rPr>
        <w:t xml:space="preserve">, </w:t>
      </w:r>
      <w:r w:rsidRPr="00674828">
        <w:rPr>
          <w:kern w:val="0"/>
        </w:rPr>
        <w:t>Meynet believes (p. 197) that “The most subjective element in our study</w:t>
      </w:r>
      <w:r w:rsidR="006F304D" w:rsidRPr="00674828">
        <w:rPr>
          <w:kern w:val="0"/>
        </w:rPr>
        <w:t xml:space="preserve">, </w:t>
      </w:r>
      <w:r w:rsidRPr="00674828">
        <w:rPr>
          <w:kern w:val="0"/>
        </w:rPr>
        <w:t>and we emphasize this rather than deny it</w:t>
      </w:r>
      <w:r w:rsidR="006F304D" w:rsidRPr="00674828">
        <w:rPr>
          <w:kern w:val="0"/>
        </w:rPr>
        <w:t xml:space="preserve">, </w:t>
      </w:r>
      <w:r w:rsidRPr="00674828">
        <w:rPr>
          <w:kern w:val="0"/>
        </w:rPr>
        <w:t>is our interpretations.</w:t>
      </w:r>
      <w:r w:rsidR="00AC038F" w:rsidRPr="00674828">
        <w:rPr>
          <w:iCs/>
          <w:kern w:val="0"/>
        </w:rPr>
        <w:t xml:space="preserve"> </w:t>
      </w:r>
      <w:r w:rsidRPr="00674828">
        <w:rPr>
          <w:kern w:val="0"/>
        </w:rPr>
        <w:t>Nevertheless</w:t>
      </w:r>
      <w:r w:rsidR="006F304D" w:rsidRPr="00674828">
        <w:rPr>
          <w:kern w:val="0"/>
        </w:rPr>
        <w:t xml:space="preserve">, </w:t>
      </w:r>
      <w:r w:rsidRPr="00674828">
        <w:rPr>
          <w:kern w:val="0"/>
        </w:rPr>
        <w:t>they depend on the figures and the organization of the Units . . . .”</w:t>
      </w:r>
      <w:r w:rsidR="007E48DA">
        <w:rPr>
          <w:kern w:val="0"/>
        </w:rPr>
        <w:t xml:space="preserve"> </w:t>
      </w:r>
      <w:r w:rsidR="007E48DA" w:rsidRPr="00E5413C">
        <w:rPr>
          <w:kern w:val="0"/>
          <w:lang w:val="fr-FR"/>
        </w:rPr>
        <w:t>(“Ce qui est le plus subjectif dans nos pages, loin de le nier nous le soulignons, ce sont nos interprétations. Bien sûr, elles s’appuient sur les figures et l’organisation des Unités . . .”</w:t>
      </w:r>
    </w:p>
  </w:footnote>
  <w:footnote w:id="836">
    <w:p w14:paraId="1DAAEE9B" w14:textId="57ED90A2" w:rsidR="0018433B" w:rsidRPr="00E5413C" w:rsidRDefault="0018433B" w:rsidP="00674828">
      <w:pPr>
        <w:rPr>
          <w:kern w:val="0"/>
          <w:lang w:val="fr-FR"/>
        </w:rPr>
      </w:pPr>
      <w:r w:rsidRPr="006414EC">
        <w:rPr>
          <w:vertAlign w:val="superscript"/>
        </w:rPr>
        <w:footnoteRef/>
      </w:r>
      <w:r w:rsidR="006414EC" w:rsidRPr="00E5413C">
        <w:rPr>
          <w:kern w:val="0"/>
          <w:lang w:val="fr-FR"/>
        </w:rPr>
        <w:t xml:space="preserve"> D</w:t>
      </w:r>
      <w:r w:rsidRPr="00E5413C">
        <w:rPr>
          <w:kern w:val="0"/>
          <w:lang w:val="fr-FR"/>
        </w:rPr>
        <w:t>upont</w:t>
      </w:r>
      <w:r w:rsidR="006F304D" w:rsidRPr="00E5413C">
        <w:rPr>
          <w:kern w:val="0"/>
          <w:lang w:val="fr-FR"/>
        </w:rPr>
        <w:t xml:space="preserve">, </w:t>
      </w:r>
      <w:r w:rsidRPr="00E5413C">
        <w:rPr>
          <w:i/>
          <w:kern w:val="0"/>
          <w:lang w:val="fr-FR"/>
        </w:rPr>
        <w:t>Béatitudes</w:t>
      </w:r>
      <w:r w:rsidR="006F304D" w:rsidRPr="00E5413C">
        <w:rPr>
          <w:kern w:val="0"/>
          <w:lang w:val="fr-FR"/>
        </w:rPr>
        <w:t xml:space="preserve">, </w:t>
      </w:r>
      <w:r w:rsidRPr="00E5413C">
        <w:rPr>
          <w:kern w:val="0"/>
          <w:lang w:val="fr-FR"/>
        </w:rPr>
        <w:t>1. 198</w:t>
      </w:r>
      <w:r w:rsidR="007E48DA" w:rsidRPr="00E5413C">
        <w:rPr>
          <w:kern w:val="0"/>
          <w:lang w:val="fr-FR"/>
        </w:rPr>
        <w:t>:</w:t>
      </w:r>
    </w:p>
    <w:p w14:paraId="67EAC6F5" w14:textId="77777777" w:rsidR="007E48DA" w:rsidRPr="00E5413C" w:rsidRDefault="007E48DA" w:rsidP="00674828">
      <w:pPr>
        <w:rPr>
          <w:kern w:val="0"/>
          <w:lang w:val="fr-FR"/>
        </w:rPr>
      </w:pPr>
    </w:p>
    <w:p w14:paraId="576DC5A5" w14:textId="74331CF5" w:rsidR="007E48DA" w:rsidRPr="00E5413C" w:rsidRDefault="007E48DA" w:rsidP="007E48DA">
      <w:pPr>
        <w:ind w:left="720" w:right="720"/>
        <w:rPr>
          <w:kern w:val="0"/>
          <w:lang w:val="fr-FR"/>
        </w:rPr>
      </w:pPr>
      <w:r w:rsidRPr="00E5413C">
        <w:rPr>
          <w:kern w:val="0"/>
          <w:lang w:val="fr-FR"/>
        </w:rPr>
        <w:t>par déterminer les critères d’un plan qui ait quelque chance d’avoir une valeur objective. Ces critères, nous pensons qu’il faut les chercher non dans nos propres goûts ou dans les préoccupations de notre temps, mais dans le préoccupations qui ont présidé à la composition du texte.</w:t>
      </w:r>
    </w:p>
    <w:p w14:paraId="7EDDE172" w14:textId="77777777" w:rsidR="007E48DA" w:rsidRPr="00E5413C" w:rsidRDefault="007E48DA" w:rsidP="00674828">
      <w:pPr>
        <w:rPr>
          <w:kern w:val="0"/>
          <w:lang w:val="fr-FR"/>
        </w:rPr>
      </w:pPr>
    </w:p>
  </w:footnote>
  <w:footnote w:id="837">
    <w:p w14:paraId="41907EAF" w14:textId="458D3D4B" w:rsidR="0018433B" w:rsidRDefault="0018433B" w:rsidP="00573F48">
      <w:pPr>
        <w:pStyle w:val="FootnoteText"/>
      </w:pPr>
      <w:r>
        <w:rPr>
          <w:rStyle w:val="FootnoteReference"/>
        </w:rPr>
        <w:footnoteRef/>
      </w:r>
      <w:r>
        <w:t xml:space="preserve"> Some scholars subdivide verses in such a way that every verse is first bisected into two parts</w:t>
      </w:r>
      <w:r w:rsidR="006F304D" w:rsidRPr="006F304D">
        <w:t xml:space="preserve">, </w:t>
      </w:r>
      <w:r>
        <w:t>then those sections are subdivided into two further parts</w:t>
      </w:r>
      <w:r w:rsidR="006F304D" w:rsidRPr="006F304D">
        <w:t xml:space="preserve">, </w:t>
      </w:r>
      <w:r>
        <w:t>etc. (resulting in</w:t>
      </w:r>
      <w:r w:rsidR="006F304D" w:rsidRPr="006F304D">
        <w:t xml:space="preserve">, </w:t>
      </w:r>
      <w:r w:rsidR="00775F9B" w:rsidRPr="00775F9B">
        <w:rPr>
          <w:iCs/>
        </w:rPr>
        <w:t>e.g.</w:t>
      </w:r>
      <w:r w:rsidR="006F304D" w:rsidRPr="006F304D">
        <w:t xml:space="preserve">, </w:t>
      </w:r>
      <w:r>
        <w:t>35a</w:t>
      </w:r>
      <w:r w:rsidR="00133E68" w:rsidRPr="00CB0999">
        <w:rPr>
          <w:szCs w:val="22"/>
          <w:lang w:bidi="he-IL"/>
        </w:rPr>
        <w:t>α</w:t>
      </w:r>
      <w:r w:rsidR="006F304D" w:rsidRPr="006F304D">
        <w:t xml:space="preserve">, </w:t>
      </w:r>
      <w:r>
        <w:t>35aß</w:t>
      </w:r>
      <w:r w:rsidR="006F304D" w:rsidRPr="006F304D">
        <w:t xml:space="preserve">, </w:t>
      </w:r>
      <w:r>
        <w:t>35b</w:t>
      </w:r>
      <w:r w:rsidR="00133E68" w:rsidRPr="00CB0999">
        <w:rPr>
          <w:szCs w:val="22"/>
          <w:lang w:bidi="he-IL"/>
        </w:rPr>
        <w:t>α</w:t>
      </w:r>
      <w:r w:rsidR="006F304D" w:rsidRPr="006F304D">
        <w:t xml:space="preserve">, </w:t>
      </w:r>
      <w:r>
        <w:t>35bß). Others denominate all small pieces of a verse in alphabetical order (35a</w:t>
      </w:r>
      <w:r w:rsidR="006F304D" w:rsidRPr="006F304D">
        <w:t xml:space="preserve">, </w:t>
      </w:r>
      <w:r>
        <w:t>35b</w:t>
      </w:r>
      <w:r w:rsidR="006F304D" w:rsidRPr="006F304D">
        <w:t xml:space="preserve">, </w:t>
      </w:r>
      <w:r>
        <w:t>35c</w:t>
      </w:r>
      <w:r w:rsidR="006F304D" w:rsidRPr="006F304D">
        <w:t xml:space="preserve">, </w:t>
      </w:r>
      <w:r>
        <w:t>35d)</w:t>
      </w:r>
      <w:r w:rsidR="006F304D" w:rsidRPr="006F304D">
        <w:t xml:space="preserve">, </w:t>
      </w:r>
      <w:r>
        <w:t>which seems less ambiguous. The principle of division I have used is the clause in the Greek: independent and adverbial clauses are made distinct versicles</w:t>
      </w:r>
      <w:r w:rsidR="006F304D" w:rsidRPr="006F304D">
        <w:t xml:space="preserve">, </w:t>
      </w:r>
      <w:r>
        <w:t>whereas relative and noun clauses are not.</w:t>
      </w:r>
    </w:p>
  </w:footnote>
  <w:footnote w:id="838">
    <w:p w14:paraId="5F58D943" w14:textId="77777777" w:rsidR="0018433B" w:rsidRDefault="0018433B" w:rsidP="00573F48">
      <w:pPr>
        <w:pStyle w:val="FootnoteText"/>
      </w:pPr>
      <w:r>
        <w:rPr>
          <w:rStyle w:val="FootnoteReference"/>
        </w:rPr>
        <w:footnoteRef/>
      </w:r>
      <w:r>
        <w:t xml:space="preserve"> The English reverses the order of the Greek in 31a and b.</w:t>
      </w:r>
    </w:p>
  </w:footnote>
  <w:footnote w:id="839">
    <w:p w14:paraId="6E93C970" w14:textId="77777777" w:rsidR="0018433B" w:rsidRDefault="0018433B" w:rsidP="00573F48">
      <w:pPr>
        <w:pStyle w:val="FootnoteText"/>
      </w:pPr>
      <w:r>
        <w:rPr>
          <w:rStyle w:val="FootnoteReference"/>
        </w:rPr>
        <w:footnoteRef/>
      </w:r>
      <w:r>
        <w:t xml:space="preserve"> The English reverses the order of the Greek in 47a and b.</w:t>
      </w:r>
    </w:p>
  </w:footnote>
  <w:footnote w:id="840">
    <w:p w14:paraId="22CB12A3" w14:textId="77777777" w:rsidR="00B47A48" w:rsidRPr="00FF36C8" w:rsidRDefault="00B47A48" w:rsidP="00B47A48">
      <w:pPr>
        <w:pStyle w:val="FootnoteText"/>
        <w:rPr>
          <w:bCs/>
          <w:kern w:val="0"/>
          <w:szCs w:val="25"/>
        </w:rPr>
      </w:pPr>
      <w:r>
        <w:rPr>
          <w:rStyle w:val="FootnoteReference"/>
        </w:rPr>
        <w:footnoteRef/>
      </w:r>
      <w:r>
        <w:t xml:space="preserve"> </w:t>
      </w:r>
      <w:r w:rsidRPr="00C22B32">
        <w:rPr>
          <w:bCs/>
          <w:kern w:val="0"/>
          <w:szCs w:val="25"/>
        </w:rPr>
        <w:t>Meynet presents his section</w:t>
      </w:r>
      <w:r w:rsidRPr="00C22B32">
        <w:rPr>
          <w:bCs/>
          <w:iCs/>
          <w:szCs w:val="25"/>
        </w:rPr>
        <w:t xml:space="preserve">, </w:t>
      </w:r>
      <w:r>
        <w:rPr>
          <w:bCs/>
          <w:kern w:val="0"/>
          <w:szCs w:val="25"/>
        </w:rPr>
        <w:t>“</w:t>
      </w:r>
      <w:r w:rsidRPr="00C22B32">
        <w:rPr>
          <w:bCs/>
          <w:kern w:val="0"/>
          <w:szCs w:val="25"/>
        </w:rPr>
        <w:t>Aspects de rh</w:t>
      </w:r>
      <w:r>
        <w:rPr>
          <w:bCs/>
          <w:kern w:val="0"/>
          <w:szCs w:val="25"/>
        </w:rPr>
        <w:t>é</w:t>
      </w:r>
      <w:r w:rsidRPr="00C22B32">
        <w:rPr>
          <w:bCs/>
          <w:kern w:val="0"/>
          <w:szCs w:val="25"/>
        </w:rPr>
        <w:t>torique biblique</w:t>
      </w:r>
      <w:r w:rsidRPr="00C22B32">
        <w:rPr>
          <w:bCs/>
          <w:szCs w:val="25"/>
        </w:rPr>
        <w:t xml:space="preserve">,” </w:t>
      </w:r>
      <w:r w:rsidRPr="00C22B32">
        <w:rPr>
          <w:bCs/>
          <w:kern w:val="0"/>
          <w:szCs w:val="25"/>
        </w:rPr>
        <w:t>in outline form</w:t>
      </w:r>
      <w:r w:rsidRPr="00C22B32">
        <w:rPr>
          <w:bCs/>
          <w:iCs/>
          <w:szCs w:val="25"/>
        </w:rPr>
        <w:t xml:space="preserve">, </w:t>
      </w:r>
      <w:r w:rsidRPr="00C22B32">
        <w:rPr>
          <w:bCs/>
          <w:kern w:val="0"/>
          <w:szCs w:val="25"/>
        </w:rPr>
        <w:t>and thus the organization in the following summary is Meynet</w:t>
      </w:r>
      <w:r w:rsidRPr="00C22B32">
        <w:rPr>
          <w:bCs/>
          <w:szCs w:val="25"/>
        </w:rPr>
        <w:t>’</w:t>
      </w:r>
      <w:r w:rsidRPr="00C22B32">
        <w:rPr>
          <w:bCs/>
          <w:kern w:val="0"/>
          <w:szCs w:val="25"/>
        </w:rPr>
        <w:t>s own</w:t>
      </w:r>
      <w:r w:rsidRPr="00C22B32">
        <w:rPr>
          <w:bCs/>
          <w:szCs w:val="25"/>
        </w:rPr>
        <w:t xml:space="preserve">. </w:t>
      </w:r>
      <w:r w:rsidRPr="00C22B32">
        <w:rPr>
          <w:bCs/>
          <w:kern w:val="0"/>
          <w:szCs w:val="25"/>
        </w:rPr>
        <w:t>Numbers in square brackets refer to pages in Meynet</w:t>
      </w:r>
      <w:r w:rsidRPr="00C22B32">
        <w:rPr>
          <w:bCs/>
          <w:szCs w:val="25"/>
        </w:rPr>
        <w:t>’</w:t>
      </w:r>
      <w:r w:rsidRPr="00C22B32">
        <w:rPr>
          <w:bCs/>
          <w:kern w:val="0"/>
          <w:szCs w:val="25"/>
        </w:rPr>
        <w:t>s work</w:t>
      </w:r>
      <w:r w:rsidRPr="00C22B32">
        <w:rPr>
          <w:bCs/>
          <w:szCs w:val="25"/>
        </w:rPr>
        <w:t xml:space="preserve">; </w:t>
      </w:r>
      <w:r w:rsidRPr="00C22B32">
        <w:rPr>
          <w:bCs/>
          <w:kern w:val="0"/>
          <w:szCs w:val="25"/>
        </w:rPr>
        <w:t>all scriptural references are to Luke</w:t>
      </w:r>
      <w:r w:rsidRPr="00C22B32">
        <w:rPr>
          <w:bCs/>
          <w:szCs w:val="25"/>
        </w:rPr>
        <w:t>’</w:t>
      </w:r>
      <w:r w:rsidRPr="00C22B32">
        <w:rPr>
          <w:bCs/>
          <w:kern w:val="0"/>
          <w:szCs w:val="25"/>
        </w:rPr>
        <w:t>s gospe</w:t>
      </w:r>
      <w:r>
        <w:rPr>
          <w:bCs/>
          <w:kern w:val="0"/>
          <w:szCs w:val="25"/>
        </w:rPr>
        <w:t>l.</w:t>
      </w:r>
    </w:p>
  </w:footnote>
  <w:footnote w:id="841">
    <w:p w14:paraId="6396C25E" w14:textId="77777777" w:rsidR="00B47A48" w:rsidRDefault="00B47A48" w:rsidP="00B47A48">
      <w:pPr>
        <w:pStyle w:val="FootnoteText"/>
      </w:pPr>
      <w:r>
        <w:rPr>
          <w:rStyle w:val="FootnoteReference"/>
        </w:rPr>
        <w:footnoteRef/>
      </w:r>
      <w:r>
        <w:t xml:space="preserve"> </w:t>
      </w:r>
      <w:r w:rsidRPr="00C22B32">
        <w:rPr>
          <w:bCs/>
          <w:kern w:val="0"/>
          <w:szCs w:val="25"/>
        </w:rPr>
        <w:t>The only exceptions</w:t>
      </w:r>
      <w:r w:rsidRPr="00C22B32">
        <w:rPr>
          <w:bCs/>
          <w:iCs/>
          <w:szCs w:val="25"/>
        </w:rPr>
        <w:t xml:space="preserve">, </w:t>
      </w:r>
      <w:r w:rsidRPr="00C22B32">
        <w:rPr>
          <w:bCs/>
          <w:kern w:val="0"/>
          <w:szCs w:val="25"/>
        </w:rPr>
        <w:t>notes Meynet</w:t>
      </w:r>
      <w:r w:rsidRPr="00C22B32">
        <w:rPr>
          <w:bCs/>
          <w:iCs/>
          <w:szCs w:val="25"/>
        </w:rPr>
        <w:t xml:space="preserve">, </w:t>
      </w:r>
      <w:r w:rsidRPr="00C22B32">
        <w:rPr>
          <w:bCs/>
          <w:kern w:val="0"/>
          <w:szCs w:val="25"/>
        </w:rPr>
        <w:t>are the titles of books and the fivefold division of the book of Psalms</w:t>
      </w:r>
      <w:r w:rsidRPr="00C22B32">
        <w:rPr>
          <w:bCs/>
          <w:szCs w:val="25"/>
        </w:rPr>
        <w:t xml:space="preserve"> (</w:t>
      </w:r>
      <w:r w:rsidRPr="00C22B32">
        <w:rPr>
          <w:bCs/>
          <w:kern w:val="0"/>
          <w:szCs w:val="25"/>
        </w:rPr>
        <w:t>ibid</w:t>
      </w:r>
      <w:r w:rsidRPr="00C22B32">
        <w:rPr>
          <w:bCs/>
          <w:szCs w:val="25"/>
        </w:rPr>
        <w:t xml:space="preserve">. </w:t>
      </w:r>
      <w:r w:rsidRPr="00C22B32">
        <w:rPr>
          <w:bCs/>
          <w:kern w:val="0"/>
          <w:szCs w:val="25"/>
        </w:rPr>
        <w:t>22</w:t>
      </w:r>
      <w:r w:rsidRPr="00C22B32">
        <w:rPr>
          <w:bCs/>
          <w:szCs w:val="25"/>
        </w:rPr>
        <w:t>).</w:t>
      </w:r>
    </w:p>
  </w:footnote>
  <w:footnote w:id="842">
    <w:p w14:paraId="29AB711B" w14:textId="77777777" w:rsidR="00B47A48" w:rsidRPr="00E5413C" w:rsidRDefault="00B47A48" w:rsidP="00B47A48">
      <w:pPr>
        <w:pStyle w:val="FootnoteText"/>
        <w:rPr>
          <w:lang w:val="fr-FR"/>
        </w:rPr>
      </w:pPr>
      <w:r>
        <w:rPr>
          <w:rStyle w:val="FootnoteReference"/>
        </w:rPr>
        <w:footnoteRef/>
      </w:r>
      <w:r>
        <w:t xml:space="preserve"> </w:t>
      </w:r>
      <w:r w:rsidRPr="00C22B32">
        <w:rPr>
          <w:bCs/>
          <w:kern w:val="0"/>
          <w:szCs w:val="25"/>
        </w:rPr>
        <w:t>See ibid</w:t>
      </w:r>
      <w:r w:rsidRPr="00C22B32">
        <w:rPr>
          <w:bCs/>
          <w:szCs w:val="25"/>
        </w:rPr>
        <w:t>.</w:t>
      </w:r>
      <w:r w:rsidRPr="00C22B32">
        <w:rPr>
          <w:bCs/>
          <w:iCs/>
          <w:szCs w:val="25"/>
        </w:rPr>
        <w:t xml:space="preserve">, </w:t>
      </w:r>
      <w:r w:rsidRPr="00C22B32">
        <w:rPr>
          <w:bCs/>
          <w:kern w:val="0"/>
          <w:szCs w:val="25"/>
        </w:rPr>
        <w:t>22-23</w:t>
      </w:r>
      <w:r w:rsidRPr="00C22B32">
        <w:rPr>
          <w:bCs/>
          <w:szCs w:val="25"/>
        </w:rPr>
        <w:t xml:space="preserve"> (</w:t>
      </w:r>
      <w:r w:rsidRPr="00C22B32">
        <w:rPr>
          <w:bCs/>
          <w:kern w:val="0"/>
          <w:szCs w:val="25"/>
        </w:rPr>
        <w:t>also 35</w:t>
      </w:r>
      <w:r w:rsidRPr="00C22B32">
        <w:rPr>
          <w:bCs/>
          <w:iCs/>
          <w:szCs w:val="25"/>
        </w:rPr>
        <w:t xml:space="preserve">, </w:t>
      </w:r>
      <w:r w:rsidRPr="00C22B32">
        <w:rPr>
          <w:bCs/>
          <w:kern w:val="0"/>
          <w:szCs w:val="25"/>
        </w:rPr>
        <w:t>39</w:t>
      </w:r>
      <w:r w:rsidRPr="00C22B32">
        <w:rPr>
          <w:bCs/>
          <w:iCs/>
          <w:szCs w:val="25"/>
        </w:rPr>
        <w:t xml:space="preserve">, </w:t>
      </w:r>
      <w:r w:rsidRPr="00C22B32">
        <w:rPr>
          <w:bCs/>
          <w:kern w:val="0"/>
          <w:szCs w:val="25"/>
        </w:rPr>
        <w:t>139-141</w:t>
      </w:r>
      <w:r w:rsidRPr="00C22B32">
        <w:rPr>
          <w:bCs/>
          <w:iCs/>
          <w:szCs w:val="25"/>
        </w:rPr>
        <w:t xml:space="preserve">, </w:t>
      </w:r>
      <w:r w:rsidRPr="00C22B32">
        <w:rPr>
          <w:bCs/>
          <w:kern w:val="0"/>
          <w:szCs w:val="25"/>
        </w:rPr>
        <w:t>144</w:t>
      </w:r>
      <w:r w:rsidRPr="00C22B32">
        <w:rPr>
          <w:bCs/>
          <w:iCs/>
          <w:szCs w:val="25"/>
        </w:rPr>
        <w:t xml:space="preserve">, </w:t>
      </w:r>
      <w:r w:rsidRPr="00C22B32">
        <w:rPr>
          <w:bCs/>
          <w:kern w:val="0"/>
          <w:szCs w:val="25"/>
        </w:rPr>
        <w:t>195</w:t>
      </w:r>
      <w:r w:rsidRPr="00C22B32">
        <w:rPr>
          <w:bCs/>
          <w:szCs w:val="25"/>
        </w:rPr>
        <w:t>):</w:t>
      </w:r>
      <w:r>
        <w:rPr>
          <w:bCs/>
          <w:szCs w:val="25"/>
        </w:rPr>
        <w:t xml:space="preserve"> “</w:t>
      </w:r>
      <w:r w:rsidRPr="00C22B32">
        <w:rPr>
          <w:bCs/>
          <w:kern w:val="0"/>
          <w:szCs w:val="25"/>
        </w:rPr>
        <w:t>If the means utilized to mark the organization of a text are interior to the text</w:t>
      </w:r>
      <w:r w:rsidRPr="00C22B32">
        <w:rPr>
          <w:bCs/>
          <w:iCs/>
          <w:szCs w:val="25"/>
        </w:rPr>
        <w:t xml:space="preserve">, </w:t>
      </w:r>
      <w:r w:rsidRPr="00C22B32">
        <w:rPr>
          <w:bCs/>
          <w:kern w:val="0"/>
          <w:szCs w:val="25"/>
        </w:rPr>
        <w:t>they can only be linguistic</w:t>
      </w:r>
      <w:r w:rsidRPr="00C22B32">
        <w:rPr>
          <w:bCs/>
          <w:szCs w:val="25"/>
        </w:rPr>
        <w:t>.</w:t>
      </w:r>
      <w:r>
        <w:rPr>
          <w:bCs/>
          <w:szCs w:val="25"/>
        </w:rPr>
        <w:t xml:space="preserve"> . . . </w:t>
      </w:r>
      <w:r w:rsidRPr="00C22B32">
        <w:rPr>
          <w:bCs/>
          <w:kern w:val="0"/>
          <w:szCs w:val="25"/>
        </w:rPr>
        <w:t>In order that the linguistic elements have a function other than their linguistic function</w:t>
      </w:r>
      <w:r w:rsidRPr="00671DEF">
        <w:rPr>
          <w:bCs/>
          <w:iCs/>
          <w:szCs w:val="25"/>
        </w:rPr>
        <w:t>—</w:t>
      </w:r>
      <w:r w:rsidRPr="00C22B32">
        <w:rPr>
          <w:bCs/>
          <w:kern w:val="0"/>
          <w:szCs w:val="25"/>
        </w:rPr>
        <w:t>a</w:t>
      </w:r>
      <w:r>
        <w:rPr>
          <w:bCs/>
          <w:szCs w:val="25"/>
        </w:rPr>
        <w:t xml:space="preserve"> </w:t>
      </w:r>
      <w:r w:rsidRPr="00C22B32">
        <w:rPr>
          <w:bCs/>
          <w:kern w:val="0"/>
          <w:szCs w:val="25"/>
        </w:rPr>
        <w:t xml:space="preserve">function here called </w:t>
      </w:r>
      <w:r>
        <w:rPr>
          <w:bCs/>
          <w:szCs w:val="25"/>
        </w:rPr>
        <w:t>“</w:t>
      </w:r>
      <w:r w:rsidRPr="00C22B32">
        <w:rPr>
          <w:bCs/>
          <w:kern w:val="0"/>
          <w:szCs w:val="25"/>
        </w:rPr>
        <w:t>rhetorical</w:t>
      </w:r>
      <w:r w:rsidRPr="00C22B32">
        <w:rPr>
          <w:bCs/>
          <w:szCs w:val="25"/>
        </w:rPr>
        <w:t>”</w:t>
      </w:r>
      <w:r w:rsidRPr="00671DEF">
        <w:rPr>
          <w:bCs/>
          <w:iCs/>
          <w:szCs w:val="25"/>
        </w:rPr>
        <w:t>—</w:t>
      </w:r>
      <w:r w:rsidRPr="00C22B32">
        <w:rPr>
          <w:bCs/>
          <w:kern w:val="0"/>
          <w:szCs w:val="25"/>
        </w:rPr>
        <w:t>they must</w:t>
      </w:r>
      <w:r w:rsidRPr="00C22B32">
        <w:rPr>
          <w:bCs/>
          <w:iCs/>
          <w:szCs w:val="25"/>
        </w:rPr>
        <w:t xml:space="preserve">, </w:t>
      </w:r>
      <w:r w:rsidRPr="00C22B32">
        <w:rPr>
          <w:bCs/>
          <w:kern w:val="0"/>
          <w:szCs w:val="25"/>
        </w:rPr>
        <w:t>by their position in the text</w:t>
      </w:r>
      <w:r w:rsidRPr="00C22B32">
        <w:rPr>
          <w:bCs/>
          <w:iCs/>
          <w:szCs w:val="25"/>
        </w:rPr>
        <w:t xml:space="preserve">, </w:t>
      </w:r>
      <w:r w:rsidRPr="00C22B32">
        <w:rPr>
          <w:bCs/>
          <w:kern w:val="0"/>
          <w:szCs w:val="25"/>
        </w:rPr>
        <w:t>form figures</w:t>
      </w:r>
      <w:r w:rsidRPr="00C22B32">
        <w:rPr>
          <w:bCs/>
          <w:szCs w:val="25"/>
        </w:rPr>
        <w:t>.</w:t>
      </w:r>
      <w:r>
        <w:rPr>
          <w:bCs/>
          <w:szCs w:val="25"/>
        </w:rPr>
        <w:t>”</w:t>
      </w:r>
      <w:r w:rsidRPr="00C22B32">
        <w:rPr>
          <w:bCs/>
          <w:szCs w:val="25"/>
        </w:rPr>
        <w:t xml:space="preserve"> </w:t>
      </w:r>
      <w:r w:rsidRPr="00E5413C">
        <w:rPr>
          <w:bCs/>
          <w:szCs w:val="25"/>
          <w:lang w:val="fr-FR"/>
        </w:rPr>
        <w:t>(“S</w:t>
      </w:r>
      <w:r w:rsidRPr="00E5413C">
        <w:rPr>
          <w:bCs/>
          <w:kern w:val="0"/>
          <w:szCs w:val="25"/>
          <w:lang w:val="fr-FR"/>
        </w:rPr>
        <w:t>i les moyens utilisés pour marquer l</w:t>
      </w:r>
      <w:r w:rsidRPr="00E5413C">
        <w:rPr>
          <w:bCs/>
          <w:szCs w:val="25"/>
          <w:lang w:val="fr-FR"/>
        </w:rPr>
        <w:t>’</w:t>
      </w:r>
      <w:r w:rsidRPr="00E5413C">
        <w:rPr>
          <w:bCs/>
          <w:kern w:val="0"/>
          <w:szCs w:val="25"/>
          <w:lang w:val="fr-FR"/>
        </w:rPr>
        <w:t>organisation d</w:t>
      </w:r>
      <w:r w:rsidRPr="00E5413C">
        <w:rPr>
          <w:bCs/>
          <w:szCs w:val="25"/>
          <w:lang w:val="fr-FR"/>
        </w:rPr>
        <w:t>’</w:t>
      </w:r>
      <w:r w:rsidRPr="00E5413C">
        <w:rPr>
          <w:bCs/>
          <w:kern w:val="0"/>
          <w:szCs w:val="25"/>
          <w:lang w:val="fr-FR"/>
        </w:rPr>
        <w:t>un texte sont intérieurs au texte</w:t>
      </w:r>
      <w:r w:rsidRPr="00E5413C">
        <w:rPr>
          <w:bCs/>
          <w:iCs/>
          <w:szCs w:val="25"/>
          <w:lang w:val="fr-FR"/>
        </w:rPr>
        <w:t xml:space="preserve">, </w:t>
      </w:r>
      <w:r w:rsidRPr="00E5413C">
        <w:rPr>
          <w:bCs/>
          <w:kern w:val="0"/>
          <w:szCs w:val="25"/>
          <w:lang w:val="fr-FR"/>
        </w:rPr>
        <w:t>ils ne peuvent être que linguistiques</w:t>
      </w:r>
      <w:r w:rsidRPr="00E5413C">
        <w:rPr>
          <w:bCs/>
          <w:szCs w:val="25"/>
          <w:lang w:val="fr-FR"/>
        </w:rPr>
        <w:t xml:space="preserve">. . . . </w:t>
      </w:r>
      <w:r w:rsidRPr="00E5413C">
        <w:rPr>
          <w:bCs/>
          <w:kern w:val="0"/>
          <w:szCs w:val="25"/>
          <w:lang w:val="fr-FR"/>
        </w:rPr>
        <w:t>Pour que des éléments linguistiques puissent avoir une fonction autre que leur fonction linguistique</w:t>
      </w:r>
      <w:r w:rsidRPr="00E5413C">
        <w:rPr>
          <w:bCs/>
          <w:iCs/>
          <w:szCs w:val="25"/>
          <w:lang w:val="fr-FR"/>
        </w:rPr>
        <w:t xml:space="preserve">, </w:t>
      </w:r>
      <w:r w:rsidRPr="00E5413C">
        <w:rPr>
          <w:bCs/>
          <w:kern w:val="0"/>
          <w:szCs w:val="25"/>
          <w:lang w:val="fr-FR"/>
        </w:rPr>
        <w:t>une fonction appelée ici «rhétorique»</w:t>
      </w:r>
      <w:r w:rsidRPr="00E5413C">
        <w:rPr>
          <w:bCs/>
          <w:iCs/>
          <w:szCs w:val="25"/>
          <w:lang w:val="fr-FR"/>
        </w:rPr>
        <w:t xml:space="preserve">, </w:t>
      </w:r>
      <w:r w:rsidRPr="00E5413C">
        <w:rPr>
          <w:bCs/>
          <w:kern w:val="0"/>
          <w:szCs w:val="25"/>
          <w:lang w:val="fr-FR"/>
        </w:rPr>
        <w:t>il faut qu</w:t>
      </w:r>
      <w:r w:rsidRPr="00E5413C">
        <w:rPr>
          <w:bCs/>
          <w:szCs w:val="25"/>
          <w:lang w:val="fr-FR"/>
        </w:rPr>
        <w:t>’</w:t>
      </w:r>
      <w:r w:rsidRPr="00E5413C">
        <w:rPr>
          <w:bCs/>
          <w:kern w:val="0"/>
          <w:szCs w:val="25"/>
          <w:lang w:val="fr-FR"/>
        </w:rPr>
        <w:t>ils forment</w:t>
      </w:r>
      <w:r w:rsidRPr="00E5413C">
        <w:rPr>
          <w:bCs/>
          <w:iCs/>
          <w:szCs w:val="25"/>
          <w:lang w:val="fr-FR"/>
        </w:rPr>
        <w:t xml:space="preserve">, </w:t>
      </w:r>
      <w:r w:rsidRPr="00E5413C">
        <w:rPr>
          <w:bCs/>
          <w:kern w:val="0"/>
          <w:szCs w:val="25"/>
          <w:lang w:val="fr-FR"/>
        </w:rPr>
        <w:t>par leur position dans le texte</w:t>
      </w:r>
      <w:r w:rsidRPr="00E5413C">
        <w:rPr>
          <w:bCs/>
          <w:iCs/>
          <w:szCs w:val="25"/>
          <w:lang w:val="fr-FR"/>
        </w:rPr>
        <w:t xml:space="preserve">, </w:t>
      </w:r>
      <w:r w:rsidRPr="00E5413C">
        <w:rPr>
          <w:bCs/>
          <w:kern w:val="0"/>
          <w:szCs w:val="25"/>
          <w:lang w:val="fr-FR"/>
        </w:rPr>
        <w:t>des figures</w:t>
      </w:r>
      <w:r w:rsidRPr="00E5413C">
        <w:rPr>
          <w:bCs/>
          <w:szCs w:val="25"/>
          <w:lang w:val="fr-FR"/>
        </w:rPr>
        <w:t>.”)</w:t>
      </w:r>
    </w:p>
  </w:footnote>
  <w:footnote w:id="843">
    <w:p w14:paraId="311EF44C" w14:textId="77777777" w:rsidR="00B47A48" w:rsidRDefault="00B47A48" w:rsidP="00B47A48">
      <w:pPr>
        <w:pStyle w:val="FootnoteText"/>
      </w:pPr>
      <w:r>
        <w:rPr>
          <w:rStyle w:val="FootnoteReference"/>
        </w:rPr>
        <w:footnoteRef/>
      </w:r>
      <w:r>
        <w:t xml:space="preserve"> </w:t>
      </w:r>
      <w:r w:rsidRPr="00C22B32">
        <w:rPr>
          <w:bCs/>
          <w:kern w:val="0"/>
          <w:szCs w:val="25"/>
        </w:rPr>
        <w:t>Meynet</w:t>
      </w:r>
      <w:r w:rsidRPr="000151C8">
        <w:rPr>
          <w:bCs/>
          <w:iCs/>
          <w:szCs w:val="25"/>
        </w:rPr>
        <w:t xml:space="preserve"> </w:t>
      </w:r>
      <w:r w:rsidRPr="00C22B32">
        <w:rPr>
          <w:bCs/>
          <w:kern w:val="0"/>
          <w:szCs w:val="25"/>
        </w:rPr>
        <w:t>implies</w:t>
      </w:r>
      <w:r w:rsidRPr="000151C8">
        <w:rPr>
          <w:bCs/>
          <w:iCs/>
          <w:szCs w:val="25"/>
        </w:rPr>
        <w:t xml:space="preserve"> </w:t>
      </w:r>
      <w:r w:rsidRPr="00C22B32">
        <w:rPr>
          <w:bCs/>
          <w:kern w:val="0"/>
          <w:szCs w:val="25"/>
        </w:rPr>
        <w:t>but</w:t>
      </w:r>
      <w:r w:rsidRPr="000151C8">
        <w:rPr>
          <w:bCs/>
          <w:iCs/>
          <w:szCs w:val="25"/>
        </w:rPr>
        <w:t xml:space="preserve"> </w:t>
      </w:r>
      <w:r w:rsidRPr="00C22B32">
        <w:rPr>
          <w:bCs/>
          <w:kern w:val="0"/>
          <w:szCs w:val="25"/>
        </w:rPr>
        <w:t>does</w:t>
      </w:r>
      <w:r w:rsidRPr="000151C8">
        <w:rPr>
          <w:bCs/>
          <w:iCs/>
          <w:szCs w:val="25"/>
        </w:rPr>
        <w:t xml:space="preserve"> </w:t>
      </w:r>
      <w:r w:rsidRPr="00C22B32">
        <w:rPr>
          <w:bCs/>
          <w:kern w:val="0"/>
          <w:szCs w:val="25"/>
        </w:rPr>
        <w:t>not</w:t>
      </w:r>
      <w:r w:rsidRPr="000151C8">
        <w:rPr>
          <w:bCs/>
          <w:iCs/>
          <w:szCs w:val="25"/>
        </w:rPr>
        <w:t xml:space="preserve"> </w:t>
      </w:r>
      <w:r w:rsidRPr="00C22B32">
        <w:rPr>
          <w:bCs/>
          <w:kern w:val="0"/>
          <w:szCs w:val="25"/>
        </w:rPr>
        <w:t>definitely</w:t>
      </w:r>
      <w:r w:rsidRPr="000151C8">
        <w:rPr>
          <w:bCs/>
          <w:iCs/>
          <w:szCs w:val="25"/>
        </w:rPr>
        <w:t xml:space="preserve"> </w:t>
      </w:r>
      <w:r w:rsidRPr="00C22B32">
        <w:rPr>
          <w:bCs/>
          <w:kern w:val="0"/>
          <w:szCs w:val="25"/>
        </w:rPr>
        <w:t>state</w:t>
      </w:r>
      <w:r w:rsidRPr="000151C8">
        <w:rPr>
          <w:bCs/>
          <w:iCs/>
          <w:szCs w:val="25"/>
        </w:rPr>
        <w:t xml:space="preserve"> </w:t>
      </w:r>
      <w:r w:rsidRPr="00C22B32">
        <w:rPr>
          <w:bCs/>
          <w:kern w:val="0"/>
          <w:szCs w:val="25"/>
        </w:rPr>
        <w:t>that</w:t>
      </w:r>
      <w:r w:rsidRPr="000151C8">
        <w:rPr>
          <w:bCs/>
          <w:iCs/>
          <w:szCs w:val="25"/>
        </w:rPr>
        <w:t xml:space="preserve"> </w:t>
      </w:r>
      <w:r w:rsidRPr="00C22B32">
        <w:rPr>
          <w:bCs/>
          <w:kern w:val="0"/>
          <w:szCs w:val="25"/>
        </w:rPr>
        <w:t>parallelism</w:t>
      </w:r>
      <w:r w:rsidRPr="00C22B32">
        <w:rPr>
          <w:bCs/>
          <w:iCs/>
          <w:szCs w:val="25"/>
        </w:rPr>
        <w:t>,</w:t>
      </w:r>
      <w:r w:rsidRPr="000151C8">
        <w:rPr>
          <w:bCs/>
          <w:iCs/>
          <w:szCs w:val="25"/>
        </w:rPr>
        <w:t xml:space="preserve"> </w:t>
      </w:r>
      <w:r w:rsidRPr="00C22B32">
        <w:rPr>
          <w:bCs/>
          <w:kern w:val="0"/>
          <w:szCs w:val="25"/>
        </w:rPr>
        <w:t>inclusion</w:t>
      </w:r>
      <w:r w:rsidRPr="00C22B32">
        <w:rPr>
          <w:bCs/>
          <w:iCs/>
          <w:szCs w:val="25"/>
        </w:rPr>
        <w:t>,</w:t>
      </w:r>
      <w:r w:rsidRPr="000151C8">
        <w:rPr>
          <w:bCs/>
          <w:iCs/>
          <w:szCs w:val="25"/>
        </w:rPr>
        <w:t xml:space="preserve"> </w:t>
      </w:r>
      <w:r w:rsidRPr="00C22B32">
        <w:rPr>
          <w:bCs/>
          <w:kern w:val="0"/>
          <w:szCs w:val="25"/>
        </w:rPr>
        <w:t>and</w:t>
      </w:r>
      <w:r>
        <w:rPr>
          <w:bCs/>
          <w:iCs/>
          <w:szCs w:val="25"/>
        </w:rPr>
        <w:t xml:space="preserve"> </w:t>
      </w:r>
      <w:r w:rsidRPr="00C22B32">
        <w:rPr>
          <w:bCs/>
          <w:kern w:val="0"/>
          <w:szCs w:val="25"/>
        </w:rPr>
        <w:t>chiasm are peculiarly biblical figures</w:t>
      </w:r>
      <w:r w:rsidRPr="00C22B32">
        <w:rPr>
          <w:bCs/>
          <w:szCs w:val="25"/>
        </w:rPr>
        <w:t xml:space="preserve"> (</w:t>
      </w:r>
      <w:r w:rsidRPr="00C22B32">
        <w:rPr>
          <w:bCs/>
          <w:kern w:val="0"/>
          <w:szCs w:val="25"/>
        </w:rPr>
        <w:t xml:space="preserve">see the title of the chapter </w:t>
      </w:r>
      <w:r>
        <w:rPr>
          <w:bCs/>
          <w:szCs w:val="25"/>
        </w:rPr>
        <w:t xml:space="preserve">we have outlined, </w:t>
      </w:r>
      <w:r w:rsidRPr="00C22B32">
        <w:rPr>
          <w:rFonts w:eastAsia="Arial"/>
          <w:bCs/>
          <w:kern w:val="0"/>
          <w:szCs w:val="25"/>
        </w:rPr>
        <w:t xml:space="preserve">in </w:t>
      </w:r>
      <w:r w:rsidRPr="00C22B32">
        <w:rPr>
          <w:bCs/>
          <w:kern w:val="0"/>
          <w:szCs w:val="29"/>
        </w:rPr>
        <w:t xml:space="preserve">which </w:t>
      </w:r>
      <w:r w:rsidRPr="00C22B32">
        <w:rPr>
          <w:bCs/>
          <w:kern w:val="0"/>
          <w:szCs w:val="25"/>
        </w:rPr>
        <w:t>Meynet describes the linguisti</w:t>
      </w:r>
      <w:r>
        <w:rPr>
          <w:bCs/>
          <w:szCs w:val="25"/>
        </w:rPr>
        <w:t>c</w:t>
      </w:r>
      <w:r w:rsidRPr="00C22B32">
        <w:rPr>
          <w:bCs/>
          <w:kern w:val="0"/>
          <w:szCs w:val="25"/>
        </w:rPr>
        <w:t xml:space="preserve"> bases of these figures</w:t>
      </w:r>
      <w:r w:rsidRPr="00C22B32">
        <w:rPr>
          <w:bCs/>
          <w:szCs w:val="25"/>
        </w:rPr>
        <w:t>:</w:t>
      </w:r>
      <w:r>
        <w:rPr>
          <w:bCs/>
          <w:szCs w:val="25"/>
        </w:rPr>
        <w:t xml:space="preserve"> “</w:t>
      </w:r>
      <w:r w:rsidRPr="00C22B32">
        <w:rPr>
          <w:bCs/>
          <w:kern w:val="0"/>
          <w:szCs w:val="25"/>
        </w:rPr>
        <w:t xml:space="preserve">Aspects of </w:t>
      </w:r>
      <w:r w:rsidRPr="003A3B2E">
        <w:rPr>
          <w:bCs/>
          <w:i/>
          <w:iCs/>
          <w:kern w:val="0"/>
          <w:szCs w:val="25"/>
        </w:rPr>
        <w:t>Bib</w:t>
      </w:r>
      <w:r>
        <w:rPr>
          <w:bCs/>
          <w:i/>
          <w:iCs/>
          <w:kern w:val="0"/>
          <w:szCs w:val="25"/>
        </w:rPr>
        <w:t>l</w:t>
      </w:r>
      <w:r w:rsidRPr="003A3B2E">
        <w:rPr>
          <w:bCs/>
          <w:i/>
          <w:iCs/>
          <w:kern w:val="0"/>
          <w:szCs w:val="25"/>
        </w:rPr>
        <w:t>i</w:t>
      </w:r>
      <w:r w:rsidRPr="003A3B2E">
        <w:rPr>
          <w:bCs/>
          <w:i/>
          <w:iCs/>
          <w:szCs w:val="25"/>
        </w:rPr>
        <w:t>cal</w:t>
      </w:r>
      <w:r w:rsidRPr="00C22B32">
        <w:rPr>
          <w:bCs/>
          <w:szCs w:val="25"/>
        </w:rPr>
        <w:t xml:space="preserve"> </w:t>
      </w:r>
      <w:r w:rsidRPr="00C22B32">
        <w:rPr>
          <w:bCs/>
          <w:kern w:val="0"/>
          <w:szCs w:val="25"/>
        </w:rPr>
        <w:t>Rhetoric</w:t>
      </w:r>
      <w:r w:rsidRPr="00C22B32">
        <w:rPr>
          <w:bCs/>
          <w:szCs w:val="25"/>
        </w:rPr>
        <w:t>”</w:t>
      </w:r>
      <w:r>
        <w:rPr>
          <w:bCs/>
          <w:szCs w:val="25"/>
        </w:rPr>
        <w:t xml:space="preserve"> [italics added]</w:t>
      </w:r>
      <w:r w:rsidRPr="00C22B32">
        <w:rPr>
          <w:bCs/>
          <w:szCs w:val="25"/>
        </w:rPr>
        <w:t>).</w:t>
      </w:r>
      <w:r>
        <w:rPr>
          <w:bCs/>
          <w:szCs w:val="25"/>
        </w:rPr>
        <w:t xml:space="preserve"> </w:t>
      </w:r>
      <w:r w:rsidRPr="00C22B32">
        <w:rPr>
          <w:bCs/>
          <w:kern w:val="0"/>
          <w:szCs w:val="25"/>
        </w:rPr>
        <w:t>Georges Mounin</w:t>
      </w:r>
      <w:r w:rsidRPr="00C22B32">
        <w:rPr>
          <w:bCs/>
          <w:iCs/>
          <w:szCs w:val="25"/>
        </w:rPr>
        <w:t xml:space="preserve">, </w:t>
      </w:r>
      <w:r w:rsidRPr="00C22B32">
        <w:rPr>
          <w:bCs/>
          <w:kern w:val="0"/>
          <w:szCs w:val="25"/>
        </w:rPr>
        <w:t>in his preface to Meynet</w:t>
      </w:r>
      <w:r w:rsidRPr="00C22B32">
        <w:rPr>
          <w:bCs/>
          <w:szCs w:val="25"/>
        </w:rPr>
        <w:t>’</w:t>
      </w:r>
      <w:r w:rsidRPr="00C22B32">
        <w:rPr>
          <w:bCs/>
          <w:kern w:val="0"/>
          <w:szCs w:val="25"/>
        </w:rPr>
        <w:t>s work</w:t>
      </w:r>
      <w:r w:rsidRPr="00C22B32">
        <w:rPr>
          <w:bCs/>
          <w:iCs/>
          <w:szCs w:val="25"/>
        </w:rPr>
        <w:t xml:space="preserve">, </w:t>
      </w:r>
      <w:r w:rsidRPr="00C22B32">
        <w:rPr>
          <w:bCs/>
          <w:kern w:val="0"/>
          <w:szCs w:val="25"/>
        </w:rPr>
        <w:t>is more explicit</w:t>
      </w:r>
      <w:r w:rsidRPr="00C22B32">
        <w:rPr>
          <w:bCs/>
          <w:szCs w:val="25"/>
        </w:rPr>
        <w:t xml:space="preserve">: </w:t>
      </w:r>
      <w:r w:rsidRPr="00C22B32">
        <w:rPr>
          <w:bCs/>
          <w:kern w:val="0"/>
          <w:szCs w:val="25"/>
        </w:rPr>
        <w:t>while certain</w:t>
      </w:r>
      <w:r>
        <w:rPr>
          <w:bCs/>
          <w:szCs w:val="25"/>
        </w:rPr>
        <w:t xml:space="preserve"> </w:t>
      </w:r>
      <w:r w:rsidRPr="00C22B32">
        <w:rPr>
          <w:bCs/>
          <w:kern w:val="0"/>
          <w:szCs w:val="25"/>
        </w:rPr>
        <w:t>aspects of the organization of literary texts may be universal</w:t>
      </w:r>
      <w:r w:rsidRPr="00C22B32">
        <w:rPr>
          <w:bCs/>
          <w:iCs/>
          <w:szCs w:val="25"/>
        </w:rPr>
        <w:t xml:space="preserve">, </w:t>
      </w:r>
      <w:r w:rsidRPr="00C22B32">
        <w:rPr>
          <w:bCs/>
          <w:kern w:val="0"/>
          <w:szCs w:val="25"/>
        </w:rPr>
        <w:t>he says</w:t>
      </w:r>
      <w:r w:rsidRPr="00C22B32">
        <w:rPr>
          <w:bCs/>
          <w:iCs/>
          <w:szCs w:val="25"/>
        </w:rPr>
        <w:t xml:space="preserve">, </w:t>
      </w:r>
      <w:r w:rsidRPr="00C22B32">
        <w:rPr>
          <w:bCs/>
          <w:kern w:val="0"/>
          <w:szCs w:val="25"/>
        </w:rPr>
        <w:t>others are peculiarly biblical or Semitic</w:t>
      </w:r>
      <w:r w:rsidRPr="00C22B32">
        <w:rPr>
          <w:bCs/>
          <w:iCs/>
          <w:szCs w:val="25"/>
        </w:rPr>
        <w:t xml:space="preserve">, </w:t>
      </w:r>
      <w:r w:rsidRPr="00C22B32">
        <w:rPr>
          <w:bCs/>
          <w:kern w:val="0"/>
          <w:szCs w:val="25"/>
        </w:rPr>
        <w:t>and among these latter are parallelism</w:t>
      </w:r>
      <w:r w:rsidRPr="00C22B32">
        <w:rPr>
          <w:bCs/>
          <w:iCs/>
          <w:szCs w:val="25"/>
        </w:rPr>
        <w:t xml:space="preserve">, </w:t>
      </w:r>
      <w:r w:rsidRPr="00C22B32">
        <w:rPr>
          <w:bCs/>
          <w:kern w:val="0"/>
          <w:szCs w:val="25"/>
        </w:rPr>
        <w:t>inclusion</w:t>
      </w:r>
      <w:r w:rsidRPr="00C22B32">
        <w:rPr>
          <w:bCs/>
          <w:iCs/>
          <w:szCs w:val="25"/>
        </w:rPr>
        <w:t xml:space="preserve">, </w:t>
      </w:r>
      <w:r w:rsidRPr="00C22B32">
        <w:rPr>
          <w:bCs/>
          <w:kern w:val="0"/>
          <w:szCs w:val="25"/>
        </w:rPr>
        <w:t>and chiasm</w:t>
      </w:r>
      <w:r w:rsidRPr="00C22B32">
        <w:rPr>
          <w:bCs/>
          <w:szCs w:val="25"/>
        </w:rPr>
        <w:t xml:space="preserve"> (</w:t>
      </w:r>
      <w:r w:rsidRPr="00C22B32">
        <w:rPr>
          <w:bCs/>
          <w:kern w:val="0"/>
          <w:szCs w:val="25"/>
        </w:rPr>
        <w:t>ibid</w:t>
      </w:r>
      <w:r w:rsidRPr="00C22B32">
        <w:rPr>
          <w:bCs/>
          <w:szCs w:val="25"/>
        </w:rPr>
        <w:t xml:space="preserve">. </w:t>
      </w:r>
      <w:r w:rsidRPr="00C22B32">
        <w:rPr>
          <w:bCs/>
          <w:kern w:val="0"/>
          <w:szCs w:val="25"/>
        </w:rPr>
        <w:t>6</w:t>
      </w:r>
      <w:r w:rsidRPr="00C22B32">
        <w:rPr>
          <w:bCs/>
          <w:szCs w:val="25"/>
        </w:rPr>
        <w:t>).</w:t>
      </w:r>
    </w:p>
  </w:footnote>
  <w:footnote w:id="844">
    <w:p w14:paraId="0B8ED923" w14:textId="77777777" w:rsidR="00B47A48" w:rsidRDefault="00B47A48" w:rsidP="00B47A48">
      <w:pPr>
        <w:pStyle w:val="FootnoteText"/>
      </w:pPr>
      <w:r>
        <w:rPr>
          <w:rStyle w:val="FootnoteReference"/>
        </w:rPr>
        <w:footnoteRef/>
      </w:r>
      <w:r>
        <w:t xml:space="preserve"> </w:t>
      </w:r>
      <w:r w:rsidRPr="00C22B32">
        <w:rPr>
          <w:bCs/>
          <w:kern w:val="0"/>
          <w:szCs w:val="25"/>
        </w:rPr>
        <w:t>Parallelism does seem to come into play as well</w:t>
      </w:r>
      <w:r w:rsidRPr="00C22B32">
        <w:rPr>
          <w:bCs/>
          <w:szCs w:val="25"/>
        </w:rPr>
        <w:t xml:space="preserve"> </w:t>
      </w:r>
      <w:r w:rsidRPr="001C646B">
        <w:rPr>
          <w:bCs/>
          <w:iCs/>
          <w:szCs w:val="25"/>
        </w:rPr>
        <w:t>(</w:t>
      </w:r>
      <w:r w:rsidRPr="00C22B32">
        <w:rPr>
          <w:bCs/>
          <w:kern w:val="0"/>
          <w:szCs w:val="25"/>
        </w:rPr>
        <w:t>though it is not explicitly referred to</w:t>
      </w:r>
      <w:r w:rsidRPr="00C22B32">
        <w:rPr>
          <w:bCs/>
          <w:szCs w:val="25"/>
        </w:rPr>
        <w:t xml:space="preserve">) </w:t>
      </w:r>
      <w:r w:rsidRPr="00C22B32">
        <w:rPr>
          <w:bCs/>
          <w:kern w:val="0"/>
          <w:szCs w:val="25"/>
        </w:rPr>
        <w:t>when Meynet is analyzing Luke</w:t>
      </w:r>
      <w:r w:rsidRPr="00C22B32">
        <w:rPr>
          <w:bCs/>
          <w:szCs w:val="25"/>
        </w:rPr>
        <w:t>’</w:t>
      </w:r>
      <w:r w:rsidRPr="00C22B32">
        <w:rPr>
          <w:bCs/>
          <w:kern w:val="0"/>
          <w:szCs w:val="25"/>
        </w:rPr>
        <w:t>s structure at broader levels</w:t>
      </w:r>
      <w:r w:rsidRPr="00C22B32">
        <w:rPr>
          <w:bCs/>
          <w:szCs w:val="25"/>
        </w:rPr>
        <w:t xml:space="preserve">. </w:t>
      </w:r>
      <w:r w:rsidRPr="00C22B32">
        <w:rPr>
          <w:bCs/>
          <w:kern w:val="0"/>
          <w:szCs w:val="25"/>
        </w:rPr>
        <w:t>Thus</w:t>
      </w:r>
      <w:r w:rsidRPr="00C22B32">
        <w:rPr>
          <w:bCs/>
          <w:iCs/>
          <w:szCs w:val="25"/>
        </w:rPr>
        <w:t xml:space="preserve">, </w:t>
      </w:r>
      <w:r w:rsidRPr="00C22B32">
        <w:rPr>
          <w:bCs/>
          <w:kern w:val="0"/>
          <w:szCs w:val="25"/>
        </w:rPr>
        <w:t>for example</w:t>
      </w:r>
      <w:r w:rsidRPr="00C22B32">
        <w:rPr>
          <w:bCs/>
          <w:iCs/>
          <w:szCs w:val="25"/>
        </w:rPr>
        <w:t xml:space="preserve">, </w:t>
      </w:r>
      <w:r w:rsidRPr="00C22B32">
        <w:rPr>
          <w:bCs/>
          <w:kern w:val="0"/>
          <w:szCs w:val="25"/>
        </w:rPr>
        <w:t xml:space="preserve">Meynet says that two narratives will be in correlation if their genre is the same </w:t>
      </w:r>
      <w:r>
        <w:rPr>
          <w:bCs/>
          <w:szCs w:val="25"/>
        </w:rPr>
        <w:t xml:space="preserve">. . . </w:t>
      </w:r>
      <w:r w:rsidRPr="00C22B32">
        <w:rPr>
          <w:bCs/>
          <w:kern w:val="0"/>
          <w:szCs w:val="25"/>
        </w:rPr>
        <w:t>or if their content is the same</w:t>
      </w:r>
      <w:r>
        <w:rPr>
          <w:bCs/>
          <w:szCs w:val="25"/>
        </w:rPr>
        <w:t xml:space="preserve"> . . .</w:t>
      </w:r>
      <w:r w:rsidRPr="00C22B32">
        <w:rPr>
          <w:bCs/>
          <w:szCs w:val="25"/>
        </w:rPr>
        <w:t xml:space="preserve">” </w:t>
      </w:r>
      <w:r w:rsidRPr="00E5413C">
        <w:rPr>
          <w:bCs/>
          <w:szCs w:val="25"/>
          <w:lang w:val="fr-FR"/>
        </w:rPr>
        <w:t>(“</w:t>
      </w:r>
      <w:r w:rsidRPr="00E5413C">
        <w:rPr>
          <w:bCs/>
          <w:kern w:val="0"/>
          <w:szCs w:val="25"/>
          <w:lang w:val="fr-FR"/>
        </w:rPr>
        <w:t>Deux r</w:t>
      </w:r>
      <w:r w:rsidRPr="00E5413C">
        <w:rPr>
          <w:bCs/>
          <w:szCs w:val="25"/>
          <w:lang w:val="fr-FR"/>
        </w:rPr>
        <w:t>é</w:t>
      </w:r>
      <w:r w:rsidRPr="00E5413C">
        <w:rPr>
          <w:bCs/>
          <w:kern w:val="0"/>
          <w:szCs w:val="25"/>
          <w:lang w:val="fr-FR"/>
        </w:rPr>
        <w:t>cits seront en corr</w:t>
      </w:r>
      <w:r w:rsidRPr="00E5413C">
        <w:rPr>
          <w:bCs/>
          <w:szCs w:val="25"/>
          <w:lang w:val="fr-FR"/>
        </w:rPr>
        <w:t>é</w:t>
      </w:r>
      <w:r w:rsidRPr="00E5413C">
        <w:rPr>
          <w:bCs/>
          <w:kern w:val="0"/>
          <w:szCs w:val="25"/>
          <w:lang w:val="fr-FR"/>
        </w:rPr>
        <w:t>lation si leur genre est le m</w:t>
      </w:r>
      <w:r w:rsidRPr="00E5413C">
        <w:rPr>
          <w:bCs/>
          <w:szCs w:val="25"/>
          <w:lang w:val="fr-FR"/>
        </w:rPr>
        <w:t>ê</w:t>
      </w:r>
      <w:r w:rsidRPr="00E5413C">
        <w:rPr>
          <w:bCs/>
          <w:kern w:val="0"/>
          <w:szCs w:val="25"/>
          <w:lang w:val="fr-FR"/>
        </w:rPr>
        <w:t xml:space="preserve">me </w:t>
      </w:r>
      <w:r w:rsidRPr="00E5413C">
        <w:rPr>
          <w:bCs/>
          <w:szCs w:val="25"/>
          <w:lang w:val="fr-FR"/>
        </w:rPr>
        <w:t>. . . o</w:t>
      </w:r>
      <w:r w:rsidRPr="00E5413C">
        <w:rPr>
          <w:bCs/>
          <w:kern w:val="0"/>
          <w:szCs w:val="25"/>
          <w:lang w:val="fr-FR"/>
        </w:rPr>
        <w:t>u si leur contenu est le m</w:t>
      </w:r>
      <w:r w:rsidRPr="00E5413C">
        <w:rPr>
          <w:bCs/>
          <w:szCs w:val="25"/>
          <w:lang w:val="fr-FR"/>
        </w:rPr>
        <w:t>ê</w:t>
      </w:r>
      <w:r w:rsidRPr="00E5413C">
        <w:rPr>
          <w:bCs/>
          <w:kern w:val="0"/>
          <w:szCs w:val="25"/>
          <w:lang w:val="fr-FR"/>
        </w:rPr>
        <w:t xml:space="preserve">me </w:t>
      </w:r>
      <w:r w:rsidRPr="00E5413C">
        <w:rPr>
          <w:bCs/>
          <w:szCs w:val="25"/>
          <w:lang w:val="fr-FR"/>
        </w:rPr>
        <w:t xml:space="preserve">. . .”) </w:t>
      </w:r>
      <w:r w:rsidRPr="00C22B32">
        <w:rPr>
          <w:bCs/>
          <w:szCs w:val="25"/>
        </w:rPr>
        <w:t>(</w:t>
      </w:r>
      <w:r w:rsidRPr="00C22B32">
        <w:rPr>
          <w:bCs/>
          <w:kern w:val="0"/>
          <w:szCs w:val="25"/>
        </w:rPr>
        <w:t>ibid</w:t>
      </w:r>
      <w:r w:rsidRPr="00C22B32">
        <w:rPr>
          <w:bCs/>
          <w:szCs w:val="25"/>
        </w:rPr>
        <w:t xml:space="preserve">. </w:t>
      </w:r>
      <w:r w:rsidRPr="00C22B32">
        <w:rPr>
          <w:bCs/>
          <w:kern w:val="0"/>
          <w:szCs w:val="25"/>
        </w:rPr>
        <w:t>128-29</w:t>
      </w:r>
      <w:r w:rsidRPr="00C22B32">
        <w:rPr>
          <w:bCs/>
          <w:szCs w:val="25"/>
        </w:rPr>
        <w:t>).</w:t>
      </w:r>
    </w:p>
  </w:footnote>
  <w:footnote w:id="845">
    <w:p w14:paraId="022CB8CF" w14:textId="77777777" w:rsidR="00B47A48" w:rsidRDefault="00B47A48" w:rsidP="00B47A48">
      <w:pPr>
        <w:pStyle w:val="FootnoteText"/>
      </w:pPr>
      <w:r>
        <w:rPr>
          <w:rStyle w:val="FootnoteReference"/>
        </w:rPr>
        <w:footnoteRef/>
      </w:r>
      <w:r>
        <w:t xml:space="preserve"> </w:t>
      </w:r>
      <w:r>
        <w:rPr>
          <w:bCs/>
          <w:szCs w:val="25"/>
        </w:rPr>
        <w:t>“</w:t>
      </w:r>
      <w:r w:rsidRPr="00C22B32">
        <w:rPr>
          <w:bCs/>
          <w:kern w:val="0"/>
          <w:szCs w:val="25"/>
        </w:rPr>
        <w:t>Syntagmic</w:t>
      </w:r>
      <w:r w:rsidRPr="00C22B32">
        <w:rPr>
          <w:bCs/>
          <w:szCs w:val="25"/>
        </w:rPr>
        <w:t xml:space="preserve">” </w:t>
      </w:r>
      <w:r w:rsidRPr="00C22B32">
        <w:rPr>
          <w:bCs/>
          <w:kern w:val="0"/>
          <w:szCs w:val="25"/>
        </w:rPr>
        <w:t>here apparently refers to an ordered sequence of statements</w:t>
      </w:r>
      <w:r w:rsidRPr="00C22B32">
        <w:rPr>
          <w:bCs/>
          <w:szCs w:val="25"/>
        </w:rPr>
        <w:t xml:space="preserve"> (</w:t>
      </w:r>
      <w:r w:rsidRPr="00C22B32">
        <w:rPr>
          <w:bCs/>
          <w:kern w:val="0"/>
          <w:szCs w:val="25"/>
        </w:rPr>
        <w:t>see</w:t>
      </w:r>
      <w:r w:rsidRPr="00C22B32">
        <w:rPr>
          <w:bCs/>
          <w:szCs w:val="25"/>
        </w:rPr>
        <w:t xml:space="preserve"> “</w:t>
      </w:r>
      <w:r w:rsidRPr="00C22B32">
        <w:rPr>
          <w:bCs/>
          <w:kern w:val="0"/>
          <w:szCs w:val="25"/>
        </w:rPr>
        <w:t>syntagma</w:t>
      </w:r>
      <w:r w:rsidRPr="00C22B32">
        <w:rPr>
          <w:bCs/>
          <w:szCs w:val="25"/>
        </w:rPr>
        <w:t xml:space="preserve">,” </w:t>
      </w:r>
      <w:r w:rsidRPr="00C22B32">
        <w:rPr>
          <w:bCs/>
          <w:i/>
          <w:iCs/>
          <w:kern w:val="0"/>
          <w:szCs w:val="23"/>
        </w:rPr>
        <w:t>Oxford English Dictionary</w:t>
      </w:r>
      <w:r w:rsidRPr="00C22B32">
        <w:rPr>
          <w:bCs/>
          <w:iCs/>
          <w:szCs w:val="23"/>
        </w:rPr>
        <w:t xml:space="preserve"> [</w:t>
      </w:r>
      <w:r w:rsidRPr="00C22B32">
        <w:rPr>
          <w:bCs/>
          <w:kern w:val="0"/>
          <w:szCs w:val="25"/>
        </w:rPr>
        <w:t>Oxford</w:t>
      </w:r>
      <w:r w:rsidRPr="00C22B32">
        <w:rPr>
          <w:bCs/>
          <w:szCs w:val="25"/>
        </w:rPr>
        <w:t xml:space="preserve">: </w:t>
      </w:r>
      <w:r w:rsidRPr="00C22B32">
        <w:rPr>
          <w:bCs/>
          <w:kern w:val="0"/>
          <w:szCs w:val="25"/>
        </w:rPr>
        <w:t>Oxford University</w:t>
      </w:r>
      <w:r w:rsidRPr="00C22B32">
        <w:rPr>
          <w:bCs/>
          <w:iCs/>
          <w:szCs w:val="25"/>
        </w:rPr>
        <w:t xml:space="preserve">, </w:t>
      </w:r>
      <w:r w:rsidRPr="00C22B32">
        <w:rPr>
          <w:bCs/>
          <w:kern w:val="0"/>
          <w:szCs w:val="25"/>
        </w:rPr>
        <w:t>1978</w:t>
      </w:r>
      <w:r w:rsidRPr="00C22B32">
        <w:rPr>
          <w:bCs/>
          <w:szCs w:val="25"/>
        </w:rPr>
        <w:t>]</w:t>
      </w:r>
      <w:r w:rsidRPr="00C22B32">
        <w:rPr>
          <w:bCs/>
          <w:iCs/>
          <w:szCs w:val="25"/>
        </w:rPr>
        <w:t xml:space="preserve">, </w:t>
      </w:r>
      <w:r w:rsidRPr="00C22B32">
        <w:rPr>
          <w:bCs/>
          <w:kern w:val="0"/>
          <w:szCs w:val="25"/>
        </w:rPr>
        <w:t>ad loc</w:t>
      </w:r>
      <w:r w:rsidRPr="00C22B32">
        <w:rPr>
          <w:bCs/>
          <w:szCs w:val="25"/>
        </w:rPr>
        <w:t>.).</w:t>
      </w:r>
    </w:p>
  </w:footnote>
  <w:footnote w:id="846">
    <w:p w14:paraId="08BA8D4F" w14:textId="77777777" w:rsidR="00B47A48" w:rsidRDefault="00B47A48" w:rsidP="00B47A48">
      <w:pPr>
        <w:pStyle w:val="FootnoteText"/>
      </w:pPr>
      <w:r>
        <w:rPr>
          <w:rStyle w:val="FootnoteReference"/>
        </w:rPr>
        <w:footnoteRef/>
      </w:r>
      <w:r>
        <w:t xml:space="preserve"> </w:t>
      </w:r>
      <w:r w:rsidRPr="00C22B32">
        <w:rPr>
          <w:bCs/>
          <w:kern w:val="0"/>
          <w:szCs w:val="25"/>
        </w:rPr>
        <w:t>Ibid</w:t>
      </w:r>
      <w:r w:rsidRPr="00C22B32">
        <w:rPr>
          <w:bCs/>
          <w:szCs w:val="25"/>
        </w:rPr>
        <w:t xml:space="preserve">. </w:t>
      </w:r>
      <w:r w:rsidRPr="00C22B32">
        <w:rPr>
          <w:bCs/>
          <w:kern w:val="0"/>
          <w:szCs w:val="25"/>
        </w:rPr>
        <w:t>24</w:t>
      </w:r>
      <w:r w:rsidRPr="00C22B32">
        <w:rPr>
          <w:bCs/>
          <w:iCs/>
          <w:szCs w:val="25"/>
        </w:rPr>
        <w:t xml:space="preserve">, </w:t>
      </w:r>
      <w:r w:rsidRPr="00C22B32">
        <w:rPr>
          <w:bCs/>
          <w:kern w:val="0"/>
          <w:szCs w:val="25"/>
        </w:rPr>
        <w:t>35</w:t>
      </w:r>
      <w:r w:rsidRPr="00C22B32">
        <w:rPr>
          <w:bCs/>
          <w:iCs/>
          <w:szCs w:val="25"/>
        </w:rPr>
        <w:t xml:space="preserve">, </w:t>
      </w:r>
      <w:r w:rsidRPr="00C22B32">
        <w:rPr>
          <w:bCs/>
          <w:kern w:val="0"/>
          <w:szCs w:val="25"/>
        </w:rPr>
        <w:t>143</w:t>
      </w:r>
      <w:r w:rsidRPr="00C22B32">
        <w:rPr>
          <w:bCs/>
          <w:szCs w:val="25"/>
        </w:rPr>
        <w:t xml:space="preserve">. </w:t>
      </w:r>
      <w:r w:rsidRPr="00C22B32">
        <w:rPr>
          <w:bCs/>
          <w:kern w:val="0"/>
          <w:szCs w:val="25"/>
        </w:rPr>
        <w:t xml:space="preserve">The term </w:t>
      </w:r>
      <w:r>
        <w:rPr>
          <w:bCs/>
          <w:szCs w:val="25"/>
        </w:rPr>
        <w:t>“</w:t>
      </w:r>
      <w:r w:rsidRPr="00C22B32">
        <w:rPr>
          <w:bCs/>
          <w:kern w:val="0"/>
          <w:szCs w:val="25"/>
        </w:rPr>
        <w:t>paradigmatic</w:t>
      </w:r>
      <w:r w:rsidRPr="00C22B32">
        <w:rPr>
          <w:bCs/>
          <w:szCs w:val="25"/>
        </w:rPr>
        <w:t xml:space="preserve">” </w:t>
      </w:r>
      <w:r w:rsidRPr="00C22B32">
        <w:rPr>
          <w:bCs/>
          <w:kern w:val="0"/>
          <w:szCs w:val="25"/>
        </w:rPr>
        <w:t>is borrowed from linguistics</w:t>
      </w:r>
      <w:r w:rsidRPr="00C22B32">
        <w:rPr>
          <w:bCs/>
          <w:iCs/>
          <w:szCs w:val="25"/>
        </w:rPr>
        <w:t xml:space="preserve">, </w:t>
      </w:r>
      <w:r w:rsidRPr="00C22B32">
        <w:rPr>
          <w:bCs/>
          <w:kern w:val="0"/>
          <w:szCs w:val="25"/>
        </w:rPr>
        <w:t>where it refers to the set of all inflectional forms of a given root</w:t>
      </w:r>
      <w:r w:rsidRPr="00C22B32">
        <w:rPr>
          <w:bCs/>
          <w:szCs w:val="25"/>
        </w:rPr>
        <w:t xml:space="preserve"> (</w:t>
      </w:r>
      <w:r w:rsidRPr="00C22B32">
        <w:rPr>
          <w:bCs/>
          <w:kern w:val="0"/>
          <w:szCs w:val="25"/>
        </w:rPr>
        <w:t>e</w:t>
      </w:r>
      <w:r w:rsidRPr="00C22B32">
        <w:rPr>
          <w:bCs/>
          <w:szCs w:val="25"/>
        </w:rPr>
        <w:t>.</w:t>
      </w:r>
      <w:r w:rsidRPr="00C22B32">
        <w:rPr>
          <w:bCs/>
          <w:kern w:val="0"/>
          <w:szCs w:val="25"/>
        </w:rPr>
        <w:t>g</w:t>
      </w:r>
      <w:r w:rsidRPr="00C22B32">
        <w:rPr>
          <w:bCs/>
          <w:szCs w:val="25"/>
        </w:rPr>
        <w:t>.</w:t>
      </w:r>
      <w:r w:rsidRPr="00C22B32">
        <w:rPr>
          <w:bCs/>
          <w:iCs/>
          <w:szCs w:val="25"/>
        </w:rPr>
        <w:t>, “</w:t>
      </w:r>
      <w:r w:rsidRPr="00C22B32">
        <w:rPr>
          <w:bCs/>
          <w:kern w:val="0"/>
          <w:szCs w:val="25"/>
        </w:rPr>
        <w:t>boy</w:t>
      </w:r>
      <w:r w:rsidRPr="00C22B32">
        <w:rPr>
          <w:bCs/>
          <w:szCs w:val="25"/>
        </w:rPr>
        <w:t>,” “</w:t>
      </w:r>
      <w:r w:rsidRPr="00C22B32">
        <w:rPr>
          <w:bCs/>
          <w:kern w:val="0"/>
          <w:szCs w:val="25"/>
        </w:rPr>
        <w:t>boys</w:t>
      </w:r>
      <w:r w:rsidRPr="00C22B32">
        <w:rPr>
          <w:bCs/>
          <w:szCs w:val="25"/>
        </w:rPr>
        <w:t>,” “</w:t>
      </w:r>
      <w:r w:rsidRPr="00C22B32">
        <w:rPr>
          <w:bCs/>
          <w:kern w:val="0"/>
          <w:szCs w:val="25"/>
        </w:rPr>
        <w:t>boy</w:t>
      </w:r>
      <w:r w:rsidRPr="00C22B32">
        <w:rPr>
          <w:bCs/>
          <w:szCs w:val="25"/>
        </w:rPr>
        <w:t>’</w:t>
      </w:r>
      <w:r w:rsidRPr="00C22B32">
        <w:rPr>
          <w:bCs/>
          <w:kern w:val="0"/>
          <w:szCs w:val="25"/>
        </w:rPr>
        <w:t>s</w:t>
      </w:r>
      <w:r w:rsidRPr="00C22B32">
        <w:rPr>
          <w:bCs/>
          <w:szCs w:val="25"/>
        </w:rPr>
        <w:t>,” “</w:t>
      </w:r>
      <w:r w:rsidRPr="00C22B32">
        <w:rPr>
          <w:bCs/>
          <w:kern w:val="0"/>
          <w:szCs w:val="25"/>
        </w:rPr>
        <w:t>boys</w:t>
      </w:r>
      <w:r>
        <w:rPr>
          <w:bCs/>
          <w:szCs w:val="25"/>
        </w:rPr>
        <w:t>’</w:t>
      </w:r>
      <w:r w:rsidRPr="00C22B32">
        <w:rPr>
          <w:bCs/>
          <w:szCs w:val="25"/>
        </w:rPr>
        <w:t xml:space="preserve">”). </w:t>
      </w:r>
      <w:r w:rsidRPr="00C22B32">
        <w:rPr>
          <w:bCs/>
          <w:kern w:val="0"/>
          <w:szCs w:val="25"/>
        </w:rPr>
        <w:t xml:space="preserve">Apparently Meynet uses it to label his two elements because </w:t>
      </w:r>
      <w:r w:rsidRPr="00C22B32">
        <w:rPr>
          <w:bCs/>
          <w:kern w:val="0"/>
          <w:szCs w:val="23"/>
        </w:rPr>
        <w:t>the</w:t>
      </w:r>
      <w:r>
        <w:rPr>
          <w:bCs/>
          <w:szCs w:val="23"/>
        </w:rPr>
        <w:t xml:space="preserve"> </w:t>
      </w:r>
      <w:r w:rsidRPr="00C22B32">
        <w:rPr>
          <w:bCs/>
          <w:kern w:val="0"/>
          <w:szCs w:val="25"/>
        </w:rPr>
        <w:t xml:space="preserve">elements </w:t>
      </w:r>
      <w:r w:rsidRPr="00C22B32">
        <w:rPr>
          <w:bCs/>
          <w:kern w:val="0"/>
          <w:szCs w:val="23"/>
        </w:rPr>
        <w:t xml:space="preserve">shows </w:t>
      </w:r>
      <w:r w:rsidRPr="00C22B32">
        <w:rPr>
          <w:bCs/>
          <w:kern w:val="0"/>
          <w:szCs w:val="25"/>
        </w:rPr>
        <w:t>con</w:t>
      </w:r>
      <w:r>
        <w:rPr>
          <w:bCs/>
          <w:szCs w:val="25"/>
        </w:rPr>
        <w:t>sider</w:t>
      </w:r>
      <w:r w:rsidRPr="00C22B32">
        <w:rPr>
          <w:bCs/>
          <w:kern w:val="0"/>
          <w:szCs w:val="25"/>
        </w:rPr>
        <w:t>able variatio</w:t>
      </w:r>
      <w:r>
        <w:rPr>
          <w:bCs/>
          <w:szCs w:val="25"/>
        </w:rPr>
        <w:t xml:space="preserve">n </w:t>
      </w:r>
      <w:r>
        <w:rPr>
          <w:bCs/>
          <w:szCs w:val="41"/>
        </w:rPr>
        <w:t>through</w:t>
      </w:r>
      <w:r w:rsidRPr="00C22B32">
        <w:rPr>
          <w:bCs/>
          <w:kern w:val="0"/>
          <w:szCs w:val="40"/>
        </w:rPr>
        <w:t xml:space="preserve">out </w:t>
      </w:r>
      <w:r>
        <w:rPr>
          <w:bCs/>
          <w:szCs w:val="40"/>
        </w:rPr>
        <w:t>t</w:t>
      </w:r>
      <w:r w:rsidRPr="00C22B32">
        <w:rPr>
          <w:bCs/>
          <w:kern w:val="0"/>
        </w:rPr>
        <w:t xml:space="preserve">he </w:t>
      </w:r>
      <w:r w:rsidRPr="00C22B32">
        <w:rPr>
          <w:bCs/>
          <w:kern w:val="0"/>
          <w:szCs w:val="25"/>
        </w:rPr>
        <w:t>gospel</w:t>
      </w:r>
      <w:r w:rsidRPr="00C22B32">
        <w:rPr>
          <w:bCs/>
          <w:szCs w:val="25"/>
        </w:rPr>
        <w:t>.</w:t>
      </w:r>
    </w:p>
  </w:footnote>
  <w:footnote w:id="847">
    <w:p w14:paraId="77CBB457" w14:textId="77777777" w:rsidR="00B47A48" w:rsidRPr="00E5413C" w:rsidRDefault="00B47A48" w:rsidP="00B47A48">
      <w:pPr>
        <w:pStyle w:val="FootnoteText"/>
        <w:rPr>
          <w:lang w:val="fr-FR"/>
        </w:rPr>
      </w:pPr>
      <w:r>
        <w:rPr>
          <w:rStyle w:val="FootnoteReference"/>
        </w:rPr>
        <w:footnoteRef/>
      </w:r>
      <w:r w:rsidRPr="00E5413C">
        <w:rPr>
          <w:lang w:val="fr-FR"/>
        </w:rPr>
        <w:t xml:space="preserve"> </w:t>
      </w:r>
      <w:r w:rsidRPr="00E5413C">
        <w:rPr>
          <w:bCs/>
          <w:kern w:val="0"/>
          <w:szCs w:val="25"/>
          <w:lang w:val="fr-FR"/>
        </w:rPr>
        <w:t>I</w:t>
      </w:r>
      <w:r w:rsidRPr="00E5413C">
        <w:rPr>
          <w:bCs/>
          <w:szCs w:val="25"/>
          <w:lang w:val="fr-FR"/>
        </w:rPr>
        <w:t>b</w:t>
      </w:r>
      <w:r w:rsidRPr="00E5413C">
        <w:rPr>
          <w:bCs/>
          <w:kern w:val="0"/>
          <w:szCs w:val="25"/>
          <w:lang w:val="fr-FR"/>
        </w:rPr>
        <w:t>id</w:t>
      </w:r>
      <w:r w:rsidRPr="00E5413C">
        <w:rPr>
          <w:bCs/>
          <w:szCs w:val="25"/>
          <w:lang w:val="fr-FR"/>
        </w:rPr>
        <w:t xml:space="preserve">. </w:t>
      </w:r>
      <w:r w:rsidRPr="00E5413C">
        <w:rPr>
          <w:bCs/>
          <w:kern w:val="0"/>
          <w:szCs w:val="25"/>
          <w:lang w:val="fr-FR"/>
        </w:rPr>
        <w:t>196</w:t>
      </w:r>
      <w:r w:rsidRPr="00E5413C">
        <w:rPr>
          <w:bCs/>
          <w:szCs w:val="25"/>
          <w:lang w:val="fr-FR"/>
        </w:rPr>
        <w:t>: “</w:t>
      </w:r>
      <w:r w:rsidRPr="00E5413C">
        <w:rPr>
          <w:bCs/>
          <w:kern w:val="0"/>
          <w:szCs w:val="25"/>
          <w:lang w:val="fr-FR"/>
        </w:rPr>
        <w:t>r</w:t>
      </w:r>
      <w:r w:rsidRPr="00E5413C">
        <w:rPr>
          <w:bCs/>
          <w:szCs w:val="25"/>
          <w:lang w:val="fr-FR"/>
        </w:rPr>
        <w:t>é</w:t>
      </w:r>
      <w:r w:rsidRPr="00E5413C">
        <w:rPr>
          <w:bCs/>
          <w:kern w:val="0"/>
          <w:szCs w:val="25"/>
          <w:lang w:val="fr-FR"/>
        </w:rPr>
        <w:t>currences</w:t>
      </w:r>
      <w:r w:rsidRPr="00E5413C">
        <w:rPr>
          <w:bCs/>
          <w:szCs w:val="25"/>
          <w:lang w:val="fr-FR"/>
        </w:rPr>
        <w:t xml:space="preserve"> </w:t>
      </w:r>
      <w:r w:rsidRPr="00E5413C">
        <w:rPr>
          <w:bCs/>
          <w:kern w:val="0"/>
          <w:szCs w:val="25"/>
          <w:lang w:val="fr-FR"/>
        </w:rPr>
        <w:t xml:space="preserve">de certains </w:t>
      </w:r>
      <w:r w:rsidRPr="00E5413C">
        <w:rPr>
          <w:bCs/>
          <w:szCs w:val="25"/>
          <w:lang w:val="fr-FR"/>
        </w:rPr>
        <w:t>é</w:t>
      </w:r>
      <w:r w:rsidRPr="00E5413C">
        <w:rPr>
          <w:bCs/>
          <w:kern w:val="0"/>
          <w:szCs w:val="25"/>
          <w:lang w:val="fr-FR"/>
        </w:rPr>
        <w:t>l</w:t>
      </w:r>
      <w:r w:rsidRPr="00E5413C">
        <w:rPr>
          <w:bCs/>
          <w:szCs w:val="25"/>
          <w:lang w:val="fr-FR"/>
        </w:rPr>
        <w:t>é</w:t>
      </w:r>
      <w:r w:rsidRPr="00E5413C">
        <w:rPr>
          <w:bCs/>
          <w:kern w:val="0"/>
          <w:szCs w:val="25"/>
          <w:lang w:val="fr-FR"/>
        </w:rPr>
        <w:t>ments aux m</w:t>
      </w:r>
      <w:r w:rsidRPr="00E5413C">
        <w:rPr>
          <w:bCs/>
          <w:szCs w:val="25"/>
          <w:lang w:val="fr-FR"/>
        </w:rPr>
        <w:t>ê</w:t>
      </w:r>
      <w:r w:rsidRPr="00E5413C">
        <w:rPr>
          <w:bCs/>
          <w:kern w:val="0"/>
          <w:szCs w:val="25"/>
          <w:lang w:val="fr-FR"/>
        </w:rPr>
        <w:t>mes endroits des Unit</w:t>
      </w:r>
      <w:r w:rsidRPr="00E5413C">
        <w:rPr>
          <w:bCs/>
          <w:szCs w:val="25"/>
          <w:lang w:val="fr-FR"/>
        </w:rPr>
        <w:t>é</w:t>
      </w:r>
      <w:r w:rsidRPr="00E5413C">
        <w:rPr>
          <w:bCs/>
          <w:kern w:val="0"/>
          <w:szCs w:val="25"/>
          <w:lang w:val="fr-FR"/>
        </w:rPr>
        <w:t>s</w:t>
      </w:r>
      <w:r w:rsidRPr="00E5413C">
        <w:rPr>
          <w:bCs/>
          <w:szCs w:val="25"/>
          <w:lang w:val="fr-FR"/>
        </w:rPr>
        <w:t xml:space="preserve"> . . .”</w:t>
      </w:r>
    </w:p>
  </w:footnote>
  <w:footnote w:id="848">
    <w:p w14:paraId="5CD2579E" w14:textId="77777777" w:rsidR="00B47A48" w:rsidRDefault="00B47A48" w:rsidP="00B47A48">
      <w:pPr>
        <w:pStyle w:val="FootnoteText"/>
      </w:pPr>
      <w:r>
        <w:rPr>
          <w:rStyle w:val="FootnoteReference"/>
        </w:rPr>
        <w:footnoteRef/>
      </w:r>
      <w:r>
        <w:t xml:space="preserve"> </w:t>
      </w:r>
      <w:r w:rsidRPr="00C22B32">
        <w:rPr>
          <w:bCs/>
          <w:kern w:val="0"/>
          <w:szCs w:val="25"/>
        </w:rPr>
        <w:t>T</w:t>
      </w:r>
      <w:r>
        <w:rPr>
          <w:bCs/>
          <w:szCs w:val="25"/>
        </w:rPr>
        <w:t>h</w:t>
      </w:r>
      <w:r w:rsidRPr="00C22B32">
        <w:rPr>
          <w:bCs/>
          <w:kern w:val="0"/>
          <w:szCs w:val="25"/>
        </w:rPr>
        <w:t>e first element does not occur</w:t>
      </w:r>
      <w:r w:rsidRPr="00C22B32">
        <w:rPr>
          <w:bCs/>
          <w:iCs/>
          <w:szCs w:val="25"/>
        </w:rPr>
        <w:t xml:space="preserve">, </w:t>
      </w:r>
      <w:r w:rsidRPr="00C22B32">
        <w:rPr>
          <w:bCs/>
          <w:kern w:val="0"/>
          <w:szCs w:val="25"/>
        </w:rPr>
        <w:t>of course</w:t>
      </w:r>
      <w:r w:rsidRPr="00C22B32">
        <w:rPr>
          <w:bCs/>
          <w:iCs/>
          <w:szCs w:val="25"/>
        </w:rPr>
        <w:t xml:space="preserve">, </w:t>
      </w:r>
      <w:r w:rsidRPr="00C22B32">
        <w:rPr>
          <w:bCs/>
          <w:kern w:val="0"/>
          <w:szCs w:val="25"/>
        </w:rPr>
        <w:t>in sections A and D</w:t>
      </w:r>
      <w:r w:rsidRPr="00C22B32">
        <w:rPr>
          <w:bCs/>
          <w:iCs/>
          <w:szCs w:val="25"/>
        </w:rPr>
        <w:t xml:space="preserve">, </w:t>
      </w:r>
      <w:r w:rsidRPr="00C22B32">
        <w:rPr>
          <w:bCs/>
          <w:kern w:val="0"/>
          <w:szCs w:val="25"/>
        </w:rPr>
        <w:t>since Jesus does not teach or heal prior to his public ministry or in the passion narrative</w:t>
      </w:r>
      <w:r w:rsidRPr="00C22B32">
        <w:rPr>
          <w:bCs/>
          <w:szCs w:val="25"/>
        </w:rPr>
        <w:t xml:space="preserve">. </w:t>
      </w:r>
      <w:r w:rsidRPr="00C22B32">
        <w:rPr>
          <w:bCs/>
          <w:kern w:val="0"/>
          <w:szCs w:val="25"/>
        </w:rPr>
        <w:t>The second element</w:t>
      </w:r>
      <w:r w:rsidRPr="00C22B32">
        <w:rPr>
          <w:bCs/>
          <w:iCs/>
          <w:szCs w:val="25"/>
        </w:rPr>
        <w:t xml:space="preserve">, </w:t>
      </w:r>
      <w:r w:rsidRPr="00C22B32">
        <w:rPr>
          <w:bCs/>
          <w:kern w:val="0"/>
          <w:szCs w:val="25"/>
        </w:rPr>
        <w:t>however</w:t>
      </w:r>
      <w:r w:rsidRPr="00C22B32">
        <w:rPr>
          <w:bCs/>
          <w:iCs/>
          <w:szCs w:val="25"/>
        </w:rPr>
        <w:t xml:space="preserve">, </w:t>
      </w:r>
      <w:r w:rsidRPr="00C22B32">
        <w:rPr>
          <w:bCs/>
          <w:kern w:val="0"/>
          <w:szCs w:val="25"/>
        </w:rPr>
        <w:t>is found throughout the gospel and</w:t>
      </w:r>
      <w:r w:rsidRPr="00C22B32">
        <w:rPr>
          <w:bCs/>
          <w:iCs/>
          <w:szCs w:val="25"/>
        </w:rPr>
        <w:t xml:space="preserve">, </w:t>
      </w:r>
      <w:r w:rsidRPr="00C22B32">
        <w:rPr>
          <w:bCs/>
          <w:kern w:val="0"/>
          <w:szCs w:val="25"/>
        </w:rPr>
        <w:t>indeed</w:t>
      </w:r>
      <w:r w:rsidRPr="00C22B32">
        <w:rPr>
          <w:bCs/>
          <w:iCs/>
          <w:szCs w:val="25"/>
        </w:rPr>
        <w:t xml:space="preserve">, </w:t>
      </w:r>
      <w:r w:rsidRPr="00C22B32">
        <w:rPr>
          <w:bCs/>
          <w:kern w:val="0"/>
          <w:szCs w:val="25"/>
        </w:rPr>
        <w:t>in each of Meynet</w:t>
      </w:r>
      <w:r w:rsidRPr="00C22B32">
        <w:rPr>
          <w:bCs/>
          <w:szCs w:val="25"/>
        </w:rPr>
        <w:t>’</w:t>
      </w:r>
      <w:r w:rsidRPr="00C22B32">
        <w:rPr>
          <w:bCs/>
          <w:kern w:val="0"/>
          <w:szCs w:val="25"/>
        </w:rPr>
        <w:t>s units</w:t>
      </w:r>
      <w:r w:rsidRPr="00C22B32">
        <w:rPr>
          <w:bCs/>
          <w:szCs w:val="25"/>
        </w:rPr>
        <w:t xml:space="preserve">; </w:t>
      </w:r>
      <w:r w:rsidRPr="00C22B32">
        <w:rPr>
          <w:bCs/>
          <w:kern w:val="0"/>
          <w:szCs w:val="25"/>
        </w:rPr>
        <w:t>thus it is the more important of the two</w:t>
      </w:r>
      <w:r w:rsidRPr="00C22B32">
        <w:rPr>
          <w:bCs/>
          <w:szCs w:val="25"/>
        </w:rPr>
        <w:t xml:space="preserve"> (</w:t>
      </w:r>
      <w:r w:rsidRPr="00C22B32">
        <w:rPr>
          <w:bCs/>
          <w:kern w:val="0"/>
          <w:szCs w:val="25"/>
        </w:rPr>
        <w:t>ibid</w:t>
      </w:r>
      <w:r w:rsidRPr="00C22B32">
        <w:rPr>
          <w:bCs/>
          <w:szCs w:val="25"/>
        </w:rPr>
        <w:t xml:space="preserve">. </w:t>
      </w:r>
      <w:r w:rsidRPr="00C22B32">
        <w:rPr>
          <w:bCs/>
          <w:kern w:val="0"/>
          <w:szCs w:val="25"/>
        </w:rPr>
        <w:t>142-43</w:t>
      </w:r>
      <w:r w:rsidRPr="00C22B32">
        <w:rPr>
          <w:bCs/>
          <w:szCs w:val="25"/>
        </w:rPr>
        <w:t>).</w:t>
      </w:r>
    </w:p>
  </w:footnote>
  <w:footnote w:id="849">
    <w:p w14:paraId="0C783A38" w14:textId="77777777" w:rsidR="00B47A48" w:rsidRDefault="00B47A48" w:rsidP="00B47A48">
      <w:pPr>
        <w:pStyle w:val="FootnoteText"/>
        <w:rPr>
          <w:bCs/>
          <w:szCs w:val="25"/>
        </w:rPr>
      </w:pPr>
      <w:r>
        <w:rPr>
          <w:rStyle w:val="FootnoteReference"/>
        </w:rPr>
        <w:footnoteRef/>
      </w:r>
      <w:r w:rsidRPr="00E5413C">
        <w:rPr>
          <w:lang w:val="fr-FR"/>
        </w:rPr>
        <w:t xml:space="preserve"> </w:t>
      </w:r>
      <w:r w:rsidRPr="00E5413C">
        <w:rPr>
          <w:bCs/>
          <w:szCs w:val="25"/>
          <w:lang w:val="fr-FR"/>
        </w:rPr>
        <w:t>Ib</w:t>
      </w:r>
      <w:r w:rsidRPr="00E5413C">
        <w:rPr>
          <w:bCs/>
          <w:kern w:val="0"/>
          <w:szCs w:val="25"/>
          <w:lang w:val="fr-FR"/>
        </w:rPr>
        <w:t>id</w:t>
      </w:r>
      <w:r w:rsidRPr="00E5413C">
        <w:rPr>
          <w:bCs/>
          <w:szCs w:val="25"/>
          <w:lang w:val="fr-FR"/>
        </w:rPr>
        <w:t xml:space="preserve">. </w:t>
      </w:r>
      <w:r w:rsidRPr="00E5413C">
        <w:rPr>
          <w:bCs/>
          <w:kern w:val="0"/>
          <w:szCs w:val="25"/>
          <w:lang w:val="fr-FR"/>
        </w:rPr>
        <w:t>36</w:t>
      </w:r>
      <w:r w:rsidRPr="00E5413C">
        <w:rPr>
          <w:bCs/>
          <w:szCs w:val="25"/>
          <w:lang w:val="fr-FR"/>
        </w:rPr>
        <w:t>: “</w:t>
      </w:r>
      <w:r w:rsidRPr="00E5413C">
        <w:rPr>
          <w:bCs/>
          <w:kern w:val="0"/>
          <w:szCs w:val="25"/>
          <w:lang w:val="fr-FR"/>
        </w:rPr>
        <w:t xml:space="preserve">la reprise par le texte </w:t>
      </w:r>
      <w:r w:rsidRPr="00E5413C">
        <w:rPr>
          <w:bCs/>
          <w:szCs w:val="25"/>
          <w:lang w:val="fr-FR"/>
        </w:rPr>
        <w:t>é</w:t>
      </w:r>
      <w:r w:rsidRPr="00E5413C">
        <w:rPr>
          <w:bCs/>
          <w:kern w:val="0"/>
          <w:szCs w:val="25"/>
          <w:lang w:val="fr-FR"/>
        </w:rPr>
        <w:t>vang</w:t>
      </w:r>
      <w:r w:rsidRPr="00E5413C">
        <w:rPr>
          <w:bCs/>
          <w:szCs w:val="25"/>
          <w:lang w:val="fr-FR"/>
        </w:rPr>
        <w:t>é</w:t>
      </w:r>
      <w:r w:rsidRPr="00E5413C">
        <w:rPr>
          <w:bCs/>
          <w:kern w:val="0"/>
          <w:szCs w:val="25"/>
          <w:lang w:val="fr-FR"/>
        </w:rPr>
        <w:t>lique du sch</w:t>
      </w:r>
      <w:r w:rsidRPr="00E5413C">
        <w:rPr>
          <w:bCs/>
          <w:szCs w:val="25"/>
          <w:lang w:val="fr-FR"/>
        </w:rPr>
        <w:t>é</w:t>
      </w:r>
      <w:r w:rsidRPr="00E5413C">
        <w:rPr>
          <w:bCs/>
          <w:kern w:val="0"/>
          <w:szCs w:val="25"/>
          <w:lang w:val="fr-FR"/>
        </w:rPr>
        <w:t>ma d</w:t>
      </w:r>
      <w:r w:rsidRPr="00E5413C">
        <w:rPr>
          <w:bCs/>
          <w:szCs w:val="25"/>
          <w:lang w:val="fr-FR"/>
        </w:rPr>
        <w:t>’</w:t>
      </w:r>
      <w:r w:rsidRPr="00E5413C">
        <w:rPr>
          <w:bCs/>
          <w:kern w:val="0"/>
          <w:szCs w:val="25"/>
          <w:lang w:val="fr-FR"/>
        </w:rPr>
        <w:t>un texte de l</w:t>
      </w:r>
      <w:r w:rsidRPr="00E5413C">
        <w:rPr>
          <w:bCs/>
          <w:szCs w:val="25"/>
          <w:lang w:val="fr-FR"/>
        </w:rPr>
        <w:t>’</w:t>
      </w:r>
      <w:r w:rsidRPr="00E5413C">
        <w:rPr>
          <w:bCs/>
          <w:kern w:val="0"/>
          <w:szCs w:val="25"/>
          <w:lang w:val="fr-FR"/>
        </w:rPr>
        <w:t>Ancient Testament</w:t>
      </w:r>
      <w:r w:rsidRPr="00E5413C">
        <w:rPr>
          <w:bCs/>
          <w:szCs w:val="25"/>
          <w:lang w:val="fr-FR"/>
        </w:rPr>
        <w:t xml:space="preserve">.” </w:t>
      </w:r>
      <w:r w:rsidRPr="00C22B32">
        <w:rPr>
          <w:bCs/>
          <w:kern w:val="0"/>
          <w:szCs w:val="25"/>
        </w:rPr>
        <w:t>One thinks immediately of Benjamin W</w:t>
      </w:r>
      <w:r w:rsidRPr="00C22B32">
        <w:rPr>
          <w:bCs/>
          <w:szCs w:val="25"/>
        </w:rPr>
        <w:t xml:space="preserve">. </w:t>
      </w:r>
      <w:r w:rsidRPr="00C22B32">
        <w:rPr>
          <w:bCs/>
          <w:kern w:val="0"/>
          <w:szCs w:val="25"/>
        </w:rPr>
        <w:t>Bacon</w:t>
      </w:r>
      <w:r w:rsidRPr="00C22B32">
        <w:rPr>
          <w:bCs/>
          <w:szCs w:val="25"/>
        </w:rPr>
        <w:t>’</w:t>
      </w:r>
      <w:r w:rsidRPr="00C22B32">
        <w:rPr>
          <w:bCs/>
          <w:kern w:val="0"/>
          <w:szCs w:val="25"/>
        </w:rPr>
        <w:t>s theory concerning the structure of Matthew</w:t>
      </w:r>
      <w:r w:rsidRPr="00C22B32">
        <w:rPr>
          <w:bCs/>
          <w:szCs w:val="25"/>
        </w:rPr>
        <w:t xml:space="preserve"> (</w:t>
      </w:r>
      <w:r w:rsidRPr="00C22B32">
        <w:rPr>
          <w:bCs/>
          <w:i/>
          <w:iCs/>
          <w:kern w:val="0"/>
        </w:rPr>
        <w:t xml:space="preserve">Studies </w:t>
      </w:r>
      <w:r w:rsidRPr="00C22B32">
        <w:rPr>
          <w:bCs/>
          <w:i/>
          <w:iCs/>
          <w:kern w:val="0"/>
          <w:szCs w:val="26"/>
        </w:rPr>
        <w:t xml:space="preserve">in </w:t>
      </w:r>
      <w:r w:rsidRPr="00C22B32">
        <w:rPr>
          <w:bCs/>
          <w:i/>
          <w:iCs/>
          <w:kern w:val="0"/>
        </w:rPr>
        <w:t>Matthew</w:t>
      </w:r>
      <w:r w:rsidRPr="00C22B32">
        <w:rPr>
          <w:bCs/>
          <w:iCs/>
        </w:rPr>
        <w:t xml:space="preserve"> [</w:t>
      </w:r>
      <w:r w:rsidRPr="00C22B32">
        <w:rPr>
          <w:bCs/>
          <w:kern w:val="0"/>
          <w:szCs w:val="25"/>
        </w:rPr>
        <w:t>New York</w:t>
      </w:r>
      <w:r w:rsidRPr="00C22B32">
        <w:rPr>
          <w:bCs/>
          <w:szCs w:val="25"/>
        </w:rPr>
        <w:t xml:space="preserve">: </w:t>
      </w:r>
      <w:r w:rsidRPr="00C22B32">
        <w:rPr>
          <w:bCs/>
          <w:kern w:val="0"/>
          <w:szCs w:val="25"/>
        </w:rPr>
        <w:t>Henry Holt</w:t>
      </w:r>
      <w:r w:rsidRPr="00C22B32">
        <w:rPr>
          <w:bCs/>
          <w:iCs/>
          <w:szCs w:val="25"/>
        </w:rPr>
        <w:t xml:space="preserve">, </w:t>
      </w:r>
      <w:r w:rsidRPr="00C22B32">
        <w:rPr>
          <w:bCs/>
          <w:kern w:val="0"/>
          <w:szCs w:val="25"/>
        </w:rPr>
        <w:t>1930</w:t>
      </w:r>
      <w:r w:rsidRPr="00C22B32">
        <w:rPr>
          <w:bCs/>
          <w:szCs w:val="25"/>
        </w:rPr>
        <w:t xml:space="preserve">] </w:t>
      </w:r>
      <w:r w:rsidRPr="00C22B32">
        <w:rPr>
          <w:bCs/>
          <w:kern w:val="0"/>
          <w:szCs w:val="25"/>
        </w:rPr>
        <w:t>81</w:t>
      </w:r>
      <w:r w:rsidRPr="00C22B32">
        <w:rPr>
          <w:bCs/>
          <w:szCs w:val="25"/>
        </w:rPr>
        <w:t>):</w:t>
      </w:r>
    </w:p>
    <w:p w14:paraId="7B5E2672" w14:textId="77777777" w:rsidR="00B47A48" w:rsidRDefault="00B47A48" w:rsidP="00B47A48">
      <w:pPr>
        <w:pStyle w:val="FootnoteText"/>
        <w:rPr>
          <w:bCs/>
          <w:szCs w:val="25"/>
        </w:rPr>
      </w:pPr>
    </w:p>
    <w:p w14:paraId="65F5D4C7" w14:textId="77777777" w:rsidR="00B47A48" w:rsidRDefault="00B47A48" w:rsidP="00B47A48">
      <w:pPr>
        <w:pStyle w:val="FootnoteText"/>
        <w:ind w:left="720" w:right="720"/>
      </w:pPr>
      <w:r w:rsidRPr="00C22B32">
        <w:rPr>
          <w:bCs/>
          <w:kern w:val="0"/>
          <w:szCs w:val="25"/>
        </w:rPr>
        <w:t>The Torah consists of five books of the commandments of Moses</w:t>
      </w:r>
      <w:r w:rsidRPr="00C22B32">
        <w:rPr>
          <w:bCs/>
          <w:iCs/>
          <w:szCs w:val="25"/>
        </w:rPr>
        <w:t xml:space="preserve">, </w:t>
      </w:r>
      <w:r w:rsidRPr="00C22B32">
        <w:rPr>
          <w:bCs/>
          <w:kern w:val="0"/>
          <w:szCs w:val="25"/>
        </w:rPr>
        <w:t xml:space="preserve">each body of law introduced by a narrative </w:t>
      </w:r>
      <w:r>
        <w:rPr>
          <w:bCs/>
          <w:szCs w:val="25"/>
        </w:rPr>
        <w:t xml:space="preserve">. . . </w:t>
      </w:r>
      <w:r w:rsidRPr="00C22B32">
        <w:rPr>
          <w:bCs/>
          <w:kern w:val="0"/>
          <w:szCs w:val="25"/>
        </w:rPr>
        <w:t xml:space="preserve">Each of the </w:t>
      </w:r>
      <w:r>
        <w:rPr>
          <w:bCs/>
          <w:kern w:val="0"/>
          <w:szCs w:val="25"/>
        </w:rPr>
        <w:t>“</w:t>
      </w:r>
      <w:r w:rsidRPr="00C22B32">
        <w:rPr>
          <w:bCs/>
          <w:kern w:val="0"/>
          <w:szCs w:val="25"/>
        </w:rPr>
        <w:t>five books</w:t>
      </w:r>
      <w:r w:rsidRPr="00C22B32">
        <w:rPr>
          <w:bCs/>
          <w:szCs w:val="25"/>
        </w:rPr>
        <w:t xml:space="preserve">” </w:t>
      </w:r>
      <w:r w:rsidRPr="00C22B32">
        <w:rPr>
          <w:bCs/>
          <w:kern w:val="0"/>
          <w:szCs w:val="25"/>
        </w:rPr>
        <w:t>of his</w:t>
      </w:r>
      <w:r w:rsidRPr="00C22B32">
        <w:rPr>
          <w:bCs/>
          <w:szCs w:val="25"/>
        </w:rPr>
        <w:t xml:space="preserve"> [</w:t>
      </w:r>
      <w:r w:rsidRPr="00C22B32">
        <w:rPr>
          <w:bCs/>
          <w:kern w:val="0"/>
          <w:szCs w:val="25"/>
        </w:rPr>
        <w:t>Matthew</w:t>
      </w:r>
      <w:r w:rsidRPr="00C22B32">
        <w:rPr>
          <w:bCs/>
          <w:szCs w:val="25"/>
        </w:rPr>
        <w:t>’</w:t>
      </w:r>
      <w:r w:rsidRPr="00C22B32">
        <w:rPr>
          <w:bCs/>
          <w:kern w:val="0"/>
          <w:szCs w:val="25"/>
        </w:rPr>
        <w:t>s</w:t>
      </w:r>
      <w:r w:rsidRPr="00C22B32">
        <w:rPr>
          <w:bCs/>
          <w:szCs w:val="25"/>
        </w:rPr>
        <w:t>] “</w:t>
      </w:r>
      <w:r w:rsidRPr="00C22B32">
        <w:rPr>
          <w:bCs/>
          <w:kern w:val="0"/>
          <w:szCs w:val="25"/>
        </w:rPr>
        <w:t>syntaxis of the logia</w:t>
      </w:r>
      <w:r w:rsidRPr="00C22B32">
        <w:rPr>
          <w:bCs/>
          <w:szCs w:val="25"/>
        </w:rPr>
        <w:t xml:space="preserve">” </w:t>
      </w:r>
      <w:r w:rsidRPr="00C22B32">
        <w:rPr>
          <w:bCs/>
          <w:kern w:val="0"/>
          <w:szCs w:val="25"/>
        </w:rPr>
        <w:t>of Jesus begins with an introductory narrative and closes with a stereotyped formula linking its discourse to the next succeeding narrative section</w:t>
      </w:r>
      <w:r w:rsidRPr="00C22B32">
        <w:rPr>
          <w:bCs/>
          <w:szCs w:val="25"/>
        </w:rPr>
        <w:t>.</w:t>
      </w:r>
    </w:p>
  </w:footnote>
  <w:footnote w:id="850">
    <w:p w14:paraId="22F0CFC1" w14:textId="77777777" w:rsidR="00B47A48" w:rsidRDefault="00B47A48" w:rsidP="00B47A48">
      <w:pPr>
        <w:pStyle w:val="FootnoteText"/>
      </w:pPr>
    </w:p>
    <w:p w14:paraId="0B5EE374" w14:textId="77777777" w:rsidR="00B47A48" w:rsidRPr="00E5413C" w:rsidRDefault="00B47A48" w:rsidP="00B47A48">
      <w:pPr>
        <w:pStyle w:val="FootnoteText"/>
        <w:rPr>
          <w:bCs/>
          <w:szCs w:val="25"/>
          <w:lang w:val="fr-FR"/>
        </w:rPr>
      </w:pPr>
      <w:r>
        <w:rPr>
          <w:rStyle w:val="FootnoteReference"/>
        </w:rPr>
        <w:footnoteRef/>
      </w:r>
      <w:r w:rsidRPr="00E5413C">
        <w:rPr>
          <w:lang w:val="fr-FR"/>
        </w:rPr>
        <w:t xml:space="preserve"> </w:t>
      </w:r>
      <w:r w:rsidRPr="00E5413C">
        <w:rPr>
          <w:bCs/>
          <w:szCs w:val="25"/>
          <w:lang w:val="fr-FR"/>
        </w:rPr>
        <w:t>Ib</w:t>
      </w:r>
      <w:r w:rsidRPr="00E5413C">
        <w:rPr>
          <w:bCs/>
          <w:kern w:val="0"/>
          <w:szCs w:val="25"/>
          <w:lang w:val="fr-FR"/>
        </w:rPr>
        <w:t>id</w:t>
      </w:r>
      <w:r w:rsidRPr="00E5413C">
        <w:rPr>
          <w:bCs/>
          <w:szCs w:val="25"/>
          <w:lang w:val="fr-FR"/>
        </w:rPr>
        <w:t xml:space="preserve">. </w:t>
      </w:r>
      <w:r w:rsidRPr="00E5413C">
        <w:rPr>
          <w:bCs/>
          <w:kern w:val="0"/>
          <w:szCs w:val="25"/>
          <w:lang w:val="fr-FR"/>
        </w:rPr>
        <w:t>141</w:t>
      </w:r>
      <w:r w:rsidRPr="00E5413C">
        <w:rPr>
          <w:bCs/>
          <w:szCs w:val="25"/>
          <w:lang w:val="fr-FR"/>
        </w:rPr>
        <w:t>:</w:t>
      </w:r>
    </w:p>
    <w:p w14:paraId="52487F6E" w14:textId="77777777" w:rsidR="00B47A48" w:rsidRPr="00E5413C" w:rsidRDefault="00B47A48" w:rsidP="00B47A48">
      <w:pPr>
        <w:pStyle w:val="FootnoteText"/>
        <w:rPr>
          <w:bCs/>
          <w:szCs w:val="25"/>
          <w:lang w:val="fr-FR"/>
        </w:rPr>
      </w:pPr>
    </w:p>
    <w:p w14:paraId="424D71D5" w14:textId="77777777" w:rsidR="00B47A48" w:rsidRPr="00E5413C" w:rsidRDefault="00B47A48" w:rsidP="00B47A48">
      <w:pPr>
        <w:pStyle w:val="FootnoteText"/>
        <w:ind w:left="720" w:right="720"/>
        <w:rPr>
          <w:lang w:val="fr-FR"/>
        </w:rPr>
      </w:pPr>
      <w:r w:rsidRPr="00E5413C">
        <w:rPr>
          <w:bCs/>
          <w:lang w:val="fr-FR"/>
        </w:rPr>
        <w:t>. . . le</w:t>
      </w:r>
      <w:r w:rsidRPr="00E5413C">
        <w:rPr>
          <w:bCs/>
          <w:kern w:val="0"/>
          <w:lang w:val="fr-FR"/>
        </w:rPr>
        <w:t xml:space="preserve">s </w:t>
      </w:r>
      <w:r w:rsidRPr="00E5413C">
        <w:rPr>
          <w:bCs/>
          <w:lang w:val="fr-FR"/>
        </w:rPr>
        <w:t xml:space="preserve">trois </w:t>
      </w:r>
      <w:r w:rsidRPr="00E5413C">
        <w:rPr>
          <w:bCs/>
          <w:kern w:val="0"/>
          <w:szCs w:val="25"/>
          <w:lang w:val="fr-FR"/>
        </w:rPr>
        <w:t>mod</w:t>
      </w:r>
      <w:r w:rsidRPr="00E5413C">
        <w:rPr>
          <w:bCs/>
          <w:szCs w:val="25"/>
          <w:lang w:val="fr-FR"/>
        </w:rPr>
        <w:t>è</w:t>
      </w:r>
      <w:r w:rsidRPr="00E5413C">
        <w:rPr>
          <w:bCs/>
          <w:kern w:val="0"/>
          <w:szCs w:val="25"/>
          <w:lang w:val="fr-FR"/>
        </w:rPr>
        <w:t xml:space="preserve">les qui ont servi dans </w:t>
      </w:r>
      <w:r w:rsidRPr="00E5413C">
        <w:rPr>
          <w:bCs/>
          <w:szCs w:val="25"/>
          <w:lang w:val="fr-FR"/>
        </w:rPr>
        <w:t>l’</w:t>
      </w:r>
      <w:r w:rsidRPr="00E5413C">
        <w:rPr>
          <w:bCs/>
          <w:kern w:val="0"/>
          <w:szCs w:val="25"/>
          <w:lang w:val="fr-FR"/>
        </w:rPr>
        <w:t>analyse</w:t>
      </w:r>
      <w:r w:rsidRPr="00E5413C">
        <w:rPr>
          <w:bCs/>
          <w:szCs w:val="25"/>
          <w:lang w:val="fr-FR"/>
        </w:rPr>
        <w:t xml:space="preserve"> [</w:t>
      </w:r>
      <w:r w:rsidRPr="00E5413C">
        <w:rPr>
          <w:bCs/>
          <w:kern w:val="0"/>
          <w:szCs w:val="25"/>
          <w:lang w:val="fr-FR"/>
        </w:rPr>
        <w:t>sont</w:t>
      </w:r>
      <w:r w:rsidRPr="00E5413C">
        <w:rPr>
          <w:bCs/>
          <w:szCs w:val="25"/>
          <w:lang w:val="fr-FR"/>
        </w:rPr>
        <w:t xml:space="preserve">] </w:t>
      </w:r>
      <w:r w:rsidRPr="00E5413C">
        <w:rPr>
          <w:bCs/>
          <w:kern w:val="0"/>
          <w:szCs w:val="25"/>
          <w:lang w:val="fr-FR"/>
        </w:rPr>
        <w:t>le mod</w:t>
      </w:r>
      <w:r w:rsidRPr="00E5413C">
        <w:rPr>
          <w:bCs/>
          <w:szCs w:val="25"/>
          <w:lang w:val="fr-FR"/>
        </w:rPr>
        <w:t>è</w:t>
      </w:r>
      <w:r w:rsidRPr="00E5413C">
        <w:rPr>
          <w:bCs/>
          <w:kern w:val="0"/>
          <w:szCs w:val="25"/>
          <w:lang w:val="fr-FR"/>
        </w:rPr>
        <w:t>le paradigmatique</w:t>
      </w:r>
      <w:r w:rsidRPr="00E5413C">
        <w:rPr>
          <w:bCs/>
          <w:iCs/>
          <w:szCs w:val="25"/>
          <w:lang w:val="fr-FR"/>
        </w:rPr>
        <w:t xml:space="preserve">, </w:t>
      </w:r>
      <w:r w:rsidRPr="00E5413C">
        <w:rPr>
          <w:bCs/>
          <w:kern w:val="0"/>
          <w:szCs w:val="25"/>
          <w:lang w:val="fr-FR"/>
        </w:rPr>
        <w:t>«enseigner-gu</w:t>
      </w:r>
      <w:r w:rsidRPr="00E5413C">
        <w:rPr>
          <w:bCs/>
          <w:szCs w:val="25"/>
          <w:lang w:val="fr-FR"/>
        </w:rPr>
        <w:t>é</w:t>
      </w:r>
      <w:r w:rsidRPr="00E5413C">
        <w:rPr>
          <w:bCs/>
          <w:kern w:val="0"/>
          <w:szCs w:val="25"/>
          <w:lang w:val="fr-FR"/>
        </w:rPr>
        <w:t>rir</w:t>
      </w:r>
      <w:r w:rsidRPr="00E5413C">
        <w:rPr>
          <w:szCs w:val="32"/>
          <w:lang w:val="fr-FR"/>
        </w:rPr>
        <w:t>»</w:t>
      </w:r>
      <w:r w:rsidRPr="00E5413C">
        <w:rPr>
          <w:bCs/>
          <w:szCs w:val="25"/>
          <w:lang w:val="fr-FR"/>
        </w:rPr>
        <w:t xml:space="preserve"> </w:t>
      </w:r>
      <w:r w:rsidRPr="00E5413C">
        <w:rPr>
          <w:bCs/>
          <w:kern w:val="0"/>
          <w:szCs w:val="25"/>
          <w:lang w:val="fr-FR"/>
        </w:rPr>
        <w:t>en co-occurrence avec «Question ou affirmation sur l</w:t>
      </w:r>
      <w:r w:rsidRPr="00E5413C">
        <w:rPr>
          <w:bCs/>
          <w:szCs w:val="25"/>
          <w:lang w:val="fr-FR"/>
        </w:rPr>
        <w:t>’</w:t>
      </w:r>
      <w:r w:rsidRPr="00E5413C">
        <w:rPr>
          <w:bCs/>
          <w:kern w:val="0"/>
          <w:szCs w:val="25"/>
          <w:lang w:val="fr-FR"/>
        </w:rPr>
        <w:t>identit</w:t>
      </w:r>
      <w:r w:rsidRPr="00E5413C">
        <w:rPr>
          <w:bCs/>
          <w:szCs w:val="25"/>
          <w:lang w:val="fr-FR"/>
        </w:rPr>
        <w:t>é</w:t>
      </w:r>
      <w:r w:rsidRPr="00E5413C">
        <w:rPr>
          <w:bCs/>
          <w:kern w:val="0"/>
          <w:szCs w:val="25"/>
          <w:lang w:val="fr-FR"/>
        </w:rPr>
        <w:t xml:space="preserve"> de J</w:t>
      </w:r>
      <w:r w:rsidRPr="00E5413C">
        <w:rPr>
          <w:bCs/>
          <w:szCs w:val="25"/>
          <w:lang w:val="fr-FR"/>
        </w:rPr>
        <w:t>é</w:t>
      </w:r>
      <w:r w:rsidRPr="00E5413C">
        <w:rPr>
          <w:bCs/>
          <w:kern w:val="0"/>
          <w:szCs w:val="25"/>
          <w:lang w:val="fr-FR"/>
        </w:rPr>
        <w:t>sus</w:t>
      </w:r>
      <w:r w:rsidRPr="00E5413C">
        <w:rPr>
          <w:szCs w:val="32"/>
          <w:lang w:val="fr-FR"/>
        </w:rPr>
        <w:t>»</w:t>
      </w:r>
      <w:r w:rsidRPr="00E5413C">
        <w:rPr>
          <w:bCs/>
          <w:szCs w:val="25"/>
          <w:lang w:val="fr-FR"/>
        </w:rPr>
        <w:t xml:space="preserve"> </w:t>
      </w:r>
      <w:r w:rsidRPr="00E5413C">
        <w:rPr>
          <w:bCs/>
          <w:kern w:val="0"/>
          <w:szCs w:val="25"/>
          <w:lang w:val="fr-FR"/>
        </w:rPr>
        <w:t>dans la section B</w:t>
      </w:r>
      <w:r w:rsidRPr="00E5413C">
        <w:rPr>
          <w:bCs/>
          <w:iCs/>
          <w:szCs w:val="25"/>
          <w:lang w:val="fr-FR"/>
        </w:rPr>
        <w:t xml:space="preserve">, </w:t>
      </w:r>
      <w:r w:rsidRPr="00E5413C">
        <w:rPr>
          <w:bCs/>
          <w:kern w:val="0"/>
          <w:szCs w:val="25"/>
          <w:lang w:val="fr-FR"/>
        </w:rPr>
        <w:t>le mod</w:t>
      </w:r>
      <w:r w:rsidRPr="00E5413C">
        <w:rPr>
          <w:bCs/>
          <w:szCs w:val="25"/>
          <w:lang w:val="fr-FR"/>
        </w:rPr>
        <w:t>è</w:t>
      </w:r>
      <w:r w:rsidRPr="00E5413C">
        <w:rPr>
          <w:bCs/>
          <w:kern w:val="0"/>
          <w:szCs w:val="25"/>
          <w:lang w:val="fr-FR"/>
        </w:rPr>
        <w:t>le syntagmatique</w:t>
      </w:r>
      <w:r w:rsidRPr="00E5413C">
        <w:rPr>
          <w:bCs/>
          <w:iCs/>
          <w:szCs w:val="25"/>
          <w:lang w:val="fr-FR"/>
        </w:rPr>
        <w:t xml:space="preserve">, </w:t>
      </w:r>
      <w:r w:rsidRPr="00E5413C">
        <w:rPr>
          <w:bCs/>
          <w:kern w:val="0"/>
          <w:szCs w:val="25"/>
          <w:lang w:val="fr-FR"/>
        </w:rPr>
        <w:t>celui du chiasme de discours qui structure chaque Unit</w:t>
      </w:r>
      <w:r w:rsidRPr="00E5413C">
        <w:rPr>
          <w:bCs/>
          <w:szCs w:val="25"/>
          <w:lang w:val="fr-FR"/>
        </w:rPr>
        <w:t>é</w:t>
      </w:r>
      <w:r w:rsidRPr="00E5413C">
        <w:rPr>
          <w:bCs/>
          <w:iCs/>
          <w:szCs w:val="25"/>
          <w:lang w:val="fr-FR"/>
        </w:rPr>
        <w:t xml:space="preserve">, </w:t>
      </w:r>
      <w:r w:rsidRPr="00E5413C">
        <w:rPr>
          <w:bCs/>
          <w:kern w:val="0"/>
          <w:szCs w:val="25"/>
          <w:lang w:val="fr-FR"/>
        </w:rPr>
        <w:t>enfin celui qui retrouve dans un texte de Luc la reprise d</w:t>
      </w:r>
      <w:r w:rsidRPr="00E5413C">
        <w:rPr>
          <w:bCs/>
          <w:szCs w:val="25"/>
          <w:lang w:val="fr-FR"/>
        </w:rPr>
        <w:t>’</w:t>
      </w:r>
      <w:r w:rsidRPr="00E5413C">
        <w:rPr>
          <w:bCs/>
          <w:kern w:val="0"/>
          <w:szCs w:val="25"/>
          <w:lang w:val="fr-FR"/>
        </w:rPr>
        <w:t>un texte ou d</w:t>
      </w:r>
      <w:r w:rsidRPr="00E5413C">
        <w:rPr>
          <w:bCs/>
          <w:szCs w:val="25"/>
          <w:lang w:val="fr-FR"/>
        </w:rPr>
        <w:t>’</w:t>
      </w:r>
      <w:r w:rsidRPr="00E5413C">
        <w:rPr>
          <w:bCs/>
          <w:kern w:val="0"/>
          <w:szCs w:val="25"/>
          <w:lang w:val="fr-FR"/>
        </w:rPr>
        <w:t xml:space="preserve">un </w:t>
      </w:r>
      <w:r w:rsidRPr="00E5413C">
        <w:rPr>
          <w:bCs/>
          <w:szCs w:val="25"/>
          <w:lang w:val="fr-FR"/>
        </w:rPr>
        <w:t>é</w:t>
      </w:r>
      <w:r w:rsidRPr="00E5413C">
        <w:rPr>
          <w:bCs/>
          <w:kern w:val="0"/>
          <w:szCs w:val="25"/>
          <w:lang w:val="fr-FR"/>
        </w:rPr>
        <w:t>v</w:t>
      </w:r>
      <w:r w:rsidRPr="00E5413C">
        <w:rPr>
          <w:bCs/>
          <w:szCs w:val="25"/>
          <w:lang w:val="fr-FR"/>
        </w:rPr>
        <w:t>é</w:t>
      </w:r>
      <w:r w:rsidRPr="00E5413C">
        <w:rPr>
          <w:bCs/>
          <w:kern w:val="0"/>
          <w:szCs w:val="25"/>
          <w:lang w:val="fr-FR"/>
        </w:rPr>
        <w:t xml:space="preserve">nement de </w:t>
      </w:r>
      <w:r w:rsidRPr="00E5413C">
        <w:rPr>
          <w:bCs/>
          <w:szCs w:val="25"/>
          <w:lang w:val="fr-FR"/>
        </w:rPr>
        <w:t>l’</w:t>
      </w:r>
      <w:r w:rsidRPr="00E5413C">
        <w:rPr>
          <w:bCs/>
          <w:kern w:val="0"/>
          <w:szCs w:val="25"/>
          <w:lang w:val="fr-FR"/>
        </w:rPr>
        <w:t>Ancient Testament</w:t>
      </w:r>
      <w:r w:rsidRPr="00E5413C">
        <w:rPr>
          <w:bCs/>
          <w:szCs w:val="25"/>
          <w:lang w:val="fr-FR"/>
        </w:rPr>
        <w:t>.</w:t>
      </w:r>
    </w:p>
  </w:footnote>
  <w:footnote w:id="851">
    <w:p w14:paraId="3014CE2C" w14:textId="77777777" w:rsidR="00B47A48" w:rsidRPr="00E5413C" w:rsidRDefault="00B47A48" w:rsidP="00B47A48">
      <w:pPr>
        <w:pStyle w:val="FootnoteText"/>
        <w:rPr>
          <w:lang w:val="fr-FR"/>
        </w:rPr>
      </w:pPr>
    </w:p>
    <w:p w14:paraId="29364700" w14:textId="77777777" w:rsidR="00B47A48" w:rsidRDefault="00B47A48" w:rsidP="00B47A48">
      <w:pPr>
        <w:pStyle w:val="FootnoteText"/>
      </w:pPr>
      <w:r>
        <w:rPr>
          <w:rStyle w:val="FootnoteReference"/>
        </w:rPr>
        <w:footnoteRef/>
      </w:r>
      <w:r>
        <w:t xml:space="preserve"> </w:t>
      </w:r>
      <w:r>
        <w:rPr>
          <w:bCs/>
          <w:szCs w:val="25"/>
        </w:rPr>
        <w:t>Ib</w:t>
      </w:r>
      <w:r w:rsidRPr="00C22B32">
        <w:rPr>
          <w:bCs/>
          <w:kern w:val="0"/>
          <w:szCs w:val="25"/>
        </w:rPr>
        <w:t>id</w:t>
      </w:r>
      <w:r w:rsidRPr="00C22B32">
        <w:rPr>
          <w:bCs/>
          <w:szCs w:val="25"/>
        </w:rPr>
        <w:t xml:space="preserve">. </w:t>
      </w:r>
      <w:r w:rsidRPr="00C22B32">
        <w:rPr>
          <w:bCs/>
          <w:kern w:val="0"/>
          <w:szCs w:val="25"/>
        </w:rPr>
        <w:t>36-37</w:t>
      </w:r>
      <w:r w:rsidRPr="00C22B32">
        <w:rPr>
          <w:bCs/>
          <w:szCs w:val="25"/>
        </w:rPr>
        <w:t>.</w:t>
      </w:r>
    </w:p>
  </w:footnote>
  <w:footnote w:id="852">
    <w:p w14:paraId="224E9CC0" w14:textId="77777777" w:rsidR="00B47A48" w:rsidRDefault="00B47A48" w:rsidP="00B47A48">
      <w:pPr>
        <w:pStyle w:val="FootnoteText"/>
      </w:pPr>
      <w:r>
        <w:rPr>
          <w:rStyle w:val="FootnoteReference"/>
        </w:rPr>
        <w:footnoteRef/>
      </w:r>
      <w:r>
        <w:t xml:space="preserve"> </w:t>
      </w:r>
      <w:r w:rsidRPr="007D4C6B">
        <w:t>Robert</w:t>
      </w:r>
      <w:r w:rsidRPr="00C22B32">
        <w:rPr>
          <w:bCs/>
          <w:szCs w:val="25"/>
        </w:rPr>
        <w:t xml:space="preserve"> </w:t>
      </w:r>
      <w:r w:rsidRPr="00C22B32">
        <w:rPr>
          <w:bCs/>
          <w:kern w:val="0"/>
          <w:szCs w:val="25"/>
        </w:rPr>
        <w:t>Morgenthaler</w:t>
      </w:r>
      <w:r w:rsidRPr="00C22B32">
        <w:rPr>
          <w:bCs/>
          <w:iCs/>
          <w:szCs w:val="25"/>
        </w:rPr>
        <w:t xml:space="preserve">, </w:t>
      </w:r>
      <w:r w:rsidRPr="00C22B32">
        <w:rPr>
          <w:bCs/>
          <w:kern w:val="0"/>
          <w:szCs w:val="25"/>
        </w:rPr>
        <w:t>for instance</w:t>
      </w:r>
      <w:r w:rsidRPr="00C22B32">
        <w:rPr>
          <w:bCs/>
          <w:iCs/>
          <w:szCs w:val="25"/>
        </w:rPr>
        <w:t xml:space="preserve">, </w:t>
      </w:r>
      <w:r w:rsidRPr="00C22B32">
        <w:rPr>
          <w:bCs/>
          <w:kern w:val="0"/>
          <w:szCs w:val="25"/>
        </w:rPr>
        <w:t>has suggested</w:t>
      </w:r>
      <w:r w:rsidRPr="00C22B32">
        <w:rPr>
          <w:bCs/>
          <w:szCs w:val="25"/>
        </w:rPr>
        <w:t xml:space="preserve"> </w:t>
      </w:r>
      <w:r w:rsidRPr="00C22B32">
        <w:rPr>
          <w:bCs/>
          <w:kern w:val="0"/>
          <w:szCs w:val="25"/>
        </w:rPr>
        <w:t xml:space="preserve">that the beatitudes and woes at the beginning of the sermon and the parable of the houses on rock and sand at the end form an </w:t>
      </w:r>
      <w:r w:rsidRPr="00C22B32">
        <w:rPr>
          <w:bCs/>
          <w:i/>
          <w:iCs/>
          <w:kern w:val="0"/>
        </w:rPr>
        <w:t>inclusio</w:t>
      </w:r>
      <w:r w:rsidRPr="00F10440">
        <w:rPr>
          <w:bCs/>
          <w:kern w:val="0"/>
        </w:rPr>
        <w:t xml:space="preserve"> </w:t>
      </w:r>
      <w:r w:rsidRPr="00C22B32">
        <w:rPr>
          <w:bCs/>
          <w:kern w:val="0"/>
          <w:szCs w:val="25"/>
        </w:rPr>
        <w:t>whose interior is the remainder of the sermon</w:t>
      </w:r>
      <w:r w:rsidRPr="00C22B32">
        <w:rPr>
          <w:bCs/>
          <w:szCs w:val="25"/>
        </w:rPr>
        <w:t xml:space="preserve"> (</w:t>
      </w:r>
      <w:r w:rsidRPr="00C22B32">
        <w:rPr>
          <w:bCs/>
          <w:i/>
          <w:iCs/>
          <w:kern w:val="0"/>
        </w:rPr>
        <w:t>Lukanische Geschichtsschreibung</w:t>
      </w:r>
      <w:r w:rsidRPr="00C22B32">
        <w:rPr>
          <w:bCs/>
          <w:iCs/>
        </w:rPr>
        <w:t xml:space="preserve"> </w:t>
      </w:r>
      <w:r w:rsidRPr="00C22B32">
        <w:rPr>
          <w:bCs/>
          <w:kern w:val="0"/>
          <w:szCs w:val="25"/>
        </w:rPr>
        <w:t>1</w:t>
      </w:r>
      <w:r w:rsidRPr="00C22B32">
        <w:rPr>
          <w:bCs/>
          <w:szCs w:val="25"/>
        </w:rPr>
        <w:t xml:space="preserve">. </w:t>
      </w:r>
      <w:r w:rsidRPr="00C22B32">
        <w:rPr>
          <w:bCs/>
          <w:kern w:val="0"/>
          <w:szCs w:val="25"/>
        </w:rPr>
        <w:t>83</w:t>
      </w:r>
      <w:r w:rsidRPr="00C22B32">
        <w:rPr>
          <w:bCs/>
          <w:iCs/>
          <w:szCs w:val="25"/>
        </w:rPr>
        <w:t xml:space="preserve">, </w:t>
      </w:r>
      <w:r w:rsidRPr="00C22B32">
        <w:rPr>
          <w:bCs/>
          <w:kern w:val="0"/>
          <w:szCs w:val="25"/>
        </w:rPr>
        <w:t>136</w:t>
      </w:r>
      <w:r w:rsidRPr="00C22B32">
        <w:rPr>
          <w:bCs/>
          <w:szCs w:val="25"/>
        </w:rPr>
        <w:t xml:space="preserve">). </w:t>
      </w:r>
      <w:r w:rsidRPr="00C22B32">
        <w:rPr>
          <w:bCs/>
          <w:kern w:val="0"/>
          <w:szCs w:val="25"/>
        </w:rPr>
        <w:t>Charles Talbert has also expressed this idea</w:t>
      </w:r>
      <w:r w:rsidRPr="00C22B32">
        <w:rPr>
          <w:bCs/>
          <w:szCs w:val="25"/>
        </w:rPr>
        <w:t xml:space="preserve">: </w:t>
      </w:r>
      <w:r>
        <w:rPr>
          <w:bCs/>
          <w:szCs w:val="25"/>
        </w:rPr>
        <w:t>“T</w:t>
      </w:r>
      <w:r w:rsidRPr="00C22B32">
        <w:rPr>
          <w:bCs/>
          <w:kern w:val="0"/>
          <w:szCs w:val="25"/>
        </w:rPr>
        <w:t>he contrast between the two types of people at the end of the Sermon</w:t>
      </w:r>
      <w:r w:rsidRPr="00C22B32">
        <w:rPr>
          <w:bCs/>
          <w:szCs w:val="25"/>
        </w:rPr>
        <w:t xml:space="preserve"> </w:t>
      </w:r>
      <w:r>
        <w:rPr>
          <w:bCs/>
          <w:szCs w:val="25"/>
        </w:rPr>
        <w:t>[</w:t>
      </w:r>
      <w:r w:rsidRPr="00C22B32">
        <w:rPr>
          <w:bCs/>
          <w:kern w:val="0"/>
          <w:szCs w:val="25"/>
        </w:rPr>
        <w:t>6</w:t>
      </w:r>
      <w:r w:rsidRPr="00C22B32">
        <w:rPr>
          <w:bCs/>
          <w:szCs w:val="25"/>
        </w:rPr>
        <w:t>:</w:t>
      </w:r>
      <w:r w:rsidRPr="00C22B32">
        <w:rPr>
          <w:bCs/>
          <w:kern w:val="0"/>
          <w:szCs w:val="25"/>
        </w:rPr>
        <w:t>46-49</w:t>
      </w:r>
      <w:r>
        <w:rPr>
          <w:bCs/>
          <w:szCs w:val="25"/>
        </w:rPr>
        <w:t>]</w:t>
      </w:r>
      <w:r w:rsidRPr="00C22B32">
        <w:rPr>
          <w:bCs/>
          <w:szCs w:val="25"/>
        </w:rPr>
        <w:t xml:space="preserve"> </w:t>
      </w:r>
      <w:r w:rsidRPr="00C22B32">
        <w:rPr>
          <w:bCs/>
          <w:kern w:val="0"/>
          <w:szCs w:val="25"/>
        </w:rPr>
        <w:t>echoes the contrast at the beginning</w:t>
      </w:r>
      <w:r w:rsidRPr="00C22B32">
        <w:rPr>
          <w:bCs/>
          <w:szCs w:val="25"/>
        </w:rPr>
        <w:t xml:space="preserve"> </w:t>
      </w:r>
      <w:r>
        <w:rPr>
          <w:bCs/>
          <w:szCs w:val="25"/>
        </w:rPr>
        <w:t>[</w:t>
      </w:r>
      <w:r w:rsidRPr="00C22B32">
        <w:rPr>
          <w:bCs/>
          <w:kern w:val="0"/>
          <w:szCs w:val="25"/>
        </w:rPr>
        <w:t>6</w:t>
      </w:r>
      <w:r w:rsidRPr="00C22B32">
        <w:rPr>
          <w:bCs/>
          <w:szCs w:val="25"/>
        </w:rPr>
        <w:t>:</w:t>
      </w:r>
      <w:r w:rsidRPr="00C22B32">
        <w:rPr>
          <w:bCs/>
          <w:kern w:val="0"/>
          <w:szCs w:val="25"/>
        </w:rPr>
        <w:t>20-26</w:t>
      </w:r>
      <w:r>
        <w:rPr>
          <w:bCs/>
          <w:szCs w:val="25"/>
        </w:rPr>
        <w:t>]</w:t>
      </w:r>
      <w:r w:rsidRPr="00C22B32">
        <w:rPr>
          <w:bCs/>
          <w:szCs w:val="25"/>
        </w:rPr>
        <w:t xml:space="preserve">. </w:t>
      </w:r>
      <w:r w:rsidRPr="00C22B32">
        <w:rPr>
          <w:bCs/>
          <w:kern w:val="0"/>
          <w:szCs w:val="25"/>
        </w:rPr>
        <w:t>Taken together the opening and closing contrasts serve as an inclusion around the Sermon as a whole</w:t>
      </w:r>
      <w:r w:rsidRPr="00C22B32">
        <w:rPr>
          <w:bCs/>
          <w:szCs w:val="25"/>
        </w:rPr>
        <w:t>” (</w:t>
      </w:r>
      <w:r w:rsidRPr="00C22B32">
        <w:rPr>
          <w:bCs/>
          <w:i/>
          <w:iCs/>
          <w:kern w:val="0"/>
        </w:rPr>
        <w:t>Reading Luke</w:t>
      </w:r>
      <w:r w:rsidRPr="00BF538C">
        <w:rPr>
          <w:bCs/>
          <w:kern w:val="0"/>
        </w:rPr>
        <w:t xml:space="preserve"> </w:t>
      </w:r>
      <w:r w:rsidRPr="00C22B32">
        <w:rPr>
          <w:bCs/>
          <w:kern w:val="0"/>
          <w:szCs w:val="25"/>
        </w:rPr>
        <w:t>69</w:t>
      </w:r>
      <w:r w:rsidRPr="00C22B32">
        <w:rPr>
          <w:bCs/>
          <w:szCs w:val="25"/>
        </w:rPr>
        <w:t xml:space="preserve">). </w:t>
      </w:r>
      <w:r w:rsidRPr="00C22B32">
        <w:rPr>
          <w:bCs/>
          <w:kern w:val="0"/>
          <w:szCs w:val="25"/>
        </w:rPr>
        <w:t xml:space="preserve">But this </w:t>
      </w:r>
      <w:r w:rsidRPr="00C22B32">
        <w:rPr>
          <w:bCs/>
          <w:i/>
          <w:iCs/>
          <w:kern w:val="0"/>
        </w:rPr>
        <w:t>inclusio</w:t>
      </w:r>
      <w:r w:rsidRPr="00BF538C">
        <w:rPr>
          <w:bCs/>
          <w:kern w:val="0"/>
        </w:rPr>
        <w:t xml:space="preserve"> </w:t>
      </w:r>
      <w:r w:rsidRPr="00C22B32">
        <w:rPr>
          <w:bCs/>
          <w:kern w:val="0"/>
          <w:szCs w:val="25"/>
        </w:rPr>
        <w:t>is only possible if the two groups contrasted in the beatitudes and the woes are the same two groups symbolized by the builders on rock and on sand</w:t>
      </w:r>
      <w:r w:rsidRPr="00C22B32">
        <w:rPr>
          <w:bCs/>
          <w:szCs w:val="25"/>
        </w:rPr>
        <w:t xml:space="preserve">. </w:t>
      </w:r>
      <w:r w:rsidRPr="00C22B32">
        <w:rPr>
          <w:bCs/>
          <w:kern w:val="0"/>
          <w:szCs w:val="25"/>
        </w:rPr>
        <w:t>If Jesus addresses different groups at the beginning and ending of the sermon</w:t>
      </w:r>
      <w:r w:rsidRPr="00C22B32">
        <w:rPr>
          <w:bCs/>
          <w:szCs w:val="25"/>
        </w:rPr>
        <w:t xml:space="preserve"> </w:t>
      </w:r>
      <w:r w:rsidRPr="001C646B">
        <w:rPr>
          <w:bCs/>
          <w:iCs/>
          <w:szCs w:val="25"/>
        </w:rPr>
        <w:t>(</w:t>
      </w:r>
      <w:r w:rsidRPr="00C22B32">
        <w:rPr>
          <w:bCs/>
          <w:kern w:val="0"/>
          <w:szCs w:val="25"/>
        </w:rPr>
        <w:t>are the woes</w:t>
      </w:r>
      <w:r w:rsidRPr="00C22B32">
        <w:rPr>
          <w:bCs/>
          <w:iCs/>
          <w:szCs w:val="25"/>
        </w:rPr>
        <w:t xml:space="preserve">, </w:t>
      </w:r>
      <w:r w:rsidRPr="00C22B32">
        <w:rPr>
          <w:bCs/>
          <w:kern w:val="0"/>
          <w:szCs w:val="25"/>
        </w:rPr>
        <w:t>for example</w:t>
      </w:r>
      <w:r w:rsidRPr="00C22B32">
        <w:rPr>
          <w:bCs/>
          <w:iCs/>
          <w:szCs w:val="25"/>
        </w:rPr>
        <w:t xml:space="preserve">, </w:t>
      </w:r>
      <w:r w:rsidRPr="00C22B32">
        <w:rPr>
          <w:bCs/>
          <w:kern w:val="0"/>
          <w:szCs w:val="25"/>
        </w:rPr>
        <w:t>addressed to disciples</w:t>
      </w:r>
      <w:r w:rsidRPr="00C22B32">
        <w:rPr>
          <w:bCs/>
          <w:szCs w:val="25"/>
        </w:rPr>
        <w:t>?)</w:t>
      </w:r>
      <w:r w:rsidRPr="00C22B32">
        <w:rPr>
          <w:bCs/>
          <w:iCs/>
          <w:szCs w:val="25"/>
        </w:rPr>
        <w:t xml:space="preserve">, </w:t>
      </w:r>
      <w:r w:rsidRPr="00C22B32">
        <w:rPr>
          <w:bCs/>
          <w:kern w:val="0"/>
          <w:szCs w:val="25"/>
        </w:rPr>
        <w:t xml:space="preserve">then the correspondence of the groups breaks down and the </w:t>
      </w:r>
      <w:r w:rsidRPr="00C22B32">
        <w:rPr>
          <w:bCs/>
          <w:i/>
          <w:iCs/>
          <w:kern w:val="0"/>
        </w:rPr>
        <w:t>inclusio</w:t>
      </w:r>
      <w:r w:rsidRPr="00BF538C">
        <w:rPr>
          <w:bCs/>
          <w:kern w:val="0"/>
        </w:rPr>
        <w:t xml:space="preserve"> </w:t>
      </w:r>
      <w:r w:rsidRPr="00C22B32">
        <w:rPr>
          <w:bCs/>
          <w:kern w:val="0"/>
          <w:szCs w:val="25"/>
        </w:rPr>
        <w:t>evaporates</w:t>
      </w:r>
      <w:r w:rsidRPr="00C22B32">
        <w:rPr>
          <w:bCs/>
          <w:szCs w:val="25"/>
        </w:rPr>
        <w:t>.</w:t>
      </w:r>
    </w:p>
  </w:footnote>
  <w:footnote w:id="853">
    <w:p w14:paraId="3CE02BBF" w14:textId="77777777" w:rsidR="00B47A48" w:rsidRDefault="00B47A48" w:rsidP="00B47A48">
      <w:pPr>
        <w:pStyle w:val="FootnoteText"/>
      </w:pPr>
      <w:r>
        <w:rPr>
          <w:rStyle w:val="FootnoteReference"/>
        </w:rPr>
        <w:footnoteRef/>
      </w:r>
      <w:r>
        <w:t xml:space="preserve"> </w:t>
      </w:r>
      <w:r w:rsidRPr="00C22B32">
        <w:rPr>
          <w:bCs/>
          <w:kern w:val="0"/>
          <w:szCs w:val="25"/>
        </w:rPr>
        <w:t>For these</w:t>
      </w:r>
      <w:r w:rsidRPr="00C22B32">
        <w:rPr>
          <w:bCs/>
          <w:iCs/>
          <w:szCs w:val="25"/>
        </w:rPr>
        <w:t xml:space="preserve">, </w:t>
      </w:r>
      <w:r w:rsidRPr="00C22B32">
        <w:rPr>
          <w:bCs/>
          <w:kern w:val="0"/>
          <w:szCs w:val="25"/>
        </w:rPr>
        <w:t>questions</w:t>
      </w:r>
      <w:r w:rsidRPr="00C22B32">
        <w:rPr>
          <w:bCs/>
          <w:iCs/>
          <w:szCs w:val="25"/>
        </w:rPr>
        <w:t xml:space="preserve">, </w:t>
      </w:r>
      <w:r w:rsidRPr="00C22B32">
        <w:rPr>
          <w:bCs/>
          <w:kern w:val="0"/>
          <w:szCs w:val="25"/>
        </w:rPr>
        <w:t>see</w:t>
      </w:r>
      <w:r w:rsidRPr="00C22B32">
        <w:rPr>
          <w:bCs/>
          <w:iCs/>
          <w:szCs w:val="25"/>
        </w:rPr>
        <w:t xml:space="preserve">, </w:t>
      </w:r>
      <w:r w:rsidRPr="00C22B32">
        <w:rPr>
          <w:bCs/>
          <w:i/>
          <w:iCs/>
          <w:kern w:val="0"/>
          <w:szCs w:val="25"/>
        </w:rPr>
        <w:t>i</w:t>
      </w:r>
      <w:r>
        <w:rPr>
          <w:bCs/>
          <w:i/>
          <w:iCs/>
          <w:szCs w:val="25"/>
        </w:rPr>
        <w:t>nter a</w:t>
      </w:r>
      <w:r w:rsidRPr="00C22B32">
        <w:rPr>
          <w:bCs/>
          <w:i/>
          <w:iCs/>
          <w:kern w:val="0"/>
          <w:szCs w:val="25"/>
        </w:rPr>
        <w:t>lia</w:t>
      </w:r>
      <w:r w:rsidRPr="00C22B32">
        <w:rPr>
          <w:bCs/>
          <w:iCs/>
          <w:szCs w:val="25"/>
        </w:rPr>
        <w:t xml:space="preserve">, </w:t>
      </w:r>
      <w:r w:rsidRPr="00C22B32">
        <w:rPr>
          <w:bCs/>
          <w:kern w:val="0"/>
          <w:szCs w:val="25"/>
        </w:rPr>
        <w:t>Wayne C</w:t>
      </w:r>
      <w:r w:rsidRPr="00C22B32">
        <w:rPr>
          <w:bCs/>
          <w:szCs w:val="25"/>
        </w:rPr>
        <w:t xml:space="preserve">. </w:t>
      </w:r>
      <w:r w:rsidRPr="00C22B32">
        <w:rPr>
          <w:bCs/>
          <w:kern w:val="0"/>
          <w:szCs w:val="25"/>
        </w:rPr>
        <w:t>Booth</w:t>
      </w:r>
      <w:r w:rsidRPr="00C22B32">
        <w:rPr>
          <w:bCs/>
          <w:iCs/>
          <w:szCs w:val="25"/>
        </w:rPr>
        <w:t>, ‘</w:t>
      </w:r>
      <w:r w:rsidRPr="00C22B32">
        <w:rPr>
          <w:bCs/>
          <w:kern w:val="0"/>
          <w:szCs w:val="25"/>
        </w:rPr>
        <w:t>The Rhetorical Stance</w:t>
      </w:r>
      <w:r w:rsidRPr="00C22B32">
        <w:rPr>
          <w:bCs/>
          <w:szCs w:val="25"/>
        </w:rPr>
        <w:t xml:space="preserve">,” </w:t>
      </w:r>
      <w:r w:rsidRPr="00C22B32">
        <w:rPr>
          <w:bCs/>
          <w:kern w:val="0"/>
          <w:szCs w:val="25"/>
        </w:rPr>
        <w:t xml:space="preserve">in </w:t>
      </w:r>
      <w:r w:rsidRPr="00C22B32">
        <w:rPr>
          <w:bCs/>
          <w:i/>
          <w:iCs/>
          <w:kern w:val="0"/>
          <w:szCs w:val="25"/>
        </w:rPr>
        <w:t>Contexts for Composition</w:t>
      </w:r>
      <w:r w:rsidRPr="00C22B32">
        <w:rPr>
          <w:bCs/>
          <w:iCs/>
          <w:szCs w:val="25"/>
        </w:rPr>
        <w:t xml:space="preserve"> (</w:t>
      </w:r>
      <w:r w:rsidRPr="00C22B32">
        <w:rPr>
          <w:bCs/>
          <w:kern w:val="0"/>
          <w:szCs w:val="25"/>
        </w:rPr>
        <w:t>New York</w:t>
      </w:r>
      <w:r w:rsidRPr="00C22B32">
        <w:rPr>
          <w:bCs/>
          <w:szCs w:val="25"/>
        </w:rPr>
        <w:t xml:space="preserve">: </w:t>
      </w:r>
      <w:r w:rsidRPr="00C22B32">
        <w:rPr>
          <w:bCs/>
          <w:kern w:val="0"/>
          <w:szCs w:val="25"/>
        </w:rPr>
        <w:t>Appleton-Century-Crofts</w:t>
      </w:r>
      <w:r w:rsidRPr="00C22B32">
        <w:rPr>
          <w:bCs/>
          <w:iCs/>
          <w:szCs w:val="25"/>
        </w:rPr>
        <w:t xml:space="preserve">, </w:t>
      </w:r>
      <w:r w:rsidRPr="00C22B32">
        <w:rPr>
          <w:bCs/>
          <w:kern w:val="0"/>
        </w:rPr>
        <w:t>1969</w:t>
      </w:r>
      <w:r w:rsidRPr="00C22B32">
        <w:rPr>
          <w:bCs/>
        </w:rPr>
        <w:t xml:space="preserve">) </w:t>
      </w:r>
      <w:r w:rsidRPr="00C22B32">
        <w:rPr>
          <w:bCs/>
          <w:kern w:val="0"/>
        </w:rPr>
        <w:t>194-202</w:t>
      </w:r>
      <w:r w:rsidRPr="00C22B32">
        <w:rPr>
          <w:bCs/>
        </w:rPr>
        <w:t>.</w:t>
      </w:r>
    </w:p>
  </w:footnote>
  <w:footnote w:id="854">
    <w:p w14:paraId="7EFB087D" w14:textId="77777777" w:rsidR="00B47A48" w:rsidRDefault="00B47A48" w:rsidP="00B47A48">
      <w:pPr>
        <w:pStyle w:val="FootnoteText"/>
      </w:pPr>
      <w:r>
        <w:rPr>
          <w:rStyle w:val="FootnoteReference"/>
        </w:rPr>
        <w:footnoteRef/>
      </w:r>
      <w:r>
        <w:t xml:space="preserve"> </w:t>
      </w:r>
      <w:r w:rsidRPr="00C22B32">
        <w:rPr>
          <w:bCs/>
          <w:kern w:val="0"/>
        </w:rPr>
        <w:t xml:space="preserve">An </w:t>
      </w:r>
      <w:r w:rsidRPr="00C22B32">
        <w:rPr>
          <w:bCs/>
          <w:kern w:val="0"/>
          <w:szCs w:val="25"/>
        </w:rPr>
        <w:t>allegorical interpretation of Theophilus</w:t>
      </w:r>
      <w:r w:rsidRPr="00C22B32">
        <w:rPr>
          <w:bCs/>
          <w:szCs w:val="25"/>
        </w:rPr>
        <w:t xml:space="preserve"> (</w:t>
      </w:r>
      <w:r w:rsidRPr="00C22B32">
        <w:rPr>
          <w:bCs/>
          <w:kern w:val="0"/>
          <w:szCs w:val="25"/>
        </w:rPr>
        <w:t xml:space="preserve">Luke </w:t>
      </w:r>
      <w:r w:rsidRPr="00C22B32">
        <w:rPr>
          <w:bCs/>
          <w:kern w:val="0"/>
        </w:rPr>
        <w:t>1</w:t>
      </w:r>
      <w:r w:rsidRPr="00C22B32">
        <w:rPr>
          <w:bCs/>
        </w:rPr>
        <w:t>:</w:t>
      </w:r>
      <w:r w:rsidRPr="00C22B32">
        <w:rPr>
          <w:bCs/>
          <w:kern w:val="0"/>
        </w:rPr>
        <w:t>3</w:t>
      </w:r>
      <w:r w:rsidRPr="00C22B32">
        <w:rPr>
          <w:bCs/>
          <w:iCs/>
        </w:rPr>
        <w:t xml:space="preserve">, </w:t>
      </w:r>
      <w:r w:rsidRPr="00C22B32">
        <w:rPr>
          <w:bCs/>
          <w:kern w:val="0"/>
          <w:szCs w:val="25"/>
        </w:rPr>
        <w:t xml:space="preserve">Acts </w:t>
      </w:r>
      <w:r w:rsidRPr="00C22B32">
        <w:rPr>
          <w:bCs/>
          <w:kern w:val="0"/>
        </w:rPr>
        <w:t>1</w:t>
      </w:r>
      <w:r w:rsidRPr="00C22B32">
        <w:rPr>
          <w:bCs/>
        </w:rPr>
        <w:t>:</w:t>
      </w:r>
      <w:r w:rsidRPr="00C22B32">
        <w:rPr>
          <w:bCs/>
          <w:kern w:val="0"/>
        </w:rPr>
        <w:t>1</w:t>
      </w:r>
      <w:r w:rsidRPr="00C22B32">
        <w:rPr>
          <w:bCs/>
        </w:rPr>
        <w:t xml:space="preserve">) </w:t>
      </w:r>
      <w:r w:rsidRPr="00C22B32">
        <w:rPr>
          <w:bCs/>
          <w:kern w:val="0"/>
          <w:szCs w:val="25"/>
        </w:rPr>
        <w:t>is suggested by the etymology of his name</w:t>
      </w:r>
      <w:r w:rsidRPr="00C22B32">
        <w:rPr>
          <w:bCs/>
          <w:iCs/>
          <w:szCs w:val="25"/>
        </w:rPr>
        <w:t xml:space="preserve">, </w:t>
      </w:r>
      <w:r>
        <w:rPr>
          <w:bCs/>
          <w:szCs w:val="25"/>
        </w:rPr>
        <w:t>“</w:t>
      </w:r>
      <w:r w:rsidRPr="00C22B32">
        <w:rPr>
          <w:bCs/>
          <w:kern w:val="0"/>
          <w:szCs w:val="25"/>
        </w:rPr>
        <w:t>1over of God</w:t>
      </w:r>
      <w:r w:rsidRPr="00C22B32">
        <w:rPr>
          <w:bCs/>
          <w:szCs w:val="25"/>
        </w:rPr>
        <w:t>.</w:t>
      </w:r>
      <w:r>
        <w:rPr>
          <w:bCs/>
          <w:szCs w:val="25"/>
        </w:rPr>
        <w:t>”</w:t>
      </w:r>
      <w:r w:rsidRPr="00C22B32">
        <w:rPr>
          <w:bCs/>
          <w:kern w:val="0"/>
          <w:szCs w:val="25"/>
        </w:rPr>
        <w:t xml:space="preserve"> Compare</w:t>
      </w:r>
      <w:r w:rsidRPr="00C22B32">
        <w:rPr>
          <w:bCs/>
          <w:iCs/>
          <w:szCs w:val="25"/>
        </w:rPr>
        <w:t xml:space="preserve">, </w:t>
      </w:r>
      <w:r w:rsidRPr="00C22B32">
        <w:rPr>
          <w:bCs/>
          <w:kern w:val="0"/>
          <w:szCs w:val="25"/>
        </w:rPr>
        <w:t>e</w:t>
      </w:r>
      <w:r w:rsidRPr="00C22B32">
        <w:rPr>
          <w:bCs/>
          <w:szCs w:val="25"/>
        </w:rPr>
        <w:t>.</w:t>
      </w:r>
      <w:r w:rsidRPr="00C22B32">
        <w:rPr>
          <w:bCs/>
          <w:kern w:val="0"/>
          <w:szCs w:val="25"/>
        </w:rPr>
        <w:t>g</w:t>
      </w:r>
      <w:r w:rsidRPr="00C22B32">
        <w:rPr>
          <w:bCs/>
          <w:szCs w:val="25"/>
        </w:rPr>
        <w:t>.</w:t>
      </w:r>
      <w:r w:rsidRPr="00C22B32">
        <w:rPr>
          <w:bCs/>
          <w:iCs/>
          <w:szCs w:val="25"/>
        </w:rPr>
        <w:t xml:space="preserve">, </w:t>
      </w:r>
      <w:r w:rsidRPr="004843D0">
        <w:rPr>
          <w:bCs/>
          <w:iCs/>
          <w:szCs w:val="25"/>
        </w:rPr>
        <w:t>B.S.</w:t>
      </w:r>
      <w:r w:rsidRPr="00C22B32">
        <w:rPr>
          <w:bCs/>
          <w:szCs w:val="25"/>
        </w:rPr>
        <w:t xml:space="preserve"> </w:t>
      </w:r>
      <w:r w:rsidRPr="00C22B32">
        <w:rPr>
          <w:bCs/>
          <w:kern w:val="0"/>
          <w:szCs w:val="25"/>
        </w:rPr>
        <w:t>Easton</w:t>
      </w:r>
      <w:r w:rsidRPr="00C22B32">
        <w:rPr>
          <w:bCs/>
          <w:szCs w:val="25"/>
        </w:rPr>
        <w:t xml:space="preserve"> (</w:t>
      </w:r>
      <w:r w:rsidRPr="00C22B32">
        <w:rPr>
          <w:bCs/>
          <w:kern w:val="0"/>
          <w:szCs w:val="25"/>
        </w:rPr>
        <w:t>The Purpose of Acts</w:t>
      </w:r>
      <w:r w:rsidRPr="00C22B32">
        <w:rPr>
          <w:bCs/>
          <w:szCs w:val="25"/>
        </w:rPr>
        <w:t xml:space="preserve">,” </w:t>
      </w:r>
      <w:r w:rsidRPr="00C22B32">
        <w:rPr>
          <w:bCs/>
          <w:kern w:val="0"/>
          <w:szCs w:val="25"/>
        </w:rPr>
        <w:t xml:space="preserve">in </w:t>
      </w:r>
      <w:r w:rsidRPr="00C22B32">
        <w:rPr>
          <w:bCs/>
          <w:i/>
          <w:iCs/>
          <w:kern w:val="0"/>
          <w:szCs w:val="25"/>
        </w:rPr>
        <w:t>Early Christianity</w:t>
      </w:r>
      <w:r w:rsidRPr="00C22B32">
        <w:rPr>
          <w:bCs/>
          <w:iCs/>
          <w:szCs w:val="25"/>
        </w:rPr>
        <w:t xml:space="preserve">: </w:t>
      </w:r>
      <w:r w:rsidRPr="00C22B32">
        <w:rPr>
          <w:bCs/>
          <w:i/>
          <w:iCs/>
          <w:kern w:val="0"/>
          <w:szCs w:val="25"/>
        </w:rPr>
        <w:t>The Purpose of Acts and Other Papers</w:t>
      </w:r>
      <w:r w:rsidRPr="00C22B32">
        <w:rPr>
          <w:bCs/>
          <w:iCs/>
          <w:szCs w:val="25"/>
        </w:rPr>
        <w:t xml:space="preserve">, </w:t>
      </w:r>
      <w:r w:rsidRPr="00C22B32">
        <w:rPr>
          <w:bCs/>
          <w:kern w:val="0"/>
          <w:szCs w:val="25"/>
        </w:rPr>
        <w:t>ed</w:t>
      </w:r>
      <w:r w:rsidRPr="00C22B32">
        <w:rPr>
          <w:bCs/>
          <w:szCs w:val="25"/>
        </w:rPr>
        <w:t xml:space="preserve">. </w:t>
      </w:r>
      <w:r w:rsidRPr="00C22B32">
        <w:rPr>
          <w:bCs/>
          <w:kern w:val="0"/>
          <w:szCs w:val="25"/>
        </w:rPr>
        <w:t>Frederick C</w:t>
      </w:r>
      <w:r w:rsidRPr="00C22B32">
        <w:rPr>
          <w:bCs/>
          <w:szCs w:val="25"/>
        </w:rPr>
        <w:t xml:space="preserve">. </w:t>
      </w:r>
      <w:r w:rsidRPr="00C22B32">
        <w:rPr>
          <w:bCs/>
          <w:kern w:val="0"/>
          <w:szCs w:val="25"/>
        </w:rPr>
        <w:t>Grant</w:t>
      </w:r>
      <w:r w:rsidRPr="00C22B32">
        <w:rPr>
          <w:bCs/>
          <w:szCs w:val="25"/>
        </w:rPr>
        <w:t xml:space="preserve"> [</w:t>
      </w:r>
      <w:r w:rsidRPr="004843D0">
        <w:rPr>
          <w:bCs/>
          <w:iCs/>
          <w:szCs w:val="25"/>
        </w:rPr>
        <w:t>Greenwich CT</w:t>
      </w:r>
      <w:r w:rsidRPr="00C22B32">
        <w:rPr>
          <w:bCs/>
        </w:rPr>
        <w:t xml:space="preserve">: </w:t>
      </w:r>
      <w:r w:rsidRPr="00C22B32">
        <w:rPr>
          <w:bCs/>
          <w:kern w:val="0"/>
          <w:szCs w:val="25"/>
        </w:rPr>
        <w:t>Seabury</w:t>
      </w:r>
      <w:r w:rsidRPr="00C22B32">
        <w:rPr>
          <w:bCs/>
          <w:iCs/>
          <w:szCs w:val="25"/>
        </w:rPr>
        <w:t xml:space="preserve">, </w:t>
      </w:r>
      <w:r w:rsidRPr="00C22B32">
        <w:rPr>
          <w:bCs/>
          <w:kern w:val="0"/>
        </w:rPr>
        <w:t>1954</w:t>
      </w:r>
      <w:r w:rsidRPr="00C22B32">
        <w:rPr>
          <w:bCs/>
        </w:rPr>
        <w:t xml:space="preserve">] </w:t>
      </w:r>
      <w:r w:rsidRPr="00C22B32">
        <w:rPr>
          <w:bCs/>
          <w:kern w:val="0"/>
        </w:rPr>
        <w:t>33</w:t>
      </w:r>
      <w:r w:rsidRPr="00C22B32">
        <w:rPr>
          <w:bCs/>
        </w:rPr>
        <w:t>)</w:t>
      </w:r>
      <w:r w:rsidRPr="00C22B32">
        <w:rPr>
          <w:bCs/>
          <w:iCs/>
        </w:rPr>
        <w:t xml:space="preserve">, </w:t>
      </w:r>
      <w:r w:rsidRPr="00C22B32">
        <w:rPr>
          <w:bCs/>
          <w:kern w:val="0"/>
          <w:szCs w:val="25"/>
        </w:rPr>
        <w:t>who assumes a real person</w:t>
      </w:r>
      <w:r w:rsidRPr="00C22B32">
        <w:rPr>
          <w:bCs/>
          <w:szCs w:val="25"/>
        </w:rPr>
        <w:t xml:space="preserve">; </w:t>
      </w:r>
      <w:r w:rsidRPr="00C22B32">
        <w:rPr>
          <w:bCs/>
          <w:kern w:val="0"/>
          <w:szCs w:val="25"/>
        </w:rPr>
        <w:t>and William Manson</w:t>
      </w:r>
      <w:r w:rsidRPr="00C22B32">
        <w:rPr>
          <w:bCs/>
          <w:szCs w:val="25"/>
        </w:rPr>
        <w:t xml:space="preserve"> (</w:t>
      </w:r>
      <w:r w:rsidRPr="00C22B32">
        <w:rPr>
          <w:bCs/>
          <w:i/>
          <w:iCs/>
          <w:kern w:val="0"/>
          <w:szCs w:val="25"/>
        </w:rPr>
        <w:t>The Gospel of Luke</w:t>
      </w:r>
      <w:r w:rsidRPr="00C22B32">
        <w:rPr>
          <w:bCs/>
          <w:iCs/>
          <w:szCs w:val="25"/>
        </w:rPr>
        <w:t xml:space="preserve">, </w:t>
      </w:r>
      <w:r w:rsidRPr="00C22B32">
        <w:rPr>
          <w:bCs/>
          <w:kern w:val="0"/>
          <w:szCs w:val="25"/>
        </w:rPr>
        <w:t>Moffatt New Testament Commentary</w:t>
      </w:r>
      <w:r w:rsidRPr="00C22B32">
        <w:rPr>
          <w:bCs/>
          <w:szCs w:val="25"/>
        </w:rPr>
        <w:t xml:space="preserve"> [</w:t>
      </w:r>
      <w:r w:rsidRPr="00C22B32">
        <w:rPr>
          <w:bCs/>
          <w:kern w:val="0"/>
          <w:szCs w:val="25"/>
        </w:rPr>
        <w:t>New York</w:t>
      </w:r>
      <w:r w:rsidRPr="00C22B32">
        <w:rPr>
          <w:bCs/>
          <w:szCs w:val="25"/>
        </w:rPr>
        <w:t xml:space="preserve">: </w:t>
      </w:r>
      <w:r w:rsidRPr="00C22B32">
        <w:rPr>
          <w:bCs/>
          <w:kern w:val="0"/>
          <w:szCs w:val="25"/>
        </w:rPr>
        <w:t>Harper</w:t>
      </w:r>
      <w:r w:rsidRPr="00C22B32">
        <w:rPr>
          <w:bCs/>
          <w:iCs/>
          <w:szCs w:val="25"/>
        </w:rPr>
        <w:t xml:space="preserve">, </w:t>
      </w:r>
      <w:r w:rsidRPr="00C22B32">
        <w:rPr>
          <w:bCs/>
          <w:kern w:val="0"/>
        </w:rPr>
        <w:t>1930</w:t>
      </w:r>
      <w:r w:rsidRPr="00C22B32">
        <w:rPr>
          <w:bCs/>
        </w:rPr>
        <w:t xml:space="preserve">] </w:t>
      </w:r>
      <w:r w:rsidRPr="00C22B32">
        <w:rPr>
          <w:bCs/>
          <w:kern w:val="0"/>
        </w:rPr>
        <w:t>2</w:t>
      </w:r>
      <w:r w:rsidRPr="00C22B32">
        <w:rPr>
          <w:bCs/>
        </w:rPr>
        <w:t>)</w:t>
      </w:r>
      <w:r w:rsidRPr="00C22B32">
        <w:rPr>
          <w:bCs/>
          <w:iCs/>
        </w:rPr>
        <w:t xml:space="preserve">, </w:t>
      </w:r>
      <w:r w:rsidRPr="00C22B32">
        <w:rPr>
          <w:bCs/>
          <w:kern w:val="0"/>
          <w:szCs w:val="25"/>
        </w:rPr>
        <w:t>who admits either possibility</w:t>
      </w:r>
      <w:r w:rsidRPr="00C22B32">
        <w:rPr>
          <w:bCs/>
          <w:szCs w:val="25"/>
        </w:rPr>
        <w:t>.</w:t>
      </w:r>
    </w:p>
  </w:footnote>
  <w:footnote w:id="855">
    <w:p w14:paraId="7F8195E6" w14:textId="77777777" w:rsidR="00B47A48" w:rsidRDefault="00B47A48" w:rsidP="00B47A48">
      <w:pPr>
        <w:pStyle w:val="FootnoteText"/>
      </w:pPr>
      <w:r>
        <w:rPr>
          <w:rStyle w:val="FootnoteReference"/>
        </w:rPr>
        <w:footnoteRef/>
      </w:r>
      <w:r>
        <w:t xml:space="preserve"> </w:t>
      </w:r>
      <w:r w:rsidRPr="00C22B32">
        <w:rPr>
          <w:bCs/>
          <w:kern w:val="0"/>
        </w:rPr>
        <w:t>Contrast G</w:t>
      </w:r>
      <w:r w:rsidRPr="00C22B32">
        <w:rPr>
          <w:bCs/>
        </w:rPr>
        <w:t>.</w:t>
      </w:r>
      <w:r w:rsidRPr="00C22B32">
        <w:rPr>
          <w:rFonts w:eastAsia="Arial"/>
          <w:bCs/>
          <w:kern w:val="0"/>
          <w:szCs w:val="21"/>
        </w:rPr>
        <w:t>H</w:t>
      </w:r>
      <w:r w:rsidRPr="00C22B32">
        <w:rPr>
          <w:rFonts w:eastAsia="Arial"/>
          <w:bCs/>
          <w:szCs w:val="21"/>
        </w:rPr>
        <w:t>.</w:t>
      </w:r>
      <w:r>
        <w:rPr>
          <w:rFonts w:eastAsia="Arial"/>
          <w:bCs/>
          <w:szCs w:val="21"/>
        </w:rPr>
        <w:t>P</w:t>
      </w:r>
      <w:r w:rsidRPr="00C22B32">
        <w:rPr>
          <w:rFonts w:eastAsia="Arial"/>
          <w:bCs/>
          <w:szCs w:val="21"/>
        </w:rPr>
        <w:t>.</w:t>
      </w:r>
      <w:r>
        <w:rPr>
          <w:rFonts w:eastAsia="Arial"/>
          <w:bCs/>
          <w:szCs w:val="21"/>
        </w:rPr>
        <w:t xml:space="preserve"> Thompson (</w:t>
      </w:r>
      <w:r>
        <w:rPr>
          <w:rFonts w:eastAsia="Arial"/>
          <w:bCs/>
          <w:i/>
          <w:iCs/>
          <w:szCs w:val="21"/>
        </w:rPr>
        <w:t>The Gospel According to Luke</w:t>
      </w:r>
      <w:r>
        <w:rPr>
          <w:rFonts w:eastAsia="Arial"/>
          <w:bCs/>
          <w:szCs w:val="21"/>
        </w:rPr>
        <w:t xml:space="preserve"> [Oxford: OUP, 1972] 12), who claims that Luke “is intended for those who are full members of the Jewish religion . . .,” and E. Samain (“L’évangile de Luc et le livre des Actes,” </w:t>
      </w:r>
      <w:r>
        <w:rPr>
          <w:rFonts w:eastAsia="Arial"/>
          <w:bCs/>
          <w:i/>
          <w:iCs/>
          <w:szCs w:val="21"/>
        </w:rPr>
        <w:t>Foi et Vie</w:t>
      </w:r>
      <w:r>
        <w:rPr>
          <w:rFonts w:eastAsia="Arial"/>
          <w:bCs/>
          <w:szCs w:val="21"/>
        </w:rPr>
        <w:t xml:space="preserve"> 70 [1971] 3), according to whom “Luke did not write his work for this Christian community; on the contrary, he envisaged it as a contribution to the Church’s missionary work . . .”</w:t>
      </w:r>
    </w:p>
  </w:footnote>
  <w:footnote w:id="856">
    <w:p w14:paraId="29608760" w14:textId="77777777" w:rsidR="00B47A48" w:rsidRDefault="00B47A48" w:rsidP="00B47A48">
      <w:pPr>
        <w:pStyle w:val="FootnoteText"/>
      </w:pPr>
      <w:r>
        <w:rPr>
          <w:rStyle w:val="FootnoteReference"/>
        </w:rPr>
        <w:footnoteRef/>
      </w:r>
      <w:r>
        <w:t xml:space="preserve"> </w:t>
      </w:r>
      <w:r w:rsidRPr="00C22B32">
        <w:rPr>
          <w:bCs/>
          <w:kern w:val="0"/>
          <w:szCs w:val="25"/>
        </w:rPr>
        <w:t>T</w:t>
      </w:r>
      <w:r>
        <w:rPr>
          <w:bCs/>
          <w:szCs w:val="25"/>
        </w:rPr>
        <w:t>h</w:t>
      </w:r>
      <w:r w:rsidRPr="00C22B32">
        <w:rPr>
          <w:bCs/>
          <w:kern w:val="0"/>
          <w:szCs w:val="25"/>
        </w:rPr>
        <w:t>at the listeners are a group rather than an individual is indicated by the use of the second person plural throughout most of the sermon</w:t>
      </w:r>
      <w:r w:rsidRPr="00C22B32">
        <w:rPr>
          <w:bCs/>
          <w:szCs w:val="25"/>
        </w:rPr>
        <w:t xml:space="preserve">. </w:t>
      </w:r>
      <w:r w:rsidRPr="00C22B32">
        <w:rPr>
          <w:bCs/>
          <w:kern w:val="0"/>
          <w:szCs w:val="25"/>
        </w:rPr>
        <w:t xml:space="preserve">The occurrence of the second person singular in </w:t>
      </w:r>
      <w:r w:rsidRPr="00C22B32">
        <w:rPr>
          <w:bCs/>
          <w:kern w:val="0"/>
        </w:rPr>
        <w:t>6</w:t>
      </w:r>
      <w:r w:rsidRPr="00C22B32">
        <w:rPr>
          <w:bCs/>
        </w:rPr>
        <w:t>:</w:t>
      </w:r>
      <w:r w:rsidRPr="00C22B32">
        <w:rPr>
          <w:bCs/>
          <w:kern w:val="0"/>
        </w:rPr>
        <w:t xml:space="preserve">29-30 </w:t>
      </w:r>
      <w:r w:rsidRPr="00C22B32">
        <w:rPr>
          <w:bCs/>
          <w:kern w:val="0"/>
          <w:szCs w:val="25"/>
        </w:rPr>
        <w:t>can perhaps be explained as an application of the principles expressed in those verses to each individual in the group to whom the sermon is addressed</w:t>
      </w:r>
      <w:r w:rsidRPr="00C22B32">
        <w:rPr>
          <w:bCs/>
          <w:szCs w:val="25"/>
        </w:rPr>
        <w:t xml:space="preserve">. </w:t>
      </w:r>
      <w:r w:rsidRPr="00C22B32">
        <w:rPr>
          <w:bCs/>
          <w:kern w:val="0"/>
          <w:szCs w:val="25"/>
        </w:rPr>
        <w:t xml:space="preserve">This explanation of the change in number is preferable to viewing the change as a </w:t>
      </w:r>
      <w:r>
        <w:rPr>
          <w:bCs/>
          <w:szCs w:val="25"/>
        </w:rPr>
        <w:t>“</w:t>
      </w:r>
      <w:r w:rsidRPr="00C22B32">
        <w:rPr>
          <w:bCs/>
          <w:kern w:val="0"/>
          <w:szCs w:val="25"/>
        </w:rPr>
        <w:t>redactional seam</w:t>
      </w:r>
      <w:r>
        <w:rPr>
          <w:bCs/>
          <w:szCs w:val="25"/>
        </w:rPr>
        <w:t>”</w:t>
      </w:r>
      <w:r w:rsidRPr="00C22B32">
        <w:rPr>
          <w:bCs/>
          <w:szCs w:val="25"/>
        </w:rPr>
        <w:t xml:space="preserve"> </w:t>
      </w:r>
      <w:r w:rsidRPr="00C22B32">
        <w:rPr>
          <w:bCs/>
          <w:kern w:val="0"/>
          <w:szCs w:val="25"/>
        </w:rPr>
        <w:t>that indicates Luke</w:t>
      </w:r>
      <w:r w:rsidRPr="00C22B32">
        <w:rPr>
          <w:bCs/>
          <w:szCs w:val="25"/>
        </w:rPr>
        <w:t>’</w:t>
      </w:r>
      <w:r w:rsidRPr="00C22B32">
        <w:rPr>
          <w:bCs/>
          <w:kern w:val="0"/>
          <w:szCs w:val="25"/>
        </w:rPr>
        <w:t>s sermon to be less authentic than Matthew</w:t>
      </w:r>
      <w:r w:rsidRPr="00C22B32">
        <w:rPr>
          <w:bCs/>
          <w:szCs w:val="25"/>
        </w:rPr>
        <w:t>’</w:t>
      </w:r>
      <w:r w:rsidRPr="00C22B32">
        <w:rPr>
          <w:bCs/>
          <w:kern w:val="0"/>
          <w:szCs w:val="25"/>
        </w:rPr>
        <w:t>s</w:t>
      </w:r>
      <w:r w:rsidRPr="00C22B32">
        <w:rPr>
          <w:bCs/>
          <w:szCs w:val="25"/>
        </w:rPr>
        <w:t xml:space="preserve"> (</w:t>
      </w:r>
      <w:r w:rsidRPr="00C22B32">
        <w:rPr>
          <w:bCs/>
          <w:kern w:val="0"/>
          <w:szCs w:val="25"/>
        </w:rPr>
        <w:t>thus J</w:t>
      </w:r>
      <w:r w:rsidRPr="00C22B32">
        <w:rPr>
          <w:bCs/>
          <w:szCs w:val="25"/>
        </w:rPr>
        <w:t xml:space="preserve">. </w:t>
      </w:r>
      <w:r w:rsidRPr="00C22B32">
        <w:rPr>
          <w:bCs/>
          <w:kern w:val="0"/>
          <w:szCs w:val="25"/>
        </w:rPr>
        <w:t>Dupont</w:t>
      </w:r>
      <w:r w:rsidRPr="00C22B32">
        <w:rPr>
          <w:bCs/>
          <w:iCs/>
          <w:szCs w:val="25"/>
        </w:rPr>
        <w:t xml:space="preserve">, </w:t>
      </w:r>
      <w:r w:rsidRPr="00C22B32">
        <w:rPr>
          <w:bCs/>
          <w:i/>
          <w:iCs/>
          <w:kern w:val="0"/>
          <w:szCs w:val="25"/>
        </w:rPr>
        <w:t>B</w:t>
      </w:r>
      <w:r>
        <w:rPr>
          <w:bCs/>
          <w:i/>
          <w:iCs/>
          <w:szCs w:val="25"/>
        </w:rPr>
        <w:t>é</w:t>
      </w:r>
      <w:r w:rsidRPr="00C22B32">
        <w:rPr>
          <w:bCs/>
          <w:i/>
          <w:iCs/>
          <w:kern w:val="0"/>
          <w:szCs w:val="25"/>
        </w:rPr>
        <w:t>atitudes</w:t>
      </w:r>
      <w:r w:rsidRPr="00C22B32">
        <w:rPr>
          <w:bCs/>
          <w:iCs/>
          <w:szCs w:val="25"/>
        </w:rPr>
        <w:t xml:space="preserve"> </w:t>
      </w:r>
      <w:r w:rsidRPr="00C22B32">
        <w:rPr>
          <w:bCs/>
          <w:kern w:val="0"/>
        </w:rPr>
        <w:t>1</w:t>
      </w:r>
      <w:r w:rsidRPr="00C22B32">
        <w:rPr>
          <w:bCs/>
        </w:rPr>
        <w:t xml:space="preserve">. </w:t>
      </w:r>
      <w:r w:rsidRPr="00C22B32">
        <w:rPr>
          <w:bCs/>
          <w:kern w:val="0"/>
        </w:rPr>
        <w:t>191</w:t>
      </w:r>
      <w:r w:rsidRPr="00C22B32">
        <w:rPr>
          <w:bCs/>
        </w:rPr>
        <w:t>).</w:t>
      </w:r>
    </w:p>
  </w:footnote>
  <w:footnote w:id="857">
    <w:p w14:paraId="77363A39" w14:textId="77777777" w:rsidR="00B47A48" w:rsidRDefault="00B47A48" w:rsidP="00B47A48">
      <w:pPr>
        <w:pStyle w:val="FootnoteText"/>
      </w:pPr>
      <w:r>
        <w:rPr>
          <w:rStyle w:val="FootnoteReference"/>
        </w:rPr>
        <w:footnoteRef/>
      </w:r>
      <w:r>
        <w:t xml:space="preserve"> </w:t>
      </w:r>
      <w:r w:rsidRPr="00C22B32">
        <w:rPr>
          <w:bCs/>
          <w:i/>
          <w:iCs/>
          <w:kern w:val="0"/>
          <w:szCs w:val="25"/>
        </w:rPr>
        <w:t>The Sayings of Jesus</w:t>
      </w:r>
      <w:r w:rsidRPr="00C22B32">
        <w:rPr>
          <w:bCs/>
          <w:iCs/>
          <w:szCs w:val="25"/>
        </w:rPr>
        <w:t xml:space="preserve">: </w:t>
      </w:r>
      <w:r w:rsidRPr="00C22B32">
        <w:rPr>
          <w:bCs/>
          <w:i/>
          <w:iCs/>
          <w:kern w:val="0"/>
          <w:szCs w:val="25"/>
        </w:rPr>
        <w:t>The Second Source of St</w:t>
      </w:r>
      <w:r w:rsidRPr="00C22B32">
        <w:rPr>
          <w:bCs/>
          <w:iCs/>
          <w:szCs w:val="25"/>
        </w:rPr>
        <w:t xml:space="preserve">. </w:t>
      </w:r>
      <w:r w:rsidRPr="00C22B32">
        <w:rPr>
          <w:bCs/>
          <w:i/>
          <w:iCs/>
          <w:kern w:val="0"/>
          <w:szCs w:val="25"/>
        </w:rPr>
        <w:t>Matthew and St</w:t>
      </w:r>
      <w:r w:rsidRPr="00C22B32">
        <w:rPr>
          <w:bCs/>
          <w:iCs/>
          <w:szCs w:val="25"/>
        </w:rPr>
        <w:t xml:space="preserve">. </w:t>
      </w:r>
      <w:r w:rsidRPr="00C22B32">
        <w:rPr>
          <w:bCs/>
          <w:i/>
          <w:iCs/>
          <w:kern w:val="0"/>
          <w:szCs w:val="25"/>
        </w:rPr>
        <w:t>Luke</w:t>
      </w:r>
      <w:r w:rsidRPr="00C22B32">
        <w:rPr>
          <w:bCs/>
          <w:iCs/>
          <w:szCs w:val="25"/>
        </w:rPr>
        <w:t xml:space="preserve"> (</w:t>
      </w:r>
      <w:r w:rsidRPr="00C22B32">
        <w:rPr>
          <w:bCs/>
          <w:kern w:val="0"/>
          <w:szCs w:val="25"/>
        </w:rPr>
        <w:t>Crown Theological Library 23</w:t>
      </w:r>
      <w:r w:rsidRPr="00C22B32">
        <w:rPr>
          <w:bCs/>
          <w:iCs/>
          <w:szCs w:val="25"/>
        </w:rPr>
        <w:t xml:space="preserve">, </w:t>
      </w:r>
      <w:r w:rsidRPr="00C22B32">
        <w:rPr>
          <w:bCs/>
          <w:kern w:val="0"/>
          <w:szCs w:val="25"/>
        </w:rPr>
        <w:t>New Testament Studies 2</w:t>
      </w:r>
      <w:r w:rsidRPr="00C22B32">
        <w:rPr>
          <w:bCs/>
          <w:szCs w:val="25"/>
        </w:rPr>
        <w:t xml:space="preserve"> [</w:t>
      </w:r>
      <w:r w:rsidRPr="00C22B32">
        <w:rPr>
          <w:bCs/>
          <w:kern w:val="0"/>
          <w:szCs w:val="25"/>
        </w:rPr>
        <w:t>New York</w:t>
      </w:r>
      <w:r w:rsidRPr="00C22B32">
        <w:rPr>
          <w:bCs/>
          <w:szCs w:val="25"/>
        </w:rPr>
        <w:t xml:space="preserve">: </w:t>
      </w:r>
      <w:r w:rsidRPr="00C22B32">
        <w:rPr>
          <w:bCs/>
          <w:kern w:val="0"/>
          <w:szCs w:val="25"/>
        </w:rPr>
        <w:t>Putnam</w:t>
      </w:r>
      <w:r w:rsidRPr="00C22B32">
        <w:rPr>
          <w:bCs/>
          <w:szCs w:val="25"/>
        </w:rPr>
        <w:t>’</w:t>
      </w:r>
      <w:r w:rsidRPr="00C22B32">
        <w:rPr>
          <w:bCs/>
          <w:kern w:val="0"/>
          <w:szCs w:val="25"/>
        </w:rPr>
        <w:t>s</w:t>
      </w:r>
      <w:r w:rsidRPr="00C22B32">
        <w:rPr>
          <w:bCs/>
          <w:iCs/>
          <w:szCs w:val="25"/>
        </w:rPr>
        <w:t xml:space="preserve">, </w:t>
      </w:r>
      <w:r w:rsidRPr="00C22B32">
        <w:rPr>
          <w:bCs/>
          <w:kern w:val="0"/>
          <w:szCs w:val="25"/>
        </w:rPr>
        <w:t>1908</w:t>
      </w:r>
      <w:r w:rsidRPr="00C22B32">
        <w:rPr>
          <w:bCs/>
          <w:szCs w:val="25"/>
        </w:rPr>
        <w:t xml:space="preserve">]) </w:t>
      </w:r>
      <w:r w:rsidRPr="00C22B32">
        <w:rPr>
          <w:bCs/>
          <w:kern w:val="0"/>
          <w:szCs w:val="25"/>
        </w:rPr>
        <w:t>203</w:t>
      </w:r>
      <w:r w:rsidRPr="00C22B32">
        <w:rPr>
          <w:bCs/>
          <w:szCs w:val="25"/>
        </w:rPr>
        <w:t xml:space="preserve"> (</w:t>
      </w:r>
      <w:r w:rsidRPr="00C22B32">
        <w:rPr>
          <w:bCs/>
          <w:kern w:val="0"/>
          <w:szCs w:val="25"/>
        </w:rPr>
        <w:t>see also 173 n</w:t>
      </w:r>
      <w:r w:rsidRPr="00C22B32">
        <w:rPr>
          <w:bCs/>
          <w:szCs w:val="25"/>
        </w:rPr>
        <w:t xml:space="preserve">. </w:t>
      </w:r>
      <w:r w:rsidRPr="00C22B32">
        <w:rPr>
          <w:bCs/>
          <w:kern w:val="0"/>
          <w:szCs w:val="25"/>
        </w:rPr>
        <w:t>1</w:t>
      </w:r>
      <w:r w:rsidRPr="00C22B32">
        <w:rPr>
          <w:bCs/>
          <w:szCs w:val="25"/>
        </w:rPr>
        <w:t>).</w:t>
      </w:r>
    </w:p>
  </w:footnote>
  <w:footnote w:id="858">
    <w:p w14:paraId="7664A06E" w14:textId="77777777" w:rsidR="00B47A48" w:rsidRDefault="00B47A48" w:rsidP="00B47A48">
      <w:pPr>
        <w:pStyle w:val="FootnoteText"/>
      </w:pPr>
      <w:r>
        <w:rPr>
          <w:rStyle w:val="FootnoteReference"/>
        </w:rPr>
        <w:footnoteRef/>
      </w:r>
      <w:r>
        <w:t xml:space="preserve"> </w:t>
      </w:r>
      <w:r w:rsidRPr="00C22B32">
        <w:rPr>
          <w:bCs/>
          <w:kern w:val="0"/>
          <w:szCs w:val="25"/>
        </w:rPr>
        <w:t>Kennedy</w:t>
      </w:r>
      <w:r w:rsidRPr="00C22B32">
        <w:rPr>
          <w:bCs/>
          <w:iCs/>
          <w:szCs w:val="25"/>
        </w:rPr>
        <w:t xml:space="preserve">, </w:t>
      </w:r>
      <w:r w:rsidRPr="00C22B32">
        <w:rPr>
          <w:bCs/>
          <w:i/>
          <w:iCs/>
          <w:kern w:val="0"/>
          <w:szCs w:val="25"/>
        </w:rPr>
        <w:t>New Testament Interpretation</w:t>
      </w:r>
      <w:r w:rsidRPr="006A5D16">
        <w:rPr>
          <w:bCs/>
          <w:kern w:val="0"/>
          <w:szCs w:val="25"/>
        </w:rPr>
        <w:t xml:space="preserve"> </w:t>
      </w:r>
      <w:r w:rsidRPr="00C22B32">
        <w:rPr>
          <w:bCs/>
          <w:kern w:val="0"/>
          <w:szCs w:val="25"/>
        </w:rPr>
        <w:t>40-41</w:t>
      </w:r>
      <w:r w:rsidRPr="00C22B32">
        <w:rPr>
          <w:bCs/>
          <w:szCs w:val="25"/>
        </w:rPr>
        <w:t>.</w:t>
      </w:r>
    </w:p>
  </w:footnote>
  <w:footnote w:id="859">
    <w:p w14:paraId="0D6B8264" w14:textId="77777777" w:rsidR="00B47A48" w:rsidRDefault="00B47A48" w:rsidP="00B47A48">
      <w:pPr>
        <w:pStyle w:val="FootnoteText"/>
      </w:pPr>
      <w:r>
        <w:rPr>
          <w:rStyle w:val="FootnoteReference"/>
        </w:rPr>
        <w:footnoteRef/>
      </w:r>
      <w:r>
        <w:t xml:space="preserve"> </w:t>
      </w:r>
      <w:r>
        <w:rPr>
          <w:bCs/>
          <w:szCs w:val="25"/>
        </w:rPr>
        <w:t>Conzelmann,</w:t>
      </w:r>
      <w:r w:rsidRPr="00C22B32">
        <w:rPr>
          <w:bCs/>
          <w:szCs w:val="25"/>
        </w:rPr>
        <w:t xml:space="preserve"> </w:t>
      </w:r>
      <w:r w:rsidRPr="00C22B32">
        <w:rPr>
          <w:bCs/>
          <w:i/>
          <w:iCs/>
          <w:kern w:val="0"/>
          <w:szCs w:val="25"/>
        </w:rPr>
        <w:t>Theology of St Luke</w:t>
      </w:r>
      <w:r w:rsidRPr="006A5D16">
        <w:rPr>
          <w:bCs/>
          <w:kern w:val="0"/>
          <w:szCs w:val="25"/>
        </w:rPr>
        <w:t xml:space="preserve"> </w:t>
      </w:r>
      <w:r w:rsidRPr="00C22B32">
        <w:rPr>
          <w:bCs/>
          <w:kern w:val="0"/>
          <w:szCs w:val="25"/>
        </w:rPr>
        <w:t>44</w:t>
      </w:r>
      <w:r w:rsidRPr="00C22B32">
        <w:rPr>
          <w:bCs/>
          <w:szCs w:val="25"/>
        </w:rPr>
        <w:t xml:space="preserve">; </w:t>
      </w:r>
      <w:r w:rsidRPr="00C22B32">
        <w:rPr>
          <w:rFonts w:eastAsia="Arial"/>
          <w:bCs/>
          <w:kern w:val="0"/>
          <w:szCs w:val="23"/>
        </w:rPr>
        <w:t>cf</w:t>
      </w:r>
      <w:r w:rsidRPr="00C22B32">
        <w:rPr>
          <w:rFonts w:eastAsia="Arial"/>
          <w:bCs/>
          <w:szCs w:val="23"/>
        </w:rPr>
        <w:t xml:space="preserve">. </w:t>
      </w:r>
      <w:r w:rsidRPr="00C22B32">
        <w:rPr>
          <w:bCs/>
          <w:kern w:val="0"/>
          <w:szCs w:val="25"/>
        </w:rPr>
        <w:t>29</w:t>
      </w:r>
      <w:r w:rsidRPr="00C22B32">
        <w:rPr>
          <w:bCs/>
          <w:iCs/>
          <w:szCs w:val="25"/>
        </w:rPr>
        <w:t>,</w:t>
      </w:r>
      <w:r>
        <w:rPr>
          <w:bCs/>
          <w:iCs/>
          <w:szCs w:val="25"/>
        </w:rPr>
        <w:t xml:space="preserve"> </w:t>
      </w:r>
      <w:r w:rsidRPr="00C22B32">
        <w:rPr>
          <w:bCs/>
          <w:kern w:val="0"/>
          <w:szCs w:val="25"/>
        </w:rPr>
        <w:t>45 n</w:t>
      </w:r>
      <w:r w:rsidRPr="00C22B32">
        <w:rPr>
          <w:bCs/>
          <w:szCs w:val="25"/>
        </w:rPr>
        <w:t xml:space="preserve">. </w:t>
      </w:r>
      <w:r w:rsidRPr="00C22B32">
        <w:rPr>
          <w:bCs/>
          <w:kern w:val="0"/>
          <w:szCs w:val="25"/>
        </w:rPr>
        <w:t>1</w:t>
      </w:r>
      <w:r w:rsidRPr="00C22B32">
        <w:rPr>
          <w:bCs/>
          <w:iCs/>
          <w:szCs w:val="25"/>
        </w:rPr>
        <w:t xml:space="preserve">, </w:t>
      </w:r>
      <w:r w:rsidRPr="00C22B32">
        <w:rPr>
          <w:bCs/>
          <w:kern w:val="0"/>
          <w:szCs w:val="25"/>
        </w:rPr>
        <w:t>94</w:t>
      </w:r>
      <w:r w:rsidRPr="00C22B32">
        <w:rPr>
          <w:bCs/>
          <w:iCs/>
          <w:szCs w:val="25"/>
        </w:rPr>
        <w:t xml:space="preserve">, </w:t>
      </w:r>
      <w:r w:rsidRPr="00C22B32">
        <w:rPr>
          <w:bCs/>
          <w:kern w:val="0"/>
          <w:szCs w:val="25"/>
        </w:rPr>
        <w:t>161</w:t>
      </w:r>
      <w:r w:rsidRPr="00C22B32">
        <w:rPr>
          <w:bCs/>
          <w:szCs w:val="25"/>
        </w:rPr>
        <w:t>.</w:t>
      </w:r>
    </w:p>
  </w:footnote>
  <w:footnote w:id="860">
    <w:p w14:paraId="7075F57D" w14:textId="77777777" w:rsidR="00B47A48" w:rsidRDefault="00B47A48" w:rsidP="00B47A48">
      <w:pPr>
        <w:pStyle w:val="FootnoteText"/>
        <w:rPr>
          <w:bCs/>
          <w:szCs w:val="25"/>
        </w:rPr>
      </w:pPr>
      <w:r>
        <w:rPr>
          <w:rStyle w:val="FootnoteReference"/>
        </w:rPr>
        <w:footnoteRef/>
      </w:r>
      <w:r>
        <w:t xml:space="preserve"> </w:t>
      </w:r>
      <w:r w:rsidRPr="00C22B32">
        <w:rPr>
          <w:bCs/>
          <w:kern w:val="0"/>
          <w:szCs w:val="25"/>
        </w:rPr>
        <w:t>H</w:t>
      </w:r>
      <w:r w:rsidRPr="00C22B32">
        <w:rPr>
          <w:bCs/>
          <w:szCs w:val="25"/>
        </w:rPr>
        <w:t>.</w:t>
      </w:r>
      <w:r w:rsidRPr="00C22B32">
        <w:rPr>
          <w:bCs/>
          <w:kern w:val="0"/>
          <w:szCs w:val="25"/>
        </w:rPr>
        <w:t>-W</w:t>
      </w:r>
      <w:r w:rsidRPr="00C22B32">
        <w:rPr>
          <w:bCs/>
          <w:szCs w:val="25"/>
        </w:rPr>
        <w:t xml:space="preserve">. </w:t>
      </w:r>
      <w:r w:rsidRPr="00C22B32">
        <w:rPr>
          <w:bCs/>
          <w:kern w:val="0"/>
          <w:szCs w:val="25"/>
        </w:rPr>
        <w:t>Bartsch</w:t>
      </w:r>
      <w:r w:rsidRPr="00C22B32">
        <w:rPr>
          <w:bCs/>
          <w:iCs/>
          <w:szCs w:val="25"/>
        </w:rPr>
        <w:t xml:space="preserve">, </w:t>
      </w:r>
      <w:r w:rsidRPr="00C22B32">
        <w:rPr>
          <w:bCs/>
          <w:i/>
          <w:iCs/>
          <w:kern w:val="0"/>
          <w:szCs w:val="25"/>
        </w:rPr>
        <w:t>Wachet aber zu jeder Zeit</w:t>
      </w:r>
      <w:r w:rsidRPr="006A5D16">
        <w:rPr>
          <w:bCs/>
          <w:i/>
          <w:szCs w:val="25"/>
        </w:rPr>
        <w:t>!</w:t>
      </w:r>
      <w:r w:rsidRPr="00C22B32">
        <w:rPr>
          <w:bCs/>
          <w:iCs/>
          <w:szCs w:val="25"/>
        </w:rPr>
        <w:t xml:space="preserve"> </w:t>
      </w:r>
      <w:r w:rsidRPr="00C22B32">
        <w:rPr>
          <w:bCs/>
          <w:i/>
          <w:iCs/>
          <w:kern w:val="0"/>
          <w:szCs w:val="25"/>
        </w:rPr>
        <w:t xml:space="preserve">Entwurf einer Auslegung des </w:t>
      </w:r>
      <w:r>
        <w:rPr>
          <w:bCs/>
          <w:i/>
          <w:iCs/>
          <w:szCs w:val="25"/>
        </w:rPr>
        <w:t>Luk</w:t>
      </w:r>
      <w:r w:rsidRPr="00C22B32">
        <w:rPr>
          <w:bCs/>
          <w:i/>
          <w:iCs/>
          <w:kern w:val="0"/>
          <w:szCs w:val="25"/>
        </w:rPr>
        <w:t>a</w:t>
      </w:r>
      <w:r>
        <w:rPr>
          <w:bCs/>
          <w:i/>
          <w:iCs/>
          <w:szCs w:val="25"/>
        </w:rPr>
        <w:t>sev</w:t>
      </w:r>
      <w:r w:rsidRPr="00C22B32">
        <w:rPr>
          <w:bCs/>
          <w:i/>
          <w:iCs/>
          <w:kern w:val="0"/>
          <w:szCs w:val="25"/>
        </w:rPr>
        <w:t>angeliums</w:t>
      </w:r>
      <w:r w:rsidRPr="00C22B32">
        <w:rPr>
          <w:bCs/>
          <w:iCs/>
          <w:szCs w:val="25"/>
        </w:rPr>
        <w:t xml:space="preserve"> (</w:t>
      </w:r>
      <w:r w:rsidRPr="00C22B32">
        <w:rPr>
          <w:bCs/>
          <w:kern w:val="0"/>
          <w:szCs w:val="25"/>
        </w:rPr>
        <w:t>Hamburg-Bergstedt</w:t>
      </w:r>
      <w:r w:rsidRPr="00C22B32">
        <w:rPr>
          <w:bCs/>
          <w:szCs w:val="25"/>
        </w:rPr>
        <w:t xml:space="preserve">: </w:t>
      </w:r>
      <w:r w:rsidRPr="00C22B32">
        <w:rPr>
          <w:bCs/>
          <w:kern w:val="0"/>
          <w:szCs w:val="25"/>
        </w:rPr>
        <w:t>Herb</w:t>
      </w:r>
      <w:r>
        <w:rPr>
          <w:bCs/>
          <w:szCs w:val="25"/>
        </w:rPr>
        <w:t>ert</w:t>
      </w:r>
      <w:r w:rsidRPr="00C22B32">
        <w:rPr>
          <w:bCs/>
          <w:kern w:val="0"/>
          <w:szCs w:val="25"/>
        </w:rPr>
        <w:t xml:space="preserve"> Reich</w:t>
      </w:r>
      <w:r w:rsidRPr="00C22B32">
        <w:rPr>
          <w:bCs/>
          <w:iCs/>
          <w:szCs w:val="25"/>
        </w:rPr>
        <w:t xml:space="preserve">, </w:t>
      </w:r>
      <w:r w:rsidRPr="00C22B32">
        <w:rPr>
          <w:bCs/>
          <w:kern w:val="0"/>
          <w:szCs w:val="25"/>
        </w:rPr>
        <w:t>1963</w:t>
      </w:r>
      <w:r w:rsidRPr="00C22B32">
        <w:rPr>
          <w:bCs/>
          <w:szCs w:val="25"/>
        </w:rPr>
        <w:t xml:space="preserve">) </w:t>
      </w:r>
      <w:r w:rsidRPr="00C22B32">
        <w:rPr>
          <w:bCs/>
          <w:kern w:val="0"/>
          <w:szCs w:val="25"/>
        </w:rPr>
        <w:t>67-68</w:t>
      </w:r>
      <w:r w:rsidRPr="00C22B32">
        <w:rPr>
          <w:bCs/>
          <w:szCs w:val="25"/>
        </w:rPr>
        <w:t xml:space="preserve">. </w:t>
      </w:r>
      <w:r>
        <w:rPr>
          <w:bCs/>
          <w:szCs w:val="25"/>
        </w:rPr>
        <w:t>(</w:t>
      </w:r>
      <w:r>
        <w:rPr>
          <w:rFonts w:eastAsia="Arial"/>
          <w:bCs/>
          <w:szCs w:val="58"/>
        </w:rPr>
        <w:t>Bart</w:t>
      </w:r>
      <w:r w:rsidRPr="00C22B32">
        <w:rPr>
          <w:rFonts w:eastAsia="Arial"/>
          <w:bCs/>
          <w:kern w:val="0"/>
          <w:szCs w:val="23"/>
        </w:rPr>
        <w:t>s</w:t>
      </w:r>
      <w:r>
        <w:rPr>
          <w:rFonts w:eastAsia="Arial"/>
          <w:bCs/>
          <w:szCs w:val="23"/>
        </w:rPr>
        <w:t>c</w:t>
      </w:r>
      <w:r w:rsidRPr="00C22B32">
        <w:rPr>
          <w:rFonts w:eastAsia="Arial"/>
          <w:bCs/>
          <w:kern w:val="0"/>
          <w:szCs w:val="23"/>
        </w:rPr>
        <w:t>h</w:t>
      </w:r>
      <w:r>
        <w:rPr>
          <w:rFonts w:eastAsia="Arial"/>
          <w:bCs/>
          <w:kern w:val="0"/>
          <w:szCs w:val="23"/>
        </w:rPr>
        <w:t xml:space="preserve">, </w:t>
      </w:r>
      <w:r>
        <w:rPr>
          <w:bCs/>
          <w:szCs w:val="25"/>
        </w:rPr>
        <w:t>however,</w:t>
      </w:r>
      <w:r w:rsidRPr="00C22B32">
        <w:rPr>
          <w:rFonts w:eastAsia="Arial"/>
          <w:bCs/>
          <w:kern w:val="0"/>
          <w:szCs w:val="23"/>
        </w:rPr>
        <w:t xml:space="preserve"> </w:t>
      </w:r>
      <w:r>
        <w:rPr>
          <w:rFonts w:eastAsia="Arial"/>
          <w:bCs/>
          <w:kern w:val="0"/>
          <w:szCs w:val="23"/>
        </w:rPr>
        <w:t xml:space="preserve">also </w:t>
      </w:r>
      <w:r w:rsidRPr="00C22B32">
        <w:rPr>
          <w:bCs/>
          <w:kern w:val="0"/>
          <w:szCs w:val="25"/>
        </w:rPr>
        <w:t>critic</w:t>
      </w:r>
      <w:r>
        <w:rPr>
          <w:bCs/>
          <w:szCs w:val="25"/>
        </w:rPr>
        <w:t xml:space="preserve">izes </w:t>
      </w:r>
      <w:r w:rsidRPr="00C22B32">
        <w:rPr>
          <w:bCs/>
          <w:kern w:val="0"/>
          <w:szCs w:val="25"/>
        </w:rPr>
        <w:t>Conze</w:t>
      </w:r>
      <w:r>
        <w:rPr>
          <w:bCs/>
          <w:szCs w:val="25"/>
        </w:rPr>
        <w:t>l</w:t>
      </w:r>
      <w:r w:rsidRPr="00C22B32">
        <w:rPr>
          <w:bCs/>
          <w:kern w:val="0"/>
          <w:szCs w:val="25"/>
        </w:rPr>
        <w:t>man</w:t>
      </w:r>
      <w:r>
        <w:rPr>
          <w:bCs/>
          <w:szCs w:val="25"/>
        </w:rPr>
        <w:t>, ib</w:t>
      </w:r>
      <w:r w:rsidRPr="00C22B32">
        <w:rPr>
          <w:rFonts w:eastAsia="Arial"/>
          <w:bCs/>
          <w:kern w:val="0"/>
          <w:szCs w:val="45"/>
        </w:rPr>
        <w:t>id</w:t>
      </w:r>
      <w:r>
        <w:rPr>
          <w:rFonts w:eastAsia="Arial"/>
          <w:bCs/>
          <w:szCs w:val="45"/>
        </w:rPr>
        <w:t>.</w:t>
      </w:r>
      <w:r w:rsidRPr="00C22B32">
        <w:rPr>
          <w:rFonts w:eastAsia="Arial"/>
          <w:bCs/>
          <w:kern w:val="0"/>
          <w:szCs w:val="45"/>
        </w:rPr>
        <w:t xml:space="preserve"> </w:t>
      </w:r>
      <w:r w:rsidRPr="00C22B32">
        <w:rPr>
          <w:bCs/>
          <w:kern w:val="0"/>
          <w:szCs w:val="25"/>
        </w:rPr>
        <w:t>68</w:t>
      </w:r>
      <w:r>
        <w:rPr>
          <w:bCs/>
          <w:kern w:val="0"/>
          <w:szCs w:val="25"/>
        </w:rPr>
        <w:t>.</w:t>
      </w:r>
      <w:r w:rsidRPr="00C22B32">
        <w:rPr>
          <w:bCs/>
          <w:szCs w:val="25"/>
        </w:rPr>
        <w:t>)</w:t>
      </w:r>
    </w:p>
    <w:p w14:paraId="7857C154" w14:textId="77777777" w:rsidR="00B47A48" w:rsidRPr="00095C31" w:rsidRDefault="00B47A48" w:rsidP="00B47A48">
      <w:pPr>
        <w:pStyle w:val="FootnoteText"/>
        <w:rPr>
          <w:bCs/>
          <w:kern w:val="0"/>
          <w:szCs w:val="25"/>
        </w:rPr>
      </w:pPr>
      <w:r>
        <w:rPr>
          <w:bCs/>
          <w:kern w:val="0"/>
          <w:szCs w:val="25"/>
        </w:rPr>
        <w:tab/>
      </w:r>
      <w:r w:rsidRPr="00C22B32">
        <w:rPr>
          <w:bCs/>
          <w:kern w:val="0"/>
          <w:szCs w:val="25"/>
        </w:rPr>
        <w:t xml:space="preserve">Josef Ernst </w:t>
      </w:r>
      <w:r>
        <w:rPr>
          <w:bCs/>
          <w:kern w:val="0"/>
          <w:szCs w:val="25"/>
        </w:rPr>
        <w:t xml:space="preserve">also </w:t>
      </w:r>
      <w:r w:rsidRPr="00C22B32">
        <w:rPr>
          <w:bCs/>
          <w:kern w:val="0"/>
          <w:szCs w:val="25"/>
        </w:rPr>
        <w:t>endorses this symbolic interpretation</w:t>
      </w:r>
      <w:r w:rsidRPr="00C22B32">
        <w:rPr>
          <w:bCs/>
          <w:szCs w:val="25"/>
        </w:rPr>
        <w:t xml:space="preserve">: </w:t>
      </w:r>
      <w:r>
        <w:rPr>
          <w:bCs/>
          <w:szCs w:val="25"/>
        </w:rPr>
        <w:t>“</w:t>
      </w:r>
      <w:r w:rsidRPr="00C22B32">
        <w:rPr>
          <w:bCs/>
          <w:kern w:val="0"/>
          <w:szCs w:val="25"/>
        </w:rPr>
        <w:t>The</w:t>
      </w:r>
      <w:r w:rsidRPr="00C22B32">
        <w:rPr>
          <w:bCs/>
          <w:szCs w:val="25"/>
        </w:rPr>
        <w:t xml:space="preserve"> ‘</w:t>
      </w:r>
      <w:r w:rsidRPr="00C22B32">
        <w:rPr>
          <w:bCs/>
          <w:kern w:val="0"/>
          <w:szCs w:val="25"/>
        </w:rPr>
        <w:t>level place</w:t>
      </w:r>
      <w:r w:rsidRPr="00C22B32">
        <w:rPr>
          <w:bCs/>
          <w:szCs w:val="25"/>
        </w:rPr>
        <w:t xml:space="preserve">’ </w:t>
      </w:r>
      <w:r>
        <w:rPr>
          <w:bCs/>
          <w:szCs w:val="25"/>
        </w:rPr>
        <w:t xml:space="preserve">. . . </w:t>
      </w:r>
      <w:r w:rsidRPr="00C22B32">
        <w:rPr>
          <w:bCs/>
          <w:kern w:val="0"/>
          <w:szCs w:val="25"/>
        </w:rPr>
        <w:t>is the place of preaching to the people</w:t>
      </w:r>
      <w:r w:rsidRPr="00C22B32">
        <w:rPr>
          <w:bCs/>
          <w:iCs/>
          <w:szCs w:val="25"/>
        </w:rPr>
        <w:t xml:space="preserve">, </w:t>
      </w:r>
      <w:r w:rsidRPr="00C22B32">
        <w:rPr>
          <w:bCs/>
          <w:kern w:val="0"/>
          <w:szCs w:val="25"/>
        </w:rPr>
        <w:t>as distinct from the instruction of the disciples</w:t>
      </w:r>
      <w:r w:rsidRPr="00C22B32">
        <w:rPr>
          <w:bCs/>
          <w:szCs w:val="25"/>
        </w:rPr>
        <w:t>” (</w:t>
      </w:r>
      <w:r w:rsidRPr="00C22B32">
        <w:rPr>
          <w:bCs/>
          <w:i/>
          <w:iCs/>
          <w:kern w:val="0"/>
          <w:szCs w:val="25"/>
        </w:rPr>
        <w:t>Evangelium nach Lukas</w:t>
      </w:r>
      <w:r w:rsidRPr="00095C31">
        <w:rPr>
          <w:bCs/>
          <w:kern w:val="0"/>
          <w:szCs w:val="25"/>
        </w:rPr>
        <w:t xml:space="preserve"> </w:t>
      </w:r>
      <w:r w:rsidRPr="00C22B32">
        <w:rPr>
          <w:bCs/>
          <w:kern w:val="0"/>
          <w:szCs w:val="25"/>
        </w:rPr>
        <w:t>211</w:t>
      </w:r>
      <w:r w:rsidRPr="00C22B32">
        <w:rPr>
          <w:bCs/>
          <w:szCs w:val="25"/>
        </w:rPr>
        <w:t>).</w:t>
      </w:r>
    </w:p>
  </w:footnote>
  <w:footnote w:id="861">
    <w:p w14:paraId="59A0BCB5" w14:textId="77777777" w:rsidR="00B47A48" w:rsidRDefault="00B47A48" w:rsidP="00B47A48">
      <w:pPr>
        <w:pStyle w:val="FootnoteText"/>
      </w:pPr>
      <w:r>
        <w:rPr>
          <w:rStyle w:val="FootnoteReference"/>
        </w:rPr>
        <w:footnoteRef/>
      </w:r>
      <w:r>
        <w:t xml:space="preserve"> </w:t>
      </w:r>
      <w:r w:rsidRPr="00C22B32">
        <w:rPr>
          <w:bCs/>
          <w:kern w:val="0"/>
          <w:szCs w:val="25"/>
        </w:rPr>
        <w:t>See Dupont</w:t>
      </w:r>
      <w:r w:rsidRPr="00C22B32">
        <w:rPr>
          <w:bCs/>
          <w:iCs/>
          <w:szCs w:val="25"/>
        </w:rPr>
        <w:t xml:space="preserve">, </w:t>
      </w:r>
      <w:r w:rsidRPr="00C22B32">
        <w:rPr>
          <w:bCs/>
          <w:i/>
          <w:iCs/>
          <w:kern w:val="0"/>
          <w:szCs w:val="25"/>
        </w:rPr>
        <w:t>B</w:t>
      </w:r>
      <w:r>
        <w:rPr>
          <w:bCs/>
          <w:i/>
          <w:iCs/>
          <w:szCs w:val="25"/>
        </w:rPr>
        <w:t>é</w:t>
      </w:r>
      <w:r w:rsidRPr="00C22B32">
        <w:rPr>
          <w:bCs/>
          <w:i/>
          <w:iCs/>
          <w:kern w:val="0"/>
          <w:szCs w:val="25"/>
        </w:rPr>
        <w:t>atitudes</w:t>
      </w:r>
      <w:r w:rsidRPr="00C22B32">
        <w:rPr>
          <w:bCs/>
          <w:iCs/>
          <w:szCs w:val="25"/>
        </w:rPr>
        <w:t xml:space="preserve"> </w:t>
      </w:r>
      <w:r w:rsidRPr="00C22B32">
        <w:rPr>
          <w:bCs/>
          <w:kern w:val="0"/>
          <w:szCs w:val="25"/>
        </w:rPr>
        <w:t>1</w:t>
      </w:r>
      <w:r w:rsidRPr="00C22B32">
        <w:rPr>
          <w:bCs/>
          <w:szCs w:val="25"/>
        </w:rPr>
        <w:t xml:space="preserve">. </w:t>
      </w:r>
      <w:r w:rsidRPr="00C22B32">
        <w:rPr>
          <w:bCs/>
          <w:kern w:val="0"/>
          <w:szCs w:val="25"/>
        </w:rPr>
        <w:t>190</w:t>
      </w:r>
      <w:r w:rsidRPr="00C22B32">
        <w:rPr>
          <w:bCs/>
          <w:szCs w:val="25"/>
        </w:rPr>
        <w:t xml:space="preserve">: </w:t>
      </w:r>
      <w:r>
        <w:rPr>
          <w:bCs/>
          <w:szCs w:val="25"/>
        </w:rPr>
        <w:t>“</w:t>
      </w:r>
      <w:r w:rsidRPr="00C22B32">
        <w:rPr>
          <w:bCs/>
          <w:kern w:val="0"/>
          <w:szCs w:val="25"/>
        </w:rPr>
        <w:t>it</w:t>
      </w:r>
      <w:r w:rsidRPr="00C22B32">
        <w:rPr>
          <w:bCs/>
          <w:szCs w:val="25"/>
        </w:rPr>
        <w:t xml:space="preserve"> [</w:t>
      </w:r>
      <w:r w:rsidRPr="00C22B32">
        <w:rPr>
          <w:bCs/>
          <w:kern w:val="0"/>
          <w:szCs w:val="25"/>
        </w:rPr>
        <w:t>the transition in 6</w:t>
      </w:r>
      <w:r w:rsidRPr="00C22B32">
        <w:rPr>
          <w:bCs/>
          <w:szCs w:val="25"/>
        </w:rPr>
        <w:t>:</w:t>
      </w:r>
      <w:r w:rsidRPr="00C22B32">
        <w:rPr>
          <w:bCs/>
          <w:kern w:val="0"/>
          <w:szCs w:val="25"/>
        </w:rPr>
        <w:t>27a</w:t>
      </w:r>
      <w:r w:rsidRPr="00C22B32">
        <w:rPr>
          <w:bCs/>
          <w:szCs w:val="25"/>
        </w:rPr>
        <w:t xml:space="preserve">] </w:t>
      </w:r>
      <w:r w:rsidRPr="00C22B32">
        <w:rPr>
          <w:bCs/>
          <w:kern w:val="0"/>
          <w:szCs w:val="25"/>
        </w:rPr>
        <w:t>was indispensable after the woes</w:t>
      </w:r>
      <w:r w:rsidRPr="00C22B32">
        <w:rPr>
          <w:bCs/>
          <w:iCs/>
          <w:szCs w:val="25"/>
        </w:rPr>
        <w:t xml:space="preserve">, </w:t>
      </w:r>
      <w:r w:rsidRPr="00C22B32">
        <w:rPr>
          <w:bCs/>
          <w:kern w:val="0"/>
          <w:szCs w:val="25"/>
        </w:rPr>
        <w:t xml:space="preserve">the remainder of the discourse being no longer addressed to the rich of verses 24-26 </w:t>
      </w:r>
      <w:r>
        <w:rPr>
          <w:bCs/>
          <w:szCs w:val="25"/>
        </w:rPr>
        <w:t>. . .”</w:t>
      </w:r>
    </w:p>
  </w:footnote>
  <w:footnote w:id="862">
    <w:p w14:paraId="06745C13" w14:textId="77777777" w:rsidR="00B47A48" w:rsidRDefault="00B47A48" w:rsidP="00B47A48">
      <w:pPr>
        <w:pStyle w:val="FootnoteText"/>
      </w:pPr>
      <w:r>
        <w:rPr>
          <w:rStyle w:val="FootnoteReference"/>
        </w:rPr>
        <w:footnoteRef/>
      </w:r>
      <w:r>
        <w:t xml:space="preserve"> </w:t>
      </w:r>
      <w:r w:rsidRPr="00C22B32">
        <w:rPr>
          <w:bCs/>
          <w:i/>
          <w:iCs/>
          <w:szCs w:val="25"/>
        </w:rPr>
        <w:t xml:space="preserve">Sayings </w:t>
      </w:r>
      <w:r w:rsidRPr="00C22B32">
        <w:rPr>
          <w:bCs/>
          <w:i/>
          <w:iCs/>
          <w:kern w:val="0"/>
          <w:szCs w:val="25"/>
        </w:rPr>
        <w:t>of Jesus</w:t>
      </w:r>
      <w:r w:rsidRPr="00095C31">
        <w:rPr>
          <w:bCs/>
          <w:kern w:val="0"/>
          <w:szCs w:val="25"/>
        </w:rPr>
        <w:t xml:space="preserve"> </w:t>
      </w:r>
      <w:r w:rsidRPr="00C22B32">
        <w:rPr>
          <w:bCs/>
          <w:kern w:val="0"/>
          <w:szCs w:val="25"/>
        </w:rPr>
        <w:t xml:space="preserve">203 </w:t>
      </w:r>
      <w:r>
        <w:rPr>
          <w:bCs/>
          <w:szCs w:val="25"/>
        </w:rPr>
        <w:t>(Harn</w:t>
      </w:r>
      <w:r w:rsidRPr="00C22B32">
        <w:rPr>
          <w:bCs/>
          <w:kern w:val="0"/>
          <w:szCs w:val="25"/>
        </w:rPr>
        <w:t>ack</w:t>
      </w:r>
      <w:r w:rsidRPr="00C22B32">
        <w:rPr>
          <w:bCs/>
          <w:szCs w:val="25"/>
        </w:rPr>
        <w:t>’</w:t>
      </w:r>
      <w:r w:rsidRPr="00C22B32">
        <w:rPr>
          <w:bCs/>
          <w:kern w:val="0"/>
          <w:szCs w:val="25"/>
        </w:rPr>
        <w:t>s italics</w:t>
      </w:r>
      <w:r w:rsidRPr="00C22B32">
        <w:rPr>
          <w:bCs/>
          <w:szCs w:val="25"/>
        </w:rPr>
        <w:t xml:space="preserve">). </w:t>
      </w:r>
      <w:r w:rsidRPr="00C22B32">
        <w:rPr>
          <w:bCs/>
          <w:kern w:val="0"/>
          <w:szCs w:val="25"/>
        </w:rPr>
        <w:t>It will have been set in the forefront</w:t>
      </w:r>
      <w:r w:rsidRPr="00C22B32">
        <w:rPr>
          <w:bCs/>
          <w:iCs/>
          <w:szCs w:val="25"/>
        </w:rPr>
        <w:t xml:space="preserve">, </w:t>
      </w:r>
      <w:r w:rsidRPr="00C22B32">
        <w:rPr>
          <w:bCs/>
          <w:kern w:val="0"/>
          <w:szCs w:val="25"/>
        </w:rPr>
        <w:t>of course</w:t>
      </w:r>
      <w:r w:rsidRPr="00C22B32">
        <w:rPr>
          <w:bCs/>
          <w:iCs/>
          <w:szCs w:val="25"/>
        </w:rPr>
        <w:t xml:space="preserve">, </w:t>
      </w:r>
      <w:r w:rsidRPr="00C22B32">
        <w:rPr>
          <w:bCs/>
          <w:kern w:val="0"/>
          <w:szCs w:val="25"/>
        </w:rPr>
        <w:t xml:space="preserve">not by Luke or </w:t>
      </w:r>
      <w:r>
        <w:rPr>
          <w:bCs/>
          <w:szCs w:val="25"/>
        </w:rPr>
        <w:t>Ma</w:t>
      </w:r>
      <w:r w:rsidRPr="00C22B32">
        <w:rPr>
          <w:bCs/>
          <w:kern w:val="0"/>
          <w:szCs w:val="25"/>
        </w:rPr>
        <w:t>tthew</w:t>
      </w:r>
      <w:r w:rsidRPr="00C22B32">
        <w:rPr>
          <w:bCs/>
          <w:iCs/>
          <w:szCs w:val="25"/>
        </w:rPr>
        <w:t xml:space="preserve">, </w:t>
      </w:r>
      <w:r w:rsidRPr="00C22B32">
        <w:rPr>
          <w:bCs/>
          <w:kern w:val="0"/>
          <w:szCs w:val="25"/>
        </w:rPr>
        <w:t xml:space="preserve">but by the author of </w:t>
      </w:r>
      <w:r w:rsidRPr="00C22B32">
        <w:rPr>
          <w:bCs/>
          <w:kern w:val="0"/>
          <w:szCs w:val="23"/>
        </w:rPr>
        <w:t>Q</w:t>
      </w:r>
      <w:r w:rsidRPr="00C22B32">
        <w:rPr>
          <w:bCs/>
          <w:szCs w:val="23"/>
        </w:rPr>
        <w:t>.</w:t>
      </w:r>
    </w:p>
  </w:footnote>
  <w:footnote w:id="863">
    <w:p w14:paraId="38FD0318" w14:textId="77777777" w:rsidR="00B47A48" w:rsidRDefault="00B47A48" w:rsidP="00B47A48">
      <w:pPr>
        <w:pStyle w:val="FootnoteText"/>
      </w:pPr>
      <w:r>
        <w:rPr>
          <w:rStyle w:val="FootnoteReference"/>
        </w:rPr>
        <w:footnoteRef/>
      </w:r>
      <w:r>
        <w:t xml:space="preserve"> </w:t>
      </w:r>
      <w:r w:rsidRPr="00C22B32">
        <w:rPr>
          <w:bCs/>
          <w:i/>
          <w:iCs/>
          <w:kern w:val="0"/>
          <w:szCs w:val="25"/>
        </w:rPr>
        <w:t>New Testament Interpretation</w:t>
      </w:r>
      <w:r w:rsidRPr="00520B45">
        <w:rPr>
          <w:bCs/>
          <w:kern w:val="0"/>
          <w:szCs w:val="25"/>
        </w:rPr>
        <w:t xml:space="preserve"> </w:t>
      </w:r>
      <w:r w:rsidRPr="00C22B32">
        <w:rPr>
          <w:bCs/>
          <w:kern w:val="0"/>
          <w:szCs w:val="25"/>
        </w:rPr>
        <w:t>40</w:t>
      </w:r>
      <w:r w:rsidRPr="00C22B32">
        <w:rPr>
          <w:bCs/>
          <w:szCs w:val="25"/>
        </w:rPr>
        <w:t xml:space="preserve">. </w:t>
      </w:r>
      <w:r w:rsidRPr="00C22B32">
        <w:rPr>
          <w:bCs/>
          <w:kern w:val="0"/>
          <w:szCs w:val="25"/>
        </w:rPr>
        <w:t>Kennedy</w:t>
      </w:r>
      <w:r w:rsidRPr="00C22B32">
        <w:rPr>
          <w:bCs/>
          <w:szCs w:val="25"/>
        </w:rPr>
        <w:t>’</w:t>
      </w:r>
      <w:r w:rsidRPr="00C22B32">
        <w:rPr>
          <w:bCs/>
          <w:kern w:val="0"/>
          <w:szCs w:val="25"/>
        </w:rPr>
        <w:t>s conviction that the audience of Matthew</w:t>
      </w:r>
      <w:r w:rsidRPr="00C22B32">
        <w:rPr>
          <w:bCs/>
          <w:szCs w:val="25"/>
        </w:rPr>
        <w:t>’</w:t>
      </w:r>
      <w:r w:rsidRPr="00C22B32">
        <w:rPr>
          <w:bCs/>
          <w:kern w:val="0"/>
          <w:szCs w:val="25"/>
        </w:rPr>
        <w:t>s sermon is the multitude is itself open to question</w:t>
      </w:r>
      <w:r w:rsidRPr="00C22B32">
        <w:rPr>
          <w:bCs/>
          <w:szCs w:val="25"/>
        </w:rPr>
        <w:t>.</w:t>
      </w:r>
    </w:p>
  </w:footnote>
  <w:footnote w:id="864">
    <w:p w14:paraId="5D6C806A" w14:textId="77777777" w:rsidR="00B47A48" w:rsidRDefault="00B47A48" w:rsidP="00B47A48">
      <w:pPr>
        <w:pStyle w:val="FootnoteText"/>
      </w:pPr>
      <w:r>
        <w:rPr>
          <w:rStyle w:val="FootnoteReference"/>
        </w:rPr>
        <w:footnoteRef/>
      </w:r>
      <w:r>
        <w:t xml:space="preserve"> </w:t>
      </w:r>
      <w:r w:rsidRPr="00C22B32">
        <w:rPr>
          <w:bCs/>
          <w:kern w:val="0"/>
          <w:szCs w:val="25"/>
        </w:rPr>
        <w:t>Jesus</w:t>
      </w:r>
      <w:r w:rsidRPr="00C22B32">
        <w:rPr>
          <w:bCs/>
          <w:szCs w:val="25"/>
        </w:rPr>
        <w:t xml:space="preserve">’ </w:t>
      </w:r>
      <w:r w:rsidRPr="00C22B32">
        <w:rPr>
          <w:bCs/>
          <w:kern w:val="0"/>
          <w:szCs w:val="25"/>
        </w:rPr>
        <w:t xml:space="preserve">descent to a </w:t>
      </w:r>
      <w:r>
        <w:rPr>
          <w:bCs/>
          <w:szCs w:val="25"/>
        </w:rPr>
        <w:t>“l</w:t>
      </w:r>
      <w:r w:rsidRPr="00C22B32">
        <w:rPr>
          <w:bCs/>
          <w:kern w:val="0"/>
          <w:szCs w:val="25"/>
        </w:rPr>
        <w:t>evel place</w:t>
      </w:r>
      <w:r>
        <w:rPr>
          <w:bCs/>
          <w:szCs w:val="25"/>
        </w:rPr>
        <w:t>”</w:t>
      </w:r>
      <w:r w:rsidRPr="00C22B32">
        <w:rPr>
          <w:bCs/>
          <w:kern w:val="0"/>
          <w:szCs w:val="25"/>
        </w:rPr>
        <w:t xml:space="preserve"> in Luke 6</w:t>
      </w:r>
      <w:r w:rsidRPr="00C22B32">
        <w:rPr>
          <w:bCs/>
          <w:szCs w:val="25"/>
        </w:rPr>
        <w:t>:</w:t>
      </w:r>
      <w:r w:rsidRPr="00C22B32">
        <w:rPr>
          <w:bCs/>
          <w:kern w:val="0"/>
          <w:szCs w:val="25"/>
        </w:rPr>
        <w:t xml:space="preserve">17 is the only instance of </w:t>
      </w:r>
      <w:r>
        <w:rPr>
          <w:bCs/>
          <w:szCs w:val="25"/>
        </w:rPr>
        <w:t>πεδινός</w:t>
      </w:r>
      <w:r w:rsidRPr="00C22B32">
        <w:rPr>
          <w:bCs/>
          <w:szCs w:val="25"/>
        </w:rPr>
        <w:t xml:space="preserve"> (“</w:t>
      </w:r>
      <w:r w:rsidRPr="00C22B32">
        <w:rPr>
          <w:bCs/>
          <w:kern w:val="0"/>
          <w:szCs w:val="25"/>
        </w:rPr>
        <w:t>level</w:t>
      </w:r>
      <w:r w:rsidRPr="00C22B32">
        <w:rPr>
          <w:bCs/>
          <w:szCs w:val="25"/>
        </w:rPr>
        <w:t xml:space="preserve">”) </w:t>
      </w:r>
      <w:r w:rsidRPr="00C22B32">
        <w:rPr>
          <w:bCs/>
          <w:kern w:val="0"/>
          <w:szCs w:val="25"/>
        </w:rPr>
        <w:t>in the New Testament</w:t>
      </w:r>
      <w:r w:rsidRPr="00C22B32">
        <w:rPr>
          <w:bCs/>
          <w:szCs w:val="25"/>
        </w:rPr>
        <w:t xml:space="preserve">. </w:t>
      </w:r>
      <w:r w:rsidRPr="00C22B32">
        <w:rPr>
          <w:bCs/>
          <w:kern w:val="0"/>
          <w:szCs w:val="25"/>
        </w:rPr>
        <w:t>Consequently</w:t>
      </w:r>
      <w:r w:rsidRPr="00C22B32">
        <w:rPr>
          <w:bCs/>
          <w:iCs/>
          <w:szCs w:val="25"/>
        </w:rPr>
        <w:t xml:space="preserve">, </w:t>
      </w:r>
      <w:r w:rsidRPr="00C22B32">
        <w:rPr>
          <w:bCs/>
          <w:kern w:val="0"/>
          <w:szCs w:val="25"/>
        </w:rPr>
        <w:t>the question whether the level place is a place of public discourse to a multitude</w:t>
      </w:r>
      <w:r w:rsidRPr="00671DEF">
        <w:rPr>
          <w:bCs/>
          <w:iCs/>
          <w:szCs w:val="25"/>
        </w:rPr>
        <w:t>—</w:t>
      </w:r>
      <w:r w:rsidRPr="00C22B32">
        <w:rPr>
          <w:bCs/>
          <w:kern w:val="0"/>
          <w:szCs w:val="25"/>
        </w:rPr>
        <w:t>in contrast to the mountain as a place of private discourse to disciples</w:t>
      </w:r>
      <w:r w:rsidRPr="00671DEF">
        <w:rPr>
          <w:bCs/>
          <w:iCs/>
          <w:szCs w:val="25"/>
        </w:rPr>
        <w:t>—</w:t>
      </w:r>
      <w:r w:rsidRPr="00C22B32">
        <w:rPr>
          <w:bCs/>
          <w:kern w:val="0"/>
          <w:szCs w:val="25"/>
        </w:rPr>
        <w:t>must be decided on the basis of the evangelist</w:t>
      </w:r>
      <w:r w:rsidRPr="00C22B32">
        <w:rPr>
          <w:bCs/>
          <w:szCs w:val="25"/>
        </w:rPr>
        <w:t>’</w:t>
      </w:r>
      <w:r w:rsidRPr="00C22B32">
        <w:rPr>
          <w:bCs/>
          <w:kern w:val="0"/>
          <w:szCs w:val="25"/>
        </w:rPr>
        <w:t xml:space="preserve">s use of </w:t>
      </w:r>
      <w:r>
        <w:rPr>
          <w:bCs/>
          <w:szCs w:val="25"/>
        </w:rPr>
        <w:t>“</w:t>
      </w:r>
      <w:r w:rsidRPr="00C22B32">
        <w:rPr>
          <w:bCs/>
          <w:kern w:val="0"/>
          <w:szCs w:val="25"/>
        </w:rPr>
        <w:t>mountain</w:t>
      </w:r>
      <w:r w:rsidRPr="00C22B32">
        <w:rPr>
          <w:bCs/>
          <w:szCs w:val="25"/>
        </w:rPr>
        <w:t>.</w:t>
      </w:r>
      <w:r>
        <w:rPr>
          <w:bCs/>
          <w:szCs w:val="25"/>
        </w:rPr>
        <w:t>”</w:t>
      </w:r>
    </w:p>
  </w:footnote>
  <w:footnote w:id="865">
    <w:p w14:paraId="26875467" w14:textId="77777777" w:rsidR="00B47A48" w:rsidRDefault="00B47A48" w:rsidP="00B47A48">
      <w:pPr>
        <w:pStyle w:val="FootnoteText"/>
      </w:pPr>
      <w:r>
        <w:rPr>
          <w:rStyle w:val="FootnoteReference"/>
        </w:rPr>
        <w:footnoteRef/>
      </w:r>
      <w:r>
        <w:t xml:space="preserve"> </w:t>
      </w:r>
      <w:r w:rsidRPr="00C22B32">
        <w:rPr>
          <w:bCs/>
          <w:kern w:val="0"/>
          <w:szCs w:val="25"/>
        </w:rPr>
        <w:t xml:space="preserve">The only two occurrences of </w:t>
      </w:r>
      <w:r>
        <w:rPr>
          <w:bCs/>
          <w:szCs w:val="25"/>
        </w:rPr>
        <w:t>βουνός</w:t>
      </w:r>
      <w:r>
        <w:rPr>
          <w:szCs w:val="22"/>
          <w:lang w:bidi="he-IL"/>
        </w:rPr>
        <w:t xml:space="preserve"> </w:t>
      </w:r>
      <w:r w:rsidRPr="00C22B32">
        <w:rPr>
          <w:bCs/>
          <w:kern w:val="0"/>
          <w:szCs w:val="25"/>
        </w:rPr>
        <w:t>in Luke-Acts are in these verses</w:t>
      </w:r>
      <w:r>
        <w:rPr>
          <w:bCs/>
          <w:szCs w:val="25"/>
        </w:rPr>
        <w:t>. I</w:t>
      </w:r>
      <w:r w:rsidRPr="00C22B32">
        <w:rPr>
          <w:bCs/>
          <w:kern w:val="0"/>
          <w:szCs w:val="25"/>
        </w:rPr>
        <w:t>n the first instance</w:t>
      </w:r>
      <w:r w:rsidRPr="00C22B32">
        <w:rPr>
          <w:bCs/>
          <w:iCs/>
          <w:szCs w:val="25"/>
        </w:rPr>
        <w:t xml:space="preserve">, </w:t>
      </w:r>
      <w:r w:rsidRPr="00C22B32">
        <w:rPr>
          <w:bCs/>
          <w:kern w:val="0"/>
          <w:szCs w:val="25"/>
        </w:rPr>
        <w:t>Luke is quoting Isa 40</w:t>
      </w:r>
      <w:r w:rsidRPr="00C22B32">
        <w:rPr>
          <w:bCs/>
          <w:szCs w:val="25"/>
        </w:rPr>
        <w:t>:</w:t>
      </w:r>
      <w:r w:rsidRPr="00C22B32">
        <w:rPr>
          <w:bCs/>
          <w:kern w:val="0"/>
          <w:szCs w:val="25"/>
        </w:rPr>
        <w:t>4</w:t>
      </w:r>
      <w:r>
        <w:rPr>
          <w:bCs/>
          <w:iCs/>
          <w:szCs w:val="25"/>
        </w:rPr>
        <w:t>;</w:t>
      </w:r>
      <w:r w:rsidRPr="00C22B32">
        <w:rPr>
          <w:bCs/>
          <w:iCs/>
          <w:szCs w:val="25"/>
        </w:rPr>
        <w:t xml:space="preserve"> </w:t>
      </w:r>
      <w:r w:rsidRPr="00C22B32">
        <w:rPr>
          <w:bCs/>
          <w:kern w:val="0"/>
          <w:szCs w:val="25"/>
        </w:rPr>
        <w:t>and in the second</w:t>
      </w:r>
      <w:r w:rsidRPr="00C22B32">
        <w:rPr>
          <w:bCs/>
          <w:iCs/>
          <w:szCs w:val="25"/>
        </w:rPr>
        <w:t xml:space="preserve">, </w:t>
      </w:r>
      <w:r w:rsidRPr="00C22B32">
        <w:rPr>
          <w:bCs/>
          <w:kern w:val="0"/>
          <w:szCs w:val="25"/>
        </w:rPr>
        <w:t>Hos 10</w:t>
      </w:r>
      <w:r w:rsidRPr="00C22B32">
        <w:rPr>
          <w:bCs/>
          <w:szCs w:val="25"/>
        </w:rPr>
        <w:t>:</w:t>
      </w:r>
      <w:r w:rsidRPr="00C22B32">
        <w:rPr>
          <w:bCs/>
          <w:kern w:val="0"/>
          <w:szCs w:val="25"/>
        </w:rPr>
        <w:t>8</w:t>
      </w:r>
      <w:r w:rsidRPr="00C22B32">
        <w:rPr>
          <w:bCs/>
          <w:szCs w:val="25"/>
        </w:rPr>
        <w:t xml:space="preserve">. </w:t>
      </w:r>
      <w:r w:rsidRPr="00C22B32">
        <w:rPr>
          <w:bCs/>
          <w:kern w:val="0"/>
          <w:szCs w:val="25"/>
        </w:rPr>
        <w:t xml:space="preserve">Thus </w:t>
      </w:r>
      <w:r>
        <w:rPr>
          <w:bCs/>
          <w:szCs w:val="25"/>
        </w:rPr>
        <w:t>βουνός</w:t>
      </w:r>
      <w:r w:rsidRPr="00C22B32">
        <w:rPr>
          <w:bCs/>
          <w:iCs/>
          <w:szCs w:val="25"/>
        </w:rPr>
        <w:t xml:space="preserve">, </w:t>
      </w:r>
      <w:r w:rsidRPr="00C22B32">
        <w:rPr>
          <w:bCs/>
          <w:kern w:val="0"/>
          <w:szCs w:val="25"/>
        </w:rPr>
        <w:t>which might be thought to have some relevance to the question whether mountain and plain represent in Luke places of private and public revelation respectively</w:t>
      </w:r>
      <w:r w:rsidRPr="00C22B32">
        <w:rPr>
          <w:bCs/>
          <w:iCs/>
          <w:szCs w:val="25"/>
        </w:rPr>
        <w:t xml:space="preserve">, </w:t>
      </w:r>
      <w:r w:rsidRPr="00C22B32">
        <w:rPr>
          <w:bCs/>
          <w:kern w:val="0"/>
          <w:szCs w:val="25"/>
        </w:rPr>
        <w:t>is in fact of no consequence</w:t>
      </w:r>
      <w:r>
        <w:rPr>
          <w:bCs/>
          <w:kern w:val="0"/>
          <w:szCs w:val="25"/>
        </w:rPr>
        <w:t xml:space="preserve"> to that question</w:t>
      </w:r>
      <w:r w:rsidRPr="00C22B32">
        <w:rPr>
          <w:bCs/>
          <w:szCs w:val="25"/>
        </w:rPr>
        <w:t>.</w:t>
      </w:r>
    </w:p>
  </w:footnote>
  <w:footnote w:id="866">
    <w:p w14:paraId="30BDAA7E" w14:textId="77777777" w:rsidR="00B47A48" w:rsidRDefault="00B47A48" w:rsidP="00B47A48">
      <w:pPr>
        <w:pStyle w:val="FootnoteText"/>
        <w:rPr>
          <w:bCs/>
          <w:szCs w:val="25"/>
        </w:rPr>
      </w:pPr>
      <w:r>
        <w:rPr>
          <w:rStyle w:val="FootnoteReference"/>
        </w:rPr>
        <w:footnoteRef/>
      </w:r>
      <w:r>
        <w:t xml:space="preserve"> </w:t>
      </w:r>
      <w:r>
        <w:rPr>
          <w:bCs/>
          <w:szCs w:val="25"/>
        </w:rPr>
        <w:t>If</w:t>
      </w:r>
      <w:r w:rsidRPr="00C22B32">
        <w:rPr>
          <w:bCs/>
          <w:kern w:val="0"/>
          <w:szCs w:val="25"/>
        </w:rPr>
        <w:t xml:space="preserve"> one assumes the </w:t>
      </w:r>
      <w:r w:rsidRPr="00C22B32">
        <w:rPr>
          <w:bCs/>
          <w:szCs w:val="25"/>
        </w:rPr>
        <w:t xml:space="preserve">two-document hypothesis </w:t>
      </w:r>
      <w:r w:rsidRPr="00C22B32">
        <w:rPr>
          <w:bCs/>
          <w:kern w:val="0"/>
          <w:szCs w:val="25"/>
        </w:rPr>
        <w:t>of source relationships</w:t>
      </w:r>
      <w:r w:rsidRPr="00C22B32">
        <w:rPr>
          <w:bCs/>
          <w:iCs/>
          <w:szCs w:val="25"/>
        </w:rPr>
        <w:t xml:space="preserve">, </w:t>
      </w:r>
      <w:r w:rsidRPr="00C22B32">
        <w:rPr>
          <w:bCs/>
          <w:kern w:val="0"/>
          <w:szCs w:val="25"/>
        </w:rPr>
        <w:t>then Luke will have found that already in Mark</w:t>
      </w:r>
      <w:r w:rsidRPr="00C22B32">
        <w:rPr>
          <w:bCs/>
          <w:szCs w:val="25"/>
        </w:rPr>
        <w:t>’</w:t>
      </w:r>
      <w:r w:rsidRPr="00C22B32">
        <w:rPr>
          <w:bCs/>
          <w:kern w:val="0"/>
          <w:szCs w:val="25"/>
        </w:rPr>
        <w:t>s narrative a haze of special</w:t>
      </w:r>
      <w:r w:rsidRPr="00C22B32">
        <w:rPr>
          <w:bCs/>
          <w:iCs/>
          <w:szCs w:val="25"/>
        </w:rPr>
        <w:t xml:space="preserve">, </w:t>
      </w:r>
      <w:r w:rsidRPr="00C22B32">
        <w:rPr>
          <w:bCs/>
          <w:kern w:val="0"/>
          <w:szCs w:val="25"/>
        </w:rPr>
        <w:t>spiritual significance clings to the mountain that is mentioned</w:t>
      </w:r>
      <w:r w:rsidRPr="00C22B32">
        <w:rPr>
          <w:bCs/>
          <w:iCs/>
          <w:szCs w:val="25"/>
        </w:rPr>
        <w:t xml:space="preserve">, </w:t>
      </w:r>
      <w:r w:rsidRPr="00C22B32">
        <w:rPr>
          <w:bCs/>
          <w:kern w:val="0"/>
          <w:szCs w:val="25"/>
        </w:rPr>
        <w:t>both in Mark and in Luke</w:t>
      </w:r>
      <w:r w:rsidRPr="00C22B32">
        <w:rPr>
          <w:bCs/>
          <w:iCs/>
          <w:szCs w:val="25"/>
        </w:rPr>
        <w:t xml:space="preserve">, </w:t>
      </w:r>
      <w:r w:rsidRPr="00C22B32">
        <w:rPr>
          <w:bCs/>
          <w:kern w:val="0"/>
          <w:szCs w:val="25"/>
        </w:rPr>
        <w:t>at the beginning of the choosing-of-the-twelve pericope</w:t>
      </w:r>
      <w:r w:rsidRPr="00C22B32">
        <w:rPr>
          <w:bCs/>
          <w:szCs w:val="25"/>
        </w:rPr>
        <w:t xml:space="preserve"> (</w:t>
      </w:r>
      <w:r w:rsidRPr="00C22B32">
        <w:rPr>
          <w:bCs/>
          <w:kern w:val="0"/>
          <w:szCs w:val="25"/>
        </w:rPr>
        <w:t>see Mark 3</w:t>
      </w:r>
      <w:r w:rsidRPr="00C22B32">
        <w:rPr>
          <w:bCs/>
          <w:szCs w:val="25"/>
        </w:rPr>
        <w:t>:</w:t>
      </w:r>
      <w:r w:rsidRPr="00C22B32">
        <w:rPr>
          <w:bCs/>
          <w:kern w:val="0"/>
          <w:szCs w:val="25"/>
        </w:rPr>
        <w:t>13a</w:t>
      </w:r>
      <w:r w:rsidRPr="00C22B32">
        <w:rPr>
          <w:bCs/>
          <w:szCs w:val="25"/>
        </w:rPr>
        <w:t xml:space="preserve">: </w:t>
      </w:r>
      <w:r w:rsidRPr="00C22B32">
        <w:rPr>
          <w:bCs/>
          <w:kern w:val="0"/>
          <w:szCs w:val="25"/>
        </w:rPr>
        <w:t xml:space="preserve">And he went up on the mountain </w:t>
      </w:r>
      <w:r>
        <w:rPr>
          <w:bCs/>
          <w:szCs w:val="25"/>
        </w:rPr>
        <w:t>. . .</w:t>
      </w:r>
      <w:r w:rsidRPr="00C22B32">
        <w:rPr>
          <w:bCs/>
          <w:szCs w:val="25"/>
        </w:rPr>
        <w:t>”).</w:t>
      </w:r>
    </w:p>
    <w:p w14:paraId="77426AA7" w14:textId="77777777" w:rsidR="00B47A48" w:rsidRPr="00925643" w:rsidRDefault="00B47A48" w:rsidP="00B47A48">
      <w:pPr>
        <w:pStyle w:val="FootnoteText"/>
        <w:rPr>
          <w:bCs/>
          <w:kern w:val="0"/>
          <w:szCs w:val="25"/>
        </w:rPr>
      </w:pPr>
      <w:r>
        <w:rPr>
          <w:bCs/>
          <w:kern w:val="0"/>
          <w:szCs w:val="25"/>
        </w:rPr>
        <w:tab/>
      </w:r>
      <w:r w:rsidRPr="00C22B32">
        <w:rPr>
          <w:bCs/>
          <w:kern w:val="0"/>
          <w:szCs w:val="25"/>
        </w:rPr>
        <w:t>Matthew</w:t>
      </w:r>
      <w:r w:rsidRPr="00C22B32">
        <w:rPr>
          <w:bCs/>
          <w:szCs w:val="25"/>
        </w:rPr>
        <w:t>’</w:t>
      </w:r>
      <w:r w:rsidRPr="00C22B32">
        <w:rPr>
          <w:bCs/>
          <w:kern w:val="0"/>
          <w:szCs w:val="25"/>
        </w:rPr>
        <w:t>s treatment of this introductory Markan sentence differs from Luke</w:t>
      </w:r>
      <w:r w:rsidRPr="00C22B32">
        <w:rPr>
          <w:bCs/>
          <w:szCs w:val="25"/>
        </w:rPr>
        <w:t>’</w:t>
      </w:r>
      <w:r w:rsidRPr="00C22B32">
        <w:rPr>
          <w:bCs/>
          <w:kern w:val="0"/>
          <w:szCs w:val="25"/>
        </w:rPr>
        <w:t>s</w:t>
      </w:r>
      <w:r w:rsidRPr="00C22B32">
        <w:rPr>
          <w:bCs/>
          <w:szCs w:val="25"/>
        </w:rPr>
        <w:t xml:space="preserve"> </w:t>
      </w:r>
      <w:r w:rsidRPr="001C646B">
        <w:rPr>
          <w:bCs/>
          <w:iCs/>
          <w:szCs w:val="25"/>
        </w:rPr>
        <w:t>(</w:t>
      </w:r>
      <w:r w:rsidRPr="00C22B32">
        <w:rPr>
          <w:bCs/>
          <w:kern w:val="0"/>
          <w:szCs w:val="25"/>
        </w:rPr>
        <w:t>again</w:t>
      </w:r>
      <w:r w:rsidRPr="00C22B32">
        <w:rPr>
          <w:bCs/>
          <w:iCs/>
          <w:szCs w:val="25"/>
        </w:rPr>
        <w:t xml:space="preserve">, </w:t>
      </w:r>
      <w:r w:rsidRPr="00C22B32">
        <w:rPr>
          <w:bCs/>
          <w:kern w:val="0"/>
          <w:szCs w:val="25"/>
        </w:rPr>
        <w:t xml:space="preserve">assuming the </w:t>
      </w:r>
      <w:r w:rsidRPr="00C22B32">
        <w:rPr>
          <w:bCs/>
          <w:szCs w:val="25"/>
        </w:rPr>
        <w:t xml:space="preserve">two-source hypothesis). </w:t>
      </w:r>
      <w:r w:rsidRPr="00C22B32">
        <w:rPr>
          <w:bCs/>
          <w:kern w:val="0"/>
          <w:szCs w:val="25"/>
        </w:rPr>
        <w:t>Leaving the initial reference to the mountain where it is in Mark</w:t>
      </w:r>
      <w:r w:rsidRPr="00C22B32">
        <w:rPr>
          <w:bCs/>
          <w:iCs/>
          <w:szCs w:val="25"/>
        </w:rPr>
        <w:t xml:space="preserve">, </w:t>
      </w:r>
      <w:r w:rsidRPr="00C22B32">
        <w:rPr>
          <w:bCs/>
          <w:kern w:val="0"/>
          <w:szCs w:val="25"/>
        </w:rPr>
        <w:t>Matthew transfers the remainder of the choosing-of</w:t>
      </w:r>
      <w:r>
        <w:rPr>
          <w:bCs/>
          <w:szCs w:val="25"/>
        </w:rPr>
        <w:t>-</w:t>
      </w:r>
      <w:r w:rsidRPr="00C22B32">
        <w:rPr>
          <w:bCs/>
          <w:kern w:val="0"/>
          <w:szCs w:val="25"/>
        </w:rPr>
        <w:t>the-twelve pericope to the beginning of the commissioning-of-the-twelve pericope</w:t>
      </w:r>
      <w:r w:rsidRPr="00C22B32">
        <w:rPr>
          <w:bCs/>
          <w:szCs w:val="25"/>
        </w:rPr>
        <w:t xml:space="preserve"> (</w:t>
      </w:r>
      <w:r w:rsidRPr="00C22B32">
        <w:rPr>
          <w:bCs/>
          <w:kern w:val="0"/>
          <w:szCs w:val="25"/>
        </w:rPr>
        <w:t>Matt 10</w:t>
      </w:r>
      <w:r w:rsidRPr="00C22B32">
        <w:rPr>
          <w:bCs/>
          <w:szCs w:val="25"/>
        </w:rPr>
        <w:t>:</w:t>
      </w:r>
      <w:r w:rsidRPr="00C22B32">
        <w:rPr>
          <w:bCs/>
          <w:kern w:val="0"/>
          <w:szCs w:val="25"/>
        </w:rPr>
        <w:t>5-16</w:t>
      </w:r>
      <w:r w:rsidRPr="00C22B32">
        <w:rPr>
          <w:bCs/>
          <w:szCs w:val="25"/>
        </w:rPr>
        <w:t>)</w:t>
      </w:r>
      <w:r w:rsidRPr="00C22B32">
        <w:rPr>
          <w:bCs/>
          <w:iCs/>
          <w:szCs w:val="25"/>
        </w:rPr>
        <w:t xml:space="preserve">, </w:t>
      </w:r>
      <w:r w:rsidRPr="00C22B32">
        <w:rPr>
          <w:bCs/>
          <w:kern w:val="0"/>
          <w:szCs w:val="25"/>
        </w:rPr>
        <w:t>where it serves as an introduction</w:t>
      </w:r>
      <w:r w:rsidRPr="00C22B32">
        <w:rPr>
          <w:bCs/>
          <w:szCs w:val="25"/>
        </w:rPr>
        <w:t xml:space="preserve"> (</w:t>
      </w:r>
      <w:r w:rsidRPr="00C22B32">
        <w:rPr>
          <w:bCs/>
          <w:kern w:val="0"/>
          <w:szCs w:val="25"/>
        </w:rPr>
        <w:t>Matt 10</w:t>
      </w:r>
      <w:r w:rsidRPr="00C22B32">
        <w:rPr>
          <w:bCs/>
          <w:szCs w:val="25"/>
        </w:rPr>
        <w:t>:</w:t>
      </w:r>
      <w:r w:rsidRPr="00C22B32">
        <w:rPr>
          <w:bCs/>
          <w:kern w:val="0"/>
          <w:szCs w:val="25"/>
        </w:rPr>
        <w:t>1-4</w:t>
      </w:r>
      <w:r w:rsidRPr="00C22B32">
        <w:rPr>
          <w:bCs/>
          <w:szCs w:val="25"/>
        </w:rPr>
        <w:t>)</w:t>
      </w:r>
      <w:r>
        <w:rPr>
          <w:bCs/>
          <w:szCs w:val="25"/>
        </w:rPr>
        <w:t>.</w:t>
      </w:r>
      <w:r w:rsidRPr="00C22B32">
        <w:rPr>
          <w:bCs/>
          <w:szCs w:val="25"/>
        </w:rPr>
        <w:t xml:space="preserve"> (At </w:t>
      </w:r>
      <w:r w:rsidRPr="00C22B32">
        <w:rPr>
          <w:bCs/>
          <w:kern w:val="0"/>
          <w:szCs w:val="25"/>
        </w:rPr>
        <w:t>this stage of Matthew</w:t>
      </w:r>
      <w:r w:rsidRPr="00C22B32">
        <w:rPr>
          <w:bCs/>
          <w:szCs w:val="25"/>
        </w:rPr>
        <w:t>’</w:t>
      </w:r>
      <w:r w:rsidRPr="00C22B32">
        <w:rPr>
          <w:bCs/>
          <w:kern w:val="0"/>
          <w:szCs w:val="25"/>
        </w:rPr>
        <w:t>s narrative</w:t>
      </w:r>
      <w:r>
        <w:rPr>
          <w:bCs/>
          <w:szCs w:val="25"/>
        </w:rPr>
        <w:t xml:space="preserve"> [</w:t>
      </w:r>
      <w:r w:rsidRPr="00C22B32">
        <w:rPr>
          <w:bCs/>
          <w:kern w:val="0"/>
          <w:szCs w:val="25"/>
        </w:rPr>
        <w:t>9</w:t>
      </w:r>
      <w:r w:rsidRPr="00C22B32">
        <w:rPr>
          <w:bCs/>
          <w:szCs w:val="25"/>
        </w:rPr>
        <w:t>:</w:t>
      </w:r>
      <w:r w:rsidRPr="00C22B32">
        <w:rPr>
          <w:bCs/>
          <w:kern w:val="0"/>
          <w:szCs w:val="25"/>
        </w:rPr>
        <w:t>35</w:t>
      </w:r>
      <w:r>
        <w:rPr>
          <w:bCs/>
          <w:szCs w:val="25"/>
        </w:rPr>
        <w:t>],</w:t>
      </w:r>
      <w:r w:rsidRPr="00C22B32">
        <w:rPr>
          <w:bCs/>
          <w:kern w:val="0"/>
          <w:szCs w:val="25"/>
        </w:rPr>
        <w:t xml:space="preserve"> Jesus </w:t>
      </w:r>
      <w:r w:rsidRPr="00C22B32">
        <w:rPr>
          <w:bCs/>
          <w:kern w:val="0"/>
          <w:szCs w:val="23"/>
        </w:rPr>
        <w:t xml:space="preserve">is </w:t>
      </w:r>
      <w:r w:rsidRPr="00C22B32">
        <w:rPr>
          <w:bCs/>
          <w:kern w:val="0"/>
          <w:szCs w:val="25"/>
        </w:rPr>
        <w:t>not on a mountain but in the cities and villages of Galilee</w:t>
      </w:r>
      <w:r>
        <w:rPr>
          <w:bCs/>
          <w:szCs w:val="25"/>
        </w:rPr>
        <w:t>.</w:t>
      </w:r>
      <w:r w:rsidRPr="00C22B32">
        <w:rPr>
          <w:bCs/>
          <w:szCs w:val="25"/>
        </w:rPr>
        <w:t xml:space="preserve">) </w:t>
      </w:r>
      <w:r w:rsidRPr="00C22B32">
        <w:rPr>
          <w:bCs/>
          <w:kern w:val="0"/>
          <w:szCs w:val="25"/>
        </w:rPr>
        <w:t>This retention of Mark</w:t>
      </w:r>
      <w:r w:rsidRPr="00C22B32">
        <w:rPr>
          <w:bCs/>
          <w:szCs w:val="25"/>
        </w:rPr>
        <w:t>’</w:t>
      </w:r>
      <w:r w:rsidRPr="00C22B32">
        <w:rPr>
          <w:bCs/>
          <w:kern w:val="0"/>
          <w:szCs w:val="25"/>
        </w:rPr>
        <w:t>s introduction to the choosing of the twelve at its original locale permits Matthew to use its mountain reference as an introduction to the great sermon</w:t>
      </w:r>
      <w:r w:rsidRPr="00C22B32">
        <w:rPr>
          <w:bCs/>
          <w:iCs/>
          <w:szCs w:val="25"/>
        </w:rPr>
        <w:t xml:space="preserve">, </w:t>
      </w:r>
      <w:r w:rsidRPr="00C22B32">
        <w:rPr>
          <w:bCs/>
          <w:kern w:val="0"/>
          <w:szCs w:val="25"/>
        </w:rPr>
        <w:t>which he now inserts at this point</w:t>
      </w:r>
      <w:r w:rsidRPr="00C22B32">
        <w:rPr>
          <w:bCs/>
          <w:szCs w:val="25"/>
        </w:rPr>
        <w:t xml:space="preserve">. </w:t>
      </w:r>
      <w:r w:rsidRPr="00C22B32">
        <w:rPr>
          <w:bCs/>
          <w:kern w:val="0"/>
          <w:szCs w:val="25"/>
        </w:rPr>
        <w:t>Luke</w:t>
      </w:r>
      <w:r w:rsidRPr="00C22B32">
        <w:rPr>
          <w:bCs/>
          <w:iCs/>
          <w:szCs w:val="25"/>
        </w:rPr>
        <w:t xml:space="preserve">, </w:t>
      </w:r>
      <w:r w:rsidRPr="00C22B32">
        <w:rPr>
          <w:bCs/>
          <w:kern w:val="0"/>
          <w:szCs w:val="25"/>
        </w:rPr>
        <w:t>on the other hand</w:t>
      </w:r>
      <w:r w:rsidRPr="00C22B32">
        <w:rPr>
          <w:bCs/>
          <w:iCs/>
          <w:szCs w:val="25"/>
        </w:rPr>
        <w:t xml:space="preserve">, </w:t>
      </w:r>
      <w:r w:rsidRPr="00C22B32">
        <w:rPr>
          <w:bCs/>
          <w:kern w:val="0"/>
          <w:szCs w:val="25"/>
        </w:rPr>
        <w:t>retain</w:t>
      </w:r>
      <w:r>
        <w:rPr>
          <w:bCs/>
          <w:szCs w:val="25"/>
        </w:rPr>
        <w:t>s</w:t>
      </w:r>
      <w:r w:rsidRPr="00C22B32">
        <w:rPr>
          <w:bCs/>
          <w:kern w:val="0"/>
          <w:szCs w:val="25"/>
        </w:rPr>
        <w:t xml:space="preserve"> Mark</w:t>
      </w:r>
      <w:r w:rsidRPr="00C22B32">
        <w:rPr>
          <w:bCs/>
          <w:szCs w:val="25"/>
        </w:rPr>
        <w:t>’</w:t>
      </w:r>
      <w:r w:rsidRPr="00C22B32">
        <w:rPr>
          <w:bCs/>
          <w:kern w:val="0"/>
          <w:szCs w:val="25"/>
        </w:rPr>
        <w:t>s choosing-of-the-twelve pericope at its original site</w:t>
      </w:r>
      <w:r>
        <w:rPr>
          <w:bCs/>
          <w:iCs/>
          <w:szCs w:val="25"/>
        </w:rPr>
        <w:t>; so he</w:t>
      </w:r>
      <w:r w:rsidRPr="00C22B32">
        <w:rPr>
          <w:bCs/>
          <w:iCs/>
          <w:szCs w:val="25"/>
        </w:rPr>
        <w:t xml:space="preserve"> </w:t>
      </w:r>
      <w:r w:rsidRPr="00C22B32">
        <w:rPr>
          <w:bCs/>
          <w:kern w:val="0"/>
          <w:szCs w:val="25"/>
        </w:rPr>
        <w:t>must have Jesus come down the mountain if he is to account for the presence of the multitude during the sermon</w:t>
      </w:r>
      <w:r w:rsidRPr="00C22B32">
        <w:rPr>
          <w:bCs/>
          <w:iCs/>
          <w:szCs w:val="25"/>
        </w:rPr>
        <w:t xml:space="preserve">, </w:t>
      </w:r>
      <w:r w:rsidRPr="00C22B32">
        <w:rPr>
          <w:bCs/>
          <w:kern w:val="0"/>
          <w:szCs w:val="25"/>
        </w:rPr>
        <w:t xml:space="preserve">their presence being a given in </w:t>
      </w:r>
      <w:r w:rsidRPr="00C22B32">
        <w:rPr>
          <w:bCs/>
          <w:kern w:val="0"/>
          <w:szCs w:val="23"/>
        </w:rPr>
        <w:t>Q</w:t>
      </w:r>
      <w:r w:rsidRPr="00C22B32">
        <w:rPr>
          <w:bCs/>
          <w:szCs w:val="23"/>
        </w:rPr>
        <w:t>.</w:t>
      </w:r>
    </w:p>
  </w:footnote>
  <w:footnote w:id="867">
    <w:p w14:paraId="4A02826D" w14:textId="77777777" w:rsidR="00B47A48" w:rsidRDefault="00B47A48" w:rsidP="00B47A48">
      <w:pPr>
        <w:pStyle w:val="FootnoteText"/>
      </w:pPr>
      <w:r>
        <w:rPr>
          <w:rStyle w:val="FootnoteReference"/>
        </w:rPr>
        <w:footnoteRef/>
      </w:r>
      <w:r>
        <w:t xml:space="preserve"> </w:t>
      </w:r>
      <w:r w:rsidRPr="00C22B32">
        <w:rPr>
          <w:bCs/>
          <w:kern w:val="0"/>
          <w:szCs w:val="25"/>
        </w:rPr>
        <w:t>Though Matthew and Mark also relate the agony in the garden</w:t>
      </w:r>
      <w:r w:rsidRPr="00C22B32">
        <w:rPr>
          <w:bCs/>
          <w:szCs w:val="25"/>
        </w:rPr>
        <w:t xml:space="preserve"> (</w:t>
      </w:r>
      <w:r w:rsidRPr="00C22B32">
        <w:rPr>
          <w:bCs/>
          <w:kern w:val="0"/>
          <w:szCs w:val="25"/>
        </w:rPr>
        <w:t>Matt 26</w:t>
      </w:r>
      <w:r w:rsidRPr="00C22B32">
        <w:rPr>
          <w:bCs/>
          <w:szCs w:val="25"/>
        </w:rPr>
        <w:t>:</w:t>
      </w:r>
      <w:r w:rsidRPr="00C22B32">
        <w:rPr>
          <w:bCs/>
          <w:kern w:val="0"/>
          <w:szCs w:val="25"/>
        </w:rPr>
        <w:t>36-46</w:t>
      </w:r>
      <w:r w:rsidRPr="00C22B32">
        <w:rPr>
          <w:bCs/>
          <w:iCs/>
          <w:szCs w:val="25"/>
        </w:rPr>
        <w:t xml:space="preserve">, </w:t>
      </w:r>
      <w:r w:rsidRPr="00C22B32">
        <w:rPr>
          <w:bCs/>
          <w:kern w:val="0"/>
          <w:szCs w:val="25"/>
        </w:rPr>
        <w:t>Mark 14</w:t>
      </w:r>
      <w:r w:rsidRPr="00C22B32">
        <w:rPr>
          <w:bCs/>
          <w:szCs w:val="25"/>
        </w:rPr>
        <w:t>:</w:t>
      </w:r>
      <w:r w:rsidRPr="00C22B32">
        <w:rPr>
          <w:bCs/>
          <w:kern w:val="0"/>
          <w:szCs w:val="25"/>
        </w:rPr>
        <w:t>32-42</w:t>
      </w:r>
      <w:r w:rsidRPr="00C22B32">
        <w:rPr>
          <w:bCs/>
          <w:szCs w:val="25"/>
        </w:rPr>
        <w:t>)</w:t>
      </w:r>
      <w:r w:rsidRPr="00C22B32">
        <w:rPr>
          <w:bCs/>
          <w:iCs/>
          <w:szCs w:val="25"/>
        </w:rPr>
        <w:t xml:space="preserve">, </w:t>
      </w:r>
      <w:r w:rsidRPr="00C22B32">
        <w:rPr>
          <w:bCs/>
          <w:kern w:val="0"/>
          <w:szCs w:val="25"/>
        </w:rPr>
        <w:t>in them it may not take place on a mountain</w:t>
      </w:r>
      <w:r w:rsidRPr="00C22B32">
        <w:rPr>
          <w:bCs/>
          <w:szCs w:val="25"/>
        </w:rPr>
        <w:t xml:space="preserve">. </w:t>
      </w:r>
      <w:r w:rsidRPr="00C22B32">
        <w:rPr>
          <w:bCs/>
          <w:kern w:val="0"/>
          <w:szCs w:val="25"/>
        </w:rPr>
        <w:t>Although Jesus in</w:t>
      </w:r>
      <w:r>
        <w:rPr>
          <w:bCs/>
          <w:szCs w:val="25"/>
        </w:rPr>
        <w:t xml:space="preserve"> </w:t>
      </w:r>
      <w:r w:rsidRPr="00C22B32">
        <w:rPr>
          <w:bCs/>
          <w:kern w:val="0"/>
          <w:szCs w:val="25"/>
        </w:rPr>
        <w:t>these gospels goes to the Mount of Olives</w:t>
      </w:r>
      <w:r w:rsidRPr="00C22B32">
        <w:rPr>
          <w:bCs/>
          <w:szCs w:val="25"/>
        </w:rPr>
        <w:t xml:space="preserve"> (</w:t>
      </w:r>
      <w:r w:rsidRPr="00C22B32">
        <w:rPr>
          <w:bCs/>
          <w:kern w:val="0"/>
          <w:szCs w:val="25"/>
        </w:rPr>
        <w:t>Matt 26</w:t>
      </w:r>
      <w:r w:rsidRPr="00C22B32">
        <w:rPr>
          <w:bCs/>
          <w:szCs w:val="25"/>
        </w:rPr>
        <w:t>:</w:t>
      </w:r>
      <w:r w:rsidRPr="00C22B32">
        <w:rPr>
          <w:bCs/>
          <w:kern w:val="0"/>
          <w:szCs w:val="25"/>
        </w:rPr>
        <w:t>30</w:t>
      </w:r>
      <w:r w:rsidRPr="00C22B32">
        <w:rPr>
          <w:bCs/>
          <w:iCs/>
          <w:szCs w:val="25"/>
        </w:rPr>
        <w:t xml:space="preserve">, </w:t>
      </w:r>
      <w:r w:rsidRPr="00C22B32">
        <w:rPr>
          <w:bCs/>
          <w:kern w:val="0"/>
          <w:szCs w:val="25"/>
        </w:rPr>
        <w:t>Mark 14</w:t>
      </w:r>
      <w:r w:rsidRPr="00C22B32">
        <w:rPr>
          <w:bCs/>
          <w:szCs w:val="25"/>
        </w:rPr>
        <w:t>:</w:t>
      </w:r>
      <w:r w:rsidRPr="00C22B32">
        <w:rPr>
          <w:bCs/>
          <w:kern w:val="0"/>
          <w:szCs w:val="25"/>
        </w:rPr>
        <w:t>26</w:t>
      </w:r>
      <w:r w:rsidRPr="00C22B32">
        <w:rPr>
          <w:bCs/>
          <w:szCs w:val="25"/>
        </w:rPr>
        <w:t>)</w:t>
      </w:r>
      <w:r w:rsidRPr="00C22B32">
        <w:rPr>
          <w:bCs/>
          <w:iCs/>
          <w:szCs w:val="25"/>
        </w:rPr>
        <w:t xml:space="preserve">, </w:t>
      </w:r>
      <w:r w:rsidRPr="00C22B32">
        <w:rPr>
          <w:bCs/>
          <w:kern w:val="0"/>
          <w:szCs w:val="25"/>
        </w:rPr>
        <w:t>at which occurs the prediction of Peter</w:t>
      </w:r>
      <w:r w:rsidRPr="00C22B32">
        <w:rPr>
          <w:bCs/>
          <w:szCs w:val="25"/>
        </w:rPr>
        <w:t>’</w:t>
      </w:r>
      <w:r w:rsidRPr="00C22B32">
        <w:rPr>
          <w:bCs/>
          <w:kern w:val="0"/>
          <w:szCs w:val="25"/>
        </w:rPr>
        <w:t>s denials</w:t>
      </w:r>
      <w:r w:rsidRPr="00C22B32">
        <w:rPr>
          <w:bCs/>
          <w:iCs/>
          <w:szCs w:val="25"/>
        </w:rPr>
        <w:t xml:space="preserve">, </w:t>
      </w:r>
      <w:r w:rsidRPr="00C22B32">
        <w:rPr>
          <w:bCs/>
          <w:kern w:val="0"/>
          <w:szCs w:val="25"/>
        </w:rPr>
        <w:t>immediately afterward</w:t>
      </w:r>
      <w:r w:rsidRPr="00C22B32">
        <w:rPr>
          <w:bCs/>
          <w:iCs/>
          <w:szCs w:val="25"/>
        </w:rPr>
        <w:t xml:space="preserve">, </w:t>
      </w:r>
      <w:r w:rsidRPr="00C22B32">
        <w:rPr>
          <w:bCs/>
          <w:kern w:val="0"/>
          <w:szCs w:val="25"/>
        </w:rPr>
        <w:t>and prior to the agony</w:t>
      </w:r>
      <w:r w:rsidRPr="00C22B32">
        <w:rPr>
          <w:bCs/>
          <w:iCs/>
          <w:szCs w:val="25"/>
        </w:rPr>
        <w:t xml:space="preserve">, </w:t>
      </w:r>
      <w:r w:rsidRPr="00C22B32">
        <w:rPr>
          <w:bCs/>
          <w:kern w:val="0"/>
          <w:szCs w:val="25"/>
        </w:rPr>
        <w:t>Jesus goes to</w:t>
      </w:r>
      <w:r w:rsidRPr="00C22B32">
        <w:rPr>
          <w:bCs/>
          <w:szCs w:val="25"/>
        </w:rPr>
        <w:t xml:space="preserve"> “</w:t>
      </w:r>
      <w:r w:rsidRPr="00C22B32">
        <w:rPr>
          <w:bCs/>
          <w:kern w:val="0"/>
          <w:szCs w:val="25"/>
        </w:rPr>
        <w:t>a place which was called Gethsemane</w:t>
      </w:r>
      <w:r w:rsidRPr="00C22B32">
        <w:rPr>
          <w:bCs/>
          <w:szCs w:val="25"/>
        </w:rPr>
        <w:t>” (</w:t>
      </w:r>
      <w:r w:rsidRPr="00C22B32">
        <w:rPr>
          <w:bCs/>
          <w:kern w:val="0"/>
          <w:szCs w:val="25"/>
        </w:rPr>
        <w:t>Matt 26</w:t>
      </w:r>
      <w:r w:rsidRPr="00C22B32">
        <w:rPr>
          <w:bCs/>
          <w:szCs w:val="25"/>
        </w:rPr>
        <w:t>:</w:t>
      </w:r>
      <w:r w:rsidRPr="00C22B32">
        <w:rPr>
          <w:bCs/>
          <w:kern w:val="0"/>
          <w:szCs w:val="25"/>
        </w:rPr>
        <w:t>26</w:t>
      </w:r>
      <w:r w:rsidRPr="00C22B32">
        <w:rPr>
          <w:bCs/>
          <w:iCs/>
          <w:szCs w:val="25"/>
        </w:rPr>
        <w:t xml:space="preserve">, </w:t>
      </w:r>
      <w:r w:rsidRPr="00C22B32">
        <w:rPr>
          <w:bCs/>
          <w:kern w:val="0"/>
          <w:szCs w:val="25"/>
        </w:rPr>
        <w:t>Mark 14</w:t>
      </w:r>
      <w:r w:rsidRPr="00C22B32">
        <w:rPr>
          <w:bCs/>
          <w:szCs w:val="25"/>
        </w:rPr>
        <w:t>:</w:t>
      </w:r>
      <w:r w:rsidRPr="00C22B32">
        <w:rPr>
          <w:bCs/>
          <w:kern w:val="0"/>
          <w:szCs w:val="25"/>
        </w:rPr>
        <w:t>32</w:t>
      </w:r>
      <w:r w:rsidRPr="00C22B32">
        <w:rPr>
          <w:bCs/>
          <w:szCs w:val="25"/>
        </w:rPr>
        <w:t xml:space="preserve">). </w:t>
      </w:r>
      <w:r w:rsidRPr="00C22B32">
        <w:rPr>
          <w:bCs/>
          <w:kern w:val="0"/>
          <w:szCs w:val="25"/>
        </w:rPr>
        <w:t>Thus Gethsemane</w:t>
      </w:r>
      <w:r w:rsidRPr="00C22B32">
        <w:rPr>
          <w:bCs/>
          <w:iCs/>
          <w:szCs w:val="25"/>
        </w:rPr>
        <w:t xml:space="preserve">, </w:t>
      </w:r>
      <w:r w:rsidRPr="00C22B32">
        <w:rPr>
          <w:bCs/>
          <w:kern w:val="0"/>
          <w:szCs w:val="25"/>
        </w:rPr>
        <w:t>which in the New Testament is only referred to in these two verses</w:t>
      </w:r>
      <w:r w:rsidRPr="00C22B32">
        <w:rPr>
          <w:bCs/>
          <w:iCs/>
          <w:szCs w:val="25"/>
        </w:rPr>
        <w:t xml:space="preserve">, </w:t>
      </w:r>
      <w:r w:rsidRPr="00C22B32">
        <w:rPr>
          <w:bCs/>
          <w:kern w:val="0"/>
          <w:szCs w:val="25"/>
        </w:rPr>
        <w:t>may not be on Mount Olivet</w:t>
      </w:r>
      <w:r w:rsidRPr="00C22B32">
        <w:rPr>
          <w:bCs/>
          <w:szCs w:val="25"/>
        </w:rPr>
        <w:t xml:space="preserve">; </w:t>
      </w:r>
      <w:r w:rsidRPr="00C22B32">
        <w:rPr>
          <w:bCs/>
          <w:kern w:val="0"/>
          <w:szCs w:val="25"/>
        </w:rPr>
        <w:t xml:space="preserve">to assume that it </w:t>
      </w:r>
      <w:r>
        <w:rPr>
          <w:bCs/>
          <w:szCs w:val="25"/>
        </w:rPr>
        <w:t>must be</w:t>
      </w:r>
      <w:r w:rsidRPr="00C22B32">
        <w:rPr>
          <w:bCs/>
          <w:kern w:val="0"/>
          <w:szCs w:val="25"/>
        </w:rPr>
        <w:t xml:space="preserve"> is to assimilate the first two gospels to the third and fourth</w:t>
      </w:r>
      <w:r w:rsidRPr="00C22B32">
        <w:rPr>
          <w:bCs/>
          <w:szCs w:val="25"/>
        </w:rPr>
        <w:t>. (</w:t>
      </w:r>
      <w:r w:rsidRPr="00C22B32">
        <w:rPr>
          <w:bCs/>
          <w:kern w:val="0"/>
          <w:szCs w:val="25"/>
        </w:rPr>
        <w:t>Luke has the agony on the Mount of Olives</w:t>
      </w:r>
      <w:r>
        <w:rPr>
          <w:bCs/>
          <w:iCs/>
          <w:szCs w:val="25"/>
        </w:rPr>
        <w:t>;</w:t>
      </w:r>
      <w:r w:rsidRPr="00C22B32">
        <w:rPr>
          <w:bCs/>
          <w:iCs/>
          <w:szCs w:val="25"/>
        </w:rPr>
        <w:t xml:space="preserve"> </w:t>
      </w:r>
      <w:r w:rsidRPr="00C22B32">
        <w:rPr>
          <w:bCs/>
          <w:kern w:val="0"/>
          <w:szCs w:val="25"/>
        </w:rPr>
        <w:t>and John</w:t>
      </w:r>
      <w:r w:rsidRPr="00C22B32">
        <w:rPr>
          <w:bCs/>
          <w:iCs/>
          <w:szCs w:val="25"/>
        </w:rPr>
        <w:t xml:space="preserve">, </w:t>
      </w:r>
      <w:r w:rsidRPr="00C22B32">
        <w:rPr>
          <w:bCs/>
          <w:kern w:val="0"/>
          <w:szCs w:val="25"/>
        </w:rPr>
        <w:t>though he lacks the agony</w:t>
      </w:r>
      <w:r w:rsidRPr="00C22B32">
        <w:rPr>
          <w:bCs/>
          <w:iCs/>
          <w:szCs w:val="25"/>
        </w:rPr>
        <w:t xml:space="preserve">, </w:t>
      </w:r>
      <w:r w:rsidRPr="00C22B32">
        <w:rPr>
          <w:bCs/>
          <w:kern w:val="0"/>
          <w:szCs w:val="25"/>
        </w:rPr>
        <w:t>has the arrest</w:t>
      </w:r>
      <w:r w:rsidRPr="00C22B32">
        <w:rPr>
          <w:bCs/>
          <w:szCs w:val="25"/>
        </w:rPr>
        <w:t xml:space="preserve"> “</w:t>
      </w:r>
      <w:r w:rsidRPr="00C22B32">
        <w:rPr>
          <w:bCs/>
          <w:kern w:val="0"/>
          <w:szCs w:val="25"/>
        </w:rPr>
        <w:t>across the Kidron valley</w:t>
      </w:r>
      <w:r>
        <w:rPr>
          <w:bCs/>
          <w:szCs w:val="25"/>
        </w:rPr>
        <w:t>”</w:t>
      </w:r>
      <w:r w:rsidRPr="00C22B32">
        <w:rPr>
          <w:bCs/>
          <w:szCs w:val="25"/>
        </w:rPr>
        <w:t xml:space="preserve"> [</w:t>
      </w:r>
      <w:r w:rsidRPr="00C22B32">
        <w:rPr>
          <w:bCs/>
          <w:kern w:val="0"/>
          <w:szCs w:val="25"/>
        </w:rPr>
        <w:t>John 18</w:t>
      </w:r>
      <w:r w:rsidRPr="00C22B32">
        <w:rPr>
          <w:bCs/>
          <w:szCs w:val="25"/>
        </w:rPr>
        <w:t>:</w:t>
      </w:r>
      <w:r w:rsidRPr="00C22B32">
        <w:rPr>
          <w:bCs/>
          <w:kern w:val="0"/>
          <w:szCs w:val="25"/>
        </w:rPr>
        <w:t>1</w:t>
      </w:r>
      <w:r>
        <w:rPr>
          <w:bCs/>
          <w:szCs w:val="25"/>
        </w:rPr>
        <w:t xml:space="preserve">; </w:t>
      </w:r>
      <w:r w:rsidRPr="00C22B32">
        <w:rPr>
          <w:bCs/>
          <w:kern w:val="0"/>
          <w:szCs w:val="25"/>
        </w:rPr>
        <w:t>Olivet is across the Kidron</w:t>
      </w:r>
      <w:r w:rsidRPr="00C22B32">
        <w:rPr>
          <w:bCs/>
          <w:szCs w:val="25"/>
        </w:rPr>
        <w:t xml:space="preserve">].) </w:t>
      </w:r>
      <w:r w:rsidRPr="00C22B32">
        <w:rPr>
          <w:bCs/>
          <w:kern w:val="0"/>
          <w:szCs w:val="25"/>
        </w:rPr>
        <w:t>The modem Gethsemani</w:t>
      </w:r>
      <w:r w:rsidRPr="00C22B32">
        <w:rPr>
          <w:bCs/>
          <w:szCs w:val="25"/>
        </w:rPr>
        <w:t xml:space="preserve"> (</w:t>
      </w:r>
      <w:r w:rsidRPr="00C22B32">
        <w:rPr>
          <w:bCs/>
          <w:kern w:val="0"/>
          <w:szCs w:val="25"/>
        </w:rPr>
        <w:t>which may or may not be identical with the ancient one</w:t>
      </w:r>
      <w:r w:rsidRPr="00C22B32">
        <w:rPr>
          <w:bCs/>
          <w:szCs w:val="25"/>
        </w:rPr>
        <w:t xml:space="preserve">) </w:t>
      </w:r>
      <w:r w:rsidRPr="00C22B32">
        <w:rPr>
          <w:bCs/>
          <w:kern w:val="0"/>
          <w:szCs w:val="25"/>
        </w:rPr>
        <w:t>is at the foot of the Mount of Olives</w:t>
      </w:r>
      <w:r w:rsidRPr="00C22B32">
        <w:rPr>
          <w:bCs/>
          <w:iCs/>
          <w:szCs w:val="25"/>
        </w:rPr>
        <w:t xml:space="preserve">, </w:t>
      </w:r>
      <w:r w:rsidRPr="00C22B32">
        <w:rPr>
          <w:bCs/>
          <w:kern w:val="0"/>
          <w:szCs w:val="25"/>
        </w:rPr>
        <w:t>not on it</w:t>
      </w:r>
      <w:r w:rsidRPr="00C22B32">
        <w:rPr>
          <w:bCs/>
          <w:szCs w:val="25"/>
        </w:rPr>
        <w:t>.</w:t>
      </w:r>
    </w:p>
  </w:footnote>
  <w:footnote w:id="868">
    <w:p w14:paraId="5D526FE1" w14:textId="77777777" w:rsidR="00B47A48" w:rsidRDefault="00B47A48" w:rsidP="00B47A48">
      <w:pPr>
        <w:pStyle w:val="FootnoteText"/>
      </w:pPr>
      <w:r>
        <w:rPr>
          <w:rStyle w:val="FootnoteReference"/>
        </w:rPr>
        <w:footnoteRef/>
      </w:r>
      <w:r>
        <w:t xml:space="preserve"> </w:t>
      </w:r>
      <w:r w:rsidRPr="00C22B32">
        <w:rPr>
          <w:bCs/>
          <w:kern w:val="0"/>
          <w:szCs w:val="25"/>
        </w:rPr>
        <w:t>According to Acts 1</w:t>
      </w:r>
      <w:r w:rsidRPr="00C22B32">
        <w:rPr>
          <w:bCs/>
          <w:szCs w:val="25"/>
        </w:rPr>
        <w:t>:</w:t>
      </w:r>
      <w:r w:rsidRPr="00C22B32">
        <w:rPr>
          <w:bCs/>
          <w:kern w:val="0"/>
          <w:szCs w:val="25"/>
        </w:rPr>
        <w:t>12</w:t>
      </w:r>
      <w:r w:rsidRPr="00C22B32">
        <w:rPr>
          <w:bCs/>
          <w:iCs/>
          <w:szCs w:val="25"/>
        </w:rPr>
        <w:t xml:space="preserve">, </w:t>
      </w:r>
      <w:r w:rsidRPr="00C22B32">
        <w:rPr>
          <w:bCs/>
          <w:kern w:val="0"/>
          <w:szCs w:val="25"/>
        </w:rPr>
        <w:t>the ascension takes place on the Mount of Olives</w:t>
      </w:r>
      <w:r w:rsidRPr="00C22B32">
        <w:rPr>
          <w:bCs/>
          <w:szCs w:val="25"/>
        </w:rPr>
        <w:t xml:space="preserve">. </w:t>
      </w:r>
      <w:r w:rsidRPr="00C22B32">
        <w:rPr>
          <w:bCs/>
          <w:kern w:val="0"/>
          <w:szCs w:val="25"/>
        </w:rPr>
        <w:t>But cf</w:t>
      </w:r>
      <w:r w:rsidRPr="00C22B32">
        <w:rPr>
          <w:bCs/>
          <w:szCs w:val="25"/>
        </w:rPr>
        <w:t xml:space="preserve">. </w:t>
      </w:r>
      <w:r w:rsidRPr="00C22B32">
        <w:rPr>
          <w:bCs/>
          <w:kern w:val="0"/>
          <w:szCs w:val="25"/>
        </w:rPr>
        <w:t>Luke 24</w:t>
      </w:r>
      <w:r w:rsidRPr="00C22B32">
        <w:rPr>
          <w:bCs/>
          <w:szCs w:val="25"/>
        </w:rPr>
        <w:t>:</w:t>
      </w:r>
      <w:r w:rsidRPr="00C22B32">
        <w:rPr>
          <w:bCs/>
          <w:kern w:val="0"/>
          <w:szCs w:val="25"/>
        </w:rPr>
        <w:t>50</w:t>
      </w:r>
      <w:r w:rsidRPr="00C22B32">
        <w:rPr>
          <w:bCs/>
          <w:iCs/>
          <w:szCs w:val="25"/>
        </w:rPr>
        <w:t xml:space="preserve">, </w:t>
      </w:r>
      <w:r w:rsidRPr="00C22B32">
        <w:rPr>
          <w:bCs/>
          <w:kern w:val="0"/>
          <w:szCs w:val="25"/>
        </w:rPr>
        <w:t>where the ascension takes place at Bethany</w:t>
      </w:r>
      <w:r w:rsidRPr="00C22B32">
        <w:rPr>
          <w:bCs/>
          <w:szCs w:val="25"/>
        </w:rPr>
        <w:t xml:space="preserve">. </w:t>
      </w:r>
      <w:r w:rsidRPr="00C22B32">
        <w:rPr>
          <w:bCs/>
          <w:kern w:val="0"/>
          <w:szCs w:val="25"/>
        </w:rPr>
        <w:t>This village was almost certainly at the foot of the Mount of Olives</w:t>
      </w:r>
      <w:r w:rsidRPr="00C22B32">
        <w:rPr>
          <w:bCs/>
          <w:iCs/>
          <w:szCs w:val="25"/>
        </w:rPr>
        <w:t xml:space="preserve">, </w:t>
      </w:r>
      <w:r w:rsidRPr="00C22B32">
        <w:rPr>
          <w:bCs/>
          <w:kern w:val="0"/>
          <w:szCs w:val="25"/>
        </w:rPr>
        <w:t>not at its summit</w:t>
      </w:r>
      <w:r w:rsidRPr="00C22B32">
        <w:rPr>
          <w:bCs/>
          <w:szCs w:val="25"/>
        </w:rPr>
        <w:t xml:space="preserve"> (</w:t>
      </w:r>
      <w:r w:rsidRPr="00C22B32">
        <w:rPr>
          <w:bCs/>
          <w:kern w:val="0"/>
          <w:szCs w:val="25"/>
        </w:rPr>
        <w:t>cf</w:t>
      </w:r>
      <w:r w:rsidRPr="00C22B32">
        <w:rPr>
          <w:bCs/>
          <w:szCs w:val="25"/>
        </w:rPr>
        <w:t xml:space="preserve">. </w:t>
      </w:r>
      <w:r w:rsidRPr="00C22B32">
        <w:rPr>
          <w:bCs/>
          <w:kern w:val="0"/>
          <w:szCs w:val="25"/>
        </w:rPr>
        <w:t>Matt 21</w:t>
      </w:r>
      <w:r w:rsidRPr="00C22B32">
        <w:rPr>
          <w:bCs/>
          <w:szCs w:val="25"/>
        </w:rPr>
        <w:t>:</w:t>
      </w:r>
      <w:r w:rsidRPr="00C22B32">
        <w:rPr>
          <w:bCs/>
          <w:kern w:val="0"/>
          <w:szCs w:val="25"/>
        </w:rPr>
        <w:t>17</w:t>
      </w:r>
      <w:r w:rsidRPr="00C22B32">
        <w:rPr>
          <w:bCs/>
          <w:szCs w:val="25"/>
        </w:rPr>
        <w:t xml:space="preserve">; </w:t>
      </w:r>
      <w:r w:rsidRPr="00C22B32">
        <w:rPr>
          <w:bCs/>
          <w:kern w:val="0"/>
          <w:szCs w:val="25"/>
        </w:rPr>
        <w:t>26</w:t>
      </w:r>
      <w:r w:rsidRPr="00C22B32">
        <w:rPr>
          <w:bCs/>
          <w:szCs w:val="25"/>
        </w:rPr>
        <w:t>:</w:t>
      </w:r>
      <w:r w:rsidRPr="00C22B32">
        <w:rPr>
          <w:bCs/>
          <w:kern w:val="0"/>
          <w:szCs w:val="25"/>
        </w:rPr>
        <w:t>6</w:t>
      </w:r>
      <w:r w:rsidRPr="00C22B32">
        <w:rPr>
          <w:bCs/>
          <w:szCs w:val="25"/>
        </w:rPr>
        <w:t xml:space="preserve">; </w:t>
      </w:r>
      <w:r w:rsidRPr="00C22B32">
        <w:rPr>
          <w:bCs/>
          <w:kern w:val="0"/>
          <w:szCs w:val="25"/>
        </w:rPr>
        <w:t>Mark 8</w:t>
      </w:r>
      <w:r w:rsidRPr="00C22B32">
        <w:rPr>
          <w:bCs/>
          <w:szCs w:val="25"/>
        </w:rPr>
        <w:t>:</w:t>
      </w:r>
      <w:r w:rsidRPr="00C22B32">
        <w:rPr>
          <w:bCs/>
          <w:kern w:val="0"/>
          <w:szCs w:val="25"/>
        </w:rPr>
        <w:t>22</w:t>
      </w:r>
      <w:r w:rsidRPr="00C22B32">
        <w:rPr>
          <w:bCs/>
          <w:szCs w:val="25"/>
        </w:rPr>
        <w:t xml:space="preserve">; </w:t>
      </w:r>
      <w:r w:rsidRPr="00C22B32">
        <w:rPr>
          <w:bCs/>
          <w:kern w:val="0"/>
          <w:szCs w:val="25"/>
        </w:rPr>
        <w:t>11</w:t>
      </w:r>
      <w:r w:rsidRPr="00C22B32">
        <w:rPr>
          <w:bCs/>
          <w:szCs w:val="25"/>
        </w:rPr>
        <w:t>:</w:t>
      </w:r>
      <w:r w:rsidRPr="00C22B32">
        <w:rPr>
          <w:bCs/>
          <w:kern w:val="0"/>
          <w:szCs w:val="25"/>
        </w:rPr>
        <w:t>1</w:t>
      </w:r>
      <w:r w:rsidRPr="00C22B32">
        <w:rPr>
          <w:bCs/>
          <w:iCs/>
          <w:szCs w:val="25"/>
        </w:rPr>
        <w:t xml:space="preserve">, </w:t>
      </w:r>
      <w:r w:rsidRPr="00C22B32">
        <w:rPr>
          <w:bCs/>
          <w:kern w:val="0"/>
          <w:szCs w:val="25"/>
        </w:rPr>
        <w:t>11</w:t>
      </w:r>
      <w:r w:rsidRPr="00C22B32">
        <w:rPr>
          <w:bCs/>
          <w:iCs/>
          <w:szCs w:val="25"/>
        </w:rPr>
        <w:t xml:space="preserve">, </w:t>
      </w:r>
      <w:r w:rsidRPr="00C22B32">
        <w:rPr>
          <w:bCs/>
          <w:kern w:val="0"/>
          <w:szCs w:val="25"/>
        </w:rPr>
        <w:t>12</w:t>
      </w:r>
      <w:r w:rsidRPr="00C22B32">
        <w:rPr>
          <w:bCs/>
          <w:szCs w:val="25"/>
        </w:rPr>
        <w:t xml:space="preserve">; </w:t>
      </w:r>
      <w:r w:rsidRPr="00C22B32">
        <w:rPr>
          <w:bCs/>
          <w:kern w:val="0"/>
          <w:szCs w:val="25"/>
        </w:rPr>
        <w:t>14</w:t>
      </w:r>
      <w:r w:rsidRPr="00C22B32">
        <w:rPr>
          <w:bCs/>
          <w:szCs w:val="25"/>
        </w:rPr>
        <w:t>:</w:t>
      </w:r>
      <w:r w:rsidRPr="00C22B32">
        <w:rPr>
          <w:bCs/>
          <w:kern w:val="0"/>
          <w:szCs w:val="25"/>
        </w:rPr>
        <w:t>3</w:t>
      </w:r>
      <w:r w:rsidRPr="00C22B32">
        <w:rPr>
          <w:bCs/>
          <w:szCs w:val="25"/>
        </w:rPr>
        <w:t xml:space="preserve">; </w:t>
      </w:r>
      <w:r w:rsidRPr="00C22B32">
        <w:rPr>
          <w:bCs/>
          <w:kern w:val="0"/>
          <w:szCs w:val="25"/>
        </w:rPr>
        <w:t>Luke 19</w:t>
      </w:r>
      <w:r w:rsidRPr="00C22B32">
        <w:rPr>
          <w:bCs/>
          <w:szCs w:val="25"/>
        </w:rPr>
        <w:t>:</w:t>
      </w:r>
      <w:r w:rsidRPr="00C22B32">
        <w:rPr>
          <w:bCs/>
          <w:kern w:val="0"/>
          <w:szCs w:val="25"/>
        </w:rPr>
        <w:t>29</w:t>
      </w:r>
      <w:r w:rsidRPr="00C22B32">
        <w:rPr>
          <w:bCs/>
          <w:szCs w:val="25"/>
        </w:rPr>
        <w:t xml:space="preserve">; </w:t>
      </w:r>
      <w:r w:rsidRPr="00C22B32">
        <w:rPr>
          <w:bCs/>
          <w:kern w:val="0"/>
          <w:szCs w:val="25"/>
        </w:rPr>
        <w:t>24</w:t>
      </w:r>
      <w:r w:rsidRPr="00C22B32">
        <w:rPr>
          <w:bCs/>
          <w:szCs w:val="25"/>
        </w:rPr>
        <w:t>:</w:t>
      </w:r>
      <w:r w:rsidRPr="00C22B32">
        <w:rPr>
          <w:bCs/>
          <w:kern w:val="0"/>
          <w:szCs w:val="25"/>
        </w:rPr>
        <w:t>50</w:t>
      </w:r>
      <w:r w:rsidRPr="00C22B32">
        <w:rPr>
          <w:bCs/>
          <w:szCs w:val="25"/>
        </w:rPr>
        <w:t xml:space="preserve">; </w:t>
      </w:r>
      <w:r w:rsidRPr="00C22B32">
        <w:rPr>
          <w:bCs/>
          <w:kern w:val="0"/>
          <w:szCs w:val="25"/>
        </w:rPr>
        <w:t>John 1</w:t>
      </w:r>
      <w:r w:rsidRPr="00C22B32">
        <w:rPr>
          <w:bCs/>
          <w:szCs w:val="25"/>
        </w:rPr>
        <w:t>:</w:t>
      </w:r>
      <w:r w:rsidRPr="00C22B32">
        <w:rPr>
          <w:bCs/>
          <w:kern w:val="0"/>
          <w:szCs w:val="25"/>
        </w:rPr>
        <w:t>28</w:t>
      </w:r>
      <w:r w:rsidRPr="00C22B32">
        <w:rPr>
          <w:bCs/>
          <w:szCs w:val="25"/>
        </w:rPr>
        <w:t xml:space="preserve">; </w:t>
      </w:r>
      <w:r w:rsidRPr="00C22B32">
        <w:rPr>
          <w:bCs/>
          <w:kern w:val="0"/>
          <w:szCs w:val="25"/>
        </w:rPr>
        <w:t>11</w:t>
      </w:r>
      <w:r w:rsidRPr="00C22B32">
        <w:rPr>
          <w:bCs/>
          <w:szCs w:val="25"/>
        </w:rPr>
        <w:t>:</w:t>
      </w:r>
      <w:r w:rsidRPr="00C22B32">
        <w:rPr>
          <w:bCs/>
          <w:kern w:val="0"/>
          <w:szCs w:val="25"/>
        </w:rPr>
        <w:t>1</w:t>
      </w:r>
      <w:r w:rsidRPr="00C22B32">
        <w:rPr>
          <w:bCs/>
          <w:iCs/>
          <w:szCs w:val="25"/>
        </w:rPr>
        <w:t xml:space="preserve">, </w:t>
      </w:r>
      <w:r w:rsidRPr="00C22B32">
        <w:rPr>
          <w:bCs/>
          <w:kern w:val="0"/>
          <w:szCs w:val="25"/>
        </w:rPr>
        <w:t>18</w:t>
      </w:r>
      <w:r w:rsidRPr="00C22B32">
        <w:rPr>
          <w:bCs/>
          <w:szCs w:val="25"/>
        </w:rPr>
        <w:t xml:space="preserve">; </w:t>
      </w:r>
      <w:r w:rsidRPr="00C22B32">
        <w:rPr>
          <w:bCs/>
          <w:kern w:val="0"/>
          <w:szCs w:val="25"/>
        </w:rPr>
        <w:t>12</w:t>
      </w:r>
      <w:r w:rsidRPr="00C22B32">
        <w:rPr>
          <w:bCs/>
          <w:szCs w:val="25"/>
        </w:rPr>
        <w:t>:</w:t>
      </w:r>
      <w:r w:rsidRPr="00C22B32">
        <w:rPr>
          <w:bCs/>
          <w:kern w:val="0"/>
          <w:szCs w:val="25"/>
        </w:rPr>
        <w:t>1</w:t>
      </w:r>
      <w:r w:rsidRPr="00C22B32">
        <w:rPr>
          <w:bCs/>
          <w:szCs w:val="25"/>
        </w:rPr>
        <w:t xml:space="preserve">; </w:t>
      </w:r>
      <w:r w:rsidRPr="00C22B32">
        <w:rPr>
          <w:bCs/>
          <w:kern w:val="0"/>
          <w:szCs w:val="25"/>
        </w:rPr>
        <w:t>and modem Bethany is at the foot</w:t>
      </w:r>
      <w:r w:rsidRPr="00C22B32">
        <w:rPr>
          <w:bCs/>
          <w:szCs w:val="25"/>
        </w:rPr>
        <w:t>).</w:t>
      </w:r>
    </w:p>
  </w:footnote>
  <w:footnote w:id="869">
    <w:p w14:paraId="3E9AF43D" w14:textId="77777777" w:rsidR="00B47A48" w:rsidRDefault="00B47A48" w:rsidP="00B47A48">
      <w:pPr>
        <w:pStyle w:val="FootnoteText"/>
      </w:pPr>
      <w:r>
        <w:rPr>
          <w:rStyle w:val="FootnoteReference"/>
        </w:rPr>
        <w:footnoteRef/>
      </w:r>
      <w:r>
        <w:t xml:space="preserve"> </w:t>
      </w:r>
      <w:r w:rsidRPr="00C22B32">
        <w:rPr>
          <w:bCs/>
          <w:kern w:val="0"/>
          <w:szCs w:val="25"/>
        </w:rPr>
        <w:t>Granted</w:t>
      </w:r>
      <w:r w:rsidRPr="00C22B32">
        <w:rPr>
          <w:bCs/>
          <w:iCs/>
          <w:szCs w:val="25"/>
        </w:rPr>
        <w:t xml:space="preserve">, </w:t>
      </w:r>
      <w:r w:rsidRPr="00C22B32">
        <w:rPr>
          <w:bCs/>
          <w:kern w:val="0"/>
          <w:szCs w:val="25"/>
        </w:rPr>
        <w:t>Jesus does make a parting</w:t>
      </w:r>
      <w:r w:rsidRPr="00C22B32">
        <w:rPr>
          <w:bCs/>
          <w:iCs/>
          <w:szCs w:val="25"/>
        </w:rPr>
        <w:t xml:space="preserve">, </w:t>
      </w:r>
      <w:r w:rsidRPr="00C22B32">
        <w:rPr>
          <w:bCs/>
          <w:kern w:val="0"/>
          <w:szCs w:val="25"/>
        </w:rPr>
        <w:t>one-sentence</w:t>
      </w:r>
      <w:r w:rsidRPr="00C22B32">
        <w:rPr>
          <w:bCs/>
          <w:szCs w:val="25"/>
        </w:rPr>
        <w:t xml:space="preserve"> (</w:t>
      </w:r>
      <w:r w:rsidRPr="00C22B32">
        <w:rPr>
          <w:bCs/>
          <w:kern w:val="0"/>
          <w:szCs w:val="25"/>
        </w:rPr>
        <w:t>according to the punctuation in Nestle</w:t>
      </w:r>
      <w:r w:rsidRPr="00961351">
        <w:rPr>
          <w:bCs/>
          <w:szCs w:val="25"/>
          <w:vertAlign w:val="superscript"/>
        </w:rPr>
        <w:t>26</w:t>
      </w:r>
      <w:r w:rsidRPr="001C646B">
        <w:rPr>
          <w:bCs/>
          <w:iCs/>
          <w:szCs w:val="25"/>
        </w:rPr>
        <w:t>)</w:t>
      </w:r>
      <w:r w:rsidRPr="00C22B32">
        <w:rPr>
          <w:bCs/>
          <w:szCs w:val="25"/>
        </w:rPr>
        <w:t xml:space="preserve"> </w:t>
      </w:r>
      <w:r w:rsidRPr="00C22B32">
        <w:rPr>
          <w:bCs/>
          <w:kern w:val="0"/>
          <w:szCs w:val="25"/>
        </w:rPr>
        <w:t>declaration at the ascension</w:t>
      </w:r>
      <w:r w:rsidRPr="00C22B32">
        <w:rPr>
          <w:bCs/>
          <w:szCs w:val="25"/>
        </w:rPr>
        <w:t xml:space="preserve"> (</w:t>
      </w:r>
      <w:r w:rsidRPr="00C22B32">
        <w:rPr>
          <w:bCs/>
          <w:kern w:val="0"/>
          <w:szCs w:val="25"/>
        </w:rPr>
        <w:t>Acts 1</w:t>
      </w:r>
      <w:r w:rsidRPr="00C22B32">
        <w:rPr>
          <w:bCs/>
          <w:szCs w:val="25"/>
        </w:rPr>
        <w:t>:</w:t>
      </w:r>
      <w:r w:rsidRPr="00C22B32">
        <w:rPr>
          <w:bCs/>
          <w:kern w:val="0"/>
          <w:szCs w:val="25"/>
        </w:rPr>
        <w:t>7b-8</w:t>
      </w:r>
      <w:r w:rsidRPr="00C22B32">
        <w:rPr>
          <w:bCs/>
          <w:szCs w:val="25"/>
        </w:rPr>
        <w:t xml:space="preserve">). </w:t>
      </w:r>
      <w:r w:rsidRPr="00C22B32">
        <w:rPr>
          <w:bCs/>
          <w:kern w:val="0"/>
          <w:szCs w:val="25"/>
        </w:rPr>
        <w:t>But this hardly seems a revelation</w:t>
      </w:r>
      <w:r w:rsidRPr="00C22B32">
        <w:rPr>
          <w:bCs/>
          <w:iCs/>
          <w:szCs w:val="25"/>
        </w:rPr>
        <w:t xml:space="preserve">, </w:t>
      </w:r>
      <w:r w:rsidRPr="00C22B32">
        <w:rPr>
          <w:bCs/>
          <w:kern w:val="0"/>
          <w:szCs w:val="25"/>
        </w:rPr>
        <w:t>considering that Jesus has just spent forty days instructing the apostles</w:t>
      </w:r>
      <w:r w:rsidRPr="00671DEF">
        <w:rPr>
          <w:bCs/>
          <w:iCs/>
          <w:szCs w:val="25"/>
        </w:rPr>
        <w:t>—</w:t>
      </w:r>
      <w:r w:rsidRPr="00C22B32">
        <w:rPr>
          <w:bCs/>
          <w:kern w:val="0"/>
          <w:szCs w:val="25"/>
        </w:rPr>
        <w:t>not on an isolated mountaintop</w:t>
      </w:r>
      <w:r w:rsidRPr="00C22B32">
        <w:rPr>
          <w:bCs/>
          <w:iCs/>
          <w:szCs w:val="25"/>
        </w:rPr>
        <w:t xml:space="preserve">, </w:t>
      </w:r>
      <w:r w:rsidRPr="00C22B32">
        <w:rPr>
          <w:bCs/>
          <w:kern w:val="0"/>
          <w:szCs w:val="25"/>
        </w:rPr>
        <w:t>but in Jerusalem</w:t>
      </w:r>
      <w:r w:rsidRPr="00C22B32">
        <w:rPr>
          <w:bCs/>
          <w:szCs w:val="25"/>
        </w:rPr>
        <w:t xml:space="preserve"> (</w:t>
      </w:r>
      <w:r w:rsidRPr="00C22B32">
        <w:rPr>
          <w:bCs/>
          <w:kern w:val="0"/>
          <w:szCs w:val="25"/>
        </w:rPr>
        <w:t>Acts 1</w:t>
      </w:r>
      <w:r w:rsidRPr="00C22B32">
        <w:rPr>
          <w:bCs/>
          <w:szCs w:val="25"/>
        </w:rPr>
        <w:t>:</w:t>
      </w:r>
      <w:r w:rsidRPr="00C22B32">
        <w:rPr>
          <w:bCs/>
          <w:kern w:val="0"/>
          <w:szCs w:val="25"/>
        </w:rPr>
        <w:t>3</w:t>
      </w:r>
      <w:r w:rsidRPr="00C22B32">
        <w:rPr>
          <w:bCs/>
          <w:szCs w:val="25"/>
        </w:rPr>
        <w:t xml:space="preserve"> [</w:t>
      </w:r>
      <w:r w:rsidRPr="00C22B32">
        <w:rPr>
          <w:bCs/>
          <w:kern w:val="0"/>
          <w:szCs w:val="25"/>
        </w:rPr>
        <w:t>referring back to Luke 24</w:t>
      </w:r>
      <w:r w:rsidRPr="00C22B32">
        <w:rPr>
          <w:bCs/>
          <w:szCs w:val="25"/>
        </w:rPr>
        <w:t>:</w:t>
      </w:r>
      <w:r w:rsidRPr="00C22B32">
        <w:rPr>
          <w:bCs/>
          <w:kern w:val="0"/>
          <w:szCs w:val="25"/>
        </w:rPr>
        <w:t>33-49</w:t>
      </w:r>
      <w:r w:rsidRPr="00C22B32">
        <w:rPr>
          <w:bCs/>
          <w:szCs w:val="25"/>
        </w:rPr>
        <w:t>]</w:t>
      </w:r>
      <w:r w:rsidRPr="00C22B32">
        <w:rPr>
          <w:bCs/>
          <w:iCs/>
          <w:szCs w:val="25"/>
        </w:rPr>
        <w:t xml:space="preserve">, </w:t>
      </w:r>
      <w:r w:rsidRPr="00C22B32">
        <w:rPr>
          <w:bCs/>
          <w:kern w:val="0"/>
          <w:szCs w:val="25"/>
        </w:rPr>
        <w:t>1</w:t>
      </w:r>
      <w:r w:rsidRPr="00C22B32">
        <w:rPr>
          <w:bCs/>
          <w:szCs w:val="25"/>
        </w:rPr>
        <w:t>:</w:t>
      </w:r>
      <w:r w:rsidRPr="00C22B32">
        <w:rPr>
          <w:bCs/>
          <w:kern w:val="0"/>
          <w:szCs w:val="25"/>
        </w:rPr>
        <w:t>4</w:t>
      </w:r>
      <w:r w:rsidRPr="00C22B32">
        <w:rPr>
          <w:bCs/>
          <w:iCs/>
          <w:szCs w:val="25"/>
        </w:rPr>
        <w:t xml:space="preserve">, </w:t>
      </w:r>
      <w:r w:rsidRPr="00C22B32">
        <w:rPr>
          <w:bCs/>
          <w:kern w:val="0"/>
          <w:szCs w:val="25"/>
        </w:rPr>
        <w:t>and 1</w:t>
      </w:r>
      <w:r w:rsidRPr="00C22B32">
        <w:rPr>
          <w:bCs/>
          <w:szCs w:val="25"/>
        </w:rPr>
        <w:t>:</w:t>
      </w:r>
      <w:r w:rsidRPr="00C22B32">
        <w:rPr>
          <w:bCs/>
          <w:kern w:val="0"/>
          <w:szCs w:val="25"/>
        </w:rPr>
        <w:t>12a</w:t>
      </w:r>
      <w:r w:rsidRPr="00C22B32">
        <w:rPr>
          <w:bCs/>
          <w:szCs w:val="25"/>
        </w:rPr>
        <w:t>).</w:t>
      </w:r>
    </w:p>
  </w:footnote>
  <w:footnote w:id="870">
    <w:p w14:paraId="59989868" w14:textId="77777777" w:rsidR="00B47A48" w:rsidRDefault="00B47A48" w:rsidP="00B47A48">
      <w:pPr>
        <w:pStyle w:val="FootnoteText"/>
      </w:pPr>
      <w:r>
        <w:rPr>
          <w:rStyle w:val="FootnoteReference"/>
        </w:rPr>
        <w:footnoteRef/>
      </w:r>
      <w:r>
        <w:t xml:space="preserve"> </w:t>
      </w:r>
      <w:r>
        <w:rPr>
          <w:bCs/>
          <w:szCs w:val="25"/>
        </w:rPr>
        <w:t>C</w:t>
      </w:r>
      <w:r w:rsidRPr="00C22B32">
        <w:rPr>
          <w:bCs/>
          <w:kern w:val="0"/>
          <w:szCs w:val="25"/>
        </w:rPr>
        <w:t>onzelmann</w:t>
      </w:r>
      <w:r w:rsidRPr="00C22B32">
        <w:rPr>
          <w:bCs/>
          <w:iCs/>
          <w:szCs w:val="25"/>
        </w:rPr>
        <w:t xml:space="preserve">, </w:t>
      </w:r>
      <w:r w:rsidRPr="00C22B32">
        <w:rPr>
          <w:bCs/>
          <w:i/>
          <w:iCs/>
          <w:kern w:val="0"/>
          <w:szCs w:val="25"/>
        </w:rPr>
        <w:t>Theology of St Luke</w:t>
      </w:r>
      <w:r w:rsidRPr="00961351">
        <w:rPr>
          <w:bCs/>
          <w:kern w:val="0"/>
          <w:szCs w:val="25"/>
        </w:rPr>
        <w:t xml:space="preserve"> </w:t>
      </w:r>
      <w:r w:rsidRPr="00C22B32">
        <w:rPr>
          <w:bCs/>
          <w:kern w:val="0"/>
          <w:szCs w:val="25"/>
        </w:rPr>
        <w:t>45 n</w:t>
      </w:r>
      <w:r w:rsidRPr="00C22B32">
        <w:rPr>
          <w:bCs/>
          <w:szCs w:val="25"/>
        </w:rPr>
        <w:t xml:space="preserve">. </w:t>
      </w:r>
      <w:r w:rsidRPr="00C22B32">
        <w:rPr>
          <w:bCs/>
          <w:kern w:val="0"/>
          <w:szCs w:val="25"/>
        </w:rPr>
        <w:t>1</w:t>
      </w:r>
      <w:r w:rsidRPr="00C22B32">
        <w:rPr>
          <w:bCs/>
          <w:szCs w:val="25"/>
        </w:rPr>
        <w:t>.</w:t>
      </w:r>
    </w:p>
  </w:footnote>
  <w:footnote w:id="871">
    <w:p w14:paraId="4E1BBC3A" w14:textId="77777777" w:rsidR="00B47A48" w:rsidRDefault="00B47A48" w:rsidP="00B47A48">
      <w:pPr>
        <w:pStyle w:val="FootnoteText"/>
      </w:pPr>
      <w:r>
        <w:rPr>
          <w:rStyle w:val="FootnoteReference"/>
        </w:rPr>
        <w:footnoteRef/>
      </w:r>
      <w:r>
        <w:t xml:space="preserve"> </w:t>
      </w:r>
      <w:r w:rsidRPr="00C22B32">
        <w:rPr>
          <w:bCs/>
          <w:kern w:val="0"/>
          <w:szCs w:val="25"/>
        </w:rPr>
        <w:t>For Mark</w:t>
      </w:r>
      <w:r w:rsidRPr="00C22B32">
        <w:rPr>
          <w:bCs/>
          <w:szCs w:val="25"/>
        </w:rPr>
        <w:t>’</w:t>
      </w:r>
      <w:r w:rsidRPr="00C22B32">
        <w:rPr>
          <w:bCs/>
          <w:kern w:val="0"/>
          <w:szCs w:val="25"/>
        </w:rPr>
        <w:t>s low opinion of the twelve</w:t>
      </w:r>
      <w:r w:rsidRPr="00C22B32">
        <w:rPr>
          <w:bCs/>
          <w:iCs/>
          <w:szCs w:val="25"/>
        </w:rPr>
        <w:t xml:space="preserve">, </w:t>
      </w:r>
      <w:r w:rsidRPr="00C22B32">
        <w:rPr>
          <w:bCs/>
          <w:kern w:val="0"/>
          <w:szCs w:val="25"/>
        </w:rPr>
        <w:t>see W</w:t>
      </w:r>
      <w:r w:rsidRPr="00C22B32">
        <w:rPr>
          <w:bCs/>
          <w:szCs w:val="25"/>
        </w:rPr>
        <w:t>.</w:t>
      </w:r>
      <w:r w:rsidRPr="00C22B32">
        <w:rPr>
          <w:bCs/>
          <w:kern w:val="0"/>
          <w:szCs w:val="25"/>
        </w:rPr>
        <w:t>H</w:t>
      </w:r>
      <w:r w:rsidRPr="00C22B32">
        <w:rPr>
          <w:bCs/>
          <w:szCs w:val="25"/>
        </w:rPr>
        <w:t xml:space="preserve">. </w:t>
      </w:r>
      <w:r w:rsidRPr="00C22B32">
        <w:rPr>
          <w:bCs/>
          <w:kern w:val="0"/>
          <w:szCs w:val="25"/>
        </w:rPr>
        <w:t>Kelber</w:t>
      </w:r>
      <w:r w:rsidRPr="00C22B32">
        <w:rPr>
          <w:bCs/>
          <w:iCs/>
          <w:szCs w:val="25"/>
        </w:rPr>
        <w:t xml:space="preserve">, </w:t>
      </w:r>
      <w:r w:rsidRPr="00C22B32">
        <w:rPr>
          <w:bCs/>
          <w:i/>
          <w:iCs/>
          <w:kern w:val="0"/>
          <w:szCs w:val="25"/>
        </w:rPr>
        <w:t>The Kingdom in Mar</w:t>
      </w:r>
      <w:r>
        <w:rPr>
          <w:bCs/>
          <w:i/>
          <w:iCs/>
          <w:szCs w:val="25"/>
        </w:rPr>
        <w:t>k</w:t>
      </w:r>
      <w:r w:rsidRPr="00C22B32">
        <w:rPr>
          <w:bCs/>
          <w:iCs/>
          <w:szCs w:val="25"/>
        </w:rPr>
        <w:t xml:space="preserve">: </w:t>
      </w:r>
      <w:r w:rsidRPr="00C22B32">
        <w:rPr>
          <w:bCs/>
          <w:i/>
          <w:iCs/>
          <w:kern w:val="0"/>
          <w:szCs w:val="25"/>
        </w:rPr>
        <w:t>A New Place and a New Tune</w:t>
      </w:r>
      <w:r w:rsidRPr="00C22B32">
        <w:rPr>
          <w:bCs/>
          <w:iCs/>
          <w:szCs w:val="25"/>
        </w:rPr>
        <w:t xml:space="preserve"> (</w:t>
      </w:r>
      <w:r w:rsidRPr="00C22B32">
        <w:rPr>
          <w:bCs/>
          <w:kern w:val="0"/>
          <w:szCs w:val="25"/>
        </w:rPr>
        <w:t>Philadelphia</w:t>
      </w:r>
      <w:r w:rsidRPr="00C22B32">
        <w:rPr>
          <w:bCs/>
          <w:szCs w:val="25"/>
        </w:rPr>
        <w:t xml:space="preserve">: </w:t>
      </w:r>
      <w:r w:rsidRPr="00C22B32">
        <w:rPr>
          <w:bCs/>
          <w:kern w:val="0"/>
          <w:szCs w:val="25"/>
        </w:rPr>
        <w:t>Fortress</w:t>
      </w:r>
      <w:r w:rsidRPr="00C22B32">
        <w:rPr>
          <w:bCs/>
          <w:iCs/>
          <w:szCs w:val="25"/>
        </w:rPr>
        <w:t xml:space="preserve">, </w:t>
      </w:r>
      <w:r w:rsidRPr="00C22B32">
        <w:rPr>
          <w:bCs/>
          <w:kern w:val="0"/>
          <w:szCs w:val="25"/>
        </w:rPr>
        <w:t>1974</w:t>
      </w:r>
      <w:r w:rsidRPr="00C22B32">
        <w:rPr>
          <w:bCs/>
          <w:szCs w:val="25"/>
        </w:rPr>
        <w:t xml:space="preserve">). </w:t>
      </w:r>
      <w:r w:rsidRPr="00C22B32">
        <w:rPr>
          <w:bCs/>
          <w:kern w:val="0"/>
          <w:szCs w:val="25"/>
        </w:rPr>
        <w:t>For Luke</w:t>
      </w:r>
      <w:r w:rsidRPr="00C22B32">
        <w:rPr>
          <w:bCs/>
          <w:szCs w:val="25"/>
        </w:rPr>
        <w:t>’</w:t>
      </w:r>
      <w:r w:rsidRPr="00C22B32">
        <w:rPr>
          <w:bCs/>
          <w:kern w:val="0"/>
          <w:szCs w:val="25"/>
        </w:rPr>
        <w:t>s elevation of Mark</w:t>
      </w:r>
      <w:r w:rsidRPr="00C22B32">
        <w:rPr>
          <w:bCs/>
          <w:szCs w:val="25"/>
        </w:rPr>
        <w:t>’</w:t>
      </w:r>
      <w:r w:rsidRPr="00C22B32">
        <w:rPr>
          <w:bCs/>
          <w:kern w:val="0"/>
          <w:szCs w:val="25"/>
        </w:rPr>
        <w:t>s low opinion</w:t>
      </w:r>
      <w:r w:rsidRPr="00C22B32">
        <w:rPr>
          <w:bCs/>
          <w:iCs/>
          <w:szCs w:val="25"/>
        </w:rPr>
        <w:t xml:space="preserve">, </w:t>
      </w:r>
      <w:r w:rsidRPr="00C22B32">
        <w:rPr>
          <w:bCs/>
          <w:kern w:val="0"/>
          <w:szCs w:val="25"/>
        </w:rPr>
        <w:t>compare</w:t>
      </w:r>
      <w:r w:rsidRPr="00C22B32">
        <w:rPr>
          <w:bCs/>
          <w:iCs/>
          <w:szCs w:val="25"/>
        </w:rPr>
        <w:t xml:space="preserve">, </w:t>
      </w:r>
      <w:r w:rsidRPr="00C22B32">
        <w:rPr>
          <w:bCs/>
          <w:kern w:val="0"/>
          <w:szCs w:val="25"/>
        </w:rPr>
        <w:t>e</w:t>
      </w:r>
      <w:r w:rsidRPr="00C22B32">
        <w:rPr>
          <w:bCs/>
          <w:szCs w:val="25"/>
        </w:rPr>
        <w:t>.</w:t>
      </w:r>
      <w:r w:rsidRPr="00C22B32">
        <w:rPr>
          <w:bCs/>
          <w:kern w:val="0"/>
          <w:szCs w:val="25"/>
        </w:rPr>
        <w:t>g</w:t>
      </w:r>
      <w:r w:rsidRPr="00C22B32">
        <w:rPr>
          <w:bCs/>
          <w:szCs w:val="25"/>
        </w:rPr>
        <w:t>.</w:t>
      </w:r>
      <w:r w:rsidRPr="00C22B32">
        <w:rPr>
          <w:bCs/>
          <w:iCs/>
          <w:szCs w:val="25"/>
        </w:rPr>
        <w:t xml:space="preserve">, </w:t>
      </w:r>
      <w:r w:rsidRPr="00C22B32">
        <w:rPr>
          <w:bCs/>
          <w:kern w:val="0"/>
          <w:szCs w:val="25"/>
        </w:rPr>
        <w:t>Luke 9</w:t>
      </w:r>
      <w:r w:rsidRPr="00C22B32">
        <w:rPr>
          <w:bCs/>
          <w:szCs w:val="25"/>
        </w:rPr>
        <w:t>:</w:t>
      </w:r>
      <w:r w:rsidRPr="00C22B32">
        <w:rPr>
          <w:bCs/>
          <w:kern w:val="0"/>
          <w:szCs w:val="25"/>
        </w:rPr>
        <w:t>18-22 with Mark 8</w:t>
      </w:r>
      <w:r w:rsidRPr="00C22B32">
        <w:rPr>
          <w:bCs/>
          <w:szCs w:val="25"/>
        </w:rPr>
        <w:t>:</w:t>
      </w:r>
      <w:r w:rsidRPr="00C22B32">
        <w:rPr>
          <w:bCs/>
          <w:kern w:val="0"/>
          <w:szCs w:val="25"/>
        </w:rPr>
        <w:t>27-33</w:t>
      </w:r>
      <w:r w:rsidRPr="00C22B32">
        <w:rPr>
          <w:bCs/>
          <w:szCs w:val="25"/>
        </w:rPr>
        <w:t xml:space="preserve"> (</w:t>
      </w:r>
      <w:r w:rsidRPr="00C22B32">
        <w:rPr>
          <w:bCs/>
          <w:kern w:val="0"/>
          <w:szCs w:val="25"/>
        </w:rPr>
        <w:t>Peter</w:t>
      </w:r>
      <w:r w:rsidRPr="00C22B32">
        <w:rPr>
          <w:bCs/>
          <w:szCs w:val="25"/>
        </w:rPr>
        <w:t>’</w:t>
      </w:r>
      <w:r w:rsidRPr="00C22B32">
        <w:rPr>
          <w:bCs/>
          <w:kern w:val="0"/>
          <w:szCs w:val="25"/>
        </w:rPr>
        <w:t>s confession</w:t>
      </w:r>
      <w:r w:rsidRPr="00C22B32">
        <w:rPr>
          <w:bCs/>
          <w:szCs w:val="25"/>
        </w:rPr>
        <w:t>)</w:t>
      </w:r>
      <w:r w:rsidRPr="00C22B32">
        <w:rPr>
          <w:bCs/>
          <w:iCs/>
          <w:szCs w:val="25"/>
        </w:rPr>
        <w:t xml:space="preserve">, </w:t>
      </w:r>
      <w:r w:rsidRPr="00C22B32">
        <w:rPr>
          <w:bCs/>
          <w:kern w:val="0"/>
          <w:szCs w:val="25"/>
        </w:rPr>
        <w:t>or Luke</w:t>
      </w:r>
      <w:r w:rsidRPr="00C22B32">
        <w:rPr>
          <w:bCs/>
          <w:szCs w:val="25"/>
        </w:rPr>
        <w:t>’</w:t>
      </w:r>
      <w:r w:rsidRPr="00C22B32">
        <w:rPr>
          <w:bCs/>
          <w:kern w:val="0"/>
          <w:szCs w:val="25"/>
        </w:rPr>
        <w:t>s transformation of Peter</w:t>
      </w:r>
      <w:r w:rsidRPr="00C22B32">
        <w:rPr>
          <w:bCs/>
          <w:szCs w:val="25"/>
        </w:rPr>
        <w:t>’</w:t>
      </w:r>
      <w:r w:rsidRPr="00C22B32">
        <w:rPr>
          <w:bCs/>
          <w:kern w:val="0"/>
          <w:szCs w:val="25"/>
        </w:rPr>
        <w:t>s cursing</w:t>
      </w:r>
      <w:r w:rsidRPr="00C22B32">
        <w:rPr>
          <w:bCs/>
          <w:szCs w:val="25"/>
        </w:rPr>
        <w:t xml:space="preserve"> (</w:t>
      </w:r>
      <w:r w:rsidRPr="00C22B32">
        <w:rPr>
          <w:bCs/>
          <w:kern w:val="0"/>
          <w:szCs w:val="25"/>
        </w:rPr>
        <w:t>Mark 14</w:t>
      </w:r>
      <w:r w:rsidRPr="00C22B32">
        <w:rPr>
          <w:bCs/>
          <w:szCs w:val="25"/>
        </w:rPr>
        <w:t>:</w:t>
      </w:r>
      <w:r w:rsidRPr="00C22B32">
        <w:rPr>
          <w:bCs/>
          <w:kern w:val="0"/>
          <w:szCs w:val="25"/>
        </w:rPr>
        <w:t>71</w:t>
      </w:r>
      <w:r w:rsidRPr="00C22B32">
        <w:rPr>
          <w:bCs/>
          <w:szCs w:val="25"/>
        </w:rPr>
        <w:t xml:space="preserve">) </w:t>
      </w:r>
      <w:r w:rsidRPr="00C22B32">
        <w:rPr>
          <w:bCs/>
          <w:kern w:val="0"/>
          <w:szCs w:val="25"/>
        </w:rPr>
        <w:t>into a mild abjuration</w:t>
      </w:r>
      <w:r w:rsidRPr="00C22B32">
        <w:rPr>
          <w:bCs/>
          <w:szCs w:val="25"/>
        </w:rPr>
        <w:t xml:space="preserve"> (</w:t>
      </w:r>
      <w:r w:rsidRPr="00C22B32">
        <w:rPr>
          <w:bCs/>
          <w:kern w:val="0"/>
          <w:szCs w:val="25"/>
        </w:rPr>
        <w:t>Luke 22</w:t>
      </w:r>
      <w:r w:rsidRPr="00C22B32">
        <w:rPr>
          <w:bCs/>
          <w:szCs w:val="25"/>
        </w:rPr>
        <w:t>:</w:t>
      </w:r>
      <w:r w:rsidRPr="00C22B32">
        <w:rPr>
          <w:bCs/>
          <w:kern w:val="0"/>
          <w:szCs w:val="25"/>
        </w:rPr>
        <w:t>60</w:t>
      </w:r>
      <w:r w:rsidRPr="00C22B32">
        <w:rPr>
          <w:bCs/>
          <w:szCs w:val="25"/>
        </w:rPr>
        <w:t xml:space="preserve">). </w:t>
      </w:r>
      <w:r w:rsidRPr="00C22B32">
        <w:rPr>
          <w:bCs/>
          <w:kern w:val="0"/>
          <w:szCs w:val="25"/>
        </w:rPr>
        <w:t>On the twelve in Luke</w:t>
      </w:r>
      <w:r w:rsidRPr="00C22B32">
        <w:rPr>
          <w:bCs/>
          <w:iCs/>
          <w:szCs w:val="25"/>
        </w:rPr>
        <w:t xml:space="preserve">, </w:t>
      </w:r>
      <w:r w:rsidRPr="00C22B32">
        <w:rPr>
          <w:bCs/>
          <w:kern w:val="0"/>
          <w:szCs w:val="25"/>
        </w:rPr>
        <w:t>see especially chapter 3 of Jacob Jervell</w:t>
      </w:r>
      <w:r w:rsidRPr="00C22B32">
        <w:rPr>
          <w:bCs/>
          <w:szCs w:val="25"/>
        </w:rPr>
        <w:t>’</w:t>
      </w:r>
      <w:r w:rsidRPr="00C22B32">
        <w:rPr>
          <w:bCs/>
          <w:kern w:val="0"/>
          <w:szCs w:val="25"/>
        </w:rPr>
        <w:t xml:space="preserve">s </w:t>
      </w:r>
      <w:r w:rsidRPr="00C22B32">
        <w:rPr>
          <w:bCs/>
          <w:i/>
          <w:iCs/>
          <w:kern w:val="0"/>
          <w:szCs w:val="25"/>
        </w:rPr>
        <w:t>Luke and the People of God</w:t>
      </w:r>
      <w:r w:rsidRPr="00C22B32">
        <w:rPr>
          <w:bCs/>
          <w:iCs/>
          <w:szCs w:val="25"/>
        </w:rPr>
        <w:t xml:space="preserve">: </w:t>
      </w:r>
      <w:r w:rsidRPr="00C22B32">
        <w:rPr>
          <w:bCs/>
          <w:i/>
          <w:iCs/>
          <w:kern w:val="0"/>
          <w:szCs w:val="25"/>
        </w:rPr>
        <w:t>A New Look at Luke-Acts</w:t>
      </w:r>
      <w:r w:rsidRPr="00C22B32">
        <w:rPr>
          <w:bCs/>
          <w:iCs/>
          <w:szCs w:val="25"/>
        </w:rPr>
        <w:t xml:space="preserve"> (</w:t>
      </w:r>
      <w:r w:rsidRPr="00C22B32">
        <w:rPr>
          <w:bCs/>
          <w:kern w:val="0"/>
          <w:szCs w:val="25"/>
        </w:rPr>
        <w:t>Minneapolis</w:t>
      </w:r>
      <w:r w:rsidRPr="00C22B32">
        <w:rPr>
          <w:bCs/>
          <w:szCs w:val="25"/>
        </w:rPr>
        <w:t>:</w:t>
      </w:r>
      <w:r>
        <w:rPr>
          <w:bCs/>
          <w:szCs w:val="25"/>
        </w:rPr>
        <w:t xml:space="preserve"> </w:t>
      </w:r>
      <w:r w:rsidRPr="00C22B32">
        <w:rPr>
          <w:bCs/>
          <w:kern w:val="0"/>
          <w:szCs w:val="25"/>
        </w:rPr>
        <w:t>Augsburg</w:t>
      </w:r>
      <w:r w:rsidRPr="00C22B32">
        <w:rPr>
          <w:bCs/>
          <w:iCs/>
          <w:szCs w:val="25"/>
        </w:rPr>
        <w:t xml:space="preserve">, </w:t>
      </w:r>
      <w:r w:rsidRPr="00C22B32">
        <w:rPr>
          <w:bCs/>
          <w:kern w:val="0"/>
          <w:szCs w:val="25"/>
        </w:rPr>
        <w:t>1972</w:t>
      </w:r>
      <w:r w:rsidRPr="00C22B32">
        <w:rPr>
          <w:bCs/>
          <w:szCs w:val="25"/>
        </w:rPr>
        <w:t xml:space="preserve">) </w:t>
      </w:r>
      <w:r w:rsidRPr="00C22B32">
        <w:rPr>
          <w:bCs/>
          <w:kern w:val="0"/>
          <w:szCs w:val="25"/>
        </w:rPr>
        <w:t>75-112</w:t>
      </w:r>
      <w:r w:rsidRPr="00C22B32">
        <w:rPr>
          <w:bCs/>
          <w:szCs w:val="25"/>
        </w:rPr>
        <w:t xml:space="preserve">); </w:t>
      </w:r>
      <w:r w:rsidRPr="00C22B32">
        <w:rPr>
          <w:bCs/>
          <w:kern w:val="0"/>
          <w:szCs w:val="25"/>
        </w:rPr>
        <w:t>H</w:t>
      </w:r>
      <w:r w:rsidRPr="00C22B32">
        <w:rPr>
          <w:bCs/>
          <w:szCs w:val="25"/>
        </w:rPr>
        <w:t xml:space="preserve">. </w:t>
      </w:r>
      <w:r w:rsidRPr="00C22B32">
        <w:rPr>
          <w:bCs/>
          <w:kern w:val="0"/>
          <w:szCs w:val="25"/>
        </w:rPr>
        <w:t>Flender</w:t>
      </w:r>
      <w:r w:rsidRPr="00C22B32">
        <w:rPr>
          <w:bCs/>
          <w:iCs/>
          <w:szCs w:val="25"/>
        </w:rPr>
        <w:t xml:space="preserve">, </w:t>
      </w:r>
      <w:r w:rsidRPr="00C22B32">
        <w:rPr>
          <w:bCs/>
          <w:i/>
          <w:iCs/>
          <w:kern w:val="0"/>
          <w:szCs w:val="25"/>
        </w:rPr>
        <w:t>St Luke</w:t>
      </w:r>
      <w:r w:rsidRPr="00C22B32">
        <w:rPr>
          <w:bCs/>
          <w:iCs/>
          <w:szCs w:val="25"/>
        </w:rPr>
        <w:t xml:space="preserve">: </w:t>
      </w:r>
      <w:r w:rsidRPr="00C22B32">
        <w:rPr>
          <w:bCs/>
          <w:i/>
          <w:iCs/>
          <w:kern w:val="0"/>
          <w:szCs w:val="25"/>
        </w:rPr>
        <w:t>Theologian of Redemptive History</w:t>
      </w:r>
      <w:r w:rsidRPr="00C22B32">
        <w:rPr>
          <w:bCs/>
          <w:iCs/>
          <w:szCs w:val="25"/>
        </w:rPr>
        <w:t xml:space="preserve"> (</w:t>
      </w:r>
      <w:r w:rsidRPr="00C22B32">
        <w:rPr>
          <w:bCs/>
          <w:kern w:val="0"/>
          <w:szCs w:val="25"/>
        </w:rPr>
        <w:t>Philadelphia</w:t>
      </w:r>
      <w:r w:rsidRPr="00C22B32">
        <w:rPr>
          <w:bCs/>
          <w:szCs w:val="25"/>
        </w:rPr>
        <w:t xml:space="preserve">: </w:t>
      </w:r>
      <w:r w:rsidRPr="00C22B32">
        <w:rPr>
          <w:bCs/>
          <w:kern w:val="0"/>
          <w:szCs w:val="25"/>
        </w:rPr>
        <w:t>Fortress</w:t>
      </w:r>
      <w:r w:rsidRPr="00C22B32">
        <w:rPr>
          <w:bCs/>
          <w:iCs/>
          <w:szCs w:val="25"/>
        </w:rPr>
        <w:t xml:space="preserve">, </w:t>
      </w:r>
      <w:r w:rsidRPr="00C22B32">
        <w:rPr>
          <w:bCs/>
          <w:kern w:val="0"/>
          <w:szCs w:val="25"/>
        </w:rPr>
        <w:t>1967</w:t>
      </w:r>
      <w:r w:rsidRPr="00C22B32">
        <w:rPr>
          <w:bCs/>
          <w:szCs w:val="25"/>
        </w:rPr>
        <w:t xml:space="preserve">) </w:t>
      </w:r>
      <w:r w:rsidRPr="00C22B32">
        <w:rPr>
          <w:bCs/>
          <w:kern w:val="0"/>
          <w:szCs w:val="25"/>
        </w:rPr>
        <w:t>24-25</w:t>
      </w:r>
      <w:r w:rsidRPr="00C22B32">
        <w:rPr>
          <w:bCs/>
          <w:iCs/>
          <w:szCs w:val="25"/>
        </w:rPr>
        <w:t xml:space="preserve">, </w:t>
      </w:r>
      <w:r w:rsidRPr="00C22B32">
        <w:rPr>
          <w:bCs/>
          <w:kern w:val="0"/>
          <w:szCs w:val="25"/>
        </w:rPr>
        <w:t>118</w:t>
      </w:r>
      <w:r w:rsidRPr="00C22B32">
        <w:rPr>
          <w:bCs/>
          <w:iCs/>
          <w:szCs w:val="25"/>
        </w:rPr>
        <w:t xml:space="preserve">, </w:t>
      </w:r>
      <w:r w:rsidRPr="00C22B32">
        <w:rPr>
          <w:bCs/>
          <w:kern w:val="0"/>
          <w:szCs w:val="25"/>
        </w:rPr>
        <w:t>129-31</w:t>
      </w:r>
      <w:r w:rsidRPr="00C22B32">
        <w:rPr>
          <w:bCs/>
          <w:szCs w:val="25"/>
        </w:rPr>
        <w:t xml:space="preserve">; </w:t>
      </w:r>
      <w:r w:rsidRPr="00C22B32">
        <w:rPr>
          <w:bCs/>
          <w:kern w:val="0"/>
          <w:szCs w:val="25"/>
        </w:rPr>
        <w:t>and E</w:t>
      </w:r>
      <w:r w:rsidRPr="00C22B32">
        <w:rPr>
          <w:bCs/>
          <w:szCs w:val="25"/>
        </w:rPr>
        <w:t xml:space="preserve">. </w:t>
      </w:r>
      <w:r w:rsidRPr="00C22B32">
        <w:rPr>
          <w:bCs/>
          <w:kern w:val="0"/>
          <w:szCs w:val="25"/>
        </w:rPr>
        <w:t>Franklin</w:t>
      </w:r>
      <w:r w:rsidRPr="00C22B32">
        <w:rPr>
          <w:bCs/>
          <w:iCs/>
          <w:szCs w:val="25"/>
        </w:rPr>
        <w:t xml:space="preserve">, </w:t>
      </w:r>
      <w:r w:rsidRPr="00C22B32">
        <w:rPr>
          <w:bCs/>
          <w:i/>
          <w:iCs/>
          <w:kern w:val="0"/>
          <w:szCs w:val="25"/>
        </w:rPr>
        <w:t>Christ the Lord</w:t>
      </w:r>
      <w:r w:rsidRPr="00C22B32">
        <w:rPr>
          <w:bCs/>
          <w:iCs/>
          <w:szCs w:val="25"/>
        </w:rPr>
        <w:t>:</w:t>
      </w:r>
      <w:r>
        <w:rPr>
          <w:bCs/>
          <w:iCs/>
          <w:szCs w:val="25"/>
        </w:rPr>
        <w:t xml:space="preserve"> </w:t>
      </w:r>
      <w:r w:rsidRPr="00C22B32">
        <w:rPr>
          <w:bCs/>
          <w:i/>
          <w:iCs/>
          <w:kern w:val="0"/>
          <w:szCs w:val="25"/>
        </w:rPr>
        <w:t>A Study in the Purpose and Theology of Luke-Acts</w:t>
      </w:r>
      <w:r w:rsidRPr="00C22B32">
        <w:rPr>
          <w:bCs/>
          <w:iCs/>
          <w:szCs w:val="25"/>
        </w:rPr>
        <w:t xml:space="preserve"> (</w:t>
      </w:r>
      <w:r w:rsidRPr="00C22B32">
        <w:rPr>
          <w:bCs/>
          <w:kern w:val="0"/>
          <w:szCs w:val="25"/>
        </w:rPr>
        <w:t>Philadelphia</w:t>
      </w:r>
      <w:r w:rsidRPr="00C22B32">
        <w:rPr>
          <w:bCs/>
          <w:szCs w:val="25"/>
        </w:rPr>
        <w:t xml:space="preserve">: </w:t>
      </w:r>
      <w:r w:rsidRPr="00C22B32">
        <w:rPr>
          <w:bCs/>
          <w:kern w:val="0"/>
          <w:szCs w:val="25"/>
        </w:rPr>
        <w:t>Westminster</w:t>
      </w:r>
      <w:r w:rsidRPr="00C22B32">
        <w:rPr>
          <w:bCs/>
          <w:iCs/>
          <w:szCs w:val="25"/>
        </w:rPr>
        <w:t xml:space="preserve">, </w:t>
      </w:r>
      <w:r w:rsidRPr="00C22B32">
        <w:rPr>
          <w:bCs/>
          <w:kern w:val="0"/>
          <w:szCs w:val="25"/>
        </w:rPr>
        <w:t>1975</w:t>
      </w:r>
      <w:r w:rsidRPr="00C22B32">
        <w:rPr>
          <w:bCs/>
          <w:szCs w:val="25"/>
        </w:rPr>
        <w:t xml:space="preserve">) </w:t>
      </w:r>
      <w:r w:rsidRPr="00C22B32">
        <w:rPr>
          <w:bCs/>
          <w:kern w:val="0"/>
          <w:szCs w:val="25"/>
        </w:rPr>
        <w:t>96-97</w:t>
      </w:r>
      <w:r w:rsidRPr="00C22B32">
        <w:rPr>
          <w:bCs/>
          <w:iCs/>
          <w:szCs w:val="25"/>
        </w:rPr>
        <w:t xml:space="preserve">, </w:t>
      </w:r>
      <w:r w:rsidRPr="00C22B32">
        <w:rPr>
          <w:bCs/>
          <w:kern w:val="0"/>
          <w:szCs w:val="25"/>
        </w:rPr>
        <w:t>167-70</w:t>
      </w:r>
      <w:r w:rsidRPr="00C22B32">
        <w:rPr>
          <w:bCs/>
          <w:szCs w:val="25"/>
        </w:rPr>
        <w:t xml:space="preserve">. </w:t>
      </w:r>
      <w:r w:rsidRPr="00C22B32">
        <w:rPr>
          <w:bCs/>
          <w:kern w:val="0"/>
          <w:szCs w:val="25"/>
        </w:rPr>
        <w:t>Prior to the sermon</w:t>
      </w:r>
      <w:r w:rsidRPr="00C22B32">
        <w:rPr>
          <w:bCs/>
          <w:iCs/>
          <w:szCs w:val="25"/>
        </w:rPr>
        <w:t xml:space="preserve">, </w:t>
      </w:r>
      <w:r w:rsidRPr="00C22B32">
        <w:rPr>
          <w:bCs/>
          <w:kern w:val="0"/>
          <w:szCs w:val="25"/>
        </w:rPr>
        <w:t>in 6</w:t>
      </w:r>
      <w:r w:rsidRPr="00C22B32">
        <w:rPr>
          <w:bCs/>
          <w:szCs w:val="25"/>
        </w:rPr>
        <w:t>:</w:t>
      </w:r>
      <w:r w:rsidRPr="00C22B32">
        <w:rPr>
          <w:bCs/>
          <w:kern w:val="0"/>
          <w:szCs w:val="25"/>
        </w:rPr>
        <w:t>13</w:t>
      </w:r>
      <w:r w:rsidRPr="00C22B32">
        <w:rPr>
          <w:bCs/>
          <w:iCs/>
          <w:szCs w:val="25"/>
        </w:rPr>
        <w:t xml:space="preserve">, </w:t>
      </w:r>
      <w:r w:rsidRPr="00C22B32">
        <w:rPr>
          <w:bCs/>
          <w:kern w:val="0"/>
          <w:szCs w:val="25"/>
        </w:rPr>
        <w:t>Luke identifies the twelve with the apostles</w:t>
      </w:r>
      <w:r w:rsidRPr="00C22B32">
        <w:rPr>
          <w:bCs/>
          <w:szCs w:val="25"/>
        </w:rPr>
        <w:t xml:space="preserve"> (</w:t>
      </w:r>
      <w:r w:rsidRPr="00C22B32">
        <w:rPr>
          <w:bCs/>
          <w:kern w:val="0"/>
          <w:szCs w:val="25"/>
        </w:rPr>
        <w:t>despite Acts 14</w:t>
      </w:r>
      <w:r w:rsidRPr="00C22B32">
        <w:rPr>
          <w:bCs/>
          <w:szCs w:val="25"/>
        </w:rPr>
        <w:t>:</w:t>
      </w:r>
      <w:r w:rsidRPr="00C22B32">
        <w:rPr>
          <w:bCs/>
          <w:kern w:val="0"/>
          <w:szCs w:val="25"/>
        </w:rPr>
        <w:t>4</w:t>
      </w:r>
      <w:r w:rsidRPr="00C22B32">
        <w:rPr>
          <w:bCs/>
          <w:iCs/>
          <w:szCs w:val="25"/>
        </w:rPr>
        <w:t xml:space="preserve">, </w:t>
      </w:r>
      <w:r w:rsidRPr="00C22B32">
        <w:rPr>
          <w:bCs/>
          <w:kern w:val="0"/>
          <w:szCs w:val="25"/>
        </w:rPr>
        <w:t>14</w:t>
      </w:r>
      <w:r w:rsidRPr="00C22B32">
        <w:rPr>
          <w:bCs/>
          <w:iCs/>
          <w:szCs w:val="25"/>
        </w:rPr>
        <w:t xml:space="preserve">, </w:t>
      </w:r>
      <w:r w:rsidRPr="00C22B32">
        <w:rPr>
          <w:bCs/>
          <w:kern w:val="0"/>
          <w:szCs w:val="25"/>
        </w:rPr>
        <w:t xml:space="preserve">where Paul and Barnabas are </w:t>
      </w:r>
      <w:r>
        <w:rPr>
          <w:bCs/>
          <w:szCs w:val="25"/>
        </w:rPr>
        <w:t xml:space="preserve">also </w:t>
      </w:r>
      <w:r w:rsidRPr="00C22B32">
        <w:rPr>
          <w:bCs/>
          <w:kern w:val="0"/>
          <w:szCs w:val="25"/>
        </w:rPr>
        <w:t>called</w:t>
      </w:r>
      <w:r w:rsidRPr="00C22B32">
        <w:rPr>
          <w:bCs/>
          <w:szCs w:val="25"/>
        </w:rPr>
        <w:t xml:space="preserve"> “</w:t>
      </w:r>
      <w:r w:rsidRPr="00C22B32">
        <w:rPr>
          <w:bCs/>
          <w:kern w:val="0"/>
          <w:szCs w:val="25"/>
        </w:rPr>
        <w:t>apostles</w:t>
      </w:r>
      <w:r w:rsidRPr="00C22B32">
        <w:rPr>
          <w:bCs/>
          <w:szCs w:val="25"/>
        </w:rPr>
        <w:t>”)</w:t>
      </w:r>
      <w:r>
        <w:rPr>
          <w:bCs/>
          <w:szCs w:val="25"/>
        </w:rPr>
        <w:t>. O</w:t>
      </w:r>
      <w:r w:rsidRPr="00C22B32">
        <w:rPr>
          <w:bCs/>
          <w:kern w:val="0"/>
          <w:szCs w:val="25"/>
        </w:rPr>
        <w:t>n the concept of apostle in Luke</w:t>
      </w:r>
      <w:r w:rsidRPr="00C22B32">
        <w:rPr>
          <w:bCs/>
          <w:iCs/>
          <w:szCs w:val="25"/>
        </w:rPr>
        <w:t xml:space="preserve">, </w:t>
      </w:r>
      <w:r w:rsidRPr="00C22B32">
        <w:rPr>
          <w:bCs/>
          <w:kern w:val="0"/>
          <w:szCs w:val="25"/>
        </w:rPr>
        <w:t>see Donald Juel</w:t>
      </w:r>
      <w:r w:rsidRPr="00C22B32">
        <w:rPr>
          <w:bCs/>
          <w:iCs/>
          <w:szCs w:val="25"/>
        </w:rPr>
        <w:t xml:space="preserve">, </w:t>
      </w:r>
      <w:r w:rsidRPr="00C22B32">
        <w:rPr>
          <w:bCs/>
          <w:i/>
          <w:iCs/>
          <w:kern w:val="0"/>
          <w:szCs w:val="25"/>
        </w:rPr>
        <w:t>Luke-Acts</w:t>
      </w:r>
      <w:r w:rsidRPr="00C22B32">
        <w:rPr>
          <w:bCs/>
          <w:iCs/>
          <w:szCs w:val="25"/>
        </w:rPr>
        <w:t xml:space="preserve">: </w:t>
      </w:r>
      <w:r w:rsidRPr="00C22B32">
        <w:rPr>
          <w:bCs/>
          <w:i/>
          <w:iCs/>
          <w:kern w:val="0"/>
          <w:szCs w:val="25"/>
        </w:rPr>
        <w:t>The Promise of History</w:t>
      </w:r>
      <w:r w:rsidRPr="00C22B32">
        <w:rPr>
          <w:bCs/>
          <w:iCs/>
          <w:szCs w:val="25"/>
        </w:rPr>
        <w:t xml:space="preserve"> (</w:t>
      </w:r>
      <w:r w:rsidRPr="00C22B32">
        <w:rPr>
          <w:bCs/>
          <w:kern w:val="0"/>
          <w:szCs w:val="25"/>
        </w:rPr>
        <w:t>Atlanta</w:t>
      </w:r>
      <w:r w:rsidRPr="00C22B32">
        <w:rPr>
          <w:bCs/>
          <w:szCs w:val="25"/>
        </w:rPr>
        <w:t xml:space="preserve">: </w:t>
      </w:r>
      <w:r w:rsidRPr="00C22B32">
        <w:rPr>
          <w:bCs/>
          <w:kern w:val="0"/>
          <w:szCs w:val="25"/>
        </w:rPr>
        <w:t>John Knox</w:t>
      </w:r>
      <w:r w:rsidRPr="00C22B32">
        <w:rPr>
          <w:bCs/>
          <w:iCs/>
          <w:szCs w:val="25"/>
        </w:rPr>
        <w:t xml:space="preserve">, </w:t>
      </w:r>
      <w:r w:rsidRPr="00C22B32">
        <w:rPr>
          <w:bCs/>
          <w:kern w:val="0"/>
          <w:szCs w:val="25"/>
        </w:rPr>
        <w:t>1983</w:t>
      </w:r>
      <w:r w:rsidRPr="00C22B32">
        <w:rPr>
          <w:bCs/>
          <w:szCs w:val="25"/>
        </w:rPr>
        <w:t xml:space="preserve">) </w:t>
      </w:r>
      <w:r w:rsidRPr="00C22B32">
        <w:rPr>
          <w:bCs/>
          <w:kern w:val="0"/>
          <w:szCs w:val="25"/>
        </w:rPr>
        <w:t>64-65</w:t>
      </w:r>
      <w:r w:rsidRPr="00C22B32">
        <w:rPr>
          <w:bCs/>
          <w:szCs w:val="25"/>
        </w:rPr>
        <w:t xml:space="preserve"> (</w:t>
      </w:r>
      <w:r w:rsidRPr="00C22B32">
        <w:rPr>
          <w:bCs/>
          <w:kern w:val="0"/>
          <w:szCs w:val="25"/>
        </w:rPr>
        <w:t>referring especially to Luke 9</w:t>
      </w:r>
      <w:r w:rsidRPr="00C22B32">
        <w:rPr>
          <w:bCs/>
          <w:szCs w:val="25"/>
        </w:rPr>
        <w:t>:</w:t>
      </w:r>
      <w:r w:rsidRPr="00C22B32">
        <w:rPr>
          <w:bCs/>
          <w:kern w:val="0"/>
          <w:szCs w:val="25"/>
        </w:rPr>
        <w:t>1-5</w:t>
      </w:r>
      <w:r w:rsidRPr="00C22B32">
        <w:rPr>
          <w:bCs/>
          <w:iCs/>
          <w:szCs w:val="25"/>
        </w:rPr>
        <w:t xml:space="preserve">, </w:t>
      </w:r>
      <w:r w:rsidRPr="00C22B32">
        <w:rPr>
          <w:bCs/>
          <w:kern w:val="0"/>
          <w:szCs w:val="25"/>
        </w:rPr>
        <w:t>10</w:t>
      </w:r>
      <w:r w:rsidRPr="00C22B32">
        <w:rPr>
          <w:bCs/>
          <w:szCs w:val="25"/>
        </w:rPr>
        <w:t>:</w:t>
      </w:r>
      <w:r w:rsidRPr="00C22B32">
        <w:rPr>
          <w:bCs/>
          <w:kern w:val="0"/>
          <w:szCs w:val="25"/>
        </w:rPr>
        <w:t>1-16</w:t>
      </w:r>
      <w:r w:rsidRPr="00C22B32">
        <w:rPr>
          <w:bCs/>
          <w:iCs/>
          <w:szCs w:val="25"/>
        </w:rPr>
        <w:t xml:space="preserve">, </w:t>
      </w:r>
      <w:r w:rsidRPr="00C22B32">
        <w:rPr>
          <w:bCs/>
          <w:kern w:val="0"/>
          <w:szCs w:val="25"/>
        </w:rPr>
        <w:t>12</w:t>
      </w:r>
      <w:r w:rsidRPr="00C22B32">
        <w:rPr>
          <w:bCs/>
          <w:szCs w:val="25"/>
        </w:rPr>
        <w:t>:</w:t>
      </w:r>
      <w:r w:rsidRPr="00C22B32">
        <w:rPr>
          <w:bCs/>
          <w:kern w:val="0"/>
          <w:szCs w:val="25"/>
        </w:rPr>
        <w:t>8-12</w:t>
      </w:r>
      <w:r w:rsidRPr="00C22B32">
        <w:rPr>
          <w:bCs/>
          <w:iCs/>
          <w:szCs w:val="25"/>
        </w:rPr>
        <w:t xml:space="preserve">, </w:t>
      </w:r>
      <w:r w:rsidRPr="00C22B32">
        <w:rPr>
          <w:bCs/>
          <w:kern w:val="0"/>
          <w:szCs w:val="25"/>
        </w:rPr>
        <w:t>21</w:t>
      </w:r>
      <w:r w:rsidRPr="00C22B32">
        <w:rPr>
          <w:bCs/>
          <w:szCs w:val="25"/>
        </w:rPr>
        <w:t>:</w:t>
      </w:r>
      <w:r w:rsidRPr="00C22B32">
        <w:rPr>
          <w:bCs/>
          <w:kern w:val="0"/>
          <w:szCs w:val="25"/>
        </w:rPr>
        <w:t>12-19</w:t>
      </w:r>
      <w:r w:rsidRPr="00C22B32">
        <w:rPr>
          <w:bCs/>
          <w:iCs/>
          <w:szCs w:val="25"/>
        </w:rPr>
        <w:t xml:space="preserve">, </w:t>
      </w:r>
      <w:r w:rsidRPr="00C22B32">
        <w:rPr>
          <w:bCs/>
          <w:kern w:val="0"/>
          <w:szCs w:val="25"/>
        </w:rPr>
        <w:t>22</w:t>
      </w:r>
      <w:r w:rsidRPr="00C22B32">
        <w:rPr>
          <w:bCs/>
          <w:szCs w:val="25"/>
        </w:rPr>
        <w:t>:</w:t>
      </w:r>
      <w:r w:rsidRPr="00C22B32">
        <w:rPr>
          <w:bCs/>
          <w:kern w:val="0"/>
          <w:szCs w:val="25"/>
        </w:rPr>
        <w:t>28-30</w:t>
      </w:r>
      <w:r w:rsidRPr="00C22B32">
        <w:rPr>
          <w:bCs/>
          <w:iCs/>
          <w:szCs w:val="25"/>
        </w:rPr>
        <w:t xml:space="preserve">, </w:t>
      </w:r>
      <w:r w:rsidRPr="00C22B32">
        <w:rPr>
          <w:bCs/>
          <w:kern w:val="0"/>
          <w:szCs w:val="25"/>
        </w:rPr>
        <w:t>and 24</w:t>
      </w:r>
      <w:r w:rsidRPr="00C22B32">
        <w:rPr>
          <w:bCs/>
          <w:szCs w:val="25"/>
        </w:rPr>
        <w:t>:</w:t>
      </w:r>
      <w:r w:rsidRPr="00C22B32">
        <w:rPr>
          <w:bCs/>
          <w:kern w:val="0"/>
          <w:szCs w:val="25"/>
        </w:rPr>
        <w:t>46-49</w:t>
      </w:r>
      <w:r w:rsidRPr="00C22B32">
        <w:rPr>
          <w:bCs/>
          <w:szCs w:val="25"/>
        </w:rPr>
        <w:t>.)</w:t>
      </w:r>
    </w:p>
  </w:footnote>
  <w:footnote w:id="872">
    <w:p w14:paraId="1910CCDF" w14:textId="77777777" w:rsidR="00B47A48" w:rsidRDefault="00B47A48" w:rsidP="00B47A48">
      <w:pPr>
        <w:pStyle w:val="FootnoteText"/>
      </w:pPr>
      <w:r>
        <w:rPr>
          <w:rStyle w:val="FootnoteReference"/>
        </w:rPr>
        <w:footnoteRef/>
      </w:r>
      <w:r>
        <w:t xml:space="preserve"> </w:t>
      </w:r>
      <w:r>
        <w:rPr>
          <w:bCs/>
          <w:szCs w:val="25"/>
        </w:rPr>
        <w:t>F</w:t>
      </w:r>
      <w:r w:rsidRPr="00C22B32">
        <w:rPr>
          <w:bCs/>
          <w:kern w:val="0"/>
          <w:szCs w:val="25"/>
        </w:rPr>
        <w:t>urther witness is found in Luke 4</w:t>
      </w:r>
      <w:r w:rsidRPr="00C22B32">
        <w:rPr>
          <w:bCs/>
          <w:szCs w:val="25"/>
        </w:rPr>
        <w:t>:</w:t>
      </w:r>
      <w:r w:rsidRPr="00C22B32">
        <w:rPr>
          <w:bCs/>
          <w:kern w:val="0"/>
          <w:szCs w:val="25"/>
        </w:rPr>
        <w:t>24</w:t>
      </w:r>
      <w:r w:rsidRPr="00C22B32">
        <w:rPr>
          <w:bCs/>
          <w:szCs w:val="25"/>
        </w:rPr>
        <w:t xml:space="preserve"> (</w:t>
      </w:r>
      <w:r>
        <w:rPr>
          <w:bCs/>
          <w:szCs w:val="25"/>
        </w:rPr>
        <w:t>“</w:t>
      </w:r>
      <w:r w:rsidRPr="00C22B32">
        <w:rPr>
          <w:bCs/>
          <w:kern w:val="0"/>
          <w:szCs w:val="25"/>
        </w:rPr>
        <w:t>no prophet is acceptable in his own country</w:t>
      </w:r>
      <w:r w:rsidRPr="00C22B32">
        <w:rPr>
          <w:bCs/>
          <w:szCs w:val="25"/>
        </w:rPr>
        <w:t>”)</w:t>
      </w:r>
      <w:r w:rsidRPr="00C22B32">
        <w:rPr>
          <w:bCs/>
          <w:iCs/>
          <w:szCs w:val="25"/>
        </w:rPr>
        <w:t xml:space="preserve">, </w:t>
      </w:r>
      <w:r w:rsidRPr="00C22B32">
        <w:rPr>
          <w:bCs/>
          <w:kern w:val="0"/>
          <w:szCs w:val="25"/>
        </w:rPr>
        <w:t>11</w:t>
      </w:r>
      <w:r w:rsidRPr="00C22B32">
        <w:rPr>
          <w:bCs/>
          <w:szCs w:val="25"/>
        </w:rPr>
        <w:t>:</w:t>
      </w:r>
      <w:r w:rsidRPr="00C22B32">
        <w:rPr>
          <w:bCs/>
          <w:kern w:val="0"/>
          <w:szCs w:val="25"/>
        </w:rPr>
        <w:t>47</w:t>
      </w:r>
      <w:r w:rsidRPr="00C22B32">
        <w:rPr>
          <w:bCs/>
          <w:szCs w:val="25"/>
        </w:rPr>
        <w:t xml:space="preserve"> (“</w:t>
      </w:r>
      <w:r w:rsidRPr="00C22B32">
        <w:rPr>
          <w:bCs/>
          <w:kern w:val="0"/>
          <w:szCs w:val="25"/>
        </w:rPr>
        <w:t>Woe to you</w:t>
      </w:r>
      <w:r w:rsidRPr="00C22B32">
        <w:rPr>
          <w:bCs/>
          <w:szCs w:val="25"/>
        </w:rPr>
        <w:t xml:space="preserve">! </w:t>
      </w:r>
      <w:r w:rsidRPr="00C22B32">
        <w:rPr>
          <w:bCs/>
          <w:kern w:val="0"/>
          <w:szCs w:val="25"/>
        </w:rPr>
        <w:t>for you build the tombs of the prophets whom your fathers killed</w:t>
      </w:r>
      <w:r w:rsidRPr="00C22B32">
        <w:rPr>
          <w:bCs/>
          <w:szCs w:val="25"/>
        </w:rPr>
        <w:t>”)</w:t>
      </w:r>
      <w:r w:rsidRPr="00C22B32">
        <w:rPr>
          <w:bCs/>
          <w:iCs/>
          <w:szCs w:val="25"/>
        </w:rPr>
        <w:t xml:space="preserve">, </w:t>
      </w:r>
      <w:r w:rsidRPr="00C22B32">
        <w:rPr>
          <w:bCs/>
          <w:kern w:val="0"/>
          <w:szCs w:val="25"/>
        </w:rPr>
        <w:t>11</w:t>
      </w:r>
      <w:r w:rsidRPr="00C22B32">
        <w:rPr>
          <w:bCs/>
          <w:szCs w:val="25"/>
        </w:rPr>
        <w:t>:</w:t>
      </w:r>
      <w:r w:rsidRPr="00C22B32">
        <w:rPr>
          <w:bCs/>
          <w:kern w:val="0"/>
          <w:szCs w:val="25"/>
        </w:rPr>
        <w:t>50</w:t>
      </w:r>
      <w:r w:rsidRPr="00C22B32">
        <w:rPr>
          <w:bCs/>
          <w:szCs w:val="25"/>
        </w:rPr>
        <w:t xml:space="preserve"> (“</w:t>
      </w:r>
      <w:r w:rsidRPr="00C22B32">
        <w:rPr>
          <w:bCs/>
          <w:kern w:val="0"/>
          <w:szCs w:val="25"/>
        </w:rPr>
        <w:t xml:space="preserve">that the blood of all the prophets </w:t>
      </w:r>
      <w:r>
        <w:rPr>
          <w:bCs/>
          <w:szCs w:val="25"/>
        </w:rPr>
        <w:t xml:space="preserve">. . . </w:t>
      </w:r>
      <w:r w:rsidRPr="00C22B32">
        <w:rPr>
          <w:bCs/>
          <w:kern w:val="0"/>
          <w:szCs w:val="25"/>
        </w:rPr>
        <w:t>may be required of this generation</w:t>
      </w:r>
      <w:r w:rsidRPr="00C22B32">
        <w:rPr>
          <w:bCs/>
          <w:szCs w:val="25"/>
        </w:rPr>
        <w:t>”)</w:t>
      </w:r>
      <w:r w:rsidRPr="00C22B32">
        <w:rPr>
          <w:bCs/>
          <w:iCs/>
          <w:szCs w:val="25"/>
        </w:rPr>
        <w:t xml:space="preserve">, </w:t>
      </w:r>
      <w:r w:rsidRPr="00C22B32">
        <w:rPr>
          <w:bCs/>
          <w:kern w:val="0"/>
          <w:szCs w:val="25"/>
        </w:rPr>
        <w:t>13</w:t>
      </w:r>
      <w:r w:rsidRPr="00C22B32">
        <w:rPr>
          <w:bCs/>
          <w:szCs w:val="25"/>
        </w:rPr>
        <w:t>:</w:t>
      </w:r>
      <w:r w:rsidRPr="00C22B32">
        <w:rPr>
          <w:bCs/>
          <w:kern w:val="0"/>
          <w:szCs w:val="25"/>
        </w:rPr>
        <w:t>34</w:t>
      </w:r>
      <w:r w:rsidRPr="00C22B32">
        <w:rPr>
          <w:bCs/>
          <w:szCs w:val="25"/>
        </w:rPr>
        <w:t xml:space="preserve"> (</w:t>
      </w:r>
      <w:r>
        <w:rPr>
          <w:bCs/>
          <w:szCs w:val="25"/>
        </w:rPr>
        <w:t>“</w:t>
      </w:r>
      <w:r w:rsidRPr="00C22B32">
        <w:rPr>
          <w:bCs/>
          <w:kern w:val="0"/>
          <w:szCs w:val="25"/>
        </w:rPr>
        <w:t>O Jerusalem</w:t>
      </w:r>
      <w:r w:rsidRPr="00C22B32">
        <w:rPr>
          <w:bCs/>
          <w:iCs/>
          <w:szCs w:val="25"/>
        </w:rPr>
        <w:t xml:space="preserve">, </w:t>
      </w:r>
      <w:r w:rsidRPr="00C22B32">
        <w:rPr>
          <w:bCs/>
          <w:kern w:val="0"/>
          <w:szCs w:val="25"/>
        </w:rPr>
        <w:t>Jerusalem</w:t>
      </w:r>
      <w:r w:rsidRPr="00C22B32">
        <w:rPr>
          <w:bCs/>
          <w:iCs/>
          <w:szCs w:val="25"/>
        </w:rPr>
        <w:t xml:space="preserve">, </w:t>
      </w:r>
      <w:r w:rsidRPr="00C22B32">
        <w:rPr>
          <w:bCs/>
          <w:kern w:val="0"/>
          <w:szCs w:val="25"/>
        </w:rPr>
        <w:t>killing the prophets</w:t>
      </w:r>
      <w:r w:rsidRPr="00C22B32">
        <w:rPr>
          <w:bCs/>
          <w:szCs w:val="25"/>
        </w:rPr>
        <w:t>”)</w:t>
      </w:r>
      <w:r w:rsidRPr="00C22B32">
        <w:rPr>
          <w:bCs/>
          <w:iCs/>
          <w:szCs w:val="25"/>
        </w:rPr>
        <w:t xml:space="preserve">, </w:t>
      </w:r>
      <w:r w:rsidRPr="00C22B32">
        <w:rPr>
          <w:bCs/>
          <w:kern w:val="0"/>
          <w:szCs w:val="25"/>
        </w:rPr>
        <w:t>and Acts 7</w:t>
      </w:r>
      <w:r w:rsidRPr="00C22B32">
        <w:rPr>
          <w:bCs/>
          <w:szCs w:val="25"/>
        </w:rPr>
        <w:t>:</w:t>
      </w:r>
      <w:r w:rsidRPr="00C22B32">
        <w:rPr>
          <w:bCs/>
          <w:kern w:val="0"/>
          <w:szCs w:val="25"/>
        </w:rPr>
        <w:t>51b-52</w:t>
      </w:r>
      <w:r w:rsidRPr="00C22B32">
        <w:rPr>
          <w:bCs/>
          <w:szCs w:val="25"/>
        </w:rPr>
        <w:t xml:space="preserve"> (“</w:t>
      </w:r>
      <w:r w:rsidRPr="00C22B32">
        <w:rPr>
          <w:bCs/>
          <w:kern w:val="0"/>
          <w:szCs w:val="25"/>
        </w:rPr>
        <w:t>As your fathers did</w:t>
      </w:r>
      <w:r w:rsidRPr="00C22B32">
        <w:rPr>
          <w:bCs/>
          <w:iCs/>
          <w:szCs w:val="25"/>
        </w:rPr>
        <w:t xml:space="preserve">, </w:t>
      </w:r>
      <w:r w:rsidRPr="00C22B32">
        <w:rPr>
          <w:bCs/>
          <w:kern w:val="0"/>
          <w:szCs w:val="25"/>
        </w:rPr>
        <w:t>so do you</w:t>
      </w:r>
      <w:r w:rsidRPr="00C22B32">
        <w:rPr>
          <w:bCs/>
          <w:szCs w:val="25"/>
        </w:rPr>
        <w:t xml:space="preserve">. </w:t>
      </w:r>
      <w:r w:rsidRPr="00C22B32">
        <w:rPr>
          <w:bCs/>
          <w:kern w:val="0"/>
          <w:szCs w:val="25"/>
        </w:rPr>
        <w:t>Which of the prophets did not your fathers persecute</w:t>
      </w:r>
      <w:r w:rsidRPr="00C22B32">
        <w:rPr>
          <w:bCs/>
          <w:szCs w:val="25"/>
        </w:rPr>
        <w:t>?</w:t>
      </w:r>
      <w:r>
        <w:rPr>
          <w:bCs/>
          <w:szCs w:val="25"/>
        </w:rPr>
        <w:t>”</w:t>
      </w:r>
      <w:r w:rsidRPr="00C22B32">
        <w:rPr>
          <w:bCs/>
          <w:szCs w:val="25"/>
        </w:rPr>
        <w:t xml:space="preserve">) </w:t>
      </w:r>
      <w:r w:rsidRPr="00C22B32">
        <w:rPr>
          <w:bCs/>
          <w:kern w:val="0"/>
          <w:szCs w:val="25"/>
        </w:rPr>
        <w:t>It might be objected</w:t>
      </w:r>
      <w:r w:rsidRPr="00C22B32">
        <w:rPr>
          <w:bCs/>
          <w:iCs/>
          <w:szCs w:val="25"/>
        </w:rPr>
        <w:t xml:space="preserve">, </w:t>
      </w:r>
      <w:r w:rsidRPr="00C22B32">
        <w:rPr>
          <w:bCs/>
          <w:kern w:val="0"/>
          <w:szCs w:val="25"/>
        </w:rPr>
        <w:t>concerning this last reference</w:t>
      </w:r>
      <w:r w:rsidRPr="00C22B32">
        <w:rPr>
          <w:bCs/>
          <w:iCs/>
          <w:szCs w:val="25"/>
        </w:rPr>
        <w:t xml:space="preserve">, </w:t>
      </w:r>
      <w:r w:rsidRPr="00C22B32">
        <w:rPr>
          <w:bCs/>
          <w:kern w:val="0"/>
          <w:szCs w:val="25"/>
        </w:rPr>
        <w:t>that technically Stephen</w:t>
      </w:r>
      <w:r w:rsidRPr="00C22B32">
        <w:rPr>
          <w:bCs/>
          <w:szCs w:val="25"/>
        </w:rPr>
        <w:t>’</w:t>
      </w:r>
      <w:r w:rsidRPr="00C22B32">
        <w:rPr>
          <w:bCs/>
          <w:kern w:val="0"/>
          <w:szCs w:val="25"/>
        </w:rPr>
        <w:t xml:space="preserve">s speech is addressed only to the </w:t>
      </w:r>
      <w:r>
        <w:rPr>
          <w:bCs/>
          <w:szCs w:val="25"/>
        </w:rPr>
        <w:t>“</w:t>
      </w:r>
      <w:r w:rsidRPr="00C22B32">
        <w:rPr>
          <w:bCs/>
          <w:kern w:val="0"/>
          <w:szCs w:val="25"/>
        </w:rPr>
        <w:t>council</w:t>
      </w:r>
      <w:r>
        <w:rPr>
          <w:bCs/>
          <w:szCs w:val="25"/>
        </w:rPr>
        <w:t>”</w:t>
      </w:r>
      <w:r w:rsidRPr="00C22B32">
        <w:rPr>
          <w:bCs/>
          <w:szCs w:val="25"/>
        </w:rPr>
        <w:t xml:space="preserve"> (</w:t>
      </w:r>
      <w:r w:rsidRPr="00C22B32">
        <w:rPr>
          <w:bCs/>
          <w:kern w:val="0"/>
          <w:szCs w:val="25"/>
        </w:rPr>
        <w:t>Acts 6</w:t>
      </w:r>
      <w:r w:rsidRPr="00C22B32">
        <w:rPr>
          <w:bCs/>
          <w:szCs w:val="25"/>
        </w:rPr>
        <w:t>:</w:t>
      </w:r>
      <w:r w:rsidRPr="00C22B32">
        <w:rPr>
          <w:bCs/>
          <w:kern w:val="0"/>
          <w:szCs w:val="25"/>
        </w:rPr>
        <w:t>12</w:t>
      </w:r>
      <w:r w:rsidRPr="00C22B32">
        <w:rPr>
          <w:bCs/>
          <w:iCs/>
          <w:szCs w:val="25"/>
        </w:rPr>
        <w:t xml:space="preserve">, </w:t>
      </w:r>
      <w:r w:rsidRPr="00C22B32">
        <w:rPr>
          <w:bCs/>
          <w:kern w:val="0"/>
          <w:szCs w:val="25"/>
        </w:rPr>
        <w:t>15</w:t>
      </w:r>
      <w:r w:rsidRPr="00C22B32">
        <w:rPr>
          <w:bCs/>
          <w:szCs w:val="25"/>
        </w:rPr>
        <w:t xml:space="preserve">) </w:t>
      </w:r>
      <w:r w:rsidRPr="00C22B32">
        <w:rPr>
          <w:bCs/>
          <w:kern w:val="0"/>
          <w:szCs w:val="25"/>
        </w:rPr>
        <w:t>and therefore only to Jewish leaders</w:t>
      </w:r>
      <w:r w:rsidRPr="00C22B32">
        <w:rPr>
          <w:bCs/>
          <w:szCs w:val="25"/>
        </w:rPr>
        <w:t xml:space="preserve"> (</w:t>
      </w:r>
      <w:r w:rsidRPr="00C22B32">
        <w:rPr>
          <w:bCs/>
          <w:kern w:val="0"/>
          <w:szCs w:val="25"/>
        </w:rPr>
        <w:t>specifically</w:t>
      </w:r>
      <w:r w:rsidRPr="00C22B32">
        <w:rPr>
          <w:bCs/>
          <w:iCs/>
          <w:szCs w:val="25"/>
        </w:rPr>
        <w:t xml:space="preserve">, </w:t>
      </w:r>
      <w:r w:rsidRPr="00C22B32">
        <w:rPr>
          <w:bCs/>
          <w:kern w:val="0"/>
          <w:szCs w:val="25"/>
        </w:rPr>
        <w:t>the Sanhedrin</w:t>
      </w:r>
      <w:r w:rsidRPr="00C22B32">
        <w:rPr>
          <w:bCs/>
          <w:szCs w:val="25"/>
        </w:rPr>
        <w:t xml:space="preserve">). </w:t>
      </w:r>
      <w:r w:rsidRPr="00C22B32">
        <w:rPr>
          <w:bCs/>
          <w:kern w:val="0"/>
          <w:szCs w:val="25"/>
        </w:rPr>
        <w:t>But Stephen</w:t>
      </w:r>
      <w:r w:rsidRPr="00C22B32">
        <w:rPr>
          <w:bCs/>
          <w:szCs w:val="25"/>
        </w:rPr>
        <w:t>’</w:t>
      </w:r>
      <w:r w:rsidRPr="00C22B32">
        <w:rPr>
          <w:bCs/>
          <w:kern w:val="0"/>
          <w:szCs w:val="25"/>
        </w:rPr>
        <w:t>s statement in 51b-52 is probably directed at the whole Jewish nation</w:t>
      </w:r>
      <w:r w:rsidRPr="00C22B32">
        <w:rPr>
          <w:bCs/>
          <w:iCs/>
          <w:szCs w:val="25"/>
        </w:rPr>
        <w:t xml:space="preserve">, </w:t>
      </w:r>
      <w:r w:rsidRPr="00C22B32">
        <w:rPr>
          <w:bCs/>
          <w:kern w:val="0"/>
          <w:szCs w:val="25"/>
        </w:rPr>
        <w:t xml:space="preserve">as </w:t>
      </w:r>
      <w:r>
        <w:rPr>
          <w:bCs/>
          <w:szCs w:val="25"/>
        </w:rPr>
        <w:t>7:</w:t>
      </w:r>
      <w:r w:rsidRPr="00C22B32">
        <w:rPr>
          <w:bCs/>
          <w:kern w:val="0"/>
          <w:szCs w:val="25"/>
        </w:rPr>
        <w:t>51a implies</w:t>
      </w:r>
      <w:r w:rsidRPr="00C22B32">
        <w:rPr>
          <w:bCs/>
          <w:szCs w:val="25"/>
        </w:rPr>
        <w:t>: ‘</w:t>
      </w:r>
      <w:r w:rsidRPr="00C22B32">
        <w:rPr>
          <w:bCs/>
          <w:kern w:val="0"/>
          <w:szCs w:val="25"/>
        </w:rPr>
        <w:t>You stiff-necked people</w:t>
      </w:r>
      <w:r w:rsidRPr="00C22B32">
        <w:rPr>
          <w:bCs/>
          <w:szCs w:val="25"/>
        </w:rPr>
        <w:t xml:space="preserve"> [</w:t>
      </w:r>
      <w:r>
        <w:rPr>
          <w:bCs/>
          <w:szCs w:val="25"/>
        </w:rPr>
        <w:t>Σκληροτράχηλοι</w:t>
      </w:r>
      <w:r w:rsidRPr="00C22B32">
        <w:rPr>
          <w:rFonts w:eastAsia="Arial"/>
          <w:bCs/>
          <w:szCs w:val="25"/>
        </w:rPr>
        <w:t>]</w:t>
      </w:r>
      <w:r w:rsidRPr="00C22B32">
        <w:rPr>
          <w:rFonts w:eastAsia="Arial"/>
          <w:bCs/>
          <w:iCs/>
          <w:szCs w:val="25"/>
        </w:rPr>
        <w:t xml:space="preserve">, </w:t>
      </w:r>
      <w:r w:rsidRPr="00C22B32">
        <w:rPr>
          <w:bCs/>
          <w:kern w:val="0"/>
          <w:szCs w:val="25"/>
        </w:rPr>
        <w:t>uncircumcised in heart and ears</w:t>
      </w:r>
      <w:r w:rsidRPr="00C22B32">
        <w:rPr>
          <w:bCs/>
          <w:iCs/>
          <w:szCs w:val="25"/>
        </w:rPr>
        <w:t xml:space="preserve">, </w:t>
      </w:r>
      <w:r w:rsidRPr="00C22B32">
        <w:rPr>
          <w:bCs/>
          <w:kern w:val="0"/>
          <w:szCs w:val="25"/>
        </w:rPr>
        <w:t xml:space="preserve">you </w:t>
      </w:r>
      <w:r>
        <w:rPr>
          <w:bCs/>
          <w:szCs w:val="25"/>
        </w:rPr>
        <w:t xml:space="preserve">are forever opposing </w:t>
      </w:r>
      <w:r w:rsidRPr="00C22B32">
        <w:rPr>
          <w:bCs/>
          <w:kern w:val="0"/>
          <w:szCs w:val="25"/>
        </w:rPr>
        <w:t>the Holy Spirit</w:t>
      </w:r>
      <w:r w:rsidRPr="00C22B32">
        <w:rPr>
          <w:bCs/>
          <w:szCs w:val="25"/>
        </w:rPr>
        <w:t>”).</w:t>
      </w:r>
    </w:p>
  </w:footnote>
  <w:footnote w:id="873">
    <w:p w14:paraId="34904BA6" w14:textId="77777777" w:rsidR="00B47A48" w:rsidRDefault="00B47A48" w:rsidP="00B47A48">
      <w:pPr>
        <w:pStyle w:val="FootnoteText"/>
        <w:rPr>
          <w:bCs/>
          <w:szCs w:val="25"/>
        </w:rPr>
      </w:pPr>
      <w:r>
        <w:rPr>
          <w:rStyle w:val="FootnoteReference"/>
        </w:rPr>
        <w:footnoteRef/>
      </w:r>
      <w:r>
        <w:t xml:space="preserve"> </w:t>
      </w:r>
      <w:r w:rsidRPr="00C22B32">
        <w:rPr>
          <w:bCs/>
          <w:kern w:val="0"/>
          <w:szCs w:val="25"/>
        </w:rPr>
        <w:t>Robert Maddox</w:t>
      </w:r>
      <w:r w:rsidRPr="00C22B32">
        <w:rPr>
          <w:bCs/>
          <w:szCs w:val="25"/>
        </w:rPr>
        <w:t xml:space="preserve"> (</w:t>
      </w:r>
      <w:r w:rsidRPr="00C22B32">
        <w:rPr>
          <w:bCs/>
          <w:kern w:val="0"/>
          <w:szCs w:val="25"/>
        </w:rPr>
        <w:t xml:space="preserve">The </w:t>
      </w:r>
      <w:r w:rsidRPr="00C22B32">
        <w:rPr>
          <w:bCs/>
          <w:i/>
          <w:iCs/>
          <w:kern w:val="0"/>
        </w:rPr>
        <w:t>Purpose of Luke-Acts</w:t>
      </w:r>
      <w:r w:rsidRPr="00C22B32">
        <w:rPr>
          <w:bCs/>
          <w:iCs/>
        </w:rPr>
        <w:t xml:space="preserve"> [</w:t>
      </w:r>
      <w:r w:rsidRPr="00C22B32">
        <w:rPr>
          <w:bCs/>
          <w:kern w:val="0"/>
          <w:szCs w:val="25"/>
        </w:rPr>
        <w:t>Studies of the New Testament and Its World</w:t>
      </w:r>
      <w:r w:rsidRPr="00C22B32">
        <w:rPr>
          <w:bCs/>
          <w:szCs w:val="25"/>
        </w:rPr>
        <w:t xml:space="preserve">; </w:t>
      </w:r>
      <w:r w:rsidRPr="00C22B32">
        <w:rPr>
          <w:bCs/>
          <w:kern w:val="0"/>
          <w:szCs w:val="25"/>
        </w:rPr>
        <w:t>Edinburgh</w:t>
      </w:r>
      <w:r w:rsidRPr="00C22B32">
        <w:rPr>
          <w:bCs/>
          <w:szCs w:val="25"/>
        </w:rPr>
        <w:t xml:space="preserve">: </w:t>
      </w:r>
      <w:r w:rsidRPr="00C22B32">
        <w:rPr>
          <w:bCs/>
          <w:kern w:val="0"/>
          <w:szCs w:val="25"/>
        </w:rPr>
        <w:t>Clark</w:t>
      </w:r>
      <w:r w:rsidRPr="00C22B32">
        <w:rPr>
          <w:bCs/>
          <w:iCs/>
          <w:szCs w:val="25"/>
        </w:rPr>
        <w:t xml:space="preserve">, </w:t>
      </w:r>
      <w:r w:rsidRPr="00C22B32">
        <w:rPr>
          <w:bCs/>
          <w:kern w:val="0"/>
          <w:szCs w:val="25"/>
        </w:rPr>
        <w:t>1982</w:t>
      </w:r>
      <w:r w:rsidRPr="00C22B32">
        <w:rPr>
          <w:bCs/>
          <w:szCs w:val="25"/>
        </w:rPr>
        <w:t xml:space="preserve">] </w:t>
      </w:r>
      <w:r w:rsidRPr="00C22B32">
        <w:rPr>
          <w:bCs/>
          <w:kern w:val="0"/>
          <w:szCs w:val="25"/>
        </w:rPr>
        <w:t>46</w:t>
      </w:r>
      <w:r w:rsidRPr="00C22B32">
        <w:rPr>
          <w:bCs/>
          <w:szCs w:val="25"/>
        </w:rPr>
        <w:t xml:space="preserve">) </w:t>
      </w:r>
      <w:r w:rsidRPr="00C22B32">
        <w:rPr>
          <w:bCs/>
          <w:kern w:val="0"/>
          <w:szCs w:val="25"/>
        </w:rPr>
        <w:t>suggests that one can be even more specific</w:t>
      </w:r>
      <w:r w:rsidRPr="00C22B32">
        <w:rPr>
          <w:bCs/>
          <w:szCs w:val="25"/>
        </w:rPr>
        <w:t xml:space="preserve">: </w:t>
      </w:r>
      <w:r>
        <w:rPr>
          <w:bCs/>
          <w:szCs w:val="25"/>
        </w:rPr>
        <w:t>“</w:t>
      </w:r>
      <w:r w:rsidRPr="00C22B32">
        <w:rPr>
          <w:bCs/>
          <w:kern w:val="0"/>
          <w:szCs w:val="25"/>
        </w:rPr>
        <w:t>their</w:t>
      </w:r>
      <w:r w:rsidRPr="00C22B32">
        <w:rPr>
          <w:bCs/>
          <w:szCs w:val="25"/>
        </w:rPr>
        <w:t xml:space="preserve">” </w:t>
      </w:r>
      <w:r w:rsidRPr="00C22B32">
        <w:rPr>
          <w:bCs/>
          <w:kern w:val="0"/>
          <w:szCs w:val="25"/>
        </w:rPr>
        <w:t>refers not just to the Jews</w:t>
      </w:r>
      <w:r w:rsidRPr="00C22B32">
        <w:rPr>
          <w:bCs/>
          <w:iCs/>
          <w:szCs w:val="25"/>
        </w:rPr>
        <w:t xml:space="preserve">, </w:t>
      </w:r>
      <w:r w:rsidRPr="00C22B32">
        <w:rPr>
          <w:bCs/>
          <w:kern w:val="0"/>
          <w:szCs w:val="25"/>
        </w:rPr>
        <w:t>but specifically to Jewish persecutors</w:t>
      </w:r>
      <w:r w:rsidRPr="00C22B32">
        <w:rPr>
          <w:bCs/>
          <w:szCs w:val="25"/>
        </w:rPr>
        <w:t>.</w:t>
      </w:r>
    </w:p>
    <w:p w14:paraId="1EB2E178" w14:textId="77777777" w:rsidR="00B47A48" w:rsidRDefault="00B47A48" w:rsidP="00B47A48">
      <w:pPr>
        <w:pStyle w:val="FootnoteText"/>
        <w:rPr>
          <w:bCs/>
          <w:szCs w:val="25"/>
        </w:rPr>
      </w:pPr>
    </w:p>
    <w:p w14:paraId="4F807AFB" w14:textId="77777777" w:rsidR="00B47A48" w:rsidRDefault="00B47A48" w:rsidP="00B47A48">
      <w:pPr>
        <w:pStyle w:val="FootnoteText"/>
        <w:ind w:left="720" w:right="720"/>
        <w:rPr>
          <w:bCs/>
          <w:szCs w:val="25"/>
        </w:rPr>
      </w:pPr>
      <w:r w:rsidRPr="00C22B32">
        <w:rPr>
          <w:bCs/>
          <w:kern w:val="0"/>
          <w:szCs w:val="25"/>
        </w:rPr>
        <w:t>It may be significant that in 6</w:t>
      </w:r>
      <w:r w:rsidRPr="00C22B32">
        <w:rPr>
          <w:bCs/>
          <w:szCs w:val="25"/>
        </w:rPr>
        <w:t>:</w:t>
      </w:r>
      <w:r w:rsidRPr="00C22B32">
        <w:rPr>
          <w:bCs/>
          <w:kern w:val="0"/>
          <w:szCs w:val="25"/>
        </w:rPr>
        <w:t>27-29 the call to</w:t>
      </w:r>
      <w:r w:rsidRPr="00C22B32">
        <w:rPr>
          <w:bCs/>
          <w:szCs w:val="25"/>
        </w:rPr>
        <w:t xml:space="preserve"> ‘</w:t>
      </w:r>
      <w:r w:rsidRPr="00C22B32">
        <w:rPr>
          <w:bCs/>
          <w:kern w:val="0"/>
          <w:szCs w:val="25"/>
        </w:rPr>
        <w:t>love your enemies</w:t>
      </w:r>
      <w:r w:rsidRPr="00C22B32">
        <w:rPr>
          <w:bCs/>
          <w:szCs w:val="25"/>
        </w:rPr>
        <w:t xml:space="preserve">’ </w:t>
      </w:r>
      <w:r w:rsidRPr="00C22B32">
        <w:rPr>
          <w:bCs/>
          <w:kern w:val="0"/>
          <w:szCs w:val="25"/>
        </w:rPr>
        <w:t>is placed immediately after the beatitudes and woes</w:t>
      </w:r>
      <w:r w:rsidRPr="00C22B32">
        <w:rPr>
          <w:bCs/>
          <w:iCs/>
          <w:szCs w:val="25"/>
        </w:rPr>
        <w:t xml:space="preserve">, </w:t>
      </w:r>
      <w:r w:rsidRPr="00C22B32">
        <w:rPr>
          <w:bCs/>
          <w:kern w:val="0"/>
          <w:szCs w:val="25"/>
        </w:rPr>
        <w:t>which each end with reference to the way</w:t>
      </w:r>
      <w:r w:rsidRPr="00C22B32">
        <w:rPr>
          <w:bCs/>
          <w:szCs w:val="25"/>
        </w:rPr>
        <w:t xml:space="preserve"> ‘</w:t>
      </w:r>
      <w:r w:rsidRPr="00C22B32">
        <w:rPr>
          <w:bCs/>
          <w:kern w:val="0"/>
          <w:szCs w:val="25"/>
        </w:rPr>
        <w:t>their fathers</w:t>
      </w:r>
      <w:r w:rsidRPr="00C22B32">
        <w:rPr>
          <w:bCs/>
          <w:szCs w:val="25"/>
        </w:rPr>
        <w:t xml:space="preserve">’ </w:t>
      </w:r>
      <w:r w:rsidRPr="00C22B32">
        <w:rPr>
          <w:bCs/>
          <w:kern w:val="0"/>
          <w:szCs w:val="25"/>
        </w:rPr>
        <w:t>treated the prophets and the false prophets</w:t>
      </w:r>
      <w:r w:rsidRPr="00C22B32">
        <w:rPr>
          <w:bCs/>
          <w:szCs w:val="25"/>
        </w:rPr>
        <w:t xml:space="preserve">: </w:t>
      </w:r>
      <w:r w:rsidRPr="00C22B32">
        <w:rPr>
          <w:bCs/>
          <w:kern w:val="0"/>
          <w:szCs w:val="25"/>
        </w:rPr>
        <w:t>it is thereby implied that the</w:t>
      </w:r>
      <w:r w:rsidRPr="00C22B32">
        <w:rPr>
          <w:bCs/>
          <w:szCs w:val="25"/>
        </w:rPr>
        <w:t xml:space="preserve"> ‘</w:t>
      </w:r>
      <w:r w:rsidRPr="00C22B32">
        <w:rPr>
          <w:bCs/>
          <w:kern w:val="0"/>
          <w:szCs w:val="25"/>
        </w:rPr>
        <w:t>enemies</w:t>
      </w:r>
      <w:r w:rsidRPr="00C22B32">
        <w:rPr>
          <w:bCs/>
          <w:szCs w:val="25"/>
        </w:rPr>
        <w:t xml:space="preserve">’ </w:t>
      </w:r>
      <w:r w:rsidRPr="00C22B32">
        <w:rPr>
          <w:bCs/>
          <w:kern w:val="0"/>
          <w:szCs w:val="25"/>
        </w:rPr>
        <w:t>envisaged are the persecutors of Jesus</w:t>
      </w:r>
      <w:r w:rsidRPr="00C22B32">
        <w:rPr>
          <w:bCs/>
          <w:szCs w:val="25"/>
        </w:rPr>
        <w:t xml:space="preserve">’ </w:t>
      </w:r>
      <w:r w:rsidRPr="00C22B32">
        <w:rPr>
          <w:bCs/>
          <w:kern w:val="0"/>
          <w:szCs w:val="25"/>
        </w:rPr>
        <w:t>disciples</w:t>
      </w:r>
      <w:r w:rsidRPr="00C22B32">
        <w:rPr>
          <w:bCs/>
          <w:szCs w:val="25"/>
        </w:rPr>
        <w:t>.</w:t>
      </w:r>
    </w:p>
    <w:p w14:paraId="0EFAC67A" w14:textId="77777777" w:rsidR="00B47A48" w:rsidRDefault="00B47A48" w:rsidP="00B47A48">
      <w:pPr>
        <w:pStyle w:val="FootnoteText"/>
        <w:rPr>
          <w:bCs/>
          <w:kern w:val="0"/>
          <w:szCs w:val="25"/>
        </w:rPr>
      </w:pPr>
    </w:p>
    <w:p w14:paraId="459D0140" w14:textId="77777777" w:rsidR="00B47A48" w:rsidRDefault="00B47A48" w:rsidP="00B47A48">
      <w:pPr>
        <w:pStyle w:val="FootnoteText"/>
      </w:pPr>
      <w:r w:rsidRPr="00C22B32">
        <w:rPr>
          <w:bCs/>
          <w:kern w:val="0"/>
          <w:szCs w:val="25"/>
        </w:rPr>
        <w:t>Whether this further restriction is accepted or not</w:t>
      </w:r>
      <w:r w:rsidRPr="00C22B32">
        <w:rPr>
          <w:bCs/>
          <w:iCs/>
          <w:szCs w:val="25"/>
        </w:rPr>
        <w:t xml:space="preserve">, </w:t>
      </w:r>
      <w:r w:rsidRPr="00C22B32">
        <w:rPr>
          <w:bCs/>
          <w:kern w:val="0"/>
          <w:szCs w:val="25"/>
        </w:rPr>
        <w:t>it remains the case that their refers to Jews</w:t>
      </w:r>
      <w:r w:rsidRPr="00C22B32">
        <w:rPr>
          <w:bCs/>
          <w:szCs w:val="25"/>
        </w:rPr>
        <w:t>.</w:t>
      </w:r>
    </w:p>
  </w:footnote>
  <w:footnote w:id="874">
    <w:p w14:paraId="3345C04E" w14:textId="77777777" w:rsidR="00B47A48" w:rsidRDefault="00B47A48" w:rsidP="00B47A48">
      <w:pPr>
        <w:pStyle w:val="FootnoteText"/>
      </w:pPr>
      <w:r>
        <w:rPr>
          <w:rStyle w:val="FootnoteReference"/>
        </w:rPr>
        <w:footnoteRef/>
      </w:r>
      <w:r>
        <w:t xml:space="preserve"> </w:t>
      </w:r>
      <w:r w:rsidRPr="00C22B32">
        <w:rPr>
          <w:bCs/>
          <w:i/>
          <w:iCs/>
          <w:kern w:val="0"/>
          <w:szCs w:val="25"/>
        </w:rPr>
        <w:t>Theology of St Luke</w:t>
      </w:r>
      <w:r w:rsidRPr="00331397">
        <w:rPr>
          <w:bCs/>
          <w:kern w:val="0"/>
          <w:szCs w:val="25"/>
        </w:rPr>
        <w:t xml:space="preserve"> </w:t>
      </w:r>
      <w:r w:rsidRPr="00C22B32">
        <w:rPr>
          <w:bCs/>
          <w:kern w:val="0"/>
          <w:szCs w:val="25"/>
        </w:rPr>
        <w:t>54</w:t>
      </w:r>
      <w:r w:rsidRPr="00C22B32">
        <w:rPr>
          <w:bCs/>
          <w:iCs/>
          <w:szCs w:val="25"/>
        </w:rPr>
        <w:t xml:space="preserve">, </w:t>
      </w:r>
      <w:r w:rsidRPr="00C22B32">
        <w:rPr>
          <w:bCs/>
          <w:kern w:val="0"/>
          <w:szCs w:val="25"/>
        </w:rPr>
        <w:t>citing Vincent Taylor</w:t>
      </w:r>
      <w:r w:rsidRPr="00C22B32">
        <w:rPr>
          <w:bCs/>
          <w:szCs w:val="25"/>
        </w:rPr>
        <w:t>’</w:t>
      </w:r>
      <w:r w:rsidRPr="00C22B32">
        <w:rPr>
          <w:bCs/>
          <w:kern w:val="0"/>
          <w:szCs w:val="25"/>
        </w:rPr>
        <w:t>s views</w:t>
      </w:r>
      <w:r w:rsidRPr="00C22B32">
        <w:rPr>
          <w:bCs/>
          <w:szCs w:val="25"/>
        </w:rPr>
        <w:t>.</w:t>
      </w:r>
    </w:p>
  </w:footnote>
  <w:footnote w:id="875">
    <w:p w14:paraId="15EF31D3" w14:textId="77777777" w:rsidR="00B47A48" w:rsidRDefault="00B47A48" w:rsidP="00B47A48">
      <w:pPr>
        <w:pStyle w:val="FootnoteText"/>
      </w:pPr>
      <w:r>
        <w:rPr>
          <w:rStyle w:val="FootnoteReference"/>
        </w:rPr>
        <w:footnoteRef/>
      </w:r>
      <w:r>
        <w:t xml:space="preserve"> </w:t>
      </w:r>
      <w:r w:rsidRPr="00C22B32">
        <w:rPr>
          <w:bCs/>
          <w:kern w:val="0"/>
          <w:szCs w:val="25"/>
        </w:rPr>
        <w:t xml:space="preserve">The </w:t>
      </w:r>
      <w:r>
        <w:rPr>
          <w:bCs/>
          <w:szCs w:val="25"/>
        </w:rPr>
        <w:t>`</w:t>
      </w:r>
      <w:r w:rsidRPr="00C22B32">
        <w:rPr>
          <w:bCs/>
          <w:i/>
          <w:iCs/>
          <w:kern w:val="0"/>
          <w:szCs w:val="25"/>
        </w:rPr>
        <w:t>am ha-aretz</w:t>
      </w:r>
      <w:r w:rsidRPr="00331397">
        <w:rPr>
          <w:bCs/>
          <w:szCs w:val="25"/>
        </w:rPr>
        <w:t>—</w:t>
      </w:r>
      <w:r w:rsidRPr="00C22B32">
        <w:rPr>
          <w:bCs/>
          <w:kern w:val="0"/>
          <w:szCs w:val="25"/>
        </w:rPr>
        <w:t>the</w:t>
      </w:r>
      <w:r w:rsidRPr="00C22B32">
        <w:rPr>
          <w:bCs/>
          <w:szCs w:val="25"/>
        </w:rPr>
        <w:t xml:space="preserve"> “</w:t>
      </w:r>
      <w:r w:rsidRPr="00C22B32">
        <w:rPr>
          <w:bCs/>
          <w:kern w:val="0"/>
          <w:szCs w:val="25"/>
        </w:rPr>
        <w:t>people of the land</w:t>
      </w:r>
      <w:r w:rsidRPr="00C22B32">
        <w:rPr>
          <w:bCs/>
          <w:szCs w:val="25"/>
        </w:rPr>
        <w:t xml:space="preserve">,” </w:t>
      </w:r>
      <w:r w:rsidRPr="00C22B32">
        <w:rPr>
          <w:bCs/>
          <w:kern w:val="0"/>
          <w:szCs w:val="25"/>
        </w:rPr>
        <w:t>who comprised</w:t>
      </w:r>
      <w:r w:rsidRPr="00C22B32">
        <w:rPr>
          <w:bCs/>
          <w:szCs w:val="25"/>
        </w:rPr>
        <w:t xml:space="preserve"> “</w:t>
      </w:r>
      <w:r w:rsidRPr="00C22B32">
        <w:rPr>
          <w:bCs/>
          <w:kern w:val="0"/>
          <w:szCs w:val="25"/>
        </w:rPr>
        <w:t>more than 90 per cent</w:t>
      </w:r>
      <w:r>
        <w:rPr>
          <w:bCs/>
          <w:szCs w:val="25"/>
        </w:rPr>
        <w:t>”</w:t>
      </w:r>
      <w:r w:rsidRPr="00C22B32">
        <w:rPr>
          <w:bCs/>
          <w:kern w:val="0"/>
          <w:szCs w:val="25"/>
        </w:rPr>
        <w:t xml:space="preserve"> of Palestinian Jewry</w:t>
      </w:r>
      <w:r w:rsidRPr="00C22B32">
        <w:rPr>
          <w:bCs/>
          <w:szCs w:val="25"/>
        </w:rPr>
        <w:t xml:space="preserve"> (</w:t>
      </w:r>
      <w:r w:rsidRPr="00C22B32">
        <w:rPr>
          <w:bCs/>
          <w:kern w:val="0"/>
          <w:szCs w:val="25"/>
        </w:rPr>
        <w:t>B</w:t>
      </w:r>
      <w:r w:rsidRPr="00C22B32">
        <w:rPr>
          <w:bCs/>
          <w:szCs w:val="25"/>
        </w:rPr>
        <w:t>.</w:t>
      </w:r>
      <w:r w:rsidRPr="00C22B32">
        <w:rPr>
          <w:bCs/>
          <w:kern w:val="0"/>
          <w:szCs w:val="25"/>
        </w:rPr>
        <w:t>M</w:t>
      </w:r>
      <w:r w:rsidRPr="00C22B32">
        <w:rPr>
          <w:bCs/>
          <w:szCs w:val="25"/>
        </w:rPr>
        <w:t xml:space="preserve">. </w:t>
      </w:r>
      <w:r w:rsidRPr="00C22B32">
        <w:rPr>
          <w:bCs/>
          <w:kern w:val="0"/>
          <w:szCs w:val="25"/>
        </w:rPr>
        <w:t>Metzger</w:t>
      </w:r>
      <w:r w:rsidRPr="00C22B32">
        <w:rPr>
          <w:bCs/>
          <w:iCs/>
          <w:szCs w:val="25"/>
        </w:rPr>
        <w:t xml:space="preserve">, </w:t>
      </w:r>
      <w:r w:rsidRPr="00C22B32">
        <w:rPr>
          <w:bCs/>
          <w:i/>
          <w:iCs/>
          <w:kern w:val="0"/>
          <w:szCs w:val="25"/>
        </w:rPr>
        <w:t>The New Testament</w:t>
      </w:r>
      <w:r w:rsidRPr="00C22B32">
        <w:rPr>
          <w:bCs/>
          <w:iCs/>
          <w:szCs w:val="25"/>
        </w:rPr>
        <w:t xml:space="preserve">: </w:t>
      </w:r>
      <w:r w:rsidRPr="00C22B32">
        <w:rPr>
          <w:bCs/>
          <w:i/>
          <w:iCs/>
          <w:kern w:val="0"/>
          <w:szCs w:val="25"/>
        </w:rPr>
        <w:t>Its Background</w:t>
      </w:r>
      <w:r w:rsidRPr="00C22B32">
        <w:rPr>
          <w:bCs/>
          <w:iCs/>
          <w:szCs w:val="25"/>
        </w:rPr>
        <w:t xml:space="preserve">, </w:t>
      </w:r>
      <w:r w:rsidRPr="00C22B32">
        <w:rPr>
          <w:bCs/>
          <w:i/>
          <w:iCs/>
          <w:kern w:val="0"/>
          <w:szCs w:val="25"/>
        </w:rPr>
        <w:t>Growth</w:t>
      </w:r>
      <w:r w:rsidRPr="00C22B32">
        <w:rPr>
          <w:bCs/>
          <w:iCs/>
          <w:szCs w:val="25"/>
        </w:rPr>
        <w:t xml:space="preserve">, </w:t>
      </w:r>
      <w:r w:rsidRPr="00C22B32">
        <w:rPr>
          <w:bCs/>
          <w:i/>
          <w:iCs/>
          <w:kern w:val="0"/>
          <w:szCs w:val="25"/>
        </w:rPr>
        <w:t>and Content</w:t>
      </w:r>
      <w:r w:rsidRPr="00C22B32">
        <w:rPr>
          <w:bCs/>
          <w:iCs/>
          <w:szCs w:val="25"/>
        </w:rPr>
        <w:t xml:space="preserve"> [</w:t>
      </w:r>
      <w:r w:rsidRPr="00C22B32">
        <w:rPr>
          <w:bCs/>
          <w:kern w:val="0"/>
          <w:szCs w:val="25"/>
        </w:rPr>
        <w:t>2nd ed</w:t>
      </w:r>
      <w:r w:rsidRPr="00C22B32">
        <w:rPr>
          <w:bCs/>
          <w:szCs w:val="25"/>
        </w:rPr>
        <w:t xml:space="preserve">.; </w:t>
      </w:r>
      <w:r w:rsidRPr="00C22B32">
        <w:rPr>
          <w:bCs/>
          <w:kern w:val="0"/>
          <w:szCs w:val="25"/>
        </w:rPr>
        <w:t>Nashville</w:t>
      </w:r>
      <w:r w:rsidRPr="00C22B32">
        <w:rPr>
          <w:bCs/>
          <w:szCs w:val="25"/>
        </w:rPr>
        <w:t xml:space="preserve">: </w:t>
      </w:r>
      <w:r w:rsidRPr="00C22B32">
        <w:rPr>
          <w:bCs/>
          <w:kern w:val="0"/>
          <w:szCs w:val="25"/>
        </w:rPr>
        <w:t>Abingdon</w:t>
      </w:r>
      <w:r w:rsidRPr="00C22B32">
        <w:rPr>
          <w:bCs/>
          <w:iCs/>
          <w:szCs w:val="25"/>
        </w:rPr>
        <w:t xml:space="preserve">, </w:t>
      </w:r>
      <w:r w:rsidRPr="00C22B32">
        <w:rPr>
          <w:bCs/>
          <w:kern w:val="0"/>
          <w:szCs w:val="25"/>
        </w:rPr>
        <w:t>1983</w:t>
      </w:r>
      <w:r w:rsidRPr="00C22B32">
        <w:rPr>
          <w:bCs/>
          <w:szCs w:val="25"/>
        </w:rPr>
        <w:t xml:space="preserve">] </w:t>
      </w:r>
      <w:r w:rsidRPr="00C22B32">
        <w:rPr>
          <w:bCs/>
          <w:kern w:val="0"/>
          <w:szCs w:val="25"/>
        </w:rPr>
        <w:t>45</w:t>
      </w:r>
      <w:r w:rsidRPr="00C22B32">
        <w:rPr>
          <w:bCs/>
          <w:szCs w:val="25"/>
        </w:rPr>
        <w:t>)</w:t>
      </w:r>
      <w:r w:rsidRPr="00671DEF">
        <w:rPr>
          <w:bCs/>
          <w:iCs/>
          <w:szCs w:val="25"/>
        </w:rPr>
        <w:t>—</w:t>
      </w:r>
      <w:r w:rsidRPr="00C22B32">
        <w:rPr>
          <w:bCs/>
          <w:kern w:val="0"/>
          <w:szCs w:val="25"/>
        </w:rPr>
        <w:t>are less</w:t>
      </w:r>
      <w:r w:rsidRPr="00C22B32">
        <w:rPr>
          <w:bCs/>
          <w:szCs w:val="25"/>
        </w:rPr>
        <w:t xml:space="preserve"> “</w:t>
      </w:r>
      <w:r w:rsidRPr="00C22B32">
        <w:rPr>
          <w:bCs/>
          <w:kern w:val="0"/>
          <w:szCs w:val="25"/>
        </w:rPr>
        <w:t>Jewish</w:t>
      </w:r>
      <w:r>
        <w:rPr>
          <w:bCs/>
          <w:szCs w:val="25"/>
        </w:rPr>
        <w:t>”</w:t>
      </w:r>
      <w:r w:rsidRPr="00C22B32">
        <w:rPr>
          <w:bCs/>
          <w:kern w:val="0"/>
          <w:szCs w:val="25"/>
        </w:rPr>
        <w:t xml:space="preserve"> in the sense in which Luke 6</w:t>
      </w:r>
      <w:r w:rsidRPr="00C22B32">
        <w:rPr>
          <w:bCs/>
          <w:szCs w:val="25"/>
        </w:rPr>
        <w:t>:</w:t>
      </w:r>
      <w:r w:rsidRPr="00C22B32">
        <w:rPr>
          <w:bCs/>
          <w:kern w:val="0"/>
          <w:szCs w:val="25"/>
        </w:rPr>
        <w:t>23b</w:t>
      </w:r>
      <w:r>
        <w:rPr>
          <w:bCs/>
          <w:szCs w:val="25"/>
        </w:rPr>
        <w:t>β</w:t>
      </w:r>
      <w:r w:rsidRPr="00C22B32">
        <w:rPr>
          <w:bCs/>
          <w:kern w:val="0"/>
          <w:szCs w:val="25"/>
        </w:rPr>
        <w:t xml:space="preserve"> and 26b refer to the Jews</w:t>
      </w:r>
      <w:r w:rsidRPr="00C22B32">
        <w:rPr>
          <w:bCs/>
          <w:szCs w:val="25"/>
        </w:rPr>
        <w:t xml:space="preserve">: </w:t>
      </w:r>
      <w:r w:rsidRPr="00C22B32">
        <w:rPr>
          <w:bCs/>
          <w:kern w:val="0"/>
          <w:szCs w:val="25"/>
        </w:rPr>
        <w:t>those zealous enough to persecute the prophets</w:t>
      </w:r>
      <w:r w:rsidRPr="00C22B32">
        <w:rPr>
          <w:bCs/>
          <w:szCs w:val="25"/>
        </w:rPr>
        <w:t xml:space="preserve">. </w:t>
      </w:r>
      <w:r w:rsidRPr="00C22B32">
        <w:rPr>
          <w:bCs/>
          <w:kern w:val="0"/>
          <w:szCs w:val="25"/>
        </w:rPr>
        <w:t>Scholars have generally concluded that the Judaism of the</w:t>
      </w:r>
      <w:r w:rsidRPr="00C22B32">
        <w:rPr>
          <w:bCs/>
          <w:szCs w:val="25"/>
        </w:rPr>
        <w:t xml:space="preserve"> </w:t>
      </w:r>
      <w:r>
        <w:rPr>
          <w:bCs/>
          <w:szCs w:val="25"/>
        </w:rPr>
        <w:t>`</w:t>
      </w:r>
      <w:r w:rsidRPr="00C22B32">
        <w:rPr>
          <w:bCs/>
          <w:i/>
          <w:iCs/>
          <w:kern w:val="0"/>
          <w:szCs w:val="25"/>
        </w:rPr>
        <w:t>am ha-aretz</w:t>
      </w:r>
      <w:r w:rsidRPr="00331397">
        <w:rPr>
          <w:bCs/>
          <w:kern w:val="0"/>
          <w:szCs w:val="25"/>
        </w:rPr>
        <w:t xml:space="preserve"> </w:t>
      </w:r>
      <w:r w:rsidRPr="00C22B32">
        <w:rPr>
          <w:bCs/>
          <w:kern w:val="0"/>
          <w:szCs w:val="25"/>
        </w:rPr>
        <w:t>was disdained by more rigorous Jews</w:t>
      </w:r>
      <w:r w:rsidRPr="00C22B32">
        <w:rPr>
          <w:bCs/>
          <w:szCs w:val="25"/>
        </w:rPr>
        <w:t xml:space="preserve">. </w:t>
      </w:r>
      <w:r w:rsidRPr="00C22B32">
        <w:rPr>
          <w:bCs/>
          <w:kern w:val="0"/>
          <w:szCs w:val="25"/>
        </w:rPr>
        <w:t>But now see the qualification by A</w:t>
      </w:r>
      <w:r w:rsidRPr="00C22B32">
        <w:rPr>
          <w:bCs/>
          <w:szCs w:val="25"/>
        </w:rPr>
        <w:t xml:space="preserve">. </w:t>
      </w:r>
      <w:r w:rsidRPr="00C22B32">
        <w:rPr>
          <w:bCs/>
          <w:kern w:val="0"/>
          <w:szCs w:val="25"/>
        </w:rPr>
        <w:t>Oppenheimer</w:t>
      </w:r>
      <w:r w:rsidRPr="00C22B32">
        <w:rPr>
          <w:bCs/>
          <w:iCs/>
          <w:szCs w:val="25"/>
        </w:rPr>
        <w:t xml:space="preserve">, </w:t>
      </w:r>
      <w:r w:rsidRPr="00C22B32">
        <w:rPr>
          <w:bCs/>
          <w:i/>
          <w:iCs/>
          <w:kern w:val="0"/>
          <w:szCs w:val="25"/>
        </w:rPr>
        <w:t>The</w:t>
      </w:r>
      <w:r w:rsidRPr="00C22B32">
        <w:rPr>
          <w:bCs/>
          <w:iCs/>
          <w:szCs w:val="25"/>
        </w:rPr>
        <w:t xml:space="preserve"> </w:t>
      </w:r>
      <w:r>
        <w:rPr>
          <w:bCs/>
          <w:iCs/>
          <w:szCs w:val="25"/>
        </w:rPr>
        <w:t>`</w:t>
      </w:r>
      <w:r w:rsidRPr="00C22B32">
        <w:rPr>
          <w:bCs/>
          <w:i/>
          <w:iCs/>
          <w:kern w:val="0"/>
          <w:szCs w:val="25"/>
        </w:rPr>
        <w:t>Am Ha-aretz</w:t>
      </w:r>
      <w:r w:rsidRPr="00C22B32">
        <w:rPr>
          <w:bCs/>
          <w:iCs/>
          <w:szCs w:val="25"/>
        </w:rPr>
        <w:t xml:space="preserve">: </w:t>
      </w:r>
      <w:r w:rsidRPr="00C22B32">
        <w:rPr>
          <w:bCs/>
          <w:i/>
          <w:iCs/>
          <w:kern w:val="0"/>
          <w:szCs w:val="25"/>
        </w:rPr>
        <w:t>A Study in the Social History of the Jewish People in the Hellenistic-Roman Period</w:t>
      </w:r>
      <w:r w:rsidRPr="00C22B32">
        <w:rPr>
          <w:bCs/>
          <w:iCs/>
          <w:szCs w:val="25"/>
        </w:rPr>
        <w:t xml:space="preserve"> (</w:t>
      </w:r>
      <w:r w:rsidRPr="00C22B32">
        <w:rPr>
          <w:bCs/>
          <w:kern w:val="0"/>
          <w:szCs w:val="25"/>
        </w:rPr>
        <w:t>Leiden</w:t>
      </w:r>
      <w:r w:rsidRPr="00C22B32">
        <w:rPr>
          <w:bCs/>
          <w:szCs w:val="25"/>
        </w:rPr>
        <w:t xml:space="preserve">: </w:t>
      </w:r>
      <w:r w:rsidRPr="00C22B32">
        <w:rPr>
          <w:bCs/>
          <w:kern w:val="0"/>
          <w:szCs w:val="25"/>
        </w:rPr>
        <w:t>Brill</w:t>
      </w:r>
      <w:r w:rsidRPr="00C22B32">
        <w:rPr>
          <w:bCs/>
          <w:iCs/>
          <w:szCs w:val="25"/>
        </w:rPr>
        <w:t xml:space="preserve">, </w:t>
      </w:r>
      <w:r w:rsidRPr="00C22B32">
        <w:rPr>
          <w:bCs/>
          <w:kern w:val="0"/>
          <w:szCs w:val="25"/>
        </w:rPr>
        <w:t>1977</w:t>
      </w:r>
      <w:r w:rsidRPr="00C22B32">
        <w:rPr>
          <w:bCs/>
          <w:szCs w:val="25"/>
        </w:rPr>
        <w:t>)</w:t>
      </w:r>
      <w:r w:rsidRPr="00C22B32">
        <w:rPr>
          <w:bCs/>
          <w:iCs/>
          <w:szCs w:val="25"/>
        </w:rPr>
        <w:t xml:space="preserve">, </w:t>
      </w:r>
      <w:r w:rsidRPr="00C22B32">
        <w:rPr>
          <w:bCs/>
          <w:kern w:val="0"/>
          <w:szCs w:val="25"/>
        </w:rPr>
        <w:t>discussed by E</w:t>
      </w:r>
      <w:r w:rsidRPr="00C22B32">
        <w:rPr>
          <w:bCs/>
          <w:szCs w:val="25"/>
        </w:rPr>
        <w:t>.</w:t>
      </w:r>
      <w:r w:rsidRPr="00C22B32">
        <w:rPr>
          <w:bCs/>
          <w:kern w:val="0"/>
          <w:szCs w:val="25"/>
        </w:rPr>
        <w:t>M</w:t>
      </w:r>
      <w:r w:rsidRPr="00C22B32">
        <w:rPr>
          <w:bCs/>
          <w:szCs w:val="25"/>
        </w:rPr>
        <w:t xml:space="preserve">. </w:t>
      </w:r>
      <w:r w:rsidRPr="00C22B32">
        <w:rPr>
          <w:bCs/>
          <w:kern w:val="0"/>
          <w:szCs w:val="25"/>
        </w:rPr>
        <w:t>Meyers and J</w:t>
      </w:r>
      <w:r w:rsidRPr="00C22B32">
        <w:rPr>
          <w:bCs/>
          <w:szCs w:val="25"/>
        </w:rPr>
        <w:t>.</w:t>
      </w:r>
      <w:r w:rsidRPr="00C22B32">
        <w:rPr>
          <w:bCs/>
          <w:kern w:val="0"/>
          <w:szCs w:val="25"/>
        </w:rPr>
        <w:t>F</w:t>
      </w:r>
      <w:r w:rsidRPr="00C22B32">
        <w:rPr>
          <w:bCs/>
          <w:szCs w:val="25"/>
        </w:rPr>
        <w:t xml:space="preserve">. </w:t>
      </w:r>
      <w:r w:rsidRPr="00C22B32">
        <w:rPr>
          <w:bCs/>
          <w:kern w:val="0"/>
          <w:szCs w:val="25"/>
        </w:rPr>
        <w:t>Strange</w:t>
      </w:r>
      <w:r w:rsidRPr="00C22B32">
        <w:rPr>
          <w:bCs/>
          <w:iCs/>
          <w:szCs w:val="25"/>
        </w:rPr>
        <w:t xml:space="preserve">, </w:t>
      </w:r>
      <w:r w:rsidRPr="00C22B32">
        <w:rPr>
          <w:bCs/>
          <w:i/>
          <w:iCs/>
          <w:kern w:val="0"/>
          <w:szCs w:val="25"/>
        </w:rPr>
        <w:t>Archaeology</w:t>
      </w:r>
      <w:r w:rsidRPr="00C22B32">
        <w:rPr>
          <w:bCs/>
          <w:iCs/>
          <w:szCs w:val="25"/>
        </w:rPr>
        <w:t xml:space="preserve">, </w:t>
      </w:r>
      <w:r w:rsidRPr="00C22B32">
        <w:rPr>
          <w:bCs/>
          <w:i/>
          <w:iCs/>
          <w:kern w:val="0"/>
          <w:szCs w:val="25"/>
        </w:rPr>
        <w:t>the Rabbis</w:t>
      </w:r>
      <w:r w:rsidRPr="00C22B32">
        <w:rPr>
          <w:bCs/>
          <w:iCs/>
          <w:szCs w:val="25"/>
        </w:rPr>
        <w:t xml:space="preserve">, </w:t>
      </w:r>
      <w:r w:rsidRPr="00C22B32">
        <w:rPr>
          <w:bCs/>
          <w:i/>
          <w:iCs/>
          <w:kern w:val="0"/>
          <w:szCs w:val="25"/>
        </w:rPr>
        <w:t>and Early Christianity</w:t>
      </w:r>
      <w:r w:rsidRPr="00C22B32">
        <w:rPr>
          <w:bCs/>
          <w:iCs/>
          <w:szCs w:val="25"/>
        </w:rPr>
        <w:t xml:space="preserve">: </w:t>
      </w:r>
      <w:r w:rsidRPr="00C22B32">
        <w:rPr>
          <w:bCs/>
          <w:i/>
          <w:iCs/>
          <w:kern w:val="0"/>
          <w:szCs w:val="25"/>
        </w:rPr>
        <w:t>The Social and Historical Setting of Palestinian Judaism and Christianity</w:t>
      </w:r>
      <w:r w:rsidRPr="00C22B32">
        <w:rPr>
          <w:bCs/>
          <w:iCs/>
          <w:szCs w:val="25"/>
        </w:rPr>
        <w:t xml:space="preserve"> (</w:t>
      </w:r>
      <w:r w:rsidRPr="00C22B32">
        <w:rPr>
          <w:bCs/>
          <w:kern w:val="0"/>
          <w:szCs w:val="25"/>
        </w:rPr>
        <w:t>Nashville</w:t>
      </w:r>
      <w:r w:rsidRPr="00C22B32">
        <w:rPr>
          <w:bCs/>
          <w:szCs w:val="25"/>
        </w:rPr>
        <w:t xml:space="preserve">: </w:t>
      </w:r>
      <w:r w:rsidRPr="00C22B32">
        <w:rPr>
          <w:bCs/>
          <w:kern w:val="0"/>
          <w:szCs w:val="25"/>
        </w:rPr>
        <w:t>Abingdon</w:t>
      </w:r>
      <w:r w:rsidRPr="00C22B32">
        <w:rPr>
          <w:bCs/>
          <w:iCs/>
          <w:szCs w:val="25"/>
        </w:rPr>
        <w:t xml:space="preserve">, </w:t>
      </w:r>
      <w:r w:rsidRPr="00C22B32">
        <w:rPr>
          <w:bCs/>
          <w:kern w:val="0"/>
          <w:szCs w:val="25"/>
        </w:rPr>
        <w:t>1981</w:t>
      </w:r>
      <w:r w:rsidRPr="00C22B32">
        <w:rPr>
          <w:bCs/>
          <w:szCs w:val="25"/>
        </w:rPr>
        <w:t xml:space="preserve">) </w:t>
      </w:r>
      <w:r w:rsidRPr="00C22B32">
        <w:rPr>
          <w:bCs/>
          <w:kern w:val="0"/>
          <w:szCs w:val="25"/>
        </w:rPr>
        <w:t>36</w:t>
      </w:r>
      <w:r w:rsidRPr="00C22B32">
        <w:rPr>
          <w:bCs/>
          <w:szCs w:val="25"/>
        </w:rPr>
        <w:t>: “</w:t>
      </w:r>
      <w:r w:rsidRPr="00C22B32">
        <w:rPr>
          <w:bCs/>
          <w:kern w:val="0"/>
          <w:szCs w:val="25"/>
        </w:rPr>
        <w:t>Oppenheimer shows quite clearly that while such issues as ritual purity and tithes clearly separated the</w:t>
      </w:r>
      <w:r w:rsidRPr="00C22B32">
        <w:rPr>
          <w:bCs/>
          <w:szCs w:val="25"/>
        </w:rPr>
        <w:t xml:space="preserve"> </w:t>
      </w:r>
      <w:r>
        <w:rPr>
          <w:bCs/>
          <w:szCs w:val="25"/>
        </w:rPr>
        <w:t>`</w:t>
      </w:r>
      <w:r w:rsidRPr="00C22B32">
        <w:rPr>
          <w:bCs/>
          <w:i/>
          <w:iCs/>
          <w:kern w:val="0"/>
          <w:szCs w:val="25"/>
        </w:rPr>
        <w:t>ammei ha-aretz</w:t>
      </w:r>
      <w:r w:rsidRPr="00E5437D">
        <w:rPr>
          <w:bCs/>
          <w:kern w:val="0"/>
          <w:szCs w:val="25"/>
        </w:rPr>
        <w:t xml:space="preserve"> </w:t>
      </w:r>
      <w:r w:rsidRPr="00C22B32">
        <w:rPr>
          <w:bCs/>
          <w:kern w:val="0"/>
          <w:szCs w:val="25"/>
        </w:rPr>
        <w:t>from their fellow Jews in some ways</w:t>
      </w:r>
      <w:r w:rsidRPr="00C22B32">
        <w:rPr>
          <w:bCs/>
          <w:iCs/>
          <w:szCs w:val="25"/>
        </w:rPr>
        <w:t xml:space="preserve">, </w:t>
      </w:r>
      <w:r w:rsidRPr="00C22B32">
        <w:rPr>
          <w:bCs/>
          <w:kern w:val="0"/>
          <w:szCs w:val="25"/>
        </w:rPr>
        <w:t xml:space="preserve">these issues did not in the least inhibit their social interaction with many other kinds of Jews </w:t>
      </w:r>
      <w:r>
        <w:rPr>
          <w:bCs/>
          <w:szCs w:val="25"/>
        </w:rPr>
        <w:t>. . .”</w:t>
      </w:r>
    </w:p>
  </w:footnote>
  <w:footnote w:id="876">
    <w:p w14:paraId="14573C0E" w14:textId="77777777" w:rsidR="00B47A48" w:rsidRDefault="00B47A48" w:rsidP="00B47A48">
      <w:pPr>
        <w:pStyle w:val="FootnoteText"/>
      </w:pPr>
      <w:r>
        <w:rPr>
          <w:rStyle w:val="FootnoteReference"/>
        </w:rPr>
        <w:footnoteRef/>
      </w:r>
      <w:r>
        <w:t xml:space="preserve"> </w:t>
      </w:r>
      <w:r>
        <w:rPr>
          <w:bCs/>
          <w:szCs w:val="25"/>
        </w:rPr>
        <w:t>F</w:t>
      </w:r>
      <w:r w:rsidRPr="00C22B32">
        <w:rPr>
          <w:bCs/>
          <w:kern w:val="0"/>
          <w:szCs w:val="25"/>
        </w:rPr>
        <w:t>or exclusivity as a characteristic of beginning sectarian movements</w:t>
      </w:r>
      <w:r w:rsidRPr="00C22B32">
        <w:rPr>
          <w:bCs/>
          <w:iCs/>
          <w:szCs w:val="25"/>
        </w:rPr>
        <w:t xml:space="preserve">, </w:t>
      </w:r>
      <w:r w:rsidRPr="00C22B32">
        <w:rPr>
          <w:bCs/>
          <w:kern w:val="0"/>
          <w:szCs w:val="25"/>
        </w:rPr>
        <w:t>see B</w:t>
      </w:r>
      <w:r>
        <w:rPr>
          <w:bCs/>
          <w:szCs w:val="25"/>
        </w:rPr>
        <w:t xml:space="preserve">ryan </w:t>
      </w:r>
      <w:r w:rsidRPr="00C22B32">
        <w:rPr>
          <w:bCs/>
          <w:kern w:val="0"/>
          <w:szCs w:val="25"/>
        </w:rPr>
        <w:t>Wilson</w:t>
      </w:r>
      <w:r w:rsidRPr="00C22B32">
        <w:rPr>
          <w:bCs/>
          <w:iCs/>
          <w:szCs w:val="25"/>
        </w:rPr>
        <w:t xml:space="preserve">, </w:t>
      </w:r>
      <w:r w:rsidRPr="00C22B32">
        <w:rPr>
          <w:bCs/>
          <w:i/>
          <w:iCs/>
          <w:kern w:val="0"/>
        </w:rPr>
        <w:t>Religious Sects</w:t>
      </w:r>
      <w:r w:rsidRPr="00C22B32">
        <w:rPr>
          <w:bCs/>
          <w:iCs/>
        </w:rPr>
        <w:t xml:space="preserve">: </w:t>
      </w:r>
      <w:r w:rsidRPr="00C22B32">
        <w:rPr>
          <w:bCs/>
          <w:i/>
          <w:iCs/>
          <w:kern w:val="0"/>
        </w:rPr>
        <w:t>A Sociological Study</w:t>
      </w:r>
      <w:r w:rsidRPr="00C22B32">
        <w:rPr>
          <w:bCs/>
          <w:iCs/>
        </w:rPr>
        <w:t xml:space="preserve"> (</w:t>
      </w:r>
      <w:r w:rsidRPr="00C22B32">
        <w:rPr>
          <w:bCs/>
          <w:kern w:val="0"/>
          <w:szCs w:val="25"/>
        </w:rPr>
        <w:t>New York</w:t>
      </w:r>
      <w:r w:rsidRPr="00C22B32">
        <w:rPr>
          <w:bCs/>
          <w:szCs w:val="25"/>
        </w:rPr>
        <w:t xml:space="preserve">: </w:t>
      </w:r>
      <w:r w:rsidRPr="00C22B32">
        <w:rPr>
          <w:bCs/>
          <w:kern w:val="0"/>
          <w:szCs w:val="25"/>
        </w:rPr>
        <w:t>McGraw-Hill</w:t>
      </w:r>
      <w:r w:rsidRPr="00C22B32">
        <w:rPr>
          <w:bCs/>
          <w:iCs/>
          <w:szCs w:val="25"/>
        </w:rPr>
        <w:t xml:space="preserve">, </w:t>
      </w:r>
      <w:r w:rsidRPr="00C22B32">
        <w:rPr>
          <w:bCs/>
          <w:kern w:val="0"/>
          <w:szCs w:val="25"/>
        </w:rPr>
        <w:t>1971</w:t>
      </w:r>
      <w:r w:rsidRPr="00C22B32">
        <w:rPr>
          <w:bCs/>
          <w:szCs w:val="25"/>
        </w:rPr>
        <w:t xml:space="preserve">) </w:t>
      </w:r>
      <w:r w:rsidRPr="00C22B32">
        <w:rPr>
          <w:bCs/>
          <w:kern w:val="0"/>
          <w:szCs w:val="25"/>
        </w:rPr>
        <w:t>36-47</w:t>
      </w:r>
      <w:r w:rsidRPr="00C22B32">
        <w:rPr>
          <w:bCs/>
          <w:szCs w:val="25"/>
        </w:rPr>
        <w:t xml:space="preserve">; </w:t>
      </w:r>
      <w:r w:rsidRPr="00C22B32">
        <w:rPr>
          <w:bCs/>
          <w:i/>
          <w:iCs/>
          <w:kern w:val="0"/>
        </w:rPr>
        <w:t>idem</w:t>
      </w:r>
      <w:r w:rsidRPr="00C22B32">
        <w:rPr>
          <w:bCs/>
          <w:iCs/>
        </w:rPr>
        <w:t xml:space="preserve">, </w:t>
      </w:r>
      <w:r w:rsidRPr="00C22B32">
        <w:rPr>
          <w:bCs/>
          <w:i/>
          <w:iCs/>
          <w:kern w:val="0"/>
        </w:rPr>
        <w:t>Magic and the Millenium</w:t>
      </w:r>
      <w:r w:rsidRPr="00C22B32">
        <w:rPr>
          <w:bCs/>
          <w:iCs/>
        </w:rPr>
        <w:t xml:space="preserve">: </w:t>
      </w:r>
      <w:r w:rsidRPr="00C22B32">
        <w:rPr>
          <w:bCs/>
          <w:i/>
          <w:iCs/>
          <w:kern w:val="0"/>
        </w:rPr>
        <w:t>A Sociological Study of Religious Movements of Protest Among Tribal and Third-World Peoples</w:t>
      </w:r>
      <w:r w:rsidRPr="00C22B32">
        <w:rPr>
          <w:bCs/>
          <w:iCs/>
        </w:rPr>
        <w:t xml:space="preserve"> (</w:t>
      </w:r>
      <w:r w:rsidRPr="00C22B32">
        <w:rPr>
          <w:bCs/>
          <w:kern w:val="0"/>
          <w:szCs w:val="25"/>
        </w:rPr>
        <w:t>New York</w:t>
      </w:r>
      <w:r w:rsidRPr="00C22B32">
        <w:rPr>
          <w:bCs/>
          <w:szCs w:val="25"/>
        </w:rPr>
        <w:t xml:space="preserve">: </w:t>
      </w:r>
      <w:r w:rsidRPr="00C22B32">
        <w:rPr>
          <w:bCs/>
          <w:kern w:val="0"/>
          <w:szCs w:val="25"/>
        </w:rPr>
        <w:t xml:space="preserve">Harper </w:t>
      </w:r>
      <w:r>
        <w:rPr>
          <w:bCs/>
          <w:kern w:val="0"/>
          <w:szCs w:val="25"/>
        </w:rPr>
        <w:t>and</w:t>
      </w:r>
      <w:r w:rsidRPr="00C22B32">
        <w:rPr>
          <w:bCs/>
          <w:kern w:val="0"/>
          <w:szCs w:val="25"/>
        </w:rPr>
        <w:t xml:space="preserve"> Row</w:t>
      </w:r>
      <w:r w:rsidRPr="00C22B32">
        <w:rPr>
          <w:bCs/>
          <w:iCs/>
          <w:szCs w:val="25"/>
        </w:rPr>
        <w:t xml:space="preserve">, </w:t>
      </w:r>
      <w:r w:rsidRPr="00C22B32">
        <w:rPr>
          <w:bCs/>
          <w:kern w:val="0"/>
          <w:szCs w:val="25"/>
        </w:rPr>
        <w:t>1973</w:t>
      </w:r>
      <w:r w:rsidRPr="00C22B32">
        <w:rPr>
          <w:bCs/>
          <w:szCs w:val="25"/>
        </w:rPr>
        <w:t xml:space="preserve">) </w:t>
      </w:r>
      <w:r w:rsidRPr="00C22B32">
        <w:rPr>
          <w:bCs/>
          <w:kern w:val="0"/>
          <w:szCs w:val="25"/>
        </w:rPr>
        <w:t>27-69</w:t>
      </w:r>
      <w:r w:rsidRPr="00C22B32">
        <w:rPr>
          <w:bCs/>
          <w:szCs w:val="25"/>
        </w:rPr>
        <w:t>.</w:t>
      </w:r>
    </w:p>
  </w:footnote>
  <w:footnote w:id="877">
    <w:p w14:paraId="71A794BD" w14:textId="77777777" w:rsidR="00B47A48" w:rsidRDefault="00B47A48" w:rsidP="00B47A48">
      <w:pPr>
        <w:pStyle w:val="FootnoteText"/>
      </w:pPr>
      <w:r>
        <w:rPr>
          <w:rStyle w:val="FootnoteReference"/>
        </w:rPr>
        <w:footnoteRef/>
      </w:r>
      <w:r>
        <w:t xml:space="preserve"> </w:t>
      </w:r>
      <w:r>
        <w:rPr>
          <w:bCs/>
          <w:szCs w:val="34"/>
        </w:rPr>
        <w:t>C</w:t>
      </w:r>
      <w:r w:rsidRPr="00C22B32">
        <w:rPr>
          <w:bCs/>
          <w:szCs w:val="34"/>
        </w:rPr>
        <w:t>.</w:t>
      </w:r>
      <w:r w:rsidRPr="00C22B32">
        <w:rPr>
          <w:bCs/>
          <w:kern w:val="0"/>
          <w:szCs w:val="25"/>
        </w:rPr>
        <w:t>F</w:t>
      </w:r>
      <w:r w:rsidRPr="00C22B32">
        <w:rPr>
          <w:bCs/>
          <w:szCs w:val="25"/>
        </w:rPr>
        <w:t xml:space="preserve">. </w:t>
      </w:r>
      <w:r w:rsidRPr="00C22B32">
        <w:rPr>
          <w:bCs/>
          <w:kern w:val="0"/>
          <w:szCs w:val="25"/>
        </w:rPr>
        <w:t>Burney</w:t>
      </w:r>
      <w:r w:rsidRPr="00C22B32">
        <w:rPr>
          <w:bCs/>
          <w:szCs w:val="25"/>
        </w:rPr>
        <w:t xml:space="preserve"> (</w:t>
      </w:r>
      <w:r w:rsidRPr="00C22B32">
        <w:rPr>
          <w:bCs/>
          <w:i/>
          <w:iCs/>
          <w:kern w:val="0"/>
          <w:szCs w:val="25"/>
        </w:rPr>
        <w:t>Poetry of Our Lord</w:t>
      </w:r>
      <w:r w:rsidRPr="000854DB">
        <w:rPr>
          <w:bCs/>
          <w:kern w:val="0"/>
          <w:szCs w:val="25"/>
        </w:rPr>
        <w:t xml:space="preserve"> </w:t>
      </w:r>
      <w:r w:rsidRPr="00C22B32">
        <w:rPr>
          <w:bCs/>
          <w:kern w:val="0"/>
          <w:szCs w:val="25"/>
        </w:rPr>
        <w:t>123 n</w:t>
      </w:r>
      <w:r w:rsidRPr="00C22B32">
        <w:rPr>
          <w:bCs/>
          <w:szCs w:val="25"/>
        </w:rPr>
        <w:t xml:space="preserve">. </w:t>
      </w:r>
      <w:r w:rsidRPr="00C22B32">
        <w:rPr>
          <w:bCs/>
          <w:kern w:val="0"/>
          <w:szCs w:val="25"/>
        </w:rPr>
        <w:t>1</w:t>
      </w:r>
      <w:r w:rsidRPr="00C22B32">
        <w:rPr>
          <w:bCs/>
          <w:szCs w:val="25"/>
        </w:rPr>
        <w:t xml:space="preserve">) </w:t>
      </w:r>
      <w:r w:rsidRPr="00C22B32">
        <w:rPr>
          <w:bCs/>
          <w:kern w:val="0"/>
          <w:szCs w:val="25"/>
        </w:rPr>
        <w:t>also believes that 6</w:t>
      </w:r>
      <w:r w:rsidRPr="00C22B32">
        <w:rPr>
          <w:bCs/>
          <w:szCs w:val="25"/>
        </w:rPr>
        <w:t>:</w:t>
      </w:r>
      <w:r w:rsidRPr="00C22B32">
        <w:rPr>
          <w:bCs/>
          <w:kern w:val="0"/>
          <w:szCs w:val="25"/>
        </w:rPr>
        <w:t>27a is no argument against the disciples as audience</w:t>
      </w:r>
      <w:r w:rsidRPr="00C22B32">
        <w:rPr>
          <w:bCs/>
          <w:szCs w:val="25"/>
        </w:rPr>
        <w:t xml:space="preserve">: </w:t>
      </w:r>
      <w:r>
        <w:rPr>
          <w:bCs/>
          <w:szCs w:val="25"/>
        </w:rPr>
        <w:t>“</w:t>
      </w:r>
      <w:r w:rsidRPr="00C22B32">
        <w:rPr>
          <w:bCs/>
          <w:kern w:val="0"/>
          <w:szCs w:val="25"/>
        </w:rPr>
        <w:t>The introductory words of Luke 6</w:t>
      </w:r>
      <w:r w:rsidRPr="00C22B32">
        <w:rPr>
          <w:bCs/>
          <w:szCs w:val="25"/>
        </w:rPr>
        <w:t>:</w:t>
      </w:r>
      <w:r w:rsidRPr="00C22B32">
        <w:rPr>
          <w:bCs/>
          <w:kern w:val="0"/>
          <w:szCs w:val="25"/>
        </w:rPr>
        <w:t>27</w:t>
      </w:r>
      <w:r w:rsidRPr="00C22B32">
        <w:rPr>
          <w:bCs/>
          <w:iCs/>
          <w:szCs w:val="25"/>
        </w:rPr>
        <w:t xml:space="preserve">, </w:t>
      </w:r>
      <w:r w:rsidRPr="00C83361">
        <w:rPr>
          <w:i/>
          <w:iCs/>
          <w:szCs w:val="22"/>
          <w:lang w:bidi="he-IL"/>
        </w:rPr>
        <w:t>Ἀ</w:t>
      </w:r>
      <w:r w:rsidRPr="00C22B32">
        <w:rPr>
          <w:bCs/>
          <w:i/>
          <w:iCs/>
          <w:kern w:val="0"/>
          <w:szCs w:val="25"/>
        </w:rPr>
        <w:t>ll</w:t>
      </w:r>
      <w:r w:rsidRPr="00C22B32">
        <w:rPr>
          <w:bCs/>
          <w:iCs/>
          <w:szCs w:val="25"/>
        </w:rPr>
        <w:t xml:space="preserve">’ </w:t>
      </w:r>
      <w:r w:rsidRPr="00C22B32">
        <w:rPr>
          <w:bCs/>
          <w:i/>
          <w:iCs/>
          <w:kern w:val="0"/>
          <w:szCs w:val="25"/>
        </w:rPr>
        <w:t>hymin leg</w:t>
      </w:r>
      <w:r>
        <w:rPr>
          <w:bCs/>
          <w:i/>
          <w:iCs/>
          <w:szCs w:val="25"/>
        </w:rPr>
        <w:t>ō</w:t>
      </w:r>
      <w:r w:rsidRPr="00C22B32">
        <w:rPr>
          <w:bCs/>
          <w:i/>
          <w:iCs/>
          <w:kern w:val="0"/>
          <w:szCs w:val="25"/>
        </w:rPr>
        <w:t xml:space="preserve"> tois akouousin</w:t>
      </w:r>
      <w:r w:rsidRPr="00C22B32">
        <w:rPr>
          <w:bCs/>
          <w:iCs/>
          <w:szCs w:val="25"/>
        </w:rPr>
        <w:t xml:space="preserve">, </w:t>
      </w:r>
      <w:r w:rsidRPr="00C22B32">
        <w:rPr>
          <w:bCs/>
          <w:kern w:val="0"/>
          <w:szCs w:val="25"/>
        </w:rPr>
        <w:t>may include an outer circle of listeners</w:t>
      </w:r>
      <w:r w:rsidRPr="00C22B32">
        <w:rPr>
          <w:bCs/>
          <w:iCs/>
          <w:szCs w:val="25"/>
        </w:rPr>
        <w:t xml:space="preserve">, </w:t>
      </w:r>
      <w:r w:rsidRPr="00C22B32">
        <w:rPr>
          <w:bCs/>
          <w:kern w:val="0"/>
          <w:szCs w:val="25"/>
        </w:rPr>
        <w:t>but the instruction is intended primarily for the disciples</w:t>
      </w:r>
      <w:r w:rsidRPr="00C22B32">
        <w:rPr>
          <w:bCs/>
          <w:szCs w:val="25"/>
        </w:rPr>
        <w:t xml:space="preserve"> (</w:t>
      </w:r>
      <w:r w:rsidRPr="00C22B32">
        <w:rPr>
          <w:bCs/>
          <w:i/>
          <w:iCs/>
          <w:kern w:val="0"/>
          <w:szCs w:val="25"/>
        </w:rPr>
        <w:t>v</w:t>
      </w:r>
      <w:r w:rsidRPr="00C22B32">
        <w:rPr>
          <w:bCs/>
          <w:iCs/>
          <w:szCs w:val="25"/>
        </w:rPr>
        <w:t xml:space="preserve">. </w:t>
      </w:r>
      <w:r w:rsidRPr="00C22B32">
        <w:rPr>
          <w:bCs/>
          <w:kern w:val="0"/>
          <w:szCs w:val="25"/>
        </w:rPr>
        <w:t>20</w:t>
      </w:r>
      <w:r w:rsidRPr="00C22B32">
        <w:rPr>
          <w:bCs/>
          <w:szCs w:val="25"/>
        </w:rPr>
        <w:t>).”</w:t>
      </w:r>
    </w:p>
  </w:footnote>
  <w:footnote w:id="878">
    <w:p w14:paraId="45020494" w14:textId="77777777" w:rsidR="00B47A48" w:rsidRDefault="00B47A48" w:rsidP="00B47A48">
      <w:pPr>
        <w:pStyle w:val="FootnoteText"/>
      </w:pPr>
      <w:r>
        <w:rPr>
          <w:rStyle w:val="FootnoteReference"/>
        </w:rPr>
        <w:footnoteRef/>
      </w:r>
      <w:r>
        <w:t xml:space="preserve"> </w:t>
      </w:r>
      <w:r>
        <w:rPr>
          <w:bCs/>
          <w:i/>
          <w:iCs/>
        </w:rPr>
        <w:t>D</w:t>
      </w:r>
      <w:r w:rsidRPr="00C22B32">
        <w:rPr>
          <w:bCs/>
          <w:i/>
          <w:iCs/>
          <w:kern w:val="0"/>
        </w:rPr>
        <w:t>ie Sammlung Israels</w:t>
      </w:r>
      <w:r w:rsidRPr="00C22B32">
        <w:rPr>
          <w:bCs/>
          <w:iCs/>
        </w:rPr>
        <w:t xml:space="preserve">: </w:t>
      </w:r>
      <w:r w:rsidRPr="00C22B32">
        <w:rPr>
          <w:bCs/>
          <w:i/>
          <w:iCs/>
          <w:kern w:val="0"/>
        </w:rPr>
        <w:t>Eine Untersuchung zur lukanischen Ekklesiologie</w:t>
      </w:r>
      <w:r w:rsidRPr="00C22B32">
        <w:rPr>
          <w:bCs/>
          <w:iCs/>
        </w:rPr>
        <w:t xml:space="preserve"> (</w:t>
      </w:r>
      <w:r w:rsidRPr="00C22B32">
        <w:rPr>
          <w:bCs/>
          <w:kern w:val="0"/>
          <w:szCs w:val="25"/>
        </w:rPr>
        <w:t>Studien zum Alten und Neuen Testament 39</w:t>
      </w:r>
      <w:r w:rsidRPr="00C22B32">
        <w:rPr>
          <w:bCs/>
          <w:szCs w:val="25"/>
        </w:rPr>
        <w:t xml:space="preserve">; </w:t>
      </w:r>
      <w:r w:rsidRPr="00C22B32">
        <w:rPr>
          <w:bCs/>
          <w:kern w:val="0"/>
          <w:szCs w:val="25"/>
        </w:rPr>
        <w:t>Munich</w:t>
      </w:r>
      <w:r w:rsidRPr="00C22B32">
        <w:rPr>
          <w:bCs/>
          <w:szCs w:val="25"/>
        </w:rPr>
        <w:t xml:space="preserve">: </w:t>
      </w:r>
      <w:r w:rsidRPr="005F3A98">
        <w:rPr>
          <w:bCs/>
          <w:iCs/>
          <w:szCs w:val="25"/>
        </w:rPr>
        <w:t>Kösel</w:t>
      </w:r>
      <w:r w:rsidRPr="00C22B32">
        <w:rPr>
          <w:bCs/>
          <w:iCs/>
          <w:szCs w:val="25"/>
        </w:rPr>
        <w:t xml:space="preserve">, </w:t>
      </w:r>
      <w:r w:rsidRPr="00C22B32">
        <w:rPr>
          <w:bCs/>
          <w:kern w:val="0"/>
          <w:szCs w:val="25"/>
        </w:rPr>
        <w:t>1975</w:t>
      </w:r>
      <w:r w:rsidRPr="00C22B32">
        <w:rPr>
          <w:bCs/>
          <w:szCs w:val="25"/>
        </w:rPr>
        <w:t xml:space="preserve">) </w:t>
      </w:r>
      <w:r w:rsidRPr="00C22B32">
        <w:rPr>
          <w:bCs/>
          <w:kern w:val="0"/>
          <w:szCs w:val="25"/>
        </w:rPr>
        <w:t>72-73</w:t>
      </w:r>
      <w:r w:rsidRPr="00C22B32">
        <w:rPr>
          <w:bCs/>
          <w:szCs w:val="25"/>
        </w:rPr>
        <w:t>.</w:t>
      </w:r>
    </w:p>
  </w:footnote>
  <w:footnote w:id="879">
    <w:p w14:paraId="79768D96" w14:textId="77777777" w:rsidR="00B47A48" w:rsidRDefault="00B47A48" w:rsidP="00B47A48">
      <w:pPr>
        <w:pStyle w:val="FootnoteText"/>
      </w:pPr>
      <w:r>
        <w:rPr>
          <w:rStyle w:val="FootnoteReference"/>
        </w:rPr>
        <w:footnoteRef/>
      </w:r>
      <w:r>
        <w:t xml:space="preserve"> </w:t>
      </w:r>
      <w:r>
        <w:rPr>
          <w:bCs/>
          <w:szCs w:val="25"/>
        </w:rPr>
        <w:t>Ib</w:t>
      </w:r>
      <w:r w:rsidRPr="00C22B32">
        <w:rPr>
          <w:bCs/>
          <w:kern w:val="0"/>
          <w:szCs w:val="25"/>
        </w:rPr>
        <w:t>id</w:t>
      </w:r>
      <w:r w:rsidRPr="00C22B32">
        <w:rPr>
          <w:bCs/>
          <w:szCs w:val="25"/>
        </w:rPr>
        <w:t xml:space="preserve">. </w:t>
      </w:r>
      <w:r w:rsidRPr="00C22B32">
        <w:rPr>
          <w:bCs/>
          <w:kern w:val="0"/>
          <w:szCs w:val="25"/>
        </w:rPr>
        <w:t>73</w:t>
      </w:r>
      <w:r w:rsidRPr="00C22B32">
        <w:rPr>
          <w:bCs/>
          <w:szCs w:val="25"/>
        </w:rPr>
        <w:t>.</w:t>
      </w:r>
    </w:p>
  </w:footnote>
  <w:footnote w:id="880">
    <w:p w14:paraId="54229BF1" w14:textId="77777777" w:rsidR="00B47A48" w:rsidRDefault="00B47A48" w:rsidP="00B47A48">
      <w:pPr>
        <w:pStyle w:val="FootnoteText"/>
      </w:pPr>
      <w:r>
        <w:rPr>
          <w:rStyle w:val="FootnoteReference"/>
        </w:rPr>
        <w:footnoteRef/>
      </w:r>
      <w:r>
        <w:t xml:space="preserve"> </w:t>
      </w:r>
      <w:r w:rsidRPr="00C22B32">
        <w:rPr>
          <w:bCs/>
          <w:i/>
          <w:iCs/>
          <w:kern w:val="0"/>
          <w:szCs w:val="25"/>
        </w:rPr>
        <w:t>Luke</w:t>
      </w:r>
      <w:r w:rsidRPr="005F3A98">
        <w:rPr>
          <w:bCs/>
          <w:kern w:val="0"/>
          <w:szCs w:val="25"/>
        </w:rPr>
        <w:t xml:space="preserve"> </w:t>
      </w:r>
      <w:r w:rsidRPr="00C22B32">
        <w:rPr>
          <w:bCs/>
          <w:kern w:val="0"/>
          <w:szCs w:val="26"/>
        </w:rPr>
        <w:t>25</w:t>
      </w:r>
      <w:r w:rsidRPr="00C22B32">
        <w:rPr>
          <w:bCs/>
          <w:szCs w:val="26"/>
        </w:rPr>
        <w:t>.</w:t>
      </w:r>
    </w:p>
  </w:footnote>
  <w:footnote w:id="881">
    <w:p w14:paraId="4EC54E7B" w14:textId="77777777" w:rsidR="00B47A48" w:rsidRDefault="00B47A48" w:rsidP="00B47A48">
      <w:pPr>
        <w:pStyle w:val="FootnoteText"/>
      </w:pPr>
      <w:r>
        <w:rPr>
          <w:rStyle w:val="FootnoteReference"/>
        </w:rPr>
        <w:footnoteRef/>
      </w:r>
      <w:r>
        <w:t xml:space="preserve"> </w:t>
      </w:r>
      <w:r>
        <w:rPr>
          <w:bCs/>
          <w:szCs w:val="25"/>
        </w:rPr>
        <w:t>Ib</w:t>
      </w:r>
      <w:r w:rsidRPr="00C22B32">
        <w:rPr>
          <w:bCs/>
          <w:kern w:val="0"/>
          <w:szCs w:val="25"/>
        </w:rPr>
        <w:t>id</w:t>
      </w:r>
      <w:r w:rsidRPr="00C22B32">
        <w:rPr>
          <w:bCs/>
          <w:szCs w:val="25"/>
        </w:rPr>
        <w:t>.</w:t>
      </w:r>
    </w:p>
  </w:footnote>
  <w:footnote w:id="882">
    <w:p w14:paraId="0260AE09" w14:textId="77777777" w:rsidR="00B47A48" w:rsidRDefault="00B47A48" w:rsidP="00B47A48">
      <w:pPr>
        <w:pStyle w:val="FootnoteText"/>
      </w:pPr>
      <w:r>
        <w:rPr>
          <w:rStyle w:val="FootnoteReference"/>
        </w:rPr>
        <w:footnoteRef/>
      </w:r>
      <w:r>
        <w:t xml:space="preserve"> </w:t>
      </w:r>
      <w:r w:rsidRPr="00C22B32">
        <w:rPr>
          <w:bCs/>
          <w:kern w:val="0"/>
          <w:szCs w:val="25"/>
        </w:rPr>
        <w:t>T</w:t>
      </w:r>
      <w:r>
        <w:rPr>
          <w:bCs/>
          <w:szCs w:val="25"/>
        </w:rPr>
        <w:t>h</w:t>
      </w:r>
      <w:r w:rsidRPr="00C22B32">
        <w:rPr>
          <w:bCs/>
          <w:kern w:val="0"/>
          <w:szCs w:val="25"/>
        </w:rPr>
        <w:t>ere also does not seem to be in Luke 6</w:t>
      </w:r>
      <w:r w:rsidRPr="00C22B32">
        <w:rPr>
          <w:bCs/>
          <w:szCs w:val="25"/>
        </w:rPr>
        <w:t>:</w:t>
      </w:r>
      <w:r w:rsidRPr="00C22B32">
        <w:rPr>
          <w:bCs/>
          <w:kern w:val="0"/>
          <w:szCs w:val="25"/>
        </w:rPr>
        <w:t>17-19 an implicit condemnation of those seeking miracles</w:t>
      </w:r>
      <w:r w:rsidRPr="00C22B32">
        <w:rPr>
          <w:bCs/>
          <w:iCs/>
          <w:szCs w:val="25"/>
        </w:rPr>
        <w:t xml:space="preserve">, </w:t>
      </w:r>
      <w:r w:rsidRPr="00C22B32">
        <w:rPr>
          <w:bCs/>
          <w:kern w:val="0"/>
          <w:szCs w:val="25"/>
        </w:rPr>
        <w:t>as Flender insinuates</w:t>
      </w:r>
      <w:r w:rsidRPr="00C22B32">
        <w:rPr>
          <w:bCs/>
          <w:szCs w:val="25"/>
        </w:rPr>
        <w:t xml:space="preserve">. Verses </w:t>
      </w:r>
      <w:r>
        <w:rPr>
          <w:bCs/>
          <w:szCs w:val="25"/>
        </w:rPr>
        <w:t xml:space="preserve">18-19 </w:t>
      </w:r>
      <w:r w:rsidRPr="00C22B32">
        <w:rPr>
          <w:bCs/>
          <w:kern w:val="0"/>
          <w:szCs w:val="25"/>
        </w:rPr>
        <w:t>read</w:t>
      </w:r>
      <w:r w:rsidRPr="00C22B32">
        <w:rPr>
          <w:bCs/>
          <w:iCs/>
          <w:szCs w:val="25"/>
        </w:rPr>
        <w:t xml:space="preserve">, </w:t>
      </w:r>
      <w:r>
        <w:rPr>
          <w:bCs/>
          <w:iCs/>
          <w:szCs w:val="25"/>
        </w:rPr>
        <w:t xml:space="preserve">“They had come </w:t>
      </w:r>
      <w:r w:rsidRPr="00C22B32">
        <w:rPr>
          <w:bCs/>
          <w:kern w:val="0"/>
          <w:szCs w:val="25"/>
        </w:rPr>
        <w:t>to hear him and to be healed of their diseases</w:t>
      </w:r>
      <w:r w:rsidRPr="00C22B32">
        <w:rPr>
          <w:bCs/>
          <w:szCs w:val="25"/>
        </w:rPr>
        <w:t xml:space="preserve">; </w:t>
      </w:r>
      <w:r w:rsidRPr="00C22B32">
        <w:rPr>
          <w:bCs/>
          <w:kern w:val="0"/>
          <w:szCs w:val="25"/>
        </w:rPr>
        <w:t>and those who were troubled with unclean spirits were cured</w:t>
      </w:r>
      <w:r w:rsidRPr="00C22B32">
        <w:rPr>
          <w:bCs/>
          <w:szCs w:val="25"/>
        </w:rPr>
        <w:t xml:space="preserve">. </w:t>
      </w:r>
      <w:r w:rsidRPr="00C22B32">
        <w:rPr>
          <w:bCs/>
          <w:kern w:val="0"/>
          <w:szCs w:val="25"/>
        </w:rPr>
        <w:t xml:space="preserve">And all </w:t>
      </w:r>
      <w:r>
        <w:rPr>
          <w:bCs/>
          <w:szCs w:val="25"/>
        </w:rPr>
        <w:t xml:space="preserve">in </w:t>
      </w:r>
      <w:r w:rsidRPr="00C22B32">
        <w:rPr>
          <w:bCs/>
          <w:kern w:val="0"/>
          <w:szCs w:val="25"/>
        </w:rPr>
        <w:t xml:space="preserve">the crowd </w:t>
      </w:r>
      <w:r>
        <w:rPr>
          <w:bCs/>
          <w:szCs w:val="25"/>
        </w:rPr>
        <w:t xml:space="preserve">were trying </w:t>
      </w:r>
      <w:r w:rsidRPr="00C22B32">
        <w:rPr>
          <w:bCs/>
          <w:kern w:val="0"/>
          <w:szCs w:val="25"/>
        </w:rPr>
        <w:t>to touch him</w:t>
      </w:r>
      <w:r w:rsidRPr="00C22B32">
        <w:rPr>
          <w:bCs/>
          <w:iCs/>
          <w:szCs w:val="25"/>
        </w:rPr>
        <w:t xml:space="preserve">, </w:t>
      </w:r>
      <w:r w:rsidRPr="00C22B32">
        <w:rPr>
          <w:bCs/>
          <w:kern w:val="0"/>
          <w:szCs w:val="25"/>
        </w:rPr>
        <w:t xml:space="preserve">for power came </w:t>
      </w:r>
      <w:r>
        <w:rPr>
          <w:bCs/>
          <w:szCs w:val="25"/>
        </w:rPr>
        <w:t>out</w:t>
      </w:r>
      <w:r w:rsidRPr="00C22B32">
        <w:rPr>
          <w:bCs/>
          <w:kern w:val="0"/>
          <w:szCs w:val="25"/>
        </w:rPr>
        <w:t xml:space="preserve"> from him and healed </w:t>
      </w:r>
      <w:r>
        <w:rPr>
          <w:bCs/>
          <w:szCs w:val="25"/>
        </w:rPr>
        <w:t xml:space="preserve">all of </w:t>
      </w:r>
      <w:r w:rsidRPr="00C22B32">
        <w:rPr>
          <w:bCs/>
          <w:kern w:val="0"/>
          <w:szCs w:val="25"/>
        </w:rPr>
        <w:t>them</w:t>
      </w:r>
      <w:r w:rsidRPr="00C22B32">
        <w:rPr>
          <w:bCs/>
          <w:szCs w:val="25"/>
        </w:rPr>
        <w:t xml:space="preserve">.” </w:t>
      </w:r>
      <w:r w:rsidRPr="00C22B32">
        <w:rPr>
          <w:bCs/>
          <w:kern w:val="0"/>
          <w:szCs w:val="25"/>
        </w:rPr>
        <w:t>The totality of the</w:t>
      </w:r>
      <w:r w:rsidRPr="00C22B32">
        <w:rPr>
          <w:bCs/>
          <w:szCs w:val="25"/>
        </w:rPr>
        <w:t xml:space="preserve"> “</w:t>
      </w:r>
      <w:r w:rsidRPr="00C22B32">
        <w:rPr>
          <w:bCs/>
          <w:kern w:val="0"/>
          <w:szCs w:val="25"/>
        </w:rPr>
        <w:t>great multitude</w:t>
      </w:r>
      <w:r w:rsidRPr="00C22B32">
        <w:rPr>
          <w:bCs/>
          <w:szCs w:val="25"/>
        </w:rPr>
        <w:t xml:space="preserve">,” </w:t>
      </w:r>
      <w:r w:rsidRPr="00C22B32">
        <w:rPr>
          <w:bCs/>
          <w:kern w:val="0"/>
          <w:szCs w:val="25"/>
        </w:rPr>
        <w:t>both those whom Flender sees Luke as approving and those whom he sees Luke as disapproving</w:t>
      </w:r>
      <w:r w:rsidRPr="00C22B32">
        <w:rPr>
          <w:bCs/>
          <w:iCs/>
          <w:szCs w:val="25"/>
        </w:rPr>
        <w:t xml:space="preserve">, </w:t>
      </w:r>
      <w:r w:rsidRPr="00C22B32">
        <w:rPr>
          <w:bCs/>
          <w:kern w:val="0"/>
          <w:szCs w:val="25"/>
        </w:rPr>
        <w:t>seek miraculous healing</w:t>
      </w:r>
      <w:r w:rsidRPr="00C22B32">
        <w:rPr>
          <w:bCs/>
          <w:szCs w:val="25"/>
        </w:rPr>
        <w:t xml:space="preserve">. </w:t>
      </w:r>
      <w:r w:rsidRPr="00C22B32">
        <w:rPr>
          <w:bCs/>
          <w:kern w:val="0"/>
          <w:szCs w:val="25"/>
        </w:rPr>
        <w:t>Far from condemning an interest in miracles</w:t>
      </w:r>
      <w:r w:rsidRPr="00C22B32">
        <w:rPr>
          <w:bCs/>
          <w:iCs/>
          <w:szCs w:val="25"/>
        </w:rPr>
        <w:t xml:space="preserve">, </w:t>
      </w:r>
      <w:r w:rsidRPr="00C22B32">
        <w:rPr>
          <w:bCs/>
          <w:kern w:val="0"/>
          <w:szCs w:val="25"/>
        </w:rPr>
        <w:t>Luke encourages it</w:t>
      </w:r>
      <w:r w:rsidRPr="00C22B32">
        <w:rPr>
          <w:bCs/>
          <w:szCs w:val="25"/>
        </w:rPr>
        <w:t xml:space="preserve">. </w:t>
      </w:r>
      <w:r w:rsidRPr="00C22B32">
        <w:rPr>
          <w:bCs/>
          <w:kern w:val="0"/>
          <w:szCs w:val="25"/>
        </w:rPr>
        <w:t>For Luke</w:t>
      </w:r>
      <w:r w:rsidRPr="00C22B32">
        <w:rPr>
          <w:bCs/>
          <w:iCs/>
          <w:szCs w:val="25"/>
        </w:rPr>
        <w:t>, “</w:t>
      </w:r>
      <w:r w:rsidRPr="00C22B32">
        <w:rPr>
          <w:bCs/>
          <w:kern w:val="0"/>
          <w:szCs w:val="25"/>
        </w:rPr>
        <w:t>a miracle of itself has convincing power</w:t>
      </w:r>
      <w:r w:rsidRPr="00C22B32">
        <w:rPr>
          <w:bCs/>
          <w:szCs w:val="25"/>
        </w:rPr>
        <w:t>” (</w:t>
      </w:r>
      <w:r w:rsidRPr="00C22B32">
        <w:rPr>
          <w:bCs/>
          <w:kern w:val="0"/>
          <w:szCs w:val="25"/>
        </w:rPr>
        <w:t>Conzelmann</w:t>
      </w:r>
      <w:r w:rsidRPr="00C22B32">
        <w:rPr>
          <w:bCs/>
          <w:iCs/>
          <w:szCs w:val="25"/>
        </w:rPr>
        <w:t xml:space="preserve">, </w:t>
      </w:r>
      <w:r w:rsidRPr="00C22B32">
        <w:rPr>
          <w:bCs/>
          <w:i/>
          <w:iCs/>
          <w:kern w:val="0"/>
          <w:szCs w:val="25"/>
        </w:rPr>
        <w:t>Theology of St Luke</w:t>
      </w:r>
      <w:r w:rsidRPr="00192237">
        <w:rPr>
          <w:bCs/>
          <w:kern w:val="0"/>
          <w:szCs w:val="25"/>
        </w:rPr>
        <w:t xml:space="preserve"> </w:t>
      </w:r>
      <w:r w:rsidRPr="00C22B32">
        <w:rPr>
          <w:bCs/>
          <w:kern w:val="0"/>
          <w:szCs w:val="25"/>
        </w:rPr>
        <w:t>76 n</w:t>
      </w:r>
      <w:r w:rsidRPr="00C22B32">
        <w:rPr>
          <w:bCs/>
          <w:szCs w:val="25"/>
        </w:rPr>
        <w:t xml:space="preserve">. </w:t>
      </w:r>
      <w:r w:rsidRPr="00C22B32">
        <w:rPr>
          <w:bCs/>
          <w:kern w:val="0"/>
          <w:szCs w:val="25"/>
        </w:rPr>
        <w:t>3</w:t>
      </w:r>
      <w:r w:rsidRPr="00C22B32">
        <w:rPr>
          <w:bCs/>
          <w:szCs w:val="25"/>
        </w:rPr>
        <w:t xml:space="preserve">): </w:t>
      </w:r>
      <w:r w:rsidRPr="00C22B32">
        <w:rPr>
          <w:bCs/>
          <w:kern w:val="0"/>
          <w:szCs w:val="25"/>
        </w:rPr>
        <w:t>Luke considers</w:t>
      </w:r>
      <w:r w:rsidRPr="00C22B32">
        <w:rPr>
          <w:bCs/>
          <w:szCs w:val="25"/>
        </w:rPr>
        <w:t xml:space="preserve"> “</w:t>
      </w:r>
      <w:r w:rsidRPr="00C22B32">
        <w:rPr>
          <w:bCs/>
          <w:kern w:val="0"/>
          <w:szCs w:val="25"/>
        </w:rPr>
        <w:t>seeing more important than hearing</w:t>
      </w:r>
      <w:r w:rsidRPr="00C22B32">
        <w:rPr>
          <w:bCs/>
          <w:iCs/>
          <w:szCs w:val="25"/>
        </w:rPr>
        <w:t xml:space="preserve">, </w:t>
      </w:r>
      <w:r w:rsidRPr="00C22B32">
        <w:rPr>
          <w:bCs/>
          <w:kern w:val="0"/>
          <w:szCs w:val="25"/>
        </w:rPr>
        <w:t>which corresponds exactly to the relative importance he attaches to Jesus</w:t>
      </w:r>
      <w:r w:rsidRPr="00C22B32">
        <w:rPr>
          <w:bCs/>
          <w:szCs w:val="25"/>
        </w:rPr>
        <w:t xml:space="preserve">’ </w:t>
      </w:r>
      <w:r w:rsidRPr="00C22B32">
        <w:rPr>
          <w:bCs/>
          <w:kern w:val="0"/>
          <w:szCs w:val="25"/>
        </w:rPr>
        <w:t>words and deeds</w:t>
      </w:r>
      <w:r w:rsidRPr="00C22B32">
        <w:rPr>
          <w:bCs/>
          <w:szCs w:val="25"/>
        </w:rPr>
        <w:t>” (</w:t>
      </w:r>
      <w:r w:rsidRPr="00C22B32">
        <w:rPr>
          <w:bCs/>
          <w:kern w:val="0"/>
          <w:szCs w:val="25"/>
        </w:rPr>
        <w:t>ibid</w:t>
      </w:r>
      <w:r w:rsidRPr="00C22B32">
        <w:rPr>
          <w:bCs/>
          <w:szCs w:val="25"/>
        </w:rPr>
        <w:t xml:space="preserve">. </w:t>
      </w:r>
      <w:r w:rsidRPr="00C22B32">
        <w:rPr>
          <w:bCs/>
          <w:kern w:val="0"/>
          <w:szCs w:val="25"/>
        </w:rPr>
        <w:t>192</w:t>
      </w:r>
      <w:r w:rsidRPr="00C22B32">
        <w:rPr>
          <w:bCs/>
          <w:szCs w:val="25"/>
        </w:rPr>
        <w:t xml:space="preserve">). </w:t>
      </w:r>
      <w:r w:rsidRPr="00C22B32">
        <w:rPr>
          <w:bCs/>
          <w:kern w:val="0"/>
          <w:szCs w:val="25"/>
        </w:rPr>
        <w:t>Luke</w:t>
      </w:r>
      <w:r w:rsidRPr="00C22B32">
        <w:rPr>
          <w:bCs/>
          <w:szCs w:val="25"/>
        </w:rPr>
        <w:t>’</w:t>
      </w:r>
      <w:r w:rsidRPr="00C22B32">
        <w:rPr>
          <w:bCs/>
          <w:kern w:val="0"/>
          <w:szCs w:val="25"/>
        </w:rPr>
        <w:t>s interest in miracles is ample</w:t>
      </w:r>
      <w:r w:rsidRPr="00C22B32">
        <w:rPr>
          <w:bCs/>
          <w:szCs w:val="25"/>
        </w:rPr>
        <w:t xml:space="preserve">: </w:t>
      </w:r>
      <w:r w:rsidRPr="00C22B32">
        <w:rPr>
          <w:bCs/>
          <w:kern w:val="0"/>
          <w:szCs w:val="25"/>
        </w:rPr>
        <w:t>H</w:t>
      </w:r>
      <w:r w:rsidRPr="00C22B32">
        <w:rPr>
          <w:bCs/>
          <w:szCs w:val="25"/>
        </w:rPr>
        <w:t>.</w:t>
      </w:r>
      <w:r w:rsidRPr="00C22B32">
        <w:rPr>
          <w:bCs/>
          <w:kern w:val="0"/>
          <w:szCs w:val="25"/>
        </w:rPr>
        <w:t>J</w:t>
      </w:r>
      <w:r w:rsidRPr="00C22B32">
        <w:rPr>
          <w:bCs/>
          <w:szCs w:val="25"/>
        </w:rPr>
        <w:t xml:space="preserve">. </w:t>
      </w:r>
      <w:r w:rsidRPr="00C22B32">
        <w:rPr>
          <w:bCs/>
          <w:kern w:val="0"/>
          <w:szCs w:val="25"/>
        </w:rPr>
        <w:t>Cadbury</w:t>
      </w:r>
      <w:r w:rsidRPr="00C22B32">
        <w:rPr>
          <w:bCs/>
          <w:szCs w:val="25"/>
        </w:rPr>
        <w:t xml:space="preserve"> </w:t>
      </w:r>
      <w:r>
        <w:rPr>
          <w:bCs/>
          <w:szCs w:val="25"/>
        </w:rPr>
        <w:t xml:space="preserve">notes </w:t>
      </w:r>
      <w:r w:rsidRPr="00C22B32">
        <w:rPr>
          <w:bCs/>
          <w:kern w:val="0"/>
          <w:szCs w:val="25"/>
        </w:rPr>
        <w:t xml:space="preserve">in Acts </w:t>
      </w:r>
      <w:r>
        <w:rPr>
          <w:bCs/>
          <w:szCs w:val="25"/>
        </w:rPr>
        <w:t>“</w:t>
      </w:r>
      <w:r w:rsidRPr="00C22B32">
        <w:rPr>
          <w:bCs/>
          <w:kern w:val="0"/>
          <w:szCs w:val="25"/>
        </w:rPr>
        <w:t>the prediction of the future</w:t>
      </w:r>
      <w:r w:rsidRPr="00C22B32">
        <w:rPr>
          <w:bCs/>
          <w:iCs/>
          <w:szCs w:val="25"/>
        </w:rPr>
        <w:t xml:space="preserve">, </w:t>
      </w:r>
      <w:r w:rsidRPr="00C22B32">
        <w:rPr>
          <w:bCs/>
          <w:kern w:val="0"/>
          <w:szCs w:val="25"/>
        </w:rPr>
        <w:t>the visitation of angels</w:t>
      </w:r>
      <w:r w:rsidRPr="00C22B32">
        <w:rPr>
          <w:bCs/>
          <w:iCs/>
          <w:szCs w:val="25"/>
        </w:rPr>
        <w:t xml:space="preserve">, </w:t>
      </w:r>
      <w:r w:rsidRPr="00C22B32">
        <w:rPr>
          <w:bCs/>
          <w:kern w:val="0"/>
          <w:szCs w:val="25"/>
        </w:rPr>
        <w:t>visions</w:t>
      </w:r>
      <w:r w:rsidRPr="00C22B32">
        <w:rPr>
          <w:bCs/>
          <w:iCs/>
          <w:szCs w:val="25"/>
        </w:rPr>
        <w:t xml:space="preserve">, </w:t>
      </w:r>
      <w:r w:rsidRPr="00C22B32">
        <w:rPr>
          <w:bCs/>
          <w:kern w:val="0"/>
          <w:szCs w:val="25"/>
        </w:rPr>
        <w:t>immediate divine intervention protecting the heroes or punishing the villains</w:t>
      </w:r>
      <w:r w:rsidRPr="00C22B32">
        <w:rPr>
          <w:bCs/>
          <w:iCs/>
          <w:szCs w:val="25"/>
        </w:rPr>
        <w:t xml:space="preserve">, </w:t>
      </w:r>
      <w:r w:rsidRPr="00C22B32">
        <w:rPr>
          <w:bCs/>
          <w:kern w:val="0"/>
          <w:szCs w:val="25"/>
        </w:rPr>
        <w:t>and of course many cures or</w:t>
      </w:r>
      <w:r>
        <w:rPr>
          <w:bCs/>
          <w:szCs w:val="25"/>
        </w:rPr>
        <w:t xml:space="preserve"> </w:t>
      </w:r>
      <w:r w:rsidRPr="00C22B32">
        <w:rPr>
          <w:bCs/>
          <w:kern w:val="0"/>
          <w:szCs w:val="25"/>
        </w:rPr>
        <w:t>exorcisms</w:t>
      </w:r>
      <w:r w:rsidRPr="00C22B32">
        <w:rPr>
          <w:bCs/>
          <w:szCs w:val="25"/>
        </w:rPr>
        <w:t>” (</w:t>
      </w:r>
      <w:r>
        <w:rPr>
          <w:bCs/>
          <w:i/>
          <w:iCs/>
          <w:szCs w:val="25"/>
        </w:rPr>
        <w:t xml:space="preserve">The </w:t>
      </w:r>
      <w:r w:rsidRPr="00C22B32">
        <w:rPr>
          <w:bCs/>
          <w:i/>
          <w:iCs/>
          <w:kern w:val="0"/>
          <w:szCs w:val="25"/>
        </w:rPr>
        <w:t>Making of Luke-Acts</w:t>
      </w:r>
      <w:r w:rsidRPr="00C22B32">
        <w:rPr>
          <w:bCs/>
          <w:iCs/>
          <w:szCs w:val="25"/>
        </w:rPr>
        <w:t xml:space="preserve"> [</w:t>
      </w:r>
      <w:r w:rsidRPr="00C22B32">
        <w:rPr>
          <w:bCs/>
          <w:kern w:val="0"/>
          <w:szCs w:val="25"/>
        </w:rPr>
        <w:t>London</w:t>
      </w:r>
      <w:r w:rsidRPr="00C22B32">
        <w:rPr>
          <w:bCs/>
          <w:szCs w:val="25"/>
        </w:rPr>
        <w:t xml:space="preserve">: </w:t>
      </w:r>
      <w:r w:rsidRPr="00192237">
        <w:rPr>
          <w:bCs/>
          <w:iCs/>
          <w:szCs w:val="25"/>
        </w:rPr>
        <w:t>SPCK</w:t>
      </w:r>
      <w:r w:rsidRPr="00C22B32">
        <w:rPr>
          <w:bCs/>
          <w:iCs/>
          <w:szCs w:val="26"/>
        </w:rPr>
        <w:t xml:space="preserve">, </w:t>
      </w:r>
      <w:r w:rsidRPr="00C22B32">
        <w:rPr>
          <w:bCs/>
          <w:kern w:val="0"/>
          <w:szCs w:val="25"/>
        </w:rPr>
        <w:t>1927</w:t>
      </w:r>
      <w:r w:rsidRPr="00C22B32">
        <w:rPr>
          <w:bCs/>
          <w:szCs w:val="25"/>
        </w:rPr>
        <w:t xml:space="preserve">] </w:t>
      </w:r>
      <w:r w:rsidRPr="00C22B32">
        <w:rPr>
          <w:bCs/>
          <w:kern w:val="0"/>
          <w:szCs w:val="25"/>
        </w:rPr>
        <w:t>338</w:t>
      </w:r>
      <w:r w:rsidRPr="00C22B32">
        <w:rPr>
          <w:bCs/>
          <w:szCs w:val="25"/>
        </w:rPr>
        <w:t>)</w:t>
      </w:r>
      <w:r>
        <w:rPr>
          <w:bCs/>
          <w:szCs w:val="25"/>
        </w:rPr>
        <w:t>.</w:t>
      </w:r>
      <w:r w:rsidRPr="00C22B32">
        <w:rPr>
          <w:bCs/>
          <w:szCs w:val="25"/>
        </w:rPr>
        <w:t xml:space="preserve"> </w:t>
      </w:r>
      <w:r>
        <w:rPr>
          <w:bCs/>
          <w:szCs w:val="25"/>
        </w:rPr>
        <w:t xml:space="preserve">One might </w:t>
      </w:r>
      <w:r w:rsidRPr="00C22B32">
        <w:rPr>
          <w:bCs/>
          <w:kern w:val="0"/>
          <w:szCs w:val="25"/>
        </w:rPr>
        <w:t xml:space="preserve">especially </w:t>
      </w:r>
      <w:r>
        <w:rPr>
          <w:bCs/>
          <w:szCs w:val="25"/>
        </w:rPr>
        <w:t xml:space="preserve">note </w:t>
      </w:r>
      <w:r w:rsidRPr="00C22B32">
        <w:rPr>
          <w:bCs/>
          <w:kern w:val="0"/>
          <w:szCs w:val="25"/>
        </w:rPr>
        <w:t xml:space="preserve">the </w:t>
      </w:r>
      <w:r>
        <w:rPr>
          <w:bCs/>
          <w:szCs w:val="25"/>
        </w:rPr>
        <w:t>“</w:t>
      </w:r>
      <w:r w:rsidRPr="00C22B32">
        <w:rPr>
          <w:bCs/>
          <w:kern w:val="0"/>
          <w:szCs w:val="25"/>
        </w:rPr>
        <w:t>relics</w:t>
      </w:r>
      <w:r w:rsidRPr="00C22B32">
        <w:rPr>
          <w:bCs/>
          <w:szCs w:val="25"/>
        </w:rPr>
        <w:t xml:space="preserve">” </w:t>
      </w:r>
      <w:r w:rsidRPr="00C22B32">
        <w:rPr>
          <w:bCs/>
          <w:kern w:val="0"/>
          <w:szCs w:val="25"/>
        </w:rPr>
        <w:t>of Peter</w:t>
      </w:r>
      <w:r w:rsidRPr="00C22B32">
        <w:rPr>
          <w:bCs/>
          <w:szCs w:val="25"/>
        </w:rPr>
        <w:t>’</w:t>
      </w:r>
      <w:r w:rsidRPr="00C22B32">
        <w:rPr>
          <w:bCs/>
          <w:kern w:val="0"/>
          <w:szCs w:val="25"/>
        </w:rPr>
        <w:t>s shadow</w:t>
      </w:r>
      <w:r w:rsidRPr="00C22B32">
        <w:rPr>
          <w:bCs/>
          <w:szCs w:val="25"/>
        </w:rPr>
        <w:t xml:space="preserve"> (</w:t>
      </w:r>
      <w:r w:rsidRPr="00C22B32">
        <w:rPr>
          <w:bCs/>
          <w:kern w:val="0"/>
          <w:szCs w:val="25"/>
        </w:rPr>
        <w:t>5</w:t>
      </w:r>
      <w:r w:rsidRPr="00C22B32">
        <w:rPr>
          <w:bCs/>
          <w:szCs w:val="25"/>
        </w:rPr>
        <w:t>:</w:t>
      </w:r>
      <w:r w:rsidRPr="00C22B32">
        <w:rPr>
          <w:bCs/>
          <w:kern w:val="0"/>
          <w:szCs w:val="25"/>
        </w:rPr>
        <w:t>15</w:t>
      </w:r>
      <w:r w:rsidRPr="00C22B32">
        <w:rPr>
          <w:bCs/>
          <w:szCs w:val="25"/>
        </w:rPr>
        <w:t xml:space="preserve">) </w:t>
      </w:r>
      <w:r w:rsidRPr="00C22B32">
        <w:rPr>
          <w:bCs/>
          <w:kern w:val="0"/>
          <w:szCs w:val="25"/>
        </w:rPr>
        <w:t>and Paul</w:t>
      </w:r>
      <w:r w:rsidRPr="00C22B32">
        <w:rPr>
          <w:bCs/>
          <w:szCs w:val="25"/>
        </w:rPr>
        <w:t>’</w:t>
      </w:r>
      <w:r w:rsidRPr="00C22B32">
        <w:rPr>
          <w:bCs/>
          <w:kern w:val="0"/>
          <w:szCs w:val="25"/>
        </w:rPr>
        <w:t>s handkerchiefs</w:t>
      </w:r>
      <w:r w:rsidRPr="00C22B32">
        <w:rPr>
          <w:bCs/>
          <w:szCs w:val="25"/>
        </w:rPr>
        <w:t xml:space="preserve"> (</w:t>
      </w:r>
      <w:r w:rsidRPr="00C22B32">
        <w:rPr>
          <w:bCs/>
          <w:kern w:val="0"/>
          <w:szCs w:val="25"/>
        </w:rPr>
        <w:t>19</w:t>
      </w:r>
      <w:r w:rsidRPr="00C22B32">
        <w:rPr>
          <w:bCs/>
          <w:szCs w:val="25"/>
        </w:rPr>
        <w:t>:</w:t>
      </w:r>
      <w:r w:rsidRPr="00C22B32">
        <w:rPr>
          <w:bCs/>
          <w:kern w:val="0"/>
          <w:szCs w:val="25"/>
        </w:rPr>
        <w:t>12</w:t>
      </w:r>
      <w:r w:rsidRPr="00C22B32">
        <w:rPr>
          <w:bCs/>
          <w:szCs w:val="25"/>
        </w:rPr>
        <w:t>) (</w:t>
      </w:r>
      <w:r w:rsidRPr="00C22B32">
        <w:rPr>
          <w:bCs/>
          <w:kern w:val="0"/>
          <w:szCs w:val="25"/>
        </w:rPr>
        <w:t>see Conzelmann</w:t>
      </w:r>
      <w:r w:rsidRPr="00C22B32">
        <w:rPr>
          <w:bCs/>
          <w:szCs w:val="25"/>
        </w:rPr>
        <w:t>’</w:t>
      </w:r>
      <w:r w:rsidRPr="00C22B32">
        <w:rPr>
          <w:bCs/>
          <w:kern w:val="0"/>
          <w:szCs w:val="25"/>
        </w:rPr>
        <w:t>s aggrieved remarks on these</w:t>
      </w:r>
      <w:r w:rsidRPr="00C22B32">
        <w:rPr>
          <w:bCs/>
          <w:iCs/>
          <w:szCs w:val="25"/>
        </w:rPr>
        <w:t xml:space="preserve">, </w:t>
      </w:r>
      <w:r w:rsidRPr="00C22B32">
        <w:rPr>
          <w:bCs/>
          <w:i/>
          <w:iCs/>
          <w:kern w:val="0"/>
          <w:szCs w:val="25"/>
        </w:rPr>
        <w:t>Theology of St Luke</w:t>
      </w:r>
      <w:r w:rsidRPr="00192237">
        <w:rPr>
          <w:bCs/>
          <w:kern w:val="0"/>
          <w:szCs w:val="25"/>
        </w:rPr>
        <w:t xml:space="preserve"> </w:t>
      </w:r>
      <w:r w:rsidRPr="00C22B32">
        <w:rPr>
          <w:bCs/>
          <w:kern w:val="0"/>
          <w:szCs w:val="25"/>
        </w:rPr>
        <w:t>193 n</w:t>
      </w:r>
      <w:r w:rsidRPr="00C22B32">
        <w:rPr>
          <w:bCs/>
          <w:szCs w:val="25"/>
        </w:rPr>
        <w:t xml:space="preserve">. </w:t>
      </w:r>
      <w:r w:rsidRPr="00C22B32">
        <w:rPr>
          <w:bCs/>
          <w:kern w:val="0"/>
          <w:szCs w:val="25"/>
        </w:rPr>
        <w:t>1</w:t>
      </w:r>
      <w:r w:rsidRPr="00C22B32">
        <w:rPr>
          <w:bCs/>
          <w:iCs/>
          <w:szCs w:val="25"/>
        </w:rPr>
        <w:t xml:space="preserve">, </w:t>
      </w:r>
      <w:r w:rsidRPr="00C22B32">
        <w:rPr>
          <w:bCs/>
          <w:kern w:val="0"/>
          <w:szCs w:val="25"/>
        </w:rPr>
        <w:t>215 n</w:t>
      </w:r>
      <w:r w:rsidRPr="00C22B32">
        <w:rPr>
          <w:bCs/>
          <w:szCs w:val="25"/>
        </w:rPr>
        <w:t xml:space="preserve">. </w:t>
      </w:r>
      <w:r w:rsidRPr="00C22B32">
        <w:rPr>
          <w:bCs/>
          <w:kern w:val="0"/>
          <w:szCs w:val="25"/>
        </w:rPr>
        <w:t>1</w:t>
      </w:r>
      <w:r w:rsidRPr="00C22B32">
        <w:rPr>
          <w:bCs/>
          <w:szCs w:val="25"/>
        </w:rPr>
        <w:t>).</w:t>
      </w:r>
    </w:p>
  </w:footnote>
  <w:footnote w:id="883">
    <w:p w14:paraId="52015195" w14:textId="77777777" w:rsidR="00B47A48" w:rsidRDefault="00B47A48" w:rsidP="00B47A48">
      <w:pPr>
        <w:pStyle w:val="FootnoteText"/>
      </w:pPr>
      <w:r>
        <w:rPr>
          <w:rStyle w:val="FootnoteReference"/>
        </w:rPr>
        <w:footnoteRef/>
      </w:r>
      <w:r>
        <w:t xml:space="preserve"> </w:t>
      </w:r>
      <w:r w:rsidRPr="00C22B32">
        <w:rPr>
          <w:bCs/>
          <w:i/>
          <w:iCs/>
          <w:kern w:val="0"/>
          <w:szCs w:val="26"/>
        </w:rPr>
        <w:t>Earliest Records of Jesus</w:t>
      </w:r>
      <w:r w:rsidRPr="00A27610">
        <w:rPr>
          <w:bCs/>
          <w:kern w:val="0"/>
          <w:szCs w:val="26"/>
        </w:rPr>
        <w:t xml:space="preserve"> </w:t>
      </w:r>
      <w:r w:rsidRPr="00C22B32">
        <w:rPr>
          <w:bCs/>
          <w:kern w:val="0"/>
          <w:szCs w:val="25"/>
        </w:rPr>
        <w:t>53-54</w:t>
      </w:r>
      <w:r w:rsidRPr="00C22B32">
        <w:rPr>
          <w:bCs/>
          <w:szCs w:val="25"/>
        </w:rPr>
        <w:t>.</w:t>
      </w:r>
    </w:p>
  </w:footnote>
  <w:footnote w:id="884">
    <w:p w14:paraId="17A39175" w14:textId="77777777" w:rsidR="00B47A48" w:rsidRDefault="00B47A48" w:rsidP="00B47A48">
      <w:pPr>
        <w:pStyle w:val="FootnoteText"/>
      </w:pPr>
      <w:r>
        <w:rPr>
          <w:rStyle w:val="FootnoteReference"/>
        </w:rPr>
        <w:footnoteRef/>
      </w:r>
      <w:r>
        <w:t xml:space="preserve"> </w:t>
      </w:r>
      <w:r w:rsidRPr="00C22B32">
        <w:rPr>
          <w:bCs/>
          <w:kern w:val="0"/>
          <w:szCs w:val="25"/>
        </w:rPr>
        <w:t>Beare</w:t>
      </w:r>
      <w:r w:rsidRPr="00C22B32">
        <w:rPr>
          <w:bCs/>
          <w:szCs w:val="25"/>
        </w:rPr>
        <w:t>’</w:t>
      </w:r>
      <w:r w:rsidRPr="00C22B32">
        <w:rPr>
          <w:bCs/>
          <w:kern w:val="0"/>
          <w:szCs w:val="25"/>
        </w:rPr>
        <w:t>s last statement seems especially wide of the mark</w:t>
      </w:r>
      <w:r w:rsidRPr="00C22B32">
        <w:rPr>
          <w:bCs/>
          <w:szCs w:val="25"/>
        </w:rPr>
        <w:t xml:space="preserve">: </w:t>
      </w:r>
      <w:r w:rsidRPr="00C22B32">
        <w:rPr>
          <w:bCs/>
          <w:kern w:val="0"/>
          <w:szCs w:val="25"/>
        </w:rPr>
        <w:t xml:space="preserve">the parable of the houses on rock and sand can </w:t>
      </w:r>
      <w:r w:rsidRPr="00C22B32">
        <w:rPr>
          <w:bCs/>
          <w:i/>
          <w:iCs/>
          <w:kern w:val="0"/>
          <w:szCs w:val="26"/>
        </w:rPr>
        <w:t>only</w:t>
      </w:r>
      <w:r w:rsidRPr="00FC0F82">
        <w:rPr>
          <w:bCs/>
          <w:kern w:val="0"/>
          <w:szCs w:val="26"/>
        </w:rPr>
        <w:t xml:space="preserve"> </w:t>
      </w:r>
      <w:r w:rsidRPr="00C22B32">
        <w:rPr>
          <w:bCs/>
          <w:kern w:val="0"/>
          <w:szCs w:val="25"/>
        </w:rPr>
        <w:t>be addressed to disciples</w:t>
      </w:r>
      <w:r w:rsidRPr="00C22B32">
        <w:rPr>
          <w:bCs/>
          <w:iCs/>
          <w:szCs w:val="25"/>
        </w:rPr>
        <w:t xml:space="preserve">, </w:t>
      </w:r>
      <w:r w:rsidRPr="00C22B32">
        <w:rPr>
          <w:bCs/>
          <w:kern w:val="0"/>
          <w:szCs w:val="25"/>
        </w:rPr>
        <w:t>since it begins</w:t>
      </w:r>
      <w:r w:rsidRPr="00C22B32">
        <w:rPr>
          <w:bCs/>
          <w:iCs/>
          <w:szCs w:val="25"/>
        </w:rPr>
        <w:t>, “</w:t>
      </w:r>
      <w:r w:rsidRPr="00C22B32">
        <w:rPr>
          <w:bCs/>
          <w:kern w:val="0"/>
          <w:szCs w:val="25"/>
        </w:rPr>
        <w:t>Why do you call me</w:t>
      </w:r>
      <w:r w:rsidRPr="00C22B32">
        <w:rPr>
          <w:bCs/>
          <w:iCs/>
          <w:szCs w:val="25"/>
        </w:rPr>
        <w:t xml:space="preserve">, </w:t>
      </w:r>
      <w:r w:rsidRPr="00C22B32">
        <w:rPr>
          <w:bCs/>
          <w:kern w:val="0"/>
          <w:szCs w:val="25"/>
          <w:vertAlign w:val="superscript"/>
        </w:rPr>
        <w:t>1</w:t>
      </w:r>
      <w:r w:rsidRPr="00C22B32">
        <w:rPr>
          <w:bCs/>
          <w:kern w:val="0"/>
          <w:szCs w:val="25"/>
        </w:rPr>
        <w:t>Lord</w:t>
      </w:r>
      <w:r w:rsidRPr="00C22B32">
        <w:rPr>
          <w:bCs/>
          <w:iCs/>
          <w:szCs w:val="25"/>
        </w:rPr>
        <w:t xml:space="preserve">, </w:t>
      </w:r>
      <w:r w:rsidRPr="00C22B32">
        <w:rPr>
          <w:bCs/>
          <w:kern w:val="0"/>
          <w:szCs w:val="25"/>
        </w:rPr>
        <w:t>Lord</w:t>
      </w:r>
      <w:r w:rsidRPr="00C22B32">
        <w:rPr>
          <w:bCs/>
          <w:szCs w:val="25"/>
        </w:rPr>
        <w:t xml:space="preserve">’ </w:t>
      </w:r>
      <w:r>
        <w:rPr>
          <w:bCs/>
          <w:szCs w:val="25"/>
        </w:rPr>
        <w:t>. . .?”</w:t>
      </w:r>
    </w:p>
  </w:footnote>
  <w:footnote w:id="885">
    <w:p w14:paraId="790FF531" w14:textId="77777777" w:rsidR="00B47A48" w:rsidRDefault="00B47A48" w:rsidP="00B47A48">
      <w:pPr>
        <w:pStyle w:val="FootnoteText"/>
      </w:pPr>
      <w:r>
        <w:rPr>
          <w:rStyle w:val="FootnoteReference"/>
        </w:rPr>
        <w:footnoteRef/>
      </w:r>
      <w:r>
        <w:t xml:space="preserve"> </w:t>
      </w:r>
      <w:r w:rsidRPr="00C22B32">
        <w:rPr>
          <w:bCs/>
          <w:kern w:val="0"/>
          <w:szCs w:val="25"/>
        </w:rPr>
        <w:t>Liddell-Scott-Jones</w:t>
      </w:r>
      <w:r w:rsidRPr="00C22B32">
        <w:rPr>
          <w:bCs/>
          <w:iCs/>
          <w:szCs w:val="25"/>
        </w:rPr>
        <w:t xml:space="preserve">, </w:t>
      </w:r>
      <w:r w:rsidRPr="00C22B32">
        <w:rPr>
          <w:bCs/>
          <w:i/>
          <w:iCs/>
          <w:kern w:val="0"/>
        </w:rPr>
        <w:t>Greek-English Lexicon</w:t>
      </w:r>
      <w:r w:rsidRPr="00C22B32">
        <w:rPr>
          <w:bCs/>
          <w:iCs/>
        </w:rPr>
        <w:t xml:space="preserve">, </w:t>
      </w:r>
      <w:r w:rsidRPr="00C22B32">
        <w:rPr>
          <w:bCs/>
          <w:kern w:val="0"/>
          <w:szCs w:val="25"/>
        </w:rPr>
        <w:t>ad loc</w:t>
      </w:r>
      <w:r w:rsidRPr="00C22B32">
        <w:rPr>
          <w:bCs/>
          <w:szCs w:val="25"/>
        </w:rPr>
        <w:t>.</w:t>
      </w:r>
    </w:p>
  </w:footnote>
  <w:footnote w:id="886">
    <w:p w14:paraId="743E41C6" w14:textId="77777777" w:rsidR="00B47A48" w:rsidRDefault="00B47A48" w:rsidP="00B47A48">
      <w:pPr>
        <w:pStyle w:val="FootnoteText"/>
      </w:pPr>
      <w:r>
        <w:rPr>
          <w:rStyle w:val="FootnoteReference"/>
        </w:rPr>
        <w:footnoteRef/>
      </w:r>
      <w:r>
        <w:t xml:space="preserve"> </w:t>
      </w:r>
      <w:r w:rsidRPr="00C22B32">
        <w:rPr>
          <w:bCs/>
          <w:kern w:val="0"/>
          <w:szCs w:val="25"/>
        </w:rPr>
        <w:t>Metzger</w:t>
      </w:r>
      <w:r w:rsidRPr="00C22B32">
        <w:rPr>
          <w:bCs/>
          <w:iCs/>
          <w:szCs w:val="25"/>
        </w:rPr>
        <w:t xml:space="preserve">, </w:t>
      </w:r>
      <w:r w:rsidRPr="00C22B32">
        <w:rPr>
          <w:bCs/>
          <w:i/>
          <w:iCs/>
          <w:kern w:val="0"/>
        </w:rPr>
        <w:t>Text of the New Testament</w:t>
      </w:r>
      <w:r w:rsidRPr="00C3589F">
        <w:rPr>
          <w:bCs/>
          <w:kern w:val="0"/>
        </w:rPr>
        <w:t xml:space="preserve"> </w:t>
      </w:r>
      <w:r w:rsidRPr="00C22B32">
        <w:rPr>
          <w:bCs/>
          <w:kern w:val="0"/>
          <w:szCs w:val="25"/>
        </w:rPr>
        <w:t>46</w:t>
      </w:r>
      <w:r w:rsidRPr="00C22B32">
        <w:rPr>
          <w:bCs/>
          <w:iCs/>
          <w:szCs w:val="25"/>
        </w:rPr>
        <w:t xml:space="preserve">, </w:t>
      </w:r>
      <w:r w:rsidRPr="00C22B32">
        <w:rPr>
          <w:bCs/>
          <w:kern w:val="0"/>
          <w:szCs w:val="25"/>
        </w:rPr>
        <w:t>57</w:t>
      </w:r>
      <w:r w:rsidRPr="00C22B32">
        <w:rPr>
          <w:bCs/>
          <w:iCs/>
          <w:szCs w:val="25"/>
        </w:rPr>
        <w:t xml:space="preserve">, </w:t>
      </w:r>
      <w:r w:rsidRPr="00C22B32">
        <w:rPr>
          <w:bCs/>
          <w:kern w:val="0"/>
          <w:szCs w:val="25"/>
        </w:rPr>
        <w:t>59</w:t>
      </w:r>
      <w:r w:rsidRPr="00C22B32">
        <w:rPr>
          <w:bCs/>
          <w:iCs/>
          <w:szCs w:val="25"/>
        </w:rPr>
        <w:t xml:space="preserve">, </w:t>
      </w:r>
      <w:r w:rsidRPr="00C22B32">
        <w:rPr>
          <w:bCs/>
          <w:kern w:val="0"/>
          <w:szCs w:val="25"/>
        </w:rPr>
        <w:t>69</w:t>
      </w:r>
      <w:r w:rsidRPr="00C22B32">
        <w:rPr>
          <w:bCs/>
          <w:iCs/>
          <w:szCs w:val="25"/>
        </w:rPr>
        <w:t xml:space="preserve">, </w:t>
      </w:r>
      <w:r w:rsidRPr="00C22B32">
        <w:rPr>
          <w:bCs/>
          <w:kern w:val="0"/>
          <w:szCs w:val="25"/>
        </w:rPr>
        <w:t>and 70</w:t>
      </w:r>
      <w:r w:rsidRPr="00C22B32">
        <w:rPr>
          <w:bCs/>
          <w:szCs w:val="25"/>
        </w:rPr>
        <w:t>.</w:t>
      </w:r>
    </w:p>
  </w:footnote>
  <w:footnote w:id="887">
    <w:p w14:paraId="136E3534" w14:textId="77777777" w:rsidR="00B47A48" w:rsidRDefault="00B47A48" w:rsidP="00B47A48">
      <w:pPr>
        <w:pStyle w:val="FootnoteText"/>
      </w:pPr>
      <w:r>
        <w:rPr>
          <w:rStyle w:val="FootnoteReference"/>
        </w:rPr>
        <w:footnoteRef/>
      </w:r>
      <w:r>
        <w:t xml:space="preserve"> </w:t>
      </w:r>
      <w:r w:rsidRPr="00C22B32">
        <w:rPr>
          <w:bCs/>
          <w:kern w:val="0"/>
          <w:szCs w:val="25"/>
        </w:rPr>
        <w:t>Liddell-Scott-Jones</w:t>
      </w:r>
      <w:r w:rsidRPr="00C22B32">
        <w:rPr>
          <w:bCs/>
          <w:iCs/>
          <w:szCs w:val="25"/>
        </w:rPr>
        <w:t xml:space="preserve">, </w:t>
      </w:r>
      <w:r w:rsidRPr="00C22B32">
        <w:rPr>
          <w:bCs/>
          <w:i/>
          <w:iCs/>
          <w:kern w:val="0"/>
          <w:szCs w:val="25"/>
        </w:rPr>
        <w:t>Greek-English Lexicon</w:t>
      </w:r>
      <w:r w:rsidRPr="00C22B32">
        <w:rPr>
          <w:bCs/>
          <w:iCs/>
          <w:szCs w:val="25"/>
        </w:rPr>
        <w:t xml:space="preserve">, </w:t>
      </w:r>
      <w:r w:rsidRPr="00C22B32">
        <w:rPr>
          <w:bCs/>
          <w:kern w:val="0"/>
          <w:szCs w:val="25"/>
        </w:rPr>
        <w:t>ad loc</w:t>
      </w:r>
      <w:r w:rsidRPr="00C22B32">
        <w:rPr>
          <w:bCs/>
          <w:szCs w:val="25"/>
        </w:rPr>
        <w:t>.</w:t>
      </w:r>
    </w:p>
  </w:footnote>
  <w:footnote w:id="888">
    <w:p w14:paraId="05FBD181" w14:textId="77777777" w:rsidR="00B47A48" w:rsidRDefault="00B47A48" w:rsidP="00B47A48">
      <w:pPr>
        <w:pStyle w:val="FootnoteText"/>
      </w:pPr>
      <w:r>
        <w:rPr>
          <w:rStyle w:val="FootnoteReference"/>
        </w:rPr>
        <w:footnoteRef/>
      </w:r>
      <w:r>
        <w:t xml:space="preserve"> Ibid.</w:t>
      </w:r>
    </w:p>
  </w:footnote>
  <w:footnote w:id="889">
    <w:p w14:paraId="28A0EB86" w14:textId="77777777" w:rsidR="00B47A48" w:rsidRDefault="00B47A48" w:rsidP="00B47A48">
      <w:pPr>
        <w:pStyle w:val="FootnoteText"/>
      </w:pPr>
      <w:r>
        <w:rPr>
          <w:rStyle w:val="FootnoteReference"/>
        </w:rPr>
        <w:footnoteRef/>
      </w:r>
      <w:r>
        <w:t xml:space="preserve"> Ibid.</w:t>
      </w:r>
    </w:p>
  </w:footnote>
  <w:footnote w:id="890">
    <w:p w14:paraId="40784D38" w14:textId="77777777" w:rsidR="00B47A48" w:rsidRDefault="00B47A48" w:rsidP="00B47A48">
      <w:pPr>
        <w:pStyle w:val="FootnoteText"/>
      </w:pPr>
      <w:r>
        <w:rPr>
          <w:rStyle w:val="FootnoteReference"/>
        </w:rPr>
        <w:footnoteRef/>
      </w:r>
      <w:r>
        <w:t xml:space="preserve"> </w:t>
      </w:r>
      <w:r>
        <w:rPr>
          <w:bCs/>
          <w:szCs w:val="25"/>
        </w:rPr>
        <w:t xml:space="preserve">“. . . </w:t>
      </w:r>
      <w:r w:rsidRPr="00C22B32">
        <w:rPr>
          <w:bCs/>
          <w:i/>
          <w:iCs/>
          <w:kern w:val="0"/>
          <w:szCs w:val="25"/>
        </w:rPr>
        <w:t>nicht</w:t>
      </w:r>
      <w:r w:rsidRPr="00BF5F9B">
        <w:rPr>
          <w:bCs/>
          <w:kern w:val="0"/>
          <w:szCs w:val="25"/>
        </w:rPr>
        <w:t xml:space="preserve"> </w:t>
      </w:r>
      <w:r>
        <w:rPr>
          <w:bCs/>
          <w:szCs w:val="25"/>
        </w:rPr>
        <w:t>. . .</w:t>
      </w:r>
      <w:r w:rsidRPr="00C22B32">
        <w:rPr>
          <w:bCs/>
          <w:szCs w:val="25"/>
        </w:rPr>
        <w:t xml:space="preserve"> </w:t>
      </w:r>
      <w:r w:rsidRPr="00C22B32">
        <w:rPr>
          <w:bCs/>
          <w:i/>
          <w:iCs/>
          <w:kern w:val="0"/>
          <w:szCs w:val="25"/>
        </w:rPr>
        <w:t>hoffen</w:t>
      </w:r>
      <w:r w:rsidRPr="00C22B32">
        <w:rPr>
          <w:bCs/>
          <w:iCs/>
          <w:szCs w:val="25"/>
        </w:rPr>
        <w:t xml:space="preserve">, </w:t>
      </w:r>
      <w:r w:rsidRPr="00C22B32">
        <w:rPr>
          <w:bCs/>
          <w:kern w:val="0"/>
          <w:szCs w:val="25"/>
        </w:rPr>
        <w:t>dass etwas geschehen wird</w:t>
      </w:r>
      <w:r w:rsidRPr="00C22B32">
        <w:rPr>
          <w:bCs/>
          <w:szCs w:val="25"/>
        </w:rPr>
        <w:t xml:space="preserve">”: </w:t>
      </w:r>
      <w:r w:rsidRPr="00C22B32">
        <w:rPr>
          <w:bCs/>
          <w:i/>
          <w:iCs/>
          <w:kern w:val="0"/>
          <w:szCs w:val="25"/>
        </w:rPr>
        <w:t>Theologisches W</w:t>
      </w:r>
      <w:r>
        <w:rPr>
          <w:bCs/>
          <w:i/>
          <w:iCs/>
          <w:szCs w:val="25"/>
        </w:rPr>
        <w:t>ö</w:t>
      </w:r>
      <w:r w:rsidRPr="00C22B32">
        <w:rPr>
          <w:bCs/>
          <w:i/>
          <w:iCs/>
          <w:kern w:val="0"/>
          <w:szCs w:val="25"/>
        </w:rPr>
        <w:t>rterbuch zum Neuen Testament</w:t>
      </w:r>
      <w:r w:rsidRPr="00C22B32">
        <w:rPr>
          <w:bCs/>
          <w:iCs/>
          <w:szCs w:val="25"/>
        </w:rPr>
        <w:t xml:space="preserve">, </w:t>
      </w:r>
      <w:r w:rsidRPr="00C22B32">
        <w:rPr>
          <w:bCs/>
          <w:kern w:val="0"/>
          <w:szCs w:val="25"/>
        </w:rPr>
        <w:t>2</w:t>
      </w:r>
      <w:r w:rsidRPr="00C22B32">
        <w:rPr>
          <w:bCs/>
          <w:szCs w:val="25"/>
        </w:rPr>
        <w:t xml:space="preserve">. </w:t>
      </w:r>
      <w:r w:rsidRPr="00C22B32">
        <w:rPr>
          <w:bCs/>
          <w:kern w:val="0"/>
          <w:szCs w:val="25"/>
        </w:rPr>
        <w:t>530</w:t>
      </w:r>
      <w:r w:rsidRPr="00C22B32">
        <w:rPr>
          <w:bCs/>
          <w:iCs/>
          <w:szCs w:val="25"/>
        </w:rPr>
        <w:t xml:space="preserve">, </w:t>
      </w:r>
      <w:r w:rsidRPr="00C22B32">
        <w:rPr>
          <w:bCs/>
          <w:kern w:val="0"/>
          <w:szCs w:val="25"/>
        </w:rPr>
        <w:t>quoted in G</w:t>
      </w:r>
      <w:r>
        <w:rPr>
          <w:bCs/>
          <w:szCs w:val="25"/>
        </w:rPr>
        <w:t>ü</w:t>
      </w:r>
      <w:r w:rsidRPr="00C22B32">
        <w:rPr>
          <w:bCs/>
          <w:kern w:val="0"/>
          <w:szCs w:val="25"/>
        </w:rPr>
        <w:t>nther Schwarz</w:t>
      </w:r>
      <w:r w:rsidRPr="00C22B32">
        <w:rPr>
          <w:bCs/>
          <w:iCs/>
          <w:szCs w:val="25"/>
        </w:rPr>
        <w:t xml:space="preserve">, </w:t>
      </w:r>
      <w:r>
        <w:rPr>
          <w:bCs/>
          <w:iCs/>
          <w:szCs w:val="25"/>
        </w:rPr>
        <w:t>“</w:t>
      </w:r>
      <w:r w:rsidRPr="00CE06CA">
        <w:rPr>
          <w:bCs/>
          <w:szCs w:val="22"/>
          <w:lang w:val="el-GR"/>
        </w:rPr>
        <w:t>μηδὲν ἀπελπίζοντες</w:t>
      </w:r>
      <w:r w:rsidRPr="00C22B32">
        <w:rPr>
          <w:bCs/>
          <w:szCs w:val="25"/>
        </w:rPr>
        <w:t xml:space="preserve"> [</w:t>
      </w:r>
      <w:r w:rsidRPr="00C22B32">
        <w:rPr>
          <w:bCs/>
          <w:kern w:val="0"/>
          <w:szCs w:val="25"/>
        </w:rPr>
        <w:t>Lk 6</w:t>
      </w:r>
      <w:r w:rsidRPr="00C22B32">
        <w:rPr>
          <w:bCs/>
          <w:szCs w:val="25"/>
        </w:rPr>
        <w:t>,</w:t>
      </w:r>
      <w:r w:rsidRPr="00C22B32">
        <w:rPr>
          <w:bCs/>
          <w:kern w:val="0"/>
          <w:szCs w:val="25"/>
        </w:rPr>
        <w:t>35</w:t>
      </w:r>
      <w:r w:rsidRPr="00C22B32">
        <w:rPr>
          <w:bCs/>
          <w:szCs w:val="25"/>
        </w:rPr>
        <w:t>]</w:t>
      </w:r>
      <w:r w:rsidRPr="00C22B32">
        <w:rPr>
          <w:bCs/>
          <w:iCs/>
          <w:szCs w:val="25"/>
        </w:rPr>
        <w:t>,</w:t>
      </w:r>
      <w:r>
        <w:rPr>
          <w:bCs/>
          <w:iCs/>
          <w:szCs w:val="25"/>
        </w:rPr>
        <w:t xml:space="preserve">” </w:t>
      </w:r>
      <w:r w:rsidRPr="00C22B32">
        <w:rPr>
          <w:bCs/>
          <w:i/>
          <w:iCs/>
          <w:kern w:val="0"/>
          <w:szCs w:val="25"/>
        </w:rPr>
        <w:t xml:space="preserve">Zeitschrift </w:t>
      </w:r>
      <w:r w:rsidRPr="00C22B32">
        <w:rPr>
          <w:bCs/>
          <w:i/>
          <w:iCs/>
          <w:kern w:val="0"/>
        </w:rPr>
        <w:t>f</w:t>
      </w:r>
      <w:r>
        <w:rPr>
          <w:bCs/>
          <w:i/>
          <w:iCs/>
        </w:rPr>
        <w:t>ü</w:t>
      </w:r>
      <w:r w:rsidRPr="00C22B32">
        <w:rPr>
          <w:bCs/>
          <w:i/>
          <w:iCs/>
          <w:kern w:val="0"/>
        </w:rPr>
        <w:t xml:space="preserve">r </w:t>
      </w:r>
      <w:r w:rsidRPr="00C22B32">
        <w:rPr>
          <w:bCs/>
          <w:i/>
          <w:iCs/>
          <w:kern w:val="0"/>
          <w:szCs w:val="25"/>
        </w:rPr>
        <w:t xml:space="preserve">die Neutestamentliche Wissenschaft und die Kunde der </w:t>
      </w:r>
      <w:r>
        <w:rPr>
          <w:bCs/>
          <w:i/>
          <w:iCs/>
          <w:szCs w:val="25"/>
        </w:rPr>
        <w:t>ä</w:t>
      </w:r>
      <w:r w:rsidRPr="00C22B32">
        <w:rPr>
          <w:bCs/>
          <w:i/>
          <w:iCs/>
          <w:kern w:val="0"/>
          <w:szCs w:val="25"/>
        </w:rPr>
        <w:t xml:space="preserve">lteren </w:t>
      </w:r>
      <w:r w:rsidRPr="00C22B32">
        <w:rPr>
          <w:bCs/>
          <w:i/>
          <w:iCs/>
          <w:kern w:val="0"/>
          <w:szCs w:val="26"/>
        </w:rPr>
        <w:t>Kir</w:t>
      </w:r>
      <w:r w:rsidRPr="00C22B32">
        <w:rPr>
          <w:bCs/>
          <w:i/>
          <w:iCs/>
          <w:kern w:val="0"/>
          <w:szCs w:val="25"/>
        </w:rPr>
        <w:t>che</w:t>
      </w:r>
      <w:r w:rsidRPr="00BF5F9B">
        <w:rPr>
          <w:bCs/>
          <w:kern w:val="0"/>
          <w:szCs w:val="25"/>
        </w:rPr>
        <w:t xml:space="preserve"> </w:t>
      </w:r>
      <w:r w:rsidRPr="00C22B32">
        <w:rPr>
          <w:bCs/>
          <w:kern w:val="0"/>
          <w:szCs w:val="25"/>
        </w:rPr>
        <w:t>71</w:t>
      </w:r>
      <w:r w:rsidRPr="00C22B32">
        <w:rPr>
          <w:bCs/>
          <w:szCs w:val="25"/>
        </w:rPr>
        <w:t xml:space="preserve"> (</w:t>
      </w:r>
      <w:r w:rsidRPr="00C22B32">
        <w:rPr>
          <w:bCs/>
          <w:kern w:val="0"/>
          <w:szCs w:val="25"/>
        </w:rPr>
        <w:t>1980</w:t>
      </w:r>
      <w:r w:rsidRPr="00C22B32">
        <w:rPr>
          <w:bCs/>
          <w:szCs w:val="25"/>
        </w:rPr>
        <w:t xml:space="preserve">) </w:t>
      </w:r>
      <w:r w:rsidRPr="00C22B32">
        <w:rPr>
          <w:bCs/>
          <w:kern w:val="0"/>
          <w:szCs w:val="25"/>
        </w:rPr>
        <w:t>133 n</w:t>
      </w:r>
      <w:r w:rsidRPr="00C22B32">
        <w:rPr>
          <w:bCs/>
          <w:szCs w:val="25"/>
        </w:rPr>
        <w:t xml:space="preserve">. </w:t>
      </w:r>
      <w:r w:rsidRPr="00C22B32">
        <w:rPr>
          <w:bCs/>
          <w:kern w:val="0"/>
          <w:szCs w:val="25"/>
        </w:rPr>
        <w:t>5</w:t>
      </w:r>
      <w:r w:rsidRPr="00C22B32">
        <w:rPr>
          <w:bCs/>
          <w:szCs w:val="25"/>
        </w:rPr>
        <w:t>.</w:t>
      </w:r>
    </w:p>
  </w:footnote>
  <w:footnote w:id="891">
    <w:p w14:paraId="62373981" w14:textId="77777777" w:rsidR="00B47A48" w:rsidRDefault="00B47A48" w:rsidP="00B47A48">
      <w:pPr>
        <w:pStyle w:val="FootnoteText"/>
      </w:pPr>
      <w:r>
        <w:rPr>
          <w:rStyle w:val="FootnoteReference"/>
        </w:rPr>
        <w:footnoteRef/>
      </w:r>
      <w:r>
        <w:t xml:space="preserve"> </w:t>
      </w:r>
      <w:r w:rsidRPr="00C22B32">
        <w:rPr>
          <w:bCs/>
          <w:kern w:val="0"/>
          <w:szCs w:val="25"/>
        </w:rPr>
        <w:t>Ibid</w:t>
      </w:r>
      <w:r w:rsidRPr="00C22B32">
        <w:rPr>
          <w:bCs/>
          <w:szCs w:val="25"/>
        </w:rPr>
        <w:t xml:space="preserve">. </w:t>
      </w:r>
      <w:r w:rsidRPr="00C22B32">
        <w:rPr>
          <w:bCs/>
          <w:kern w:val="0"/>
          <w:szCs w:val="25"/>
        </w:rPr>
        <w:t>133</w:t>
      </w:r>
      <w:r w:rsidRPr="00C22B32">
        <w:rPr>
          <w:bCs/>
          <w:szCs w:val="25"/>
        </w:rPr>
        <w:t>.</w:t>
      </w:r>
    </w:p>
  </w:footnote>
  <w:footnote w:id="892">
    <w:p w14:paraId="7BA5F3BC" w14:textId="77777777" w:rsidR="00B47A48" w:rsidRDefault="00B47A48" w:rsidP="00B47A48">
      <w:pPr>
        <w:pStyle w:val="FootnoteText"/>
      </w:pPr>
      <w:r>
        <w:rPr>
          <w:rStyle w:val="FootnoteReference"/>
        </w:rPr>
        <w:footnoteRef/>
      </w:r>
      <w:r>
        <w:t xml:space="preserve"> </w:t>
      </w:r>
      <w:r w:rsidRPr="00C22B32">
        <w:rPr>
          <w:bCs/>
          <w:i/>
          <w:iCs/>
          <w:kern w:val="0"/>
        </w:rPr>
        <w:t>Gospel According to Saint Luke</w:t>
      </w:r>
      <w:r w:rsidRPr="00BF5F9B">
        <w:rPr>
          <w:bCs/>
          <w:kern w:val="0"/>
        </w:rPr>
        <w:t xml:space="preserve"> </w:t>
      </w:r>
      <w:r w:rsidRPr="00C22B32">
        <w:rPr>
          <w:bCs/>
          <w:kern w:val="0"/>
          <w:szCs w:val="25"/>
        </w:rPr>
        <w:t>88</w:t>
      </w:r>
      <w:r w:rsidRPr="00C22B32">
        <w:rPr>
          <w:bCs/>
          <w:szCs w:val="25"/>
        </w:rPr>
        <w:t>.</w:t>
      </w:r>
    </w:p>
  </w:footnote>
  <w:footnote w:id="893">
    <w:p w14:paraId="28846663" w14:textId="77777777" w:rsidR="00B47A48" w:rsidRDefault="00B47A48" w:rsidP="00B47A48">
      <w:pPr>
        <w:pStyle w:val="FootnoteText"/>
      </w:pPr>
      <w:r>
        <w:rPr>
          <w:rStyle w:val="FootnoteReference"/>
        </w:rPr>
        <w:footnoteRef/>
      </w:r>
      <w:r>
        <w:t xml:space="preserve"> </w:t>
      </w:r>
      <w:r>
        <w:rPr>
          <w:bCs/>
          <w:szCs w:val="25"/>
        </w:rPr>
        <w:t>“</w:t>
      </w:r>
      <w:r w:rsidRPr="00CE06CA">
        <w:rPr>
          <w:bCs/>
          <w:szCs w:val="22"/>
          <w:lang w:val="el-GR"/>
        </w:rPr>
        <w:t>μηδὲν ἀπελπίζοντες</w:t>
      </w:r>
      <w:r w:rsidRPr="00C22B32">
        <w:rPr>
          <w:bCs/>
        </w:rPr>
        <w:t xml:space="preserve">,” </w:t>
      </w:r>
      <w:r w:rsidRPr="00C22B32">
        <w:rPr>
          <w:bCs/>
          <w:kern w:val="0"/>
          <w:szCs w:val="25"/>
        </w:rPr>
        <w:t>p</w:t>
      </w:r>
      <w:r w:rsidRPr="00C22B32">
        <w:rPr>
          <w:bCs/>
          <w:szCs w:val="25"/>
        </w:rPr>
        <w:t xml:space="preserve">. </w:t>
      </w:r>
      <w:r w:rsidRPr="00C22B32">
        <w:rPr>
          <w:bCs/>
          <w:kern w:val="0"/>
          <w:szCs w:val="25"/>
        </w:rPr>
        <w:t>134</w:t>
      </w:r>
      <w:r w:rsidRPr="00C22B32">
        <w:rPr>
          <w:bCs/>
          <w:szCs w:val="25"/>
        </w:rPr>
        <w:t>.</w:t>
      </w:r>
    </w:p>
  </w:footnote>
  <w:footnote w:id="894">
    <w:p w14:paraId="7A58BDCD" w14:textId="77777777" w:rsidR="00B47A48" w:rsidRDefault="00B47A48" w:rsidP="00B47A48">
      <w:pPr>
        <w:pStyle w:val="FootnoteText"/>
      </w:pPr>
      <w:r>
        <w:rPr>
          <w:rStyle w:val="FootnoteReference"/>
        </w:rPr>
        <w:footnoteRef/>
      </w:r>
      <w:r>
        <w:t xml:space="preserve"> </w:t>
      </w:r>
      <w:r w:rsidRPr="00C22B32">
        <w:rPr>
          <w:bCs/>
          <w:i/>
          <w:iCs/>
          <w:kern w:val="0"/>
        </w:rPr>
        <w:t>Gospel According to Luke</w:t>
      </w:r>
      <w:r w:rsidRPr="00BF5F9B">
        <w:rPr>
          <w:bCs/>
          <w:kern w:val="0"/>
        </w:rPr>
        <w:t xml:space="preserve"> </w:t>
      </w:r>
      <w:r w:rsidRPr="00C22B32">
        <w:rPr>
          <w:bCs/>
          <w:kern w:val="0"/>
          <w:szCs w:val="25"/>
        </w:rPr>
        <w:t>640</w:t>
      </w:r>
      <w:r w:rsidRPr="00C22B32">
        <w:rPr>
          <w:bCs/>
          <w:szCs w:val="25"/>
        </w:rPr>
        <w:t>.</w:t>
      </w:r>
    </w:p>
  </w:footnote>
  <w:footnote w:id="895">
    <w:p w14:paraId="39765982" w14:textId="77777777" w:rsidR="00B47A48" w:rsidRDefault="00B47A48" w:rsidP="00B47A48">
      <w:pPr>
        <w:pStyle w:val="FootnoteText"/>
      </w:pPr>
      <w:r>
        <w:rPr>
          <w:rStyle w:val="FootnoteReference"/>
        </w:rPr>
        <w:footnoteRef/>
      </w:r>
      <w:r>
        <w:t xml:space="preserve"> </w:t>
      </w:r>
      <w:r>
        <w:rPr>
          <w:bCs/>
          <w:i/>
          <w:iCs/>
          <w:kern w:val="0"/>
          <w:szCs w:val="25"/>
        </w:rPr>
        <w:t>É</w:t>
      </w:r>
      <w:r w:rsidRPr="00C22B32">
        <w:rPr>
          <w:bCs/>
          <w:i/>
          <w:iCs/>
          <w:kern w:val="0"/>
          <w:szCs w:val="25"/>
        </w:rPr>
        <w:t>vang</w:t>
      </w:r>
      <w:r>
        <w:rPr>
          <w:bCs/>
          <w:i/>
          <w:iCs/>
          <w:kern w:val="0"/>
          <w:szCs w:val="25"/>
        </w:rPr>
        <w:t>i</w:t>
      </w:r>
      <w:r w:rsidRPr="00C22B32">
        <w:rPr>
          <w:bCs/>
          <w:i/>
          <w:iCs/>
          <w:kern w:val="0"/>
          <w:szCs w:val="25"/>
        </w:rPr>
        <w:t>le selon Saint Luc</w:t>
      </w:r>
      <w:r w:rsidRPr="00285A08">
        <w:rPr>
          <w:bCs/>
          <w:kern w:val="0"/>
          <w:szCs w:val="25"/>
        </w:rPr>
        <w:t xml:space="preserve"> </w:t>
      </w:r>
      <w:r w:rsidRPr="00C22B32">
        <w:rPr>
          <w:bCs/>
          <w:kern w:val="0"/>
        </w:rPr>
        <w:t>128</w:t>
      </w:r>
      <w:r w:rsidRPr="00C22B32">
        <w:rPr>
          <w:bCs/>
        </w:rPr>
        <w:t>.</w:t>
      </w:r>
    </w:p>
  </w:footnote>
  <w:footnote w:id="896">
    <w:p w14:paraId="0C54A9C5" w14:textId="77777777" w:rsidR="00B47A48" w:rsidRDefault="00B47A48" w:rsidP="00B47A48">
      <w:pPr>
        <w:pStyle w:val="FootnoteText"/>
      </w:pPr>
      <w:r>
        <w:rPr>
          <w:rStyle w:val="FootnoteReference"/>
        </w:rPr>
        <w:footnoteRef/>
      </w:r>
      <w:r>
        <w:t xml:space="preserve"> </w:t>
      </w:r>
      <w:r w:rsidRPr="00C22B32">
        <w:rPr>
          <w:bCs/>
          <w:i/>
          <w:iCs/>
          <w:kern w:val="0"/>
          <w:szCs w:val="25"/>
        </w:rPr>
        <w:t>Gospel</w:t>
      </w:r>
      <w:r>
        <w:rPr>
          <w:bCs/>
          <w:i/>
          <w:iCs/>
          <w:szCs w:val="25"/>
        </w:rPr>
        <w:t xml:space="preserve"> </w:t>
      </w:r>
      <w:r w:rsidRPr="00C22B32">
        <w:rPr>
          <w:bCs/>
          <w:i/>
          <w:iCs/>
          <w:kern w:val="0"/>
          <w:szCs w:val="25"/>
        </w:rPr>
        <w:t>According to Saint Luke</w:t>
      </w:r>
      <w:r w:rsidRPr="00285A08">
        <w:rPr>
          <w:bCs/>
          <w:kern w:val="0"/>
          <w:szCs w:val="25"/>
        </w:rPr>
        <w:t xml:space="preserve"> </w:t>
      </w:r>
      <w:r w:rsidRPr="00C22B32">
        <w:rPr>
          <w:bCs/>
          <w:kern w:val="0"/>
          <w:szCs w:val="25"/>
        </w:rPr>
        <w:t>88</w:t>
      </w:r>
      <w:r w:rsidRPr="00C22B32">
        <w:rPr>
          <w:bCs/>
          <w:szCs w:val="25"/>
        </w:rPr>
        <w:t xml:space="preserve">. </w:t>
      </w:r>
      <w:r w:rsidRPr="00C22B32">
        <w:rPr>
          <w:bCs/>
          <w:kern w:val="0"/>
          <w:szCs w:val="25"/>
        </w:rPr>
        <w:t>Valensin and Huby seem wrong to suggest that the exegesis</w:t>
      </w:r>
      <w:r w:rsidRPr="00C22B32">
        <w:rPr>
          <w:bCs/>
          <w:iCs/>
          <w:szCs w:val="25"/>
        </w:rPr>
        <w:t>, “</w:t>
      </w:r>
      <w:r w:rsidRPr="00C22B32">
        <w:rPr>
          <w:bCs/>
          <w:kern w:val="0"/>
          <w:szCs w:val="25"/>
        </w:rPr>
        <w:t>despairing of no one</w:t>
      </w:r>
      <w:r w:rsidRPr="00C22B32">
        <w:rPr>
          <w:bCs/>
          <w:szCs w:val="25"/>
        </w:rPr>
        <w:t xml:space="preserve">,” </w:t>
      </w:r>
      <w:r w:rsidRPr="00C22B32">
        <w:rPr>
          <w:bCs/>
          <w:kern w:val="0"/>
          <w:szCs w:val="25"/>
        </w:rPr>
        <w:t>is equivalent to</w:t>
      </w:r>
      <w:r w:rsidRPr="00C22B32">
        <w:rPr>
          <w:bCs/>
          <w:szCs w:val="25"/>
        </w:rPr>
        <w:t xml:space="preserve"> “</w:t>
      </w:r>
      <w:r w:rsidRPr="00C22B32">
        <w:rPr>
          <w:bCs/>
          <w:kern w:val="0"/>
          <w:szCs w:val="25"/>
        </w:rPr>
        <w:t>not despairing that the borrower will eventually return your money</w:t>
      </w:r>
      <w:r>
        <w:rPr>
          <w:bCs/>
          <w:szCs w:val="25"/>
        </w:rPr>
        <w:t>”</w:t>
      </w:r>
      <w:r w:rsidRPr="00C22B32">
        <w:rPr>
          <w:bCs/>
          <w:kern w:val="0"/>
          <w:szCs w:val="25"/>
        </w:rPr>
        <w:t xml:space="preserve"> </w:t>
      </w:r>
      <w:r w:rsidRPr="00C22B32">
        <w:rPr>
          <w:bCs/>
          <w:kern w:val="0"/>
          <w:szCs w:val="33"/>
        </w:rPr>
        <w:t xml:space="preserve">= </w:t>
      </w:r>
      <w:r w:rsidRPr="00C22B32">
        <w:rPr>
          <w:bCs/>
          <w:kern w:val="0"/>
          <w:szCs w:val="25"/>
        </w:rPr>
        <w:t>Sinaiticus</w:t>
      </w:r>
      <w:r w:rsidRPr="00C22B32">
        <w:rPr>
          <w:bCs/>
          <w:iCs/>
          <w:szCs w:val="25"/>
        </w:rPr>
        <w:t xml:space="preserve">, </w:t>
      </w:r>
      <w:r w:rsidRPr="00C22B32">
        <w:rPr>
          <w:bCs/>
          <w:kern w:val="0"/>
          <w:szCs w:val="25"/>
        </w:rPr>
        <w:t>Syriac</w:t>
      </w:r>
      <w:r w:rsidRPr="00C22B32">
        <w:rPr>
          <w:bCs/>
          <w:szCs w:val="25"/>
        </w:rPr>
        <w:t xml:space="preserve"> (</w:t>
      </w:r>
      <w:r w:rsidRPr="00C22B32">
        <w:rPr>
          <w:bCs/>
          <w:kern w:val="0"/>
          <w:szCs w:val="25"/>
        </w:rPr>
        <w:t>see Nestle-Aland</w:t>
      </w:r>
      <w:r w:rsidRPr="00AF239D">
        <w:rPr>
          <w:bCs/>
          <w:szCs w:val="25"/>
          <w:vertAlign w:val="superscript"/>
        </w:rPr>
        <w:t>26</w:t>
      </w:r>
      <w:r>
        <w:rPr>
          <w:bCs/>
          <w:szCs w:val="25"/>
        </w:rPr>
        <w:t>’</w:t>
      </w:r>
      <w:r w:rsidRPr="00C22B32">
        <w:rPr>
          <w:bCs/>
          <w:kern w:val="0"/>
          <w:szCs w:val="25"/>
        </w:rPr>
        <w:t>s critical apparatus</w:t>
      </w:r>
      <w:r w:rsidRPr="00C22B32">
        <w:rPr>
          <w:bCs/>
          <w:szCs w:val="25"/>
        </w:rPr>
        <w:t xml:space="preserve">). </w:t>
      </w:r>
      <w:r w:rsidRPr="00C22B32">
        <w:rPr>
          <w:bCs/>
          <w:kern w:val="0"/>
          <w:szCs w:val="25"/>
        </w:rPr>
        <w:t>The Old Latin renders it</w:t>
      </w:r>
      <w:r w:rsidRPr="00C22B32">
        <w:rPr>
          <w:bCs/>
          <w:iCs/>
          <w:szCs w:val="25"/>
        </w:rPr>
        <w:t xml:space="preserve"> </w:t>
      </w:r>
      <w:r>
        <w:rPr>
          <w:bCs/>
          <w:szCs w:val="25"/>
        </w:rPr>
        <w:t>“</w:t>
      </w:r>
      <w:r w:rsidRPr="00C22B32">
        <w:rPr>
          <w:bCs/>
          <w:kern w:val="0"/>
          <w:szCs w:val="25"/>
        </w:rPr>
        <w:t>not despairing</w:t>
      </w:r>
      <w:r w:rsidRPr="00C22B32">
        <w:rPr>
          <w:bCs/>
          <w:szCs w:val="25"/>
        </w:rPr>
        <w:t>” (</w:t>
      </w:r>
      <w:r w:rsidRPr="00C22B32">
        <w:rPr>
          <w:bCs/>
          <w:kern w:val="0"/>
          <w:szCs w:val="25"/>
        </w:rPr>
        <w:t>i</w:t>
      </w:r>
      <w:r w:rsidRPr="00C22B32">
        <w:rPr>
          <w:bCs/>
          <w:szCs w:val="25"/>
        </w:rPr>
        <w:t>.</w:t>
      </w:r>
      <w:r w:rsidRPr="00C22B32">
        <w:rPr>
          <w:bCs/>
          <w:kern w:val="0"/>
          <w:szCs w:val="25"/>
        </w:rPr>
        <w:t>e</w:t>
      </w:r>
      <w:r w:rsidRPr="00C22B32">
        <w:rPr>
          <w:bCs/>
          <w:szCs w:val="25"/>
        </w:rPr>
        <w:t>.</w:t>
      </w:r>
      <w:r w:rsidRPr="00C22B32">
        <w:rPr>
          <w:bCs/>
          <w:iCs/>
          <w:szCs w:val="25"/>
        </w:rPr>
        <w:t xml:space="preserve">, </w:t>
      </w:r>
      <w:r w:rsidRPr="00C22B32">
        <w:rPr>
          <w:bCs/>
          <w:kern w:val="0"/>
          <w:szCs w:val="25"/>
        </w:rPr>
        <w:t>that you will be reimbursed</w:t>
      </w:r>
      <w:r w:rsidRPr="00C22B32">
        <w:rPr>
          <w:bCs/>
          <w:szCs w:val="25"/>
        </w:rPr>
        <w:t>).</w:t>
      </w:r>
    </w:p>
  </w:footnote>
  <w:footnote w:id="897">
    <w:p w14:paraId="2701A05E" w14:textId="77777777" w:rsidR="00B47A48" w:rsidRDefault="00B47A48" w:rsidP="00B47A48">
      <w:pPr>
        <w:pStyle w:val="FootnoteText"/>
      </w:pPr>
      <w:r>
        <w:rPr>
          <w:rStyle w:val="FootnoteReference"/>
        </w:rPr>
        <w:footnoteRef/>
      </w:r>
      <w:r>
        <w:t xml:space="preserve"> Ibid.</w:t>
      </w:r>
    </w:p>
  </w:footnote>
  <w:footnote w:id="898">
    <w:p w14:paraId="0471F9AA" w14:textId="77777777" w:rsidR="00B47A48" w:rsidRDefault="00B47A48" w:rsidP="00B47A48">
      <w:pPr>
        <w:pStyle w:val="FootnoteText"/>
      </w:pPr>
      <w:r>
        <w:rPr>
          <w:rStyle w:val="FootnoteReference"/>
        </w:rPr>
        <w:footnoteRef/>
      </w:r>
      <w:r>
        <w:t xml:space="preserve"> </w:t>
      </w:r>
      <w:r w:rsidRPr="00C22B32">
        <w:rPr>
          <w:bCs/>
          <w:i/>
          <w:iCs/>
          <w:kern w:val="0"/>
          <w:szCs w:val="25"/>
        </w:rPr>
        <w:t>Grammatical Analysis</w:t>
      </w:r>
      <w:r w:rsidRPr="00C22B32">
        <w:rPr>
          <w:bCs/>
          <w:iCs/>
          <w:szCs w:val="25"/>
        </w:rPr>
        <w:t xml:space="preserve"> </w:t>
      </w:r>
      <w:r w:rsidRPr="00C22B32">
        <w:rPr>
          <w:bCs/>
          <w:kern w:val="0"/>
        </w:rPr>
        <w:t>1</w:t>
      </w:r>
      <w:r w:rsidRPr="00C22B32">
        <w:rPr>
          <w:bCs/>
        </w:rPr>
        <w:t xml:space="preserve">. </w:t>
      </w:r>
      <w:r w:rsidRPr="00C22B32">
        <w:rPr>
          <w:bCs/>
          <w:kern w:val="0"/>
        </w:rPr>
        <w:t>196</w:t>
      </w:r>
      <w:r w:rsidRPr="00C22B32">
        <w:rPr>
          <w:bCs/>
        </w:rPr>
        <w:t>.</w:t>
      </w:r>
    </w:p>
  </w:footnote>
  <w:footnote w:id="899">
    <w:p w14:paraId="23839520" w14:textId="77777777" w:rsidR="00B47A48" w:rsidRDefault="00B47A48" w:rsidP="00B47A48">
      <w:pPr>
        <w:pStyle w:val="FootnoteText"/>
      </w:pPr>
      <w:r>
        <w:rPr>
          <w:rStyle w:val="FootnoteReference"/>
        </w:rPr>
        <w:footnoteRef/>
      </w:r>
      <w:r>
        <w:t xml:space="preserve"> </w:t>
      </w:r>
      <w:r>
        <w:rPr>
          <w:bCs/>
          <w:szCs w:val="25"/>
        </w:rPr>
        <w:t>“</w:t>
      </w:r>
      <w:r w:rsidRPr="00CE06CA">
        <w:rPr>
          <w:bCs/>
          <w:szCs w:val="22"/>
          <w:lang w:val="el-GR"/>
        </w:rPr>
        <w:t>μηδὲν ἀπελπίζοντες</w:t>
      </w:r>
      <w:r w:rsidRPr="00C22B32">
        <w:rPr>
          <w:bCs/>
        </w:rPr>
        <w:t xml:space="preserve">,” </w:t>
      </w:r>
      <w:r w:rsidRPr="00C22B32">
        <w:rPr>
          <w:bCs/>
          <w:kern w:val="0"/>
          <w:szCs w:val="25"/>
        </w:rPr>
        <w:t>p</w:t>
      </w:r>
      <w:r w:rsidRPr="00C22B32">
        <w:rPr>
          <w:bCs/>
          <w:szCs w:val="25"/>
        </w:rPr>
        <w:t xml:space="preserve">. </w:t>
      </w:r>
      <w:r w:rsidRPr="00C22B32">
        <w:rPr>
          <w:bCs/>
          <w:kern w:val="0"/>
          <w:szCs w:val="25"/>
        </w:rPr>
        <w:t>13</w:t>
      </w:r>
      <w:r>
        <w:rPr>
          <w:bCs/>
          <w:kern w:val="0"/>
          <w:szCs w:val="25"/>
        </w:rPr>
        <w:t>5</w:t>
      </w:r>
      <w:r w:rsidRPr="00C22B32">
        <w:rPr>
          <w:bCs/>
          <w:szCs w:val="25"/>
        </w:rPr>
        <w:t>.</w:t>
      </w:r>
    </w:p>
  </w:footnote>
  <w:footnote w:id="900">
    <w:p w14:paraId="09FCA01B" w14:textId="77777777" w:rsidR="00B47A48" w:rsidRDefault="00B47A48" w:rsidP="00B47A48">
      <w:pPr>
        <w:pStyle w:val="FootnoteText"/>
      </w:pPr>
      <w:r>
        <w:rPr>
          <w:rStyle w:val="FootnoteReference"/>
        </w:rPr>
        <w:footnoteRef/>
      </w:r>
      <w:r>
        <w:t xml:space="preserve"> Ibid.: </w:t>
      </w:r>
      <w:r w:rsidRPr="00C22B32">
        <w:rPr>
          <w:bCs/>
          <w:szCs w:val="25"/>
        </w:rPr>
        <w:t>“</w:t>
      </w:r>
      <w:r w:rsidRPr="00C22B32">
        <w:rPr>
          <w:bCs/>
          <w:kern w:val="0"/>
          <w:szCs w:val="25"/>
        </w:rPr>
        <w:t>Reicht dar und klatscht nicht</w:t>
      </w:r>
      <w:r w:rsidRPr="00C22B32">
        <w:rPr>
          <w:bCs/>
          <w:szCs w:val="25"/>
        </w:rPr>
        <w:t xml:space="preserve"> (</w:t>
      </w:r>
      <w:r w:rsidRPr="00C22B32">
        <w:rPr>
          <w:bCs/>
          <w:kern w:val="0"/>
          <w:szCs w:val="25"/>
        </w:rPr>
        <w:t>ablehnend</w:t>
      </w:r>
      <w:r w:rsidRPr="00C22B32">
        <w:rPr>
          <w:bCs/>
          <w:szCs w:val="25"/>
        </w:rPr>
        <w:t xml:space="preserve">) </w:t>
      </w:r>
      <w:r w:rsidRPr="00C22B32">
        <w:rPr>
          <w:bCs/>
          <w:kern w:val="0"/>
          <w:szCs w:val="25"/>
        </w:rPr>
        <w:t>in die H</w:t>
      </w:r>
      <w:r>
        <w:rPr>
          <w:bCs/>
          <w:szCs w:val="25"/>
        </w:rPr>
        <w:t>ä</w:t>
      </w:r>
      <w:r w:rsidRPr="00C22B32">
        <w:rPr>
          <w:bCs/>
          <w:kern w:val="0"/>
          <w:szCs w:val="25"/>
        </w:rPr>
        <w:t>nde</w:t>
      </w:r>
      <w:r w:rsidRPr="00C22B32">
        <w:rPr>
          <w:bCs/>
          <w:szCs w:val="25"/>
        </w:rPr>
        <w:t>!”</w:t>
      </w:r>
    </w:p>
  </w:footnote>
  <w:footnote w:id="901">
    <w:p w14:paraId="3B96D71E" w14:textId="77777777" w:rsidR="00B47A48" w:rsidRDefault="00B47A48" w:rsidP="00B47A48">
      <w:pPr>
        <w:pStyle w:val="FootnoteText"/>
        <w:rPr>
          <w:bCs/>
          <w:szCs w:val="25"/>
        </w:rPr>
      </w:pPr>
      <w:r>
        <w:rPr>
          <w:rStyle w:val="FootnoteReference"/>
        </w:rPr>
        <w:footnoteRef/>
      </w:r>
      <w:r>
        <w:t xml:space="preserve"> </w:t>
      </w:r>
      <w:r>
        <w:rPr>
          <w:bCs/>
          <w:szCs w:val="25"/>
        </w:rPr>
        <w:t>Ib</w:t>
      </w:r>
      <w:r w:rsidRPr="00C22B32">
        <w:rPr>
          <w:bCs/>
          <w:kern w:val="0"/>
          <w:szCs w:val="25"/>
        </w:rPr>
        <w:t>id</w:t>
      </w:r>
      <w:r w:rsidRPr="00C22B32">
        <w:rPr>
          <w:bCs/>
          <w:szCs w:val="25"/>
        </w:rPr>
        <w:t xml:space="preserve">. </w:t>
      </w:r>
      <w:r w:rsidRPr="00C22B32">
        <w:rPr>
          <w:bCs/>
          <w:kern w:val="0"/>
          <w:szCs w:val="25"/>
        </w:rPr>
        <w:t>135 n</w:t>
      </w:r>
      <w:r w:rsidRPr="00C22B32">
        <w:rPr>
          <w:bCs/>
          <w:szCs w:val="25"/>
        </w:rPr>
        <w:t xml:space="preserve">. </w:t>
      </w:r>
      <w:r w:rsidRPr="00C22B32">
        <w:rPr>
          <w:bCs/>
          <w:kern w:val="0"/>
          <w:szCs w:val="25"/>
        </w:rPr>
        <w:t>16</w:t>
      </w:r>
      <w:r w:rsidRPr="00C22B32">
        <w:rPr>
          <w:bCs/>
          <w:szCs w:val="25"/>
        </w:rPr>
        <w:t>:</w:t>
      </w:r>
    </w:p>
    <w:p w14:paraId="24C7734A" w14:textId="77777777" w:rsidR="00B47A48" w:rsidRDefault="00B47A48" w:rsidP="00B47A48">
      <w:pPr>
        <w:pStyle w:val="FootnoteText"/>
        <w:rPr>
          <w:bCs/>
          <w:szCs w:val="25"/>
        </w:rPr>
      </w:pPr>
    </w:p>
    <w:p w14:paraId="129EAC1C" w14:textId="77777777" w:rsidR="00B47A48" w:rsidRDefault="00B47A48" w:rsidP="00B47A48">
      <w:pPr>
        <w:pStyle w:val="FootnoteText"/>
        <w:ind w:left="720" w:right="720"/>
      </w:pPr>
      <w:r w:rsidRPr="00C22B32">
        <w:rPr>
          <w:bCs/>
          <w:kern w:val="0"/>
          <w:szCs w:val="25"/>
        </w:rPr>
        <w:t>Dieser Gestus kann bei Morgenl</w:t>
      </w:r>
      <w:r>
        <w:rPr>
          <w:bCs/>
          <w:szCs w:val="25"/>
        </w:rPr>
        <w:t>ä</w:t>
      </w:r>
      <w:r w:rsidRPr="00C22B32">
        <w:rPr>
          <w:bCs/>
          <w:kern w:val="0"/>
          <w:szCs w:val="25"/>
        </w:rPr>
        <w:t>ndern</w:t>
      </w:r>
      <w:r w:rsidRPr="00C22B32">
        <w:rPr>
          <w:bCs/>
          <w:iCs/>
          <w:szCs w:val="25"/>
        </w:rPr>
        <w:t xml:space="preserve">, </w:t>
      </w:r>
      <w:r w:rsidRPr="00C22B32">
        <w:rPr>
          <w:bCs/>
          <w:kern w:val="0"/>
          <w:szCs w:val="25"/>
        </w:rPr>
        <w:t>wie die Erfahrung lehrt</w:t>
      </w:r>
      <w:r w:rsidRPr="00C22B32">
        <w:rPr>
          <w:bCs/>
          <w:iCs/>
          <w:szCs w:val="25"/>
        </w:rPr>
        <w:t xml:space="preserve">, </w:t>
      </w:r>
      <w:r w:rsidRPr="00C22B32">
        <w:rPr>
          <w:bCs/>
          <w:kern w:val="0"/>
          <w:szCs w:val="25"/>
        </w:rPr>
        <w:t>geradezu zum Ritual werden</w:t>
      </w:r>
      <w:r w:rsidRPr="00C22B32">
        <w:rPr>
          <w:bCs/>
          <w:szCs w:val="25"/>
        </w:rPr>
        <w:t xml:space="preserve">: </w:t>
      </w:r>
      <w:r w:rsidRPr="00C22B32">
        <w:rPr>
          <w:bCs/>
          <w:kern w:val="0"/>
          <w:szCs w:val="25"/>
        </w:rPr>
        <w:t>nicht so sehr</w:t>
      </w:r>
      <w:r w:rsidRPr="00C22B32">
        <w:rPr>
          <w:bCs/>
          <w:iCs/>
          <w:szCs w:val="25"/>
        </w:rPr>
        <w:t xml:space="preserve">, </w:t>
      </w:r>
      <w:r w:rsidRPr="00C22B32">
        <w:rPr>
          <w:bCs/>
          <w:kern w:val="0"/>
          <w:szCs w:val="25"/>
        </w:rPr>
        <w:t xml:space="preserve">um den Bittsteller </w:t>
      </w:r>
      <w:r w:rsidRPr="00C22B32">
        <w:rPr>
          <w:bCs/>
          <w:kern w:val="0"/>
        </w:rPr>
        <w:t xml:space="preserve">zu </w:t>
      </w:r>
      <w:r w:rsidRPr="00C22B32">
        <w:rPr>
          <w:bCs/>
          <w:kern w:val="0"/>
          <w:szCs w:val="25"/>
        </w:rPr>
        <w:t>dem</w:t>
      </w:r>
      <w:r>
        <w:rPr>
          <w:bCs/>
          <w:szCs w:val="25"/>
        </w:rPr>
        <w:t>ü</w:t>
      </w:r>
      <w:r w:rsidRPr="00C22B32">
        <w:rPr>
          <w:bCs/>
          <w:kern w:val="0"/>
          <w:szCs w:val="25"/>
        </w:rPr>
        <w:t>tigen</w:t>
      </w:r>
      <w:r w:rsidRPr="00C22B32">
        <w:rPr>
          <w:bCs/>
          <w:iCs/>
          <w:szCs w:val="25"/>
        </w:rPr>
        <w:t xml:space="preserve">, </w:t>
      </w:r>
      <w:r w:rsidRPr="00C22B32">
        <w:rPr>
          <w:bCs/>
          <w:kern w:val="0"/>
          <w:szCs w:val="25"/>
        </w:rPr>
        <w:t>sonde</w:t>
      </w:r>
      <w:r>
        <w:rPr>
          <w:bCs/>
          <w:szCs w:val="25"/>
        </w:rPr>
        <w:t>rn</w:t>
      </w:r>
      <w:r w:rsidRPr="00C22B32">
        <w:rPr>
          <w:bCs/>
          <w:kern w:val="0"/>
          <w:szCs w:val="25"/>
        </w:rPr>
        <w:t xml:space="preserve"> nur</w:t>
      </w:r>
      <w:r w:rsidRPr="00C22B32">
        <w:rPr>
          <w:bCs/>
          <w:iCs/>
          <w:szCs w:val="25"/>
        </w:rPr>
        <w:t xml:space="preserve">, </w:t>
      </w:r>
      <w:r w:rsidRPr="00C22B32">
        <w:rPr>
          <w:bCs/>
          <w:kern w:val="0"/>
          <w:szCs w:val="25"/>
        </w:rPr>
        <w:t>um ihn die</w:t>
      </w:r>
      <w:r w:rsidRPr="00C22B32">
        <w:rPr>
          <w:bCs/>
          <w:szCs w:val="25"/>
        </w:rPr>
        <w:t xml:space="preserve"> (</w:t>
      </w:r>
      <w:r w:rsidRPr="00C22B32">
        <w:rPr>
          <w:bCs/>
          <w:kern w:val="0"/>
          <w:szCs w:val="25"/>
        </w:rPr>
        <w:t>wirtschaftliche</w:t>
      </w:r>
      <w:r w:rsidRPr="00C22B32">
        <w:rPr>
          <w:bCs/>
          <w:szCs w:val="25"/>
        </w:rPr>
        <w:t xml:space="preserve">) </w:t>
      </w:r>
      <w:r w:rsidRPr="00C22B32">
        <w:rPr>
          <w:bCs/>
          <w:kern w:val="0"/>
          <w:szCs w:val="25"/>
        </w:rPr>
        <w:t xml:space="preserve">Macht und </w:t>
      </w:r>
      <w:r>
        <w:rPr>
          <w:bCs/>
          <w:szCs w:val="25"/>
        </w:rPr>
        <w:t>ü</w:t>
      </w:r>
      <w:r w:rsidRPr="00C22B32">
        <w:rPr>
          <w:bCs/>
          <w:kern w:val="0"/>
          <w:szCs w:val="25"/>
        </w:rPr>
        <w:t>berlegenheit f</w:t>
      </w:r>
      <w:r>
        <w:rPr>
          <w:bCs/>
          <w:szCs w:val="25"/>
        </w:rPr>
        <w:t>ü</w:t>
      </w:r>
      <w:r w:rsidRPr="00C22B32">
        <w:rPr>
          <w:bCs/>
          <w:kern w:val="0"/>
          <w:szCs w:val="25"/>
        </w:rPr>
        <w:t xml:space="preserve">hlen </w:t>
      </w:r>
      <w:r w:rsidRPr="00C22B32">
        <w:rPr>
          <w:bCs/>
          <w:kern w:val="0"/>
        </w:rPr>
        <w:t xml:space="preserve">zu </w:t>
      </w:r>
      <w:r w:rsidRPr="00C22B32">
        <w:rPr>
          <w:bCs/>
          <w:kern w:val="0"/>
          <w:szCs w:val="25"/>
        </w:rPr>
        <w:t>lassen</w:t>
      </w:r>
      <w:r w:rsidRPr="00C22B32">
        <w:rPr>
          <w:bCs/>
          <w:szCs w:val="25"/>
        </w:rPr>
        <w:t xml:space="preserve">. </w:t>
      </w:r>
      <w:r w:rsidRPr="00C22B32">
        <w:rPr>
          <w:bCs/>
          <w:kern w:val="0"/>
          <w:szCs w:val="25"/>
        </w:rPr>
        <w:t>Und gerade dem wollte Jesus mit diesem Wort entgegenwirken</w:t>
      </w:r>
      <w:r w:rsidRPr="00C22B32">
        <w:rPr>
          <w:bCs/>
          <w:szCs w:val="25"/>
        </w:rPr>
        <w:t xml:space="preserve">; </w:t>
      </w:r>
      <w:r w:rsidRPr="00C22B32">
        <w:rPr>
          <w:bCs/>
          <w:kern w:val="0"/>
          <w:szCs w:val="25"/>
        </w:rPr>
        <w:t>es ging ihm darin</w:t>
      </w:r>
      <w:r w:rsidRPr="00C22B32">
        <w:rPr>
          <w:bCs/>
          <w:iCs/>
          <w:szCs w:val="25"/>
        </w:rPr>
        <w:t xml:space="preserve">, </w:t>
      </w:r>
      <w:r w:rsidRPr="00C22B32">
        <w:rPr>
          <w:bCs/>
          <w:kern w:val="0"/>
          <w:szCs w:val="25"/>
        </w:rPr>
        <w:t>wie immer in vergleichbaren Worten</w:t>
      </w:r>
      <w:r w:rsidRPr="00C22B32">
        <w:rPr>
          <w:bCs/>
          <w:iCs/>
          <w:szCs w:val="25"/>
        </w:rPr>
        <w:t xml:space="preserve">, </w:t>
      </w:r>
      <w:r w:rsidRPr="00C22B32">
        <w:rPr>
          <w:bCs/>
          <w:kern w:val="0"/>
          <w:szCs w:val="25"/>
        </w:rPr>
        <w:t>um die W</w:t>
      </w:r>
      <w:r>
        <w:rPr>
          <w:bCs/>
          <w:szCs w:val="25"/>
        </w:rPr>
        <w:t>ü</w:t>
      </w:r>
      <w:r w:rsidRPr="00C22B32">
        <w:rPr>
          <w:bCs/>
          <w:kern w:val="0"/>
          <w:szCs w:val="25"/>
        </w:rPr>
        <w:t>rde des Menschen</w:t>
      </w:r>
      <w:r w:rsidRPr="00C22B32">
        <w:rPr>
          <w:bCs/>
          <w:szCs w:val="25"/>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15:restartNumberingAfterBreak="0">
    <w:nsid w:val="00000003"/>
    <w:multiLevelType w:val="multilevel"/>
    <w:tmpl w:val="0000000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00000004"/>
    <w:multiLevelType w:val="multilevel"/>
    <w:tmpl w:val="0000000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4" w15:restartNumberingAfterBreak="0">
    <w:nsid w:val="00000005"/>
    <w:multiLevelType w:val="multilevel"/>
    <w:tmpl w:val="00000005"/>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5" w15:restartNumberingAfterBreak="0">
    <w:nsid w:val="07BA28A4"/>
    <w:multiLevelType w:val="singleLevel"/>
    <w:tmpl w:val="93D8484C"/>
    <w:lvl w:ilvl="0">
      <w:start w:val="1"/>
      <w:numFmt w:val="decimal"/>
      <w:lvlText w:val="%1."/>
      <w:legacy w:legacy="1" w:legacySpace="0" w:legacyIndent="0"/>
      <w:lvlJc w:val="left"/>
      <w:rPr>
        <w:rFonts w:ascii="Times New Roman" w:hAnsi="Times New Roman" w:cs="Times New Roman" w:hint="default"/>
        <w:sz w:val="25"/>
        <w:szCs w:val="25"/>
      </w:rPr>
    </w:lvl>
  </w:abstractNum>
  <w:abstractNum w:abstractNumId="6" w15:restartNumberingAfterBreak="0">
    <w:nsid w:val="09DB57F6"/>
    <w:multiLevelType w:val="singleLevel"/>
    <w:tmpl w:val="83746580"/>
    <w:lvl w:ilvl="0">
      <w:start w:val="1"/>
      <w:numFmt w:val="lowerLetter"/>
      <w:lvlText w:val="%1."/>
      <w:legacy w:legacy="1" w:legacySpace="0" w:legacyIndent="0"/>
      <w:lvlJc w:val="left"/>
      <w:rPr>
        <w:rFonts w:ascii="Times New Roman" w:hAnsi="Times New Roman" w:cs="Times New Roman" w:hint="default"/>
        <w:sz w:val="25"/>
        <w:szCs w:val="25"/>
      </w:rPr>
    </w:lvl>
  </w:abstractNum>
  <w:abstractNum w:abstractNumId="7" w15:restartNumberingAfterBreak="0">
    <w:nsid w:val="0CE96EAE"/>
    <w:multiLevelType w:val="singleLevel"/>
    <w:tmpl w:val="BA3290DA"/>
    <w:lvl w:ilvl="0">
      <w:start w:val="4"/>
      <w:numFmt w:val="lowerLetter"/>
      <w:lvlText w:val="%1)"/>
      <w:legacy w:legacy="1" w:legacySpace="0" w:legacyIndent="0"/>
      <w:lvlJc w:val="left"/>
      <w:rPr>
        <w:rFonts w:ascii="Times New Roman" w:hAnsi="Times New Roman" w:cs="Times New Roman" w:hint="default"/>
        <w:sz w:val="25"/>
        <w:szCs w:val="25"/>
      </w:rPr>
    </w:lvl>
  </w:abstractNum>
  <w:abstractNum w:abstractNumId="8" w15:restartNumberingAfterBreak="0">
    <w:nsid w:val="142456EE"/>
    <w:multiLevelType w:val="singleLevel"/>
    <w:tmpl w:val="7760038A"/>
    <w:lvl w:ilvl="0">
      <w:start w:val="4"/>
      <w:numFmt w:val="decimal"/>
      <w:lvlText w:val="%1)"/>
      <w:legacy w:legacy="1" w:legacySpace="0" w:legacyIndent="0"/>
      <w:lvlJc w:val="left"/>
      <w:rPr>
        <w:rFonts w:ascii="Times New Roman" w:hAnsi="Times New Roman" w:cs="Times New Roman" w:hint="default"/>
        <w:sz w:val="25"/>
        <w:szCs w:val="25"/>
      </w:rPr>
    </w:lvl>
  </w:abstractNum>
  <w:abstractNum w:abstractNumId="9" w15:restartNumberingAfterBreak="0">
    <w:nsid w:val="17FE33CF"/>
    <w:multiLevelType w:val="singleLevel"/>
    <w:tmpl w:val="AACCC75A"/>
    <w:lvl w:ilvl="0">
      <w:start w:val="1"/>
      <w:numFmt w:val="lowerLetter"/>
      <w:lvlText w:val="%1)"/>
      <w:legacy w:legacy="1" w:legacySpace="0" w:legacyIndent="0"/>
      <w:lvlJc w:val="left"/>
      <w:rPr>
        <w:rFonts w:ascii="Times New Roman" w:hAnsi="Times New Roman" w:cs="Times New Roman" w:hint="default"/>
        <w:sz w:val="25"/>
        <w:szCs w:val="25"/>
      </w:rPr>
    </w:lvl>
  </w:abstractNum>
  <w:abstractNum w:abstractNumId="10" w15:restartNumberingAfterBreak="0">
    <w:nsid w:val="1A6259FD"/>
    <w:multiLevelType w:val="hybridMultilevel"/>
    <w:tmpl w:val="2C6C9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35A72"/>
    <w:multiLevelType w:val="singleLevel"/>
    <w:tmpl w:val="3F1EF256"/>
    <w:lvl w:ilvl="0">
      <w:start w:val="2"/>
      <w:numFmt w:val="decimal"/>
      <w:lvlText w:val="%1)"/>
      <w:legacy w:legacy="1" w:legacySpace="0" w:legacyIndent="0"/>
      <w:lvlJc w:val="left"/>
      <w:rPr>
        <w:rFonts w:ascii="Times New Roman" w:hAnsi="Times New Roman" w:cs="Times New Roman" w:hint="default"/>
        <w:sz w:val="25"/>
        <w:szCs w:val="25"/>
      </w:rPr>
    </w:lvl>
  </w:abstractNum>
  <w:abstractNum w:abstractNumId="12" w15:restartNumberingAfterBreak="0">
    <w:nsid w:val="1D027CF0"/>
    <w:multiLevelType w:val="singleLevel"/>
    <w:tmpl w:val="9B300018"/>
    <w:lvl w:ilvl="0">
      <w:start w:val="39"/>
      <w:numFmt w:val="decimal"/>
      <w:lvlText w:val="%1)"/>
      <w:legacy w:legacy="1" w:legacySpace="0" w:legacyIndent="0"/>
      <w:lvlJc w:val="left"/>
      <w:rPr>
        <w:rFonts w:ascii="Times New Roman" w:hAnsi="Times New Roman" w:cs="Times New Roman" w:hint="default"/>
        <w:sz w:val="25"/>
        <w:szCs w:val="25"/>
      </w:rPr>
    </w:lvl>
  </w:abstractNum>
  <w:abstractNum w:abstractNumId="13" w15:restartNumberingAfterBreak="0">
    <w:nsid w:val="1D475334"/>
    <w:multiLevelType w:val="singleLevel"/>
    <w:tmpl w:val="5AD28D16"/>
    <w:lvl w:ilvl="0">
      <w:start w:val="1"/>
      <w:numFmt w:val="lowerLetter"/>
      <w:lvlText w:val="%1)"/>
      <w:legacy w:legacy="1" w:legacySpace="0" w:legacyIndent="0"/>
      <w:lvlJc w:val="left"/>
      <w:rPr>
        <w:rFonts w:ascii="Times New Roman" w:hAnsi="Times New Roman" w:cs="Times New Roman" w:hint="default"/>
        <w:sz w:val="25"/>
        <w:szCs w:val="25"/>
      </w:rPr>
    </w:lvl>
  </w:abstractNum>
  <w:abstractNum w:abstractNumId="14" w15:restartNumberingAfterBreak="0">
    <w:nsid w:val="1E0971B7"/>
    <w:multiLevelType w:val="singleLevel"/>
    <w:tmpl w:val="B42ECB52"/>
    <w:lvl w:ilvl="0">
      <w:start w:val="2"/>
      <w:numFmt w:val="decimal"/>
      <w:lvlText w:val="%1)"/>
      <w:legacy w:legacy="1" w:legacySpace="0" w:legacyIndent="0"/>
      <w:lvlJc w:val="left"/>
      <w:rPr>
        <w:rFonts w:ascii="Times New Roman" w:hAnsi="Times New Roman" w:cs="Times New Roman" w:hint="default"/>
        <w:sz w:val="25"/>
        <w:szCs w:val="25"/>
      </w:rPr>
    </w:lvl>
  </w:abstractNum>
  <w:abstractNum w:abstractNumId="15" w15:restartNumberingAfterBreak="0">
    <w:nsid w:val="1F721DAD"/>
    <w:multiLevelType w:val="singleLevel"/>
    <w:tmpl w:val="7C962CFC"/>
    <w:lvl w:ilvl="0">
      <w:start w:val="1"/>
      <w:numFmt w:val="lowerLetter"/>
      <w:lvlText w:val="%1)"/>
      <w:legacy w:legacy="1" w:legacySpace="0" w:legacyIndent="0"/>
      <w:lvlJc w:val="left"/>
      <w:rPr>
        <w:rFonts w:ascii="Times New Roman" w:hAnsi="Times New Roman" w:cs="Times New Roman" w:hint="default"/>
        <w:sz w:val="25"/>
        <w:szCs w:val="25"/>
      </w:rPr>
    </w:lvl>
  </w:abstractNum>
  <w:abstractNum w:abstractNumId="16" w15:restartNumberingAfterBreak="0">
    <w:nsid w:val="21C81B39"/>
    <w:multiLevelType w:val="singleLevel"/>
    <w:tmpl w:val="35847A6A"/>
    <w:lvl w:ilvl="0">
      <w:start w:val="2"/>
      <w:numFmt w:val="decimal"/>
      <w:lvlText w:val="%1."/>
      <w:legacy w:legacy="1" w:legacySpace="0" w:legacyIndent="0"/>
      <w:lvlJc w:val="left"/>
      <w:rPr>
        <w:rFonts w:ascii="Times New Roman" w:hAnsi="Times New Roman" w:cs="Times New Roman" w:hint="default"/>
        <w:sz w:val="25"/>
        <w:szCs w:val="25"/>
      </w:rPr>
    </w:lvl>
  </w:abstractNum>
  <w:abstractNum w:abstractNumId="17" w15:restartNumberingAfterBreak="0">
    <w:nsid w:val="22B65F0B"/>
    <w:multiLevelType w:val="singleLevel"/>
    <w:tmpl w:val="E3828966"/>
    <w:lvl w:ilvl="0">
      <w:start w:val="1"/>
      <w:numFmt w:val="lowerLetter"/>
      <w:lvlText w:val="%1)"/>
      <w:legacy w:legacy="1" w:legacySpace="0" w:legacyIndent="0"/>
      <w:lvlJc w:val="left"/>
      <w:rPr>
        <w:rFonts w:ascii="Times New Roman" w:hAnsi="Times New Roman" w:cs="Times New Roman" w:hint="default"/>
        <w:sz w:val="25"/>
        <w:szCs w:val="25"/>
      </w:rPr>
    </w:lvl>
  </w:abstractNum>
  <w:abstractNum w:abstractNumId="18" w15:restartNumberingAfterBreak="0">
    <w:nsid w:val="252D65D9"/>
    <w:multiLevelType w:val="singleLevel"/>
    <w:tmpl w:val="ED4863AA"/>
    <w:lvl w:ilvl="0">
      <w:start w:val="3"/>
      <w:numFmt w:val="lowerLetter"/>
      <w:lvlText w:val="%1."/>
      <w:legacy w:legacy="1" w:legacySpace="0" w:legacyIndent="0"/>
      <w:lvlJc w:val="left"/>
      <w:rPr>
        <w:rFonts w:ascii="Times New Roman" w:hAnsi="Times New Roman" w:cs="Times New Roman" w:hint="default"/>
        <w:sz w:val="25"/>
        <w:szCs w:val="25"/>
      </w:rPr>
    </w:lvl>
  </w:abstractNum>
  <w:abstractNum w:abstractNumId="19" w15:restartNumberingAfterBreak="0">
    <w:nsid w:val="2EF36839"/>
    <w:multiLevelType w:val="singleLevel"/>
    <w:tmpl w:val="4B58D3B6"/>
    <w:lvl w:ilvl="0">
      <w:start w:val="1"/>
      <w:numFmt w:val="decimal"/>
      <w:lvlText w:val="%1."/>
      <w:legacy w:legacy="1" w:legacySpace="0" w:legacyIndent="0"/>
      <w:lvlJc w:val="left"/>
      <w:rPr>
        <w:rFonts w:ascii="Times New Roman" w:hAnsi="Times New Roman" w:cs="Times New Roman" w:hint="default"/>
        <w:sz w:val="25"/>
        <w:szCs w:val="25"/>
      </w:rPr>
    </w:lvl>
  </w:abstractNum>
  <w:abstractNum w:abstractNumId="20" w15:restartNumberingAfterBreak="0">
    <w:nsid w:val="377E2E36"/>
    <w:multiLevelType w:val="singleLevel"/>
    <w:tmpl w:val="FA785C48"/>
    <w:lvl w:ilvl="0">
      <w:start w:val="2"/>
      <w:numFmt w:val="decimal"/>
      <w:lvlText w:val="%1)"/>
      <w:legacy w:legacy="1" w:legacySpace="0" w:legacyIndent="0"/>
      <w:lvlJc w:val="left"/>
      <w:rPr>
        <w:rFonts w:ascii="Times New Roman" w:hAnsi="Times New Roman" w:cs="Times New Roman" w:hint="default"/>
        <w:sz w:val="25"/>
        <w:szCs w:val="25"/>
      </w:rPr>
    </w:lvl>
  </w:abstractNum>
  <w:abstractNum w:abstractNumId="21" w15:restartNumberingAfterBreak="0">
    <w:nsid w:val="3CBE7B5D"/>
    <w:multiLevelType w:val="singleLevel"/>
    <w:tmpl w:val="EA6E0B5E"/>
    <w:lvl w:ilvl="0">
      <w:start w:val="1"/>
      <w:numFmt w:val="decimal"/>
      <w:lvlText w:val="%1)"/>
      <w:legacy w:legacy="1" w:legacySpace="0" w:legacyIndent="0"/>
      <w:lvlJc w:val="left"/>
      <w:rPr>
        <w:rFonts w:ascii="Times New Roman" w:hAnsi="Times New Roman" w:cs="Times New Roman" w:hint="default"/>
        <w:sz w:val="25"/>
        <w:szCs w:val="25"/>
      </w:rPr>
    </w:lvl>
  </w:abstractNum>
  <w:abstractNum w:abstractNumId="22" w15:restartNumberingAfterBreak="0">
    <w:nsid w:val="3D3840F3"/>
    <w:multiLevelType w:val="singleLevel"/>
    <w:tmpl w:val="E02EF432"/>
    <w:lvl w:ilvl="0">
      <w:start w:val="3"/>
      <w:numFmt w:val="decimal"/>
      <w:lvlText w:val="%1."/>
      <w:legacy w:legacy="1" w:legacySpace="0" w:legacyIndent="0"/>
      <w:lvlJc w:val="left"/>
      <w:rPr>
        <w:rFonts w:ascii="Times New Roman" w:hAnsi="Times New Roman" w:cs="Times New Roman" w:hint="default"/>
        <w:sz w:val="25"/>
        <w:szCs w:val="25"/>
      </w:rPr>
    </w:lvl>
  </w:abstractNum>
  <w:abstractNum w:abstractNumId="23" w15:restartNumberingAfterBreak="0">
    <w:nsid w:val="3DF402F0"/>
    <w:multiLevelType w:val="singleLevel"/>
    <w:tmpl w:val="BA783036"/>
    <w:lvl w:ilvl="0">
      <w:start w:val="2"/>
      <w:numFmt w:val="lowerLetter"/>
      <w:lvlText w:val="%1."/>
      <w:legacy w:legacy="1" w:legacySpace="0" w:legacyIndent="0"/>
      <w:lvlJc w:val="left"/>
      <w:rPr>
        <w:rFonts w:ascii="Times New Roman" w:hAnsi="Times New Roman" w:cs="Times New Roman" w:hint="default"/>
        <w:sz w:val="25"/>
        <w:szCs w:val="25"/>
      </w:rPr>
    </w:lvl>
  </w:abstractNum>
  <w:abstractNum w:abstractNumId="24" w15:restartNumberingAfterBreak="0">
    <w:nsid w:val="401403E4"/>
    <w:multiLevelType w:val="singleLevel"/>
    <w:tmpl w:val="CB96AE64"/>
    <w:lvl w:ilvl="0">
      <w:start w:val="1"/>
      <w:numFmt w:val="lowerLetter"/>
      <w:lvlText w:val="%1."/>
      <w:legacy w:legacy="1" w:legacySpace="0" w:legacyIndent="0"/>
      <w:lvlJc w:val="left"/>
      <w:rPr>
        <w:rFonts w:ascii="Times New Roman" w:hAnsi="Times New Roman" w:cs="Times New Roman" w:hint="default"/>
        <w:sz w:val="25"/>
        <w:szCs w:val="25"/>
      </w:rPr>
    </w:lvl>
  </w:abstractNum>
  <w:abstractNum w:abstractNumId="25" w15:restartNumberingAfterBreak="0">
    <w:nsid w:val="404006C1"/>
    <w:multiLevelType w:val="singleLevel"/>
    <w:tmpl w:val="B09837C8"/>
    <w:lvl w:ilvl="0">
      <w:start w:val="2"/>
      <w:numFmt w:val="decimal"/>
      <w:lvlText w:val="%1)"/>
      <w:legacy w:legacy="1" w:legacySpace="0" w:legacyIndent="0"/>
      <w:lvlJc w:val="left"/>
      <w:rPr>
        <w:rFonts w:ascii="Times New Roman" w:hAnsi="Times New Roman" w:cs="Times New Roman" w:hint="default"/>
        <w:sz w:val="25"/>
        <w:szCs w:val="25"/>
      </w:rPr>
    </w:lvl>
  </w:abstractNum>
  <w:abstractNum w:abstractNumId="26" w15:restartNumberingAfterBreak="0">
    <w:nsid w:val="43530AEF"/>
    <w:multiLevelType w:val="singleLevel"/>
    <w:tmpl w:val="3460BE9E"/>
    <w:lvl w:ilvl="0">
      <w:start w:val="1"/>
      <w:numFmt w:val="lowerLetter"/>
      <w:lvlText w:val="%1)"/>
      <w:legacy w:legacy="1" w:legacySpace="0" w:legacyIndent="0"/>
      <w:lvlJc w:val="left"/>
      <w:rPr>
        <w:rFonts w:ascii="Times New Roman" w:hAnsi="Times New Roman" w:cs="Times New Roman" w:hint="default"/>
        <w:sz w:val="25"/>
        <w:szCs w:val="25"/>
      </w:rPr>
    </w:lvl>
  </w:abstractNum>
  <w:abstractNum w:abstractNumId="27" w15:restartNumberingAfterBreak="0">
    <w:nsid w:val="43777226"/>
    <w:multiLevelType w:val="singleLevel"/>
    <w:tmpl w:val="EB107EE4"/>
    <w:lvl w:ilvl="0">
      <w:start w:val="2"/>
      <w:numFmt w:val="upperLetter"/>
      <w:lvlText w:val="%1."/>
      <w:legacy w:legacy="1" w:legacySpace="0" w:legacyIndent="0"/>
      <w:lvlJc w:val="left"/>
      <w:rPr>
        <w:rFonts w:ascii="Times New Roman" w:hAnsi="Times New Roman" w:cs="Times New Roman" w:hint="default"/>
        <w:sz w:val="25"/>
        <w:szCs w:val="25"/>
      </w:rPr>
    </w:lvl>
  </w:abstractNum>
  <w:abstractNum w:abstractNumId="28" w15:restartNumberingAfterBreak="0">
    <w:nsid w:val="44B10159"/>
    <w:multiLevelType w:val="singleLevel"/>
    <w:tmpl w:val="DFB8466A"/>
    <w:lvl w:ilvl="0">
      <w:start w:val="2"/>
      <w:numFmt w:val="lowerLetter"/>
      <w:lvlText w:val="%1)"/>
      <w:legacy w:legacy="1" w:legacySpace="0" w:legacyIndent="0"/>
      <w:lvlJc w:val="left"/>
      <w:rPr>
        <w:rFonts w:ascii="Times New Roman" w:hAnsi="Times New Roman" w:cs="Times New Roman" w:hint="default"/>
        <w:sz w:val="25"/>
        <w:szCs w:val="25"/>
      </w:rPr>
    </w:lvl>
  </w:abstractNum>
  <w:abstractNum w:abstractNumId="29" w15:restartNumberingAfterBreak="0">
    <w:nsid w:val="4E3168F9"/>
    <w:multiLevelType w:val="singleLevel"/>
    <w:tmpl w:val="F19C8E10"/>
    <w:lvl w:ilvl="0">
      <w:start w:val="1"/>
      <w:numFmt w:val="lowerLetter"/>
      <w:lvlText w:val="%1)"/>
      <w:legacy w:legacy="1" w:legacySpace="0" w:legacyIndent="0"/>
      <w:lvlJc w:val="left"/>
      <w:rPr>
        <w:rFonts w:ascii="Times New Roman" w:hAnsi="Times New Roman" w:cs="Times New Roman" w:hint="default"/>
        <w:sz w:val="25"/>
        <w:szCs w:val="25"/>
      </w:rPr>
    </w:lvl>
  </w:abstractNum>
  <w:abstractNum w:abstractNumId="30" w15:restartNumberingAfterBreak="0">
    <w:nsid w:val="4F0127F9"/>
    <w:multiLevelType w:val="singleLevel"/>
    <w:tmpl w:val="5AA85C02"/>
    <w:lvl w:ilvl="0">
      <w:start w:val="1"/>
      <w:numFmt w:val="decimal"/>
      <w:lvlText w:val="%1)"/>
      <w:legacy w:legacy="1" w:legacySpace="0" w:legacyIndent="0"/>
      <w:lvlJc w:val="left"/>
      <w:rPr>
        <w:rFonts w:ascii="Times New Roman" w:hAnsi="Times New Roman" w:cs="Times New Roman" w:hint="default"/>
        <w:sz w:val="25"/>
        <w:szCs w:val="25"/>
      </w:rPr>
    </w:lvl>
  </w:abstractNum>
  <w:abstractNum w:abstractNumId="31" w15:restartNumberingAfterBreak="0">
    <w:nsid w:val="4FAD6B15"/>
    <w:multiLevelType w:val="singleLevel"/>
    <w:tmpl w:val="BC6C0958"/>
    <w:lvl w:ilvl="0">
      <w:start w:val="2"/>
      <w:numFmt w:val="decimal"/>
      <w:lvlText w:val="%1."/>
      <w:legacy w:legacy="1" w:legacySpace="0" w:legacyIndent="0"/>
      <w:lvlJc w:val="left"/>
      <w:rPr>
        <w:rFonts w:ascii="Times New Roman" w:hAnsi="Times New Roman" w:cs="Times New Roman" w:hint="default"/>
        <w:sz w:val="25"/>
        <w:szCs w:val="25"/>
      </w:rPr>
    </w:lvl>
  </w:abstractNum>
  <w:abstractNum w:abstractNumId="32" w15:restartNumberingAfterBreak="0">
    <w:nsid w:val="502F6E35"/>
    <w:multiLevelType w:val="singleLevel"/>
    <w:tmpl w:val="4EDCA6C2"/>
    <w:lvl w:ilvl="0">
      <w:start w:val="2"/>
      <w:numFmt w:val="lowerLetter"/>
      <w:lvlText w:val="%1)"/>
      <w:legacy w:legacy="1" w:legacySpace="0" w:legacyIndent="0"/>
      <w:lvlJc w:val="left"/>
      <w:rPr>
        <w:rFonts w:ascii="Times New Roman" w:hAnsi="Times New Roman" w:cs="Times New Roman" w:hint="default"/>
        <w:sz w:val="25"/>
        <w:szCs w:val="25"/>
      </w:rPr>
    </w:lvl>
  </w:abstractNum>
  <w:abstractNum w:abstractNumId="33" w15:restartNumberingAfterBreak="0">
    <w:nsid w:val="54C97691"/>
    <w:multiLevelType w:val="singleLevel"/>
    <w:tmpl w:val="EC40ED7A"/>
    <w:lvl w:ilvl="0">
      <w:start w:val="2"/>
      <w:numFmt w:val="decimal"/>
      <w:lvlText w:val="%1)"/>
      <w:legacy w:legacy="1" w:legacySpace="0" w:legacyIndent="0"/>
      <w:lvlJc w:val="left"/>
      <w:rPr>
        <w:rFonts w:ascii="Times New Roman" w:hAnsi="Times New Roman" w:cs="Times New Roman" w:hint="default"/>
        <w:sz w:val="25"/>
        <w:szCs w:val="25"/>
      </w:rPr>
    </w:lvl>
  </w:abstractNum>
  <w:abstractNum w:abstractNumId="34" w15:restartNumberingAfterBreak="0">
    <w:nsid w:val="55880FCF"/>
    <w:multiLevelType w:val="singleLevel"/>
    <w:tmpl w:val="41E08E14"/>
    <w:lvl w:ilvl="0">
      <w:start w:val="1"/>
      <w:numFmt w:val="lowerLetter"/>
      <w:lvlText w:val="%1."/>
      <w:legacy w:legacy="1" w:legacySpace="0" w:legacyIndent="0"/>
      <w:lvlJc w:val="left"/>
      <w:rPr>
        <w:rFonts w:ascii="Times New Roman" w:hAnsi="Times New Roman" w:cs="Times New Roman" w:hint="default"/>
        <w:sz w:val="25"/>
        <w:szCs w:val="25"/>
      </w:rPr>
    </w:lvl>
  </w:abstractNum>
  <w:abstractNum w:abstractNumId="35" w15:restartNumberingAfterBreak="0">
    <w:nsid w:val="565254C1"/>
    <w:multiLevelType w:val="singleLevel"/>
    <w:tmpl w:val="5222651E"/>
    <w:lvl w:ilvl="0">
      <w:start w:val="1"/>
      <w:numFmt w:val="lowerLetter"/>
      <w:lvlText w:val="%1)"/>
      <w:legacy w:legacy="1" w:legacySpace="0" w:legacyIndent="0"/>
      <w:lvlJc w:val="left"/>
      <w:rPr>
        <w:rFonts w:ascii="Times New Roman" w:hAnsi="Times New Roman" w:cs="Times New Roman" w:hint="default"/>
        <w:sz w:val="25"/>
        <w:szCs w:val="25"/>
      </w:rPr>
    </w:lvl>
  </w:abstractNum>
  <w:abstractNum w:abstractNumId="36" w15:restartNumberingAfterBreak="0">
    <w:nsid w:val="565C569D"/>
    <w:multiLevelType w:val="singleLevel"/>
    <w:tmpl w:val="F6FCBAF0"/>
    <w:lvl w:ilvl="0">
      <w:start w:val="1"/>
      <w:numFmt w:val="lowerLetter"/>
      <w:lvlText w:val="%1."/>
      <w:legacy w:legacy="1" w:legacySpace="0" w:legacyIndent="0"/>
      <w:lvlJc w:val="left"/>
      <w:rPr>
        <w:rFonts w:ascii="Times New Roman" w:hAnsi="Times New Roman" w:cs="Times New Roman" w:hint="default"/>
        <w:sz w:val="25"/>
        <w:szCs w:val="25"/>
      </w:rPr>
    </w:lvl>
  </w:abstractNum>
  <w:abstractNum w:abstractNumId="37" w15:restartNumberingAfterBreak="0">
    <w:nsid w:val="590A2EEB"/>
    <w:multiLevelType w:val="singleLevel"/>
    <w:tmpl w:val="384293C0"/>
    <w:lvl w:ilvl="0">
      <w:start w:val="1"/>
      <w:numFmt w:val="lowerLetter"/>
      <w:lvlText w:val="%1."/>
      <w:legacy w:legacy="1" w:legacySpace="0" w:legacyIndent="0"/>
      <w:lvlJc w:val="left"/>
      <w:rPr>
        <w:rFonts w:ascii="Times New Roman" w:hAnsi="Times New Roman" w:cs="Times New Roman" w:hint="default"/>
        <w:sz w:val="25"/>
        <w:szCs w:val="25"/>
      </w:rPr>
    </w:lvl>
  </w:abstractNum>
  <w:abstractNum w:abstractNumId="38" w15:restartNumberingAfterBreak="0">
    <w:nsid w:val="59793B8C"/>
    <w:multiLevelType w:val="singleLevel"/>
    <w:tmpl w:val="4118A622"/>
    <w:lvl w:ilvl="0">
      <w:start w:val="3"/>
      <w:numFmt w:val="lowerLetter"/>
      <w:lvlText w:val="%1)"/>
      <w:legacy w:legacy="1" w:legacySpace="0" w:legacyIndent="0"/>
      <w:lvlJc w:val="left"/>
      <w:rPr>
        <w:rFonts w:ascii="Times New Roman" w:hAnsi="Times New Roman" w:cs="Times New Roman" w:hint="default"/>
        <w:sz w:val="25"/>
        <w:szCs w:val="25"/>
      </w:rPr>
    </w:lvl>
  </w:abstractNum>
  <w:abstractNum w:abstractNumId="39" w15:restartNumberingAfterBreak="0">
    <w:nsid w:val="59C23C00"/>
    <w:multiLevelType w:val="singleLevel"/>
    <w:tmpl w:val="069276E2"/>
    <w:lvl w:ilvl="0">
      <w:start w:val="1"/>
      <w:numFmt w:val="decimal"/>
      <w:lvlText w:val="%1)"/>
      <w:legacy w:legacy="1" w:legacySpace="0" w:legacyIndent="0"/>
      <w:lvlJc w:val="left"/>
      <w:rPr>
        <w:rFonts w:ascii="Times New Roman" w:hAnsi="Times New Roman" w:cs="Times New Roman" w:hint="default"/>
        <w:sz w:val="25"/>
        <w:szCs w:val="25"/>
      </w:rPr>
    </w:lvl>
  </w:abstractNum>
  <w:abstractNum w:abstractNumId="40" w15:restartNumberingAfterBreak="0">
    <w:nsid w:val="5D723438"/>
    <w:multiLevelType w:val="singleLevel"/>
    <w:tmpl w:val="282EB42E"/>
    <w:lvl w:ilvl="0">
      <w:start w:val="2"/>
      <w:numFmt w:val="lowerLetter"/>
      <w:lvlText w:val="%1."/>
      <w:legacy w:legacy="1" w:legacySpace="0" w:legacyIndent="0"/>
      <w:lvlJc w:val="left"/>
      <w:rPr>
        <w:rFonts w:ascii="Times New Roman" w:hAnsi="Times New Roman" w:cs="Times New Roman" w:hint="default"/>
        <w:sz w:val="25"/>
        <w:szCs w:val="25"/>
      </w:rPr>
    </w:lvl>
  </w:abstractNum>
  <w:abstractNum w:abstractNumId="41" w15:restartNumberingAfterBreak="0">
    <w:nsid w:val="633A74EC"/>
    <w:multiLevelType w:val="singleLevel"/>
    <w:tmpl w:val="8B8C1408"/>
    <w:lvl w:ilvl="0">
      <w:start w:val="1"/>
      <w:numFmt w:val="decimal"/>
      <w:lvlText w:val="%1)"/>
      <w:legacy w:legacy="1" w:legacySpace="0" w:legacyIndent="0"/>
      <w:lvlJc w:val="left"/>
      <w:rPr>
        <w:rFonts w:ascii="Times New Roman" w:hAnsi="Times New Roman" w:cs="Times New Roman" w:hint="default"/>
        <w:sz w:val="25"/>
        <w:szCs w:val="25"/>
      </w:rPr>
    </w:lvl>
  </w:abstractNum>
  <w:abstractNum w:abstractNumId="42" w15:restartNumberingAfterBreak="0">
    <w:nsid w:val="64015967"/>
    <w:multiLevelType w:val="singleLevel"/>
    <w:tmpl w:val="2BF492C4"/>
    <w:lvl w:ilvl="0">
      <w:start w:val="3"/>
      <w:numFmt w:val="lowerLetter"/>
      <w:lvlText w:val="%1."/>
      <w:legacy w:legacy="1" w:legacySpace="0" w:legacyIndent="0"/>
      <w:lvlJc w:val="left"/>
      <w:rPr>
        <w:rFonts w:ascii="Times New Roman" w:hAnsi="Times New Roman" w:cs="Times New Roman" w:hint="default"/>
        <w:sz w:val="25"/>
        <w:szCs w:val="25"/>
      </w:rPr>
    </w:lvl>
  </w:abstractNum>
  <w:abstractNum w:abstractNumId="43" w15:restartNumberingAfterBreak="0">
    <w:nsid w:val="66FE5997"/>
    <w:multiLevelType w:val="singleLevel"/>
    <w:tmpl w:val="83CEE0A6"/>
    <w:lvl w:ilvl="0">
      <w:start w:val="1"/>
      <w:numFmt w:val="lowerLetter"/>
      <w:lvlText w:val="%1."/>
      <w:legacy w:legacy="1" w:legacySpace="0" w:legacyIndent="0"/>
      <w:lvlJc w:val="left"/>
      <w:rPr>
        <w:rFonts w:ascii="Times New Roman" w:hAnsi="Times New Roman" w:cs="Times New Roman" w:hint="default"/>
        <w:sz w:val="25"/>
        <w:szCs w:val="25"/>
      </w:rPr>
    </w:lvl>
  </w:abstractNum>
  <w:abstractNum w:abstractNumId="44" w15:restartNumberingAfterBreak="0">
    <w:nsid w:val="671148C9"/>
    <w:multiLevelType w:val="singleLevel"/>
    <w:tmpl w:val="02D4D9A2"/>
    <w:lvl w:ilvl="0">
      <w:start w:val="1"/>
      <w:numFmt w:val="decimal"/>
      <w:lvlText w:val="%1)"/>
      <w:legacy w:legacy="1" w:legacySpace="0" w:legacyIndent="0"/>
      <w:lvlJc w:val="left"/>
      <w:rPr>
        <w:rFonts w:ascii="Times New Roman" w:hAnsi="Times New Roman" w:cs="Times New Roman" w:hint="default"/>
        <w:sz w:val="25"/>
        <w:szCs w:val="25"/>
      </w:rPr>
    </w:lvl>
  </w:abstractNum>
  <w:abstractNum w:abstractNumId="45" w15:restartNumberingAfterBreak="0">
    <w:nsid w:val="69326838"/>
    <w:multiLevelType w:val="singleLevel"/>
    <w:tmpl w:val="D3D65CB2"/>
    <w:lvl w:ilvl="0">
      <w:start w:val="1"/>
      <w:numFmt w:val="decimal"/>
      <w:lvlText w:val="%1)"/>
      <w:legacy w:legacy="1" w:legacySpace="0" w:legacyIndent="0"/>
      <w:lvlJc w:val="left"/>
      <w:rPr>
        <w:rFonts w:ascii="Times New Roman" w:hAnsi="Times New Roman" w:cs="Times New Roman" w:hint="default"/>
        <w:sz w:val="25"/>
        <w:szCs w:val="25"/>
      </w:rPr>
    </w:lvl>
  </w:abstractNum>
  <w:abstractNum w:abstractNumId="46" w15:restartNumberingAfterBreak="0">
    <w:nsid w:val="696339B2"/>
    <w:multiLevelType w:val="singleLevel"/>
    <w:tmpl w:val="64BA9662"/>
    <w:lvl w:ilvl="0">
      <w:start w:val="1"/>
      <w:numFmt w:val="decimal"/>
      <w:lvlText w:val="%1)"/>
      <w:legacy w:legacy="1" w:legacySpace="0" w:legacyIndent="0"/>
      <w:lvlJc w:val="left"/>
      <w:rPr>
        <w:rFonts w:ascii="Times New Roman" w:hAnsi="Times New Roman" w:cs="Times New Roman" w:hint="default"/>
        <w:sz w:val="25"/>
        <w:szCs w:val="25"/>
      </w:rPr>
    </w:lvl>
  </w:abstractNum>
  <w:abstractNum w:abstractNumId="47" w15:restartNumberingAfterBreak="0">
    <w:nsid w:val="6CD1611E"/>
    <w:multiLevelType w:val="singleLevel"/>
    <w:tmpl w:val="2F5E9E40"/>
    <w:lvl w:ilvl="0">
      <w:start w:val="2"/>
      <w:numFmt w:val="decimal"/>
      <w:lvlText w:val="%1)"/>
      <w:legacy w:legacy="1" w:legacySpace="0" w:legacyIndent="0"/>
      <w:lvlJc w:val="left"/>
      <w:rPr>
        <w:rFonts w:ascii="Times New Roman" w:hAnsi="Times New Roman" w:cs="Times New Roman" w:hint="default"/>
        <w:sz w:val="25"/>
        <w:szCs w:val="25"/>
      </w:rPr>
    </w:lvl>
  </w:abstractNum>
  <w:abstractNum w:abstractNumId="48" w15:restartNumberingAfterBreak="0">
    <w:nsid w:val="6FEF641C"/>
    <w:multiLevelType w:val="singleLevel"/>
    <w:tmpl w:val="9970F148"/>
    <w:lvl w:ilvl="0">
      <w:start w:val="1"/>
      <w:numFmt w:val="lowerLetter"/>
      <w:lvlText w:val="%1."/>
      <w:legacy w:legacy="1" w:legacySpace="0" w:legacyIndent="0"/>
      <w:lvlJc w:val="left"/>
      <w:rPr>
        <w:rFonts w:ascii="Times New Roman" w:hAnsi="Times New Roman" w:cs="Times New Roman" w:hint="default"/>
        <w:sz w:val="25"/>
        <w:szCs w:val="25"/>
      </w:rPr>
    </w:lvl>
  </w:abstractNum>
  <w:abstractNum w:abstractNumId="49" w15:restartNumberingAfterBreak="0">
    <w:nsid w:val="6FF30986"/>
    <w:multiLevelType w:val="singleLevel"/>
    <w:tmpl w:val="20ACEDF6"/>
    <w:lvl w:ilvl="0">
      <w:start w:val="4"/>
      <w:numFmt w:val="decimal"/>
      <w:lvlText w:val="%1."/>
      <w:legacy w:legacy="1" w:legacySpace="0" w:legacyIndent="0"/>
      <w:lvlJc w:val="left"/>
      <w:rPr>
        <w:rFonts w:ascii="Times New Roman" w:hAnsi="Times New Roman" w:cs="Times New Roman" w:hint="default"/>
        <w:sz w:val="25"/>
        <w:szCs w:val="25"/>
      </w:rPr>
    </w:lvl>
  </w:abstractNum>
  <w:abstractNum w:abstractNumId="50" w15:restartNumberingAfterBreak="0">
    <w:nsid w:val="727C5D99"/>
    <w:multiLevelType w:val="singleLevel"/>
    <w:tmpl w:val="1E6EC96A"/>
    <w:lvl w:ilvl="0">
      <w:start w:val="1"/>
      <w:numFmt w:val="decimal"/>
      <w:lvlText w:val="%1)"/>
      <w:legacy w:legacy="1" w:legacySpace="0" w:legacyIndent="0"/>
      <w:lvlJc w:val="left"/>
      <w:rPr>
        <w:rFonts w:ascii="Times New Roman" w:hAnsi="Times New Roman" w:cs="Times New Roman" w:hint="default"/>
        <w:sz w:val="25"/>
        <w:szCs w:val="25"/>
      </w:rPr>
    </w:lvl>
  </w:abstractNum>
  <w:abstractNum w:abstractNumId="51" w15:restartNumberingAfterBreak="0">
    <w:nsid w:val="73927500"/>
    <w:multiLevelType w:val="singleLevel"/>
    <w:tmpl w:val="B0F05518"/>
    <w:lvl w:ilvl="0">
      <w:start w:val="1"/>
      <w:numFmt w:val="lowerLetter"/>
      <w:lvlText w:val="%1."/>
      <w:legacy w:legacy="1" w:legacySpace="0" w:legacyIndent="0"/>
      <w:lvlJc w:val="left"/>
      <w:rPr>
        <w:rFonts w:ascii="Times New Roman" w:hAnsi="Times New Roman" w:cs="Times New Roman" w:hint="default"/>
        <w:sz w:val="25"/>
        <w:szCs w:val="25"/>
      </w:rPr>
    </w:lvl>
  </w:abstractNum>
  <w:abstractNum w:abstractNumId="52" w15:restartNumberingAfterBreak="0">
    <w:nsid w:val="741801C1"/>
    <w:multiLevelType w:val="singleLevel"/>
    <w:tmpl w:val="102A946A"/>
    <w:lvl w:ilvl="0">
      <w:start w:val="1"/>
      <w:numFmt w:val="decimal"/>
      <w:lvlText w:val="%1."/>
      <w:legacy w:legacy="1" w:legacySpace="0" w:legacyIndent="0"/>
      <w:lvlJc w:val="left"/>
      <w:rPr>
        <w:rFonts w:ascii="Times New Roman" w:hAnsi="Times New Roman" w:cs="Times New Roman" w:hint="default"/>
        <w:sz w:val="25"/>
        <w:szCs w:val="25"/>
      </w:rPr>
    </w:lvl>
  </w:abstractNum>
  <w:abstractNum w:abstractNumId="53" w15:restartNumberingAfterBreak="0">
    <w:nsid w:val="758D78FB"/>
    <w:multiLevelType w:val="singleLevel"/>
    <w:tmpl w:val="1B783142"/>
    <w:lvl w:ilvl="0">
      <w:start w:val="1"/>
      <w:numFmt w:val="decimal"/>
      <w:lvlText w:val="%1)"/>
      <w:legacy w:legacy="1" w:legacySpace="0" w:legacyIndent="0"/>
      <w:lvlJc w:val="left"/>
      <w:rPr>
        <w:rFonts w:ascii="Times New Roman" w:hAnsi="Times New Roman" w:cs="Times New Roman" w:hint="default"/>
        <w:sz w:val="25"/>
        <w:szCs w:val="25"/>
      </w:rPr>
    </w:lvl>
  </w:abstractNum>
  <w:abstractNum w:abstractNumId="54" w15:restartNumberingAfterBreak="0">
    <w:nsid w:val="7A92096E"/>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D270265"/>
    <w:multiLevelType w:val="singleLevel"/>
    <w:tmpl w:val="F8B61ABA"/>
    <w:lvl w:ilvl="0">
      <w:start w:val="3"/>
      <w:numFmt w:val="decimal"/>
      <w:lvlText w:val="%1."/>
      <w:legacy w:legacy="1" w:legacySpace="0" w:legacyIndent="0"/>
      <w:lvlJc w:val="left"/>
      <w:rPr>
        <w:rFonts w:ascii="Times New Roman" w:hAnsi="Times New Roman" w:cs="Times New Roman" w:hint="default"/>
        <w:sz w:val="25"/>
        <w:szCs w:val="25"/>
      </w:rPr>
    </w:lvl>
  </w:abstractNum>
  <w:num w:numId="1" w16cid:durableId="754129118">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 w16cid:durableId="349835584">
    <w:abstractNumId w:val="0"/>
  </w:num>
  <w:num w:numId="3" w16cid:durableId="1292395120">
    <w:abstractNumId w:val="10"/>
  </w:num>
  <w:num w:numId="4" w16cid:durableId="182165044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5" w16cid:durableId="1062755867">
    <w:abstractNumId w:val="12"/>
  </w:num>
  <w:num w:numId="6" w16cid:durableId="1080173886">
    <w:abstractNumId w:val="5"/>
  </w:num>
  <w:num w:numId="7" w16cid:durableId="1161965512">
    <w:abstractNumId w:val="53"/>
  </w:num>
  <w:num w:numId="8" w16cid:durableId="221525770">
    <w:abstractNumId w:val="9"/>
  </w:num>
  <w:num w:numId="9" w16cid:durableId="1749157295">
    <w:abstractNumId w:val="25"/>
  </w:num>
  <w:num w:numId="10" w16cid:durableId="932739715">
    <w:abstractNumId w:val="26"/>
  </w:num>
  <w:num w:numId="11" w16cid:durableId="704255220">
    <w:abstractNumId w:val="16"/>
  </w:num>
  <w:num w:numId="12" w16cid:durableId="1333412610">
    <w:abstractNumId w:val="30"/>
  </w:num>
  <w:num w:numId="13" w16cid:durableId="1340233906">
    <w:abstractNumId w:val="17"/>
  </w:num>
  <w:num w:numId="14" w16cid:durableId="1267346880">
    <w:abstractNumId w:val="37"/>
  </w:num>
  <w:num w:numId="15" w16cid:durableId="67970405">
    <w:abstractNumId w:val="46"/>
  </w:num>
  <w:num w:numId="16" w16cid:durableId="1289355967">
    <w:abstractNumId w:val="47"/>
  </w:num>
  <w:num w:numId="17" w16cid:durableId="822702233">
    <w:abstractNumId w:val="24"/>
  </w:num>
  <w:num w:numId="18" w16cid:durableId="1570731661">
    <w:abstractNumId w:val="39"/>
  </w:num>
  <w:num w:numId="19" w16cid:durableId="1336104367">
    <w:abstractNumId w:val="15"/>
  </w:num>
  <w:num w:numId="20" w16cid:durableId="714161007">
    <w:abstractNumId w:val="14"/>
  </w:num>
  <w:num w:numId="21" w16cid:durableId="1455564948">
    <w:abstractNumId w:val="29"/>
  </w:num>
  <w:num w:numId="22" w16cid:durableId="64957014">
    <w:abstractNumId w:val="32"/>
  </w:num>
  <w:num w:numId="23" w16cid:durableId="1036075907">
    <w:abstractNumId w:val="43"/>
  </w:num>
  <w:num w:numId="24" w16cid:durableId="1129860409">
    <w:abstractNumId w:val="40"/>
  </w:num>
  <w:num w:numId="25" w16cid:durableId="1580481241">
    <w:abstractNumId w:val="45"/>
  </w:num>
  <w:num w:numId="26" w16cid:durableId="706220227">
    <w:abstractNumId w:val="20"/>
  </w:num>
  <w:num w:numId="27" w16cid:durableId="1967736749">
    <w:abstractNumId w:val="28"/>
  </w:num>
  <w:num w:numId="28" w16cid:durableId="690952804">
    <w:abstractNumId w:val="38"/>
  </w:num>
  <w:num w:numId="29" w16cid:durableId="1499271294">
    <w:abstractNumId w:val="7"/>
  </w:num>
  <w:num w:numId="30" w16cid:durableId="1635795142">
    <w:abstractNumId w:val="22"/>
  </w:num>
  <w:num w:numId="31" w16cid:durableId="1914118342">
    <w:abstractNumId w:val="44"/>
  </w:num>
  <w:num w:numId="32" w16cid:durableId="2018190504">
    <w:abstractNumId w:val="1"/>
  </w:num>
  <w:num w:numId="33" w16cid:durableId="778792016">
    <w:abstractNumId w:val="2"/>
  </w:num>
  <w:num w:numId="34" w16cid:durableId="944843200">
    <w:abstractNumId w:val="3"/>
  </w:num>
  <w:num w:numId="35" w16cid:durableId="529487549">
    <w:abstractNumId w:val="4"/>
  </w:num>
  <w:num w:numId="36" w16cid:durableId="212350040">
    <w:abstractNumId w:val="52"/>
  </w:num>
  <w:num w:numId="37" w16cid:durableId="1584796370">
    <w:abstractNumId w:val="48"/>
  </w:num>
  <w:num w:numId="38" w16cid:durableId="623777487">
    <w:abstractNumId w:val="41"/>
  </w:num>
  <w:num w:numId="39" w16cid:durableId="1121072277">
    <w:abstractNumId w:val="35"/>
  </w:num>
  <w:num w:numId="40" w16cid:durableId="2009481221">
    <w:abstractNumId w:val="8"/>
  </w:num>
  <w:num w:numId="41" w16cid:durableId="1301838552">
    <w:abstractNumId w:val="23"/>
  </w:num>
  <w:num w:numId="42" w16cid:durableId="192380484">
    <w:abstractNumId w:val="21"/>
  </w:num>
  <w:num w:numId="43" w16cid:durableId="1195996347">
    <w:abstractNumId w:val="42"/>
  </w:num>
  <w:num w:numId="44" w16cid:durableId="2020698755">
    <w:abstractNumId w:val="31"/>
  </w:num>
  <w:num w:numId="45" w16cid:durableId="1980307741">
    <w:abstractNumId w:val="51"/>
  </w:num>
  <w:num w:numId="46" w16cid:durableId="844325175">
    <w:abstractNumId w:val="27"/>
  </w:num>
  <w:num w:numId="47" w16cid:durableId="931275328">
    <w:abstractNumId w:val="19"/>
  </w:num>
  <w:num w:numId="48" w16cid:durableId="411895540">
    <w:abstractNumId w:val="36"/>
  </w:num>
  <w:num w:numId="49" w16cid:durableId="33701165">
    <w:abstractNumId w:val="33"/>
  </w:num>
  <w:num w:numId="50" w16cid:durableId="769009768">
    <w:abstractNumId w:val="18"/>
  </w:num>
  <w:num w:numId="51" w16cid:durableId="1325089007">
    <w:abstractNumId w:val="55"/>
  </w:num>
  <w:num w:numId="52" w16cid:durableId="1581253769">
    <w:abstractNumId w:val="34"/>
  </w:num>
  <w:num w:numId="53" w16cid:durableId="583689900">
    <w:abstractNumId w:val="49"/>
  </w:num>
  <w:num w:numId="54" w16cid:durableId="398096494">
    <w:abstractNumId w:val="6"/>
  </w:num>
  <w:num w:numId="55" w16cid:durableId="2015186414">
    <w:abstractNumId w:val="50"/>
  </w:num>
  <w:num w:numId="56" w16cid:durableId="1516311022">
    <w:abstractNumId w:val="13"/>
  </w:num>
  <w:num w:numId="57" w16cid:durableId="210654332">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stylePaneSortMethod w:val="0000"/>
  <w:revisionView w:markup="0" w:inkAnnotations="0"/>
  <w:defaultTabStop w:val="720"/>
  <w:autoHyphenation/>
  <w:hyphenationZone w:val="20"/>
  <w:drawingGridHorizontalSpacing w:val="110"/>
  <w:drawingGridVerticalSpacing w:val="299"/>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B1"/>
    <w:rsid w:val="000151C8"/>
    <w:rsid w:val="0003346F"/>
    <w:rsid w:val="00042ED1"/>
    <w:rsid w:val="00043F23"/>
    <w:rsid w:val="0004406D"/>
    <w:rsid w:val="00055475"/>
    <w:rsid w:val="000600D2"/>
    <w:rsid w:val="0006276E"/>
    <w:rsid w:val="000644ED"/>
    <w:rsid w:val="00075850"/>
    <w:rsid w:val="00083B56"/>
    <w:rsid w:val="00084A25"/>
    <w:rsid w:val="000854DB"/>
    <w:rsid w:val="00085D12"/>
    <w:rsid w:val="00087795"/>
    <w:rsid w:val="00095C31"/>
    <w:rsid w:val="000A7A27"/>
    <w:rsid w:val="000C4944"/>
    <w:rsid w:val="000D3504"/>
    <w:rsid w:val="000D5928"/>
    <w:rsid w:val="000E0575"/>
    <w:rsid w:val="000E44F2"/>
    <w:rsid w:val="00102404"/>
    <w:rsid w:val="00107DBF"/>
    <w:rsid w:val="00110AE7"/>
    <w:rsid w:val="001225FD"/>
    <w:rsid w:val="00133E68"/>
    <w:rsid w:val="0013796C"/>
    <w:rsid w:val="00140842"/>
    <w:rsid w:val="00144ED2"/>
    <w:rsid w:val="00147269"/>
    <w:rsid w:val="001627D3"/>
    <w:rsid w:val="00173DE6"/>
    <w:rsid w:val="001771B1"/>
    <w:rsid w:val="0018433B"/>
    <w:rsid w:val="00192237"/>
    <w:rsid w:val="001B0D8E"/>
    <w:rsid w:val="001B2B5D"/>
    <w:rsid w:val="001C646B"/>
    <w:rsid w:val="001D4F27"/>
    <w:rsid w:val="001D6618"/>
    <w:rsid w:val="001D699E"/>
    <w:rsid w:val="001E4053"/>
    <w:rsid w:val="001F2E8F"/>
    <w:rsid w:val="00210178"/>
    <w:rsid w:val="00210E42"/>
    <w:rsid w:val="00212244"/>
    <w:rsid w:val="00214BC2"/>
    <w:rsid w:val="0025166F"/>
    <w:rsid w:val="00270448"/>
    <w:rsid w:val="0027511E"/>
    <w:rsid w:val="00285A08"/>
    <w:rsid w:val="00285A0C"/>
    <w:rsid w:val="00287C31"/>
    <w:rsid w:val="0029762C"/>
    <w:rsid w:val="002E050A"/>
    <w:rsid w:val="002E1F03"/>
    <w:rsid w:val="003108A3"/>
    <w:rsid w:val="00310AB5"/>
    <w:rsid w:val="00325960"/>
    <w:rsid w:val="00331397"/>
    <w:rsid w:val="00333BED"/>
    <w:rsid w:val="003536F8"/>
    <w:rsid w:val="003A3B2E"/>
    <w:rsid w:val="003A7B2C"/>
    <w:rsid w:val="003B6060"/>
    <w:rsid w:val="003D2B60"/>
    <w:rsid w:val="00411C6F"/>
    <w:rsid w:val="004270FC"/>
    <w:rsid w:val="0044607B"/>
    <w:rsid w:val="00457786"/>
    <w:rsid w:val="00476AF6"/>
    <w:rsid w:val="004843D0"/>
    <w:rsid w:val="004B0393"/>
    <w:rsid w:val="004B5D59"/>
    <w:rsid w:val="004C0A93"/>
    <w:rsid w:val="004C4F48"/>
    <w:rsid w:val="004C5E89"/>
    <w:rsid w:val="004D13D2"/>
    <w:rsid w:val="004F5342"/>
    <w:rsid w:val="00500154"/>
    <w:rsid w:val="0050284A"/>
    <w:rsid w:val="00506366"/>
    <w:rsid w:val="00510565"/>
    <w:rsid w:val="0051378A"/>
    <w:rsid w:val="00520B45"/>
    <w:rsid w:val="0052235D"/>
    <w:rsid w:val="00523F00"/>
    <w:rsid w:val="005353D5"/>
    <w:rsid w:val="00541BA8"/>
    <w:rsid w:val="005449D1"/>
    <w:rsid w:val="00551CD3"/>
    <w:rsid w:val="005608B1"/>
    <w:rsid w:val="005724E5"/>
    <w:rsid w:val="00573F48"/>
    <w:rsid w:val="00576E48"/>
    <w:rsid w:val="005B7A2F"/>
    <w:rsid w:val="005B7D7C"/>
    <w:rsid w:val="005C0AF9"/>
    <w:rsid w:val="005C4FAA"/>
    <w:rsid w:val="005D1BF8"/>
    <w:rsid w:val="005F0A8B"/>
    <w:rsid w:val="005F3A98"/>
    <w:rsid w:val="005F74F8"/>
    <w:rsid w:val="00602A9D"/>
    <w:rsid w:val="00605B7E"/>
    <w:rsid w:val="00607DA0"/>
    <w:rsid w:val="00624644"/>
    <w:rsid w:val="00631942"/>
    <w:rsid w:val="006414EC"/>
    <w:rsid w:val="006554F2"/>
    <w:rsid w:val="00657976"/>
    <w:rsid w:val="00671DEF"/>
    <w:rsid w:val="00674828"/>
    <w:rsid w:val="00684741"/>
    <w:rsid w:val="00696680"/>
    <w:rsid w:val="00696C56"/>
    <w:rsid w:val="006A5D16"/>
    <w:rsid w:val="006C54ED"/>
    <w:rsid w:val="006D27DD"/>
    <w:rsid w:val="006D5B8B"/>
    <w:rsid w:val="006D7DF3"/>
    <w:rsid w:val="006E7ABF"/>
    <w:rsid w:val="006F0971"/>
    <w:rsid w:val="006F304D"/>
    <w:rsid w:val="00707588"/>
    <w:rsid w:val="00714629"/>
    <w:rsid w:val="00717091"/>
    <w:rsid w:val="007248E6"/>
    <w:rsid w:val="00727B73"/>
    <w:rsid w:val="00736DDE"/>
    <w:rsid w:val="00750871"/>
    <w:rsid w:val="00750F05"/>
    <w:rsid w:val="00755481"/>
    <w:rsid w:val="00775F3A"/>
    <w:rsid w:val="00775F9B"/>
    <w:rsid w:val="00786ADB"/>
    <w:rsid w:val="007A669A"/>
    <w:rsid w:val="007B5BB5"/>
    <w:rsid w:val="007D18CE"/>
    <w:rsid w:val="007E48DA"/>
    <w:rsid w:val="007E7D87"/>
    <w:rsid w:val="00801AD1"/>
    <w:rsid w:val="00803333"/>
    <w:rsid w:val="0080736C"/>
    <w:rsid w:val="00826EC1"/>
    <w:rsid w:val="00857984"/>
    <w:rsid w:val="008926CD"/>
    <w:rsid w:val="008A0E2A"/>
    <w:rsid w:val="008A186F"/>
    <w:rsid w:val="008A1EF2"/>
    <w:rsid w:val="008A37E2"/>
    <w:rsid w:val="008C5CE4"/>
    <w:rsid w:val="008E5C78"/>
    <w:rsid w:val="008F01C0"/>
    <w:rsid w:val="008F699A"/>
    <w:rsid w:val="00904123"/>
    <w:rsid w:val="00904F9D"/>
    <w:rsid w:val="00920754"/>
    <w:rsid w:val="00925643"/>
    <w:rsid w:val="00925EDB"/>
    <w:rsid w:val="00932477"/>
    <w:rsid w:val="00942A03"/>
    <w:rsid w:val="00961351"/>
    <w:rsid w:val="0096372B"/>
    <w:rsid w:val="0097463B"/>
    <w:rsid w:val="009B22E2"/>
    <w:rsid w:val="009B4621"/>
    <w:rsid w:val="009D5420"/>
    <w:rsid w:val="00A10837"/>
    <w:rsid w:val="00A16EEB"/>
    <w:rsid w:val="00A229C0"/>
    <w:rsid w:val="00A24E6D"/>
    <w:rsid w:val="00A27610"/>
    <w:rsid w:val="00A6768D"/>
    <w:rsid w:val="00A7408B"/>
    <w:rsid w:val="00A84A4B"/>
    <w:rsid w:val="00A93947"/>
    <w:rsid w:val="00AC038F"/>
    <w:rsid w:val="00AF16A2"/>
    <w:rsid w:val="00AF239D"/>
    <w:rsid w:val="00AF59AC"/>
    <w:rsid w:val="00B04D3F"/>
    <w:rsid w:val="00B06EC0"/>
    <w:rsid w:val="00B21EAF"/>
    <w:rsid w:val="00B2337F"/>
    <w:rsid w:val="00B32D1D"/>
    <w:rsid w:val="00B36BAB"/>
    <w:rsid w:val="00B3722B"/>
    <w:rsid w:val="00B40CBB"/>
    <w:rsid w:val="00B422F7"/>
    <w:rsid w:val="00B47A48"/>
    <w:rsid w:val="00B515AA"/>
    <w:rsid w:val="00B64097"/>
    <w:rsid w:val="00B8667C"/>
    <w:rsid w:val="00B91A68"/>
    <w:rsid w:val="00BA346B"/>
    <w:rsid w:val="00BA436B"/>
    <w:rsid w:val="00BB6771"/>
    <w:rsid w:val="00BD14B1"/>
    <w:rsid w:val="00BF538C"/>
    <w:rsid w:val="00BF5F9B"/>
    <w:rsid w:val="00C010B4"/>
    <w:rsid w:val="00C3589F"/>
    <w:rsid w:val="00C433B8"/>
    <w:rsid w:val="00C45D7C"/>
    <w:rsid w:val="00C504D6"/>
    <w:rsid w:val="00C83361"/>
    <w:rsid w:val="00C83F73"/>
    <w:rsid w:val="00CA0334"/>
    <w:rsid w:val="00CA1A30"/>
    <w:rsid w:val="00CC00F9"/>
    <w:rsid w:val="00CC15B2"/>
    <w:rsid w:val="00CE289E"/>
    <w:rsid w:val="00D24C87"/>
    <w:rsid w:val="00D3796C"/>
    <w:rsid w:val="00D42DB3"/>
    <w:rsid w:val="00D4478F"/>
    <w:rsid w:val="00D633C6"/>
    <w:rsid w:val="00D6654F"/>
    <w:rsid w:val="00D77A70"/>
    <w:rsid w:val="00DC00AC"/>
    <w:rsid w:val="00DC3006"/>
    <w:rsid w:val="00DC54B7"/>
    <w:rsid w:val="00DD660F"/>
    <w:rsid w:val="00DE7A2D"/>
    <w:rsid w:val="00DF22B8"/>
    <w:rsid w:val="00DF5811"/>
    <w:rsid w:val="00DF5AE5"/>
    <w:rsid w:val="00E04A26"/>
    <w:rsid w:val="00E20A50"/>
    <w:rsid w:val="00E35B75"/>
    <w:rsid w:val="00E366BA"/>
    <w:rsid w:val="00E45D10"/>
    <w:rsid w:val="00E5413C"/>
    <w:rsid w:val="00E5437D"/>
    <w:rsid w:val="00E565D9"/>
    <w:rsid w:val="00E56A92"/>
    <w:rsid w:val="00E84D02"/>
    <w:rsid w:val="00E91F75"/>
    <w:rsid w:val="00E95268"/>
    <w:rsid w:val="00EA5CC8"/>
    <w:rsid w:val="00EC12E8"/>
    <w:rsid w:val="00EC21B6"/>
    <w:rsid w:val="00ED108C"/>
    <w:rsid w:val="00ED2805"/>
    <w:rsid w:val="00ED622B"/>
    <w:rsid w:val="00EE7E23"/>
    <w:rsid w:val="00EF10DB"/>
    <w:rsid w:val="00EF28B7"/>
    <w:rsid w:val="00F027E3"/>
    <w:rsid w:val="00F10440"/>
    <w:rsid w:val="00F33A7A"/>
    <w:rsid w:val="00F411B2"/>
    <w:rsid w:val="00F46BE8"/>
    <w:rsid w:val="00F6572D"/>
    <w:rsid w:val="00F65EAB"/>
    <w:rsid w:val="00F67A55"/>
    <w:rsid w:val="00F806E0"/>
    <w:rsid w:val="00F869DF"/>
    <w:rsid w:val="00F86BF3"/>
    <w:rsid w:val="00FA7941"/>
    <w:rsid w:val="00FB261A"/>
    <w:rsid w:val="00FB5E59"/>
    <w:rsid w:val="00FB65C1"/>
    <w:rsid w:val="00FC0F82"/>
    <w:rsid w:val="00FC13F8"/>
    <w:rsid w:val="00FE5E13"/>
    <w:rsid w:val="00FF4E44"/>
    <w:rsid w:val="00FF6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66839"/>
  <w15:docId w15:val="{DD69067F-D6D2-43C9-B072-0D77E3CF0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qFormat="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D3F"/>
  </w:style>
  <w:style w:type="paragraph" w:styleId="Heading1">
    <w:name w:val="heading 1"/>
    <w:basedOn w:val="Normal"/>
    <w:next w:val="Normal"/>
    <w:link w:val="Heading1Char"/>
    <w:autoRedefine/>
    <w:uiPriority w:val="9"/>
    <w:qFormat/>
    <w:rsid w:val="00857984"/>
    <w:pPr>
      <w:keepNext/>
      <w:keepLines/>
      <w:contextualSpacing/>
      <w:jc w:val="center"/>
      <w:outlineLvl w:val="0"/>
    </w:pPr>
    <w:rPr>
      <w:rFonts w:eastAsiaTheme="majorEastAsia" w:cstheme="majorBidi"/>
      <w:caps/>
      <w:szCs w:val="32"/>
    </w:rPr>
  </w:style>
  <w:style w:type="paragraph" w:styleId="Heading2">
    <w:name w:val="heading 2"/>
    <w:basedOn w:val="Normal"/>
    <w:next w:val="Normal"/>
    <w:link w:val="Heading2Char"/>
    <w:autoRedefine/>
    <w:uiPriority w:val="9"/>
    <w:qFormat/>
    <w:rsid w:val="00857984"/>
    <w:pPr>
      <w:contextualSpacing/>
      <w:jc w:val="center"/>
      <w:outlineLvl w:val="1"/>
    </w:pPr>
    <w:rPr>
      <w:rFonts w:eastAsia="PMingLiU"/>
    </w:rPr>
  </w:style>
  <w:style w:type="paragraph" w:styleId="Heading3">
    <w:name w:val="heading 3"/>
    <w:basedOn w:val="Normal"/>
    <w:next w:val="Normal"/>
    <w:link w:val="Heading3Char"/>
    <w:autoRedefine/>
    <w:uiPriority w:val="9"/>
    <w:qFormat/>
    <w:rsid w:val="008F699A"/>
    <w:pPr>
      <w:keepNext/>
      <w:keepLines/>
      <w:contextualSpacing/>
      <w:outlineLvl w:val="2"/>
    </w:pPr>
    <w:rPr>
      <w:rFonts w:eastAsiaTheme="majorEastAsia" w:cstheme="majorBidi"/>
      <w:snapToGrid w:val="0"/>
    </w:rPr>
  </w:style>
  <w:style w:type="paragraph" w:styleId="Heading4">
    <w:name w:val="heading 4"/>
    <w:basedOn w:val="Normal"/>
    <w:next w:val="Normal"/>
    <w:link w:val="Heading4Char"/>
    <w:uiPriority w:val="9"/>
    <w:qFormat/>
    <w:rsid w:val="0032596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qFormat/>
    <w:rsid w:val="0032596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F01C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F01C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73DE6"/>
    <w:pPr>
      <w:outlineLvl w:val="7"/>
    </w:pPr>
    <w:rPr>
      <w:rFonts w:asciiTheme="majorHAnsi" w:eastAsiaTheme="majorEastAsia" w:hAnsiTheme="majorHAnsi" w:cstheme="majorBidi"/>
      <w:sz w:val="20"/>
      <w:szCs w:val="20"/>
      <w14:ligatures w14:val="standardContextual"/>
    </w:rPr>
  </w:style>
  <w:style w:type="paragraph" w:styleId="Heading9">
    <w:name w:val="heading 9"/>
    <w:basedOn w:val="Normal"/>
    <w:next w:val="Normal"/>
    <w:link w:val="Heading9Char"/>
    <w:uiPriority w:val="9"/>
    <w:semiHidden/>
    <w:unhideWhenUsed/>
    <w:qFormat/>
    <w:rsid w:val="00173DE6"/>
    <w:pPr>
      <w:outlineLvl w:val="8"/>
    </w:pPr>
    <w:rPr>
      <w:rFonts w:asciiTheme="majorHAnsi" w:eastAsiaTheme="majorEastAsia" w:hAnsiTheme="majorHAnsi" w:cstheme="majorBidi"/>
      <w:i/>
      <w:iCs/>
      <w:spacing w:val="5"/>
      <w:sz w:val="20"/>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984"/>
    <w:rPr>
      <w:rFonts w:eastAsiaTheme="majorEastAsia" w:cstheme="majorBidi"/>
      <w:caps/>
      <w:szCs w:val="32"/>
    </w:rPr>
  </w:style>
  <w:style w:type="paragraph" w:customStyle="1" w:styleId="doubleindent">
    <w:name w:val="double indent"/>
    <w:basedOn w:val="Normal"/>
    <w:next w:val="Normal"/>
    <w:uiPriority w:val="4"/>
    <w:rsid w:val="00325960"/>
    <w:pPr>
      <w:ind w:left="1440" w:right="720" w:hanging="720"/>
    </w:pPr>
  </w:style>
  <w:style w:type="paragraph" w:customStyle="1" w:styleId="temp">
    <w:name w:val="temp"/>
    <w:basedOn w:val="Normal"/>
    <w:rsid w:val="00925EDB"/>
    <w:pPr>
      <w:tabs>
        <w:tab w:val="left" w:pos="360"/>
        <w:tab w:val="left" w:pos="720"/>
      </w:tabs>
      <w:ind w:left="1080" w:hanging="1080"/>
    </w:pPr>
  </w:style>
  <w:style w:type="character" w:customStyle="1" w:styleId="Heading2Char">
    <w:name w:val="Heading 2 Char"/>
    <w:basedOn w:val="DefaultParagraphFont"/>
    <w:link w:val="Heading2"/>
    <w:uiPriority w:val="9"/>
    <w:rsid w:val="00857984"/>
    <w:rPr>
      <w:rFonts w:eastAsia="PMingLiU"/>
    </w:rPr>
  </w:style>
  <w:style w:type="character" w:customStyle="1" w:styleId="Heading5Char">
    <w:name w:val="Heading 5 Char"/>
    <w:basedOn w:val="DefaultParagraphFont"/>
    <w:link w:val="Heading5"/>
    <w:uiPriority w:val="9"/>
    <w:rsid w:val="00325960"/>
    <w:rPr>
      <w:rFonts w:asciiTheme="majorHAnsi" w:eastAsiaTheme="majorEastAsia" w:hAnsiTheme="majorHAnsi" w:cstheme="majorBidi"/>
      <w:color w:val="365F91" w:themeColor="accent1" w:themeShade="BF"/>
      <w:kern w:val="16"/>
      <w:sz w:val="24"/>
      <w:szCs w:val="24"/>
      <w:lang w:bidi="he-IL"/>
    </w:rPr>
  </w:style>
  <w:style w:type="character" w:customStyle="1" w:styleId="Heading6Char">
    <w:name w:val="Heading 6 Char"/>
    <w:basedOn w:val="DefaultParagraphFont"/>
    <w:link w:val="Heading6"/>
    <w:uiPriority w:val="9"/>
    <w:semiHidden/>
    <w:rsid w:val="008F01C0"/>
    <w:rPr>
      <w:rFonts w:asciiTheme="majorHAnsi" w:eastAsiaTheme="majorEastAsia" w:hAnsiTheme="majorHAnsi" w:cstheme="majorBidi"/>
      <w:color w:val="243F60" w:themeColor="accent1" w:themeShade="7F"/>
      <w:kern w:val="16"/>
      <w:sz w:val="24"/>
      <w:szCs w:val="24"/>
      <w:lang w:bidi="he-IL"/>
    </w:rPr>
  </w:style>
  <w:style w:type="character" w:customStyle="1" w:styleId="Heading7Char">
    <w:name w:val="Heading 7 Char"/>
    <w:basedOn w:val="DefaultParagraphFont"/>
    <w:link w:val="Heading7"/>
    <w:uiPriority w:val="9"/>
    <w:semiHidden/>
    <w:rsid w:val="008F01C0"/>
    <w:rPr>
      <w:rFonts w:asciiTheme="majorHAnsi" w:eastAsiaTheme="majorEastAsia" w:hAnsiTheme="majorHAnsi" w:cstheme="majorBidi"/>
      <w:i/>
      <w:iCs/>
      <w:color w:val="243F60" w:themeColor="accent1" w:themeShade="7F"/>
      <w:kern w:val="16"/>
      <w:sz w:val="24"/>
      <w:szCs w:val="24"/>
      <w:lang w:bidi="he-IL"/>
    </w:rPr>
  </w:style>
  <w:style w:type="paragraph" w:styleId="FootnoteText">
    <w:name w:val="footnote text"/>
    <w:basedOn w:val="Normal"/>
    <w:link w:val="FootnoteTextChar"/>
    <w:autoRedefine/>
    <w:uiPriority w:val="99"/>
    <w:qFormat/>
    <w:rsid w:val="00573F48"/>
    <w:pPr>
      <w:contextualSpacing/>
    </w:pPr>
  </w:style>
  <w:style w:type="character" w:customStyle="1" w:styleId="FootnoteTextChar">
    <w:name w:val="Footnote Text Char"/>
    <w:basedOn w:val="DefaultParagraphFont"/>
    <w:link w:val="FootnoteText"/>
    <w:uiPriority w:val="99"/>
    <w:rsid w:val="00573F48"/>
  </w:style>
  <w:style w:type="paragraph" w:styleId="Header">
    <w:name w:val="header"/>
    <w:basedOn w:val="Normal"/>
    <w:next w:val="Normal"/>
    <w:link w:val="HeaderChar"/>
    <w:uiPriority w:val="99"/>
    <w:rsid w:val="008F01C0"/>
    <w:pPr>
      <w:tabs>
        <w:tab w:val="right" w:pos="4680"/>
        <w:tab w:val="right" w:pos="9360"/>
      </w:tabs>
    </w:pPr>
  </w:style>
  <w:style w:type="character" w:customStyle="1" w:styleId="HeaderChar">
    <w:name w:val="Header Char"/>
    <w:basedOn w:val="DefaultParagraphFont"/>
    <w:link w:val="Header"/>
    <w:uiPriority w:val="99"/>
    <w:rsid w:val="008F01C0"/>
    <w:rPr>
      <w:rFonts w:eastAsia="Times New Roman"/>
      <w:color w:val="000000"/>
      <w:kern w:val="16"/>
      <w:sz w:val="24"/>
      <w:szCs w:val="24"/>
      <w:lang w:bidi="he-IL"/>
    </w:rPr>
  </w:style>
  <w:style w:type="paragraph" w:styleId="Footer">
    <w:name w:val="footer"/>
    <w:basedOn w:val="Normal"/>
    <w:link w:val="FooterChar"/>
    <w:uiPriority w:val="99"/>
    <w:unhideWhenUsed/>
    <w:rsid w:val="00325960"/>
    <w:pPr>
      <w:tabs>
        <w:tab w:val="center" w:pos="4680"/>
        <w:tab w:val="right" w:pos="9360"/>
      </w:tabs>
    </w:pPr>
  </w:style>
  <w:style w:type="character" w:customStyle="1" w:styleId="FooterChar">
    <w:name w:val="Footer Char"/>
    <w:basedOn w:val="DefaultParagraphFont"/>
    <w:link w:val="Footer"/>
    <w:uiPriority w:val="99"/>
    <w:rsid w:val="00325960"/>
    <w:rPr>
      <w:rFonts w:eastAsia="Times New Roman"/>
      <w:color w:val="000000"/>
      <w:kern w:val="16"/>
      <w:sz w:val="24"/>
      <w:szCs w:val="24"/>
      <w:lang w:bidi="he-IL"/>
    </w:rPr>
  </w:style>
  <w:style w:type="character" w:styleId="PageNumber">
    <w:name w:val="page number"/>
    <w:basedOn w:val="DefaultParagraphFont"/>
    <w:uiPriority w:val="99"/>
    <w:semiHidden/>
    <w:unhideWhenUsed/>
    <w:rsid w:val="008F01C0"/>
  </w:style>
  <w:style w:type="paragraph" w:styleId="Title">
    <w:name w:val="Title"/>
    <w:basedOn w:val="Normal"/>
    <w:link w:val="TitleChar"/>
    <w:uiPriority w:val="10"/>
    <w:qFormat/>
    <w:rsid w:val="0032596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960"/>
    <w:rPr>
      <w:rFonts w:asciiTheme="majorHAnsi" w:eastAsiaTheme="majorEastAsia" w:hAnsiTheme="majorHAnsi" w:cstheme="majorBidi"/>
      <w:spacing w:val="-10"/>
      <w:kern w:val="28"/>
      <w:sz w:val="56"/>
      <w:szCs w:val="56"/>
      <w:lang w:bidi="he-IL"/>
    </w:rPr>
  </w:style>
  <w:style w:type="paragraph" w:styleId="BodyText">
    <w:name w:val="Body Text"/>
    <w:basedOn w:val="Normal"/>
    <w:link w:val="BodyTextChar"/>
    <w:uiPriority w:val="99"/>
    <w:semiHidden/>
    <w:unhideWhenUsed/>
    <w:rsid w:val="008F01C0"/>
    <w:pPr>
      <w:spacing w:after="120"/>
    </w:pPr>
  </w:style>
  <w:style w:type="character" w:customStyle="1" w:styleId="BodyTextChar">
    <w:name w:val="Body Text Char"/>
    <w:basedOn w:val="DefaultParagraphFont"/>
    <w:link w:val="BodyText"/>
    <w:uiPriority w:val="99"/>
    <w:semiHidden/>
    <w:rsid w:val="008F01C0"/>
    <w:rPr>
      <w:rFonts w:eastAsia="Times New Roman"/>
      <w:color w:val="000000"/>
      <w:kern w:val="16"/>
      <w:sz w:val="24"/>
      <w:szCs w:val="24"/>
      <w:lang w:bidi="he-IL"/>
    </w:rPr>
  </w:style>
  <w:style w:type="paragraph" w:styleId="BodyTextIndent">
    <w:name w:val="Body Text Indent"/>
    <w:basedOn w:val="Normal"/>
    <w:link w:val="BodyTextIndentChar"/>
    <w:uiPriority w:val="99"/>
    <w:semiHidden/>
    <w:unhideWhenUsed/>
    <w:rsid w:val="008F01C0"/>
    <w:pPr>
      <w:spacing w:after="120"/>
      <w:ind w:left="360"/>
    </w:pPr>
  </w:style>
  <w:style w:type="character" w:customStyle="1" w:styleId="BodyTextIndentChar">
    <w:name w:val="Body Text Indent Char"/>
    <w:basedOn w:val="DefaultParagraphFont"/>
    <w:link w:val="BodyTextIndent"/>
    <w:uiPriority w:val="99"/>
    <w:semiHidden/>
    <w:rsid w:val="008F01C0"/>
    <w:rPr>
      <w:rFonts w:eastAsia="Times New Roman"/>
      <w:color w:val="000000"/>
      <w:kern w:val="16"/>
      <w:sz w:val="24"/>
      <w:szCs w:val="24"/>
      <w:lang w:bidi="he-IL"/>
    </w:rPr>
  </w:style>
  <w:style w:type="paragraph" w:styleId="BodyTextIndent2">
    <w:name w:val="Body Text Indent 2"/>
    <w:basedOn w:val="Normal"/>
    <w:link w:val="BodyTextIndent2Char"/>
    <w:uiPriority w:val="99"/>
    <w:semiHidden/>
    <w:unhideWhenUsed/>
    <w:rsid w:val="008F01C0"/>
    <w:pPr>
      <w:spacing w:after="120" w:line="480" w:lineRule="auto"/>
      <w:ind w:left="360"/>
    </w:pPr>
  </w:style>
  <w:style w:type="character" w:customStyle="1" w:styleId="BodyTextIndent2Char">
    <w:name w:val="Body Text Indent 2 Char"/>
    <w:basedOn w:val="DefaultParagraphFont"/>
    <w:link w:val="BodyTextIndent2"/>
    <w:uiPriority w:val="99"/>
    <w:semiHidden/>
    <w:rsid w:val="008F01C0"/>
    <w:rPr>
      <w:rFonts w:eastAsia="Times New Roman"/>
      <w:color w:val="000000"/>
      <w:kern w:val="16"/>
      <w:sz w:val="24"/>
      <w:szCs w:val="24"/>
      <w:lang w:bidi="he-IL"/>
    </w:rPr>
  </w:style>
  <w:style w:type="paragraph" w:styleId="BodyTextIndent3">
    <w:name w:val="Body Text Indent 3"/>
    <w:basedOn w:val="Normal"/>
    <w:link w:val="BodyTextIndent3Char"/>
    <w:uiPriority w:val="99"/>
    <w:semiHidden/>
    <w:unhideWhenUsed/>
    <w:rsid w:val="008F01C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F01C0"/>
    <w:rPr>
      <w:rFonts w:eastAsia="Times New Roman"/>
      <w:color w:val="000000"/>
      <w:kern w:val="16"/>
      <w:sz w:val="16"/>
      <w:szCs w:val="16"/>
      <w:lang w:bidi="he-IL"/>
    </w:rPr>
  </w:style>
  <w:style w:type="table" w:styleId="TableGrid1">
    <w:name w:val="Table Grid 1"/>
    <w:basedOn w:val="TableNormal"/>
    <w:uiPriority w:val="99"/>
    <w:semiHidden/>
    <w:unhideWhenUsed/>
    <w:rsid w:val="00925ED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925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F699A"/>
    <w:rPr>
      <w:rFonts w:eastAsiaTheme="majorEastAsia" w:cstheme="majorBidi"/>
      <w:snapToGrid w:val="0"/>
    </w:rPr>
  </w:style>
  <w:style w:type="character" w:customStyle="1" w:styleId="Heading4Char">
    <w:name w:val="Heading 4 Char"/>
    <w:basedOn w:val="DefaultParagraphFont"/>
    <w:link w:val="Heading4"/>
    <w:uiPriority w:val="9"/>
    <w:rsid w:val="00325960"/>
    <w:rPr>
      <w:rFonts w:asciiTheme="majorHAnsi" w:eastAsiaTheme="majorEastAsia" w:hAnsiTheme="majorHAnsi" w:cstheme="majorBidi"/>
      <w:i/>
      <w:iCs/>
      <w:color w:val="365F91" w:themeColor="accent1" w:themeShade="BF"/>
      <w:kern w:val="16"/>
      <w:sz w:val="24"/>
      <w:szCs w:val="24"/>
      <w:lang w:bidi="he-IL"/>
    </w:rPr>
  </w:style>
  <w:style w:type="character" w:styleId="FootnoteReference">
    <w:name w:val="footnote reference"/>
    <w:basedOn w:val="DefaultParagraphFont"/>
    <w:uiPriority w:val="99"/>
    <w:rsid w:val="008F01C0"/>
    <w:rPr>
      <w:vertAlign w:val="superscript"/>
    </w:rPr>
  </w:style>
  <w:style w:type="paragraph" w:styleId="NormalWeb">
    <w:name w:val="Normal (Web)"/>
    <w:basedOn w:val="Normal"/>
    <w:uiPriority w:val="99"/>
    <w:unhideWhenUsed/>
    <w:rsid w:val="008F01C0"/>
  </w:style>
  <w:style w:type="paragraph" w:customStyle="1" w:styleId="Level1">
    <w:name w:val="Level 1"/>
    <w:basedOn w:val="Normal"/>
    <w:uiPriority w:val="4"/>
    <w:rsid w:val="00325960"/>
    <w:pPr>
      <w:widowControl w:val="0"/>
      <w:numPr>
        <w:numId w:val="1"/>
      </w:numPr>
      <w:jc w:val="left"/>
      <w:outlineLvl w:val="0"/>
    </w:pPr>
    <w:rPr>
      <w:snapToGrid w:val="0"/>
    </w:rPr>
  </w:style>
  <w:style w:type="paragraph" w:styleId="TOC1">
    <w:name w:val="toc 1"/>
    <w:basedOn w:val="Normal"/>
    <w:next w:val="Normal"/>
    <w:autoRedefine/>
    <w:uiPriority w:val="39"/>
    <w:rsid w:val="00B8667C"/>
    <w:pPr>
      <w:tabs>
        <w:tab w:val="right" w:leader="dot" w:pos="9350"/>
      </w:tabs>
      <w:spacing w:before="240"/>
    </w:pPr>
  </w:style>
  <w:style w:type="paragraph" w:customStyle="1" w:styleId="hangingindent">
    <w:name w:val="hanging indent"/>
    <w:basedOn w:val="Normal"/>
    <w:uiPriority w:val="4"/>
    <w:rsid w:val="00325960"/>
    <w:pPr>
      <w:ind w:left="720" w:hanging="720"/>
    </w:pPr>
  </w:style>
  <w:style w:type="paragraph" w:customStyle="1" w:styleId="Closing1">
    <w:name w:val="Closing1"/>
    <w:aliases w:val="justify left at center"/>
    <w:basedOn w:val="Normal"/>
    <w:next w:val="Normal"/>
    <w:uiPriority w:val="4"/>
    <w:rsid w:val="00325960"/>
    <w:pPr>
      <w:ind w:left="4680"/>
    </w:pPr>
  </w:style>
  <w:style w:type="paragraph" w:customStyle="1" w:styleId="head1">
    <w:name w:val="head 1"/>
    <w:basedOn w:val="Normal"/>
    <w:next w:val="Normal"/>
    <w:uiPriority w:val="4"/>
    <w:rsid w:val="00325960"/>
    <w:pPr>
      <w:jc w:val="center"/>
      <w:outlineLvl w:val="0"/>
    </w:pPr>
    <w:rPr>
      <w:rFonts w:ascii="Garamond" w:hAnsi="Garamond"/>
      <w:caps/>
      <w:sz w:val="36"/>
      <w:szCs w:val="36"/>
    </w:rPr>
  </w:style>
  <w:style w:type="paragraph" w:customStyle="1" w:styleId="head2">
    <w:name w:val="head 2"/>
    <w:basedOn w:val="Normal"/>
    <w:next w:val="Normal"/>
    <w:uiPriority w:val="4"/>
    <w:rsid w:val="00325960"/>
    <w:pPr>
      <w:jc w:val="center"/>
      <w:outlineLvl w:val="1"/>
    </w:pPr>
    <w:rPr>
      <w:caps/>
    </w:rPr>
  </w:style>
  <w:style w:type="paragraph" w:customStyle="1" w:styleId="head3">
    <w:name w:val="head 3"/>
    <w:basedOn w:val="Normal"/>
    <w:next w:val="Normal"/>
    <w:uiPriority w:val="4"/>
    <w:rsid w:val="00325960"/>
    <w:pPr>
      <w:outlineLvl w:val="2"/>
    </w:pPr>
  </w:style>
  <w:style w:type="paragraph" w:customStyle="1" w:styleId="blockquotation">
    <w:name w:val="block quotation"/>
    <w:basedOn w:val="Normal"/>
    <w:next w:val="Normal"/>
    <w:uiPriority w:val="4"/>
    <w:rsid w:val="00325960"/>
    <w:pPr>
      <w:ind w:left="720" w:right="720"/>
    </w:pPr>
  </w:style>
  <w:style w:type="paragraph" w:customStyle="1" w:styleId="head4">
    <w:name w:val="head 4"/>
    <w:basedOn w:val="Normal"/>
    <w:next w:val="Normal"/>
    <w:uiPriority w:val="4"/>
    <w:rsid w:val="00325960"/>
    <w:pPr>
      <w:outlineLvl w:val="3"/>
    </w:pPr>
  </w:style>
  <w:style w:type="paragraph" w:customStyle="1" w:styleId="Level2">
    <w:name w:val="Level 2"/>
    <w:basedOn w:val="Normal"/>
    <w:uiPriority w:val="4"/>
    <w:rsid w:val="00325960"/>
    <w:pPr>
      <w:widowControl w:val="0"/>
      <w:numPr>
        <w:ilvl w:val="1"/>
        <w:numId w:val="1"/>
      </w:numPr>
      <w:jc w:val="left"/>
      <w:outlineLvl w:val="1"/>
    </w:pPr>
    <w:rPr>
      <w:snapToGrid w:val="0"/>
    </w:rPr>
  </w:style>
  <w:style w:type="paragraph" w:customStyle="1" w:styleId="Level3">
    <w:name w:val="Level 3"/>
    <w:basedOn w:val="Normal"/>
    <w:uiPriority w:val="4"/>
    <w:rsid w:val="00325960"/>
    <w:pPr>
      <w:widowControl w:val="0"/>
      <w:numPr>
        <w:ilvl w:val="2"/>
        <w:numId w:val="1"/>
      </w:numPr>
      <w:jc w:val="left"/>
      <w:outlineLvl w:val="2"/>
    </w:pPr>
    <w:rPr>
      <w:snapToGrid w:val="0"/>
    </w:rPr>
  </w:style>
  <w:style w:type="paragraph" w:customStyle="1" w:styleId="Level4">
    <w:name w:val="Level 4"/>
    <w:basedOn w:val="Normal"/>
    <w:uiPriority w:val="4"/>
    <w:rsid w:val="00325960"/>
    <w:pPr>
      <w:widowControl w:val="0"/>
      <w:numPr>
        <w:ilvl w:val="3"/>
        <w:numId w:val="1"/>
      </w:numPr>
      <w:jc w:val="left"/>
      <w:outlineLvl w:val="3"/>
    </w:pPr>
    <w:rPr>
      <w:snapToGrid w:val="0"/>
    </w:rPr>
  </w:style>
  <w:style w:type="paragraph" w:customStyle="1" w:styleId="Level5">
    <w:name w:val="Level 5"/>
    <w:basedOn w:val="Normal"/>
    <w:uiPriority w:val="4"/>
    <w:rsid w:val="00325960"/>
    <w:pPr>
      <w:widowControl w:val="0"/>
      <w:numPr>
        <w:ilvl w:val="4"/>
        <w:numId w:val="1"/>
      </w:numPr>
      <w:jc w:val="left"/>
      <w:outlineLvl w:val="4"/>
    </w:pPr>
    <w:rPr>
      <w:snapToGrid w:val="0"/>
    </w:rPr>
  </w:style>
  <w:style w:type="paragraph" w:customStyle="1" w:styleId="Level6">
    <w:name w:val="Level 6"/>
    <w:basedOn w:val="Normal"/>
    <w:uiPriority w:val="4"/>
    <w:rsid w:val="00325960"/>
    <w:pPr>
      <w:widowControl w:val="0"/>
      <w:numPr>
        <w:ilvl w:val="5"/>
        <w:numId w:val="1"/>
      </w:numPr>
      <w:jc w:val="left"/>
      <w:outlineLvl w:val="5"/>
    </w:pPr>
    <w:rPr>
      <w:snapToGrid w:val="0"/>
    </w:rPr>
  </w:style>
  <w:style w:type="paragraph" w:customStyle="1" w:styleId="Level7">
    <w:name w:val="Level 7"/>
    <w:basedOn w:val="Normal"/>
    <w:uiPriority w:val="4"/>
    <w:rsid w:val="00325960"/>
    <w:pPr>
      <w:widowControl w:val="0"/>
      <w:numPr>
        <w:ilvl w:val="6"/>
        <w:numId w:val="1"/>
      </w:numPr>
      <w:jc w:val="left"/>
      <w:outlineLvl w:val="6"/>
    </w:pPr>
    <w:rPr>
      <w:snapToGrid w:val="0"/>
    </w:rPr>
  </w:style>
  <w:style w:type="paragraph" w:styleId="TOC2">
    <w:name w:val="toc 2"/>
    <w:basedOn w:val="Normal"/>
    <w:next w:val="Normal"/>
    <w:autoRedefine/>
    <w:uiPriority w:val="39"/>
    <w:rsid w:val="00325960"/>
    <w:pPr>
      <w:ind w:left="245"/>
      <w:contextualSpacing/>
    </w:pPr>
  </w:style>
  <w:style w:type="paragraph" w:styleId="TOC3">
    <w:name w:val="toc 3"/>
    <w:basedOn w:val="Normal"/>
    <w:next w:val="Normal"/>
    <w:autoRedefine/>
    <w:uiPriority w:val="39"/>
    <w:qFormat/>
    <w:rsid w:val="00325960"/>
    <w:pPr>
      <w:ind w:left="475"/>
      <w:contextualSpacing/>
    </w:pPr>
  </w:style>
  <w:style w:type="paragraph" w:styleId="TOC4">
    <w:name w:val="toc 4"/>
    <w:basedOn w:val="Normal"/>
    <w:next w:val="Normal"/>
    <w:autoRedefine/>
    <w:uiPriority w:val="39"/>
    <w:qFormat/>
    <w:rsid w:val="00325960"/>
    <w:pPr>
      <w:spacing w:after="100"/>
      <w:ind w:left="720"/>
    </w:pPr>
  </w:style>
  <w:style w:type="paragraph" w:styleId="TOC5">
    <w:name w:val="toc 5"/>
    <w:basedOn w:val="Normal"/>
    <w:next w:val="Normal"/>
    <w:autoRedefine/>
    <w:uiPriority w:val="39"/>
    <w:qFormat/>
    <w:rsid w:val="00325960"/>
    <w:pPr>
      <w:ind w:left="965"/>
      <w:contextualSpacing/>
    </w:pPr>
  </w:style>
  <w:style w:type="paragraph" w:customStyle="1" w:styleId="Style">
    <w:name w:val="Style"/>
    <w:rsid w:val="0018433B"/>
    <w:pPr>
      <w:widowControl w:val="0"/>
      <w:autoSpaceDE w:val="0"/>
      <w:autoSpaceDN w:val="0"/>
      <w:adjustRightInd w:val="0"/>
      <w:jc w:val="left"/>
    </w:pPr>
    <w:rPr>
      <w:rFonts w:eastAsiaTheme="minorEastAsia"/>
      <w:kern w:val="0"/>
      <w:lang w:eastAsia="zh-CN"/>
    </w:rPr>
  </w:style>
  <w:style w:type="paragraph" w:customStyle="1" w:styleId="Level8">
    <w:name w:val="Level 8"/>
    <w:basedOn w:val="Normal"/>
    <w:rsid w:val="0018433B"/>
    <w:pPr>
      <w:widowControl w:val="0"/>
      <w:jc w:val="left"/>
    </w:pPr>
    <w:rPr>
      <w:rFonts w:eastAsia="Times New Roman"/>
      <w:kern w:val="0"/>
      <w:lang w:bidi="he-IL"/>
    </w:rPr>
  </w:style>
  <w:style w:type="paragraph" w:customStyle="1" w:styleId="Level9">
    <w:name w:val="Level 9"/>
    <w:basedOn w:val="Normal"/>
    <w:rsid w:val="0018433B"/>
    <w:pPr>
      <w:widowControl w:val="0"/>
      <w:jc w:val="left"/>
    </w:pPr>
    <w:rPr>
      <w:rFonts w:eastAsia="Times New Roman"/>
      <w:b/>
      <w:bCs/>
      <w:kern w:val="0"/>
      <w:lang w:bidi="he-IL"/>
    </w:rPr>
  </w:style>
  <w:style w:type="paragraph" w:styleId="ListParagraph">
    <w:name w:val="List Paragraph"/>
    <w:basedOn w:val="Normal"/>
    <w:uiPriority w:val="34"/>
    <w:qFormat/>
    <w:rsid w:val="0018433B"/>
    <w:pPr>
      <w:ind w:left="720"/>
      <w:contextualSpacing/>
      <w:jc w:val="left"/>
    </w:pPr>
    <w:rPr>
      <w:rFonts w:eastAsia="Times New Roman"/>
      <w:kern w:val="0"/>
      <w:lang w:bidi="he-IL"/>
    </w:rPr>
  </w:style>
  <w:style w:type="paragraph" w:styleId="BalloonText">
    <w:name w:val="Balloon Text"/>
    <w:basedOn w:val="Normal"/>
    <w:link w:val="BalloonTextChar"/>
    <w:uiPriority w:val="99"/>
    <w:unhideWhenUsed/>
    <w:rsid w:val="0018433B"/>
    <w:pPr>
      <w:widowControl w:val="0"/>
      <w:autoSpaceDE w:val="0"/>
      <w:autoSpaceDN w:val="0"/>
      <w:adjustRightInd w:val="0"/>
      <w:jc w:val="left"/>
    </w:pPr>
    <w:rPr>
      <w:rFonts w:ascii="Tahoma" w:eastAsiaTheme="minorEastAsia" w:hAnsi="Tahoma" w:cs="Tahoma"/>
      <w:kern w:val="0"/>
      <w:sz w:val="16"/>
      <w:szCs w:val="16"/>
    </w:rPr>
  </w:style>
  <w:style w:type="character" w:customStyle="1" w:styleId="BalloonTextChar">
    <w:name w:val="Balloon Text Char"/>
    <w:basedOn w:val="DefaultParagraphFont"/>
    <w:link w:val="BalloonText"/>
    <w:uiPriority w:val="99"/>
    <w:rsid w:val="0018433B"/>
    <w:rPr>
      <w:rFonts w:ascii="Tahoma" w:eastAsiaTheme="minorEastAsia" w:hAnsi="Tahoma" w:cs="Tahoma"/>
      <w:kern w:val="0"/>
      <w:sz w:val="16"/>
      <w:szCs w:val="16"/>
    </w:rPr>
  </w:style>
  <w:style w:type="character" w:customStyle="1" w:styleId="itempublisher">
    <w:name w:val="itempublisher"/>
    <w:basedOn w:val="DefaultParagraphFont"/>
    <w:rsid w:val="0018433B"/>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8Char">
    <w:name w:val="Heading 8 Char"/>
    <w:basedOn w:val="DefaultParagraphFont"/>
    <w:link w:val="Heading8"/>
    <w:uiPriority w:val="9"/>
    <w:semiHidden/>
    <w:rsid w:val="00173DE6"/>
    <w:rPr>
      <w:rFonts w:asciiTheme="majorHAnsi" w:eastAsiaTheme="majorEastAsia" w:hAnsiTheme="majorHAnsi" w:cstheme="majorBidi"/>
      <w:sz w:val="20"/>
      <w:szCs w:val="20"/>
      <w14:ligatures w14:val="standardContextual"/>
    </w:rPr>
  </w:style>
  <w:style w:type="character" w:customStyle="1" w:styleId="Heading9Char">
    <w:name w:val="Heading 9 Char"/>
    <w:basedOn w:val="DefaultParagraphFont"/>
    <w:link w:val="Heading9"/>
    <w:uiPriority w:val="9"/>
    <w:semiHidden/>
    <w:rsid w:val="00173DE6"/>
    <w:rPr>
      <w:rFonts w:asciiTheme="majorHAnsi" w:eastAsiaTheme="majorEastAsia" w:hAnsiTheme="majorHAnsi" w:cstheme="majorBidi"/>
      <w:i/>
      <w:iCs/>
      <w:spacing w:val="5"/>
      <w:sz w:val="20"/>
      <w:szCs w:val="20"/>
      <w14:ligatures w14:val="standardContextual"/>
    </w:rPr>
  </w:style>
  <w:style w:type="paragraph" w:customStyle="1" w:styleId="TextBox">
    <w:name w:val="TextBox"/>
    <w:basedOn w:val="Normal"/>
    <w:next w:val="Normal"/>
    <w:link w:val="TextBoxChar"/>
    <w:rsid w:val="00173DE6"/>
    <w:pPr>
      <w:spacing w:before="240" w:after="240"/>
    </w:pPr>
    <w:rPr>
      <w14:ligatures w14:val="standardContextual"/>
    </w:rPr>
  </w:style>
  <w:style w:type="character" w:customStyle="1" w:styleId="TextBoxChar">
    <w:name w:val="TextBox Char"/>
    <w:basedOn w:val="DefaultParagraphFont"/>
    <w:link w:val="TextBox"/>
    <w:rsid w:val="00173DE6"/>
    <w:rPr>
      <w14:ligatures w14:val="standardContextual"/>
    </w:rPr>
  </w:style>
  <w:style w:type="table" w:customStyle="1" w:styleId="cleanbooktable">
    <w:name w:val="clean book table"/>
    <w:basedOn w:val="TableNormal"/>
    <w:uiPriority w:val="99"/>
    <w:qFormat/>
    <w:rsid w:val="00173DE6"/>
    <w:rPr>
      <w:rFonts w:asciiTheme="minorHAnsi" w:eastAsiaTheme="minorEastAsia" w:hAnsiTheme="minorHAnsi" w:cstheme="minorBidi"/>
      <w:sz w:val="22"/>
      <w14:ligatures w14:val="standardContextual"/>
    </w:rPr>
    <w:tblPr>
      <w:tblBorders>
        <w:top w:val="single" w:sz="12" w:space="0" w:color="auto"/>
        <w:bottom w:val="single" w:sz="12" w:space="0" w:color="auto"/>
      </w:tblBorders>
    </w:tblPr>
  </w:style>
  <w:style w:type="table" w:customStyle="1" w:styleId="ChicagoStyle">
    <w:name w:val="Chicago Style"/>
    <w:basedOn w:val="TableNormal"/>
    <w:uiPriority w:val="99"/>
    <w:qFormat/>
    <w:rsid w:val="00173DE6"/>
    <w:rPr>
      <w:rFonts w:asciiTheme="minorHAnsi" w:eastAsiaTheme="minorEastAsia" w:hAnsiTheme="minorHAnsi" w:cstheme="minorBidi"/>
      <w:sz w:val="22"/>
      <w14:ligatures w14:val="standardContextual"/>
    </w:rPr>
    <w:tblPr/>
    <w:tblStylePr w:type="firstRow">
      <w:rPr>
        <w:color w:val="auto"/>
      </w:rPr>
      <w:tblPr/>
      <w:tcPr>
        <w:tcBorders>
          <w:bottom w:val="single" w:sz="4" w:space="0" w:color="auto"/>
        </w:tcBorders>
      </w:tcPr>
    </w:tblStylePr>
    <w:tblStylePr w:type="lastRow">
      <w:tblPr/>
      <w:tcPr>
        <w:tcBorders>
          <w:top w:val="nil"/>
          <w:left w:val="nil"/>
          <w:bottom w:val="single" w:sz="4" w:space="0" w:color="auto"/>
          <w:right w:val="nil"/>
          <w:insideH w:val="nil"/>
          <w:insideV w:val="nil"/>
        </w:tcBorders>
      </w:tcPr>
    </w:tblStylePr>
  </w:style>
  <w:style w:type="paragraph" w:styleId="Subtitle">
    <w:name w:val="Subtitle"/>
    <w:basedOn w:val="Normal"/>
    <w:next w:val="Normal"/>
    <w:link w:val="SubtitleChar"/>
    <w:uiPriority w:val="11"/>
    <w:qFormat/>
    <w:rsid w:val="00173DE6"/>
    <w:pPr>
      <w:spacing w:after="600"/>
    </w:pPr>
    <w:rPr>
      <w:rFonts w:asciiTheme="majorHAnsi" w:eastAsiaTheme="majorEastAsia" w:hAnsiTheme="majorHAnsi" w:cstheme="majorBidi"/>
      <w:i/>
      <w:iCs/>
      <w:spacing w:val="13"/>
      <w14:ligatures w14:val="standardContextual"/>
    </w:rPr>
  </w:style>
  <w:style w:type="character" w:customStyle="1" w:styleId="SubtitleChar">
    <w:name w:val="Subtitle Char"/>
    <w:basedOn w:val="DefaultParagraphFont"/>
    <w:link w:val="Subtitle"/>
    <w:uiPriority w:val="11"/>
    <w:rsid w:val="00173DE6"/>
    <w:rPr>
      <w:rFonts w:asciiTheme="majorHAnsi" w:eastAsiaTheme="majorEastAsia" w:hAnsiTheme="majorHAnsi" w:cstheme="majorBidi"/>
      <w:i/>
      <w:iCs/>
      <w:spacing w:val="13"/>
      <w14:ligatures w14:val="standardContextual"/>
    </w:rPr>
  </w:style>
  <w:style w:type="character" w:styleId="Hyperlink">
    <w:name w:val="Hyperlink"/>
    <w:basedOn w:val="DefaultParagraphFont"/>
    <w:uiPriority w:val="99"/>
    <w:unhideWhenUsed/>
    <w:rsid w:val="00173DE6"/>
    <w:rPr>
      <w:color w:val="0000FF" w:themeColor="hyperlink"/>
      <w:u w:val="single"/>
    </w:rPr>
  </w:style>
  <w:style w:type="character" w:styleId="Strong">
    <w:name w:val="Strong"/>
    <w:uiPriority w:val="22"/>
    <w:qFormat/>
    <w:rsid w:val="00173DE6"/>
    <w:rPr>
      <w:b/>
      <w:bCs/>
    </w:rPr>
  </w:style>
  <w:style w:type="character" w:styleId="Emphasis">
    <w:name w:val="Emphasis"/>
    <w:uiPriority w:val="20"/>
    <w:qFormat/>
    <w:rsid w:val="00173DE6"/>
    <w:rPr>
      <w:b/>
      <w:bCs/>
      <w:i/>
      <w:iCs/>
      <w:spacing w:val="10"/>
      <w:bdr w:val="none" w:sz="0" w:space="0" w:color="auto"/>
      <w:shd w:val="clear" w:color="auto" w:fill="auto"/>
    </w:rPr>
  </w:style>
  <w:style w:type="paragraph" w:styleId="NoSpacing">
    <w:name w:val="No Spacing"/>
    <w:basedOn w:val="Normal"/>
    <w:uiPriority w:val="1"/>
    <w:qFormat/>
    <w:rsid w:val="00173DE6"/>
    <w:rPr>
      <w14:ligatures w14:val="standardContextual"/>
    </w:rPr>
  </w:style>
  <w:style w:type="paragraph" w:styleId="Quote">
    <w:name w:val="Quote"/>
    <w:basedOn w:val="Normal"/>
    <w:next w:val="Normal"/>
    <w:link w:val="QuoteChar"/>
    <w:uiPriority w:val="29"/>
    <w:qFormat/>
    <w:rsid w:val="00173DE6"/>
    <w:pPr>
      <w:spacing w:before="200"/>
      <w:ind w:left="360" w:right="360"/>
    </w:pPr>
    <w:rPr>
      <w:i/>
      <w:iCs/>
      <w14:ligatures w14:val="standardContextual"/>
    </w:rPr>
  </w:style>
  <w:style w:type="character" w:customStyle="1" w:styleId="QuoteChar">
    <w:name w:val="Quote Char"/>
    <w:basedOn w:val="DefaultParagraphFont"/>
    <w:link w:val="Quote"/>
    <w:uiPriority w:val="29"/>
    <w:rsid w:val="00173DE6"/>
    <w:rPr>
      <w:i/>
      <w:iCs/>
      <w14:ligatures w14:val="standardContextual"/>
    </w:rPr>
  </w:style>
  <w:style w:type="paragraph" w:styleId="IntenseQuote">
    <w:name w:val="Intense Quote"/>
    <w:basedOn w:val="Normal"/>
    <w:next w:val="Normal"/>
    <w:link w:val="IntenseQuoteChar"/>
    <w:uiPriority w:val="30"/>
    <w:qFormat/>
    <w:rsid w:val="00173DE6"/>
    <w:pPr>
      <w:pBdr>
        <w:bottom w:val="single" w:sz="4" w:space="1" w:color="auto"/>
      </w:pBdr>
      <w:spacing w:before="200" w:after="280"/>
      <w:ind w:left="1008" w:right="1152"/>
    </w:pPr>
    <w:rPr>
      <w:b/>
      <w:bCs/>
      <w:i/>
      <w:iCs/>
      <w14:ligatures w14:val="standardContextual"/>
    </w:rPr>
  </w:style>
  <w:style w:type="character" w:customStyle="1" w:styleId="IntenseQuoteChar">
    <w:name w:val="Intense Quote Char"/>
    <w:basedOn w:val="DefaultParagraphFont"/>
    <w:link w:val="IntenseQuote"/>
    <w:uiPriority w:val="30"/>
    <w:rsid w:val="00173DE6"/>
    <w:rPr>
      <w:b/>
      <w:bCs/>
      <w:i/>
      <w:iCs/>
      <w14:ligatures w14:val="standardContextual"/>
    </w:rPr>
  </w:style>
  <w:style w:type="character" w:styleId="SubtleEmphasis">
    <w:name w:val="Subtle Emphasis"/>
    <w:uiPriority w:val="19"/>
    <w:qFormat/>
    <w:rsid w:val="00173DE6"/>
    <w:rPr>
      <w:i/>
      <w:iCs/>
    </w:rPr>
  </w:style>
  <w:style w:type="character" w:styleId="IntenseEmphasis">
    <w:name w:val="Intense Emphasis"/>
    <w:uiPriority w:val="21"/>
    <w:qFormat/>
    <w:rsid w:val="00173DE6"/>
    <w:rPr>
      <w:b/>
      <w:bCs/>
    </w:rPr>
  </w:style>
  <w:style w:type="character" w:styleId="SubtleReference">
    <w:name w:val="Subtle Reference"/>
    <w:uiPriority w:val="31"/>
    <w:qFormat/>
    <w:rsid w:val="00173DE6"/>
    <w:rPr>
      <w:smallCaps/>
    </w:rPr>
  </w:style>
  <w:style w:type="character" w:styleId="IntenseReference">
    <w:name w:val="Intense Reference"/>
    <w:uiPriority w:val="32"/>
    <w:qFormat/>
    <w:rsid w:val="00173DE6"/>
    <w:rPr>
      <w:smallCaps/>
      <w:spacing w:val="5"/>
      <w:u w:val="single"/>
    </w:rPr>
  </w:style>
  <w:style w:type="character" w:styleId="BookTitle">
    <w:name w:val="Book Title"/>
    <w:uiPriority w:val="33"/>
    <w:qFormat/>
    <w:rsid w:val="00173DE6"/>
    <w:rPr>
      <w:i/>
      <w:iCs/>
      <w:smallCaps/>
      <w:spacing w:val="5"/>
    </w:rPr>
  </w:style>
  <w:style w:type="paragraph" w:styleId="TOCHeading">
    <w:name w:val="TOC Heading"/>
    <w:basedOn w:val="Heading1"/>
    <w:next w:val="Normal"/>
    <w:uiPriority w:val="39"/>
    <w:unhideWhenUsed/>
    <w:qFormat/>
    <w:rsid w:val="00173DE6"/>
    <w:pPr>
      <w:keepNext w:val="0"/>
      <w:keepLines w:val="0"/>
      <w:contextualSpacing w:val="0"/>
      <w:outlineLvl w:val="9"/>
    </w:pPr>
    <w:rPr>
      <w:bCs/>
      <w:szCs w:val="28"/>
      <w:lang w:bidi="en-US"/>
      <w14:ligatures w14:val="standardContextual"/>
    </w:rPr>
  </w:style>
  <w:style w:type="character" w:customStyle="1" w:styleId="EquationCaption">
    <w:name w:val="_Equation Caption"/>
    <w:rsid w:val="00173DE6"/>
  </w:style>
  <w:style w:type="character" w:customStyle="1" w:styleId="oneclick-link">
    <w:name w:val="oneclick-link"/>
    <w:basedOn w:val="DefaultParagraphFont"/>
    <w:rsid w:val="00173DE6"/>
  </w:style>
  <w:style w:type="character" w:customStyle="1" w:styleId="apple-converted-space">
    <w:name w:val="apple-converted-space"/>
    <w:basedOn w:val="DefaultParagraphFont"/>
    <w:rsid w:val="00173DE6"/>
  </w:style>
  <w:style w:type="character" w:customStyle="1" w:styleId="foreign">
    <w:name w:val="foreign"/>
    <w:basedOn w:val="DefaultParagraphFont"/>
    <w:rsid w:val="00173DE6"/>
  </w:style>
  <w:style w:type="paragraph" w:styleId="Index1">
    <w:name w:val="index 1"/>
    <w:basedOn w:val="Normal"/>
    <w:next w:val="Normal"/>
    <w:autoRedefine/>
    <w:uiPriority w:val="99"/>
    <w:semiHidden/>
    <w:unhideWhenUsed/>
    <w:rsid w:val="00173DE6"/>
    <w:pPr>
      <w:ind w:left="240" w:hanging="240"/>
    </w:pPr>
    <w:rPr>
      <w14:ligatures w14:val="standardContextual"/>
    </w:rPr>
  </w:style>
  <w:style w:type="paragraph" w:styleId="TOC6">
    <w:name w:val="toc 6"/>
    <w:basedOn w:val="Normal"/>
    <w:next w:val="Normal"/>
    <w:autoRedefine/>
    <w:uiPriority w:val="39"/>
    <w:unhideWhenUsed/>
    <w:rsid w:val="00173DE6"/>
    <w:pPr>
      <w:spacing w:after="100"/>
      <w:ind w:left="1200"/>
    </w:pPr>
    <w:rPr>
      <w14:ligatures w14:val="standardContextual"/>
    </w:rPr>
  </w:style>
  <w:style w:type="paragraph" w:styleId="Caption">
    <w:name w:val="caption"/>
    <w:basedOn w:val="Normal"/>
    <w:next w:val="Normal"/>
    <w:uiPriority w:val="35"/>
    <w:semiHidden/>
    <w:unhideWhenUsed/>
    <w:rsid w:val="00173DE6"/>
    <w:pPr>
      <w:spacing w:after="200"/>
    </w:pPr>
    <w:rPr>
      <w:b/>
      <w:bCs/>
      <w:color w:val="4F81BD" w:themeColor="accent1"/>
      <w:sz w:val="18"/>
      <w:szCs w:val="18"/>
      <w14:ligatures w14:val="standardContextual"/>
    </w:rPr>
  </w:style>
  <w:style w:type="paragraph" w:styleId="EndnoteText">
    <w:name w:val="endnote text"/>
    <w:basedOn w:val="Normal"/>
    <w:link w:val="EndnoteTextChar"/>
    <w:uiPriority w:val="99"/>
    <w:semiHidden/>
    <w:unhideWhenUsed/>
    <w:rsid w:val="00173DE6"/>
    <w:rPr>
      <w:sz w:val="20"/>
      <w:szCs w:val="20"/>
      <w14:ligatures w14:val="standardContextual"/>
    </w:rPr>
  </w:style>
  <w:style w:type="character" w:customStyle="1" w:styleId="EndnoteTextChar">
    <w:name w:val="Endnote Text Char"/>
    <w:basedOn w:val="DefaultParagraphFont"/>
    <w:link w:val="EndnoteText"/>
    <w:uiPriority w:val="99"/>
    <w:semiHidden/>
    <w:rsid w:val="00173DE6"/>
    <w:rPr>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173DE6"/>
    <w:rPr>
      <w:b/>
      <w:bCs/>
      <w14:ligatures w14:val="standardContextual"/>
    </w:rPr>
  </w:style>
  <w:style w:type="character" w:customStyle="1" w:styleId="CommentSubjectChar">
    <w:name w:val="Comment Subject Char"/>
    <w:basedOn w:val="CommentTextChar"/>
    <w:link w:val="CommentSubject"/>
    <w:uiPriority w:val="99"/>
    <w:semiHidden/>
    <w:rsid w:val="00173DE6"/>
    <w:rPr>
      <w:b/>
      <w:bCs/>
      <w:sz w:val="20"/>
      <w:szCs w:val="20"/>
      <w14:ligatures w14:val="standardContextual"/>
    </w:rPr>
  </w:style>
  <w:style w:type="character" w:customStyle="1" w:styleId="hgkelc">
    <w:name w:val="hgkelc"/>
    <w:basedOn w:val="DefaultParagraphFont"/>
    <w:rsid w:val="00173DE6"/>
  </w:style>
  <w:style w:type="character" w:styleId="FollowedHyperlink">
    <w:name w:val="FollowedHyperlink"/>
    <w:basedOn w:val="DefaultParagraphFont"/>
    <w:uiPriority w:val="99"/>
    <w:semiHidden/>
    <w:unhideWhenUsed/>
    <w:rsid w:val="00173DE6"/>
    <w:rPr>
      <w:color w:val="800080" w:themeColor="followedHyperlink"/>
      <w:u w:val="single"/>
    </w:rPr>
  </w:style>
  <w:style w:type="character" w:customStyle="1" w:styleId="lrzxr">
    <w:name w:val="lrzxr"/>
    <w:basedOn w:val="DefaultParagraphFont"/>
    <w:rsid w:val="00541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4E6BA-86E9-493E-A821-0CC53ADCE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292</Pages>
  <Words>91423</Words>
  <Characters>521112</Characters>
  <Application>Microsoft Office Word</Application>
  <DocSecurity>0</DocSecurity>
  <Lines>4342</Lines>
  <Paragraphs>1222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Hahn</dc:creator>
  <cp:lastModifiedBy>Hahn, Paul D.</cp:lastModifiedBy>
  <cp:revision>6</cp:revision>
  <dcterms:created xsi:type="dcterms:W3CDTF">2023-09-17T13:33:00Z</dcterms:created>
  <dcterms:modified xsi:type="dcterms:W3CDTF">2025-10-23T13:08:00Z</dcterms:modified>
</cp:coreProperties>
</file>