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4A8F1" w14:textId="0915D27F" w:rsidR="00BF4A3D" w:rsidRDefault="00965C34" w:rsidP="00965C34">
      <w:pPr>
        <w:jc w:val="center"/>
        <w:rPr>
          <w:rFonts w:cs="Times New Roman"/>
          <w:kern w:val="2"/>
          <w14:ligatures w14:val="standardContextual"/>
        </w:rPr>
      </w:pPr>
      <w:r w:rsidRPr="00965C34">
        <w:rPr>
          <w:rFonts w:cs="Times New Roman"/>
          <w:kern w:val="2"/>
          <w14:ligatures w14:val="standardContextual"/>
        </w:rPr>
        <w:t>THE MISHNAH: AN EXCERPT</w:t>
      </w:r>
    </w:p>
    <w:p w14:paraId="4E5924AA" w14:textId="075B4F2D" w:rsidR="00965C34" w:rsidRPr="00664735" w:rsidRDefault="00965C34" w:rsidP="00965C34">
      <w:pPr>
        <w:rPr>
          <w:rFonts w:cs="Times New Roman"/>
          <w:kern w:val="2"/>
          <w14:ligatures w14:val="standardContextual"/>
        </w:rPr>
      </w:pPr>
    </w:p>
    <w:p w14:paraId="6A46AD42" w14:textId="77777777" w:rsidR="00965C34" w:rsidRPr="00965C34" w:rsidRDefault="00965C34" w:rsidP="00965C34">
      <w:pPr>
        <w:jc w:val="center"/>
        <w:rPr>
          <w:rFonts w:cs="Times New Roman"/>
          <w:kern w:val="2"/>
          <w:sz w:val="20"/>
          <w:szCs w:val="20"/>
          <w14:ligatures w14:val="standardContextual"/>
        </w:rPr>
      </w:pPr>
      <w:r w:rsidRPr="00965C34">
        <w:rPr>
          <w:rFonts w:cs="Times New Roman"/>
          <w:kern w:val="2"/>
          <w:sz w:val="20"/>
          <w:szCs w:val="20"/>
          <w14:ligatures w14:val="standardContextual"/>
        </w:rPr>
        <w:t>Paul Hahn, Theology Department</w:t>
      </w:r>
    </w:p>
    <w:p w14:paraId="3471B384" w14:textId="77777777" w:rsidR="00965C34" w:rsidRPr="00965C34" w:rsidRDefault="00965C34" w:rsidP="00965C34">
      <w:pPr>
        <w:jc w:val="center"/>
        <w:rPr>
          <w:rFonts w:cs="Times New Roman"/>
          <w:kern w:val="2"/>
          <w:sz w:val="20"/>
          <w:szCs w:val="20"/>
          <w14:ligatures w14:val="standardContextual"/>
        </w:rPr>
      </w:pPr>
      <w:r w:rsidRPr="00965C34">
        <w:rPr>
          <w:rFonts w:cs="Times New Roman"/>
          <w:kern w:val="2"/>
          <w:sz w:val="20"/>
          <w:szCs w:val="20"/>
          <w14:ligatures w14:val="standardContextual"/>
        </w:rPr>
        <w:t>University of St Thomas, Houston TX 77006</w:t>
      </w:r>
    </w:p>
    <w:p w14:paraId="4612218E" w14:textId="09009012" w:rsidR="00965C34" w:rsidRPr="00965C34" w:rsidRDefault="00965C34" w:rsidP="00965C34">
      <w:pPr>
        <w:jc w:val="center"/>
        <w:rPr>
          <w:rFonts w:cs="Times New Roman"/>
          <w:kern w:val="2"/>
          <w:sz w:val="20"/>
          <w:szCs w:val="20"/>
          <w14:ligatures w14:val="standardContextual"/>
        </w:rPr>
      </w:pPr>
      <w:r w:rsidRPr="00965C34">
        <w:rPr>
          <w:rFonts w:cs="Times New Roman"/>
          <w:kern w:val="2"/>
          <w:sz w:val="20"/>
          <w:szCs w:val="20"/>
          <w14:ligatures w14:val="standardContextual"/>
        </w:rPr>
        <w:t>© 2026, theologyplus.com</w:t>
      </w:r>
    </w:p>
    <w:p w14:paraId="0B168363" w14:textId="77777777" w:rsidR="00965C34" w:rsidRDefault="00965C34" w:rsidP="00965C34">
      <w:pPr>
        <w:rPr>
          <w:rFonts w:cs="Times New Roman"/>
          <w:kern w:val="2"/>
          <w14:ligatures w14:val="standardContextual"/>
        </w:rPr>
      </w:pPr>
    </w:p>
    <w:p w14:paraId="24B69C46" w14:textId="77777777" w:rsidR="00965C34" w:rsidRPr="007856A2" w:rsidRDefault="00965C34" w:rsidP="00965C34">
      <w:pPr>
        <w:rPr>
          <w:rFonts w:cs="Times New Roman"/>
          <w:kern w:val="0"/>
        </w:rPr>
      </w:pPr>
    </w:p>
    <w:p w14:paraId="4A7F0454" w14:textId="77777777" w:rsidR="00965C34" w:rsidRPr="00315E41" w:rsidRDefault="00965C34" w:rsidP="00965C34">
      <w:r w:rsidRPr="00315E41">
        <w:rPr>
          <w:b/>
        </w:rPr>
        <w:t>12:3</w:t>
      </w:r>
      <w:r w:rsidRPr="00315E41">
        <w:tab/>
        <w:t>A.</w:t>
      </w:r>
      <w:r w:rsidRPr="00315E41">
        <w:tab/>
        <w:t>He who writes two letters,</w:t>
      </w:r>
    </w:p>
    <w:p w14:paraId="05D5F524" w14:textId="77777777" w:rsidR="00965C34" w:rsidRPr="00315E41" w:rsidRDefault="00965C34" w:rsidP="00965C34">
      <w:r w:rsidRPr="00315E41">
        <w:tab/>
      </w:r>
      <w:r w:rsidRPr="00315E41">
        <w:tab/>
        <w:t>B.</w:t>
      </w:r>
      <w:r w:rsidRPr="00315E41">
        <w:tab/>
        <w:t>whether with his right hand or with his left,</w:t>
      </w:r>
    </w:p>
    <w:p w14:paraId="7C2A2BC2" w14:textId="77777777" w:rsidR="00965C34" w:rsidRPr="00315E41" w:rsidRDefault="00965C34" w:rsidP="00965C34">
      <w:r w:rsidRPr="00315E41">
        <w:tab/>
      </w:r>
      <w:r w:rsidRPr="00315E41">
        <w:tab/>
        <w:t>C.</w:t>
      </w:r>
      <w:r w:rsidRPr="00315E41">
        <w:tab/>
        <w:t>whether the same letter or two different letters,</w:t>
      </w:r>
    </w:p>
    <w:p w14:paraId="78DDAED4" w14:textId="77777777" w:rsidR="00965C34" w:rsidRPr="00315E41" w:rsidRDefault="00965C34" w:rsidP="00965C34">
      <w:r w:rsidRPr="00315E41">
        <w:tab/>
      </w:r>
      <w:r w:rsidRPr="00315E41">
        <w:tab/>
        <w:t>D.</w:t>
      </w:r>
      <w:r w:rsidRPr="00315E41">
        <w:tab/>
        <w:t>whether with different pigments,</w:t>
      </w:r>
    </w:p>
    <w:p w14:paraId="6B88F6DF" w14:textId="77777777" w:rsidR="00965C34" w:rsidRPr="00315E41" w:rsidRDefault="00965C34" w:rsidP="00965C34">
      <w:r w:rsidRPr="00315E41">
        <w:tab/>
      </w:r>
      <w:r w:rsidRPr="00315E41">
        <w:tab/>
        <w:t>E.</w:t>
      </w:r>
      <w:r w:rsidRPr="00315E41">
        <w:tab/>
        <w:t>in any alphabet,</w:t>
      </w:r>
    </w:p>
    <w:p w14:paraId="0073AC98" w14:textId="77777777" w:rsidR="00965C34" w:rsidRPr="00315E41" w:rsidRDefault="00965C34" w:rsidP="00965C34">
      <w:r w:rsidRPr="00315E41">
        <w:tab/>
      </w:r>
      <w:r w:rsidRPr="00315E41">
        <w:tab/>
        <w:t>F.</w:t>
      </w:r>
      <w:r w:rsidRPr="00315E41">
        <w:tab/>
        <w:t>is liable.</w:t>
      </w:r>
    </w:p>
    <w:p w14:paraId="70B10621" w14:textId="77777777" w:rsidR="00965C34" w:rsidRPr="00315E41" w:rsidRDefault="00965C34" w:rsidP="00965C34">
      <w:pPr>
        <w:ind w:left="1080" w:hanging="360"/>
      </w:pPr>
      <w:r w:rsidRPr="00315E41">
        <w:t>G.</w:t>
      </w:r>
      <w:r w:rsidRPr="00315E41">
        <w:tab/>
        <w:t>Said R. Yose, “They imposed liability [on one who writes] two letters only because of making a mark.</w:t>
      </w:r>
    </w:p>
    <w:p w14:paraId="524501B2" w14:textId="77777777" w:rsidR="00965C34" w:rsidRPr="00315E41" w:rsidRDefault="00965C34" w:rsidP="00965C34">
      <w:pPr>
        <w:ind w:left="1080" w:hanging="360"/>
      </w:pPr>
      <w:r w:rsidRPr="00315E41">
        <w:t>H.</w:t>
      </w:r>
      <w:r w:rsidRPr="00315E41">
        <w:tab/>
        <w:t>“For so did they write [make a mark] on the boards of the tabernacle, to determine which belonged with which.”</w:t>
      </w:r>
    </w:p>
    <w:p w14:paraId="3C5EE9A6" w14:textId="77777777" w:rsidR="00965C34" w:rsidRPr="00315E41" w:rsidRDefault="00965C34" w:rsidP="00965C34">
      <w:pPr>
        <w:ind w:left="1080" w:hanging="360"/>
      </w:pPr>
      <w:r w:rsidRPr="00315E41">
        <w:t>I.</w:t>
      </w:r>
      <w:r w:rsidRPr="00315E41">
        <w:tab/>
        <w:t>Said Rabbi, “We find that a short name comes from a long name, Shem from Shimeon or from Shemuel, Noah from Nahor, Dan from Daniel, Gad from Gadiel.”</w:t>
      </w:r>
    </w:p>
    <w:p w14:paraId="203652EF" w14:textId="77777777" w:rsidR="00965C34" w:rsidRPr="00315E41" w:rsidRDefault="00965C34" w:rsidP="00965C34"/>
    <w:p w14:paraId="5F185531" w14:textId="77777777" w:rsidR="00965C34" w:rsidRPr="00315E41" w:rsidRDefault="00965C34" w:rsidP="00965C34">
      <w:r w:rsidRPr="00315E41">
        <w:rPr>
          <w:b/>
        </w:rPr>
        <w:t>12:4</w:t>
      </w:r>
      <w:r w:rsidRPr="00315E41">
        <w:tab/>
        <w:t>A.</w:t>
      </w:r>
      <w:r w:rsidRPr="00315E41">
        <w:tab/>
        <w:t>He who writes two letters during a single spell of inadvertence is liable.</w:t>
      </w:r>
    </w:p>
    <w:p w14:paraId="438925BF" w14:textId="77777777" w:rsidR="00965C34" w:rsidRPr="00315E41" w:rsidRDefault="00965C34" w:rsidP="00965C34">
      <w:r w:rsidRPr="00315E41">
        <w:tab/>
      </w:r>
      <w:r w:rsidRPr="00315E41">
        <w:tab/>
        <w:t>B.</w:t>
      </w:r>
      <w:r w:rsidRPr="00315E41">
        <w:tab/>
        <w:t>[If] he wrote with (1) ink, (2) caustic, (3) red dye, (4) gum, or (5) copperas,</w:t>
      </w:r>
    </w:p>
    <w:p w14:paraId="7F79EE45" w14:textId="77777777" w:rsidR="00965C34" w:rsidRPr="00315E41" w:rsidRDefault="00965C34" w:rsidP="00965C34">
      <w:r w:rsidRPr="00315E41">
        <w:tab/>
      </w:r>
      <w:r w:rsidRPr="00315E41">
        <w:tab/>
        <w:t>C.</w:t>
      </w:r>
      <w:r w:rsidRPr="00315E41">
        <w:tab/>
        <w:t>or with anything which leaves a mark,</w:t>
      </w:r>
    </w:p>
    <w:p w14:paraId="03B6BDC3" w14:textId="02FB4FC5" w:rsidR="00965C34" w:rsidRPr="00315E41" w:rsidRDefault="00965C34" w:rsidP="00965C34">
      <w:pPr>
        <w:ind w:left="1080" w:hanging="360"/>
      </w:pPr>
      <w:r w:rsidRPr="00315E41">
        <w:t>D.</w:t>
      </w:r>
      <w:r w:rsidRPr="00315E41">
        <w:tab/>
        <w:t>on two walls forming a corner, or on two leaves of a tablet, which are read with one another,</w:t>
      </w:r>
    </w:p>
    <w:p w14:paraId="149A9C83" w14:textId="77777777" w:rsidR="00965C34" w:rsidRPr="00315E41" w:rsidRDefault="00965C34" w:rsidP="00965C34">
      <w:r w:rsidRPr="00315E41">
        <w:tab/>
      </w:r>
      <w:r w:rsidRPr="00315E41">
        <w:tab/>
        <w:t>E.</w:t>
      </w:r>
      <w:r w:rsidRPr="00315E41">
        <w:tab/>
        <w:t>he is liable.</w:t>
      </w:r>
    </w:p>
    <w:p w14:paraId="0A7309B0" w14:textId="77777777" w:rsidR="00965C34" w:rsidRPr="00315E41" w:rsidRDefault="00965C34" w:rsidP="00965C34">
      <w:r w:rsidRPr="00315E41">
        <w:tab/>
      </w:r>
      <w:r w:rsidRPr="00315E41">
        <w:tab/>
        <w:t xml:space="preserve">F </w:t>
      </w:r>
      <w:r w:rsidRPr="00315E41">
        <w:tab/>
        <w:t>e who writes on his flesh is liable.</w:t>
      </w:r>
    </w:p>
    <w:p w14:paraId="7A474BF9" w14:textId="77777777" w:rsidR="00965C34" w:rsidRPr="00315E41" w:rsidRDefault="00965C34" w:rsidP="00965C34">
      <w:r w:rsidRPr="00315E41">
        <w:tab/>
      </w:r>
      <w:r w:rsidRPr="00315E41">
        <w:tab/>
        <w:t>G.</w:t>
      </w:r>
      <w:r w:rsidRPr="00315E41">
        <w:tab/>
        <w:t>He who scratches a mark on his flesh—</w:t>
      </w:r>
    </w:p>
    <w:p w14:paraId="1C3A81A6" w14:textId="77777777" w:rsidR="00965C34" w:rsidRPr="00315E41" w:rsidRDefault="00965C34" w:rsidP="00965C34">
      <w:r w:rsidRPr="00315E41">
        <w:tab/>
      </w:r>
      <w:r w:rsidRPr="00315E41">
        <w:tab/>
        <w:t>H.</w:t>
      </w:r>
      <w:r w:rsidRPr="00315E41">
        <w:tab/>
        <w:t>R. Eliezer declares him liable to a sin offering.</w:t>
      </w:r>
    </w:p>
    <w:p w14:paraId="0B8C9041" w14:textId="77777777" w:rsidR="00965C34" w:rsidRPr="00315E41" w:rsidRDefault="00965C34" w:rsidP="00965C34">
      <w:r w:rsidRPr="00315E41">
        <w:tab/>
      </w:r>
      <w:r w:rsidRPr="00315E41">
        <w:tab/>
        <w:t>I.</w:t>
      </w:r>
      <w:r w:rsidRPr="00315E41">
        <w:tab/>
        <w:t>And R. Joshua declares him exempt.</w:t>
      </w:r>
    </w:p>
    <w:p w14:paraId="2A86C403" w14:textId="77777777" w:rsidR="00965C34" w:rsidRPr="00315E41" w:rsidRDefault="00965C34" w:rsidP="00965C34"/>
    <w:p w14:paraId="0F1A7BFD" w14:textId="77777777" w:rsidR="00965C34" w:rsidRPr="00315E41" w:rsidRDefault="00965C34" w:rsidP="00965C34">
      <w:pPr>
        <w:tabs>
          <w:tab w:val="left" w:pos="720"/>
        </w:tabs>
        <w:ind w:left="1080" w:hanging="1080"/>
      </w:pPr>
      <w:r w:rsidRPr="00315E41">
        <w:rPr>
          <w:b/>
        </w:rPr>
        <w:t>12:5</w:t>
      </w:r>
      <w:r w:rsidRPr="00315E41">
        <w:tab/>
        <w:t>A.</w:t>
      </w:r>
      <w:r w:rsidRPr="00315E41">
        <w:tab/>
        <w:t>[If] one wrote with (1) fluids [blood, water, milk, honey, etc., as at M. Makh. 6:41, (2) fruit juice, (3) dirt from the street, (4) writer’s sand,</w:t>
      </w:r>
    </w:p>
    <w:p w14:paraId="061344AC" w14:textId="77777777" w:rsidR="00965C34" w:rsidRPr="00315E41" w:rsidRDefault="00965C34" w:rsidP="00965C34">
      <w:r w:rsidRPr="00315E41">
        <w:tab/>
      </w:r>
      <w:r w:rsidRPr="00315E41">
        <w:tab/>
        <w:t>B.</w:t>
      </w:r>
      <w:r w:rsidRPr="00315E41">
        <w:tab/>
        <w:t>or with anything which does not leave a lasting mark,</w:t>
      </w:r>
    </w:p>
    <w:p w14:paraId="2C3E30F5" w14:textId="77777777" w:rsidR="00965C34" w:rsidRPr="00315E41" w:rsidRDefault="00965C34" w:rsidP="00965C34">
      <w:r w:rsidRPr="00315E41">
        <w:tab/>
      </w:r>
      <w:r w:rsidRPr="00315E41">
        <w:tab/>
        <w:t>C.</w:t>
      </w:r>
      <w:r w:rsidRPr="00315E41">
        <w:tab/>
        <w:t>he is exempt.</w:t>
      </w:r>
    </w:p>
    <w:p w14:paraId="68E902DD" w14:textId="77777777" w:rsidR="00965C34" w:rsidRPr="00315E41" w:rsidRDefault="00965C34" w:rsidP="00965C34">
      <w:r w:rsidRPr="00315E41">
        <w:tab/>
      </w:r>
      <w:r w:rsidRPr="00315E41">
        <w:tab/>
        <w:t>D.</w:t>
      </w:r>
      <w:r w:rsidRPr="00315E41">
        <w:tab/>
        <w:t>(1) [If he wrote] with the back of his hand, with his foot, mouth, or elbow,</w:t>
      </w:r>
    </w:p>
    <w:p w14:paraId="4E1FCCA6" w14:textId="77777777" w:rsidR="00965C34" w:rsidRPr="00315E41" w:rsidRDefault="00965C34" w:rsidP="00965C34">
      <w:r w:rsidRPr="00315E41">
        <w:tab/>
      </w:r>
      <w:r w:rsidRPr="00315E41">
        <w:tab/>
        <w:t>E.</w:t>
      </w:r>
      <w:r w:rsidRPr="00315E41">
        <w:tab/>
        <w:t>(2) [if] he wrote one letter alongside a letter already written,</w:t>
      </w:r>
    </w:p>
    <w:p w14:paraId="34FAD984" w14:textId="77777777" w:rsidR="00965C34" w:rsidRPr="00315E41" w:rsidRDefault="00965C34" w:rsidP="00965C34">
      <w:r w:rsidRPr="00315E41">
        <w:tab/>
      </w:r>
      <w:r w:rsidRPr="00315E41">
        <w:tab/>
        <w:t xml:space="preserve">F. </w:t>
      </w:r>
      <w:r w:rsidRPr="00315E41">
        <w:tab/>
        <w:t>(3) [if] he wrote a letter on top of a letter [already written],</w:t>
      </w:r>
    </w:p>
    <w:p w14:paraId="1677754C" w14:textId="77777777" w:rsidR="00965C34" w:rsidRPr="00315E41" w:rsidRDefault="00965C34" w:rsidP="00965C34">
      <w:pPr>
        <w:rPr>
          <w:i/>
        </w:rPr>
      </w:pPr>
      <w:r w:rsidRPr="00315E41">
        <w:tab/>
      </w:r>
      <w:r w:rsidRPr="00315E41">
        <w:tab/>
        <w:t>G.</w:t>
      </w:r>
      <w:r w:rsidRPr="00315E41">
        <w:tab/>
        <w:t xml:space="preserve">(4) [if] he intended to write a </w:t>
      </w:r>
      <w:r w:rsidRPr="00315E41">
        <w:rPr>
          <w:i/>
        </w:rPr>
        <w:t xml:space="preserve">het </w:t>
      </w:r>
      <w:r w:rsidRPr="00315E41">
        <w:t xml:space="preserve">and wrote two </w:t>
      </w:r>
      <w:r w:rsidRPr="00315E41">
        <w:rPr>
          <w:i/>
        </w:rPr>
        <w:t>zayins,</w:t>
      </w:r>
    </w:p>
    <w:p w14:paraId="7FDB9E00" w14:textId="77777777" w:rsidR="00965C34" w:rsidRPr="00315E41" w:rsidRDefault="00965C34" w:rsidP="00965C34">
      <w:r w:rsidRPr="00315E41">
        <w:tab/>
      </w:r>
      <w:r w:rsidRPr="00315E41">
        <w:tab/>
        <w:t>H.</w:t>
      </w:r>
      <w:r w:rsidRPr="00315E41">
        <w:tab/>
      </w:r>
      <w:r w:rsidRPr="00315E41">
        <w:rPr>
          <w:iCs/>
        </w:rPr>
        <w:t xml:space="preserve">(5) </w:t>
      </w:r>
      <w:r w:rsidRPr="00315E41">
        <w:t>[if he wrote] one on the ground and one on the beam,</w:t>
      </w:r>
    </w:p>
    <w:p w14:paraId="27496B73" w14:textId="77777777" w:rsidR="00965C34" w:rsidRPr="00315E41" w:rsidRDefault="00965C34" w:rsidP="00965C34">
      <w:pPr>
        <w:ind w:left="1080" w:hanging="360"/>
      </w:pPr>
      <w:r w:rsidRPr="00315E41">
        <w:t>I.</w:t>
      </w:r>
      <w:r w:rsidRPr="00315E41">
        <w:tab/>
        <w:t>(6) [if] he wrote [two letters] on the two walls of the house, on the two sides of a leaf of paper, so that they cannot be read with one another,</w:t>
      </w:r>
    </w:p>
    <w:p w14:paraId="46ABE196" w14:textId="77777777" w:rsidR="00965C34" w:rsidRPr="00315E41" w:rsidRDefault="00965C34" w:rsidP="00965C34">
      <w:r w:rsidRPr="00315E41">
        <w:tab/>
      </w:r>
      <w:r w:rsidRPr="00315E41">
        <w:tab/>
        <w:t>J.</w:t>
      </w:r>
      <w:r w:rsidRPr="00315E41">
        <w:tab/>
        <w:t>he is exempt.</w:t>
      </w:r>
    </w:p>
    <w:p w14:paraId="4AFA03EB" w14:textId="77777777" w:rsidR="00965C34" w:rsidRPr="00315E41" w:rsidRDefault="00965C34" w:rsidP="00965C34">
      <w:r w:rsidRPr="00315E41">
        <w:tab/>
      </w:r>
      <w:r w:rsidRPr="00315E41">
        <w:tab/>
        <w:t>K.</w:t>
      </w:r>
      <w:r w:rsidRPr="00315E41">
        <w:tab/>
        <w:t>[If] he wrote one letter as an abbreviation,</w:t>
      </w:r>
    </w:p>
    <w:p w14:paraId="747532B2" w14:textId="77777777" w:rsidR="00965C34" w:rsidRPr="00315E41" w:rsidRDefault="00965C34" w:rsidP="00965C34">
      <w:r w:rsidRPr="00315E41">
        <w:tab/>
      </w:r>
      <w:r w:rsidRPr="00315E41">
        <w:tab/>
        <w:t>L.</w:t>
      </w:r>
      <w:r w:rsidRPr="00315E41">
        <w:tab/>
        <w:t xml:space="preserve">R. Joshua b. </w:t>
      </w:r>
      <w:proofErr w:type="spellStart"/>
      <w:r w:rsidRPr="00315E41">
        <w:t>Beterah</w:t>
      </w:r>
      <w:proofErr w:type="spellEnd"/>
      <w:r w:rsidRPr="00315E41">
        <w:t xml:space="preserve"> declares him liable.</w:t>
      </w:r>
    </w:p>
    <w:p w14:paraId="4F26DF2F" w14:textId="77777777" w:rsidR="00965C34" w:rsidRPr="00315E41" w:rsidRDefault="00965C34" w:rsidP="00965C34">
      <w:r w:rsidRPr="00315E41">
        <w:tab/>
      </w:r>
      <w:r w:rsidRPr="00315E41">
        <w:tab/>
        <w:t>M.</w:t>
      </w:r>
      <w:r w:rsidRPr="00315E41">
        <w:tab/>
        <w:t>And sages declare him exempt.</w:t>
      </w:r>
    </w:p>
    <w:p w14:paraId="214CE61E" w14:textId="77777777" w:rsidR="00965C34" w:rsidRPr="00315E41" w:rsidRDefault="00965C34" w:rsidP="00965C34"/>
    <w:p w14:paraId="1E24D0C9" w14:textId="77777777" w:rsidR="00965C34" w:rsidRPr="00315E41" w:rsidRDefault="00965C34" w:rsidP="00965C34">
      <w:r w:rsidRPr="00315E41">
        <w:rPr>
          <w:b/>
        </w:rPr>
        <w:lastRenderedPageBreak/>
        <w:t>12:6</w:t>
      </w:r>
      <w:r w:rsidRPr="00315E41">
        <w:tab/>
        <w:t>A.</w:t>
      </w:r>
      <w:r w:rsidRPr="00315E41">
        <w:tab/>
        <w:t>He who writes two letters in two distinct spells of inadvertence,</w:t>
      </w:r>
    </w:p>
    <w:p w14:paraId="056A783A" w14:textId="77777777" w:rsidR="00965C34" w:rsidRPr="00315E41" w:rsidRDefault="00965C34" w:rsidP="00965C34">
      <w:r w:rsidRPr="00315E41">
        <w:tab/>
      </w:r>
      <w:r w:rsidRPr="00315E41">
        <w:tab/>
        <w:t>B.</w:t>
      </w:r>
      <w:r w:rsidRPr="00315E41">
        <w:tab/>
        <w:t>one in the morning and one at twilight,</w:t>
      </w:r>
    </w:p>
    <w:p w14:paraId="60930E4D" w14:textId="77777777" w:rsidR="00965C34" w:rsidRPr="00315E41" w:rsidRDefault="00965C34" w:rsidP="00965C34">
      <w:r w:rsidRPr="00315E41">
        <w:tab/>
      </w:r>
      <w:r w:rsidRPr="00315E41">
        <w:tab/>
        <w:t>C.</w:t>
      </w:r>
      <w:r w:rsidRPr="00315E41">
        <w:tab/>
        <w:t>Rabban Gamaliel declares him liable.</w:t>
      </w:r>
    </w:p>
    <w:p w14:paraId="049899E3" w14:textId="77777777" w:rsidR="00965C34" w:rsidRPr="00315E41" w:rsidRDefault="00965C34" w:rsidP="00965C34">
      <w:r w:rsidRPr="00315E41">
        <w:tab/>
      </w:r>
      <w:r w:rsidRPr="00315E41">
        <w:tab/>
        <w:t>D.</w:t>
      </w:r>
      <w:r w:rsidRPr="00315E41">
        <w:tab/>
        <w:t>And sages declare him exempt.</w:t>
      </w:r>
    </w:p>
    <w:p w14:paraId="6D543AE1" w14:textId="77777777" w:rsidR="00965C34" w:rsidRPr="00315E41" w:rsidRDefault="00965C34" w:rsidP="00965C34"/>
    <w:p w14:paraId="5363CA64" w14:textId="77777777" w:rsidR="00965C34" w:rsidRPr="00315E41" w:rsidRDefault="00965C34" w:rsidP="00965C34">
      <w:r w:rsidRPr="00315E41">
        <w:rPr>
          <w:b/>
        </w:rPr>
        <w:t>13:1 I</w:t>
      </w:r>
      <w:r w:rsidRPr="00315E41">
        <w:tab/>
        <w:t>A.</w:t>
      </w:r>
      <w:r w:rsidRPr="00315E41">
        <w:tab/>
        <w:t>R. Eliezer says, “He who weaves three threads at the beginning [of the web],</w:t>
      </w:r>
    </w:p>
    <w:p w14:paraId="36583386" w14:textId="77777777" w:rsidR="00965C34" w:rsidRPr="00315E41" w:rsidRDefault="00965C34" w:rsidP="00965C34">
      <w:r w:rsidRPr="00315E41">
        <w:tab/>
      </w:r>
      <w:r w:rsidRPr="00315E41">
        <w:tab/>
        <w:t>B.</w:t>
      </w:r>
      <w:r w:rsidRPr="00315E41">
        <w:tab/>
        <w:t>“or [who added] one onto that which is already woven,</w:t>
      </w:r>
    </w:p>
    <w:p w14:paraId="70BD634F" w14:textId="77777777" w:rsidR="00965C34" w:rsidRPr="00315E41" w:rsidRDefault="00965C34" w:rsidP="00965C34">
      <w:r w:rsidRPr="00315E41">
        <w:tab/>
      </w:r>
      <w:r w:rsidRPr="00315E41">
        <w:tab/>
        <w:t>C.</w:t>
      </w:r>
      <w:r w:rsidRPr="00315E41">
        <w:tab/>
        <w:t>“is liable.”</w:t>
      </w:r>
    </w:p>
    <w:p w14:paraId="2C97C06A" w14:textId="77777777" w:rsidR="00965C34" w:rsidRPr="00315E41" w:rsidRDefault="00965C34" w:rsidP="00965C34"/>
    <w:p w14:paraId="54BD7FF1" w14:textId="77777777" w:rsidR="00965C34" w:rsidRPr="00315E41" w:rsidRDefault="00965C34" w:rsidP="00965C34">
      <w:r w:rsidRPr="00315E41">
        <w:t xml:space="preserve">“Now the Pharisees were extremely careful to observe strict rules in how they prepared their food and made it a policy not to share meals with those who did not keep similar purity laws [Mark 2:16; Gal 2:11-14]. Meticulously they made sure that their pots and pans were ritually purified before food was prepared in them (Mark 7:1-4). So conscious were they of obeying Jewish laws that they tithed even their table spices (for example, Matt. 23:23) and usually refused to eat with non-Pharisees lest they inadvertently eat </w:t>
      </w:r>
      <w:proofErr w:type="spellStart"/>
      <w:r w:rsidRPr="00315E41">
        <w:t>untithed</w:t>
      </w:r>
      <w:proofErr w:type="spellEnd"/>
      <w:r w:rsidRPr="00315E41">
        <w:t xml:space="preserve"> or improperly prepared food. As a result there was sometimes animosity between the Pharisees and other Jews who did not maintain their standards. At least some Pharisees disdainfully called the non-Pharisees </w:t>
      </w:r>
      <w:r w:rsidRPr="00315E41">
        <w:rPr>
          <w:i/>
        </w:rPr>
        <w:t>`am ha-</w:t>
      </w:r>
      <w:proofErr w:type="spellStart"/>
      <w:r w:rsidRPr="00315E41">
        <w:rPr>
          <w:i/>
        </w:rPr>
        <w:t>aretz</w:t>
      </w:r>
      <w:proofErr w:type="spellEnd"/>
      <w:r w:rsidRPr="00315E41">
        <w:rPr>
          <w:iCs/>
        </w:rPr>
        <w:t xml:space="preserve"> </w:t>
      </w:r>
      <w:r w:rsidRPr="00315E41">
        <w:t>(Hebrew for “people of the land”), resulting in conflict . . .” (Cosby 88-89)</w:t>
      </w:r>
    </w:p>
    <w:p w14:paraId="04E22DCD" w14:textId="77777777" w:rsidR="00965C34" w:rsidRPr="00315E41" w:rsidRDefault="00965C34" w:rsidP="00965C34"/>
    <w:p w14:paraId="7403BE80" w14:textId="1A124C77" w:rsidR="00965C34" w:rsidRPr="00315E41" w:rsidRDefault="007856A2" w:rsidP="00965C34">
      <w:pPr>
        <w:rPr>
          <w:sz w:val="21"/>
        </w:rPr>
      </w:pPr>
      <w:r>
        <w:t>“</w:t>
      </w:r>
      <w:r w:rsidR="00965C34" w:rsidRPr="00315E41">
        <w:t xml:space="preserve">Rabbi Akiba vividly illustrate[s]: “R. Akiba [c. </w:t>
      </w:r>
      <w:proofErr w:type="spellStart"/>
      <w:r w:rsidR="00965C34" w:rsidRPr="00315E41">
        <w:rPr>
          <w:smallCaps/>
        </w:rPr>
        <w:t>a.d.</w:t>
      </w:r>
      <w:proofErr w:type="spellEnd"/>
      <w:r w:rsidR="00965C34" w:rsidRPr="00315E41">
        <w:t xml:space="preserve"> 132] said, “When I was an </w:t>
      </w:r>
      <w:r w:rsidR="00965C34" w:rsidRPr="00315E41">
        <w:rPr>
          <w:i/>
        </w:rPr>
        <w:t>`am ha-</w:t>
      </w:r>
      <w:proofErr w:type="spellStart"/>
      <w:r w:rsidR="00965C34" w:rsidRPr="00315E41">
        <w:rPr>
          <w:i/>
        </w:rPr>
        <w:t>aretz</w:t>
      </w:r>
      <w:proofErr w:type="spellEnd"/>
      <w:r w:rsidR="00965C34" w:rsidRPr="00315E41">
        <w:rPr>
          <w:iCs/>
        </w:rPr>
        <w:t xml:space="preserve"> </w:t>
      </w:r>
      <w:r w:rsidR="00965C34" w:rsidRPr="00315E41">
        <w:t>I used to say ‘If I could get hold of one of the scholars [that is, a Pharisaic scribe] I would bite him like an ass.’ [88] ‘You mean, like a dog,’ said his disciples. ‘No,’ said Akiba, ‘an ass’s bite breaks bones.’”</w:t>
      </w:r>
      <w:r>
        <w:t>”</w:t>
      </w:r>
      <w:r w:rsidR="00965C34" w:rsidRPr="00315E41">
        <w:t xml:space="preserve"> (Qtd. in Johnson 61)</w:t>
      </w:r>
    </w:p>
    <w:p w14:paraId="4EB03B12" w14:textId="77777777" w:rsidR="00965C34" w:rsidRPr="00315E41" w:rsidRDefault="00965C34" w:rsidP="00965C34">
      <w:pPr>
        <w:rPr>
          <w:sz w:val="21"/>
        </w:rPr>
      </w:pPr>
    </w:p>
    <w:p w14:paraId="59D70412" w14:textId="77777777" w:rsidR="00965C34" w:rsidRPr="00315E41" w:rsidRDefault="00965C34" w:rsidP="00965C34">
      <w:r w:rsidRPr="00315E41">
        <w:t>“First-century Judaism should not be regarded as only concerned with meticulous (legalistic) adherence to Jewish law. Certainly there were Jewish people who did fit this unfortunate stereotype, even as some Christians and Jews today exhibit this same tendency. Many adherents of Judaism in Jesus’ time were, however, extremely concerned to love God and their neighbors sacrificially.” (Cosby 88)</w:t>
      </w:r>
    </w:p>
    <w:p w14:paraId="23A77358" w14:textId="77777777" w:rsidR="00965C34" w:rsidRDefault="00965C34" w:rsidP="00965C34">
      <w:pPr>
        <w:rPr>
          <w:rFonts w:cs="Times New Roman"/>
          <w:kern w:val="2"/>
          <w14:ligatures w14:val="standardContextual"/>
        </w:rPr>
      </w:pPr>
    </w:p>
    <w:p w14:paraId="53D4D796" w14:textId="1541A2AE" w:rsidR="007856A2" w:rsidRDefault="007856A2" w:rsidP="007856A2">
      <w:pPr>
        <w:jc w:val="center"/>
        <w:rPr>
          <w:rFonts w:cs="Times New Roman"/>
          <w:kern w:val="2"/>
          <w14:ligatures w14:val="standardContextual"/>
        </w:rPr>
      </w:pPr>
      <w:proofErr w:type="spellStart"/>
      <w:r w:rsidRPr="007856A2">
        <w:rPr>
          <w:rFonts w:cs="Times New Roman"/>
          <w:smallCaps/>
          <w:kern w:val="2"/>
          <w14:ligatures w14:val="standardContextual"/>
        </w:rPr>
        <w:t>biblography</w:t>
      </w:r>
      <w:proofErr w:type="spellEnd"/>
    </w:p>
    <w:p w14:paraId="12DD25F3" w14:textId="77777777" w:rsidR="007856A2" w:rsidRDefault="007856A2" w:rsidP="00965C34">
      <w:pPr>
        <w:rPr>
          <w:rFonts w:cs="Times New Roman"/>
          <w:kern w:val="2"/>
          <w14:ligatures w14:val="standardContextual"/>
        </w:rPr>
      </w:pPr>
    </w:p>
    <w:p w14:paraId="0E7AC842" w14:textId="77777777" w:rsidR="007856A2" w:rsidRPr="007856A2" w:rsidRDefault="007856A2" w:rsidP="007856A2">
      <w:pPr>
        <w:ind w:left="720" w:hanging="720"/>
        <w:rPr>
          <w:rFonts w:cs="Times New Roman"/>
          <w:kern w:val="0"/>
        </w:rPr>
      </w:pPr>
      <w:r w:rsidRPr="007856A2">
        <w:rPr>
          <w:rFonts w:cs="Times New Roman"/>
          <w:kern w:val="0"/>
        </w:rPr>
        <w:t xml:space="preserve">Cosby, Michael R. </w:t>
      </w:r>
      <w:r w:rsidRPr="007856A2">
        <w:rPr>
          <w:rFonts w:cs="Times New Roman"/>
          <w:i/>
          <w:iCs/>
          <w:kern w:val="0"/>
        </w:rPr>
        <w:t>Sex in the Bible</w:t>
      </w:r>
      <w:r w:rsidRPr="007856A2">
        <w:rPr>
          <w:rFonts w:cs="Times New Roman"/>
          <w:iCs/>
          <w:kern w:val="0"/>
        </w:rPr>
        <w:t xml:space="preserve">: </w:t>
      </w:r>
      <w:r w:rsidRPr="007856A2">
        <w:rPr>
          <w:rFonts w:cs="Times New Roman"/>
          <w:i/>
          <w:iCs/>
          <w:kern w:val="0"/>
        </w:rPr>
        <w:t>An Introduction to What the Scriptures Teach Us about Sexuality</w:t>
      </w:r>
      <w:r w:rsidRPr="007856A2">
        <w:rPr>
          <w:rFonts w:cs="Times New Roman"/>
          <w:iCs/>
          <w:kern w:val="0"/>
        </w:rPr>
        <w:t xml:space="preserve">. </w:t>
      </w:r>
      <w:r w:rsidRPr="007856A2">
        <w:rPr>
          <w:rFonts w:cs="Times New Roman"/>
          <w:kern w:val="0"/>
        </w:rPr>
        <w:t>Englewood Cliffs: Prentice-Hall, 1984.</w:t>
      </w:r>
    </w:p>
    <w:p w14:paraId="3DFCA383" w14:textId="77777777" w:rsidR="007856A2" w:rsidRDefault="007856A2" w:rsidP="007856A2">
      <w:pPr>
        <w:rPr>
          <w:rFonts w:cs="Times New Roman"/>
          <w:kern w:val="0"/>
        </w:rPr>
      </w:pPr>
    </w:p>
    <w:p w14:paraId="1761344A" w14:textId="120AA8DB" w:rsidR="007856A2" w:rsidRPr="007856A2" w:rsidRDefault="007856A2" w:rsidP="007856A2">
      <w:pPr>
        <w:ind w:left="720" w:hanging="720"/>
        <w:rPr>
          <w:rFonts w:cs="Times New Roman"/>
          <w:kern w:val="0"/>
        </w:rPr>
      </w:pPr>
      <w:r w:rsidRPr="007856A2">
        <w:rPr>
          <w:rFonts w:cs="Times New Roman"/>
          <w:kern w:val="0"/>
        </w:rPr>
        <w:t xml:space="preserve">Johnson, Sherman Elbridge. </w:t>
      </w:r>
      <w:r w:rsidRPr="007856A2">
        <w:rPr>
          <w:rFonts w:cs="Times New Roman"/>
          <w:i/>
          <w:kern w:val="0"/>
        </w:rPr>
        <w:t>A Commentary on the Gospel According to St</w:t>
      </w:r>
      <w:r w:rsidRPr="007856A2">
        <w:rPr>
          <w:rFonts w:cs="Times New Roman"/>
          <w:kern w:val="0"/>
        </w:rPr>
        <w:t xml:space="preserve">. </w:t>
      </w:r>
      <w:r w:rsidRPr="007856A2">
        <w:rPr>
          <w:rFonts w:cs="Times New Roman"/>
          <w:i/>
          <w:kern w:val="0"/>
        </w:rPr>
        <w:t>Mark</w:t>
      </w:r>
      <w:r w:rsidRPr="007856A2">
        <w:rPr>
          <w:rFonts w:cs="Times New Roman"/>
          <w:iCs/>
          <w:kern w:val="0"/>
        </w:rPr>
        <w:t xml:space="preserve">. </w:t>
      </w:r>
      <w:r w:rsidRPr="007856A2">
        <w:rPr>
          <w:rFonts w:cs="Times New Roman"/>
          <w:kern w:val="0"/>
        </w:rPr>
        <w:t>London: Black, 1960.</w:t>
      </w:r>
    </w:p>
    <w:p w14:paraId="380E0FA4" w14:textId="77777777" w:rsidR="007856A2" w:rsidRPr="00664735" w:rsidRDefault="007856A2" w:rsidP="00965C34">
      <w:pPr>
        <w:rPr>
          <w:rFonts w:cs="Times New Roman"/>
          <w:kern w:val="2"/>
          <w14:ligatures w14:val="standardContextual"/>
        </w:rPr>
      </w:pPr>
    </w:p>
    <w:sectPr w:rsidR="007856A2" w:rsidRPr="006647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proofState w:spelling="clean"/>
  <w:revisionView w:insDel="0" w:formatting="0" w:inkAnnotations="0"/>
  <w:defaultTabStop w:val="36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C34"/>
    <w:rsid w:val="002B4696"/>
    <w:rsid w:val="002C240C"/>
    <w:rsid w:val="0046499B"/>
    <w:rsid w:val="00610D7B"/>
    <w:rsid w:val="00664735"/>
    <w:rsid w:val="00717B6F"/>
    <w:rsid w:val="007856A2"/>
    <w:rsid w:val="007C5641"/>
    <w:rsid w:val="00965C34"/>
    <w:rsid w:val="00975BE0"/>
    <w:rsid w:val="00B70342"/>
    <w:rsid w:val="00BF4A3D"/>
    <w:rsid w:val="00DD1554"/>
    <w:rsid w:val="00F37072"/>
    <w:rsid w:val="00FB1B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F0EB9"/>
  <w15:chartTrackingRefBased/>
  <w15:docId w15:val="{DAE7B2E6-2453-4890-8E82-77774F8DF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16"/>
        <w:sz w:val="24"/>
        <w:szCs w:val="24"/>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5C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65C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5C3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5C3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65C3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65C34"/>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65C3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65C3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65C3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5C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5C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5C3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5C3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65C3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65C3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65C3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65C3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65C3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65C3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5C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5C3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5C3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65C3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65C34"/>
    <w:rPr>
      <w:i/>
      <w:iCs/>
      <w:color w:val="404040" w:themeColor="text1" w:themeTint="BF"/>
    </w:rPr>
  </w:style>
  <w:style w:type="paragraph" w:styleId="ListParagraph">
    <w:name w:val="List Paragraph"/>
    <w:basedOn w:val="Normal"/>
    <w:uiPriority w:val="34"/>
    <w:qFormat/>
    <w:rsid w:val="00965C34"/>
    <w:pPr>
      <w:ind w:left="720"/>
      <w:contextualSpacing/>
    </w:pPr>
  </w:style>
  <w:style w:type="character" w:styleId="IntenseEmphasis">
    <w:name w:val="Intense Emphasis"/>
    <w:basedOn w:val="DefaultParagraphFont"/>
    <w:uiPriority w:val="21"/>
    <w:qFormat/>
    <w:rsid w:val="00965C34"/>
    <w:rPr>
      <w:i/>
      <w:iCs/>
      <w:color w:val="0F4761" w:themeColor="accent1" w:themeShade="BF"/>
    </w:rPr>
  </w:style>
  <w:style w:type="paragraph" w:styleId="IntenseQuote">
    <w:name w:val="Intense Quote"/>
    <w:basedOn w:val="Normal"/>
    <w:next w:val="Normal"/>
    <w:link w:val="IntenseQuoteChar"/>
    <w:uiPriority w:val="30"/>
    <w:qFormat/>
    <w:rsid w:val="00965C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5C34"/>
    <w:rPr>
      <w:i/>
      <w:iCs/>
      <w:color w:val="0F4761" w:themeColor="accent1" w:themeShade="BF"/>
    </w:rPr>
  </w:style>
  <w:style w:type="character" w:styleId="IntenseReference">
    <w:name w:val="Intense Reference"/>
    <w:basedOn w:val="DefaultParagraphFont"/>
    <w:uiPriority w:val="32"/>
    <w:qFormat/>
    <w:rsid w:val="00965C3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639</Words>
  <Characters>3644</Characters>
  <Application>Microsoft Office Word</Application>
  <DocSecurity>0</DocSecurity>
  <Lines>30</Lines>
  <Paragraphs>8</Paragraphs>
  <ScaleCrop>false</ScaleCrop>
  <Company/>
  <LinksUpToDate>false</LinksUpToDate>
  <CharactersWithSpaces>4275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Hahn</dc:creator>
  <cp:keywords/>
  <dc:description/>
  <cp:lastModifiedBy>Paul Hahn</cp:lastModifiedBy>
  <cp:revision>2</cp:revision>
  <dcterms:created xsi:type="dcterms:W3CDTF">2025-09-30T10:09:00Z</dcterms:created>
  <dcterms:modified xsi:type="dcterms:W3CDTF">2025-10-13T15:22:00Z</dcterms:modified>
</cp:coreProperties>
</file>