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7C19" w14:textId="5307A8F6" w:rsidR="00BF4A3D" w:rsidRDefault="006C48C6" w:rsidP="006C48C6">
      <w:pPr>
        <w:jc w:val="center"/>
        <w:rPr>
          <w:kern w:val="2"/>
          <w14:ligatures w14:val="standardContextual"/>
        </w:rPr>
      </w:pPr>
      <w:r>
        <w:rPr>
          <w:kern w:val="2"/>
          <w14:ligatures w14:val="standardContextual"/>
        </w:rPr>
        <w:t>SHAMANISM</w:t>
      </w:r>
    </w:p>
    <w:p w14:paraId="3F62561F" w14:textId="7C599B25" w:rsidR="006C48C6" w:rsidRDefault="006C48C6" w:rsidP="006C48C6">
      <w:pPr>
        <w:rPr>
          <w:kern w:val="2"/>
          <w14:ligatures w14:val="standardContextual"/>
        </w:rPr>
      </w:pPr>
    </w:p>
    <w:p w14:paraId="0EA951AB" w14:textId="77777777" w:rsidR="006C48C6" w:rsidRPr="006C48C6" w:rsidRDefault="006C48C6" w:rsidP="006C48C6">
      <w:pPr>
        <w:jc w:val="center"/>
        <w:rPr>
          <w:kern w:val="2"/>
          <w:sz w:val="20"/>
          <w:szCs w:val="20"/>
          <w14:ligatures w14:val="standardContextual"/>
        </w:rPr>
      </w:pPr>
      <w:r w:rsidRPr="006C48C6">
        <w:rPr>
          <w:kern w:val="2"/>
          <w:sz w:val="20"/>
          <w:szCs w:val="20"/>
          <w14:ligatures w14:val="standardContextual"/>
        </w:rPr>
        <w:t>Paul Hahn, Theology Department</w:t>
      </w:r>
    </w:p>
    <w:p w14:paraId="10AED19C" w14:textId="77777777" w:rsidR="006C48C6" w:rsidRPr="006C48C6" w:rsidRDefault="006C48C6" w:rsidP="006C48C6">
      <w:pPr>
        <w:jc w:val="center"/>
        <w:rPr>
          <w:kern w:val="2"/>
          <w:sz w:val="20"/>
          <w:szCs w:val="20"/>
          <w14:ligatures w14:val="standardContextual"/>
        </w:rPr>
      </w:pPr>
      <w:r w:rsidRPr="006C48C6">
        <w:rPr>
          <w:kern w:val="2"/>
          <w:sz w:val="20"/>
          <w:szCs w:val="20"/>
          <w14:ligatures w14:val="standardContextual"/>
        </w:rPr>
        <w:t>University of St Thomas, Houston TX 77006</w:t>
      </w:r>
    </w:p>
    <w:p w14:paraId="25AD0CFE" w14:textId="1DAC01E6" w:rsidR="006C48C6" w:rsidRPr="006C48C6" w:rsidRDefault="006C48C6" w:rsidP="006C48C6">
      <w:pPr>
        <w:jc w:val="center"/>
        <w:rPr>
          <w:kern w:val="2"/>
          <w:sz w:val="20"/>
          <w:szCs w:val="20"/>
          <w14:ligatures w14:val="standardContextual"/>
        </w:rPr>
      </w:pPr>
      <w:r w:rsidRPr="006C48C6">
        <w:rPr>
          <w:kern w:val="2"/>
          <w:sz w:val="20"/>
          <w:szCs w:val="20"/>
          <w14:ligatures w14:val="standardContextual"/>
        </w:rPr>
        <w:t>© 2026, theologyplus.com</w:t>
      </w:r>
    </w:p>
    <w:p w14:paraId="3D951DB4" w14:textId="77777777" w:rsidR="006C48C6" w:rsidRDefault="006C48C6" w:rsidP="006C48C6"/>
    <w:p w14:paraId="330BD82E" w14:textId="77777777" w:rsidR="00A2562F" w:rsidRPr="00315E41" w:rsidRDefault="00A2562F" w:rsidP="006C48C6"/>
    <w:p w14:paraId="4D5678B3" w14:textId="77777777" w:rsidR="006C48C6" w:rsidRPr="00315E41" w:rsidRDefault="006C48C6" w:rsidP="006C48C6">
      <w:pPr>
        <w:jc w:val="center"/>
      </w:pPr>
      <w:r w:rsidRPr="00315E41">
        <w:rPr>
          <w:smallCaps/>
        </w:rPr>
        <w:t>Shamanism in General</w:t>
      </w:r>
    </w:p>
    <w:p w14:paraId="096145FE" w14:textId="77777777" w:rsidR="006C48C6" w:rsidRPr="00315E41" w:rsidRDefault="006C48C6" w:rsidP="006C48C6"/>
    <w:p w14:paraId="4DFE8DC9" w14:textId="6E76842B" w:rsidR="006C48C6" w:rsidRDefault="00A2562F" w:rsidP="006C48C6">
      <w:r w:rsidRPr="00315E41">
        <w:t>A shaman is a witch doctor or medicine man</w:t>
      </w:r>
      <w:r>
        <w:t xml:space="preserve">, an official healer </w:t>
      </w:r>
      <w:r w:rsidR="006C48C6">
        <w:t xml:space="preserve">in a less-developed culture. Shamans </w:t>
      </w:r>
      <w:r w:rsidR="006C48C6" w:rsidRPr="00315E41">
        <w:t>diagnose illnesses and prescribe cures</w:t>
      </w:r>
      <w:r w:rsidR="006C48C6">
        <w:t xml:space="preserve">; they </w:t>
      </w:r>
      <w:r w:rsidR="006C48C6" w:rsidRPr="00315E41">
        <w:t>possess healing powers and perform miracles.</w:t>
      </w:r>
      <w:r w:rsidR="006C48C6">
        <w:t xml:space="preserve"> They often </w:t>
      </w:r>
      <w:r w:rsidR="006C48C6" w:rsidRPr="00315E41">
        <w:t>have extensive knowledge of the natural world—plants and stars, for example.</w:t>
      </w:r>
      <w:r w:rsidR="006C48C6">
        <w:t xml:space="preserve"> </w:t>
      </w:r>
    </w:p>
    <w:p w14:paraId="3A6CC120" w14:textId="77777777" w:rsidR="006C48C6" w:rsidRDefault="006C48C6" w:rsidP="006C48C6"/>
    <w:p w14:paraId="14CBF2AD" w14:textId="7DF38F31" w:rsidR="00201E6D" w:rsidRDefault="006C48C6" w:rsidP="006C48C6">
      <w:r w:rsidRPr="00315E41">
        <w:t xml:space="preserve">In many tribes, the shaman coexists with the sacrificing priest </w:t>
      </w:r>
      <w:r>
        <w:t>(one who performs sacrifices and other rituals in the group’s religion). Or a shaman may be</w:t>
      </w:r>
      <w:r w:rsidRPr="00315E41">
        <w:t xml:space="preserve"> a</w:t>
      </w:r>
      <w:r>
        <w:t xml:space="preserve"> </w:t>
      </w:r>
      <w:r w:rsidRPr="00315E41">
        <w:t>priest</w:t>
      </w:r>
      <w:r>
        <w:t>.</w:t>
      </w:r>
      <w:r w:rsidRPr="00315E41">
        <w:t xml:space="preserve"> </w:t>
      </w:r>
      <w:r w:rsidR="00201E6D">
        <w:t>But s</w:t>
      </w:r>
      <w:r w:rsidR="00201E6D">
        <w:t xml:space="preserve">hamans are </w:t>
      </w:r>
      <w:r w:rsidR="00201E6D" w:rsidRPr="00315E41">
        <w:t>mystic</w:t>
      </w:r>
      <w:r w:rsidR="00201E6D">
        <w:t>s:</w:t>
      </w:r>
      <w:r w:rsidR="00201E6D" w:rsidRPr="006C48C6">
        <w:t xml:space="preserve"> </w:t>
      </w:r>
      <w:r w:rsidR="00201E6D">
        <w:t>i</w:t>
      </w:r>
      <w:r w:rsidR="00201E6D" w:rsidRPr="00315E41">
        <w:t>n experience</w:t>
      </w:r>
      <w:r w:rsidR="00201E6D">
        <w:t xml:space="preserve">s of </w:t>
      </w:r>
      <w:r w:rsidR="00201E6D" w:rsidRPr="00315E41">
        <w:t>ecstasy</w:t>
      </w:r>
      <w:r w:rsidR="00201E6D">
        <w:t xml:space="preserve">, </w:t>
      </w:r>
      <w:r w:rsidR="00201E6D" w:rsidRPr="00315E41">
        <w:t>the</w:t>
      </w:r>
      <w:r w:rsidR="00201E6D">
        <w:t>y</w:t>
      </w:r>
      <w:r w:rsidR="00201E6D" w:rsidRPr="00315E41">
        <w:t xml:space="preserve"> </w:t>
      </w:r>
      <w:r w:rsidR="00201E6D">
        <w:t xml:space="preserve">are </w:t>
      </w:r>
      <w:r w:rsidR="00201E6D" w:rsidRPr="00315E41">
        <w:t>dominant</w:t>
      </w:r>
      <w:r w:rsidR="00201E6D">
        <w:t xml:space="preserve">. </w:t>
      </w:r>
      <w:r w:rsidR="00201E6D" w:rsidRPr="00315E41">
        <w:t>Ecsta</w:t>
      </w:r>
      <w:r w:rsidR="00201E6D">
        <w:t>tic</w:t>
      </w:r>
      <w:r w:rsidR="00201E6D" w:rsidRPr="00315E41">
        <w:t xml:space="preserve"> experience</w:t>
      </w:r>
      <w:r w:rsidR="00201E6D">
        <w:t>s</w:t>
      </w:r>
      <w:r w:rsidR="00201E6D" w:rsidRPr="00315E41">
        <w:t xml:space="preserve"> </w:t>
      </w:r>
      <w:r w:rsidR="00201E6D">
        <w:t xml:space="preserve">are </w:t>
      </w:r>
      <w:r w:rsidR="00201E6D" w:rsidRPr="00315E41">
        <w:t xml:space="preserve">valued for </w:t>
      </w:r>
      <w:r w:rsidR="00201E6D">
        <w:t xml:space="preserve">their </w:t>
      </w:r>
      <w:r w:rsidR="00201E6D" w:rsidRPr="00315E41">
        <w:t>power.</w:t>
      </w:r>
    </w:p>
    <w:p w14:paraId="2A7B037F" w14:textId="77777777" w:rsidR="00201E6D" w:rsidRDefault="00201E6D" w:rsidP="006C48C6"/>
    <w:p w14:paraId="18996328" w14:textId="7AFDD2A1" w:rsidR="00201E6D" w:rsidRPr="00315E41" w:rsidRDefault="00201E6D" w:rsidP="00201E6D">
      <w:r w:rsidRPr="00315E41">
        <w:t xml:space="preserve">Shamans “have the powers to do a variety of tasks such as weather control, seasonal passage, obtaining food resources </w:t>
      </w:r>
      <w:r w:rsidR="00A70BC7">
        <w:t>. . .</w:t>
      </w:r>
      <w:r w:rsidRPr="00315E41">
        <w:t>” (Wright 36-37) But their primary concern is healing the sick.</w:t>
      </w:r>
    </w:p>
    <w:p w14:paraId="4F7DBD29" w14:textId="77777777" w:rsidR="00201E6D" w:rsidRPr="00315E41" w:rsidRDefault="00201E6D" w:rsidP="00201E6D"/>
    <w:p w14:paraId="276BC035" w14:textId="6F299D0E" w:rsidR="006C48C6" w:rsidRPr="00315E41" w:rsidRDefault="006C48C6" w:rsidP="006C48C6">
      <w:r w:rsidRPr="00315E41">
        <w:t xml:space="preserve">Shamans </w:t>
      </w:r>
      <w:r>
        <w:t xml:space="preserve">often </w:t>
      </w:r>
      <w:r w:rsidRPr="00315E41">
        <w:t>combine</w:t>
      </w:r>
      <w:r>
        <w:t xml:space="preserve"> “</w:t>
      </w:r>
      <w:r w:rsidRPr="00315E41">
        <w:t>the roles of physician, pharmacologist, psychotherapist, sociolo</w:t>
      </w:r>
      <w:r w:rsidRPr="00315E41">
        <w:softHyphen/>
        <w:t>gist, philosopher, lawyer, astrologer, and priest—and aspects of other sta</w:t>
      </w:r>
      <w:r w:rsidRPr="00315E41">
        <w:softHyphen/>
        <w:t xml:space="preserve">tuses which in our society have become highly specialized.” </w:t>
      </w:r>
      <w:r>
        <w:t>(</w:t>
      </w:r>
      <w:r w:rsidRPr="00315E41">
        <w:t>Browman and Schwarz</w:t>
      </w:r>
      <w:r>
        <w:t xml:space="preserve"> 7)</w:t>
      </w:r>
    </w:p>
    <w:p w14:paraId="6BB97AFB" w14:textId="77777777" w:rsidR="006C48C6" w:rsidRDefault="006C48C6" w:rsidP="006C48C6"/>
    <w:p w14:paraId="2B85B398" w14:textId="77777777" w:rsidR="00201E6D" w:rsidRPr="00315E41" w:rsidRDefault="00201E6D" w:rsidP="00201E6D">
      <w:r w:rsidRPr="00315E41">
        <w:t xml:space="preserve">Some people, without training, become shamans by surviving near-fatal illnesses. </w:t>
      </w:r>
      <w:r>
        <w:t>They can foreknow events or know of events in other villages.</w:t>
      </w:r>
      <w:r w:rsidRPr="00315E41">
        <w:t xml:space="preserve"> (Wright 37)</w:t>
      </w:r>
    </w:p>
    <w:p w14:paraId="434791CE" w14:textId="77777777" w:rsidR="00201E6D" w:rsidRPr="00315E41" w:rsidRDefault="00201E6D" w:rsidP="00201E6D"/>
    <w:p w14:paraId="45AFE532" w14:textId="1A67E020" w:rsidR="006C48C6" w:rsidRDefault="006C48C6" w:rsidP="006C48C6">
      <w:r w:rsidRPr="00315E41">
        <w:t>The stages of shamanic initiation are virtually universal</w:t>
      </w:r>
      <w:r>
        <w:t>.</w:t>
      </w:r>
      <w:r w:rsidRPr="00315E41">
        <w:t xml:space="preserve"> “</w:t>
      </w:r>
      <w:r w:rsidR="00A70BC7">
        <w:t>. . .</w:t>
      </w:r>
      <w:r w:rsidR="00201E6D">
        <w:t xml:space="preserve"> </w:t>
      </w:r>
      <w:r w:rsidRPr="00315E41">
        <w:t>vocation, with</w:t>
      </w:r>
      <w:r w:rsidRPr="00315E41">
        <w:softHyphen/>
        <w:t>drawal into solitude, ap</w:t>
      </w:r>
      <w:r w:rsidRPr="00315E41">
        <w:softHyphen/>
        <w:t>prenticeship to a master, the acquisition of one or more familiar spirits, symbolic ritual of death and resurrection, secret lan</w:t>
      </w:r>
      <w:r w:rsidRPr="00315E41">
        <w:softHyphen/>
        <w:t>guage, all seem to be evident in shamanistic cultures.” (Eliade 1964)</w:t>
      </w:r>
    </w:p>
    <w:p w14:paraId="07F88C4E" w14:textId="77777777" w:rsidR="006C48C6" w:rsidRDefault="006C48C6" w:rsidP="006C48C6"/>
    <w:p w14:paraId="652B3758" w14:textId="4DAB434E" w:rsidR="006C48C6" w:rsidRPr="00315E41" w:rsidRDefault="006C48C6" w:rsidP="006C48C6">
      <w:r w:rsidRPr="00315E41">
        <w:t>Sick</w:t>
      </w:r>
      <w:r w:rsidRPr="00315E41">
        <w:softHyphen/>
      </w:r>
      <w:r w:rsidRPr="00315E41">
        <w:softHyphen/>
        <w:t>ness, dreams and ecstasies are frequent initiatory happenings</w:t>
      </w:r>
      <w:r w:rsidR="00A2562F">
        <w:t xml:space="preserve">. </w:t>
      </w:r>
      <w:r w:rsidR="00A2562F">
        <w:t>An ecstatic experience</w:t>
      </w:r>
      <w:r w:rsidR="00A2562F">
        <w:t>, especially,</w:t>
      </w:r>
      <w:r w:rsidR="00A2562F">
        <w:t xml:space="preserve"> </w:t>
      </w:r>
      <w:r w:rsidR="00A2562F" w:rsidRPr="00315E41">
        <w:t xml:space="preserve">is </w:t>
      </w:r>
      <w:r w:rsidR="00A2562F">
        <w:t xml:space="preserve">required </w:t>
      </w:r>
      <w:r w:rsidR="00A2562F" w:rsidRPr="00315E41">
        <w:t>before a shaman is publicly re</w:t>
      </w:r>
      <w:r w:rsidR="00A2562F" w:rsidRPr="00315E41">
        <w:softHyphen/>
      </w:r>
      <w:r w:rsidR="00A2562F" w:rsidRPr="00315E41">
        <w:softHyphen/>
        <w:t>cog</w:t>
      </w:r>
      <w:r w:rsidR="00A2562F" w:rsidRPr="00315E41">
        <w:softHyphen/>
        <w:t>nized as a shaman.</w:t>
      </w:r>
      <w:r w:rsidRPr="00315E41">
        <w:t xml:space="preserve"> </w:t>
      </w:r>
      <w:r w:rsidR="00A2562F">
        <w:t xml:space="preserve">Shamans </w:t>
      </w:r>
      <w:r w:rsidRPr="00315E41">
        <w:t>ascen</w:t>
      </w:r>
      <w:r w:rsidR="00A2562F">
        <w:t>d</w:t>
      </w:r>
      <w:r w:rsidRPr="00315E41">
        <w:t xml:space="preserve"> to the sky or descen</w:t>
      </w:r>
      <w:r w:rsidR="00A2562F">
        <w:t>d</w:t>
      </w:r>
      <w:r w:rsidRPr="00315E41">
        <w:t xml:space="preserve"> to the underworld to speak with gods or spirits (especially dead shamans). (Eliade 1964)</w:t>
      </w:r>
    </w:p>
    <w:p w14:paraId="45F70ED9" w14:textId="77777777" w:rsidR="006C48C6" w:rsidRPr="00315E41" w:rsidRDefault="006C48C6" w:rsidP="006C48C6"/>
    <w:p w14:paraId="3201798B" w14:textId="4C32A27D" w:rsidR="006C48C6" w:rsidRPr="00315E41" w:rsidRDefault="006C48C6" w:rsidP="006C48C6">
      <w:r w:rsidRPr="00315E41">
        <w:t xml:space="preserve">Initiations are a renewal of one’s self, almost a death and resurrection. </w:t>
      </w:r>
      <w:r w:rsidR="00A2562F">
        <w:t xml:space="preserve">Shamans undergo </w:t>
      </w:r>
      <w:r w:rsidR="00A2562F" w:rsidRPr="00315E41">
        <w:t>renewal of the internal or</w:t>
      </w:r>
      <w:r w:rsidR="00A2562F" w:rsidRPr="00315E41">
        <w:softHyphen/>
        <w:t>gans</w:t>
      </w:r>
      <w:r w:rsidR="00A2562F">
        <w:t xml:space="preserve">. </w:t>
      </w:r>
      <w:r w:rsidRPr="00315E41">
        <w:t>The shaman is stripped of all that he used to be, from his social and mental hab</w:t>
      </w:r>
      <w:r w:rsidRPr="00315E41">
        <w:softHyphen/>
        <w:t>its to his religious and philosophical ideas.</w:t>
      </w:r>
    </w:p>
    <w:p w14:paraId="7DA093BF" w14:textId="77777777" w:rsidR="006C48C6" w:rsidRPr="00315E41" w:rsidRDefault="006C48C6" w:rsidP="006C48C6"/>
    <w:p w14:paraId="4A2E84B5" w14:textId="77777777" w:rsidR="00201E6D" w:rsidRDefault="00201E6D" w:rsidP="00201E6D">
      <w:r w:rsidRPr="00315E41">
        <w:t>A shaman normally is apprenticed to an already successful shaman; the highest shamans are those who apprentice as children and continue their training into adulthood. Shamans “who in their apprentice</w:t>
      </w:r>
      <w:r w:rsidRPr="00315E41">
        <w:softHyphen/>
        <w:t>ship learned for only a few years of the usual six to eight” have access only to the lower planes of the cosmos and perform only limited kinds of cures. (Wright 36)</w:t>
      </w:r>
    </w:p>
    <w:p w14:paraId="75A5F04A" w14:textId="77777777" w:rsidR="00201E6D" w:rsidRDefault="00201E6D" w:rsidP="00201E6D"/>
    <w:p w14:paraId="145106D1" w14:textId="77777777" w:rsidR="006C48C6" w:rsidRPr="00315E41" w:rsidRDefault="006C48C6" w:rsidP="006C48C6">
      <w:r w:rsidRPr="00315E41">
        <w:t>North American Eskimos and North Asians view the other world as an inverted image of this world. Everything that happens here happens there but in in</w:t>
      </w:r>
      <w:r w:rsidRPr="00315E41">
        <w:softHyphen/>
        <w:t>verted form. For example, rivers flow upstream instead of downstream; when it is day here it is night there. (Eliade 1964)</w:t>
      </w:r>
    </w:p>
    <w:p w14:paraId="037F404B" w14:textId="77777777" w:rsidR="006C48C6" w:rsidRPr="00315E41" w:rsidRDefault="006C48C6" w:rsidP="006C48C6"/>
    <w:p w14:paraId="43D231D9" w14:textId="77777777" w:rsidR="006C48C6" w:rsidRPr="00315E41" w:rsidRDefault="006C48C6" w:rsidP="006C48C6">
      <w:r w:rsidRPr="00315E41">
        <w:t xml:space="preserve">Eskimos believe that illness results from violating a taboo. Or sometimes a dead person’s spirit, fearful of making the journey to the other world alone, will steal another person’s soul, thus making him ill. The shaman in this case will escort the soul </w:t>
      </w:r>
      <w:r>
        <w:t xml:space="preserve">to </w:t>
      </w:r>
      <w:r w:rsidRPr="00315E41">
        <w:t>where it needs to go.</w:t>
      </w:r>
    </w:p>
    <w:p w14:paraId="71CF18F0" w14:textId="77777777" w:rsidR="006C48C6" w:rsidRPr="00315E41" w:rsidRDefault="006C48C6" w:rsidP="006C48C6"/>
    <w:p w14:paraId="30FC977D" w14:textId="7D9E0CEE" w:rsidR="006C48C6" w:rsidRPr="00315E41" w:rsidRDefault="006C48C6" w:rsidP="006C48C6">
      <w:r w:rsidRPr="00315E41">
        <w:t>North American Eskimos and North Asians have a four-tiered universe: the sky, the earth, immedi</w:t>
      </w:r>
      <w:r w:rsidRPr="00315E41">
        <w:softHyphen/>
        <w:t>ately below the earth, and far below the earth. Spirits of the dead inhabit the first, third, and fourth</w:t>
      </w:r>
      <w:r w:rsidR="00A2562F">
        <w:t xml:space="preserve"> levels</w:t>
      </w:r>
      <w:r w:rsidRPr="00315E41">
        <w:t>. In Siberian belief, those who die a violent death or are heroes ascent to the region above the earth. (Eli</w:t>
      </w:r>
      <w:r w:rsidRPr="00315E41">
        <w:softHyphen/>
        <w:t>ade 1964) The adjacent underworld is the only region of famine and despair. Those who die of diseases reside in the far underworld. Precau</w:t>
      </w:r>
      <w:r w:rsidRPr="00315E41">
        <w:softHyphen/>
        <w:t>tions are taken to pre</w:t>
      </w:r>
      <w:r>
        <w:t>v</w:t>
      </w:r>
      <w:r w:rsidRPr="00315E41">
        <w:t>ent the dead from remaining with the living, but family members who have been dead a long time receive elaborate funerals so that they will become guardians.</w:t>
      </w:r>
    </w:p>
    <w:p w14:paraId="654C6A41" w14:textId="4D907DEF" w:rsidR="006C48C6" w:rsidRPr="00315E41" w:rsidRDefault="006C48C6" w:rsidP="006C48C6"/>
    <w:p w14:paraId="3F952345" w14:textId="3EBF3CD8" w:rsidR="006C48C6" w:rsidRPr="00315E41" w:rsidRDefault="006C48C6" w:rsidP="006C48C6">
      <w:r w:rsidRPr="00315E41">
        <w:t>A shaman is a witch doctor or a medicine man because spirits guide him in order to heal. Shamans are thus in constant battle with sorcerers. “Sorcer</w:t>
      </w:r>
      <w:r w:rsidRPr="00315E41">
        <w:softHyphen/>
        <w:t>ers are ordinary people who, driven by spite or envy, secretly introduce spir</w:t>
      </w:r>
      <w:r w:rsidRPr="00315E41">
        <w:softHyphen/>
        <w:t>it darts into the bodies of victims. If the dart isn’t removed by a shaman, the victim dies.” The sorcerer works in secret, the shaman in public. (Brown 8)</w:t>
      </w:r>
    </w:p>
    <w:p w14:paraId="5776D7DF" w14:textId="77777777" w:rsidR="006C48C6" w:rsidRPr="00315E41" w:rsidRDefault="006C48C6" w:rsidP="006C48C6"/>
    <w:p w14:paraId="05445CA2" w14:textId="77777777" w:rsidR="006C48C6" w:rsidRPr="00315E41" w:rsidRDefault="006C48C6" w:rsidP="006C48C6">
      <w:r w:rsidRPr="00315E41">
        <w:t>Only experienced shamans can reach high-level spirits. “Shamans are ranked by their peers and by others of the community on the extent of their knowledge, the efficacy of their cures, and the truthfulness of the advice they give. This ranking is correlated with the proven ability of a shaman to gain access to the several levels of the cosmos, each level being associated with higher and more important spirits and deities.” (Wright 36)</w:t>
      </w:r>
    </w:p>
    <w:p w14:paraId="2AA2656E" w14:textId="77777777" w:rsidR="006C48C6" w:rsidRPr="00315E41" w:rsidRDefault="006C48C6" w:rsidP="006C48C6"/>
    <w:p w14:paraId="167A95FD" w14:textId="191D0D1D" w:rsidR="006C48C6" w:rsidRPr="00315E41" w:rsidRDefault="006C48C6" w:rsidP="006C48C6">
      <w:r w:rsidRPr="00315E41">
        <w:t>Many shamans use hallucinogens to induce trances</w:t>
      </w:r>
      <w:r w:rsidR="00201E6D">
        <w:t>, and a</w:t>
      </w:r>
      <w:r w:rsidR="00201E6D" w:rsidRPr="00315E41">
        <w:t xml:space="preserve">nthropologists </w:t>
      </w:r>
      <w:r w:rsidR="00201E6D">
        <w:t xml:space="preserve">have had </w:t>
      </w:r>
      <w:r w:rsidR="00201E6D" w:rsidRPr="00315E41">
        <w:t>experiences with native hallucinogens</w:t>
      </w:r>
      <w:r w:rsidR="00201E6D">
        <w:t>.</w:t>
      </w:r>
      <w:r w:rsidR="00201E6D" w:rsidRPr="00315E41">
        <w:t xml:space="preserve"> </w:t>
      </w:r>
      <w:r w:rsidR="00201E6D">
        <w:t>(</w:t>
      </w:r>
      <w:r w:rsidR="00201E6D" w:rsidRPr="00315E41">
        <w:t>Harner 9</w:t>
      </w:r>
      <w:r w:rsidR="00201E6D">
        <w:t xml:space="preserve">; </w:t>
      </w:r>
      <w:r w:rsidR="00201E6D" w:rsidRPr="00315E41">
        <w:t>Wright 33</w:t>
      </w:r>
      <w:r w:rsidR="00201E6D">
        <w:t>)</w:t>
      </w:r>
      <w:r w:rsidRPr="00315E41">
        <w:t xml:space="preserve"> </w:t>
      </w:r>
      <w:r w:rsidR="00201E6D" w:rsidRPr="00315E41">
        <w:t>Th</w:t>
      </w:r>
      <w:r w:rsidR="00201E6D">
        <w:t>ough th</w:t>
      </w:r>
      <w:r w:rsidR="00201E6D" w:rsidRPr="00315E41">
        <w:t xml:space="preserve">e </w:t>
      </w:r>
      <w:r w:rsidRPr="00315E41">
        <w:t xml:space="preserve">drugs differ, the </w:t>
      </w:r>
      <w:r w:rsidR="00201E6D" w:rsidRPr="00315E41">
        <w:t>hallucin</w:t>
      </w:r>
      <w:r w:rsidR="00201E6D">
        <w:t xml:space="preserve">ations </w:t>
      </w:r>
      <w:r w:rsidRPr="00315E41">
        <w:t xml:space="preserve">are often similar. </w:t>
      </w:r>
      <w:r>
        <w:t xml:space="preserve">In South America, </w:t>
      </w:r>
      <w:r w:rsidRPr="00315E41">
        <w:t>“The most frequent of these are: (1) brightly col</w:t>
      </w:r>
      <w:r w:rsidRPr="00315E41">
        <w:softHyphen/>
        <w:t xml:space="preserve">ored, large snakes; (2) jaguars and ocelots; (3) spirits, both of ayahuasca [an hallucinogen] and others; (4) large trees, often falling trees; [and] (5) lakes, frequently filled with anacondas and alligators </w:t>
      </w:r>
      <w:r w:rsidR="00A70BC7">
        <w:t>. . .</w:t>
      </w:r>
      <w:r w:rsidRPr="00315E41">
        <w:t>” (Harner 12)</w:t>
      </w:r>
    </w:p>
    <w:p w14:paraId="77D8D336" w14:textId="0EAB5EF9" w:rsidR="006C48C6" w:rsidRDefault="006C48C6" w:rsidP="006C48C6"/>
    <w:p w14:paraId="542BC9AF" w14:textId="2A137409" w:rsidR="006C48C6" w:rsidRPr="00315E41" w:rsidRDefault="00A70BC7" w:rsidP="006C48C6">
      <w:pPr>
        <w:jc w:val="center"/>
      </w:pPr>
      <w:r>
        <w:rPr>
          <w:smallCaps/>
        </w:rPr>
        <w:t>an example</w:t>
      </w:r>
      <w:r>
        <w:t xml:space="preserve">: </w:t>
      </w:r>
      <w:r w:rsidR="006C48C6" w:rsidRPr="00315E41">
        <w:rPr>
          <w:smallCaps/>
        </w:rPr>
        <w:t>Shamanism among the Mongols</w:t>
      </w:r>
    </w:p>
    <w:p w14:paraId="2EE51D36" w14:textId="77777777" w:rsidR="006C48C6" w:rsidRDefault="006C48C6" w:rsidP="006C48C6"/>
    <w:p w14:paraId="558B9AB3" w14:textId="483F00D8" w:rsidR="00A70BC7" w:rsidRDefault="00A70BC7" w:rsidP="00A70BC7">
      <w:r w:rsidRPr="00A70BC7">
        <w:rPr>
          <w:i/>
          <w:iCs/>
        </w:rPr>
        <w:t xml:space="preserve">Mongol </w:t>
      </w:r>
      <w:r>
        <w:rPr>
          <w:i/>
          <w:iCs/>
        </w:rPr>
        <w:t>Religion</w:t>
      </w:r>
    </w:p>
    <w:p w14:paraId="65D5C8F7" w14:textId="77777777" w:rsidR="00A70BC7" w:rsidRPr="00315E41" w:rsidRDefault="00A70BC7" w:rsidP="006C48C6"/>
    <w:p w14:paraId="269E63E8" w14:textId="117075E6" w:rsidR="006C48C6" w:rsidRPr="00315E41" w:rsidRDefault="006C48C6" w:rsidP="006C48C6">
      <w:r w:rsidRPr="00315E41">
        <w:t xml:space="preserve">The Mongols had a legend to explain their own origin: “In the northern forests there roamed a great blue-grey wolf. By the shores of Baikal he took as his consort a tawny doe; and the pair, wandering south together, settled near the </w:t>
      </w:r>
      <w:proofErr w:type="spellStart"/>
      <w:r w:rsidRPr="00315E41">
        <w:t>Kentey</w:t>
      </w:r>
      <w:proofErr w:type="spellEnd"/>
      <w:r w:rsidRPr="00315E41">
        <w:t xml:space="preserve"> range </w:t>
      </w:r>
      <w:r w:rsidR="00A70BC7">
        <w:t>. . .</w:t>
      </w:r>
      <w:r w:rsidRPr="00315E41">
        <w:t xml:space="preserve"> From their union the Mongols sprang: the people of the Blue, or heavenly wolf, as the Turks before them had been the people of the Grey Wolf and the Blue Sky.” (Legg 227)</w:t>
      </w:r>
    </w:p>
    <w:p w14:paraId="256B731B" w14:textId="77777777" w:rsidR="006C48C6" w:rsidRPr="00315E41" w:rsidRDefault="006C48C6" w:rsidP="006C48C6"/>
    <w:p w14:paraId="53D624F6" w14:textId="77777777" w:rsidR="00A70BC7" w:rsidRPr="00315E41" w:rsidRDefault="00A70BC7" w:rsidP="00A70BC7">
      <w:r w:rsidRPr="00315E41">
        <w:t>The Mongols believed that atop a four-sided, pyramidal mountain (the cosmic moun</w:t>
      </w:r>
      <w:r w:rsidRPr="00315E41">
        <w:softHyphen/>
        <w:t>tain, “</w:t>
      </w:r>
      <w:proofErr w:type="spellStart"/>
      <w:r w:rsidRPr="00315E41">
        <w:t>Sumbur</w:t>
      </w:r>
      <w:proofErr w:type="spellEnd"/>
      <w:r w:rsidRPr="00315E41">
        <w:t>”) grew the cosmic tree (“</w:t>
      </w:r>
      <w:proofErr w:type="spellStart"/>
      <w:r w:rsidRPr="00315E41">
        <w:t>Zambu</w:t>
      </w:r>
      <w:proofErr w:type="spellEnd"/>
      <w:r w:rsidRPr="00315E41">
        <w:t>”), identified with “the Gold</w:t>
      </w:r>
      <w:r w:rsidRPr="00315E41">
        <w:softHyphen/>
        <w:t>en Pillar” which upholds the celes</w:t>
      </w:r>
      <w:r w:rsidRPr="00315E41">
        <w:softHyphen/>
        <w:t xml:space="preserve">tial tent at whose apex </w:t>
      </w:r>
      <w:r>
        <w:t>wa</w:t>
      </w:r>
      <w:r w:rsidRPr="00315E41">
        <w:t>s the pole star.</w:t>
      </w:r>
      <w:r>
        <w:t xml:space="preserve"> </w:t>
      </w:r>
      <w:r w:rsidRPr="00315E41">
        <w:t>A Mongolian shaman would pass through the moun</w:t>
      </w:r>
      <w:r w:rsidRPr="00315E41">
        <w:softHyphen/>
        <w:t xml:space="preserve">tain and </w:t>
      </w:r>
      <w:r>
        <w:t xml:space="preserve">the </w:t>
      </w:r>
      <w:r w:rsidRPr="00315E41">
        <w:t>tree (the earth’s axis) to the spiritu</w:t>
      </w:r>
      <w:r w:rsidRPr="00315E41">
        <w:softHyphen/>
        <w:t>al realm (sky or under</w:t>
      </w:r>
      <w:r w:rsidRPr="00315E41">
        <w:softHyphen/>
        <w:t>world).</w:t>
      </w:r>
    </w:p>
    <w:p w14:paraId="5954CB94" w14:textId="77777777" w:rsidR="00A70BC7" w:rsidRDefault="00A70BC7" w:rsidP="00A70BC7"/>
    <w:p w14:paraId="5DF7F3CE" w14:textId="542784F3" w:rsidR="00FE7D1D" w:rsidRPr="00315E41" w:rsidRDefault="00FE7D1D" w:rsidP="00FE7D1D">
      <w:r w:rsidRPr="00315E41">
        <w:lastRenderedPageBreak/>
        <w:t>For Mon</w:t>
      </w:r>
      <w:r w:rsidRPr="00315E41">
        <w:softHyphen/>
        <w:t xml:space="preserve">gols, the universe </w:t>
      </w:r>
      <w:r>
        <w:t>wa</w:t>
      </w:r>
      <w:r w:rsidRPr="00315E41">
        <w:t xml:space="preserve">s three-tiered: sky, earth, </w:t>
      </w:r>
      <w:r>
        <w:t xml:space="preserve">and </w:t>
      </w:r>
      <w:r w:rsidRPr="00315E41">
        <w:t>underworld. Souls re</w:t>
      </w:r>
      <w:r w:rsidRPr="00315E41">
        <w:softHyphen/>
        <w:t>turn to the sky at death, usually in the form of a bird in flight</w:t>
      </w:r>
      <w:r>
        <w:t>.</w:t>
      </w:r>
      <w:r>
        <w:t xml:space="preserve"> E</w:t>
      </w:r>
      <w:r w:rsidRPr="00315E41">
        <w:t>verything</w:t>
      </w:r>
      <w:r w:rsidRPr="00315E41">
        <w:t>, including suffering and happiness, derive</w:t>
      </w:r>
      <w:r>
        <w:t>d</w:t>
      </w:r>
      <w:r w:rsidRPr="00315E41">
        <w:t xml:space="preserve"> from the heavens.</w:t>
      </w:r>
      <w:r>
        <w:t xml:space="preserve"> </w:t>
      </w:r>
      <w:r w:rsidRPr="00315E41">
        <w:t xml:space="preserve">The number of the spirits </w:t>
      </w:r>
      <w:r>
        <w:t>wa</w:t>
      </w:r>
      <w:r w:rsidRPr="00315E41">
        <w:t>s often 99, though this varie</w:t>
      </w:r>
      <w:r>
        <w:t>d</w:t>
      </w:r>
      <w:r w:rsidRPr="00315E41">
        <w:t xml:space="preserve"> from region to re</w:t>
      </w:r>
      <w:r w:rsidRPr="00315E41">
        <w:softHyphen/>
        <w:t>gion.</w:t>
      </w:r>
    </w:p>
    <w:p w14:paraId="0C510AFE" w14:textId="77777777" w:rsidR="00FE7D1D" w:rsidRPr="00315E41" w:rsidRDefault="00FE7D1D" w:rsidP="00FE7D1D"/>
    <w:p w14:paraId="2512E148" w14:textId="77777777" w:rsidR="00A70BC7" w:rsidRPr="00315E41" w:rsidRDefault="00A70BC7" w:rsidP="00A70BC7">
      <w:r w:rsidRPr="00315E41">
        <w:t>The Mongols associate</w:t>
      </w:r>
      <w:r>
        <w:t>d</w:t>
      </w:r>
      <w:r w:rsidRPr="00315E41">
        <w:t xml:space="preserve"> fire with purification and power.</w:t>
      </w:r>
      <w:r>
        <w:t xml:space="preserve"> They </w:t>
      </w:r>
      <w:r w:rsidRPr="00315E41">
        <w:t>believed that the blood contained the soul.</w:t>
      </w:r>
      <w:r>
        <w:t xml:space="preserve"> They </w:t>
      </w:r>
      <w:r w:rsidRPr="00315E41">
        <w:t>had a vague believe that at the end of time, the sky would collapse.</w:t>
      </w:r>
    </w:p>
    <w:p w14:paraId="531C4F9A" w14:textId="77777777" w:rsidR="00A70BC7" w:rsidRDefault="00A70BC7" w:rsidP="006C48C6"/>
    <w:p w14:paraId="3210C5C0" w14:textId="173A501B" w:rsidR="00A70BC7" w:rsidRDefault="00A70BC7" w:rsidP="006C48C6">
      <w:r w:rsidRPr="00A70BC7">
        <w:rPr>
          <w:i/>
          <w:iCs/>
        </w:rPr>
        <w:t xml:space="preserve">Mongol </w:t>
      </w:r>
      <w:r w:rsidRPr="00A70BC7">
        <w:rPr>
          <w:i/>
          <w:iCs/>
        </w:rPr>
        <w:t>Shamanism</w:t>
      </w:r>
    </w:p>
    <w:p w14:paraId="4DEE96C6" w14:textId="77777777" w:rsidR="00A70BC7" w:rsidRDefault="00A70BC7" w:rsidP="006C48C6"/>
    <w:p w14:paraId="262B92A6" w14:textId="4694BCD0" w:rsidR="006C48C6" w:rsidRPr="00315E41" w:rsidRDefault="006C48C6" w:rsidP="006C48C6">
      <w:r w:rsidRPr="00315E41">
        <w:t>Shamanism began in ancestor worship. Mongols kept images of ancestors in their tents and believed that they provided protection.</w:t>
      </w:r>
    </w:p>
    <w:p w14:paraId="70A5BADA" w14:textId="77777777" w:rsidR="006C48C6" w:rsidRPr="00315E41" w:rsidRDefault="006C48C6" w:rsidP="006C48C6"/>
    <w:p w14:paraId="5834DEEC" w14:textId="4D0B5CA6" w:rsidR="006C48C6" w:rsidRPr="00315E41" w:rsidRDefault="00A70BC7" w:rsidP="006C48C6">
      <w:r>
        <w:t xml:space="preserve">Genghis </w:t>
      </w:r>
      <w:r w:rsidR="006C48C6" w:rsidRPr="00315E41">
        <w:t xml:space="preserve">Khan </w:t>
      </w:r>
      <w:r>
        <w:t xml:space="preserve">(c. 1162-1227) </w:t>
      </w:r>
      <w:r w:rsidR="006C48C6" w:rsidRPr="00315E41">
        <w:t xml:space="preserve">believed he was the incarnation of Tengri, the supreme sky god (more fully, </w:t>
      </w:r>
      <w:proofErr w:type="spellStart"/>
      <w:r w:rsidR="006C48C6" w:rsidRPr="00315E41">
        <w:t>Qormusta</w:t>
      </w:r>
      <w:proofErr w:type="spellEnd"/>
      <w:r w:rsidR="006C48C6" w:rsidRPr="00315E41">
        <w:t xml:space="preserve"> Tengri)</w:t>
      </w:r>
      <w:r>
        <w:t>. C</w:t>
      </w:r>
      <w:r w:rsidR="006C48C6" w:rsidRPr="00315E41">
        <w:t>onsequently, “refusal to acknowledge the Khan’s supremacy was blasphemy and sacrilege.” (Saunders 68)</w:t>
      </w:r>
      <w:r>
        <w:t xml:space="preserve"> </w:t>
      </w:r>
      <w:r w:rsidRPr="00315E41">
        <w:t xml:space="preserve">The shamanic clergy of Mongolia had a great deal of power in </w:t>
      </w:r>
      <w:r>
        <w:t xml:space="preserve">Genghis </w:t>
      </w:r>
      <w:r w:rsidRPr="00315E41">
        <w:t>Khan’s empire.</w:t>
      </w:r>
    </w:p>
    <w:p w14:paraId="7F58D5ED" w14:textId="77777777" w:rsidR="006C48C6" w:rsidRPr="00315E41" w:rsidRDefault="006C48C6" w:rsidP="006C48C6"/>
    <w:p w14:paraId="0E13EF45" w14:textId="324799D2" w:rsidR="006C48C6" w:rsidRPr="00315E41" w:rsidRDefault="006C48C6" w:rsidP="006C48C6">
      <w:r w:rsidRPr="00315E41">
        <w:t>Shamans develop</w:t>
      </w:r>
      <w:r w:rsidR="00A70BC7">
        <w:t>ed</w:t>
      </w:r>
      <w:r w:rsidRPr="00315E41">
        <w:t xml:space="preserve"> through two training stages. In the first, they increase</w:t>
      </w:r>
      <w:r w:rsidR="00A70BC7">
        <w:t>d</w:t>
      </w:r>
      <w:r w:rsidRPr="00315E41">
        <w:t xml:space="preserve"> perception through, e.g., pain and hyperventilation. In the second, they control</w:t>
      </w:r>
      <w:r w:rsidR="00A70BC7">
        <w:t>led</w:t>
      </w:r>
      <w:r w:rsidRPr="00315E41">
        <w:t xml:space="preserve"> internal imagery and thereby learn</w:t>
      </w:r>
      <w:r w:rsidR="00A70BC7">
        <w:t>ed</w:t>
      </w:r>
      <w:r w:rsidRPr="00315E41">
        <w:t xml:space="preserve"> to control spirits.</w:t>
      </w:r>
    </w:p>
    <w:p w14:paraId="2DCEDB72" w14:textId="77777777" w:rsidR="006C48C6" w:rsidRPr="00315E41" w:rsidRDefault="006C48C6" w:rsidP="006C48C6"/>
    <w:p w14:paraId="73C572C9" w14:textId="0A9B83DA" w:rsidR="006C48C6" w:rsidRPr="00315E41" w:rsidRDefault="00A70BC7" w:rsidP="006C48C6">
      <w:r>
        <w:t xml:space="preserve">The shaman </w:t>
      </w:r>
      <w:r w:rsidR="006C48C6" w:rsidRPr="00315E41">
        <w:t>“was the master of ceremonies at feasts and used his powers to prevent drought or storms to achieve military prowess.” (</w:t>
      </w:r>
      <w:proofErr w:type="spellStart"/>
      <w:r w:rsidR="006C48C6" w:rsidRPr="00315E41">
        <w:t>Ratch</w:t>
      </w:r>
      <w:r w:rsidR="006C48C6">
        <w:t>n</w:t>
      </w:r>
      <w:r w:rsidR="006C48C6" w:rsidRPr="00315E41">
        <w:t>evsky</w:t>
      </w:r>
      <w:proofErr w:type="spellEnd"/>
      <w:r w:rsidR="006C48C6" w:rsidRPr="00315E41">
        <w:t xml:space="preserve"> 197; </w:t>
      </w:r>
      <w:r w:rsidR="006C48C6">
        <w:t>see</w:t>
      </w:r>
      <w:r w:rsidR="006C48C6" w:rsidRPr="00315E41">
        <w:t xml:space="preserve"> 156-58)</w:t>
      </w:r>
    </w:p>
    <w:p w14:paraId="118C5097" w14:textId="77777777" w:rsidR="006C48C6" w:rsidRPr="00315E41" w:rsidRDefault="006C48C6" w:rsidP="006C48C6"/>
    <w:p w14:paraId="4EFC7C88" w14:textId="77777777" w:rsidR="006C48C6" w:rsidRPr="00315E41" w:rsidRDefault="006C48C6" w:rsidP="006C48C6">
      <w:r w:rsidRPr="00315E41">
        <w:t>If a person were ill, a shaman would seek the patient’s soul, capture it, and make it return to its body.</w:t>
      </w:r>
    </w:p>
    <w:p w14:paraId="5888D6BD" w14:textId="77777777" w:rsidR="006C48C6" w:rsidRDefault="006C48C6" w:rsidP="006C48C6"/>
    <w:p w14:paraId="14A3003B" w14:textId="17D084F0" w:rsidR="006C48C6" w:rsidRDefault="00A70BC7" w:rsidP="006C48C6">
      <w:pPr>
        <w:jc w:val="center"/>
      </w:pPr>
      <w:r>
        <w:rPr>
          <w:smallCaps/>
        </w:rPr>
        <w:t>works cited</w:t>
      </w:r>
    </w:p>
    <w:p w14:paraId="4C4C9CAB" w14:textId="77777777" w:rsidR="006C48C6" w:rsidRDefault="006C48C6" w:rsidP="006C48C6"/>
    <w:p w14:paraId="7837BFE2" w14:textId="77777777" w:rsidR="00201E6D" w:rsidRPr="006C48C6" w:rsidRDefault="00201E6D" w:rsidP="00201E6D">
      <w:pPr>
        <w:pStyle w:val="doubleindent"/>
        <w:ind w:left="720" w:right="0"/>
        <w:rPr>
          <w:kern w:val="0"/>
          <w:sz w:val="20"/>
          <w:szCs w:val="20"/>
        </w:rPr>
      </w:pPr>
      <w:r w:rsidRPr="006C48C6">
        <w:rPr>
          <w:kern w:val="0"/>
          <w:sz w:val="20"/>
          <w:szCs w:val="20"/>
        </w:rPr>
        <w:t xml:space="preserve">Browman, David L, and </w:t>
      </w:r>
      <w:r w:rsidRPr="00201E6D">
        <w:rPr>
          <w:kern w:val="0"/>
          <w:sz w:val="20"/>
        </w:rPr>
        <w:t>Ronald</w:t>
      </w:r>
      <w:r w:rsidRPr="006C48C6">
        <w:rPr>
          <w:kern w:val="0"/>
          <w:sz w:val="20"/>
          <w:szCs w:val="20"/>
        </w:rPr>
        <w:t xml:space="preserve"> A. Schwarz. </w:t>
      </w:r>
      <w:r w:rsidRPr="006C48C6">
        <w:rPr>
          <w:i/>
          <w:kern w:val="0"/>
          <w:sz w:val="20"/>
          <w:szCs w:val="20"/>
        </w:rPr>
        <w:t>Spirits</w:t>
      </w:r>
      <w:r w:rsidRPr="006C48C6">
        <w:rPr>
          <w:kern w:val="0"/>
          <w:sz w:val="20"/>
          <w:szCs w:val="20"/>
        </w:rPr>
        <w:t xml:space="preserve">, </w:t>
      </w:r>
      <w:r w:rsidRPr="006C48C6">
        <w:rPr>
          <w:i/>
          <w:kern w:val="0"/>
          <w:sz w:val="20"/>
          <w:szCs w:val="20"/>
        </w:rPr>
        <w:t>Shamans</w:t>
      </w:r>
      <w:r w:rsidRPr="006C48C6">
        <w:rPr>
          <w:kern w:val="0"/>
          <w:sz w:val="20"/>
          <w:szCs w:val="20"/>
        </w:rPr>
        <w:t xml:space="preserve">, </w:t>
      </w:r>
      <w:r w:rsidRPr="006C48C6">
        <w:rPr>
          <w:i/>
          <w:kern w:val="0"/>
          <w:sz w:val="20"/>
          <w:szCs w:val="20"/>
        </w:rPr>
        <w:t>and Stars</w:t>
      </w:r>
      <w:r w:rsidRPr="006C48C6">
        <w:rPr>
          <w:kern w:val="0"/>
          <w:sz w:val="20"/>
          <w:szCs w:val="20"/>
        </w:rPr>
        <w:t xml:space="preserve">: </w:t>
      </w:r>
      <w:r w:rsidRPr="006C48C6">
        <w:rPr>
          <w:i/>
          <w:kern w:val="0"/>
          <w:sz w:val="20"/>
          <w:szCs w:val="20"/>
        </w:rPr>
        <w:t>Perspectives from South America</w:t>
      </w:r>
      <w:r w:rsidRPr="006C48C6">
        <w:rPr>
          <w:kern w:val="0"/>
          <w:sz w:val="20"/>
          <w:szCs w:val="20"/>
        </w:rPr>
        <w:t>. New York: Mouton, 1979.</w:t>
      </w:r>
    </w:p>
    <w:p w14:paraId="0DC947AD" w14:textId="77777777" w:rsidR="00201E6D" w:rsidRPr="006C48C6" w:rsidRDefault="00201E6D" w:rsidP="00201E6D">
      <w:pPr>
        <w:pStyle w:val="doubleindent"/>
        <w:ind w:left="720" w:right="0"/>
        <w:rPr>
          <w:kern w:val="0"/>
          <w:sz w:val="20"/>
          <w:szCs w:val="20"/>
        </w:rPr>
      </w:pPr>
      <w:r w:rsidRPr="006C48C6">
        <w:rPr>
          <w:kern w:val="0"/>
          <w:sz w:val="20"/>
          <w:szCs w:val="20"/>
        </w:rPr>
        <w:t xml:space="preserve">Eliade, </w:t>
      </w:r>
      <w:r w:rsidRPr="00201E6D">
        <w:rPr>
          <w:kern w:val="0"/>
          <w:sz w:val="20"/>
        </w:rPr>
        <w:t>Mircea</w:t>
      </w:r>
      <w:r w:rsidRPr="006C48C6">
        <w:rPr>
          <w:kern w:val="0"/>
          <w:sz w:val="20"/>
          <w:szCs w:val="20"/>
        </w:rPr>
        <w:t xml:space="preserve">. </w:t>
      </w:r>
      <w:r w:rsidRPr="006C48C6">
        <w:rPr>
          <w:i/>
          <w:kern w:val="0"/>
          <w:sz w:val="20"/>
          <w:szCs w:val="20"/>
        </w:rPr>
        <w:t>Shamanism</w:t>
      </w:r>
      <w:r w:rsidRPr="006C48C6">
        <w:rPr>
          <w:kern w:val="0"/>
          <w:sz w:val="20"/>
          <w:szCs w:val="20"/>
        </w:rPr>
        <w:t xml:space="preserve">: </w:t>
      </w:r>
      <w:r w:rsidRPr="006C48C6">
        <w:rPr>
          <w:i/>
          <w:kern w:val="0"/>
          <w:sz w:val="20"/>
          <w:szCs w:val="20"/>
        </w:rPr>
        <w:t>Archaic Techniques of Ecstasy</w:t>
      </w:r>
      <w:r w:rsidRPr="006C48C6">
        <w:rPr>
          <w:kern w:val="0"/>
          <w:sz w:val="20"/>
          <w:szCs w:val="20"/>
        </w:rPr>
        <w:t>. Paris: Princeton UP, 1964.</w:t>
      </w:r>
    </w:p>
    <w:p w14:paraId="7DCF7403" w14:textId="77777777" w:rsidR="00201E6D" w:rsidRPr="00A2562F" w:rsidRDefault="00201E6D" w:rsidP="00201E6D">
      <w:pPr>
        <w:pStyle w:val="doubleindent"/>
        <w:ind w:left="720" w:right="0"/>
        <w:rPr>
          <w:kern w:val="0"/>
          <w:sz w:val="20"/>
          <w:szCs w:val="20"/>
        </w:rPr>
      </w:pPr>
      <w:r w:rsidRPr="00A2562F">
        <w:rPr>
          <w:kern w:val="0"/>
          <w:sz w:val="20"/>
          <w:szCs w:val="20"/>
        </w:rPr>
        <w:t xml:space="preserve">Harner, </w:t>
      </w:r>
      <w:r w:rsidRPr="00201E6D">
        <w:rPr>
          <w:kern w:val="0"/>
          <w:sz w:val="20"/>
        </w:rPr>
        <w:t>Michael</w:t>
      </w:r>
      <w:r w:rsidRPr="00A2562F">
        <w:rPr>
          <w:kern w:val="0"/>
          <w:sz w:val="20"/>
          <w:szCs w:val="20"/>
        </w:rPr>
        <w:t xml:space="preserve"> J. </w:t>
      </w:r>
      <w:r w:rsidRPr="00A2562F">
        <w:rPr>
          <w:i/>
          <w:kern w:val="0"/>
          <w:sz w:val="20"/>
          <w:szCs w:val="20"/>
        </w:rPr>
        <w:t>Hallucinogens and Shamanism</w:t>
      </w:r>
      <w:r w:rsidRPr="00A2562F">
        <w:rPr>
          <w:kern w:val="0"/>
          <w:sz w:val="20"/>
          <w:szCs w:val="20"/>
        </w:rPr>
        <w:t>. Oxford: OUP, 1973.</w:t>
      </w:r>
    </w:p>
    <w:p w14:paraId="4D6EF192" w14:textId="77777777" w:rsidR="00B940C0" w:rsidRPr="00B940C0" w:rsidRDefault="00B940C0" w:rsidP="00B940C0">
      <w:pPr>
        <w:pStyle w:val="doubleindent"/>
        <w:ind w:left="720" w:right="0"/>
        <w:rPr>
          <w:sz w:val="20"/>
          <w:szCs w:val="20"/>
        </w:rPr>
      </w:pPr>
      <w:r w:rsidRPr="00B940C0">
        <w:rPr>
          <w:sz w:val="20"/>
          <w:szCs w:val="20"/>
        </w:rPr>
        <w:t xml:space="preserve">Legg, </w:t>
      </w:r>
      <w:r w:rsidRPr="00B940C0">
        <w:rPr>
          <w:sz w:val="20"/>
          <w:szCs w:val="16"/>
        </w:rPr>
        <w:t>Stuart</w:t>
      </w:r>
      <w:r w:rsidRPr="00B940C0">
        <w:rPr>
          <w:sz w:val="20"/>
          <w:szCs w:val="20"/>
        </w:rPr>
        <w:t xml:space="preserve">. </w:t>
      </w:r>
      <w:r w:rsidRPr="00B940C0">
        <w:rPr>
          <w:i/>
          <w:sz w:val="20"/>
          <w:szCs w:val="20"/>
        </w:rPr>
        <w:t>The Barbarians of Asia</w:t>
      </w:r>
      <w:r w:rsidRPr="00B940C0">
        <w:rPr>
          <w:sz w:val="20"/>
          <w:szCs w:val="20"/>
        </w:rPr>
        <w:t xml:space="preserve">. New York: Farrar, Straus and Giroux, 1970 (as </w:t>
      </w:r>
      <w:r w:rsidRPr="00B940C0">
        <w:rPr>
          <w:i/>
          <w:sz w:val="20"/>
          <w:szCs w:val="20"/>
        </w:rPr>
        <w:t>The Heartland</w:t>
      </w:r>
      <w:r w:rsidRPr="00B940C0">
        <w:rPr>
          <w:sz w:val="20"/>
          <w:szCs w:val="20"/>
        </w:rPr>
        <w:t>). Rpt. New York: Dorset, 1990.</w:t>
      </w:r>
    </w:p>
    <w:p w14:paraId="343652E5" w14:textId="2644EA04" w:rsidR="00B940C0" w:rsidRPr="00B940C0" w:rsidRDefault="00B940C0" w:rsidP="00B940C0">
      <w:pPr>
        <w:pStyle w:val="doubleindent"/>
        <w:ind w:left="720" w:right="0"/>
        <w:rPr>
          <w:kern w:val="0"/>
          <w:sz w:val="20"/>
          <w:szCs w:val="16"/>
        </w:rPr>
      </w:pPr>
      <w:r w:rsidRPr="00B940C0">
        <w:rPr>
          <w:kern w:val="0"/>
          <w:sz w:val="20"/>
          <w:szCs w:val="20"/>
        </w:rPr>
        <w:t xml:space="preserve">Ratchnevsky, Paul. </w:t>
      </w:r>
      <w:proofErr w:type="spellStart"/>
      <w:r w:rsidRPr="00B940C0">
        <w:rPr>
          <w:i/>
          <w:kern w:val="0"/>
          <w:sz w:val="20"/>
          <w:szCs w:val="20"/>
        </w:rPr>
        <w:t>Ghenghis</w:t>
      </w:r>
      <w:proofErr w:type="spellEnd"/>
      <w:r w:rsidRPr="00B940C0">
        <w:rPr>
          <w:i/>
          <w:kern w:val="0"/>
          <w:sz w:val="20"/>
          <w:szCs w:val="20"/>
        </w:rPr>
        <w:t xml:space="preserve"> Khan</w:t>
      </w:r>
      <w:r w:rsidRPr="00B940C0">
        <w:rPr>
          <w:kern w:val="0"/>
          <w:sz w:val="20"/>
          <w:szCs w:val="20"/>
        </w:rPr>
        <w:t xml:space="preserve">: </w:t>
      </w:r>
      <w:r w:rsidRPr="00B940C0">
        <w:rPr>
          <w:i/>
          <w:kern w:val="0"/>
          <w:sz w:val="20"/>
          <w:szCs w:val="20"/>
        </w:rPr>
        <w:t>His Life and Legacy</w:t>
      </w:r>
      <w:r w:rsidRPr="00B940C0">
        <w:rPr>
          <w:kern w:val="0"/>
          <w:sz w:val="20"/>
          <w:szCs w:val="20"/>
        </w:rPr>
        <w:t xml:space="preserve">. Trans. and ed. </w:t>
      </w:r>
      <w:r w:rsidRPr="00B940C0">
        <w:rPr>
          <w:rFonts w:eastAsia="Arial Unicode MS" w:hint="eastAsia"/>
          <w:kern w:val="0"/>
          <w:sz w:val="20"/>
          <w:szCs w:val="16"/>
          <w:shd w:val="clear" w:color="auto" w:fill="FFFFFF"/>
        </w:rPr>
        <w:t>Thomas Nivison Haining</w:t>
      </w:r>
      <w:r w:rsidRPr="00B940C0">
        <w:rPr>
          <w:rFonts w:eastAsia="Arial Unicode MS"/>
          <w:kern w:val="0"/>
          <w:sz w:val="20"/>
          <w:szCs w:val="16"/>
          <w:shd w:val="clear" w:color="auto" w:fill="FFFFFF"/>
        </w:rPr>
        <w:t xml:space="preserve">. </w:t>
      </w:r>
      <w:r>
        <w:rPr>
          <w:kern w:val="0"/>
          <w:sz w:val="20"/>
          <w:szCs w:val="20"/>
        </w:rPr>
        <w:t xml:space="preserve">Peekskill NY: </w:t>
      </w:r>
      <w:r w:rsidRPr="00B940C0">
        <w:rPr>
          <w:kern w:val="0"/>
          <w:sz w:val="20"/>
          <w:szCs w:val="20"/>
        </w:rPr>
        <w:t>Young People</w:t>
      </w:r>
      <w:r>
        <w:rPr>
          <w:kern w:val="0"/>
          <w:sz w:val="20"/>
          <w:szCs w:val="20"/>
        </w:rPr>
        <w:t>’</w:t>
      </w:r>
      <w:r w:rsidRPr="00B940C0">
        <w:rPr>
          <w:kern w:val="0"/>
          <w:sz w:val="20"/>
          <w:szCs w:val="20"/>
        </w:rPr>
        <w:t>s Library of Historical Briefs</w:t>
      </w:r>
      <w:r>
        <w:rPr>
          <w:kern w:val="0"/>
          <w:sz w:val="20"/>
          <w:szCs w:val="20"/>
        </w:rPr>
        <w:t>,</w:t>
      </w:r>
      <w:r w:rsidRPr="00B940C0">
        <w:rPr>
          <w:kern w:val="0"/>
          <w:sz w:val="20"/>
          <w:szCs w:val="20"/>
        </w:rPr>
        <w:t xml:space="preserve"> </w:t>
      </w:r>
      <w:r>
        <w:rPr>
          <w:kern w:val="0"/>
          <w:sz w:val="20"/>
          <w:szCs w:val="20"/>
        </w:rPr>
        <w:t>1975.</w:t>
      </w:r>
    </w:p>
    <w:p w14:paraId="2316E167" w14:textId="24301E2A" w:rsidR="00B940C0" w:rsidRPr="00B940C0" w:rsidRDefault="00B940C0" w:rsidP="00B940C0">
      <w:pPr>
        <w:pStyle w:val="doubleindent"/>
        <w:ind w:left="720" w:right="0"/>
        <w:rPr>
          <w:kern w:val="0"/>
          <w:sz w:val="20"/>
          <w:szCs w:val="20"/>
        </w:rPr>
      </w:pPr>
      <w:r w:rsidRPr="00B940C0">
        <w:rPr>
          <w:kern w:val="0"/>
          <w:sz w:val="20"/>
          <w:szCs w:val="20"/>
        </w:rPr>
        <w:t xml:space="preserve">Saunders, J.J. </w:t>
      </w:r>
      <w:r w:rsidRPr="00B940C0">
        <w:rPr>
          <w:i/>
          <w:kern w:val="0"/>
          <w:sz w:val="20"/>
          <w:szCs w:val="20"/>
        </w:rPr>
        <w:t>The History of the Mongol Conquests</w:t>
      </w:r>
      <w:r w:rsidRPr="00B940C0">
        <w:rPr>
          <w:kern w:val="0"/>
          <w:sz w:val="20"/>
          <w:szCs w:val="20"/>
        </w:rPr>
        <w:t>. New York: Barnes and Noble, 1971.</w:t>
      </w:r>
    </w:p>
    <w:p w14:paraId="1AA291D3" w14:textId="77777777" w:rsidR="00201E6D" w:rsidRPr="00A2562F" w:rsidRDefault="00201E6D" w:rsidP="00201E6D">
      <w:pPr>
        <w:pStyle w:val="doubleindent"/>
        <w:ind w:left="720" w:right="0"/>
        <w:rPr>
          <w:kern w:val="0"/>
          <w:sz w:val="20"/>
          <w:szCs w:val="20"/>
        </w:rPr>
      </w:pPr>
      <w:r w:rsidRPr="00A2562F">
        <w:rPr>
          <w:kern w:val="0"/>
          <w:sz w:val="20"/>
          <w:szCs w:val="20"/>
        </w:rPr>
        <w:t xml:space="preserve">Wright, </w:t>
      </w:r>
      <w:r w:rsidRPr="00201E6D">
        <w:rPr>
          <w:kern w:val="0"/>
          <w:sz w:val="20"/>
        </w:rPr>
        <w:t>Robin</w:t>
      </w:r>
      <w:r w:rsidRPr="00A2562F">
        <w:rPr>
          <w:kern w:val="0"/>
          <w:sz w:val="20"/>
          <w:szCs w:val="20"/>
        </w:rPr>
        <w:t xml:space="preserve"> M. “Guardians of the Cosmos: </w:t>
      </w:r>
      <w:proofErr w:type="spellStart"/>
      <w:r w:rsidRPr="00A2562F">
        <w:rPr>
          <w:kern w:val="0"/>
          <w:sz w:val="20"/>
          <w:szCs w:val="20"/>
        </w:rPr>
        <w:t>Baniwa</w:t>
      </w:r>
      <w:proofErr w:type="spellEnd"/>
      <w:r w:rsidRPr="00A2562F">
        <w:rPr>
          <w:kern w:val="0"/>
          <w:sz w:val="20"/>
          <w:szCs w:val="20"/>
        </w:rPr>
        <w:t xml:space="preserve"> Shamans and Prophets, Part I.” </w:t>
      </w:r>
      <w:r w:rsidRPr="00A2562F">
        <w:rPr>
          <w:i/>
          <w:kern w:val="0"/>
          <w:sz w:val="20"/>
          <w:szCs w:val="20"/>
        </w:rPr>
        <w:t>History of Religions</w:t>
      </w:r>
      <w:r w:rsidRPr="00A2562F">
        <w:rPr>
          <w:kern w:val="0"/>
          <w:sz w:val="20"/>
          <w:szCs w:val="20"/>
        </w:rPr>
        <w:t xml:space="preserve"> (August 1992) 32-58.</w:t>
      </w:r>
    </w:p>
    <w:p w14:paraId="68EA1BC2" w14:textId="77777777" w:rsidR="00201E6D" w:rsidRDefault="00201E6D" w:rsidP="006C48C6"/>
    <w:p w14:paraId="3679791C" w14:textId="7BA5D721" w:rsidR="00201E6D" w:rsidRPr="00A70BC7" w:rsidRDefault="00A70BC7" w:rsidP="00201E6D">
      <w:pPr>
        <w:jc w:val="center"/>
      </w:pPr>
      <w:r w:rsidRPr="00A70BC7">
        <w:rPr>
          <w:smallCaps/>
        </w:rPr>
        <w:t>additional bibliograph</w:t>
      </w:r>
      <w:r w:rsidR="00201E6D" w:rsidRPr="00A70BC7">
        <w:rPr>
          <w:smallCaps/>
        </w:rPr>
        <w:t>y</w:t>
      </w:r>
    </w:p>
    <w:p w14:paraId="038C3667" w14:textId="77777777" w:rsidR="00201E6D" w:rsidRDefault="00201E6D" w:rsidP="006C48C6"/>
    <w:p w14:paraId="32231FAB" w14:textId="77777777" w:rsidR="006C48C6" w:rsidRPr="00893446" w:rsidRDefault="006C48C6" w:rsidP="00201E6D">
      <w:pPr>
        <w:pStyle w:val="doubleindent"/>
        <w:ind w:left="720" w:right="0"/>
        <w:rPr>
          <w:kern w:val="0"/>
          <w:sz w:val="20"/>
        </w:rPr>
      </w:pPr>
      <w:proofErr w:type="spellStart"/>
      <w:r w:rsidRPr="00893446">
        <w:rPr>
          <w:kern w:val="0"/>
          <w:sz w:val="20"/>
        </w:rPr>
        <w:t>Arhem</w:t>
      </w:r>
      <w:proofErr w:type="spellEnd"/>
      <w:r w:rsidRPr="00893446">
        <w:rPr>
          <w:kern w:val="0"/>
          <w:sz w:val="20"/>
        </w:rPr>
        <w:t xml:space="preserve">, Kaj. “Dance of the Water People.” </w:t>
      </w:r>
      <w:r w:rsidRPr="00893446">
        <w:rPr>
          <w:i/>
          <w:kern w:val="0"/>
          <w:sz w:val="20"/>
        </w:rPr>
        <w:t>Natural History</w:t>
      </w:r>
      <w:r w:rsidRPr="00893446">
        <w:rPr>
          <w:kern w:val="0"/>
          <w:sz w:val="20"/>
        </w:rPr>
        <w:t xml:space="preserve"> (January 1992) 47-52.</w:t>
      </w:r>
    </w:p>
    <w:p w14:paraId="0882AAE8" w14:textId="77777777" w:rsidR="006C48C6" w:rsidRPr="00893446" w:rsidRDefault="006C48C6" w:rsidP="00201E6D">
      <w:pPr>
        <w:pStyle w:val="doubleindent"/>
        <w:ind w:left="720" w:right="0"/>
        <w:rPr>
          <w:kern w:val="0"/>
          <w:sz w:val="20"/>
        </w:rPr>
      </w:pPr>
      <w:r w:rsidRPr="00893446">
        <w:rPr>
          <w:kern w:val="0"/>
          <w:sz w:val="20"/>
        </w:rPr>
        <w:t xml:space="preserve">Black Elk, Wallace H., and William S. Lyon. </w:t>
      </w:r>
      <w:r w:rsidRPr="00893446">
        <w:rPr>
          <w:i/>
          <w:kern w:val="0"/>
          <w:sz w:val="20"/>
        </w:rPr>
        <w:t>Black Elk</w:t>
      </w:r>
      <w:r w:rsidRPr="00893446">
        <w:rPr>
          <w:kern w:val="0"/>
          <w:sz w:val="20"/>
        </w:rPr>
        <w:t xml:space="preserve">: </w:t>
      </w:r>
      <w:r w:rsidRPr="00893446">
        <w:rPr>
          <w:i/>
          <w:kern w:val="0"/>
          <w:sz w:val="20"/>
        </w:rPr>
        <w:t>The Sacred Ways of a Lakota</w:t>
      </w:r>
      <w:r w:rsidRPr="00893446">
        <w:rPr>
          <w:kern w:val="0"/>
          <w:sz w:val="20"/>
        </w:rPr>
        <w:t>. New York: Harper and Row, 1990.</w:t>
      </w:r>
    </w:p>
    <w:p w14:paraId="17E33A36" w14:textId="77777777" w:rsidR="006C48C6" w:rsidRPr="00893446" w:rsidRDefault="006C48C6" w:rsidP="00201E6D">
      <w:pPr>
        <w:pStyle w:val="doubleindent"/>
        <w:ind w:left="720" w:right="0"/>
        <w:rPr>
          <w:kern w:val="0"/>
          <w:sz w:val="20"/>
        </w:rPr>
      </w:pPr>
      <w:r w:rsidRPr="00893446">
        <w:rPr>
          <w:kern w:val="0"/>
          <w:sz w:val="20"/>
        </w:rPr>
        <w:t xml:space="preserve">Bonnefoy, Yves. </w:t>
      </w:r>
      <w:r w:rsidRPr="00893446">
        <w:rPr>
          <w:i/>
          <w:kern w:val="0"/>
          <w:sz w:val="20"/>
        </w:rPr>
        <w:t>Mythologies</w:t>
      </w:r>
      <w:r w:rsidRPr="00893446">
        <w:rPr>
          <w:kern w:val="0"/>
          <w:sz w:val="20"/>
        </w:rPr>
        <w:t>. Chicago: University of Chicago P, 1991.</w:t>
      </w:r>
    </w:p>
    <w:p w14:paraId="033CD860" w14:textId="77777777" w:rsidR="006C48C6" w:rsidRPr="00893446" w:rsidRDefault="006C48C6" w:rsidP="00201E6D">
      <w:pPr>
        <w:pStyle w:val="doubleindent"/>
        <w:ind w:left="720" w:right="0"/>
        <w:rPr>
          <w:kern w:val="0"/>
          <w:sz w:val="20"/>
        </w:rPr>
      </w:pPr>
      <w:r w:rsidRPr="00893446">
        <w:rPr>
          <w:kern w:val="0"/>
          <w:sz w:val="20"/>
        </w:rPr>
        <w:t xml:space="preserve">Kakar, Sudhir. </w:t>
      </w:r>
      <w:r w:rsidRPr="00893446">
        <w:rPr>
          <w:i/>
          <w:kern w:val="0"/>
          <w:sz w:val="20"/>
        </w:rPr>
        <w:t>Shamans</w:t>
      </w:r>
      <w:r w:rsidRPr="00893446">
        <w:rPr>
          <w:kern w:val="0"/>
          <w:sz w:val="20"/>
        </w:rPr>
        <w:t xml:space="preserve">: </w:t>
      </w:r>
      <w:r w:rsidRPr="00893446">
        <w:rPr>
          <w:i/>
          <w:kern w:val="0"/>
          <w:sz w:val="20"/>
        </w:rPr>
        <w:t>Mystics and Doctors</w:t>
      </w:r>
      <w:r w:rsidRPr="00893446">
        <w:rPr>
          <w:kern w:val="0"/>
          <w:sz w:val="20"/>
        </w:rPr>
        <w:t xml:space="preserve">: </w:t>
      </w:r>
      <w:r w:rsidRPr="00893446">
        <w:rPr>
          <w:i/>
          <w:kern w:val="0"/>
          <w:sz w:val="20"/>
        </w:rPr>
        <w:t>A Psychological Inquiry into India and Its Healing Traditions</w:t>
      </w:r>
      <w:r w:rsidRPr="00893446">
        <w:rPr>
          <w:kern w:val="0"/>
          <w:sz w:val="20"/>
        </w:rPr>
        <w:t>. New York: Alfred A. Knopf, 1982.</w:t>
      </w:r>
    </w:p>
    <w:p w14:paraId="50459B8A" w14:textId="77777777" w:rsidR="006C48C6" w:rsidRPr="00893446" w:rsidRDefault="006C48C6" w:rsidP="00201E6D">
      <w:pPr>
        <w:pStyle w:val="doubleindent"/>
        <w:ind w:left="720" w:right="0"/>
        <w:rPr>
          <w:kern w:val="0"/>
          <w:sz w:val="20"/>
        </w:rPr>
      </w:pPr>
      <w:r w:rsidRPr="00893446">
        <w:rPr>
          <w:kern w:val="0"/>
          <w:sz w:val="20"/>
        </w:rPr>
        <w:lastRenderedPageBreak/>
        <w:t xml:space="preserve">Lewis, I.M. </w:t>
      </w:r>
      <w:r w:rsidRPr="00893446">
        <w:rPr>
          <w:i/>
          <w:kern w:val="0"/>
          <w:sz w:val="20"/>
        </w:rPr>
        <w:t>Religion in Context</w:t>
      </w:r>
      <w:r w:rsidRPr="00893446">
        <w:rPr>
          <w:kern w:val="0"/>
          <w:sz w:val="20"/>
        </w:rPr>
        <w:t xml:space="preserve">: </w:t>
      </w:r>
      <w:r w:rsidRPr="00893446">
        <w:rPr>
          <w:i/>
          <w:kern w:val="0"/>
          <w:sz w:val="20"/>
        </w:rPr>
        <w:t>Cults and Charisma</w:t>
      </w:r>
      <w:r w:rsidRPr="00893446">
        <w:rPr>
          <w:kern w:val="0"/>
          <w:sz w:val="20"/>
        </w:rPr>
        <w:t>. New York: CUP, 1986.</w:t>
      </w:r>
    </w:p>
    <w:p w14:paraId="196CCD9C" w14:textId="77777777" w:rsidR="006C48C6" w:rsidRPr="00893446" w:rsidRDefault="006C48C6" w:rsidP="00201E6D">
      <w:pPr>
        <w:pStyle w:val="doubleindent"/>
        <w:ind w:left="720" w:right="0"/>
        <w:rPr>
          <w:kern w:val="0"/>
          <w:sz w:val="20"/>
        </w:rPr>
      </w:pPr>
      <w:r w:rsidRPr="00893446">
        <w:rPr>
          <w:kern w:val="0"/>
          <w:sz w:val="20"/>
        </w:rPr>
        <w:t xml:space="preserve">Lewis, Thomas H. </w:t>
      </w:r>
      <w:r w:rsidRPr="00893446">
        <w:rPr>
          <w:i/>
          <w:kern w:val="0"/>
          <w:sz w:val="20"/>
        </w:rPr>
        <w:t>The Medicine Men</w:t>
      </w:r>
      <w:r w:rsidRPr="00893446">
        <w:rPr>
          <w:kern w:val="0"/>
          <w:sz w:val="20"/>
        </w:rPr>
        <w:t xml:space="preserve">: </w:t>
      </w:r>
      <w:r w:rsidRPr="00893446">
        <w:rPr>
          <w:i/>
          <w:kern w:val="0"/>
          <w:sz w:val="20"/>
        </w:rPr>
        <w:t>Oglala Sioux Ceremony and Healing</w:t>
      </w:r>
      <w:r w:rsidRPr="00893446">
        <w:rPr>
          <w:kern w:val="0"/>
          <w:sz w:val="20"/>
        </w:rPr>
        <w:t>. Ne</w:t>
      </w:r>
      <w:r w:rsidRPr="00893446">
        <w:rPr>
          <w:kern w:val="0"/>
          <w:sz w:val="20"/>
        </w:rPr>
        <w:softHyphen/>
        <w:t>braska: U of Nebraska P, 1990.</w:t>
      </w:r>
    </w:p>
    <w:p w14:paraId="0F1955B8" w14:textId="7E18A74B" w:rsidR="006C48C6" w:rsidRDefault="006C48C6" w:rsidP="00201E6D">
      <w:pPr>
        <w:ind w:left="720" w:hanging="720"/>
        <w:rPr>
          <w:kern w:val="2"/>
          <w14:ligatures w14:val="standardContextual"/>
        </w:rPr>
      </w:pPr>
      <w:r w:rsidRPr="00893446">
        <w:rPr>
          <w:sz w:val="20"/>
        </w:rPr>
        <w:t xml:space="preserve">Long, Charles H. </w:t>
      </w:r>
      <w:r w:rsidRPr="00893446">
        <w:rPr>
          <w:i/>
          <w:sz w:val="20"/>
        </w:rPr>
        <w:t>Significations</w:t>
      </w:r>
      <w:r w:rsidRPr="00893446">
        <w:rPr>
          <w:sz w:val="20"/>
        </w:rPr>
        <w:t xml:space="preserve">: </w:t>
      </w:r>
      <w:r w:rsidRPr="00893446">
        <w:rPr>
          <w:i/>
          <w:sz w:val="20"/>
        </w:rPr>
        <w:t>Signs</w:t>
      </w:r>
      <w:r w:rsidRPr="00893446">
        <w:rPr>
          <w:sz w:val="20"/>
        </w:rPr>
        <w:t xml:space="preserve">, </w:t>
      </w:r>
      <w:r w:rsidRPr="00893446">
        <w:rPr>
          <w:i/>
          <w:sz w:val="20"/>
        </w:rPr>
        <w:t>Symbols</w:t>
      </w:r>
      <w:r w:rsidRPr="00893446">
        <w:rPr>
          <w:sz w:val="20"/>
        </w:rPr>
        <w:t xml:space="preserve">, </w:t>
      </w:r>
      <w:r w:rsidRPr="00893446">
        <w:rPr>
          <w:i/>
          <w:sz w:val="20"/>
        </w:rPr>
        <w:t>and Images in the Interpre</w:t>
      </w:r>
      <w:r w:rsidRPr="00893446">
        <w:rPr>
          <w:i/>
          <w:sz w:val="20"/>
        </w:rPr>
        <w:softHyphen/>
        <w:t>tation of Religion</w:t>
      </w:r>
      <w:r w:rsidRPr="00893446">
        <w:rPr>
          <w:sz w:val="20"/>
        </w:rPr>
        <w:t>. Philadelphia: Fortress, 1986.</w:t>
      </w:r>
    </w:p>
    <w:p w14:paraId="6C58EB3E" w14:textId="77777777" w:rsidR="006C48C6" w:rsidRPr="006C48C6" w:rsidRDefault="006C48C6" w:rsidP="006C48C6">
      <w:pPr>
        <w:rPr>
          <w:kern w:val="2"/>
          <w14:ligatures w14:val="standardContextual"/>
        </w:rPr>
      </w:pPr>
    </w:p>
    <w:sectPr w:rsidR="006C48C6" w:rsidRPr="006C4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C6"/>
    <w:rsid w:val="00201E6D"/>
    <w:rsid w:val="002B4696"/>
    <w:rsid w:val="002C240C"/>
    <w:rsid w:val="0046499B"/>
    <w:rsid w:val="004D4F6A"/>
    <w:rsid w:val="00610D7B"/>
    <w:rsid w:val="00664735"/>
    <w:rsid w:val="006C48C6"/>
    <w:rsid w:val="007C5641"/>
    <w:rsid w:val="00975BE0"/>
    <w:rsid w:val="00A2562F"/>
    <w:rsid w:val="00A70BC7"/>
    <w:rsid w:val="00B70342"/>
    <w:rsid w:val="00B940C0"/>
    <w:rsid w:val="00BF4A3D"/>
    <w:rsid w:val="00F37072"/>
    <w:rsid w:val="00FB1BAF"/>
    <w:rsid w:val="00FE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541A"/>
  <w15:chartTrackingRefBased/>
  <w15:docId w15:val="{AED69DDA-FADA-4C58-9B9C-7167A850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BC7"/>
    <w:pPr>
      <w:spacing w:after="0" w:line="240" w:lineRule="auto"/>
      <w:jc w:val="both"/>
    </w:pPr>
    <w:rPr>
      <w:rFonts w:eastAsia="Times New Roman" w:cs="Times New Roman"/>
      <w:kern w:val="0"/>
    </w:rPr>
  </w:style>
  <w:style w:type="paragraph" w:styleId="Heading1">
    <w:name w:val="heading 1"/>
    <w:basedOn w:val="Normal"/>
    <w:next w:val="Normal"/>
    <w:link w:val="Heading1Char"/>
    <w:uiPriority w:val="9"/>
    <w:qFormat/>
    <w:rsid w:val="006C4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8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8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48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48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48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48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48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8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8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48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48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48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48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48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48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8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8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48C6"/>
    <w:pPr>
      <w:spacing w:before="160"/>
      <w:jc w:val="center"/>
    </w:pPr>
    <w:rPr>
      <w:i/>
      <w:iCs/>
      <w:color w:val="404040" w:themeColor="text1" w:themeTint="BF"/>
    </w:rPr>
  </w:style>
  <w:style w:type="character" w:customStyle="1" w:styleId="QuoteChar">
    <w:name w:val="Quote Char"/>
    <w:basedOn w:val="DefaultParagraphFont"/>
    <w:link w:val="Quote"/>
    <w:uiPriority w:val="29"/>
    <w:rsid w:val="006C48C6"/>
    <w:rPr>
      <w:i/>
      <w:iCs/>
      <w:color w:val="404040" w:themeColor="text1" w:themeTint="BF"/>
    </w:rPr>
  </w:style>
  <w:style w:type="paragraph" w:styleId="ListParagraph">
    <w:name w:val="List Paragraph"/>
    <w:basedOn w:val="Normal"/>
    <w:uiPriority w:val="34"/>
    <w:qFormat/>
    <w:rsid w:val="006C48C6"/>
    <w:pPr>
      <w:ind w:left="720"/>
      <w:contextualSpacing/>
    </w:pPr>
  </w:style>
  <w:style w:type="character" w:styleId="IntenseEmphasis">
    <w:name w:val="Intense Emphasis"/>
    <w:basedOn w:val="DefaultParagraphFont"/>
    <w:uiPriority w:val="21"/>
    <w:qFormat/>
    <w:rsid w:val="006C48C6"/>
    <w:rPr>
      <w:i/>
      <w:iCs/>
      <w:color w:val="0F4761" w:themeColor="accent1" w:themeShade="BF"/>
    </w:rPr>
  </w:style>
  <w:style w:type="paragraph" w:styleId="IntenseQuote">
    <w:name w:val="Intense Quote"/>
    <w:basedOn w:val="Normal"/>
    <w:next w:val="Normal"/>
    <w:link w:val="IntenseQuoteChar"/>
    <w:uiPriority w:val="30"/>
    <w:qFormat/>
    <w:rsid w:val="006C4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8C6"/>
    <w:rPr>
      <w:i/>
      <w:iCs/>
      <w:color w:val="0F4761" w:themeColor="accent1" w:themeShade="BF"/>
    </w:rPr>
  </w:style>
  <w:style w:type="character" w:styleId="IntenseReference">
    <w:name w:val="Intense Reference"/>
    <w:basedOn w:val="DefaultParagraphFont"/>
    <w:uiPriority w:val="32"/>
    <w:qFormat/>
    <w:rsid w:val="006C48C6"/>
    <w:rPr>
      <w:b/>
      <w:bCs/>
      <w:smallCaps/>
      <w:color w:val="0F4761" w:themeColor="accent1" w:themeShade="BF"/>
      <w:spacing w:val="5"/>
    </w:rPr>
  </w:style>
  <w:style w:type="paragraph" w:customStyle="1" w:styleId="doubleindent">
    <w:name w:val="double indent"/>
    <w:basedOn w:val="Normal"/>
    <w:next w:val="Normal"/>
    <w:uiPriority w:val="9"/>
    <w:unhideWhenUsed/>
    <w:rsid w:val="006C48C6"/>
    <w:pPr>
      <w:ind w:left="1440" w:right="720" w:hanging="720"/>
    </w:pPr>
    <w:rPr>
      <w:color w:val="000000"/>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2025-09-29T14:45:00Z</dcterms:created>
  <dcterms:modified xsi:type="dcterms:W3CDTF">2025-09-29T15:47:00Z</dcterms:modified>
</cp:coreProperties>
</file>