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84A7A" w14:textId="47DA3F9A" w:rsidR="000A7160" w:rsidRPr="000A7160" w:rsidRDefault="000A7160" w:rsidP="000A7160">
      <w:pPr>
        <w:jc w:val="center"/>
        <w:rPr>
          <w:rFonts w:eastAsiaTheme="majorEastAsia"/>
          <w:kern w:val="2"/>
          <w:szCs w:val="28"/>
          <w14:ligatures w14:val="standardContextual"/>
        </w:rPr>
      </w:pPr>
      <w:r w:rsidRPr="000A7160">
        <w:rPr>
          <w:rFonts w:eastAsiaTheme="majorEastAsia"/>
          <w:kern w:val="2"/>
          <w:szCs w:val="28"/>
          <w14:ligatures w14:val="standardContextual"/>
        </w:rPr>
        <w:t>CHURCH TEXTS ON DOCTRINAL DEVELOPMENT:</w:t>
      </w:r>
    </w:p>
    <w:p w14:paraId="301DADB1" w14:textId="56B4F2AB" w:rsidR="000A7160" w:rsidRPr="000A7160" w:rsidRDefault="000A7160" w:rsidP="000A7160">
      <w:pPr>
        <w:jc w:val="center"/>
        <w:rPr>
          <w:kern w:val="2"/>
          <w14:ligatures w14:val="standardContextual"/>
        </w:rPr>
      </w:pPr>
      <w:r w:rsidRPr="000A7160">
        <w:rPr>
          <w:rFonts w:eastAsiaTheme="majorEastAsia"/>
          <w:kern w:val="2"/>
          <w:szCs w:val="28"/>
          <w14:ligatures w14:val="standardContextual"/>
        </w:rPr>
        <w:t>UNCHANGEABLE TRUTH AND CHANGEABLE EXPRESSION</w:t>
      </w:r>
    </w:p>
    <w:p w14:paraId="64188CE1" w14:textId="01555C06" w:rsidR="000A7160" w:rsidRDefault="000A7160" w:rsidP="000A7160">
      <w:pPr>
        <w:rPr>
          <w:rFonts w:eastAsiaTheme="majorEastAsia"/>
          <w:kern w:val="2"/>
          <w:szCs w:val="28"/>
          <w14:ligatures w14:val="standardContextual"/>
        </w:rPr>
      </w:pPr>
    </w:p>
    <w:p w14:paraId="4E2D1843" w14:textId="77777777" w:rsidR="000A7160" w:rsidRPr="000A7160" w:rsidRDefault="000A7160" w:rsidP="000A7160">
      <w:pPr>
        <w:jc w:val="center"/>
        <w:rPr>
          <w:rFonts w:eastAsiaTheme="majorEastAsia"/>
          <w:kern w:val="2"/>
          <w:sz w:val="20"/>
          <w:szCs w:val="22"/>
          <w14:ligatures w14:val="standardContextual"/>
        </w:rPr>
      </w:pPr>
      <w:r w:rsidRPr="000A7160">
        <w:rPr>
          <w:rFonts w:eastAsiaTheme="majorEastAsia"/>
          <w:kern w:val="2"/>
          <w:sz w:val="20"/>
          <w:szCs w:val="22"/>
          <w14:ligatures w14:val="standardContextual"/>
        </w:rPr>
        <w:t>Paul Hahn, Theology Department</w:t>
      </w:r>
    </w:p>
    <w:p w14:paraId="3308AD0A" w14:textId="77777777" w:rsidR="000A7160" w:rsidRPr="000A7160" w:rsidRDefault="000A7160" w:rsidP="000A7160">
      <w:pPr>
        <w:jc w:val="center"/>
        <w:rPr>
          <w:rFonts w:eastAsiaTheme="majorEastAsia"/>
          <w:kern w:val="2"/>
          <w:sz w:val="20"/>
          <w:szCs w:val="22"/>
          <w14:ligatures w14:val="standardContextual"/>
        </w:rPr>
      </w:pPr>
      <w:r w:rsidRPr="000A7160">
        <w:rPr>
          <w:rFonts w:eastAsiaTheme="majorEastAsia"/>
          <w:kern w:val="2"/>
          <w:sz w:val="20"/>
          <w:szCs w:val="22"/>
          <w14:ligatures w14:val="standardContextual"/>
        </w:rPr>
        <w:t>University of St Thomas, Houston TX 77006</w:t>
      </w:r>
    </w:p>
    <w:p w14:paraId="36F0B195" w14:textId="6EE32548" w:rsidR="000A7160" w:rsidRPr="000A7160" w:rsidRDefault="000A7160" w:rsidP="000A7160">
      <w:pPr>
        <w:jc w:val="center"/>
        <w:rPr>
          <w:rFonts w:eastAsiaTheme="majorEastAsia"/>
          <w:kern w:val="2"/>
          <w:sz w:val="20"/>
          <w:szCs w:val="22"/>
          <w14:ligatures w14:val="standardContextual"/>
        </w:rPr>
      </w:pPr>
      <w:r w:rsidRPr="000A7160">
        <w:rPr>
          <w:rFonts w:eastAsiaTheme="majorEastAsia"/>
          <w:kern w:val="2"/>
          <w:sz w:val="20"/>
          <w:szCs w:val="22"/>
          <w14:ligatures w14:val="standardContextual"/>
        </w:rPr>
        <w:t>© 2026, theologyplus.com</w:t>
      </w:r>
    </w:p>
    <w:p w14:paraId="7D9D3A09" w14:textId="77777777" w:rsidR="000A7160" w:rsidRDefault="000A7160" w:rsidP="000A7160"/>
    <w:p w14:paraId="49768D53" w14:textId="77777777" w:rsidR="000A7160" w:rsidRDefault="000A7160" w:rsidP="000A7160"/>
    <w:p w14:paraId="13C86A33" w14:textId="77777777" w:rsidR="000A7160" w:rsidRPr="008F72E3" w:rsidRDefault="000A7160" w:rsidP="000A7160">
      <w:pPr>
        <w:jc w:val="center"/>
      </w:pPr>
      <w:r w:rsidRPr="008F72E3">
        <w:rPr>
          <w:smallCaps/>
        </w:rPr>
        <w:t>the meaning of dogmas does not change</w:t>
      </w:r>
    </w:p>
    <w:p w14:paraId="0A9EF4FB" w14:textId="77777777" w:rsidR="000A7160" w:rsidRPr="008F72E3" w:rsidRDefault="000A7160" w:rsidP="000A7160"/>
    <w:p w14:paraId="0F28FB7B" w14:textId="77777777" w:rsidR="000A7160" w:rsidRDefault="000A7160" w:rsidP="000704A4">
      <w:pPr>
        <w:rPr>
          <w:bCs/>
        </w:rPr>
      </w:pPr>
      <w:r w:rsidRPr="00DF2E91">
        <w:rPr>
          <w:b/>
        </w:rPr>
        <w:t>Vatican I</w:t>
      </w:r>
      <w:r>
        <w:rPr>
          <w:bCs/>
        </w:rPr>
        <w:t xml:space="preserve"> (1869-70)</w:t>
      </w:r>
    </w:p>
    <w:p w14:paraId="39330A0B" w14:textId="77777777" w:rsidR="000704A4" w:rsidRPr="00DF2E91" w:rsidRDefault="000704A4" w:rsidP="000704A4"/>
    <w:p w14:paraId="32445D4D" w14:textId="77777777" w:rsidR="000A7160" w:rsidRDefault="000A7160" w:rsidP="000704A4">
      <w:pPr>
        <w:ind w:left="360"/>
      </w:pPr>
      <w:r w:rsidRPr="00DF2E91">
        <w:rPr>
          <w:bCs/>
        </w:rPr>
        <w:t>Vatican I</w:t>
      </w:r>
      <w:r w:rsidRPr="00DF2E91">
        <w:t xml:space="preserve"> </w:t>
      </w:r>
      <w:r w:rsidRPr="00DF2E91">
        <w:rPr>
          <w:sz w:val="20"/>
        </w:rPr>
        <w:t>(</w:t>
      </w:r>
      <w:r w:rsidRPr="00DF2E91">
        <w:rPr>
          <w:bCs/>
          <w:sz w:val="20"/>
        </w:rPr>
        <w:t xml:space="preserve">dogmatic constitution </w:t>
      </w:r>
      <w:r w:rsidRPr="00DF2E91">
        <w:rPr>
          <w:bCs/>
          <w:i/>
          <w:sz w:val="20"/>
        </w:rPr>
        <w:t>Dei Filius</w:t>
      </w:r>
      <w:r w:rsidRPr="00DF2E91">
        <w:rPr>
          <w:sz w:val="20"/>
        </w:rPr>
        <w:t xml:space="preserve"> </w:t>
      </w:r>
      <w:r>
        <w:rPr>
          <w:sz w:val="20"/>
        </w:rPr>
        <w:t>[</w:t>
      </w:r>
      <w:r w:rsidRPr="00AA6871">
        <w:rPr>
          <w:sz w:val="20"/>
        </w:rPr>
        <w:t>24</w:t>
      </w:r>
      <w:r>
        <w:rPr>
          <w:sz w:val="20"/>
        </w:rPr>
        <w:t xml:space="preserve"> Apr. 1870] </w:t>
      </w:r>
      <w:proofErr w:type="spellStart"/>
      <w:r w:rsidRPr="00DF2E91">
        <w:rPr>
          <w:sz w:val="20"/>
        </w:rPr>
        <w:t>ch.</w:t>
      </w:r>
      <w:proofErr w:type="spellEnd"/>
      <w:r w:rsidRPr="00DF2E91">
        <w:rPr>
          <w:sz w:val="20"/>
        </w:rPr>
        <w:t xml:space="preserve"> 4</w:t>
      </w:r>
      <w:r>
        <w:rPr>
          <w:sz w:val="20"/>
        </w:rPr>
        <w:t xml:space="preserve">, </w:t>
      </w:r>
      <w:r w:rsidRPr="00B02DB4">
        <w:rPr>
          <w:sz w:val="20"/>
        </w:rPr>
        <w:t>DS 3020</w:t>
      </w:r>
      <w:r w:rsidRPr="00DF2E91">
        <w:rPr>
          <w:sz w:val="20"/>
        </w:rPr>
        <w:t>)</w:t>
      </w:r>
      <w:r w:rsidRPr="00DF2E91">
        <w:t>: “</w:t>
      </w:r>
      <w:r>
        <w:t>the same signification (of sacred dogmas) is to be forever retained once our Holy Mother the Church has defined it, and under no pretext of deeper penetration may that meaning be weakened.”</w:t>
      </w:r>
    </w:p>
    <w:p w14:paraId="03BC0E9F" w14:textId="77777777" w:rsidR="000A7160" w:rsidRDefault="000A7160" w:rsidP="000704A4">
      <w:pPr>
        <w:ind w:left="360"/>
      </w:pPr>
      <w:r w:rsidRPr="00DF2E91">
        <w:rPr>
          <w:bCs/>
        </w:rPr>
        <w:t>Vatican I</w:t>
      </w:r>
      <w:r w:rsidRPr="00DF2E91">
        <w:t xml:space="preserve"> </w:t>
      </w:r>
      <w:r w:rsidRPr="00DF2E91">
        <w:rPr>
          <w:sz w:val="20"/>
        </w:rPr>
        <w:t>(</w:t>
      </w:r>
      <w:r w:rsidRPr="00DF2E91">
        <w:rPr>
          <w:bCs/>
          <w:sz w:val="20"/>
        </w:rPr>
        <w:t xml:space="preserve">dogmatic constitution </w:t>
      </w:r>
      <w:r w:rsidRPr="00DF2E91">
        <w:rPr>
          <w:bCs/>
          <w:i/>
          <w:sz w:val="20"/>
        </w:rPr>
        <w:t>Dei Filius</w:t>
      </w:r>
      <w:r w:rsidRPr="00DF2E91">
        <w:rPr>
          <w:sz w:val="20"/>
        </w:rPr>
        <w:t xml:space="preserve"> </w:t>
      </w:r>
      <w:r>
        <w:rPr>
          <w:sz w:val="20"/>
        </w:rPr>
        <w:t>[</w:t>
      </w:r>
      <w:r w:rsidRPr="00AA6871">
        <w:rPr>
          <w:sz w:val="20"/>
        </w:rPr>
        <w:t>24</w:t>
      </w:r>
      <w:r>
        <w:rPr>
          <w:sz w:val="20"/>
        </w:rPr>
        <w:t xml:space="preserve"> Apr. 1870] canon 3, </w:t>
      </w:r>
      <w:r w:rsidRPr="007B449A">
        <w:rPr>
          <w:sz w:val="20"/>
        </w:rPr>
        <w:t>DS 3043)</w:t>
      </w:r>
      <w:r>
        <w:rPr>
          <w:sz w:val="20"/>
        </w:rPr>
        <w:t xml:space="preserve">: </w:t>
      </w:r>
      <w:r>
        <w:t>it is false that “dogmas once proposed by the Church must, with the progress of science be given a meaning other than that which was understood by the Church, or which she understands.”</w:t>
      </w:r>
    </w:p>
    <w:p w14:paraId="60898D5A" w14:textId="77777777" w:rsidR="000A7160" w:rsidRPr="00DF2E91" w:rsidRDefault="000A7160" w:rsidP="000A7160"/>
    <w:p w14:paraId="18009A40" w14:textId="77777777" w:rsidR="000A7160" w:rsidRDefault="000A7160" w:rsidP="000704A4">
      <w:pPr>
        <w:rPr>
          <w:bCs/>
        </w:rPr>
      </w:pPr>
      <w:r w:rsidRPr="00AA6871">
        <w:rPr>
          <w:b/>
        </w:rPr>
        <w:t>Paul VI</w:t>
      </w:r>
      <w:r>
        <w:rPr>
          <w:bCs/>
        </w:rPr>
        <w:t xml:space="preserve"> (1963-78</w:t>
      </w:r>
      <w:r w:rsidRPr="00907659">
        <w:rPr>
          <w:bCs/>
        </w:rPr>
        <w:t>)</w:t>
      </w:r>
    </w:p>
    <w:p w14:paraId="20926504" w14:textId="77777777" w:rsidR="000704A4" w:rsidRPr="00907659" w:rsidRDefault="000704A4" w:rsidP="000704A4">
      <w:pPr>
        <w:rPr>
          <w:bCs/>
        </w:rPr>
      </w:pPr>
    </w:p>
    <w:p w14:paraId="6A2A59F2" w14:textId="77777777" w:rsidR="000A7160" w:rsidRPr="00DF2E91" w:rsidRDefault="000A7160" w:rsidP="000704A4">
      <w:pPr>
        <w:ind w:left="360"/>
      </w:pPr>
      <w:r w:rsidRPr="00907659">
        <w:rPr>
          <w:bCs/>
        </w:rPr>
        <w:t xml:space="preserve">Paul VI </w:t>
      </w:r>
      <w:r w:rsidRPr="00907659">
        <w:rPr>
          <w:bCs/>
          <w:sz w:val="20"/>
        </w:rPr>
        <w:t xml:space="preserve">(encyclical letter </w:t>
      </w:r>
      <w:r w:rsidRPr="00907659">
        <w:rPr>
          <w:i/>
          <w:iCs/>
          <w:sz w:val="20"/>
        </w:rPr>
        <w:t xml:space="preserve">Mystery </w:t>
      </w:r>
      <w:r>
        <w:rPr>
          <w:i/>
          <w:iCs/>
          <w:sz w:val="20"/>
        </w:rPr>
        <w:t>o</w:t>
      </w:r>
      <w:r w:rsidRPr="00907659">
        <w:rPr>
          <w:i/>
          <w:iCs/>
          <w:sz w:val="20"/>
        </w:rPr>
        <w:t>f Faith</w:t>
      </w:r>
      <w:r>
        <w:rPr>
          <w:bCs/>
          <w:sz w:val="20"/>
        </w:rPr>
        <w:t xml:space="preserve"> [</w:t>
      </w:r>
      <w:proofErr w:type="spellStart"/>
      <w:r w:rsidRPr="00907659">
        <w:rPr>
          <w:bCs/>
          <w:i/>
          <w:sz w:val="20"/>
        </w:rPr>
        <w:t>Mysterium</w:t>
      </w:r>
      <w:proofErr w:type="spellEnd"/>
      <w:r w:rsidRPr="00907659">
        <w:rPr>
          <w:bCs/>
          <w:i/>
          <w:sz w:val="20"/>
        </w:rPr>
        <w:t xml:space="preserve"> fidei</w:t>
      </w:r>
      <w:r>
        <w:rPr>
          <w:bCs/>
          <w:sz w:val="20"/>
        </w:rPr>
        <w:t xml:space="preserve">, </w:t>
      </w:r>
      <w:r w:rsidRPr="00907659">
        <w:rPr>
          <w:bCs/>
          <w:sz w:val="20"/>
        </w:rPr>
        <w:t>3 Sept. 1965</w:t>
      </w:r>
      <w:r>
        <w:rPr>
          <w:bCs/>
          <w:sz w:val="20"/>
        </w:rPr>
        <w:t>] ¶ 27</w:t>
      </w:r>
      <w:r w:rsidRPr="00907659">
        <w:rPr>
          <w:bCs/>
          <w:sz w:val="20"/>
        </w:rPr>
        <w:t>)</w:t>
      </w:r>
      <w:r>
        <w:t xml:space="preserve">: dogmatic </w:t>
      </w:r>
      <w:r w:rsidRPr="00DF2E91">
        <w:t>“</w:t>
      </w:r>
      <w:r>
        <w:t>formulas can sometimes be more clearly and accurately explained. . . . But it would be wrong to give to these expressions a meaning other than the original. Thus the understanding of the faith should be advanced without threat to its unchangeable truth.”</w:t>
      </w:r>
    </w:p>
    <w:p w14:paraId="75C98ACD" w14:textId="77777777" w:rsidR="000A7160" w:rsidRDefault="000A7160" w:rsidP="000A7160"/>
    <w:p w14:paraId="4FDEDE45" w14:textId="77777777" w:rsidR="000A7160" w:rsidRPr="00ED38E4" w:rsidRDefault="000A7160" w:rsidP="000A7160">
      <w:pPr>
        <w:jc w:val="center"/>
        <w:rPr>
          <w:smallCaps/>
        </w:rPr>
      </w:pPr>
      <w:r>
        <w:rPr>
          <w:smallCaps/>
        </w:rPr>
        <w:t>the formulas of dogmas should not change</w:t>
      </w:r>
    </w:p>
    <w:p w14:paraId="3401EA63" w14:textId="77777777" w:rsidR="000A7160" w:rsidRDefault="000A7160" w:rsidP="000A7160"/>
    <w:p w14:paraId="4889B254" w14:textId="30A2A314" w:rsidR="000A7160" w:rsidRDefault="000A7160" w:rsidP="000704A4">
      <w:pPr>
        <w:rPr>
          <w:bCs/>
        </w:rPr>
      </w:pPr>
      <w:r w:rsidRPr="0012254D">
        <w:rPr>
          <w:b/>
        </w:rPr>
        <w:t>Paul VI</w:t>
      </w:r>
      <w:r>
        <w:rPr>
          <w:bCs/>
        </w:rPr>
        <w:t xml:space="preserve"> (1962-78</w:t>
      </w:r>
      <w:r w:rsidRPr="00907659">
        <w:rPr>
          <w:bCs/>
        </w:rPr>
        <w:t>)</w:t>
      </w:r>
    </w:p>
    <w:p w14:paraId="1270C7AE" w14:textId="77777777" w:rsidR="000704A4" w:rsidRPr="00907659" w:rsidRDefault="000704A4" w:rsidP="000704A4">
      <w:pPr>
        <w:rPr>
          <w:bCs/>
        </w:rPr>
      </w:pPr>
    </w:p>
    <w:p w14:paraId="658B1C9A" w14:textId="0C27FDEB" w:rsidR="000A7160" w:rsidRDefault="000A7160" w:rsidP="000704A4">
      <w:pPr>
        <w:ind w:left="360"/>
      </w:pPr>
      <w:r w:rsidRPr="00907659">
        <w:rPr>
          <w:bCs/>
        </w:rPr>
        <w:t xml:space="preserve">Paul VI </w:t>
      </w:r>
      <w:r w:rsidRPr="00907659">
        <w:rPr>
          <w:bCs/>
          <w:sz w:val="20"/>
        </w:rPr>
        <w:t xml:space="preserve">(encyclical letter </w:t>
      </w:r>
      <w:r w:rsidRPr="00907659">
        <w:rPr>
          <w:i/>
          <w:iCs/>
          <w:sz w:val="20"/>
        </w:rPr>
        <w:t xml:space="preserve">Mystery </w:t>
      </w:r>
      <w:r>
        <w:rPr>
          <w:i/>
          <w:iCs/>
          <w:sz w:val="20"/>
        </w:rPr>
        <w:t>o</w:t>
      </w:r>
      <w:r w:rsidRPr="00907659">
        <w:rPr>
          <w:i/>
          <w:iCs/>
          <w:sz w:val="20"/>
        </w:rPr>
        <w:t>f Faith</w:t>
      </w:r>
      <w:r>
        <w:rPr>
          <w:bCs/>
          <w:sz w:val="20"/>
        </w:rPr>
        <w:t xml:space="preserve"> [</w:t>
      </w:r>
      <w:proofErr w:type="spellStart"/>
      <w:r w:rsidRPr="00907659">
        <w:rPr>
          <w:bCs/>
          <w:i/>
          <w:sz w:val="20"/>
        </w:rPr>
        <w:t>Mysterium</w:t>
      </w:r>
      <w:proofErr w:type="spellEnd"/>
      <w:r w:rsidRPr="00907659">
        <w:rPr>
          <w:bCs/>
          <w:i/>
          <w:sz w:val="20"/>
        </w:rPr>
        <w:t xml:space="preserve"> fidei</w:t>
      </w:r>
      <w:r>
        <w:rPr>
          <w:bCs/>
          <w:sz w:val="20"/>
        </w:rPr>
        <w:t xml:space="preserve">, on the Eucharist, </w:t>
      </w:r>
      <w:r w:rsidRPr="00907659">
        <w:rPr>
          <w:bCs/>
          <w:sz w:val="20"/>
        </w:rPr>
        <w:t>3 Sept. 1965</w:t>
      </w:r>
      <w:r>
        <w:rPr>
          <w:bCs/>
          <w:sz w:val="20"/>
        </w:rPr>
        <w:t xml:space="preserve">] </w:t>
      </w:r>
      <w:r w:rsidR="00CD4E6F">
        <w:rPr>
          <w:bCs/>
          <w:sz w:val="20"/>
        </w:rPr>
        <w:t>§</w:t>
      </w:r>
      <w:r>
        <w:rPr>
          <w:bCs/>
          <w:sz w:val="20"/>
        </w:rPr>
        <w:t xml:space="preserve"> 25</w:t>
      </w:r>
      <w:r w:rsidRPr="00907659">
        <w:rPr>
          <w:bCs/>
          <w:sz w:val="20"/>
        </w:rPr>
        <w:t>)</w:t>
      </w:r>
      <w:r>
        <w:t xml:space="preserve">: </w:t>
      </w:r>
      <w:r w:rsidRPr="00DF2E91">
        <w:t>“Who would ever tolerate that the dogmatic formulas used by the ecumenical councils for the mysteries of the Holy Trinity and the Incarnation be judged as no longer appropriate for men of our time, therefore that others be rashly substituted for them? In the same way it cannot be tolerated that any individual should on his own authority modify the formulas which were used by the Council of Trent to express belief in the Eucharistic Mystery.” (</w:t>
      </w:r>
      <w:r>
        <w:t xml:space="preserve">The formulas referred to are </w:t>
      </w:r>
      <w:r w:rsidRPr="00DF2E91">
        <w:t xml:space="preserve">“Three persons in one substance,” “Two natures in one person,” </w:t>
      </w:r>
      <w:r>
        <w:t xml:space="preserve">and </w:t>
      </w:r>
      <w:r w:rsidRPr="00DF2E91">
        <w:t>“transubstantiation.”)</w:t>
      </w:r>
    </w:p>
    <w:p w14:paraId="24D522DA" w14:textId="6E2F2A1A" w:rsidR="000A7160" w:rsidRPr="00AA6871" w:rsidRDefault="000A7160" w:rsidP="000704A4">
      <w:pPr>
        <w:ind w:left="360"/>
      </w:pPr>
      <w:r w:rsidRPr="00907659">
        <w:rPr>
          <w:bCs/>
        </w:rPr>
        <w:t xml:space="preserve">Paul VI </w:t>
      </w:r>
      <w:r w:rsidRPr="00907659">
        <w:rPr>
          <w:bCs/>
          <w:sz w:val="20"/>
        </w:rPr>
        <w:t>(</w:t>
      </w:r>
      <w:r>
        <w:rPr>
          <w:bCs/>
          <w:sz w:val="20"/>
        </w:rPr>
        <w:t xml:space="preserve">ibid. </w:t>
      </w:r>
      <w:r w:rsidR="00CD4E6F">
        <w:rPr>
          <w:bCs/>
          <w:sz w:val="20"/>
        </w:rPr>
        <w:t>§</w:t>
      </w:r>
      <w:r>
        <w:rPr>
          <w:bCs/>
          <w:sz w:val="20"/>
        </w:rPr>
        <w:t xml:space="preserve"> 26</w:t>
      </w:r>
      <w:r w:rsidRPr="00907659">
        <w:rPr>
          <w:bCs/>
          <w:sz w:val="20"/>
        </w:rPr>
        <w:t>)</w:t>
      </w:r>
      <w:r>
        <w:t xml:space="preserve">: </w:t>
      </w:r>
      <w:r w:rsidRPr="00DF2E91">
        <w:t>“</w:t>
      </w:r>
      <w:r>
        <w:t>the most sacred task of theology is, not the invention of new dogmatic formulas to replace old ones, but rather such a defense and explanation of the formulas adopted by the councils as may demonstrate that divine Revelation is the source of the truths communicated through these expressions.”</w:t>
      </w:r>
    </w:p>
    <w:p w14:paraId="1FA6D60C" w14:textId="1C98E555" w:rsidR="000A7160" w:rsidRPr="00DF2E91" w:rsidRDefault="000A7160" w:rsidP="000704A4">
      <w:pPr>
        <w:ind w:left="360"/>
      </w:pPr>
      <w:r w:rsidRPr="00907659">
        <w:rPr>
          <w:bCs/>
        </w:rPr>
        <w:t xml:space="preserve">Paul VI </w:t>
      </w:r>
      <w:r w:rsidRPr="00907659">
        <w:rPr>
          <w:bCs/>
          <w:sz w:val="20"/>
        </w:rPr>
        <w:t>(</w:t>
      </w:r>
      <w:r>
        <w:rPr>
          <w:bCs/>
          <w:sz w:val="20"/>
        </w:rPr>
        <w:t xml:space="preserve">ibid. </w:t>
      </w:r>
      <w:r w:rsidR="00CD4E6F">
        <w:rPr>
          <w:bCs/>
          <w:sz w:val="20"/>
        </w:rPr>
        <w:t>§</w:t>
      </w:r>
      <w:r>
        <w:rPr>
          <w:bCs/>
          <w:sz w:val="20"/>
        </w:rPr>
        <w:t xml:space="preserve"> 27</w:t>
      </w:r>
      <w:r w:rsidRPr="00907659">
        <w:rPr>
          <w:bCs/>
          <w:sz w:val="20"/>
        </w:rPr>
        <w:t>)</w:t>
      </w:r>
      <w:r>
        <w:t xml:space="preserve">: </w:t>
      </w:r>
      <w:r w:rsidRPr="00DF2E91">
        <w:t>“</w:t>
      </w:r>
      <w:r>
        <w:t>It must be admitted that these formulas can sometimes be more clearly and accurately explained. In fact, the achievement of this goal is highly beneficial. But it would be wrong to give to these expressions a meaning other than the original. Thus the understanding of the faith should be advanced without threat to its unchangeable truth.”</w:t>
      </w:r>
    </w:p>
    <w:p w14:paraId="5E6E3D75" w14:textId="77777777" w:rsidR="000A7160" w:rsidRPr="00AA6871" w:rsidRDefault="000A7160" w:rsidP="000A7160"/>
    <w:p w14:paraId="4638AD10" w14:textId="77777777" w:rsidR="000A7160" w:rsidRPr="00ED38E4" w:rsidRDefault="000A7160" w:rsidP="000A7160">
      <w:pPr>
        <w:jc w:val="center"/>
        <w:rPr>
          <w:smallCaps/>
        </w:rPr>
      </w:pPr>
      <w:r>
        <w:rPr>
          <w:smallCaps/>
        </w:rPr>
        <w:lastRenderedPageBreak/>
        <w:t>the formulas of dogmas can change</w:t>
      </w:r>
    </w:p>
    <w:p w14:paraId="07540673" w14:textId="77777777" w:rsidR="000A7160" w:rsidRDefault="000A7160" w:rsidP="000A7160"/>
    <w:p w14:paraId="4521BB05" w14:textId="77777777" w:rsidR="000A7160" w:rsidRDefault="000A7160" w:rsidP="000704A4">
      <w:r w:rsidRPr="009B14D7">
        <w:rPr>
          <w:b/>
        </w:rPr>
        <w:t>John XXIII</w:t>
      </w:r>
      <w:r>
        <w:t xml:space="preserve"> (1959-63)</w:t>
      </w:r>
    </w:p>
    <w:p w14:paraId="0F666526" w14:textId="77777777" w:rsidR="000704A4" w:rsidRPr="0080086F" w:rsidRDefault="000704A4" w:rsidP="000704A4"/>
    <w:p w14:paraId="3A1097CB" w14:textId="77777777" w:rsidR="000A7160" w:rsidRDefault="000A7160" w:rsidP="000704A4">
      <w:pPr>
        <w:ind w:left="360"/>
      </w:pPr>
      <w:r>
        <w:rPr>
          <w:bCs/>
        </w:rPr>
        <w:t xml:space="preserve">John XXIII </w:t>
      </w:r>
      <w:r w:rsidRPr="00AA6871">
        <w:rPr>
          <w:bCs/>
          <w:sz w:val="20"/>
        </w:rPr>
        <w:t>(allocution at the beginning of Vatican II</w:t>
      </w:r>
      <w:r w:rsidRPr="00AA6871">
        <w:rPr>
          <w:sz w:val="20"/>
        </w:rPr>
        <w:t>, 11 Oct. 1962)</w:t>
      </w:r>
      <w:r>
        <w:t>: “This certain and unchangeable doctrine, to which faithful obedience is due, has to be explored and presented in a way that is demanded by our times. One thing is the deposit of faith, which consists of the truths contained in sacred doctrine, another thing is the manner of presentation, always however with the same meaning and signification.”</w:t>
      </w:r>
    </w:p>
    <w:p w14:paraId="299C0C95" w14:textId="77777777" w:rsidR="000A7160" w:rsidRDefault="000A7160" w:rsidP="000A7160"/>
    <w:p w14:paraId="629B6EB1" w14:textId="77777777" w:rsidR="000A7160" w:rsidRDefault="000A7160" w:rsidP="000704A4">
      <w:r w:rsidRPr="009B14D7">
        <w:rPr>
          <w:b/>
        </w:rPr>
        <w:t>Vatican II</w:t>
      </w:r>
      <w:r>
        <w:t xml:space="preserve"> (1962-65)</w:t>
      </w:r>
    </w:p>
    <w:p w14:paraId="3752F2FA" w14:textId="77777777" w:rsidR="000704A4" w:rsidRDefault="000704A4" w:rsidP="000704A4"/>
    <w:p w14:paraId="7FF26FD6" w14:textId="77777777" w:rsidR="000A7160" w:rsidRDefault="000A7160" w:rsidP="000704A4">
      <w:pPr>
        <w:ind w:left="360"/>
      </w:pPr>
      <w:r w:rsidRPr="00534AB5">
        <w:rPr>
          <w:bCs/>
        </w:rPr>
        <w:t xml:space="preserve">Vatican II </w:t>
      </w:r>
      <w:r w:rsidRPr="00534AB5">
        <w:rPr>
          <w:bCs/>
          <w:sz w:val="20"/>
        </w:rPr>
        <w:t>(</w:t>
      </w:r>
      <w:r w:rsidRPr="0012254D">
        <w:rPr>
          <w:bCs/>
          <w:iCs/>
          <w:sz w:val="20"/>
        </w:rPr>
        <w:t>decree</w:t>
      </w:r>
      <w:r>
        <w:rPr>
          <w:bCs/>
          <w:iCs/>
          <w:sz w:val="20"/>
        </w:rPr>
        <w:t xml:space="preserve"> </w:t>
      </w:r>
      <w:r w:rsidRPr="00534AB5">
        <w:rPr>
          <w:bCs/>
          <w:i/>
          <w:sz w:val="20"/>
        </w:rPr>
        <w:t>On Ecumenism</w:t>
      </w:r>
      <w:r w:rsidRPr="00534AB5">
        <w:rPr>
          <w:sz w:val="20"/>
        </w:rPr>
        <w:t xml:space="preserve"> </w:t>
      </w:r>
      <w:r>
        <w:rPr>
          <w:sz w:val="20"/>
        </w:rPr>
        <w:t>[</w:t>
      </w:r>
      <w:proofErr w:type="spellStart"/>
      <w:r w:rsidRPr="00ED38E4">
        <w:rPr>
          <w:i/>
          <w:sz w:val="20"/>
        </w:rPr>
        <w:t>Unitatis</w:t>
      </w:r>
      <w:proofErr w:type="spellEnd"/>
      <w:r w:rsidRPr="00ED38E4">
        <w:rPr>
          <w:i/>
          <w:sz w:val="20"/>
        </w:rPr>
        <w:t xml:space="preserve"> </w:t>
      </w:r>
      <w:proofErr w:type="spellStart"/>
      <w:r w:rsidRPr="00ED38E4">
        <w:rPr>
          <w:i/>
          <w:sz w:val="20"/>
        </w:rPr>
        <w:t>redintegratio</w:t>
      </w:r>
      <w:proofErr w:type="spellEnd"/>
      <w:r w:rsidRPr="00ED38E4">
        <w:rPr>
          <w:sz w:val="20"/>
        </w:rPr>
        <w:t>, 21 Nov. 1964</w:t>
      </w:r>
      <w:r>
        <w:rPr>
          <w:sz w:val="20"/>
        </w:rPr>
        <w:t xml:space="preserve">] </w:t>
      </w:r>
      <w:r w:rsidRPr="00ED38E4">
        <w:rPr>
          <w:sz w:val="20"/>
        </w:rPr>
        <w:t>§ 6)</w:t>
      </w:r>
      <w:r>
        <w:t>: if “there have been deficiencies . . . in the way that church teaching has been formulated—to be carefully distinguished from the deposit of faith itself—these can and should be set right at the opportune moment.”</w:t>
      </w:r>
    </w:p>
    <w:p w14:paraId="12B96865" w14:textId="77777777" w:rsidR="000A7160" w:rsidRDefault="000A7160" w:rsidP="000704A4">
      <w:pPr>
        <w:ind w:left="360"/>
      </w:pPr>
      <w:r>
        <w:t xml:space="preserve">Vatican II </w:t>
      </w:r>
      <w:r w:rsidRPr="0012254D">
        <w:rPr>
          <w:sz w:val="20"/>
        </w:rPr>
        <w:t>(</w:t>
      </w:r>
      <w:r w:rsidRPr="0012254D">
        <w:rPr>
          <w:bCs/>
          <w:iCs/>
          <w:sz w:val="20"/>
        </w:rPr>
        <w:t>pastoral constitution</w:t>
      </w:r>
      <w:r>
        <w:rPr>
          <w:bCs/>
          <w:iCs/>
          <w:sz w:val="20"/>
        </w:rPr>
        <w:t xml:space="preserve"> </w:t>
      </w:r>
      <w:r w:rsidRPr="00534AB5">
        <w:rPr>
          <w:bCs/>
          <w:i/>
          <w:sz w:val="20"/>
        </w:rPr>
        <w:t>On the Church in the Modern World</w:t>
      </w:r>
      <w:r w:rsidRPr="00534AB5">
        <w:rPr>
          <w:sz w:val="20"/>
        </w:rPr>
        <w:t xml:space="preserve"> </w:t>
      </w:r>
      <w:r>
        <w:rPr>
          <w:sz w:val="20"/>
        </w:rPr>
        <w:t>[</w:t>
      </w:r>
      <w:r w:rsidRPr="00ED38E4">
        <w:rPr>
          <w:i/>
          <w:sz w:val="20"/>
        </w:rPr>
        <w:t xml:space="preserve">Gaudium et </w:t>
      </w:r>
      <w:proofErr w:type="spellStart"/>
      <w:r w:rsidRPr="00ED38E4">
        <w:rPr>
          <w:i/>
          <w:sz w:val="20"/>
        </w:rPr>
        <w:t>spes</w:t>
      </w:r>
      <w:proofErr w:type="spellEnd"/>
      <w:r w:rsidRPr="00ED38E4">
        <w:rPr>
          <w:sz w:val="20"/>
        </w:rPr>
        <w:t>, 7 Dec. 1965</w:t>
      </w:r>
      <w:r>
        <w:rPr>
          <w:sz w:val="20"/>
        </w:rPr>
        <w:t xml:space="preserve">] </w:t>
      </w:r>
      <w:r w:rsidRPr="00ED38E4">
        <w:rPr>
          <w:sz w:val="20"/>
        </w:rPr>
        <w:t>§ 62)</w:t>
      </w:r>
      <w:r>
        <w:t>: “theologians [should] seek continually for more suitable ways of communicating doctrine to the men of their times; for the deposit of Faith or the truths are one thing and the manner in which they are enunciated, in the same meaning and understanding, is another.”</w:t>
      </w:r>
    </w:p>
    <w:p w14:paraId="6DE6A3B6" w14:textId="77777777" w:rsidR="000A7160" w:rsidRDefault="000A7160" w:rsidP="000A7160"/>
    <w:p w14:paraId="44235FB9" w14:textId="6545AF0A" w:rsidR="000A7160" w:rsidRDefault="000A7160" w:rsidP="000704A4">
      <w:pPr>
        <w:rPr>
          <w:bCs/>
          <w:iCs/>
        </w:rPr>
      </w:pPr>
      <w:r w:rsidRPr="009B14D7">
        <w:rPr>
          <w:b/>
        </w:rPr>
        <w:t>Congregation for the Doctrine of the Faith</w:t>
      </w:r>
    </w:p>
    <w:p w14:paraId="2B0985C1" w14:textId="77777777" w:rsidR="000704A4" w:rsidRDefault="000704A4" w:rsidP="000704A4"/>
    <w:p w14:paraId="1C1C178C" w14:textId="77777777" w:rsidR="000A7160" w:rsidRPr="00DF2E91" w:rsidRDefault="000A7160" w:rsidP="000704A4">
      <w:pPr>
        <w:ind w:left="360"/>
      </w:pPr>
      <w:r w:rsidRPr="00534AB5">
        <w:rPr>
          <w:bCs/>
        </w:rPr>
        <w:t xml:space="preserve">Congregation for the Doctrine of the Faith </w:t>
      </w:r>
      <w:r w:rsidRPr="00534AB5">
        <w:rPr>
          <w:bCs/>
          <w:sz w:val="20"/>
        </w:rPr>
        <w:t xml:space="preserve">(declaration </w:t>
      </w:r>
      <w:proofErr w:type="spellStart"/>
      <w:r w:rsidRPr="00534AB5">
        <w:rPr>
          <w:bCs/>
          <w:i/>
          <w:sz w:val="20"/>
        </w:rPr>
        <w:t>Mysterium</w:t>
      </w:r>
      <w:proofErr w:type="spellEnd"/>
      <w:r w:rsidRPr="00534AB5">
        <w:rPr>
          <w:bCs/>
          <w:i/>
          <w:sz w:val="20"/>
        </w:rPr>
        <w:t xml:space="preserve"> Ecclesiae</w:t>
      </w:r>
      <w:r w:rsidRPr="00534AB5">
        <w:rPr>
          <w:sz w:val="20"/>
        </w:rPr>
        <w:t xml:space="preserve"> § 5 </w:t>
      </w:r>
      <w:r>
        <w:rPr>
          <w:sz w:val="20"/>
          <w:szCs w:val="20"/>
        </w:rPr>
        <w:t>[</w:t>
      </w:r>
      <w:r w:rsidRPr="00ED38E4">
        <w:rPr>
          <w:i/>
          <w:sz w:val="20"/>
          <w:szCs w:val="20"/>
        </w:rPr>
        <w:t>AAS</w:t>
      </w:r>
      <w:r>
        <w:rPr>
          <w:sz w:val="20"/>
          <w:szCs w:val="20"/>
        </w:rPr>
        <w:t xml:space="preserve"> 65, </w:t>
      </w:r>
      <w:r w:rsidRPr="00ED38E4">
        <w:rPr>
          <w:sz w:val="20"/>
          <w:szCs w:val="20"/>
        </w:rPr>
        <w:t>24 June 1973</w:t>
      </w:r>
      <w:r>
        <w:rPr>
          <w:sz w:val="20"/>
          <w:szCs w:val="20"/>
        </w:rPr>
        <w:t>]</w:t>
      </w:r>
      <w:r w:rsidRPr="00ED38E4">
        <w:rPr>
          <w:sz w:val="20"/>
          <w:szCs w:val="20"/>
        </w:rPr>
        <w:t>)</w:t>
      </w:r>
      <w:r>
        <w:t xml:space="preserve">: </w:t>
      </w:r>
      <w:r w:rsidRPr="00DF2E91">
        <w:t>“the meaning of dogmatic formulas . . . remains ever true and constant in the Church, even when it is expressed with greater clarity or more developed. The faithful therefore must shun the opinion . . . that dogmatic formulas . . . cannot signify truth in a determinate way, but can only offer changeable approximations to it, which to a certain extent distort or alter it . . . [as if truth were] a goal . . . constantly . . . sought by . . . approximations. Those who hold such an opinion do not avoid dogmatic relativism and they corrupt the concept of the Church’s infallibility relative to the truth to be taught or held in a determinate way.”</w:t>
      </w:r>
    </w:p>
    <w:p w14:paraId="7CC01971" w14:textId="77777777" w:rsidR="000A7160" w:rsidRPr="00DF2E91" w:rsidRDefault="000A7160" w:rsidP="000704A4">
      <w:pPr>
        <w:ind w:left="360"/>
      </w:pPr>
      <w:r w:rsidRPr="00534AB5">
        <w:rPr>
          <w:bCs/>
        </w:rPr>
        <w:t xml:space="preserve">Congregation for the Doctrine of the Faith </w:t>
      </w:r>
      <w:r w:rsidRPr="00534AB5">
        <w:rPr>
          <w:bCs/>
          <w:sz w:val="20"/>
        </w:rPr>
        <w:t>(</w:t>
      </w:r>
      <w:r>
        <w:rPr>
          <w:bCs/>
          <w:sz w:val="20"/>
        </w:rPr>
        <w:t>ibid.</w:t>
      </w:r>
      <w:r w:rsidRPr="00ED38E4">
        <w:rPr>
          <w:sz w:val="20"/>
          <w:szCs w:val="20"/>
        </w:rPr>
        <w:t>)</w:t>
      </w:r>
      <w:r>
        <w:t xml:space="preserve">: </w:t>
      </w:r>
      <w:r w:rsidRPr="00DF2E91">
        <w:t>“the dogmatic formulas of the Church’s Magisterium . . . remain forever suitable for communicating [revealed] truth to those who interpret them correctly. It does not however follow that every one of these formulas has always been or will always be [suitable] to the same extent.”</w:t>
      </w:r>
    </w:p>
    <w:p w14:paraId="709CFE1B" w14:textId="77777777" w:rsidR="000A7160" w:rsidRDefault="000A7160" w:rsidP="000704A4">
      <w:pPr>
        <w:ind w:left="360"/>
      </w:pPr>
      <w:r w:rsidRPr="00534AB5">
        <w:rPr>
          <w:bCs/>
        </w:rPr>
        <w:t xml:space="preserve">Congregation for the Doctrine of the Faith </w:t>
      </w:r>
      <w:r w:rsidRPr="00534AB5">
        <w:rPr>
          <w:bCs/>
          <w:sz w:val="20"/>
        </w:rPr>
        <w:t>(</w:t>
      </w:r>
      <w:r>
        <w:rPr>
          <w:bCs/>
          <w:sz w:val="20"/>
        </w:rPr>
        <w:t>ibid.</w:t>
      </w:r>
      <w:r w:rsidRPr="00ED38E4">
        <w:rPr>
          <w:sz w:val="20"/>
          <w:szCs w:val="20"/>
        </w:rPr>
        <w:t>)</w:t>
      </w:r>
      <w:r>
        <w:t xml:space="preserve">: </w:t>
      </w:r>
      <w:r w:rsidRPr="00DF2E91">
        <w:t>“</w:t>
      </w:r>
      <w:r>
        <w:t>The transmission of divine Revelation by the Church encounters difficulties . . . from the historical condition that affects the expression of Revelation.”</w:t>
      </w:r>
    </w:p>
    <w:p w14:paraId="51CD4DF7" w14:textId="77777777" w:rsidR="000A7160" w:rsidRDefault="000A7160" w:rsidP="000704A4">
      <w:pPr>
        <w:ind w:left="720"/>
      </w:pPr>
      <w:r>
        <w:t xml:space="preserve">“. . . the truths which the Church intends to teach through her dogmatic formulas are distinct from the changeable </w:t>
      </w:r>
      <w:r w:rsidRPr="00DF2E91">
        <w:rPr>
          <w:bCs/>
        </w:rPr>
        <w:t>conceptions of a given epoch</w:t>
      </w:r>
      <w:r>
        <w:t xml:space="preserve"> . . . these truths may be enunciated by the Sacred Magisterium in terms that bear traces of such conceptions.”</w:t>
      </w:r>
    </w:p>
    <w:p w14:paraId="4C34D5D2" w14:textId="77777777" w:rsidR="000A7160" w:rsidRDefault="000A7160" w:rsidP="000704A4">
      <w:pPr>
        <w:ind w:left="720"/>
      </w:pPr>
      <w:r>
        <w:t xml:space="preserve">Sometimes a “dogmatic truth is first expressed incompletely (but not falsely), and at a later date, when considered in a broader context of </w:t>
      </w:r>
      <w:r w:rsidRPr="00DF2E91">
        <w:rPr>
          <w:bCs/>
        </w:rPr>
        <w:t>faith or human knowledge</w:t>
      </w:r>
      <w:r>
        <w:t>, it receives a fuller and more perfect expression.”</w:t>
      </w:r>
    </w:p>
    <w:p w14:paraId="21FBB202" w14:textId="77777777" w:rsidR="000A7160" w:rsidRDefault="000A7160" w:rsidP="000704A4">
      <w:pPr>
        <w:ind w:left="360"/>
      </w:pPr>
      <w:r>
        <w:t>example: “</w:t>
      </w:r>
      <w:r w:rsidRPr="005B71BB">
        <w:t xml:space="preserve">a growth in human knowledge of such sciences as geography </w:t>
      </w:r>
      <w:r>
        <w:t>[</w:t>
      </w:r>
      <w:r w:rsidRPr="005B71BB">
        <w:t>and</w:t>
      </w:r>
      <w:r>
        <w:t>]</w:t>
      </w:r>
      <w:r w:rsidRPr="005B71BB">
        <w:t xml:space="preserve"> psychology has contributed to a better understanding of the necessity of belonging to the church for salvation.</w:t>
      </w:r>
      <w:r>
        <w:t>” (Sullivan 11)</w:t>
      </w:r>
    </w:p>
    <w:p w14:paraId="4FE8AC99" w14:textId="77777777" w:rsidR="000A7160" w:rsidRDefault="000A7160" w:rsidP="000A7160"/>
    <w:p w14:paraId="2C325A6D" w14:textId="75F2FDAF" w:rsidR="000A7160" w:rsidRDefault="000A7160" w:rsidP="000704A4">
      <w:r w:rsidRPr="00DF2E91">
        <w:rPr>
          <w:b/>
        </w:rPr>
        <w:t>Pontifical Council for Promoting Christian Unity</w:t>
      </w:r>
    </w:p>
    <w:p w14:paraId="37F04FB4" w14:textId="77777777" w:rsidR="000704A4" w:rsidRPr="00DF2E91" w:rsidRDefault="000704A4" w:rsidP="000704A4"/>
    <w:p w14:paraId="22C3D035" w14:textId="77777777" w:rsidR="000A7160" w:rsidRDefault="000A7160" w:rsidP="000704A4">
      <w:pPr>
        <w:ind w:left="360"/>
      </w:pPr>
      <w:r w:rsidRPr="00534AB5">
        <w:rPr>
          <w:bCs/>
        </w:rPr>
        <w:t xml:space="preserve">Pontifical Council for Promoting Christian Unity </w:t>
      </w:r>
      <w:r w:rsidRPr="00534AB5">
        <w:rPr>
          <w:bCs/>
          <w:sz w:val="20"/>
        </w:rPr>
        <w:t>(</w:t>
      </w:r>
      <w:r w:rsidRPr="00534AB5">
        <w:rPr>
          <w:bCs/>
          <w:i/>
          <w:sz w:val="20"/>
        </w:rPr>
        <w:t>Directory for the Application of the Principles and Norms of Ecumenism</w:t>
      </w:r>
      <w:r w:rsidRPr="00534AB5">
        <w:rPr>
          <w:bCs/>
          <w:sz w:val="20"/>
        </w:rPr>
        <w:t xml:space="preserve"> [11 Dec. 1994] § 74)</w:t>
      </w:r>
      <w:r>
        <w:rPr>
          <w:bCs/>
        </w:rPr>
        <w:t>:</w:t>
      </w:r>
      <w:r w:rsidRPr="00DF2E91">
        <w:t xml:space="preserve"> “Students must learn to distinguish</w:t>
      </w:r>
    </w:p>
    <w:p w14:paraId="0A72AC15" w14:textId="77777777" w:rsidR="00CD4E6F" w:rsidRPr="00DF2E91" w:rsidRDefault="00CD4E6F" w:rsidP="00CD4E6F"/>
    <w:p w14:paraId="4D17351B" w14:textId="77777777" w:rsidR="000A7160" w:rsidRPr="00DF2E91" w:rsidRDefault="000A7160" w:rsidP="000704A4">
      <w:pPr>
        <w:ind w:left="720"/>
      </w:pPr>
      <w:r w:rsidRPr="00DF2E91">
        <w:t>“between . . . revealed truths, which all require the same assent of faith, and . . . the manner of stating those truths . . .</w:t>
      </w:r>
    </w:p>
    <w:p w14:paraId="0E5D1AF6" w14:textId="77777777" w:rsidR="000A7160" w:rsidRPr="00DF2E91" w:rsidRDefault="000A7160" w:rsidP="000704A4">
      <w:pPr>
        <w:ind w:left="720"/>
      </w:pPr>
      <w:r w:rsidRPr="00DF2E91">
        <w:t>“between the “deposit of faith itself or the truths” . . . and the way in which these truths are formulated;</w:t>
      </w:r>
    </w:p>
    <w:p w14:paraId="24E01427" w14:textId="77777777" w:rsidR="000A7160" w:rsidRPr="00DF2E91" w:rsidRDefault="000A7160" w:rsidP="000704A4">
      <w:pPr>
        <w:ind w:left="720"/>
      </w:pPr>
      <w:r w:rsidRPr="00DF2E91">
        <w:t>“between the truths to be proclaimed and the various ways of perceiving them and shedding light upon them;</w:t>
      </w:r>
    </w:p>
    <w:p w14:paraId="4371EC44" w14:textId="77777777" w:rsidR="000A7160" w:rsidRPr="00DF2E91" w:rsidRDefault="000A7160" w:rsidP="000704A4">
      <w:pPr>
        <w:ind w:left="720"/>
      </w:pPr>
      <w:r w:rsidRPr="00DF2E91">
        <w:t>“between the apostolic tradition and strictly ecclesiastical traditions . . .</w:t>
      </w:r>
    </w:p>
    <w:p w14:paraId="7D6C4330" w14:textId="77777777" w:rsidR="00CD4E6F" w:rsidRDefault="00CD4E6F" w:rsidP="00CD4E6F"/>
    <w:p w14:paraId="0481CD37" w14:textId="6C4064EA" w:rsidR="000A7160" w:rsidRDefault="000A7160" w:rsidP="000704A4">
      <w:pPr>
        <w:ind w:left="360"/>
      </w:pPr>
      <w:r w:rsidRPr="00DF2E91">
        <w:t>“. . . students should . . . appreciate the legitimate diversity in theology which derives from the different methods and language theologians use in penetrating the divine mysteries. From which it follows that different theological formulations are often more complementary than contradictory.”</w:t>
      </w:r>
    </w:p>
    <w:p w14:paraId="3BFA8F0D" w14:textId="77777777" w:rsidR="00BF4A3D" w:rsidRPr="00664735" w:rsidRDefault="00BF4A3D" w:rsidP="00664735">
      <w:pPr>
        <w:rPr>
          <w:kern w:val="2"/>
          <w14:ligatures w14:val="standardContextual"/>
        </w:rPr>
      </w:pPr>
    </w:p>
    <w:sectPr w:rsidR="00BF4A3D" w:rsidRPr="00664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62F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6C0E15AA"/>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16cid:durableId="126440762">
    <w:abstractNumId w:val="0"/>
  </w:num>
  <w:num w:numId="2" w16cid:durableId="311566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36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160"/>
    <w:rsid w:val="000704A4"/>
    <w:rsid w:val="000A7160"/>
    <w:rsid w:val="002B4696"/>
    <w:rsid w:val="002C240C"/>
    <w:rsid w:val="0046499B"/>
    <w:rsid w:val="00610D7B"/>
    <w:rsid w:val="00664735"/>
    <w:rsid w:val="007C5641"/>
    <w:rsid w:val="00975BE0"/>
    <w:rsid w:val="00B70342"/>
    <w:rsid w:val="00BF4A3D"/>
    <w:rsid w:val="00CD4E6F"/>
    <w:rsid w:val="00D500BE"/>
    <w:rsid w:val="00EE4D22"/>
    <w:rsid w:val="00F37072"/>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C1828"/>
  <w15:chartTrackingRefBased/>
  <w15:docId w15:val="{25A581B6-7AF4-4A99-B140-4E9A157C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160"/>
    <w:pPr>
      <w:spacing w:after="0" w:line="240" w:lineRule="auto"/>
      <w:jc w:val="both"/>
    </w:pPr>
    <w:rPr>
      <w:rFonts w:eastAsia="Times New Roman" w:cs="Times New Roman"/>
      <w:kern w:val="0"/>
    </w:rPr>
  </w:style>
  <w:style w:type="paragraph" w:styleId="Heading1">
    <w:name w:val="heading 1"/>
    <w:basedOn w:val="Normal"/>
    <w:next w:val="Normal"/>
    <w:link w:val="Heading1Char"/>
    <w:uiPriority w:val="9"/>
    <w:qFormat/>
    <w:rsid w:val="000A7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0A71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1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A71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A716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A716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A716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A716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1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1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0A71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1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A71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A71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A71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A71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A71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71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1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1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1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A7160"/>
    <w:pPr>
      <w:spacing w:before="160"/>
      <w:jc w:val="center"/>
    </w:pPr>
    <w:rPr>
      <w:i/>
      <w:iCs/>
      <w:color w:val="404040" w:themeColor="text1" w:themeTint="BF"/>
    </w:rPr>
  </w:style>
  <w:style w:type="character" w:customStyle="1" w:styleId="QuoteChar">
    <w:name w:val="Quote Char"/>
    <w:basedOn w:val="DefaultParagraphFont"/>
    <w:link w:val="Quote"/>
    <w:uiPriority w:val="29"/>
    <w:rsid w:val="000A7160"/>
    <w:rPr>
      <w:i/>
      <w:iCs/>
      <w:color w:val="404040" w:themeColor="text1" w:themeTint="BF"/>
    </w:rPr>
  </w:style>
  <w:style w:type="paragraph" w:styleId="ListParagraph">
    <w:name w:val="List Paragraph"/>
    <w:basedOn w:val="Normal"/>
    <w:uiPriority w:val="34"/>
    <w:qFormat/>
    <w:rsid w:val="000A7160"/>
    <w:pPr>
      <w:ind w:left="720"/>
      <w:contextualSpacing/>
    </w:pPr>
  </w:style>
  <w:style w:type="character" w:styleId="IntenseEmphasis">
    <w:name w:val="Intense Emphasis"/>
    <w:basedOn w:val="DefaultParagraphFont"/>
    <w:uiPriority w:val="21"/>
    <w:qFormat/>
    <w:rsid w:val="000A7160"/>
    <w:rPr>
      <w:i/>
      <w:iCs/>
      <w:color w:val="0F4761" w:themeColor="accent1" w:themeShade="BF"/>
    </w:rPr>
  </w:style>
  <w:style w:type="paragraph" w:styleId="IntenseQuote">
    <w:name w:val="Intense Quote"/>
    <w:basedOn w:val="Normal"/>
    <w:next w:val="Normal"/>
    <w:link w:val="IntenseQuoteChar"/>
    <w:uiPriority w:val="30"/>
    <w:qFormat/>
    <w:rsid w:val="000A7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160"/>
    <w:rPr>
      <w:i/>
      <w:iCs/>
      <w:color w:val="0F4761" w:themeColor="accent1" w:themeShade="BF"/>
    </w:rPr>
  </w:style>
  <w:style w:type="character" w:styleId="IntenseReference">
    <w:name w:val="Intense Reference"/>
    <w:basedOn w:val="DefaultParagraphFont"/>
    <w:uiPriority w:val="32"/>
    <w:qFormat/>
    <w:rsid w:val="000A71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996</Words>
  <Characters>5680</Characters>
  <Application>Microsoft Office Word</Application>
  <DocSecurity>0</DocSecurity>
  <Lines>47</Lines>
  <Paragraphs>13</Paragraphs>
  <ScaleCrop>false</ScaleCrop>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3</cp:revision>
  <dcterms:created xsi:type="dcterms:W3CDTF">2025-09-27T00:35:00Z</dcterms:created>
  <dcterms:modified xsi:type="dcterms:W3CDTF">2025-10-16T20:10:00Z</dcterms:modified>
</cp:coreProperties>
</file>