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09DE" w14:textId="1BDDF8B2" w:rsidR="00740761" w:rsidRPr="00376B81" w:rsidRDefault="00740761" w:rsidP="00740761">
      <w:pPr>
        <w:jc w:val="center"/>
      </w:pPr>
      <w:bookmarkStart w:id="0" w:name="_Toc95430313"/>
      <w:r w:rsidRPr="00376B81">
        <w:t>SHOULD YOU HAVE BONDS IN YOUR PORTFOLIO?</w:t>
      </w:r>
      <w:bookmarkEnd w:id="0"/>
    </w:p>
    <w:p w14:paraId="1E35BE41" w14:textId="77777777" w:rsidR="00740761" w:rsidRDefault="00740761" w:rsidP="00740761">
      <w:pPr>
        <w:contextualSpacing/>
      </w:pPr>
    </w:p>
    <w:p w14:paraId="422F3F86" w14:textId="2D9A943D" w:rsidR="00740761" w:rsidRDefault="00740761" w:rsidP="00740761">
      <w:pPr>
        <w:contextualSpacing/>
        <w:jc w:val="center"/>
      </w:pPr>
      <w:r w:rsidRPr="007354FE">
        <w:t xml:space="preserve">A Comparison of </w:t>
      </w:r>
      <w:r>
        <w:t>a 100% Stock Portfolio</w:t>
      </w:r>
    </w:p>
    <w:p w14:paraId="29A4C229" w14:textId="77777777" w:rsidR="00740761" w:rsidRDefault="00740761" w:rsidP="00740761">
      <w:pPr>
        <w:contextualSpacing/>
        <w:jc w:val="center"/>
      </w:pPr>
      <w:r>
        <w:t>and a 60%/40% Stock Portfolio</w:t>
      </w:r>
    </w:p>
    <w:p w14:paraId="72833057" w14:textId="77777777" w:rsidR="00740761" w:rsidRDefault="00740761" w:rsidP="00740761">
      <w:pPr>
        <w:contextualSpacing/>
      </w:pPr>
    </w:p>
    <w:p w14:paraId="437EF8A9" w14:textId="77777777" w:rsidR="000E1203" w:rsidRPr="000E1203" w:rsidRDefault="000E1203" w:rsidP="000E1203">
      <w:pPr>
        <w:contextualSpacing/>
        <w:jc w:val="center"/>
        <w:rPr>
          <w:sz w:val="20"/>
          <w:szCs w:val="20"/>
        </w:rPr>
      </w:pPr>
      <w:r w:rsidRPr="000E1203">
        <w:rPr>
          <w:sz w:val="20"/>
          <w:szCs w:val="20"/>
        </w:rPr>
        <w:t>Paul Hahn, Theology Department</w:t>
      </w:r>
    </w:p>
    <w:p w14:paraId="79164455" w14:textId="77777777" w:rsidR="000E1203" w:rsidRPr="000E1203" w:rsidRDefault="000E1203" w:rsidP="000E1203">
      <w:pPr>
        <w:contextualSpacing/>
        <w:jc w:val="center"/>
        <w:rPr>
          <w:sz w:val="20"/>
          <w:szCs w:val="20"/>
        </w:rPr>
      </w:pPr>
      <w:r w:rsidRPr="000E1203">
        <w:rPr>
          <w:sz w:val="20"/>
          <w:szCs w:val="20"/>
        </w:rPr>
        <w:t>University of St Thomas, Houston TX 77006</w:t>
      </w:r>
    </w:p>
    <w:p w14:paraId="150FEF15" w14:textId="66486205" w:rsidR="00740761" w:rsidRDefault="000E1203" w:rsidP="000E1203">
      <w:pPr>
        <w:contextualSpacing/>
        <w:jc w:val="center"/>
      </w:pPr>
      <w:r w:rsidRPr="000E1203">
        <w:rPr>
          <w:sz w:val="20"/>
          <w:szCs w:val="20"/>
        </w:rPr>
        <w:t>© 2026, theologyplus.com</w:t>
      </w:r>
    </w:p>
    <w:p w14:paraId="1F53BC97" w14:textId="77777777" w:rsidR="00740761" w:rsidRPr="000E1203" w:rsidRDefault="00740761" w:rsidP="00740761">
      <w:pPr>
        <w:contextualSpacing/>
      </w:pPr>
    </w:p>
    <w:p w14:paraId="52997314" w14:textId="77777777" w:rsidR="000E1203" w:rsidRPr="000E1203" w:rsidRDefault="000E1203" w:rsidP="00740761">
      <w:pPr>
        <w:contextualSpacing/>
      </w:pPr>
    </w:p>
    <w:p w14:paraId="6A76BD07" w14:textId="77777777" w:rsidR="00740761" w:rsidRPr="000E1203" w:rsidRDefault="00740761" w:rsidP="00740761">
      <w:pPr>
        <w:ind w:right="720"/>
        <w:contextualSpacing/>
      </w:pPr>
      <w:r w:rsidRPr="000E1203">
        <w:t>Imagine two investors, each with $1 million invested.</w:t>
      </w:r>
    </w:p>
    <w:p w14:paraId="3E67B215" w14:textId="77777777" w:rsidR="000E1203" w:rsidRPr="000E1203" w:rsidRDefault="000E1203" w:rsidP="00740761">
      <w:pPr>
        <w:ind w:right="720"/>
        <w:contextualSpacing/>
      </w:pPr>
    </w:p>
    <w:p w14:paraId="683E9D04" w14:textId="63E0B409" w:rsidR="00740761" w:rsidRPr="000E1203" w:rsidRDefault="00740761" w:rsidP="00740761">
      <w:pPr>
        <w:ind w:right="720"/>
        <w:contextualSpacing/>
      </w:pPr>
      <w:r w:rsidRPr="000E1203">
        <w:t>The first holds 100% stocks. The second holds 60% stocks and 40% bonds.</w:t>
      </w:r>
    </w:p>
    <w:p w14:paraId="2CA2C680" w14:textId="77777777" w:rsidR="000E1203" w:rsidRPr="000E1203" w:rsidRDefault="000E1203" w:rsidP="00740761">
      <w:pPr>
        <w:ind w:right="720"/>
        <w:contextualSpacing/>
      </w:pPr>
    </w:p>
    <w:p w14:paraId="451A9CBC" w14:textId="2B27B04A" w:rsidR="00740761" w:rsidRPr="000E1203" w:rsidRDefault="00740761" w:rsidP="00740761">
      <w:pPr>
        <w:ind w:right="720"/>
        <w:contextualSpacing/>
      </w:pPr>
      <w:r w:rsidRPr="000E1203">
        <w:t>Both experience a drop in stocks. Both withdraw a set amount each month.</w:t>
      </w:r>
    </w:p>
    <w:p w14:paraId="2461CD66" w14:textId="77777777" w:rsidR="000E1203" w:rsidRPr="000E1203" w:rsidRDefault="000E1203" w:rsidP="00740761">
      <w:pPr>
        <w:contextualSpacing/>
      </w:pPr>
    </w:p>
    <w:p w14:paraId="73744A69" w14:textId="7BA5D824" w:rsidR="00515BBE" w:rsidRPr="000E1203" w:rsidRDefault="00740761" w:rsidP="00740761">
      <w:pPr>
        <w:contextualSpacing/>
      </w:pPr>
      <w:r w:rsidRPr="000E1203">
        <w:t>Now let’s consider 7 scenarios, each with different degrees of stock-market drop and different amounts withdrawn each month.</w:t>
      </w:r>
    </w:p>
    <w:p w14:paraId="5574A174" w14:textId="77777777" w:rsidR="000E1203" w:rsidRPr="000E1203" w:rsidRDefault="000E1203" w:rsidP="00740761">
      <w:pPr>
        <w:contextualSpacing/>
      </w:pPr>
    </w:p>
    <w:p w14:paraId="28FBC2EC" w14:textId="57118052" w:rsidR="00740761" w:rsidRPr="000E1203" w:rsidRDefault="00515BBE" w:rsidP="00740761">
      <w:pPr>
        <w:contextualSpacing/>
      </w:pPr>
      <w:r w:rsidRPr="000E1203">
        <w:t>(Throughout, we will assume that stocks’ return on investment is 10% a year [US stocks have averaged that for the last 100 years], and bonds’ return on investment is 5.6% a year [US Treasury bonds and corporate bonds have averaged that for the last 100 years].)</w:t>
      </w:r>
    </w:p>
    <w:p w14:paraId="5D719D6B" w14:textId="77777777" w:rsidR="00740761" w:rsidRPr="000E1203" w:rsidRDefault="00740761" w:rsidP="00740761">
      <w:pPr>
        <w:contextualSpacing/>
      </w:pPr>
    </w:p>
    <w:p w14:paraId="6AB0E8DC" w14:textId="77777777" w:rsidR="00740761" w:rsidRPr="000E1203" w:rsidRDefault="00740761" w:rsidP="00740761">
      <w:pPr>
        <w:ind w:left="720"/>
        <w:contextualSpacing/>
        <w:jc w:val="left"/>
      </w:pPr>
      <w:r w:rsidRPr="000E1203">
        <w:t>scenario 1: the stock market drops 10%, and the investors withdraw $3000 a month.</w:t>
      </w:r>
    </w:p>
    <w:p w14:paraId="1FE23BB5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</w:pPr>
      <w:r w:rsidRPr="000E1203">
        <w:tab/>
        <w:t>after 5 years</w:t>
      </w:r>
      <w:r w:rsidRPr="000E1203">
        <w:tab/>
        <w:t>after 10 years</w:t>
      </w:r>
      <w:r w:rsidRPr="000E1203">
        <w:tab/>
        <w:t>after 15 years</w:t>
      </w:r>
      <w:r w:rsidRPr="000E1203">
        <w:tab/>
        <w:t>after 20 years</w:t>
      </w:r>
    </w:p>
    <w:p w14:paraId="451944ED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t>100% stocks</w:t>
      </w:r>
      <w:r w:rsidRPr="000E1203">
        <w:rPr>
          <w:rFonts w:eastAsia="Times New Roman"/>
          <w:color w:val="000000"/>
          <w:kern w:val="0"/>
          <w:szCs w:val="28"/>
        </w:rPr>
        <w:tab/>
        <w:t>$1,239,203</w:t>
      </w:r>
      <w:r w:rsidRPr="000E1203">
        <w:rPr>
          <w:rFonts w:eastAsia="Times New Roman"/>
          <w:color w:val="000000"/>
          <w:kern w:val="0"/>
          <w:szCs w:val="28"/>
        </w:rPr>
        <w:tab/>
        <w:t>$1,804,586</w:t>
      </w:r>
      <w:r w:rsidRPr="000E1203">
        <w:rPr>
          <w:rFonts w:eastAsia="Times New Roman"/>
          <w:color w:val="000000"/>
          <w:kern w:val="0"/>
          <w:szCs w:val="28"/>
        </w:rPr>
        <w:tab/>
        <w:t>$2,734,799</w:t>
      </w:r>
      <w:r w:rsidRPr="000E1203">
        <w:rPr>
          <w:rFonts w:eastAsia="Times New Roman"/>
          <w:color w:val="000000"/>
          <w:kern w:val="0"/>
          <w:szCs w:val="28"/>
        </w:rPr>
        <w:tab/>
        <w:t>$4,265,255</w:t>
      </w:r>
    </w:p>
    <w:p w14:paraId="75761E72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rPr>
          <w:rFonts w:eastAsia="Times New Roman"/>
          <w:color w:val="000000"/>
          <w:kern w:val="0"/>
          <w:szCs w:val="28"/>
        </w:rPr>
        <w:t>60%/40% stocks-bonds</w:t>
      </w:r>
      <w:r w:rsidRPr="000E1203">
        <w:rPr>
          <w:rFonts w:eastAsia="Times New Roman"/>
          <w:color w:val="000000"/>
          <w:kern w:val="0"/>
          <w:szCs w:val="28"/>
        </w:rPr>
        <w:tab/>
        <w:t>$</w:t>
      </w:r>
      <w:r w:rsidRPr="000E1203">
        <w:rPr>
          <w:rFonts w:eastAsia="Times New Roman" w:cs="Calibri"/>
          <w:color w:val="000000"/>
          <w:kern w:val="0"/>
        </w:rPr>
        <w:t>1,192,499</w:t>
      </w:r>
      <w:r w:rsidRPr="000E1203">
        <w:rPr>
          <w:rFonts w:eastAsia="Times New Roman"/>
          <w:color w:val="000000"/>
          <w:kern w:val="0"/>
          <w:szCs w:val="28"/>
        </w:rPr>
        <w:tab/>
        <w:t>$1,579,541</w:t>
      </w:r>
      <w:r w:rsidRPr="000E1203">
        <w:rPr>
          <w:rFonts w:eastAsia="Times New Roman"/>
          <w:color w:val="000000"/>
          <w:kern w:val="0"/>
          <w:szCs w:val="28"/>
        </w:rPr>
        <w:tab/>
        <w:t>$2,164,806</w:t>
      </w:r>
      <w:r w:rsidRPr="000E1203">
        <w:rPr>
          <w:rFonts w:eastAsia="Times New Roman"/>
          <w:color w:val="000000"/>
          <w:kern w:val="0"/>
          <w:szCs w:val="28"/>
        </w:rPr>
        <w:tab/>
        <w:t>$3,049,813</w:t>
      </w:r>
    </w:p>
    <w:p w14:paraId="4F7B0043" w14:textId="77777777" w:rsidR="00740761" w:rsidRPr="000E1203" w:rsidRDefault="00740761" w:rsidP="00740761">
      <w:pPr>
        <w:contextualSpacing/>
      </w:pPr>
    </w:p>
    <w:p w14:paraId="3CC5E621" w14:textId="77777777" w:rsidR="00740761" w:rsidRPr="000E1203" w:rsidRDefault="00740761" w:rsidP="00740761">
      <w:pPr>
        <w:ind w:left="720"/>
        <w:contextualSpacing/>
      </w:pPr>
      <w:r w:rsidRPr="000E1203">
        <w:t>scenario 2: the stock market drops 20%, and the investors withdraw $3000 a month.</w:t>
      </w:r>
    </w:p>
    <w:p w14:paraId="0F1A4706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</w:pPr>
      <w:r w:rsidRPr="000E1203">
        <w:tab/>
        <w:t>after 5 years</w:t>
      </w:r>
      <w:r w:rsidRPr="000E1203">
        <w:tab/>
        <w:t>after 10 years</w:t>
      </w:r>
      <w:r w:rsidRPr="000E1203">
        <w:tab/>
        <w:t>after 15 years</w:t>
      </w:r>
      <w:r w:rsidRPr="000E1203">
        <w:tab/>
        <w:t>after 20 years</w:t>
      </w:r>
    </w:p>
    <w:p w14:paraId="7E236C25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t>100% stocks</w:t>
      </w:r>
      <w:r w:rsidRPr="000E1203">
        <w:rPr>
          <w:rFonts w:eastAsia="Times New Roman"/>
          <w:color w:val="000000"/>
          <w:kern w:val="0"/>
          <w:szCs w:val="28"/>
        </w:rPr>
        <w:tab/>
        <w:t>$1,076,035</w:t>
      </w:r>
      <w:r w:rsidRPr="000E1203">
        <w:rPr>
          <w:rFonts w:eastAsia="Times New Roman"/>
          <w:color w:val="000000"/>
          <w:kern w:val="0"/>
          <w:szCs w:val="28"/>
        </w:rPr>
        <w:tab/>
        <w:t>$1,536,130</w:t>
      </w:r>
      <w:r w:rsidRPr="000E1203">
        <w:rPr>
          <w:rFonts w:eastAsia="Times New Roman"/>
          <w:color w:val="000000"/>
          <w:kern w:val="0"/>
          <w:szCs w:val="28"/>
        </w:rPr>
        <w:tab/>
        <w:t>$2,293,114</w:t>
      </w:r>
      <w:r w:rsidRPr="000E1203">
        <w:rPr>
          <w:rFonts w:eastAsia="Times New Roman"/>
          <w:color w:val="000000"/>
          <w:kern w:val="0"/>
          <w:szCs w:val="28"/>
        </w:rPr>
        <w:tab/>
        <w:t>$3,538,561</w:t>
      </w:r>
    </w:p>
    <w:p w14:paraId="2FF8C5C6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rPr>
          <w:rFonts w:eastAsia="Times New Roman"/>
          <w:color w:val="000000"/>
          <w:kern w:val="0"/>
          <w:szCs w:val="28"/>
        </w:rPr>
        <w:t>60%/40% stocks-bonds</w:t>
      </w:r>
      <w:r w:rsidRPr="000E1203">
        <w:rPr>
          <w:rFonts w:eastAsia="Times New Roman"/>
          <w:color w:val="000000"/>
          <w:kern w:val="0"/>
          <w:szCs w:val="28"/>
        </w:rPr>
        <w:tab/>
        <w:t>$1,102,393</w:t>
      </w:r>
      <w:r w:rsidRPr="000E1203">
        <w:rPr>
          <w:rFonts w:eastAsia="Times New Roman"/>
          <w:color w:val="000000"/>
          <w:kern w:val="0"/>
          <w:szCs w:val="28"/>
        </w:rPr>
        <w:tab/>
        <w:t>$1,443,287</w:t>
      </w:r>
      <w:r w:rsidRPr="000E1203">
        <w:rPr>
          <w:rFonts w:eastAsia="Times New Roman"/>
          <w:color w:val="000000"/>
          <w:kern w:val="0"/>
          <w:szCs w:val="28"/>
        </w:rPr>
        <w:tab/>
        <w:t>$1,958,770</w:t>
      </w:r>
      <w:r w:rsidRPr="000E1203">
        <w:rPr>
          <w:rFonts w:eastAsia="Times New Roman"/>
          <w:color w:val="000000"/>
          <w:kern w:val="0"/>
          <w:szCs w:val="28"/>
        </w:rPr>
        <w:tab/>
        <w:t>$2,738,258</w:t>
      </w:r>
    </w:p>
    <w:p w14:paraId="75C7F9FE" w14:textId="77777777" w:rsidR="00740761" w:rsidRPr="000E1203" w:rsidRDefault="00740761" w:rsidP="00740761">
      <w:pPr>
        <w:contextualSpacing/>
      </w:pPr>
    </w:p>
    <w:p w14:paraId="13CE86E7" w14:textId="77777777" w:rsidR="00740761" w:rsidRPr="000E1203" w:rsidRDefault="00740761" w:rsidP="00740761">
      <w:pPr>
        <w:ind w:left="720"/>
        <w:contextualSpacing/>
      </w:pPr>
      <w:r w:rsidRPr="000E1203">
        <w:t>scenario 3: the stock market drops 35%, and the investors withdraw $3000 a month.</w:t>
      </w:r>
    </w:p>
    <w:p w14:paraId="751A08AF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</w:pPr>
      <w:r w:rsidRPr="000E1203">
        <w:tab/>
        <w:t>after 5 years</w:t>
      </w:r>
      <w:r w:rsidRPr="000E1203">
        <w:tab/>
        <w:t>after 10 years</w:t>
      </w:r>
      <w:r w:rsidRPr="000E1203">
        <w:tab/>
        <w:t>after 15 years</w:t>
      </w:r>
      <w:r w:rsidRPr="000E1203">
        <w:tab/>
        <w:t>after 20 years</w:t>
      </w:r>
    </w:p>
    <w:p w14:paraId="02CC0755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t>100% stocks</w:t>
      </w:r>
      <w:r w:rsidRPr="000E1203">
        <w:rPr>
          <w:rFonts w:eastAsia="Times New Roman"/>
          <w:color w:val="000000"/>
          <w:kern w:val="0"/>
          <w:szCs w:val="28"/>
        </w:rPr>
        <w:tab/>
        <w:t>$831,283</w:t>
      </w:r>
      <w:r w:rsidRPr="000E1203">
        <w:rPr>
          <w:rFonts w:eastAsia="Times New Roman"/>
          <w:color w:val="000000"/>
          <w:kern w:val="0"/>
          <w:szCs w:val="28"/>
        </w:rPr>
        <w:tab/>
        <w:t>$1,133,446</w:t>
      </w:r>
      <w:r w:rsidRPr="000E1203">
        <w:rPr>
          <w:rFonts w:eastAsia="Times New Roman"/>
          <w:color w:val="000000"/>
          <w:kern w:val="0"/>
          <w:szCs w:val="28"/>
        </w:rPr>
        <w:tab/>
        <w:t>$1,630,586</w:t>
      </w:r>
      <w:r w:rsidRPr="000E1203">
        <w:rPr>
          <w:rFonts w:eastAsia="Times New Roman"/>
          <w:color w:val="000000"/>
          <w:kern w:val="0"/>
          <w:szCs w:val="28"/>
        </w:rPr>
        <w:tab/>
        <w:t>$2,448,521</w:t>
      </w:r>
    </w:p>
    <w:p w14:paraId="6841EEC4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rPr>
          <w:rFonts w:eastAsia="Times New Roman"/>
          <w:color w:val="000000"/>
          <w:kern w:val="0"/>
          <w:szCs w:val="28"/>
        </w:rPr>
        <w:t>60%/40% stocks-bonds</w:t>
      </w:r>
      <w:r w:rsidRPr="000E1203">
        <w:rPr>
          <w:rFonts w:eastAsia="Times New Roman"/>
          <w:color w:val="000000"/>
          <w:kern w:val="0"/>
          <w:szCs w:val="28"/>
        </w:rPr>
        <w:tab/>
        <w:t>$967,234</w:t>
      </w:r>
      <w:r w:rsidRPr="000E1203">
        <w:rPr>
          <w:rFonts w:eastAsia="Times New Roman"/>
          <w:color w:val="000000"/>
          <w:kern w:val="0"/>
          <w:szCs w:val="28"/>
        </w:rPr>
        <w:tab/>
        <w:t>$1,238,907</w:t>
      </w:r>
      <w:r w:rsidRPr="000E1203">
        <w:rPr>
          <w:rFonts w:eastAsia="Times New Roman"/>
          <w:color w:val="000000"/>
          <w:kern w:val="0"/>
          <w:szCs w:val="28"/>
        </w:rPr>
        <w:tab/>
        <w:t>$1,649,717</w:t>
      </w:r>
      <w:r w:rsidRPr="000E1203">
        <w:rPr>
          <w:rFonts w:eastAsia="Times New Roman"/>
          <w:color w:val="000000"/>
          <w:kern w:val="0"/>
          <w:szCs w:val="28"/>
        </w:rPr>
        <w:tab/>
        <w:t>$2,270,924</w:t>
      </w:r>
    </w:p>
    <w:p w14:paraId="4471B976" w14:textId="77777777" w:rsidR="00740761" w:rsidRPr="000E1203" w:rsidRDefault="00740761" w:rsidP="00740761">
      <w:pPr>
        <w:contextualSpacing/>
      </w:pPr>
    </w:p>
    <w:p w14:paraId="59E4AFB2" w14:textId="77777777" w:rsidR="00740761" w:rsidRPr="000E1203" w:rsidRDefault="00740761" w:rsidP="00740761">
      <w:pPr>
        <w:ind w:left="720"/>
        <w:contextualSpacing/>
      </w:pPr>
      <w:r w:rsidRPr="000E1203">
        <w:t>scenario 4: the stock market drops 35%, and the investors withdraw $2000 a month.</w:t>
      </w:r>
    </w:p>
    <w:p w14:paraId="3535129C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</w:pPr>
      <w:r w:rsidRPr="000E1203">
        <w:tab/>
        <w:t>after 5 years</w:t>
      </w:r>
      <w:r w:rsidRPr="000E1203">
        <w:tab/>
        <w:t>after 10 years</w:t>
      </w:r>
      <w:r w:rsidRPr="000E1203">
        <w:tab/>
        <w:t>after 15 years</w:t>
      </w:r>
      <w:r w:rsidRPr="000E1203">
        <w:tab/>
        <w:t>after 20 years</w:t>
      </w:r>
    </w:p>
    <w:p w14:paraId="5017C76F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t>100% stocks</w:t>
      </w:r>
      <w:r w:rsidRPr="000E1203">
        <w:rPr>
          <w:rFonts w:eastAsia="Times New Roman"/>
          <w:color w:val="000000"/>
          <w:kern w:val="0"/>
          <w:szCs w:val="28"/>
        </w:rPr>
        <w:tab/>
        <w:t>$907,719</w:t>
      </w:r>
      <w:r w:rsidRPr="000E1203">
        <w:rPr>
          <w:rFonts w:eastAsia="Times New Roman"/>
          <w:color w:val="000000"/>
          <w:kern w:val="0"/>
          <w:szCs w:val="28"/>
        </w:rPr>
        <w:tab/>
        <w:t>$1,337,286</w:t>
      </w:r>
      <w:r w:rsidRPr="000E1203">
        <w:rPr>
          <w:rFonts w:eastAsia="Times New Roman"/>
          <w:color w:val="000000"/>
          <w:kern w:val="0"/>
          <w:szCs w:val="28"/>
        </w:rPr>
        <w:tab/>
        <w:t>$2,044,042</w:t>
      </w:r>
      <w:r w:rsidRPr="000E1203">
        <w:rPr>
          <w:rFonts w:eastAsia="Times New Roman"/>
          <w:color w:val="000000"/>
          <w:kern w:val="0"/>
          <w:szCs w:val="28"/>
        </w:rPr>
        <w:tab/>
        <w:t>$3,206,850</w:t>
      </w:r>
    </w:p>
    <w:p w14:paraId="3B4AC238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rPr>
          <w:rFonts w:eastAsia="Times New Roman"/>
          <w:color w:val="000000"/>
          <w:kern w:val="0"/>
          <w:szCs w:val="28"/>
        </w:rPr>
        <w:t>60%/40% stocks-bonds</w:t>
      </w:r>
      <w:r w:rsidRPr="000E1203">
        <w:rPr>
          <w:rFonts w:eastAsia="Times New Roman"/>
          <w:color w:val="000000"/>
          <w:kern w:val="0"/>
          <w:szCs w:val="28"/>
        </w:rPr>
        <w:tab/>
        <w:t>$1,040,287</w:t>
      </w:r>
      <w:r w:rsidRPr="000E1203">
        <w:rPr>
          <w:rFonts w:eastAsia="Times New Roman"/>
          <w:color w:val="000000"/>
          <w:kern w:val="0"/>
          <w:szCs w:val="28"/>
        </w:rPr>
        <w:tab/>
        <w:t>$1,423,939</w:t>
      </w:r>
      <w:r w:rsidRPr="000E1203">
        <w:rPr>
          <w:rFonts w:eastAsia="Times New Roman"/>
          <w:color w:val="000000"/>
          <w:kern w:val="0"/>
          <w:szCs w:val="28"/>
        </w:rPr>
        <w:tab/>
        <w:t>$2,004,078</w:t>
      </w:r>
      <w:r w:rsidRPr="000E1203">
        <w:rPr>
          <w:rFonts w:eastAsia="Times New Roman"/>
          <w:color w:val="000000"/>
          <w:kern w:val="0"/>
          <w:szCs w:val="28"/>
        </w:rPr>
        <w:tab/>
        <w:t>$2,881,334</w:t>
      </w:r>
    </w:p>
    <w:p w14:paraId="3E09B077" w14:textId="77777777" w:rsidR="00740761" w:rsidRPr="000E1203" w:rsidRDefault="00740761" w:rsidP="00740761">
      <w:pPr>
        <w:contextualSpacing/>
      </w:pPr>
    </w:p>
    <w:p w14:paraId="14C3A212" w14:textId="77777777" w:rsidR="00740761" w:rsidRPr="000E1203" w:rsidRDefault="00740761" w:rsidP="00740761">
      <w:pPr>
        <w:ind w:left="720"/>
        <w:contextualSpacing/>
      </w:pPr>
      <w:r w:rsidRPr="000E1203">
        <w:t>scenario 5: the stock market drops 35%, and the investors withdraw $4000 a month.</w:t>
      </w:r>
    </w:p>
    <w:p w14:paraId="302D420A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</w:pPr>
      <w:r w:rsidRPr="000E1203">
        <w:tab/>
        <w:t>after 5 years</w:t>
      </w:r>
      <w:r w:rsidRPr="000E1203">
        <w:tab/>
        <w:t>after 10 years</w:t>
      </w:r>
      <w:r w:rsidRPr="000E1203">
        <w:tab/>
        <w:t>after 15 years</w:t>
      </w:r>
      <w:r w:rsidRPr="000E1203">
        <w:tab/>
        <w:t>after 20 years</w:t>
      </w:r>
    </w:p>
    <w:p w14:paraId="534B47A2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t>100% stocks</w:t>
      </w:r>
      <w:r w:rsidRPr="000E1203">
        <w:rPr>
          <w:rFonts w:eastAsia="Times New Roman"/>
          <w:color w:val="000000"/>
          <w:kern w:val="0"/>
          <w:szCs w:val="28"/>
        </w:rPr>
        <w:tab/>
        <w:t>$754,847</w:t>
      </w:r>
      <w:r w:rsidRPr="000E1203">
        <w:rPr>
          <w:rFonts w:eastAsia="Times New Roman"/>
          <w:color w:val="000000"/>
          <w:kern w:val="0"/>
          <w:szCs w:val="28"/>
        </w:rPr>
        <w:tab/>
        <w:t>$929,605</w:t>
      </w:r>
      <w:r w:rsidRPr="000E1203">
        <w:rPr>
          <w:rFonts w:eastAsia="Times New Roman"/>
          <w:color w:val="000000"/>
          <w:kern w:val="0"/>
          <w:szCs w:val="28"/>
        </w:rPr>
        <w:tab/>
        <w:t>$1,217,131</w:t>
      </w:r>
      <w:r w:rsidRPr="000E1203">
        <w:rPr>
          <w:rFonts w:eastAsia="Times New Roman"/>
          <w:color w:val="000000"/>
          <w:kern w:val="0"/>
          <w:szCs w:val="28"/>
        </w:rPr>
        <w:tab/>
        <w:t>$1,690,191</w:t>
      </w:r>
    </w:p>
    <w:p w14:paraId="0A07EF11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rPr>
          <w:rFonts w:eastAsia="Times New Roman"/>
          <w:color w:val="000000"/>
          <w:kern w:val="0"/>
          <w:szCs w:val="28"/>
        </w:rPr>
        <w:t>60%/40% stocks-bonds</w:t>
      </w:r>
      <w:r w:rsidRPr="000E1203">
        <w:rPr>
          <w:rFonts w:eastAsia="Times New Roman"/>
          <w:color w:val="000000"/>
          <w:kern w:val="0"/>
          <w:szCs w:val="28"/>
        </w:rPr>
        <w:tab/>
        <w:t>$894,181</w:t>
      </w:r>
      <w:r w:rsidRPr="000E1203">
        <w:rPr>
          <w:rFonts w:eastAsia="Times New Roman"/>
          <w:color w:val="000000"/>
          <w:kern w:val="0"/>
          <w:szCs w:val="28"/>
        </w:rPr>
        <w:tab/>
        <w:t>$1,053,876</w:t>
      </w:r>
      <w:r w:rsidRPr="000E1203">
        <w:rPr>
          <w:rFonts w:eastAsia="Times New Roman"/>
          <w:color w:val="000000"/>
          <w:kern w:val="0"/>
          <w:szCs w:val="28"/>
        </w:rPr>
        <w:tab/>
        <w:t>$1,295,357</w:t>
      </w:r>
      <w:r w:rsidRPr="000E1203">
        <w:rPr>
          <w:rFonts w:eastAsia="Times New Roman"/>
          <w:color w:val="000000"/>
          <w:kern w:val="0"/>
          <w:szCs w:val="28"/>
        </w:rPr>
        <w:tab/>
        <w:t>$1,660,514</w:t>
      </w:r>
    </w:p>
    <w:p w14:paraId="6D6B1127" w14:textId="77777777" w:rsidR="00740761" w:rsidRPr="000E1203" w:rsidRDefault="00740761" w:rsidP="00740761">
      <w:pPr>
        <w:contextualSpacing/>
      </w:pPr>
    </w:p>
    <w:p w14:paraId="3F7DE4ED" w14:textId="77777777" w:rsidR="00740761" w:rsidRPr="000E1203" w:rsidRDefault="00740761" w:rsidP="00740761">
      <w:pPr>
        <w:ind w:left="720"/>
        <w:contextualSpacing/>
      </w:pPr>
      <w:r w:rsidRPr="000E1203">
        <w:t>scenario 6: the stock market drops 40%, and the investors withdraw $2000 a month.</w:t>
      </w:r>
    </w:p>
    <w:p w14:paraId="5BC43755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</w:pPr>
      <w:r w:rsidRPr="000E1203">
        <w:tab/>
        <w:t>after 5 years</w:t>
      </w:r>
      <w:r w:rsidRPr="000E1203">
        <w:tab/>
        <w:t>after 10 years</w:t>
      </w:r>
      <w:r w:rsidRPr="000E1203">
        <w:tab/>
        <w:t>after 15 years</w:t>
      </w:r>
      <w:r w:rsidRPr="000E1203">
        <w:tab/>
        <w:t>after 20 years</w:t>
      </w:r>
    </w:p>
    <w:p w14:paraId="118B8C8D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t>100% stocks</w:t>
      </w:r>
      <w:r w:rsidRPr="000E1203">
        <w:rPr>
          <w:rFonts w:eastAsia="Times New Roman"/>
          <w:color w:val="000000"/>
          <w:kern w:val="0"/>
          <w:szCs w:val="28"/>
        </w:rPr>
        <w:tab/>
        <w:t>$826,135</w:t>
      </w:r>
      <w:r w:rsidRPr="000E1203">
        <w:rPr>
          <w:rFonts w:eastAsia="Times New Roman"/>
          <w:color w:val="000000"/>
          <w:kern w:val="0"/>
          <w:szCs w:val="28"/>
        </w:rPr>
        <w:tab/>
        <w:t>$1,203,058</w:t>
      </w:r>
      <w:r w:rsidRPr="000E1203">
        <w:rPr>
          <w:rFonts w:eastAsia="Times New Roman"/>
          <w:color w:val="000000"/>
          <w:kern w:val="0"/>
          <w:szCs w:val="28"/>
        </w:rPr>
        <w:tab/>
        <w:t>$1,823,199</w:t>
      </w:r>
      <w:r w:rsidRPr="000E1203">
        <w:rPr>
          <w:rFonts w:eastAsia="Times New Roman"/>
          <w:color w:val="000000"/>
          <w:kern w:val="0"/>
          <w:szCs w:val="28"/>
        </w:rPr>
        <w:tab/>
        <w:t>$2,843,503</w:t>
      </w:r>
    </w:p>
    <w:p w14:paraId="319BBA71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rPr>
          <w:rFonts w:eastAsia="Times New Roman"/>
          <w:color w:val="000000"/>
          <w:kern w:val="0"/>
          <w:szCs w:val="28"/>
        </w:rPr>
        <w:t>60%/40% stocks-bonds</w:t>
      </w:r>
      <w:r w:rsidRPr="000E1203">
        <w:rPr>
          <w:rFonts w:eastAsia="Times New Roman"/>
          <w:color w:val="000000"/>
          <w:kern w:val="0"/>
          <w:szCs w:val="28"/>
        </w:rPr>
        <w:tab/>
        <w:t>$995,234</w:t>
      </w:r>
      <w:r w:rsidRPr="000E1203">
        <w:rPr>
          <w:rFonts w:eastAsia="Times New Roman"/>
          <w:color w:val="000000"/>
          <w:kern w:val="0"/>
          <w:szCs w:val="28"/>
        </w:rPr>
        <w:tab/>
        <w:t>$1,355,812</w:t>
      </w:r>
      <w:r w:rsidRPr="000E1203">
        <w:rPr>
          <w:rFonts w:eastAsia="Times New Roman"/>
          <w:color w:val="000000"/>
          <w:kern w:val="0"/>
          <w:szCs w:val="28"/>
        </w:rPr>
        <w:tab/>
        <w:t>$1,901,060</w:t>
      </w:r>
      <w:r w:rsidRPr="000E1203">
        <w:rPr>
          <w:rFonts w:eastAsia="Times New Roman"/>
          <w:color w:val="000000"/>
          <w:kern w:val="0"/>
          <w:szCs w:val="28"/>
        </w:rPr>
        <w:tab/>
        <w:t>$2,725,556</w:t>
      </w:r>
    </w:p>
    <w:p w14:paraId="3E4C43E3" w14:textId="77777777" w:rsidR="00740761" w:rsidRPr="000E1203" w:rsidRDefault="00740761" w:rsidP="00740761">
      <w:pPr>
        <w:contextualSpacing/>
      </w:pPr>
    </w:p>
    <w:p w14:paraId="0ED53635" w14:textId="77777777" w:rsidR="00740761" w:rsidRPr="000E1203" w:rsidRDefault="00740761" w:rsidP="00740761">
      <w:pPr>
        <w:ind w:left="720"/>
        <w:contextualSpacing/>
      </w:pPr>
      <w:r w:rsidRPr="000E1203">
        <w:t>scenario 7: the stock market drops 40%, and the investors withdraw $3000 a month.</w:t>
      </w:r>
    </w:p>
    <w:p w14:paraId="248D4175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</w:pPr>
      <w:r w:rsidRPr="000E1203">
        <w:tab/>
        <w:t>after 5 years</w:t>
      </w:r>
      <w:r w:rsidRPr="000E1203">
        <w:tab/>
        <w:t>after 10 years</w:t>
      </w:r>
      <w:r w:rsidRPr="000E1203">
        <w:tab/>
        <w:t>after 15 years</w:t>
      </w:r>
      <w:r w:rsidRPr="000E1203">
        <w:tab/>
        <w:t>after 20 years</w:t>
      </w:r>
    </w:p>
    <w:p w14:paraId="5A14F3CD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t>100% stocks</w:t>
      </w:r>
      <w:r w:rsidRPr="000E1203">
        <w:rPr>
          <w:rFonts w:eastAsia="Times New Roman"/>
          <w:color w:val="000000"/>
          <w:kern w:val="0"/>
          <w:szCs w:val="28"/>
        </w:rPr>
        <w:tab/>
        <w:t>$749,699</w:t>
      </w:r>
      <w:r w:rsidRPr="000E1203">
        <w:rPr>
          <w:rFonts w:eastAsia="Times New Roman"/>
          <w:color w:val="000000"/>
          <w:kern w:val="0"/>
          <w:szCs w:val="28"/>
        </w:rPr>
        <w:tab/>
        <w:t>$999,217</w:t>
      </w:r>
      <w:r w:rsidRPr="000E1203">
        <w:rPr>
          <w:rFonts w:eastAsia="Times New Roman"/>
          <w:color w:val="000000"/>
          <w:kern w:val="0"/>
          <w:szCs w:val="28"/>
        </w:rPr>
        <w:tab/>
        <w:t>$1,409,744</w:t>
      </w:r>
      <w:r w:rsidRPr="000E1203">
        <w:rPr>
          <w:rFonts w:eastAsia="Times New Roman"/>
          <w:color w:val="000000"/>
          <w:kern w:val="0"/>
          <w:szCs w:val="28"/>
        </w:rPr>
        <w:tab/>
        <w:t>$1,326,844</w:t>
      </w:r>
    </w:p>
    <w:p w14:paraId="70D9F88E" w14:textId="77777777" w:rsidR="00740761" w:rsidRPr="000E1203" w:rsidRDefault="00740761" w:rsidP="00740761">
      <w:pPr>
        <w:tabs>
          <w:tab w:val="right" w:pos="4320"/>
          <w:tab w:val="right" w:pos="5760"/>
          <w:tab w:val="right" w:pos="7200"/>
          <w:tab w:val="right" w:pos="8640"/>
        </w:tabs>
        <w:ind w:left="720"/>
        <w:rPr>
          <w:rFonts w:eastAsia="Times New Roman"/>
          <w:color w:val="000000"/>
          <w:kern w:val="0"/>
          <w:szCs w:val="28"/>
        </w:rPr>
      </w:pPr>
      <w:r w:rsidRPr="000E1203">
        <w:rPr>
          <w:rFonts w:eastAsia="Times New Roman"/>
          <w:color w:val="000000"/>
          <w:kern w:val="0"/>
          <w:szCs w:val="28"/>
        </w:rPr>
        <w:t>60%/40% stocks-bonds</w:t>
      </w:r>
      <w:r w:rsidRPr="000E1203">
        <w:rPr>
          <w:rFonts w:eastAsia="Times New Roman"/>
          <w:color w:val="000000"/>
          <w:kern w:val="0"/>
          <w:szCs w:val="28"/>
        </w:rPr>
        <w:tab/>
        <w:t>$922,181</w:t>
      </w:r>
      <w:r w:rsidRPr="000E1203">
        <w:rPr>
          <w:rFonts w:eastAsia="Times New Roman"/>
          <w:color w:val="000000"/>
          <w:kern w:val="0"/>
          <w:szCs w:val="28"/>
        </w:rPr>
        <w:tab/>
        <w:t>$1,170,781</w:t>
      </w:r>
      <w:r w:rsidRPr="000E1203">
        <w:rPr>
          <w:rFonts w:eastAsia="Times New Roman"/>
          <w:color w:val="000000"/>
          <w:kern w:val="0"/>
          <w:szCs w:val="28"/>
        </w:rPr>
        <w:tab/>
        <w:t>$1,546,700</w:t>
      </w:r>
      <w:r w:rsidRPr="000E1203">
        <w:rPr>
          <w:rFonts w:eastAsia="Times New Roman"/>
          <w:color w:val="000000"/>
          <w:kern w:val="0"/>
          <w:szCs w:val="28"/>
        </w:rPr>
        <w:tab/>
        <w:t>$1,504,736</w:t>
      </w:r>
    </w:p>
    <w:p w14:paraId="75214DCD" w14:textId="77777777" w:rsidR="00740761" w:rsidRPr="000E1203" w:rsidRDefault="00740761" w:rsidP="00740761">
      <w:pPr>
        <w:contextualSpacing/>
      </w:pPr>
    </w:p>
    <w:p w14:paraId="19B2B92C" w14:textId="77777777" w:rsidR="00740761" w:rsidRPr="000E1203" w:rsidRDefault="00740761" w:rsidP="00740761">
      <w:pPr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Conclusions for a 5-year time horizon:</w:t>
      </w:r>
    </w:p>
    <w:p w14:paraId="475BE474" w14:textId="77777777" w:rsidR="000E1203" w:rsidRPr="000E1203" w:rsidRDefault="000E1203" w:rsidP="00740761">
      <w:pPr>
        <w:contextualSpacing/>
        <w:rPr>
          <w:rFonts w:cstheme="minorHAnsi"/>
          <w:szCs w:val="28"/>
        </w:rPr>
      </w:pPr>
    </w:p>
    <w:p w14:paraId="78767EA9" w14:textId="77777777" w:rsidR="00740761" w:rsidRPr="000E1203" w:rsidRDefault="00740761" w:rsidP="00740761">
      <w:pPr>
        <w:ind w:left="360"/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The 60%/40% portfolio beat the 100% portfolio in all scenarios but the first (20% drop and $3000 withdrawals).</w:t>
      </w:r>
    </w:p>
    <w:p w14:paraId="74E603A4" w14:textId="77777777" w:rsidR="00740761" w:rsidRPr="000E1203" w:rsidRDefault="00740761" w:rsidP="00740761">
      <w:pPr>
        <w:ind w:left="360"/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If your time horizon is 5 years (you’ll need the money by then), adding bonds is a good idea.</w:t>
      </w:r>
    </w:p>
    <w:p w14:paraId="37269A4C" w14:textId="77777777" w:rsidR="00740761" w:rsidRPr="000E1203" w:rsidRDefault="00740761" w:rsidP="00740761">
      <w:pPr>
        <w:contextualSpacing/>
        <w:rPr>
          <w:rFonts w:cstheme="minorHAnsi"/>
          <w:szCs w:val="28"/>
        </w:rPr>
      </w:pPr>
    </w:p>
    <w:p w14:paraId="5EFA28DA" w14:textId="77777777" w:rsidR="00740761" w:rsidRPr="000E1203" w:rsidRDefault="00740761" w:rsidP="00740761">
      <w:pPr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Conclusions for a 10-year time horizon:</w:t>
      </w:r>
    </w:p>
    <w:p w14:paraId="6ECB4670" w14:textId="77777777" w:rsidR="000E1203" w:rsidRPr="000E1203" w:rsidRDefault="000E1203" w:rsidP="00740761">
      <w:pPr>
        <w:contextualSpacing/>
        <w:rPr>
          <w:rFonts w:cstheme="minorHAnsi"/>
          <w:szCs w:val="28"/>
        </w:rPr>
      </w:pPr>
    </w:p>
    <w:p w14:paraId="3DFE2BD5" w14:textId="77777777" w:rsidR="00740761" w:rsidRPr="000E1203" w:rsidRDefault="00740761" w:rsidP="00740761">
      <w:pPr>
        <w:ind w:left="360"/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The 60%/40% portfolio beat the 100% portfolio in all scenarios but the first two (10% drop or 20% drop and $3000 withdrawals).</w:t>
      </w:r>
    </w:p>
    <w:p w14:paraId="5AE44ECA" w14:textId="77777777" w:rsidR="00740761" w:rsidRPr="000E1203" w:rsidRDefault="00740761" w:rsidP="00740761">
      <w:pPr>
        <w:ind w:left="360"/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If your time horizon is 10 years and you are risk averse, adding bonds is a reasonable idea.</w:t>
      </w:r>
    </w:p>
    <w:p w14:paraId="03AF6F02" w14:textId="77777777" w:rsidR="00740761" w:rsidRPr="000E1203" w:rsidRDefault="00740761" w:rsidP="00740761">
      <w:pPr>
        <w:contextualSpacing/>
        <w:rPr>
          <w:rFonts w:cstheme="minorHAnsi"/>
          <w:szCs w:val="28"/>
        </w:rPr>
      </w:pPr>
    </w:p>
    <w:p w14:paraId="7C42481C" w14:textId="77777777" w:rsidR="00740761" w:rsidRPr="000E1203" w:rsidRDefault="00740761" w:rsidP="00740761">
      <w:pPr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Conclusions for a 15-year time horizon:</w:t>
      </w:r>
    </w:p>
    <w:p w14:paraId="26750E91" w14:textId="77777777" w:rsidR="000E1203" w:rsidRPr="000E1203" w:rsidRDefault="000E1203" w:rsidP="00740761">
      <w:pPr>
        <w:contextualSpacing/>
        <w:rPr>
          <w:rFonts w:cstheme="minorHAnsi"/>
          <w:szCs w:val="28"/>
        </w:rPr>
      </w:pPr>
    </w:p>
    <w:p w14:paraId="15D556B5" w14:textId="77777777" w:rsidR="00740761" w:rsidRPr="000E1203" w:rsidRDefault="00740761" w:rsidP="00740761">
      <w:pPr>
        <w:ind w:left="360"/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 xml:space="preserve">The 60%/40% portfolio beat the 100% portfolio in 4 of the 7 scenarios (not for </w:t>
      </w:r>
      <w:r w:rsidRPr="000E1203">
        <w:t>10% drop or 20% drop and $3000, nor for 35% drop and $2000</w:t>
      </w:r>
      <w:r w:rsidRPr="000E1203">
        <w:rPr>
          <w:rFonts w:cstheme="minorHAnsi"/>
          <w:szCs w:val="28"/>
        </w:rPr>
        <w:t>).</w:t>
      </w:r>
    </w:p>
    <w:p w14:paraId="346C0D09" w14:textId="77777777" w:rsidR="00740761" w:rsidRPr="000E1203" w:rsidRDefault="00740761" w:rsidP="00740761">
      <w:pPr>
        <w:ind w:left="360"/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If your time horizon is 15 years and you are risk averse, adding bonds is a reasonable idea.</w:t>
      </w:r>
    </w:p>
    <w:p w14:paraId="303CDD59" w14:textId="77777777" w:rsidR="00740761" w:rsidRPr="000E1203" w:rsidRDefault="00740761" w:rsidP="00740761">
      <w:pPr>
        <w:contextualSpacing/>
        <w:rPr>
          <w:rFonts w:cstheme="minorHAnsi"/>
          <w:szCs w:val="28"/>
        </w:rPr>
      </w:pPr>
    </w:p>
    <w:p w14:paraId="2A047953" w14:textId="77777777" w:rsidR="00740761" w:rsidRPr="000E1203" w:rsidRDefault="00740761" w:rsidP="00740761">
      <w:pPr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Conclusions for a 20-year time horizon:</w:t>
      </w:r>
    </w:p>
    <w:p w14:paraId="242EE66F" w14:textId="77777777" w:rsidR="000E1203" w:rsidRPr="000E1203" w:rsidRDefault="000E1203" w:rsidP="00740761">
      <w:pPr>
        <w:contextualSpacing/>
        <w:rPr>
          <w:rFonts w:cstheme="minorHAnsi"/>
          <w:szCs w:val="28"/>
        </w:rPr>
      </w:pPr>
    </w:p>
    <w:p w14:paraId="08AF1E67" w14:textId="77777777" w:rsidR="00740761" w:rsidRPr="000E1203" w:rsidRDefault="00740761" w:rsidP="00740761">
      <w:pPr>
        <w:ind w:left="360"/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The 100% portfolio beat the 60%/40% portfolio in all scenarios but the last (40% drop and $3000 withdrawals).</w:t>
      </w:r>
    </w:p>
    <w:p w14:paraId="412E0034" w14:textId="77777777" w:rsidR="00740761" w:rsidRPr="000E1203" w:rsidRDefault="00740761" w:rsidP="00740761">
      <w:pPr>
        <w:ind w:left="360"/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t>If your time horizon is 20 years, adding bonds is a bad idea.</w:t>
      </w:r>
    </w:p>
    <w:p w14:paraId="1CCA99DE" w14:textId="77777777" w:rsidR="00740761" w:rsidRPr="000E1203" w:rsidRDefault="00740761" w:rsidP="00740761">
      <w:pPr>
        <w:ind w:left="360"/>
        <w:contextualSpacing/>
      </w:pPr>
      <w:r w:rsidRPr="000E1203">
        <w:t>In the last 92 years (1928-2020), the market has been down 40% or more only 6 times—once every 15 years on average. (Carlson, Ben. “</w:t>
      </w:r>
      <w:r w:rsidRPr="000E1203">
        <w:rPr>
          <w:rFonts w:eastAsia="Times New Roman"/>
        </w:rPr>
        <w:t xml:space="preserve">9 Historical Facts About the US Stock Market.” </w:t>
      </w:r>
      <w:proofErr w:type="spellStart"/>
      <w:r w:rsidRPr="000E1203">
        <w:rPr>
          <w:rFonts w:eastAsia="Times New Roman"/>
          <w:i/>
        </w:rPr>
        <w:t>AWealthof</w:t>
      </w:r>
      <w:proofErr w:type="spellEnd"/>
      <w:r w:rsidRPr="000E1203">
        <w:rPr>
          <w:rFonts w:eastAsia="Times New Roman"/>
          <w:i/>
        </w:rPr>
        <w:t xml:space="preserve"> CommonSense</w:t>
      </w:r>
      <w:r w:rsidRPr="000E1203">
        <w:rPr>
          <w:rFonts w:eastAsia="Times New Roman"/>
        </w:rPr>
        <w:t>.</w:t>
      </w:r>
      <w:r w:rsidRPr="000E1203">
        <w:rPr>
          <w:rFonts w:eastAsia="Times New Roman"/>
          <w:i/>
        </w:rPr>
        <w:t>com</w:t>
      </w:r>
      <w:r w:rsidRPr="000E1203">
        <w:rPr>
          <w:rFonts w:eastAsia="Times New Roman"/>
        </w:rPr>
        <w:t>. 24 Jan. 2021. 29 Jan. 2021. Web.</w:t>
      </w:r>
      <w:r w:rsidRPr="000E1203">
        <w:t>) If your retirement is 20 years off, is protecting against such a rare event really worth cutting in half (from 10% stock return to 5% bond return) the return on 40% of your portfolio?</w:t>
      </w:r>
    </w:p>
    <w:p w14:paraId="237D9E5C" w14:textId="77777777" w:rsidR="00740761" w:rsidRPr="000E1203" w:rsidRDefault="00740761" w:rsidP="00740761">
      <w:pPr>
        <w:contextualSpacing/>
      </w:pPr>
    </w:p>
    <w:p w14:paraId="2530F88E" w14:textId="77777777" w:rsidR="00740761" w:rsidRPr="000E1203" w:rsidRDefault="00740761" w:rsidP="00740761">
      <w:pPr>
        <w:contextualSpacing/>
      </w:pPr>
      <w:r w:rsidRPr="000E1203">
        <w:t>Overall conclusion: the longer your time horizon, the less you need bonds.</w:t>
      </w:r>
    </w:p>
    <w:p w14:paraId="7536DCEE" w14:textId="77777777" w:rsidR="000E1203" w:rsidRPr="000E1203" w:rsidRDefault="000E1203" w:rsidP="00740761">
      <w:pPr>
        <w:contextualSpacing/>
      </w:pPr>
    </w:p>
    <w:p w14:paraId="62BC1DD9" w14:textId="77777777" w:rsidR="00740761" w:rsidRPr="000E1203" w:rsidRDefault="00740761" w:rsidP="00740761">
      <w:pPr>
        <w:ind w:left="360"/>
        <w:rPr>
          <w:rFonts w:eastAsia="Times New Roman"/>
          <w:kern w:val="0"/>
        </w:rPr>
      </w:pPr>
      <w:r w:rsidRPr="000E1203">
        <w:rPr>
          <w:rFonts w:eastAsia="Times New Roman"/>
          <w:kern w:val="0"/>
        </w:rPr>
        <w:t>For the money you will need within 10 years, include bonds in your portfolio. For the money you will not need within 10 years, hold 100% stocks.</w:t>
      </w:r>
    </w:p>
    <w:p w14:paraId="65D20BDC" w14:textId="77777777" w:rsidR="00740761" w:rsidRPr="000E1203" w:rsidRDefault="00740761" w:rsidP="00740761">
      <w:pPr>
        <w:contextualSpacing/>
        <w:rPr>
          <w:rFonts w:cstheme="minorHAnsi"/>
          <w:szCs w:val="28"/>
        </w:rPr>
      </w:pPr>
    </w:p>
    <w:p w14:paraId="461DE4B1" w14:textId="77777777" w:rsidR="00740761" w:rsidRPr="000E1203" w:rsidRDefault="00740761" w:rsidP="00740761">
      <w:pPr>
        <w:contextualSpacing/>
        <w:rPr>
          <w:rFonts w:cstheme="minorHAnsi"/>
          <w:szCs w:val="28"/>
        </w:rPr>
      </w:pPr>
      <w:r w:rsidRPr="000E1203">
        <w:rPr>
          <w:rFonts w:cstheme="minorHAnsi"/>
          <w:szCs w:val="28"/>
        </w:rPr>
        <w:lastRenderedPageBreak/>
        <w:t xml:space="preserve">For short-term investors, “Volatility is a primary risk since the near-term withdrawal of capital will lock in short-term results. So volatility is a primary concern, because as it increases, so too does the potential for forced sales at disadvantageous prices.” </w:t>
      </w:r>
      <w:r w:rsidRPr="000E1203">
        <w:rPr>
          <w:rFonts w:cstheme="minorHAnsi"/>
          <w:szCs w:val="22"/>
        </w:rPr>
        <w:t>(</w:t>
      </w:r>
      <w:proofErr w:type="spellStart"/>
      <w:r w:rsidRPr="000E1203">
        <w:rPr>
          <w:szCs w:val="20"/>
        </w:rPr>
        <w:t>Mishuris</w:t>
      </w:r>
      <w:proofErr w:type="spellEnd"/>
      <w:r w:rsidRPr="000E1203">
        <w:rPr>
          <w:szCs w:val="20"/>
        </w:rPr>
        <w:t xml:space="preserve">, Gary. “When Does Volatility Equal Risk?” </w:t>
      </w:r>
      <w:r w:rsidRPr="000E1203">
        <w:rPr>
          <w:i/>
          <w:szCs w:val="20"/>
        </w:rPr>
        <w:t>Blogs</w:t>
      </w:r>
      <w:r w:rsidRPr="000E1203">
        <w:rPr>
          <w:szCs w:val="20"/>
        </w:rPr>
        <w:t>.</w:t>
      </w:r>
      <w:r w:rsidRPr="000E1203">
        <w:rPr>
          <w:i/>
          <w:szCs w:val="20"/>
        </w:rPr>
        <w:t>CFAInstitute</w:t>
      </w:r>
      <w:r w:rsidRPr="000E1203">
        <w:rPr>
          <w:szCs w:val="20"/>
        </w:rPr>
        <w:t>.</w:t>
      </w:r>
      <w:r w:rsidRPr="000E1203">
        <w:rPr>
          <w:i/>
          <w:szCs w:val="20"/>
        </w:rPr>
        <w:t>org</w:t>
      </w:r>
      <w:r w:rsidRPr="000E1203">
        <w:rPr>
          <w:szCs w:val="20"/>
        </w:rPr>
        <w:t>. 5 Oct. 2017. 6 June 2021. Web.</w:t>
      </w:r>
      <w:r w:rsidRPr="000E1203">
        <w:rPr>
          <w:rFonts w:cstheme="minorHAnsi"/>
          <w:szCs w:val="22"/>
        </w:rPr>
        <w:t>)</w:t>
      </w:r>
    </w:p>
    <w:p w14:paraId="3629F867" w14:textId="77777777" w:rsidR="00D03812" w:rsidRDefault="00D03812" w:rsidP="00740761">
      <w:pPr>
        <w:contextualSpacing/>
      </w:pPr>
    </w:p>
    <w:p w14:paraId="03DB381D" w14:textId="0EED06C9" w:rsidR="00740761" w:rsidRPr="000E1203" w:rsidRDefault="00740761" w:rsidP="00740761">
      <w:pPr>
        <w:contextualSpacing/>
        <w:rPr>
          <w:rFonts w:cstheme="minorHAnsi"/>
          <w:szCs w:val="28"/>
        </w:rPr>
      </w:pPr>
      <w:r w:rsidRPr="000E1203">
        <w:t>“Warren Buffett famously said that as a long-term investor he would “much rather earn a lumpy [i.e., volatile] 15% over time than a smooth [nonvolatile] 12%.” Following his logic, many modern value investors aren’t concerned with volatility.”</w:t>
      </w:r>
      <w:r w:rsidRPr="000E1203">
        <w:rPr>
          <w:rFonts w:cstheme="minorHAnsi"/>
          <w:szCs w:val="28"/>
        </w:rPr>
        <w:t xml:space="preserve"> </w:t>
      </w:r>
      <w:r w:rsidRPr="000E1203">
        <w:rPr>
          <w:rFonts w:cstheme="minorHAnsi"/>
          <w:szCs w:val="22"/>
        </w:rPr>
        <w:t>(</w:t>
      </w:r>
      <w:r w:rsidRPr="000E1203">
        <w:rPr>
          <w:szCs w:val="20"/>
        </w:rPr>
        <w:t>Ibid.</w:t>
      </w:r>
      <w:r w:rsidRPr="000E1203">
        <w:rPr>
          <w:rFonts w:cstheme="minorHAnsi"/>
          <w:szCs w:val="22"/>
        </w:rPr>
        <w:t>)</w:t>
      </w:r>
    </w:p>
    <w:p w14:paraId="33390766" w14:textId="77777777" w:rsidR="00D03812" w:rsidRPr="000E1203" w:rsidRDefault="00D03812" w:rsidP="006B7FB9">
      <w:pPr>
        <w:contextualSpacing/>
      </w:pPr>
    </w:p>
    <w:sectPr w:rsidR="00D03812" w:rsidRPr="000E1203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A3E89" w14:textId="77777777" w:rsidR="00261426" w:rsidRDefault="00261426" w:rsidP="00DB3FBA">
      <w:r>
        <w:separator/>
      </w:r>
    </w:p>
  </w:endnote>
  <w:endnote w:type="continuationSeparator" w:id="0">
    <w:p w14:paraId="31984C34" w14:textId="77777777" w:rsidR="00261426" w:rsidRDefault="00261426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D4EC" w14:textId="77777777" w:rsidR="00261426" w:rsidRDefault="00261426" w:rsidP="00DB3FBA">
      <w:r>
        <w:separator/>
      </w:r>
    </w:p>
  </w:footnote>
  <w:footnote w:type="continuationSeparator" w:id="0">
    <w:p w14:paraId="0EE07185" w14:textId="77777777" w:rsidR="00261426" w:rsidRDefault="00261426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786A4792"/>
    <w:multiLevelType w:val="multilevel"/>
    <w:tmpl w:val="F080FF3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 w:numId="4" w16cid:durableId="6390446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C37A6"/>
    <w:rsid w:val="000D3504"/>
    <w:rsid w:val="000E1203"/>
    <w:rsid w:val="000E4A3E"/>
    <w:rsid w:val="000F0B06"/>
    <w:rsid w:val="000F3478"/>
    <w:rsid w:val="00107DBF"/>
    <w:rsid w:val="001239BB"/>
    <w:rsid w:val="00145CF5"/>
    <w:rsid w:val="001B0D8E"/>
    <w:rsid w:val="001C1474"/>
    <w:rsid w:val="001F2C4D"/>
    <w:rsid w:val="001F611C"/>
    <w:rsid w:val="00210178"/>
    <w:rsid w:val="00222062"/>
    <w:rsid w:val="00232731"/>
    <w:rsid w:val="00236854"/>
    <w:rsid w:val="0025166F"/>
    <w:rsid w:val="00261426"/>
    <w:rsid w:val="00262188"/>
    <w:rsid w:val="002D1F5A"/>
    <w:rsid w:val="003108A3"/>
    <w:rsid w:val="00325960"/>
    <w:rsid w:val="00367D2B"/>
    <w:rsid w:val="00381647"/>
    <w:rsid w:val="00384FAA"/>
    <w:rsid w:val="003B6060"/>
    <w:rsid w:val="003D1AC6"/>
    <w:rsid w:val="003D2B60"/>
    <w:rsid w:val="003E06F9"/>
    <w:rsid w:val="003E5031"/>
    <w:rsid w:val="0040586D"/>
    <w:rsid w:val="004270FC"/>
    <w:rsid w:val="00493D5C"/>
    <w:rsid w:val="00494EC0"/>
    <w:rsid w:val="00496AF0"/>
    <w:rsid w:val="004C0A93"/>
    <w:rsid w:val="004D13D2"/>
    <w:rsid w:val="004E5F81"/>
    <w:rsid w:val="0050284A"/>
    <w:rsid w:val="00506366"/>
    <w:rsid w:val="00510565"/>
    <w:rsid w:val="00515BBE"/>
    <w:rsid w:val="005449D1"/>
    <w:rsid w:val="00553245"/>
    <w:rsid w:val="00557963"/>
    <w:rsid w:val="00563DB7"/>
    <w:rsid w:val="00576E48"/>
    <w:rsid w:val="005C4FAA"/>
    <w:rsid w:val="005C610B"/>
    <w:rsid w:val="005D1BF8"/>
    <w:rsid w:val="005F0A8B"/>
    <w:rsid w:val="005F5664"/>
    <w:rsid w:val="00602A9D"/>
    <w:rsid w:val="00610F42"/>
    <w:rsid w:val="006160E2"/>
    <w:rsid w:val="00624644"/>
    <w:rsid w:val="00630DF8"/>
    <w:rsid w:val="006429EC"/>
    <w:rsid w:val="006437FA"/>
    <w:rsid w:val="006720B7"/>
    <w:rsid w:val="00684741"/>
    <w:rsid w:val="00696680"/>
    <w:rsid w:val="00696C56"/>
    <w:rsid w:val="006B4BF2"/>
    <w:rsid w:val="006B67A6"/>
    <w:rsid w:val="006B7FB9"/>
    <w:rsid w:val="006C7A0A"/>
    <w:rsid w:val="006E03E4"/>
    <w:rsid w:val="00707588"/>
    <w:rsid w:val="00723636"/>
    <w:rsid w:val="007248E6"/>
    <w:rsid w:val="00727B73"/>
    <w:rsid w:val="00736DDE"/>
    <w:rsid w:val="00740761"/>
    <w:rsid w:val="00775F3A"/>
    <w:rsid w:val="00792CF3"/>
    <w:rsid w:val="007C1F29"/>
    <w:rsid w:val="007E7D87"/>
    <w:rsid w:val="00803333"/>
    <w:rsid w:val="00803B5B"/>
    <w:rsid w:val="00804245"/>
    <w:rsid w:val="0080736C"/>
    <w:rsid w:val="008262D2"/>
    <w:rsid w:val="008A186F"/>
    <w:rsid w:val="008A1EF2"/>
    <w:rsid w:val="008A37E2"/>
    <w:rsid w:val="008B1CED"/>
    <w:rsid w:val="008C5CE4"/>
    <w:rsid w:val="008D6B43"/>
    <w:rsid w:val="008F01C0"/>
    <w:rsid w:val="008F5517"/>
    <w:rsid w:val="00920754"/>
    <w:rsid w:val="00925EDB"/>
    <w:rsid w:val="0093214A"/>
    <w:rsid w:val="00932477"/>
    <w:rsid w:val="00942A03"/>
    <w:rsid w:val="009D5420"/>
    <w:rsid w:val="009F2C63"/>
    <w:rsid w:val="00A24E6D"/>
    <w:rsid w:val="00A84A4B"/>
    <w:rsid w:val="00AB1E8D"/>
    <w:rsid w:val="00AE07B1"/>
    <w:rsid w:val="00AF38E5"/>
    <w:rsid w:val="00AF59AC"/>
    <w:rsid w:val="00AF6289"/>
    <w:rsid w:val="00B02564"/>
    <w:rsid w:val="00B21EAF"/>
    <w:rsid w:val="00B22DE1"/>
    <w:rsid w:val="00B422F7"/>
    <w:rsid w:val="00B515AA"/>
    <w:rsid w:val="00B64097"/>
    <w:rsid w:val="00BA093C"/>
    <w:rsid w:val="00BA346B"/>
    <w:rsid w:val="00BE7667"/>
    <w:rsid w:val="00C433B8"/>
    <w:rsid w:val="00CA0F2F"/>
    <w:rsid w:val="00CB54D7"/>
    <w:rsid w:val="00CE289E"/>
    <w:rsid w:val="00D03092"/>
    <w:rsid w:val="00D03812"/>
    <w:rsid w:val="00D10316"/>
    <w:rsid w:val="00D12274"/>
    <w:rsid w:val="00D51877"/>
    <w:rsid w:val="00D6654F"/>
    <w:rsid w:val="00D77A70"/>
    <w:rsid w:val="00D81FB5"/>
    <w:rsid w:val="00DB3FBA"/>
    <w:rsid w:val="00E45D10"/>
    <w:rsid w:val="00E91F75"/>
    <w:rsid w:val="00EC21B6"/>
    <w:rsid w:val="00ED2805"/>
    <w:rsid w:val="00EE4D22"/>
    <w:rsid w:val="00EE7E23"/>
    <w:rsid w:val="00EF28B7"/>
    <w:rsid w:val="00F23124"/>
    <w:rsid w:val="00F37B0E"/>
    <w:rsid w:val="00F46BE8"/>
    <w:rsid w:val="00F65EAB"/>
    <w:rsid w:val="00F66189"/>
    <w:rsid w:val="00F67A55"/>
    <w:rsid w:val="00F70B9D"/>
    <w:rsid w:val="00F71387"/>
    <w:rsid w:val="00FB261A"/>
    <w:rsid w:val="00FB5E59"/>
    <w:rsid w:val="00FB65C1"/>
    <w:rsid w:val="00FD09C6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61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2024-10-20T00:10:00Z</dcterms:created>
  <dcterms:modified xsi:type="dcterms:W3CDTF">2025-10-17T00:59:00Z</dcterms:modified>
</cp:coreProperties>
</file>