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4875" w14:textId="4280BED2" w:rsidR="004F605C" w:rsidRDefault="00A82F9D" w:rsidP="004F605C">
      <w:pPr>
        <w:jc w:val="center"/>
        <w:rPr>
          <w:rFonts w:eastAsiaTheme="majorEastAsia"/>
          <w:kern w:val="2"/>
          <w:szCs w:val="28"/>
          <w14:ligatures w14:val="standardContextual"/>
        </w:rPr>
      </w:pPr>
      <w:r>
        <w:rPr>
          <w:rFonts w:eastAsiaTheme="majorEastAsia"/>
          <w:kern w:val="2"/>
          <w:szCs w:val="28"/>
          <w14:ligatures w14:val="standardContextual"/>
        </w:rPr>
        <w:t>INFALLIBILITY</w:t>
      </w:r>
    </w:p>
    <w:p w14:paraId="397C0CAC" w14:textId="2878D05A" w:rsidR="004F605C" w:rsidRDefault="004F605C" w:rsidP="004F605C">
      <w:pPr>
        <w:rPr>
          <w:rFonts w:eastAsiaTheme="majorEastAsia"/>
          <w:kern w:val="2"/>
          <w:szCs w:val="28"/>
          <w14:ligatures w14:val="standardContextual"/>
        </w:rPr>
      </w:pPr>
    </w:p>
    <w:p w14:paraId="6DB3E5E3" w14:textId="77777777" w:rsidR="004F605C" w:rsidRPr="004F605C" w:rsidRDefault="004F605C" w:rsidP="004F605C">
      <w:pPr>
        <w:jc w:val="center"/>
        <w:rPr>
          <w:rFonts w:eastAsiaTheme="majorEastAsia"/>
          <w:kern w:val="2"/>
          <w:sz w:val="20"/>
          <w:szCs w:val="22"/>
          <w14:ligatures w14:val="standardContextual"/>
        </w:rPr>
      </w:pPr>
      <w:r w:rsidRPr="004F605C">
        <w:rPr>
          <w:rFonts w:eastAsiaTheme="majorEastAsia"/>
          <w:kern w:val="2"/>
          <w:sz w:val="20"/>
          <w:szCs w:val="22"/>
          <w14:ligatures w14:val="standardContextual"/>
        </w:rPr>
        <w:t>Paul Hahn, Theology Department</w:t>
      </w:r>
    </w:p>
    <w:p w14:paraId="29872748" w14:textId="77777777" w:rsidR="004F605C" w:rsidRPr="004F605C" w:rsidRDefault="004F605C" w:rsidP="004F605C">
      <w:pPr>
        <w:jc w:val="center"/>
        <w:rPr>
          <w:rFonts w:eastAsiaTheme="majorEastAsia"/>
          <w:kern w:val="2"/>
          <w:sz w:val="20"/>
          <w:szCs w:val="22"/>
          <w14:ligatures w14:val="standardContextual"/>
        </w:rPr>
      </w:pPr>
      <w:r w:rsidRPr="004F605C">
        <w:rPr>
          <w:rFonts w:eastAsiaTheme="majorEastAsia"/>
          <w:kern w:val="2"/>
          <w:sz w:val="20"/>
          <w:szCs w:val="22"/>
          <w14:ligatures w14:val="standardContextual"/>
        </w:rPr>
        <w:t>University of St Thomas, Houston TX 77006</w:t>
      </w:r>
    </w:p>
    <w:p w14:paraId="6C755BA6" w14:textId="40FACBB3" w:rsidR="004F605C" w:rsidRPr="004F605C" w:rsidRDefault="004F605C" w:rsidP="004F605C">
      <w:pPr>
        <w:jc w:val="center"/>
        <w:rPr>
          <w:rFonts w:eastAsiaTheme="majorEastAsia"/>
          <w:kern w:val="2"/>
          <w:sz w:val="20"/>
          <w:szCs w:val="22"/>
          <w14:ligatures w14:val="standardContextual"/>
        </w:rPr>
      </w:pPr>
      <w:r w:rsidRPr="004F605C">
        <w:rPr>
          <w:rFonts w:eastAsiaTheme="majorEastAsia"/>
          <w:kern w:val="2"/>
          <w:sz w:val="20"/>
          <w:szCs w:val="22"/>
          <w14:ligatures w14:val="standardContextual"/>
        </w:rPr>
        <w:t>© 2026, theologyplus.com</w:t>
      </w:r>
    </w:p>
    <w:p w14:paraId="02F148B4" w14:textId="77777777" w:rsidR="00C61C5E" w:rsidRPr="00CC554B" w:rsidRDefault="00C61C5E" w:rsidP="004F605C"/>
    <w:p w14:paraId="43F84E05" w14:textId="77777777" w:rsidR="00AA05A7" w:rsidRDefault="00AA05A7" w:rsidP="004F605C">
      <w:pPr>
        <w:rPr>
          <w:kern w:val="2"/>
          <w14:ligatures w14:val="standardContextual"/>
        </w:rPr>
      </w:pPr>
    </w:p>
    <w:p w14:paraId="51264A70" w14:textId="38EDC7F8" w:rsidR="009D76F0" w:rsidRDefault="00AA05A7" w:rsidP="004F605C">
      <w:r>
        <w:t>“Magisterium” means the teaching authority of the Church.</w:t>
      </w:r>
      <w:r w:rsidR="0093143C">
        <w:t xml:space="preserve"> (Latin </w:t>
      </w:r>
      <w:r w:rsidR="0093143C">
        <w:rPr>
          <w:i/>
          <w:iCs/>
        </w:rPr>
        <w:t>m</w:t>
      </w:r>
      <w:r w:rsidR="0093143C" w:rsidRPr="00585312">
        <w:rPr>
          <w:i/>
          <w:iCs/>
        </w:rPr>
        <w:t>agister</w:t>
      </w:r>
      <w:r w:rsidR="0093143C" w:rsidRPr="00ED42B2">
        <w:t xml:space="preserve"> </w:t>
      </w:r>
      <w:r w:rsidR="0093143C">
        <w:t>means “master,” as in for example “master’s degree.”)</w:t>
      </w:r>
      <w:r>
        <w:t xml:space="preserve"> </w:t>
      </w:r>
      <w:r w:rsidR="0093143C">
        <w:t xml:space="preserve">“Magisterium” </w:t>
      </w:r>
      <w:r w:rsidR="009D76F0">
        <w:t xml:space="preserve">can also mean the teaching office of the Church. That office is filled by the college </w:t>
      </w:r>
      <w:r w:rsidR="0093143C">
        <w:t xml:space="preserve">(collectivity) </w:t>
      </w:r>
      <w:r w:rsidR="009D76F0">
        <w:t>of bishops</w:t>
      </w:r>
      <w:r w:rsidR="00C61C5E">
        <w:t xml:space="preserve">, </w:t>
      </w:r>
      <w:r w:rsidR="009D76F0">
        <w:t xml:space="preserve">with the pope as </w:t>
      </w:r>
      <w:r w:rsidR="00C61C5E">
        <w:t xml:space="preserve">their </w:t>
      </w:r>
      <w:r w:rsidR="009D76F0">
        <w:t>leader.</w:t>
      </w:r>
    </w:p>
    <w:p w14:paraId="68823762" w14:textId="77777777" w:rsidR="009D76F0" w:rsidRDefault="009D76F0" w:rsidP="004F605C"/>
    <w:p w14:paraId="3969FB51" w14:textId="315EE69A" w:rsidR="00AA05A7" w:rsidRPr="00C61C5E" w:rsidRDefault="009D76F0" w:rsidP="004F605C">
      <w:r>
        <w:t xml:space="preserve">Ordinarily the magisterium </w:t>
      </w:r>
      <w:r w:rsidR="00C61C5E">
        <w:t xml:space="preserve">(college of bishops) </w:t>
      </w:r>
      <w:r>
        <w:t>teaches fallibl</w:t>
      </w:r>
      <w:r w:rsidR="00C61C5E">
        <w:t>y</w:t>
      </w:r>
      <w:r>
        <w:t xml:space="preserve"> (</w:t>
      </w:r>
      <w:r w:rsidR="0093143C">
        <w:t xml:space="preserve">it </w:t>
      </w:r>
      <w:r w:rsidR="00C61C5E">
        <w:t xml:space="preserve">is </w:t>
      </w:r>
      <w:r>
        <w:t xml:space="preserve">able to be wrong). </w:t>
      </w:r>
      <w:r w:rsidR="0093143C">
        <w:t xml:space="preserve">One </w:t>
      </w:r>
      <w:r w:rsidR="00C61C5E">
        <w:t xml:space="preserve">of </w:t>
      </w:r>
      <w:r>
        <w:t xml:space="preserve">its </w:t>
      </w:r>
      <w:r w:rsidR="0093143C">
        <w:t xml:space="preserve">ordinary </w:t>
      </w:r>
      <w:r>
        <w:t xml:space="preserve">teachings is </w:t>
      </w:r>
      <w:r w:rsidR="0093143C">
        <w:t xml:space="preserve">called </w:t>
      </w:r>
      <w:r>
        <w:t xml:space="preserve">a </w:t>
      </w:r>
      <w:r w:rsidR="0093143C">
        <w:t>“</w:t>
      </w:r>
      <w:r>
        <w:t>doctrine</w:t>
      </w:r>
      <w:r w:rsidR="0093143C">
        <w:t>”</w:t>
      </w:r>
      <w:r>
        <w:t xml:space="preserve"> (from Latin </w:t>
      </w:r>
      <w:proofErr w:type="spellStart"/>
      <w:r>
        <w:rPr>
          <w:i/>
          <w:iCs/>
        </w:rPr>
        <w:t>doctrina</w:t>
      </w:r>
      <w:proofErr w:type="spellEnd"/>
      <w:r>
        <w:t xml:space="preserve">, </w:t>
      </w:r>
      <w:r w:rsidR="00C61C5E">
        <w:t xml:space="preserve">a </w:t>
      </w:r>
      <w:r>
        <w:t xml:space="preserve">teaching). </w:t>
      </w:r>
      <w:r w:rsidR="00C61C5E">
        <w:t>But a</w:t>
      </w:r>
      <w:r>
        <w:t xml:space="preserve"> doctrine </w:t>
      </w:r>
      <w:r w:rsidR="00C61C5E">
        <w:t>when taught</w:t>
      </w:r>
      <w:r>
        <w:t xml:space="preserve"> infallibl</w:t>
      </w:r>
      <w:r w:rsidR="00C61C5E">
        <w:t>y</w:t>
      </w:r>
      <w:r>
        <w:t xml:space="preserve"> </w:t>
      </w:r>
      <w:r w:rsidR="00C61C5E">
        <w:t xml:space="preserve">becomes </w:t>
      </w:r>
      <w:r>
        <w:t xml:space="preserve">a </w:t>
      </w:r>
      <w:r w:rsidR="0093143C">
        <w:t>“</w:t>
      </w:r>
      <w:r>
        <w:t>dogma</w:t>
      </w:r>
      <w:r w:rsidR="0093143C">
        <w:t>”</w:t>
      </w:r>
      <w:r>
        <w:t xml:space="preserve"> (from Latin </w:t>
      </w:r>
      <w:r>
        <w:rPr>
          <w:i/>
          <w:iCs/>
        </w:rPr>
        <w:t>dogma</w:t>
      </w:r>
      <w:r>
        <w:t>, tenet [thing held]).</w:t>
      </w:r>
      <w:r w:rsidR="00C61C5E">
        <w:t xml:space="preserve"> Ott</w:t>
      </w:r>
      <w:r w:rsidR="009B334C">
        <w:t xml:space="preserve"> (</w:t>
      </w:r>
      <w:r w:rsidR="009B334C">
        <w:rPr>
          <w:i/>
          <w:iCs/>
        </w:rPr>
        <w:t>passim</w:t>
      </w:r>
      <w:r w:rsidR="009B334C">
        <w:t>)</w:t>
      </w:r>
      <w:r w:rsidR="00C61C5E">
        <w:t xml:space="preserve"> estimates that, of the Church’s thousands of doctrines, about 260 are dogmas.</w:t>
      </w:r>
    </w:p>
    <w:p w14:paraId="6A62C6C9" w14:textId="77777777" w:rsidR="00254012" w:rsidRDefault="00254012" w:rsidP="00254012">
      <w:pPr>
        <w:pStyle w:val="ListParagraph"/>
        <w:ind w:left="0"/>
      </w:pPr>
    </w:p>
    <w:p w14:paraId="306D8044" w14:textId="161AAC46" w:rsidR="00254012" w:rsidRDefault="00254012" w:rsidP="00254012">
      <w:pPr>
        <w:pStyle w:val="ListParagraph"/>
        <w:ind w:left="0"/>
      </w:pPr>
      <w:r>
        <w:t xml:space="preserve">As Sullivan notes (51), </w:t>
      </w:r>
      <w:r w:rsidRPr="00ED42B2">
        <w:t>there must</w:t>
      </w:r>
      <w:r>
        <w:t xml:space="preserve"> </w:t>
      </w:r>
      <w:r w:rsidRPr="00ED42B2">
        <w:t xml:space="preserve">be </w:t>
      </w:r>
      <w:r>
        <w:t>“</w:t>
      </w:r>
      <w:r w:rsidRPr="00ED42B2">
        <w:t xml:space="preserve">some authority in the community that can settle disputes </w:t>
      </w:r>
      <w:r>
        <w:t xml:space="preserve">. . . </w:t>
      </w:r>
      <w:r w:rsidRPr="00ED42B2">
        <w:t>While the apostles were still alive this was evidently their prerogative.</w:t>
      </w:r>
      <w:r>
        <w:t xml:space="preserve"> </w:t>
      </w:r>
      <w:r w:rsidRPr="00ED42B2">
        <w:t>It is a matter of historical fact that during the course of the second century this function was taken over by the bishops.</w:t>
      </w:r>
      <w:r>
        <w:t>”</w:t>
      </w:r>
    </w:p>
    <w:p w14:paraId="40F1842F" w14:textId="77777777" w:rsidR="00254012" w:rsidRPr="00AA05A7" w:rsidRDefault="00254012" w:rsidP="004F605C"/>
    <w:p w14:paraId="0AFF8FF8" w14:textId="627DEA73" w:rsidR="00AA05A7" w:rsidRPr="00C61C5E" w:rsidRDefault="00C61C5E" w:rsidP="004F605C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Here are the forms and conditions for infallibility, according to Sullivan (</w:t>
      </w:r>
      <w:r w:rsidR="00840DF0">
        <w:rPr>
          <w:kern w:val="2"/>
          <w14:ligatures w14:val="standardContextual"/>
        </w:rPr>
        <w:t>80-127</w:t>
      </w:r>
      <w:r>
        <w:rPr>
          <w:kern w:val="2"/>
          <w14:ligatures w14:val="standardContextual"/>
        </w:rPr>
        <w:t>).</w:t>
      </w:r>
    </w:p>
    <w:p w14:paraId="32CE06A5" w14:textId="77777777" w:rsidR="00C61C5E" w:rsidRDefault="00C61C5E" w:rsidP="004F605C"/>
    <w:p w14:paraId="6FD8326E" w14:textId="1247A9C6" w:rsidR="00A82F9D" w:rsidRDefault="00A82F9D" w:rsidP="004F605C">
      <w:pPr>
        <w:rPr>
          <w:rFonts w:eastAsiaTheme="majorEastAsia"/>
          <w:kern w:val="2"/>
          <w:szCs w:val="28"/>
          <w14:ligatures w14:val="standardContextual"/>
        </w:rPr>
      </w:pPr>
      <w:r w:rsidRPr="00C61C5E">
        <w:rPr>
          <w:rFonts w:eastAsiaTheme="majorEastAsia"/>
          <w:i/>
          <w:iCs/>
          <w:kern w:val="2"/>
          <w:szCs w:val="28"/>
          <w14:ligatures w14:val="standardContextual"/>
        </w:rPr>
        <w:t>forms of infallibility</w:t>
      </w:r>
      <w:r>
        <w:rPr>
          <w:rFonts w:eastAsiaTheme="majorEastAsia"/>
          <w:kern w:val="2"/>
          <w:szCs w:val="28"/>
          <w14:ligatures w14:val="standardContextual"/>
        </w:rPr>
        <w:t>:</w:t>
      </w:r>
    </w:p>
    <w:p w14:paraId="0778A768" w14:textId="77777777" w:rsidR="00A82F9D" w:rsidRDefault="00A82F9D" w:rsidP="004F605C"/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4F605C" w:rsidRPr="004F605C" w14:paraId="4F6802EE" w14:textId="77777777" w:rsidTr="00A82F9D">
        <w:tc>
          <w:tcPr>
            <w:tcW w:w="9351" w:type="dxa"/>
            <w:gridSpan w:val="4"/>
          </w:tcPr>
          <w:p w14:paraId="63D076BC" w14:textId="6989CCDD" w:rsidR="004F605C" w:rsidRPr="004F605C" w:rsidRDefault="004F605C" w:rsidP="004F605C">
            <w:pPr>
              <w:jc w:val="center"/>
            </w:pPr>
            <w:r w:rsidRPr="004F605C">
              <w:t>magisterium</w:t>
            </w:r>
          </w:p>
        </w:tc>
      </w:tr>
      <w:tr w:rsidR="004F605C" w:rsidRPr="004F605C" w14:paraId="5B0B47F4" w14:textId="77777777" w:rsidTr="00A82F9D">
        <w:tc>
          <w:tcPr>
            <w:tcW w:w="9351" w:type="dxa"/>
            <w:gridSpan w:val="4"/>
          </w:tcPr>
          <w:p w14:paraId="430968EE" w14:textId="7793E657" w:rsidR="004F605C" w:rsidRPr="00A82F9D" w:rsidRDefault="00A82F9D" w:rsidP="00A82F9D">
            <w:pPr>
              <w:tabs>
                <w:tab w:val="center" w:pos="2299"/>
                <w:tab w:val="center" w:pos="4628"/>
                <w:tab w:val="center" w:pos="6891"/>
              </w:tabs>
              <w:rPr>
                <w:u w:val="single"/>
              </w:rPr>
            </w:pPr>
            <w:r>
              <w:tab/>
            </w:r>
            <w:r>
              <w:rPr>
                <w:u w:val="single"/>
              </w:rPr>
              <w:t xml:space="preserve">                                     </w:t>
            </w:r>
            <w:r>
              <w:tab/>
            </w:r>
            <w:r w:rsidRPr="00A82F9D">
              <w:rPr>
                <w:u w:val="single"/>
              </w:rPr>
              <w:t xml:space="preserve">│                                   </w:t>
            </w:r>
            <w:r>
              <w:rPr>
                <w:u w:val="single"/>
              </w:rPr>
              <w:t> </w:t>
            </w:r>
          </w:p>
        </w:tc>
      </w:tr>
      <w:tr w:rsidR="00A82F9D" w:rsidRPr="004F605C" w14:paraId="06800A47" w14:textId="77777777" w:rsidTr="00A82F9D">
        <w:tc>
          <w:tcPr>
            <w:tcW w:w="9351" w:type="dxa"/>
            <w:gridSpan w:val="4"/>
          </w:tcPr>
          <w:p w14:paraId="50451D40" w14:textId="576FC7A2" w:rsidR="00A82F9D" w:rsidRDefault="00A82F9D" w:rsidP="00A82F9D">
            <w:pPr>
              <w:tabs>
                <w:tab w:val="center" w:pos="2299"/>
                <w:tab w:val="center" w:pos="6891"/>
              </w:tabs>
            </w:pPr>
            <w:r>
              <w:tab/>
              <w:t>│</w:t>
            </w:r>
            <w:r>
              <w:tab/>
              <w:t>│</w:t>
            </w:r>
          </w:p>
        </w:tc>
      </w:tr>
      <w:tr w:rsidR="00A82F9D" w:rsidRPr="004F605C" w14:paraId="7504FBB7" w14:textId="77777777" w:rsidTr="00A82F9D">
        <w:tc>
          <w:tcPr>
            <w:tcW w:w="9351" w:type="dxa"/>
            <w:gridSpan w:val="4"/>
          </w:tcPr>
          <w:p w14:paraId="67EFC928" w14:textId="604A9C88" w:rsidR="00A82F9D" w:rsidRPr="004F605C" w:rsidRDefault="00A82F9D" w:rsidP="00A82F9D">
            <w:pPr>
              <w:tabs>
                <w:tab w:val="center" w:pos="2228"/>
                <w:tab w:val="center" w:pos="6818"/>
              </w:tabs>
            </w:pPr>
            <w:r>
              <w:tab/>
            </w:r>
            <w:r w:rsidRPr="004F605C">
              <w:t>extraordinary magisterium</w:t>
            </w:r>
            <w:r>
              <w:tab/>
            </w:r>
            <w:r w:rsidRPr="004F605C">
              <w:t>ordinary magisterium</w:t>
            </w:r>
          </w:p>
        </w:tc>
      </w:tr>
      <w:tr w:rsidR="004F605C" w:rsidRPr="004F605C" w14:paraId="6814D343" w14:textId="5C8550A2" w:rsidTr="00A82F9D">
        <w:tc>
          <w:tcPr>
            <w:tcW w:w="2337" w:type="dxa"/>
          </w:tcPr>
          <w:p w14:paraId="593C1953" w14:textId="7F1090E9" w:rsidR="004F605C" w:rsidRPr="004F605C" w:rsidRDefault="004F605C" w:rsidP="004F605C">
            <w:pPr>
              <w:jc w:val="center"/>
            </w:pPr>
            <w:r>
              <w:t>│</w:t>
            </w:r>
          </w:p>
        </w:tc>
        <w:tc>
          <w:tcPr>
            <w:tcW w:w="2338" w:type="dxa"/>
          </w:tcPr>
          <w:p w14:paraId="49D30226" w14:textId="2C4991C7" w:rsidR="004F605C" w:rsidRPr="004F605C" w:rsidRDefault="004F605C" w:rsidP="004F605C">
            <w:pPr>
              <w:jc w:val="center"/>
            </w:pPr>
            <w:r>
              <w:t>│</w:t>
            </w:r>
          </w:p>
        </w:tc>
        <w:tc>
          <w:tcPr>
            <w:tcW w:w="2338" w:type="dxa"/>
          </w:tcPr>
          <w:p w14:paraId="57C98AAF" w14:textId="07A63DB4" w:rsidR="004F605C" w:rsidRPr="004F605C" w:rsidRDefault="004F605C" w:rsidP="004F605C">
            <w:pPr>
              <w:jc w:val="center"/>
            </w:pPr>
            <w:r>
              <w:t>│</w:t>
            </w:r>
          </w:p>
        </w:tc>
        <w:tc>
          <w:tcPr>
            <w:tcW w:w="2338" w:type="dxa"/>
          </w:tcPr>
          <w:p w14:paraId="0173338B" w14:textId="753844FB" w:rsidR="004F605C" w:rsidRPr="004F605C" w:rsidRDefault="00A82F9D" w:rsidP="00A82F9D">
            <w:pPr>
              <w:tabs>
                <w:tab w:val="center" w:pos="901"/>
              </w:tabs>
            </w:pPr>
            <w:r>
              <w:tab/>
            </w:r>
            <w:r w:rsidR="004F605C">
              <w:t>│</w:t>
            </w:r>
          </w:p>
        </w:tc>
      </w:tr>
      <w:tr w:rsidR="004F605C" w:rsidRPr="004F605C" w14:paraId="73367161" w14:textId="77777777" w:rsidTr="00A82F9D">
        <w:tc>
          <w:tcPr>
            <w:tcW w:w="2337" w:type="dxa"/>
          </w:tcPr>
          <w:p w14:paraId="0B15C6DC" w14:textId="77777777" w:rsidR="00C61C5E" w:rsidRDefault="00C61C5E" w:rsidP="004F605C">
            <w:pPr>
              <w:jc w:val="center"/>
            </w:pPr>
            <w:r>
              <w:t xml:space="preserve">an </w:t>
            </w:r>
            <w:r w:rsidR="004F605C" w:rsidRPr="004F605C">
              <w:t>ecumenical</w:t>
            </w:r>
          </w:p>
          <w:p w14:paraId="6E087D6B" w14:textId="5582842E" w:rsidR="004F605C" w:rsidRPr="004F605C" w:rsidRDefault="004F605C" w:rsidP="004F605C">
            <w:pPr>
              <w:jc w:val="center"/>
            </w:pPr>
            <w:r w:rsidRPr="004F605C">
              <w:t>council, infallible</w:t>
            </w:r>
          </w:p>
          <w:p w14:paraId="01F9AC73" w14:textId="0C171EE2" w:rsidR="004F605C" w:rsidRPr="004F605C" w:rsidRDefault="004F605C" w:rsidP="004F605C">
            <w:pPr>
              <w:jc w:val="center"/>
            </w:pPr>
            <w:r w:rsidRPr="004F605C">
              <w:t>when defining</w:t>
            </w:r>
          </w:p>
        </w:tc>
        <w:tc>
          <w:tcPr>
            <w:tcW w:w="2338" w:type="dxa"/>
          </w:tcPr>
          <w:p w14:paraId="19FFA14F" w14:textId="3C45CBCF" w:rsidR="004F605C" w:rsidRPr="004F605C" w:rsidRDefault="00C61C5E" w:rsidP="004F605C">
            <w:pPr>
              <w:jc w:val="center"/>
            </w:pPr>
            <w:r>
              <w:t xml:space="preserve">the </w:t>
            </w:r>
            <w:r w:rsidR="004F605C" w:rsidRPr="004F605C">
              <w:t>pope,</w:t>
            </w:r>
          </w:p>
          <w:p w14:paraId="08D56C7C" w14:textId="2FA2F78D" w:rsidR="004F605C" w:rsidRPr="004F605C" w:rsidRDefault="004F605C" w:rsidP="004F605C">
            <w:pPr>
              <w:jc w:val="center"/>
            </w:pPr>
            <w:r w:rsidRPr="004F605C">
              <w:t>infallible</w:t>
            </w:r>
          </w:p>
          <w:p w14:paraId="62597BF6" w14:textId="6E172438" w:rsidR="004F605C" w:rsidRPr="004F605C" w:rsidRDefault="004F605C" w:rsidP="004F605C">
            <w:pPr>
              <w:jc w:val="center"/>
            </w:pPr>
            <w:r w:rsidRPr="004F605C">
              <w:t>when defining</w:t>
            </w:r>
          </w:p>
        </w:tc>
        <w:tc>
          <w:tcPr>
            <w:tcW w:w="2338" w:type="dxa"/>
          </w:tcPr>
          <w:p w14:paraId="55EF7ACC" w14:textId="4F189655" w:rsidR="004F605C" w:rsidRPr="004F605C" w:rsidRDefault="00C61C5E" w:rsidP="004F605C">
            <w:pPr>
              <w:jc w:val="center"/>
            </w:pPr>
            <w:r>
              <w:t xml:space="preserve">the </w:t>
            </w:r>
            <w:r w:rsidR="004F605C" w:rsidRPr="004F605C">
              <w:t>universal ordinary magisterium,</w:t>
            </w:r>
          </w:p>
          <w:p w14:paraId="1E1AC2A3" w14:textId="77777777" w:rsidR="004F605C" w:rsidRPr="004F605C" w:rsidRDefault="004F605C" w:rsidP="004F605C">
            <w:pPr>
              <w:jc w:val="center"/>
            </w:pPr>
            <w:r w:rsidRPr="004F605C">
              <w:t>infallible</w:t>
            </w:r>
          </w:p>
          <w:p w14:paraId="49314610" w14:textId="3BF416C8" w:rsidR="004F605C" w:rsidRPr="004F605C" w:rsidRDefault="004F605C" w:rsidP="004F605C">
            <w:pPr>
              <w:jc w:val="center"/>
            </w:pPr>
            <w:r w:rsidRPr="004F605C">
              <w:t>when “defining”</w:t>
            </w:r>
          </w:p>
        </w:tc>
        <w:tc>
          <w:tcPr>
            <w:tcW w:w="2338" w:type="dxa"/>
          </w:tcPr>
          <w:p w14:paraId="1E5B968B" w14:textId="77777777" w:rsidR="004F605C" w:rsidRPr="004F605C" w:rsidRDefault="004F605C" w:rsidP="004F605C">
            <w:pPr>
              <w:jc w:val="center"/>
            </w:pPr>
            <w:r w:rsidRPr="004F605C">
              <w:t>non-universal</w:t>
            </w:r>
          </w:p>
          <w:p w14:paraId="2BD140D5" w14:textId="77777777" w:rsidR="004F605C" w:rsidRPr="004F605C" w:rsidRDefault="004F605C" w:rsidP="004F605C">
            <w:pPr>
              <w:jc w:val="center"/>
            </w:pPr>
            <w:r w:rsidRPr="004F605C">
              <w:t>ordinary</w:t>
            </w:r>
          </w:p>
          <w:p w14:paraId="061CA8FA" w14:textId="77777777" w:rsidR="004F605C" w:rsidRPr="004F605C" w:rsidRDefault="004F605C" w:rsidP="004F605C">
            <w:pPr>
              <w:jc w:val="center"/>
            </w:pPr>
            <w:r w:rsidRPr="004F605C">
              <w:t>magisterium,</w:t>
            </w:r>
          </w:p>
          <w:p w14:paraId="6C0E1487" w14:textId="3FBB0E34" w:rsidR="004F605C" w:rsidRPr="004F605C" w:rsidRDefault="004F605C" w:rsidP="004F605C">
            <w:pPr>
              <w:jc w:val="center"/>
            </w:pPr>
            <w:r w:rsidRPr="004F605C">
              <w:t>non-infallible</w:t>
            </w:r>
          </w:p>
        </w:tc>
      </w:tr>
      <w:tr w:rsidR="004F605C" w:rsidRPr="004F605C" w14:paraId="46BBC295" w14:textId="08AB3C8C" w:rsidTr="00A82F9D">
        <w:tc>
          <w:tcPr>
            <w:tcW w:w="7013" w:type="dxa"/>
            <w:gridSpan w:val="3"/>
          </w:tcPr>
          <w:p w14:paraId="50550EEB" w14:textId="77777777" w:rsidR="004F605C" w:rsidRPr="004F605C" w:rsidRDefault="004F605C" w:rsidP="004F605C">
            <w:pPr>
              <w:jc w:val="center"/>
            </w:pPr>
          </w:p>
        </w:tc>
        <w:tc>
          <w:tcPr>
            <w:tcW w:w="2338" w:type="dxa"/>
          </w:tcPr>
          <w:p w14:paraId="2C3E826E" w14:textId="6BAF64C4" w:rsidR="004F605C" w:rsidRPr="004F605C" w:rsidRDefault="00A82F9D" w:rsidP="009B334C">
            <w:pPr>
              <w:tabs>
                <w:tab w:val="center" w:pos="528"/>
                <w:tab w:val="center" w:pos="1608"/>
              </w:tabs>
            </w:pPr>
            <w:r>
              <w:tab/>
              <w:t>│</w:t>
            </w:r>
            <w:r>
              <w:tab/>
              <w:t>│</w:t>
            </w:r>
          </w:p>
        </w:tc>
      </w:tr>
      <w:tr w:rsidR="004F605C" w:rsidRPr="004F605C" w14:paraId="4DC9B191" w14:textId="77777777" w:rsidTr="00A82F9D">
        <w:tc>
          <w:tcPr>
            <w:tcW w:w="7013" w:type="dxa"/>
            <w:gridSpan w:val="3"/>
          </w:tcPr>
          <w:p w14:paraId="272B2AB3" w14:textId="77777777" w:rsidR="004F605C" w:rsidRPr="004F605C" w:rsidRDefault="004F605C" w:rsidP="004F605C">
            <w:pPr>
              <w:jc w:val="center"/>
            </w:pPr>
          </w:p>
        </w:tc>
        <w:tc>
          <w:tcPr>
            <w:tcW w:w="2338" w:type="dxa"/>
          </w:tcPr>
          <w:p w14:paraId="3E11D94A" w14:textId="32BBE8D9" w:rsidR="004F605C" w:rsidRPr="004F605C" w:rsidRDefault="004F605C" w:rsidP="009B334C">
            <w:pPr>
              <w:tabs>
                <w:tab w:val="center" w:pos="528"/>
                <w:tab w:val="center" w:pos="1608"/>
              </w:tabs>
            </w:pPr>
            <w:r w:rsidRPr="004F605C">
              <w:tab/>
            </w:r>
            <w:r w:rsidR="00C61C5E">
              <w:t xml:space="preserve">a </w:t>
            </w:r>
            <w:r w:rsidRPr="004F605C">
              <w:t>bishop</w:t>
            </w:r>
            <w:r w:rsidRPr="004F605C">
              <w:tab/>
            </w:r>
            <w:r w:rsidR="00C61C5E">
              <w:t xml:space="preserve">a </w:t>
            </w:r>
            <w:r w:rsidRPr="004F605C">
              <w:t>pope</w:t>
            </w:r>
          </w:p>
        </w:tc>
      </w:tr>
      <w:tr w:rsidR="004F605C" w:rsidRPr="004F605C" w14:paraId="3EF77810" w14:textId="77777777" w:rsidTr="00A82F9D">
        <w:tc>
          <w:tcPr>
            <w:tcW w:w="9351" w:type="dxa"/>
            <w:gridSpan w:val="4"/>
          </w:tcPr>
          <w:p w14:paraId="04B9DCFC" w14:textId="77777777" w:rsidR="00C61C5E" w:rsidRDefault="00C61C5E" w:rsidP="00A82F9D"/>
          <w:p w14:paraId="43C6DC1F" w14:textId="24E1C7C7" w:rsidR="004F605C" w:rsidRPr="004F605C" w:rsidRDefault="004F605C" w:rsidP="00A82F9D">
            <w:r w:rsidRPr="00C61C5E">
              <w:rPr>
                <w:i/>
                <w:iCs/>
              </w:rPr>
              <w:t>conditions for infallibility</w:t>
            </w:r>
            <w:r w:rsidRPr="004F605C">
              <w:t>:</w:t>
            </w:r>
          </w:p>
        </w:tc>
      </w:tr>
      <w:tr w:rsidR="004F605C" w:rsidRPr="004F605C" w14:paraId="2961B13E" w14:textId="77777777" w:rsidTr="00A82F9D">
        <w:tc>
          <w:tcPr>
            <w:tcW w:w="9351" w:type="dxa"/>
            <w:gridSpan w:val="4"/>
          </w:tcPr>
          <w:p w14:paraId="452B4E25" w14:textId="77777777" w:rsidR="004F605C" w:rsidRPr="004F605C" w:rsidRDefault="004F605C" w:rsidP="004F605C">
            <w:pPr>
              <w:jc w:val="center"/>
            </w:pPr>
          </w:p>
        </w:tc>
      </w:tr>
      <w:tr w:rsidR="004F605C" w:rsidRPr="004F605C" w14:paraId="6C7E3217" w14:textId="77777777" w:rsidTr="00A82F9D">
        <w:tc>
          <w:tcPr>
            <w:tcW w:w="2337" w:type="dxa"/>
          </w:tcPr>
          <w:p w14:paraId="146BCA4B" w14:textId="12E5E863" w:rsidR="004F605C" w:rsidRDefault="004F605C" w:rsidP="004F605C">
            <w:pPr>
              <w:jc w:val="center"/>
            </w:pPr>
            <w:r w:rsidRPr="004F605C">
              <w:t>must be</w:t>
            </w:r>
            <w:r w:rsidR="00C61C5E">
              <w:t xml:space="preserve"> an</w:t>
            </w:r>
          </w:p>
          <w:p w14:paraId="330F076D" w14:textId="73761761" w:rsidR="004F605C" w:rsidRPr="004F605C" w:rsidRDefault="004F605C" w:rsidP="004F605C">
            <w:pPr>
              <w:jc w:val="center"/>
            </w:pPr>
            <w:r w:rsidRPr="004F605C">
              <w:t>ecumenical council;</w:t>
            </w:r>
          </w:p>
          <w:p w14:paraId="796776D2" w14:textId="6E00D248" w:rsidR="004F605C" w:rsidRDefault="00806F7B" w:rsidP="004F605C">
            <w:pPr>
              <w:jc w:val="center"/>
            </w:pPr>
            <w:r>
              <w:t xml:space="preserve">it </w:t>
            </w:r>
            <w:r w:rsidR="004F605C" w:rsidRPr="004F605C">
              <w:t>acts as judge</w:t>
            </w:r>
          </w:p>
          <w:p w14:paraId="22CBE2EF" w14:textId="5588BA7F" w:rsidR="004F605C" w:rsidRPr="004F605C" w:rsidRDefault="004F605C" w:rsidP="004F605C">
            <w:pPr>
              <w:jc w:val="center"/>
            </w:pPr>
            <w:r w:rsidRPr="004F605C">
              <w:t>of the faith;</w:t>
            </w:r>
          </w:p>
          <w:p w14:paraId="3B46302E" w14:textId="77777777" w:rsidR="004F605C" w:rsidRDefault="004F605C" w:rsidP="004F605C">
            <w:pPr>
              <w:jc w:val="center"/>
            </w:pPr>
            <w:r w:rsidRPr="004F605C">
              <w:t>free from coercion;</w:t>
            </w:r>
          </w:p>
          <w:p w14:paraId="24C818A7" w14:textId="73B17011" w:rsidR="004F605C" w:rsidRPr="004F605C" w:rsidRDefault="00806F7B" w:rsidP="004F605C">
            <w:pPr>
              <w:jc w:val="center"/>
            </w:pPr>
            <w:r>
              <w:t xml:space="preserve">must be a </w:t>
            </w:r>
            <w:r w:rsidR="004F605C" w:rsidRPr="004F605C">
              <w:t>doctrine of faith</w:t>
            </w:r>
            <w:r>
              <w:t xml:space="preserve"> </w:t>
            </w:r>
            <w:r w:rsidR="004F605C" w:rsidRPr="004F605C">
              <w:t>or morals;</w:t>
            </w:r>
          </w:p>
          <w:p w14:paraId="7A766B9A" w14:textId="32C4CFF0" w:rsidR="004F605C" w:rsidRPr="004F605C" w:rsidRDefault="009B334C" w:rsidP="004F605C">
            <w:pPr>
              <w:jc w:val="center"/>
            </w:pPr>
            <w:r>
              <w:t xml:space="preserve">expressed </w:t>
            </w:r>
            <w:r w:rsidR="004F605C" w:rsidRPr="004F605C">
              <w:t>intention to define</w:t>
            </w:r>
          </w:p>
        </w:tc>
        <w:tc>
          <w:tcPr>
            <w:tcW w:w="2338" w:type="dxa"/>
          </w:tcPr>
          <w:p w14:paraId="56E3A748" w14:textId="38842817" w:rsidR="004F605C" w:rsidRPr="004F605C" w:rsidRDefault="004F605C" w:rsidP="004F605C">
            <w:pPr>
              <w:jc w:val="center"/>
            </w:pPr>
            <w:r w:rsidRPr="004F605C">
              <w:t xml:space="preserve">must be </w:t>
            </w:r>
            <w:r w:rsidR="00C61C5E">
              <w:t xml:space="preserve">a </w:t>
            </w:r>
            <w:r w:rsidRPr="004F605C">
              <w:t>pope (e.g., elected, not heretic);</w:t>
            </w:r>
          </w:p>
          <w:p w14:paraId="4EBBBD15" w14:textId="77777777" w:rsidR="004F605C" w:rsidRPr="004F605C" w:rsidRDefault="004F605C" w:rsidP="004F605C">
            <w:pPr>
              <w:jc w:val="center"/>
            </w:pPr>
            <w:r w:rsidRPr="004F605C">
              <w:t>consults the faith;</w:t>
            </w:r>
          </w:p>
          <w:p w14:paraId="2F9EAADD" w14:textId="0EC66F49" w:rsidR="00806F7B" w:rsidRDefault="004F605C" w:rsidP="00806F7B">
            <w:pPr>
              <w:jc w:val="center"/>
            </w:pPr>
            <w:r w:rsidRPr="004F605C">
              <w:t>exercises universal</w:t>
            </w:r>
            <w:r w:rsidR="00806F7B">
              <w:t xml:space="preserve"> </w:t>
            </w:r>
            <w:r w:rsidRPr="004F605C">
              <w:t>jurisdiction;</w:t>
            </w:r>
          </w:p>
          <w:p w14:paraId="4C7450F8" w14:textId="77777777" w:rsidR="0093143C" w:rsidRDefault="004F605C" w:rsidP="00806F7B">
            <w:pPr>
              <w:jc w:val="center"/>
            </w:pPr>
            <w:r w:rsidRPr="004F605C">
              <w:t>free from coercion;</w:t>
            </w:r>
          </w:p>
          <w:p w14:paraId="32F42B21" w14:textId="77777777" w:rsidR="0093143C" w:rsidRDefault="00806F7B" w:rsidP="00806F7B">
            <w:pPr>
              <w:jc w:val="center"/>
            </w:pPr>
            <w:r>
              <w:t xml:space="preserve">must be a </w:t>
            </w:r>
            <w:r w:rsidR="004F605C" w:rsidRPr="004F605C">
              <w:t>doctrine of</w:t>
            </w:r>
          </w:p>
          <w:p w14:paraId="3673214B" w14:textId="5C2762A9" w:rsidR="004F605C" w:rsidRPr="004F605C" w:rsidRDefault="004F605C" w:rsidP="00806F7B">
            <w:pPr>
              <w:jc w:val="center"/>
            </w:pPr>
            <w:r w:rsidRPr="004F605C">
              <w:t>faith or morals;</w:t>
            </w:r>
          </w:p>
          <w:p w14:paraId="2C0ADC99" w14:textId="458BEF6B" w:rsidR="004F605C" w:rsidRPr="004F605C" w:rsidRDefault="009B334C" w:rsidP="004F605C">
            <w:pPr>
              <w:jc w:val="center"/>
            </w:pPr>
            <w:r>
              <w:lastRenderedPageBreak/>
              <w:t xml:space="preserve">expressed </w:t>
            </w:r>
            <w:r w:rsidR="004F605C" w:rsidRPr="004F605C">
              <w:t>intention to define</w:t>
            </w:r>
          </w:p>
        </w:tc>
        <w:tc>
          <w:tcPr>
            <w:tcW w:w="2338" w:type="dxa"/>
          </w:tcPr>
          <w:p w14:paraId="1978AC2C" w14:textId="62A575E2" w:rsidR="00806F7B" w:rsidRDefault="004F605C" w:rsidP="004F605C">
            <w:pPr>
              <w:jc w:val="center"/>
            </w:pPr>
            <w:r w:rsidRPr="004F605C">
              <w:lastRenderedPageBreak/>
              <w:t xml:space="preserve">must be </w:t>
            </w:r>
            <w:r w:rsidR="00806F7B">
              <w:t xml:space="preserve">the </w:t>
            </w:r>
            <w:r w:rsidRPr="004F605C">
              <w:t>college of bishops united to</w:t>
            </w:r>
          </w:p>
          <w:p w14:paraId="10CD1BD9" w14:textId="222C52FE" w:rsidR="004F605C" w:rsidRPr="004F605C" w:rsidRDefault="00806F7B" w:rsidP="004F605C">
            <w:pPr>
              <w:jc w:val="center"/>
            </w:pPr>
            <w:r>
              <w:t xml:space="preserve">the </w:t>
            </w:r>
            <w:r w:rsidR="004F605C" w:rsidRPr="004F605C">
              <w:t>pope;</w:t>
            </w:r>
          </w:p>
          <w:p w14:paraId="565CBFD0" w14:textId="46209B0C" w:rsidR="004F605C" w:rsidRPr="004F605C" w:rsidRDefault="00806F7B" w:rsidP="00806F7B">
            <w:pPr>
              <w:jc w:val="center"/>
            </w:pPr>
            <w:r>
              <w:t xml:space="preserve">must be a </w:t>
            </w:r>
            <w:r w:rsidR="004F605C" w:rsidRPr="004F605C">
              <w:t>doctrine of faith</w:t>
            </w:r>
            <w:r>
              <w:t xml:space="preserve"> </w:t>
            </w:r>
            <w:r w:rsidR="004F605C" w:rsidRPr="004F605C">
              <w:t>or morals;</w:t>
            </w:r>
          </w:p>
          <w:p w14:paraId="37BD918E" w14:textId="7054D75D" w:rsidR="004F605C" w:rsidRPr="004F605C" w:rsidRDefault="009B334C" w:rsidP="009B334C">
            <w:pPr>
              <w:jc w:val="center"/>
            </w:pPr>
            <w:r>
              <w:t xml:space="preserve">expressed </w:t>
            </w:r>
            <w:r w:rsidR="004F605C" w:rsidRPr="004F605C">
              <w:t xml:space="preserve">intention to </w:t>
            </w:r>
            <w:r w:rsidR="004F605C">
              <w:t xml:space="preserve">impose </w:t>
            </w:r>
            <w:r w:rsidR="00806F7B">
              <w:t xml:space="preserve">the doctrine </w:t>
            </w:r>
            <w:r w:rsidR="004F605C">
              <w:t>as</w:t>
            </w:r>
            <w:r>
              <w:t xml:space="preserve"> </w:t>
            </w:r>
            <w:r w:rsidR="004F605C">
              <w:t>“</w:t>
            </w:r>
            <w:r w:rsidR="004F605C" w:rsidRPr="004F605C">
              <w:t>defin</w:t>
            </w:r>
            <w:r w:rsidR="004F605C">
              <w:t>itively to be</w:t>
            </w:r>
            <w:r w:rsidR="00254012">
              <w:t xml:space="preserve"> </w:t>
            </w:r>
            <w:r w:rsidR="004F605C">
              <w:t>held”</w:t>
            </w:r>
          </w:p>
        </w:tc>
        <w:tc>
          <w:tcPr>
            <w:tcW w:w="2338" w:type="dxa"/>
          </w:tcPr>
          <w:p w14:paraId="7E85C25C" w14:textId="05212ECD" w:rsidR="004F605C" w:rsidRPr="004F605C" w:rsidRDefault="009B334C" w:rsidP="004F605C">
            <w:pPr>
              <w:jc w:val="center"/>
            </w:pPr>
            <w:r>
              <w:t>(never infallible)</w:t>
            </w:r>
          </w:p>
        </w:tc>
      </w:tr>
    </w:tbl>
    <w:p w14:paraId="5A60E5C2" w14:textId="77777777" w:rsidR="004F605C" w:rsidRDefault="004F605C" w:rsidP="004F605C">
      <w:pPr>
        <w:rPr>
          <w:kern w:val="2"/>
          <w14:ligatures w14:val="standardContextual"/>
        </w:rPr>
      </w:pPr>
    </w:p>
    <w:p w14:paraId="141CCF6C" w14:textId="2B5AC542" w:rsidR="00CC554B" w:rsidRDefault="00CC554B" w:rsidP="00CC554B">
      <w:pPr>
        <w:jc w:val="center"/>
        <w:rPr>
          <w:kern w:val="2"/>
          <w14:ligatures w14:val="standardContextual"/>
        </w:rPr>
      </w:pPr>
      <w:r w:rsidRPr="00CC554B">
        <w:rPr>
          <w:smallCaps/>
          <w:kern w:val="2"/>
          <w14:ligatures w14:val="standardContextual"/>
        </w:rPr>
        <w:t>bibliography</w:t>
      </w:r>
    </w:p>
    <w:p w14:paraId="3D4DA82E" w14:textId="77777777" w:rsidR="00CC554B" w:rsidRDefault="00CC554B" w:rsidP="004F605C">
      <w:pPr>
        <w:rPr>
          <w:kern w:val="2"/>
          <w14:ligatures w14:val="standardContextual"/>
        </w:rPr>
      </w:pPr>
    </w:p>
    <w:p w14:paraId="141B53A4" w14:textId="77777777" w:rsidR="00CC554B" w:rsidRPr="00CC554B" w:rsidRDefault="00CC554B" w:rsidP="00CC554B">
      <w:pPr>
        <w:ind w:left="720" w:hanging="720"/>
        <w:rPr>
          <w:szCs w:val="20"/>
        </w:rPr>
      </w:pPr>
      <w:r w:rsidRPr="00CC554B">
        <w:t xml:space="preserve">Ott, Ludwig. </w:t>
      </w:r>
      <w:r w:rsidRPr="00CC554B">
        <w:rPr>
          <w:i/>
        </w:rPr>
        <w:t>Fundamentals of Catholic Dogma</w:t>
      </w:r>
      <w:r w:rsidRPr="00CC554B">
        <w:t>. Ed. James Bastible. Trans. Patrick Lynch. Cork, Ire</w:t>
      </w:r>
      <w:r w:rsidRPr="00CC554B">
        <w:softHyphen/>
        <w:t xml:space="preserve">land: Mercier, 1955. Rpt. St. Louis: Herder, 1957. (German: </w:t>
      </w:r>
      <w:proofErr w:type="spellStart"/>
      <w:r w:rsidRPr="00CC554B">
        <w:rPr>
          <w:i/>
        </w:rPr>
        <w:t>Grundriß</w:t>
      </w:r>
      <w:proofErr w:type="spellEnd"/>
      <w:r w:rsidRPr="00CC554B">
        <w:rPr>
          <w:i/>
        </w:rPr>
        <w:t xml:space="preserve"> der </w:t>
      </w:r>
      <w:proofErr w:type="spellStart"/>
      <w:r w:rsidRPr="00CC554B">
        <w:rPr>
          <w:i/>
        </w:rPr>
        <w:t>Kath</w:t>
      </w:r>
      <w:r w:rsidRPr="00CC554B">
        <w:rPr>
          <w:i/>
        </w:rPr>
        <w:softHyphen/>
        <w:t>ol</w:t>
      </w:r>
      <w:r w:rsidRPr="00CC554B">
        <w:rPr>
          <w:i/>
        </w:rPr>
        <w:softHyphen/>
        <w:t>ischen</w:t>
      </w:r>
      <w:proofErr w:type="spellEnd"/>
      <w:r w:rsidRPr="00CC554B">
        <w:rPr>
          <w:i/>
        </w:rPr>
        <w:t xml:space="preserve"> </w:t>
      </w:r>
      <w:proofErr w:type="spellStart"/>
      <w:r w:rsidRPr="00CC554B">
        <w:rPr>
          <w:i/>
        </w:rPr>
        <w:t>Dogmatik</w:t>
      </w:r>
      <w:proofErr w:type="spellEnd"/>
      <w:r w:rsidRPr="00CC554B">
        <w:t>. Frei</w:t>
      </w:r>
      <w:r w:rsidRPr="00CC554B">
        <w:softHyphen/>
        <w:t xml:space="preserve">burg </w:t>
      </w:r>
      <w:proofErr w:type="spellStart"/>
      <w:r w:rsidRPr="00CC554B">
        <w:t>im</w:t>
      </w:r>
      <w:proofErr w:type="spellEnd"/>
      <w:r w:rsidRPr="00CC554B">
        <w:t xml:space="preserve"> Breisgau: Herder, 1952.)</w:t>
      </w:r>
    </w:p>
    <w:p w14:paraId="4A9D7C53" w14:textId="77777777" w:rsidR="00CC554B" w:rsidRDefault="00CC554B" w:rsidP="00CC554B">
      <w:pPr>
        <w:rPr>
          <w:szCs w:val="20"/>
        </w:rPr>
      </w:pPr>
    </w:p>
    <w:p w14:paraId="7764734C" w14:textId="544E4693" w:rsidR="00CC554B" w:rsidRPr="00CC554B" w:rsidRDefault="00CC554B" w:rsidP="00CC554B">
      <w:pPr>
        <w:ind w:left="720" w:hanging="720"/>
        <w:rPr>
          <w:szCs w:val="20"/>
        </w:rPr>
      </w:pPr>
      <w:r w:rsidRPr="00CC554B">
        <w:rPr>
          <w:szCs w:val="20"/>
        </w:rPr>
        <w:t xml:space="preserve">Sullivan, Francis A., SJ. </w:t>
      </w:r>
      <w:r w:rsidRPr="00CC554B">
        <w:rPr>
          <w:i/>
          <w:szCs w:val="20"/>
        </w:rPr>
        <w:t>Magisterium</w:t>
      </w:r>
      <w:r w:rsidRPr="00CC554B">
        <w:rPr>
          <w:szCs w:val="20"/>
        </w:rPr>
        <w:t xml:space="preserve">: </w:t>
      </w:r>
      <w:r w:rsidRPr="00CC554B">
        <w:rPr>
          <w:i/>
          <w:szCs w:val="20"/>
        </w:rPr>
        <w:t>Teaching Authority in the Catholic Church</w:t>
      </w:r>
      <w:r w:rsidRPr="00CC554B">
        <w:rPr>
          <w:szCs w:val="20"/>
        </w:rPr>
        <w:t xml:space="preserve">. Mahwah NJ: Paulist, 1983. Rpt. Eugene OR: </w:t>
      </w:r>
      <w:r w:rsidRPr="00CC554B">
        <w:rPr>
          <w:color w:val="000000"/>
          <w:szCs w:val="16"/>
        </w:rPr>
        <w:t>Wipf and Stock, 2002</w:t>
      </w:r>
      <w:r w:rsidRPr="00CC554B">
        <w:rPr>
          <w:szCs w:val="20"/>
        </w:rPr>
        <w:t>.</w:t>
      </w:r>
    </w:p>
    <w:p w14:paraId="209F2356" w14:textId="77777777" w:rsidR="00CC554B" w:rsidRPr="004F605C" w:rsidRDefault="00CC554B" w:rsidP="004F605C">
      <w:pPr>
        <w:rPr>
          <w:kern w:val="2"/>
          <w14:ligatures w14:val="standardContextual"/>
        </w:rPr>
      </w:pPr>
    </w:p>
    <w:sectPr w:rsidR="00CC554B" w:rsidRPr="004F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23EB"/>
    <w:multiLevelType w:val="multilevel"/>
    <w:tmpl w:val="CA0A6C16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80901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5C"/>
    <w:rsid w:val="00254012"/>
    <w:rsid w:val="002B4696"/>
    <w:rsid w:val="002C240C"/>
    <w:rsid w:val="0046499B"/>
    <w:rsid w:val="004F605C"/>
    <w:rsid w:val="00610D7B"/>
    <w:rsid w:val="00664735"/>
    <w:rsid w:val="007C5641"/>
    <w:rsid w:val="00806F7B"/>
    <w:rsid w:val="00840DF0"/>
    <w:rsid w:val="0093143C"/>
    <w:rsid w:val="00975BE0"/>
    <w:rsid w:val="009B334C"/>
    <w:rsid w:val="009D76F0"/>
    <w:rsid w:val="00A82F9D"/>
    <w:rsid w:val="00AA05A7"/>
    <w:rsid w:val="00B70342"/>
    <w:rsid w:val="00BF4A3D"/>
    <w:rsid w:val="00C61C5E"/>
    <w:rsid w:val="00CC554B"/>
    <w:rsid w:val="00DD1554"/>
    <w:rsid w:val="00EE4D22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4A27"/>
  <w15:chartTrackingRefBased/>
  <w15:docId w15:val="{5FD9351D-9B18-4D33-8857-364F34E6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05C"/>
    <w:pPr>
      <w:spacing w:after="0" w:line="240" w:lineRule="auto"/>
      <w:jc w:val="both"/>
    </w:pPr>
    <w:rPr>
      <w:rFonts w:eastAsia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60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60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AA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7</cp:revision>
  <dcterms:created xsi:type="dcterms:W3CDTF">2025-09-25T15:37:00Z</dcterms:created>
  <dcterms:modified xsi:type="dcterms:W3CDTF">2025-10-16T20:58:00Z</dcterms:modified>
</cp:coreProperties>
</file>