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E928" w14:textId="77777777" w:rsidR="0046615B" w:rsidRDefault="0046615B" w:rsidP="008C4BCC">
      <w:pPr>
        <w:widowControl w:val="0"/>
        <w:spacing w:after="0" w:line="240" w:lineRule="auto"/>
        <w:jc w:val="center"/>
        <w:rPr>
          <w:rFonts w:eastAsiaTheme="majorEastAsia" w:cstheme="majorBidi"/>
          <w:bCs/>
          <w:szCs w:val="26"/>
        </w:rPr>
      </w:pPr>
      <w:r>
        <w:rPr>
          <w:rFonts w:eastAsiaTheme="majorEastAsia" w:cstheme="majorBidi"/>
          <w:bCs/>
          <w:szCs w:val="26"/>
        </w:rPr>
        <w:t xml:space="preserve">THE CONCEPT OF </w:t>
      </w:r>
      <w:r w:rsidR="008C4BCC" w:rsidRPr="008C4BCC">
        <w:rPr>
          <w:rFonts w:eastAsiaTheme="majorEastAsia" w:cstheme="majorBidi"/>
          <w:bCs/>
          <w:szCs w:val="26"/>
        </w:rPr>
        <w:t>HISTORY</w:t>
      </w:r>
    </w:p>
    <w:p w14:paraId="15527BB6" w14:textId="65AE2B02" w:rsidR="008C4BCC" w:rsidRDefault="0046615B" w:rsidP="008C4BCC">
      <w:pPr>
        <w:widowControl w:val="0"/>
        <w:spacing w:after="0" w:line="240" w:lineRule="auto"/>
        <w:jc w:val="center"/>
        <w:rPr>
          <w:rFonts w:eastAsiaTheme="majorEastAsia" w:cstheme="majorBidi"/>
          <w:bCs/>
          <w:szCs w:val="26"/>
        </w:rPr>
      </w:pPr>
      <w:r>
        <w:rPr>
          <w:rFonts w:eastAsiaTheme="majorEastAsia" w:cstheme="majorBidi"/>
          <w:bCs/>
          <w:szCs w:val="26"/>
        </w:rPr>
        <w:t>AND THE HISTORICITY OF THE GOSPELS</w:t>
      </w:r>
    </w:p>
    <w:p w14:paraId="06F4843D" w14:textId="4A492E79" w:rsidR="008C4BCC" w:rsidRDefault="008C4BCC" w:rsidP="008C4BCC">
      <w:pPr>
        <w:widowControl w:val="0"/>
        <w:spacing w:after="0" w:line="240" w:lineRule="auto"/>
        <w:jc w:val="both"/>
        <w:rPr>
          <w:rFonts w:eastAsiaTheme="majorEastAsia" w:cstheme="majorBidi"/>
          <w:bCs/>
          <w:szCs w:val="26"/>
        </w:rPr>
      </w:pPr>
    </w:p>
    <w:p w14:paraId="76139ACF" w14:textId="77777777" w:rsidR="008C4BCC" w:rsidRPr="008C4BCC" w:rsidRDefault="008C4BCC" w:rsidP="008C4BCC">
      <w:pPr>
        <w:widowControl w:val="0"/>
        <w:spacing w:after="0" w:line="240" w:lineRule="auto"/>
        <w:jc w:val="center"/>
        <w:rPr>
          <w:sz w:val="20"/>
          <w:szCs w:val="20"/>
        </w:rPr>
      </w:pPr>
      <w:r w:rsidRPr="008C4BCC">
        <w:rPr>
          <w:sz w:val="20"/>
          <w:szCs w:val="20"/>
        </w:rPr>
        <w:t>Paul Hahn, Theology Department</w:t>
      </w:r>
    </w:p>
    <w:p w14:paraId="6926F00E" w14:textId="77777777" w:rsidR="008C4BCC" w:rsidRPr="008C4BCC" w:rsidRDefault="008C4BCC" w:rsidP="008C4BCC">
      <w:pPr>
        <w:widowControl w:val="0"/>
        <w:spacing w:after="0" w:line="240" w:lineRule="auto"/>
        <w:jc w:val="center"/>
        <w:rPr>
          <w:sz w:val="20"/>
          <w:szCs w:val="20"/>
        </w:rPr>
      </w:pPr>
      <w:r w:rsidRPr="008C4BCC">
        <w:rPr>
          <w:sz w:val="20"/>
          <w:szCs w:val="20"/>
        </w:rPr>
        <w:t>University of St Thomas, Houston TX 77006</w:t>
      </w:r>
    </w:p>
    <w:p w14:paraId="5352714C" w14:textId="15D448D7" w:rsidR="008C4BCC" w:rsidRPr="008C4BCC" w:rsidRDefault="008C4BCC" w:rsidP="008C4BCC">
      <w:pPr>
        <w:widowControl w:val="0"/>
        <w:spacing w:after="0" w:line="240" w:lineRule="auto"/>
        <w:jc w:val="center"/>
        <w:rPr>
          <w:sz w:val="20"/>
          <w:szCs w:val="20"/>
        </w:rPr>
      </w:pPr>
      <w:r w:rsidRPr="008C4BCC">
        <w:rPr>
          <w:sz w:val="20"/>
          <w:szCs w:val="20"/>
        </w:rPr>
        <w:t>© 2026, theologyplus.com</w:t>
      </w:r>
    </w:p>
    <w:p w14:paraId="1CD15BFC" w14:textId="77777777" w:rsidR="008C4BCC" w:rsidRDefault="008C4BCC" w:rsidP="008C4BCC">
      <w:pPr>
        <w:widowControl w:val="0"/>
        <w:spacing w:after="0" w:line="240" w:lineRule="auto"/>
        <w:jc w:val="both"/>
      </w:pPr>
    </w:p>
    <w:p w14:paraId="3E2D3EA2" w14:textId="77777777" w:rsidR="008C4BCC" w:rsidRDefault="008C4BCC" w:rsidP="008C4BCC">
      <w:pPr>
        <w:widowControl w:val="0"/>
        <w:spacing w:after="0" w:line="240" w:lineRule="auto"/>
        <w:jc w:val="both"/>
      </w:pPr>
    </w:p>
    <w:p w14:paraId="6A5DB9A6" w14:textId="19A720F8" w:rsidR="0046615B" w:rsidRDefault="0046615B" w:rsidP="0046615B">
      <w:pPr>
        <w:widowControl w:val="0"/>
        <w:spacing w:after="0" w:line="240" w:lineRule="auto"/>
        <w:jc w:val="center"/>
      </w:pPr>
      <w:r w:rsidRPr="0046615B">
        <w:rPr>
          <w:rFonts w:eastAsiaTheme="majorEastAsia" w:cstheme="majorBidi"/>
          <w:bCs/>
          <w:smallCaps/>
          <w:szCs w:val="26"/>
        </w:rPr>
        <w:t>The Concept of History</w:t>
      </w:r>
    </w:p>
    <w:p w14:paraId="533F8E8B" w14:textId="77777777" w:rsidR="0046615B" w:rsidRDefault="0046615B" w:rsidP="008C4BCC">
      <w:pPr>
        <w:widowControl w:val="0"/>
        <w:spacing w:after="0" w:line="240" w:lineRule="auto"/>
        <w:jc w:val="both"/>
      </w:pPr>
    </w:p>
    <w:p w14:paraId="26C29130" w14:textId="7488BC35" w:rsidR="008C4BCC" w:rsidRDefault="008C4BCC" w:rsidP="008C4BCC">
      <w:pPr>
        <w:widowControl w:val="0"/>
        <w:spacing w:after="0" w:line="240" w:lineRule="auto"/>
        <w:jc w:val="both"/>
      </w:pPr>
      <w:r>
        <w:t>What does</w:t>
      </w:r>
      <w:r w:rsidRPr="00863AF9">
        <w:t xml:space="preserve"> </w:t>
      </w:r>
      <w:r>
        <w:t>“history”</w:t>
      </w:r>
      <w:r w:rsidRPr="00863AF9">
        <w:t xml:space="preserve"> </w:t>
      </w:r>
      <w:r>
        <w:t>mean</w:t>
      </w:r>
      <w:r w:rsidRPr="00863AF9">
        <w:t xml:space="preserve">? </w:t>
      </w:r>
      <w:r>
        <w:t>I can think of several definitions</w:t>
      </w:r>
      <w:r w:rsidRPr="00863AF9">
        <w:t xml:space="preserve">. </w:t>
      </w:r>
      <w:r>
        <w:t>“History”</w:t>
      </w:r>
      <w:r w:rsidRPr="00863AF9">
        <w:t xml:space="preserve"> </w:t>
      </w:r>
      <w:r>
        <w:t>can mean</w:t>
      </w:r>
      <w:r w:rsidRPr="00863AF9">
        <w:t>:</w:t>
      </w:r>
    </w:p>
    <w:p w14:paraId="1148B296" w14:textId="77777777" w:rsidR="008C4BCC" w:rsidRDefault="008C4BCC" w:rsidP="008C4BCC">
      <w:pPr>
        <w:widowControl w:val="0"/>
        <w:spacing w:after="0" w:line="240" w:lineRule="auto"/>
        <w:jc w:val="both"/>
      </w:pPr>
    </w:p>
    <w:p w14:paraId="2CF7D74C" w14:textId="77777777" w:rsidR="008C4BCC" w:rsidRDefault="008C4BCC" w:rsidP="008C4BCC">
      <w:pPr>
        <w:numPr>
          <w:ilvl w:val="0"/>
          <w:numId w:val="1"/>
        </w:numPr>
        <w:spacing w:after="0" w:line="240" w:lineRule="auto"/>
        <w:jc w:val="both"/>
      </w:pPr>
      <w:r>
        <w:t>past events</w:t>
      </w:r>
      <w:r w:rsidRPr="00863AF9">
        <w:t xml:space="preserve"> (</w:t>
      </w:r>
      <w:r>
        <w:t>“Oh</w:t>
      </w:r>
      <w:r w:rsidRPr="00863AF9">
        <w:t xml:space="preserve">, </w:t>
      </w:r>
      <w:r>
        <w:t>that’s history now”</w:t>
      </w:r>
      <w:r w:rsidRPr="00863AF9">
        <w:t>)</w:t>
      </w:r>
    </w:p>
    <w:p w14:paraId="3B0B37EE" w14:textId="77777777" w:rsidR="008C4BCC" w:rsidRDefault="008C4BCC" w:rsidP="008C4BCC">
      <w:pPr>
        <w:numPr>
          <w:ilvl w:val="0"/>
          <w:numId w:val="1"/>
        </w:numPr>
        <w:spacing w:after="0" w:line="240" w:lineRule="auto"/>
        <w:jc w:val="both"/>
      </w:pPr>
      <w:r>
        <w:t>the evidence of past events</w:t>
      </w:r>
      <w:r w:rsidRPr="00863AF9">
        <w:t xml:space="preserve"> (</w:t>
      </w:r>
      <w:r>
        <w:t>fossils</w:t>
      </w:r>
      <w:r w:rsidRPr="00863AF9">
        <w:t xml:space="preserve">, </w:t>
      </w:r>
      <w:r>
        <w:t>skeletons</w:t>
      </w:r>
      <w:r w:rsidRPr="00863AF9">
        <w:t xml:space="preserve">, </w:t>
      </w:r>
      <w:r>
        <w:t>pottery</w:t>
      </w:r>
      <w:r w:rsidRPr="00863AF9">
        <w:t xml:space="preserve">, </w:t>
      </w:r>
      <w:r>
        <w:t>stone inscriptions</w:t>
      </w:r>
      <w:r w:rsidRPr="00863AF9">
        <w:t xml:space="preserve">, </w:t>
      </w:r>
      <w:r>
        <w:t>Louis XVI’s letters</w:t>
      </w:r>
      <w:r w:rsidRPr="00863AF9">
        <w:t xml:space="preserve">, </w:t>
      </w:r>
      <w:r>
        <w:t>Mozart’s symphonies</w:t>
      </w:r>
      <w:r w:rsidRPr="00863AF9">
        <w:t>) (</w:t>
      </w:r>
      <w:r>
        <w:t>“A fascinating piece of history has just been discovered in Wales”</w:t>
      </w:r>
      <w:r w:rsidRPr="00863AF9">
        <w:t>)</w:t>
      </w:r>
    </w:p>
    <w:p w14:paraId="386D7D94" w14:textId="720FCF8B" w:rsidR="008C4BCC" w:rsidRDefault="008C4BCC" w:rsidP="008C4BCC">
      <w:pPr>
        <w:numPr>
          <w:ilvl w:val="0"/>
          <w:numId w:val="1"/>
        </w:numPr>
        <w:spacing w:after="0" w:line="240" w:lineRule="auto"/>
        <w:jc w:val="both"/>
      </w:pPr>
      <w:r>
        <w:t>an account of past events</w:t>
      </w:r>
      <w:r w:rsidRPr="00863AF9">
        <w:t xml:space="preserve"> (</w:t>
      </w:r>
      <w:r>
        <w:t>“He has written a history of the Sino-Tibetan War”</w:t>
      </w:r>
      <w:r w:rsidRPr="00863AF9">
        <w:t>)</w:t>
      </w:r>
    </w:p>
    <w:p w14:paraId="5B77619E" w14:textId="6399F8F0" w:rsidR="008C4BCC" w:rsidRDefault="008C4BCC" w:rsidP="008C4BCC">
      <w:pPr>
        <w:numPr>
          <w:ilvl w:val="0"/>
          <w:numId w:val="1"/>
        </w:numPr>
        <w:spacing w:after="0" w:line="240" w:lineRule="auto"/>
        <w:jc w:val="both"/>
      </w:pPr>
      <w:r>
        <w:t>the collectivity of accounts of past events</w:t>
      </w:r>
      <w:r w:rsidRPr="00863AF9">
        <w:t xml:space="preserve"> (</w:t>
      </w:r>
      <w:r>
        <w:t>“Here is where we keep our history”</w:t>
      </w:r>
      <w:r w:rsidRPr="00863AF9">
        <w:t>)</w:t>
      </w:r>
    </w:p>
    <w:p w14:paraId="0DE8D5D9" w14:textId="77777777" w:rsidR="008C4BCC" w:rsidRDefault="008C4BCC" w:rsidP="008C4BCC">
      <w:pPr>
        <w:numPr>
          <w:ilvl w:val="0"/>
          <w:numId w:val="1"/>
        </w:numPr>
        <w:spacing w:after="0" w:line="240" w:lineRule="auto"/>
        <w:jc w:val="both"/>
      </w:pPr>
      <w:r>
        <w:t>the discipline whose products are accounts of past events</w:t>
      </w:r>
      <w:r w:rsidRPr="00863AF9">
        <w:t xml:space="preserve"> (</w:t>
      </w:r>
      <w:r>
        <w:t>“I’m majoring in history”</w:t>
      </w:r>
      <w:r w:rsidRPr="00863AF9">
        <w:t>)</w:t>
      </w:r>
    </w:p>
    <w:p w14:paraId="3860AB71" w14:textId="77777777" w:rsidR="008C4BCC" w:rsidRDefault="008C4BCC" w:rsidP="008C4BCC">
      <w:pPr>
        <w:numPr>
          <w:ilvl w:val="0"/>
          <w:numId w:val="1"/>
        </w:numPr>
        <w:spacing w:after="0" w:line="240" w:lineRule="auto"/>
        <w:jc w:val="both"/>
      </w:pPr>
      <w:r>
        <w:t>the method used in the discipline of history</w:t>
      </w:r>
      <w:r w:rsidRPr="00863AF9">
        <w:t xml:space="preserve"> (</w:t>
      </w:r>
      <w:r>
        <w:t>“You’re doing history</w:t>
      </w:r>
      <w:r w:rsidRPr="00863AF9">
        <w:t xml:space="preserve">, </w:t>
      </w:r>
      <w:r>
        <w:t>not anthropology”</w:t>
      </w:r>
      <w:r w:rsidRPr="00863AF9">
        <w:t>).</w:t>
      </w:r>
    </w:p>
    <w:p w14:paraId="6F9DDE12" w14:textId="77777777" w:rsidR="008C4BCC" w:rsidRDefault="008C4BCC" w:rsidP="008C4BCC">
      <w:pPr>
        <w:widowControl w:val="0"/>
        <w:spacing w:after="0" w:line="240" w:lineRule="auto"/>
        <w:jc w:val="both"/>
      </w:pPr>
    </w:p>
    <w:p w14:paraId="165D5872" w14:textId="3CA93ECE" w:rsidR="008C4BCC" w:rsidRDefault="008C4BCC" w:rsidP="008C4BCC">
      <w:pPr>
        <w:widowControl w:val="0"/>
        <w:spacing w:after="0" w:line="240" w:lineRule="auto"/>
        <w:jc w:val="both"/>
      </w:pPr>
      <w:r>
        <w:t>Instances of</w:t>
      </w:r>
      <w:r w:rsidRPr="00863AF9">
        <w:t xml:space="preserve"> </w:t>
      </w:r>
      <w:r>
        <w:t>“history”</w:t>
      </w:r>
      <w:r w:rsidRPr="00863AF9">
        <w:t xml:space="preserve"> (</w:t>
      </w:r>
      <w:r>
        <w:t>or the adjective</w:t>
      </w:r>
      <w:r w:rsidRPr="00863AF9">
        <w:t xml:space="preserve"> </w:t>
      </w:r>
      <w:r>
        <w:t>“historical”</w:t>
      </w:r>
      <w:r w:rsidRPr="00863AF9">
        <w:t xml:space="preserve">) </w:t>
      </w:r>
      <w:r>
        <w:t>in Jesus research reflects this variety of meanings</w:t>
      </w:r>
      <w:r w:rsidRPr="00863AF9">
        <w:t>.</w:t>
      </w:r>
    </w:p>
    <w:p w14:paraId="1616C34A" w14:textId="77777777" w:rsidR="008C4BCC" w:rsidRDefault="008C4BCC" w:rsidP="008C4BCC">
      <w:pPr>
        <w:widowControl w:val="0"/>
        <w:spacing w:after="0" w:line="240" w:lineRule="auto"/>
        <w:jc w:val="both"/>
      </w:pPr>
    </w:p>
    <w:p w14:paraId="024EB85E" w14:textId="43DB40EC" w:rsidR="008C4BCC" w:rsidRDefault="008C4BCC" w:rsidP="008C4BCC">
      <w:pPr>
        <w:spacing w:after="0" w:line="240" w:lineRule="auto"/>
        <w:jc w:val="both"/>
      </w:pPr>
      <w:r>
        <w:t>History as</w:t>
      </w:r>
      <w:r w:rsidRPr="00863AF9">
        <w:t xml:space="preserve"> </w:t>
      </w:r>
      <w:r>
        <w:t>“an account of past events”</w:t>
      </w:r>
      <w:r w:rsidRPr="00863AF9">
        <w:t xml:space="preserve"> </w:t>
      </w:r>
      <w:r>
        <w:t>means that an account is based on historical realities</w:t>
      </w:r>
      <w:r w:rsidRPr="00863AF9">
        <w:t xml:space="preserve">. </w:t>
      </w:r>
      <w:r>
        <w:t>This definition will include such narratives as the account of the ten plagues prior to the exodus</w:t>
      </w:r>
      <w:r w:rsidRPr="00863AF9">
        <w:t xml:space="preserve">; </w:t>
      </w:r>
      <w:r>
        <w:t>the Succession Narrative</w:t>
      </w:r>
      <w:r w:rsidRPr="00863AF9">
        <w:t xml:space="preserve"> (</w:t>
      </w:r>
      <w:r>
        <w:t>2 Sam 9-20</w:t>
      </w:r>
      <w:r w:rsidRPr="00863AF9">
        <w:t xml:space="preserve">, </w:t>
      </w:r>
      <w:r>
        <w:t>1 Kgs 1-2</w:t>
      </w:r>
      <w:r w:rsidRPr="00863AF9">
        <w:t xml:space="preserve">); </w:t>
      </w:r>
      <w:r>
        <w:t>the gospel of Mark</w:t>
      </w:r>
      <w:r w:rsidRPr="00863AF9">
        <w:t xml:space="preserve">; </w:t>
      </w:r>
      <w:r>
        <w:t>and the first two chapters of Galatians</w:t>
      </w:r>
      <w:r w:rsidRPr="00863AF9">
        <w:t xml:space="preserve">. </w:t>
      </w:r>
      <w:r>
        <w:t>I see no problem in calling each of these an instance of the overarching genre of</w:t>
      </w:r>
      <w:r w:rsidRPr="00863AF9">
        <w:t xml:space="preserve"> </w:t>
      </w:r>
      <w:r>
        <w:t>“history</w:t>
      </w:r>
      <w:r w:rsidRPr="00863AF9">
        <w:t>.</w:t>
      </w:r>
      <w:r>
        <w:t>”</w:t>
      </w:r>
      <w:r w:rsidRPr="00863AF9">
        <w:t xml:space="preserve"> </w:t>
      </w:r>
      <w:r>
        <w:t>But there are nevertheless quite evident differences among these instances of history—among other things</w:t>
      </w:r>
      <w:r w:rsidRPr="00863AF9">
        <w:t xml:space="preserve">, </w:t>
      </w:r>
      <w:r>
        <w:t>differences in the degree to which they incorporate legendary materials</w:t>
      </w:r>
      <w:r w:rsidRPr="00863AF9">
        <w:t xml:space="preserve">, </w:t>
      </w:r>
      <w:r>
        <w:t>i</w:t>
      </w:r>
      <w:r w:rsidRPr="00863AF9">
        <w:t>.</w:t>
      </w:r>
      <w:r>
        <w:t>e</w:t>
      </w:r>
      <w:r w:rsidRPr="00863AF9">
        <w:t xml:space="preserve">., </w:t>
      </w:r>
      <w:r>
        <w:t>items or events that lack reference to</w:t>
      </w:r>
      <w:r w:rsidRPr="00863AF9">
        <w:t xml:space="preserve"> </w:t>
      </w:r>
      <w:r>
        <w:t>“historical realities</w:t>
      </w:r>
      <w:r w:rsidRPr="00863AF9">
        <w:t>.</w:t>
      </w:r>
      <w:r>
        <w:t>”</w:t>
      </w:r>
    </w:p>
    <w:p w14:paraId="21039065" w14:textId="77777777" w:rsidR="008C4BCC" w:rsidRDefault="008C4BCC" w:rsidP="008C4BCC">
      <w:pPr>
        <w:widowControl w:val="0"/>
        <w:spacing w:after="0" w:line="240" w:lineRule="auto"/>
        <w:jc w:val="both"/>
      </w:pPr>
    </w:p>
    <w:p w14:paraId="20C7268C" w14:textId="4D5680A4" w:rsidR="008C4BCC" w:rsidRDefault="008C4BCC" w:rsidP="008C4BCC">
      <w:pPr>
        <w:widowControl w:val="0"/>
        <w:spacing w:after="0" w:line="240" w:lineRule="auto"/>
        <w:jc w:val="both"/>
      </w:pPr>
      <w:r>
        <w:t>It should especially be noted how easy it is in gospel research to equivocate between</w:t>
      </w:r>
      <w:r w:rsidRPr="00863AF9">
        <w:t xml:space="preserve"> </w:t>
      </w:r>
      <w:r>
        <w:t>“history”</w:t>
      </w:r>
      <w:r w:rsidRPr="00863AF9">
        <w:t xml:space="preserve"> </w:t>
      </w:r>
      <w:r>
        <w:t>as past events and</w:t>
      </w:r>
      <w:r w:rsidRPr="00863AF9">
        <w:t xml:space="preserve"> </w:t>
      </w:r>
      <w:r>
        <w:t>“history”</w:t>
      </w:r>
      <w:r w:rsidRPr="00863AF9">
        <w:t xml:space="preserve"> </w:t>
      </w:r>
      <w:r>
        <w:t>as accounts of past events</w:t>
      </w:r>
      <w:r w:rsidRPr="00863AF9">
        <w:t xml:space="preserve">. </w:t>
      </w:r>
      <w:r>
        <w:t>In the statement</w:t>
      </w:r>
      <w:r w:rsidRPr="00863AF9">
        <w:t xml:space="preserve">, </w:t>
      </w:r>
      <w:r>
        <w:t>“The gospels are not history in the modern sense</w:t>
      </w:r>
      <w:r w:rsidRPr="00863AF9">
        <w:t>,</w:t>
      </w:r>
      <w:r>
        <w:t>”</w:t>
      </w:r>
      <w:r w:rsidRPr="00863AF9">
        <w:t xml:space="preserve"> </w:t>
      </w:r>
      <w:r>
        <w:t>“history”</w:t>
      </w:r>
      <w:r w:rsidRPr="00863AF9">
        <w:t xml:space="preserve"> </w:t>
      </w:r>
      <w:r>
        <w:t>seems to mean</w:t>
      </w:r>
      <w:r w:rsidRPr="00863AF9">
        <w:t xml:space="preserve"> </w:t>
      </w:r>
      <w:r>
        <w:t>“accounts of past events”</w:t>
      </w:r>
      <w:r w:rsidRPr="00863AF9">
        <w:t xml:space="preserve">; </w:t>
      </w:r>
      <w:r>
        <w:t>but the qualifier</w:t>
      </w:r>
      <w:r w:rsidRPr="00863AF9">
        <w:t xml:space="preserve">, </w:t>
      </w:r>
      <w:r>
        <w:t>“in the modern sense</w:t>
      </w:r>
      <w:r w:rsidRPr="00863AF9">
        <w:t>,</w:t>
      </w:r>
      <w:r>
        <w:t>”</w:t>
      </w:r>
      <w:r w:rsidRPr="00863AF9">
        <w:t xml:space="preserve"> </w:t>
      </w:r>
      <w:r>
        <w:t>raises the question of methodology</w:t>
      </w:r>
      <w:r w:rsidRPr="00863AF9">
        <w:t xml:space="preserve">. </w:t>
      </w:r>
      <w:r>
        <w:t>If by</w:t>
      </w:r>
      <w:r w:rsidRPr="00863AF9">
        <w:t xml:space="preserve"> </w:t>
      </w:r>
      <w:r>
        <w:t>“modern”</w:t>
      </w:r>
      <w:r w:rsidRPr="00863AF9">
        <w:t xml:space="preserve"> </w:t>
      </w:r>
      <w:r>
        <w:t>is meant</w:t>
      </w:r>
      <w:r w:rsidRPr="00863AF9">
        <w:t xml:space="preserve"> </w:t>
      </w:r>
      <w:r>
        <w:t>“in the modern period”</w:t>
      </w:r>
      <w:r w:rsidRPr="00863AF9">
        <w:t xml:space="preserve"> (</w:t>
      </w:r>
      <w:r>
        <w:t>Renaissance to the present</w:t>
      </w:r>
      <w:r w:rsidRPr="00863AF9">
        <w:t xml:space="preserve">), </w:t>
      </w:r>
      <w:r>
        <w:t>then the evangelists certainly did not employ modern historical methodology:</w:t>
      </w:r>
      <w:r w:rsidRPr="00863AF9">
        <w:t xml:space="preserve"> </w:t>
      </w:r>
      <w:r>
        <w:t>it did not exist in their day</w:t>
      </w:r>
      <w:r w:rsidRPr="00863AF9">
        <w:t xml:space="preserve">. </w:t>
      </w:r>
      <w:r>
        <w:t>But this in turn raises the question</w:t>
      </w:r>
      <w:r w:rsidRPr="00863AF9">
        <w:t xml:space="preserve">, </w:t>
      </w:r>
      <w:r>
        <w:t>“How does ancient historical method differ from modern historical method</w:t>
      </w:r>
      <w:r w:rsidRPr="00863AF9">
        <w:t>?</w:t>
      </w:r>
      <w:r>
        <w:t>”</w:t>
      </w:r>
    </w:p>
    <w:p w14:paraId="131E87A7" w14:textId="77777777" w:rsidR="008C4BCC" w:rsidRDefault="008C4BCC" w:rsidP="008C4BCC">
      <w:pPr>
        <w:widowControl w:val="0"/>
        <w:spacing w:after="0" w:line="240" w:lineRule="auto"/>
        <w:jc w:val="both"/>
      </w:pPr>
    </w:p>
    <w:p w14:paraId="1546CD64" w14:textId="0A91E46E" w:rsidR="008C4BCC" w:rsidRDefault="008C4BCC" w:rsidP="008C4BCC">
      <w:pPr>
        <w:widowControl w:val="0"/>
        <w:spacing w:after="0" w:line="240" w:lineRule="auto"/>
        <w:jc w:val="both"/>
      </w:pPr>
      <w:r>
        <w:t>Another statement about history is</w:t>
      </w:r>
      <w:r w:rsidRPr="00863AF9">
        <w:t xml:space="preserve">, </w:t>
      </w:r>
      <w:r>
        <w:t xml:space="preserve">“The gospels are not a systematic recounting of events </w:t>
      </w:r>
      <w:r>
        <w:rPr>
          <w:i/>
        </w:rPr>
        <w:t>per se</w:t>
      </w:r>
      <w:r w:rsidRPr="00863AF9">
        <w:rPr>
          <w:iCs/>
        </w:rPr>
        <w:t>.</w:t>
      </w:r>
      <w:r>
        <w:t>”</w:t>
      </w:r>
      <w:r w:rsidRPr="00863AF9">
        <w:t xml:space="preserve"> </w:t>
      </w:r>
      <w:r>
        <w:t xml:space="preserve">The gospels are certainly </w:t>
      </w:r>
      <w:proofErr w:type="spellStart"/>
      <w:r>
        <w:t>recountings</w:t>
      </w:r>
      <w:proofErr w:type="spellEnd"/>
      <w:r>
        <w:t xml:space="preserve"> of events</w:t>
      </w:r>
      <w:r w:rsidRPr="00863AF9">
        <w:t xml:space="preserve">, </w:t>
      </w:r>
      <w:r>
        <w:t>so the denial of the applicability of this description to the gospels must be because of the words</w:t>
      </w:r>
      <w:r w:rsidRPr="00863AF9">
        <w:t xml:space="preserve"> </w:t>
      </w:r>
      <w:r>
        <w:t>“systematic”</w:t>
      </w:r>
      <w:r w:rsidRPr="00863AF9">
        <w:t xml:space="preserve"> </w:t>
      </w:r>
      <w:r>
        <w:t>and</w:t>
      </w:r>
      <w:r w:rsidRPr="00863AF9">
        <w:t xml:space="preserve"> </w:t>
      </w:r>
      <w:r>
        <w:t>“</w:t>
      </w:r>
      <w:r>
        <w:rPr>
          <w:i/>
        </w:rPr>
        <w:t>per se</w:t>
      </w:r>
      <w:r w:rsidRPr="00863AF9">
        <w:rPr>
          <w:iCs/>
        </w:rPr>
        <w:t>.</w:t>
      </w:r>
      <w:r>
        <w:t>”</w:t>
      </w:r>
      <w:r w:rsidRPr="00863AF9">
        <w:t xml:space="preserve"> </w:t>
      </w:r>
      <w:r>
        <w:t>But the gospels are certainly systematic in the sense that they recount events</w:t>
      </w:r>
      <w:r w:rsidRPr="00863AF9">
        <w:t xml:space="preserve"> </w:t>
      </w:r>
      <w:r>
        <w:t>“in order”</w:t>
      </w:r>
      <w:r w:rsidRPr="00863AF9">
        <w:t xml:space="preserve"> (</w:t>
      </w:r>
      <w:r>
        <w:t>as Luke says</w:t>
      </w:r>
      <w:r w:rsidRPr="00863AF9">
        <w:t xml:space="preserve">, </w:t>
      </w:r>
      <w:r>
        <w:t>1</w:t>
      </w:r>
      <w:r w:rsidRPr="00863AF9">
        <w:t>:</w:t>
      </w:r>
      <w:r>
        <w:t>3</w:t>
      </w:r>
      <w:r w:rsidRPr="00863AF9">
        <w:t xml:space="preserve">). </w:t>
      </w:r>
      <w:r>
        <w:t>So the applicability to the gospels of the predicate</w:t>
      </w:r>
      <w:r w:rsidRPr="00863AF9">
        <w:t xml:space="preserve">, </w:t>
      </w:r>
      <w:r>
        <w:t xml:space="preserve">“not a systematic recounting of events </w:t>
      </w:r>
      <w:r>
        <w:rPr>
          <w:i/>
        </w:rPr>
        <w:t>per se</w:t>
      </w:r>
      <w:r w:rsidRPr="00863AF9">
        <w:rPr>
          <w:iCs/>
        </w:rPr>
        <w:t>,</w:t>
      </w:r>
      <w:r>
        <w:t>”</w:t>
      </w:r>
      <w:r w:rsidRPr="00863AF9">
        <w:t xml:space="preserve"> </w:t>
      </w:r>
      <w:r>
        <w:t xml:space="preserve">must be because the gospels are not </w:t>
      </w:r>
      <w:r>
        <w:rPr>
          <w:i/>
        </w:rPr>
        <w:t>only</w:t>
      </w:r>
      <w:r>
        <w:t xml:space="preserve"> or not </w:t>
      </w:r>
      <w:r>
        <w:rPr>
          <w:i/>
        </w:rPr>
        <w:t>primarily</w:t>
      </w:r>
      <w:r>
        <w:t xml:space="preserve"> a systematic recounting of events</w:t>
      </w:r>
      <w:r w:rsidRPr="00863AF9">
        <w:t xml:space="preserve"> (</w:t>
      </w:r>
      <w:r>
        <w:t>this</w:t>
      </w:r>
      <w:r w:rsidRPr="00863AF9">
        <w:t xml:space="preserve">, </w:t>
      </w:r>
      <w:r>
        <w:t>I suspect</w:t>
      </w:r>
      <w:r w:rsidRPr="00863AF9">
        <w:t xml:space="preserve">, </w:t>
      </w:r>
      <w:r>
        <w:t>is what is meant by</w:t>
      </w:r>
      <w:r w:rsidRPr="00863AF9">
        <w:t xml:space="preserve"> </w:t>
      </w:r>
      <w:r>
        <w:t>“</w:t>
      </w:r>
      <w:r>
        <w:rPr>
          <w:i/>
        </w:rPr>
        <w:t>per se</w:t>
      </w:r>
      <w:r>
        <w:t>”</w:t>
      </w:r>
      <w:r w:rsidRPr="00863AF9">
        <w:t xml:space="preserve">). </w:t>
      </w:r>
      <w:r>
        <w:t>Here again</w:t>
      </w:r>
      <w:r w:rsidRPr="00863AF9">
        <w:t xml:space="preserve">, </w:t>
      </w:r>
      <w:r>
        <w:t>the crucial question seems to be</w:t>
      </w:r>
      <w:r w:rsidRPr="00863AF9">
        <w:t xml:space="preserve">, </w:t>
      </w:r>
      <w:r>
        <w:t>“How does ancient historical method differ from modern historical method</w:t>
      </w:r>
      <w:r w:rsidRPr="00863AF9">
        <w:t>?</w:t>
      </w:r>
      <w:r>
        <w:t>”</w:t>
      </w:r>
    </w:p>
    <w:p w14:paraId="58421FE3" w14:textId="77777777" w:rsidR="008C4BCC" w:rsidRDefault="008C4BCC" w:rsidP="008C4BCC">
      <w:pPr>
        <w:widowControl w:val="0"/>
        <w:spacing w:after="0" w:line="240" w:lineRule="auto"/>
        <w:jc w:val="both"/>
      </w:pPr>
    </w:p>
    <w:p w14:paraId="7BCE27E5" w14:textId="19F50311" w:rsidR="008C4BCC" w:rsidRDefault="008C4BCC" w:rsidP="008C4BCC">
      <w:pPr>
        <w:widowControl w:val="0"/>
        <w:spacing w:after="0" w:line="240" w:lineRule="auto"/>
        <w:jc w:val="both"/>
      </w:pPr>
      <w:r>
        <w:t>Every work of history is a combination of data</w:t>
      </w:r>
      <w:r w:rsidRPr="00863AF9">
        <w:t xml:space="preserve"> (</w:t>
      </w:r>
      <w:r>
        <w:t>events asserted actually to have happened</w:t>
      </w:r>
      <w:r w:rsidRPr="00863AF9">
        <w:t xml:space="preserve">) </w:t>
      </w:r>
      <w:r>
        <w:t>and interpretation of the data</w:t>
      </w:r>
      <w:r w:rsidRPr="00863AF9">
        <w:t xml:space="preserve">; </w:t>
      </w:r>
      <w:r>
        <w:t>even the choices of which words to use in describing a past event interpret the event to some extent</w:t>
      </w:r>
      <w:r w:rsidRPr="00863AF9">
        <w:t xml:space="preserve">. </w:t>
      </w:r>
      <w:r>
        <w:t>A</w:t>
      </w:r>
      <w:r w:rsidRPr="00863AF9">
        <w:t xml:space="preserve"> </w:t>
      </w:r>
      <w:r>
        <w:t>“history in the modern sense</w:t>
      </w:r>
      <w:r w:rsidRPr="00863AF9">
        <w:t>,</w:t>
      </w:r>
      <w:r>
        <w:t>”</w:t>
      </w:r>
      <w:r w:rsidRPr="00863AF9">
        <w:t xml:space="preserve"> </w:t>
      </w:r>
      <w:r>
        <w:t>no less than a history from ancient times</w:t>
      </w:r>
      <w:r w:rsidRPr="00863AF9">
        <w:t xml:space="preserve">, </w:t>
      </w:r>
      <w:r>
        <w:t>includes interpretation</w:t>
      </w:r>
      <w:r w:rsidRPr="00863AF9">
        <w:t xml:space="preserve">. </w:t>
      </w:r>
      <w:r>
        <w:t>Joachim Jeremias’</w:t>
      </w:r>
      <w:r w:rsidRPr="00863AF9">
        <w:t xml:space="preserve"> </w:t>
      </w:r>
      <w:r>
        <w:t>book</w:t>
      </w:r>
      <w:r w:rsidRPr="00863AF9">
        <w:t xml:space="preserve">, </w:t>
      </w:r>
      <w:r>
        <w:rPr>
          <w:i/>
          <w:iCs/>
        </w:rPr>
        <w:t>The Parables of Jesus</w:t>
      </w:r>
      <w:r w:rsidRPr="00863AF9">
        <w:t xml:space="preserve">, </w:t>
      </w:r>
      <w:r>
        <w:t>for example</w:t>
      </w:r>
      <w:r w:rsidRPr="00863AF9">
        <w:t xml:space="preserve">, </w:t>
      </w:r>
      <w:r>
        <w:t>is a work of history</w:t>
      </w:r>
      <w:r w:rsidRPr="00863AF9">
        <w:t xml:space="preserve"> (</w:t>
      </w:r>
      <w:r>
        <w:t>it is a recounting of events</w:t>
      </w:r>
      <w:r w:rsidRPr="00863AF9">
        <w:t xml:space="preserve">), </w:t>
      </w:r>
      <w:r>
        <w:t>and it is a combination of data and interpretation</w:t>
      </w:r>
      <w:r w:rsidRPr="00863AF9">
        <w:t xml:space="preserve">; </w:t>
      </w:r>
      <w:r>
        <w:t>if it were pure data</w:t>
      </w:r>
      <w:r w:rsidRPr="00863AF9">
        <w:t xml:space="preserve">, </w:t>
      </w:r>
      <w:r>
        <w:t>it could not be criticized for its interpretation of the events it recounts</w:t>
      </w:r>
      <w:r w:rsidRPr="00863AF9">
        <w:t xml:space="preserve">, </w:t>
      </w:r>
      <w:r>
        <w:t>as for example Bernard Brandon Scott</w:t>
      </w:r>
      <w:r w:rsidRPr="00863AF9">
        <w:t xml:space="preserve">, </w:t>
      </w:r>
      <w:r>
        <w:t xml:space="preserve">in </w:t>
      </w:r>
      <w:r>
        <w:rPr>
          <w:i/>
          <w:iCs/>
        </w:rPr>
        <w:t>Hear Then the Parable</w:t>
      </w:r>
      <w:r w:rsidRPr="00863AF9">
        <w:t xml:space="preserve">, </w:t>
      </w:r>
      <w:r>
        <w:t>criticizes its interpretation</w:t>
      </w:r>
      <w:r w:rsidRPr="00863AF9">
        <w:t xml:space="preserve">. </w:t>
      </w:r>
      <w:r>
        <w:t>So the difference between ancient history and modern history is not that ancient history lacks data and modern includes them</w:t>
      </w:r>
      <w:r w:rsidRPr="00863AF9">
        <w:t xml:space="preserve">, </w:t>
      </w:r>
      <w:r>
        <w:t>nor that ancient history has interpretation and modern does not</w:t>
      </w:r>
      <w:r w:rsidRPr="00863AF9">
        <w:t xml:space="preserve">. </w:t>
      </w:r>
      <w:r>
        <w:t>Rather</w:t>
      </w:r>
      <w:r w:rsidRPr="00863AF9">
        <w:t xml:space="preserve">, </w:t>
      </w:r>
      <w:r>
        <w:t xml:space="preserve">the difference lies in the fact that modern history’s effort to maximize fact and minimize interpretation is </w:t>
      </w:r>
      <w:r>
        <w:rPr>
          <w:i/>
        </w:rPr>
        <w:t>more careful</w:t>
      </w:r>
      <w:r w:rsidRPr="00863AF9">
        <w:rPr>
          <w:iCs/>
        </w:rPr>
        <w:t xml:space="preserve">. </w:t>
      </w:r>
      <w:r>
        <w:t>Modern history</w:t>
      </w:r>
      <w:r w:rsidRPr="00863AF9">
        <w:t xml:space="preserve">, </w:t>
      </w:r>
      <w:r>
        <w:t>in other words</w:t>
      </w:r>
      <w:r w:rsidRPr="00863AF9">
        <w:t xml:space="preserve">, </w:t>
      </w:r>
      <w:r>
        <w:t>is more careful in its efforts to ensure that the events it asserts happened correspond to events that did in fact happen</w:t>
      </w:r>
      <w:r w:rsidRPr="00863AF9">
        <w:t>.</w:t>
      </w:r>
    </w:p>
    <w:p w14:paraId="2EDD73A1" w14:textId="77777777" w:rsidR="008C4BCC" w:rsidRDefault="008C4BCC" w:rsidP="008C4BCC">
      <w:pPr>
        <w:widowControl w:val="0"/>
        <w:spacing w:after="0" w:line="240" w:lineRule="auto"/>
        <w:jc w:val="both"/>
      </w:pPr>
    </w:p>
    <w:p w14:paraId="00A9AFA6" w14:textId="67835201" w:rsidR="008C4BCC" w:rsidRDefault="008C4BCC" w:rsidP="008C4BCC">
      <w:pPr>
        <w:widowControl w:val="0"/>
        <w:spacing w:after="0" w:line="240" w:lineRule="auto"/>
        <w:jc w:val="both"/>
      </w:pPr>
      <w:r>
        <w:t>Were ancient historians less careful because they cared less about whether the events they related actually happened</w:t>
      </w:r>
      <w:r w:rsidRPr="00863AF9">
        <w:t xml:space="preserve">? </w:t>
      </w:r>
      <w:r>
        <w:t>To some extent this may have been the case</w:t>
      </w:r>
      <w:r w:rsidRPr="00863AF9">
        <w:t xml:space="preserve">. </w:t>
      </w:r>
      <w:r>
        <w:t>For example</w:t>
      </w:r>
      <w:r w:rsidRPr="00863AF9">
        <w:t xml:space="preserve">, </w:t>
      </w:r>
      <w:r>
        <w:t>the evangelists’</w:t>
      </w:r>
      <w:r w:rsidRPr="00863AF9">
        <w:t xml:space="preserve"> </w:t>
      </w:r>
      <w:r>
        <w:t>overriding purpose was not to relate data but an interpretation of data</w:t>
      </w:r>
      <w:r w:rsidRPr="00863AF9">
        <w:t xml:space="preserve"> (</w:t>
      </w:r>
      <w:r>
        <w:t>John 20</w:t>
      </w:r>
      <w:r w:rsidRPr="00863AF9">
        <w:t>:</w:t>
      </w:r>
      <w:r>
        <w:t>31</w:t>
      </w:r>
      <w:r w:rsidRPr="00863AF9">
        <w:t xml:space="preserve">, </w:t>
      </w:r>
      <w:r>
        <w:t>Jesus’</w:t>
      </w:r>
      <w:r w:rsidRPr="00863AF9">
        <w:t xml:space="preserve"> </w:t>
      </w:r>
      <w:r>
        <w:t>signs</w:t>
      </w:r>
      <w:r w:rsidRPr="00863AF9">
        <w:t xml:space="preserve"> </w:t>
      </w:r>
      <w:r>
        <w:t>“are written so that you may come to believe”</w:t>
      </w:r>
      <w:r w:rsidRPr="00863AF9">
        <w:t xml:space="preserve">). </w:t>
      </w:r>
      <w:r>
        <w:t>The gospels</w:t>
      </w:r>
      <w:r w:rsidRPr="00863AF9">
        <w:t xml:space="preserve">, </w:t>
      </w:r>
      <w:r>
        <w:t>originally the preaching of the Church</w:t>
      </w:r>
      <w:r w:rsidRPr="00863AF9">
        <w:t xml:space="preserve">, </w:t>
      </w:r>
      <w:r>
        <w:t>are religious or theological interpretations of what happened</w:t>
      </w:r>
      <w:r w:rsidRPr="00863AF9">
        <w:t>.</w:t>
      </w:r>
    </w:p>
    <w:p w14:paraId="08C423B6" w14:textId="77777777" w:rsidR="008C4BCC" w:rsidRDefault="008C4BCC" w:rsidP="008C4BCC">
      <w:pPr>
        <w:widowControl w:val="0"/>
        <w:spacing w:after="0" w:line="240" w:lineRule="auto"/>
        <w:jc w:val="both"/>
      </w:pPr>
    </w:p>
    <w:p w14:paraId="679ABDA1" w14:textId="33EDDE5C" w:rsidR="008C4BCC" w:rsidRDefault="008C4BCC" w:rsidP="008C4BCC">
      <w:pPr>
        <w:widowControl w:val="0"/>
        <w:spacing w:after="0" w:line="240" w:lineRule="auto"/>
        <w:jc w:val="both"/>
      </w:pPr>
      <w:r>
        <w:t>But</w:t>
      </w:r>
      <w:r w:rsidRPr="00863AF9">
        <w:t xml:space="preserve">, </w:t>
      </w:r>
      <w:r>
        <w:t>even if historical accuracy was not their primary intention</w:t>
      </w:r>
      <w:r w:rsidRPr="00863AF9">
        <w:t xml:space="preserve">, </w:t>
      </w:r>
      <w:r>
        <w:t>it does not follow that it was not a secondary intention</w:t>
      </w:r>
      <w:r w:rsidRPr="00863AF9">
        <w:t xml:space="preserve">. </w:t>
      </w:r>
      <w:r>
        <w:t>Probably less care was taken in ancient times than in modern because ancient historians lacked the modern understanding of history and the modern tools of history</w:t>
      </w:r>
      <w:r w:rsidRPr="00863AF9">
        <w:t>.</w:t>
      </w:r>
    </w:p>
    <w:p w14:paraId="04452BF0" w14:textId="77777777" w:rsidR="00BF4A3D" w:rsidRDefault="00BF4A3D" w:rsidP="00664735">
      <w:pPr>
        <w:spacing w:after="0" w:line="240" w:lineRule="auto"/>
        <w:jc w:val="both"/>
        <w:rPr>
          <w:rFonts w:cs="Times New Roman"/>
          <w:kern w:val="2"/>
          <w14:ligatures w14:val="standardContextual"/>
        </w:rPr>
      </w:pPr>
    </w:p>
    <w:p w14:paraId="7F7532C8" w14:textId="62631FDA" w:rsidR="0046615B" w:rsidRPr="0046615B" w:rsidRDefault="0046615B" w:rsidP="0046615B">
      <w:pPr>
        <w:spacing w:after="0" w:line="240" w:lineRule="auto"/>
        <w:jc w:val="center"/>
        <w:rPr>
          <w:rFonts w:cs="Times New Roman"/>
          <w:smallCaps/>
          <w:kern w:val="2"/>
          <w14:ligatures w14:val="standardContextual"/>
        </w:rPr>
      </w:pPr>
      <w:r w:rsidRPr="0046615B">
        <w:rPr>
          <w:rFonts w:cs="Times New Roman"/>
          <w:smallCaps/>
          <w:kern w:val="2"/>
          <w14:ligatures w14:val="standardContextual"/>
        </w:rPr>
        <w:t>The Historicity of the Gospel</w:t>
      </w:r>
      <w:r>
        <w:rPr>
          <w:rFonts w:cs="Times New Roman"/>
          <w:kern w:val="2"/>
          <w14:ligatures w14:val="standardContextual"/>
        </w:rPr>
        <w:t>s</w:t>
      </w:r>
    </w:p>
    <w:p w14:paraId="43768D6D" w14:textId="77777777" w:rsidR="0046615B" w:rsidRPr="0046615B" w:rsidRDefault="0046615B" w:rsidP="0046615B">
      <w:pPr>
        <w:spacing w:after="0" w:line="240" w:lineRule="auto"/>
        <w:jc w:val="both"/>
        <w:rPr>
          <w:rFonts w:cs="Times New Roman"/>
          <w:kern w:val="2"/>
          <w14:ligatures w14:val="standardContextual"/>
        </w:rPr>
      </w:pPr>
    </w:p>
    <w:p w14:paraId="3215E06C" w14:textId="77777777" w:rsidR="0046615B" w:rsidRPr="0046615B" w:rsidRDefault="0046615B" w:rsidP="0046615B">
      <w:pPr>
        <w:spacing w:after="0" w:line="240" w:lineRule="auto"/>
        <w:jc w:val="both"/>
        <w:rPr>
          <w:rFonts w:cs="Times New Roman"/>
          <w:kern w:val="2"/>
          <w14:ligatures w14:val="standardContextual"/>
        </w:rPr>
      </w:pPr>
      <w:r w:rsidRPr="0046615B">
        <w:rPr>
          <w:rFonts w:cs="Times New Roman"/>
          <w:kern w:val="2"/>
          <w14:ligatures w14:val="standardContextual"/>
        </w:rPr>
        <w:t xml:space="preserve">In 1893, Pope Leo XIII promulgated the encyclical </w:t>
      </w:r>
      <w:proofErr w:type="spellStart"/>
      <w:r w:rsidRPr="0046615B">
        <w:rPr>
          <w:rFonts w:cs="Times New Roman"/>
          <w:i/>
          <w:iCs/>
          <w:kern w:val="2"/>
          <w14:ligatures w14:val="standardContextual"/>
        </w:rPr>
        <w:t>Providentissimus</w:t>
      </w:r>
      <w:proofErr w:type="spellEnd"/>
      <w:r w:rsidRPr="0046615B">
        <w:rPr>
          <w:rFonts w:cs="Times New Roman"/>
          <w:i/>
          <w:iCs/>
          <w:kern w:val="2"/>
          <w14:ligatures w14:val="standardContextual"/>
        </w:rPr>
        <w:t xml:space="preserve"> Deus</w:t>
      </w:r>
      <w:r w:rsidRPr="0046615B">
        <w:rPr>
          <w:rFonts w:cs="Times New Roman"/>
          <w:kern w:val="2"/>
          <w14:ligatures w14:val="standardContextual"/>
        </w:rPr>
        <w:t xml:space="preserve"> (</w:t>
      </w:r>
      <w:r w:rsidRPr="0046615B">
        <w:rPr>
          <w:rFonts w:cs="Times New Roman"/>
          <w:i/>
          <w:iCs/>
          <w:kern w:val="2"/>
          <w14:ligatures w14:val="standardContextual"/>
        </w:rPr>
        <w:t>On the Study of Holy Scripture</w:t>
      </w:r>
      <w:r w:rsidRPr="0046615B">
        <w:rPr>
          <w:rFonts w:cs="Times New Roman"/>
          <w:kern w:val="2"/>
          <w14:ligatures w14:val="standardContextual"/>
        </w:rPr>
        <w:t xml:space="preserve">). It encouraged scripture scholars to </w:t>
      </w:r>
      <w:r w:rsidRPr="0046615B">
        <w:rPr>
          <w:rStyle w:val="t286pc"/>
          <w:rFonts w:eastAsiaTheme="majorEastAsia" w:cs="Times New Roman"/>
          <w:kern w:val="2"/>
          <w14:ligatures w14:val="standardContextual"/>
        </w:rPr>
        <w:t xml:space="preserve">seek original sources in the Bible and to perform historical investigations. (But it also condemned a rationalist approach to scripture that a priori denied the possibility of prophecy and miracles.) In 1902, Leo established the </w:t>
      </w:r>
      <w:r w:rsidRPr="0046615B">
        <w:rPr>
          <w:rFonts w:cs="Times New Roman"/>
          <w:kern w:val="2"/>
          <w14:ligatures w14:val="standardContextual"/>
        </w:rPr>
        <w:t>Pontifical Biblical Commission to decide on important controversial questions concerning scripture. Its head is the prefect of the Dicastery for the Doctrine of the Faith, and it currently has 21 members.</w:t>
      </w:r>
    </w:p>
    <w:p w14:paraId="0C4F4C9B" w14:textId="77777777" w:rsidR="0046615B" w:rsidRPr="0046615B" w:rsidRDefault="0046615B" w:rsidP="0046615B">
      <w:pPr>
        <w:spacing w:after="0" w:line="240" w:lineRule="auto"/>
        <w:jc w:val="both"/>
        <w:rPr>
          <w:rFonts w:cs="Times New Roman"/>
          <w:kern w:val="2"/>
          <w14:ligatures w14:val="standardContextual"/>
        </w:rPr>
      </w:pPr>
    </w:p>
    <w:p w14:paraId="593A80B8" w14:textId="77777777" w:rsidR="0046615B" w:rsidRPr="0046615B" w:rsidRDefault="0046615B" w:rsidP="0046615B">
      <w:pPr>
        <w:spacing w:after="0" w:line="240" w:lineRule="auto"/>
        <w:jc w:val="both"/>
        <w:rPr>
          <w:rFonts w:cs="Times New Roman"/>
          <w:kern w:val="2"/>
          <w14:ligatures w14:val="standardContextual"/>
        </w:rPr>
      </w:pPr>
      <w:r w:rsidRPr="0046615B">
        <w:rPr>
          <w:rFonts w:cs="Times New Roman"/>
          <w:kern w:val="2"/>
          <w14:ligatures w14:val="standardContextual"/>
        </w:rPr>
        <w:t xml:space="preserve">In 1964 the Pontifical Biblical Commission published a work entitled </w:t>
      </w:r>
      <w:r w:rsidRPr="0046615B">
        <w:rPr>
          <w:rFonts w:eastAsiaTheme="majorEastAsia" w:cs="Times New Roman"/>
          <w:i/>
          <w:iCs/>
          <w:kern w:val="2"/>
          <w:szCs w:val="32"/>
          <w14:ligatures w14:val="standardContextual"/>
        </w:rPr>
        <w:t>The Historicity of the Gospels</w:t>
      </w:r>
      <w:r w:rsidRPr="0046615B">
        <w:rPr>
          <w:rFonts w:eastAsiaTheme="majorEastAsia" w:cs="Times New Roman"/>
          <w:kern w:val="2"/>
          <w:szCs w:val="32"/>
          <w14:ligatures w14:val="standardContextual"/>
        </w:rPr>
        <w:t>. In it the Commission provides Catholic biblical scholars with directives concerning the ways in which and the degrees to which the gospels should be considered historical. Below are major excerpts from the document.</w:t>
      </w:r>
    </w:p>
    <w:p w14:paraId="373313EC" w14:textId="77777777" w:rsidR="0046615B" w:rsidRPr="0046615B" w:rsidRDefault="0046615B" w:rsidP="0046615B">
      <w:pPr>
        <w:spacing w:after="0" w:line="240" w:lineRule="auto"/>
        <w:jc w:val="both"/>
        <w:rPr>
          <w:rFonts w:cs="Times New Roman"/>
          <w:kern w:val="2"/>
          <w14:ligatures w14:val="standardContextual"/>
        </w:rPr>
      </w:pPr>
    </w:p>
    <w:p w14:paraId="3D900BFE" w14:textId="77777777" w:rsidR="0046615B" w:rsidRPr="0046615B" w:rsidRDefault="0046615B" w:rsidP="0046615B">
      <w:pPr>
        <w:spacing w:after="0" w:line="240" w:lineRule="auto"/>
        <w:jc w:val="both"/>
        <w:rPr>
          <w:rFonts w:cs="Times New Roman"/>
          <w:kern w:val="2"/>
          <w14:ligatures w14:val="standardContextual"/>
        </w:rPr>
      </w:pPr>
      <w:r w:rsidRPr="0046615B">
        <w:rPr>
          <w:rFonts w:cs="Times New Roman"/>
          <w:kern w:val="2"/>
          <w14:ligatures w14:val="standardContextual"/>
        </w:rPr>
        <w:t>Ch. 1: “If the opportunity presents itself, the exegete may look for the sound elements in the method of “form criticism,” and use them to acquire a fuller understanding of the Gospels. However he must move with caution in this area, because the method is often interlaced with inadmissible philosophical and theological principles, which frequently vitiate either the method itself or its judgments on literary questions.”</w:t>
      </w:r>
    </w:p>
    <w:p w14:paraId="5A28DF25" w14:textId="77777777" w:rsidR="0046615B" w:rsidRPr="0046615B" w:rsidRDefault="0046615B" w:rsidP="0046615B">
      <w:pPr>
        <w:spacing w:after="0" w:line="240" w:lineRule="auto"/>
        <w:jc w:val="both"/>
        <w:rPr>
          <w:rFonts w:cs="Times New Roman"/>
          <w:kern w:val="2"/>
          <w14:ligatures w14:val="standardContextual"/>
        </w:rPr>
      </w:pPr>
    </w:p>
    <w:p w14:paraId="6D058068" w14:textId="77777777" w:rsidR="0046615B" w:rsidRPr="0046615B" w:rsidRDefault="0046615B" w:rsidP="0046615B">
      <w:pPr>
        <w:spacing w:after="0" w:line="240" w:lineRule="auto"/>
        <w:jc w:val="both"/>
        <w:rPr>
          <w:rFonts w:cs="Times New Roman"/>
          <w:kern w:val="2"/>
          <w14:ligatures w14:val="standardContextual"/>
        </w:rPr>
      </w:pPr>
      <w:r w:rsidRPr="0046615B">
        <w:rPr>
          <w:rFonts w:cs="Times New Roman"/>
          <w:kern w:val="2"/>
          <w14:ligatures w14:val="standardContextual"/>
        </w:rPr>
        <w:t>Ch. 2: “the exegete should carefully note the three stages of the tradition, through which the life and teaching of Jesus have come down to us.</w:t>
      </w:r>
    </w:p>
    <w:p w14:paraId="071BFA30" w14:textId="77777777" w:rsidR="0046615B" w:rsidRPr="0046615B" w:rsidRDefault="0046615B" w:rsidP="0046615B">
      <w:pPr>
        <w:spacing w:after="0" w:line="240" w:lineRule="auto"/>
        <w:jc w:val="both"/>
        <w:rPr>
          <w:rFonts w:cs="Times New Roman"/>
          <w:kern w:val="2"/>
          <w14:ligatures w14:val="standardContextual"/>
        </w:rPr>
      </w:pPr>
    </w:p>
    <w:p w14:paraId="5759C633" w14:textId="77777777" w:rsidR="0046615B" w:rsidRPr="0046615B" w:rsidRDefault="0046615B" w:rsidP="0046615B">
      <w:pPr>
        <w:spacing w:after="0" w:line="240" w:lineRule="auto"/>
        <w:ind w:left="360" w:hanging="360"/>
        <w:jc w:val="both"/>
        <w:rPr>
          <w:rFonts w:cs="Times New Roman"/>
          <w:kern w:val="2"/>
          <w14:ligatures w14:val="standardContextual"/>
        </w:rPr>
      </w:pPr>
      <w:r w:rsidRPr="0046615B">
        <w:rPr>
          <w:rFonts w:cs="Times New Roman"/>
          <w:kern w:val="2"/>
          <w14:ligatures w14:val="standardContextual"/>
        </w:rPr>
        <w:t>“1)</w:t>
      </w:r>
      <w:r w:rsidRPr="0046615B">
        <w:rPr>
          <w:rFonts w:cs="Times New Roman"/>
          <w:kern w:val="2"/>
          <w14:ligatures w14:val="standardContextual"/>
        </w:rPr>
        <w:tab/>
        <w:t>Our Lord’s Teaching . . .</w:t>
      </w:r>
    </w:p>
    <w:p w14:paraId="2A15664D" w14:textId="77777777" w:rsidR="0046615B" w:rsidRPr="0046615B" w:rsidRDefault="0046615B" w:rsidP="0046615B">
      <w:pPr>
        <w:spacing w:after="0" w:line="240" w:lineRule="auto"/>
        <w:jc w:val="both"/>
        <w:rPr>
          <w:rFonts w:cs="Times New Roman"/>
          <w:kern w:val="2"/>
          <w14:ligatures w14:val="standardContextual"/>
        </w:rPr>
      </w:pPr>
    </w:p>
    <w:p w14:paraId="12024E4C" w14:textId="77777777" w:rsidR="0046615B" w:rsidRPr="0046615B" w:rsidRDefault="0046615B" w:rsidP="0046615B">
      <w:pPr>
        <w:spacing w:after="0" w:line="240" w:lineRule="auto"/>
        <w:ind w:left="360" w:hanging="360"/>
        <w:jc w:val="both"/>
        <w:rPr>
          <w:rFonts w:cs="Times New Roman"/>
          <w:kern w:val="2"/>
          <w14:ligatures w14:val="standardContextual"/>
        </w:rPr>
      </w:pPr>
      <w:r w:rsidRPr="0046615B">
        <w:rPr>
          <w:rFonts w:cs="Times New Roman"/>
          <w:kern w:val="2"/>
          <w14:ligatures w14:val="standardContextual"/>
        </w:rPr>
        <w:t>“2)</w:t>
      </w:r>
      <w:r w:rsidRPr="0046615B">
        <w:rPr>
          <w:rFonts w:cs="Times New Roman"/>
          <w:kern w:val="2"/>
          <w14:ligatures w14:val="standardContextual"/>
        </w:rPr>
        <w:tab/>
        <w:t>The Apostles’ Teaching . . . They faithfully set forth His life and His words, adapting the format of their preaching to the condition of their audience. . . . However there is no reason to deny the fact that the apostles, in telling their listeners about our Lord’s deeds and words, utilized the fuller understanding which they had acquired from the glorious events of Christ’s life and the guidance of the Spirit of truth. . . . they explained His deeds and words according to the needs of their audience. . . . we can single out the following categories in the preaching of Christ’s heralds: catechetical formulas, narrative reports, eyewitness accounts, hymns, doxologies, prayers, and similar literary genres commonly found in Sacred Scripture and the speech of that period.</w:t>
      </w:r>
    </w:p>
    <w:p w14:paraId="7D828788" w14:textId="77777777" w:rsidR="0046615B" w:rsidRPr="0046615B" w:rsidRDefault="0046615B" w:rsidP="0046615B">
      <w:pPr>
        <w:spacing w:after="0" w:line="240" w:lineRule="auto"/>
        <w:jc w:val="both"/>
        <w:rPr>
          <w:rFonts w:cs="Times New Roman"/>
          <w:kern w:val="2"/>
          <w14:ligatures w14:val="standardContextual"/>
        </w:rPr>
      </w:pPr>
    </w:p>
    <w:p w14:paraId="13966904" w14:textId="77777777" w:rsidR="0046615B" w:rsidRPr="0046615B" w:rsidRDefault="0046615B" w:rsidP="0046615B">
      <w:pPr>
        <w:spacing w:after="0" w:line="240" w:lineRule="auto"/>
        <w:ind w:left="360" w:hanging="360"/>
        <w:jc w:val="both"/>
        <w:rPr>
          <w:rFonts w:cs="Times New Roman"/>
          <w:kern w:val="2"/>
          <w14:ligatures w14:val="standardContextual"/>
        </w:rPr>
      </w:pPr>
      <w:r w:rsidRPr="0046615B">
        <w:rPr>
          <w:rFonts w:cs="Times New Roman"/>
          <w:kern w:val="2"/>
          <w14:ligatures w14:val="standardContextual"/>
        </w:rPr>
        <w:t>“3)</w:t>
      </w:r>
      <w:r w:rsidRPr="0046615B">
        <w:rPr>
          <w:rFonts w:cs="Times New Roman"/>
          <w:kern w:val="2"/>
          <w14:ligatures w14:val="standardContextual"/>
        </w:rPr>
        <w:tab/>
        <w:t>The Four Evangelists . . . This primitive instruction was passed on orally at first, and later written down. . . . The sacred authors, each using an approach suited to his specific purpose, recorded this primitive teaching . . . Of the many elements at hand they reported some, summarized others, and developed still others in accordance with the needs of the various churches. . . . From the material available to them the Evangelists selected those items most suited to their specific purpose and to the condition of a particular audience. And they narrated these events in the manner most suited to satisfy their purpose and their audience’s condition.”</w:t>
      </w:r>
    </w:p>
    <w:p w14:paraId="0C4774A1" w14:textId="77777777" w:rsidR="0046615B" w:rsidRPr="0046615B" w:rsidRDefault="0046615B" w:rsidP="0046615B">
      <w:pPr>
        <w:spacing w:after="0" w:line="240" w:lineRule="auto"/>
        <w:jc w:val="both"/>
        <w:rPr>
          <w:rFonts w:cs="Times New Roman"/>
          <w:kern w:val="2"/>
          <w14:ligatures w14:val="standardContextual"/>
        </w:rPr>
      </w:pPr>
    </w:p>
    <w:p w14:paraId="2C52047B" w14:textId="77777777" w:rsidR="0046615B" w:rsidRPr="0046615B" w:rsidRDefault="0046615B" w:rsidP="0046615B">
      <w:pPr>
        <w:spacing w:after="0" w:line="240" w:lineRule="auto"/>
        <w:jc w:val="both"/>
        <w:rPr>
          <w:rFonts w:cs="Times New Roman"/>
          <w:kern w:val="2"/>
          <w14:ligatures w14:val="standardContextual"/>
        </w:rPr>
      </w:pPr>
      <w:r w:rsidRPr="0046615B">
        <w:rPr>
          <w:rFonts w:cs="Times New Roman"/>
          <w:kern w:val="2"/>
          <w14:ligatures w14:val="standardContextual"/>
        </w:rPr>
        <w:t>“The truth of the Gospel account is not compromised because the Evangelists report the Lord’s words and deeds in different order. Nor is it hurt because they report His words, not literally but in a variety of ways, while retaining the same meaning. As St. Augustine says: “[The Holy Spirit] guided and directed the sacred writers as they thought about the things which they were going to write down; but He probably allowed each writer to arrange his narrative as he saw fit.””</w:t>
      </w:r>
    </w:p>
    <w:p w14:paraId="61829ACE" w14:textId="77777777" w:rsidR="0046615B" w:rsidRPr="0046615B" w:rsidRDefault="0046615B" w:rsidP="0046615B">
      <w:pPr>
        <w:spacing w:after="0" w:line="240" w:lineRule="auto"/>
        <w:jc w:val="both"/>
        <w:rPr>
          <w:rFonts w:cs="Times New Roman"/>
          <w:kern w:val="2"/>
          <w14:ligatures w14:val="standardContextual"/>
        </w:rPr>
      </w:pPr>
    </w:p>
    <w:p w14:paraId="6A79AC8C" w14:textId="77777777" w:rsidR="0046615B" w:rsidRPr="0046615B" w:rsidRDefault="0046615B" w:rsidP="0046615B">
      <w:pPr>
        <w:spacing w:after="0" w:line="240" w:lineRule="auto"/>
        <w:jc w:val="both"/>
        <w:rPr>
          <w:rFonts w:cs="Times New Roman"/>
          <w:kern w:val="2"/>
          <w14:ligatures w14:val="standardContextual"/>
        </w:rPr>
      </w:pPr>
      <w:r w:rsidRPr="0046615B">
        <w:rPr>
          <w:rFonts w:cs="Times New Roman"/>
          <w:kern w:val="2"/>
          <w14:ligatures w14:val="standardContextual"/>
        </w:rPr>
        <w:t>“Recent studies indicate that the life and teaching of Jesus were not simply related so as to be remembered; they were “preached” to provide the basis of faith and morals for the Church. . . . However, he [an exegete] should always be prepared to obey the Magisterium of the Church.”</w:t>
      </w:r>
    </w:p>
    <w:p w14:paraId="58DD5D49" w14:textId="77777777" w:rsidR="0046615B" w:rsidRPr="0046615B" w:rsidRDefault="0046615B" w:rsidP="0046615B">
      <w:pPr>
        <w:spacing w:after="0" w:line="240" w:lineRule="auto"/>
        <w:jc w:val="both"/>
        <w:rPr>
          <w:rFonts w:cs="Times New Roman"/>
          <w:kern w:val="2"/>
          <w14:ligatures w14:val="standardContextual"/>
        </w:rPr>
      </w:pPr>
    </w:p>
    <w:p w14:paraId="3F509EF9" w14:textId="77777777" w:rsidR="0046615B" w:rsidRPr="0046615B" w:rsidRDefault="0046615B" w:rsidP="0046615B">
      <w:pPr>
        <w:spacing w:after="0" w:line="240" w:lineRule="auto"/>
        <w:jc w:val="both"/>
        <w:rPr>
          <w:rFonts w:cs="Times New Roman"/>
          <w:kern w:val="2"/>
          <w14:ligatures w14:val="standardContextual"/>
        </w:rPr>
      </w:pPr>
      <w:r w:rsidRPr="0046615B">
        <w:rPr>
          <w:rFonts w:cs="Times New Roman"/>
          <w:kern w:val="2"/>
          <w14:ligatures w14:val="standardContextual"/>
        </w:rPr>
        <w:t>Exegetes should “take advantage of the solid advances made in biblical research and the contributions of modern scholars . . .”</w:t>
      </w:r>
    </w:p>
    <w:p w14:paraId="12EF8E0D" w14:textId="77777777" w:rsidR="0046615B" w:rsidRPr="0046615B" w:rsidRDefault="0046615B" w:rsidP="0046615B">
      <w:pPr>
        <w:spacing w:after="0" w:line="240" w:lineRule="auto"/>
        <w:jc w:val="both"/>
        <w:rPr>
          <w:rFonts w:cs="Times New Roman"/>
          <w:kern w:val="2"/>
          <w14:ligatures w14:val="standardContextual"/>
        </w:rPr>
        <w:sectPr w:rsidR="0046615B" w:rsidRPr="0046615B" w:rsidSect="0046615B">
          <w:headerReference w:type="even" r:id="rId5"/>
          <w:headerReference w:type="default" r:id="rId6"/>
          <w:footnotePr>
            <w:pos w:val="beneathText"/>
          </w:footnotePr>
          <w:pgSz w:w="12240" w:h="15840" w:code="1"/>
          <w:pgMar w:top="1440" w:right="1440" w:bottom="1440" w:left="1440" w:header="720" w:footer="720" w:gutter="0"/>
          <w:cols w:space="720"/>
          <w:titlePg/>
          <w:docGrid w:linePitch="326"/>
        </w:sectPr>
      </w:pPr>
    </w:p>
    <w:p w14:paraId="0B29492A" w14:textId="77777777" w:rsidR="0046615B" w:rsidRPr="0046615B" w:rsidRDefault="0046615B" w:rsidP="0046615B">
      <w:pPr>
        <w:spacing w:after="0" w:line="240" w:lineRule="auto"/>
        <w:jc w:val="both"/>
        <w:rPr>
          <w:rFonts w:cs="Times New Roman"/>
          <w:kern w:val="2"/>
          <w14:ligatures w14:val="standardContextual"/>
        </w:rPr>
      </w:pPr>
    </w:p>
    <w:p w14:paraId="49E88BD3" w14:textId="77777777" w:rsidR="0046615B" w:rsidRPr="0046615B" w:rsidRDefault="0046615B" w:rsidP="0046615B">
      <w:pPr>
        <w:spacing w:after="0" w:line="240" w:lineRule="auto"/>
        <w:jc w:val="center"/>
        <w:rPr>
          <w:rFonts w:cs="Times New Roman"/>
          <w:kern w:val="2"/>
          <w14:ligatures w14:val="standardContextual"/>
        </w:rPr>
      </w:pPr>
      <w:r w:rsidRPr="0046615B">
        <w:rPr>
          <w:rFonts w:cs="Times New Roman"/>
          <w:smallCaps/>
          <w:kern w:val="2"/>
          <w14:ligatures w14:val="standardContextual"/>
        </w:rPr>
        <w:t>bibliography</w:t>
      </w:r>
    </w:p>
    <w:p w14:paraId="79490700" w14:textId="77777777" w:rsidR="0046615B" w:rsidRPr="0046615B" w:rsidRDefault="0046615B" w:rsidP="0046615B">
      <w:pPr>
        <w:spacing w:after="0" w:line="240" w:lineRule="auto"/>
        <w:jc w:val="both"/>
        <w:rPr>
          <w:rFonts w:cs="Times New Roman"/>
          <w:kern w:val="2"/>
          <w14:ligatures w14:val="standardContextual"/>
        </w:rPr>
      </w:pPr>
    </w:p>
    <w:p w14:paraId="019E73AE" w14:textId="77777777" w:rsidR="0046615B" w:rsidRPr="0046615B" w:rsidRDefault="0046615B" w:rsidP="0046615B">
      <w:pPr>
        <w:spacing w:after="0" w:line="240" w:lineRule="auto"/>
        <w:ind w:left="720" w:hanging="720"/>
        <w:jc w:val="both"/>
        <w:rPr>
          <w:rFonts w:cs="Times New Roman"/>
          <w:kern w:val="2"/>
          <w14:ligatures w14:val="standardContextual"/>
        </w:rPr>
      </w:pPr>
      <w:bookmarkStart w:id="0" w:name="_Hlk498719591"/>
      <w:r w:rsidRPr="0046615B">
        <w:rPr>
          <w:rFonts w:cs="Times New Roman"/>
          <w:kern w:val="2"/>
          <w14:ligatures w14:val="standardContextual"/>
        </w:rPr>
        <w:t>Pontifical Biblical Commission. “</w:t>
      </w:r>
      <w:r w:rsidRPr="0046615B">
        <w:rPr>
          <w:rFonts w:cs="Times New Roman"/>
          <w:iCs/>
          <w:kern w:val="2"/>
          <w14:ligatures w14:val="standardContextual"/>
        </w:rPr>
        <w:t xml:space="preserve">Instruction </w:t>
      </w:r>
      <w:r w:rsidRPr="0046615B">
        <w:rPr>
          <w:rFonts w:cs="Times New Roman"/>
          <w:kern w:val="2"/>
          <w14:ligatures w14:val="standardContextual"/>
        </w:rPr>
        <w:t>Concerning</w:t>
      </w:r>
      <w:r w:rsidRPr="0046615B">
        <w:rPr>
          <w:rFonts w:cs="Times New Roman"/>
          <w:iCs/>
          <w:kern w:val="2"/>
          <w:szCs w:val="44"/>
          <w14:ligatures w14:val="standardContextual"/>
        </w:rPr>
        <w:t xml:space="preserve"> </w:t>
      </w:r>
      <w:r w:rsidRPr="0046615B">
        <w:rPr>
          <w:rFonts w:cs="Times New Roman"/>
          <w:iCs/>
          <w:kern w:val="2"/>
          <w14:ligatures w14:val="standardContextual"/>
        </w:rPr>
        <w:t>the Historicity of the Gospels</w:t>
      </w:r>
      <w:r w:rsidRPr="0046615B">
        <w:rPr>
          <w:rFonts w:cs="Times New Roman"/>
          <w:kern w:val="2"/>
          <w14:ligatures w14:val="standardContextual"/>
        </w:rPr>
        <w:t xml:space="preserve">.” Trans. Joseph A. Fitzmyer, SJ. </w:t>
      </w:r>
      <w:r w:rsidRPr="0046615B">
        <w:rPr>
          <w:rFonts w:cs="Times New Roman"/>
          <w:i/>
          <w:iCs/>
          <w:kern w:val="2"/>
          <w14:ligatures w14:val="standardContextual"/>
        </w:rPr>
        <w:t>Theological Studies</w:t>
      </w:r>
      <w:r w:rsidRPr="0046615B">
        <w:rPr>
          <w:rFonts w:cs="Times New Roman"/>
          <w:kern w:val="2"/>
          <w14:ligatures w14:val="standardContextual"/>
        </w:rPr>
        <w:t xml:space="preserve"> 25 (1964) 402-08.</w:t>
      </w:r>
    </w:p>
    <w:bookmarkEnd w:id="0"/>
    <w:p w14:paraId="791C16A9" w14:textId="77777777" w:rsidR="0046615B" w:rsidRPr="00664735" w:rsidRDefault="0046615B" w:rsidP="00664735">
      <w:pPr>
        <w:spacing w:after="0" w:line="240" w:lineRule="auto"/>
        <w:jc w:val="both"/>
        <w:rPr>
          <w:rFonts w:cs="Times New Roman"/>
          <w:kern w:val="2"/>
          <w14:ligatures w14:val="standardContextual"/>
        </w:rPr>
      </w:pPr>
    </w:p>
    <w:sectPr w:rsidR="0046615B"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8843F" w14:textId="77777777" w:rsidR="0046615B" w:rsidRDefault="0046615B" w:rsidP="00782F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863AE8" w14:textId="77777777" w:rsidR="0046615B" w:rsidRDefault="0046615B" w:rsidP="00782FB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774963"/>
      <w:docPartObj>
        <w:docPartGallery w:val="Page Numbers (Top of Page)"/>
        <w:docPartUnique/>
      </w:docPartObj>
    </w:sdtPr>
    <w:sdtEndPr>
      <w:rPr>
        <w:noProof/>
      </w:rPr>
    </w:sdtEndPr>
    <w:sdtContent>
      <w:p w14:paraId="0101D2B5" w14:textId="77777777" w:rsidR="0046615B" w:rsidRDefault="0046615B">
        <w:pPr>
          <w:pStyle w:val="Header"/>
          <w:jc w:val="right"/>
        </w:pPr>
        <w:r>
          <w:fldChar w:fldCharType="begin"/>
        </w:r>
        <w:r>
          <w:instrText xml:space="preserve"> PAGE   \* MERGEFORMAT </w:instrText>
        </w:r>
        <w:r>
          <w:fldChar w:fldCharType="separate"/>
        </w:r>
        <w:r>
          <w:rPr>
            <w:noProof/>
          </w:rPr>
          <w:t>157</w:t>
        </w:r>
        <w:r>
          <w:rPr>
            <w:noProof/>
          </w:rPr>
          <w:fldChar w:fldCharType="end"/>
        </w:r>
      </w:p>
    </w:sdtContent>
  </w:sdt>
  <w:p w14:paraId="3DFD142A" w14:textId="77777777" w:rsidR="0046615B" w:rsidRDefault="0046615B" w:rsidP="00782FB7">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250798"/>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09073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CC"/>
    <w:rsid w:val="002B4696"/>
    <w:rsid w:val="002C240C"/>
    <w:rsid w:val="0046499B"/>
    <w:rsid w:val="0046615B"/>
    <w:rsid w:val="00610D7B"/>
    <w:rsid w:val="00664735"/>
    <w:rsid w:val="007C5641"/>
    <w:rsid w:val="008C4BCC"/>
    <w:rsid w:val="00975BE0"/>
    <w:rsid w:val="00BF4A3D"/>
    <w:rsid w:val="00DD1554"/>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65D6"/>
  <w15:chartTrackingRefBased/>
  <w15:docId w15:val="{4EC2EE12-5660-463F-A069-57B5CF7F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BCC"/>
  </w:style>
  <w:style w:type="paragraph" w:styleId="Heading2">
    <w:name w:val="heading 2"/>
    <w:basedOn w:val="Normal"/>
    <w:next w:val="Normal"/>
    <w:link w:val="Heading2Char"/>
    <w:uiPriority w:val="9"/>
    <w:unhideWhenUsed/>
    <w:qFormat/>
    <w:rsid w:val="008C4BCC"/>
    <w:pPr>
      <w:jc w:val="center"/>
      <w:outlineLvl w:val="1"/>
    </w:pPr>
    <w:rPr>
      <w:rFonts w:eastAsiaTheme="majorEastAsia" w:cstheme="majorBidi"/>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C4BCC"/>
    <w:rPr>
      <w:rFonts w:eastAsiaTheme="majorEastAsia" w:cstheme="majorBidi"/>
      <w:bCs/>
      <w:smallCaps/>
      <w:szCs w:val="26"/>
    </w:rPr>
  </w:style>
  <w:style w:type="paragraph" w:styleId="Header">
    <w:name w:val="header"/>
    <w:basedOn w:val="Normal"/>
    <w:link w:val="HeaderChar"/>
    <w:uiPriority w:val="99"/>
    <w:rsid w:val="0046615B"/>
    <w:pPr>
      <w:tabs>
        <w:tab w:val="center" w:pos="4680"/>
        <w:tab w:val="right" w:pos="9360"/>
      </w:tabs>
      <w:spacing w:after="0" w:line="240" w:lineRule="auto"/>
    </w:pPr>
    <w:rPr>
      <w:rFonts w:eastAsia="Times New Roman" w:cs="Times New Roman"/>
      <w:kern w:val="0"/>
      <w:szCs w:val="20"/>
    </w:rPr>
  </w:style>
  <w:style w:type="character" w:customStyle="1" w:styleId="HeaderChar">
    <w:name w:val="Header Char"/>
    <w:basedOn w:val="DefaultParagraphFont"/>
    <w:link w:val="Header"/>
    <w:uiPriority w:val="99"/>
    <w:rsid w:val="0046615B"/>
    <w:rPr>
      <w:rFonts w:eastAsia="Times New Roman" w:cs="Times New Roman"/>
      <w:kern w:val="0"/>
      <w:szCs w:val="20"/>
    </w:rPr>
  </w:style>
  <w:style w:type="character" w:styleId="PageNumber">
    <w:name w:val="page number"/>
    <w:basedOn w:val="DefaultParagraphFont"/>
    <w:rsid w:val="0046615B"/>
  </w:style>
  <w:style w:type="character" w:customStyle="1" w:styleId="t286pc">
    <w:name w:val="t286pc"/>
    <w:basedOn w:val="DefaultParagraphFont"/>
    <w:rsid w:val="00466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1334</Words>
  <Characters>7605</Characters>
  <Application>Microsoft Office Word</Application>
  <DocSecurity>0</DocSecurity>
  <Lines>63</Lines>
  <Paragraphs>17</Paragraphs>
  <ScaleCrop>false</ScaleCrop>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2</cp:revision>
  <dcterms:created xsi:type="dcterms:W3CDTF">2025-09-19T12:15:00Z</dcterms:created>
  <dcterms:modified xsi:type="dcterms:W3CDTF">2025-10-14T16:30:00Z</dcterms:modified>
</cp:coreProperties>
</file>