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F544" w14:textId="3437388A" w:rsidR="00275CD7" w:rsidRDefault="00275CD7" w:rsidP="00275CD7">
      <w:pPr>
        <w:jc w:val="center"/>
        <w:rPr>
          <w:kern w:val="2"/>
          <w14:ligatures w14:val="standardContextual"/>
        </w:rPr>
      </w:pPr>
      <w:bookmarkStart w:id="0" w:name="_Toc502431267"/>
      <w:r w:rsidRPr="00275CD7">
        <w:rPr>
          <w:kern w:val="2"/>
          <w14:ligatures w14:val="standardContextual"/>
        </w:rPr>
        <w:t>“CANON,” “APOCRYPHA,” AND “PSEUDEPIGRAPHA”</w:t>
      </w:r>
    </w:p>
    <w:p w14:paraId="7BC22FD7" w14:textId="49508F69" w:rsidR="00275CD7" w:rsidRDefault="00275CD7" w:rsidP="00275CD7">
      <w:pPr>
        <w:jc w:val="center"/>
      </w:pPr>
      <w:r w:rsidRPr="00275CD7">
        <w:t>IN PROTESTANTISM, CATHOLICISM, AND EASTERN ORTHODOXY</w:t>
      </w:r>
    </w:p>
    <w:p w14:paraId="759AE032" w14:textId="38A9875D" w:rsidR="00275CD7" w:rsidRDefault="00275CD7" w:rsidP="00275CD7">
      <w:pPr>
        <w:jc w:val="both"/>
        <w:rPr>
          <w:kern w:val="2"/>
          <w14:ligatures w14:val="standardContextual"/>
        </w:rPr>
      </w:pPr>
    </w:p>
    <w:p w14:paraId="1EA38ED1" w14:textId="77777777" w:rsidR="00275CD7" w:rsidRPr="00275CD7" w:rsidRDefault="00275CD7" w:rsidP="00275CD7">
      <w:pPr>
        <w:jc w:val="center"/>
        <w:rPr>
          <w:kern w:val="2"/>
          <w:sz w:val="20"/>
          <w:szCs w:val="16"/>
          <w14:ligatures w14:val="standardContextual"/>
        </w:rPr>
      </w:pPr>
      <w:r w:rsidRPr="00275CD7">
        <w:rPr>
          <w:kern w:val="2"/>
          <w:sz w:val="20"/>
          <w:szCs w:val="16"/>
          <w14:ligatures w14:val="standardContextual"/>
        </w:rPr>
        <w:t>Paul Hahn, Theology Department</w:t>
      </w:r>
    </w:p>
    <w:p w14:paraId="03AAB46E" w14:textId="77777777" w:rsidR="00275CD7" w:rsidRPr="00275CD7" w:rsidRDefault="00275CD7" w:rsidP="00275CD7">
      <w:pPr>
        <w:jc w:val="center"/>
        <w:rPr>
          <w:kern w:val="2"/>
          <w:sz w:val="20"/>
          <w:szCs w:val="16"/>
          <w14:ligatures w14:val="standardContextual"/>
        </w:rPr>
      </w:pPr>
      <w:r w:rsidRPr="00275CD7">
        <w:rPr>
          <w:kern w:val="2"/>
          <w:sz w:val="20"/>
          <w:szCs w:val="16"/>
          <w14:ligatures w14:val="standardContextual"/>
        </w:rPr>
        <w:t>University of St Thomas Houston TX 77006</w:t>
      </w:r>
    </w:p>
    <w:bookmarkEnd w:id="0"/>
    <w:p w14:paraId="29E7BADB" w14:textId="77777777" w:rsidR="00637DF2" w:rsidRPr="00ED69F6" w:rsidRDefault="00637DF2" w:rsidP="00637DF2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© 2026</w:t>
      </w:r>
      <w:r>
        <w:rPr>
          <w:kern w:val="2"/>
          <w:sz w:val="20"/>
          <w:szCs w:val="16"/>
          <w14:ligatures w14:val="standardContextual"/>
        </w:rPr>
        <w:t>, theologyplus.com</w:t>
      </w:r>
    </w:p>
    <w:p w14:paraId="78467660" w14:textId="77777777" w:rsidR="00275CD7" w:rsidRDefault="00275CD7" w:rsidP="00275CD7">
      <w:pPr>
        <w:jc w:val="both"/>
      </w:pPr>
    </w:p>
    <w:p w14:paraId="5C10CAE0" w14:textId="77777777" w:rsidR="00275CD7" w:rsidRDefault="00275CD7" w:rsidP="00275CD7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68"/>
        <w:gridCol w:w="2060"/>
        <w:gridCol w:w="2061"/>
        <w:gridCol w:w="2061"/>
      </w:tblGrid>
      <w:tr w:rsidR="00275CD7" w14:paraId="0D4BB732" w14:textId="77777777" w:rsidTr="009D0CF3">
        <w:tc>
          <w:tcPr>
            <w:tcW w:w="3168" w:type="dxa"/>
          </w:tcPr>
          <w:p w14:paraId="73942FA1" w14:textId="77777777" w:rsidR="00275CD7" w:rsidRDefault="00275CD7" w:rsidP="009D0CF3">
            <w:pPr>
              <w:jc w:val="both"/>
            </w:pPr>
          </w:p>
        </w:tc>
        <w:tc>
          <w:tcPr>
            <w:tcW w:w="2060" w:type="dxa"/>
          </w:tcPr>
          <w:p w14:paraId="16F43B56" w14:textId="73BD86E3" w:rsidR="00275CD7" w:rsidRPr="00275CD7" w:rsidRDefault="00275CD7" w:rsidP="009D0CF3">
            <w:pPr>
              <w:jc w:val="center"/>
            </w:pPr>
            <w:r>
              <w:rPr>
                <w:i/>
                <w:iCs/>
              </w:rPr>
              <w:t>called</w:t>
            </w:r>
            <w:r>
              <w:t xml:space="preserve">, </w:t>
            </w:r>
            <w:r w:rsidRPr="00275CD7">
              <w:rPr>
                <w:i/>
                <w:iCs/>
              </w:rPr>
              <w:t>in</w:t>
            </w:r>
          </w:p>
          <w:p w14:paraId="329511DC" w14:textId="77777777" w:rsidR="00275CD7" w:rsidRDefault="00275CD7" w:rsidP="009D0CF3">
            <w:pPr>
              <w:jc w:val="center"/>
            </w:pPr>
            <w:r w:rsidRPr="00275CD7">
              <w:rPr>
                <w:i/>
                <w:iCs/>
              </w:rPr>
              <w:t>Catholicism</w:t>
            </w:r>
          </w:p>
        </w:tc>
        <w:tc>
          <w:tcPr>
            <w:tcW w:w="2061" w:type="dxa"/>
          </w:tcPr>
          <w:p w14:paraId="1BDAE091" w14:textId="5B05F76E" w:rsidR="00275CD7" w:rsidRDefault="00275CD7" w:rsidP="00275CD7">
            <w:pPr>
              <w:jc w:val="center"/>
            </w:pPr>
            <w:r>
              <w:rPr>
                <w:i/>
                <w:iCs/>
              </w:rPr>
              <w:t>called</w:t>
            </w:r>
            <w:r>
              <w:t xml:space="preserve">, </w:t>
            </w:r>
            <w:r w:rsidRPr="00275CD7">
              <w:rPr>
                <w:i/>
                <w:iCs/>
              </w:rPr>
              <w:t>in</w:t>
            </w:r>
            <w:r>
              <w:t xml:space="preserve"> </w:t>
            </w:r>
            <w:r w:rsidRPr="00275CD7">
              <w:rPr>
                <w:i/>
                <w:iCs/>
              </w:rPr>
              <w:t>Eastern</w:t>
            </w:r>
          </w:p>
          <w:p w14:paraId="36E5E4A2" w14:textId="77777777" w:rsidR="00275CD7" w:rsidRPr="00275CD7" w:rsidRDefault="00275CD7" w:rsidP="009D0CF3">
            <w:pPr>
              <w:jc w:val="center"/>
              <w:rPr>
                <w:i/>
                <w:iCs/>
              </w:rPr>
            </w:pPr>
            <w:r w:rsidRPr="00275CD7">
              <w:rPr>
                <w:i/>
                <w:iCs/>
              </w:rPr>
              <w:t>Orthodoxy</w:t>
            </w:r>
          </w:p>
        </w:tc>
        <w:tc>
          <w:tcPr>
            <w:tcW w:w="2061" w:type="dxa"/>
          </w:tcPr>
          <w:p w14:paraId="0EF222C9" w14:textId="77777777" w:rsidR="00275CD7" w:rsidRPr="00275CD7" w:rsidRDefault="00275CD7" w:rsidP="00275CD7">
            <w:pPr>
              <w:jc w:val="center"/>
            </w:pPr>
            <w:r>
              <w:rPr>
                <w:i/>
                <w:iCs/>
              </w:rPr>
              <w:t>called</w:t>
            </w:r>
            <w:r>
              <w:t xml:space="preserve">, </w:t>
            </w:r>
            <w:r w:rsidRPr="00275CD7">
              <w:rPr>
                <w:i/>
                <w:iCs/>
              </w:rPr>
              <w:t>in</w:t>
            </w:r>
          </w:p>
          <w:p w14:paraId="66134BB1" w14:textId="77777777" w:rsidR="00275CD7" w:rsidRDefault="00275CD7" w:rsidP="009D0CF3">
            <w:pPr>
              <w:jc w:val="center"/>
            </w:pPr>
            <w:r w:rsidRPr="00275CD7">
              <w:rPr>
                <w:i/>
                <w:iCs/>
              </w:rPr>
              <w:t>Protestantism</w:t>
            </w:r>
          </w:p>
        </w:tc>
      </w:tr>
      <w:tr w:rsidR="00275CD7" w14:paraId="1C3BC458" w14:textId="77777777" w:rsidTr="009D0CF3">
        <w:tc>
          <w:tcPr>
            <w:tcW w:w="3168" w:type="dxa"/>
          </w:tcPr>
          <w:p w14:paraId="2CBFB03D" w14:textId="77777777" w:rsidR="00275CD7" w:rsidRDefault="00275CD7" w:rsidP="009D0CF3">
            <w:pPr>
              <w:jc w:val="center"/>
            </w:pPr>
            <w:r>
              <w:t>39 books in</w:t>
            </w:r>
          </w:p>
          <w:p w14:paraId="50D8DB0B" w14:textId="77777777" w:rsidR="00275CD7" w:rsidRDefault="00275CD7" w:rsidP="009D0CF3">
            <w:pPr>
              <w:jc w:val="center"/>
            </w:pPr>
            <w:r>
              <w:t>everyone’s canon</w:t>
            </w:r>
          </w:p>
        </w:tc>
        <w:tc>
          <w:tcPr>
            <w:tcW w:w="2060" w:type="dxa"/>
            <w:vAlign w:val="center"/>
          </w:tcPr>
          <w:p w14:paraId="2A580865" w14:textId="77777777" w:rsidR="00275CD7" w:rsidRDefault="00275CD7" w:rsidP="009D0CF3">
            <w:pPr>
              <w:jc w:val="center"/>
            </w:pPr>
            <w:r>
              <w:t>canon</w:t>
            </w:r>
          </w:p>
        </w:tc>
        <w:tc>
          <w:tcPr>
            <w:tcW w:w="2061" w:type="dxa"/>
            <w:vAlign w:val="center"/>
          </w:tcPr>
          <w:p w14:paraId="0E46C48A" w14:textId="77777777" w:rsidR="00275CD7" w:rsidRDefault="00275CD7" w:rsidP="009D0CF3">
            <w:pPr>
              <w:jc w:val="center"/>
            </w:pPr>
            <w:r>
              <w:t>canon</w:t>
            </w:r>
          </w:p>
        </w:tc>
        <w:tc>
          <w:tcPr>
            <w:tcW w:w="2061" w:type="dxa"/>
            <w:vAlign w:val="center"/>
          </w:tcPr>
          <w:p w14:paraId="4BEE9E4D" w14:textId="77777777" w:rsidR="00275CD7" w:rsidRDefault="00275CD7" w:rsidP="009D0CF3">
            <w:pPr>
              <w:jc w:val="center"/>
            </w:pPr>
            <w:r>
              <w:t>canon</w:t>
            </w:r>
          </w:p>
        </w:tc>
      </w:tr>
      <w:tr w:rsidR="00275CD7" w14:paraId="6B6C7697" w14:textId="77777777" w:rsidTr="009D0CF3">
        <w:tc>
          <w:tcPr>
            <w:tcW w:w="3168" w:type="dxa"/>
          </w:tcPr>
          <w:p w14:paraId="3BE82BAD" w14:textId="77777777" w:rsidR="00275CD7" w:rsidRDefault="00275CD7" w:rsidP="009D0CF3">
            <w:pPr>
              <w:jc w:val="center"/>
            </w:pPr>
            <w:r>
              <w:t>Tobit</w:t>
            </w:r>
          </w:p>
          <w:p w14:paraId="54E05F2B" w14:textId="77777777" w:rsidR="00275CD7" w:rsidRDefault="00275CD7" w:rsidP="009D0CF3">
            <w:pPr>
              <w:jc w:val="center"/>
            </w:pPr>
            <w:r>
              <w:t>Judith</w:t>
            </w:r>
          </w:p>
          <w:p w14:paraId="3EAFCDDC" w14:textId="77777777" w:rsidR="00275CD7" w:rsidRDefault="00275CD7" w:rsidP="009D0CF3">
            <w:pPr>
              <w:jc w:val="center"/>
            </w:pPr>
            <w:r>
              <w:t>1 Maccabees</w:t>
            </w:r>
          </w:p>
          <w:p w14:paraId="79795792" w14:textId="77777777" w:rsidR="00275CD7" w:rsidRDefault="00275CD7" w:rsidP="009D0CF3">
            <w:pPr>
              <w:jc w:val="center"/>
            </w:pPr>
            <w:r>
              <w:t>2 Maccabees</w:t>
            </w:r>
          </w:p>
          <w:p w14:paraId="3F217666" w14:textId="77777777" w:rsidR="00275CD7" w:rsidRDefault="00275CD7" w:rsidP="009D0CF3">
            <w:pPr>
              <w:jc w:val="center"/>
            </w:pPr>
            <w:r>
              <w:t>Wisdom</w:t>
            </w:r>
          </w:p>
          <w:p w14:paraId="01C7F25D" w14:textId="77777777" w:rsidR="00275CD7" w:rsidRDefault="00275CD7" w:rsidP="009D0CF3">
            <w:pPr>
              <w:jc w:val="center"/>
            </w:pPr>
            <w:r>
              <w:t>Sirach</w:t>
            </w:r>
          </w:p>
          <w:p w14:paraId="6EA97BF3" w14:textId="77777777" w:rsidR="00275CD7" w:rsidRDefault="00275CD7" w:rsidP="009D0CF3">
            <w:pPr>
              <w:jc w:val="center"/>
            </w:pPr>
            <w:r>
              <w:t>Baruch</w:t>
            </w:r>
          </w:p>
          <w:p w14:paraId="770512E3" w14:textId="77777777" w:rsidR="00275CD7" w:rsidRDefault="00275CD7" w:rsidP="009D0CF3">
            <w:pPr>
              <w:jc w:val="center"/>
            </w:pPr>
            <w:r>
              <w:t>6 additions to Esther</w:t>
            </w:r>
          </w:p>
          <w:p w14:paraId="18B277BE" w14:textId="77777777" w:rsidR="00275CD7" w:rsidRDefault="00275CD7" w:rsidP="009D0CF3">
            <w:pPr>
              <w:jc w:val="center"/>
            </w:pPr>
            <w:r>
              <w:t>3 additions to Daniel</w:t>
            </w:r>
          </w:p>
        </w:tc>
        <w:tc>
          <w:tcPr>
            <w:tcW w:w="2060" w:type="dxa"/>
            <w:vAlign w:val="center"/>
          </w:tcPr>
          <w:p w14:paraId="7F65D1A9" w14:textId="77777777" w:rsidR="0092725B" w:rsidRDefault="00275CD7" w:rsidP="009D0CF3">
            <w:pPr>
              <w:jc w:val="center"/>
            </w:pPr>
            <w:r>
              <w:t>canon</w:t>
            </w:r>
          </w:p>
          <w:p w14:paraId="11A86F72" w14:textId="431107D2" w:rsidR="00275CD7" w:rsidRDefault="0092725B" w:rsidP="009D0CF3">
            <w:pPr>
              <w:jc w:val="center"/>
            </w:pPr>
            <w:r>
              <w:t>(sometimes called deuterocanonical)</w:t>
            </w:r>
          </w:p>
        </w:tc>
        <w:tc>
          <w:tcPr>
            <w:tcW w:w="2061" w:type="dxa"/>
            <w:vAlign w:val="center"/>
          </w:tcPr>
          <w:p w14:paraId="2E484F4F" w14:textId="77777777" w:rsidR="0092725B" w:rsidRDefault="0092725B" w:rsidP="009D0CF3">
            <w:pPr>
              <w:jc w:val="center"/>
            </w:pPr>
            <w:r>
              <w:t>canon</w:t>
            </w:r>
          </w:p>
          <w:p w14:paraId="05C81D78" w14:textId="4C8BE7CC" w:rsidR="00275CD7" w:rsidRDefault="0092725B" w:rsidP="009D0CF3">
            <w:pPr>
              <w:jc w:val="center"/>
            </w:pPr>
            <w:r>
              <w:t>(sometimes called deuterocanonical)</w:t>
            </w:r>
          </w:p>
        </w:tc>
        <w:tc>
          <w:tcPr>
            <w:tcW w:w="2061" w:type="dxa"/>
            <w:vAlign w:val="center"/>
          </w:tcPr>
          <w:p w14:paraId="691F28C8" w14:textId="77777777" w:rsidR="00275CD7" w:rsidRDefault="00275CD7" w:rsidP="009D0CF3">
            <w:pPr>
              <w:jc w:val="center"/>
            </w:pPr>
            <w:r>
              <w:t>apocrypha</w:t>
            </w:r>
          </w:p>
        </w:tc>
      </w:tr>
      <w:tr w:rsidR="00275CD7" w14:paraId="6F2784D6" w14:textId="77777777" w:rsidTr="009D0CF3">
        <w:tc>
          <w:tcPr>
            <w:tcW w:w="3168" w:type="dxa"/>
          </w:tcPr>
          <w:p w14:paraId="3B0E7B50" w14:textId="77777777" w:rsidR="00275CD7" w:rsidRDefault="00275CD7" w:rsidP="009D0CF3">
            <w:pPr>
              <w:jc w:val="center"/>
            </w:pPr>
            <w:r>
              <w:t>1 Esdras</w:t>
            </w:r>
          </w:p>
          <w:p w14:paraId="359D7AAA" w14:textId="77777777" w:rsidR="00275CD7" w:rsidRDefault="00275CD7" w:rsidP="009D0CF3">
            <w:pPr>
              <w:jc w:val="center"/>
            </w:pPr>
            <w:r>
              <w:t>3 Maccabees</w:t>
            </w:r>
          </w:p>
          <w:p w14:paraId="757793FC" w14:textId="77777777" w:rsidR="00275CD7" w:rsidRDefault="00275CD7" w:rsidP="009D0CF3">
            <w:pPr>
              <w:jc w:val="center"/>
            </w:pPr>
            <w:r>
              <w:t>Psalm 151</w:t>
            </w:r>
          </w:p>
          <w:p w14:paraId="07752EA6" w14:textId="77777777" w:rsidR="00275CD7" w:rsidRDefault="00275CD7" w:rsidP="00275CD7">
            <w:pPr>
              <w:jc w:val="center"/>
            </w:pPr>
            <w:r>
              <w:t>Prayer of Manasseh</w:t>
            </w:r>
          </w:p>
        </w:tc>
        <w:tc>
          <w:tcPr>
            <w:tcW w:w="2060" w:type="dxa"/>
            <w:vAlign w:val="center"/>
          </w:tcPr>
          <w:p w14:paraId="358B52C6" w14:textId="77777777" w:rsidR="00275CD7" w:rsidRDefault="00275CD7" w:rsidP="009D0CF3">
            <w:pPr>
              <w:jc w:val="center"/>
            </w:pPr>
            <w:r>
              <w:t>apocrypha</w:t>
            </w:r>
          </w:p>
        </w:tc>
        <w:tc>
          <w:tcPr>
            <w:tcW w:w="2061" w:type="dxa"/>
            <w:vAlign w:val="center"/>
          </w:tcPr>
          <w:p w14:paraId="49A72C8E" w14:textId="77777777" w:rsidR="0092725B" w:rsidRDefault="0092725B" w:rsidP="0092725B">
            <w:pPr>
              <w:jc w:val="center"/>
            </w:pPr>
            <w:r>
              <w:t>canon</w:t>
            </w:r>
          </w:p>
          <w:p w14:paraId="3CF33FCF" w14:textId="2D652AEA" w:rsidR="00275CD7" w:rsidRDefault="0092725B" w:rsidP="0092725B">
            <w:pPr>
              <w:jc w:val="center"/>
            </w:pPr>
            <w:r>
              <w:t>(sometimes called deuterocanonical)</w:t>
            </w:r>
          </w:p>
        </w:tc>
        <w:tc>
          <w:tcPr>
            <w:tcW w:w="2061" w:type="dxa"/>
            <w:vAlign w:val="center"/>
          </w:tcPr>
          <w:p w14:paraId="5AE3C5C9" w14:textId="681C5A1E" w:rsidR="00275CD7" w:rsidRDefault="0092725B" w:rsidP="0092725B">
            <w:pPr>
              <w:jc w:val="center"/>
            </w:pPr>
            <w:r>
              <w:t>apocrypha</w:t>
            </w:r>
            <w:r>
              <w:t>**</w:t>
            </w:r>
          </w:p>
        </w:tc>
      </w:tr>
      <w:tr w:rsidR="00275CD7" w14:paraId="6633AB9E" w14:textId="77777777" w:rsidTr="009D0CF3">
        <w:tc>
          <w:tcPr>
            <w:tcW w:w="3168" w:type="dxa"/>
          </w:tcPr>
          <w:p w14:paraId="27A626BE" w14:textId="77777777" w:rsidR="00275CD7" w:rsidRDefault="00275CD7" w:rsidP="009D0CF3">
            <w:r>
              <w:t>all other ancient Jewish</w:t>
            </w:r>
          </w:p>
          <w:p w14:paraId="5A1FF742" w14:textId="7FC79B84" w:rsidR="00275CD7" w:rsidRDefault="00275CD7" w:rsidP="009D0CF3">
            <w:r>
              <w:t>writings</w:t>
            </w:r>
            <w:r w:rsidRPr="00B865F9">
              <w:t>,</w:t>
            </w:r>
            <w:r>
              <w:t xml:space="preserve"> c</w:t>
            </w:r>
            <w:r w:rsidRPr="00B865F9">
              <w:t xml:space="preserve">. </w:t>
            </w:r>
            <w:r>
              <w:t xml:space="preserve">200 </w:t>
            </w:r>
            <w:proofErr w:type="spellStart"/>
            <w:r>
              <w:rPr>
                <w:smallCaps/>
              </w:rPr>
              <w:t>bc</w:t>
            </w:r>
            <w:proofErr w:type="spellEnd"/>
            <w:r>
              <w:t>-c</w:t>
            </w:r>
            <w:r w:rsidRPr="00B865F9">
              <w:t xml:space="preserve">. </w:t>
            </w:r>
            <w:r>
              <w:rPr>
                <w:smallCaps/>
              </w:rPr>
              <w:t>ad</w:t>
            </w:r>
            <w:r>
              <w:t xml:space="preserve"> 200 </w:t>
            </w:r>
            <w:r w:rsidRPr="00B865F9">
              <w:t>(</w:t>
            </w:r>
            <w:r>
              <w:t>except the Dead Sea Scrolls</w:t>
            </w:r>
            <w:r w:rsidRPr="00B865F9">
              <w:t>)</w:t>
            </w:r>
          </w:p>
        </w:tc>
        <w:tc>
          <w:tcPr>
            <w:tcW w:w="2060" w:type="dxa"/>
            <w:vAlign w:val="center"/>
          </w:tcPr>
          <w:p w14:paraId="175D8003" w14:textId="22BA269D" w:rsidR="00275CD7" w:rsidRDefault="00B83807" w:rsidP="009D0CF3">
            <w:pPr>
              <w:jc w:val="center"/>
            </w:pPr>
            <w:r>
              <w:t>apocrypha</w:t>
            </w:r>
            <w:r w:rsidR="0092725B">
              <w:t>*</w:t>
            </w:r>
            <w:r>
              <w:t xml:space="preserve"> or </w:t>
            </w:r>
            <w:r w:rsidR="00275CD7">
              <w:t>pseudepigrapha</w:t>
            </w:r>
          </w:p>
        </w:tc>
        <w:tc>
          <w:tcPr>
            <w:tcW w:w="2061" w:type="dxa"/>
            <w:vAlign w:val="center"/>
          </w:tcPr>
          <w:p w14:paraId="7904AF2E" w14:textId="77777777" w:rsidR="00275CD7" w:rsidRDefault="00275CD7" w:rsidP="009D0CF3">
            <w:pPr>
              <w:jc w:val="center"/>
            </w:pPr>
            <w:r>
              <w:t>apocrypha or</w:t>
            </w:r>
          </w:p>
          <w:p w14:paraId="43C16B7A" w14:textId="77777777" w:rsidR="00275CD7" w:rsidRDefault="00275CD7" w:rsidP="009D0CF3">
            <w:pPr>
              <w:jc w:val="center"/>
            </w:pPr>
            <w:r>
              <w:t>pseudepigrapha</w:t>
            </w:r>
          </w:p>
        </w:tc>
        <w:tc>
          <w:tcPr>
            <w:tcW w:w="2061" w:type="dxa"/>
            <w:vAlign w:val="center"/>
          </w:tcPr>
          <w:p w14:paraId="6E44F338" w14:textId="77777777" w:rsidR="00275CD7" w:rsidRDefault="00275CD7" w:rsidP="009D0CF3">
            <w:pPr>
              <w:jc w:val="center"/>
            </w:pPr>
            <w:r>
              <w:t>pseudepigrapha</w:t>
            </w:r>
          </w:p>
        </w:tc>
      </w:tr>
    </w:tbl>
    <w:p w14:paraId="4291EF40" w14:textId="77777777" w:rsidR="00275CD7" w:rsidRDefault="00275CD7" w:rsidP="00275CD7">
      <w:pPr>
        <w:jc w:val="both"/>
      </w:pPr>
    </w:p>
    <w:p w14:paraId="115E98D9" w14:textId="59359631" w:rsidR="0092725B" w:rsidRPr="00ED6FC8" w:rsidRDefault="0092725B" w:rsidP="0092725B">
      <w:pPr>
        <w:jc w:val="both"/>
        <w:rPr>
          <w:kern w:val="2"/>
          <w14:ligatures w14:val="standardContextual"/>
        </w:rPr>
      </w:pPr>
      <w:r>
        <w:t>* The edition of the Vulgate (Jerome’s translation of the Bible into Latin</w:t>
      </w:r>
      <w:r>
        <w:t>, completed in 405</w:t>
      </w:r>
      <w:r>
        <w:t xml:space="preserve">) </w:t>
      </w:r>
      <w:r>
        <w:t xml:space="preserve">which is </w:t>
      </w:r>
      <w:r>
        <w:t xml:space="preserve">called the </w:t>
      </w:r>
      <w:r>
        <w:rPr>
          <w:i/>
          <w:iCs/>
        </w:rPr>
        <w:t>Clementine Vulgate</w:t>
      </w:r>
      <w:r>
        <w:t xml:space="preserve"> (1592) contains three works in an appendix which it called “Apocrypha”: </w:t>
      </w:r>
      <w:r>
        <w:rPr>
          <w:kern w:val="2"/>
          <w14:ligatures w14:val="standardContextual"/>
        </w:rPr>
        <w:t>the Prayer of Manasseh, 3 Esdras, and 4 Esdras. It was the first edition of the Vulgate to include such an appendix.</w:t>
      </w:r>
    </w:p>
    <w:p w14:paraId="1CD7798B" w14:textId="77777777" w:rsidR="0092725B" w:rsidRDefault="0092725B" w:rsidP="00275CD7">
      <w:pPr>
        <w:jc w:val="both"/>
      </w:pPr>
    </w:p>
    <w:p w14:paraId="0E65C044" w14:textId="558E3813" w:rsidR="0092725B" w:rsidRDefault="0092725B" w:rsidP="0092725B">
      <w:pPr>
        <w:jc w:val="both"/>
      </w:pPr>
      <w:r>
        <w:t xml:space="preserve">** The (Anglican) King James Version (1611) contained an appendix between Old and New Testaments entitled “Apocrypha.” It contained (1) the texts which Catholics and Eastern Orthodox consider deuterocanonical: </w:t>
      </w:r>
      <w:r>
        <w:t>Tobit, Judith, additions to Esther, 1 Maccabees, 2 Maccabees, Wisdom (</w:t>
      </w:r>
      <w:r>
        <w:t xml:space="preserve">aka Wisdom </w:t>
      </w:r>
      <w:r>
        <w:t>of Solomon), Sirach (aka Ecclesiasticus), Baruch (</w:t>
      </w:r>
      <w:r>
        <w:t xml:space="preserve">including </w:t>
      </w:r>
      <w:proofErr w:type="spellStart"/>
      <w:r>
        <w:t>ch.</w:t>
      </w:r>
      <w:proofErr w:type="spellEnd"/>
      <w:r>
        <w:t xml:space="preserve"> 6, the Epistle of Jeremiah), additions to Daniel (Song of the Three Children, Susanna, Bel and the Dragon)</w:t>
      </w:r>
      <w:r w:rsidR="004D7B2C">
        <w:t xml:space="preserve">. </w:t>
      </w:r>
      <w:r w:rsidR="004D7B2C">
        <w:t xml:space="preserve">It </w:t>
      </w:r>
      <w:r w:rsidR="004D7B2C">
        <w:t xml:space="preserve">also </w:t>
      </w:r>
      <w:r w:rsidR="004D7B2C">
        <w:t>contained</w:t>
      </w:r>
      <w:r>
        <w:t xml:space="preserve"> (2) </w:t>
      </w:r>
      <w:r>
        <w:t>3 Esdras</w:t>
      </w:r>
      <w:r>
        <w:t xml:space="preserve">, </w:t>
      </w:r>
      <w:r>
        <w:t>4 Esdras</w:t>
      </w:r>
      <w:r>
        <w:t xml:space="preserve">, and the </w:t>
      </w:r>
      <w:r>
        <w:t>Prayer of Manasseh</w:t>
      </w:r>
      <w:r>
        <w:t>.</w:t>
      </w:r>
    </w:p>
    <w:p w14:paraId="0A1362D6" w14:textId="77777777" w:rsidR="00775918" w:rsidRPr="00B83807" w:rsidRDefault="00775918" w:rsidP="00775918">
      <w:pPr>
        <w:jc w:val="both"/>
      </w:pPr>
    </w:p>
    <w:sectPr w:rsidR="00775918" w:rsidRPr="00B83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D7"/>
    <w:rsid w:val="000D47EA"/>
    <w:rsid w:val="00275CD7"/>
    <w:rsid w:val="002B4696"/>
    <w:rsid w:val="004D7B2C"/>
    <w:rsid w:val="00610D7B"/>
    <w:rsid w:val="00637DF2"/>
    <w:rsid w:val="00775918"/>
    <w:rsid w:val="007C5641"/>
    <w:rsid w:val="0092725B"/>
    <w:rsid w:val="00975BE0"/>
    <w:rsid w:val="00AE3E7A"/>
    <w:rsid w:val="00B83807"/>
    <w:rsid w:val="00BF4A3D"/>
    <w:rsid w:val="00DF1BB6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90D3D"/>
  <w15:chartTrackingRefBased/>
  <w15:docId w15:val="{75D18D5E-7C29-4C8C-8E90-C0162093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5B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C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75C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C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C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C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C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C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C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C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75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C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C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C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C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C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C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C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C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C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CD7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5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CD7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275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C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2025-09-04T15:20:00Z</dcterms:created>
  <dcterms:modified xsi:type="dcterms:W3CDTF">2025-09-06T09:02:00Z</dcterms:modified>
</cp:coreProperties>
</file>