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DD59" w14:textId="5F97AD5C" w:rsidR="00C46525" w:rsidRPr="00C46525" w:rsidRDefault="00C46525" w:rsidP="00C46525">
      <w:pPr>
        <w:jc w:val="center"/>
        <w:rPr>
          <w:kern w:val="2"/>
          <w14:ligatures w14:val="standardContextual"/>
        </w:rPr>
      </w:pPr>
      <w:r w:rsidRPr="00C46525">
        <w:rPr>
          <w:rFonts w:eastAsiaTheme="majorEastAsia"/>
          <w:kern w:val="2"/>
          <w:szCs w:val="32"/>
          <w14:ligatures w14:val="standardContextual"/>
        </w:rPr>
        <w:t>DATES OF OLD TESTAMENT APOCRYPHA</w:t>
      </w:r>
    </w:p>
    <w:p w14:paraId="53DCEFF0" w14:textId="03C02846" w:rsidR="00C46525" w:rsidRDefault="00C46525" w:rsidP="00C46525">
      <w:pPr>
        <w:jc w:val="both"/>
        <w:rPr>
          <w:kern w:val="2"/>
          <w14:ligatures w14:val="standardContextual"/>
        </w:rPr>
      </w:pPr>
    </w:p>
    <w:p w14:paraId="216CAC8E" w14:textId="77777777" w:rsidR="00004D86" w:rsidRPr="00ED69F6" w:rsidRDefault="00004D86" w:rsidP="00004D86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Paul Hahn, Theology Department</w:t>
      </w:r>
    </w:p>
    <w:p w14:paraId="6124957B" w14:textId="77777777" w:rsidR="00004D86" w:rsidRPr="00ED69F6" w:rsidRDefault="00004D86" w:rsidP="00004D86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2DE055E6" w14:textId="77777777" w:rsidR="00817A31" w:rsidRPr="00ED69F6" w:rsidRDefault="00817A31" w:rsidP="00817A31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43F176F0" w14:textId="77777777" w:rsidR="00004D86" w:rsidRDefault="00004D86" w:rsidP="00C46525">
      <w:pPr>
        <w:jc w:val="both"/>
        <w:rPr>
          <w:kern w:val="2"/>
          <w14:ligatures w14:val="standardContextual"/>
        </w:rPr>
      </w:pPr>
    </w:p>
    <w:p w14:paraId="16354869" w14:textId="77777777" w:rsidR="00C46525" w:rsidRPr="001F1F17" w:rsidRDefault="00C46525" w:rsidP="00C46525">
      <w:pPr>
        <w:jc w:val="both"/>
      </w:pPr>
    </w:p>
    <w:p w14:paraId="1527A94E" w14:textId="77777777" w:rsidR="00C46525" w:rsidRDefault="00C46525" w:rsidP="00C46525">
      <w:pPr>
        <w:tabs>
          <w:tab w:val="left" w:pos="172"/>
          <w:tab w:val="right" w:pos="5760"/>
          <w:tab w:val="right" w:pos="7200"/>
          <w:tab w:val="right" w:pos="8640"/>
        </w:tabs>
        <w:jc w:val="both"/>
      </w:pPr>
      <w:r>
        <w:rPr>
          <w:b/>
        </w:rPr>
        <w:t>Book Title</w:t>
      </w:r>
      <w:r w:rsidRPr="00B865F9">
        <w:t>:</w:t>
      </w:r>
      <w:r>
        <w:tab/>
      </w:r>
      <w:r>
        <w:rPr>
          <w:b/>
        </w:rPr>
        <w:t>McKenzie</w:t>
      </w:r>
      <w:r w:rsidRPr="00B865F9">
        <w:t>:</w:t>
      </w:r>
      <w:r>
        <w:tab/>
      </w:r>
      <w:r>
        <w:rPr>
          <w:b/>
        </w:rPr>
        <w:t>Rost</w:t>
      </w:r>
      <w:r w:rsidRPr="00B865F9">
        <w:t>:</w:t>
      </w:r>
      <w:r>
        <w:tab/>
      </w:r>
      <w:r>
        <w:rPr>
          <w:b/>
        </w:rPr>
        <w:t>Charles</w:t>
      </w:r>
      <w:r w:rsidRPr="00B865F9">
        <w:t>:</w:t>
      </w:r>
    </w:p>
    <w:p w14:paraId="2D96E1EA" w14:textId="77777777" w:rsidR="00C46525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</w:pPr>
    </w:p>
    <w:p w14:paraId="106599EA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Sibylline Oracles</w:t>
      </w:r>
      <w:r>
        <w:rPr>
          <w:sz w:val="22"/>
        </w:rPr>
        <w:tab/>
      </w:r>
      <w:r w:rsidRPr="001F1F17">
        <w:rPr>
          <w:sz w:val="22"/>
        </w:rPr>
        <w:t>200</w:t>
      </w:r>
      <w:r>
        <w:rPr>
          <w:sz w:val="22"/>
        </w:rPr>
        <w:t xml:space="preserve">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>-</w:t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200</w:t>
      </w:r>
      <w:r w:rsidRPr="001F1F17">
        <w:rPr>
          <w:sz w:val="22"/>
        </w:rPr>
        <w:tab/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80</w:t>
      </w:r>
    </w:p>
    <w:p w14:paraId="24CE598F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book 3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1B4E9B98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2</w:t>
      </w:r>
      <w:r w:rsidRPr="00B865F9">
        <w:rPr>
          <w:sz w:val="22"/>
        </w:rPr>
        <w:t>:</w:t>
      </w:r>
      <w:r w:rsidRPr="001F1F17">
        <w:rPr>
          <w:sz w:val="22"/>
        </w:rPr>
        <w:t>46ff</w:t>
      </w:r>
      <w:r w:rsidRPr="00B865F9">
        <w:rPr>
          <w:sz w:val="22"/>
        </w:rPr>
        <w:t>.,</w:t>
      </w:r>
      <w:r>
        <w:rPr>
          <w:sz w:val="22"/>
        </w:rPr>
        <w:t xml:space="preserve"> </w:t>
      </w:r>
      <w:r w:rsidRPr="001F1F17">
        <w:rPr>
          <w:sz w:val="22"/>
        </w:rPr>
        <w:t>143-44</w:t>
      </w:r>
      <w:r w:rsidRPr="001F1F17">
        <w:rPr>
          <w:sz w:val="22"/>
        </w:rPr>
        <w:tab/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76</w:t>
      </w:r>
    </w:p>
    <w:p w14:paraId="31B3C520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Prayer of the Three Young Men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589E2B3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1 Esdras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200s-100s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46ED184D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Ethiopian Enoch</w:t>
      </w:r>
      <w:r w:rsidRPr="001F1F17">
        <w:rPr>
          <w:rStyle w:val="FootnoteReference"/>
          <w:rFonts w:eastAsia="PMingLiU"/>
          <w:sz w:val="22"/>
        </w:rPr>
        <w:footnoteReference w:id="1"/>
      </w:r>
      <w:r w:rsidRPr="001F1F17">
        <w:rPr>
          <w:sz w:val="22"/>
        </w:rPr>
        <w:tab/>
        <w:t xml:space="preserve">100s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10CA1FB6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Book of Noah</w:t>
      </w:r>
      <w:r w:rsidRPr="00B865F9">
        <w:rPr>
          <w:sz w:val="22"/>
        </w:rPr>
        <w:t xml:space="preserve"> (</w:t>
      </w:r>
      <w:r w:rsidRPr="001F1F17">
        <w:rPr>
          <w:sz w:val="22"/>
        </w:rPr>
        <w:t>6-11</w:t>
      </w:r>
      <w:r w:rsidRPr="00B865F9">
        <w:rPr>
          <w:sz w:val="22"/>
        </w:rPr>
        <w:t>,</w:t>
      </w:r>
      <w:r>
        <w:rPr>
          <w:sz w:val="22"/>
        </w:rPr>
        <w:t xml:space="preserve"> </w:t>
      </w:r>
      <w:r w:rsidRPr="001F1F17">
        <w:rPr>
          <w:sz w:val="22"/>
        </w:rPr>
        <w:t>54</w:t>
      </w:r>
      <w:r w:rsidRPr="00B865F9">
        <w:rPr>
          <w:sz w:val="22"/>
        </w:rPr>
        <w:t>:</w:t>
      </w:r>
      <w:r w:rsidRPr="001F1F17">
        <w:rPr>
          <w:sz w:val="22"/>
        </w:rPr>
        <w:t>7-55</w:t>
      </w:r>
      <w:r w:rsidRPr="00B865F9">
        <w:rPr>
          <w:sz w:val="22"/>
        </w:rPr>
        <w:t>:</w:t>
      </w:r>
      <w:r w:rsidRPr="001F1F17">
        <w:rPr>
          <w:sz w:val="22"/>
        </w:rPr>
        <w:t>2</w:t>
      </w:r>
      <w:r w:rsidRPr="00B865F9">
        <w:rPr>
          <w:sz w:val="22"/>
        </w:rPr>
        <w:t>,</w:t>
      </w:r>
      <w:r>
        <w:rPr>
          <w:sz w:val="22"/>
        </w:rPr>
        <w:t xml:space="preserve"> </w:t>
      </w:r>
      <w:r w:rsidRPr="001F1F17">
        <w:rPr>
          <w:sz w:val="22"/>
        </w:rPr>
        <w:t>65-69</w:t>
      </w:r>
      <w:r w:rsidRPr="00B865F9">
        <w:rPr>
          <w:sz w:val="22"/>
        </w:rPr>
        <w:t>,</w:t>
      </w:r>
      <w:r>
        <w:rPr>
          <w:sz w:val="22"/>
        </w:rPr>
        <w:t xml:space="preserve"> </w:t>
      </w:r>
      <w:r w:rsidRPr="001F1F17">
        <w:rPr>
          <w:sz w:val="22"/>
        </w:rPr>
        <w:t>106-107</w:t>
      </w:r>
      <w:r w:rsidRPr="00B865F9">
        <w:rPr>
          <w:sz w:val="22"/>
        </w:rPr>
        <w:t>)</w:t>
      </w:r>
      <w:r w:rsidRPr="001F1F17">
        <w:rPr>
          <w:sz w:val="22"/>
        </w:rPr>
        <w:tab/>
        <w:t xml:space="preserve">190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pre-161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352F4583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chaps</w:t>
      </w:r>
      <w:r w:rsidRPr="00B865F9">
        <w:rPr>
          <w:sz w:val="22"/>
        </w:rPr>
        <w:t xml:space="preserve">. </w:t>
      </w:r>
      <w:r w:rsidRPr="001F1F17">
        <w:rPr>
          <w:sz w:val="22"/>
        </w:rPr>
        <w:t>12-16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190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pre-170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718A7580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Apocalypse of Weeks</w:t>
      </w:r>
      <w:r w:rsidRPr="00B865F9">
        <w:rPr>
          <w:sz w:val="22"/>
        </w:rPr>
        <w:t xml:space="preserve"> (</w:t>
      </w:r>
      <w:r w:rsidRPr="001F1F17">
        <w:rPr>
          <w:sz w:val="22"/>
        </w:rPr>
        <w:t>93 + 91</w:t>
      </w:r>
      <w:r w:rsidRPr="00B865F9">
        <w:rPr>
          <w:sz w:val="22"/>
        </w:rPr>
        <w:t>:</w:t>
      </w:r>
      <w:r w:rsidRPr="001F1F17">
        <w:rPr>
          <w:sz w:val="22"/>
        </w:rPr>
        <w:t>12-17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pre-166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67CA9134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journey sections</w:t>
      </w:r>
      <w:r w:rsidRPr="00B865F9">
        <w:rPr>
          <w:sz w:val="22"/>
        </w:rPr>
        <w:t xml:space="preserve"> (</w:t>
      </w:r>
      <w:r w:rsidRPr="001F1F17">
        <w:rPr>
          <w:sz w:val="22"/>
        </w:rPr>
        <w:t>17-36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pre-170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613172B2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animal apocalypse</w:t>
      </w:r>
      <w:r w:rsidRPr="00B865F9">
        <w:rPr>
          <w:sz w:val="22"/>
        </w:rPr>
        <w:t xml:space="preserve"> (</w:t>
      </w:r>
      <w:r w:rsidRPr="001F1F17">
        <w:rPr>
          <w:sz w:val="22"/>
        </w:rPr>
        <w:t>83-90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130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pre-161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410A0BB4" w14:textId="77777777" w:rsidR="00C46525" w:rsidRPr="001F538F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  <w:lang w:val="fr-FR"/>
        </w:rPr>
      </w:pPr>
      <w:proofErr w:type="spellStart"/>
      <w:r w:rsidRPr="001F538F">
        <w:rPr>
          <w:sz w:val="22"/>
          <w:lang w:val="fr-FR"/>
        </w:rPr>
        <w:t>astronomical</w:t>
      </w:r>
      <w:proofErr w:type="spellEnd"/>
      <w:r w:rsidRPr="001F538F">
        <w:rPr>
          <w:sz w:val="22"/>
          <w:lang w:val="fr-FR"/>
        </w:rPr>
        <w:t xml:space="preserve"> section (72-82)</w:t>
      </w:r>
      <w:r w:rsidRPr="001F538F">
        <w:rPr>
          <w:sz w:val="22"/>
          <w:lang w:val="fr-FR"/>
        </w:rPr>
        <w:tab/>
      </w:r>
      <w:r w:rsidRPr="001F538F">
        <w:rPr>
          <w:sz w:val="22"/>
          <w:lang w:val="fr-FR"/>
        </w:rPr>
        <w:tab/>
        <w:t xml:space="preserve">130 </w:t>
      </w:r>
      <w:proofErr w:type="spellStart"/>
      <w:r w:rsidRPr="001F538F">
        <w:rPr>
          <w:smallCaps/>
          <w:sz w:val="22"/>
          <w:lang w:val="fr-FR"/>
        </w:rPr>
        <w:t>bc</w:t>
      </w:r>
      <w:proofErr w:type="spellEnd"/>
      <w:r w:rsidRPr="001F538F">
        <w:rPr>
          <w:sz w:val="22"/>
          <w:lang w:val="fr-FR"/>
        </w:rPr>
        <w:tab/>
        <w:t xml:space="preserve">pre-110 </w:t>
      </w:r>
      <w:proofErr w:type="spellStart"/>
      <w:r w:rsidRPr="001F538F">
        <w:rPr>
          <w:smallCaps/>
          <w:sz w:val="22"/>
          <w:lang w:val="fr-FR"/>
        </w:rPr>
        <w:t>bc</w:t>
      </w:r>
      <w:proofErr w:type="spellEnd"/>
    </w:p>
    <w:p w14:paraId="396FC797" w14:textId="77777777" w:rsidR="00C46525" w:rsidRPr="001F538F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  <w:lang w:val="fr-FR"/>
        </w:rPr>
      </w:pPr>
      <w:r w:rsidRPr="001F538F">
        <w:rPr>
          <w:sz w:val="22"/>
          <w:lang w:val="fr-FR"/>
        </w:rPr>
        <w:t>similitudes (37-71)</w:t>
      </w:r>
      <w:r w:rsidRPr="001F538F">
        <w:rPr>
          <w:sz w:val="22"/>
          <w:lang w:val="fr-FR"/>
        </w:rPr>
        <w:tab/>
      </w:r>
      <w:r w:rsidRPr="001F538F">
        <w:rPr>
          <w:sz w:val="22"/>
          <w:lang w:val="fr-FR"/>
        </w:rPr>
        <w:tab/>
        <w:t xml:space="preserve">100 </w:t>
      </w:r>
      <w:proofErr w:type="spellStart"/>
      <w:r w:rsidRPr="001F538F">
        <w:rPr>
          <w:smallCaps/>
          <w:sz w:val="22"/>
          <w:lang w:val="fr-FR"/>
        </w:rPr>
        <w:t>bc</w:t>
      </w:r>
      <w:proofErr w:type="spellEnd"/>
      <w:r w:rsidRPr="001F538F">
        <w:rPr>
          <w:sz w:val="22"/>
          <w:lang w:val="fr-FR"/>
        </w:rPr>
        <w:tab/>
        <w:t xml:space="preserve">94-64 </w:t>
      </w:r>
      <w:proofErr w:type="spellStart"/>
      <w:r w:rsidRPr="001F538F">
        <w:rPr>
          <w:smallCaps/>
          <w:sz w:val="22"/>
          <w:lang w:val="fr-FR"/>
        </w:rPr>
        <w:t>bc</w:t>
      </w:r>
      <w:proofErr w:type="spellEnd"/>
    </w:p>
    <w:p w14:paraId="1048C57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admonitions</w:t>
      </w:r>
      <w:r w:rsidRPr="00B865F9">
        <w:rPr>
          <w:sz w:val="22"/>
        </w:rPr>
        <w:t xml:space="preserve"> (</w:t>
      </w:r>
      <w:r w:rsidRPr="001F1F17">
        <w:rPr>
          <w:sz w:val="22"/>
        </w:rPr>
        <w:t>91-104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50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95-64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52CC6FB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introduction and conclusion</w:t>
      </w:r>
      <w:r w:rsidRPr="00B865F9">
        <w:rPr>
          <w:sz w:val="22"/>
        </w:rPr>
        <w:t xml:space="preserve"> (</w:t>
      </w:r>
      <w:r w:rsidRPr="001F1F17">
        <w:rPr>
          <w:sz w:val="22"/>
        </w:rPr>
        <w:t>1-5</w:t>
      </w:r>
      <w:r w:rsidRPr="00B865F9">
        <w:rPr>
          <w:sz w:val="22"/>
        </w:rPr>
        <w:t>,</w:t>
      </w:r>
      <w:r>
        <w:rPr>
          <w:sz w:val="22"/>
        </w:rPr>
        <w:t xml:space="preserve"> </w:t>
      </w:r>
      <w:r w:rsidRPr="001F1F17">
        <w:rPr>
          <w:sz w:val="22"/>
        </w:rPr>
        <w:t>108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50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07E6F1F7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Letter of Aristeas</w:t>
      </w:r>
      <w:r w:rsidRPr="001F1F17">
        <w:rPr>
          <w:sz w:val="22"/>
        </w:rPr>
        <w:tab/>
        <w:t xml:space="preserve">145-100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130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130-70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41DD3778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Book of Jubilees</w:t>
      </w:r>
      <w:r w:rsidRPr="001F1F17">
        <w:rPr>
          <w:sz w:val="22"/>
        </w:rPr>
        <w:tab/>
        <w:t xml:space="preserve">134-103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109-105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109-105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5EA5CCE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3 Maccabees</w:t>
      </w:r>
      <w:r w:rsidRPr="001F1F17">
        <w:rPr>
          <w:sz w:val="22"/>
        </w:rPr>
        <w:tab/>
        <w:t xml:space="preserve">100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130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19B2EA14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Testaments of the Twelve Patriarchs</w:t>
      </w:r>
      <w:r w:rsidRPr="001F1F17">
        <w:rPr>
          <w:sz w:val="22"/>
        </w:rPr>
        <w:tab/>
        <w:t xml:space="preserve">100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50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  <w:t xml:space="preserve">109-105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7FCAB62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Testaments of Levi and Naphtali</w:t>
      </w:r>
      <w:r w:rsidRPr="001F1F17">
        <w:rPr>
          <w:sz w:val="22"/>
        </w:rPr>
        <w:tab/>
      </w:r>
      <w:r w:rsidRPr="001F1F17">
        <w:rPr>
          <w:sz w:val="22"/>
        </w:rPr>
        <w:tab/>
        <w:t>c</w:t>
      </w:r>
      <w:r w:rsidRPr="00B865F9">
        <w:rPr>
          <w:sz w:val="22"/>
        </w:rPr>
        <w:t xml:space="preserve">. </w:t>
      </w:r>
      <w:r w:rsidRPr="001F1F17">
        <w:rPr>
          <w:sz w:val="22"/>
        </w:rPr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1EBB4C3E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Christian redaction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100 </w:t>
      </w:r>
      <w:r w:rsidRPr="001F1F17">
        <w:rPr>
          <w:smallCaps/>
          <w:sz w:val="22"/>
        </w:rPr>
        <w:t>ad</w:t>
      </w:r>
    </w:p>
    <w:p w14:paraId="1268980E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Psalms of Solomon</w:t>
      </w:r>
      <w:r w:rsidRPr="001F1F17">
        <w:rPr>
          <w:sz w:val="22"/>
        </w:rPr>
        <w:tab/>
        <w:t xml:space="preserve">50-30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</w:r>
      <w:r w:rsidRPr="001F1F17">
        <w:rPr>
          <w:sz w:val="22"/>
        </w:rPr>
        <w:tab/>
        <w:t xml:space="preserve">63-47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519E070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4 Maccabees</w:t>
      </w:r>
      <w:r w:rsidRPr="001F1F17">
        <w:rPr>
          <w:sz w:val="22"/>
        </w:rPr>
        <w:tab/>
        <w:t xml:space="preserve">50-1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</w:t>
      </w:r>
      <w:r w:rsidRPr="001F1F17">
        <w:rPr>
          <w:sz w:val="22"/>
        </w:rPr>
        <w:tab/>
        <w:t xml:space="preserve">63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>-</w:t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38</w:t>
      </w:r>
    </w:p>
    <w:p w14:paraId="3680B5B8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Prayer of Manasseh</w:t>
      </w:r>
      <w:r w:rsidRPr="001F1F17">
        <w:rPr>
          <w:sz w:val="22"/>
        </w:rPr>
        <w:tab/>
      </w:r>
      <w:r w:rsidRPr="001F1F17">
        <w:rPr>
          <w:sz w:val="22"/>
        </w:rPr>
        <w:tab/>
        <w:t xml:space="preserve">50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02C81855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Ascension of Isaiah</w:t>
      </w:r>
    </w:p>
    <w:p w14:paraId="515A291A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martyrdom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1-50</w:t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1-100</w:t>
      </w:r>
    </w:p>
    <w:p w14:paraId="0AE7BB71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ascension</w:t>
      </w:r>
      <w:r w:rsidRPr="001F1F17">
        <w:rPr>
          <w:rStyle w:val="FootnoteReference"/>
          <w:rFonts w:eastAsia="PMingLiU"/>
          <w:sz w:val="22"/>
        </w:rPr>
        <w:footnoteReference w:id="2"/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150-250</w:t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770EA53B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vision</w:t>
      </w:r>
      <w:r w:rsidRPr="001F1F17">
        <w:rPr>
          <w:sz w:val="22"/>
          <w:vertAlign w:val="superscript"/>
        </w:rPr>
        <w:t>2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150-250</w:t>
      </w:r>
      <w:r w:rsidRPr="001F1F17">
        <w:rPr>
          <w:sz w:val="22"/>
        </w:rPr>
        <w:tab/>
        <w:t xml:space="preserve">170 </w:t>
      </w:r>
      <w:proofErr w:type="spellStart"/>
      <w:r w:rsidRPr="001F1F17">
        <w:rPr>
          <w:smallCaps/>
          <w:sz w:val="22"/>
        </w:rPr>
        <w:t>bc</w:t>
      </w:r>
      <w:proofErr w:type="spellEnd"/>
    </w:p>
    <w:p w14:paraId="07E5B7B5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Slavonic Enoch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1-70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</w:t>
      </w:r>
    </w:p>
    <w:p w14:paraId="12C54431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ind w:firstLine="172"/>
        <w:jc w:val="both"/>
        <w:rPr>
          <w:sz w:val="22"/>
        </w:rPr>
      </w:pPr>
      <w:r w:rsidRPr="001F1F17">
        <w:rPr>
          <w:sz w:val="22"/>
        </w:rPr>
        <w:t>Christian redaction</w:t>
      </w:r>
      <w:r w:rsidRPr="001F1F17">
        <w:rPr>
          <w:sz w:val="22"/>
        </w:rPr>
        <w:tab/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600</w:t>
      </w:r>
    </w:p>
    <w:p w14:paraId="34D5D070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Books of Adam and Eve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20-70</w:t>
      </w:r>
      <w:r w:rsidRPr="001F1F17">
        <w:rPr>
          <w:sz w:val="22"/>
        </w:rPr>
        <w:tab/>
        <w:t xml:space="preserve">50 </w:t>
      </w:r>
      <w:proofErr w:type="spellStart"/>
      <w:r w:rsidRPr="001F1F17">
        <w:rPr>
          <w:smallCaps/>
          <w:sz w:val="22"/>
        </w:rPr>
        <w:t>bc</w:t>
      </w:r>
      <w:proofErr w:type="spellEnd"/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60-100</w:t>
      </w:r>
    </w:p>
    <w:p w14:paraId="09AA1ADA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Assumption of Moses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1-100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7-30</w:t>
      </w:r>
    </w:p>
    <w:p w14:paraId="5DD4DF95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3 Baruch</w:t>
      </w:r>
      <w:r w:rsidRPr="00B865F9">
        <w:rPr>
          <w:sz w:val="22"/>
        </w:rPr>
        <w:t xml:space="preserve"> (</w:t>
      </w:r>
      <w:r>
        <w:rPr>
          <w:sz w:val="22"/>
        </w:rPr>
        <w:t xml:space="preserve">aka </w:t>
      </w:r>
      <w:r w:rsidRPr="001F1F17">
        <w:rPr>
          <w:sz w:val="22"/>
        </w:rPr>
        <w:t xml:space="preserve">Greek </w:t>
      </w:r>
      <w:r w:rsidRPr="001F1F17">
        <w:rPr>
          <w:i/>
          <w:sz w:val="22"/>
        </w:rPr>
        <w:t>Apocalypse of Baruch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100s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76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100</w:t>
      </w:r>
    </w:p>
    <w:p w14:paraId="4A922E6C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2 Baruch</w:t>
      </w:r>
      <w:r w:rsidRPr="00B865F9">
        <w:rPr>
          <w:sz w:val="22"/>
        </w:rPr>
        <w:t xml:space="preserve"> (</w:t>
      </w:r>
      <w:r>
        <w:rPr>
          <w:sz w:val="22"/>
        </w:rPr>
        <w:t xml:space="preserve">aka </w:t>
      </w:r>
      <w:r w:rsidRPr="001F1F17">
        <w:rPr>
          <w:sz w:val="22"/>
        </w:rPr>
        <w:t xml:space="preserve">Syriac </w:t>
      </w:r>
      <w:r w:rsidRPr="001F1F17">
        <w:rPr>
          <w:i/>
          <w:sz w:val="22"/>
        </w:rPr>
        <w:t>Apocalypse of Baruch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70-150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90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50-90</w:t>
      </w:r>
    </w:p>
    <w:p w14:paraId="650BB029" w14:textId="77777777" w:rsidR="00C46525" w:rsidRPr="001F1F17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2"/>
        </w:rPr>
      </w:pPr>
      <w:r w:rsidRPr="001F1F17">
        <w:rPr>
          <w:i/>
          <w:sz w:val="22"/>
        </w:rPr>
        <w:t>2 Esdras</w:t>
      </w:r>
      <w:r w:rsidRPr="00B865F9">
        <w:rPr>
          <w:sz w:val="22"/>
        </w:rPr>
        <w:t xml:space="preserve"> (</w:t>
      </w:r>
      <w:r w:rsidRPr="001F1F17">
        <w:rPr>
          <w:sz w:val="22"/>
        </w:rPr>
        <w:t>V</w:t>
      </w:r>
      <w:r>
        <w:rPr>
          <w:sz w:val="22"/>
        </w:rPr>
        <w:t>ul</w:t>
      </w:r>
      <w:r w:rsidRPr="001F1F17">
        <w:rPr>
          <w:sz w:val="22"/>
        </w:rPr>
        <w:t>g</w:t>
      </w:r>
      <w:r>
        <w:rPr>
          <w:sz w:val="22"/>
        </w:rPr>
        <w:t>ate</w:t>
      </w:r>
      <w:r w:rsidRPr="001F1F17">
        <w:rPr>
          <w:sz w:val="22"/>
        </w:rPr>
        <w:t xml:space="preserve"> </w:t>
      </w:r>
      <w:r w:rsidRPr="001F1F17">
        <w:rPr>
          <w:i/>
          <w:sz w:val="22"/>
        </w:rPr>
        <w:t>4 Esdras</w:t>
      </w:r>
      <w:r w:rsidRPr="00B865F9">
        <w:rPr>
          <w:sz w:val="22"/>
        </w:rPr>
        <w:t>)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70-150</w:t>
      </w:r>
      <w:r w:rsidRPr="001F1F17">
        <w:rPr>
          <w:sz w:val="22"/>
        </w:rPr>
        <w:tab/>
        <w:t xml:space="preserve">post </w:t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70</w:t>
      </w:r>
      <w:r w:rsidRPr="001F1F17">
        <w:rPr>
          <w:sz w:val="22"/>
        </w:rPr>
        <w:tab/>
      </w:r>
      <w:r w:rsidRPr="001F1F17">
        <w:rPr>
          <w:smallCaps/>
          <w:sz w:val="22"/>
        </w:rPr>
        <w:t>ad</w:t>
      </w:r>
      <w:r w:rsidRPr="001F1F17">
        <w:rPr>
          <w:sz w:val="22"/>
        </w:rPr>
        <w:t xml:space="preserve"> 81-96</w:t>
      </w:r>
    </w:p>
    <w:p w14:paraId="7E8AEA32" w14:textId="376FF971" w:rsidR="00BF4A3D" w:rsidRDefault="00BF4A3D"/>
    <w:p w14:paraId="6C290912" w14:textId="5318C71C" w:rsidR="00043B70" w:rsidRDefault="00043B70" w:rsidP="00043B70">
      <w:pPr>
        <w:jc w:val="center"/>
      </w:pPr>
      <w:r w:rsidRPr="00043B70">
        <w:rPr>
          <w:smallCaps/>
        </w:rPr>
        <w:t>bibliography</w:t>
      </w:r>
    </w:p>
    <w:p w14:paraId="3145FB4B" w14:textId="77777777" w:rsidR="00043B70" w:rsidRDefault="00043B70"/>
    <w:p w14:paraId="4911AF00" w14:textId="77777777" w:rsidR="00043B70" w:rsidRPr="00043B70" w:rsidRDefault="00043B70" w:rsidP="00043B70">
      <w:pPr>
        <w:ind w:left="720" w:hanging="720"/>
        <w:jc w:val="both"/>
        <w:rPr>
          <w:szCs w:val="24"/>
        </w:rPr>
      </w:pPr>
      <w:bookmarkStart w:id="0" w:name="_Hlk498717891"/>
      <w:r w:rsidRPr="00043B70">
        <w:rPr>
          <w:szCs w:val="24"/>
        </w:rPr>
        <w:t xml:space="preserve">Charles, R.H. </w:t>
      </w:r>
      <w:r w:rsidRPr="00043B70">
        <w:rPr>
          <w:i/>
          <w:szCs w:val="24"/>
        </w:rPr>
        <w:t>The Apocrypha and Pseudepigrapha of the Old Testament in English</w:t>
      </w:r>
      <w:r w:rsidRPr="00043B70">
        <w:rPr>
          <w:szCs w:val="24"/>
        </w:rPr>
        <w:t xml:space="preserve">. Vol. 1: </w:t>
      </w:r>
      <w:r w:rsidRPr="00043B70">
        <w:rPr>
          <w:i/>
          <w:szCs w:val="24"/>
        </w:rPr>
        <w:t>Apocrypha</w:t>
      </w:r>
      <w:r w:rsidRPr="00043B70">
        <w:rPr>
          <w:szCs w:val="24"/>
        </w:rPr>
        <w:t xml:space="preserve">. Vol. 2: </w:t>
      </w:r>
      <w:r w:rsidRPr="00043B70">
        <w:rPr>
          <w:i/>
          <w:szCs w:val="24"/>
        </w:rPr>
        <w:t>Pseudepigrapha</w:t>
      </w:r>
      <w:r w:rsidRPr="00043B70">
        <w:rPr>
          <w:szCs w:val="24"/>
        </w:rPr>
        <w:t>. Oxford: Clarendon, 1913.</w:t>
      </w:r>
    </w:p>
    <w:p w14:paraId="18E273CA" w14:textId="77777777" w:rsidR="00043B70" w:rsidRDefault="00043B70" w:rsidP="00043B70">
      <w:pPr>
        <w:jc w:val="both"/>
        <w:rPr>
          <w:szCs w:val="24"/>
        </w:rPr>
      </w:pPr>
    </w:p>
    <w:p w14:paraId="467374A2" w14:textId="35A86975" w:rsidR="00043B70" w:rsidRPr="00043B70" w:rsidRDefault="00043B70" w:rsidP="00043B70">
      <w:pPr>
        <w:ind w:left="720" w:hanging="720"/>
        <w:jc w:val="both"/>
        <w:rPr>
          <w:szCs w:val="24"/>
        </w:rPr>
      </w:pPr>
      <w:r w:rsidRPr="00043B70">
        <w:rPr>
          <w:szCs w:val="24"/>
        </w:rPr>
        <w:t xml:space="preserve">McKenzie, John. </w:t>
      </w:r>
      <w:r w:rsidRPr="00043B70">
        <w:rPr>
          <w:i/>
          <w:szCs w:val="24"/>
        </w:rPr>
        <w:t>Dictionary of the Bible</w:t>
      </w:r>
      <w:r w:rsidRPr="00043B70">
        <w:rPr>
          <w:szCs w:val="24"/>
        </w:rPr>
        <w:t>. Milwaukee: Bruce, 1965.</w:t>
      </w:r>
    </w:p>
    <w:p w14:paraId="627AD381" w14:textId="77777777" w:rsidR="00043B70" w:rsidRDefault="00043B70" w:rsidP="00043B70">
      <w:pPr>
        <w:jc w:val="both"/>
        <w:rPr>
          <w:szCs w:val="24"/>
        </w:rPr>
      </w:pPr>
    </w:p>
    <w:p w14:paraId="564E3854" w14:textId="4280CE65" w:rsidR="00043B70" w:rsidRPr="00043B70" w:rsidRDefault="00043B70" w:rsidP="00043B70">
      <w:pPr>
        <w:ind w:left="720" w:hanging="720"/>
        <w:jc w:val="both"/>
        <w:rPr>
          <w:szCs w:val="24"/>
        </w:rPr>
      </w:pPr>
      <w:r w:rsidRPr="00043B70">
        <w:rPr>
          <w:szCs w:val="24"/>
        </w:rPr>
        <w:t xml:space="preserve">Rost, Leonard. </w:t>
      </w:r>
      <w:r w:rsidRPr="00043B70">
        <w:rPr>
          <w:i/>
          <w:szCs w:val="24"/>
        </w:rPr>
        <w:t>Judaism Outside the Hebrew Canon</w:t>
      </w:r>
      <w:r w:rsidRPr="00043B70">
        <w:rPr>
          <w:szCs w:val="24"/>
        </w:rPr>
        <w:t>. Nashville: Abingdon, 1976. (German: 1971.)</w:t>
      </w:r>
    </w:p>
    <w:bookmarkEnd w:id="0"/>
    <w:p w14:paraId="7968EB24" w14:textId="77777777" w:rsidR="00043B70" w:rsidRDefault="00043B70"/>
    <w:sectPr w:rsidR="00043B7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3466" w14:textId="77777777" w:rsidR="00025315" w:rsidRDefault="00025315" w:rsidP="00C46525">
      <w:r>
        <w:separator/>
      </w:r>
    </w:p>
  </w:endnote>
  <w:endnote w:type="continuationSeparator" w:id="0">
    <w:p w14:paraId="1C9DCC44" w14:textId="77777777" w:rsidR="00025315" w:rsidRDefault="00025315" w:rsidP="00C4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A27A" w14:textId="77777777" w:rsidR="00025315" w:rsidRDefault="00025315" w:rsidP="00C46525">
      <w:r>
        <w:separator/>
      </w:r>
    </w:p>
  </w:footnote>
  <w:footnote w:type="continuationSeparator" w:id="0">
    <w:p w14:paraId="0F71BEA2" w14:textId="77777777" w:rsidR="00025315" w:rsidRDefault="00025315" w:rsidP="00C46525">
      <w:r>
        <w:continuationSeparator/>
      </w:r>
    </w:p>
  </w:footnote>
  <w:footnote w:id="1">
    <w:p w14:paraId="0C720750" w14:textId="77777777" w:rsidR="00C46525" w:rsidRPr="002B30ED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0"/>
        </w:rPr>
      </w:pPr>
      <w:r w:rsidRPr="002B30ED">
        <w:rPr>
          <w:sz w:val="20"/>
        </w:rPr>
        <w:t xml:space="preserve">         </w:t>
      </w:r>
      <w:r w:rsidRPr="002B30ED">
        <w:rPr>
          <w:rStyle w:val="FootnoteReference"/>
          <w:rFonts w:eastAsia="PMingLiU"/>
          <w:sz w:val="20"/>
        </w:rPr>
        <w:footnoteRef/>
      </w:r>
      <w:r w:rsidRPr="002B30ED">
        <w:rPr>
          <w:sz w:val="20"/>
        </w:rPr>
        <w:t xml:space="preserve"> Numbers in parentheses refer to chapters of </w:t>
      </w:r>
      <w:r w:rsidRPr="002B30ED">
        <w:rPr>
          <w:i/>
          <w:sz w:val="20"/>
        </w:rPr>
        <w:t>Ethiopian Enoch</w:t>
      </w:r>
      <w:r w:rsidRPr="002B30ED">
        <w:rPr>
          <w:sz w:val="20"/>
        </w:rPr>
        <w:t xml:space="preserve"> (also known as </w:t>
      </w:r>
      <w:r w:rsidRPr="002B30ED">
        <w:rPr>
          <w:i/>
          <w:sz w:val="20"/>
        </w:rPr>
        <w:t>First Enoch</w:t>
      </w:r>
      <w:r w:rsidRPr="002B30ED">
        <w:rPr>
          <w:sz w:val="20"/>
        </w:rPr>
        <w:t xml:space="preserve">; </w:t>
      </w:r>
      <w:r w:rsidRPr="002B30ED">
        <w:rPr>
          <w:i/>
          <w:sz w:val="20"/>
        </w:rPr>
        <w:t>Slavonic Enoch</w:t>
      </w:r>
      <w:r w:rsidRPr="002B30ED">
        <w:rPr>
          <w:sz w:val="20"/>
        </w:rPr>
        <w:t xml:space="preserve"> is also known as </w:t>
      </w:r>
      <w:r w:rsidRPr="002B30ED">
        <w:rPr>
          <w:i/>
          <w:sz w:val="20"/>
        </w:rPr>
        <w:t>Second Enoch</w:t>
      </w:r>
      <w:r w:rsidRPr="002B30ED">
        <w:rPr>
          <w:sz w:val="20"/>
        </w:rPr>
        <w:t>).</w:t>
      </w:r>
    </w:p>
  </w:footnote>
  <w:footnote w:id="2">
    <w:p w14:paraId="0D8F498E" w14:textId="77777777" w:rsidR="00C46525" w:rsidRPr="002B30ED" w:rsidRDefault="00C46525" w:rsidP="00C46525">
      <w:pPr>
        <w:tabs>
          <w:tab w:val="left" w:pos="172"/>
          <w:tab w:val="right" w:leader="dot" w:pos="5760"/>
          <w:tab w:val="right" w:leader="dot" w:pos="7200"/>
          <w:tab w:val="right" w:leader="dot" w:pos="8640"/>
        </w:tabs>
        <w:jc w:val="both"/>
        <w:rPr>
          <w:sz w:val="20"/>
        </w:rPr>
      </w:pPr>
      <w:r w:rsidRPr="002B30ED">
        <w:rPr>
          <w:sz w:val="20"/>
        </w:rPr>
        <w:t xml:space="preserve">         </w:t>
      </w:r>
      <w:r w:rsidRPr="002B30ED">
        <w:rPr>
          <w:rStyle w:val="FootnoteReference"/>
          <w:rFonts w:eastAsia="PMingLiU"/>
          <w:sz w:val="20"/>
        </w:rPr>
        <w:footnoteRef/>
      </w:r>
      <w:r w:rsidRPr="002B30ED">
        <w:rPr>
          <w:sz w:val="20"/>
        </w:rPr>
        <w:t xml:space="preserve"> Christian interpolation.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25"/>
    <w:rsid w:val="00004D86"/>
    <w:rsid w:val="00025315"/>
    <w:rsid w:val="00043B70"/>
    <w:rsid w:val="00205A31"/>
    <w:rsid w:val="002B4696"/>
    <w:rsid w:val="00332D74"/>
    <w:rsid w:val="00610D7B"/>
    <w:rsid w:val="007C5641"/>
    <w:rsid w:val="00817A31"/>
    <w:rsid w:val="00975BE0"/>
    <w:rsid w:val="00A67268"/>
    <w:rsid w:val="00AE3E7A"/>
    <w:rsid w:val="00BF4A3D"/>
    <w:rsid w:val="00C46525"/>
    <w:rsid w:val="00DD1554"/>
    <w:rsid w:val="00DF1BB6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25D0"/>
  <w15:chartTrackingRefBased/>
  <w15:docId w15:val="{A9A64A3F-5435-499D-9976-BCC69123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25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5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465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46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2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6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25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C46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25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rsid w:val="00C465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5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525"/>
    <w:rPr>
      <w:rFonts w:eastAsia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EF39-9E48-4867-A9D6-8210F4C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2025-09-05T05:06:00Z</dcterms:created>
  <dcterms:modified xsi:type="dcterms:W3CDTF">2025-10-14T07:53:00Z</dcterms:modified>
</cp:coreProperties>
</file>