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6A05" w14:textId="3AABEE93" w:rsidR="00E91A21" w:rsidRPr="00E91A21" w:rsidRDefault="00E91A21" w:rsidP="00E91A21">
      <w:pPr>
        <w:jc w:val="center"/>
        <w:rPr>
          <w:rFonts w:eastAsiaTheme="majorEastAsia"/>
          <w:kern w:val="2"/>
          <w:szCs w:val="32"/>
          <w14:ligatures w14:val="standardContextual"/>
        </w:rPr>
      </w:pPr>
      <w:r w:rsidRPr="00E91A21">
        <w:rPr>
          <w:rFonts w:eastAsiaTheme="majorEastAsia"/>
          <w:kern w:val="2"/>
          <w:szCs w:val="32"/>
          <w14:ligatures w14:val="standardContextual"/>
        </w:rPr>
        <w:t>SOME METHODS OF TIME RECKONING IN THE ANCIENT NEAR EAST</w:t>
      </w:r>
    </w:p>
    <w:p w14:paraId="019199D3" w14:textId="4824FE09" w:rsidR="00E91A21" w:rsidRDefault="00E91A21" w:rsidP="00E91A21">
      <w:pPr>
        <w:jc w:val="both"/>
        <w:rPr>
          <w:kern w:val="2"/>
          <w14:ligatures w14:val="standardContextual"/>
        </w:rPr>
      </w:pPr>
    </w:p>
    <w:p w14:paraId="297D75FF" w14:textId="77777777" w:rsidR="00B67F7E" w:rsidRPr="005A28E4" w:rsidRDefault="00B67F7E" w:rsidP="00B67F7E">
      <w:pPr>
        <w:jc w:val="center"/>
        <w:rPr>
          <w:sz w:val="20"/>
          <w:szCs w:val="16"/>
        </w:rPr>
      </w:pPr>
      <w:r w:rsidRPr="005A28E4">
        <w:rPr>
          <w:sz w:val="20"/>
          <w:szCs w:val="16"/>
        </w:rPr>
        <w:t>Paul Hahn, Theology Department</w:t>
      </w:r>
    </w:p>
    <w:p w14:paraId="4D247A19" w14:textId="77777777" w:rsidR="00B67F7E" w:rsidRPr="005A28E4" w:rsidRDefault="00B67F7E" w:rsidP="00B67F7E">
      <w:pPr>
        <w:jc w:val="center"/>
        <w:rPr>
          <w:sz w:val="20"/>
          <w:szCs w:val="16"/>
        </w:rPr>
      </w:pPr>
      <w:r w:rsidRPr="005A28E4">
        <w:rPr>
          <w:sz w:val="20"/>
          <w:szCs w:val="16"/>
        </w:rPr>
        <w:t>University of St Thomas Houston TX 77006</w:t>
      </w:r>
    </w:p>
    <w:p w14:paraId="68DF4C40" w14:textId="77777777" w:rsidR="002E42C2" w:rsidRPr="00434E69" w:rsidRDefault="002E42C2" w:rsidP="002E42C2">
      <w:pPr>
        <w:contextualSpacing/>
        <w:jc w:val="center"/>
        <w:rPr>
          <w:kern w:val="2"/>
          <w:sz w:val="20"/>
          <w:szCs w:val="16"/>
          <w14:ligatures w14:val="standardContextual"/>
        </w:rPr>
      </w:pPr>
      <w:r w:rsidRPr="00434E69">
        <w:rPr>
          <w:kern w:val="2"/>
          <w:sz w:val="20"/>
          <w:szCs w:val="18"/>
          <w14:ligatures w14:val="standardContextual"/>
        </w:rPr>
        <w:t>© 2026</w:t>
      </w:r>
      <w:r>
        <w:rPr>
          <w:kern w:val="2"/>
          <w:sz w:val="20"/>
          <w:szCs w:val="18"/>
          <w14:ligatures w14:val="standardContextual"/>
        </w:rPr>
        <w:t>, theologyplus.com</w:t>
      </w:r>
    </w:p>
    <w:p w14:paraId="5D79ECC7" w14:textId="77777777" w:rsidR="00B67F7E" w:rsidRDefault="00B67F7E" w:rsidP="00E91A21">
      <w:pPr>
        <w:jc w:val="both"/>
        <w:rPr>
          <w:kern w:val="2"/>
          <w14:ligatures w14:val="standardContextual"/>
        </w:rPr>
      </w:pPr>
    </w:p>
    <w:p w14:paraId="1F5F9C17" w14:textId="77777777" w:rsidR="00B67F7E" w:rsidRPr="00E91A21" w:rsidRDefault="00B67F7E" w:rsidP="00E91A21">
      <w:pPr>
        <w:jc w:val="both"/>
        <w:rPr>
          <w:kern w:val="2"/>
          <w14:ligatures w14:val="standardContextual"/>
        </w:rPr>
      </w:pPr>
    </w:p>
    <w:p w14:paraId="310626AC" w14:textId="77777777" w:rsidR="00E91A21" w:rsidRPr="00A7028D" w:rsidRDefault="00E91A21" w:rsidP="00E91A21">
      <w:pPr>
        <w:ind w:left="1440" w:right="720" w:hanging="720"/>
        <w:rPr>
          <w:sz w:val="20"/>
        </w:rPr>
      </w:pPr>
      <w:r w:rsidRPr="00A7028D">
        <w:rPr>
          <w:sz w:val="20"/>
        </w:rPr>
        <w:t>Finegan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A7028D">
        <w:rPr>
          <w:sz w:val="20"/>
        </w:rPr>
        <w:t>Jack</w:t>
      </w:r>
      <w:r w:rsidRPr="00B865F9">
        <w:rPr>
          <w:sz w:val="20"/>
        </w:rPr>
        <w:t xml:space="preserve">. </w:t>
      </w:r>
      <w:r w:rsidRPr="00A7028D">
        <w:rPr>
          <w:i/>
          <w:sz w:val="20"/>
        </w:rPr>
        <w:t>Handbook of Biblical Chronology</w:t>
      </w:r>
      <w:r w:rsidRPr="00B865F9">
        <w:rPr>
          <w:sz w:val="20"/>
        </w:rPr>
        <w:t xml:space="preserve">: </w:t>
      </w:r>
      <w:r w:rsidRPr="00A7028D">
        <w:rPr>
          <w:i/>
          <w:sz w:val="20"/>
        </w:rPr>
        <w:t>Principles of Time Reckon</w:t>
      </w:r>
      <w:r w:rsidRPr="00A7028D">
        <w:rPr>
          <w:i/>
          <w:sz w:val="20"/>
        </w:rPr>
        <w:softHyphen/>
        <w:t>ing in the Ancient World and Problems of Chron</w:t>
      </w:r>
      <w:r w:rsidRPr="00A7028D">
        <w:rPr>
          <w:i/>
          <w:sz w:val="20"/>
        </w:rPr>
        <w:softHyphen/>
        <w:t>o</w:t>
      </w:r>
      <w:r w:rsidRPr="00A7028D">
        <w:rPr>
          <w:i/>
          <w:sz w:val="20"/>
        </w:rPr>
        <w:softHyphen/>
        <w:t>logy in the Bible</w:t>
      </w:r>
      <w:r w:rsidRPr="00B865F9">
        <w:rPr>
          <w:sz w:val="20"/>
        </w:rPr>
        <w:t xml:space="preserve">. </w:t>
      </w:r>
      <w:r w:rsidRPr="00A7028D">
        <w:rPr>
          <w:sz w:val="20"/>
        </w:rPr>
        <w:t>Princeton</w:t>
      </w:r>
      <w:r w:rsidRPr="00B865F9">
        <w:rPr>
          <w:sz w:val="20"/>
        </w:rPr>
        <w:t xml:space="preserve">: </w:t>
      </w:r>
      <w:r w:rsidRPr="00A7028D">
        <w:rPr>
          <w:sz w:val="20"/>
        </w:rPr>
        <w:t>Prince</w:t>
      </w:r>
      <w:r w:rsidRPr="00A7028D">
        <w:rPr>
          <w:sz w:val="20"/>
        </w:rPr>
        <w:softHyphen/>
        <w:t xml:space="preserve">ton </w:t>
      </w:r>
      <w:r>
        <w:rPr>
          <w:sz w:val="20"/>
        </w:rPr>
        <w:t>UP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A7028D">
        <w:rPr>
          <w:sz w:val="20"/>
        </w:rPr>
        <w:t>1964</w:t>
      </w:r>
      <w:r w:rsidRPr="00B865F9">
        <w:rPr>
          <w:sz w:val="20"/>
        </w:rPr>
        <w:t>.</w:t>
      </w:r>
    </w:p>
    <w:p w14:paraId="12D219B6" w14:textId="77777777" w:rsidR="00E91A21" w:rsidRDefault="00E91A21" w:rsidP="00E91A21"/>
    <w:tbl>
      <w:tblPr>
        <w:tblStyle w:val="TableGrid2"/>
        <w:tblW w:w="9468" w:type="dxa"/>
        <w:tblLayout w:type="fixed"/>
        <w:tblLook w:val="0000" w:firstRow="0" w:lastRow="0" w:firstColumn="0" w:lastColumn="0" w:noHBand="0" w:noVBand="0"/>
      </w:tblPr>
      <w:tblGrid>
        <w:gridCol w:w="1170"/>
        <w:gridCol w:w="2970"/>
        <w:gridCol w:w="1620"/>
        <w:gridCol w:w="3708"/>
      </w:tblGrid>
      <w:tr w:rsidR="00E91A21" w:rsidRPr="00B67F7E" w14:paraId="17FC75C2" w14:textId="77777777" w:rsidTr="00B67F7E">
        <w:tc>
          <w:tcPr>
            <w:tcW w:w="1170" w:type="dxa"/>
          </w:tcPr>
          <w:p w14:paraId="213113B1" w14:textId="77777777" w:rsidR="00E91A21" w:rsidRPr="00B67F7E" w:rsidRDefault="00E91A21" w:rsidP="0055061E">
            <w:pPr>
              <w:rPr>
                <w:i/>
                <w:smallCaps/>
                <w:sz w:val="24"/>
                <w:szCs w:val="24"/>
              </w:rPr>
            </w:pPr>
            <w:r w:rsidRPr="00B67F7E">
              <w:rPr>
                <w:i/>
                <w:smallCaps/>
                <w:sz w:val="24"/>
                <w:szCs w:val="24"/>
              </w:rPr>
              <w:t>system</w:t>
            </w:r>
          </w:p>
        </w:tc>
        <w:tc>
          <w:tcPr>
            <w:tcW w:w="2970" w:type="dxa"/>
          </w:tcPr>
          <w:p w14:paraId="72CD2618" w14:textId="77777777" w:rsidR="00E91A21" w:rsidRPr="00B67F7E" w:rsidRDefault="00E91A21" w:rsidP="0055061E">
            <w:pPr>
              <w:rPr>
                <w:i/>
                <w:smallCaps/>
                <w:sz w:val="24"/>
                <w:szCs w:val="24"/>
              </w:rPr>
            </w:pPr>
            <w:r w:rsidRPr="00B67F7E">
              <w:rPr>
                <w:i/>
                <w:smallCaps/>
                <w:sz w:val="24"/>
                <w:szCs w:val="24"/>
              </w:rPr>
              <w:t>time unit</w:t>
            </w:r>
          </w:p>
        </w:tc>
        <w:tc>
          <w:tcPr>
            <w:tcW w:w="1620" w:type="dxa"/>
          </w:tcPr>
          <w:p w14:paraId="433B5AC8" w14:textId="77777777" w:rsidR="00E91A21" w:rsidRPr="00B67F7E" w:rsidRDefault="00E91A21" w:rsidP="0055061E">
            <w:pPr>
              <w:rPr>
                <w:i/>
                <w:smallCaps/>
                <w:sz w:val="24"/>
                <w:szCs w:val="24"/>
              </w:rPr>
            </w:pPr>
            <w:r w:rsidRPr="00B67F7E">
              <w:rPr>
                <w:i/>
                <w:smallCaps/>
                <w:sz w:val="24"/>
                <w:szCs w:val="24"/>
              </w:rPr>
              <w:t>abbreviation</w:t>
            </w:r>
          </w:p>
        </w:tc>
        <w:tc>
          <w:tcPr>
            <w:tcW w:w="3708" w:type="dxa"/>
          </w:tcPr>
          <w:p w14:paraId="5716926E" w14:textId="77777777" w:rsidR="00E91A21" w:rsidRPr="00B67F7E" w:rsidRDefault="00E91A21" w:rsidP="0055061E">
            <w:pPr>
              <w:rPr>
                <w:i/>
                <w:smallCaps/>
                <w:sz w:val="24"/>
                <w:szCs w:val="24"/>
              </w:rPr>
            </w:pPr>
            <w:r w:rsidRPr="00B67F7E">
              <w:rPr>
                <w:i/>
                <w:smallCaps/>
                <w:sz w:val="24"/>
                <w:szCs w:val="24"/>
              </w:rPr>
              <w:t>example</w:t>
            </w:r>
          </w:p>
        </w:tc>
      </w:tr>
      <w:tr w:rsidR="00E91A21" w:rsidRPr="00B67F7E" w14:paraId="6FBBC560" w14:textId="77777777" w:rsidTr="00B67F7E">
        <w:tc>
          <w:tcPr>
            <w:tcW w:w="1170" w:type="dxa"/>
          </w:tcPr>
          <w:p w14:paraId="4B3E4740" w14:textId="77777777" w:rsidR="00E91A21" w:rsidRPr="00B67F7E" w:rsidRDefault="00E91A21" w:rsidP="0055061E">
            <w:pPr>
              <w:rPr>
                <w:sz w:val="24"/>
                <w:szCs w:val="24"/>
              </w:rPr>
            </w:pPr>
            <w:r w:rsidRPr="00B67F7E">
              <w:rPr>
                <w:sz w:val="24"/>
                <w:szCs w:val="24"/>
              </w:rPr>
              <w:t>Greek</w:t>
            </w:r>
          </w:p>
        </w:tc>
        <w:tc>
          <w:tcPr>
            <w:tcW w:w="2970" w:type="dxa"/>
          </w:tcPr>
          <w:p w14:paraId="2F404FCC" w14:textId="1553987A" w:rsidR="00E91A21" w:rsidRPr="00B67F7E" w:rsidRDefault="00E91A21" w:rsidP="0055061E">
            <w:pPr>
              <w:rPr>
                <w:sz w:val="24"/>
                <w:szCs w:val="24"/>
              </w:rPr>
            </w:pPr>
            <w:r w:rsidRPr="00B67F7E">
              <w:rPr>
                <w:sz w:val="24"/>
                <w:szCs w:val="24"/>
              </w:rPr>
              <w:t xml:space="preserve">Olympiads  (each </w:t>
            </w:r>
            <w:r w:rsidR="00B67F7E" w:rsidRPr="00B67F7E">
              <w:rPr>
                <w:sz w:val="24"/>
                <w:szCs w:val="24"/>
              </w:rPr>
              <w:t>is</w:t>
            </w:r>
            <w:r w:rsidRPr="00B67F7E">
              <w:rPr>
                <w:sz w:val="24"/>
                <w:szCs w:val="24"/>
              </w:rPr>
              <w:t xml:space="preserve"> 4 y</w:t>
            </w:r>
            <w:r w:rsidR="00B67F7E" w:rsidRPr="00B67F7E">
              <w:rPr>
                <w:sz w:val="24"/>
                <w:szCs w:val="24"/>
              </w:rPr>
              <w:t>ea</w:t>
            </w:r>
            <w:r w:rsidRPr="00B67F7E">
              <w:rPr>
                <w:sz w:val="24"/>
                <w:szCs w:val="24"/>
              </w:rPr>
              <w:t>rs)</w:t>
            </w:r>
          </w:p>
        </w:tc>
        <w:tc>
          <w:tcPr>
            <w:tcW w:w="1620" w:type="dxa"/>
          </w:tcPr>
          <w:p w14:paraId="51420E04" w14:textId="77777777" w:rsidR="00E91A21" w:rsidRPr="00B67F7E" w:rsidRDefault="00E91A21" w:rsidP="0055061E">
            <w:pPr>
              <w:rPr>
                <w:sz w:val="24"/>
                <w:szCs w:val="24"/>
              </w:rPr>
            </w:pPr>
            <w:r w:rsidRPr="00B67F7E">
              <w:rPr>
                <w:sz w:val="24"/>
                <w:szCs w:val="24"/>
              </w:rPr>
              <w:t>Ol.</w:t>
            </w:r>
          </w:p>
        </w:tc>
        <w:tc>
          <w:tcPr>
            <w:tcW w:w="3708" w:type="dxa"/>
          </w:tcPr>
          <w:p w14:paraId="6E207F2D" w14:textId="77777777" w:rsidR="00E91A21" w:rsidRPr="00B67F7E" w:rsidRDefault="00E91A21" w:rsidP="0055061E">
            <w:pPr>
              <w:rPr>
                <w:sz w:val="24"/>
                <w:szCs w:val="24"/>
              </w:rPr>
            </w:pPr>
            <w:r w:rsidRPr="00B67F7E">
              <w:rPr>
                <w:sz w:val="24"/>
                <w:szCs w:val="24"/>
              </w:rPr>
              <w:t xml:space="preserve">1 Ol. = 776 </w:t>
            </w:r>
            <w:proofErr w:type="spellStart"/>
            <w:r w:rsidRPr="00B67F7E">
              <w:rPr>
                <w:smallCaps/>
                <w:sz w:val="24"/>
                <w:szCs w:val="24"/>
              </w:rPr>
              <w:t>bc</w:t>
            </w:r>
            <w:proofErr w:type="spellEnd"/>
          </w:p>
        </w:tc>
      </w:tr>
      <w:tr w:rsidR="00E91A21" w:rsidRPr="00B67F7E" w14:paraId="1680334B" w14:textId="77777777" w:rsidTr="00B67F7E">
        <w:tc>
          <w:tcPr>
            <w:tcW w:w="1170" w:type="dxa"/>
          </w:tcPr>
          <w:p w14:paraId="118FE099" w14:textId="77777777" w:rsidR="00E91A21" w:rsidRPr="00B67F7E" w:rsidRDefault="00E91A21" w:rsidP="0055061E">
            <w:pPr>
              <w:rPr>
                <w:sz w:val="24"/>
                <w:szCs w:val="24"/>
              </w:rPr>
            </w:pPr>
            <w:r w:rsidRPr="00B67F7E">
              <w:rPr>
                <w:sz w:val="24"/>
                <w:szCs w:val="24"/>
              </w:rPr>
              <w:t>Roman</w:t>
            </w:r>
          </w:p>
        </w:tc>
        <w:tc>
          <w:tcPr>
            <w:tcW w:w="2970" w:type="dxa"/>
          </w:tcPr>
          <w:p w14:paraId="57A816A3" w14:textId="77777777" w:rsidR="00E91A21" w:rsidRPr="00B67F7E" w:rsidRDefault="00E91A21" w:rsidP="0055061E">
            <w:pPr>
              <w:rPr>
                <w:i/>
                <w:sz w:val="24"/>
                <w:szCs w:val="24"/>
              </w:rPr>
            </w:pPr>
            <w:r w:rsidRPr="00B67F7E">
              <w:rPr>
                <w:i/>
                <w:sz w:val="24"/>
                <w:szCs w:val="24"/>
              </w:rPr>
              <w:t xml:space="preserve">ab </w:t>
            </w:r>
            <w:proofErr w:type="spellStart"/>
            <w:r w:rsidRPr="00B67F7E">
              <w:rPr>
                <w:i/>
                <w:sz w:val="24"/>
                <w:szCs w:val="24"/>
              </w:rPr>
              <w:t>urbe</w:t>
            </w:r>
            <w:proofErr w:type="spellEnd"/>
            <w:r w:rsidRPr="00B67F7E">
              <w:rPr>
                <w:i/>
                <w:sz w:val="24"/>
                <w:szCs w:val="24"/>
              </w:rPr>
              <w:t xml:space="preserve"> condita</w:t>
            </w:r>
          </w:p>
        </w:tc>
        <w:tc>
          <w:tcPr>
            <w:tcW w:w="1620" w:type="dxa"/>
          </w:tcPr>
          <w:p w14:paraId="667948E0" w14:textId="77777777" w:rsidR="00E91A21" w:rsidRPr="00B67F7E" w:rsidRDefault="00E91A21" w:rsidP="0055061E">
            <w:pPr>
              <w:rPr>
                <w:sz w:val="24"/>
                <w:szCs w:val="24"/>
              </w:rPr>
            </w:pPr>
            <w:r w:rsidRPr="00B67F7E">
              <w:rPr>
                <w:sz w:val="24"/>
                <w:szCs w:val="24"/>
              </w:rPr>
              <w:t>A.U.C.</w:t>
            </w:r>
          </w:p>
        </w:tc>
        <w:tc>
          <w:tcPr>
            <w:tcW w:w="3708" w:type="dxa"/>
          </w:tcPr>
          <w:p w14:paraId="55ED9529" w14:textId="77777777" w:rsidR="00E91A21" w:rsidRPr="00B67F7E" w:rsidRDefault="00E91A21" w:rsidP="0055061E">
            <w:pPr>
              <w:rPr>
                <w:sz w:val="24"/>
                <w:szCs w:val="24"/>
              </w:rPr>
            </w:pPr>
            <w:r w:rsidRPr="00B67F7E">
              <w:rPr>
                <w:sz w:val="24"/>
                <w:szCs w:val="24"/>
              </w:rPr>
              <w:t xml:space="preserve">1 A.U.C. = 753 </w:t>
            </w:r>
            <w:proofErr w:type="spellStart"/>
            <w:r w:rsidRPr="00B67F7E">
              <w:rPr>
                <w:smallCaps/>
                <w:sz w:val="24"/>
                <w:szCs w:val="24"/>
              </w:rPr>
              <w:t>bc</w:t>
            </w:r>
            <w:proofErr w:type="spellEnd"/>
          </w:p>
        </w:tc>
      </w:tr>
      <w:tr w:rsidR="00E91A21" w:rsidRPr="00B67F7E" w14:paraId="67519CA1" w14:textId="77777777" w:rsidTr="00B67F7E">
        <w:tc>
          <w:tcPr>
            <w:tcW w:w="1170" w:type="dxa"/>
          </w:tcPr>
          <w:p w14:paraId="4F3C7F37" w14:textId="77777777" w:rsidR="00E91A21" w:rsidRPr="00B67F7E" w:rsidRDefault="00E91A21" w:rsidP="0055061E">
            <w:pPr>
              <w:rPr>
                <w:sz w:val="24"/>
                <w:szCs w:val="24"/>
              </w:rPr>
            </w:pPr>
            <w:r w:rsidRPr="00B67F7E">
              <w:rPr>
                <w:sz w:val="24"/>
                <w:szCs w:val="24"/>
              </w:rPr>
              <w:t>Seleucid</w:t>
            </w:r>
          </w:p>
        </w:tc>
        <w:tc>
          <w:tcPr>
            <w:tcW w:w="2970" w:type="dxa"/>
          </w:tcPr>
          <w:p w14:paraId="5EE938F2" w14:textId="77777777" w:rsidR="00E91A21" w:rsidRPr="00B67F7E" w:rsidRDefault="00E91A21" w:rsidP="0055061E">
            <w:pPr>
              <w:rPr>
                <w:i/>
                <w:sz w:val="24"/>
                <w:szCs w:val="24"/>
              </w:rPr>
            </w:pPr>
            <w:r w:rsidRPr="00B67F7E">
              <w:rPr>
                <w:i/>
                <w:sz w:val="24"/>
                <w:szCs w:val="24"/>
              </w:rPr>
              <w:t xml:space="preserve">anno </w:t>
            </w:r>
            <w:proofErr w:type="spellStart"/>
            <w:r w:rsidRPr="00B67F7E">
              <w:rPr>
                <w:i/>
                <w:sz w:val="24"/>
                <w:szCs w:val="24"/>
              </w:rPr>
              <w:t>Seleucidarum</w:t>
            </w:r>
            <w:proofErr w:type="spellEnd"/>
          </w:p>
        </w:tc>
        <w:tc>
          <w:tcPr>
            <w:tcW w:w="1620" w:type="dxa"/>
          </w:tcPr>
          <w:p w14:paraId="343A7F32" w14:textId="77777777" w:rsidR="00E91A21" w:rsidRPr="00B67F7E" w:rsidRDefault="00E91A21" w:rsidP="0055061E">
            <w:pPr>
              <w:rPr>
                <w:sz w:val="24"/>
                <w:szCs w:val="24"/>
              </w:rPr>
            </w:pPr>
            <w:r w:rsidRPr="00B67F7E">
              <w:rPr>
                <w:sz w:val="24"/>
                <w:szCs w:val="24"/>
              </w:rPr>
              <w:t>A.S.</w:t>
            </w:r>
          </w:p>
        </w:tc>
        <w:tc>
          <w:tcPr>
            <w:tcW w:w="3708" w:type="dxa"/>
          </w:tcPr>
          <w:p w14:paraId="432E6E7D" w14:textId="77777777" w:rsidR="00E91A21" w:rsidRPr="00B67F7E" w:rsidRDefault="00E91A21" w:rsidP="0055061E">
            <w:pPr>
              <w:rPr>
                <w:sz w:val="24"/>
                <w:szCs w:val="24"/>
              </w:rPr>
            </w:pPr>
            <w:r w:rsidRPr="00B67F7E">
              <w:rPr>
                <w:sz w:val="24"/>
                <w:szCs w:val="24"/>
              </w:rPr>
              <w:t xml:space="preserve">1 A.S. = 312 </w:t>
            </w:r>
            <w:proofErr w:type="spellStart"/>
            <w:r w:rsidRPr="00B67F7E">
              <w:rPr>
                <w:smallCaps/>
                <w:sz w:val="24"/>
                <w:szCs w:val="24"/>
              </w:rPr>
              <w:t>bc</w:t>
            </w:r>
            <w:proofErr w:type="spellEnd"/>
          </w:p>
        </w:tc>
      </w:tr>
      <w:tr w:rsidR="00E91A21" w:rsidRPr="00B67F7E" w14:paraId="6849818C" w14:textId="77777777" w:rsidTr="00B67F7E">
        <w:tc>
          <w:tcPr>
            <w:tcW w:w="1170" w:type="dxa"/>
          </w:tcPr>
          <w:p w14:paraId="40F2C9EB" w14:textId="77777777" w:rsidR="00E91A21" w:rsidRPr="00B67F7E" w:rsidRDefault="00E91A21" w:rsidP="0055061E">
            <w:pPr>
              <w:rPr>
                <w:sz w:val="24"/>
                <w:szCs w:val="24"/>
              </w:rPr>
            </w:pPr>
            <w:r w:rsidRPr="00B67F7E">
              <w:rPr>
                <w:sz w:val="24"/>
                <w:szCs w:val="24"/>
              </w:rPr>
              <w:t>Jewish</w:t>
            </w:r>
          </w:p>
        </w:tc>
        <w:tc>
          <w:tcPr>
            <w:tcW w:w="2970" w:type="dxa"/>
          </w:tcPr>
          <w:p w14:paraId="3D3918C2" w14:textId="77777777" w:rsidR="00E91A21" w:rsidRPr="00B67F7E" w:rsidRDefault="00E91A21" w:rsidP="0055061E">
            <w:pPr>
              <w:rPr>
                <w:i/>
                <w:sz w:val="24"/>
                <w:szCs w:val="24"/>
              </w:rPr>
            </w:pPr>
            <w:r w:rsidRPr="00B67F7E">
              <w:rPr>
                <w:i/>
                <w:sz w:val="24"/>
                <w:szCs w:val="24"/>
              </w:rPr>
              <w:t>anno mundi</w:t>
            </w:r>
          </w:p>
        </w:tc>
        <w:tc>
          <w:tcPr>
            <w:tcW w:w="1620" w:type="dxa"/>
          </w:tcPr>
          <w:p w14:paraId="5277A2E4" w14:textId="77777777" w:rsidR="00E91A21" w:rsidRPr="00B67F7E" w:rsidRDefault="00E91A21" w:rsidP="0055061E">
            <w:pPr>
              <w:rPr>
                <w:sz w:val="24"/>
                <w:szCs w:val="24"/>
              </w:rPr>
            </w:pPr>
            <w:r w:rsidRPr="00B67F7E">
              <w:rPr>
                <w:smallCaps/>
                <w:sz w:val="24"/>
                <w:szCs w:val="24"/>
              </w:rPr>
              <w:t>am</w:t>
            </w:r>
          </w:p>
        </w:tc>
        <w:tc>
          <w:tcPr>
            <w:tcW w:w="3708" w:type="dxa"/>
          </w:tcPr>
          <w:p w14:paraId="52B0EB8E" w14:textId="77777777" w:rsidR="00E91A21" w:rsidRPr="00B67F7E" w:rsidRDefault="00E91A21" w:rsidP="0055061E">
            <w:pPr>
              <w:rPr>
                <w:sz w:val="24"/>
                <w:szCs w:val="24"/>
              </w:rPr>
            </w:pPr>
            <w:r w:rsidRPr="00B67F7E">
              <w:rPr>
                <w:sz w:val="24"/>
                <w:szCs w:val="24"/>
              </w:rPr>
              <w:t xml:space="preserve">0 </w:t>
            </w:r>
            <w:r w:rsidRPr="00B67F7E">
              <w:rPr>
                <w:smallCaps/>
                <w:sz w:val="24"/>
                <w:szCs w:val="24"/>
              </w:rPr>
              <w:t>am</w:t>
            </w:r>
            <w:r w:rsidRPr="00B67F7E">
              <w:rPr>
                <w:sz w:val="24"/>
                <w:szCs w:val="24"/>
              </w:rPr>
              <w:t xml:space="preserve"> = 3761 </w:t>
            </w:r>
            <w:proofErr w:type="spellStart"/>
            <w:r w:rsidRPr="00B67F7E">
              <w:rPr>
                <w:smallCaps/>
                <w:sz w:val="24"/>
                <w:szCs w:val="24"/>
              </w:rPr>
              <w:t>bc</w:t>
            </w:r>
            <w:proofErr w:type="spellEnd"/>
            <w:r w:rsidRPr="00B67F7E">
              <w:rPr>
                <w:sz w:val="24"/>
                <w:szCs w:val="24"/>
              </w:rPr>
              <w:t xml:space="preserve">; 5780 </w:t>
            </w:r>
            <w:r w:rsidRPr="00B67F7E">
              <w:rPr>
                <w:smallCaps/>
                <w:sz w:val="24"/>
                <w:szCs w:val="24"/>
              </w:rPr>
              <w:t>am</w:t>
            </w:r>
            <w:r w:rsidRPr="00B67F7E">
              <w:rPr>
                <w:sz w:val="24"/>
                <w:szCs w:val="24"/>
              </w:rPr>
              <w:t xml:space="preserve"> = </w:t>
            </w:r>
            <w:r w:rsidRPr="00B67F7E">
              <w:rPr>
                <w:smallCaps/>
                <w:sz w:val="24"/>
                <w:szCs w:val="24"/>
              </w:rPr>
              <w:t>ad</w:t>
            </w:r>
            <w:r w:rsidRPr="00B67F7E">
              <w:rPr>
                <w:sz w:val="24"/>
                <w:szCs w:val="24"/>
              </w:rPr>
              <w:t xml:space="preserve"> 2020</w:t>
            </w:r>
          </w:p>
        </w:tc>
      </w:tr>
      <w:tr w:rsidR="00E91A21" w:rsidRPr="00B67F7E" w14:paraId="18CBD1AA" w14:textId="77777777" w:rsidTr="00B67F7E">
        <w:tc>
          <w:tcPr>
            <w:tcW w:w="1170" w:type="dxa"/>
          </w:tcPr>
          <w:p w14:paraId="66FBC554" w14:textId="77777777" w:rsidR="00E91A21" w:rsidRPr="00B67F7E" w:rsidRDefault="00E91A21" w:rsidP="0055061E">
            <w:pPr>
              <w:rPr>
                <w:sz w:val="24"/>
                <w:szCs w:val="24"/>
              </w:rPr>
            </w:pPr>
            <w:r w:rsidRPr="00B67F7E">
              <w:rPr>
                <w:sz w:val="24"/>
                <w:szCs w:val="24"/>
              </w:rPr>
              <w:t>Christian</w:t>
            </w:r>
          </w:p>
        </w:tc>
        <w:tc>
          <w:tcPr>
            <w:tcW w:w="2970" w:type="dxa"/>
          </w:tcPr>
          <w:p w14:paraId="63CE0FD0" w14:textId="77777777" w:rsidR="00E91A21" w:rsidRPr="00B67F7E" w:rsidRDefault="00E91A21" w:rsidP="0055061E">
            <w:pPr>
              <w:rPr>
                <w:i/>
                <w:sz w:val="24"/>
                <w:szCs w:val="24"/>
              </w:rPr>
            </w:pPr>
            <w:r w:rsidRPr="00B67F7E">
              <w:rPr>
                <w:i/>
                <w:sz w:val="24"/>
                <w:szCs w:val="24"/>
              </w:rPr>
              <w:t>anno Domini</w:t>
            </w:r>
          </w:p>
        </w:tc>
        <w:tc>
          <w:tcPr>
            <w:tcW w:w="1620" w:type="dxa"/>
          </w:tcPr>
          <w:p w14:paraId="734198C5" w14:textId="77777777" w:rsidR="00E91A21" w:rsidRPr="00B67F7E" w:rsidRDefault="00E91A21" w:rsidP="0055061E">
            <w:pPr>
              <w:rPr>
                <w:sz w:val="24"/>
                <w:szCs w:val="24"/>
              </w:rPr>
            </w:pPr>
            <w:r w:rsidRPr="00B67F7E">
              <w:rPr>
                <w:smallCaps/>
                <w:sz w:val="24"/>
                <w:szCs w:val="24"/>
              </w:rPr>
              <w:t>ad</w:t>
            </w:r>
          </w:p>
        </w:tc>
        <w:tc>
          <w:tcPr>
            <w:tcW w:w="3708" w:type="dxa"/>
          </w:tcPr>
          <w:p w14:paraId="368EA139" w14:textId="77777777" w:rsidR="00E91A21" w:rsidRPr="00B67F7E" w:rsidRDefault="00E91A21" w:rsidP="0055061E">
            <w:pPr>
              <w:rPr>
                <w:sz w:val="24"/>
                <w:szCs w:val="24"/>
              </w:rPr>
            </w:pPr>
            <w:r w:rsidRPr="00B67F7E">
              <w:rPr>
                <w:smallCaps/>
                <w:sz w:val="24"/>
                <w:szCs w:val="24"/>
              </w:rPr>
              <w:t>ad</w:t>
            </w:r>
            <w:r w:rsidRPr="00B67F7E">
              <w:rPr>
                <w:sz w:val="24"/>
                <w:szCs w:val="24"/>
              </w:rPr>
              <w:t xml:space="preserve"> 2020</w:t>
            </w:r>
          </w:p>
        </w:tc>
      </w:tr>
      <w:tr w:rsidR="00E91A21" w:rsidRPr="00B67F7E" w14:paraId="70372B72" w14:textId="77777777" w:rsidTr="00B67F7E">
        <w:tc>
          <w:tcPr>
            <w:tcW w:w="1170" w:type="dxa"/>
          </w:tcPr>
          <w:p w14:paraId="5E3724F2" w14:textId="77777777" w:rsidR="00E91A21" w:rsidRPr="00B67F7E" w:rsidRDefault="00E91A21" w:rsidP="0055061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04914EFB" w14:textId="77777777" w:rsidR="00E91A21" w:rsidRPr="00B67F7E" w:rsidRDefault="00E91A21" w:rsidP="0055061E">
            <w:pPr>
              <w:rPr>
                <w:sz w:val="24"/>
                <w:szCs w:val="24"/>
              </w:rPr>
            </w:pPr>
            <w:r w:rsidRPr="00B67F7E">
              <w:rPr>
                <w:sz w:val="24"/>
                <w:szCs w:val="24"/>
              </w:rPr>
              <w:t>“before Christ”</w:t>
            </w:r>
          </w:p>
        </w:tc>
        <w:tc>
          <w:tcPr>
            <w:tcW w:w="1620" w:type="dxa"/>
          </w:tcPr>
          <w:p w14:paraId="558F9859" w14:textId="77777777" w:rsidR="00E91A21" w:rsidRPr="00B67F7E" w:rsidRDefault="00E91A21" w:rsidP="0055061E">
            <w:pPr>
              <w:rPr>
                <w:sz w:val="24"/>
                <w:szCs w:val="24"/>
              </w:rPr>
            </w:pPr>
            <w:proofErr w:type="spellStart"/>
            <w:r w:rsidRPr="00B67F7E">
              <w:rPr>
                <w:smallCaps/>
                <w:sz w:val="24"/>
                <w:szCs w:val="24"/>
              </w:rPr>
              <w:t>bc</w:t>
            </w:r>
            <w:proofErr w:type="spellEnd"/>
          </w:p>
        </w:tc>
        <w:tc>
          <w:tcPr>
            <w:tcW w:w="3708" w:type="dxa"/>
          </w:tcPr>
          <w:p w14:paraId="00D46BC6" w14:textId="77777777" w:rsidR="00E91A21" w:rsidRPr="00B67F7E" w:rsidRDefault="00E91A21" w:rsidP="0055061E">
            <w:pPr>
              <w:rPr>
                <w:sz w:val="24"/>
                <w:szCs w:val="24"/>
              </w:rPr>
            </w:pPr>
            <w:r w:rsidRPr="00B67F7E">
              <w:rPr>
                <w:sz w:val="24"/>
                <w:szCs w:val="24"/>
              </w:rPr>
              <w:t xml:space="preserve">2020 </w:t>
            </w:r>
            <w:proofErr w:type="spellStart"/>
            <w:r w:rsidRPr="00B67F7E">
              <w:rPr>
                <w:smallCaps/>
                <w:sz w:val="24"/>
                <w:szCs w:val="24"/>
              </w:rPr>
              <w:t>bc</w:t>
            </w:r>
            <w:proofErr w:type="spellEnd"/>
          </w:p>
        </w:tc>
      </w:tr>
    </w:tbl>
    <w:p w14:paraId="0F8AAE2D" w14:textId="77777777" w:rsidR="00E91A21" w:rsidRDefault="00E91A21" w:rsidP="00E91A21"/>
    <w:p w14:paraId="5648B9CE" w14:textId="5E33B336" w:rsidR="00E91A21" w:rsidRDefault="00E91A21" w:rsidP="00E91A21">
      <w:r>
        <w:t xml:space="preserve">Between </w:t>
      </w:r>
      <w:r>
        <w:rPr>
          <w:smallCaps/>
        </w:rPr>
        <w:t>ad</w:t>
      </w:r>
      <w:r>
        <w:t xml:space="preserve"> 500-44</w:t>
      </w:r>
      <w:r w:rsidRPr="00B865F9">
        <w:t>,</w:t>
      </w:r>
      <w:r>
        <w:t xml:space="preserve"> Dionysus Exiguus</w:t>
      </w:r>
      <w:r w:rsidRPr="00B865F9">
        <w:t>,</w:t>
      </w:r>
      <w:r>
        <w:t xml:space="preserve"> abbot of a Roman monastery</w:t>
      </w:r>
      <w:r w:rsidRPr="00B865F9">
        <w:t xml:space="preserve"> (</w:t>
      </w:r>
      <w:r>
        <w:t>whose name is Latin for</w:t>
      </w:r>
      <w:r w:rsidRPr="00B865F9">
        <w:t xml:space="preserve"> </w:t>
      </w:r>
      <w:r>
        <w:t>“Dennis the Little”</w:t>
      </w:r>
      <w:r w:rsidRPr="00B865F9">
        <w:t>),</w:t>
      </w:r>
      <w:r>
        <w:t xml:space="preserve"> created the</w:t>
      </w:r>
      <w:r w:rsidRPr="00B865F9">
        <w:t xml:space="preserve"> </w:t>
      </w:r>
      <w:r>
        <w:t>“</w:t>
      </w:r>
      <w:r>
        <w:rPr>
          <w:smallCaps/>
        </w:rPr>
        <w:t>ad</w:t>
      </w:r>
      <w:r>
        <w:t>”</w:t>
      </w:r>
      <w:r w:rsidRPr="00B865F9">
        <w:t xml:space="preserve"> </w:t>
      </w:r>
      <w:r>
        <w:t>system</w:t>
      </w:r>
      <w:r w:rsidRPr="00B865F9">
        <w:t xml:space="preserve">. </w:t>
      </w:r>
      <w:r>
        <w:t>He de</w:t>
      </w:r>
      <w:r>
        <w:softHyphen/>
        <w:t>ter</w:t>
      </w:r>
      <w:r>
        <w:softHyphen/>
        <w:t>mined the year of Christ’s birth as best he could</w:t>
      </w:r>
      <w:r w:rsidRPr="00B865F9">
        <w:t>,</w:t>
      </w:r>
      <w:r>
        <w:t xml:space="preserve"> then designated it</w:t>
      </w:r>
      <w:r w:rsidRPr="00B865F9">
        <w:t xml:space="preserve"> </w:t>
      </w:r>
      <w:r>
        <w:t>“</w:t>
      </w:r>
      <w:r w:rsidRPr="00A53B10">
        <w:rPr>
          <w:i/>
        </w:rPr>
        <w:t>anno Domini</w:t>
      </w:r>
      <w:r>
        <w:t xml:space="preserve"> 1”</w:t>
      </w:r>
      <w:r w:rsidRPr="00B865F9">
        <w:t xml:space="preserve">; </w:t>
      </w:r>
      <w:r>
        <w:t>soon later events were dated relative to it</w:t>
      </w:r>
      <w:r w:rsidRPr="00B865F9">
        <w:t>. (</w:t>
      </w:r>
      <w:r>
        <w:t>We now believe he was off by several years and that Jesus was actually born c</w:t>
      </w:r>
      <w:r w:rsidRPr="00B865F9">
        <w:t xml:space="preserve">. </w:t>
      </w:r>
      <w:r>
        <w:t xml:space="preserve">4 </w:t>
      </w:r>
      <w:proofErr w:type="spellStart"/>
      <w:r>
        <w:rPr>
          <w:smallCaps/>
        </w:rPr>
        <w:t>bc</w:t>
      </w:r>
      <w:proofErr w:type="spellEnd"/>
      <w:r w:rsidRPr="00B865F9">
        <w:t>.)</w:t>
      </w:r>
    </w:p>
    <w:p w14:paraId="3F0CFC49" w14:textId="77777777" w:rsidR="00E91A21" w:rsidRDefault="00E91A21" w:rsidP="00E91A21"/>
    <w:p w14:paraId="70375E4C" w14:textId="006F03DA" w:rsidR="00E91A21" w:rsidRDefault="00E91A21" w:rsidP="00E91A21">
      <w:r>
        <w:t xml:space="preserve">Dates prior to </w:t>
      </w:r>
      <w:proofErr w:type="spellStart"/>
      <w:r>
        <w:rPr>
          <w:smallCaps/>
        </w:rPr>
        <w:t>ad</w:t>
      </w:r>
      <w:proofErr w:type="spellEnd"/>
      <w:r>
        <w:t xml:space="preserve"> 1 continued to be designated using the ancient sys</w:t>
      </w:r>
      <w:r>
        <w:softHyphen/>
        <w:t>tems</w:t>
      </w:r>
      <w:r w:rsidRPr="00B865F9">
        <w:t xml:space="preserve">: </w:t>
      </w:r>
      <w:r>
        <w:t xml:space="preserve">1 </w:t>
      </w:r>
      <w:proofErr w:type="spellStart"/>
      <w:r>
        <w:rPr>
          <w:smallCaps/>
        </w:rPr>
        <w:t>bc</w:t>
      </w:r>
      <w:proofErr w:type="spellEnd"/>
      <w:r>
        <w:t xml:space="preserve"> continued to be called</w:t>
      </w:r>
      <w:r w:rsidRPr="00B865F9">
        <w:t xml:space="preserve"> </w:t>
      </w:r>
      <w:r>
        <w:t>“Ol</w:t>
      </w:r>
      <w:r w:rsidRPr="00B865F9">
        <w:t xml:space="preserve">. </w:t>
      </w:r>
      <w:r>
        <w:t>156</w:t>
      </w:r>
      <w:r w:rsidRPr="00B865F9">
        <w:t>,</w:t>
      </w:r>
      <w:r>
        <w:t xml:space="preserve"> year 2”</w:t>
      </w:r>
      <w:r w:rsidRPr="00B865F9">
        <w:t xml:space="preserve"> </w:t>
      </w:r>
      <w:r>
        <w:t>or</w:t>
      </w:r>
      <w:r w:rsidRPr="00B865F9">
        <w:t xml:space="preserve"> </w:t>
      </w:r>
      <w:r>
        <w:t>“A</w:t>
      </w:r>
      <w:r w:rsidRPr="00B865F9">
        <w:t>.</w:t>
      </w:r>
      <w:r>
        <w:t>U</w:t>
      </w:r>
      <w:r w:rsidRPr="00B865F9">
        <w:t>.</w:t>
      </w:r>
      <w:r>
        <w:t>C</w:t>
      </w:r>
      <w:r w:rsidRPr="00B865F9">
        <w:t xml:space="preserve">. </w:t>
      </w:r>
      <w:r>
        <w:t>752</w:t>
      </w:r>
      <w:r w:rsidRPr="00B865F9">
        <w:t>.</w:t>
      </w:r>
      <w:r>
        <w:t>”</w:t>
      </w:r>
      <w:r w:rsidRPr="00B865F9">
        <w:t xml:space="preserve"> </w:t>
      </w:r>
      <w:r>
        <w:t>Count</w:t>
      </w:r>
      <w:r>
        <w:softHyphen/>
        <w:t xml:space="preserve">ing backward from </w:t>
      </w:r>
      <w:r>
        <w:rPr>
          <w:smallCaps/>
        </w:rPr>
        <w:t>ad</w:t>
      </w:r>
      <w:r>
        <w:t xml:space="preserve"> 1 became cus</w:t>
      </w:r>
      <w:r>
        <w:softHyphen/>
        <w:t xml:space="preserve">tomary only in the 1700s </w:t>
      </w:r>
      <w:r>
        <w:rPr>
          <w:smallCaps/>
        </w:rPr>
        <w:t>ad</w:t>
      </w:r>
      <w:r w:rsidRPr="00B865F9">
        <w:t xml:space="preserve">. </w:t>
      </w:r>
      <w:r>
        <w:t>At first</w:t>
      </w:r>
      <w:r w:rsidRPr="00B865F9">
        <w:t>,</w:t>
      </w:r>
      <w:r>
        <w:t xml:space="preserve"> </w:t>
      </w:r>
      <w:r>
        <w:rPr>
          <w:i/>
        </w:rPr>
        <w:t>ante Christum</w:t>
      </w:r>
      <w:r w:rsidRPr="00B865F9">
        <w:t xml:space="preserve"> (</w:t>
      </w:r>
      <w:r>
        <w:t>“A</w:t>
      </w:r>
      <w:r w:rsidRPr="00B865F9">
        <w:t>.</w:t>
      </w:r>
      <w:r>
        <w:t>C</w:t>
      </w:r>
      <w:r w:rsidRPr="00B865F9">
        <w:t>.</w:t>
      </w:r>
      <w:r>
        <w:t>”</w:t>
      </w:r>
      <w:r w:rsidRPr="00B865F9">
        <w:t xml:space="preserve">) </w:t>
      </w:r>
      <w:r>
        <w:t xml:space="preserve">was used for dates prior to </w:t>
      </w:r>
      <w:proofErr w:type="spellStart"/>
      <w:r>
        <w:rPr>
          <w:smallCaps/>
        </w:rPr>
        <w:t>ad</w:t>
      </w:r>
      <w:proofErr w:type="spellEnd"/>
      <w:r>
        <w:t xml:space="preserve"> 1</w:t>
      </w:r>
      <w:r w:rsidRPr="00B865F9">
        <w:t xml:space="preserve">; </w:t>
      </w:r>
      <w:r>
        <w:t>but the British soon began using</w:t>
      </w:r>
      <w:r w:rsidRPr="00B865F9">
        <w:t xml:space="preserve"> </w:t>
      </w:r>
      <w:r>
        <w:t>“B</w:t>
      </w:r>
      <w:r w:rsidRPr="00B865F9">
        <w:t>.</w:t>
      </w:r>
      <w:r>
        <w:t>C</w:t>
      </w:r>
      <w:r w:rsidRPr="00B865F9">
        <w:t>.</w:t>
      </w:r>
      <w:r>
        <w:t>”</w:t>
      </w:r>
      <w:r w:rsidRPr="00B865F9">
        <w:t xml:space="preserve"> (</w:t>
      </w:r>
      <w:r>
        <w:t>for</w:t>
      </w:r>
      <w:r w:rsidRPr="00B865F9">
        <w:t xml:space="preserve"> </w:t>
      </w:r>
      <w:r>
        <w:t>“before Christ”</w:t>
      </w:r>
      <w:r w:rsidRPr="00B865F9">
        <w:t>),</w:t>
      </w:r>
      <w:r>
        <w:t xml:space="preserve"> and since Britain was at the time a dom</w:t>
      </w:r>
      <w:r>
        <w:softHyphen/>
        <w:t>in</w:t>
      </w:r>
      <w:r>
        <w:softHyphen/>
        <w:t>ant Euro</w:t>
      </w:r>
      <w:r>
        <w:softHyphen/>
        <w:t>pean power</w:t>
      </w:r>
      <w:r w:rsidRPr="00B865F9">
        <w:t>,</w:t>
      </w:r>
      <w:r>
        <w:t xml:space="preserve"> other countries as well adopted</w:t>
      </w:r>
      <w:r w:rsidRPr="00B865F9">
        <w:t xml:space="preserve"> </w:t>
      </w:r>
      <w:r>
        <w:t>“B</w:t>
      </w:r>
      <w:r w:rsidRPr="00B865F9">
        <w:t>.</w:t>
      </w:r>
      <w:r>
        <w:t>C</w:t>
      </w:r>
      <w:r w:rsidRPr="00B865F9">
        <w:t>.</w:t>
      </w:r>
      <w:r>
        <w:t>”</w:t>
      </w:r>
    </w:p>
    <w:p w14:paraId="17298B63" w14:textId="77777777" w:rsidR="00E91A21" w:rsidRDefault="00E91A21" w:rsidP="00E91A21"/>
    <w:p w14:paraId="2FD51F85" w14:textId="4307B4C4" w:rsidR="00E91A21" w:rsidRDefault="00E91A21" w:rsidP="00E91A21">
      <w:r>
        <w:t>Several details about the</w:t>
      </w:r>
      <w:r w:rsidRPr="00B865F9">
        <w:t xml:space="preserve"> </w:t>
      </w:r>
      <w:r>
        <w:t>“</w:t>
      </w:r>
      <w:proofErr w:type="spellStart"/>
      <w:r>
        <w:rPr>
          <w:smallCaps/>
        </w:rPr>
        <w:t>bc</w:t>
      </w:r>
      <w:proofErr w:type="spellEnd"/>
      <w:r>
        <w:t>-</w:t>
      </w:r>
      <w:r>
        <w:rPr>
          <w:smallCaps/>
        </w:rPr>
        <w:t>ad</w:t>
      </w:r>
      <w:r>
        <w:t>”</w:t>
      </w:r>
      <w:r w:rsidRPr="00B865F9">
        <w:t xml:space="preserve"> </w:t>
      </w:r>
      <w:r>
        <w:t>system should be noted</w:t>
      </w:r>
      <w:r w:rsidRPr="00B865F9">
        <w:t>.</w:t>
      </w:r>
    </w:p>
    <w:p w14:paraId="1E2700E5" w14:textId="77777777" w:rsidR="00E91A21" w:rsidRDefault="00E91A21" w:rsidP="00E91A21"/>
    <w:p w14:paraId="595A00EB" w14:textId="37D8C473" w:rsidR="00E91A21" w:rsidRDefault="00E91A21" w:rsidP="00E91A21">
      <w:pPr>
        <w:numPr>
          <w:ilvl w:val="0"/>
          <w:numId w:val="1"/>
        </w:numPr>
        <w:jc w:val="both"/>
      </w:pPr>
      <w:r>
        <w:t>“</w:t>
      </w:r>
      <w:proofErr w:type="spellStart"/>
      <w:r>
        <w:rPr>
          <w:smallCaps/>
        </w:rPr>
        <w:t>bc</w:t>
      </w:r>
      <w:proofErr w:type="spellEnd"/>
      <w:r>
        <w:t>”</w:t>
      </w:r>
      <w:r w:rsidRPr="00B865F9">
        <w:t xml:space="preserve"> </w:t>
      </w:r>
      <w:r>
        <w:t>always follows a number</w:t>
      </w:r>
      <w:r w:rsidRPr="00B865F9">
        <w:t xml:space="preserve">. </w:t>
      </w:r>
      <w:r>
        <w:t>Though English usage permits</w:t>
      </w:r>
      <w:r w:rsidRPr="00B865F9">
        <w:t xml:space="preserve"> </w:t>
      </w:r>
      <w:r>
        <w:t>“</w:t>
      </w:r>
      <w:r>
        <w:rPr>
          <w:smallCaps/>
        </w:rPr>
        <w:t>ad</w:t>
      </w:r>
      <w:r>
        <w:t>”</w:t>
      </w:r>
      <w:r w:rsidRPr="00B865F9">
        <w:t xml:space="preserve"> </w:t>
      </w:r>
      <w:r>
        <w:t>to follow a num</w:t>
      </w:r>
      <w:r>
        <w:softHyphen/>
        <w:t>ber</w:t>
      </w:r>
      <w:r w:rsidRPr="00B865F9">
        <w:t>,</w:t>
      </w:r>
      <w:r>
        <w:t xml:space="preserve"> it prefers that “</w:t>
      </w:r>
      <w:r>
        <w:rPr>
          <w:smallCaps/>
        </w:rPr>
        <w:t>ad</w:t>
      </w:r>
      <w:r>
        <w:t>”</w:t>
      </w:r>
      <w:r w:rsidRPr="00B865F9">
        <w:t xml:space="preserve"> </w:t>
      </w:r>
      <w:r>
        <w:t>precede</w:t>
      </w:r>
      <w:r w:rsidRPr="00B865F9">
        <w:t xml:space="preserve">. </w:t>
      </w:r>
      <w:r>
        <w:t>Centuries</w:t>
      </w:r>
      <w:r w:rsidRPr="00B865F9">
        <w:t>,</w:t>
      </w:r>
      <w:r>
        <w:t xml:space="preserve"> on the other hand</w:t>
      </w:r>
      <w:r w:rsidRPr="00B865F9">
        <w:t>,</w:t>
      </w:r>
      <w:r>
        <w:t xml:space="preserve"> always have the abbreviation following</w:t>
      </w:r>
      <w:r w:rsidRPr="00B865F9">
        <w:t xml:space="preserve">: </w:t>
      </w:r>
      <w:r>
        <w:t xml:space="preserve">“the 1700s </w:t>
      </w:r>
      <w:r>
        <w:rPr>
          <w:smallCaps/>
        </w:rPr>
        <w:t>ad</w:t>
      </w:r>
      <w:r w:rsidRPr="00B865F9">
        <w:t>.</w:t>
      </w:r>
      <w:r>
        <w:t>”</w:t>
      </w:r>
    </w:p>
    <w:p w14:paraId="6CE22C42" w14:textId="77777777" w:rsidR="00E91A21" w:rsidRDefault="00E91A21" w:rsidP="00E91A21">
      <w:pPr>
        <w:numPr>
          <w:ilvl w:val="0"/>
          <w:numId w:val="1"/>
        </w:numPr>
        <w:jc w:val="both"/>
      </w:pPr>
      <w:r>
        <w:t>There is no</w:t>
      </w:r>
      <w:r w:rsidRPr="00B865F9">
        <w:t xml:space="preserve"> </w:t>
      </w:r>
      <w:r>
        <w:t xml:space="preserve">“0 </w:t>
      </w:r>
      <w:proofErr w:type="spellStart"/>
      <w:r>
        <w:rPr>
          <w:smallCaps/>
        </w:rPr>
        <w:t>bc</w:t>
      </w:r>
      <w:proofErr w:type="spellEnd"/>
      <w:r>
        <w:t>”</w:t>
      </w:r>
      <w:r w:rsidRPr="00B865F9">
        <w:t xml:space="preserve"> </w:t>
      </w:r>
      <w:r>
        <w:t>or</w:t>
      </w:r>
      <w:r w:rsidRPr="00B865F9">
        <w:t xml:space="preserve"> </w:t>
      </w:r>
      <w:r>
        <w:t>“</w:t>
      </w:r>
      <w:r>
        <w:rPr>
          <w:smallCaps/>
        </w:rPr>
        <w:t>ad</w:t>
      </w:r>
      <w:r>
        <w:t xml:space="preserve"> 0</w:t>
      </w:r>
      <w:r w:rsidRPr="00B865F9">
        <w:t>.</w:t>
      </w:r>
      <w:r>
        <w:t>”</w:t>
      </w:r>
      <w:r w:rsidRPr="00B865F9">
        <w:t xml:space="preserve"> </w:t>
      </w:r>
      <w:r>
        <w:t>One moves immediately from the last day of</w:t>
      </w:r>
      <w:r w:rsidRPr="00B865F9">
        <w:t xml:space="preserve"> </w:t>
      </w:r>
      <w:r>
        <w:t xml:space="preserve">“1 </w:t>
      </w:r>
      <w:proofErr w:type="spellStart"/>
      <w:r>
        <w:rPr>
          <w:smallCaps/>
        </w:rPr>
        <w:t>bc</w:t>
      </w:r>
      <w:proofErr w:type="spellEnd"/>
      <w:r>
        <w:t>”</w:t>
      </w:r>
      <w:r w:rsidRPr="00B865F9">
        <w:t xml:space="preserve"> </w:t>
      </w:r>
      <w:r>
        <w:t>to the first day of</w:t>
      </w:r>
      <w:r w:rsidRPr="00B865F9">
        <w:t xml:space="preserve"> </w:t>
      </w:r>
      <w:r>
        <w:t>“</w:t>
      </w:r>
      <w:r>
        <w:rPr>
          <w:smallCaps/>
        </w:rPr>
        <w:t>ad</w:t>
      </w:r>
      <w:r>
        <w:t xml:space="preserve"> 1</w:t>
      </w:r>
      <w:r w:rsidRPr="00B865F9">
        <w:t>.</w:t>
      </w:r>
      <w:r>
        <w:t>”</w:t>
      </w:r>
    </w:p>
    <w:p w14:paraId="3BC8C79A" w14:textId="77777777" w:rsidR="00E91A21" w:rsidRDefault="00E91A21" w:rsidP="00E91A21">
      <w:pPr>
        <w:numPr>
          <w:ilvl w:val="0"/>
          <w:numId w:val="1"/>
        </w:numPr>
        <w:jc w:val="both"/>
      </w:pPr>
      <w:r>
        <w:t>Many current style sheets prefer</w:t>
      </w:r>
      <w:r w:rsidRPr="00B865F9">
        <w:t xml:space="preserve"> </w:t>
      </w:r>
      <w:r>
        <w:t>“</w:t>
      </w:r>
      <w:proofErr w:type="spellStart"/>
      <w:r>
        <w:rPr>
          <w:smallCaps/>
        </w:rPr>
        <w:t>bc</w:t>
      </w:r>
      <w:proofErr w:type="spellEnd"/>
      <w:r>
        <w:t>”</w:t>
      </w:r>
      <w:r w:rsidRPr="00B865F9">
        <w:t xml:space="preserve"> </w:t>
      </w:r>
      <w:r>
        <w:t>and</w:t>
      </w:r>
      <w:r w:rsidRPr="00B865F9">
        <w:t xml:space="preserve"> </w:t>
      </w:r>
      <w:r>
        <w:t>“</w:t>
      </w:r>
      <w:r>
        <w:rPr>
          <w:smallCaps/>
        </w:rPr>
        <w:t>ad</w:t>
      </w:r>
      <w:r w:rsidRPr="00B865F9">
        <w:t>,</w:t>
      </w:r>
      <w:r>
        <w:t>”</w:t>
      </w:r>
      <w:r w:rsidRPr="00B865F9">
        <w:t xml:space="preserve"> </w:t>
      </w:r>
      <w:r>
        <w:t>without periods and in small capitals</w:t>
      </w:r>
      <w:r w:rsidRPr="00B865F9">
        <w:t>,</w:t>
      </w:r>
      <w:r>
        <w:t xml:space="preserve"> to</w:t>
      </w:r>
      <w:r w:rsidRPr="00B865F9">
        <w:t xml:space="preserve"> </w:t>
      </w:r>
      <w:r>
        <w:t>“B</w:t>
      </w:r>
      <w:r w:rsidRPr="00B865F9">
        <w:t>.</w:t>
      </w:r>
      <w:r>
        <w:t>C</w:t>
      </w:r>
      <w:r w:rsidRPr="00B865F9">
        <w:t>.</w:t>
      </w:r>
      <w:r>
        <w:t>”</w:t>
      </w:r>
      <w:r w:rsidRPr="00B865F9">
        <w:t xml:space="preserve"> </w:t>
      </w:r>
      <w:r>
        <w:t>and</w:t>
      </w:r>
      <w:r w:rsidRPr="00B865F9">
        <w:t xml:space="preserve"> </w:t>
      </w:r>
      <w:r>
        <w:t>“A</w:t>
      </w:r>
      <w:r w:rsidRPr="00B865F9">
        <w:t>.</w:t>
      </w:r>
      <w:r>
        <w:t>D</w:t>
      </w:r>
      <w:r w:rsidRPr="00B865F9">
        <w:t>.</w:t>
      </w:r>
      <w:r>
        <w:t>”</w:t>
      </w:r>
    </w:p>
    <w:p w14:paraId="209E40E1" w14:textId="3432817A" w:rsidR="00E91A21" w:rsidRDefault="00E91A21" w:rsidP="00E91A21">
      <w:pPr>
        <w:numPr>
          <w:ilvl w:val="0"/>
          <w:numId w:val="1"/>
        </w:numPr>
        <w:jc w:val="both"/>
      </w:pPr>
      <w:r>
        <w:t>“C</w:t>
      </w:r>
      <w:r w:rsidRPr="00B865F9">
        <w:t>.</w:t>
      </w:r>
      <w:r>
        <w:t>”</w:t>
      </w:r>
      <w:r w:rsidRPr="00B865F9">
        <w:t xml:space="preserve"> (</w:t>
      </w:r>
      <w:r>
        <w:t>as in</w:t>
      </w:r>
      <w:r w:rsidRPr="00B865F9">
        <w:t xml:space="preserve"> </w:t>
      </w:r>
      <w:r>
        <w:t>“c</w:t>
      </w:r>
      <w:r w:rsidRPr="00B865F9">
        <w:t xml:space="preserve">. </w:t>
      </w:r>
      <w:r>
        <w:t xml:space="preserve">7-4 </w:t>
      </w:r>
      <w:proofErr w:type="spellStart"/>
      <w:r>
        <w:rPr>
          <w:smallCaps/>
        </w:rPr>
        <w:t>bc</w:t>
      </w:r>
      <w:proofErr w:type="spellEnd"/>
      <w:r>
        <w:t>”</w:t>
      </w:r>
      <w:r w:rsidRPr="00B865F9">
        <w:t xml:space="preserve">) </w:t>
      </w:r>
      <w:r>
        <w:t xml:space="preserve">is an abbreviation of Latin </w:t>
      </w:r>
      <w:r>
        <w:rPr>
          <w:i/>
        </w:rPr>
        <w:t>circa</w:t>
      </w:r>
      <w:r w:rsidRPr="00B865F9">
        <w:t>,</w:t>
      </w:r>
      <w:r>
        <w:t xml:space="preserve"> which means</w:t>
      </w:r>
      <w:r w:rsidRPr="00B865F9">
        <w:t xml:space="preserve"> </w:t>
      </w:r>
      <w:r>
        <w:t>“around</w:t>
      </w:r>
      <w:r w:rsidRPr="00B865F9">
        <w:t>,</w:t>
      </w:r>
      <w:r>
        <w:t>”</w:t>
      </w:r>
      <w:r w:rsidRPr="00B865F9">
        <w:t xml:space="preserve"> </w:t>
      </w:r>
      <w:r>
        <w:t>“ap</w:t>
      </w:r>
      <w:r>
        <w:softHyphen/>
        <w:t>prox</w:t>
      </w:r>
      <w:r>
        <w:softHyphen/>
        <w:t>i</w:t>
      </w:r>
      <w:r>
        <w:softHyphen/>
        <w:t>mately</w:t>
      </w:r>
      <w:r w:rsidRPr="00B865F9">
        <w:t>.</w:t>
      </w:r>
      <w:r>
        <w:t>”</w:t>
      </w:r>
    </w:p>
    <w:p w14:paraId="722BBAB9" w14:textId="74798074" w:rsidR="00E91A21" w:rsidRDefault="00E91A21" w:rsidP="00E91A21">
      <w:pPr>
        <w:numPr>
          <w:ilvl w:val="0"/>
          <w:numId w:val="1"/>
        </w:numPr>
        <w:jc w:val="both"/>
      </w:pPr>
      <w:r>
        <w:t>Nowadays</w:t>
      </w:r>
      <w:r w:rsidRPr="00B865F9">
        <w:t>,</w:t>
      </w:r>
      <w:r>
        <w:t xml:space="preserve"> to avoid offense to non-Christians</w:t>
      </w:r>
      <w:r w:rsidRPr="00B865F9">
        <w:t>,</w:t>
      </w:r>
      <w:r>
        <w:t xml:space="preserve"> many scholars substitute, for</w:t>
      </w:r>
      <w:r w:rsidRPr="00B865F9">
        <w:t xml:space="preserve"> </w:t>
      </w:r>
      <w:r>
        <w:t>“</w:t>
      </w:r>
      <w:proofErr w:type="spellStart"/>
      <w:r>
        <w:rPr>
          <w:smallCaps/>
        </w:rPr>
        <w:t>bc</w:t>
      </w:r>
      <w:proofErr w:type="spellEnd"/>
      <w:r>
        <w:t>”</w:t>
      </w:r>
      <w:r w:rsidRPr="00B865F9">
        <w:t xml:space="preserve"> </w:t>
      </w:r>
      <w:r>
        <w:t xml:space="preserve">and </w:t>
      </w:r>
      <w:r>
        <w:rPr>
          <w:smallCaps/>
        </w:rPr>
        <w:t>ad</w:t>
      </w:r>
      <w:r>
        <w:t>,”</w:t>
      </w:r>
      <w:r w:rsidRPr="00B865F9">
        <w:t xml:space="preserve"> </w:t>
      </w:r>
      <w:r>
        <w:t>“</w:t>
      </w:r>
      <w:r w:rsidRPr="00E91A21">
        <w:t>BCE” and “CE</w:t>
      </w:r>
      <w:r>
        <w:t>”</w:t>
      </w:r>
      <w:r w:rsidRPr="00B865F9">
        <w:t xml:space="preserve"> (</w:t>
      </w:r>
      <w:r>
        <w:t>“before the Common Era”</w:t>
      </w:r>
      <w:r w:rsidRPr="00B865F9">
        <w:t xml:space="preserve"> </w:t>
      </w:r>
      <w:r>
        <w:t>and</w:t>
      </w:r>
      <w:r w:rsidRPr="00B865F9">
        <w:t xml:space="preserve"> </w:t>
      </w:r>
      <w:r>
        <w:t>“the Common Era”</w:t>
      </w:r>
      <w:r>
        <w:rPr>
          <w:rStyle w:val="FootnoteReference"/>
          <w:rFonts w:eastAsia="PMingLiU"/>
        </w:rPr>
        <w:footnoteReference w:id="1"/>
      </w:r>
      <w:r w:rsidRPr="00B865F9">
        <w:t>)</w:t>
      </w:r>
      <w:r>
        <w:t>.</w:t>
      </w:r>
    </w:p>
    <w:p w14:paraId="395A1DC2" w14:textId="77777777" w:rsidR="00BF4A3D" w:rsidRPr="00B67F7E" w:rsidRDefault="00BF4A3D" w:rsidP="00B67F7E">
      <w:pPr>
        <w:jc w:val="both"/>
        <w:rPr>
          <w:kern w:val="2"/>
          <w14:ligatures w14:val="standardContextual"/>
        </w:rPr>
      </w:pPr>
    </w:p>
    <w:sectPr w:rsidR="00BF4A3D" w:rsidRPr="00B67F7E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E474" w14:textId="77777777" w:rsidR="002605BF" w:rsidRDefault="002605BF" w:rsidP="00E91A21">
      <w:r>
        <w:separator/>
      </w:r>
    </w:p>
  </w:endnote>
  <w:endnote w:type="continuationSeparator" w:id="0">
    <w:p w14:paraId="06ECE91A" w14:textId="77777777" w:rsidR="002605BF" w:rsidRDefault="002605BF" w:rsidP="00E9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10E6" w14:textId="77777777" w:rsidR="002605BF" w:rsidRDefault="002605BF" w:rsidP="00E91A21">
      <w:r>
        <w:separator/>
      </w:r>
    </w:p>
  </w:footnote>
  <w:footnote w:type="continuationSeparator" w:id="0">
    <w:p w14:paraId="632089AD" w14:textId="77777777" w:rsidR="002605BF" w:rsidRDefault="002605BF" w:rsidP="00E91A21">
      <w:r>
        <w:continuationSeparator/>
      </w:r>
    </w:p>
  </w:footnote>
  <w:footnote w:id="1">
    <w:p w14:paraId="12A733E3" w14:textId="0CD5CD6C" w:rsidR="00E91A21" w:rsidRDefault="00E91A21" w:rsidP="00E91A21">
      <w:pPr>
        <w:pStyle w:val="FootnoteText"/>
      </w:pPr>
      <w:r>
        <w:rPr>
          <w:rStyle w:val="FootnoteReference"/>
          <w:rFonts w:eastAsia="PMingLiU"/>
        </w:rPr>
        <w:footnoteRef/>
      </w:r>
      <w:r>
        <w:t xml:space="preserve"> Or “before the Christian Era” and “the Christian Era</w:t>
      </w:r>
      <w:r w:rsidR="00B67F7E">
        <w:t>.</w:t>
      </w:r>
      <w:r>
        <w:t>” (</w:t>
      </w:r>
      <w:r w:rsidR="00B67F7E">
        <w:t xml:space="preserve">E.g. </w:t>
      </w:r>
      <w:r>
        <w:t xml:space="preserve">Peters, </w:t>
      </w:r>
      <w:r w:rsidR="00B67F7E">
        <w:t xml:space="preserve">F.E. </w:t>
      </w:r>
      <w:r>
        <w:rPr>
          <w:i/>
        </w:rPr>
        <w:t>Children of Abraham</w:t>
      </w:r>
      <w:r w:rsidRPr="00B67F7E">
        <w:rPr>
          <w:iCs/>
        </w:rPr>
        <w:t xml:space="preserve">: </w:t>
      </w:r>
      <w:r>
        <w:rPr>
          <w:i/>
        </w:rPr>
        <w:t>Judaism</w:t>
      </w:r>
      <w:r w:rsidRPr="00B67F7E">
        <w:rPr>
          <w:iCs/>
        </w:rPr>
        <w:t xml:space="preserve">, </w:t>
      </w:r>
      <w:r>
        <w:rPr>
          <w:i/>
        </w:rPr>
        <w:t>Chris</w:t>
      </w:r>
      <w:r>
        <w:rPr>
          <w:i/>
        </w:rPr>
        <w:softHyphen/>
        <w:t>tiani</w:t>
      </w:r>
      <w:r>
        <w:rPr>
          <w:i/>
        </w:rPr>
        <w:softHyphen/>
        <w:t>ty</w:t>
      </w:r>
      <w:r w:rsidRPr="00B67F7E">
        <w:rPr>
          <w:iCs/>
        </w:rPr>
        <w:t xml:space="preserve">, </w:t>
      </w:r>
      <w:r>
        <w:rPr>
          <w:i/>
        </w:rPr>
        <w:t>Islam</w:t>
      </w:r>
      <w:r w:rsidR="00B67F7E">
        <w:t xml:space="preserve">. </w:t>
      </w:r>
      <w:r>
        <w:t>Prince</w:t>
      </w:r>
      <w:r>
        <w:softHyphen/>
        <w:t>ton: Prince</w:t>
      </w:r>
      <w:r>
        <w:softHyphen/>
        <w:t xml:space="preserve">ton </w:t>
      </w:r>
      <w:r w:rsidR="00B67F7E">
        <w:t>UP</w:t>
      </w:r>
      <w:r>
        <w:t>, 1982</w:t>
      </w:r>
      <w:r w:rsidR="00B67F7E">
        <w:t>.</w:t>
      </w:r>
      <w:r>
        <w:t xml:space="preserve"> x</w:t>
      </w:r>
      <w:r w:rsidR="00B67F7E">
        <w:t>.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D57DF"/>
    <w:multiLevelType w:val="hybridMultilevel"/>
    <w:tmpl w:val="C03EC3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1677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21"/>
    <w:rsid w:val="002605BF"/>
    <w:rsid w:val="002B4696"/>
    <w:rsid w:val="002E42C2"/>
    <w:rsid w:val="00591E57"/>
    <w:rsid w:val="00610D7B"/>
    <w:rsid w:val="00701686"/>
    <w:rsid w:val="007C5641"/>
    <w:rsid w:val="009076CB"/>
    <w:rsid w:val="00975BE0"/>
    <w:rsid w:val="00AE3E7A"/>
    <w:rsid w:val="00B67F7E"/>
    <w:rsid w:val="00BF4A3D"/>
    <w:rsid w:val="00E91A21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179A"/>
  <w15:chartTrackingRefBased/>
  <w15:docId w15:val="{A9EDC176-E1F4-4AF6-B525-4DBD0229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A21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91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A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A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A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A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A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A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A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91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A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A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A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A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A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A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A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A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A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A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A21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E91A21"/>
    <w:pPr>
      <w:ind w:firstLine="72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91A21"/>
    <w:rPr>
      <w:rFonts w:eastAsia="Times New Roman" w:cs="Times New Roman"/>
      <w:kern w:val="0"/>
      <w:sz w:val="20"/>
      <w:szCs w:val="20"/>
    </w:rPr>
  </w:style>
  <w:style w:type="character" w:styleId="FootnoteReference">
    <w:name w:val="footnote reference"/>
    <w:basedOn w:val="DefaultParagraphFont"/>
    <w:rsid w:val="00E91A21"/>
    <w:rPr>
      <w:vertAlign w:val="superscript"/>
    </w:rPr>
  </w:style>
  <w:style w:type="table" w:styleId="TableGrid2">
    <w:name w:val="Table Grid 2"/>
    <w:basedOn w:val="TableNormal"/>
    <w:rsid w:val="00E91A21"/>
    <w:pPr>
      <w:spacing w:after="0" w:line="240" w:lineRule="auto"/>
      <w:jc w:val="both"/>
    </w:pPr>
    <w:rPr>
      <w:rFonts w:eastAsia="Times New Roman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ACAFE-D533-4DE3-A7E9-EEA442D4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2025-09-03T08:39:00Z</dcterms:created>
  <dcterms:modified xsi:type="dcterms:W3CDTF">2025-09-06T07:46:00Z</dcterms:modified>
</cp:coreProperties>
</file>