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AC800" w14:textId="67CD8ECE" w:rsidR="00563DB7" w:rsidRDefault="00563DB7" w:rsidP="00563DB7">
      <w:pPr>
        <w:jc w:val="center"/>
      </w:pPr>
      <w:bookmarkStart w:id="0" w:name="_Toc95430301"/>
      <w:r>
        <w:t>SEX</w:t>
      </w:r>
      <w:bookmarkEnd w:id="0"/>
    </w:p>
    <w:p w14:paraId="167799AB" w14:textId="77777777" w:rsidR="00563DB7" w:rsidRDefault="00563DB7" w:rsidP="00563DB7">
      <w:pPr>
        <w:contextualSpacing/>
      </w:pPr>
    </w:p>
    <w:p w14:paraId="35252E06" w14:textId="77777777" w:rsidR="00D82480" w:rsidRPr="00D82480" w:rsidRDefault="00D82480" w:rsidP="00D82480">
      <w:pPr>
        <w:autoSpaceDE w:val="0"/>
        <w:autoSpaceDN w:val="0"/>
        <w:adjustRightInd w:val="0"/>
        <w:jc w:val="center"/>
        <w:rPr>
          <w:rFonts w:eastAsia="Calibri" w:cs="Times New Roman"/>
          <w:kern w:val="0"/>
          <w:sz w:val="20"/>
          <w:szCs w:val="20"/>
        </w:rPr>
      </w:pPr>
      <w:r w:rsidRPr="00D82480">
        <w:rPr>
          <w:rFonts w:eastAsia="Calibri" w:cs="Times New Roman"/>
          <w:kern w:val="0"/>
          <w:sz w:val="20"/>
          <w:szCs w:val="20"/>
        </w:rPr>
        <w:t>Paul Hahn, Theology Department</w:t>
      </w:r>
    </w:p>
    <w:p w14:paraId="6E6369F4" w14:textId="77777777" w:rsidR="00D82480" w:rsidRPr="00D82480" w:rsidRDefault="00D82480" w:rsidP="00D82480">
      <w:pPr>
        <w:autoSpaceDE w:val="0"/>
        <w:autoSpaceDN w:val="0"/>
        <w:adjustRightInd w:val="0"/>
        <w:jc w:val="center"/>
        <w:rPr>
          <w:rFonts w:eastAsia="Calibri" w:cs="Times New Roman"/>
          <w:kern w:val="0"/>
          <w:sz w:val="20"/>
          <w:szCs w:val="20"/>
        </w:rPr>
      </w:pPr>
      <w:r w:rsidRPr="00D82480">
        <w:rPr>
          <w:rFonts w:eastAsia="Calibri" w:cs="Times New Roman"/>
          <w:kern w:val="0"/>
          <w:sz w:val="20"/>
          <w:szCs w:val="20"/>
        </w:rPr>
        <w:t>University of St Thomas, Houston TX 77006</w:t>
      </w:r>
    </w:p>
    <w:p w14:paraId="3382294C" w14:textId="76E4A44F" w:rsidR="00563DB7" w:rsidRPr="0081413E" w:rsidRDefault="00D82480" w:rsidP="00D82480">
      <w:pPr>
        <w:contextualSpacing/>
        <w:jc w:val="center"/>
        <w:rPr>
          <w:sz w:val="20"/>
          <w:szCs w:val="20"/>
        </w:rPr>
      </w:pPr>
      <w:r w:rsidRPr="00D82480">
        <w:rPr>
          <w:rFonts w:eastAsia="Calibri" w:cs="Times New Roman"/>
          <w:kern w:val="0"/>
          <w:sz w:val="20"/>
          <w:szCs w:val="20"/>
        </w:rPr>
        <w:t>© 2026, theologyplus.com</w:t>
      </w:r>
    </w:p>
    <w:p w14:paraId="2377175C" w14:textId="77777777" w:rsidR="00563DB7" w:rsidRDefault="00563DB7" w:rsidP="00563DB7">
      <w:pPr>
        <w:contextualSpacing/>
      </w:pPr>
    </w:p>
    <w:p w14:paraId="2AC7FA97" w14:textId="77777777" w:rsidR="00563DB7" w:rsidRDefault="00563DB7" w:rsidP="00563DB7">
      <w:pPr>
        <w:contextualSpacing/>
      </w:pPr>
    </w:p>
    <w:p w14:paraId="54E54859" w14:textId="77777777" w:rsidR="00563DB7" w:rsidRDefault="00563DB7" w:rsidP="00563DB7">
      <w:pPr>
        <w:contextualSpacing/>
      </w:pPr>
      <w:r>
        <w:t>What is unique about sex? Why is it different from, say, two people who engage in a tennis game?</w:t>
      </w:r>
    </w:p>
    <w:p w14:paraId="7B1561D5" w14:textId="77777777" w:rsidR="00563DB7" w:rsidRDefault="00563DB7" w:rsidP="00563DB7">
      <w:pPr>
        <w:contextualSpacing/>
      </w:pPr>
    </w:p>
    <w:p w14:paraId="7E5730F8" w14:textId="34F58947" w:rsidR="00563DB7" w:rsidRDefault="00563DB7" w:rsidP="00563DB7">
      <w:pPr>
        <w:contextualSpacing/>
      </w:pPr>
      <w:r>
        <w:t xml:space="preserve">Well, for one thing, sex is connected to kinship systems. Your kinship system defines </w:t>
      </w:r>
      <w:r w:rsidR="00231A55">
        <w:t xml:space="preserve">in part </w:t>
      </w:r>
      <w:r>
        <w:t>who your friends are (your local and extended support networks) and your wealth (through dowries, marital alliances, inheritance laws, etc.). Sex is fraught with societal consequences (though less so in the last century in the West).</w:t>
      </w:r>
    </w:p>
    <w:p w14:paraId="71FE9F63" w14:textId="77777777" w:rsidR="00563DB7" w:rsidRDefault="00563DB7" w:rsidP="00563DB7">
      <w:pPr>
        <w:contextualSpacing/>
      </w:pPr>
    </w:p>
    <w:p w14:paraId="50359E90" w14:textId="30734659" w:rsidR="00563DB7" w:rsidRPr="00B36FB0" w:rsidRDefault="00563DB7" w:rsidP="00563DB7">
      <w:pPr>
        <w:contextualSpacing/>
      </w:pPr>
      <w:r>
        <w:t xml:space="preserve">Second, as William Butler Yeats once wrote (in a letter to Olivia Shakespear, Oct. 1927), “only two topics can be of the least interest to a serious and studious mood—sex and the dead.” “Sex” refers here not just to </w:t>
      </w:r>
      <w:r w:rsidR="00231A55">
        <w:t>an</w:t>
      </w:r>
      <w:r>
        <w:t xml:space="preserve"> adolescent fixation on orgasm but to all aspects of the reproductive system in a person’s life: attraction, flirting, courtship, betrothal, marriage, spouses’ shared lives (intertwined existences), children (intertwined DNAs), grandchildren. Yeats’s two topics comprise the structure of a human life: the upward slope of sex, the downward slope of death. (In ancient Chinese, </w:t>
      </w:r>
      <w:r>
        <w:rPr>
          <w:i/>
        </w:rPr>
        <w:t>yang</w:t>
      </w:r>
      <w:r>
        <w:t xml:space="preserve"> meant the sunny side of </w:t>
      </w:r>
      <w:r w:rsidR="00231A55">
        <w:t xml:space="preserve">a </w:t>
      </w:r>
      <w:r>
        <w:t xml:space="preserve">hill, </w:t>
      </w:r>
      <w:r>
        <w:rPr>
          <w:i/>
        </w:rPr>
        <w:t>yin</w:t>
      </w:r>
      <w:r>
        <w:t xml:space="preserve"> meant the shadowy side.)</w:t>
      </w:r>
    </w:p>
    <w:p w14:paraId="3410CF0F" w14:textId="77777777" w:rsidR="00563DB7" w:rsidRDefault="00563DB7" w:rsidP="00563DB7">
      <w:pPr>
        <w:contextualSpacing/>
      </w:pPr>
    </w:p>
    <w:p w14:paraId="03E436A3" w14:textId="77777777" w:rsidR="00563DB7" w:rsidRDefault="00563DB7" w:rsidP="00563DB7">
      <w:pPr>
        <w:contextualSpacing/>
      </w:pPr>
      <w:r>
        <w:t>Third, sex makes us exceptionally vulnerable. To have sex with someone is to lay oneself open—physically, emotionally, spiritually—to a far greater degree than is the case with almost any other activity.</w:t>
      </w:r>
    </w:p>
    <w:p w14:paraId="6510C9EE" w14:textId="77777777" w:rsidR="00563DB7" w:rsidRDefault="00563DB7" w:rsidP="00563DB7">
      <w:pPr>
        <w:contextualSpacing/>
      </w:pPr>
    </w:p>
    <w:p w14:paraId="501F8A93" w14:textId="515E9015" w:rsidR="00563DB7" w:rsidRDefault="00563DB7" w:rsidP="00563DB7">
      <w:pPr>
        <w:contextualSpacing/>
      </w:pPr>
      <w:r>
        <w:t xml:space="preserve">Fourth, sex is a participation in God’s creativity. God is the Creator of human life, but we are his co-creators. Around sex, therefore, there is </w:t>
      </w:r>
      <w:proofErr w:type="spellStart"/>
      <w:r>
        <w:t>numinousness</w:t>
      </w:r>
      <w:proofErr w:type="spellEnd"/>
      <w:r>
        <w:t>.</w:t>
      </w:r>
    </w:p>
    <w:p w14:paraId="6513FE72" w14:textId="77777777" w:rsidR="00563DB7" w:rsidRDefault="00563DB7" w:rsidP="00563DB7">
      <w:pPr>
        <w:contextualSpacing/>
      </w:pPr>
    </w:p>
    <w:p w14:paraId="4B153B79" w14:textId="77777777" w:rsidR="00563DB7" w:rsidRDefault="00563DB7" w:rsidP="00563DB7">
      <w:pPr>
        <w:contextualSpacing/>
      </w:pPr>
      <w:r>
        <w:t>So, yes, there are reasons why sex is surrounded by concerns and taboos that a tennis relationship lacks. But these same concerns are also what is positive about sex, what makes it enthralling: it is at the heart of a person’s existence, it makes us vulnerable, and it is holy.</w:t>
      </w:r>
    </w:p>
    <w:p w14:paraId="0897658E" w14:textId="77777777" w:rsidR="00563DB7" w:rsidRDefault="00563DB7" w:rsidP="00563DB7">
      <w:pPr>
        <w:contextualSpacing/>
      </w:pPr>
    </w:p>
    <w:p w14:paraId="331FAED6" w14:textId="77777777" w:rsidR="00563DB7" w:rsidRPr="009E33DE" w:rsidRDefault="00563DB7" w:rsidP="00563DB7">
      <w:pPr>
        <w:contextualSpacing/>
        <w:jc w:val="center"/>
        <w:rPr>
          <w:sz w:val="32"/>
        </w:rPr>
      </w:pPr>
      <w:r w:rsidRPr="009E33DE">
        <w:rPr>
          <w:sz w:val="32"/>
        </w:rPr>
        <w:sym w:font="Wingdings" w:char="F09A"/>
      </w:r>
    </w:p>
    <w:p w14:paraId="61830EB3" w14:textId="77777777" w:rsidR="00563DB7" w:rsidRDefault="00563DB7" w:rsidP="00563DB7">
      <w:pPr>
        <w:contextualSpacing/>
      </w:pPr>
    </w:p>
    <w:p w14:paraId="7BD7C363" w14:textId="64E8922B" w:rsidR="00563DB7" w:rsidRDefault="00563DB7" w:rsidP="00563DB7">
      <w:pPr>
        <w:contextualSpacing/>
      </w:pPr>
      <w:r>
        <w:t xml:space="preserve">What about sex between a </w:t>
      </w:r>
      <w:r w:rsidR="00231A55">
        <w:t xml:space="preserve">professor </w:t>
      </w:r>
      <w:r>
        <w:t xml:space="preserve">and a </w:t>
      </w:r>
      <w:r w:rsidR="00231A55">
        <w:t xml:space="preserve">college </w:t>
      </w:r>
      <w:r>
        <w:t>student?</w:t>
      </w:r>
    </w:p>
    <w:p w14:paraId="1F6FAF6B" w14:textId="77777777" w:rsidR="00563DB7" w:rsidRDefault="00563DB7" w:rsidP="00563DB7">
      <w:pPr>
        <w:contextualSpacing/>
      </w:pPr>
    </w:p>
    <w:p w14:paraId="1AA9587E" w14:textId="77777777" w:rsidR="00563DB7" w:rsidRDefault="00563DB7" w:rsidP="00563DB7">
      <w:pPr>
        <w:contextualSpacing/>
      </w:pPr>
      <w:r>
        <w:t xml:space="preserve">One </w:t>
      </w:r>
      <w:r w:rsidRPr="00CD36BD">
        <w:t xml:space="preserve">harm in such a relationship is the likelihood of unfairness in grading and the sense of unfairness </w:t>
      </w:r>
      <w:r>
        <w:t xml:space="preserve">that </w:t>
      </w:r>
      <w:r w:rsidRPr="00CD36BD">
        <w:t xml:space="preserve">students who know about the relationship </w:t>
      </w:r>
      <w:r>
        <w:t xml:space="preserve">might </w:t>
      </w:r>
      <w:r w:rsidRPr="00CD36BD">
        <w:t>experience.</w:t>
      </w:r>
    </w:p>
    <w:p w14:paraId="6DB48B39" w14:textId="77777777" w:rsidR="00563DB7" w:rsidRDefault="00563DB7" w:rsidP="00563DB7">
      <w:pPr>
        <w:contextualSpacing/>
      </w:pPr>
    </w:p>
    <w:p w14:paraId="424E056A" w14:textId="77777777" w:rsidR="00563DB7" w:rsidRDefault="00563DB7" w:rsidP="00563DB7">
      <w:pPr>
        <w:contextualSpacing/>
      </w:pPr>
      <w:r>
        <w:t xml:space="preserve">But the </w:t>
      </w:r>
      <w:r>
        <w:rPr>
          <w:i/>
        </w:rPr>
        <w:t>primary</w:t>
      </w:r>
      <w:r>
        <w:t xml:space="preserve"> harm that can result from teacher-student sexual relations surely comes from the power imbalance: it is the potential for coercion. It’s the same harm that needs to be prevented in disproportionate relationships between bosses and underlings, or between movie moguls (</w:t>
      </w:r>
      <w:r w:rsidRPr="00FD0D90">
        <w:t>Harvey Weinstein</w:t>
      </w:r>
      <w:r>
        <w:t>) and actresses, between the mega-rich (Jeffrey Epstein and Ghislaine Maxwell) and underage girls.</w:t>
      </w:r>
    </w:p>
    <w:p w14:paraId="46328927" w14:textId="77777777" w:rsidR="00563DB7" w:rsidRDefault="00563DB7" w:rsidP="00563DB7">
      <w:pPr>
        <w:contextualSpacing/>
      </w:pPr>
    </w:p>
    <w:p w14:paraId="1BC46840" w14:textId="33B593B3" w:rsidR="00563DB7" w:rsidRPr="00CD36BD" w:rsidRDefault="00563DB7" w:rsidP="00563DB7">
      <w:pPr>
        <w:contextualSpacing/>
      </w:pPr>
      <w:r>
        <w:lastRenderedPageBreak/>
        <w:t>Twenty or so years ago, my University, the University of St Thomas in Houston, circulated its updated policy on sexual harassment, in which it forbade any romantic relations between teachers and students. The University solicited comments. So I wrote a letter to the Administration, pointing out that, though my wife and I fell in love when I was a teacher and she a student (although never my student), the result was a 45-year marriage. “True love is hard enough to find in this world,” I wrote. “If coercion has been guarded against, I don’t see why all romantic inclinations need be proscribed.” Of course I did not hear back. And UST wisely listened to its lawyers and not to me.</w:t>
      </w:r>
    </w:p>
    <w:p w14:paraId="765C34F3" w14:textId="77777777" w:rsidR="000C37A6" w:rsidRDefault="000C37A6" w:rsidP="006B7FB9">
      <w:pPr>
        <w:contextualSpacing/>
      </w:pPr>
    </w:p>
    <w:sectPr w:rsidR="000C37A6" w:rsidSect="00D51877">
      <w:footnotePr>
        <w:pos w:val="beneathText"/>
      </w:footnotePr>
      <w:pgSz w:w="12240" w:h="15840"/>
      <w:pgMar w:top="1440" w:right="1440" w:bottom="1440" w:left="1440" w:header="0" w:footer="288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A2DF5" w14:textId="77777777" w:rsidR="001E10FF" w:rsidRDefault="001E10FF" w:rsidP="00DB3FBA">
      <w:r>
        <w:separator/>
      </w:r>
    </w:p>
  </w:endnote>
  <w:endnote w:type="continuationSeparator" w:id="0">
    <w:p w14:paraId="38A5BD58" w14:textId="77777777" w:rsidR="001E10FF" w:rsidRDefault="001E10FF" w:rsidP="00DB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481A6" w14:textId="77777777" w:rsidR="001E10FF" w:rsidRDefault="001E10FF" w:rsidP="00DB3FBA">
      <w:r>
        <w:separator/>
      </w:r>
    </w:p>
  </w:footnote>
  <w:footnote w:type="continuationSeparator" w:id="0">
    <w:p w14:paraId="169ED280" w14:textId="77777777" w:rsidR="001E10FF" w:rsidRDefault="001E10FF" w:rsidP="00DB3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abstractNum w:abstractNumId="1" w15:restartNumberingAfterBreak="0">
    <w:nsid w:val="0ED824B8"/>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2" w15:restartNumberingAfterBreak="0">
    <w:nsid w:val="2A5F4247"/>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3" w15:restartNumberingAfterBreak="0">
    <w:nsid w:val="786A4792"/>
    <w:multiLevelType w:val="multilevel"/>
    <w:tmpl w:val="F080FF34"/>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num w:numId="1" w16cid:durableId="159115633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 w16cid:durableId="1061906415">
    <w:abstractNumId w:val="1"/>
  </w:num>
  <w:num w:numId="3" w16cid:durableId="304167327">
    <w:abstractNumId w:val="2"/>
  </w:num>
  <w:num w:numId="4" w16cid:durableId="639044673">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14"/>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F29"/>
    <w:rsid w:val="00055475"/>
    <w:rsid w:val="00075850"/>
    <w:rsid w:val="00085D12"/>
    <w:rsid w:val="000A7A27"/>
    <w:rsid w:val="000C37A6"/>
    <w:rsid w:val="000D3504"/>
    <w:rsid w:val="000E4A3E"/>
    <w:rsid w:val="000F0B06"/>
    <w:rsid w:val="000F3478"/>
    <w:rsid w:val="00107DBF"/>
    <w:rsid w:val="00145CF5"/>
    <w:rsid w:val="001B0D8E"/>
    <w:rsid w:val="001C1474"/>
    <w:rsid w:val="001E10FF"/>
    <w:rsid w:val="001F2C4D"/>
    <w:rsid w:val="001F611C"/>
    <w:rsid w:val="00210178"/>
    <w:rsid w:val="00231A55"/>
    <w:rsid w:val="00232731"/>
    <w:rsid w:val="00236854"/>
    <w:rsid w:val="0025166F"/>
    <w:rsid w:val="00262188"/>
    <w:rsid w:val="003108A3"/>
    <w:rsid w:val="00325960"/>
    <w:rsid w:val="00367D2B"/>
    <w:rsid w:val="003B6060"/>
    <w:rsid w:val="003D2B60"/>
    <w:rsid w:val="003E06F9"/>
    <w:rsid w:val="0040586D"/>
    <w:rsid w:val="004270FC"/>
    <w:rsid w:val="00493D5C"/>
    <w:rsid w:val="00494EC0"/>
    <w:rsid w:val="00496AF0"/>
    <w:rsid w:val="004C0A93"/>
    <w:rsid w:val="004D13D2"/>
    <w:rsid w:val="0050284A"/>
    <w:rsid w:val="00506366"/>
    <w:rsid w:val="00510565"/>
    <w:rsid w:val="005449D1"/>
    <w:rsid w:val="00553245"/>
    <w:rsid w:val="00557963"/>
    <w:rsid w:val="00563DB7"/>
    <w:rsid w:val="00576E48"/>
    <w:rsid w:val="005C4FAA"/>
    <w:rsid w:val="005C610B"/>
    <w:rsid w:val="005D1BF8"/>
    <w:rsid w:val="005F0A8B"/>
    <w:rsid w:val="00602A9D"/>
    <w:rsid w:val="00610F42"/>
    <w:rsid w:val="006160E2"/>
    <w:rsid w:val="00624644"/>
    <w:rsid w:val="00630DF8"/>
    <w:rsid w:val="006429EC"/>
    <w:rsid w:val="006437FA"/>
    <w:rsid w:val="006720B7"/>
    <w:rsid w:val="00684741"/>
    <w:rsid w:val="00696680"/>
    <w:rsid w:val="00696C56"/>
    <w:rsid w:val="006B4BF2"/>
    <w:rsid w:val="006B67A6"/>
    <w:rsid w:val="006B7FB9"/>
    <w:rsid w:val="006E03E4"/>
    <w:rsid w:val="00707588"/>
    <w:rsid w:val="00723636"/>
    <w:rsid w:val="007248E6"/>
    <w:rsid w:val="00727B73"/>
    <w:rsid w:val="00736DDE"/>
    <w:rsid w:val="00775F3A"/>
    <w:rsid w:val="00792CF3"/>
    <w:rsid w:val="007C1F29"/>
    <w:rsid w:val="007E7D87"/>
    <w:rsid w:val="00803333"/>
    <w:rsid w:val="00803B5B"/>
    <w:rsid w:val="0080736C"/>
    <w:rsid w:val="008A186F"/>
    <w:rsid w:val="008A1EF2"/>
    <w:rsid w:val="008A37E2"/>
    <w:rsid w:val="008B1CED"/>
    <w:rsid w:val="008C5CE4"/>
    <w:rsid w:val="008D6B43"/>
    <w:rsid w:val="008F01C0"/>
    <w:rsid w:val="008F5517"/>
    <w:rsid w:val="00920754"/>
    <w:rsid w:val="00925EDB"/>
    <w:rsid w:val="0093214A"/>
    <w:rsid w:val="00932477"/>
    <w:rsid w:val="00942A03"/>
    <w:rsid w:val="009D5420"/>
    <w:rsid w:val="009F2C63"/>
    <w:rsid w:val="00A24E6D"/>
    <w:rsid w:val="00A67E6E"/>
    <w:rsid w:val="00A84A4B"/>
    <w:rsid w:val="00AB1E8D"/>
    <w:rsid w:val="00AE07B1"/>
    <w:rsid w:val="00AF38E5"/>
    <w:rsid w:val="00AF59AC"/>
    <w:rsid w:val="00AF6289"/>
    <w:rsid w:val="00B02564"/>
    <w:rsid w:val="00B21EAF"/>
    <w:rsid w:val="00B22DE1"/>
    <w:rsid w:val="00B422F7"/>
    <w:rsid w:val="00B515AA"/>
    <w:rsid w:val="00B64097"/>
    <w:rsid w:val="00BA346B"/>
    <w:rsid w:val="00C433B8"/>
    <w:rsid w:val="00CB54D7"/>
    <w:rsid w:val="00CE289E"/>
    <w:rsid w:val="00D03092"/>
    <w:rsid w:val="00D10316"/>
    <w:rsid w:val="00D12274"/>
    <w:rsid w:val="00D51877"/>
    <w:rsid w:val="00D6654F"/>
    <w:rsid w:val="00D77A70"/>
    <w:rsid w:val="00D81FB5"/>
    <w:rsid w:val="00D82480"/>
    <w:rsid w:val="00DB3FBA"/>
    <w:rsid w:val="00E45D10"/>
    <w:rsid w:val="00E91F75"/>
    <w:rsid w:val="00EC21B6"/>
    <w:rsid w:val="00ED2805"/>
    <w:rsid w:val="00EE7E23"/>
    <w:rsid w:val="00EF28B7"/>
    <w:rsid w:val="00F23124"/>
    <w:rsid w:val="00F32B20"/>
    <w:rsid w:val="00F37B0E"/>
    <w:rsid w:val="00F46BE8"/>
    <w:rsid w:val="00F65EAB"/>
    <w:rsid w:val="00F66189"/>
    <w:rsid w:val="00F67A55"/>
    <w:rsid w:val="00F70B9D"/>
    <w:rsid w:val="00F71387"/>
    <w:rsid w:val="00FB261A"/>
    <w:rsid w:val="00FB5E59"/>
    <w:rsid w:val="00FB65C1"/>
    <w:rsid w:val="00FE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0FC2"/>
  <w15:chartTrackingRefBased/>
  <w15:docId w15:val="{6A4FB13C-8A9A-4643-9AA5-1E48E091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DB7"/>
  </w:style>
  <w:style w:type="paragraph" w:styleId="Heading1">
    <w:name w:val="heading 1"/>
    <w:basedOn w:val="Normal"/>
    <w:next w:val="Normal"/>
    <w:link w:val="Heading1Char"/>
    <w:uiPriority w:val="9"/>
    <w:qFormat/>
    <w:rsid w:val="00792CF3"/>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792CF3"/>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792CF3"/>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92CF3"/>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92CF3"/>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92CF3"/>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92CF3"/>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92CF3"/>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92CF3"/>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ind w:left="1440" w:right="720" w:hanging="720"/>
    </w:pPr>
  </w:style>
  <w:style w:type="paragraph" w:customStyle="1" w:styleId="temp">
    <w:name w:val="temp"/>
    <w:basedOn w:val="Normal"/>
    <w:rsid w:val="00792CF3"/>
    <w:pPr>
      <w:tabs>
        <w:tab w:val="left" w:pos="360"/>
        <w:tab w:val="left" w:pos="720"/>
      </w:tabs>
      <w:ind w:left="1080" w:hanging="1080"/>
    </w:p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rPr>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p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p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ind w:left="360"/>
    </w:p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spacing w:line="480" w:lineRule="auto"/>
      <w:ind w:left="360"/>
    </w:p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ind w:left="360"/>
    </w:pPr>
    <w:rPr>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style>
  <w:style w:type="paragraph" w:customStyle="1" w:styleId="Level1">
    <w:name w:val="Level 1"/>
    <w:basedOn w:val="Normal"/>
    <w:uiPriority w:val="4"/>
    <w:rsid w:val="00792CF3"/>
    <w:pPr>
      <w:widowControl w:val="0"/>
      <w:numPr>
        <w:numId w:val="1"/>
      </w:numPr>
      <w:outlineLvl w:val="0"/>
    </w:pPr>
    <w:rPr>
      <w:snapToGrid w:val="0"/>
    </w:rPr>
  </w:style>
  <w:style w:type="paragraph" w:styleId="TOC1">
    <w:name w:val="toc 1"/>
    <w:basedOn w:val="Normal"/>
    <w:next w:val="Normal"/>
    <w:autoRedefine/>
    <w:uiPriority w:val="39"/>
    <w:unhideWhenUsed/>
    <w:rsid w:val="00792CF3"/>
  </w:style>
  <w:style w:type="paragraph" w:customStyle="1" w:styleId="hangingindent">
    <w:name w:val="hanging indent"/>
    <w:basedOn w:val="Normal"/>
    <w:uiPriority w:val="4"/>
    <w:rsid w:val="00792CF3"/>
    <w:pPr>
      <w:ind w:left="720" w:hanging="720"/>
    </w:pPr>
  </w:style>
  <w:style w:type="paragraph" w:customStyle="1" w:styleId="Closing1">
    <w:name w:val="Closing1"/>
    <w:aliases w:val="justify left at center"/>
    <w:basedOn w:val="Normal"/>
    <w:next w:val="Normal"/>
    <w:uiPriority w:val="4"/>
    <w:rsid w:val="00792CF3"/>
    <w:pPr>
      <w:ind w:left="4680"/>
    </w:pPr>
  </w:style>
  <w:style w:type="paragraph" w:customStyle="1" w:styleId="head1">
    <w:name w:val="head 1"/>
    <w:basedOn w:val="Normal"/>
    <w:next w:val="Normal"/>
    <w:uiPriority w:val="4"/>
    <w:rsid w:val="00792CF3"/>
    <w:pPr>
      <w:contextualSpacing/>
      <w:jc w:val="center"/>
      <w:outlineLvl w:val="0"/>
    </w:pPr>
    <w:rPr>
      <w:caps/>
      <w:szCs w:val="36"/>
    </w:rPr>
  </w:style>
  <w:style w:type="paragraph" w:customStyle="1" w:styleId="head2">
    <w:name w:val="head 2"/>
    <w:basedOn w:val="Normal"/>
    <w:next w:val="Normal"/>
    <w:uiPriority w:val="4"/>
    <w:rsid w:val="00792CF3"/>
    <w:pPr>
      <w:contextualSpacing/>
      <w:jc w:val="center"/>
      <w:outlineLvl w:val="1"/>
    </w:pPr>
    <w:rPr>
      <w:caps/>
    </w:rPr>
  </w:style>
  <w:style w:type="paragraph" w:customStyle="1" w:styleId="head3">
    <w:name w:val="head 3"/>
    <w:basedOn w:val="Normal"/>
    <w:next w:val="Normal"/>
    <w:uiPriority w:val="4"/>
    <w:rsid w:val="00792CF3"/>
    <w:pPr>
      <w:contextualSpacing/>
      <w:jc w:val="center"/>
      <w:outlineLvl w:val="2"/>
    </w:pPr>
    <w:rPr>
      <w:caps/>
    </w:rPr>
  </w:style>
  <w:style w:type="paragraph" w:customStyle="1" w:styleId="blockquotation">
    <w:name w:val="block quotation"/>
    <w:basedOn w:val="Normal"/>
    <w:next w:val="Normal"/>
    <w:uiPriority w:val="4"/>
    <w:rsid w:val="00792CF3"/>
    <w:pPr>
      <w:ind w:left="720" w:right="720"/>
    </w:pPr>
  </w:style>
  <w:style w:type="paragraph" w:customStyle="1" w:styleId="head4">
    <w:name w:val="head 4"/>
    <w:basedOn w:val="Normal"/>
    <w:next w:val="Normal"/>
    <w:uiPriority w:val="4"/>
    <w:rsid w:val="00792CF3"/>
    <w:pPr>
      <w:outlineLvl w:val="3"/>
    </w:pPr>
  </w:style>
  <w:style w:type="paragraph" w:customStyle="1" w:styleId="Level2">
    <w:name w:val="Level 2"/>
    <w:basedOn w:val="Normal"/>
    <w:uiPriority w:val="4"/>
    <w:rsid w:val="00792CF3"/>
    <w:pPr>
      <w:widowControl w:val="0"/>
      <w:numPr>
        <w:ilvl w:val="1"/>
        <w:numId w:val="1"/>
      </w:numPr>
      <w:outlineLvl w:val="1"/>
    </w:pPr>
    <w:rPr>
      <w:snapToGrid w:val="0"/>
    </w:rPr>
  </w:style>
  <w:style w:type="paragraph" w:customStyle="1" w:styleId="Level3">
    <w:name w:val="Level 3"/>
    <w:basedOn w:val="Normal"/>
    <w:uiPriority w:val="4"/>
    <w:rsid w:val="00792CF3"/>
    <w:pPr>
      <w:widowControl w:val="0"/>
      <w:numPr>
        <w:ilvl w:val="2"/>
        <w:numId w:val="1"/>
      </w:numPr>
      <w:outlineLvl w:val="2"/>
    </w:pPr>
    <w:rPr>
      <w:snapToGrid w:val="0"/>
    </w:rPr>
  </w:style>
  <w:style w:type="paragraph" w:customStyle="1" w:styleId="Level4">
    <w:name w:val="Level 4"/>
    <w:basedOn w:val="Normal"/>
    <w:uiPriority w:val="4"/>
    <w:rsid w:val="00792CF3"/>
    <w:pPr>
      <w:widowControl w:val="0"/>
      <w:numPr>
        <w:ilvl w:val="3"/>
        <w:numId w:val="1"/>
      </w:numPr>
      <w:outlineLvl w:val="3"/>
    </w:pPr>
    <w:rPr>
      <w:snapToGrid w:val="0"/>
    </w:rPr>
  </w:style>
  <w:style w:type="paragraph" w:customStyle="1" w:styleId="Level5">
    <w:name w:val="Level 5"/>
    <w:basedOn w:val="Normal"/>
    <w:uiPriority w:val="4"/>
    <w:rsid w:val="00792CF3"/>
    <w:pPr>
      <w:widowControl w:val="0"/>
      <w:numPr>
        <w:ilvl w:val="4"/>
        <w:numId w:val="1"/>
      </w:numPr>
      <w:outlineLvl w:val="4"/>
    </w:pPr>
    <w:rPr>
      <w:snapToGrid w:val="0"/>
    </w:rPr>
  </w:style>
  <w:style w:type="paragraph" w:customStyle="1" w:styleId="Level6">
    <w:name w:val="Level 6"/>
    <w:basedOn w:val="Normal"/>
    <w:uiPriority w:val="4"/>
    <w:rsid w:val="00792CF3"/>
    <w:pPr>
      <w:widowControl w:val="0"/>
      <w:numPr>
        <w:ilvl w:val="5"/>
        <w:numId w:val="1"/>
      </w:numPr>
      <w:outlineLvl w:val="5"/>
    </w:pPr>
    <w:rPr>
      <w:snapToGrid w:val="0"/>
    </w:rPr>
  </w:style>
  <w:style w:type="paragraph" w:customStyle="1" w:styleId="Level7">
    <w:name w:val="Level 7"/>
    <w:basedOn w:val="Normal"/>
    <w:uiPriority w:val="4"/>
    <w:rsid w:val="00792CF3"/>
    <w:pPr>
      <w:widowControl w:val="0"/>
      <w:numPr>
        <w:ilvl w:val="6"/>
        <w:numId w:val="1"/>
      </w:numPr>
      <w:outlineLvl w:val="6"/>
    </w:pPr>
    <w:rPr>
      <w:snapToGrid w:val="0"/>
    </w:rPr>
  </w:style>
  <w:style w:type="paragraph" w:styleId="TOC2">
    <w:name w:val="toc 2"/>
    <w:basedOn w:val="Normal"/>
    <w:next w:val="Normal"/>
    <w:autoRedefine/>
    <w:uiPriority w:val="39"/>
    <w:unhideWhenUsed/>
    <w:rsid w:val="00792CF3"/>
    <w:pPr>
      <w:spacing w:after="100"/>
      <w:ind w:left="220"/>
    </w:pPr>
  </w:style>
  <w:style w:type="paragraph" w:styleId="TOC3">
    <w:name w:val="toc 3"/>
    <w:basedOn w:val="Normal"/>
    <w:next w:val="Normal"/>
    <w:autoRedefine/>
    <w:uiPriority w:val="39"/>
    <w:semiHidden/>
    <w:unhideWhenUsed/>
    <w:rsid w:val="00792CF3"/>
    <w:pPr>
      <w:spacing w:after="100"/>
      <w:ind w:left="480"/>
    </w:pPr>
  </w:style>
  <w:style w:type="paragraph" w:styleId="TOC4">
    <w:name w:val="toc 4"/>
    <w:basedOn w:val="Normal"/>
    <w:next w:val="Normal"/>
    <w:autoRedefine/>
    <w:uiPriority w:val="39"/>
    <w:semiHidden/>
    <w:unhideWhenUsed/>
    <w:rsid w:val="00792CF3"/>
    <w:pPr>
      <w:spacing w:after="100"/>
      <w:ind w:left="720"/>
    </w:pPr>
  </w:style>
  <w:style w:type="paragraph" w:styleId="TOC5">
    <w:name w:val="toc 5"/>
    <w:basedOn w:val="Normal"/>
    <w:next w:val="Normal"/>
    <w:autoRedefine/>
    <w:uiPriority w:val="39"/>
    <w:semiHidden/>
    <w:unhideWhenUsed/>
    <w:rsid w:val="00792CF3"/>
    <w:pPr>
      <w:spacing w:after="100"/>
      <w:ind w:left="960"/>
    </w:pPr>
  </w:style>
  <w:style w:type="paragraph" w:customStyle="1" w:styleId="TextBox">
    <w:name w:val="TextBox"/>
    <w:basedOn w:val="Normal"/>
    <w:next w:val="Normal"/>
    <w:link w:val="TextBoxChar"/>
    <w:rsid w:val="00792CF3"/>
    <w:pPr>
      <w:spacing w:before="240" w:after="240"/>
    </w:p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rPr>
      <w:rFonts w:ascii="Tahoma" w:hAnsi="Tahoma" w:cs="Tahoma"/>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style>
  <w:style w:type="paragraph" w:styleId="ListParagraph">
    <w:name w:val="List Paragraph"/>
    <w:basedOn w:val="Normal"/>
    <w:uiPriority w:val="34"/>
    <w:qFormat/>
    <w:rsid w:val="00792CF3"/>
    <w:pPr>
      <w:ind w:left="720"/>
    </w:pPr>
  </w:style>
  <w:style w:type="paragraph" w:styleId="Quote">
    <w:name w:val="Quote"/>
    <w:basedOn w:val="Normal"/>
    <w:next w:val="Normal"/>
    <w:link w:val="QuoteChar"/>
    <w:uiPriority w:val="29"/>
    <w:qFormat/>
    <w:rsid w:val="00792CF3"/>
    <w:pPr>
      <w:spacing w:before="200"/>
      <w:ind w:left="360" w:right="360"/>
    </w:pPr>
    <w:rPr>
      <w:i/>
      <w:iCs/>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ind w:left="240" w:hanging="240"/>
    </w:pPr>
  </w:style>
  <w:style w:type="paragraph" w:styleId="TOC6">
    <w:name w:val="toc 6"/>
    <w:basedOn w:val="Normal"/>
    <w:next w:val="Normal"/>
    <w:autoRedefine/>
    <w:uiPriority w:val="39"/>
    <w:semiHidden/>
    <w:unhideWhenUsed/>
    <w:rsid w:val="00792CF3"/>
    <w:pPr>
      <w:spacing w:after="100"/>
      <w:ind w:left="1200"/>
    </w:pPr>
  </w:style>
  <w:style w:type="paragraph" w:styleId="CommentText">
    <w:name w:val="annotation text"/>
    <w:basedOn w:val="Normal"/>
    <w:link w:val="CommentTextChar"/>
    <w:uiPriority w:val="99"/>
    <w:semiHidden/>
    <w:unhideWhenUsed/>
    <w:rsid w:val="00792CF3"/>
    <w:rPr>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spacing w:after="200"/>
    </w:pPr>
    <w:rPr>
      <w:b/>
      <w:bCs/>
      <w:color w:val="4F81BD" w:themeColor="accent1"/>
      <w:sz w:val="18"/>
      <w:szCs w:val="18"/>
    </w:rPr>
  </w:style>
  <w:style w:type="paragraph" w:styleId="EndnoteText">
    <w:name w:val="endnote text"/>
    <w:basedOn w:val="Normal"/>
    <w:link w:val="EndnoteTextChar"/>
    <w:uiPriority w:val="99"/>
    <w:semiHidden/>
    <w:unhideWhenUsed/>
    <w:rsid w:val="00792CF3"/>
    <w:rPr>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Hahn</dc:creator>
  <cp:keywords/>
  <dc:description/>
  <cp:lastModifiedBy>George Crandall</cp:lastModifiedBy>
  <cp:revision>4</cp:revision>
  <dcterms:created xsi:type="dcterms:W3CDTF">2023-04-10T04:30:00Z</dcterms:created>
  <dcterms:modified xsi:type="dcterms:W3CDTF">2025-10-26T10:56:00Z</dcterms:modified>
</cp:coreProperties>
</file>